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3B100AA" w14:textId="02E93E54" w:rsidR="00EA4E1B" w:rsidRDefault="00BD3D88" w:rsidP="00160E50">
      <w:pPr>
        <w:pStyle w:val="BATitle"/>
        <w:spacing w:before="0" w:after="0" w:line="240" w:lineRule="auto"/>
        <w:ind w:right="0"/>
        <w:jc w:val="both"/>
        <w:rPr>
          <w:sz w:val="32"/>
          <w:lang w:val="pt-BR"/>
        </w:rPr>
      </w:pPr>
      <w:r>
        <w:rPr>
          <w:sz w:val="32"/>
          <w:lang w:val="pt-BR"/>
        </w:rPr>
        <w:t xml:space="preserve">Desempenho </w:t>
      </w:r>
      <w:r w:rsidR="007C20F2">
        <w:rPr>
          <w:sz w:val="32"/>
          <w:lang w:val="pt-BR"/>
        </w:rPr>
        <w:t xml:space="preserve">de </w:t>
      </w:r>
      <w:r w:rsidR="00160E50" w:rsidRPr="00160E50">
        <w:rPr>
          <w:sz w:val="32"/>
          <w:lang w:val="pt-BR"/>
        </w:rPr>
        <w:t>catalisadores de</w:t>
      </w:r>
      <w:r w:rsidR="00160E50">
        <w:rPr>
          <w:sz w:val="32"/>
          <w:lang w:val="pt-BR"/>
        </w:rPr>
        <w:t xml:space="preserve"> óxido misto de</w:t>
      </w:r>
      <w:r w:rsidR="00160E50" w:rsidRPr="00160E50">
        <w:rPr>
          <w:sz w:val="32"/>
          <w:lang w:val="pt-BR"/>
        </w:rPr>
        <w:t xml:space="preserve"> cobre e alumínio impregnados com</w:t>
      </w:r>
      <w:r w:rsidR="00160E50">
        <w:rPr>
          <w:sz w:val="32"/>
          <w:lang w:val="pt-BR"/>
        </w:rPr>
        <w:t xml:space="preserve"> potássio</w:t>
      </w:r>
      <w:r w:rsidR="007C20F2">
        <w:rPr>
          <w:sz w:val="32"/>
          <w:lang w:val="pt-BR"/>
        </w:rPr>
        <w:t xml:space="preserve"> na reação de redução do NO pelo CO</w:t>
      </w:r>
    </w:p>
    <w:p w14:paraId="43BF2E61" w14:textId="77777777" w:rsidR="00160E50" w:rsidRPr="00160E50" w:rsidRDefault="00160E50" w:rsidP="00160E50">
      <w:pPr>
        <w:pStyle w:val="BBAuthorName"/>
        <w:rPr>
          <w:lang w:val="pt-BR"/>
        </w:rPr>
      </w:pPr>
    </w:p>
    <w:p w14:paraId="18735493" w14:textId="01CC667A" w:rsidR="00EA4E1B" w:rsidRDefault="00160E50" w:rsidP="00EA4E1B">
      <w:pPr>
        <w:pStyle w:val="BBAuthorName"/>
        <w:spacing w:after="120"/>
        <w:ind w:right="0"/>
        <w:jc w:val="both"/>
        <w:rPr>
          <w:rFonts w:ascii="Times New Roman" w:hAnsi="Times New Roman"/>
          <w:sz w:val="20"/>
          <w:vertAlign w:val="superscript"/>
          <w:lang w:val="pt-BR"/>
        </w:rPr>
      </w:pPr>
      <w:r>
        <w:rPr>
          <w:rFonts w:ascii="Times New Roman" w:hAnsi="Times New Roman"/>
          <w:sz w:val="20"/>
          <w:lang w:val="pt-BR"/>
        </w:rPr>
        <w:t>Suelen M. Stutz Gomes</w:t>
      </w:r>
      <w:r w:rsidR="00EA4E1B" w:rsidRPr="001F25B2">
        <w:rPr>
          <w:rFonts w:ascii="Times New Roman" w:hAnsi="Times New Roman"/>
          <w:sz w:val="20"/>
          <w:vertAlign w:val="superscript"/>
          <w:lang w:val="pt-BR"/>
        </w:rPr>
        <w:t>1</w:t>
      </w:r>
      <w:r w:rsidRPr="00160E50">
        <w:rPr>
          <w:rFonts w:ascii="Times New Roman" w:hAnsi="Times New Roman"/>
          <w:sz w:val="20"/>
          <w:lang w:val="pt-BR"/>
        </w:rPr>
        <w:t xml:space="preserve">* </w:t>
      </w:r>
      <w:r>
        <w:rPr>
          <w:rFonts w:ascii="Times New Roman" w:hAnsi="Times New Roman"/>
          <w:sz w:val="20"/>
          <w:lang w:val="pt-BR"/>
        </w:rPr>
        <w:t>Luz Amparo P. Santos</w:t>
      </w:r>
      <w:r>
        <w:rPr>
          <w:rFonts w:ascii="Times New Roman" w:hAnsi="Times New Roman"/>
          <w:sz w:val="20"/>
          <w:vertAlign w:val="superscript"/>
          <w:lang w:val="pt-BR"/>
        </w:rPr>
        <w:t>2</w:t>
      </w:r>
      <w:r>
        <w:rPr>
          <w:rFonts w:ascii="Times New Roman" w:hAnsi="Times New Roman"/>
          <w:sz w:val="20"/>
          <w:lang w:val="pt-BR"/>
        </w:rPr>
        <w:t xml:space="preserve"> Fatima Maria Z. Zotin</w:t>
      </w:r>
      <w:r>
        <w:rPr>
          <w:rFonts w:ascii="Times New Roman" w:hAnsi="Times New Roman"/>
          <w:sz w:val="20"/>
          <w:vertAlign w:val="superscript"/>
          <w:lang w:val="pt-BR"/>
        </w:rPr>
        <w:t>3</w:t>
      </w:r>
    </w:p>
    <w:p w14:paraId="18773C3F" w14:textId="77777777" w:rsidR="00F86B4A" w:rsidRDefault="00160E50" w:rsidP="00160E50">
      <w:pPr>
        <w:pStyle w:val="BCAuthorAddress"/>
        <w:rPr>
          <w:lang w:val="pt-BR"/>
        </w:rPr>
      </w:pPr>
      <w:r w:rsidRPr="00EE3F20">
        <w:rPr>
          <w:lang w:val="pt-BR"/>
        </w:rPr>
        <w:t xml:space="preserve"> </w:t>
      </w:r>
      <w:r w:rsidR="00256223">
        <w:rPr>
          <w:lang w:val="pt-BR"/>
        </w:rPr>
        <w:t xml:space="preserve">1 </w:t>
      </w:r>
      <w:hyperlink r:id="rId8" w:history="1">
        <w:r w:rsidR="00D40953" w:rsidRPr="00EE3F20">
          <w:rPr>
            <w:rStyle w:val="Hyperlink"/>
            <w:lang w:val="pt-BR"/>
          </w:rPr>
          <w:t>sumstutzg@gmail.com</w:t>
        </w:r>
      </w:hyperlink>
      <w:r w:rsidRPr="00EE3F20">
        <w:rPr>
          <w:lang w:val="pt-BR"/>
        </w:rPr>
        <w:t>, U</w:t>
      </w:r>
      <w:r w:rsidR="00F250D1">
        <w:rPr>
          <w:lang w:val="pt-BR"/>
        </w:rPr>
        <w:t>niversidade do Estado do Rio de Janeiro</w:t>
      </w:r>
      <w:r w:rsidRPr="00EE3F20">
        <w:rPr>
          <w:lang w:val="pt-BR"/>
        </w:rPr>
        <w:t xml:space="preserve"> </w:t>
      </w:r>
    </w:p>
    <w:p w14:paraId="3F75CE48" w14:textId="77777777" w:rsidR="00F86B4A" w:rsidRDefault="00256223" w:rsidP="00160E50">
      <w:pPr>
        <w:pStyle w:val="BCAuthorAddress"/>
        <w:rPr>
          <w:lang w:val="pt-BR"/>
        </w:rPr>
      </w:pPr>
      <w:r>
        <w:rPr>
          <w:lang w:val="pt-BR"/>
        </w:rPr>
        <w:t xml:space="preserve">2 </w:t>
      </w:r>
      <w:hyperlink r:id="rId9" w:history="1">
        <w:r w:rsidR="003C1E95" w:rsidRPr="008E7AD1">
          <w:rPr>
            <w:rStyle w:val="Hyperlink"/>
            <w:lang w:val="pt-BR"/>
          </w:rPr>
          <w:t>luzamparopalacio@gmail.com</w:t>
        </w:r>
      </w:hyperlink>
      <w:r w:rsidR="003C1E95">
        <w:rPr>
          <w:lang w:val="pt-BR"/>
        </w:rPr>
        <w:t xml:space="preserve">, </w:t>
      </w:r>
      <w:r w:rsidR="003C1E95" w:rsidRPr="00EE3F20">
        <w:rPr>
          <w:lang w:val="pt-BR"/>
        </w:rPr>
        <w:t>U</w:t>
      </w:r>
      <w:r w:rsidR="003C1E95">
        <w:rPr>
          <w:lang w:val="pt-BR"/>
        </w:rPr>
        <w:t>niversidade do Estado do Rio de Janeiro</w:t>
      </w:r>
      <w:r w:rsidR="003C1E95" w:rsidRPr="00EE3F20">
        <w:rPr>
          <w:lang w:val="pt-BR"/>
        </w:rPr>
        <w:t xml:space="preserve"> </w:t>
      </w:r>
    </w:p>
    <w:p w14:paraId="5AFD5003" w14:textId="25777128" w:rsidR="00160E50" w:rsidRPr="00EE3F20" w:rsidRDefault="003C1E95" w:rsidP="00160E50">
      <w:pPr>
        <w:pStyle w:val="BCAuthorAddress"/>
        <w:rPr>
          <w:lang w:val="pt-BR"/>
        </w:rPr>
      </w:pPr>
      <w:r>
        <w:rPr>
          <w:lang w:val="pt-BR"/>
        </w:rPr>
        <w:t xml:space="preserve">3 </w:t>
      </w:r>
      <w:hyperlink r:id="rId10" w:history="1">
        <w:r w:rsidR="00F86B4A" w:rsidRPr="008E7AD1">
          <w:rPr>
            <w:rStyle w:val="Hyperlink"/>
            <w:lang w:val="pt-BR"/>
          </w:rPr>
          <w:t>fmzzotin@gmail.com</w:t>
        </w:r>
      </w:hyperlink>
      <w:r w:rsidR="00F86B4A">
        <w:rPr>
          <w:lang w:val="pt-BR"/>
        </w:rPr>
        <w:t xml:space="preserve">, </w:t>
      </w:r>
      <w:r w:rsidR="00F86B4A" w:rsidRPr="00EE3F20">
        <w:rPr>
          <w:lang w:val="pt-BR"/>
        </w:rPr>
        <w:t>U</w:t>
      </w:r>
      <w:r w:rsidR="00F86B4A">
        <w:rPr>
          <w:lang w:val="pt-BR"/>
        </w:rPr>
        <w:t>niversidade do Estado do Rio de Janeiro</w:t>
      </w:r>
      <w:r w:rsidR="00F86B4A" w:rsidRPr="00EE3F20">
        <w:rPr>
          <w:lang w:val="pt-BR"/>
        </w:rPr>
        <w:t xml:space="preserve"> </w:t>
      </w:r>
      <w:hyperlink r:id="rId11" w:history="1"/>
    </w:p>
    <w:bookmarkEnd w:id="0"/>
    <w:p w14:paraId="238E7EC1" w14:textId="5D4AB3B8" w:rsidR="00AF0400" w:rsidRPr="00EE3F2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45450C5D" w:rsidR="008C1B30" w:rsidRPr="00201CF4" w:rsidRDefault="008C1B30" w:rsidP="008C1B30">
                            <w:pPr>
                              <w:pStyle w:val="BDAbstract"/>
                              <w:spacing w:before="0" w:after="0" w:line="240" w:lineRule="auto"/>
                              <w:jc w:val="center"/>
                              <w:rPr>
                                <w:rFonts w:cs="Helvetica"/>
                                <w:bCs/>
                                <w:sz w:val="24"/>
                                <w:szCs w:val="24"/>
                                <w:lang w:val="pt-BR"/>
                              </w:rPr>
                            </w:pPr>
                            <w:r w:rsidRPr="00201CF4">
                              <w:rPr>
                                <w:rFonts w:cs="Helvetica"/>
                                <w:bCs/>
                                <w:sz w:val="24"/>
                                <w:szCs w:val="24"/>
                                <w:lang w:val="pt-BR"/>
                              </w:rPr>
                              <w:t xml:space="preserve">Resumo/Abstract </w:t>
                            </w:r>
                          </w:p>
                          <w:p w14:paraId="7638102C" w14:textId="04A73240" w:rsidR="00AF0400" w:rsidRDefault="00AF0400" w:rsidP="008C1B30">
                            <w:pPr>
                              <w:pStyle w:val="SemEspaamento"/>
                            </w:pPr>
                          </w:p>
                          <w:p w14:paraId="3D35A1EC" w14:textId="77777777" w:rsidR="00201CF4" w:rsidRPr="008C1B30" w:rsidRDefault="00201CF4"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45450C5D" w:rsidR="008C1B30" w:rsidRPr="00201CF4" w:rsidRDefault="008C1B30" w:rsidP="008C1B30">
                      <w:pPr>
                        <w:pStyle w:val="BDAbstract"/>
                        <w:spacing w:before="0" w:after="0" w:line="240" w:lineRule="auto"/>
                        <w:jc w:val="center"/>
                        <w:rPr>
                          <w:rFonts w:cs="Helvetica"/>
                          <w:bCs/>
                          <w:sz w:val="24"/>
                          <w:szCs w:val="24"/>
                          <w:lang w:val="pt-BR"/>
                        </w:rPr>
                      </w:pPr>
                      <w:r w:rsidRPr="00201CF4">
                        <w:rPr>
                          <w:rFonts w:cs="Helvetica"/>
                          <w:bCs/>
                          <w:sz w:val="24"/>
                          <w:szCs w:val="24"/>
                          <w:lang w:val="pt-BR"/>
                        </w:rPr>
                        <w:t xml:space="preserve">Resumo/Abstract </w:t>
                      </w:r>
                    </w:p>
                    <w:p w14:paraId="7638102C" w14:textId="04A73240" w:rsidR="00AF0400" w:rsidRDefault="00AF0400" w:rsidP="008C1B30">
                      <w:pPr>
                        <w:pStyle w:val="SemEspaamento"/>
                      </w:pPr>
                    </w:p>
                    <w:p w14:paraId="3D35A1EC" w14:textId="77777777" w:rsidR="00201CF4" w:rsidRPr="008C1B30" w:rsidRDefault="00201CF4" w:rsidP="008C1B30">
                      <w:pPr>
                        <w:pStyle w:val="SemEspaamento"/>
                      </w:pPr>
                    </w:p>
                  </w:txbxContent>
                </v:textbox>
                <w10:wrap anchorx="margin"/>
              </v:rect>
            </w:pict>
          </mc:Fallback>
        </mc:AlternateContent>
      </w:r>
    </w:p>
    <w:p w14:paraId="4A5DDA03" w14:textId="738EF898" w:rsidR="00AF0400" w:rsidRPr="00EE3F20" w:rsidRDefault="00AF0400" w:rsidP="00EA4E1B">
      <w:pPr>
        <w:pStyle w:val="BDAbstract"/>
        <w:spacing w:before="0" w:after="0" w:line="240" w:lineRule="auto"/>
        <w:rPr>
          <w:rFonts w:ascii="Times New Roman" w:hAnsi="Times New Roman"/>
          <w:b w:val="0"/>
          <w:sz w:val="20"/>
          <w:lang w:val="pt-BR"/>
        </w:rPr>
      </w:pPr>
    </w:p>
    <w:p w14:paraId="6AE90D67" w14:textId="59A19157"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991951" w:rsidRPr="00991951">
        <w:rPr>
          <w:rFonts w:ascii="Times New Roman" w:hAnsi="Times New Roman"/>
          <w:b w:val="0"/>
          <w:sz w:val="20"/>
          <w:lang w:val="pt-BR"/>
        </w:rPr>
        <w:t>As emissões provenientes da queima de combustível nos motores de veículos leves e pesados é uma das principais causas da poluição atmosférica que, atualmente, é um dos mais graves problemas ambientais do planeta. Nos veículos foram introduzidos os catalisadores de três vias à base de metais nobres e que possuem duas limitações: o alto custo e, à baixas temperaturas, elevad</w:t>
      </w:r>
      <w:r w:rsidR="00922AFF">
        <w:rPr>
          <w:rFonts w:ascii="Times New Roman" w:hAnsi="Times New Roman"/>
          <w:b w:val="0"/>
          <w:sz w:val="20"/>
          <w:lang w:val="pt-BR"/>
        </w:rPr>
        <w:t>o</w:t>
      </w:r>
      <w:r w:rsidR="00991951" w:rsidRPr="00991951">
        <w:rPr>
          <w:rFonts w:ascii="Times New Roman" w:hAnsi="Times New Roman"/>
          <w:b w:val="0"/>
          <w:sz w:val="20"/>
          <w:lang w:val="pt-BR"/>
        </w:rPr>
        <w:t xml:space="preserve"> </w:t>
      </w:r>
      <w:r w:rsidR="00922AFF">
        <w:rPr>
          <w:rFonts w:ascii="Times New Roman" w:hAnsi="Times New Roman"/>
          <w:b w:val="0"/>
          <w:sz w:val="20"/>
          <w:lang w:val="pt-BR"/>
        </w:rPr>
        <w:t>rendimento</w:t>
      </w:r>
      <w:r w:rsidR="00922AFF" w:rsidRPr="00991951">
        <w:rPr>
          <w:rFonts w:ascii="Times New Roman" w:hAnsi="Times New Roman"/>
          <w:b w:val="0"/>
          <w:sz w:val="20"/>
          <w:lang w:val="pt-BR"/>
        </w:rPr>
        <w:t xml:space="preserve"> </w:t>
      </w:r>
      <w:r w:rsidR="00991951" w:rsidRPr="00991951">
        <w:rPr>
          <w:rFonts w:ascii="Times New Roman" w:hAnsi="Times New Roman"/>
          <w:b w:val="0"/>
          <w:sz w:val="20"/>
          <w:lang w:val="pt-BR"/>
        </w:rPr>
        <w:t>a óxido nitroso (N</w:t>
      </w:r>
      <w:r w:rsidR="00991951" w:rsidRPr="00D40953">
        <w:rPr>
          <w:rFonts w:ascii="Times New Roman" w:hAnsi="Times New Roman"/>
          <w:b w:val="0"/>
          <w:sz w:val="20"/>
          <w:vertAlign w:val="subscript"/>
          <w:lang w:val="pt-BR"/>
        </w:rPr>
        <w:t>2</w:t>
      </w:r>
      <w:r w:rsidR="00991951" w:rsidRPr="00991951">
        <w:rPr>
          <w:rFonts w:ascii="Times New Roman" w:hAnsi="Times New Roman"/>
          <w:b w:val="0"/>
          <w:sz w:val="20"/>
          <w:lang w:val="pt-BR"/>
        </w:rPr>
        <w:t>O), importante gás do efeito estufa. Neste trabalho foram estudados catalisadores alternativos preparados a partir de materiais tipo hidrotalcita de cobre e alumínio e impregnados com potássio. A formação da fase hidrotalcita e as fase</w:t>
      </w:r>
      <w:r w:rsidR="00D40953">
        <w:rPr>
          <w:rFonts w:ascii="Times New Roman" w:hAnsi="Times New Roman"/>
          <w:b w:val="0"/>
          <w:sz w:val="20"/>
          <w:lang w:val="pt-BR"/>
        </w:rPr>
        <w:t xml:space="preserve"> de </w:t>
      </w:r>
      <w:proofErr w:type="spellStart"/>
      <w:r w:rsidR="00D40953">
        <w:rPr>
          <w:rFonts w:ascii="Times New Roman" w:hAnsi="Times New Roman"/>
          <w:b w:val="0"/>
          <w:sz w:val="20"/>
          <w:lang w:val="pt-BR"/>
        </w:rPr>
        <w:t>CuO</w:t>
      </w:r>
      <w:proofErr w:type="spellEnd"/>
      <w:r w:rsidR="00991951" w:rsidRPr="00991951">
        <w:rPr>
          <w:rFonts w:ascii="Times New Roman" w:hAnsi="Times New Roman"/>
          <w:b w:val="0"/>
          <w:sz w:val="20"/>
          <w:lang w:val="pt-BR"/>
        </w:rPr>
        <w:t xml:space="preserve"> no catalisador foram evidenciadas por difração de raios X (DRX), as propriedades redox foram estudadas por TPR e a promoção eletrônica foi analisada por TPD-NO.</w:t>
      </w:r>
      <w:r w:rsidR="00D40953">
        <w:rPr>
          <w:rFonts w:ascii="Times New Roman" w:hAnsi="Times New Roman"/>
          <w:b w:val="0"/>
          <w:sz w:val="20"/>
          <w:lang w:val="pt-BR"/>
        </w:rPr>
        <w:t xml:space="preserve"> Através dos testes catalíticos, confirmou-se a formação de catalisadores mais seletivos a N</w:t>
      </w:r>
      <w:r w:rsidR="00D40953" w:rsidRPr="00D40953">
        <w:rPr>
          <w:rFonts w:ascii="Times New Roman" w:hAnsi="Times New Roman"/>
          <w:b w:val="0"/>
          <w:sz w:val="20"/>
          <w:vertAlign w:val="subscript"/>
          <w:lang w:val="pt-BR"/>
        </w:rPr>
        <w:t>2</w:t>
      </w:r>
      <w:r w:rsidR="00D40953">
        <w:rPr>
          <w:rFonts w:ascii="Times New Roman" w:hAnsi="Times New Roman"/>
          <w:b w:val="0"/>
          <w:sz w:val="20"/>
          <w:lang w:val="pt-BR"/>
        </w:rPr>
        <w:t xml:space="preserve"> com a adição de potássio, principalmente </w:t>
      </w:r>
      <w:r w:rsidR="00AE70D0">
        <w:rPr>
          <w:rFonts w:ascii="Times New Roman" w:hAnsi="Times New Roman"/>
          <w:b w:val="0"/>
          <w:sz w:val="20"/>
          <w:lang w:val="pt-BR"/>
        </w:rPr>
        <w:t>nas menores proporções de 0,001 e 0,007</w:t>
      </w:r>
      <w:r w:rsidR="00D40953">
        <w:rPr>
          <w:rFonts w:ascii="Times New Roman" w:hAnsi="Times New Roman"/>
          <w:b w:val="0"/>
          <w:sz w:val="20"/>
          <w:lang w:val="pt-BR"/>
        </w:rPr>
        <w:t xml:space="preserve"> K/Cu (mol/mol)</w:t>
      </w:r>
    </w:p>
    <w:p w14:paraId="71CF90B6" w14:textId="77777777" w:rsidR="00991951" w:rsidRDefault="00991951" w:rsidP="00EA4E1B">
      <w:pPr>
        <w:pStyle w:val="BDAbstract"/>
        <w:spacing w:before="0" w:after="0" w:line="240" w:lineRule="auto"/>
        <w:rPr>
          <w:rFonts w:ascii="Times New Roman" w:hAnsi="Times New Roman"/>
          <w:b w:val="0"/>
          <w:sz w:val="20"/>
          <w:lang w:val="pt-BR"/>
        </w:rPr>
      </w:pPr>
    </w:p>
    <w:p w14:paraId="09B41B70" w14:textId="2CBDAC1C"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991951">
        <w:rPr>
          <w:rFonts w:ascii="Times New Roman" w:hAnsi="Times New Roman"/>
          <w:b w:val="0"/>
          <w:i/>
          <w:sz w:val="20"/>
          <w:lang w:val="pt-BR"/>
        </w:rPr>
        <w:t>catálise automotiva, cobre, potássio.</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3A5F1E86" w:rsidR="00EA4E1B" w:rsidRDefault="00EA4E1B" w:rsidP="00EA4E1B">
      <w:pPr>
        <w:pStyle w:val="BDAbstract"/>
        <w:spacing w:before="0" w:after="0" w:line="240" w:lineRule="auto"/>
        <w:rPr>
          <w:rFonts w:ascii="Times New Roman" w:hAnsi="Times New Roman"/>
          <w:b w:val="0"/>
          <w:sz w:val="20"/>
        </w:rPr>
      </w:pPr>
      <w:r w:rsidRPr="00AE70D0">
        <w:rPr>
          <w:rFonts w:ascii="Times New Roman" w:hAnsi="Times New Roman"/>
          <w:b w:val="0"/>
          <w:sz w:val="20"/>
        </w:rPr>
        <w:t xml:space="preserve">ABSTRACT - </w:t>
      </w:r>
      <w:r w:rsidR="00AE70D0" w:rsidRPr="00AE70D0">
        <w:rPr>
          <w:rFonts w:ascii="Times New Roman" w:hAnsi="Times New Roman"/>
          <w:b w:val="0"/>
          <w:sz w:val="20"/>
        </w:rPr>
        <w:t>Emissions from burning fuel in light and heavy vehicle engines is one of the main causes of fuel, which is currently one of the most serious environmental problems on the planet. Three-way catalysts based on noble metals were introduced in vehicles, which have two limitations: the high cost and, at low temperatures, high selectivity to nitrous oxide (N</w:t>
      </w:r>
      <w:r w:rsidR="00AE70D0" w:rsidRPr="00AE70D0">
        <w:rPr>
          <w:rFonts w:ascii="Times New Roman" w:hAnsi="Times New Roman"/>
          <w:b w:val="0"/>
          <w:sz w:val="20"/>
          <w:vertAlign w:val="subscript"/>
        </w:rPr>
        <w:t>2</w:t>
      </w:r>
      <w:r w:rsidR="00AE70D0" w:rsidRPr="00AE70D0">
        <w:rPr>
          <w:rFonts w:ascii="Times New Roman" w:hAnsi="Times New Roman"/>
          <w:b w:val="0"/>
          <w:sz w:val="20"/>
        </w:rPr>
        <w:t xml:space="preserve">O), an important greenhouse gas. In this work, alternative catalysts prepared from copper and aluminum hydrotalcite materials and impregnated with potassium were studied. The formation of the hydrotalcite phase and the </w:t>
      </w:r>
      <w:proofErr w:type="spellStart"/>
      <w:r w:rsidR="00AE70D0" w:rsidRPr="00AE70D0">
        <w:rPr>
          <w:rFonts w:ascii="Times New Roman" w:hAnsi="Times New Roman"/>
          <w:b w:val="0"/>
          <w:sz w:val="20"/>
        </w:rPr>
        <w:t>CuO</w:t>
      </w:r>
      <w:proofErr w:type="spellEnd"/>
      <w:r w:rsidR="00AE70D0" w:rsidRPr="00AE70D0">
        <w:rPr>
          <w:rFonts w:ascii="Times New Roman" w:hAnsi="Times New Roman"/>
          <w:b w:val="0"/>
          <w:sz w:val="20"/>
        </w:rPr>
        <w:t xml:space="preserve"> phase in the catalyst was evidenced by X-ray diffraction (XRD), the redox properties were tested by </w:t>
      </w:r>
      <w:proofErr w:type="gramStart"/>
      <w:r w:rsidR="00AE70D0" w:rsidRPr="00AE70D0">
        <w:rPr>
          <w:rFonts w:ascii="Times New Roman" w:hAnsi="Times New Roman"/>
          <w:b w:val="0"/>
          <w:sz w:val="20"/>
        </w:rPr>
        <w:t>TPR</w:t>
      </w:r>
      <w:proofErr w:type="gramEnd"/>
      <w:r w:rsidR="00AE70D0" w:rsidRPr="00AE70D0">
        <w:rPr>
          <w:rFonts w:ascii="Times New Roman" w:hAnsi="Times New Roman"/>
          <w:b w:val="0"/>
          <w:sz w:val="20"/>
        </w:rPr>
        <w:t xml:space="preserve"> and the electronic promotion was transmitted by TPD-NO. Through the catalytic tests, the formation of more selective catalysts to N</w:t>
      </w:r>
      <w:r w:rsidR="00AE70D0" w:rsidRPr="00822FE1">
        <w:rPr>
          <w:rFonts w:ascii="Times New Roman" w:hAnsi="Times New Roman"/>
          <w:b w:val="0"/>
          <w:sz w:val="20"/>
          <w:vertAlign w:val="subscript"/>
        </w:rPr>
        <w:t xml:space="preserve">2 </w:t>
      </w:r>
      <w:r w:rsidR="00AE70D0" w:rsidRPr="00AE70D0">
        <w:rPr>
          <w:rFonts w:ascii="Times New Roman" w:hAnsi="Times New Roman"/>
          <w:b w:val="0"/>
          <w:sz w:val="20"/>
        </w:rPr>
        <w:t>was confirmed with the addition of potassium, mainly in the smaller proportions of 0</w:t>
      </w:r>
      <w:r w:rsidR="00AE70D0">
        <w:rPr>
          <w:rFonts w:ascii="Times New Roman" w:hAnsi="Times New Roman"/>
          <w:b w:val="0"/>
          <w:sz w:val="20"/>
        </w:rPr>
        <w:t>,</w:t>
      </w:r>
      <w:r w:rsidR="00AE70D0" w:rsidRPr="00AE70D0">
        <w:rPr>
          <w:rFonts w:ascii="Times New Roman" w:hAnsi="Times New Roman"/>
          <w:b w:val="0"/>
          <w:sz w:val="20"/>
        </w:rPr>
        <w:t>001 and 0</w:t>
      </w:r>
      <w:r w:rsidR="00AE70D0">
        <w:rPr>
          <w:rFonts w:ascii="Times New Roman" w:hAnsi="Times New Roman"/>
          <w:b w:val="0"/>
          <w:sz w:val="20"/>
        </w:rPr>
        <w:t>,</w:t>
      </w:r>
      <w:r w:rsidR="00AE70D0" w:rsidRPr="00AE70D0">
        <w:rPr>
          <w:rFonts w:ascii="Times New Roman" w:hAnsi="Times New Roman"/>
          <w:b w:val="0"/>
          <w:sz w:val="20"/>
        </w:rPr>
        <w:t>007 K/Cu (mol/mol)</w:t>
      </w:r>
      <w:r w:rsidR="00AE70D0">
        <w:rPr>
          <w:rFonts w:ascii="Times New Roman" w:hAnsi="Times New Roman"/>
          <w:b w:val="0"/>
          <w:sz w:val="20"/>
        </w:rPr>
        <w:t>.</w:t>
      </w:r>
    </w:p>
    <w:p w14:paraId="2CB43F51" w14:textId="77777777" w:rsidR="00BA33E6" w:rsidRPr="00AE70D0" w:rsidRDefault="00BA33E6" w:rsidP="00EA4E1B">
      <w:pPr>
        <w:pStyle w:val="BDAbstract"/>
        <w:spacing w:before="0" w:after="0" w:line="240" w:lineRule="auto"/>
        <w:rPr>
          <w:rFonts w:ascii="Times New Roman" w:hAnsi="Times New Roman"/>
          <w:b w:val="0"/>
          <w:sz w:val="20"/>
        </w:rPr>
      </w:pPr>
    </w:p>
    <w:p w14:paraId="5F4A84E8" w14:textId="6DEC2868" w:rsidR="00EA4E1B" w:rsidRPr="00EE3F20" w:rsidRDefault="00EA4E1B" w:rsidP="00EA4E1B">
      <w:pPr>
        <w:pStyle w:val="BDAbstract"/>
        <w:spacing w:before="0" w:after="120" w:line="240" w:lineRule="auto"/>
        <w:rPr>
          <w:rFonts w:ascii="Times New Roman" w:hAnsi="Times New Roman"/>
          <w:b w:val="0"/>
          <w:i/>
          <w:sz w:val="20"/>
        </w:rPr>
      </w:pPr>
      <w:r w:rsidRPr="00EE3F20">
        <w:rPr>
          <w:rFonts w:ascii="Times New Roman" w:hAnsi="Times New Roman"/>
          <w:b w:val="0"/>
          <w:i/>
          <w:sz w:val="20"/>
        </w:rPr>
        <w:t>Keywords:</w:t>
      </w:r>
      <w:r w:rsidR="00AE70D0" w:rsidRPr="00EE3F20">
        <w:t xml:space="preserve"> </w:t>
      </w:r>
      <w:r w:rsidR="00AE70D0" w:rsidRPr="00EE3F20">
        <w:rPr>
          <w:rFonts w:ascii="Times New Roman" w:hAnsi="Times New Roman"/>
          <w:b w:val="0"/>
          <w:i/>
          <w:sz w:val="20"/>
        </w:rPr>
        <w:t>automotive catalysis, copper, potassium.</w:t>
      </w:r>
    </w:p>
    <w:bookmarkEnd w:id="1"/>
    <w:p w14:paraId="48D9B0C4" w14:textId="77777777" w:rsidR="00EA4E1B" w:rsidRPr="00EE3F20" w:rsidRDefault="00EA4E1B" w:rsidP="00EA4E1B">
      <w:pPr>
        <w:rPr>
          <w:lang w:val="en-US"/>
        </w:rPr>
        <w:sectPr w:rsidR="00EA4E1B" w:rsidRPr="00EE3F20" w:rsidSect="00EA4E1B">
          <w:headerReference w:type="default" r:id="rId12"/>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4053E656" w14:textId="37B8780D" w:rsidR="00EA4E1B" w:rsidRDefault="00160E50" w:rsidP="00160E50">
      <w:pPr>
        <w:pStyle w:val="TAMainText"/>
        <w:rPr>
          <w:rFonts w:ascii="Times New Roman" w:hAnsi="Times New Roman"/>
          <w:lang w:val="pt-BR"/>
        </w:rPr>
      </w:pPr>
      <w:r w:rsidRPr="00160E50">
        <w:rPr>
          <w:rFonts w:ascii="Times New Roman" w:hAnsi="Times New Roman"/>
          <w:lang w:val="pt-BR"/>
        </w:rPr>
        <w:t>Cerca de 91% de toda a população mundial vive em regiões onde os níveis de qualidade do ar não estão dentro dos limites estabelecidos pela OMS (Organização Mundial de Saúde)</w:t>
      </w:r>
      <w:r w:rsidR="00991951">
        <w:rPr>
          <w:rFonts w:ascii="Times New Roman" w:hAnsi="Times New Roman"/>
          <w:lang w:val="pt-BR"/>
        </w:rPr>
        <w:t xml:space="preserve"> (1). </w:t>
      </w:r>
      <w:r w:rsidRPr="00160E50">
        <w:rPr>
          <w:rFonts w:ascii="Times New Roman" w:hAnsi="Times New Roman"/>
          <w:lang w:val="pt-BR"/>
        </w:rPr>
        <w:t>A poluição do ar causa cerca de 7 milhões de mortes por ano, o que significa 11,6% de todas as mortes contabilizadas no mundo, número muito superior à quantidade de mortes causadas por guerras e outras formas de violência</w:t>
      </w:r>
      <w:r w:rsidR="00991951">
        <w:rPr>
          <w:rFonts w:ascii="Times New Roman" w:hAnsi="Times New Roman"/>
          <w:lang w:val="pt-BR"/>
        </w:rPr>
        <w:t xml:space="preserve"> (2)</w:t>
      </w:r>
      <w:r w:rsidRPr="00160E50">
        <w:rPr>
          <w:rFonts w:ascii="Times New Roman" w:hAnsi="Times New Roman"/>
          <w:lang w:val="pt-BR"/>
        </w:rPr>
        <w:t xml:space="preserve">. Essas mortes são ocasionadas pelas mais diversas enfermidades que estão diretamente ligadas à poluição do ar, como acidentes vasculares cerebrais, doenças cardíacas, câncer de pulmão, doenças respiratórias agudas e crônicas </w:t>
      </w:r>
      <w:r w:rsidR="00991951">
        <w:rPr>
          <w:rFonts w:ascii="Times New Roman" w:hAnsi="Times New Roman"/>
          <w:lang w:val="pt-BR"/>
        </w:rPr>
        <w:t>(</w:t>
      </w:r>
      <w:r w:rsidRPr="00160E50">
        <w:rPr>
          <w:rFonts w:ascii="Times New Roman" w:hAnsi="Times New Roman"/>
          <w:lang w:val="pt-BR"/>
        </w:rPr>
        <w:t>3</w:t>
      </w:r>
      <w:r w:rsidR="00991951">
        <w:rPr>
          <w:rFonts w:ascii="Times New Roman" w:hAnsi="Times New Roman"/>
          <w:lang w:val="pt-BR"/>
        </w:rPr>
        <w:t xml:space="preserve">). </w:t>
      </w:r>
      <w:r w:rsidRPr="00160E50">
        <w:rPr>
          <w:rFonts w:ascii="Times New Roman" w:hAnsi="Times New Roman"/>
          <w:lang w:val="pt-BR"/>
        </w:rPr>
        <w:t xml:space="preserve">  </w:t>
      </w:r>
    </w:p>
    <w:p w14:paraId="0F7F0E51" w14:textId="71FA5698" w:rsidR="00991951" w:rsidRPr="00991951" w:rsidRDefault="00991951" w:rsidP="00991951">
      <w:pPr>
        <w:pStyle w:val="TAMainText"/>
        <w:rPr>
          <w:rFonts w:ascii="Times New Roman" w:hAnsi="Times New Roman"/>
          <w:lang w:val="pt-BR"/>
        </w:rPr>
      </w:pPr>
      <w:r w:rsidRPr="00991951">
        <w:rPr>
          <w:rFonts w:ascii="Times New Roman" w:hAnsi="Times New Roman"/>
          <w:lang w:val="pt-BR"/>
        </w:rPr>
        <w:t xml:space="preserve">Os gases de exaustão veicular, formados logo após à queima do combustível, são lançados no ar pelo sistema de escapamento. Neste grupo de poluentes estão o monóxido </w:t>
      </w:r>
      <w:r w:rsidRPr="00991951">
        <w:rPr>
          <w:rFonts w:ascii="Times New Roman" w:hAnsi="Times New Roman"/>
          <w:lang w:val="pt-BR"/>
        </w:rPr>
        <w:t>de carbono (CO), os óxidos de nitrogênio (</w:t>
      </w:r>
      <w:proofErr w:type="spellStart"/>
      <w:r w:rsidRPr="00991951">
        <w:rPr>
          <w:rFonts w:ascii="Times New Roman" w:hAnsi="Times New Roman"/>
          <w:lang w:val="pt-BR"/>
        </w:rPr>
        <w:t>NOx</w:t>
      </w:r>
      <w:proofErr w:type="spellEnd"/>
      <w:r w:rsidRPr="00991951">
        <w:rPr>
          <w:rFonts w:ascii="Times New Roman" w:hAnsi="Times New Roman"/>
          <w:lang w:val="pt-BR"/>
        </w:rPr>
        <w:t>), os hidrocarbonetos não metano (NMHC), os aldeídos totais (RCHO), o dióxido de enxofre (SO</w:t>
      </w:r>
      <w:r w:rsidRPr="00BD3D88">
        <w:rPr>
          <w:rFonts w:ascii="Times New Roman" w:hAnsi="Times New Roman"/>
          <w:vertAlign w:val="subscript"/>
          <w:lang w:val="pt-BR"/>
        </w:rPr>
        <w:t>2</w:t>
      </w:r>
      <w:r w:rsidRPr="00991951">
        <w:rPr>
          <w:rFonts w:ascii="Times New Roman" w:hAnsi="Times New Roman"/>
          <w:lang w:val="pt-BR"/>
        </w:rPr>
        <w:t>), material particulado (MP), dióxido de carbono (CO</w:t>
      </w:r>
      <w:r w:rsidRPr="00BD3D88">
        <w:rPr>
          <w:rFonts w:ascii="Times New Roman" w:hAnsi="Times New Roman"/>
          <w:vertAlign w:val="subscript"/>
          <w:lang w:val="pt-BR"/>
        </w:rPr>
        <w:t>2</w:t>
      </w:r>
      <w:r w:rsidRPr="00991951">
        <w:rPr>
          <w:rFonts w:ascii="Times New Roman" w:hAnsi="Times New Roman"/>
          <w:lang w:val="pt-BR"/>
        </w:rPr>
        <w:t>), metano (CH</w:t>
      </w:r>
      <w:r w:rsidRPr="00BD3D88">
        <w:rPr>
          <w:rFonts w:ascii="Times New Roman" w:hAnsi="Times New Roman"/>
          <w:vertAlign w:val="subscript"/>
          <w:lang w:val="pt-BR"/>
        </w:rPr>
        <w:t>4</w:t>
      </w:r>
      <w:r w:rsidRPr="00991951">
        <w:rPr>
          <w:rFonts w:ascii="Times New Roman" w:hAnsi="Times New Roman"/>
          <w:lang w:val="pt-BR"/>
        </w:rPr>
        <w:t>) e óxido nitroso (N</w:t>
      </w:r>
      <w:r w:rsidRPr="00BD3D88">
        <w:rPr>
          <w:rFonts w:ascii="Times New Roman" w:hAnsi="Times New Roman"/>
          <w:vertAlign w:val="subscript"/>
          <w:lang w:val="pt-BR"/>
        </w:rPr>
        <w:t>2</w:t>
      </w:r>
      <w:r w:rsidRPr="00991951">
        <w:rPr>
          <w:rFonts w:ascii="Times New Roman" w:hAnsi="Times New Roman"/>
          <w:lang w:val="pt-BR"/>
        </w:rPr>
        <w:t xml:space="preserve">O), estes três últimos são cruciais para o efeito estufa </w:t>
      </w:r>
      <w:r w:rsidR="00F32963">
        <w:rPr>
          <w:rFonts w:ascii="Times New Roman" w:hAnsi="Times New Roman"/>
          <w:lang w:val="pt-BR"/>
        </w:rPr>
        <w:t>(</w:t>
      </w:r>
      <w:r w:rsidRPr="00991951">
        <w:rPr>
          <w:rFonts w:ascii="Times New Roman" w:hAnsi="Times New Roman"/>
          <w:lang w:val="pt-BR"/>
        </w:rPr>
        <w:t>4</w:t>
      </w:r>
      <w:r w:rsidR="00F32963">
        <w:rPr>
          <w:rFonts w:ascii="Times New Roman" w:hAnsi="Times New Roman"/>
          <w:lang w:val="pt-BR"/>
        </w:rPr>
        <w:t>)</w:t>
      </w:r>
      <w:r w:rsidRPr="00991951">
        <w:rPr>
          <w:rFonts w:ascii="Times New Roman" w:hAnsi="Times New Roman"/>
          <w:lang w:val="pt-BR"/>
        </w:rPr>
        <w:t xml:space="preserve">. </w:t>
      </w:r>
    </w:p>
    <w:p w14:paraId="7E577818" w14:textId="0367885F" w:rsidR="00991951" w:rsidRDefault="00991951" w:rsidP="00991951">
      <w:pPr>
        <w:pStyle w:val="TAMainText"/>
        <w:rPr>
          <w:rFonts w:ascii="Times New Roman" w:hAnsi="Times New Roman"/>
          <w:lang w:val="pt-BR"/>
        </w:rPr>
      </w:pPr>
      <w:r w:rsidRPr="00991951">
        <w:rPr>
          <w:rFonts w:ascii="Times New Roman" w:hAnsi="Times New Roman"/>
          <w:lang w:val="pt-BR"/>
        </w:rPr>
        <w:t xml:space="preserve">O uso de catalisadores nos automóveis para abater os gases de exaustão oriundos da queima de combustível é algo essencial e indispensável, visto que os motores de combustão interna, tanto do ciclo Otto como do ciclo Diesel, são a maior fonte de poluição do ar em todo o mundo, principalmente nas grandes cidades </w:t>
      </w:r>
      <w:r w:rsidR="00A056CD">
        <w:rPr>
          <w:rFonts w:ascii="Times New Roman" w:hAnsi="Times New Roman"/>
          <w:lang w:val="pt-BR"/>
        </w:rPr>
        <w:t>(5</w:t>
      </w:r>
      <w:r w:rsidRPr="00991951">
        <w:rPr>
          <w:rFonts w:ascii="Times New Roman" w:hAnsi="Times New Roman"/>
          <w:lang w:val="pt-BR"/>
        </w:rPr>
        <w:t>,6</w:t>
      </w:r>
      <w:r w:rsidR="00A056CD">
        <w:rPr>
          <w:rFonts w:ascii="Times New Roman" w:hAnsi="Times New Roman"/>
          <w:lang w:val="pt-BR"/>
        </w:rPr>
        <w:t>)</w:t>
      </w:r>
      <w:r w:rsidRPr="00991951">
        <w:rPr>
          <w:rFonts w:ascii="Times New Roman" w:hAnsi="Times New Roman"/>
          <w:lang w:val="pt-BR"/>
        </w:rPr>
        <w:t xml:space="preserve">. Os catalisadores agem convertendo os poluentes da exaustão em substâncias menos prejudiciais à saúde humana e ao meio ambiente </w:t>
      </w:r>
      <w:r w:rsidR="00A056CD">
        <w:rPr>
          <w:rFonts w:ascii="Times New Roman" w:hAnsi="Times New Roman"/>
          <w:lang w:val="pt-BR"/>
        </w:rPr>
        <w:t>(</w:t>
      </w:r>
      <w:r w:rsidRPr="00991951">
        <w:rPr>
          <w:rFonts w:ascii="Times New Roman" w:hAnsi="Times New Roman"/>
          <w:lang w:val="pt-BR"/>
        </w:rPr>
        <w:t>7</w:t>
      </w:r>
      <w:r w:rsidR="00A056CD">
        <w:rPr>
          <w:rFonts w:ascii="Times New Roman" w:hAnsi="Times New Roman"/>
          <w:lang w:val="pt-BR"/>
        </w:rPr>
        <w:t>)</w:t>
      </w:r>
      <w:r w:rsidRPr="00991951">
        <w:rPr>
          <w:rFonts w:ascii="Times New Roman" w:hAnsi="Times New Roman"/>
          <w:lang w:val="pt-BR"/>
        </w:rPr>
        <w:t>.</w:t>
      </w:r>
    </w:p>
    <w:p w14:paraId="4DA24FD2" w14:textId="6E5975D2" w:rsidR="001959F2" w:rsidRDefault="00BD3D88" w:rsidP="00991951">
      <w:pPr>
        <w:pStyle w:val="TAMainText"/>
        <w:rPr>
          <w:rFonts w:ascii="Times New Roman" w:hAnsi="Times New Roman"/>
          <w:lang w:val="pt-BR"/>
        </w:rPr>
      </w:pPr>
      <w:r>
        <w:rPr>
          <w:rFonts w:ascii="Times New Roman" w:hAnsi="Times New Roman"/>
          <w:lang w:val="pt-BR"/>
        </w:rPr>
        <w:t>O catalisador atualmente usado nos veículos é o de</w:t>
      </w:r>
      <w:r w:rsidR="00991951" w:rsidRPr="00991951">
        <w:rPr>
          <w:rFonts w:ascii="Times New Roman" w:hAnsi="Times New Roman"/>
          <w:lang w:val="pt-BR"/>
        </w:rPr>
        <w:t xml:space="preserve"> três vias (TWC), que convert</w:t>
      </w:r>
      <w:r>
        <w:rPr>
          <w:rFonts w:ascii="Times New Roman" w:hAnsi="Times New Roman"/>
          <w:lang w:val="pt-BR"/>
        </w:rPr>
        <w:t>e</w:t>
      </w:r>
      <w:r w:rsidR="00991951" w:rsidRPr="00991951">
        <w:rPr>
          <w:rFonts w:ascii="Times New Roman" w:hAnsi="Times New Roman"/>
          <w:lang w:val="pt-BR"/>
        </w:rPr>
        <w:t xml:space="preserve"> simultaneamente os três principais poluentes, CO,</w:t>
      </w:r>
      <w:r w:rsidR="0077466A">
        <w:rPr>
          <w:rFonts w:ascii="Times New Roman" w:hAnsi="Times New Roman"/>
          <w:lang w:val="pt-BR"/>
        </w:rPr>
        <w:t xml:space="preserve"> </w:t>
      </w:r>
      <w:r w:rsidR="00991951" w:rsidRPr="00991951">
        <w:rPr>
          <w:rFonts w:ascii="Times New Roman" w:hAnsi="Times New Roman"/>
          <w:lang w:val="pt-BR"/>
        </w:rPr>
        <w:t xml:space="preserve">HC e </w:t>
      </w:r>
      <w:proofErr w:type="spellStart"/>
      <w:r w:rsidR="00991951" w:rsidRPr="00991951">
        <w:rPr>
          <w:rFonts w:ascii="Times New Roman" w:hAnsi="Times New Roman"/>
          <w:lang w:val="pt-BR"/>
        </w:rPr>
        <w:t>N</w:t>
      </w:r>
      <w:r w:rsidR="0095547D">
        <w:rPr>
          <w:rFonts w:ascii="Times New Roman" w:hAnsi="Times New Roman"/>
          <w:lang w:val="pt-BR"/>
        </w:rPr>
        <w:t>O</w:t>
      </w:r>
      <w:r w:rsidR="00991951" w:rsidRPr="00991951">
        <w:rPr>
          <w:rFonts w:ascii="Times New Roman" w:hAnsi="Times New Roman"/>
          <w:lang w:val="pt-BR"/>
        </w:rPr>
        <w:t>x</w:t>
      </w:r>
      <w:proofErr w:type="spellEnd"/>
      <w:r w:rsidR="0095547D">
        <w:rPr>
          <w:rFonts w:ascii="Times New Roman" w:hAnsi="Times New Roman"/>
          <w:lang w:val="pt-BR"/>
        </w:rPr>
        <w:t>,</w:t>
      </w:r>
      <w:r w:rsidR="00991951" w:rsidRPr="00991951">
        <w:rPr>
          <w:rFonts w:ascii="Times New Roman" w:hAnsi="Times New Roman"/>
          <w:lang w:val="pt-BR"/>
        </w:rPr>
        <w:t xml:space="preserve"> opera</w:t>
      </w:r>
      <w:r w:rsidR="0095547D">
        <w:rPr>
          <w:rFonts w:ascii="Times New Roman" w:hAnsi="Times New Roman"/>
          <w:lang w:val="pt-BR"/>
        </w:rPr>
        <w:t>ndo</w:t>
      </w:r>
      <w:r>
        <w:rPr>
          <w:rFonts w:ascii="Times New Roman" w:hAnsi="Times New Roman"/>
          <w:lang w:val="pt-BR"/>
        </w:rPr>
        <w:t xml:space="preserve"> </w:t>
      </w:r>
      <w:r w:rsidR="00991951" w:rsidRPr="00991951">
        <w:rPr>
          <w:rFonts w:ascii="Times New Roman" w:hAnsi="Times New Roman"/>
          <w:lang w:val="pt-BR"/>
        </w:rPr>
        <w:t xml:space="preserve">com a razão </w:t>
      </w:r>
      <w:r w:rsidR="00991951" w:rsidRPr="00991951">
        <w:rPr>
          <w:rFonts w:ascii="Times New Roman" w:hAnsi="Times New Roman"/>
          <w:lang w:val="pt-BR"/>
        </w:rPr>
        <w:lastRenderedPageBreak/>
        <w:t xml:space="preserve">ar/combustível próxima à estequiométrica. Os metais mais usados como fase ativa </w:t>
      </w:r>
      <w:r>
        <w:rPr>
          <w:rFonts w:ascii="Times New Roman" w:hAnsi="Times New Roman"/>
          <w:lang w:val="pt-BR"/>
        </w:rPr>
        <w:t xml:space="preserve">são </w:t>
      </w:r>
      <w:r w:rsidR="0095547D">
        <w:rPr>
          <w:rFonts w:ascii="Times New Roman" w:hAnsi="Times New Roman"/>
          <w:lang w:val="pt-BR"/>
        </w:rPr>
        <w:t xml:space="preserve">paládio, </w:t>
      </w:r>
      <w:r w:rsidR="00991951" w:rsidRPr="00991951">
        <w:rPr>
          <w:rFonts w:ascii="Times New Roman" w:hAnsi="Times New Roman"/>
          <w:lang w:val="pt-BR"/>
        </w:rPr>
        <w:t xml:space="preserve">platina e ródio e este último </w:t>
      </w:r>
      <w:r w:rsidR="0095547D">
        <w:rPr>
          <w:rFonts w:ascii="Times New Roman" w:hAnsi="Times New Roman"/>
          <w:lang w:val="pt-BR"/>
        </w:rPr>
        <w:t>tem sido</w:t>
      </w:r>
      <w:r w:rsidR="0095547D" w:rsidRPr="00991951">
        <w:rPr>
          <w:rFonts w:ascii="Times New Roman" w:hAnsi="Times New Roman"/>
          <w:lang w:val="pt-BR"/>
        </w:rPr>
        <w:t xml:space="preserve"> </w:t>
      </w:r>
      <w:r w:rsidR="00991951" w:rsidRPr="00991951">
        <w:rPr>
          <w:rFonts w:ascii="Times New Roman" w:hAnsi="Times New Roman"/>
          <w:lang w:val="pt-BR"/>
        </w:rPr>
        <w:t xml:space="preserve">o principal responsável pela redução dos </w:t>
      </w:r>
      <w:proofErr w:type="spellStart"/>
      <w:r w:rsidR="00991951" w:rsidRPr="00991951">
        <w:rPr>
          <w:rFonts w:ascii="Times New Roman" w:hAnsi="Times New Roman"/>
          <w:lang w:val="pt-BR"/>
        </w:rPr>
        <w:t>NOx</w:t>
      </w:r>
      <w:proofErr w:type="spellEnd"/>
      <w:r w:rsidR="00991951" w:rsidRPr="00991951">
        <w:rPr>
          <w:rFonts w:ascii="Times New Roman" w:hAnsi="Times New Roman"/>
          <w:lang w:val="pt-BR"/>
        </w:rPr>
        <w:t xml:space="preserve">. </w:t>
      </w:r>
      <w:r w:rsidR="0095547D">
        <w:rPr>
          <w:rFonts w:ascii="Times New Roman" w:hAnsi="Times New Roman"/>
          <w:lang w:val="pt-BR"/>
        </w:rPr>
        <w:t xml:space="preserve">Porém, a </w:t>
      </w:r>
      <w:r w:rsidR="0095547D" w:rsidRPr="00991951">
        <w:rPr>
          <w:rFonts w:ascii="Times New Roman" w:hAnsi="Times New Roman"/>
          <w:lang w:val="pt-BR"/>
        </w:rPr>
        <w:t>pouca abundância d</w:t>
      </w:r>
      <w:r w:rsidR="0095547D">
        <w:rPr>
          <w:rFonts w:ascii="Times New Roman" w:hAnsi="Times New Roman"/>
          <w:lang w:val="pt-BR"/>
        </w:rPr>
        <w:t>esses metais</w:t>
      </w:r>
      <w:r w:rsidR="0095547D" w:rsidRPr="00991951">
        <w:rPr>
          <w:rFonts w:ascii="Times New Roman" w:hAnsi="Times New Roman"/>
          <w:lang w:val="pt-BR"/>
        </w:rPr>
        <w:t xml:space="preserve">, </w:t>
      </w:r>
      <w:r w:rsidR="0095547D">
        <w:rPr>
          <w:rFonts w:ascii="Times New Roman" w:hAnsi="Times New Roman"/>
          <w:lang w:val="pt-BR"/>
        </w:rPr>
        <w:t>seu</w:t>
      </w:r>
      <w:r w:rsidR="0095547D" w:rsidRPr="00991951">
        <w:rPr>
          <w:rFonts w:ascii="Times New Roman" w:hAnsi="Times New Roman"/>
          <w:lang w:val="pt-BR"/>
        </w:rPr>
        <w:t xml:space="preserve"> alto custo e a tendência a formar N</w:t>
      </w:r>
      <w:r w:rsidR="0095547D" w:rsidRPr="00A056CD">
        <w:rPr>
          <w:rFonts w:ascii="Times New Roman" w:hAnsi="Times New Roman"/>
          <w:vertAlign w:val="subscript"/>
          <w:lang w:val="pt-BR"/>
        </w:rPr>
        <w:t>2</w:t>
      </w:r>
      <w:r w:rsidR="0095547D" w:rsidRPr="00991951">
        <w:rPr>
          <w:rFonts w:ascii="Times New Roman" w:hAnsi="Times New Roman"/>
          <w:lang w:val="pt-BR"/>
        </w:rPr>
        <w:t xml:space="preserve">O, </w:t>
      </w:r>
      <w:r w:rsidR="001959F2">
        <w:rPr>
          <w:rFonts w:ascii="Times New Roman" w:hAnsi="Times New Roman"/>
          <w:lang w:val="pt-BR"/>
        </w:rPr>
        <w:t>intensificaram</w:t>
      </w:r>
      <w:r w:rsidR="0095547D" w:rsidRPr="00991951">
        <w:rPr>
          <w:rFonts w:ascii="Times New Roman" w:hAnsi="Times New Roman"/>
          <w:lang w:val="pt-BR"/>
        </w:rPr>
        <w:t xml:space="preserve"> a busca por catalisadores alternativos </w:t>
      </w:r>
      <w:r w:rsidR="0095547D">
        <w:rPr>
          <w:rFonts w:ascii="Times New Roman" w:hAnsi="Times New Roman"/>
          <w:lang w:val="pt-BR"/>
        </w:rPr>
        <w:t>(</w:t>
      </w:r>
      <w:r w:rsidR="0093521A">
        <w:rPr>
          <w:rFonts w:ascii="Times New Roman" w:hAnsi="Times New Roman"/>
          <w:lang w:val="pt-BR"/>
        </w:rPr>
        <w:t>8</w:t>
      </w:r>
      <w:r w:rsidR="0095547D">
        <w:rPr>
          <w:rFonts w:ascii="Times New Roman" w:hAnsi="Times New Roman"/>
          <w:lang w:val="pt-BR"/>
        </w:rPr>
        <w:t>)</w:t>
      </w:r>
      <w:r w:rsidR="0095547D" w:rsidRPr="00991951">
        <w:rPr>
          <w:rFonts w:ascii="Times New Roman" w:hAnsi="Times New Roman"/>
          <w:lang w:val="pt-BR"/>
        </w:rPr>
        <w:t xml:space="preserve">. </w:t>
      </w:r>
    </w:p>
    <w:p w14:paraId="5ACCF3FF" w14:textId="2A707E82" w:rsidR="001959F2" w:rsidRPr="00991951" w:rsidRDefault="0095547D" w:rsidP="001959F2">
      <w:pPr>
        <w:pStyle w:val="TAMainText"/>
        <w:spacing w:line="240" w:lineRule="auto"/>
        <w:rPr>
          <w:rFonts w:ascii="Times New Roman" w:hAnsi="Times New Roman"/>
          <w:lang w:val="pt-BR"/>
        </w:rPr>
      </w:pPr>
      <w:r w:rsidRPr="00991951">
        <w:rPr>
          <w:rFonts w:ascii="Times New Roman" w:hAnsi="Times New Roman"/>
          <w:lang w:val="pt-BR"/>
        </w:rPr>
        <w:t>Muitos estudos focam em metais de transição como substitutos, a fim de obter sistemas mais ativos, seletivos e de menor custo.</w:t>
      </w:r>
      <w:r w:rsidR="001959F2" w:rsidRPr="001959F2">
        <w:rPr>
          <w:rFonts w:ascii="Times New Roman" w:hAnsi="Times New Roman"/>
          <w:lang w:val="pt-BR"/>
        </w:rPr>
        <w:t xml:space="preserve"> </w:t>
      </w:r>
      <w:r w:rsidR="001959F2" w:rsidRPr="00991951">
        <w:rPr>
          <w:rFonts w:ascii="Times New Roman" w:hAnsi="Times New Roman"/>
          <w:lang w:val="pt-BR"/>
        </w:rPr>
        <w:t xml:space="preserve">Um desses é o cobre, um dos metais de transição com a melhor atividade na reação de redução do NO pelo CO, </w:t>
      </w:r>
      <w:r w:rsidR="001959F2">
        <w:rPr>
          <w:rFonts w:ascii="Times New Roman" w:hAnsi="Times New Roman"/>
          <w:lang w:val="pt-BR"/>
        </w:rPr>
        <w:t xml:space="preserve">como </w:t>
      </w:r>
      <w:r w:rsidR="001959F2" w:rsidRPr="00991951">
        <w:rPr>
          <w:rFonts w:ascii="Times New Roman" w:hAnsi="Times New Roman"/>
          <w:lang w:val="pt-BR"/>
        </w:rPr>
        <w:t>por exemplo</w:t>
      </w:r>
      <w:r w:rsidR="001959F2">
        <w:rPr>
          <w:rFonts w:ascii="Times New Roman" w:hAnsi="Times New Roman"/>
          <w:lang w:val="pt-BR"/>
        </w:rPr>
        <w:t xml:space="preserve"> c</w:t>
      </w:r>
      <w:r w:rsidR="001959F2" w:rsidRPr="00DA7279">
        <w:rPr>
          <w:rFonts w:ascii="Times New Roman" w:hAnsi="Times New Roman"/>
          <w:lang w:val="pt-BR"/>
        </w:rPr>
        <w:t>atalisadores de Cu/ZrO</w:t>
      </w:r>
      <w:r w:rsidR="001959F2" w:rsidRPr="00DA7279">
        <w:rPr>
          <w:rFonts w:ascii="Times New Roman" w:hAnsi="Times New Roman"/>
          <w:vertAlign w:val="subscript"/>
          <w:lang w:val="pt-BR"/>
        </w:rPr>
        <w:t>2</w:t>
      </w:r>
      <w:r w:rsidR="001959F2" w:rsidRPr="00DA7279">
        <w:rPr>
          <w:rFonts w:ascii="Times New Roman" w:hAnsi="Times New Roman"/>
          <w:lang w:val="pt-BR"/>
        </w:rPr>
        <w:t xml:space="preserve"> e Cu-Fe</w:t>
      </w:r>
      <w:r w:rsidR="001959F2" w:rsidRPr="00DA7279">
        <w:rPr>
          <w:rFonts w:ascii="Times New Roman" w:hAnsi="Times New Roman"/>
          <w:vertAlign w:val="subscript"/>
          <w:lang w:val="pt-BR"/>
        </w:rPr>
        <w:t>2</w:t>
      </w:r>
      <w:r w:rsidR="001959F2" w:rsidRPr="00DA7279">
        <w:rPr>
          <w:rFonts w:ascii="Times New Roman" w:hAnsi="Times New Roman"/>
          <w:lang w:val="pt-BR"/>
        </w:rPr>
        <w:t>O</w:t>
      </w:r>
      <w:r w:rsidR="001959F2" w:rsidRPr="00DA7279">
        <w:rPr>
          <w:rFonts w:ascii="Times New Roman" w:hAnsi="Times New Roman"/>
          <w:vertAlign w:val="subscript"/>
          <w:lang w:val="pt-BR"/>
        </w:rPr>
        <w:t>3</w:t>
      </w:r>
      <w:r w:rsidR="001959F2" w:rsidRPr="00DA7279">
        <w:rPr>
          <w:rFonts w:ascii="Times New Roman" w:hAnsi="Times New Roman"/>
          <w:lang w:val="pt-BR"/>
        </w:rPr>
        <w:t xml:space="preserve"> </w:t>
      </w:r>
      <w:r w:rsidR="001959F2">
        <w:rPr>
          <w:rFonts w:ascii="Times New Roman" w:hAnsi="Times New Roman"/>
          <w:lang w:val="pt-BR"/>
        </w:rPr>
        <w:t xml:space="preserve">que </w:t>
      </w:r>
      <w:r w:rsidR="001959F2" w:rsidRPr="00DA7279">
        <w:rPr>
          <w:rFonts w:ascii="Times New Roman" w:hAnsi="Times New Roman"/>
          <w:lang w:val="pt-BR"/>
        </w:rPr>
        <w:t>apresentaram alta atividade e seletividade para a reação de redução do NO pelo CO para N</w:t>
      </w:r>
      <w:r w:rsidR="001959F2" w:rsidRPr="00EE3F20">
        <w:rPr>
          <w:rFonts w:ascii="Times New Roman" w:hAnsi="Times New Roman"/>
          <w:vertAlign w:val="subscript"/>
          <w:lang w:val="pt-BR"/>
        </w:rPr>
        <w:t>2</w:t>
      </w:r>
      <w:r w:rsidR="001959F2" w:rsidRPr="00DA7279">
        <w:rPr>
          <w:rFonts w:ascii="Times New Roman" w:hAnsi="Times New Roman"/>
          <w:lang w:val="pt-BR"/>
        </w:rPr>
        <w:t xml:space="preserve"> a uma temperatura aproximada de 170ºC</w:t>
      </w:r>
      <w:r w:rsidR="001959F2">
        <w:rPr>
          <w:rFonts w:ascii="Times New Roman" w:hAnsi="Times New Roman"/>
          <w:lang w:val="pt-BR"/>
        </w:rPr>
        <w:t xml:space="preserve"> (</w:t>
      </w:r>
      <w:r w:rsidR="0093521A">
        <w:rPr>
          <w:rFonts w:ascii="Times New Roman" w:hAnsi="Times New Roman"/>
          <w:lang w:val="pt-BR"/>
        </w:rPr>
        <w:t>9</w:t>
      </w:r>
      <w:r w:rsidR="001959F2">
        <w:rPr>
          <w:rFonts w:ascii="Times New Roman" w:hAnsi="Times New Roman"/>
          <w:lang w:val="pt-BR"/>
        </w:rPr>
        <w:t>)</w:t>
      </w:r>
      <w:r w:rsidR="001959F2" w:rsidRPr="00991951">
        <w:rPr>
          <w:rFonts w:ascii="Times New Roman" w:hAnsi="Times New Roman"/>
          <w:lang w:val="pt-BR"/>
        </w:rPr>
        <w:t xml:space="preserve">. </w:t>
      </w:r>
    </w:p>
    <w:p w14:paraId="3A10D3C2" w14:textId="04E51965" w:rsidR="0027181E" w:rsidRDefault="0027181E" w:rsidP="00991951">
      <w:pPr>
        <w:pStyle w:val="TAMainText"/>
        <w:rPr>
          <w:rFonts w:ascii="Times New Roman" w:hAnsi="Times New Roman"/>
          <w:lang w:val="pt-BR"/>
        </w:rPr>
      </w:pPr>
      <w:r w:rsidRPr="0027181E">
        <w:rPr>
          <w:rFonts w:ascii="Times New Roman" w:hAnsi="Times New Roman"/>
          <w:lang w:val="pt-BR"/>
        </w:rPr>
        <w:t xml:space="preserve">A reação de redução catalítica do NO </w:t>
      </w:r>
      <w:r w:rsidR="0095547D">
        <w:rPr>
          <w:rFonts w:ascii="Times New Roman" w:hAnsi="Times New Roman"/>
          <w:lang w:val="pt-BR"/>
        </w:rPr>
        <w:t>pelo</w:t>
      </w:r>
      <w:r w:rsidR="0095547D" w:rsidRPr="0027181E">
        <w:rPr>
          <w:rFonts w:ascii="Times New Roman" w:hAnsi="Times New Roman"/>
          <w:lang w:val="pt-BR"/>
        </w:rPr>
        <w:t xml:space="preserve"> </w:t>
      </w:r>
      <w:r w:rsidRPr="0027181E">
        <w:rPr>
          <w:rFonts w:ascii="Times New Roman" w:hAnsi="Times New Roman"/>
          <w:lang w:val="pt-BR"/>
        </w:rPr>
        <w:t xml:space="preserve">CO é uma das mais importantes dentre as que ocorrem nos conversores catalíticos dos automóveis, pois as duas substâncias envolvidas são poluentes e seriam eliminadas de uma só vez. Porém, na literatura reporta-se </w:t>
      </w:r>
      <w:r w:rsidR="0095547D">
        <w:rPr>
          <w:rFonts w:ascii="Times New Roman" w:hAnsi="Times New Roman"/>
          <w:lang w:val="pt-BR"/>
        </w:rPr>
        <w:t>à</w:t>
      </w:r>
      <w:r w:rsidR="0095547D" w:rsidRPr="0027181E">
        <w:rPr>
          <w:rFonts w:ascii="Times New Roman" w:hAnsi="Times New Roman"/>
          <w:lang w:val="pt-BR"/>
        </w:rPr>
        <w:t xml:space="preserve"> </w:t>
      </w:r>
      <w:r w:rsidRPr="0027181E">
        <w:rPr>
          <w:rFonts w:ascii="Times New Roman" w:hAnsi="Times New Roman"/>
          <w:lang w:val="pt-BR"/>
        </w:rPr>
        <w:t>formação de quantidades consideráveis de N</w:t>
      </w:r>
      <w:r w:rsidRPr="00A056CD">
        <w:rPr>
          <w:rFonts w:ascii="Times New Roman" w:hAnsi="Times New Roman"/>
          <w:vertAlign w:val="subscript"/>
          <w:lang w:val="pt-BR"/>
        </w:rPr>
        <w:t>2</w:t>
      </w:r>
      <w:r w:rsidRPr="0027181E">
        <w:rPr>
          <w:rFonts w:ascii="Times New Roman" w:hAnsi="Times New Roman"/>
          <w:lang w:val="pt-BR"/>
        </w:rPr>
        <w:t xml:space="preserve">O em temperaturas inferiores a 300°C </w:t>
      </w:r>
      <w:r w:rsidR="00A056CD">
        <w:rPr>
          <w:rFonts w:ascii="Times New Roman" w:hAnsi="Times New Roman"/>
          <w:lang w:val="pt-BR"/>
        </w:rPr>
        <w:t>(</w:t>
      </w:r>
      <w:r w:rsidR="00903005">
        <w:rPr>
          <w:rFonts w:ascii="Times New Roman" w:hAnsi="Times New Roman"/>
          <w:lang w:val="pt-BR"/>
        </w:rPr>
        <w:t>10</w:t>
      </w:r>
      <w:r w:rsidR="00A056CD">
        <w:rPr>
          <w:rFonts w:ascii="Times New Roman" w:hAnsi="Times New Roman"/>
          <w:lang w:val="pt-BR"/>
        </w:rPr>
        <w:t>)</w:t>
      </w:r>
      <w:r w:rsidRPr="0027181E">
        <w:rPr>
          <w:rFonts w:ascii="Times New Roman" w:hAnsi="Times New Roman"/>
          <w:lang w:val="pt-BR"/>
        </w:rPr>
        <w:t xml:space="preserve">.  Assim como a redução com CO, a redução dos </w:t>
      </w:r>
      <w:proofErr w:type="spellStart"/>
      <w:r w:rsidRPr="0027181E">
        <w:rPr>
          <w:rFonts w:ascii="Times New Roman" w:hAnsi="Times New Roman"/>
          <w:lang w:val="pt-BR"/>
        </w:rPr>
        <w:t>NOx</w:t>
      </w:r>
      <w:proofErr w:type="spellEnd"/>
      <w:r w:rsidRPr="0027181E">
        <w:rPr>
          <w:rFonts w:ascii="Times New Roman" w:hAnsi="Times New Roman"/>
          <w:lang w:val="pt-BR"/>
        </w:rPr>
        <w:t xml:space="preserve"> com hidrocarbonetos apresenta-se como uma opção conveniente por eliminar esses dois poluentes. Esta reação produz nitrogênio, dióxido de carbono e água, mas pode haver a formação de monóxido de carbono e</w:t>
      </w:r>
      <w:r w:rsidR="00EE3F20">
        <w:rPr>
          <w:rFonts w:ascii="Times New Roman" w:hAnsi="Times New Roman"/>
          <w:lang w:val="pt-BR"/>
        </w:rPr>
        <w:t xml:space="preserve"> </w:t>
      </w:r>
      <w:r w:rsidR="001959F2">
        <w:rPr>
          <w:rFonts w:ascii="Times New Roman" w:hAnsi="Times New Roman"/>
          <w:lang w:val="pt-BR"/>
        </w:rPr>
        <w:t xml:space="preserve">também de </w:t>
      </w:r>
      <w:r w:rsidRPr="0027181E">
        <w:rPr>
          <w:rFonts w:ascii="Times New Roman" w:hAnsi="Times New Roman"/>
          <w:lang w:val="pt-BR"/>
        </w:rPr>
        <w:t xml:space="preserve">óxido nitroso resultantes da queima incompleta </w:t>
      </w:r>
      <w:r w:rsidR="00A056CD">
        <w:rPr>
          <w:rFonts w:ascii="Times New Roman" w:hAnsi="Times New Roman"/>
          <w:lang w:val="pt-BR"/>
        </w:rPr>
        <w:t>(1</w:t>
      </w:r>
      <w:r w:rsidR="00903005">
        <w:rPr>
          <w:rFonts w:ascii="Times New Roman" w:hAnsi="Times New Roman"/>
          <w:lang w:val="pt-BR"/>
        </w:rPr>
        <w:t>1</w:t>
      </w:r>
      <w:r w:rsidR="00A056CD">
        <w:rPr>
          <w:rFonts w:ascii="Times New Roman" w:hAnsi="Times New Roman"/>
          <w:lang w:val="pt-BR"/>
        </w:rPr>
        <w:t>)</w:t>
      </w:r>
      <w:r w:rsidRPr="0027181E">
        <w:rPr>
          <w:rFonts w:ascii="Times New Roman" w:hAnsi="Times New Roman"/>
          <w:lang w:val="pt-BR"/>
        </w:rPr>
        <w:t>.</w:t>
      </w:r>
    </w:p>
    <w:p w14:paraId="09261349" w14:textId="65F279B4" w:rsidR="00991951" w:rsidRDefault="00991951" w:rsidP="009C7B2E">
      <w:pPr>
        <w:pStyle w:val="TAMainText"/>
        <w:rPr>
          <w:rFonts w:ascii="Times New Roman" w:hAnsi="Times New Roman"/>
          <w:lang w:val="pt-BR"/>
        </w:rPr>
      </w:pPr>
      <w:r w:rsidRPr="00991951">
        <w:rPr>
          <w:rFonts w:ascii="Times New Roman" w:hAnsi="Times New Roman"/>
          <w:lang w:val="pt-BR"/>
        </w:rPr>
        <w:t>Vários tipos de catalisadores com cobre vêm sendo utilizados na catálise, entre eles podem</w:t>
      </w:r>
      <w:r w:rsidR="007468EB">
        <w:rPr>
          <w:rFonts w:ascii="Times New Roman" w:hAnsi="Times New Roman"/>
          <w:lang w:val="pt-BR"/>
        </w:rPr>
        <w:t xml:space="preserve"> </w:t>
      </w:r>
      <w:r w:rsidRPr="00991951">
        <w:rPr>
          <w:rFonts w:ascii="Times New Roman" w:hAnsi="Times New Roman"/>
          <w:lang w:val="pt-BR"/>
        </w:rPr>
        <w:t>citar</w:t>
      </w:r>
      <w:r w:rsidR="007468EB">
        <w:rPr>
          <w:rFonts w:ascii="Times New Roman" w:hAnsi="Times New Roman"/>
          <w:lang w:val="pt-BR"/>
        </w:rPr>
        <w:t>-se</w:t>
      </w:r>
      <w:r w:rsidRPr="00991951">
        <w:rPr>
          <w:rFonts w:ascii="Times New Roman" w:hAnsi="Times New Roman"/>
          <w:lang w:val="pt-BR"/>
        </w:rPr>
        <w:t xml:space="preserve"> os obtidos de precursores do tipo </w:t>
      </w:r>
      <w:proofErr w:type="spellStart"/>
      <w:r w:rsidRPr="00991951">
        <w:rPr>
          <w:rFonts w:ascii="Times New Roman" w:hAnsi="Times New Roman"/>
          <w:lang w:val="pt-BR"/>
        </w:rPr>
        <w:t>hidrotalcita</w:t>
      </w:r>
      <w:proofErr w:type="spellEnd"/>
      <w:r w:rsidRPr="00991951">
        <w:rPr>
          <w:rFonts w:ascii="Times New Roman" w:hAnsi="Times New Roman"/>
          <w:lang w:val="pt-BR"/>
        </w:rPr>
        <w:t xml:space="preserve"> </w:t>
      </w:r>
      <w:r w:rsidR="00A056CD">
        <w:rPr>
          <w:rFonts w:ascii="Times New Roman" w:hAnsi="Times New Roman"/>
          <w:lang w:val="pt-BR"/>
        </w:rPr>
        <w:t>(</w:t>
      </w:r>
      <w:r w:rsidR="00903005">
        <w:rPr>
          <w:rFonts w:ascii="Times New Roman" w:hAnsi="Times New Roman"/>
          <w:lang w:val="pt-BR"/>
        </w:rPr>
        <w:t>9</w:t>
      </w:r>
      <w:r w:rsidR="00A056CD">
        <w:rPr>
          <w:rFonts w:ascii="Times New Roman" w:hAnsi="Times New Roman"/>
          <w:lang w:val="pt-BR"/>
        </w:rPr>
        <w:t xml:space="preserve">). </w:t>
      </w:r>
      <w:r w:rsidRPr="00991951">
        <w:rPr>
          <w:rFonts w:ascii="Times New Roman" w:hAnsi="Times New Roman"/>
          <w:lang w:val="pt-BR"/>
        </w:rPr>
        <w:t>Os compostos tipo hidrotalcita podem ser representados pela seguinte fórmula geral: M</w:t>
      </w:r>
      <w:r w:rsidRPr="005A34A9">
        <w:rPr>
          <w:rFonts w:ascii="Times New Roman" w:hAnsi="Times New Roman"/>
          <w:vertAlign w:val="superscript"/>
          <w:lang w:val="pt-BR"/>
        </w:rPr>
        <w:t>2+</w:t>
      </w:r>
      <w:r w:rsidRPr="005A34A9">
        <w:rPr>
          <w:rFonts w:ascii="Times New Roman" w:hAnsi="Times New Roman"/>
          <w:vertAlign w:val="subscript"/>
          <w:lang w:val="pt-BR"/>
        </w:rPr>
        <w:t>1-x</w:t>
      </w:r>
      <w:r w:rsidRPr="00991951">
        <w:rPr>
          <w:rFonts w:ascii="Times New Roman" w:hAnsi="Times New Roman"/>
          <w:lang w:val="pt-BR"/>
        </w:rPr>
        <w:t xml:space="preserve"> N</w:t>
      </w:r>
      <w:r w:rsidRPr="005A34A9">
        <w:rPr>
          <w:rFonts w:ascii="Times New Roman" w:hAnsi="Times New Roman"/>
          <w:vertAlign w:val="superscript"/>
          <w:lang w:val="pt-BR"/>
        </w:rPr>
        <w:t>3+</w:t>
      </w:r>
      <w:r w:rsidRPr="005A34A9">
        <w:rPr>
          <w:rFonts w:ascii="Times New Roman" w:hAnsi="Times New Roman"/>
          <w:vertAlign w:val="subscript"/>
          <w:lang w:val="pt-BR"/>
        </w:rPr>
        <w:t>x</w:t>
      </w:r>
      <w:r w:rsidRPr="00991951">
        <w:rPr>
          <w:rFonts w:ascii="Times New Roman" w:hAnsi="Times New Roman"/>
          <w:lang w:val="pt-BR"/>
        </w:rPr>
        <w:t>(OH)</w:t>
      </w:r>
      <w:r w:rsidRPr="005A34A9">
        <w:rPr>
          <w:rFonts w:ascii="Times New Roman" w:hAnsi="Times New Roman"/>
          <w:vertAlign w:val="subscript"/>
          <w:lang w:val="pt-BR"/>
        </w:rPr>
        <w:t>2</w:t>
      </w:r>
      <w:r w:rsidRPr="00991951">
        <w:rPr>
          <w:rFonts w:ascii="Times New Roman" w:hAnsi="Times New Roman"/>
          <w:lang w:val="pt-BR"/>
        </w:rPr>
        <w:t>(</w:t>
      </w:r>
      <w:proofErr w:type="spellStart"/>
      <w:r w:rsidR="002C2700">
        <w:rPr>
          <w:rFonts w:ascii="Times New Roman" w:hAnsi="Times New Roman"/>
          <w:lang w:val="pt-BR"/>
        </w:rPr>
        <w:t>A</w:t>
      </w:r>
      <w:r w:rsidR="002C2700" w:rsidRPr="002C2700">
        <w:rPr>
          <w:rFonts w:ascii="Times New Roman" w:hAnsi="Times New Roman"/>
          <w:vertAlign w:val="superscript"/>
          <w:lang w:val="pt-BR"/>
        </w:rPr>
        <w:t>n</w:t>
      </w:r>
      <w:proofErr w:type="spellEnd"/>
      <w:r w:rsidR="002C2700" w:rsidRPr="002C2700">
        <w:rPr>
          <w:rFonts w:ascii="Times New Roman" w:hAnsi="Times New Roman"/>
          <w:vertAlign w:val="superscript"/>
          <w:lang w:val="pt-BR"/>
        </w:rPr>
        <w:t>-</w:t>
      </w:r>
      <w:r w:rsidR="002C2700" w:rsidRPr="002C2700">
        <w:rPr>
          <w:rFonts w:ascii="Times New Roman" w:hAnsi="Times New Roman"/>
          <w:vertAlign w:val="subscript"/>
          <w:lang w:val="pt-BR"/>
        </w:rPr>
        <w:t>x/n</w:t>
      </w:r>
      <w:proofErr w:type="gramStart"/>
      <w:r w:rsidRPr="00991951">
        <w:rPr>
          <w:rFonts w:ascii="Times New Roman" w:hAnsi="Times New Roman"/>
          <w:lang w:val="pt-BR"/>
        </w:rPr>
        <w:t>).nH</w:t>
      </w:r>
      <w:proofErr w:type="gramEnd"/>
      <w:r w:rsidRPr="002C2700">
        <w:rPr>
          <w:rFonts w:ascii="Times New Roman" w:hAnsi="Times New Roman"/>
          <w:vertAlign w:val="subscript"/>
          <w:lang w:val="pt-BR"/>
        </w:rPr>
        <w:t>2</w:t>
      </w:r>
      <w:r w:rsidRPr="00991951">
        <w:rPr>
          <w:rFonts w:ascii="Times New Roman" w:hAnsi="Times New Roman"/>
          <w:lang w:val="pt-BR"/>
        </w:rPr>
        <w:t>O, onde M</w:t>
      </w:r>
      <w:r w:rsidRPr="002C2700">
        <w:rPr>
          <w:rFonts w:ascii="Times New Roman" w:hAnsi="Times New Roman"/>
          <w:vertAlign w:val="superscript"/>
          <w:lang w:val="pt-BR"/>
        </w:rPr>
        <w:t>2+</w:t>
      </w:r>
      <w:r w:rsidRPr="00991951">
        <w:rPr>
          <w:rFonts w:ascii="Times New Roman" w:hAnsi="Times New Roman"/>
          <w:lang w:val="pt-BR"/>
        </w:rPr>
        <w:t xml:space="preserve"> é um cátion bivalente, N</w:t>
      </w:r>
      <w:r w:rsidRPr="002C2700">
        <w:rPr>
          <w:rFonts w:ascii="Times New Roman" w:hAnsi="Times New Roman"/>
          <w:vertAlign w:val="superscript"/>
          <w:lang w:val="pt-BR"/>
        </w:rPr>
        <w:t>3+</w:t>
      </w:r>
      <w:r w:rsidRPr="00991951">
        <w:rPr>
          <w:rFonts w:ascii="Times New Roman" w:hAnsi="Times New Roman"/>
          <w:lang w:val="pt-BR"/>
        </w:rPr>
        <w:t xml:space="preserve"> é um cátion trivalente e </w:t>
      </w:r>
      <w:proofErr w:type="spellStart"/>
      <w:r w:rsidRPr="00991951">
        <w:rPr>
          <w:rFonts w:ascii="Times New Roman" w:hAnsi="Times New Roman"/>
          <w:lang w:val="pt-BR"/>
        </w:rPr>
        <w:t>A</w:t>
      </w:r>
      <w:r w:rsidRPr="002C2700">
        <w:rPr>
          <w:rFonts w:ascii="Times New Roman" w:hAnsi="Times New Roman"/>
          <w:vertAlign w:val="superscript"/>
          <w:lang w:val="pt-BR"/>
        </w:rPr>
        <w:t>n</w:t>
      </w:r>
      <w:proofErr w:type="spellEnd"/>
      <w:r w:rsidRPr="002C2700">
        <w:rPr>
          <w:rFonts w:ascii="Times New Roman" w:hAnsi="Times New Roman"/>
          <w:vertAlign w:val="superscript"/>
          <w:lang w:val="pt-BR"/>
        </w:rPr>
        <w:t>-</w:t>
      </w:r>
      <w:r w:rsidRPr="00991951">
        <w:rPr>
          <w:rFonts w:ascii="Times New Roman" w:hAnsi="Times New Roman"/>
          <w:lang w:val="pt-BR"/>
        </w:rPr>
        <w:t xml:space="preserve"> é o ânion </w:t>
      </w:r>
      <w:proofErr w:type="spellStart"/>
      <w:r w:rsidRPr="00991951">
        <w:rPr>
          <w:rFonts w:ascii="Times New Roman" w:hAnsi="Times New Roman"/>
          <w:lang w:val="pt-BR"/>
        </w:rPr>
        <w:t>interlamelar</w:t>
      </w:r>
      <w:proofErr w:type="spellEnd"/>
      <w:r w:rsidRPr="00991951">
        <w:rPr>
          <w:rFonts w:ascii="Times New Roman" w:hAnsi="Times New Roman"/>
          <w:lang w:val="pt-BR"/>
        </w:rPr>
        <w:t xml:space="preserve"> com carga -n, x indica a relação N</w:t>
      </w:r>
      <w:r w:rsidRPr="002C2700">
        <w:rPr>
          <w:rFonts w:ascii="Times New Roman" w:hAnsi="Times New Roman"/>
          <w:vertAlign w:val="superscript"/>
          <w:lang w:val="pt-BR"/>
        </w:rPr>
        <w:t>3+</w:t>
      </w:r>
      <w:r w:rsidRPr="00991951">
        <w:rPr>
          <w:rFonts w:ascii="Times New Roman" w:hAnsi="Times New Roman"/>
          <w:lang w:val="pt-BR"/>
        </w:rPr>
        <w:t>/(M</w:t>
      </w:r>
      <w:r w:rsidRPr="002C2700">
        <w:rPr>
          <w:rFonts w:ascii="Times New Roman" w:hAnsi="Times New Roman"/>
          <w:vertAlign w:val="superscript"/>
          <w:lang w:val="pt-BR"/>
        </w:rPr>
        <w:t>2+</w:t>
      </w:r>
      <w:r w:rsidRPr="00991951">
        <w:rPr>
          <w:rFonts w:ascii="Times New Roman" w:hAnsi="Times New Roman"/>
          <w:lang w:val="pt-BR"/>
        </w:rPr>
        <w:t>+ N</w:t>
      </w:r>
      <w:r w:rsidRPr="002C2700">
        <w:rPr>
          <w:rFonts w:ascii="Times New Roman" w:hAnsi="Times New Roman"/>
          <w:vertAlign w:val="superscript"/>
          <w:lang w:val="pt-BR"/>
        </w:rPr>
        <w:t>3+</w:t>
      </w:r>
      <w:r w:rsidRPr="00991951">
        <w:rPr>
          <w:rFonts w:ascii="Times New Roman" w:hAnsi="Times New Roman"/>
          <w:lang w:val="pt-BR"/>
        </w:rPr>
        <w:t xml:space="preserve">) e n é a água de cristalização </w:t>
      </w:r>
      <w:r w:rsidR="00A056CD">
        <w:rPr>
          <w:rFonts w:ascii="Times New Roman" w:hAnsi="Times New Roman"/>
          <w:lang w:val="pt-BR"/>
        </w:rPr>
        <w:t>(</w:t>
      </w:r>
      <w:r w:rsidR="00903005">
        <w:rPr>
          <w:rFonts w:ascii="Times New Roman" w:hAnsi="Times New Roman"/>
          <w:lang w:val="pt-BR"/>
        </w:rPr>
        <w:t>12</w:t>
      </w:r>
      <w:r w:rsidR="002F674D">
        <w:rPr>
          <w:rFonts w:ascii="Times New Roman" w:hAnsi="Times New Roman"/>
          <w:lang w:val="pt-BR"/>
        </w:rPr>
        <w:t>,13</w:t>
      </w:r>
      <w:r w:rsidR="00A056CD">
        <w:rPr>
          <w:rFonts w:ascii="Times New Roman" w:hAnsi="Times New Roman"/>
          <w:lang w:val="pt-BR"/>
        </w:rPr>
        <w:t>)</w:t>
      </w:r>
      <w:r w:rsidRPr="00991951">
        <w:rPr>
          <w:rFonts w:ascii="Times New Roman" w:hAnsi="Times New Roman"/>
          <w:lang w:val="pt-BR"/>
        </w:rPr>
        <w:t xml:space="preserve">. Estes materiais, quando calcinados em temperaturas acima de 400°C, perdem sua estrutura característica e dão origem a óxidos mistos que podem ser utilizados como precursores ou suportes de catalisadores devido às suas propriedades texturais, básicas e </w:t>
      </w:r>
      <w:proofErr w:type="spellStart"/>
      <w:r w:rsidRPr="00991951">
        <w:rPr>
          <w:rFonts w:ascii="Times New Roman" w:hAnsi="Times New Roman"/>
          <w:lang w:val="pt-BR"/>
        </w:rPr>
        <w:t>oxirredutoras</w:t>
      </w:r>
      <w:proofErr w:type="spellEnd"/>
      <w:r w:rsidRPr="00991951">
        <w:rPr>
          <w:rFonts w:ascii="Times New Roman" w:hAnsi="Times New Roman"/>
          <w:lang w:val="pt-BR"/>
        </w:rPr>
        <w:t xml:space="preserve"> </w:t>
      </w:r>
      <w:r w:rsidR="00A056CD">
        <w:rPr>
          <w:rFonts w:ascii="Times New Roman" w:hAnsi="Times New Roman"/>
          <w:lang w:val="pt-BR"/>
        </w:rPr>
        <w:t>(1</w:t>
      </w:r>
      <w:r w:rsidR="002F674D">
        <w:rPr>
          <w:rFonts w:ascii="Times New Roman" w:hAnsi="Times New Roman"/>
          <w:lang w:val="pt-BR"/>
        </w:rPr>
        <w:t>4,15</w:t>
      </w:r>
      <w:r w:rsidR="00A056CD">
        <w:rPr>
          <w:rFonts w:ascii="Times New Roman" w:hAnsi="Times New Roman"/>
          <w:lang w:val="pt-BR"/>
        </w:rPr>
        <w:t>)</w:t>
      </w:r>
      <w:r w:rsidRPr="00991951">
        <w:rPr>
          <w:rFonts w:ascii="Times New Roman" w:hAnsi="Times New Roman"/>
          <w:lang w:val="pt-BR"/>
        </w:rPr>
        <w:t>.</w:t>
      </w:r>
    </w:p>
    <w:p w14:paraId="20E93A53" w14:textId="39CE7780" w:rsidR="00773EB3" w:rsidRPr="00773EB3" w:rsidRDefault="00773EB3" w:rsidP="009C7B2E">
      <w:pPr>
        <w:pStyle w:val="TAMainText"/>
        <w:rPr>
          <w:rFonts w:ascii="Times New Roman" w:hAnsi="Times New Roman"/>
          <w:lang w:val="pt-BR"/>
        </w:rPr>
      </w:pPr>
      <w:r w:rsidRPr="00773EB3">
        <w:rPr>
          <w:rFonts w:ascii="Times New Roman" w:hAnsi="Times New Roman"/>
          <w:lang w:val="pt-BR"/>
        </w:rPr>
        <w:t xml:space="preserve">Outro fator importante a ser considerado nos catalisadores, além da fase ativa, é o suporte dessa fase ativa. Um bom suporte deve possuir elevada área específica para favorecer boa dispersão da fase ativa, aumentando a atividade específica, além de uma composição adequada, como o uso de alumínio que confere uma maior estabilidade térmica ao sistema </w:t>
      </w:r>
      <w:r>
        <w:rPr>
          <w:rFonts w:ascii="Times New Roman" w:hAnsi="Times New Roman"/>
          <w:lang w:val="pt-BR"/>
        </w:rPr>
        <w:t>(1</w:t>
      </w:r>
      <w:r w:rsidR="002F674D">
        <w:rPr>
          <w:rFonts w:ascii="Times New Roman" w:hAnsi="Times New Roman"/>
          <w:lang w:val="pt-BR"/>
        </w:rPr>
        <w:t>6</w:t>
      </w:r>
      <w:r>
        <w:rPr>
          <w:rFonts w:ascii="Times New Roman" w:hAnsi="Times New Roman"/>
          <w:lang w:val="pt-BR"/>
        </w:rPr>
        <w:t>)</w:t>
      </w:r>
    </w:p>
    <w:p w14:paraId="0B22A699" w14:textId="7E8795FA" w:rsidR="00991951" w:rsidRPr="00991951" w:rsidRDefault="00991951" w:rsidP="00991951">
      <w:pPr>
        <w:pStyle w:val="TAMainText"/>
        <w:rPr>
          <w:rFonts w:ascii="Times New Roman" w:hAnsi="Times New Roman"/>
          <w:lang w:val="pt-BR"/>
        </w:rPr>
      </w:pPr>
      <w:r w:rsidRPr="00991951">
        <w:rPr>
          <w:rFonts w:ascii="Times New Roman" w:hAnsi="Times New Roman"/>
          <w:lang w:val="pt-BR"/>
        </w:rPr>
        <w:t>A adição de promotores pode trazer melhorias para o catalisador, como por exemplo aument</w:t>
      </w:r>
      <w:r w:rsidR="004F5C79">
        <w:rPr>
          <w:rFonts w:ascii="Times New Roman" w:hAnsi="Times New Roman"/>
          <w:lang w:val="pt-BR"/>
        </w:rPr>
        <w:t>o</w:t>
      </w:r>
      <w:r w:rsidRPr="00991951">
        <w:rPr>
          <w:rFonts w:ascii="Times New Roman" w:hAnsi="Times New Roman"/>
          <w:lang w:val="pt-BR"/>
        </w:rPr>
        <w:t xml:space="preserve"> </w:t>
      </w:r>
      <w:r w:rsidR="004F5C79">
        <w:rPr>
          <w:rFonts w:ascii="Times New Roman" w:hAnsi="Times New Roman"/>
          <w:lang w:val="pt-BR"/>
        </w:rPr>
        <w:t>d</w:t>
      </w:r>
      <w:r w:rsidRPr="00991951">
        <w:rPr>
          <w:rFonts w:ascii="Times New Roman" w:hAnsi="Times New Roman"/>
          <w:lang w:val="pt-BR"/>
        </w:rPr>
        <w:t xml:space="preserve">a atividade catalítica, </w:t>
      </w:r>
      <w:r w:rsidR="004F5C79">
        <w:rPr>
          <w:rFonts w:ascii="Times New Roman" w:hAnsi="Times New Roman"/>
          <w:lang w:val="pt-BR"/>
        </w:rPr>
        <w:t>d</w:t>
      </w:r>
      <w:r w:rsidRPr="00991951">
        <w:rPr>
          <w:rFonts w:ascii="Times New Roman" w:hAnsi="Times New Roman"/>
          <w:lang w:val="pt-BR"/>
        </w:rPr>
        <w:t xml:space="preserve">a estabilidade e </w:t>
      </w:r>
      <w:r w:rsidR="004F5C79">
        <w:rPr>
          <w:rFonts w:ascii="Times New Roman" w:hAnsi="Times New Roman"/>
          <w:lang w:val="pt-BR"/>
        </w:rPr>
        <w:t>d</w:t>
      </w:r>
      <w:r w:rsidRPr="00991951">
        <w:rPr>
          <w:rFonts w:ascii="Times New Roman" w:hAnsi="Times New Roman"/>
          <w:lang w:val="pt-BR"/>
        </w:rPr>
        <w:t>a seletividade. Os metais alcalinos vêm sendo estudados para esta função de promotores, destacando-se o césio e o potássio</w:t>
      </w:r>
      <w:r w:rsidR="00903005">
        <w:rPr>
          <w:rFonts w:ascii="Times New Roman" w:hAnsi="Times New Roman"/>
          <w:lang w:val="pt-BR"/>
        </w:rPr>
        <w:t xml:space="preserve"> (1</w:t>
      </w:r>
      <w:r w:rsidR="002F674D">
        <w:rPr>
          <w:rFonts w:ascii="Times New Roman" w:hAnsi="Times New Roman"/>
          <w:lang w:val="pt-BR"/>
        </w:rPr>
        <w:t>7</w:t>
      </w:r>
      <w:r w:rsidR="00903005">
        <w:rPr>
          <w:rFonts w:ascii="Times New Roman" w:hAnsi="Times New Roman"/>
          <w:lang w:val="pt-BR"/>
        </w:rPr>
        <w:t>)</w:t>
      </w:r>
      <w:r w:rsidRPr="00991951">
        <w:rPr>
          <w:rFonts w:ascii="Times New Roman" w:hAnsi="Times New Roman"/>
          <w:lang w:val="pt-BR"/>
        </w:rPr>
        <w:t xml:space="preserve">. O potássio pode agir melhorando a redutibilidade dos sítios ativos do catalisador, o que é desejável para as reações de redução de NO </w:t>
      </w:r>
      <w:r w:rsidR="00A056CD">
        <w:rPr>
          <w:rFonts w:ascii="Times New Roman" w:hAnsi="Times New Roman"/>
          <w:lang w:val="pt-BR"/>
        </w:rPr>
        <w:t>(</w:t>
      </w:r>
      <w:r w:rsidR="002F674D">
        <w:rPr>
          <w:rFonts w:ascii="Times New Roman" w:hAnsi="Times New Roman"/>
          <w:lang w:val="pt-BR"/>
        </w:rPr>
        <w:t>15,18</w:t>
      </w:r>
      <w:r w:rsidR="00A056CD">
        <w:rPr>
          <w:rFonts w:ascii="Times New Roman" w:hAnsi="Times New Roman"/>
          <w:lang w:val="pt-BR"/>
        </w:rPr>
        <w:t>)</w:t>
      </w:r>
      <w:r w:rsidRPr="00991951">
        <w:rPr>
          <w:rFonts w:ascii="Times New Roman" w:hAnsi="Times New Roman"/>
          <w:lang w:val="pt-BR"/>
        </w:rPr>
        <w:t xml:space="preserve">. Ele também pode agir através da </w:t>
      </w:r>
      <w:r w:rsidRPr="00991951">
        <w:rPr>
          <w:rFonts w:ascii="Times New Roman" w:hAnsi="Times New Roman"/>
          <w:lang w:val="pt-BR"/>
        </w:rPr>
        <w:t xml:space="preserve">promoção eletrônica, por ser um promotor eletropositivo, aumenta a força de </w:t>
      </w:r>
      <w:proofErr w:type="spellStart"/>
      <w:r w:rsidRPr="00991951">
        <w:rPr>
          <w:rFonts w:ascii="Times New Roman" w:hAnsi="Times New Roman"/>
          <w:lang w:val="pt-BR"/>
        </w:rPr>
        <w:t>quimissorção</w:t>
      </w:r>
      <w:proofErr w:type="spellEnd"/>
      <w:r w:rsidRPr="00991951">
        <w:rPr>
          <w:rFonts w:ascii="Times New Roman" w:hAnsi="Times New Roman"/>
          <w:lang w:val="pt-BR"/>
        </w:rPr>
        <w:t xml:space="preserve"> de aceptores de elétrons, como o NO, </w:t>
      </w:r>
      <w:r w:rsidR="00773EB3">
        <w:rPr>
          <w:rFonts w:ascii="Times New Roman" w:hAnsi="Times New Roman"/>
          <w:lang w:val="pt-BR"/>
        </w:rPr>
        <w:t>favorece sua de</w:t>
      </w:r>
      <w:r w:rsidR="005C3107">
        <w:rPr>
          <w:rFonts w:ascii="Times New Roman" w:hAnsi="Times New Roman"/>
          <w:lang w:val="pt-BR"/>
        </w:rPr>
        <w:t xml:space="preserve">ssorção </w:t>
      </w:r>
      <w:r w:rsidRPr="00991951">
        <w:rPr>
          <w:rFonts w:ascii="Times New Roman" w:hAnsi="Times New Roman"/>
          <w:lang w:val="pt-BR"/>
        </w:rPr>
        <w:t xml:space="preserve">e induz a dissociação dessa molécula </w:t>
      </w:r>
      <w:r w:rsidR="00902DE1">
        <w:rPr>
          <w:rFonts w:ascii="Times New Roman" w:hAnsi="Times New Roman"/>
          <w:lang w:val="pt-BR"/>
        </w:rPr>
        <w:t>(</w:t>
      </w:r>
      <w:r w:rsidR="002F674D">
        <w:rPr>
          <w:rFonts w:ascii="Times New Roman" w:hAnsi="Times New Roman"/>
          <w:lang w:val="pt-BR"/>
        </w:rPr>
        <w:t>19,20</w:t>
      </w:r>
      <w:r w:rsidR="00902DE1">
        <w:rPr>
          <w:rFonts w:ascii="Times New Roman" w:hAnsi="Times New Roman"/>
          <w:lang w:val="pt-BR"/>
        </w:rPr>
        <w:t>).</w:t>
      </w:r>
    </w:p>
    <w:p w14:paraId="4020C379" w14:textId="16DF3C1B" w:rsidR="00991951" w:rsidRDefault="00991951" w:rsidP="00991951">
      <w:pPr>
        <w:pStyle w:val="TAMainText"/>
        <w:rPr>
          <w:rFonts w:ascii="Times New Roman" w:hAnsi="Times New Roman"/>
          <w:lang w:val="pt-BR"/>
        </w:rPr>
      </w:pPr>
      <w:r w:rsidRPr="00991951">
        <w:rPr>
          <w:rFonts w:ascii="Times New Roman" w:hAnsi="Times New Roman"/>
          <w:lang w:val="pt-BR"/>
        </w:rPr>
        <w:t xml:space="preserve">Sendo assim, este </w:t>
      </w:r>
      <w:r>
        <w:rPr>
          <w:rFonts w:ascii="Times New Roman" w:hAnsi="Times New Roman"/>
          <w:lang w:val="pt-BR"/>
        </w:rPr>
        <w:t xml:space="preserve">trabalho </w:t>
      </w:r>
      <w:r w:rsidRPr="00991951">
        <w:rPr>
          <w:rFonts w:ascii="Times New Roman" w:hAnsi="Times New Roman"/>
          <w:lang w:val="pt-BR"/>
        </w:rPr>
        <w:t>propõe o uso de catalisadores de óxidos mistos de cobre e alumínio na reação de redução d</w:t>
      </w:r>
      <w:r>
        <w:rPr>
          <w:rFonts w:ascii="Times New Roman" w:hAnsi="Times New Roman"/>
          <w:lang w:val="pt-BR"/>
        </w:rPr>
        <w:t>o NO pelo CO</w:t>
      </w:r>
      <w:r w:rsidRPr="00991951">
        <w:rPr>
          <w:rFonts w:ascii="Times New Roman" w:hAnsi="Times New Roman"/>
          <w:lang w:val="pt-BR"/>
        </w:rPr>
        <w:t xml:space="preserve"> e o estudo da influência do potássio na reação.</w:t>
      </w:r>
    </w:p>
    <w:p w14:paraId="4301E0A7" w14:textId="77777777" w:rsidR="002C2700" w:rsidRDefault="002C2700" w:rsidP="00991951">
      <w:pPr>
        <w:pStyle w:val="TAMainText"/>
        <w:rPr>
          <w:rFonts w:ascii="Times New Roman" w:hAnsi="Times New Roman"/>
          <w:lang w:val="pt-BR"/>
        </w:rPr>
      </w:pPr>
    </w:p>
    <w:p w14:paraId="34F8D88A" w14:textId="77777777" w:rsidR="002C2700" w:rsidRPr="001F25B2" w:rsidRDefault="002C2700" w:rsidP="00991951">
      <w:pPr>
        <w:pStyle w:val="TAMainText"/>
        <w:rPr>
          <w:rFonts w:ascii="Times New Roman" w:hAnsi="Times New Roman"/>
          <w:lang w:val="pt-BR"/>
        </w:rPr>
      </w:pP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35887134" w14:textId="4BAD23E8" w:rsidR="00EA4E1B" w:rsidRPr="001F25B2" w:rsidRDefault="002C2700" w:rsidP="00EA4E1B">
      <w:pPr>
        <w:pStyle w:val="TAMainText"/>
        <w:ind w:firstLine="0"/>
        <w:rPr>
          <w:rFonts w:ascii="Times New Roman" w:hAnsi="Times New Roman"/>
          <w:i/>
          <w:lang w:val="pt-BR"/>
        </w:rPr>
      </w:pPr>
      <w:r>
        <w:rPr>
          <w:rFonts w:ascii="Times New Roman" w:hAnsi="Times New Roman"/>
          <w:i/>
          <w:lang w:val="pt-BR"/>
        </w:rPr>
        <w:t>Preparo do</w:t>
      </w:r>
      <w:r w:rsidR="00A75D3B">
        <w:rPr>
          <w:rFonts w:ascii="Times New Roman" w:hAnsi="Times New Roman"/>
          <w:i/>
          <w:lang w:val="pt-BR"/>
        </w:rPr>
        <w:t xml:space="preserve"> óxido misto</w:t>
      </w:r>
      <w:r w:rsidR="00882E90">
        <w:rPr>
          <w:rFonts w:ascii="Times New Roman" w:hAnsi="Times New Roman"/>
          <w:i/>
          <w:lang w:val="pt-BR"/>
        </w:rPr>
        <w:t xml:space="preserve"> </w:t>
      </w:r>
      <w:proofErr w:type="spellStart"/>
      <w:r w:rsidR="00882E90">
        <w:rPr>
          <w:rFonts w:ascii="Times New Roman" w:hAnsi="Times New Roman"/>
          <w:i/>
          <w:lang w:val="pt-BR"/>
        </w:rPr>
        <w:t>Cu-Al</w:t>
      </w:r>
      <w:proofErr w:type="spellEnd"/>
    </w:p>
    <w:p w14:paraId="4E6BAA29" w14:textId="0D1195A1" w:rsidR="00EA4E1B" w:rsidRDefault="00EA4E1B" w:rsidP="00A75D3B">
      <w:pPr>
        <w:pStyle w:val="TAMainText"/>
        <w:rPr>
          <w:rFonts w:ascii="Times New Roman" w:hAnsi="Times New Roman"/>
          <w:lang w:val="pt-BR"/>
        </w:rPr>
      </w:pPr>
      <w:r w:rsidRPr="001F25B2">
        <w:rPr>
          <w:rFonts w:ascii="Times New Roman" w:hAnsi="Times New Roman"/>
          <w:lang w:val="pt-BR"/>
        </w:rPr>
        <w:t xml:space="preserve">O </w:t>
      </w:r>
      <w:r w:rsidR="002C2700" w:rsidRPr="002C2700">
        <w:rPr>
          <w:rFonts w:ascii="Times New Roman" w:hAnsi="Times New Roman"/>
          <w:lang w:val="pt-BR"/>
        </w:rPr>
        <w:t>precursor tipo hidrotalcita foi preparado através do método de coprecipitação com pH constante e controlado</w:t>
      </w:r>
      <w:r w:rsidR="00E65D06">
        <w:rPr>
          <w:rFonts w:ascii="Times New Roman" w:hAnsi="Times New Roman"/>
          <w:lang w:val="pt-BR"/>
        </w:rPr>
        <w:t>, em um reator</w:t>
      </w:r>
      <w:r w:rsidR="00D26CB0">
        <w:rPr>
          <w:rFonts w:ascii="Times New Roman" w:hAnsi="Times New Roman"/>
          <w:lang w:val="pt-BR"/>
        </w:rPr>
        <w:t xml:space="preserve"> </w:t>
      </w:r>
      <w:r w:rsidR="00E65D06">
        <w:rPr>
          <w:rFonts w:ascii="Times New Roman" w:hAnsi="Times New Roman"/>
          <w:lang w:val="pt-BR"/>
        </w:rPr>
        <w:t>contínuo</w:t>
      </w:r>
      <w:r w:rsidR="002C2700">
        <w:rPr>
          <w:rFonts w:ascii="Times New Roman" w:hAnsi="Times New Roman"/>
          <w:lang w:val="pt-BR"/>
        </w:rPr>
        <w:t>.</w:t>
      </w:r>
      <w:r w:rsidR="002C2700" w:rsidRPr="002C2700">
        <w:rPr>
          <w:rFonts w:ascii="Times New Roman" w:hAnsi="Times New Roman"/>
          <w:lang w:val="pt-BR"/>
        </w:rPr>
        <w:t xml:space="preserve"> Os reagentes utilizados para compor as soluções metálicas foram </w:t>
      </w:r>
      <w:proofErr w:type="gramStart"/>
      <w:r w:rsidR="002C2700" w:rsidRPr="002C2700">
        <w:rPr>
          <w:rFonts w:ascii="Times New Roman" w:hAnsi="Times New Roman"/>
          <w:lang w:val="pt-BR"/>
        </w:rPr>
        <w:t>Cu(</w:t>
      </w:r>
      <w:proofErr w:type="gramEnd"/>
      <w:r w:rsidR="002C2700" w:rsidRPr="002C2700">
        <w:rPr>
          <w:rFonts w:ascii="Times New Roman" w:hAnsi="Times New Roman"/>
          <w:lang w:val="pt-BR"/>
        </w:rPr>
        <w:t>NO</w:t>
      </w:r>
      <w:r w:rsidR="002C2700" w:rsidRPr="00D40953">
        <w:rPr>
          <w:rFonts w:ascii="Times New Roman" w:hAnsi="Times New Roman"/>
          <w:vertAlign w:val="subscript"/>
          <w:lang w:val="pt-BR"/>
        </w:rPr>
        <w:t>3</w:t>
      </w:r>
      <w:r w:rsidR="002C2700" w:rsidRPr="002C2700">
        <w:rPr>
          <w:rFonts w:ascii="Times New Roman" w:hAnsi="Times New Roman"/>
          <w:lang w:val="pt-BR"/>
        </w:rPr>
        <w:t>)</w:t>
      </w:r>
      <w:r w:rsidR="002C2700" w:rsidRPr="00D40953">
        <w:rPr>
          <w:rFonts w:ascii="Times New Roman" w:hAnsi="Times New Roman"/>
          <w:vertAlign w:val="subscript"/>
          <w:lang w:val="pt-BR"/>
        </w:rPr>
        <w:t>2</w:t>
      </w:r>
      <w:r w:rsidR="002C2700" w:rsidRPr="002C2700">
        <w:rPr>
          <w:rFonts w:ascii="Times New Roman" w:hAnsi="Times New Roman"/>
          <w:lang w:val="pt-BR"/>
        </w:rPr>
        <w:t>∙6H</w:t>
      </w:r>
      <w:r w:rsidR="002C2700" w:rsidRPr="00D40953">
        <w:rPr>
          <w:rFonts w:ascii="Times New Roman" w:hAnsi="Times New Roman"/>
          <w:vertAlign w:val="subscript"/>
          <w:lang w:val="pt-BR"/>
        </w:rPr>
        <w:t>2</w:t>
      </w:r>
      <w:r w:rsidR="002C2700" w:rsidRPr="002C2700">
        <w:rPr>
          <w:rFonts w:ascii="Times New Roman" w:hAnsi="Times New Roman"/>
          <w:lang w:val="pt-BR"/>
        </w:rPr>
        <w:t>O e Al(NO</w:t>
      </w:r>
      <w:r w:rsidR="002C2700" w:rsidRPr="00D40953">
        <w:rPr>
          <w:rFonts w:ascii="Times New Roman" w:hAnsi="Times New Roman"/>
          <w:vertAlign w:val="subscript"/>
          <w:lang w:val="pt-BR"/>
        </w:rPr>
        <w:t>3</w:t>
      </w:r>
      <w:r w:rsidR="002C2700" w:rsidRPr="002C2700">
        <w:rPr>
          <w:rFonts w:ascii="Times New Roman" w:hAnsi="Times New Roman"/>
          <w:lang w:val="pt-BR"/>
        </w:rPr>
        <w:t>)</w:t>
      </w:r>
      <w:r w:rsidR="002C2700" w:rsidRPr="00D40953">
        <w:rPr>
          <w:rFonts w:ascii="Times New Roman" w:hAnsi="Times New Roman"/>
          <w:vertAlign w:val="subscript"/>
          <w:lang w:val="pt-BR"/>
        </w:rPr>
        <w:t>3</w:t>
      </w:r>
      <w:r w:rsidR="002C2700" w:rsidRPr="002C2700">
        <w:rPr>
          <w:rFonts w:ascii="Times New Roman" w:hAnsi="Times New Roman"/>
          <w:lang w:val="pt-BR"/>
        </w:rPr>
        <w:t>∙9H</w:t>
      </w:r>
      <w:r w:rsidR="002C2700" w:rsidRPr="00D40953">
        <w:rPr>
          <w:rFonts w:ascii="Times New Roman" w:hAnsi="Times New Roman"/>
          <w:vertAlign w:val="subscript"/>
          <w:lang w:val="pt-BR"/>
        </w:rPr>
        <w:t>2</w:t>
      </w:r>
      <w:r w:rsidR="002C2700" w:rsidRPr="002C2700">
        <w:rPr>
          <w:rFonts w:ascii="Times New Roman" w:hAnsi="Times New Roman"/>
          <w:lang w:val="pt-BR"/>
        </w:rPr>
        <w:t>O e os agentes precipitantes NaOH e Na</w:t>
      </w:r>
      <w:r w:rsidR="002C2700" w:rsidRPr="00D40953">
        <w:rPr>
          <w:rFonts w:ascii="Times New Roman" w:hAnsi="Times New Roman"/>
          <w:vertAlign w:val="subscript"/>
          <w:lang w:val="pt-BR"/>
        </w:rPr>
        <w:t>2</w:t>
      </w:r>
      <w:r w:rsidR="002C2700" w:rsidRPr="002C2700">
        <w:rPr>
          <w:rFonts w:ascii="Times New Roman" w:hAnsi="Times New Roman"/>
          <w:lang w:val="pt-BR"/>
        </w:rPr>
        <w:t>CO</w:t>
      </w:r>
      <w:r w:rsidR="002C2700" w:rsidRPr="00D40953">
        <w:rPr>
          <w:rFonts w:ascii="Times New Roman" w:hAnsi="Times New Roman"/>
          <w:vertAlign w:val="subscript"/>
          <w:lang w:val="pt-BR"/>
        </w:rPr>
        <w:t>3</w:t>
      </w:r>
      <w:r w:rsidR="002C2700" w:rsidRPr="002C2700">
        <w:rPr>
          <w:rFonts w:ascii="Times New Roman" w:hAnsi="Times New Roman"/>
          <w:lang w:val="pt-BR"/>
        </w:rPr>
        <w:t xml:space="preserve">. As soluções foram preparadas com proporções molares específicas e posteriormente diluídas em água deionizada. </w:t>
      </w:r>
      <w:r w:rsidR="001E7796">
        <w:rPr>
          <w:rFonts w:ascii="Times New Roman" w:hAnsi="Times New Roman"/>
          <w:lang w:val="pt-BR"/>
        </w:rPr>
        <w:t xml:space="preserve">A solução </w:t>
      </w:r>
      <w:r w:rsidR="001E7796" w:rsidRPr="001E7796">
        <w:rPr>
          <w:rFonts w:ascii="Times New Roman" w:hAnsi="Times New Roman"/>
          <w:lang w:val="pt-BR"/>
        </w:rPr>
        <w:t xml:space="preserve">ácida, contendo as fontes dos metais de Cu e Al </w:t>
      </w:r>
      <w:r w:rsidR="001E7796">
        <w:rPr>
          <w:rFonts w:ascii="Times New Roman" w:hAnsi="Times New Roman"/>
          <w:lang w:val="pt-BR"/>
        </w:rPr>
        <w:t xml:space="preserve">foi preparada </w:t>
      </w:r>
      <w:r w:rsidR="001E7796" w:rsidRPr="001E7796">
        <w:rPr>
          <w:rFonts w:ascii="Times New Roman" w:hAnsi="Times New Roman"/>
          <w:lang w:val="pt-BR"/>
        </w:rPr>
        <w:t>na relação Al/(</w:t>
      </w:r>
      <w:proofErr w:type="spellStart"/>
      <w:r w:rsidR="001E7796" w:rsidRPr="001E7796">
        <w:rPr>
          <w:rFonts w:ascii="Times New Roman" w:hAnsi="Times New Roman"/>
          <w:lang w:val="pt-BR"/>
        </w:rPr>
        <w:t>Cu+Al</w:t>
      </w:r>
      <w:proofErr w:type="spellEnd"/>
      <w:r w:rsidR="001E7796" w:rsidRPr="001E7796">
        <w:rPr>
          <w:rFonts w:ascii="Times New Roman" w:hAnsi="Times New Roman"/>
          <w:lang w:val="pt-BR"/>
        </w:rPr>
        <w:t xml:space="preserve">) = 0,17 e </w:t>
      </w:r>
      <w:r w:rsidR="001E7796">
        <w:rPr>
          <w:rFonts w:ascii="Times New Roman" w:hAnsi="Times New Roman"/>
          <w:lang w:val="pt-BR"/>
        </w:rPr>
        <w:t>a</w:t>
      </w:r>
      <w:r w:rsidR="001E7796" w:rsidRPr="001E7796">
        <w:rPr>
          <w:rFonts w:ascii="Times New Roman" w:hAnsi="Times New Roman"/>
          <w:lang w:val="pt-BR"/>
        </w:rPr>
        <w:t xml:space="preserve"> básica, contendo NaOH e Na</w:t>
      </w:r>
      <w:r w:rsidR="001E7796" w:rsidRPr="00D40953">
        <w:rPr>
          <w:rFonts w:ascii="Times New Roman" w:hAnsi="Times New Roman"/>
          <w:vertAlign w:val="subscript"/>
          <w:lang w:val="pt-BR"/>
        </w:rPr>
        <w:t>2</w:t>
      </w:r>
      <w:r w:rsidR="001E7796" w:rsidRPr="001E7796">
        <w:rPr>
          <w:rFonts w:ascii="Times New Roman" w:hAnsi="Times New Roman"/>
          <w:lang w:val="pt-BR"/>
        </w:rPr>
        <w:t>CO</w:t>
      </w:r>
      <w:r w:rsidR="001E7796" w:rsidRPr="00D40953">
        <w:rPr>
          <w:rFonts w:ascii="Times New Roman" w:hAnsi="Times New Roman"/>
          <w:vertAlign w:val="subscript"/>
          <w:lang w:val="pt-BR"/>
        </w:rPr>
        <w:t>3</w:t>
      </w:r>
      <w:r w:rsidR="001E7796">
        <w:rPr>
          <w:rFonts w:ascii="Times New Roman" w:hAnsi="Times New Roman"/>
          <w:lang w:val="pt-BR"/>
        </w:rPr>
        <w:t xml:space="preserve"> na relação</w:t>
      </w:r>
      <w:r w:rsidR="001E7796" w:rsidRPr="001E7796">
        <w:rPr>
          <w:rFonts w:ascii="Times New Roman" w:hAnsi="Times New Roman"/>
          <w:lang w:val="pt-BR"/>
        </w:rPr>
        <w:t xml:space="preserve"> CO</w:t>
      </w:r>
      <w:r w:rsidR="001E7796" w:rsidRPr="00D40953">
        <w:rPr>
          <w:rFonts w:ascii="Times New Roman" w:hAnsi="Times New Roman"/>
          <w:vertAlign w:val="subscript"/>
          <w:lang w:val="pt-BR"/>
        </w:rPr>
        <w:t>3</w:t>
      </w:r>
      <w:r w:rsidR="001E7796" w:rsidRPr="001E7796">
        <w:rPr>
          <w:rFonts w:ascii="Times New Roman" w:hAnsi="Times New Roman"/>
          <w:lang w:val="pt-BR"/>
        </w:rPr>
        <w:t>/(</w:t>
      </w:r>
      <w:proofErr w:type="spellStart"/>
      <w:r w:rsidR="001E7796" w:rsidRPr="001E7796">
        <w:rPr>
          <w:rFonts w:ascii="Times New Roman" w:hAnsi="Times New Roman"/>
          <w:lang w:val="pt-BR"/>
        </w:rPr>
        <w:t>Cu+Al</w:t>
      </w:r>
      <w:proofErr w:type="spellEnd"/>
      <w:r w:rsidR="001E7796" w:rsidRPr="001E7796">
        <w:rPr>
          <w:rFonts w:ascii="Times New Roman" w:hAnsi="Times New Roman"/>
          <w:lang w:val="pt-BR"/>
        </w:rPr>
        <w:t>) = OH/(</w:t>
      </w:r>
      <w:proofErr w:type="spellStart"/>
      <w:r w:rsidR="001E7796" w:rsidRPr="001E7796">
        <w:rPr>
          <w:rFonts w:ascii="Times New Roman" w:hAnsi="Times New Roman"/>
          <w:lang w:val="pt-BR"/>
        </w:rPr>
        <w:t>Cu+Al</w:t>
      </w:r>
      <w:proofErr w:type="spellEnd"/>
      <w:r w:rsidR="001E7796" w:rsidRPr="001E7796">
        <w:rPr>
          <w:rFonts w:ascii="Times New Roman" w:hAnsi="Times New Roman"/>
          <w:lang w:val="pt-BR"/>
        </w:rPr>
        <w:t xml:space="preserve">) = 1,3. </w:t>
      </w:r>
      <w:r w:rsidR="002C2700" w:rsidRPr="002C2700">
        <w:rPr>
          <w:rFonts w:ascii="Times New Roman" w:hAnsi="Times New Roman"/>
          <w:lang w:val="pt-BR"/>
        </w:rPr>
        <w:t>Essas soluções foram adicionadas gota a gota num bécher, com volume pré-definido</w:t>
      </w:r>
      <w:r w:rsidR="001E7796">
        <w:rPr>
          <w:rFonts w:ascii="Times New Roman" w:hAnsi="Times New Roman"/>
          <w:lang w:val="pt-BR"/>
        </w:rPr>
        <w:t xml:space="preserve"> (83 </w:t>
      </w:r>
      <w:proofErr w:type="spellStart"/>
      <w:r w:rsidR="001E7796">
        <w:rPr>
          <w:rFonts w:ascii="Times New Roman" w:hAnsi="Times New Roman"/>
          <w:lang w:val="pt-BR"/>
        </w:rPr>
        <w:t>mL</w:t>
      </w:r>
      <w:proofErr w:type="spellEnd"/>
      <w:r w:rsidR="001E7796">
        <w:rPr>
          <w:rFonts w:ascii="Times New Roman" w:hAnsi="Times New Roman"/>
          <w:lang w:val="pt-BR"/>
        </w:rPr>
        <w:t>)</w:t>
      </w:r>
      <w:r w:rsidR="002C2700" w:rsidRPr="002C2700">
        <w:rPr>
          <w:rFonts w:ascii="Times New Roman" w:hAnsi="Times New Roman"/>
          <w:lang w:val="pt-BR"/>
        </w:rPr>
        <w:t xml:space="preserve"> de água deionizada, sob agitação vigorosa. O precipitado</w:t>
      </w:r>
      <w:r w:rsidR="001E7796">
        <w:rPr>
          <w:rFonts w:ascii="Times New Roman" w:hAnsi="Times New Roman"/>
          <w:lang w:val="pt-BR"/>
        </w:rPr>
        <w:t xml:space="preserve"> foi imediatamente </w:t>
      </w:r>
      <w:r w:rsidR="002C2700" w:rsidRPr="002C2700">
        <w:rPr>
          <w:rFonts w:ascii="Times New Roman" w:hAnsi="Times New Roman"/>
          <w:lang w:val="pt-BR"/>
        </w:rPr>
        <w:t>formado</w:t>
      </w:r>
      <w:r w:rsidR="001E7796">
        <w:rPr>
          <w:rFonts w:ascii="Times New Roman" w:hAnsi="Times New Roman"/>
          <w:lang w:val="pt-BR"/>
        </w:rPr>
        <w:t xml:space="preserve"> com a mistura das soluções,</w:t>
      </w:r>
      <w:r w:rsidR="002C2700" w:rsidRPr="002C2700">
        <w:rPr>
          <w:rFonts w:ascii="Times New Roman" w:hAnsi="Times New Roman"/>
          <w:lang w:val="pt-BR"/>
        </w:rPr>
        <w:t xml:space="preserve"> foi filtrado a vácuo e lavado com água destilada. Posteriormente, o precipitado foi seco em estufa a 50</w:t>
      </w:r>
      <w:r w:rsidR="00A41422">
        <w:rPr>
          <w:rFonts w:ascii="Times New Roman" w:hAnsi="Times New Roman"/>
          <w:lang w:val="pt-BR"/>
        </w:rPr>
        <w:t xml:space="preserve"> </w:t>
      </w:r>
      <w:r w:rsidR="002C2700" w:rsidRPr="002C2700">
        <w:rPr>
          <w:rFonts w:ascii="Times New Roman" w:hAnsi="Times New Roman"/>
          <w:lang w:val="pt-BR"/>
        </w:rPr>
        <w:t xml:space="preserve">°C por 1 hora. Para obter o óxido misto a partir do precursor do tipo </w:t>
      </w:r>
      <w:proofErr w:type="spellStart"/>
      <w:r w:rsidR="002C2700" w:rsidRPr="002C2700">
        <w:rPr>
          <w:rFonts w:ascii="Times New Roman" w:hAnsi="Times New Roman"/>
          <w:lang w:val="pt-BR"/>
        </w:rPr>
        <w:t>hidrotalcita</w:t>
      </w:r>
      <w:proofErr w:type="spellEnd"/>
      <w:r w:rsidR="002C2700" w:rsidRPr="002C2700">
        <w:rPr>
          <w:rFonts w:ascii="Times New Roman" w:hAnsi="Times New Roman"/>
          <w:lang w:val="pt-BR"/>
        </w:rPr>
        <w:t xml:space="preserve">, </w:t>
      </w:r>
      <w:r w:rsidR="00766133" w:rsidRPr="002C2700">
        <w:rPr>
          <w:rFonts w:ascii="Times New Roman" w:hAnsi="Times New Roman"/>
          <w:lang w:val="pt-BR"/>
        </w:rPr>
        <w:t>ele</w:t>
      </w:r>
      <w:r w:rsidR="002C2700" w:rsidRPr="002C2700">
        <w:rPr>
          <w:rFonts w:ascii="Times New Roman" w:hAnsi="Times New Roman"/>
          <w:lang w:val="pt-BR"/>
        </w:rPr>
        <w:t xml:space="preserve"> foi calcinado em mufla a 600</w:t>
      </w:r>
      <w:r w:rsidR="00A41422">
        <w:rPr>
          <w:rFonts w:ascii="Times New Roman" w:hAnsi="Times New Roman"/>
          <w:lang w:val="pt-BR"/>
        </w:rPr>
        <w:t xml:space="preserve"> </w:t>
      </w:r>
      <w:r w:rsidR="002C2700" w:rsidRPr="002C2700">
        <w:rPr>
          <w:rFonts w:ascii="Times New Roman" w:hAnsi="Times New Roman"/>
          <w:lang w:val="pt-BR"/>
        </w:rPr>
        <w:t>ºC por 3</w:t>
      </w:r>
      <w:r w:rsidR="00A41422">
        <w:rPr>
          <w:rFonts w:ascii="Times New Roman" w:hAnsi="Times New Roman"/>
          <w:lang w:val="pt-BR"/>
        </w:rPr>
        <w:t xml:space="preserve"> </w:t>
      </w:r>
      <w:r w:rsidR="002C2700" w:rsidRPr="002C2700">
        <w:rPr>
          <w:rFonts w:ascii="Times New Roman" w:hAnsi="Times New Roman"/>
          <w:lang w:val="pt-BR"/>
        </w:rPr>
        <w:t>h, com uma taxa de aquecimento 5</w:t>
      </w:r>
      <w:r w:rsidR="00A41422">
        <w:rPr>
          <w:rFonts w:ascii="Times New Roman" w:hAnsi="Times New Roman"/>
          <w:lang w:val="pt-BR"/>
        </w:rPr>
        <w:t xml:space="preserve"> </w:t>
      </w:r>
      <w:r w:rsidR="002C2700" w:rsidRPr="002C2700">
        <w:rPr>
          <w:rFonts w:ascii="Times New Roman" w:hAnsi="Times New Roman"/>
          <w:lang w:val="pt-BR"/>
        </w:rPr>
        <w:t>°C/min.</w:t>
      </w:r>
      <w:r w:rsidR="00A15499">
        <w:rPr>
          <w:rFonts w:ascii="Times New Roman" w:hAnsi="Times New Roman"/>
          <w:lang w:val="pt-BR"/>
        </w:rPr>
        <w:t xml:space="preserve"> </w:t>
      </w:r>
      <w:r w:rsidR="005C3107">
        <w:rPr>
          <w:rFonts w:ascii="Times New Roman" w:hAnsi="Times New Roman"/>
          <w:lang w:val="pt-BR"/>
        </w:rPr>
        <w:t>A</w:t>
      </w:r>
      <w:r w:rsidR="00A31F3C">
        <w:rPr>
          <w:rFonts w:ascii="Times New Roman" w:hAnsi="Times New Roman"/>
          <w:lang w:val="pt-BR"/>
        </w:rPr>
        <w:t xml:space="preserve"> calcinação foi repetid</w:t>
      </w:r>
      <w:r w:rsidR="00F2777F">
        <w:rPr>
          <w:rFonts w:ascii="Times New Roman" w:hAnsi="Times New Roman"/>
          <w:lang w:val="pt-BR"/>
        </w:rPr>
        <w:t>a</w:t>
      </w:r>
      <w:r w:rsidR="00A31F3C">
        <w:rPr>
          <w:rFonts w:ascii="Times New Roman" w:hAnsi="Times New Roman"/>
          <w:lang w:val="pt-BR"/>
        </w:rPr>
        <w:t xml:space="preserve"> a fim de </w:t>
      </w:r>
      <w:r w:rsidR="00F2777F">
        <w:rPr>
          <w:rFonts w:ascii="Times New Roman" w:hAnsi="Times New Roman"/>
          <w:lang w:val="pt-BR"/>
        </w:rPr>
        <w:t xml:space="preserve">se ter o mesmo tratamento térmico que nos </w:t>
      </w:r>
      <w:r w:rsidR="00A15499">
        <w:rPr>
          <w:rFonts w:ascii="Times New Roman" w:hAnsi="Times New Roman"/>
          <w:lang w:val="pt-BR"/>
        </w:rPr>
        <w:t>catalisadores impregnados com potássio.</w:t>
      </w:r>
    </w:p>
    <w:p w14:paraId="5586DD17" w14:textId="77777777" w:rsidR="001E7796" w:rsidRDefault="001E7796" w:rsidP="00EA4E1B">
      <w:pPr>
        <w:pStyle w:val="TAMainText"/>
        <w:rPr>
          <w:rFonts w:ascii="Times New Roman" w:hAnsi="Times New Roman"/>
          <w:lang w:val="pt-BR"/>
        </w:rPr>
      </w:pPr>
    </w:p>
    <w:p w14:paraId="41E6C62E" w14:textId="73519277" w:rsidR="001E7796" w:rsidRDefault="001E7796" w:rsidP="001E7796">
      <w:pPr>
        <w:pStyle w:val="TAMainText"/>
        <w:ind w:firstLine="0"/>
        <w:rPr>
          <w:rFonts w:ascii="Times New Roman" w:hAnsi="Times New Roman"/>
          <w:i/>
          <w:lang w:val="pt-BR"/>
        </w:rPr>
      </w:pPr>
      <w:r>
        <w:rPr>
          <w:rFonts w:ascii="Times New Roman" w:hAnsi="Times New Roman"/>
          <w:i/>
          <w:lang w:val="pt-BR"/>
        </w:rPr>
        <w:t>Preparo d</w:t>
      </w:r>
      <w:r w:rsidR="00A15499">
        <w:rPr>
          <w:rFonts w:ascii="Times New Roman" w:hAnsi="Times New Roman"/>
          <w:i/>
          <w:lang w:val="pt-BR"/>
        </w:rPr>
        <w:t>o</w:t>
      </w:r>
      <w:r>
        <w:rPr>
          <w:rFonts w:ascii="Times New Roman" w:hAnsi="Times New Roman"/>
          <w:i/>
          <w:lang w:val="pt-BR"/>
        </w:rPr>
        <w:t xml:space="preserve">s catalisadores impregnados com </w:t>
      </w:r>
      <w:r w:rsidR="00A15499">
        <w:rPr>
          <w:rFonts w:ascii="Times New Roman" w:hAnsi="Times New Roman"/>
          <w:i/>
          <w:lang w:val="pt-BR"/>
        </w:rPr>
        <w:t>potássio</w:t>
      </w:r>
    </w:p>
    <w:p w14:paraId="36E21684" w14:textId="6F5E545B" w:rsidR="00A15499" w:rsidRPr="00A15499" w:rsidRDefault="00A15499" w:rsidP="001E7796">
      <w:pPr>
        <w:pStyle w:val="TAMainText"/>
        <w:ind w:firstLine="0"/>
        <w:rPr>
          <w:rFonts w:ascii="Times New Roman" w:hAnsi="Times New Roman"/>
          <w:iCs/>
          <w:lang w:val="pt-BR"/>
        </w:rPr>
      </w:pPr>
      <w:r w:rsidRPr="00A15499">
        <w:rPr>
          <w:rFonts w:ascii="Times New Roman" w:hAnsi="Times New Roman"/>
          <w:iCs/>
          <w:lang w:val="pt-BR"/>
        </w:rPr>
        <w:t>Os catalisadores foram preparados pelo método de impregnação ao ponto úmido, usando relações molares K/Cu de aproximadamente</w:t>
      </w:r>
      <w:r w:rsidR="00773EB3">
        <w:rPr>
          <w:rFonts w:ascii="Times New Roman" w:hAnsi="Times New Roman"/>
          <w:iCs/>
          <w:lang w:val="pt-BR"/>
        </w:rPr>
        <w:t xml:space="preserve"> 0,001;</w:t>
      </w:r>
      <w:r w:rsidRPr="00A15499">
        <w:rPr>
          <w:rFonts w:ascii="Times New Roman" w:hAnsi="Times New Roman"/>
          <w:iCs/>
          <w:lang w:val="pt-BR"/>
        </w:rPr>
        <w:t xml:space="preserve"> 0,0</w:t>
      </w:r>
      <w:r w:rsidR="00DD0D0C">
        <w:rPr>
          <w:rFonts w:ascii="Times New Roman" w:hAnsi="Times New Roman"/>
          <w:iCs/>
          <w:lang w:val="pt-BR"/>
        </w:rPr>
        <w:t>0</w:t>
      </w:r>
      <w:r>
        <w:rPr>
          <w:rFonts w:ascii="Times New Roman" w:hAnsi="Times New Roman"/>
          <w:iCs/>
          <w:lang w:val="pt-BR"/>
        </w:rPr>
        <w:t>7</w:t>
      </w:r>
      <w:r w:rsidRPr="00A15499">
        <w:rPr>
          <w:rFonts w:ascii="Times New Roman" w:hAnsi="Times New Roman"/>
          <w:iCs/>
          <w:lang w:val="pt-BR"/>
        </w:rPr>
        <w:t>; 0,</w:t>
      </w:r>
      <w:r>
        <w:rPr>
          <w:rFonts w:ascii="Times New Roman" w:hAnsi="Times New Roman"/>
          <w:iCs/>
          <w:lang w:val="pt-BR"/>
        </w:rPr>
        <w:t>010</w:t>
      </w:r>
      <w:r w:rsidRPr="00A15499">
        <w:rPr>
          <w:rFonts w:ascii="Times New Roman" w:hAnsi="Times New Roman"/>
          <w:iCs/>
          <w:lang w:val="pt-BR"/>
        </w:rPr>
        <w:t xml:space="preserve"> e </w:t>
      </w:r>
      <w:r>
        <w:rPr>
          <w:rFonts w:ascii="Times New Roman" w:hAnsi="Times New Roman"/>
          <w:iCs/>
          <w:lang w:val="pt-BR"/>
        </w:rPr>
        <w:t>0,025</w:t>
      </w:r>
      <w:r w:rsidRPr="00A15499">
        <w:rPr>
          <w:rFonts w:ascii="Times New Roman" w:hAnsi="Times New Roman"/>
          <w:iCs/>
          <w:lang w:val="pt-BR"/>
        </w:rPr>
        <w:t>. K</w:t>
      </w:r>
      <w:r w:rsidRPr="00A15499">
        <w:rPr>
          <w:rFonts w:ascii="Times New Roman" w:hAnsi="Times New Roman"/>
          <w:iCs/>
          <w:vertAlign w:val="subscript"/>
          <w:lang w:val="pt-BR"/>
        </w:rPr>
        <w:t>2</w:t>
      </w:r>
      <w:r w:rsidRPr="00A15499">
        <w:rPr>
          <w:rFonts w:ascii="Times New Roman" w:hAnsi="Times New Roman"/>
          <w:iCs/>
          <w:lang w:val="pt-BR"/>
        </w:rPr>
        <w:t>CO</w:t>
      </w:r>
      <w:r w:rsidRPr="00A15499">
        <w:rPr>
          <w:rFonts w:ascii="Times New Roman" w:hAnsi="Times New Roman"/>
          <w:iCs/>
          <w:vertAlign w:val="subscript"/>
          <w:lang w:val="pt-BR"/>
        </w:rPr>
        <w:t>3</w:t>
      </w:r>
      <w:r w:rsidRPr="00A15499">
        <w:rPr>
          <w:rFonts w:ascii="Times New Roman" w:hAnsi="Times New Roman"/>
          <w:iCs/>
          <w:lang w:val="pt-BR"/>
        </w:rPr>
        <w:t xml:space="preserve"> foi usado como sal precursor</w:t>
      </w:r>
      <w:r>
        <w:rPr>
          <w:rFonts w:ascii="Times New Roman" w:hAnsi="Times New Roman"/>
          <w:iCs/>
          <w:lang w:val="pt-BR"/>
        </w:rPr>
        <w:t xml:space="preserve">, ele </w:t>
      </w:r>
      <w:r w:rsidRPr="00A15499">
        <w:rPr>
          <w:rFonts w:ascii="Times New Roman" w:hAnsi="Times New Roman"/>
          <w:iCs/>
          <w:lang w:val="pt-BR"/>
        </w:rPr>
        <w:t xml:space="preserve">foi pesado e solubilizado em água destilada. Após a solubilização do sal, </w:t>
      </w:r>
      <w:r w:rsidR="00F2777F" w:rsidRPr="00A15499">
        <w:rPr>
          <w:rFonts w:ascii="Times New Roman" w:hAnsi="Times New Roman"/>
          <w:iCs/>
          <w:lang w:val="pt-BR"/>
        </w:rPr>
        <w:t xml:space="preserve">foi realizada </w:t>
      </w:r>
      <w:r w:rsidRPr="00A15499">
        <w:rPr>
          <w:rFonts w:ascii="Times New Roman" w:hAnsi="Times New Roman"/>
          <w:iCs/>
          <w:lang w:val="pt-BR"/>
        </w:rPr>
        <w:t>a impregnação no</w:t>
      </w:r>
      <w:r>
        <w:rPr>
          <w:rFonts w:ascii="Times New Roman" w:hAnsi="Times New Roman"/>
          <w:iCs/>
          <w:lang w:val="pt-BR"/>
        </w:rPr>
        <w:t xml:space="preserve"> </w:t>
      </w:r>
      <w:r w:rsidRPr="00A15499">
        <w:rPr>
          <w:rFonts w:ascii="Times New Roman" w:hAnsi="Times New Roman"/>
          <w:iCs/>
          <w:lang w:val="pt-BR"/>
        </w:rPr>
        <w:t xml:space="preserve">óxido misto </w:t>
      </w:r>
      <w:proofErr w:type="spellStart"/>
      <w:r>
        <w:rPr>
          <w:rFonts w:ascii="Times New Roman" w:hAnsi="Times New Roman"/>
          <w:iCs/>
          <w:lang w:val="pt-BR"/>
        </w:rPr>
        <w:t>Cu</w:t>
      </w:r>
      <w:r w:rsidR="00F2777F">
        <w:rPr>
          <w:rFonts w:ascii="Times New Roman" w:hAnsi="Times New Roman"/>
          <w:iCs/>
          <w:lang w:val="pt-BR"/>
        </w:rPr>
        <w:t>-</w:t>
      </w:r>
      <w:r>
        <w:rPr>
          <w:rFonts w:ascii="Times New Roman" w:hAnsi="Times New Roman"/>
          <w:iCs/>
          <w:lang w:val="pt-BR"/>
        </w:rPr>
        <w:t>Al</w:t>
      </w:r>
      <w:proofErr w:type="spellEnd"/>
      <w:r w:rsidR="000D2F6A">
        <w:rPr>
          <w:rFonts w:ascii="Times New Roman" w:hAnsi="Times New Roman"/>
          <w:iCs/>
          <w:lang w:val="pt-BR"/>
        </w:rPr>
        <w:t>, cujo procedimento foi previamente descrito</w:t>
      </w:r>
      <w:r w:rsidRPr="00A15499">
        <w:rPr>
          <w:rFonts w:ascii="Times New Roman" w:hAnsi="Times New Roman"/>
          <w:iCs/>
          <w:lang w:val="pt-BR"/>
        </w:rPr>
        <w:t xml:space="preserve">. </w:t>
      </w:r>
      <w:r w:rsidR="00F2777F">
        <w:rPr>
          <w:rFonts w:ascii="Times New Roman" w:hAnsi="Times New Roman"/>
          <w:iCs/>
          <w:lang w:val="pt-BR"/>
        </w:rPr>
        <w:t>Finalmente</w:t>
      </w:r>
      <w:r w:rsidRPr="00A15499">
        <w:rPr>
          <w:rFonts w:ascii="Times New Roman" w:hAnsi="Times New Roman"/>
          <w:iCs/>
          <w:lang w:val="pt-BR"/>
        </w:rPr>
        <w:t>, as amostras foram calcinadas a 600 °C por 3 horas, com taxa de aquecimento de 5 °C/min.</w:t>
      </w:r>
    </w:p>
    <w:p w14:paraId="76A20D57" w14:textId="77777777" w:rsidR="001E7796" w:rsidRDefault="001E7796" w:rsidP="00EA4E1B">
      <w:pPr>
        <w:pStyle w:val="TAMainText"/>
        <w:rPr>
          <w:rFonts w:ascii="Times New Roman" w:hAnsi="Times New Roman"/>
          <w:lang w:val="pt-BR"/>
        </w:rPr>
      </w:pPr>
    </w:p>
    <w:p w14:paraId="050A34BA" w14:textId="0697F192" w:rsidR="00A15499" w:rsidRDefault="00A15499" w:rsidP="00A15499">
      <w:pPr>
        <w:pStyle w:val="TAMainText"/>
        <w:ind w:firstLine="0"/>
        <w:rPr>
          <w:rFonts w:ascii="Times New Roman" w:hAnsi="Times New Roman"/>
          <w:lang w:val="pt-BR"/>
        </w:rPr>
      </w:pPr>
      <w:r>
        <w:rPr>
          <w:rFonts w:ascii="Times New Roman" w:hAnsi="Times New Roman"/>
          <w:i/>
          <w:lang w:val="pt-BR"/>
        </w:rPr>
        <w:t xml:space="preserve">Caracterização dos catalisadores </w:t>
      </w:r>
    </w:p>
    <w:p w14:paraId="729F989C" w14:textId="77777777" w:rsidR="002C5CC8" w:rsidRDefault="00A15499" w:rsidP="00EA4E1B">
      <w:pPr>
        <w:pStyle w:val="TAMainText"/>
        <w:rPr>
          <w:rFonts w:ascii="Times New Roman" w:hAnsi="Times New Roman"/>
          <w:lang w:val="pt-BR"/>
        </w:rPr>
      </w:pPr>
      <w:r w:rsidRPr="00614B1B">
        <w:rPr>
          <w:rFonts w:ascii="Times New Roman" w:hAnsi="Times New Roman"/>
          <w:color w:val="000000" w:themeColor="text1"/>
          <w:lang w:val="pt-BR"/>
        </w:rPr>
        <w:t xml:space="preserve">A análise de difração de raios X (DRX) </w:t>
      </w:r>
      <w:r w:rsidR="002C5CC8" w:rsidRPr="00614B1B">
        <w:rPr>
          <w:rFonts w:ascii="Times New Roman" w:hAnsi="Times New Roman"/>
          <w:color w:val="000000" w:themeColor="text1"/>
          <w:lang w:val="pt-BR"/>
        </w:rPr>
        <w:t xml:space="preserve">do precursor e dos catalisadores </w:t>
      </w:r>
      <w:r w:rsidRPr="00614B1B">
        <w:rPr>
          <w:rFonts w:ascii="Times New Roman" w:hAnsi="Times New Roman"/>
          <w:color w:val="000000" w:themeColor="text1"/>
          <w:lang w:val="pt-BR"/>
        </w:rPr>
        <w:t>fo</w:t>
      </w:r>
      <w:r w:rsidR="002C5CC8" w:rsidRPr="00614B1B">
        <w:rPr>
          <w:rFonts w:ascii="Times New Roman" w:hAnsi="Times New Roman"/>
          <w:color w:val="000000" w:themeColor="text1"/>
          <w:lang w:val="pt-BR"/>
        </w:rPr>
        <w:t xml:space="preserve">ram </w:t>
      </w:r>
      <w:r w:rsidRPr="00614B1B">
        <w:rPr>
          <w:rFonts w:ascii="Times New Roman" w:hAnsi="Times New Roman"/>
          <w:color w:val="000000" w:themeColor="text1"/>
          <w:lang w:val="pt-BR"/>
        </w:rPr>
        <w:t>obtida</w:t>
      </w:r>
      <w:r w:rsidR="002C5CC8" w:rsidRPr="00614B1B">
        <w:rPr>
          <w:rFonts w:ascii="Times New Roman" w:hAnsi="Times New Roman"/>
          <w:color w:val="000000" w:themeColor="text1"/>
          <w:lang w:val="pt-BR"/>
        </w:rPr>
        <w:t>s</w:t>
      </w:r>
      <w:r w:rsidRPr="00614B1B">
        <w:rPr>
          <w:rFonts w:ascii="Times New Roman" w:hAnsi="Times New Roman"/>
          <w:color w:val="000000" w:themeColor="text1"/>
          <w:lang w:val="pt-BR"/>
        </w:rPr>
        <w:t xml:space="preserve"> em um equipamento</w:t>
      </w:r>
      <w:r w:rsidR="005C1C41" w:rsidRPr="00614B1B">
        <w:rPr>
          <w:rFonts w:ascii="Times New Roman" w:hAnsi="Times New Roman"/>
          <w:color w:val="000000" w:themeColor="text1"/>
          <w:lang w:val="pt-BR"/>
        </w:rPr>
        <w:t xml:space="preserve"> </w:t>
      </w:r>
      <w:proofErr w:type="spellStart"/>
      <w:r w:rsidR="005C1C41" w:rsidRPr="00614B1B">
        <w:rPr>
          <w:rFonts w:ascii="Times New Roman" w:hAnsi="Times New Roman"/>
          <w:color w:val="000000" w:themeColor="text1"/>
          <w:lang w:val="pt-BR"/>
        </w:rPr>
        <w:t>Bruker</w:t>
      </w:r>
      <w:proofErr w:type="spellEnd"/>
      <w:r w:rsidR="005C1C41" w:rsidRPr="00614B1B">
        <w:rPr>
          <w:rFonts w:ascii="Times New Roman" w:hAnsi="Times New Roman"/>
          <w:color w:val="000000" w:themeColor="text1"/>
          <w:lang w:val="pt-BR"/>
        </w:rPr>
        <w:t xml:space="preserve">, modelo D8 </w:t>
      </w:r>
      <w:proofErr w:type="spellStart"/>
      <w:r w:rsidR="005C1C41" w:rsidRPr="00614B1B">
        <w:rPr>
          <w:rFonts w:ascii="Times New Roman" w:hAnsi="Times New Roman"/>
          <w:color w:val="000000" w:themeColor="text1"/>
          <w:lang w:val="pt-BR"/>
        </w:rPr>
        <w:t>Advance</w:t>
      </w:r>
      <w:proofErr w:type="spellEnd"/>
      <w:r w:rsidR="0077466A" w:rsidRPr="00614B1B">
        <w:rPr>
          <w:rFonts w:ascii="Times New Roman" w:hAnsi="Times New Roman"/>
          <w:color w:val="000000" w:themeColor="text1"/>
          <w:lang w:val="pt-BR"/>
        </w:rPr>
        <w:t xml:space="preserve">, </w:t>
      </w:r>
      <w:r w:rsidR="005C1C41" w:rsidRPr="00614B1B">
        <w:rPr>
          <w:rFonts w:ascii="Times New Roman" w:hAnsi="Times New Roman"/>
          <w:color w:val="000000" w:themeColor="text1"/>
          <w:lang w:val="pt-BR"/>
        </w:rPr>
        <w:t>fonte de cobre</w:t>
      </w:r>
      <w:r w:rsidR="00882E90" w:rsidRPr="00614B1B">
        <w:rPr>
          <w:rFonts w:ascii="Times New Roman" w:hAnsi="Times New Roman"/>
          <w:color w:val="000000" w:themeColor="text1"/>
          <w:lang w:val="pt-BR"/>
        </w:rPr>
        <w:t xml:space="preserve"> (</w:t>
      </w:r>
      <w:r w:rsidR="00882E90" w:rsidRPr="00614B1B">
        <w:rPr>
          <w:rFonts w:ascii="Symbol" w:hAnsi="Symbol"/>
          <w:color w:val="000000" w:themeColor="text1"/>
          <w:lang w:val="pt-BR"/>
        </w:rPr>
        <w:t></w:t>
      </w:r>
      <w:r w:rsidR="00882E90" w:rsidRPr="00614B1B">
        <w:rPr>
          <w:rFonts w:ascii="Times New Roman" w:hAnsi="Times New Roman"/>
          <w:color w:val="000000" w:themeColor="text1"/>
          <w:lang w:val="pt-BR"/>
        </w:rPr>
        <w:t xml:space="preserve"> = 1,5406 Å)</w:t>
      </w:r>
      <w:r w:rsidR="0077466A" w:rsidRPr="00614B1B">
        <w:rPr>
          <w:rFonts w:ascii="Times New Roman" w:hAnsi="Times New Roman"/>
          <w:color w:val="000000" w:themeColor="text1"/>
          <w:lang w:val="pt-BR"/>
        </w:rPr>
        <w:t xml:space="preserve"> e com faixa de 2</w:t>
      </w:r>
      <w:r w:rsidR="0077466A" w:rsidRPr="00614B1B">
        <w:rPr>
          <w:rFonts w:ascii="Times New Roman" w:hAnsi="Times New Roman"/>
          <w:color w:val="000000" w:themeColor="text1"/>
          <w:shd w:val="clear" w:color="auto" w:fill="FFFFFF"/>
        </w:rPr>
        <w:t>θ</w:t>
      </w:r>
      <w:r w:rsidR="0077466A" w:rsidRPr="00614B1B">
        <w:rPr>
          <w:rFonts w:ascii="Times New Roman" w:hAnsi="Times New Roman"/>
          <w:color w:val="000000" w:themeColor="text1"/>
          <w:shd w:val="clear" w:color="auto" w:fill="FFFFFF"/>
          <w:lang w:val="pt-BR"/>
        </w:rPr>
        <w:t xml:space="preserve"> de 7 a 70º.</w:t>
      </w:r>
      <w:r w:rsidRPr="00614B1B">
        <w:rPr>
          <w:rFonts w:ascii="Times New Roman" w:hAnsi="Times New Roman"/>
          <w:color w:val="000000" w:themeColor="text1"/>
          <w:lang w:val="pt-BR"/>
        </w:rPr>
        <w:t xml:space="preserve"> </w:t>
      </w:r>
      <w:r w:rsidR="002C5CC8" w:rsidRPr="00614B1B">
        <w:rPr>
          <w:rFonts w:ascii="Times New Roman" w:hAnsi="Times New Roman"/>
          <w:color w:val="000000" w:themeColor="text1"/>
          <w:lang w:val="pt-BR"/>
        </w:rPr>
        <w:t xml:space="preserve">A análise de TGA </w:t>
      </w:r>
      <w:r w:rsidR="002C5CC8" w:rsidRPr="002C5CC8">
        <w:rPr>
          <w:rFonts w:ascii="Times New Roman" w:hAnsi="Times New Roman"/>
          <w:lang w:val="pt-BR"/>
        </w:rPr>
        <w:t xml:space="preserve">do precursor do tipo </w:t>
      </w:r>
      <w:proofErr w:type="spellStart"/>
      <w:r w:rsidR="002C5CC8" w:rsidRPr="002C5CC8">
        <w:rPr>
          <w:rFonts w:ascii="Times New Roman" w:hAnsi="Times New Roman"/>
          <w:lang w:val="pt-BR"/>
        </w:rPr>
        <w:t>hidrotalcita</w:t>
      </w:r>
      <w:proofErr w:type="spellEnd"/>
      <w:r w:rsidR="002C5CC8" w:rsidRPr="002C5CC8">
        <w:rPr>
          <w:rFonts w:ascii="Times New Roman" w:hAnsi="Times New Roman"/>
          <w:lang w:val="pt-BR"/>
        </w:rPr>
        <w:t xml:space="preserve"> foi realizada a fim de observar o comportamento térmico e as temperaturas em que ocorrem mudanças estruturais dos materiais durante o processo de </w:t>
      </w:r>
      <w:r w:rsidR="002C5CC8" w:rsidRPr="002C5CC8">
        <w:rPr>
          <w:rFonts w:ascii="Times New Roman" w:hAnsi="Times New Roman"/>
          <w:lang w:val="pt-BR"/>
        </w:rPr>
        <w:lastRenderedPageBreak/>
        <w:t>calcinação. As análises foram realizadas em um TGA Q-50 (Número de série: 0390) com a inserção de 3 a 4 mg de amostra sobre uma panelinha de platina. Usou-se uma taxa de aquecimento de 20 °C/min, na faixa de temperatura de 50 a 600°C.</w:t>
      </w:r>
    </w:p>
    <w:p w14:paraId="467DEA9F" w14:textId="1E0CF855" w:rsidR="00A15499" w:rsidRDefault="00A15499" w:rsidP="00EA4E1B">
      <w:pPr>
        <w:pStyle w:val="TAMainText"/>
        <w:rPr>
          <w:rFonts w:ascii="Times New Roman" w:hAnsi="Times New Roman"/>
          <w:lang w:val="pt-BR"/>
        </w:rPr>
      </w:pPr>
      <w:r w:rsidRPr="00A15499">
        <w:rPr>
          <w:rFonts w:ascii="Times New Roman" w:hAnsi="Times New Roman"/>
          <w:lang w:val="pt-BR"/>
        </w:rPr>
        <w:t xml:space="preserve">Os experimentos de redução a temperatura programada (TPR) foram realizados em uma unidade multipropósito </w:t>
      </w:r>
      <w:proofErr w:type="spellStart"/>
      <w:r w:rsidRPr="00A15499">
        <w:rPr>
          <w:rFonts w:ascii="Times New Roman" w:hAnsi="Times New Roman"/>
          <w:lang w:val="pt-BR"/>
        </w:rPr>
        <w:t>Autochem</w:t>
      </w:r>
      <w:proofErr w:type="spellEnd"/>
      <w:r w:rsidRPr="00A15499">
        <w:rPr>
          <w:rFonts w:ascii="Times New Roman" w:hAnsi="Times New Roman"/>
          <w:lang w:val="pt-BR"/>
        </w:rPr>
        <w:t xml:space="preserve"> 2920 da </w:t>
      </w:r>
      <w:proofErr w:type="spellStart"/>
      <w:r w:rsidRPr="00A15499">
        <w:rPr>
          <w:rFonts w:ascii="Times New Roman" w:hAnsi="Times New Roman"/>
          <w:lang w:val="pt-BR"/>
        </w:rPr>
        <w:t>Micromeritics</w:t>
      </w:r>
      <w:proofErr w:type="spellEnd"/>
      <w:r w:rsidRPr="00A15499">
        <w:rPr>
          <w:rFonts w:ascii="Times New Roman" w:hAnsi="Times New Roman"/>
          <w:lang w:val="pt-BR"/>
        </w:rPr>
        <w:t>. O procedimento adotado consistiu em, primeiramente, realizar um pré-tratamento sob fluxo de argônio</w:t>
      </w:r>
      <w:r w:rsidR="00D2069D">
        <w:rPr>
          <w:rFonts w:ascii="Times New Roman" w:hAnsi="Times New Roman"/>
          <w:lang w:val="pt-BR"/>
        </w:rPr>
        <w:t xml:space="preserve"> (50 cm</w:t>
      </w:r>
      <w:r w:rsidR="00D2069D" w:rsidRPr="00D2069D">
        <w:rPr>
          <w:rFonts w:ascii="Times New Roman" w:hAnsi="Times New Roman"/>
          <w:vertAlign w:val="superscript"/>
          <w:lang w:val="pt-BR"/>
        </w:rPr>
        <w:t>3</w:t>
      </w:r>
      <w:r w:rsidR="00D2069D">
        <w:rPr>
          <w:rFonts w:ascii="Times New Roman" w:hAnsi="Times New Roman"/>
          <w:lang w:val="pt-BR"/>
        </w:rPr>
        <w:t>/min)</w:t>
      </w:r>
      <w:r w:rsidRPr="00A15499">
        <w:rPr>
          <w:rFonts w:ascii="Times New Roman" w:hAnsi="Times New Roman"/>
          <w:lang w:val="pt-BR"/>
        </w:rPr>
        <w:t xml:space="preserve"> a 500 °C, por 60 minutos. Após o resfriamento até a temperatura ambiente, foi realizada a redução do catalisador com uma mistura </w:t>
      </w:r>
      <w:r w:rsidR="007401E0">
        <w:rPr>
          <w:rFonts w:ascii="Times New Roman" w:hAnsi="Times New Roman"/>
          <w:lang w:val="pt-BR"/>
        </w:rPr>
        <w:t>5%</w:t>
      </w:r>
      <w:r w:rsidR="004A6914">
        <w:rPr>
          <w:rFonts w:ascii="Times New Roman" w:hAnsi="Times New Roman"/>
          <w:lang w:val="pt-BR"/>
        </w:rPr>
        <w:t>CO</w:t>
      </w:r>
      <w:r w:rsidR="007401E0">
        <w:rPr>
          <w:rFonts w:ascii="Times New Roman" w:hAnsi="Times New Roman"/>
          <w:lang w:val="pt-BR"/>
        </w:rPr>
        <w:t>/He</w:t>
      </w:r>
      <w:r w:rsidRPr="00A15499">
        <w:rPr>
          <w:rFonts w:ascii="Times New Roman" w:hAnsi="Times New Roman"/>
          <w:lang w:val="pt-BR"/>
        </w:rPr>
        <w:t xml:space="preserve">, </w:t>
      </w:r>
      <w:r w:rsidR="00D2069D" w:rsidRPr="00D2069D">
        <w:rPr>
          <w:rFonts w:ascii="Times New Roman" w:hAnsi="Times New Roman"/>
          <w:lang w:val="pt-BR"/>
        </w:rPr>
        <w:t>(</w:t>
      </w:r>
      <w:r w:rsidR="00D2069D">
        <w:rPr>
          <w:rFonts w:ascii="Times New Roman" w:hAnsi="Times New Roman"/>
          <w:lang w:val="pt-BR"/>
        </w:rPr>
        <w:t>6</w:t>
      </w:r>
      <w:r w:rsidR="00D2069D" w:rsidRPr="00D2069D">
        <w:rPr>
          <w:rFonts w:ascii="Times New Roman" w:hAnsi="Times New Roman"/>
          <w:lang w:val="pt-BR"/>
        </w:rPr>
        <w:t>0 cm</w:t>
      </w:r>
      <w:r w:rsidR="00D2069D" w:rsidRPr="00D2069D">
        <w:rPr>
          <w:rFonts w:ascii="Times New Roman" w:hAnsi="Times New Roman"/>
          <w:vertAlign w:val="superscript"/>
          <w:lang w:val="pt-BR"/>
        </w:rPr>
        <w:t>3</w:t>
      </w:r>
      <w:r w:rsidR="00D2069D" w:rsidRPr="00D2069D">
        <w:rPr>
          <w:rFonts w:ascii="Times New Roman" w:hAnsi="Times New Roman"/>
          <w:lang w:val="pt-BR"/>
        </w:rPr>
        <w:t>/min)</w:t>
      </w:r>
      <w:r w:rsidR="00D2069D">
        <w:rPr>
          <w:rFonts w:ascii="Times New Roman" w:hAnsi="Times New Roman"/>
          <w:lang w:val="pt-BR"/>
        </w:rPr>
        <w:t>,</w:t>
      </w:r>
      <w:r w:rsidR="00D2069D" w:rsidRPr="00D2069D">
        <w:rPr>
          <w:rFonts w:ascii="Times New Roman" w:hAnsi="Times New Roman"/>
          <w:lang w:val="pt-BR"/>
        </w:rPr>
        <w:t xml:space="preserve"> </w:t>
      </w:r>
      <w:r w:rsidRPr="00A15499">
        <w:rPr>
          <w:rFonts w:ascii="Times New Roman" w:hAnsi="Times New Roman"/>
          <w:lang w:val="pt-BR"/>
        </w:rPr>
        <w:t>utilizando-se uma taxa de aquecimento de 10 °C</w:t>
      </w:r>
      <w:r w:rsidR="00D2069D">
        <w:rPr>
          <w:rFonts w:ascii="Times New Roman" w:hAnsi="Times New Roman"/>
          <w:lang w:val="pt-BR"/>
        </w:rPr>
        <w:t>/min a</w:t>
      </w:r>
      <w:r w:rsidRPr="00A15499">
        <w:rPr>
          <w:rFonts w:ascii="Times New Roman" w:hAnsi="Times New Roman"/>
          <w:lang w:val="pt-BR"/>
        </w:rPr>
        <w:t xml:space="preserve">té </w:t>
      </w:r>
      <w:r>
        <w:rPr>
          <w:rFonts w:ascii="Times New Roman" w:hAnsi="Times New Roman"/>
          <w:lang w:val="pt-BR"/>
        </w:rPr>
        <w:t>500</w:t>
      </w:r>
      <w:r w:rsidRPr="00A15499">
        <w:rPr>
          <w:rFonts w:ascii="Times New Roman" w:hAnsi="Times New Roman"/>
          <w:lang w:val="pt-BR"/>
        </w:rPr>
        <w:t xml:space="preserve"> °C permanecendo nesta temperatura por 30 min. </w:t>
      </w:r>
      <w:r w:rsidRPr="00D2069D">
        <w:rPr>
          <w:rFonts w:ascii="Times New Roman" w:hAnsi="Times New Roman"/>
          <w:lang w:val="pt-BR"/>
        </w:rPr>
        <w:t>A</w:t>
      </w:r>
      <w:r w:rsidRPr="00A15499">
        <w:rPr>
          <w:rFonts w:ascii="Times New Roman" w:hAnsi="Times New Roman"/>
          <w:lang w:val="pt-BR"/>
        </w:rPr>
        <w:t xml:space="preserve"> massa de catalisador utilizada foi de 0,05 g.</w:t>
      </w:r>
      <w:r>
        <w:rPr>
          <w:rFonts w:ascii="Times New Roman" w:hAnsi="Times New Roman"/>
          <w:lang w:val="pt-BR"/>
        </w:rPr>
        <w:t xml:space="preserve"> </w:t>
      </w:r>
    </w:p>
    <w:p w14:paraId="4D9FF62E" w14:textId="28F03028" w:rsidR="00A15499" w:rsidRDefault="00A15499" w:rsidP="00EA4E1B">
      <w:pPr>
        <w:pStyle w:val="TAMainText"/>
        <w:rPr>
          <w:rFonts w:ascii="Times New Roman" w:hAnsi="Times New Roman"/>
          <w:lang w:val="pt-BR"/>
        </w:rPr>
      </w:pPr>
      <w:r>
        <w:rPr>
          <w:rFonts w:ascii="Times New Roman" w:hAnsi="Times New Roman"/>
          <w:lang w:val="pt-BR"/>
        </w:rPr>
        <w:t xml:space="preserve">Os experimentos de </w:t>
      </w:r>
      <w:r w:rsidR="009C7B2E">
        <w:rPr>
          <w:rFonts w:ascii="Times New Roman" w:hAnsi="Times New Roman"/>
          <w:lang w:val="pt-BR"/>
        </w:rPr>
        <w:t>dessorção a temperatura programada (TPD)</w:t>
      </w:r>
      <w:r w:rsidR="0077466A">
        <w:rPr>
          <w:rFonts w:ascii="Times New Roman" w:hAnsi="Times New Roman"/>
          <w:lang w:val="pt-BR"/>
        </w:rPr>
        <w:t xml:space="preserve"> foram realizados na mesma unidade multipropósito </w:t>
      </w:r>
      <w:proofErr w:type="spellStart"/>
      <w:r w:rsidR="0077466A">
        <w:rPr>
          <w:rFonts w:ascii="Times New Roman" w:hAnsi="Times New Roman"/>
          <w:lang w:val="pt-BR"/>
        </w:rPr>
        <w:t>Autochem</w:t>
      </w:r>
      <w:proofErr w:type="spellEnd"/>
      <w:r w:rsidR="0077466A">
        <w:rPr>
          <w:rFonts w:ascii="Times New Roman" w:hAnsi="Times New Roman"/>
          <w:lang w:val="pt-BR"/>
        </w:rPr>
        <w:t xml:space="preserve"> 2920. O procedimento </w:t>
      </w:r>
      <w:r w:rsidR="007F1BD2">
        <w:rPr>
          <w:rFonts w:ascii="Times New Roman" w:hAnsi="Times New Roman"/>
          <w:lang w:val="pt-BR"/>
        </w:rPr>
        <w:t xml:space="preserve">começou com a </w:t>
      </w:r>
      <w:r w:rsidR="007F1BD2" w:rsidRPr="007F1BD2">
        <w:rPr>
          <w:rFonts w:ascii="Times New Roman" w:hAnsi="Times New Roman"/>
          <w:lang w:val="pt-BR"/>
        </w:rPr>
        <w:t xml:space="preserve">secagem das amostras a </w:t>
      </w:r>
      <w:r w:rsidR="007F1BD2">
        <w:rPr>
          <w:rFonts w:ascii="Times New Roman" w:hAnsi="Times New Roman"/>
          <w:lang w:val="pt-BR"/>
        </w:rPr>
        <w:t>50</w:t>
      </w:r>
      <w:r w:rsidR="007F1BD2" w:rsidRPr="007F1BD2">
        <w:rPr>
          <w:rFonts w:ascii="Times New Roman" w:hAnsi="Times New Roman"/>
          <w:lang w:val="pt-BR"/>
        </w:rPr>
        <w:t>0</w:t>
      </w:r>
      <w:r w:rsidR="00BC6C3C">
        <w:rPr>
          <w:rFonts w:ascii="Times New Roman" w:hAnsi="Times New Roman"/>
          <w:lang w:val="pt-BR"/>
        </w:rPr>
        <w:t xml:space="preserve"> </w:t>
      </w:r>
      <w:r w:rsidR="007F1BD2" w:rsidRPr="007F1BD2">
        <w:rPr>
          <w:rFonts w:ascii="Times New Roman" w:hAnsi="Times New Roman"/>
          <w:lang w:val="pt-BR"/>
        </w:rPr>
        <w:t>°C, por 30 min, sob fluxo de He (</w:t>
      </w:r>
      <w:r w:rsidR="00D2069D">
        <w:rPr>
          <w:rFonts w:ascii="Times New Roman" w:hAnsi="Times New Roman"/>
          <w:lang w:val="pt-BR"/>
        </w:rPr>
        <w:t>5</w:t>
      </w:r>
      <w:r w:rsidR="007F1BD2" w:rsidRPr="007F1BD2">
        <w:rPr>
          <w:rFonts w:ascii="Times New Roman" w:hAnsi="Times New Roman"/>
          <w:lang w:val="pt-BR"/>
        </w:rPr>
        <w:t xml:space="preserve">0 </w:t>
      </w:r>
      <w:r w:rsidR="00D2069D" w:rsidRPr="00D2069D">
        <w:rPr>
          <w:rFonts w:ascii="Times New Roman" w:hAnsi="Times New Roman"/>
          <w:lang w:val="pt-BR"/>
        </w:rPr>
        <w:t>cm</w:t>
      </w:r>
      <w:r w:rsidR="00D2069D" w:rsidRPr="00D2069D">
        <w:rPr>
          <w:rFonts w:ascii="Times New Roman" w:hAnsi="Times New Roman"/>
          <w:vertAlign w:val="superscript"/>
          <w:lang w:val="pt-BR"/>
        </w:rPr>
        <w:t>3</w:t>
      </w:r>
      <w:r w:rsidR="00D2069D">
        <w:rPr>
          <w:rFonts w:ascii="Times New Roman" w:hAnsi="Times New Roman"/>
          <w:lang w:val="pt-BR"/>
        </w:rPr>
        <w:t>/</w:t>
      </w:r>
      <w:r w:rsidR="007F1BD2" w:rsidRPr="00D2069D">
        <w:rPr>
          <w:rFonts w:ascii="Times New Roman" w:hAnsi="Times New Roman"/>
          <w:lang w:val="pt-BR"/>
        </w:rPr>
        <w:t>min</w:t>
      </w:r>
      <w:r w:rsidR="007F1BD2" w:rsidRPr="007F1BD2">
        <w:rPr>
          <w:rFonts w:ascii="Times New Roman" w:hAnsi="Times New Roman"/>
          <w:lang w:val="pt-BR"/>
        </w:rPr>
        <w:t>), seguido de resfriamento até temperatura ambiente.</w:t>
      </w:r>
      <w:r w:rsidR="007F1BD2">
        <w:rPr>
          <w:rFonts w:ascii="Times New Roman" w:hAnsi="Times New Roman"/>
          <w:lang w:val="pt-BR"/>
        </w:rPr>
        <w:t xml:space="preserve"> </w:t>
      </w:r>
      <w:r w:rsidR="007F1BD2" w:rsidRPr="007F1BD2">
        <w:rPr>
          <w:rFonts w:ascii="Times New Roman" w:hAnsi="Times New Roman"/>
          <w:lang w:val="pt-BR"/>
        </w:rPr>
        <w:t xml:space="preserve">A seguir, </w:t>
      </w:r>
      <w:r w:rsidR="007F1BD2" w:rsidRPr="001424F8">
        <w:rPr>
          <w:rFonts w:ascii="Times New Roman" w:hAnsi="Times New Roman"/>
          <w:lang w:val="pt-BR"/>
        </w:rPr>
        <w:t>foi realizada a redução das amostras com H</w:t>
      </w:r>
      <w:r w:rsidR="007F1BD2" w:rsidRPr="001424F8">
        <w:rPr>
          <w:rFonts w:ascii="Times New Roman" w:hAnsi="Times New Roman"/>
          <w:vertAlign w:val="subscript"/>
          <w:lang w:val="pt-BR"/>
        </w:rPr>
        <w:t>2</w:t>
      </w:r>
      <w:r w:rsidR="007F1BD2" w:rsidRPr="001424F8">
        <w:rPr>
          <w:rFonts w:ascii="Times New Roman" w:hAnsi="Times New Roman"/>
          <w:lang w:val="pt-BR"/>
        </w:rPr>
        <w:t>/Ar (10 % v/v) até 500</w:t>
      </w:r>
      <w:r w:rsidR="00BC6C3C" w:rsidRPr="001424F8">
        <w:rPr>
          <w:rFonts w:ascii="Times New Roman" w:hAnsi="Times New Roman"/>
          <w:lang w:val="pt-BR"/>
        </w:rPr>
        <w:t xml:space="preserve"> </w:t>
      </w:r>
      <w:r w:rsidR="007F1BD2" w:rsidRPr="001424F8">
        <w:rPr>
          <w:rFonts w:ascii="Times New Roman" w:hAnsi="Times New Roman"/>
          <w:lang w:val="pt-BR"/>
        </w:rPr>
        <w:t>ºC por 1</w:t>
      </w:r>
      <w:r w:rsidR="00BC6C3C" w:rsidRPr="001424F8">
        <w:rPr>
          <w:rFonts w:ascii="Times New Roman" w:hAnsi="Times New Roman"/>
          <w:lang w:val="pt-BR"/>
        </w:rPr>
        <w:t xml:space="preserve"> </w:t>
      </w:r>
      <w:r w:rsidR="007F1BD2" w:rsidRPr="001424F8">
        <w:rPr>
          <w:rFonts w:ascii="Times New Roman" w:hAnsi="Times New Roman"/>
          <w:lang w:val="pt-BR"/>
        </w:rPr>
        <w:t xml:space="preserve">h e após isso realizou-se uma purga com hélio. A adsorção foi </w:t>
      </w:r>
      <w:r w:rsidR="001424F8" w:rsidRPr="001424F8">
        <w:rPr>
          <w:rFonts w:ascii="Times New Roman" w:hAnsi="Times New Roman"/>
          <w:lang w:val="pt-BR"/>
        </w:rPr>
        <w:t xml:space="preserve">feita </w:t>
      </w:r>
      <w:r w:rsidR="007F1BD2" w:rsidRPr="001424F8">
        <w:rPr>
          <w:rFonts w:ascii="Times New Roman" w:hAnsi="Times New Roman"/>
          <w:lang w:val="pt-BR"/>
        </w:rPr>
        <w:t>em seguida com mistura 1% NO/He sob fluxo constante (</w:t>
      </w:r>
      <w:r w:rsidR="004250D4" w:rsidRPr="001424F8">
        <w:rPr>
          <w:rFonts w:ascii="Times New Roman" w:hAnsi="Times New Roman"/>
          <w:lang w:val="pt-BR"/>
        </w:rPr>
        <w:t>5</w:t>
      </w:r>
      <w:r w:rsidR="007F1BD2" w:rsidRPr="001424F8">
        <w:rPr>
          <w:rFonts w:ascii="Times New Roman" w:hAnsi="Times New Roman"/>
          <w:lang w:val="pt-BR"/>
        </w:rPr>
        <w:t xml:space="preserve">0 </w:t>
      </w:r>
      <w:r w:rsidR="00D2069D" w:rsidRPr="001424F8">
        <w:rPr>
          <w:rFonts w:ascii="Times New Roman" w:hAnsi="Times New Roman"/>
          <w:lang w:val="pt-BR"/>
        </w:rPr>
        <w:t>cm</w:t>
      </w:r>
      <w:r w:rsidR="00D2069D" w:rsidRPr="001424F8">
        <w:rPr>
          <w:rFonts w:ascii="Times New Roman" w:hAnsi="Times New Roman"/>
          <w:vertAlign w:val="superscript"/>
          <w:lang w:val="pt-BR"/>
        </w:rPr>
        <w:t>3</w:t>
      </w:r>
      <w:r w:rsidR="007F1BD2" w:rsidRPr="001424F8">
        <w:rPr>
          <w:rFonts w:ascii="Times New Roman" w:hAnsi="Times New Roman"/>
          <w:lang w:val="pt-BR"/>
        </w:rPr>
        <w:t xml:space="preserve">/min) por </w:t>
      </w:r>
      <w:r w:rsidR="000E6E1A" w:rsidRPr="001424F8">
        <w:rPr>
          <w:rFonts w:ascii="Times New Roman" w:hAnsi="Times New Roman"/>
          <w:lang w:val="pt-BR"/>
        </w:rPr>
        <w:t>1</w:t>
      </w:r>
      <w:r w:rsidR="00786947" w:rsidRPr="001424F8">
        <w:rPr>
          <w:rFonts w:ascii="Times New Roman" w:hAnsi="Times New Roman"/>
          <w:lang w:val="pt-BR"/>
        </w:rPr>
        <w:t xml:space="preserve"> </w:t>
      </w:r>
      <w:r w:rsidR="000E6E1A" w:rsidRPr="001424F8">
        <w:rPr>
          <w:rFonts w:ascii="Times New Roman" w:hAnsi="Times New Roman"/>
          <w:lang w:val="pt-BR"/>
        </w:rPr>
        <w:t>h</w:t>
      </w:r>
      <w:r w:rsidR="007F1BD2" w:rsidRPr="001424F8">
        <w:rPr>
          <w:rFonts w:ascii="Times New Roman" w:hAnsi="Times New Roman"/>
          <w:lang w:val="pt-BR"/>
        </w:rPr>
        <w:t xml:space="preserve">. </w:t>
      </w:r>
      <w:r w:rsidR="00BC6C3C" w:rsidRPr="001424F8">
        <w:rPr>
          <w:rFonts w:ascii="Times New Roman" w:hAnsi="Times New Roman"/>
          <w:lang w:val="pt-BR"/>
        </w:rPr>
        <w:t>Posteriormente</w:t>
      </w:r>
      <w:r w:rsidR="007F1BD2" w:rsidRPr="001424F8">
        <w:rPr>
          <w:rFonts w:ascii="Times New Roman" w:hAnsi="Times New Roman"/>
          <w:lang w:val="pt-BR"/>
        </w:rPr>
        <w:t xml:space="preserve">, </w:t>
      </w:r>
      <w:r w:rsidR="001424F8">
        <w:rPr>
          <w:rFonts w:ascii="Times New Roman" w:hAnsi="Times New Roman"/>
          <w:lang w:val="pt-BR"/>
        </w:rPr>
        <w:t xml:space="preserve">realizou-se </w:t>
      </w:r>
      <w:r w:rsidR="007F1BD2" w:rsidRPr="001424F8">
        <w:rPr>
          <w:rFonts w:ascii="Times New Roman" w:hAnsi="Times New Roman"/>
          <w:lang w:val="pt-BR"/>
        </w:rPr>
        <w:t xml:space="preserve">a limpeza do </w:t>
      </w:r>
      <w:r w:rsidR="000E6E1A" w:rsidRPr="001424F8">
        <w:rPr>
          <w:rFonts w:ascii="Times New Roman" w:hAnsi="Times New Roman"/>
          <w:lang w:val="pt-BR"/>
        </w:rPr>
        <w:t>N</w:t>
      </w:r>
      <w:r w:rsidR="007F1BD2" w:rsidRPr="001424F8">
        <w:rPr>
          <w:rFonts w:ascii="Times New Roman" w:hAnsi="Times New Roman"/>
          <w:lang w:val="pt-BR"/>
        </w:rPr>
        <w:t xml:space="preserve">O </w:t>
      </w:r>
      <w:proofErr w:type="spellStart"/>
      <w:r w:rsidR="007F1BD2" w:rsidRPr="001424F8">
        <w:rPr>
          <w:rFonts w:ascii="Times New Roman" w:hAnsi="Times New Roman"/>
          <w:lang w:val="pt-BR"/>
        </w:rPr>
        <w:t>fisissorvido</w:t>
      </w:r>
      <w:proofErr w:type="spellEnd"/>
      <w:r w:rsidR="007F1BD2" w:rsidRPr="001424F8">
        <w:rPr>
          <w:rFonts w:ascii="Times New Roman" w:hAnsi="Times New Roman"/>
          <w:lang w:val="pt-BR"/>
        </w:rPr>
        <w:t xml:space="preserve"> sob fluxo de He a 60 </w:t>
      </w:r>
      <w:r w:rsidR="004250D4" w:rsidRPr="001424F8">
        <w:rPr>
          <w:rFonts w:ascii="Times New Roman" w:hAnsi="Times New Roman"/>
          <w:lang w:val="pt-BR"/>
        </w:rPr>
        <w:t>cm</w:t>
      </w:r>
      <w:r w:rsidR="004250D4" w:rsidRPr="001424F8">
        <w:rPr>
          <w:rFonts w:ascii="Times New Roman" w:hAnsi="Times New Roman"/>
          <w:vertAlign w:val="superscript"/>
          <w:lang w:val="pt-BR"/>
        </w:rPr>
        <w:t>3</w:t>
      </w:r>
      <w:r w:rsidR="007F1BD2" w:rsidRPr="001424F8">
        <w:rPr>
          <w:rFonts w:ascii="Times New Roman" w:hAnsi="Times New Roman"/>
          <w:lang w:val="pt-BR"/>
        </w:rPr>
        <w:t>/min, por 1</w:t>
      </w:r>
      <w:r w:rsidR="00BC6C3C" w:rsidRPr="001424F8">
        <w:rPr>
          <w:rFonts w:ascii="Times New Roman" w:hAnsi="Times New Roman"/>
          <w:lang w:val="pt-BR"/>
        </w:rPr>
        <w:t xml:space="preserve"> </w:t>
      </w:r>
      <w:r w:rsidR="007F1BD2" w:rsidRPr="001424F8">
        <w:rPr>
          <w:rFonts w:ascii="Times New Roman" w:hAnsi="Times New Roman"/>
          <w:lang w:val="pt-BR"/>
        </w:rPr>
        <w:t xml:space="preserve">h. </w:t>
      </w:r>
      <w:r w:rsidR="001F6072" w:rsidRPr="001424F8">
        <w:rPr>
          <w:rFonts w:ascii="Times New Roman" w:hAnsi="Times New Roman"/>
          <w:lang w:val="pt-BR"/>
        </w:rPr>
        <w:t xml:space="preserve">Finalmente, </w:t>
      </w:r>
      <w:r w:rsidR="001424F8" w:rsidRPr="001424F8">
        <w:rPr>
          <w:rFonts w:ascii="Times New Roman" w:hAnsi="Times New Roman"/>
          <w:lang w:val="pt-BR"/>
        </w:rPr>
        <w:t>procedeu</w:t>
      </w:r>
      <w:r w:rsidR="001424F8">
        <w:rPr>
          <w:rFonts w:ascii="Times New Roman" w:hAnsi="Times New Roman"/>
          <w:lang w:val="pt-BR"/>
        </w:rPr>
        <w:t>-se à</w:t>
      </w:r>
      <w:r w:rsidR="001F6072">
        <w:rPr>
          <w:rFonts w:ascii="Times New Roman" w:hAnsi="Times New Roman"/>
          <w:lang w:val="pt-BR"/>
        </w:rPr>
        <w:t xml:space="preserve"> </w:t>
      </w:r>
      <w:r w:rsidR="001F6072" w:rsidRPr="007F1BD2">
        <w:rPr>
          <w:rFonts w:ascii="Times New Roman" w:hAnsi="Times New Roman"/>
          <w:lang w:val="pt-BR"/>
        </w:rPr>
        <w:t xml:space="preserve">dessorção do gás </w:t>
      </w:r>
      <w:proofErr w:type="spellStart"/>
      <w:r w:rsidR="001F6072" w:rsidRPr="007F1BD2">
        <w:rPr>
          <w:rFonts w:ascii="Times New Roman" w:hAnsi="Times New Roman"/>
          <w:lang w:val="pt-BR"/>
        </w:rPr>
        <w:t>quimissorvido</w:t>
      </w:r>
      <w:proofErr w:type="spellEnd"/>
      <w:r w:rsidR="001424F8">
        <w:rPr>
          <w:rFonts w:ascii="Times New Roman" w:hAnsi="Times New Roman"/>
          <w:lang w:val="pt-BR"/>
        </w:rPr>
        <w:t>,</w:t>
      </w:r>
      <w:r w:rsidR="007F1BD2" w:rsidRPr="007F1BD2">
        <w:rPr>
          <w:rFonts w:ascii="Times New Roman" w:hAnsi="Times New Roman"/>
          <w:lang w:val="pt-BR"/>
        </w:rPr>
        <w:t xml:space="preserve"> aument</w:t>
      </w:r>
      <w:r w:rsidR="00D2069D">
        <w:rPr>
          <w:rFonts w:ascii="Times New Roman" w:hAnsi="Times New Roman"/>
          <w:lang w:val="pt-BR"/>
        </w:rPr>
        <w:t>a</w:t>
      </w:r>
      <w:r w:rsidR="001F6072">
        <w:rPr>
          <w:rFonts w:ascii="Times New Roman" w:hAnsi="Times New Roman"/>
          <w:lang w:val="pt-BR"/>
        </w:rPr>
        <w:t>ndo</w:t>
      </w:r>
      <w:r w:rsidR="001424F8">
        <w:rPr>
          <w:rFonts w:ascii="Times New Roman" w:hAnsi="Times New Roman"/>
          <w:lang w:val="pt-BR"/>
        </w:rPr>
        <w:t>-se</w:t>
      </w:r>
      <w:r w:rsidR="007F1BD2" w:rsidRPr="007F1BD2">
        <w:rPr>
          <w:rFonts w:ascii="Times New Roman" w:hAnsi="Times New Roman"/>
          <w:lang w:val="pt-BR"/>
        </w:rPr>
        <w:t xml:space="preserve"> </w:t>
      </w:r>
      <w:r w:rsidR="001F6072">
        <w:rPr>
          <w:rFonts w:ascii="Times New Roman" w:hAnsi="Times New Roman"/>
          <w:lang w:val="pt-BR"/>
        </w:rPr>
        <w:t xml:space="preserve">a </w:t>
      </w:r>
      <w:r w:rsidR="007F1BD2" w:rsidRPr="007F1BD2">
        <w:rPr>
          <w:rFonts w:ascii="Times New Roman" w:hAnsi="Times New Roman"/>
          <w:lang w:val="pt-BR"/>
        </w:rPr>
        <w:t>temperatura até 500</w:t>
      </w:r>
      <w:r w:rsidR="00F136C4">
        <w:rPr>
          <w:rFonts w:ascii="Times New Roman" w:hAnsi="Times New Roman"/>
          <w:lang w:val="pt-BR"/>
        </w:rPr>
        <w:t xml:space="preserve"> </w:t>
      </w:r>
      <w:r w:rsidR="007F1BD2" w:rsidRPr="007F1BD2">
        <w:rPr>
          <w:rFonts w:ascii="Times New Roman" w:hAnsi="Times New Roman"/>
          <w:lang w:val="pt-BR"/>
        </w:rPr>
        <w:t xml:space="preserve">°C com taxa de aquecimento 10°C/min, seguido de um patamar a 500ºC por 30 min. </w:t>
      </w:r>
      <w:r w:rsidR="004250D4" w:rsidRPr="004250D4">
        <w:rPr>
          <w:rFonts w:ascii="Times New Roman" w:hAnsi="Times New Roman"/>
          <w:lang w:val="pt-BR"/>
        </w:rPr>
        <w:t>A massa de catalisador utilizada foi de 0,</w:t>
      </w:r>
      <w:r w:rsidR="004250D4">
        <w:rPr>
          <w:rFonts w:ascii="Times New Roman" w:hAnsi="Times New Roman"/>
          <w:lang w:val="pt-BR"/>
        </w:rPr>
        <w:t>2</w:t>
      </w:r>
      <w:r w:rsidR="004250D4" w:rsidRPr="004250D4">
        <w:rPr>
          <w:rFonts w:ascii="Times New Roman" w:hAnsi="Times New Roman"/>
          <w:lang w:val="pt-BR"/>
        </w:rPr>
        <w:t xml:space="preserve"> g.</w:t>
      </w:r>
    </w:p>
    <w:p w14:paraId="69CA6851" w14:textId="77777777" w:rsidR="007401E0" w:rsidRDefault="007401E0" w:rsidP="00EA4E1B">
      <w:pPr>
        <w:pStyle w:val="TAMainText"/>
        <w:rPr>
          <w:rFonts w:ascii="Times New Roman" w:hAnsi="Times New Roman"/>
          <w:lang w:val="pt-BR"/>
        </w:rPr>
      </w:pPr>
    </w:p>
    <w:p w14:paraId="778C83C8" w14:textId="77777777" w:rsidR="007401E0" w:rsidRDefault="007401E0" w:rsidP="007401E0">
      <w:pPr>
        <w:pStyle w:val="TAMainText"/>
        <w:rPr>
          <w:rFonts w:ascii="Times New Roman" w:hAnsi="Times New Roman"/>
          <w:i/>
          <w:lang w:val="pt-BR"/>
        </w:rPr>
      </w:pPr>
      <w:r>
        <w:rPr>
          <w:rFonts w:ascii="Times New Roman" w:hAnsi="Times New Roman"/>
          <w:i/>
          <w:lang w:val="pt-BR"/>
        </w:rPr>
        <w:t xml:space="preserve">Testes catalíticos </w:t>
      </w:r>
    </w:p>
    <w:p w14:paraId="4357C63E" w14:textId="5A1A118A" w:rsidR="007401E0" w:rsidRPr="004250D4" w:rsidRDefault="007401E0" w:rsidP="005C3107">
      <w:pPr>
        <w:pStyle w:val="TAMainText"/>
        <w:spacing w:line="240" w:lineRule="auto"/>
        <w:rPr>
          <w:rFonts w:ascii="Times New Roman" w:hAnsi="Times New Roman"/>
          <w:lang w:val="pt-BR"/>
        </w:rPr>
      </w:pPr>
      <w:r w:rsidRPr="007401E0">
        <w:rPr>
          <w:rFonts w:ascii="Times New Roman" w:hAnsi="Times New Roman"/>
          <w:lang w:val="pt-BR"/>
        </w:rPr>
        <w:t xml:space="preserve">A reação de NO e CO foi </w:t>
      </w:r>
      <w:r>
        <w:rPr>
          <w:rFonts w:ascii="Times New Roman" w:hAnsi="Times New Roman"/>
          <w:lang w:val="pt-BR"/>
        </w:rPr>
        <w:t xml:space="preserve">realizada </w:t>
      </w:r>
      <w:r w:rsidRPr="007401E0">
        <w:rPr>
          <w:rFonts w:ascii="Times New Roman" w:hAnsi="Times New Roman"/>
          <w:lang w:val="pt-BR"/>
        </w:rPr>
        <w:t>em uma</w:t>
      </w:r>
      <w:r>
        <w:rPr>
          <w:rFonts w:ascii="Times New Roman" w:hAnsi="Times New Roman"/>
          <w:lang w:val="pt-BR"/>
        </w:rPr>
        <w:t xml:space="preserve"> </w:t>
      </w:r>
      <w:r w:rsidRPr="007401E0">
        <w:rPr>
          <w:rFonts w:ascii="Times New Roman" w:hAnsi="Times New Roman"/>
          <w:lang w:val="pt-BR"/>
        </w:rPr>
        <w:t>unidade convencional de teste catalítico. Foi usado um</w:t>
      </w:r>
      <w:r>
        <w:rPr>
          <w:rFonts w:ascii="Times New Roman" w:hAnsi="Times New Roman"/>
          <w:lang w:val="pt-BR"/>
        </w:rPr>
        <w:t xml:space="preserve"> </w:t>
      </w:r>
      <w:r w:rsidRPr="007401E0">
        <w:rPr>
          <w:rFonts w:ascii="Times New Roman" w:hAnsi="Times New Roman"/>
          <w:lang w:val="pt-BR"/>
        </w:rPr>
        <w:t>reator de leito fixo, com formato em U. A mistura de reação</w:t>
      </w:r>
      <w:r>
        <w:rPr>
          <w:rFonts w:ascii="Times New Roman" w:hAnsi="Times New Roman"/>
          <w:lang w:val="pt-BR"/>
        </w:rPr>
        <w:t xml:space="preserve"> </w:t>
      </w:r>
      <w:r w:rsidRPr="007401E0">
        <w:rPr>
          <w:rFonts w:ascii="Times New Roman" w:hAnsi="Times New Roman"/>
          <w:lang w:val="pt-BR"/>
        </w:rPr>
        <w:t>consistiu de 1% de NO, 1% de CO e balanço em He</w:t>
      </w:r>
      <w:r w:rsidR="00614B1B">
        <w:rPr>
          <w:rFonts w:ascii="Times New Roman" w:hAnsi="Times New Roman"/>
          <w:lang w:val="pt-BR"/>
        </w:rPr>
        <w:t xml:space="preserve"> e a </w:t>
      </w:r>
      <w:r w:rsidR="00614B1B" w:rsidRPr="00614B1B">
        <w:rPr>
          <w:rFonts w:ascii="Times New Roman" w:hAnsi="Times New Roman"/>
          <w:lang w:val="pt-BR"/>
        </w:rPr>
        <w:t>vazão da mistura foi mantida em 13,5 L/h.</w:t>
      </w:r>
      <w:r w:rsidRPr="007401E0">
        <w:rPr>
          <w:rFonts w:ascii="Times New Roman" w:hAnsi="Times New Roman"/>
          <w:lang w:val="pt-BR"/>
        </w:rPr>
        <w:t xml:space="preserve"> </w:t>
      </w:r>
      <w:r w:rsidRPr="004250D4">
        <w:rPr>
          <w:rFonts w:ascii="Times New Roman" w:hAnsi="Times New Roman"/>
          <w:lang w:val="pt-BR"/>
        </w:rPr>
        <w:t>A temperatura variou d</w:t>
      </w:r>
      <w:r w:rsidR="001F6072" w:rsidRPr="004250D4">
        <w:rPr>
          <w:rFonts w:ascii="Times New Roman" w:hAnsi="Times New Roman"/>
          <w:lang w:val="pt-BR"/>
        </w:rPr>
        <w:t xml:space="preserve">esde a temperatura </w:t>
      </w:r>
      <w:r w:rsidRPr="004250D4">
        <w:rPr>
          <w:rFonts w:ascii="Times New Roman" w:hAnsi="Times New Roman"/>
          <w:lang w:val="pt-BR"/>
        </w:rPr>
        <w:t>ambiente até 500 ºC</w:t>
      </w:r>
      <w:r w:rsidR="00436574" w:rsidRPr="004250D4">
        <w:rPr>
          <w:rFonts w:ascii="Times New Roman" w:hAnsi="Times New Roman"/>
          <w:lang w:val="pt-BR"/>
        </w:rPr>
        <w:t xml:space="preserve">, com uma taxa de aquecimento de </w:t>
      </w:r>
      <w:r w:rsidR="004250D4">
        <w:rPr>
          <w:rFonts w:ascii="Times New Roman" w:hAnsi="Times New Roman"/>
          <w:lang w:val="pt-BR"/>
        </w:rPr>
        <w:t>2</w:t>
      </w:r>
      <w:r w:rsidR="004250D4" w:rsidRPr="004250D4">
        <w:rPr>
          <w:rFonts w:ascii="Times New Roman" w:hAnsi="Times New Roman"/>
          <w:lang w:val="pt-BR"/>
        </w:rPr>
        <w:t xml:space="preserve"> </w:t>
      </w:r>
      <w:r w:rsidR="004250D4" w:rsidRPr="007F1BD2">
        <w:rPr>
          <w:rFonts w:ascii="Times New Roman" w:hAnsi="Times New Roman"/>
          <w:lang w:val="pt-BR"/>
        </w:rPr>
        <w:t>ºC</w:t>
      </w:r>
      <w:r w:rsidR="004250D4">
        <w:rPr>
          <w:rFonts w:ascii="Times New Roman" w:hAnsi="Times New Roman"/>
          <w:lang w:val="pt-BR"/>
        </w:rPr>
        <w:t>/</w:t>
      </w:r>
      <w:proofErr w:type="spellStart"/>
      <w:r w:rsidR="004250D4">
        <w:rPr>
          <w:rFonts w:ascii="Times New Roman" w:hAnsi="Times New Roman"/>
          <w:lang w:val="pt-BR"/>
        </w:rPr>
        <w:t>min</w:t>
      </w:r>
      <w:r w:rsidR="00614B1B">
        <w:rPr>
          <w:rFonts w:ascii="Times New Roman" w:hAnsi="Times New Roman"/>
          <w:lang w:val="pt-BR"/>
        </w:rPr>
        <w:t>.</w:t>
      </w:r>
      <w:r w:rsidR="00F52627" w:rsidRPr="004250D4">
        <w:rPr>
          <w:rFonts w:ascii="Times New Roman" w:hAnsi="Times New Roman"/>
          <w:lang w:val="pt-BR"/>
        </w:rPr>
        <w:t>Usaram</w:t>
      </w:r>
      <w:proofErr w:type="spellEnd"/>
      <w:r w:rsidR="00F52627" w:rsidRPr="004250D4">
        <w:rPr>
          <w:rFonts w:ascii="Times New Roman" w:hAnsi="Times New Roman"/>
          <w:lang w:val="pt-BR"/>
        </w:rPr>
        <w:t xml:space="preserve">-se </w:t>
      </w:r>
      <w:r w:rsidR="004250D4">
        <w:rPr>
          <w:rFonts w:ascii="Times New Roman" w:hAnsi="Times New Roman"/>
          <w:lang w:val="pt-BR"/>
        </w:rPr>
        <w:t>0,13</w:t>
      </w:r>
      <w:r w:rsidR="001424F8">
        <w:rPr>
          <w:rFonts w:ascii="Times New Roman" w:hAnsi="Times New Roman"/>
          <w:lang w:val="pt-BR"/>
        </w:rPr>
        <w:t xml:space="preserve"> </w:t>
      </w:r>
      <w:r w:rsidR="004250D4">
        <w:rPr>
          <w:rFonts w:ascii="Times New Roman" w:hAnsi="Times New Roman"/>
          <w:lang w:val="pt-BR"/>
        </w:rPr>
        <w:t>g</w:t>
      </w:r>
      <w:r w:rsidR="00F52627" w:rsidRPr="004250D4">
        <w:rPr>
          <w:rFonts w:ascii="Times New Roman" w:hAnsi="Times New Roman"/>
          <w:lang w:val="pt-BR"/>
        </w:rPr>
        <w:t xml:space="preserve"> de catalisador, </w:t>
      </w:r>
      <w:r w:rsidR="001424F8">
        <w:rPr>
          <w:rFonts w:ascii="Times New Roman" w:hAnsi="Times New Roman"/>
          <w:lang w:val="pt-BR"/>
        </w:rPr>
        <w:t>diluídos</w:t>
      </w:r>
      <w:r w:rsidR="001424F8" w:rsidRPr="004250D4">
        <w:rPr>
          <w:rFonts w:ascii="Times New Roman" w:hAnsi="Times New Roman"/>
          <w:lang w:val="pt-BR"/>
        </w:rPr>
        <w:t xml:space="preserve"> </w:t>
      </w:r>
      <w:r w:rsidR="00F52627" w:rsidRPr="004250D4">
        <w:rPr>
          <w:rFonts w:ascii="Times New Roman" w:hAnsi="Times New Roman"/>
          <w:lang w:val="pt-BR"/>
        </w:rPr>
        <w:t xml:space="preserve">com </w:t>
      </w:r>
      <w:r w:rsidR="004250D4">
        <w:rPr>
          <w:rFonts w:ascii="Times New Roman" w:hAnsi="Times New Roman"/>
          <w:lang w:val="pt-BR"/>
        </w:rPr>
        <w:t>0,39</w:t>
      </w:r>
      <w:r w:rsidR="001424F8">
        <w:rPr>
          <w:rFonts w:ascii="Times New Roman" w:hAnsi="Times New Roman"/>
          <w:lang w:val="pt-BR"/>
        </w:rPr>
        <w:t xml:space="preserve"> g</w:t>
      </w:r>
      <w:r w:rsidR="00F52627" w:rsidRPr="004250D4">
        <w:rPr>
          <w:rFonts w:ascii="Times New Roman" w:hAnsi="Times New Roman"/>
          <w:lang w:val="pt-BR"/>
        </w:rPr>
        <w:t xml:space="preserve"> de carbeto de silício.</w:t>
      </w:r>
    </w:p>
    <w:p w14:paraId="136BD1AC" w14:textId="731A63B1" w:rsidR="00EA4E1B"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43BF2271" w14:textId="77777777" w:rsidR="002C5CC8" w:rsidRDefault="004250D4" w:rsidP="002C5CC8">
      <w:pPr>
        <w:spacing w:line="240" w:lineRule="auto"/>
        <w:jc w:val="both"/>
        <w:rPr>
          <w:rFonts w:ascii="Times New Roman" w:hAnsi="Times New Roman" w:cs="Times New Roman"/>
          <w:noProof/>
          <w:sz w:val="20"/>
          <w:szCs w:val="20"/>
        </w:rPr>
      </w:pPr>
      <w:r>
        <w:rPr>
          <w:rFonts w:ascii="Times New Roman" w:hAnsi="Times New Roman" w:cs="Times New Roman"/>
          <w:sz w:val="20"/>
          <w:szCs w:val="20"/>
        </w:rPr>
        <w:t xml:space="preserve">     </w:t>
      </w:r>
      <w:r w:rsidR="009C7B2E" w:rsidRPr="009C7B2E">
        <w:rPr>
          <w:rFonts w:ascii="Times New Roman" w:hAnsi="Times New Roman" w:cs="Times New Roman"/>
          <w:sz w:val="20"/>
          <w:szCs w:val="20"/>
        </w:rPr>
        <w:t xml:space="preserve">Para confirmar que a estrutura do tipo </w:t>
      </w:r>
      <w:proofErr w:type="spellStart"/>
      <w:r w:rsidR="009C7B2E" w:rsidRPr="009C7B2E">
        <w:rPr>
          <w:rFonts w:ascii="Times New Roman" w:hAnsi="Times New Roman" w:cs="Times New Roman"/>
          <w:sz w:val="20"/>
          <w:szCs w:val="20"/>
        </w:rPr>
        <w:t>hidrotalcita</w:t>
      </w:r>
      <w:proofErr w:type="spellEnd"/>
      <w:r w:rsidR="009C7B2E" w:rsidRPr="009C7B2E">
        <w:rPr>
          <w:rFonts w:ascii="Times New Roman" w:hAnsi="Times New Roman" w:cs="Times New Roman"/>
          <w:sz w:val="20"/>
          <w:szCs w:val="20"/>
        </w:rPr>
        <w:t xml:space="preserve"> foi </w:t>
      </w:r>
      <w:r w:rsidR="00AA6A1E">
        <w:rPr>
          <w:rFonts w:ascii="Times New Roman" w:hAnsi="Times New Roman" w:cs="Times New Roman"/>
          <w:sz w:val="20"/>
          <w:szCs w:val="20"/>
        </w:rPr>
        <w:t>obtida</w:t>
      </w:r>
      <w:r w:rsidR="009C7B2E" w:rsidRPr="009C7B2E">
        <w:rPr>
          <w:rFonts w:ascii="Times New Roman" w:hAnsi="Times New Roman" w:cs="Times New Roman"/>
          <w:sz w:val="20"/>
          <w:szCs w:val="20"/>
        </w:rPr>
        <w:t>, realizou-se a comparação com o padrão de uma hidrotalcita isomórfica de magnésio</w:t>
      </w:r>
      <w:r w:rsidR="00A75D3B">
        <w:rPr>
          <w:rFonts w:ascii="Times New Roman" w:hAnsi="Times New Roman" w:cs="Times New Roman"/>
          <w:sz w:val="20"/>
          <w:szCs w:val="20"/>
        </w:rPr>
        <w:t xml:space="preserve">, pois a </w:t>
      </w:r>
      <w:r w:rsidR="009C7B2E" w:rsidRPr="009C7B2E">
        <w:rPr>
          <w:rFonts w:ascii="Times New Roman" w:hAnsi="Times New Roman" w:cs="Times New Roman"/>
          <w:sz w:val="20"/>
          <w:szCs w:val="20"/>
        </w:rPr>
        <w:t>estrutura da hidrotalcita com cobre ainda não foi reportada na literatura.</w:t>
      </w:r>
      <w:r w:rsidR="00417A15">
        <w:rPr>
          <w:rFonts w:ascii="Times New Roman" w:hAnsi="Times New Roman" w:cs="Times New Roman"/>
          <w:sz w:val="20"/>
          <w:szCs w:val="20"/>
        </w:rPr>
        <w:t xml:space="preserve"> </w:t>
      </w:r>
      <w:r w:rsidR="00143578">
        <w:rPr>
          <w:rFonts w:ascii="Times New Roman" w:hAnsi="Times New Roman" w:cs="Times New Roman"/>
          <w:sz w:val="20"/>
          <w:szCs w:val="20"/>
        </w:rPr>
        <w:t xml:space="preserve">      </w:t>
      </w:r>
      <w:r w:rsidR="00143578">
        <w:rPr>
          <w:rFonts w:ascii="Times New Roman" w:hAnsi="Times New Roman" w:cs="Times New Roman"/>
          <w:sz w:val="20"/>
          <w:szCs w:val="20"/>
        </w:rPr>
        <w:br/>
        <w:t xml:space="preserve">      </w:t>
      </w:r>
      <w:r w:rsidR="00A75D3B" w:rsidRPr="00A75D3B">
        <w:rPr>
          <w:rFonts w:ascii="Times New Roman" w:hAnsi="Times New Roman" w:cs="Times New Roman"/>
          <w:sz w:val="20"/>
          <w:szCs w:val="20"/>
        </w:rPr>
        <w:t xml:space="preserve">Na Figura 1, </w:t>
      </w:r>
      <w:r w:rsidR="004A6C18" w:rsidRPr="00A75D3B">
        <w:rPr>
          <w:rFonts w:ascii="Times New Roman" w:hAnsi="Times New Roman" w:cs="Times New Roman"/>
          <w:sz w:val="20"/>
          <w:szCs w:val="20"/>
        </w:rPr>
        <w:t>observa</w:t>
      </w:r>
      <w:r w:rsidR="004A6C18">
        <w:rPr>
          <w:rFonts w:ascii="Times New Roman" w:hAnsi="Times New Roman" w:cs="Times New Roman"/>
          <w:sz w:val="20"/>
          <w:szCs w:val="20"/>
        </w:rPr>
        <w:t>-se</w:t>
      </w:r>
      <w:r w:rsidR="004A6C18" w:rsidRPr="00A75D3B">
        <w:rPr>
          <w:rFonts w:ascii="Times New Roman" w:hAnsi="Times New Roman" w:cs="Times New Roman"/>
          <w:sz w:val="20"/>
          <w:szCs w:val="20"/>
        </w:rPr>
        <w:t xml:space="preserve"> </w:t>
      </w:r>
      <w:r w:rsidR="00A75D3B" w:rsidRPr="00A75D3B">
        <w:rPr>
          <w:rFonts w:ascii="Times New Roman" w:hAnsi="Times New Roman" w:cs="Times New Roman"/>
          <w:sz w:val="20"/>
          <w:szCs w:val="20"/>
        </w:rPr>
        <w:t xml:space="preserve">a comparação com o padrão e conclui-se que o precursor do tipo hidrotalcita foi </w:t>
      </w:r>
      <w:r w:rsidR="004A6C18">
        <w:rPr>
          <w:rFonts w:ascii="Times New Roman" w:hAnsi="Times New Roman" w:cs="Times New Roman"/>
          <w:sz w:val="20"/>
          <w:szCs w:val="20"/>
        </w:rPr>
        <w:t>obtid</w:t>
      </w:r>
      <w:r w:rsidR="007B760D">
        <w:rPr>
          <w:rFonts w:ascii="Times New Roman" w:hAnsi="Times New Roman" w:cs="Times New Roman"/>
          <w:sz w:val="20"/>
          <w:szCs w:val="20"/>
        </w:rPr>
        <w:t>o</w:t>
      </w:r>
      <w:r w:rsidR="004A6C18" w:rsidRPr="00A75D3B">
        <w:rPr>
          <w:rFonts w:ascii="Times New Roman" w:hAnsi="Times New Roman" w:cs="Times New Roman"/>
          <w:sz w:val="20"/>
          <w:szCs w:val="20"/>
        </w:rPr>
        <w:t xml:space="preserve"> </w:t>
      </w:r>
      <w:r w:rsidR="00A75D3B" w:rsidRPr="00A75D3B">
        <w:rPr>
          <w:rFonts w:ascii="Times New Roman" w:hAnsi="Times New Roman" w:cs="Times New Roman"/>
          <w:sz w:val="20"/>
          <w:szCs w:val="20"/>
        </w:rPr>
        <w:t xml:space="preserve">e não foram observados picos correspondentes </w:t>
      </w:r>
      <w:r w:rsidR="007B760D">
        <w:rPr>
          <w:rFonts w:ascii="Times New Roman" w:hAnsi="Times New Roman" w:cs="Times New Roman"/>
          <w:sz w:val="20"/>
          <w:szCs w:val="20"/>
        </w:rPr>
        <w:t>à</w:t>
      </w:r>
      <w:r w:rsidR="00A75D3B" w:rsidRPr="00A75D3B">
        <w:rPr>
          <w:rFonts w:ascii="Times New Roman" w:hAnsi="Times New Roman" w:cs="Times New Roman"/>
          <w:sz w:val="20"/>
          <w:szCs w:val="20"/>
        </w:rPr>
        <w:t xml:space="preserve"> </w:t>
      </w:r>
      <w:proofErr w:type="spellStart"/>
      <w:r w:rsidR="00A75D3B" w:rsidRPr="00A75D3B">
        <w:rPr>
          <w:rFonts w:ascii="Times New Roman" w:hAnsi="Times New Roman" w:cs="Times New Roman"/>
          <w:sz w:val="20"/>
          <w:szCs w:val="20"/>
        </w:rPr>
        <w:t>malaquita</w:t>
      </w:r>
      <w:proofErr w:type="spellEnd"/>
      <w:r w:rsidR="00A75D3B" w:rsidRPr="00A75D3B">
        <w:rPr>
          <w:rFonts w:ascii="Times New Roman" w:hAnsi="Times New Roman" w:cs="Times New Roman"/>
          <w:sz w:val="20"/>
          <w:szCs w:val="20"/>
        </w:rPr>
        <w:t xml:space="preserve"> (</w:t>
      </w:r>
      <w:proofErr w:type="spellStart"/>
      <w:r w:rsidR="00A75D3B" w:rsidRPr="00A75D3B">
        <w:rPr>
          <w:rFonts w:ascii="Times New Roman" w:hAnsi="Times New Roman" w:cs="Times New Roman"/>
          <w:sz w:val="20"/>
          <w:szCs w:val="20"/>
        </w:rPr>
        <w:t>hidroxicarbonato</w:t>
      </w:r>
      <w:proofErr w:type="spellEnd"/>
      <w:r w:rsidR="00A75D3B" w:rsidRPr="00A75D3B">
        <w:rPr>
          <w:rFonts w:ascii="Times New Roman" w:hAnsi="Times New Roman" w:cs="Times New Roman"/>
          <w:sz w:val="20"/>
          <w:szCs w:val="20"/>
        </w:rPr>
        <w:t xml:space="preserve"> de cobre e alumínio), impureza frequentemente observada na tentativa de síntese de materiais do tipo </w:t>
      </w:r>
      <w:proofErr w:type="spellStart"/>
      <w:r w:rsidR="00A75D3B" w:rsidRPr="00A75D3B">
        <w:rPr>
          <w:rFonts w:ascii="Times New Roman" w:hAnsi="Times New Roman" w:cs="Times New Roman"/>
          <w:sz w:val="20"/>
          <w:szCs w:val="20"/>
        </w:rPr>
        <w:t>hidrotalcita</w:t>
      </w:r>
      <w:proofErr w:type="spellEnd"/>
      <w:r w:rsidR="00206DBC">
        <w:rPr>
          <w:rFonts w:ascii="Times New Roman" w:hAnsi="Times New Roman" w:cs="Times New Roman"/>
          <w:sz w:val="20"/>
          <w:szCs w:val="20"/>
        </w:rPr>
        <w:t>, contendo cobre</w:t>
      </w:r>
      <w:r w:rsidR="00A75D3B" w:rsidRPr="00A75D3B">
        <w:rPr>
          <w:rFonts w:ascii="Times New Roman" w:hAnsi="Times New Roman" w:cs="Times New Roman"/>
          <w:sz w:val="20"/>
          <w:szCs w:val="20"/>
        </w:rPr>
        <w:t xml:space="preserve"> </w:t>
      </w:r>
      <w:r w:rsidR="0028079A" w:rsidRPr="0028079A">
        <w:rPr>
          <w:rFonts w:ascii="Times New Roman" w:hAnsi="Times New Roman" w:cs="Times New Roman"/>
          <w:sz w:val="20"/>
          <w:szCs w:val="20"/>
        </w:rPr>
        <w:t>(</w:t>
      </w:r>
      <w:r w:rsidR="002F674D">
        <w:rPr>
          <w:rFonts w:ascii="Times New Roman" w:hAnsi="Times New Roman" w:cs="Times New Roman"/>
          <w:sz w:val="20"/>
          <w:szCs w:val="20"/>
        </w:rPr>
        <w:t>13</w:t>
      </w:r>
      <w:r w:rsidR="0028079A" w:rsidRPr="0028079A">
        <w:rPr>
          <w:rFonts w:ascii="Times New Roman" w:hAnsi="Times New Roman" w:cs="Times New Roman"/>
          <w:sz w:val="20"/>
          <w:szCs w:val="20"/>
        </w:rPr>
        <w:t>).</w:t>
      </w:r>
      <w:r w:rsidR="00A75D3B" w:rsidRPr="0028079A">
        <w:rPr>
          <w:noProof/>
        </w:rPr>
        <w:t xml:space="preserve"> </w:t>
      </w:r>
    </w:p>
    <w:p w14:paraId="7605123A" w14:textId="6DFF8600" w:rsidR="002C5CC8" w:rsidRPr="00614B1B" w:rsidRDefault="002C5CC8" w:rsidP="002C5CC8">
      <w:pPr>
        <w:spacing w:line="240" w:lineRule="auto"/>
        <w:jc w:val="both"/>
        <w:rPr>
          <w:rFonts w:ascii="Times New Roman" w:hAnsi="Times New Roman" w:cs="Times New Roman"/>
          <w:noProof/>
          <w:color w:val="000000" w:themeColor="text1"/>
          <w:sz w:val="20"/>
          <w:szCs w:val="20"/>
        </w:rPr>
      </w:pPr>
      <w:r w:rsidRPr="00614B1B">
        <w:rPr>
          <w:rFonts w:ascii="Times New Roman" w:hAnsi="Times New Roman" w:cs="Times New Roman"/>
          <w:noProof/>
          <w:color w:val="000000" w:themeColor="text1"/>
          <w:sz w:val="20"/>
          <w:szCs w:val="20"/>
        </w:rPr>
        <w:t xml:space="preserve">      Na Figura 2, apresenta-se o resultado da análise termogravimétrica (TGA)</w:t>
      </w:r>
      <w:r w:rsidR="00A011D6" w:rsidRPr="00614B1B">
        <w:rPr>
          <w:rFonts w:ascii="Times New Roman" w:hAnsi="Times New Roman" w:cs="Times New Roman"/>
          <w:noProof/>
          <w:color w:val="000000" w:themeColor="text1"/>
          <w:sz w:val="20"/>
          <w:szCs w:val="20"/>
        </w:rPr>
        <w:t xml:space="preserve"> do precursor</w:t>
      </w:r>
      <w:r w:rsidRPr="00614B1B">
        <w:rPr>
          <w:rFonts w:ascii="Times New Roman" w:hAnsi="Times New Roman" w:cs="Times New Roman"/>
          <w:noProof/>
          <w:color w:val="000000" w:themeColor="text1"/>
          <w:sz w:val="20"/>
          <w:szCs w:val="20"/>
        </w:rPr>
        <w:t>. Através desta análise, foi escolhida a temperatura de calcinação para obtenção dos óxidos mistos, visto que a partir de 500ºC a amostra não apresentava mais mudança. Segundo Teixeira (22) entre 54° e 147° acontece a remoção de água adsorvida na superfície dos cristalitos e da região interlamelar. Até 400 °</w:t>
      </w:r>
      <w:r w:rsidR="00A011D6" w:rsidRPr="00614B1B">
        <w:rPr>
          <w:rFonts w:ascii="Times New Roman" w:hAnsi="Times New Roman" w:cs="Times New Roman"/>
          <w:noProof/>
          <w:color w:val="000000" w:themeColor="text1"/>
          <w:sz w:val="20"/>
          <w:szCs w:val="20"/>
        </w:rPr>
        <w:t>C</w:t>
      </w:r>
      <w:r w:rsidRPr="00614B1B">
        <w:rPr>
          <w:rFonts w:ascii="Times New Roman" w:hAnsi="Times New Roman" w:cs="Times New Roman"/>
          <w:noProof/>
          <w:color w:val="000000" w:themeColor="text1"/>
          <w:sz w:val="20"/>
          <w:szCs w:val="20"/>
        </w:rPr>
        <w:t xml:space="preserve"> acontece a desidroxilação e a perda de ânions carbonatos e após isso ocorre a decomposição dos carbonatos mais estáveis e o colapso da estrutura lamelar da hidrotalcita. </w:t>
      </w:r>
    </w:p>
    <w:p w14:paraId="5F59D0C8" w14:textId="7FE88528" w:rsidR="00143578" w:rsidRPr="00614B1B" w:rsidRDefault="00143578" w:rsidP="002C5CC8">
      <w:pPr>
        <w:spacing w:line="240" w:lineRule="auto"/>
        <w:jc w:val="both"/>
        <w:rPr>
          <w:noProof/>
          <w:color w:val="000000" w:themeColor="text1"/>
        </w:rPr>
      </w:pPr>
      <w:r w:rsidRPr="00614B1B">
        <w:rPr>
          <w:rFonts w:ascii="Times New Roman" w:hAnsi="Times New Roman" w:cs="Times New Roman"/>
          <w:noProof/>
          <w:color w:val="000000" w:themeColor="text1"/>
          <w:sz w:val="20"/>
          <w:szCs w:val="20"/>
        </w:rPr>
        <w:t xml:space="preserve">      Na Figura </w:t>
      </w:r>
      <w:r w:rsidR="002C5CC8" w:rsidRPr="00614B1B">
        <w:rPr>
          <w:rFonts w:ascii="Times New Roman" w:hAnsi="Times New Roman" w:cs="Times New Roman"/>
          <w:noProof/>
          <w:color w:val="000000" w:themeColor="text1"/>
          <w:sz w:val="20"/>
          <w:szCs w:val="20"/>
        </w:rPr>
        <w:t>3</w:t>
      </w:r>
      <w:r w:rsidRPr="00614B1B">
        <w:rPr>
          <w:rFonts w:ascii="Times New Roman" w:hAnsi="Times New Roman" w:cs="Times New Roman"/>
          <w:noProof/>
          <w:color w:val="000000" w:themeColor="text1"/>
          <w:sz w:val="20"/>
          <w:szCs w:val="20"/>
        </w:rPr>
        <w:t xml:space="preserve"> são apresentados os difratogramas dos catalisadores obtidos a partir do precursor do tipo hidrotalcita comparado com o padrão CuO (16025). Nota-se que a única fase presente em todos os catalisadores é o CuO</w:t>
      </w:r>
      <w:r w:rsidR="00AA6A1E" w:rsidRPr="00614B1B">
        <w:rPr>
          <w:rFonts w:ascii="Times New Roman" w:hAnsi="Times New Roman" w:cs="Times New Roman"/>
          <w:noProof/>
          <w:color w:val="000000" w:themeColor="text1"/>
          <w:sz w:val="20"/>
          <w:szCs w:val="20"/>
        </w:rPr>
        <w:t xml:space="preserve">, conforme também observado por outros trabalhos do </w:t>
      </w:r>
      <w:r w:rsidRPr="00614B1B">
        <w:rPr>
          <w:rFonts w:ascii="Times New Roman" w:hAnsi="Times New Roman" w:cs="Times New Roman"/>
          <w:noProof/>
          <w:color w:val="000000" w:themeColor="text1"/>
          <w:sz w:val="20"/>
          <w:szCs w:val="20"/>
        </w:rPr>
        <w:t>grupo (</w:t>
      </w:r>
      <w:r w:rsidR="004E10A8" w:rsidRPr="00614B1B">
        <w:rPr>
          <w:rFonts w:ascii="Times New Roman" w:hAnsi="Times New Roman" w:cs="Times New Roman"/>
          <w:noProof/>
          <w:color w:val="000000" w:themeColor="text1"/>
          <w:sz w:val="20"/>
          <w:szCs w:val="20"/>
        </w:rPr>
        <w:t>21</w:t>
      </w:r>
      <w:r w:rsidRPr="00614B1B">
        <w:rPr>
          <w:rFonts w:ascii="Times New Roman" w:hAnsi="Times New Roman" w:cs="Times New Roman"/>
          <w:noProof/>
          <w:color w:val="000000" w:themeColor="text1"/>
          <w:sz w:val="20"/>
          <w:szCs w:val="20"/>
        </w:rPr>
        <w:t>, 2</w:t>
      </w:r>
      <w:r w:rsidR="004E10A8" w:rsidRPr="00614B1B">
        <w:rPr>
          <w:rFonts w:ascii="Times New Roman" w:hAnsi="Times New Roman" w:cs="Times New Roman"/>
          <w:noProof/>
          <w:color w:val="000000" w:themeColor="text1"/>
          <w:sz w:val="20"/>
          <w:szCs w:val="20"/>
        </w:rPr>
        <w:t>2</w:t>
      </w:r>
      <w:r w:rsidRPr="00614B1B">
        <w:rPr>
          <w:rFonts w:ascii="Times New Roman" w:hAnsi="Times New Roman" w:cs="Times New Roman"/>
          <w:noProof/>
          <w:color w:val="000000" w:themeColor="text1"/>
          <w:sz w:val="20"/>
          <w:szCs w:val="20"/>
        </w:rPr>
        <w:t>, 2</w:t>
      </w:r>
      <w:r w:rsidR="004E10A8" w:rsidRPr="00614B1B">
        <w:rPr>
          <w:rFonts w:ascii="Times New Roman" w:hAnsi="Times New Roman" w:cs="Times New Roman"/>
          <w:noProof/>
          <w:color w:val="000000" w:themeColor="text1"/>
          <w:sz w:val="20"/>
          <w:szCs w:val="20"/>
        </w:rPr>
        <w:t>3</w:t>
      </w:r>
      <w:r w:rsidRPr="00614B1B">
        <w:rPr>
          <w:rFonts w:ascii="Times New Roman" w:hAnsi="Times New Roman" w:cs="Times New Roman"/>
          <w:noProof/>
          <w:color w:val="000000" w:themeColor="text1"/>
          <w:sz w:val="20"/>
          <w:szCs w:val="20"/>
        </w:rPr>
        <w:t>).</w:t>
      </w:r>
    </w:p>
    <w:p w14:paraId="1A214BCF" w14:textId="1246093B" w:rsidR="005046F6" w:rsidRPr="00614B1B" w:rsidRDefault="005046F6" w:rsidP="000B3DA0">
      <w:pPr>
        <w:spacing w:line="240" w:lineRule="auto"/>
        <w:jc w:val="center"/>
        <w:rPr>
          <w:rFonts w:ascii="Times New Roman" w:hAnsi="Times New Roman" w:cs="Times New Roman"/>
          <w:noProof/>
          <w:color w:val="000000" w:themeColor="text1"/>
          <w:sz w:val="20"/>
          <w:szCs w:val="20"/>
        </w:rPr>
      </w:pPr>
      <w:r w:rsidRPr="00614B1B">
        <w:rPr>
          <w:noProof/>
          <w:color w:val="000000" w:themeColor="text1"/>
          <w:lang w:eastAsia="pt-BR"/>
        </w:rPr>
        <w:drawing>
          <wp:inline distT="0" distB="0" distL="0" distR="0" wp14:anchorId="297295FB" wp14:editId="408116E1">
            <wp:extent cx="3291840" cy="2618759"/>
            <wp:effectExtent l="0" t="0" r="3810" b="0"/>
            <wp:docPr id="10" name="Imagem 10"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Gráfico, Histograma&#10;&#10;Descrição gerada automaticamente"/>
                    <pic:cNvPicPr/>
                  </pic:nvPicPr>
                  <pic:blipFill rotWithShape="1">
                    <a:blip r:embed="rId13"/>
                    <a:srcRect l="2830"/>
                    <a:stretch/>
                  </pic:blipFill>
                  <pic:spPr bwMode="auto">
                    <a:xfrm>
                      <a:off x="0" y="0"/>
                      <a:ext cx="3309348" cy="2632687"/>
                    </a:xfrm>
                    <a:prstGeom prst="rect">
                      <a:avLst/>
                    </a:prstGeom>
                    <a:ln>
                      <a:noFill/>
                    </a:ln>
                    <a:extLst>
                      <a:ext uri="{53640926-AAD7-44D8-BBD7-CCE9431645EC}">
                        <a14:shadowObscured xmlns:a14="http://schemas.microsoft.com/office/drawing/2010/main"/>
                      </a:ext>
                    </a:extLst>
                  </pic:spPr>
                </pic:pic>
              </a:graphicData>
            </a:graphic>
          </wp:inline>
        </w:drawing>
      </w:r>
      <w:r w:rsidRPr="00614B1B">
        <w:rPr>
          <w:rFonts w:ascii="Times New Roman" w:hAnsi="Times New Roman" w:cs="Times New Roman"/>
          <w:b/>
          <w:bCs/>
          <w:noProof/>
          <w:color w:val="000000" w:themeColor="text1"/>
          <w:sz w:val="20"/>
          <w:szCs w:val="20"/>
        </w:rPr>
        <w:t>Figura 1.</w:t>
      </w:r>
      <w:r w:rsidRPr="00614B1B">
        <w:rPr>
          <w:rFonts w:ascii="Times New Roman" w:hAnsi="Times New Roman" w:cs="Times New Roman"/>
          <w:noProof/>
          <w:color w:val="000000" w:themeColor="text1"/>
          <w:sz w:val="20"/>
          <w:szCs w:val="20"/>
        </w:rPr>
        <w:t xml:space="preserve"> DRX do precursor</w:t>
      </w:r>
      <w:r w:rsidR="00A011D6" w:rsidRPr="00614B1B">
        <w:rPr>
          <w:rFonts w:ascii="Times New Roman" w:hAnsi="Times New Roman" w:cs="Times New Roman"/>
          <w:noProof/>
          <w:color w:val="000000" w:themeColor="text1"/>
          <w:sz w:val="20"/>
          <w:szCs w:val="20"/>
        </w:rPr>
        <w:t>.</w:t>
      </w:r>
    </w:p>
    <w:p w14:paraId="6D0EDF3D" w14:textId="1AB3738B" w:rsidR="002C5CC8" w:rsidRPr="00614B1B" w:rsidRDefault="00A011D6" w:rsidP="000B3DA0">
      <w:pPr>
        <w:spacing w:line="240" w:lineRule="auto"/>
        <w:jc w:val="center"/>
        <w:rPr>
          <w:rFonts w:ascii="Times New Roman" w:hAnsi="Times New Roman" w:cs="Times New Roman"/>
          <w:noProof/>
          <w:color w:val="000000" w:themeColor="text1"/>
          <w:sz w:val="20"/>
          <w:szCs w:val="20"/>
        </w:rPr>
      </w:pPr>
      <w:r w:rsidRPr="00614B1B">
        <w:rPr>
          <w:rFonts w:ascii="Times New Roman" w:hAnsi="Times New Roman" w:cs="Times New Roman"/>
          <w:noProof/>
          <w:color w:val="000000" w:themeColor="text1"/>
          <w:sz w:val="20"/>
          <w:szCs w:val="20"/>
          <w:lang w:eastAsia="pt-BR"/>
        </w:rPr>
        <w:drawing>
          <wp:inline distT="0" distB="0" distL="0" distR="0" wp14:anchorId="433E93E0" wp14:editId="2E62085E">
            <wp:extent cx="3322320" cy="2477804"/>
            <wp:effectExtent l="0" t="0" r="0" b="0"/>
            <wp:docPr id="297746905" name="Imagem 1"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746905" name="Imagem 1" descr="Gráfico, Histograma&#10;&#10;Descrição gerada automaticamente"/>
                    <pic:cNvPicPr/>
                  </pic:nvPicPr>
                  <pic:blipFill>
                    <a:blip r:embed="rId14"/>
                    <a:stretch>
                      <a:fillRect/>
                    </a:stretch>
                  </pic:blipFill>
                  <pic:spPr>
                    <a:xfrm>
                      <a:off x="0" y="0"/>
                      <a:ext cx="3345385" cy="2495006"/>
                    </a:xfrm>
                    <a:prstGeom prst="rect">
                      <a:avLst/>
                    </a:prstGeom>
                  </pic:spPr>
                </pic:pic>
              </a:graphicData>
            </a:graphic>
          </wp:inline>
        </w:drawing>
      </w:r>
      <w:r w:rsidR="002C5CC8" w:rsidRPr="00614B1B">
        <w:rPr>
          <w:rFonts w:ascii="Times New Roman" w:hAnsi="Times New Roman" w:cs="Times New Roman"/>
          <w:b/>
          <w:bCs/>
          <w:noProof/>
          <w:color w:val="000000" w:themeColor="text1"/>
          <w:sz w:val="20"/>
          <w:szCs w:val="20"/>
        </w:rPr>
        <w:t>Figura 2</w:t>
      </w:r>
      <w:r w:rsidR="002C5CC8" w:rsidRPr="00614B1B">
        <w:rPr>
          <w:rFonts w:ascii="Times New Roman" w:hAnsi="Times New Roman" w:cs="Times New Roman"/>
          <w:noProof/>
          <w:color w:val="000000" w:themeColor="text1"/>
          <w:sz w:val="20"/>
          <w:szCs w:val="20"/>
        </w:rPr>
        <w:t>. TGA do precursor</w:t>
      </w:r>
      <w:r w:rsidRPr="00614B1B">
        <w:rPr>
          <w:rFonts w:ascii="Times New Roman" w:hAnsi="Times New Roman" w:cs="Times New Roman"/>
          <w:noProof/>
          <w:color w:val="000000" w:themeColor="text1"/>
          <w:sz w:val="20"/>
          <w:szCs w:val="20"/>
        </w:rPr>
        <w:t>.</w:t>
      </w:r>
    </w:p>
    <w:p w14:paraId="585C7B24" w14:textId="49100D22" w:rsidR="00A011D6" w:rsidRPr="00A011D6" w:rsidRDefault="00A011D6" w:rsidP="00A011D6">
      <w:pPr>
        <w:spacing w:line="240" w:lineRule="auto"/>
        <w:jc w:val="both"/>
        <w:rPr>
          <w:rFonts w:ascii="Times New Roman" w:hAnsi="Times New Roman" w:cs="Times New Roman"/>
          <w:noProof/>
          <w:sz w:val="20"/>
          <w:szCs w:val="20"/>
        </w:rPr>
      </w:pPr>
      <w:r w:rsidRPr="00614B1B">
        <w:rPr>
          <w:rFonts w:ascii="Times New Roman" w:hAnsi="Times New Roman" w:cs="Times New Roman"/>
          <w:noProof/>
          <w:color w:val="000000" w:themeColor="text1"/>
          <w:sz w:val="20"/>
          <w:szCs w:val="20"/>
        </w:rPr>
        <w:lastRenderedPageBreak/>
        <w:t xml:space="preserve">        O tamanho de cristalito é inversamente proporcional ao FWHM</w:t>
      </w:r>
      <w:r w:rsidR="00614B1B">
        <w:rPr>
          <w:rFonts w:ascii="Times New Roman" w:hAnsi="Times New Roman" w:cs="Times New Roman"/>
          <w:noProof/>
          <w:color w:val="000000" w:themeColor="text1"/>
          <w:sz w:val="20"/>
          <w:szCs w:val="20"/>
        </w:rPr>
        <w:t xml:space="preserve"> </w:t>
      </w:r>
      <w:r w:rsidRPr="00614B1B">
        <w:rPr>
          <w:rFonts w:ascii="Times New Roman" w:hAnsi="Times New Roman" w:cs="Times New Roman"/>
          <w:noProof/>
          <w:color w:val="000000" w:themeColor="text1"/>
          <w:sz w:val="20"/>
          <w:szCs w:val="20"/>
        </w:rPr>
        <w:t xml:space="preserve">(largura a meia altura) de um pico. A Tabela 1 apresenta os valores de 1/FWHM dos catalisadores, avaliado em 2θ = 35,5º. Percebe-se que os cristalitos de todos os catalisadores estão na mesma faixa de tamanho, </w:t>
      </w:r>
      <w:r w:rsidRPr="00A011D6">
        <w:rPr>
          <w:rFonts w:ascii="Times New Roman" w:hAnsi="Times New Roman" w:cs="Times New Roman"/>
          <w:noProof/>
          <w:sz w:val="20"/>
          <w:szCs w:val="20"/>
        </w:rPr>
        <w:t>exceto o HTc_025K que é 30 % maior.</w:t>
      </w:r>
    </w:p>
    <w:p w14:paraId="571E9FFB" w14:textId="6A0B15AE" w:rsidR="00A75D3B" w:rsidRDefault="00FA398D" w:rsidP="000B3DA0">
      <w:pPr>
        <w:jc w:val="center"/>
        <w:rPr>
          <w:rFonts w:ascii="Times New Roman" w:hAnsi="Times New Roman"/>
          <w:sz w:val="20"/>
        </w:rPr>
      </w:pPr>
      <w:bookmarkStart w:id="2" w:name="_Hlk133748420"/>
      <w:r w:rsidRPr="00FA398D">
        <w:rPr>
          <w:rFonts w:ascii="Times New Roman" w:hAnsi="Times New Roman" w:cs="Times New Roman"/>
          <w:noProof/>
          <w:sz w:val="20"/>
          <w:szCs w:val="20"/>
          <w:lang w:eastAsia="pt-BR"/>
        </w:rPr>
        <w:drawing>
          <wp:inline distT="0" distB="0" distL="0" distR="0" wp14:anchorId="4E044E0D" wp14:editId="24440B86">
            <wp:extent cx="2979420" cy="2471888"/>
            <wp:effectExtent l="0" t="0" r="0" b="5080"/>
            <wp:docPr id="1" name="Imagem 1"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Gráfico&#10;&#10;Descrição gerada automaticamente"/>
                    <pic:cNvPicPr/>
                  </pic:nvPicPr>
                  <pic:blipFill>
                    <a:blip r:embed="rId15"/>
                    <a:stretch>
                      <a:fillRect/>
                    </a:stretch>
                  </pic:blipFill>
                  <pic:spPr>
                    <a:xfrm>
                      <a:off x="0" y="0"/>
                      <a:ext cx="2999443" cy="2488500"/>
                    </a:xfrm>
                    <a:prstGeom prst="rect">
                      <a:avLst/>
                    </a:prstGeom>
                  </pic:spPr>
                </pic:pic>
              </a:graphicData>
            </a:graphic>
          </wp:inline>
        </w:drawing>
      </w:r>
      <w:bookmarkEnd w:id="2"/>
      <w:r w:rsidR="00A75D3B" w:rsidRPr="00A75D3B">
        <w:rPr>
          <w:rFonts w:ascii="Times New Roman" w:hAnsi="Times New Roman"/>
          <w:b/>
          <w:sz w:val="20"/>
        </w:rPr>
        <w:t xml:space="preserve">Figura </w:t>
      </w:r>
      <w:r w:rsidR="002C5CC8">
        <w:rPr>
          <w:rFonts w:ascii="Times New Roman" w:hAnsi="Times New Roman"/>
          <w:b/>
          <w:sz w:val="20"/>
        </w:rPr>
        <w:t>3</w:t>
      </w:r>
      <w:r w:rsidR="00A75D3B" w:rsidRPr="00A75D3B">
        <w:rPr>
          <w:rFonts w:ascii="Times New Roman" w:hAnsi="Times New Roman"/>
          <w:b/>
          <w:sz w:val="20"/>
        </w:rPr>
        <w:t>.</w:t>
      </w:r>
      <w:r w:rsidR="00A75D3B" w:rsidRPr="00A75D3B">
        <w:rPr>
          <w:rFonts w:ascii="Times New Roman" w:hAnsi="Times New Roman"/>
          <w:sz w:val="20"/>
        </w:rPr>
        <w:t xml:space="preserve"> DRX dos catalisadores.</w:t>
      </w:r>
    </w:p>
    <w:p w14:paraId="07308BE2" w14:textId="1CA119CA" w:rsidR="00614B1B" w:rsidRPr="00A011D6" w:rsidRDefault="00614B1B" w:rsidP="00614B1B">
      <w:pPr>
        <w:jc w:val="center"/>
        <w:rPr>
          <w:rFonts w:ascii="Times New Roman" w:hAnsi="Times New Roman" w:cs="Times New Roman"/>
          <w:sz w:val="20"/>
          <w:szCs w:val="20"/>
        </w:rPr>
      </w:pPr>
      <w:r w:rsidRPr="00614B1B">
        <w:rPr>
          <w:rFonts w:ascii="Times New Roman" w:hAnsi="Times New Roman" w:cs="Times New Roman"/>
          <w:b/>
          <w:bCs/>
          <w:sz w:val="20"/>
          <w:szCs w:val="20"/>
        </w:rPr>
        <w:t>Tabela 1.</w:t>
      </w:r>
      <w:r w:rsidRPr="00614B1B">
        <w:rPr>
          <w:rFonts w:ascii="Times New Roman" w:hAnsi="Times New Roman" w:cs="Times New Roman"/>
          <w:sz w:val="20"/>
          <w:szCs w:val="20"/>
        </w:rPr>
        <w:t xml:space="preserve">  1/FWHM do pico principal em 35,5 º da fase </w:t>
      </w:r>
      <w:proofErr w:type="spellStart"/>
      <w:r w:rsidRPr="00614B1B">
        <w:rPr>
          <w:rFonts w:ascii="Times New Roman" w:hAnsi="Times New Roman" w:cs="Times New Roman"/>
          <w:sz w:val="20"/>
          <w:szCs w:val="20"/>
        </w:rPr>
        <w:t>CuO</w:t>
      </w:r>
      <w:proofErr w:type="spellEnd"/>
      <w:r w:rsidRPr="00614B1B">
        <w:rPr>
          <w:rFonts w:ascii="Times New Roman" w:hAnsi="Times New Roman" w:cs="Times New Roman"/>
          <w:sz w:val="20"/>
          <w:szCs w:val="20"/>
        </w:rPr>
        <w:t xml:space="preserve"> dos catalisadores</w:t>
      </w:r>
      <w:r>
        <w:rPr>
          <w:rFonts w:ascii="Times New Roman" w:hAnsi="Times New Roman" w:cs="Times New Roman"/>
          <w:sz w:val="20"/>
          <w:szCs w:val="20"/>
        </w:rPr>
        <w:t>;</w:t>
      </w:r>
    </w:p>
    <w:tbl>
      <w:tblPr>
        <w:tblStyle w:val="Tabelacomgrade"/>
        <w:tblW w:w="0" w:type="auto"/>
        <w:tblLook w:val="04A0" w:firstRow="1" w:lastRow="0" w:firstColumn="1" w:lastColumn="0" w:noHBand="0" w:noVBand="1"/>
      </w:tblPr>
      <w:tblGrid>
        <w:gridCol w:w="2379"/>
        <w:gridCol w:w="2294"/>
      </w:tblGrid>
      <w:tr w:rsidR="00A011D6" w14:paraId="7376CBE2" w14:textId="77777777" w:rsidTr="000B3DA0">
        <w:tc>
          <w:tcPr>
            <w:tcW w:w="2379" w:type="dxa"/>
          </w:tcPr>
          <w:p w14:paraId="7395D393" w14:textId="77777777" w:rsidR="00A011D6" w:rsidRDefault="00A011D6" w:rsidP="00695823">
            <w:pPr>
              <w:jc w:val="center"/>
              <w:rPr>
                <w:lang w:eastAsia="pt-BR"/>
              </w:rPr>
            </w:pPr>
            <w:r>
              <w:rPr>
                <w:lang w:eastAsia="pt-BR"/>
              </w:rPr>
              <w:t>Catalisador</w:t>
            </w:r>
          </w:p>
        </w:tc>
        <w:tc>
          <w:tcPr>
            <w:tcW w:w="2294" w:type="dxa"/>
          </w:tcPr>
          <w:p w14:paraId="55E2A8E9" w14:textId="77777777" w:rsidR="00A011D6" w:rsidRDefault="00A011D6" w:rsidP="00695823">
            <w:pPr>
              <w:jc w:val="center"/>
              <w:rPr>
                <w:lang w:eastAsia="pt-BR"/>
              </w:rPr>
            </w:pPr>
            <w:r>
              <w:rPr>
                <w:lang w:eastAsia="pt-BR"/>
              </w:rPr>
              <w:t>1/FWHM</w:t>
            </w:r>
          </w:p>
        </w:tc>
      </w:tr>
      <w:tr w:rsidR="00A011D6" w14:paraId="27175825" w14:textId="77777777" w:rsidTr="000B3DA0">
        <w:tc>
          <w:tcPr>
            <w:tcW w:w="2379" w:type="dxa"/>
          </w:tcPr>
          <w:p w14:paraId="2F7883C1" w14:textId="77777777" w:rsidR="00A011D6" w:rsidRDefault="00A011D6" w:rsidP="00695823">
            <w:pPr>
              <w:jc w:val="center"/>
              <w:rPr>
                <w:lang w:eastAsia="pt-BR"/>
              </w:rPr>
            </w:pPr>
            <w:proofErr w:type="spellStart"/>
            <w:r>
              <w:rPr>
                <w:lang w:eastAsia="pt-BR"/>
              </w:rPr>
              <w:t>HTcc</w:t>
            </w:r>
            <w:proofErr w:type="spellEnd"/>
          </w:p>
        </w:tc>
        <w:tc>
          <w:tcPr>
            <w:tcW w:w="2294" w:type="dxa"/>
          </w:tcPr>
          <w:p w14:paraId="3D635742" w14:textId="77777777" w:rsidR="00A011D6" w:rsidRDefault="00A011D6" w:rsidP="00695823">
            <w:pPr>
              <w:jc w:val="center"/>
              <w:rPr>
                <w:lang w:eastAsia="pt-BR"/>
              </w:rPr>
            </w:pPr>
            <w:r>
              <w:rPr>
                <w:lang w:eastAsia="pt-BR"/>
              </w:rPr>
              <w:t>1,05</w:t>
            </w:r>
          </w:p>
        </w:tc>
      </w:tr>
      <w:tr w:rsidR="00A011D6" w14:paraId="39996DDC" w14:textId="77777777" w:rsidTr="000B3DA0">
        <w:tc>
          <w:tcPr>
            <w:tcW w:w="2379" w:type="dxa"/>
          </w:tcPr>
          <w:p w14:paraId="459D3CC3" w14:textId="77777777" w:rsidR="00A011D6" w:rsidRDefault="00A011D6" w:rsidP="00695823">
            <w:pPr>
              <w:jc w:val="center"/>
              <w:rPr>
                <w:lang w:eastAsia="pt-BR"/>
              </w:rPr>
            </w:pPr>
            <w:r>
              <w:rPr>
                <w:lang w:eastAsia="pt-BR"/>
              </w:rPr>
              <w:t>HTc_001K</w:t>
            </w:r>
          </w:p>
        </w:tc>
        <w:tc>
          <w:tcPr>
            <w:tcW w:w="2294" w:type="dxa"/>
          </w:tcPr>
          <w:p w14:paraId="3C30DCF5" w14:textId="77777777" w:rsidR="00A011D6" w:rsidRDefault="00A011D6" w:rsidP="00695823">
            <w:pPr>
              <w:jc w:val="center"/>
              <w:rPr>
                <w:lang w:eastAsia="pt-BR"/>
              </w:rPr>
            </w:pPr>
            <w:r>
              <w:rPr>
                <w:lang w:eastAsia="pt-BR"/>
              </w:rPr>
              <w:t>0,98</w:t>
            </w:r>
          </w:p>
        </w:tc>
      </w:tr>
      <w:tr w:rsidR="00A011D6" w14:paraId="521EC344" w14:textId="77777777" w:rsidTr="000B3DA0">
        <w:tc>
          <w:tcPr>
            <w:tcW w:w="2379" w:type="dxa"/>
          </w:tcPr>
          <w:p w14:paraId="4E185601" w14:textId="77777777" w:rsidR="00A011D6" w:rsidRDefault="00A011D6" w:rsidP="00695823">
            <w:pPr>
              <w:jc w:val="center"/>
              <w:rPr>
                <w:lang w:eastAsia="pt-BR"/>
              </w:rPr>
            </w:pPr>
            <w:r>
              <w:rPr>
                <w:lang w:eastAsia="pt-BR"/>
              </w:rPr>
              <w:t>HTc_007K</w:t>
            </w:r>
          </w:p>
        </w:tc>
        <w:tc>
          <w:tcPr>
            <w:tcW w:w="2294" w:type="dxa"/>
          </w:tcPr>
          <w:p w14:paraId="16A85056" w14:textId="77777777" w:rsidR="00A011D6" w:rsidRDefault="00A011D6" w:rsidP="00695823">
            <w:pPr>
              <w:jc w:val="center"/>
              <w:rPr>
                <w:lang w:eastAsia="pt-BR"/>
              </w:rPr>
            </w:pPr>
            <w:r>
              <w:rPr>
                <w:lang w:eastAsia="pt-BR"/>
              </w:rPr>
              <w:t>1,07</w:t>
            </w:r>
          </w:p>
        </w:tc>
      </w:tr>
      <w:tr w:rsidR="00A011D6" w14:paraId="55419A73" w14:textId="77777777" w:rsidTr="000B3DA0">
        <w:tc>
          <w:tcPr>
            <w:tcW w:w="2379" w:type="dxa"/>
          </w:tcPr>
          <w:p w14:paraId="0135E13F" w14:textId="77777777" w:rsidR="00A011D6" w:rsidRDefault="00A011D6" w:rsidP="00695823">
            <w:pPr>
              <w:jc w:val="center"/>
              <w:rPr>
                <w:lang w:eastAsia="pt-BR"/>
              </w:rPr>
            </w:pPr>
            <w:r>
              <w:rPr>
                <w:lang w:eastAsia="pt-BR"/>
              </w:rPr>
              <w:t>HTc_010K</w:t>
            </w:r>
          </w:p>
        </w:tc>
        <w:tc>
          <w:tcPr>
            <w:tcW w:w="2294" w:type="dxa"/>
          </w:tcPr>
          <w:p w14:paraId="0B0EE3B0" w14:textId="77777777" w:rsidR="00A011D6" w:rsidRDefault="00A011D6" w:rsidP="00695823">
            <w:pPr>
              <w:jc w:val="center"/>
              <w:rPr>
                <w:lang w:eastAsia="pt-BR"/>
              </w:rPr>
            </w:pPr>
            <w:r>
              <w:rPr>
                <w:lang w:eastAsia="pt-BR"/>
              </w:rPr>
              <w:t>1,01</w:t>
            </w:r>
          </w:p>
        </w:tc>
      </w:tr>
      <w:tr w:rsidR="00A011D6" w14:paraId="22F7D959" w14:textId="77777777" w:rsidTr="000B3DA0">
        <w:tc>
          <w:tcPr>
            <w:tcW w:w="2379" w:type="dxa"/>
          </w:tcPr>
          <w:p w14:paraId="50CF0601" w14:textId="77777777" w:rsidR="00A011D6" w:rsidRDefault="00A011D6" w:rsidP="00695823">
            <w:pPr>
              <w:jc w:val="center"/>
              <w:rPr>
                <w:lang w:eastAsia="pt-BR"/>
              </w:rPr>
            </w:pPr>
            <w:r>
              <w:rPr>
                <w:lang w:eastAsia="pt-BR"/>
              </w:rPr>
              <w:t>HTc_025K</w:t>
            </w:r>
          </w:p>
        </w:tc>
        <w:tc>
          <w:tcPr>
            <w:tcW w:w="2294" w:type="dxa"/>
          </w:tcPr>
          <w:p w14:paraId="31263CD1" w14:textId="77777777" w:rsidR="00A011D6" w:rsidRDefault="00A011D6" w:rsidP="00695823">
            <w:pPr>
              <w:jc w:val="center"/>
              <w:rPr>
                <w:lang w:eastAsia="pt-BR"/>
              </w:rPr>
            </w:pPr>
            <w:r>
              <w:rPr>
                <w:lang w:eastAsia="pt-BR"/>
              </w:rPr>
              <w:t>1,32</w:t>
            </w:r>
          </w:p>
        </w:tc>
      </w:tr>
    </w:tbl>
    <w:p w14:paraId="40FA3B64" w14:textId="77777777" w:rsidR="00614B1B" w:rsidRDefault="00614B1B" w:rsidP="00A011D6">
      <w:pPr>
        <w:spacing w:line="240" w:lineRule="auto"/>
        <w:ind w:firstLine="708"/>
        <w:jc w:val="both"/>
        <w:rPr>
          <w:rFonts w:ascii="Times New Roman" w:hAnsi="Times New Roman" w:cs="Times New Roman"/>
          <w:sz w:val="20"/>
          <w:szCs w:val="20"/>
          <w:lang w:eastAsia="pt-BR"/>
        </w:rPr>
      </w:pPr>
    </w:p>
    <w:p w14:paraId="39868E4E" w14:textId="617AD996" w:rsidR="00A011D6" w:rsidRDefault="005F055D" w:rsidP="00A011D6">
      <w:pPr>
        <w:spacing w:line="240" w:lineRule="auto"/>
        <w:ind w:firstLine="708"/>
        <w:jc w:val="both"/>
        <w:rPr>
          <w:rFonts w:ascii="Times New Roman" w:hAnsi="Times New Roman" w:cs="Times New Roman"/>
          <w:sz w:val="20"/>
          <w:szCs w:val="20"/>
          <w:lang w:eastAsia="pt-BR"/>
        </w:rPr>
      </w:pPr>
      <w:r w:rsidRPr="00A72972">
        <w:rPr>
          <w:rFonts w:ascii="Times New Roman" w:hAnsi="Times New Roman" w:cs="Times New Roman"/>
          <w:sz w:val="20"/>
          <w:szCs w:val="20"/>
          <w:lang w:eastAsia="pt-BR"/>
        </w:rPr>
        <w:t xml:space="preserve">As análises de TPR-CO foram utilizadas para determinar o comportamento </w:t>
      </w:r>
      <w:proofErr w:type="spellStart"/>
      <w:r w:rsidRPr="00A72972">
        <w:rPr>
          <w:rFonts w:ascii="Times New Roman" w:hAnsi="Times New Roman" w:cs="Times New Roman"/>
          <w:sz w:val="20"/>
          <w:szCs w:val="20"/>
          <w:lang w:eastAsia="pt-BR"/>
        </w:rPr>
        <w:t>oxirredutor</w:t>
      </w:r>
      <w:proofErr w:type="spellEnd"/>
      <w:r w:rsidRPr="00A72972">
        <w:rPr>
          <w:rFonts w:ascii="Times New Roman" w:hAnsi="Times New Roman" w:cs="Times New Roman"/>
          <w:sz w:val="20"/>
          <w:szCs w:val="20"/>
          <w:lang w:eastAsia="pt-BR"/>
        </w:rPr>
        <w:t xml:space="preserve"> dos catalisadores e investigar a influência do potássio na sua redutibilidade. Na Figura </w:t>
      </w:r>
      <w:r w:rsidR="000B3DA0">
        <w:rPr>
          <w:rFonts w:ascii="Times New Roman" w:hAnsi="Times New Roman" w:cs="Times New Roman"/>
          <w:sz w:val="20"/>
          <w:szCs w:val="20"/>
          <w:lang w:eastAsia="pt-BR"/>
        </w:rPr>
        <w:t>4</w:t>
      </w:r>
      <w:r w:rsidRPr="00A72972">
        <w:rPr>
          <w:rFonts w:ascii="Times New Roman" w:hAnsi="Times New Roman" w:cs="Times New Roman"/>
          <w:sz w:val="20"/>
          <w:szCs w:val="20"/>
          <w:lang w:eastAsia="pt-BR"/>
        </w:rPr>
        <w:t>, observam-se os picos de redução dos catalisadores</w:t>
      </w:r>
      <w:r w:rsidR="00143578">
        <w:rPr>
          <w:rFonts w:ascii="Times New Roman" w:hAnsi="Times New Roman" w:cs="Times New Roman"/>
          <w:sz w:val="20"/>
          <w:szCs w:val="20"/>
          <w:lang w:eastAsia="pt-BR"/>
        </w:rPr>
        <w:t xml:space="preserve"> e na Tabela </w:t>
      </w:r>
      <w:r w:rsidR="00A011D6">
        <w:rPr>
          <w:rFonts w:ascii="Times New Roman" w:hAnsi="Times New Roman" w:cs="Times New Roman"/>
          <w:sz w:val="20"/>
          <w:szCs w:val="20"/>
          <w:lang w:eastAsia="pt-BR"/>
        </w:rPr>
        <w:t>2</w:t>
      </w:r>
      <w:r w:rsidR="00143578">
        <w:rPr>
          <w:rFonts w:ascii="Times New Roman" w:hAnsi="Times New Roman" w:cs="Times New Roman"/>
          <w:sz w:val="20"/>
          <w:szCs w:val="20"/>
          <w:lang w:eastAsia="pt-BR"/>
        </w:rPr>
        <w:t xml:space="preserve"> as porcentagens de redução de cada catalisador.</w:t>
      </w:r>
      <w:r w:rsidRPr="00A72972">
        <w:rPr>
          <w:rFonts w:ascii="Times New Roman" w:hAnsi="Times New Roman" w:cs="Times New Roman"/>
          <w:sz w:val="20"/>
          <w:szCs w:val="20"/>
          <w:lang w:eastAsia="pt-BR"/>
        </w:rPr>
        <w:t xml:space="preserve"> Nota-se que a adição de potássio promoveu a redução que passou a ocorrer em temperaturas mais baixas. Resultado similar foi observado por </w:t>
      </w:r>
      <w:proofErr w:type="spellStart"/>
      <w:r w:rsidRPr="00A72972">
        <w:rPr>
          <w:rFonts w:ascii="Times New Roman" w:hAnsi="Times New Roman" w:cs="Times New Roman"/>
          <w:sz w:val="20"/>
          <w:szCs w:val="20"/>
          <w:lang w:eastAsia="pt-BR"/>
        </w:rPr>
        <w:t>Asano</w:t>
      </w:r>
      <w:proofErr w:type="spellEnd"/>
      <w:r w:rsidRPr="00A72972">
        <w:rPr>
          <w:rFonts w:ascii="Times New Roman" w:hAnsi="Times New Roman" w:cs="Times New Roman"/>
          <w:sz w:val="20"/>
          <w:szCs w:val="20"/>
          <w:lang w:eastAsia="pt-BR"/>
        </w:rPr>
        <w:t xml:space="preserve"> </w:t>
      </w:r>
      <w:r w:rsidRPr="005A0CE8">
        <w:rPr>
          <w:rFonts w:ascii="Times New Roman" w:hAnsi="Times New Roman" w:cs="Times New Roman"/>
          <w:i/>
          <w:iCs/>
          <w:sz w:val="20"/>
          <w:szCs w:val="20"/>
          <w:lang w:eastAsia="pt-BR"/>
        </w:rPr>
        <w:t>et. al.</w:t>
      </w:r>
      <w:r w:rsidRPr="00A72972">
        <w:rPr>
          <w:rFonts w:ascii="Times New Roman" w:hAnsi="Times New Roman" w:cs="Times New Roman"/>
          <w:sz w:val="20"/>
          <w:szCs w:val="20"/>
          <w:lang w:eastAsia="pt-BR"/>
        </w:rPr>
        <w:t xml:space="preserve"> (18) com catalisadores de Co</w:t>
      </w:r>
      <w:r w:rsidRPr="00A72972">
        <w:rPr>
          <w:rFonts w:ascii="Times New Roman" w:hAnsi="Times New Roman" w:cs="Times New Roman"/>
          <w:sz w:val="20"/>
          <w:szCs w:val="20"/>
          <w:vertAlign w:val="subscript"/>
          <w:lang w:eastAsia="pt-BR"/>
        </w:rPr>
        <w:t>3</w:t>
      </w:r>
      <w:r w:rsidRPr="00A72972">
        <w:rPr>
          <w:rFonts w:ascii="Times New Roman" w:hAnsi="Times New Roman" w:cs="Times New Roman"/>
          <w:sz w:val="20"/>
          <w:szCs w:val="20"/>
          <w:lang w:eastAsia="pt-BR"/>
        </w:rPr>
        <w:t>O</w:t>
      </w:r>
      <w:r w:rsidRPr="00A72972">
        <w:rPr>
          <w:rFonts w:ascii="Times New Roman" w:hAnsi="Times New Roman" w:cs="Times New Roman"/>
          <w:sz w:val="20"/>
          <w:szCs w:val="20"/>
          <w:vertAlign w:val="subscript"/>
          <w:lang w:eastAsia="pt-BR"/>
        </w:rPr>
        <w:t>4</w:t>
      </w:r>
      <w:r w:rsidRPr="00A72972">
        <w:rPr>
          <w:rFonts w:ascii="Times New Roman" w:hAnsi="Times New Roman" w:cs="Times New Roman"/>
          <w:sz w:val="20"/>
          <w:szCs w:val="20"/>
          <w:lang w:eastAsia="pt-BR"/>
        </w:rPr>
        <w:t xml:space="preserve"> dopados com potássio. Os autores sugerem que a interação entre as espécies K e Co</w:t>
      </w:r>
      <w:r w:rsidRPr="00A72972">
        <w:rPr>
          <w:rFonts w:ascii="Times New Roman" w:hAnsi="Times New Roman" w:cs="Times New Roman"/>
          <w:sz w:val="20"/>
          <w:szCs w:val="20"/>
          <w:vertAlign w:val="subscript"/>
          <w:lang w:eastAsia="pt-BR"/>
        </w:rPr>
        <w:t>3</w:t>
      </w:r>
      <w:r w:rsidRPr="00A72972">
        <w:rPr>
          <w:rFonts w:ascii="Times New Roman" w:hAnsi="Times New Roman" w:cs="Times New Roman"/>
          <w:sz w:val="20"/>
          <w:szCs w:val="20"/>
          <w:lang w:eastAsia="pt-BR"/>
        </w:rPr>
        <w:t>O</w:t>
      </w:r>
      <w:r w:rsidRPr="00A72972">
        <w:rPr>
          <w:rFonts w:ascii="Times New Roman" w:hAnsi="Times New Roman" w:cs="Times New Roman"/>
          <w:sz w:val="20"/>
          <w:szCs w:val="20"/>
          <w:vertAlign w:val="subscript"/>
          <w:lang w:eastAsia="pt-BR"/>
        </w:rPr>
        <w:t>4</w:t>
      </w:r>
      <w:r w:rsidRPr="00A72972">
        <w:rPr>
          <w:rFonts w:ascii="Times New Roman" w:hAnsi="Times New Roman" w:cs="Times New Roman"/>
          <w:sz w:val="20"/>
          <w:szCs w:val="20"/>
          <w:lang w:eastAsia="pt-BR"/>
        </w:rPr>
        <w:t xml:space="preserve"> promoveu a redução do cobalto. Seguindo essa análise, pode-se propor que</w:t>
      </w:r>
      <w:r w:rsidR="00CE0B09">
        <w:rPr>
          <w:rFonts w:ascii="Times New Roman" w:hAnsi="Times New Roman" w:cs="Times New Roman"/>
          <w:sz w:val="20"/>
          <w:szCs w:val="20"/>
          <w:lang w:eastAsia="pt-BR"/>
        </w:rPr>
        <w:t>,</w:t>
      </w:r>
      <w:r w:rsidRPr="00A72972">
        <w:rPr>
          <w:rFonts w:ascii="Times New Roman" w:hAnsi="Times New Roman" w:cs="Times New Roman"/>
          <w:sz w:val="20"/>
          <w:szCs w:val="20"/>
          <w:lang w:eastAsia="pt-BR"/>
        </w:rPr>
        <w:t xml:space="preserve"> neste caso</w:t>
      </w:r>
      <w:r w:rsidR="00CE0B09">
        <w:rPr>
          <w:rFonts w:ascii="Times New Roman" w:hAnsi="Times New Roman" w:cs="Times New Roman"/>
          <w:sz w:val="20"/>
          <w:szCs w:val="20"/>
          <w:lang w:eastAsia="pt-BR"/>
        </w:rPr>
        <w:t>,</w:t>
      </w:r>
      <w:r w:rsidRPr="00A72972">
        <w:rPr>
          <w:rFonts w:ascii="Times New Roman" w:hAnsi="Times New Roman" w:cs="Times New Roman"/>
          <w:sz w:val="20"/>
          <w:szCs w:val="20"/>
          <w:lang w:eastAsia="pt-BR"/>
        </w:rPr>
        <w:t xml:space="preserve"> o mesmo esteja ocorrendo entre o potássio e o </w:t>
      </w:r>
      <w:proofErr w:type="spellStart"/>
      <w:r w:rsidRPr="00A72972">
        <w:rPr>
          <w:rFonts w:ascii="Times New Roman" w:hAnsi="Times New Roman" w:cs="Times New Roman"/>
          <w:sz w:val="20"/>
          <w:szCs w:val="20"/>
          <w:lang w:eastAsia="pt-BR"/>
        </w:rPr>
        <w:t>CuO</w:t>
      </w:r>
      <w:proofErr w:type="spellEnd"/>
      <w:r w:rsidRPr="00A72972">
        <w:rPr>
          <w:rFonts w:ascii="Times New Roman" w:hAnsi="Times New Roman" w:cs="Times New Roman"/>
          <w:sz w:val="20"/>
          <w:szCs w:val="20"/>
          <w:lang w:eastAsia="pt-BR"/>
        </w:rPr>
        <w:t>.</w:t>
      </w:r>
    </w:p>
    <w:p w14:paraId="62341B35" w14:textId="77777777" w:rsidR="00F86B4A" w:rsidRDefault="00F86B4A" w:rsidP="00A011D6">
      <w:pPr>
        <w:spacing w:line="240" w:lineRule="auto"/>
        <w:ind w:firstLine="708"/>
        <w:jc w:val="both"/>
        <w:rPr>
          <w:rFonts w:ascii="Times New Roman" w:hAnsi="Times New Roman" w:cs="Times New Roman"/>
          <w:sz w:val="20"/>
          <w:szCs w:val="20"/>
          <w:lang w:eastAsia="pt-BR"/>
        </w:rPr>
      </w:pPr>
    </w:p>
    <w:p w14:paraId="0404BD03" w14:textId="77777777" w:rsidR="00F86B4A" w:rsidRDefault="00F86B4A" w:rsidP="00A011D6">
      <w:pPr>
        <w:spacing w:line="240" w:lineRule="auto"/>
        <w:ind w:firstLine="708"/>
        <w:jc w:val="both"/>
        <w:rPr>
          <w:rFonts w:ascii="Times New Roman" w:hAnsi="Times New Roman" w:cs="Times New Roman"/>
          <w:sz w:val="20"/>
          <w:szCs w:val="20"/>
          <w:lang w:eastAsia="pt-BR"/>
        </w:rPr>
      </w:pPr>
    </w:p>
    <w:p w14:paraId="73ADF631" w14:textId="51B80B94" w:rsidR="00614B1B" w:rsidRDefault="00614B1B" w:rsidP="00614B1B">
      <w:pPr>
        <w:spacing w:line="240" w:lineRule="auto"/>
        <w:ind w:firstLine="708"/>
        <w:jc w:val="center"/>
        <w:rPr>
          <w:rFonts w:ascii="Times New Roman" w:hAnsi="Times New Roman" w:cs="Times New Roman"/>
          <w:sz w:val="20"/>
          <w:szCs w:val="20"/>
          <w:lang w:eastAsia="pt-BR"/>
        </w:rPr>
      </w:pPr>
      <w:r w:rsidRPr="00614B1B">
        <w:rPr>
          <w:rFonts w:ascii="Times New Roman" w:hAnsi="Times New Roman" w:cs="Times New Roman"/>
          <w:sz w:val="20"/>
          <w:szCs w:val="20"/>
          <w:lang w:eastAsia="pt-BR"/>
        </w:rPr>
        <w:t xml:space="preserve">Tabela 2. Porcentagem de redução dos catalisadores e quantidade de </w:t>
      </w:r>
      <w:proofErr w:type="spellStart"/>
      <w:r w:rsidRPr="00614B1B">
        <w:rPr>
          <w:rFonts w:ascii="Times New Roman" w:hAnsi="Times New Roman" w:cs="Times New Roman"/>
          <w:sz w:val="20"/>
          <w:szCs w:val="20"/>
          <w:lang w:eastAsia="pt-BR"/>
        </w:rPr>
        <w:t>μmol</w:t>
      </w:r>
      <w:proofErr w:type="spellEnd"/>
      <w:r w:rsidRPr="00614B1B">
        <w:rPr>
          <w:rFonts w:ascii="Times New Roman" w:hAnsi="Times New Roman" w:cs="Times New Roman"/>
          <w:sz w:val="20"/>
          <w:szCs w:val="20"/>
          <w:lang w:eastAsia="pt-BR"/>
        </w:rPr>
        <w:t xml:space="preserve"> de NO </w:t>
      </w:r>
      <w:proofErr w:type="spellStart"/>
      <w:r w:rsidRPr="00614B1B">
        <w:rPr>
          <w:rFonts w:ascii="Times New Roman" w:hAnsi="Times New Roman" w:cs="Times New Roman"/>
          <w:sz w:val="20"/>
          <w:szCs w:val="20"/>
          <w:lang w:eastAsia="pt-BR"/>
        </w:rPr>
        <w:t>dessorvido</w:t>
      </w:r>
      <w:proofErr w:type="spellEnd"/>
      <w:r w:rsidRPr="00614B1B">
        <w:rPr>
          <w:rFonts w:ascii="Times New Roman" w:hAnsi="Times New Roman" w:cs="Times New Roman"/>
          <w:sz w:val="20"/>
          <w:szCs w:val="20"/>
          <w:lang w:eastAsia="pt-BR"/>
        </w:rPr>
        <w:t xml:space="preserve"> por grama de catalisador.</w:t>
      </w:r>
    </w:p>
    <w:tbl>
      <w:tblPr>
        <w:tblStyle w:val="Tabelacomgrade"/>
        <w:tblW w:w="0" w:type="auto"/>
        <w:tblInd w:w="279" w:type="dxa"/>
        <w:tblLook w:val="04A0" w:firstRow="1" w:lastRow="0" w:firstColumn="1" w:lastColumn="0" w:noHBand="0" w:noVBand="1"/>
      </w:tblPr>
      <w:tblGrid>
        <w:gridCol w:w="1276"/>
        <w:gridCol w:w="1417"/>
        <w:gridCol w:w="1701"/>
      </w:tblGrid>
      <w:tr w:rsidR="000B3DA0" w14:paraId="26533AEA" w14:textId="77777777" w:rsidTr="00695823">
        <w:tc>
          <w:tcPr>
            <w:tcW w:w="1276" w:type="dxa"/>
          </w:tcPr>
          <w:p w14:paraId="42721CCA" w14:textId="77777777" w:rsidR="000B3DA0" w:rsidRPr="00143578" w:rsidRDefault="000B3DA0" w:rsidP="00695823">
            <w:pPr>
              <w:jc w:val="center"/>
              <w:rPr>
                <w:rFonts w:ascii="Times New Roman" w:hAnsi="Times New Roman" w:cs="Times New Roman"/>
              </w:rPr>
            </w:pPr>
            <w:r w:rsidRPr="00143578">
              <w:rPr>
                <w:rFonts w:ascii="Times New Roman" w:hAnsi="Times New Roman" w:cs="Times New Roman"/>
              </w:rPr>
              <w:t>Catalisador</w:t>
            </w:r>
          </w:p>
        </w:tc>
        <w:tc>
          <w:tcPr>
            <w:tcW w:w="1417" w:type="dxa"/>
          </w:tcPr>
          <w:p w14:paraId="2EC75291" w14:textId="77777777" w:rsidR="000B3DA0" w:rsidRPr="00143578" w:rsidRDefault="000B3DA0" w:rsidP="00695823">
            <w:pPr>
              <w:jc w:val="center"/>
              <w:rPr>
                <w:rFonts w:ascii="Times New Roman" w:hAnsi="Times New Roman" w:cs="Times New Roman"/>
              </w:rPr>
            </w:pPr>
            <w:r w:rsidRPr="00143578">
              <w:rPr>
                <w:rFonts w:ascii="Times New Roman" w:hAnsi="Times New Roman" w:cs="Times New Roman"/>
              </w:rPr>
              <w:t>Redução (%)</w:t>
            </w:r>
          </w:p>
        </w:tc>
        <w:tc>
          <w:tcPr>
            <w:tcW w:w="1701" w:type="dxa"/>
          </w:tcPr>
          <w:p w14:paraId="2FB74EB5" w14:textId="77777777" w:rsidR="000B3DA0" w:rsidRPr="00614B1B" w:rsidRDefault="000B3DA0" w:rsidP="00695823">
            <w:pPr>
              <w:jc w:val="center"/>
              <w:rPr>
                <w:rFonts w:ascii="Times New Roman" w:hAnsi="Times New Roman" w:cs="Times New Roman"/>
                <w:color w:val="000000" w:themeColor="text1"/>
                <w:sz w:val="20"/>
                <w:szCs w:val="20"/>
              </w:rPr>
            </w:pPr>
            <w:r w:rsidRPr="00614B1B">
              <w:rPr>
                <w:rFonts w:ascii="Times New Roman" w:hAnsi="Times New Roman" w:cs="Times New Roman"/>
                <w:color w:val="000000" w:themeColor="text1"/>
              </w:rPr>
              <w:t>Dessorção de NO (</w:t>
            </w:r>
            <w:proofErr w:type="spellStart"/>
            <w:r w:rsidRPr="00614B1B">
              <w:rPr>
                <w:rFonts w:ascii="Times New Roman" w:hAnsi="Times New Roman" w:cs="Times New Roman"/>
                <w:color w:val="000000" w:themeColor="text1"/>
                <w:sz w:val="20"/>
                <w:szCs w:val="20"/>
              </w:rPr>
              <w:t>μmol</w:t>
            </w:r>
            <w:proofErr w:type="spellEnd"/>
            <w:r w:rsidRPr="00614B1B">
              <w:rPr>
                <w:rFonts w:ascii="Times New Roman" w:hAnsi="Times New Roman" w:cs="Times New Roman"/>
                <w:color w:val="000000" w:themeColor="text1"/>
                <w:sz w:val="20"/>
                <w:szCs w:val="20"/>
              </w:rPr>
              <w:t>/g)</w:t>
            </w:r>
          </w:p>
        </w:tc>
      </w:tr>
      <w:tr w:rsidR="000B3DA0" w14:paraId="48F63FF3" w14:textId="77777777" w:rsidTr="00695823">
        <w:tc>
          <w:tcPr>
            <w:tcW w:w="1276" w:type="dxa"/>
          </w:tcPr>
          <w:p w14:paraId="6207EF95" w14:textId="77777777" w:rsidR="000B3DA0" w:rsidRDefault="000B3DA0" w:rsidP="00695823">
            <w:pPr>
              <w:jc w:val="center"/>
              <w:rPr>
                <w:b/>
                <w:bCs/>
              </w:rPr>
            </w:pPr>
            <w:proofErr w:type="spellStart"/>
            <w:r>
              <w:rPr>
                <w:lang w:eastAsia="pt-BR"/>
              </w:rPr>
              <w:t>HTcc</w:t>
            </w:r>
            <w:proofErr w:type="spellEnd"/>
          </w:p>
        </w:tc>
        <w:tc>
          <w:tcPr>
            <w:tcW w:w="1417" w:type="dxa"/>
          </w:tcPr>
          <w:p w14:paraId="657F1965" w14:textId="77777777" w:rsidR="000B3DA0" w:rsidRPr="00143578" w:rsidRDefault="000B3DA0" w:rsidP="00695823">
            <w:pPr>
              <w:jc w:val="center"/>
              <w:rPr>
                <w:rFonts w:ascii="Times New Roman" w:hAnsi="Times New Roman" w:cs="Times New Roman"/>
                <w:sz w:val="20"/>
                <w:szCs w:val="20"/>
              </w:rPr>
            </w:pPr>
            <w:r w:rsidRPr="00143578">
              <w:rPr>
                <w:rFonts w:ascii="Times New Roman" w:hAnsi="Times New Roman" w:cs="Times New Roman"/>
                <w:sz w:val="20"/>
                <w:szCs w:val="20"/>
              </w:rPr>
              <w:t>12</w:t>
            </w:r>
          </w:p>
        </w:tc>
        <w:tc>
          <w:tcPr>
            <w:tcW w:w="1701" w:type="dxa"/>
          </w:tcPr>
          <w:p w14:paraId="57FE119B" w14:textId="77777777" w:rsidR="000B3DA0" w:rsidRPr="00614B1B" w:rsidRDefault="000B3DA0" w:rsidP="00695823">
            <w:pPr>
              <w:jc w:val="center"/>
              <w:rPr>
                <w:rFonts w:ascii="Times New Roman" w:hAnsi="Times New Roman" w:cs="Times New Roman"/>
                <w:color w:val="000000" w:themeColor="text1"/>
                <w:sz w:val="20"/>
                <w:szCs w:val="20"/>
              </w:rPr>
            </w:pPr>
            <w:r w:rsidRPr="00614B1B">
              <w:rPr>
                <w:rFonts w:ascii="Times New Roman" w:hAnsi="Times New Roman" w:cs="Times New Roman"/>
                <w:color w:val="000000" w:themeColor="text1"/>
                <w:sz w:val="20"/>
                <w:szCs w:val="20"/>
              </w:rPr>
              <w:t>416,6</w:t>
            </w:r>
          </w:p>
        </w:tc>
      </w:tr>
      <w:tr w:rsidR="000B3DA0" w14:paraId="234852D2" w14:textId="77777777" w:rsidTr="00695823">
        <w:tc>
          <w:tcPr>
            <w:tcW w:w="1276" w:type="dxa"/>
          </w:tcPr>
          <w:p w14:paraId="2A00228C" w14:textId="77777777" w:rsidR="000B3DA0" w:rsidRDefault="000B3DA0" w:rsidP="00695823">
            <w:pPr>
              <w:jc w:val="center"/>
              <w:rPr>
                <w:b/>
                <w:bCs/>
              </w:rPr>
            </w:pPr>
            <w:r>
              <w:rPr>
                <w:lang w:eastAsia="pt-BR"/>
              </w:rPr>
              <w:t>HTc_001K</w:t>
            </w:r>
          </w:p>
        </w:tc>
        <w:tc>
          <w:tcPr>
            <w:tcW w:w="1417" w:type="dxa"/>
          </w:tcPr>
          <w:p w14:paraId="623A2375" w14:textId="77777777" w:rsidR="000B3DA0" w:rsidRPr="00143578" w:rsidRDefault="000B3DA0" w:rsidP="00695823">
            <w:pPr>
              <w:jc w:val="center"/>
              <w:rPr>
                <w:rFonts w:ascii="Times New Roman" w:hAnsi="Times New Roman" w:cs="Times New Roman"/>
                <w:sz w:val="20"/>
                <w:szCs w:val="20"/>
              </w:rPr>
            </w:pPr>
            <w:r w:rsidRPr="00143578">
              <w:rPr>
                <w:rFonts w:ascii="Times New Roman" w:hAnsi="Times New Roman" w:cs="Times New Roman"/>
                <w:sz w:val="20"/>
                <w:szCs w:val="20"/>
              </w:rPr>
              <w:t>14,5</w:t>
            </w:r>
          </w:p>
        </w:tc>
        <w:tc>
          <w:tcPr>
            <w:tcW w:w="1701" w:type="dxa"/>
          </w:tcPr>
          <w:p w14:paraId="6B6F2E19" w14:textId="77777777" w:rsidR="000B3DA0" w:rsidRPr="00614B1B" w:rsidRDefault="000B3DA0" w:rsidP="00695823">
            <w:pPr>
              <w:jc w:val="center"/>
              <w:rPr>
                <w:rFonts w:ascii="Times New Roman" w:hAnsi="Times New Roman" w:cs="Times New Roman"/>
                <w:color w:val="000000" w:themeColor="text1"/>
                <w:sz w:val="20"/>
                <w:szCs w:val="20"/>
              </w:rPr>
            </w:pPr>
            <w:r w:rsidRPr="00614B1B">
              <w:rPr>
                <w:rFonts w:ascii="Times New Roman" w:hAnsi="Times New Roman" w:cs="Times New Roman"/>
                <w:color w:val="000000" w:themeColor="text1"/>
                <w:sz w:val="20"/>
                <w:szCs w:val="20"/>
              </w:rPr>
              <w:t>461,6</w:t>
            </w:r>
          </w:p>
        </w:tc>
      </w:tr>
      <w:tr w:rsidR="000B3DA0" w14:paraId="5595C0C2" w14:textId="77777777" w:rsidTr="00695823">
        <w:tc>
          <w:tcPr>
            <w:tcW w:w="1276" w:type="dxa"/>
          </w:tcPr>
          <w:p w14:paraId="289DFEC2" w14:textId="77777777" w:rsidR="000B3DA0" w:rsidRDefault="000B3DA0" w:rsidP="00695823">
            <w:pPr>
              <w:jc w:val="center"/>
              <w:rPr>
                <w:b/>
                <w:bCs/>
              </w:rPr>
            </w:pPr>
            <w:r>
              <w:rPr>
                <w:lang w:eastAsia="pt-BR"/>
              </w:rPr>
              <w:t>HTc_007K</w:t>
            </w:r>
          </w:p>
        </w:tc>
        <w:tc>
          <w:tcPr>
            <w:tcW w:w="1417" w:type="dxa"/>
          </w:tcPr>
          <w:p w14:paraId="5043225B" w14:textId="77777777" w:rsidR="000B3DA0" w:rsidRPr="00143578" w:rsidRDefault="000B3DA0" w:rsidP="00695823">
            <w:pPr>
              <w:jc w:val="center"/>
              <w:rPr>
                <w:rFonts w:ascii="Times New Roman" w:hAnsi="Times New Roman" w:cs="Times New Roman"/>
                <w:sz w:val="20"/>
                <w:szCs w:val="20"/>
              </w:rPr>
            </w:pPr>
            <w:r w:rsidRPr="00143578">
              <w:rPr>
                <w:rFonts w:ascii="Times New Roman" w:hAnsi="Times New Roman" w:cs="Times New Roman"/>
                <w:sz w:val="20"/>
                <w:szCs w:val="20"/>
              </w:rPr>
              <w:t>14,4</w:t>
            </w:r>
          </w:p>
        </w:tc>
        <w:tc>
          <w:tcPr>
            <w:tcW w:w="1701" w:type="dxa"/>
          </w:tcPr>
          <w:p w14:paraId="3A89DAA5" w14:textId="77777777" w:rsidR="000B3DA0" w:rsidRPr="00614B1B" w:rsidRDefault="000B3DA0" w:rsidP="00695823">
            <w:pPr>
              <w:jc w:val="center"/>
              <w:rPr>
                <w:rFonts w:ascii="Times New Roman" w:hAnsi="Times New Roman" w:cs="Times New Roman"/>
                <w:color w:val="000000" w:themeColor="text1"/>
                <w:sz w:val="20"/>
                <w:szCs w:val="20"/>
              </w:rPr>
            </w:pPr>
            <w:r w:rsidRPr="00614B1B">
              <w:rPr>
                <w:rFonts w:ascii="Times New Roman" w:hAnsi="Times New Roman" w:cs="Times New Roman"/>
                <w:color w:val="000000" w:themeColor="text1"/>
                <w:sz w:val="20"/>
                <w:szCs w:val="20"/>
              </w:rPr>
              <w:t>522,4</w:t>
            </w:r>
          </w:p>
        </w:tc>
      </w:tr>
      <w:tr w:rsidR="000B3DA0" w14:paraId="631BA0FF" w14:textId="77777777" w:rsidTr="00695823">
        <w:tc>
          <w:tcPr>
            <w:tcW w:w="1276" w:type="dxa"/>
          </w:tcPr>
          <w:p w14:paraId="6D10C3FE" w14:textId="77777777" w:rsidR="000B3DA0" w:rsidRDefault="000B3DA0" w:rsidP="00695823">
            <w:pPr>
              <w:jc w:val="center"/>
              <w:rPr>
                <w:b/>
                <w:bCs/>
              </w:rPr>
            </w:pPr>
            <w:r>
              <w:rPr>
                <w:lang w:eastAsia="pt-BR"/>
              </w:rPr>
              <w:t>HTc_010K</w:t>
            </w:r>
          </w:p>
        </w:tc>
        <w:tc>
          <w:tcPr>
            <w:tcW w:w="1417" w:type="dxa"/>
          </w:tcPr>
          <w:p w14:paraId="373BC83B" w14:textId="77777777" w:rsidR="000B3DA0" w:rsidRPr="00143578" w:rsidRDefault="000B3DA0" w:rsidP="00695823">
            <w:pPr>
              <w:jc w:val="center"/>
              <w:rPr>
                <w:rFonts w:ascii="Times New Roman" w:hAnsi="Times New Roman" w:cs="Times New Roman"/>
                <w:sz w:val="20"/>
                <w:szCs w:val="20"/>
              </w:rPr>
            </w:pPr>
            <w:r w:rsidRPr="00143578">
              <w:rPr>
                <w:rFonts w:ascii="Times New Roman" w:hAnsi="Times New Roman" w:cs="Times New Roman"/>
                <w:sz w:val="20"/>
                <w:szCs w:val="20"/>
              </w:rPr>
              <w:t>17,7</w:t>
            </w:r>
          </w:p>
        </w:tc>
        <w:tc>
          <w:tcPr>
            <w:tcW w:w="1701" w:type="dxa"/>
          </w:tcPr>
          <w:p w14:paraId="0B7D5B13" w14:textId="77777777" w:rsidR="000B3DA0" w:rsidRPr="00614B1B" w:rsidRDefault="000B3DA0" w:rsidP="00695823">
            <w:pPr>
              <w:jc w:val="center"/>
              <w:rPr>
                <w:rFonts w:ascii="Times New Roman" w:hAnsi="Times New Roman" w:cs="Times New Roman"/>
                <w:color w:val="000000" w:themeColor="text1"/>
                <w:sz w:val="20"/>
                <w:szCs w:val="20"/>
              </w:rPr>
            </w:pPr>
            <w:r w:rsidRPr="00614B1B">
              <w:rPr>
                <w:rFonts w:ascii="Times New Roman" w:hAnsi="Times New Roman" w:cs="Times New Roman"/>
                <w:color w:val="000000" w:themeColor="text1"/>
                <w:sz w:val="20"/>
                <w:szCs w:val="20"/>
              </w:rPr>
              <w:t>483,9</w:t>
            </w:r>
          </w:p>
        </w:tc>
      </w:tr>
      <w:tr w:rsidR="000B3DA0" w14:paraId="4B214890" w14:textId="77777777" w:rsidTr="00695823">
        <w:tc>
          <w:tcPr>
            <w:tcW w:w="1276" w:type="dxa"/>
          </w:tcPr>
          <w:p w14:paraId="35FC4036" w14:textId="77777777" w:rsidR="000B3DA0" w:rsidRDefault="000B3DA0" w:rsidP="00695823">
            <w:pPr>
              <w:jc w:val="center"/>
              <w:rPr>
                <w:b/>
                <w:bCs/>
              </w:rPr>
            </w:pPr>
            <w:r>
              <w:rPr>
                <w:lang w:eastAsia="pt-BR"/>
              </w:rPr>
              <w:t>HTc_025K</w:t>
            </w:r>
          </w:p>
        </w:tc>
        <w:tc>
          <w:tcPr>
            <w:tcW w:w="1417" w:type="dxa"/>
          </w:tcPr>
          <w:p w14:paraId="29382ED6" w14:textId="77777777" w:rsidR="000B3DA0" w:rsidRPr="00143578" w:rsidRDefault="000B3DA0" w:rsidP="00695823">
            <w:pPr>
              <w:jc w:val="center"/>
              <w:rPr>
                <w:rFonts w:ascii="Times New Roman" w:hAnsi="Times New Roman" w:cs="Times New Roman"/>
                <w:sz w:val="20"/>
                <w:szCs w:val="20"/>
              </w:rPr>
            </w:pPr>
            <w:r w:rsidRPr="00143578">
              <w:rPr>
                <w:rFonts w:ascii="Times New Roman" w:hAnsi="Times New Roman" w:cs="Times New Roman"/>
                <w:sz w:val="20"/>
                <w:szCs w:val="20"/>
              </w:rPr>
              <w:t>14</w:t>
            </w:r>
          </w:p>
        </w:tc>
        <w:tc>
          <w:tcPr>
            <w:tcW w:w="1701" w:type="dxa"/>
          </w:tcPr>
          <w:p w14:paraId="6B698BB3" w14:textId="77777777" w:rsidR="000B3DA0" w:rsidRPr="00614B1B" w:rsidRDefault="000B3DA0" w:rsidP="00695823">
            <w:pPr>
              <w:jc w:val="center"/>
              <w:rPr>
                <w:rFonts w:ascii="Times New Roman" w:hAnsi="Times New Roman" w:cs="Times New Roman"/>
                <w:color w:val="000000" w:themeColor="text1"/>
                <w:sz w:val="20"/>
                <w:szCs w:val="20"/>
              </w:rPr>
            </w:pPr>
            <w:r w:rsidRPr="00614B1B">
              <w:rPr>
                <w:rFonts w:ascii="Times New Roman" w:hAnsi="Times New Roman" w:cs="Times New Roman"/>
                <w:color w:val="000000" w:themeColor="text1"/>
                <w:sz w:val="20"/>
                <w:szCs w:val="20"/>
              </w:rPr>
              <w:t>470,5</w:t>
            </w:r>
          </w:p>
        </w:tc>
      </w:tr>
    </w:tbl>
    <w:p w14:paraId="6B3185F8" w14:textId="408BB374" w:rsidR="00A75D3B" w:rsidRDefault="0066721F" w:rsidP="00A63853">
      <w:pPr>
        <w:spacing w:line="240" w:lineRule="auto"/>
        <w:ind w:firstLine="708"/>
        <w:jc w:val="center"/>
        <w:rPr>
          <w:rFonts w:ascii="Times New Roman" w:hAnsi="Times New Roman" w:cs="Times New Roman"/>
          <w:sz w:val="20"/>
          <w:szCs w:val="20"/>
        </w:rPr>
      </w:pPr>
      <w:r w:rsidRPr="005046F6">
        <w:rPr>
          <w:rFonts w:ascii="Times New Roman" w:hAnsi="Times New Roman" w:cs="Times New Roman"/>
          <w:b/>
          <w:bCs/>
          <w:sz w:val="20"/>
          <w:szCs w:val="20"/>
        </w:rPr>
        <w:t xml:space="preserve">  </w:t>
      </w:r>
      <w:r w:rsidR="00A63853" w:rsidRPr="00A63853">
        <w:rPr>
          <w:rFonts w:ascii="Times New Roman" w:hAnsi="Times New Roman" w:cs="Times New Roman"/>
          <w:b/>
          <w:bCs/>
          <w:noProof/>
          <w:sz w:val="20"/>
          <w:szCs w:val="20"/>
          <w:lang w:eastAsia="pt-BR"/>
        </w:rPr>
        <w:drawing>
          <wp:inline distT="0" distB="0" distL="0" distR="0" wp14:anchorId="18099418" wp14:editId="43E7023F">
            <wp:extent cx="3093356" cy="2492590"/>
            <wp:effectExtent l="0" t="0" r="0" b="3175"/>
            <wp:docPr id="2002076382" name="Imagem 1"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76382" name="Imagem 1" descr="Gráfico, Gráfico de linhas&#10;&#10;Descrição gerada automaticamente"/>
                    <pic:cNvPicPr/>
                  </pic:nvPicPr>
                  <pic:blipFill>
                    <a:blip r:embed="rId16"/>
                    <a:stretch>
                      <a:fillRect/>
                    </a:stretch>
                  </pic:blipFill>
                  <pic:spPr>
                    <a:xfrm>
                      <a:off x="0" y="0"/>
                      <a:ext cx="3099795" cy="2497778"/>
                    </a:xfrm>
                    <a:prstGeom prst="rect">
                      <a:avLst/>
                    </a:prstGeom>
                  </pic:spPr>
                </pic:pic>
              </a:graphicData>
            </a:graphic>
          </wp:inline>
        </w:drawing>
      </w:r>
      <w:r w:rsidR="00A75D3B" w:rsidRPr="005046F6">
        <w:rPr>
          <w:rFonts w:ascii="Times New Roman" w:hAnsi="Times New Roman" w:cs="Times New Roman"/>
          <w:b/>
          <w:bCs/>
          <w:sz w:val="20"/>
          <w:szCs w:val="20"/>
        </w:rPr>
        <w:t xml:space="preserve">Figura </w:t>
      </w:r>
      <w:r w:rsidR="000B3DA0">
        <w:rPr>
          <w:rFonts w:ascii="Times New Roman" w:hAnsi="Times New Roman" w:cs="Times New Roman"/>
          <w:b/>
          <w:bCs/>
          <w:sz w:val="20"/>
          <w:szCs w:val="20"/>
        </w:rPr>
        <w:t>4</w:t>
      </w:r>
      <w:r w:rsidR="00143578">
        <w:rPr>
          <w:rFonts w:ascii="Times New Roman" w:hAnsi="Times New Roman" w:cs="Times New Roman"/>
          <w:sz w:val="20"/>
          <w:szCs w:val="20"/>
        </w:rPr>
        <w:t xml:space="preserve">. </w:t>
      </w:r>
      <w:r w:rsidR="00A75D3B" w:rsidRPr="005046F6">
        <w:rPr>
          <w:rFonts w:ascii="Times New Roman" w:hAnsi="Times New Roman" w:cs="Times New Roman"/>
          <w:sz w:val="20"/>
          <w:szCs w:val="20"/>
        </w:rPr>
        <w:t>TPR-CO dos catalisadores</w:t>
      </w:r>
    </w:p>
    <w:p w14:paraId="2180C9FE" w14:textId="77777777" w:rsidR="00F86B4A" w:rsidRDefault="007A7D42" w:rsidP="00F86B4A">
      <w:pPr>
        <w:spacing w:line="24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De acordo com Ge et al. </w:t>
      </w:r>
      <w:r w:rsidR="00A72972">
        <w:rPr>
          <w:rFonts w:ascii="Times New Roman" w:hAnsi="Times New Roman" w:cs="Times New Roman"/>
          <w:sz w:val="20"/>
          <w:szCs w:val="20"/>
        </w:rPr>
        <w:t>(</w:t>
      </w:r>
      <w:r>
        <w:rPr>
          <w:rFonts w:ascii="Times New Roman" w:hAnsi="Times New Roman" w:cs="Times New Roman"/>
          <w:sz w:val="20"/>
          <w:szCs w:val="20"/>
        </w:rPr>
        <w:t>1</w:t>
      </w:r>
      <w:r w:rsidR="000B3DA0">
        <w:rPr>
          <w:rFonts w:ascii="Times New Roman" w:hAnsi="Times New Roman" w:cs="Times New Roman"/>
          <w:sz w:val="20"/>
          <w:szCs w:val="20"/>
        </w:rPr>
        <w:t>5</w:t>
      </w:r>
      <w:r w:rsidR="00A72972">
        <w:rPr>
          <w:rFonts w:ascii="Times New Roman" w:hAnsi="Times New Roman" w:cs="Times New Roman"/>
          <w:sz w:val="20"/>
          <w:szCs w:val="20"/>
        </w:rPr>
        <w:t>)</w:t>
      </w:r>
      <w:r>
        <w:rPr>
          <w:rFonts w:ascii="Times New Roman" w:hAnsi="Times New Roman" w:cs="Times New Roman"/>
          <w:sz w:val="20"/>
          <w:szCs w:val="20"/>
        </w:rPr>
        <w:t>, de modo geral, n</w:t>
      </w:r>
      <w:r w:rsidR="004A6914" w:rsidRPr="004250D4">
        <w:rPr>
          <w:rFonts w:ascii="Times New Roman" w:hAnsi="Times New Roman" w:cs="Times New Roman"/>
          <w:sz w:val="20"/>
          <w:szCs w:val="20"/>
        </w:rPr>
        <w:t xml:space="preserve">a redução de NO, é a doação de carga do catalisador aos orbitais </w:t>
      </w:r>
      <w:proofErr w:type="spellStart"/>
      <w:r w:rsidR="004A6914" w:rsidRPr="004250D4">
        <w:rPr>
          <w:rFonts w:ascii="Times New Roman" w:hAnsi="Times New Roman" w:cs="Times New Roman"/>
          <w:sz w:val="20"/>
          <w:szCs w:val="20"/>
        </w:rPr>
        <w:t>anti-ligantes</w:t>
      </w:r>
      <w:proofErr w:type="spellEnd"/>
      <w:r w:rsidR="004A6914" w:rsidRPr="004250D4">
        <w:rPr>
          <w:rFonts w:ascii="Times New Roman" w:hAnsi="Times New Roman" w:cs="Times New Roman"/>
          <w:sz w:val="20"/>
          <w:szCs w:val="20"/>
        </w:rPr>
        <w:t xml:space="preserve"> do NO que</w:t>
      </w:r>
      <w:r w:rsidRPr="007A7D42">
        <w:rPr>
          <w:rFonts w:ascii="Times New Roman" w:hAnsi="Times New Roman" w:cs="Times New Roman"/>
          <w:sz w:val="20"/>
          <w:szCs w:val="20"/>
        </w:rPr>
        <w:t xml:space="preserve"> </w:t>
      </w:r>
      <w:r w:rsidRPr="004250D4">
        <w:rPr>
          <w:rFonts w:ascii="Times New Roman" w:hAnsi="Times New Roman" w:cs="Times New Roman"/>
          <w:sz w:val="20"/>
          <w:szCs w:val="20"/>
        </w:rPr>
        <w:t>leva à sua dissociação</w:t>
      </w:r>
      <w:r w:rsidR="00E42C1A" w:rsidRPr="004250D4">
        <w:rPr>
          <w:rFonts w:ascii="Times New Roman" w:hAnsi="Times New Roman" w:cs="Times New Roman"/>
          <w:sz w:val="20"/>
          <w:szCs w:val="20"/>
        </w:rPr>
        <w:t>, ao desestabilizar a ligação N-O</w:t>
      </w:r>
      <w:r w:rsidR="004A6914" w:rsidRPr="004250D4">
        <w:rPr>
          <w:rFonts w:ascii="Times New Roman" w:hAnsi="Times New Roman" w:cs="Times New Roman"/>
          <w:sz w:val="20"/>
          <w:szCs w:val="20"/>
        </w:rPr>
        <w:t>.</w:t>
      </w:r>
      <w:r w:rsidR="00E42C1A" w:rsidRPr="004250D4">
        <w:rPr>
          <w:rFonts w:ascii="Times New Roman" w:hAnsi="Times New Roman" w:cs="Times New Roman"/>
          <w:sz w:val="20"/>
          <w:szCs w:val="20"/>
        </w:rPr>
        <w:t xml:space="preserve"> </w:t>
      </w:r>
      <w:r w:rsidR="00E42C1A" w:rsidRPr="004250D4">
        <w:rPr>
          <w:rFonts w:ascii="Times New Roman" w:hAnsi="Times New Roman" w:cs="Times New Roman"/>
          <w:color w:val="000000" w:themeColor="text1"/>
          <w:sz w:val="20"/>
          <w:szCs w:val="20"/>
        </w:rPr>
        <w:t xml:space="preserve">Essa doação, passo fundamental na reação, </w:t>
      </w:r>
      <w:r w:rsidR="00A75D3B" w:rsidRPr="004250D4">
        <w:rPr>
          <w:rFonts w:ascii="Times New Roman" w:hAnsi="Times New Roman" w:cs="Times New Roman"/>
          <w:sz w:val="20"/>
          <w:szCs w:val="20"/>
        </w:rPr>
        <w:t xml:space="preserve">só </w:t>
      </w:r>
      <w:r w:rsidR="004A6914" w:rsidRPr="004250D4">
        <w:rPr>
          <w:rFonts w:ascii="Times New Roman" w:hAnsi="Times New Roman" w:cs="Times New Roman"/>
          <w:sz w:val="20"/>
          <w:szCs w:val="20"/>
        </w:rPr>
        <w:t xml:space="preserve">acontece a partir de cátions metálicos de baixo estado de oxidação. </w:t>
      </w:r>
      <w:r w:rsidR="00E42C1A" w:rsidRPr="004250D4">
        <w:rPr>
          <w:rFonts w:ascii="Times New Roman" w:hAnsi="Times New Roman" w:cs="Times New Roman"/>
          <w:sz w:val="20"/>
          <w:szCs w:val="20"/>
        </w:rPr>
        <w:t xml:space="preserve">Com isso, </w:t>
      </w:r>
      <w:r w:rsidR="004A6914" w:rsidRPr="004250D4">
        <w:rPr>
          <w:rFonts w:ascii="Times New Roman" w:hAnsi="Times New Roman" w:cs="Times New Roman"/>
          <w:sz w:val="20"/>
          <w:szCs w:val="20"/>
        </w:rPr>
        <w:t>comprova-se a importância d</w:t>
      </w:r>
      <w:r w:rsidR="00E42C1A" w:rsidRPr="004250D4">
        <w:rPr>
          <w:rFonts w:ascii="Times New Roman" w:hAnsi="Times New Roman" w:cs="Times New Roman"/>
          <w:sz w:val="20"/>
          <w:szCs w:val="20"/>
        </w:rPr>
        <w:t>e uma</w:t>
      </w:r>
      <w:r w:rsidR="004A6914" w:rsidRPr="004250D4">
        <w:rPr>
          <w:rFonts w:ascii="Times New Roman" w:hAnsi="Times New Roman" w:cs="Times New Roman"/>
          <w:sz w:val="20"/>
          <w:szCs w:val="20"/>
        </w:rPr>
        <w:t xml:space="preserve"> boa redutibilidade do metal perante </w:t>
      </w:r>
      <w:r w:rsidR="001F08C2">
        <w:rPr>
          <w:rFonts w:ascii="Times New Roman" w:hAnsi="Times New Roman" w:cs="Times New Roman"/>
          <w:sz w:val="20"/>
          <w:szCs w:val="20"/>
        </w:rPr>
        <w:t>a</w:t>
      </w:r>
      <w:r w:rsidR="001F08C2" w:rsidRPr="004250D4">
        <w:rPr>
          <w:rFonts w:ascii="Times New Roman" w:hAnsi="Times New Roman" w:cs="Times New Roman"/>
          <w:sz w:val="20"/>
          <w:szCs w:val="20"/>
        </w:rPr>
        <w:t xml:space="preserve"> </w:t>
      </w:r>
      <w:r w:rsidR="004A6914" w:rsidRPr="004250D4">
        <w:rPr>
          <w:rFonts w:ascii="Times New Roman" w:hAnsi="Times New Roman" w:cs="Times New Roman"/>
          <w:sz w:val="20"/>
          <w:szCs w:val="20"/>
        </w:rPr>
        <w:t>reação (</w:t>
      </w:r>
      <w:r w:rsidR="007B522C" w:rsidRPr="004250D4">
        <w:rPr>
          <w:rFonts w:ascii="Times New Roman" w:hAnsi="Times New Roman" w:cs="Times New Roman"/>
          <w:sz w:val="20"/>
          <w:szCs w:val="20"/>
        </w:rPr>
        <w:t>2</w:t>
      </w:r>
      <w:r w:rsidR="000B3DA0">
        <w:rPr>
          <w:rFonts w:ascii="Times New Roman" w:hAnsi="Times New Roman" w:cs="Times New Roman"/>
          <w:sz w:val="20"/>
          <w:szCs w:val="20"/>
        </w:rPr>
        <w:t>4</w:t>
      </w:r>
      <w:r w:rsidR="004A6914" w:rsidRPr="004250D4">
        <w:rPr>
          <w:rFonts w:ascii="Times New Roman" w:hAnsi="Times New Roman" w:cs="Times New Roman"/>
          <w:sz w:val="20"/>
          <w:szCs w:val="20"/>
        </w:rPr>
        <w:t>).</w:t>
      </w:r>
    </w:p>
    <w:p w14:paraId="1B281582" w14:textId="64D1DDBA" w:rsidR="005F2624" w:rsidRPr="004250D4" w:rsidRDefault="0077466A" w:rsidP="00F86B4A">
      <w:pPr>
        <w:spacing w:line="240" w:lineRule="auto"/>
        <w:ind w:firstLine="708"/>
        <w:jc w:val="both"/>
        <w:rPr>
          <w:rFonts w:ascii="Times New Roman" w:hAnsi="Times New Roman" w:cs="Times New Roman"/>
          <w:sz w:val="20"/>
          <w:szCs w:val="20"/>
        </w:rPr>
      </w:pPr>
      <w:r w:rsidRPr="004250D4">
        <w:rPr>
          <w:rFonts w:ascii="Times New Roman" w:hAnsi="Times New Roman" w:cs="Times New Roman"/>
          <w:sz w:val="20"/>
          <w:szCs w:val="20"/>
        </w:rPr>
        <w:t>Os experimentos de TPD-NO foram realizados a fim de se observar a influência do potássio na adsorção</w:t>
      </w:r>
      <w:r w:rsidR="003B3C19">
        <w:rPr>
          <w:rFonts w:ascii="Times New Roman" w:hAnsi="Times New Roman" w:cs="Times New Roman"/>
          <w:sz w:val="20"/>
          <w:szCs w:val="20"/>
        </w:rPr>
        <w:t xml:space="preserve"> e </w:t>
      </w:r>
      <w:r w:rsidRPr="004250D4">
        <w:rPr>
          <w:rFonts w:ascii="Times New Roman" w:hAnsi="Times New Roman" w:cs="Times New Roman"/>
          <w:sz w:val="20"/>
          <w:szCs w:val="20"/>
        </w:rPr>
        <w:t>dessorção</w:t>
      </w:r>
      <w:r w:rsidR="005F2624" w:rsidRPr="004250D4">
        <w:rPr>
          <w:rFonts w:ascii="Times New Roman" w:hAnsi="Times New Roman" w:cs="Times New Roman"/>
          <w:sz w:val="20"/>
          <w:szCs w:val="20"/>
        </w:rPr>
        <w:t xml:space="preserve"> </w:t>
      </w:r>
      <w:r w:rsidRPr="004250D4">
        <w:rPr>
          <w:rFonts w:ascii="Times New Roman" w:hAnsi="Times New Roman" w:cs="Times New Roman"/>
          <w:sz w:val="20"/>
          <w:szCs w:val="20"/>
        </w:rPr>
        <w:t xml:space="preserve">da molécula de NO. </w:t>
      </w:r>
      <w:r w:rsidR="005F2624" w:rsidRPr="004250D4">
        <w:rPr>
          <w:rFonts w:ascii="Times New Roman" w:hAnsi="Times New Roman" w:cs="Times New Roman"/>
          <w:sz w:val="20"/>
          <w:szCs w:val="20"/>
        </w:rPr>
        <w:t xml:space="preserve">Na </w:t>
      </w:r>
      <w:r w:rsidR="007B522C" w:rsidRPr="004250D4">
        <w:rPr>
          <w:rFonts w:ascii="Times New Roman" w:hAnsi="Times New Roman" w:cs="Times New Roman"/>
          <w:sz w:val="20"/>
          <w:szCs w:val="20"/>
        </w:rPr>
        <w:t>F</w:t>
      </w:r>
      <w:r w:rsidR="005F2624" w:rsidRPr="004250D4">
        <w:rPr>
          <w:rFonts w:ascii="Times New Roman" w:hAnsi="Times New Roman" w:cs="Times New Roman"/>
          <w:sz w:val="20"/>
          <w:szCs w:val="20"/>
        </w:rPr>
        <w:t xml:space="preserve">igura </w:t>
      </w:r>
      <w:r w:rsidR="000B3DA0">
        <w:rPr>
          <w:rFonts w:ascii="Times New Roman" w:hAnsi="Times New Roman" w:cs="Times New Roman"/>
          <w:sz w:val="20"/>
          <w:szCs w:val="20"/>
        </w:rPr>
        <w:t>5</w:t>
      </w:r>
      <w:r w:rsidR="00E42C1A" w:rsidRPr="004250D4">
        <w:rPr>
          <w:rFonts w:ascii="Times New Roman" w:hAnsi="Times New Roman" w:cs="Times New Roman"/>
          <w:sz w:val="20"/>
          <w:szCs w:val="20"/>
        </w:rPr>
        <w:t xml:space="preserve">, </w:t>
      </w:r>
      <w:r w:rsidR="005F2624" w:rsidRPr="004250D4">
        <w:rPr>
          <w:rFonts w:ascii="Times New Roman" w:hAnsi="Times New Roman" w:cs="Times New Roman"/>
          <w:sz w:val="20"/>
          <w:szCs w:val="20"/>
        </w:rPr>
        <w:t>ob</w:t>
      </w:r>
      <w:r w:rsidR="00EE11ED" w:rsidRPr="004250D4">
        <w:rPr>
          <w:rFonts w:ascii="Times New Roman" w:hAnsi="Times New Roman" w:cs="Times New Roman"/>
          <w:sz w:val="20"/>
          <w:szCs w:val="20"/>
        </w:rPr>
        <w:t>se</w:t>
      </w:r>
      <w:r w:rsidR="005F2624" w:rsidRPr="004250D4">
        <w:rPr>
          <w:rFonts w:ascii="Times New Roman" w:hAnsi="Times New Roman" w:cs="Times New Roman"/>
          <w:sz w:val="20"/>
          <w:szCs w:val="20"/>
        </w:rPr>
        <w:t>rva</w:t>
      </w:r>
      <w:r w:rsidR="00CB6B93">
        <w:rPr>
          <w:rFonts w:ascii="Times New Roman" w:hAnsi="Times New Roman" w:cs="Times New Roman"/>
          <w:sz w:val="20"/>
          <w:szCs w:val="20"/>
        </w:rPr>
        <w:t>m</w:t>
      </w:r>
      <w:r w:rsidR="005F2624" w:rsidRPr="004250D4">
        <w:rPr>
          <w:rFonts w:ascii="Times New Roman" w:hAnsi="Times New Roman" w:cs="Times New Roman"/>
          <w:sz w:val="20"/>
          <w:szCs w:val="20"/>
        </w:rPr>
        <w:t xml:space="preserve">-se os picos de dessorção dos catalisadores. </w:t>
      </w:r>
    </w:p>
    <w:p w14:paraId="742B24FF" w14:textId="4CD0F69E" w:rsidR="00E42C1A" w:rsidRPr="00EE3F20" w:rsidRDefault="000B3DA0" w:rsidP="00F32EFE">
      <w:pPr>
        <w:jc w:val="center"/>
        <w:rPr>
          <w:rFonts w:ascii="Times New Roman" w:hAnsi="Times New Roman" w:cs="Times New Roman"/>
          <w:sz w:val="20"/>
          <w:szCs w:val="20"/>
        </w:rPr>
      </w:pPr>
      <w:r w:rsidRPr="004267F2">
        <w:rPr>
          <w:rFonts w:ascii="Times New Roman" w:hAnsi="Times New Roman" w:cs="Times New Roman"/>
          <w:b/>
          <w:bCs/>
          <w:noProof/>
          <w:sz w:val="20"/>
          <w:szCs w:val="20"/>
          <w:lang w:eastAsia="pt-BR"/>
        </w:rPr>
        <w:lastRenderedPageBreak/>
        <w:drawing>
          <wp:inline distT="0" distB="0" distL="0" distR="0" wp14:anchorId="0791E95D" wp14:editId="463771DE">
            <wp:extent cx="3027680" cy="2437765"/>
            <wp:effectExtent l="0" t="0" r="1270" b="635"/>
            <wp:docPr id="297074802" name="Imagem 1"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74802" name="Imagem 1" descr="Gráfico, Gráfico de linhas&#10;&#10;Descrição gerada automaticamente"/>
                    <pic:cNvPicPr/>
                  </pic:nvPicPr>
                  <pic:blipFill>
                    <a:blip r:embed="rId17"/>
                    <a:stretch>
                      <a:fillRect/>
                    </a:stretch>
                  </pic:blipFill>
                  <pic:spPr>
                    <a:xfrm>
                      <a:off x="0" y="0"/>
                      <a:ext cx="3027680" cy="2437765"/>
                    </a:xfrm>
                    <a:prstGeom prst="rect">
                      <a:avLst/>
                    </a:prstGeom>
                  </pic:spPr>
                </pic:pic>
              </a:graphicData>
            </a:graphic>
          </wp:inline>
        </w:drawing>
      </w:r>
      <w:r w:rsidR="00EE11ED" w:rsidRPr="00EE3F20">
        <w:rPr>
          <w:rFonts w:ascii="Times New Roman" w:hAnsi="Times New Roman" w:cs="Times New Roman"/>
          <w:b/>
          <w:bCs/>
          <w:sz w:val="20"/>
          <w:szCs w:val="20"/>
        </w:rPr>
        <w:t xml:space="preserve">Figura </w:t>
      </w:r>
      <w:r>
        <w:rPr>
          <w:rFonts w:ascii="Times New Roman" w:hAnsi="Times New Roman" w:cs="Times New Roman"/>
          <w:b/>
          <w:bCs/>
          <w:sz w:val="20"/>
          <w:szCs w:val="20"/>
        </w:rPr>
        <w:t>5</w:t>
      </w:r>
      <w:r w:rsidR="00143578" w:rsidRPr="00EE3F20">
        <w:rPr>
          <w:rFonts w:ascii="Times New Roman" w:hAnsi="Times New Roman" w:cs="Times New Roman"/>
          <w:sz w:val="20"/>
          <w:szCs w:val="20"/>
        </w:rPr>
        <w:t xml:space="preserve">. </w:t>
      </w:r>
      <w:r w:rsidR="00EE11ED" w:rsidRPr="00EE3F20">
        <w:rPr>
          <w:rFonts w:ascii="Times New Roman" w:hAnsi="Times New Roman" w:cs="Times New Roman"/>
          <w:sz w:val="20"/>
          <w:szCs w:val="20"/>
        </w:rPr>
        <w:t>TPD-NO dos catalisadores</w:t>
      </w:r>
    </w:p>
    <w:p w14:paraId="723FFE49" w14:textId="0AE339C6" w:rsidR="005F2624" w:rsidRPr="004250D4" w:rsidRDefault="005F2624" w:rsidP="005A0CE8">
      <w:pPr>
        <w:spacing w:line="240" w:lineRule="auto"/>
        <w:ind w:firstLine="708"/>
        <w:jc w:val="both"/>
        <w:rPr>
          <w:rFonts w:ascii="Times New Roman" w:hAnsi="Times New Roman" w:cs="Times New Roman"/>
          <w:sz w:val="20"/>
          <w:szCs w:val="20"/>
        </w:rPr>
      </w:pPr>
      <w:r w:rsidRPr="004250D4">
        <w:rPr>
          <w:rFonts w:ascii="Times New Roman" w:hAnsi="Times New Roman" w:cs="Times New Roman"/>
          <w:sz w:val="20"/>
          <w:szCs w:val="20"/>
        </w:rPr>
        <w:t>Observa-se maior dessorção nos catalisadores com potássio</w:t>
      </w:r>
      <w:r w:rsidR="00F32EFE">
        <w:rPr>
          <w:rFonts w:ascii="Times New Roman" w:hAnsi="Times New Roman" w:cs="Times New Roman"/>
          <w:sz w:val="20"/>
          <w:szCs w:val="20"/>
        </w:rPr>
        <w:t xml:space="preserve">, como </w:t>
      </w:r>
      <w:r w:rsidR="00C52FF0">
        <w:rPr>
          <w:rFonts w:ascii="Times New Roman" w:hAnsi="Times New Roman" w:cs="Times New Roman"/>
          <w:sz w:val="20"/>
          <w:szCs w:val="20"/>
        </w:rPr>
        <w:t>indicado pela</w:t>
      </w:r>
      <w:r w:rsidR="00F32EFE">
        <w:rPr>
          <w:rFonts w:ascii="Times New Roman" w:hAnsi="Times New Roman" w:cs="Times New Roman"/>
          <w:sz w:val="20"/>
          <w:szCs w:val="20"/>
        </w:rPr>
        <w:t xml:space="preserve"> quantidade de </w:t>
      </w:r>
      <w:r w:rsidR="00F32EFE" w:rsidRPr="00F32EFE">
        <w:rPr>
          <w:rFonts w:ascii="Times New Roman" w:hAnsi="Times New Roman" w:cs="Times New Roman"/>
          <w:sz w:val="20"/>
          <w:szCs w:val="20"/>
          <w:lang w:val="el-GR"/>
        </w:rPr>
        <w:t>μ</w:t>
      </w:r>
      <w:r w:rsidR="00F32EFE" w:rsidRPr="00F32EFE">
        <w:rPr>
          <w:rFonts w:ascii="Times New Roman" w:hAnsi="Times New Roman" w:cs="Times New Roman"/>
          <w:sz w:val="20"/>
          <w:szCs w:val="20"/>
        </w:rPr>
        <w:t>mol</w:t>
      </w:r>
      <w:r w:rsidR="00836C2C">
        <w:rPr>
          <w:rFonts w:ascii="Times New Roman" w:hAnsi="Times New Roman" w:cs="Times New Roman"/>
          <w:sz w:val="20"/>
          <w:szCs w:val="20"/>
        </w:rPr>
        <w:t>s</w:t>
      </w:r>
      <w:r w:rsidR="00F32EFE">
        <w:rPr>
          <w:rFonts w:ascii="Times New Roman" w:hAnsi="Times New Roman" w:cs="Times New Roman"/>
          <w:sz w:val="20"/>
          <w:szCs w:val="20"/>
        </w:rPr>
        <w:t xml:space="preserve"> </w:t>
      </w:r>
      <w:proofErr w:type="spellStart"/>
      <w:r w:rsidR="00F32EFE">
        <w:rPr>
          <w:rFonts w:ascii="Times New Roman" w:hAnsi="Times New Roman" w:cs="Times New Roman"/>
          <w:sz w:val="20"/>
          <w:szCs w:val="20"/>
        </w:rPr>
        <w:t>dessorvido</w:t>
      </w:r>
      <w:proofErr w:type="spellEnd"/>
      <w:r w:rsidR="00F32EFE">
        <w:rPr>
          <w:rFonts w:ascii="Times New Roman" w:hAnsi="Times New Roman" w:cs="Times New Roman"/>
          <w:sz w:val="20"/>
          <w:szCs w:val="20"/>
        </w:rPr>
        <w:t xml:space="preserve"> por grama de catalisador</w:t>
      </w:r>
      <w:r w:rsidRPr="004250D4">
        <w:rPr>
          <w:rFonts w:ascii="Times New Roman" w:hAnsi="Times New Roman" w:cs="Times New Roman"/>
          <w:sz w:val="20"/>
          <w:szCs w:val="20"/>
        </w:rPr>
        <w:t xml:space="preserve">. Promotores eletropositivos como o potássio, aumentam a força de </w:t>
      </w:r>
      <w:proofErr w:type="spellStart"/>
      <w:r w:rsidRPr="004250D4">
        <w:rPr>
          <w:rFonts w:ascii="Times New Roman" w:hAnsi="Times New Roman" w:cs="Times New Roman"/>
          <w:sz w:val="20"/>
          <w:szCs w:val="20"/>
        </w:rPr>
        <w:t>quimissorção</w:t>
      </w:r>
      <w:proofErr w:type="spellEnd"/>
      <w:r w:rsidRPr="004250D4">
        <w:rPr>
          <w:rFonts w:ascii="Times New Roman" w:hAnsi="Times New Roman" w:cs="Times New Roman"/>
          <w:sz w:val="20"/>
          <w:szCs w:val="20"/>
        </w:rPr>
        <w:t xml:space="preserve"> de aceptores de elétrons com o NO, e induz</w:t>
      </w:r>
      <w:r w:rsidR="00836C2C">
        <w:rPr>
          <w:rFonts w:ascii="Times New Roman" w:hAnsi="Times New Roman" w:cs="Times New Roman"/>
          <w:sz w:val="20"/>
          <w:szCs w:val="20"/>
        </w:rPr>
        <w:t>em</w:t>
      </w:r>
      <w:r w:rsidRPr="004250D4">
        <w:rPr>
          <w:rFonts w:ascii="Times New Roman" w:hAnsi="Times New Roman" w:cs="Times New Roman"/>
          <w:sz w:val="20"/>
          <w:szCs w:val="20"/>
        </w:rPr>
        <w:t xml:space="preserve"> a dissociação. São os efeitos eletrônicos sinérgicos </w:t>
      </w:r>
      <w:r w:rsidR="00E42C1A" w:rsidRPr="004250D4">
        <w:rPr>
          <w:rFonts w:ascii="Times New Roman" w:hAnsi="Times New Roman" w:cs="Times New Roman"/>
          <w:sz w:val="20"/>
          <w:szCs w:val="20"/>
        </w:rPr>
        <w:t xml:space="preserve">entre o metal alcalino e o metal do catalisador </w:t>
      </w:r>
      <w:r w:rsidRPr="004250D4">
        <w:rPr>
          <w:rFonts w:ascii="Times New Roman" w:hAnsi="Times New Roman" w:cs="Times New Roman"/>
          <w:sz w:val="20"/>
          <w:szCs w:val="20"/>
        </w:rPr>
        <w:t>que enfraquecem a ligação N-O</w:t>
      </w:r>
      <w:r w:rsidR="00E42C1A" w:rsidRPr="004250D4">
        <w:rPr>
          <w:rFonts w:ascii="Times New Roman" w:hAnsi="Times New Roman" w:cs="Times New Roman"/>
          <w:color w:val="FF0000"/>
          <w:sz w:val="20"/>
          <w:szCs w:val="20"/>
        </w:rPr>
        <w:t xml:space="preserve"> </w:t>
      </w:r>
      <w:r w:rsidR="00E42C1A" w:rsidRPr="004250D4">
        <w:rPr>
          <w:rFonts w:ascii="Times New Roman" w:hAnsi="Times New Roman" w:cs="Times New Roman"/>
          <w:sz w:val="20"/>
          <w:szCs w:val="20"/>
        </w:rPr>
        <w:t>(</w:t>
      </w:r>
      <w:r w:rsidR="000B3DA0">
        <w:rPr>
          <w:rFonts w:ascii="Times New Roman" w:hAnsi="Times New Roman" w:cs="Times New Roman"/>
          <w:sz w:val="20"/>
          <w:szCs w:val="20"/>
        </w:rPr>
        <w:t>25,26</w:t>
      </w:r>
      <w:r w:rsidR="00E42C1A" w:rsidRPr="004250D4">
        <w:rPr>
          <w:rFonts w:ascii="Times New Roman" w:hAnsi="Times New Roman" w:cs="Times New Roman"/>
          <w:sz w:val="20"/>
          <w:szCs w:val="20"/>
        </w:rPr>
        <w:t>)</w:t>
      </w:r>
      <w:r w:rsidRPr="004250D4">
        <w:rPr>
          <w:rFonts w:ascii="Times New Roman" w:hAnsi="Times New Roman" w:cs="Times New Roman"/>
          <w:sz w:val="20"/>
          <w:szCs w:val="20"/>
        </w:rPr>
        <w:t xml:space="preserve">. </w:t>
      </w:r>
      <w:r w:rsidR="0077466A" w:rsidRPr="004250D4">
        <w:rPr>
          <w:rFonts w:ascii="Times New Roman" w:hAnsi="Times New Roman" w:cs="Times New Roman"/>
          <w:sz w:val="20"/>
          <w:szCs w:val="20"/>
        </w:rPr>
        <w:t>L</w:t>
      </w:r>
      <w:r w:rsidR="005A0CE8" w:rsidRPr="004250D4">
        <w:rPr>
          <w:rFonts w:ascii="Times New Roman" w:hAnsi="Times New Roman" w:cs="Times New Roman"/>
          <w:sz w:val="20"/>
          <w:szCs w:val="20"/>
        </w:rPr>
        <w:t>ang</w:t>
      </w:r>
      <w:r w:rsidR="007B522C" w:rsidRPr="004250D4">
        <w:rPr>
          <w:rFonts w:ascii="Times New Roman" w:hAnsi="Times New Roman" w:cs="Times New Roman"/>
          <w:sz w:val="20"/>
          <w:szCs w:val="20"/>
        </w:rPr>
        <w:t xml:space="preserve"> </w:t>
      </w:r>
      <w:r w:rsidR="007B522C" w:rsidRPr="004250D4">
        <w:rPr>
          <w:rFonts w:ascii="Times New Roman" w:hAnsi="Times New Roman" w:cs="Times New Roman"/>
          <w:i/>
          <w:iCs/>
          <w:sz w:val="20"/>
          <w:szCs w:val="20"/>
        </w:rPr>
        <w:t>et</w:t>
      </w:r>
      <w:r w:rsidR="005A0CE8">
        <w:rPr>
          <w:rFonts w:ascii="Times New Roman" w:hAnsi="Times New Roman" w:cs="Times New Roman"/>
          <w:i/>
          <w:iCs/>
          <w:sz w:val="20"/>
          <w:szCs w:val="20"/>
        </w:rPr>
        <w:t>.</w:t>
      </w:r>
      <w:r w:rsidR="007B522C" w:rsidRPr="004250D4">
        <w:rPr>
          <w:rFonts w:ascii="Times New Roman" w:hAnsi="Times New Roman" w:cs="Times New Roman"/>
          <w:i/>
          <w:iCs/>
          <w:sz w:val="20"/>
          <w:szCs w:val="20"/>
        </w:rPr>
        <w:t xml:space="preserve"> </w:t>
      </w:r>
      <w:r w:rsidR="005A0CE8">
        <w:rPr>
          <w:rFonts w:ascii="Times New Roman" w:hAnsi="Times New Roman" w:cs="Times New Roman"/>
          <w:i/>
          <w:iCs/>
          <w:sz w:val="20"/>
          <w:szCs w:val="20"/>
        </w:rPr>
        <w:t>al.</w:t>
      </w:r>
      <w:r w:rsidR="007B522C" w:rsidRPr="004250D4">
        <w:rPr>
          <w:rFonts w:ascii="Times New Roman" w:hAnsi="Times New Roman" w:cs="Times New Roman"/>
          <w:sz w:val="20"/>
          <w:szCs w:val="20"/>
        </w:rPr>
        <w:t xml:space="preserve"> </w:t>
      </w:r>
      <w:r w:rsidR="002D3AB2">
        <w:rPr>
          <w:rFonts w:ascii="Times New Roman" w:hAnsi="Times New Roman" w:cs="Times New Roman"/>
          <w:sz w:val="20"/>
          <w:szCs w:val="20"/>
        </w:rPr>
        <w:t>(</w:t>
      </w:r>
      <w:r w:rsidR="00836C2C">
        <w:rPr>
          <w:rFonts w:ascii="Times New Roman" w:hAnsi="Times New Roman" w:cs="Times New Roman"/>
          <w:sz w:val="20"/>
          <w:szCs w:val="20"/>
        </w:rPr>
        <w:t>2</w:t>
      </w:r>
      <w:r w:rsidR="000B3DA0">
        <w:rPr>
          <w:rFonts w:ascii="Times New Roman" w:hAnsi="Times New Roman" w:cs="Times New Roman"/>
          <w:sz w:val="20"/>
          <w:szCs w:val="20"/>
        </w:rPr>
        <w:t>7</w:t>
      </w:r>
      <w:r w:rsidR="002D3AB2">
        <w:rPr>
          <w:rFonts w:ascii="Times New Roman" w:hAnsi="Times New Roman" w:cs="Times New Roman"/>
          <w:sz w:val="20"/>
          <w:szCs w:val="20"/>
        </w:rPr>
        <w:t xml:space="preserve">) </w:t>
      </w:r>
      <w:r w:rsidR="0077466A" w:rsidRPr="004250D4">
        <w:rPr>
          <w:rFonts w:ascii="Times New Roman" w:hAnsi="Times New Roman" w:cs="Times New Roman"/>
          <w:sz w:val="20"/>
          <w:szCs w:val="20"/>
        </w:rPr>
        <w:t xml:space="preserve">discutiram a dissociação de moléculas diatômicas </w:t>
      </w:r>
      <w:proofErr w:type="spellStart"/>
      <w:r w:rsidR="0077466A" w:rsidRPr="004250D4">
        <w:rPr>
          <w:rFonts w:ascii="Times New Roman" w:hAnsi="Times New Roman" w:cs="Times New Roman"/>
          <w:sz w:val="20"/>
          <w:szCs w:val="20"/>
        </w:rPr>
        <w:t>quimissorvidas</w:t>
      </w:r>
      <w:proofErr w:type="spellEnd"/>
      <w:r w:rsidR="0077466A" w:rsidRPr="004250D4">
        <w:rPr>
          <w:rFonts w:ascii="Times New Roman" w:hAnsi="Times New Roman" w:cs="Times New Roman"/>
          <w:sz w:val="20"/>
          <w:szCs w:val="20"/>
        </w:rPr>
        <w:t xml:space="preserve"> em superfícies de metal induzidas pela eletrostática do campo de cátions alcalinos </w:t>
      </w:r>
      <w:proofErr w:type="spellStart"/>
      <w:r w:rsidR="0077466A" w:rsidRPr="004250D4">
        <w:rPr>
          <w:rFonts w:ascii="Times New Roman" w:hAnsi="Times New Roman" w:cs="Times New Roman"/>
          <w:sz w:val="20"/>
          <w:szCs w:val="20"/>
        </w:rPr>
        <w:t>coadsorvidos</w:t>
      </w:r>
      <w:proofErr w:type="spellEnd"/>
      <w:r w:rsidR="0077466A" w:rsidRPr="004250D4">
        <w:rPr>
          <w:rFonts w:ascii="Times New Roman" w:hAnsi="Times New Roman" w:cs="Times New Roman"/>
          <w:sz w:val="20"/>
          <w:szCs w:val="20"/>
        </w:rPr>
        <w:t xml:space="preserve">. </w:t>
      </w:r>
      <w:r w:rsidRPr="004250D4">
        <w:rPr>
          <w:rFonts w:ascii="Times New Roman" w:hAnsi="Times New Roman" w:cs="Times New Roman"/>
          <w:sz w:val="20"/>
          <w:szCs w:val="20"/>
        </w:rPr>
        <w:t>Com</w:t>
      </w:r>
      <w:r w:rsidR="00836C2C">
        <w:rPr>
          <w:rFonts w:ascii="Times New Roman" w:hAnsi="Times New Roman" w:cs="Times New Roman"/>
          <w:sz w:val="20"/>
          <w:szCs w:val="20"/>
        </w:rPr>
        <w:t xml:space="preserve"> uma</w:t>
      </w:r>
      <w:r w:rsidRPr="004250D4">
        <w:rPr>
          <w:rFonts w:ascii="Times New Roman" w:hAnsi="Times New Roman" w:cs="Times New Roman"/>
          <w:sz w:val="20"/>
          <w:szCs w:val="20"/>
        </w:rPr>
        <w:t xml:space="preserve"> maior proporção de nitrogênio atômico adsorvido, a formação de N</w:t>
      </w:r>
      <w:r w:rsidRPr="00F32EFE">
        <w:rPr>
          <w:rFonts w:ascii="Times New Roman" w:hAnsi="Times New Roman" w:cs="Times New Roman"/>
          <w:sz w:val="20"/>
          <w:szCs w:val="20"/>
          <w:vertAlign w:val="subscript"/>
        </w:rPr>
        <w:t>2</w:t>
      </w:r>
      <w:r w:rsidRPr="004250D4">
        <w:rPr>
          <w:rFonts w:ascii="Times New Roman" w:hAnsi="Times New Roman" w:cs="Times New Roman"/>
          <w:sz w:val="20"/>
          <w:szCs w:val="20"/>
        </w:rPr>
        <w:t xml:space="preserve"> é priorizada, de acordo com as reações abaixo:</w:t>
      </w:r>
    </w:p>
    <w:p w14:paraId="752C892F" w14:textId="7AFA91C3" w:rsidR="005F2624" w:rsidRPr="005046F6" w:rsidRDefault="005F2624" w:rsidP="005F2624">
      <w:pPr>
        <w:jc w:val="center"/>
        <w:rPr>
          <w:rFonts w:ascii="Times New Roman" w:hAnsi="Times New Roman" w:cs="Times New Roman"/>
        </w:rPr>
      </w:pPr>
      <w:proofErr w:type="spellStart"/>
      <w:r w:rsidRPr="005046F6">
        <w:rPr>
          <w:rFonts w:ascii="Times New Roman" w:hAnsi="Times New Roman" w:cs="Times New Roman"/>
        </w:rPr>
        <w:t>N</w:t>
      </w:r>
      <w:r w:rsidRPr="005046F6">
        <w:rPr>
          <w:rFonts w:ascii="Times New Roman" w:hAnsi="Times New Roman" w:cs="Times New Roman"/>
          <w:vertAlign w:val="subscript"/>
        </w:rPr>
        <w:t>ads</w:t>
      </w:r>
      <w:proofErr w:type="spellEnd"/>
      <w:r w:rsidRPr="005046F6">
        <w:rPr>
          <w:rFonts w:ascii="Times New Roman" w:hAnsi="Times New Roman" w:cs="Times New Roman"/>
          <w:vertAlign w:val="subscript"/>
        </w:rPr>
        <w:t xml:space="preserve"> </w:t>
      </w:r>
      <w:r w:rsidRPr="005046F6">
        <w:rPr>
          <w:rFonts w:ascii="Times New Roman" w:hAnsi="Times New Roman" w:cs="Times New Roman"/>
        </w:rPr>
        <w:t xml:space="preserve">+ </w:t>
      </w:r>
      <w:proofErr w:type="spellStart"/>
      <w:r w:rsidRPr="005046F6">
        <w:rPr>
          <w:rFonts w:ascii="Times New Roman" w:hAnsi="Times New Roman" w:cs="Times New Roman"/>
        </w:rPr>
        <w:t>N</w:t>
      </w:r>
      <w:r w:rsidRPr="005046F6">
        <w:rPr>
          <w:rFonts w:ascii="Times New Roman" w:hAnsi="Times New Roman" w:cs="Times New Roman"/>
          <w:vertAlign w:val="subscript"/>
        </w:rPr>
        <w:t>ads</w:t>
      </w:r>
      <w:proofErr w:type="spellEnd"/>
      <w:r w:rsidRPr="005046F6">
        <w:rPr>
          <w:rFonts w:ascii="Times New Roman" w:hAnsi="Times New Roman" w:cs="Times New Roman"/>
        </w:rPr>
        <w:t xml:space="preserve"> </w:t>
      </w:r>
      <w:r w:rsidR="00EE11ED" w:rsidRPr="00836C2C">
        <w:rPr>
          <w:rFonts w:ascii="Segoe UI Symbol" w:hAnsi="Segoe UI Symbol" w:cs="Segoe UI Symbol"/>
        </w:rPr>
        <w:t>➝</w:t>
      </w:r>
      <w:r w:rsidR="00EE11ED" w:rsidRPr="005046F6">
        <w:rPr>
          <w:rFonts w:ascii="Times New Roman" w:hAnsi="Times New Roman" w:cs="Times New Roman"/>
        </w:rPr>
        <w:t xml:space="preserve"> </w:t>
      </w:r>
      <w:r w:rsidRPr="005046F6">
        <w:rPr>
          <w:rFonts w:ascii="Times New Roman" w:hAnsi="Times New Roman" w:cs="Times New Roman"/>
        </w:rPr>
        <w:t>N</w:t>
      </w:r>
      <w:r w:rsidRPr="005046F6">
        <w:rPr>
          <w:rFonts w:ascii="Times New Roman" w:hAnsi="Times New Roman" w:cs="Times New Roman"/>
          <w:vertAlign w:val="subscript"/>
        </w:rPr>
        <w:t>2</w:t>
      </w:r>
    </w:p>
    <w:p w14:paraId="6AF5A19F" w14:textId="02B78C04" w:rsidR="005F2624" w:rsidRPr="005046F6" w:rsidRDefault="005F2624" w:rsidP="005F2624">
      <w:pPr>
        <w:jc w:val="center"/>
        <w:rPr>
          <w:rFonts w:ascii="Times New Roman" w:hAnsi="Times New Roman" w:cs="Times New Roman"/>
        </w:rPr>
      </w:pPr>
      <w:proofErr w:type="spellStart"/>
      <w:r w:rsidRPr="005046F6">
        <w:rPr>
          <w:rFonts w:ascii="Times New Roman" w:hAnsi="Times New Roman" w:cs="Times New Roman"/>
        </w:rPr>
        <w:t>N</w:t>
      </w:r>
      <w:r w:rsidRPr="005046F6">
        <w:rPr>
          <w:rFonts w:ascii="Times New Roman" w:hAnsi="Times New Roman" w:cs="Times New Roman"/>
          <w:vertAlign w:val="subscript"/>
        </w:rPr>
        <w:t>ads</w:t>
      </w:r>
      <w:proofErr w:type="spellEnd"/>
      <w:r w:rsidRPr="005046F6">
        <w:rPr>
          <w:rFonts w:ascii="Times New Roman" w:hAnsi="Times New Roman" w:cs="Times New Roman"/>
          <w:vertAlign w:val="subscript"/>
        </w:rPr>
        <w:t xml:space="preserve"> </w:t>
      </w:r>
      <w:r w:rsidRPr="005046F6">
        <w:rPr>
          <w:rFonts w:ascii="Times New Roman" w:hAnsi="Times New Roman" w:cs="Times New Roman"/>
        </w:rPr>
        <w:t xml:space="preserve">+ </w:t>
      </w:r>
      <w:proofErr w:type="spellStart"/>
      <w:r w:rsidRPr="005046F6">
        <w:rPr>
          <w:rFonts w:ascii="Times New Roman" w:hAnsi="Times New Roman" w:cs="Times New Roman"/>
        </w:rPr>
        <w:t>NO</w:t>
      </w:r>
      <w:r w:rsidR="00A63853" w:rsidRPr="00B84B26">
        <w:rPr>
          <w:rFonts w:ascii="Times New Roman" w:hAnsi="Times New Roman" w:cs="Times New Roman"/>
          <w:color w:val="000000" w:themeColor="text1"/>
          <w:vertAlign w:val="subscript"/>
        </w:rPr>
        <w:t>ads</w:t>
      </w:r>
      <w:proofErr w:type="spellEnd"/>
      <w:r w:rsidRPr="00B84B26">
        <w:rPr>
          <w:rFonts w:ascii="Times New Roman" w:hAnsi="Times New Roman" w:cs="Times New Roman"/>
          <w:color w:val="000000" w:themeColor="text1"/>
          <w:vertAlign w:val="subscript"/>
        </w:rPr>
        <w:t xml:space="preserve"> </w:t>
      </w:r>
      <w:r w:rsidR="00EE11ED" w:rsidRPr="00836C2C">
        <w:rPr>
          <w:rFonts w:ascii="Segoe UI Symbol" w:hAnsi="Segoe UI Symbol" w:cs="Segoe UI Symbol"/>
        </w:rPr>
        <w:t>➝</w:t>
      </w:r>
      <w:r w:rsidRPr="005046F6">
        <w:rPr>
          <w:rFonts w:ascii="Times New Roman" w:hAnsi="Times New Roman" w:cs="Times New Roman"/>
        </w:rPr>
        <w:t xml:space="preserve"> N</w:t>
      </w:r>
      <w:r w:rsidRPr="005046F6">
        <w:rPr>
          <w:rFonts w:ascii="Times New Roman" w:hAnsi="Times New Roman" w:cs="Times New Roman"/>
          <w:vertAlign w:val="subscript"/>
        </w:rPr>
        <w:t>2</w:t>
      </w:r>
      <w:r w:rsidRPr="005046F6">
        <w:rPr>
          <w:rFonts w:ascii="Times New Roman" w:hAnsi="Times New Roman" w:cs="Times New Roman"/>
        </w:rPr>
        <w:t>O</w:t>
      </w:r>
    </w:p>
    <w:p w14:paraId="76759D16" w14:textId="5E5BA10F" w:rsidR="00C84CB8" w:rsidRPr="004250D4" w:rsidRDefault="00501E17" w:rsidP="0066721F">
      <w:pPr>
        <w:spacing w:line="240" w:lineRule="auto"/>
        <w:ind w:firstLine="708"/>
        <w:jc w:val="both"/>
        <w:rPr>
          <w:rFonts w:ascii="Times New Roman" w:hAnsi="Times New Roman" w:cs="Times New Roman"/>
          <w:sz w:val="20"/>
          <w:szCs w:val="20"/>
        </w:rPr>
      </w:pPr>
      <w:r>
        <w:rPr>
          <w:rFonts w:ascii="Times New Roman" w:hAnsi="Times New Roman" w:cs="Times New Roman"/>
          <w:sz w:val="20"/>
          <w:szCs w:val="20"/>
        </w:rPr>
        <w:t>Em presença d</w:t>
      </w:r>
      <w:r w:rsidR="0077466A" w:rsidRPr="004250D4">
        <w:rPr>
          <w:rFonts w:ascii="Times New Roman" w:hAnsi="Times New Roman" w:cs="Times New Roman"/>
          <w:sz w:val="20"/>
          <w:szCs w:val="20"/>
        </w:rPr>
        <w:t>o</w:t>
      </w:r>
      <w:r w:rsidR="00EE11ED" w:rsidRPr="004250D4">
        <w:rPr>
          <w:rFonts w:ascii="Times New Roman" w:hAnsi="Times New Roman" w:cs="Times New Roman"/>
          <w:sz w:val="20"/>
          <w:szCs w:val="20"/>
        </w:rPr>
        <w:t xml:space="preserve"> </w:t>
      </w:r>
      <w:r w:rsidR="0077466A" w:rsidRPr="004250D4">
        <w:rPr>
          <w:rFonts w:ascii="Times New Roman" w:hAnsi="Times New Roman" w:cs="Times New Roman"/>
          <w:sz w:val="20"/>
          <w:szCs w:val="20"/>
        </w:rPr>
        <w:t>metal alcalino</w:t>
      </w:r>
      <w:r w:rsidR="00EE11ED" w:rsidRPr="004250D4">
        <w:rPr>
          <w:rFonts w:ascii="Times New Roman" w:hAnsi="Times New Roman" w:cs="Times New Roman"/>
          <w:sz w:val="20"/>
          <w:szCs w:val="20"/>
        </w:rPr>
        <w:t>, no caso o</w:t>
      </w:r>
      <w:r w:rsidR="0077466A" w:rsidRPr="004250D4">
        <w:rPr>
          <w:rFonts w:ascii="Times New Roman" w:hAnsi="Times New Roman" w:cs="Times New Roman"/>
          <w:sz w:val="20"/>
          <w:szCs w:val="20"/>
        </w:rPr>
        <w:t xml:space="preserve"> sódio, </w:t>
      </w:r>
      <w:r>
        <w:rPr>
          <w:rFonts w:ascii="Times New Roman" w:hAnsi="Times New Roman" w:cs="Times New Roman"/>
          <w:sz w:val="20"/>
          <w:szCs w:val="20"/>
        </w:rPr>
        <w:t>houve</w:t>
      </w:r>
      <w:r w:rsidRPr="004250D4">
        <w:rPr>
          <w:rFonts w:ascii="Times New Roman" w:hAnsi="Times New Roman" w:cs="Times New Roman"/>
          <w:sz w:val="20"/>
          <w:szCs w:val="20"/>
        </w:rPr>
        <w:t xml:space="preserve"> </w:t>
      </w:r>
      <w:r w:rsidR="005F2624" w:rsidRPr="004250D4">
        <w:rPr>
          <w:rFonts w:ascii="Times New Roman" w:hAnsi="Times New Roman" w:cs="Times New Roman"/>
          <w:sz w:val="20"/>
          <w:szCs w:val="20"/>
        </w:rPr>
        <w:t xml:space="preserve">mais </w:t>
      </w:r>
      <w:proofErr w:type="spellStart"/>
      <w:r w:rsidR="005F2624" w:rsidRPr="004250D4">
        <w:rPr>
          <w:rFonts w:ascii="Times New Roman" w:hAnsi="Times New Roman" w:cs="Times New Roman"/>
          <w:sz w:val="20"/>
          <w:szCs w:val="20"/>
        </w:rPr>
        <w:t>N</w:t>
      </w:r>
      <w:r w:rsidR="005F2624" w:rsidRPr="005046F6">
        <w:rPr>
          <w:rFonts w:ascii="Times New Roman" w:hAnsi="Times New Roman" w:cs="Times New Roman"/>
          <w:sz w:val="20"/>
          <w:szCs w:val="20"/>
          <w:vertAlign w:val="subscript"/>
        </w:rPr>
        <w:t>ads</w:t>
      </w:r>
      <w:proofErr w:type="spellEnd"/>
      <w:r w:rsidR="005F2624" w:rsidRPr="004250D4">
        <w:rPr>
          <w:rFonts w:ascii="Times New Roman" w:hAnsi="Times New Roman" w:cs="Times New Roman"/>
          <w:sz w:val="20"/>
          <w:szCs w:val="20"/>
        </w:rPr>
        <w:t xml:space="preserve"> e, com isso, </w:t>
      </w:r>
      <w:r w:rsidR="002D3AB2">
        <w:rPr>
          <w:rFonts w:ascii="Times New Roman" w:hAnsi="Times New Roman" w:cs="Times New Roman"/>
          <w:sz w:val="20"/>
          <w:szCs w:val="20"/>
        </w:rPr>
        <w:t xml:space="preserve">a </w:t>
      </w:r>
      <w:r w:rsidR="005F2624" w:rsidRPr="004250D4">
        <w:rPr>
          <w:rFonts w:ascii="Times New Roman" w:hAnsi="Times New Roman" w:cs="Times New Roman"/>
          <w:sz w:val="20"/>
          <w:szCs w:val="20"/>
        </w:rPr>
        <w:t>seletividade a N</w:t>
      </w:r>
      <w:r w:rsidR="005F2624" w:rsidRPr="004250D4">
        <w:rPr>
          <w:rFonts w:ascii="Times New Roman" w:hAnsi="Times New Roman" w:cs="Times New Roman"/>
          <w:sz w:val="20"/>
          <w:szCs w:val="20"/>
          <w:vertAlign w:val="subscript"/>
        </w:rPr>
        <w:t>2</w:t>
      </w:r>
      <w:r>
        <w:rPr>
          <w:rFonts w:ascii="Times New Roman" w:hAnsi="Times New Roman" w:cs="Times New Roman"/>
          <w:sz w:val="20"/>
          <w:szCs w:val="20"/>
        </w:rPr>
        <w:t xml:space="preserve"> aumentou.</w:t>
      </w:r>
      <w:r w:rsidR="005F2624" w:rsidRPr="004250D4">
        <w:rPr>
          <w:rFonts w:ascii="Times New Roman" w:hAnsi="Times New Roman" w:cs="Times New Roman"/>
          <w:sz w:val="20"/>
          <w:szCs w:val="20"/>
        </w:rPr>
        <w:t xml:space="preserve"> </w:t>
      </w:r>
      <w:r w:rsidR="00EE11ED" w:rsidRPr="004250D4">
        <w:rPr>
          <w:rFonts w:ascii="Times New Roman" w:hAnsi="Times New Roman" w:cs="Times New Roman"/>
          <w:sz w:val="20"/>
          <w:szCs w:val="20"/>
        </w:rPr>
        <w:t>Com o potássio, observ</w:t>
      </w:r>
      <w:r>
        <w:rPr>
          <w:rFonts w:ascii="Times New Roman" w:hAnsi="Times New Roman" w:cs="Times New Roman"/>
          <w:sz w:val="20"/>
          <w:szCs w:val="20"/>
        </w:rPr>
        <w:t>ou</w:t>
      </w:r>
      <w:r w:rsidR="00EE11ED" w:rsidRPr="004250D4">
        <w:rPr>
          <w:rFonts w:ascii="Times New Roman" w:hAnsi="Times New Roman" w:cs="Times New Roman"/>
          <w:sz w:val="20"/>
          <w:szCs w:val="20"/>
        </w:rPr>
        <w:t>-se</w:t>
      </w:r>
      <w:r>
        <w:rPr>
          <w:rFonts w:ascii="Times New Roman" w:hAnsi="Times New Roman" w:cs="Times New Roman"/>
          <w:sz w:val="20"/>
          <w:szCs w:val="20"/>
        </w:rPr>
        <w:t xml:space="preserve"> um</w:t>
      </w:r>
      <w:r w:rsidR="00EE11ED" w:rsidRPr="004250D4">
        <w:rPr>
          <w:rFonts w:ascii="Times New Roman" w:hAnsi="Times New Roman" w:cs="Times New Roman"/>
          <w:sz w:val="20"/>
          <w:szCs w:val="20"/>
        </w:rPr>
        <w:t xml:space="preserve"> comportamento similar</w:t>
      </w:r>
      <w:r w:rsidR="00E052E7" w:rsidRPr="004250D4">
        <w:rPr>
          <w:rFonts w:ascii="Times New Roman" w:hAnsi="Times New Roman" w:cs="Times New Roman"/>
          <w:sz w:val="20"/>
          <w:szCs w:val="20"/>
        </w:rPr>
        <w:t xml:space="preserve"> (</w:t>
      </w:r>
      <w:r w:rsidR="000B3DA0">
        <w:rPr>
          <w:rFonts w:ascii="Times New Roman" w:hAnsi="Times New Roman" w:cs="Times New Roman"/>
          <w:sz w:val="20"/>
          <w:szCs w:val="20"/>
        </w:rPr>
        <w:t>20</w:t>
      </w:r>
      <w:r w:rsidR="00E052E7" w:rsidRPr="004250D4">
        <w:rPr>
          <w:rFonts w:ascii="Times New Roman" w:hAnsi="Times New Roman" w:cs="Times New Roman"/>
          <w:sz w:val="20"/>
          <w:szCs w:val="20"/>
        </w:rPr>
        <w:t>)</w:t>
      </w:r>
      <w:r w:rsidR="00EE11ED" w:rsidRPr="004250D4">
        <w:rPr>
          <w:rFonts w:ascii="Times New Roman" w:hAnsi="Times New Roman" w:cs="Times New Roman"/>
          <w:sz w:val="20"/>
          <w:szCs w:val="20"/>
        </w:rPr>
        <w:t>.</w:t>
      </w:r>
    </w:p>
    <w:p w14:paraId="56A0044A" w14:textId="74FA722F" w:rsidR="00C84CB8" w:rsidRPr="004250D4" w:rsidRDefault="00C84CB8" w:rsidP="0066721F">
      <w:pPr>
        <w:spacing w:line="240" w:lineRule="auto"/>
        <w:ind w:firstLine="708"/>
        <w:jc w:val="both"/>
        <w:rPr>
          <w:rFonts w:ascii="Times New Roman" w:hAnsi="Times New Roman" w:cs="Times New Roman"/>
          <w:sz w:val="20"/>
          <w:szCs w:val="20"/>
        </w:rPr>
      </w:pPr>
      <w:r w:rsidRPr="004250D4">
        <w:rPr>
          <w:rFonts w:ascii="Times New Roman" w:hAnsi="Times New Roman" w:cs="Times New Roman"/>
          <w:sz w:val="20"/>
          <w:szCs w:val="20"/>
        </w:rPr>
        <w:t xml:space="preserve">Na </w:t>
      </w:r>
      <w:r w:rsidR="00EE11ED" w:rsidRPr="004250D4">
        <w:rPr>
          <w:rFonts w:ascii="Times New Roman" w:hAnsi="Times New Roman" w:cs="Times New Roman"/>
          <w:sz w:val="20"/>
          <w:szCs w:val="20"/>
        </w:rPr>
        <w:t>F</w:t>
      </w:r>
      <w:r w:rsidRPr="004250D4">
        <w:rPr>
          <w:rFonts w:ascii="Times New Roman" w:hAnsi="Times New Roman" w:cs="Times New Roman"/>
          <w:sz w:val="20"/>
          <w:szCs w:val="20"/>
        </w:rPr>
        <w:t>igura</w:t>
      </w:r>
      <w:r w:rsidR="00EE11ED" w:rsidRPr="004250D4">
        <w:rPr>
          <w:rFonts w:ascii="Times New Roman" w:hAnsi="Times New Roman" w:cs="Times New Roman"/>
          <w:sz w:val="20"/>
          <w:szCs w:val="20"/>
        </w:rPr>
        <w:t xml:space="preserve"> </w:t>
      </w:r>
      <w:r w:rsidR="000B3DA0">
        <w:rPr>
          <w:rFonts w:ascii="Times New Roman" w:hAnsi="Times New Roman" w:cs="Times New Roman"/>
          <w:sz w:val="20"/>
          <w:szCs w:val="20"/>
        </w:rPr>
        <w:t>6</w:t>
      </w:r>
      <w:r w:rsidRPr="004250D4">
        <w:rPr>
          <w:rFonts w:ascii="Times New Roman" w:hAnsi="Times New Roman" w:cs="Times New Roman"/>
          <w:sz w:val="20"/>
          <w:szCs w:val="20"/>
        </w:rPr>
        <w:t xml:space="preserve"> estão representados os resultados do teste catalítico NO/CO. Os catalisadores com potássio alcança</w:t>
      </w:r>
      <w:r w:rsidR="003E6446">
        <w:rPr>
          <w:rFonts w:ascii="Times New Roman" w:hAnsi="Times New Roman" w:cs="Times New Roman"/>
          <w:sz w:val="20"/>
          <w:szCs w:val="20"/>
        </w:rPr>
        <w:t>ra</w:t>
      </w:r>
      <w:r w:rsidRPr="004250D4">
        <w:rPr>
          <w:rFonts w:ascii="Times New Roman" w:hAnsi="Times New Roman" w:cs="Times New Roman"/>
          <w:sz w:val="20"/>
          <w:szCs w:val="20"/>
        </w:rPr>
        <w:t xml:space="preserve">m 100% de conversão </w:t>
      </w:r>
      <w:r w:rsidR="007E3D7C">
        <w:rPr>
          <w:rFonts w:ascii="Times New Roman" w:hAnsi="Times New Roman" w:cs="Times New Roman"/>
          <w:sz w:val="20"/>
          <w:szCs w:val="20"/>
        </w:rPr>
        <w:t>em temperatura</w:t>
      </w:r>
      <w:r w:rsidR="001A601B">
        <w:rPr>
          <w:rFonts w:ascii="Times New Roman" w:hAnsi="Times New Roman" w:cs="Times New Roman"/>
          <w:sz w:val="20"/>
          <w:szCs w:val="20"/>
        </w:rPr>
        <w:t>s</w:t>
      </w:r>
      <w:r w:rsidR="007E3D7C">
        <w:rPr>
          <w:rFonts w:ascii="Times New Roman" w:hAnsi="Times New Roman" w:cs="Times New Roman"/>
          <w:sz w:val="20"/>
          <w:szCs w:val="20"/>
        </w:rPr>
        <w:t xml:space="preserve"> </w:t>
      </w:r>
      <w:r w:rsidR="003E6446">
        <w:rPr>
          <w:rFonts w:ascii="Times New Roman" w:hAnsi="Times New Roman" w:cs="Times New Roman"/>
          <w:sz w:val="20"/>
          <w:szCs w:val="20"/>
        </w:rPr>
        <w:t xml:space="preserve">mais baixas </w:t>
      </w:r>
      <w:r w:rsidRPr="004250D4">
        <w:rPr>
          <w:rFonts w:ascii="Times New Roman" w:hAnsi="Times New Roman" w:cs="Times New Roman"/>
          <w:sz w:val="20"/>
          <w:szCs w:val="20"/>
        </w:rPr>
        <w:t xml:space="preserve">que </w:t>
      </w:r>
      <w:r w:rsidR="003E6446">
        <w:rPr>
          <w:rFonts w:ascii="Times New Roman" w:hAnsi="Times New Roman" w:cs="Times New Roman"/>
          <w:sz w:val="20"/>
          <w:szCs w:val="20"/>
        </w:rPr>
        <w:t xml:space="preserve">a observada para </w:t>
      </w:r>
      <w:r w:rsidRPr="004250D4">
        <w:rPr>
          <w:rFonts w:ascii="Times New Roman" w:hAnsi="Times New Roman" w:cs="Times New Roman"/>
          <w:sz w:val="20"/>
          <w:szCs w:val="20"/>
        </w:rPr>
        <w:t xml:space="preserve">o catalisador sem potássio e a temperatura de </w:t>
      </w:r>
      <w:r w:rsidRPr="005046F6">
        <w:rPr>
          <w:rFonts w:ascii="Times New Roman" w:hAnsi="Times New Roman" w:cs="Times New Roman"/>
          <w:i/>
          <w:iCs/>
          <w:sz w:val="20"/>
          <w:szCs w:val="20"/>
        </w:rPr>
        <w:t>light-off</w:t>
      </w:r>
      <w:r w:rsidRPr="004250D4">
        <w:rPr>
          <w:rFonts w:ascii="Times New Roman" w:hAnsi="Times New Roman" w:cs="Times New Roman"/>
          <w:sz w:val="20"/>
          <w:szCs w:val="20"/>
        </w:rPr>
        <w:t xml:space="preserve"> </w:t>
      </w:r>
      <w:r w:rsidR="001A601B">
        <w:rPr>
          <w:rFonts w:ascii="Times New Roman" w:hAnsi="Times New Roman" w:cs="Times New Roman"/>
          <w:sz w:val="20"/>
          <w:szCs w:val="20"/>
        </w:rPr>
        <w:t>(</w:t>
      </w:r>
      <w:r w:rsidR="009C3CEB">
        <w:rPr>
          <w:rFonts w:ascii="Times New Roman" w:hAnsi="Times New Roman" w:cs="Times New Roman"/>
          <w:sz w:val="20"/>
          <w:szCs w:val="20"/>
        </w:rPr>
        <w:t>temperatura em que o catalisador alcança 50% de conversão</w:t>
      </w:r>
      <w:r w:rsidR="00A72972">
        <w:rPr>
          <w:rFonts w:ascii="Times New Roman" w:hAnsi="Times New Roman" w:cs="Times New Roman"/>
          <w:sz w:val="20"/>
          <w:szCs w:val="20"/>
        </w:rPr>
        <w:t>, sinalizada com linha pontilhada</w:t>
      </w:r>
      <w:r w:rsidR="009C3CEB">
        <w:rPr>
          <w:rFonts w:ascii="Times New Roman" w:hAnsi="Times New Roman" w:cs="Times New Roman"/>
          <w:sz w:val="20"/>
          <w:szCs w:val="20"/>
        </w:rPr>
        <w:t xml:space="preserve">) </w:t>
      </w:r>
      <w:r w:rsidRPr="004250D4">
        <w:rPr>
          <w:rFonts w:ascii="Times New Roman" w:hAnsi="Times New Roman" w:cs="Times New Roman"/>
          <w:sz w:val="20"/>
          <w:szCs w:val="20"/>
        </w:rPr>
        <w:t>diminui</w:t>
      </w:r>
      <w:r w:rsidR="003E6446">
        <w:rPr>
          <w:rFonts w:ascii="Times New Roman" w:hAnsi="Times New Roman" w:cs="Times New Roman"/>
          <w:sz w:val="20"/>
          <w:szCs w:val="20"/>
        </w:rPr>
        <w:t>u</w:t>
      </w:r>
      <w:r w:rsidRPr="004250D4">
        <w:rPr>
          <w:rFonts w:ascii="Times New Roman" w:hAnsi="Times New Roman" w:cs="Times New Roman"/>
          <w:sz w:val="20"/>
          <w:szCs w:val="20"/>
        </w:rPr>
        <w:t xml:space="preserve"> consideravelmente.</w:t>
      </w:r>
      <w:r w:rsidR="00A72972">
        <w:rPr>
          <w:rFonts w:ascii="Times New Roman" w:hAnsi="Times New Roman" w:cs="Times New Roman"/>
          <w:sz w:val="20"/>
          <w:szCs w:val="20"/>
        </w:rPr>
        <w:t xml:space="preserve"> Na Tabela </w:t>
      </w:r>
      <w:r w:rsidR="00143578">
        <w:rPr>
          <w:rFonts w:ascii="Times New Roman" w:hAnsi="Times New Roman" w:cs="Times New Roman"/>
          <w:sz w:val="20"/>
          <w:szCs w:val="20"/>
        </w:rPr>
        <w:t>3</w:t>
      </w:r>
      <w:r w:rsidR="00A72972">
        <w:rPr>
          <w:rFonts w:ascii="Times New Roman" w:hAnsi="Times New Roman" w:cs="Times New Roman"/>
          <w:sz w:val="20"/>
          <w:szCs w:val="20"/>
        </w:rPr>
        <w:t>, encontram-se os valores de T50 para cada um dos catalisadores</w:t>
      </w:r>
      <w:r w:rsidRPr="004250D4">
        <w:rPr>
          <w:rFonts w:ascii="Times New Roman" w:hAnsi="Times New Roman" w:cs="Times New Roman"/>
          <w:sz w:val="20"/>
          <w:szCs w:val="20"/>
        </w:rPr>
        <w:t xml:space="preserve"> </w:t>
      </w:r>
      <w:bookmarkStart w:id="3" w:name="_Hlk133944133"/>
    </w:p>
    <w:bookmarkEnd w:id="3"/>
    <w:p w14:paraId="08DD7DF6" w14:textId="541C0DDF" w:rsidR="00EE11ED" w:rsidRDefault="00FF7530" w:rsidP="005A0CE8">
      <w:pPr>
        <w:jc w:val="center"/>
        <w:rPr>
          <w:rFonts w:ascii="Times New Roman" w:hAnsi="Times New Roman"/>
          <w:sz w:val="20"/>
        </w:rPr>
      </w:pPr>
      <w:r w:rsidRPr="00FF7530">
        <w:rPr>
          <w:rFonts w:ascii="Times New Roman" w:hAnsi="Times New Roman"/>
          <w:b/>
          <w:sz w:val="20"/>
        </w:rPr>
        <w:drawing>
          <wp:inline distT="0" distB="0" distL="0" distR="0" wp14:anchorId="534D1437" wp14:editId="69B7BE04">
            <wp:extent cx="3065780" cy="2317339"/>
            <wp:effectExtent l="0" t="0" r="1270" b="6985"/>
            <wp:docPr id="1734441445" name="Imagem 1"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41445" name="Imagem 1" descr="Gráfico, Gráfico de linhas&#10;&#10;Descrição gerada automaticamente"/>
                    <pic:cNvPicPr/>
                  </pic:nvPicPr>
                  <pic:blipFill>
                    <a:blip r:embed="rId18"/>
                    <a:stretch>
                      <a:fillRect/>
                    </a:stretch>
                  </pic:blipFill>
                  <pic:spPr>
                    <a:xfrm>
                      <a:off x="0" y="0"/>
                      <a:ext cx="3070215" cy="2320691"/>
                    </a:xfrm>
                    <a:prstGeom prst="rect">
                      <a:avLst/>
                    </a:prstGeom>
                  </pic:spPr>
                </pic:pic>
              </a:graphicData>
            </a:graphic>
          </wp:inline>
        </w:drawing>
      </w:r>
      <w:r w:rsidR="00EE11ED" w:rsidRPr="00A75D3B">
        <w:rPr>
          <w:rFonts w:ascii="Times New Roman" w:hAnsi="Times New Roman"/>
          <w:b/>
          <w:sz w:val="20"/>
        </w:rPr>
        <w:t xml:space="preserve">Figura </w:t>
      </w:r>
      <w:r w:rsidR="000B3DA0">
        <w:rPr>
          <w:rFonts w:ascii="Times New Roman" w:hAnsi="Times New Roman"/>
          <w:b/>
          <w:sz w:val="20"/>
        </w:rPr>
        <w:t>6</w:t>
      </w:r>
      <w:r w:rsidR="00EE11ED" w:rsidRPr="00A75D3B">
        <w:rPr>
          <w:rFonts w:ascii="Times New Roman" w:hAnsi="Times New Roman"/>
          <w:b/>
          <w:sz w:val="20"/>
        </w:rPr>
        <w:t>.</w:t>
      </w:r>
      <w:r w:rsidR="00EE11ED" w:rsidRPr="00A75D3B">
        <w:rPr>
          <w:rFonts w:ascii="Times New Roman" w:hAnsi="Times New Roman"/>
          <w:sz w:val="20"/>
        </w:rPr>
        <w:t xml:space="preserve"> </w:t>
      </w:r>
      <w:r w:rsidR="00EE11ED">
        <w:rPr>
          <w:rFonts w:ascii="Times New Roman" w:hAnsi="Times New Roman"/>
          <w:sz w:val="20"/>
        </w:rPr>
        <w:t xml:space="preserve"> Conversão de NO dos catalisadores</w:t>
      </w:r>
    </w:p>
    <w:p w14:paraId="5DBC0005" w14:textId="541A9663" w:rsidR="00614B1B" w:rsidRDefault="00614B1B" w:rsidP="00614B1B">
      <w:pPr>
        <w:jc w:val="center"/>
        <w:rPr>
          <w:rFonts w:ascii="Times New Roman" w:hAnsi="Times New Roman"/>
          <w:sz w:val="20"/>
        </w:rPr>
      </w:pPr>
      <w:r w:rsidRPr="00614B1B">
        <w:rPr>
          <w:rFonts w:ascii="Times New Roman" w:hAnsi="Times New Roman"/>
          <w:b/>
          <w:bCs/>
          <w:sz w:val="20"/>
        </w:rPr>
        <w:t>Tabela 3.</w:t>
      </w:r>
      <w:r w:rsidRPr="00614B1B">
        <w:rPr>
          <w:rFonts w:ascii="Times New Roman" w:hAnsi="Times New Roman"/>
          <w:sz w:val="20"/>
        </w:rPr>
        <w:t xml:space="preserve"> T50 dos catalisadores</w:t>
      </w:r>
    </w:p>
    <w:tbl>
      <w:tblPr>
        <w:tblStyle w:val="Tabelacomgrade"/>
        <w:tblW w:w="0" w:type="auto"/>
        <w:tblInd w:w="704" w:type="dxa"/>
        <w:tblLook w:val="04A0" w:firstRow="1" w:lastRow="0" w:firstColumn="1" w:lastColumn="0" w:noHBand="0" w:noVBand="1"/>
      </w:tblPr>
      <w:tblGrid>
        <w:gridCol w:w="1985"/>
        <w:gridCol w:w="1701"/>
      </w:tblGrid>
      <w:tr w:rsidR="00A72972" w14:paraId="148BD19D" w14:textId="77777777" w:rsidTr="007F6C76">
        <w:tc>
          <w:tcPr>
            <w:tcW w:w="1985" w:type="dxa"/>
          </w:tcPr>
          <w:p w14:paraId="4C68FE36" w14:textId="0F4F1433" w:rsidR="00A72972" w:rsidRDefault="00A72972" w:rsidP="007F6C76">
            <w:pPr>
              <w:jc w:val="center"/>
              <w:rPr>
                <w:rFonts w:ascii="Times New Roman" w:hAnsi="Times New Roman"/>
                <w:sz w:val="20"/>
              </w:rPr>
            </w:pPr>
            <w:r>
              <w:rPr>
                <w:rFonts w:ascii="Times New Roman" w:hAnsi="Times New Roman"/>
                <w:sz w:val="20"/>
              </w:rPr>
              <w:t>Catalisador</w:t>
            </w:r>
          </w:p>
        </w:tc>
        <w:tc>
          <w:tcPr>
            <w:tcW w:w="1701" w:type="dxa"/>
          </w:tcPr>
          <w:p w14:paraId="72ED4C0F" w14:textId="18685A14" w:rsidR="00A72972" w:rsidRDefault="00A72972" w:rsidP="007F6C76">
            <w:pPr>
              <w:jc w:val="center"/>
              <w:rPr>
                <w:rFonts w:ascii="Times New Roman" w:hAnsi="Times New Roman"/>
                <w:sz w:val="20"/>
              </w:rPr>
            </w:pPr>
            <w:r>
              <w:rPr>
                <w:rFonts w:ascii="Times New Roman" w:hAnsi="Times New Roman"/>
                <w:sz w:val="20"/>
              </w:rPr>
              <w:t>T50</w:t>
            </w:r>
            <w:r w:rsidR="00614B1B">
              <w:rPr>
                <w:rFonts w:ascii="Times New Roman" w:hAnsi="Times New Roman"/>
                <w:sz w:val="20"/>
              </w:rPr>
              <w:t xml:space="preserve"> (ºC)</w:t>
            </w:r>
          </w:p>
        </w:tc>
      </w:tr>
      <w:tr w:rsidR="00A72972" w14:paraId="137C6C96" w14:textId="77777777" w:rsidTr="007F6C76">
        <w:tc>
          <w:tcPr>
            <w:tcW w:w="1985" w:type="dxa"/>
          </w:tcPr>
          <w:p w14:paraId="52F538BE" w14:textId="593DB1DE" w:rsidR="00A72972" w:rsidRDefault="00A72972" w:rsidP="007F6C76">
            <w:pPr>
              <w:jc w:val="center"/>
              <w:rPr>
                <w:rFonts w:ascii="Times New Roman" w:hAnsi="Times New Roman"/>
                <w:sz w:val="20"/>
              </w:rPr>
            </w:pPr>
            <w:proofErr w:type="spellStart"/>
            <w:r>
              <w:rPr>
                <w:rFonts w:ascii="Times New Roman" w:hAnsi="Times New Roman"/>
                <w:sz w:val="20"/>
              </w:rPr>
              <w:t>HTcc</w:t>
            </w:r>
            <w:proofErr w:type="spellEnd"/>
          </w:p>
        </w:tc>
        <w:tc>
          <w:tcPr>
            <w:tcW w:w="1701" w:type="dxa"/>
          </w:tcPr>
          <w:p w14:paraId="248EC085" w14:textId="21C30681" w:rsidR="00A72972" w:rsidRDefault="00A72972" w:rsidP="007F6C76">
            <w:pPr>
              <w:jc w:val="center"/>
              <w:rPr>
                <w:rFonts w:ascii="Times New Roman" w:hAnsi="Times New Roman"/>
                <w:sz w:val="20"/>
              </w:rPr>
            </w:pPr>
            <w:r w:rsidRPr="00A72972">
              <w:rPr>
                <w:rFonts w:ascii="Times New Roman" w:hAnsi="Times New Roman"/>
                <w:sz w:val="20"/>
              </w:rPr>
              <w:t>314</w:t>
            </w:r>
          </w:p>
        </w:tc>
      </w:tr>
      <w:tr w:rsidR="002D3AB2" w14:paraId="4D109991" w14:textId="77777777" w:rsidTr="007F6C76">
        <w:tc>
          <w:tcPr>
            <w:tcW w:w="1985" w:type="dxa"/>
          </w:tcPr>
          <w:p w14:paraId="7C498D53" w14:textId="3A661841" w:rsidR="002D3AB2" w:rsidRDefault="002D3AB2" w:rsidP="007F6C76">
            <w:pPr>
              <w:jc w:val="center"/>
              <w:rPr>
                <w:rFonts w:ascii="Times New Roman" w:hAnsi="Times New Roman"/>
                <w:sz w:val="20"/>
              </w:rPr>
            </w:pPr>
            <w:r>
              <w:rPr>
                <w:rFonts w:ascii="Times New Roman" w:hAnsi="Times New Roman"/>
                <w:sz w:val="20"/>
              </w:rPr>
              <w:t>HTc_001K</w:t>
            </w:r>
          </w:p>
        </w:tc>
        <w:tc>
          <w:tcPr>
            <w:tcW w:w="1701" w:type="dxa"/>
          </w:tcPr>
          <w:p w14:paraId="2CBF9700" w14:textId="32A2096E" w:rsidR="002D3AB2" w:rsidRPr="00A72972" w:rsidRDefault="00DD7758" w:rsidP="007F6C76">
            <w:pPr>
              <w:jc w:val="center"/>
              <w:rPr>
                <w:rFonts w:ascii="Times New Roman" w:hAnsi="Times New Roman"/>
                <w:sz w:val="20"/>
              </w:rPr>
            </w:pPr>
            <w:r>
              <w:rPr>
                <w:rFonts w:ascii="Times New Roman" w:hAnsi="Times New Roman"/>
                <w:sz w:val="20"/>
              </w:rPr>
              <w:t>284</w:t>
            </w:r>
          </w:p>
        </w:tc>
      </w:tr>
      <w:tr w:rsidR="00A72972" w14:paraId="5D3FD9C3" w14:textId="77777777" w:rsidTr="007F6C76">
        <w:tc>
          <w:tcPr>
            <w:tcW w:w="1985" w:type="dxa"/>
          </w:tcPr>
          <w:p w14:paraId="275E67CC" w14:textId="65A65F18" w:rsidR="00A72972" w:rsidRDefault="00A72972" w:rsidP="007F6C76">
            <w:pPr>
              <w:jc w:val="center"/>
              <w:rPr>
                <w:rFonts w:ascii="Times New Roman" w:hAnsi="Times New Roman"/>
                <w:sz w:val="20"/>
              </w:rPr>
            </w:pPr>
            <w:r>
              <w:rPr>
                <w:rFonts w:ascii="Times New Roman" w:hAnsi="Times New Roman"/>
                <w:sz w:val="20"/>
              </w:rPr>
              <w:t>HTc_007K</w:t>
            </w:r>
          </w:p>
        </w:tc>
        <w:tc>
          <w:tcPr>
            <w:tcW w:w="1701" w:type="dxa"/>
          </w:tcPr>
          <w:p w14:paraId="6BC0C484" w14:textId="63F42E52" w:rsidR="00A72972" w:rsidRDefault="007F6C76" w:rsidP="007F6C76">
            <w:pPr>
              <w:jc w:val="center"/>
              <w:rPr>
                <w:rFonts w:ascii="Times New Roman" w:hAnsi="Times New Roman"/>
                <w:sz w:val="20"/>
              </w:rPr>
            </w:pPr>
            <w:r w:rsidRPr="007F6C76">
              <w:rPr>
                <w:rFonts w:ascii="Times New Roman" w:hAnsi="Times New Roman"/>
                <w:sz w:val="20"/>
              </w:rPr>
              <w:t>284</w:t>
            </w:r>
          </w:p>
        </w:tc>
      </w:tr>
      <w:tr w:rsidR="00A72972" w14:paraId="70909B75" w14:textId="77777777" w:rsidTr="007F6C76">
        <w:tc>
          <w:tcPr>
            <w:tcW w:w="1985" w:type="dxa"/>
          </w:tcPr>
          <w:p w14:paraId="7591F790" w14:textId="46109069" w:rsidR="00A72972" w:rsidRDefault="00A72972" w:rsidP="007F6C76">
            <w:pPr>
              <w:jc w:val="center"/>
              <w:rPr>
                <w:rFonts w:ascii="Times New Roman" w:hAnsi="Times New Roman"/>
                <w:sz w:val="20"/>
              </w:rPr>
            </w:pPr>
            <w:r>
              <w:rPr>
                <w:rFonts w:ascii="Times New Roman" w:hAnsi="Times New Roman"/>
                <w:sz w:val="20"/>
              </w:rPr>
              <w:t>HTc_010K</w:t>
            </w:r>
          </w:p>
        </w:tc>
        <w:tc>
          <w:tcPr>
            <w:tcW w:w="1701" w:type="dxa"/>
          </w:tcPr>
          <w:p w14:paraId="7BD33476" w14:textId="5B5D03F9" w:rsidR="00A72972" w:rsidRDefault="007F6C76" w:rsidP="007F6C76">
            <w:pPr>
              <w:jc w:val="center"/>
              <w:rPr>
                <w:rFonts w:ascii="Times New Roman" w:hAnsi="Times New Roman"/>
                <w:sz w:val="20"/>
              </w:rPr>
            </w:pPr>
            <w:r w:rsidRPr="007F6C76">
              <w:rPr>
                <w:rFonts w:ascii="Times New Roman" w:hAnsi="Times New Roman"/>
                <w:sz w:val="20"/>
              </w:rPr>
              <w:t>27</w:t>
            </w:r>
            <w:r w:rsidR="00FF7530">
              <w:rPr>
                <w:rFonts w:ascii="Times New Roman" w:hAnsi="Times New Roman"/>
                <w:sz w:val="20"/>
              </w:rPr>
              <w:t>0</w:t>
            </w:r>
          </w:p>
        </w:tc>
      </w:tr>
      <w:tr w:rsidR="00A72972" w14:paraId="6B688B7F" w14:textId="77777777" w:rsidTr="007F6C76">
        <w:tc>
          <w:tcPr>
            <w:tcW w:w="1985" w:type="dxa"/>
          </w:tcPr>
          <w:p w14:paraId="76A8DCCC" w14:textId="0C766F87" w:rsidR="00A72972" w:rsidRDefault="00A72972" w:rsidP="007F6C76">
            <w:pPr>
              <w:jc w:val="center"/>
              <w:rPr>
                <w:rFonts w:ascii="Times New Roman" w:hAnsi="Times New Roman"/>
                <w:sz w:val="20"/>
              </w:rPr>
            </w:pPr>
            <w:r>
              <w:rPr>
                <w:rFonts w:ascii="Times New Roman" w:hAnsi="Times New Roman"/>
                <w:sz w:val="20"/>
              </w:rPr>
              <w:t>HTc_025K</w:t>
            </w:r>
          </w:p>
        </w:tc>
        <w:tc>
          <w:tcPr>
            <w:tcW w:w="1701" w:type="dxa"/>
          </w:tcPr>
          <w:p w14:paraId="472B83B5" w14:textId="5F70E154" w:rsidR="00A72972" w:rsidRDefault="007F6C76" w:rsidP="007F6C76">
            <w:pPr>
              <w:jc w:val="center"/>
              <w:rPr>
                <w:rFonts w:ascii="Times New Roman" w:hAnsi="Times New Roman"/>
                <w:sz w:val="20"/>
              </w:rPr>
            </w:pPr>
            <w:r w:rsidRPr="007F6C76">
              <w:rPr>
                <w:rFonts w:ascii="Times New Roman" w:hAnsi="Times New Roman"/>
                <w:sz w:val="20"/>
              </w:rPr>
              <w:t>2</w:t>
            </w:r>
            <w:r w:rsidR="00FF7530">
              <w:rPr>
                <w:rFonts w:ascii="Times New Roman" w:hAnsi="Times New Roman"/>
                <w:sz w:val="20"/>
              </w:rPr>
              <w:t>70</w:t>
            </w:r>
          </w:p>
        </w:tc>
      </w:tr>
    </w:tbl>
    <w:p w14:paraId="6FD84087" w14:textId="5A777143" w:rsidR="007F6C76" w:rsidRDefault="007F6C76" w:rsidP="007F6C76">
      <w:pPr>
        <w:ind w:firstLine="708"/>
        <w:jc w:val="both"/>
        <w:rPr>
          <w:rFonts w:ascii="Times New Roman" w:hAnsi="Times New Roman"/>
          <w:sz w:val="20"/>
        </w:rPr>
      </w:pPr>
      <w:r>
        <w:rPr>
          <w:rFonts w:ascii="Times New Roman" w:hAnsi="Times New Roman"/>
          <w:sz w:val="20"/>
        </w:rPr>
        <w:t xml:space="preserve">         </w:t>
      </w:r>
    </w:p>
    <w:p w14:paraId="1D58FBDA" w14:textId="2299BD83" w:rsidR="00A72972" w:rsidRPr="00A72972" w:rsidRDefault="00A72972" w:rsidP="00EE3F20">
      <w:pPr>
        <w:spacing w:after="0" w:line="240" w:lineRule="auto"/>
        <w:ind w:firstLine="709"/>
        <w:jc w:val="both"/>
        <w:rPr>
          <w:rFonts w:ascii="Times New Roman" w:hAnsi="Times New Roman"/>
          <w:sz w:val="20"/>
        </w:rPr>
      </w:pPr>
      <w:r w:rsidRPr="00A72972">
        <w:rPr>
          <w:rFonts w:ascii="Times New Roman" w:hAnsi="Times New Roman"/>
          <w:sz w:val="20"/>
        </w:rPr>
        <w:t xml:space="preserve">Na Figura </w:t>
      </w:r>
      <w:r w:rsidR="000B3DA0">
        <w:rPr>
          <w:rFonts w:ascii="Times New Roman" w:hAnsi="Times New Roman"/>
          <w:sz w:val="20"/>
        </w:rPr>
        <w:t>7</w:t>
      </w:r>
      <w:r w:rsidRPr="00A72972">
        <w:rPr>
          <w:rFonts w:ascii="Times New Roman" w:hAnsi="Times New Roman"/>
          <w:sz w:val="20"/>
        </w:rPr>
        <w:t xml:space="preserve"> são exibidos os rendimentos de N</w:t>
      </w:r>
      <w:r w:rsidRPr="00A72972">
        <w:rPr>
          <w:rFonts w:ascii="Times New Roman" w:hAnsi="Times New Roman"/>
          <w:sz w:val="20"/>
          <w:vertAlign w:val="subscript"/>
        </w:rPr>
        <w:t>2</w:t>
      </w:r>
      <w:r w:rsidRPr="00A72972">
        <w:rPr>
          <w:rFonts w:ascii="Times New Roman" w:hAnsi="Times New Roman"/>
          <w:sz w:val="20"/>
        </w:rPr>
        <w:t>O e observa-se que o</w:t>
      </w:r>
      <w:r w:rsidR="004A73E7">
        <w:rPr>
          <w:rFonts w:ascii="Times New Roman" w:hAnsi="Times New Roman"/>
          <w:sz w:val="20"/>
        </w:rPr>
        <w:t>s</w:t>
      </w:r>
      <w:r w:rsidRPr="00A72972">
        <w:rPr>
          <w:rFonts w:ascii="Times New Roman" w:hAnsi="Times New Roman"/>
          <w:sz w:val="20"/>
        </w:rPr>
        <w:t xml:space="preserve"> catalisador</w:t>
      </w:r>
      <w:r w:rsidR="004A73E7">
        <w:rPr>
          <w:rFonts w:ascii="Times New Roman" w:hAnsi="Times New Roman"/>
          <w:sz w:val="20"/>
        </w:rPr>
        <w:t>es</w:t>
      </w:r>
      <w:r w:rsidRPr="00A72972">
        <w:rPr>
          <w:rFonts w:ascii="Times New Roman" w:hAnsi="Times New Roman"/>
          <w:sz w:val="20"/>
        </w:rPr>
        <w:t xml:space="preserve"> com </w:t>
      </w:r>
      <w:r w:rsidR="004A73E7">
        <w:rPr>
          <w:rFonts w:ascii="Times New Roman" w:hAnsi="Times New Roman"/>
          <w:sz w:val="20"/>
        </w:rPr>
        <w:t xml:space="preserve">as menores </w:t>
      </w:r>
      <w:r w:rsidRPr="00A72972">
        <w:rPr>
          <w:rFonts w:ascii="Times New Roman" w:hAnsi="Times New Roman"/>
          <w:sz w:val="20"/>
        </w:rPr>
        <w:t>raz</w:t>
      </w:r>
      <w:r w:rsidR="004A73E7">
        <w:rPr>
          <w:rFonts w:ascii="Times New Roman" w:hAnsi="Times New Roman"/>
          <w:sz w:val="20"/>
        </w:rPr>
        <w:t>ões</w:t>
      </w:r>
      <w:r w:rsidRPr="00A72972">
        <w:rPr>
          <w:rFonts w:ascii="Times New Roman" w:hAnsi="Times New Roman"/>
          <w:sz w:val="20"/>
        </w:rPr>
        <w:t xml:space="preserve"> molar</w:t>
      </w:r>
      <w:r w:rsidR="004A73E7">
        <w:rPr>
          <w:rFonts w:ascii="Times New Roman" w:hAnsi="Times New Roman"/>
          <w:sz w:val="20"/>
        </w:rPr>
        <w:t xml:space="preserve">es, com </w:t>
      </w:r>
      <w:r w:rsidRPr="00A72972">
        <w:rPr>
          <w:rFonts w:ascii="Times New Roman" w:hAnsi="Times New Roman"/>
          <w:sz w:val="20"/>
        </w:rPr>
        <w:t>K/Cu igual a 0,0</w:t>
      </w:r>
      <w:r w:rsidR="00D62527">
        <w:rPr>
          <w:rFonts w:ascii="Times New Roman" w:hAnsi="Times New Roman"/>
          <w:sz w:val="20"/>
        </w:rPr>
        <w:t>0</w:t>
      </w:r>
      <w:r w:rsidRPr="00A72972">
        <w:rPr>
          <w:rFonts w:ascii="Times New Roman" w:hAnsi="Times New Roman"/>
          <w:sz w:val="20"/>
        </w:rPr>
        <w:t>7</w:t>
      </w:r>
      <w:r w:rsidR="004A73E7">
        <w:rPr>
          <w:rFonts w:ascii="Times New Roman" w:hAnsi="Times New Roman"/>
          <w:sz w:val="20"/>
        </w:rPr>
        <w:t xml:space="preserve"> e 0,001, </w:t>
      </w:r>
      <w:r w:rsidRPr="00A72972">
        <w:rPr>
          <w:rFonts w:ascii="Times New Roman" w:hAnsi="Times New Roman"/>
          <w:sz w:val="20"/>
        </w:rPr>
        <w:t>além de ser</w:t>
      </w:r>
      <w:r w:rsidR="004A73E7">
        <w:rPr>
          <w:rFonts w:ascii="Times New Roman" w:hAnsi="Times New Roman"/>
          <w:sz w:val="20"/>
        </w:rPr>
        <w:t>em</w:t>
      </w:r>
      <w:r w:rsidRPr="00A72972">
        <w:rPr>
          <w:rFonts w:ascii="Times New Roman" w:hAnsi="Times New Roman"/>
          <w:sz w:val="20"/>
        </w:rPr>
        <w:t xml:space="preserve"> o</w:t>
      </w:r>
      <w:r w:rsidR="004A73E7">
        <w:rPr>
          <w:rFonts w:ascii="Times New Roman" w:hAnsi="Times New Roman"/>
          <w:sz w:val="20"/>
        </w:rPr>
        <w:t>s</w:t>
      </w:r>
      <w:r w:rsidRPr="00A72972">
        <w:rPr>
          <w:rFonts w:ascii="Times New Roman" w:hAnsi="Times New Roman"/>
          <w:sz w:val="20"/>
        </w:rPr>
        <w:t xml:space="preserve"> que alcança</w:t>
      </w:r>
      <w:r w:rsidR="004A73E7">
        <w:rPr>
          <w:rFonts w:ascii="Times New Roman" w:hAnsi="Times New Roman"/>
          <w:sz w:val="20"/>
        </w:rPr>
        <w:t>m</w:t>
      </w:r>
      <w:r w:rsidRPr="00A72972">
        <w:rPr>
          <w:rFonts w:ascii="Times New Roman" w:hAnsi="Times New Roman"/>
          <w:sz w:val="20"/>
        </w:rPr>
        <w:t xml:space="preserve"> 100% de conversão a temperatura menor, </w:t>
      </w:r>
      <w:r w:rsidR="004A73E7">
        <w:rPr>
          <w:rFonts w:ascii="Times New Roman" w:hAnsi="Times New Roman"/>
          <w:sz w:val="20"/>
        </w:rPr>
        <w:t>são</w:t>
      </w:r>
      <w:r w:rsidRPr="00A72972">
        <w:rPr>
          <w:rFonts w:ascii="Times New Roman" w:hAnsi="Times New Roman"/>
          <w:sz w:val="20"/>
        </w:rPr>
        <w:t xml:space="preserve"> também o</w:t>
      </w:r>
      <w:r w:rsidR="004A73E7">
        <w:rPr>
          <w:rFonts w:ascii="Times New Roman" w:hAnsi="Times New Roman"/>
          <w:sz w:val="20"/>
        </w:rPr>
        <w:t>s</w:t>
      </w:r>
      <w:r w:rsidRPr="00A72972">
        <w:rPr>
          <w:rFonts w:ascii="Times New Roman" w:hAnsi="Times New Roman"/>
          <w:sz w:val="20"/>
        </w:rPr>
        <w:t xml:space="preserve"> que forma</w:t>
      </w:r>
      <w:r w:rsidR="004A73E7">
        <w:rPr>
          <w:rFonts w:ascii="Times New Roman" w:hAnsi="Times New Roman"/>
          <w:sz w:val="20"/>
        </w:rPr>
        <w:t>m</w:t>
      </w:r>
      <w:r w:rsidRPr="00A72972">
        <w:rPr>
          <w:rFonts w:ascii="Times New Roman" w:hAnsi="Times New Roman"/>
          <w:sz w:val="20"/>
        </w:rPr>
        <w:t xml:space="preserve"> a menor quantidade de N</w:t>
      </w:r>
      <w:r w:rsidRPr="00A72972">
        <w:rPr>
          <w:rFonts w:ascii="Times New Roman" w:hAnsi="Times New Roman"/>
          <w:sz w:val="20"/>
          <w:vertAlign w:val="subscript"/>
        </w:rPr>
        <w:t>2</w:t>
      </w:r>
      <w:r w:rsidRPr="00A72972">
        <w:rPr>
          <w:rFonts w:ascii="Times New Roman" w:hAnsi="Times New Roman"/>
          <w:sz w:val="20"/>
        </w:rPr>
        <w:t>O</w:t>
      </w:r>
      <w:r w:rsidR="00D25722">
        <w:rPr>
          <w:rFonts w:ascii="Times New Roman" w:hAnsi="Times New Roman"/>
          <w:sz w:val="20"/>
        </w:rPr>
        <w:t xml:space="preserve"> a baixa temperatura</w:t>
      </w:r>
      <w:r w:rsidRPr="00A72972">
        <w:rPr>
          <w:rFonts w:ascii="Times New Roman" w:hAnsi="Times New Roman"/>
          <w:sz w:val="20"/>
        </w:rPr>
        <w:t xml:space="preserve">, demonstrando assim que existe </w:t>
      </w:r>
      <w:r w:rsidR="00CC4D8B">
        <w:rPr>
          <w:rFonts w:ascii="Times New Roman" w:hAnsi="Times New Roman"/>
          <w:sz w:val="20"/>
        </w:rPr>
        <w:t>uma faixa</w:t>
      </w:r>
      <w:r w:rsidRPr="00A72972">
        <w:rPr>
          <w:rFonts w:ascii="Times New Roman" w:hAnsi="Times New Roman"/>
          <w:sz w:val="20"/>
        </w:rPr>
        <w:t xml:space="preserve"> </w:t>
      </w:r>
      <w:r w:rsidR="00CC4D8B" w:rsidRPr="00A72972">
        <w:rPr>
          <w:rFonts w:ascii="Times New Roman" w:hAnsi="Times New Roman"/>
          <w:sz w:val="20"/>
        </w:rPr>
        <w:t>ótim</w:t>
      </w:r>
      <w:r w:rsidR="00CC4D8B">
        <w:rPr>
          <w:rFonts w:ascii="Times New Roman" w:hAnsi="Times New Roman"/>
          <w:sz w:val="20"/>
        </w:rPr>
        <w:t xml:space="preserve">a </w:t>
      </w:r>
      <w:r w:rsidRPr="00A72972">
        <w:rPr>
          <w:rFonts w:ascii="Times New Roman" w:hAnsi="Times New Roman"/>
          <w:sz w:val="20"/>
        </w:rPr>
        <w:t xml:space="preserve">na quantidade de potássio a ser incorporada no catalisador. </w:t>
      </w:r>
    </w:p>
    <w:p w14:paraId="40A9554B" w14:textId="449B5989" w:rsidR="00C84CB8" w:rsidRDefault="00FF7530" w:rsidP="005F2624">
      <w:pPr>
        <w:jc w:val="center"/>
      </w:pPr>
      <w:r w:rsidRPr="00FF7530">
        <w:drawing>
          <wp:inline distT="0" distB="0" distL="0" distR="0" wp14:anchorId="16C6BC02" wp14:editId="5E59DE14">
            <wp:extent cx="3291840" cy="2459214"/>
            <wp:effectExtent l="0" t="0" r="3810" b="0"/>
            <wp:docPr id="1523356730" name="Imagem 1" descr="Uma imagem contendo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56730" name="Imagem 1" descr="Uma imagem contendo Gráfico&#10;&#10;Descrição gerada automaticamente"/>
                    <pic:cNvPicPr/>
                  </pic:nvPicPr>
                  <pic:blipFill>
                    <a:blip r:embed="rId19"/>
                    <a:stretch>
                      <a:fillRect/>
                    </a:stretch>
                  </pic:blipFill>
                  <pic:spPr>
                    <a:xfrm>
                      <a:off x="0" y="0"/>
                      <a:ext cx="3311224" cy="2473695"/>
                    </a:xfrm>
                    <a:prstGeom prst="rect">
                      <a:avLst/>
                    </a:prstGeom>
                  </pic:spPr>
                </pic:pic>
              </a:graphicData>
            </a:graphic>
          </wp:inline>
        </w:drawing>
      </w:r>
    </w:p>
    <w:p w14:paraId="0B611211" w14:textId="31B49F0D" w:rsidR="00EE11ED" w:rsidRPr="00A75D3B" w:rsidRDefault="00EE11ED" w:rsidP="00EE11ED">
      <w:pPr>
        <w:pStyle w:val="VAFigureCaption"/>
        <w:spacing w:before="0"/>
        <w:rPr>
          <w:rFonts w:ascii="Times New Roman" w:hAnsi="Times New Roman"/>
          <w:sz w:val="20"/>
          <w:lang w:val="pt-BR"/>
        </w:rPr>
      </w:pPr>
      <w:r>
        <w:rPr>
          <w:rFonts w:ascii="Times New Roman" w:hAnsi="Times New Roman"/>
          <w:b/>
          <w:sz w:val="20"/>
          <w:lang w:val="pt-BR"/>
        </w:rPr>
        <w:t xml:space="preserve">   </w:t>
      </w:r>
      <w:r w:rsidR="00F32EFE">
        <w:rPr>
          <w:rFonts w:ascii="Times New Roman" w:hAnsi="Times New Roman"/>
          <w:b/>
          <w:sz w:val="20"/>
          <w:lang w:val="pt-BR"/>
        </w:rPr>
        <w:t xml:space="preserve">          </w:t>
      </w:r>
      <w:r>
        <w:rPr>
          <w:rFonts w:ascii="Times New Roman" w:hAnsi="Times New Roman"/>
          <w:b/>
          <w:sz w:val="20"/>
          <w:lang w:val="pt-BR"/>
        </w:rPr>
        <w:t xml:space="preserve"> </w:t>
      </w:r>
      <w:r w:rsidRPr="00A75D3B">
        <w:rPr>
          <w:rFonts w:ascii="Times New Roman" w:hAnsi="Times New Roman"/>
          <w:b/>
          <w:sz w:val="20"/>
          <w:lang w:val="pt-BR"/>
        </w:rPr>
        <w:t xml:space="preserve">Figura </w:t>
      </w:r>
      <w:r w:rsidR="000B3DA0">
        <w:rPr>
          <w:rFonts w:ascii="Times New Roman" w:hAnsi="Times New Roman"/>
          <w:b/>
          <w:sz w:val="20"/>
          <w:lang w:val="pt-BR"/>
        </w:rPr>
        <w:t>7</w:t>
      </w:r>
      <w:r w:rsidRPr="00A75D3B">
        <w:rPr>
          <w:rFonts w:ascii="Times New Roman" w:hAnsi="Times New Roman"/>
          <w:b/>
          <w:sz w:val="20"/>
          <w:lang w:val="pt-BR"/>
        </w:rPr>
        <w:t>.</w:t>
      </w:r>
      <w:r w:rsidRPr="00A75D3B">
        <w:rPr>
          <w:rFonts w:ascii="Times New Roman" w:hAnsi="Times New Roman"/>
          <w:sz w:val="20"/>
          <w:lang w:val="pt-BR"/>
        </w:rPr>
        <w:t xml:space="preserve"> </w:t>
      </w:r>
      <w:r>
        <w:rPr>
          <w:rFonts w:ascii="Times New Roman" w:hAnsi="Times New Roman"/>
          <w:sz w:val="20"/>
          <w:lang w:val="pt-BR"/>
        </w:rPr>
        <w:t>Rendimento de N</w:t>
      </w:r>
      <w:r w:rsidRPr="00EE11ED">
        <w:rPr>
          <w:rFonts w:ascii="Times New Roman" w:hAnsi="Times New Roman"/>
          <w:sz w:val="20"/>
          <w:vertAlign w:val="subscript"/>
          <w:lang w:val="pt-BR"/>
        </w:rPr>
        <w:t>2</w:t>
      </w:r>
      <w:r>
        <w:rPr>
          <w:rFonts w:ascii="Times New Roman" w:hAnsi="Times New Roman"/>
          <w:sz w:val="20"/>
          <w:lang w:val="pt-BR"/>
        </w:rPr>
        <w:t>O dos catalisadores</w:t>
      </w: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lastRenderedPageBreak/>
        <w:t>Conclusões</w:t>
      </w:r>
    </w:p>
    <w:p w14:paraId="4A70FE93" w14:textId="7980A8F2" w:rsidR="00EA4E1B" w:rsidRPr="004250D4" w:rsidRDefault="00AF6AF8" w:rsidP="004250D4">
      <w:pPr>
        <w:pStyle w:val="TAMainText"/>
        <w:spacing w:line="240" w:lineRule="auto"/>
        <w:ind w:firstLine="187"/>
        <w:rPr>
          <w:rFonts w:ascii="Times New Roman" w:hAnsi="Times New Roman"/>
          <w:lang w:val="pt-BR"/>
        </w:rPr>
      </w:pPr>
      <w:r w:rsidRPr="004250D4">
        <w:rPr>
          <w:rFonts w:ascii="Times New Roman" w:hAnsi="Times New Roman"/>
          <w:lang w:val="pt-BR"/>
        </w:rPr>
        <w:t>Através desse estudo, pode-se concluir que o potássio influencia positivamente na reação de redução do NO pelo CO</w:t>
      </w:r>
      <w:r w:rsidR="00D102DE" w:rsidRPr="004250D4">
        <w:rPr>
          <w:rFonts w:ascii="Times New Roman" w:hAnsi="Times New Roman"/>
          <w:lang w:val="pt-BR"/>
        </w:rPr>
        <w:t>. A</w:t>
      </w:r>
      <w:r w:rsidR="003A40EE" w:rsidRPr="004250D4">
        <w:rPr>
          <w:rFonts w:ascii="Times New Roman" w:hAnsi="Times New Roman"/>
          <w:lang w:val="pt-BR"/>
        </w:rPr>
        <w:t>lém</w:t>
      </w:r>
      <w:r w:rsidR="00D102DE" w:rsidRPr="004250D4">
        <w:rPr>
          <w:rFonts w:ascii="Times New Roman" w:hAnsi="Times New Roman"/>
          <w:lang w:val="pt-BR"/>
        </w:rPr>
        <w:t xml:space="preserve"> de melhorar </w:t>
      </w:r>
      <w:r w:rsidRPr="004250D4">
        <w:rPr>
          <w:rFonts w:ascii="Times New Roman" w:hAnsi="Times New Roman"/>
          <w:lang w:val="pt-BR"/>
        </w:rPr>
        <w:t xml:space="preserve">na redutibilidade, característica importante em uma reação de redução, </w:t>
      </w:r>
      <w:r w:rsidR="00D102DE" w:rsidRPr="004250D4">
        <w:rPr>
          <w:rFonts w:ascii="Times New Roman" w:hAnsi="Times New Roman"/>
          <w:lang w:val="pt-BR"/>
        </w:rPr>
        <w:t xml:space="preserve">o potássio, </w:t>
      </w:r>
      <w:r w:rsidRPr="004250D4">
        <w:rPr>
          <w:rFonts w:ascii="Times New Roman" w:hAnsi="Times New Roman"/>
          <w:lang w:val="pt-BR"/>
        </w:rPr>
        <w:t xml:space="preserve">também influencia na dessorção e dissociação da molécula de NO, alcançando, assim, catalisadores mais seletivos </w:t>
      </w:r>
      <w:r w:rsidR="004A73E7">
        <w:rPr>
          <w:rFonts w:ascii="Times New Roman" w:hAnsi="Times New Roman"/>
          <w:lang w:val="pt-BR"/>
        </w:rPr>
        <w:t>com os menores teores de potássio.</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60A0FF64" w:rsidR="00EA4E1B" w:rsidRDefault="004106E2" w:rsidP="004250D4">
      <w:pPr>
        <w:pStyle w:val="TAMainText"/>
        <w:spacing w:line="240" w:lineRule="auto"/>
        <w:rPr>
          <w:rFonts w:ascii="Times New Roman" w:hAnsi="Times New Roman"/>
          <w:lang w:val="pt-BR"/>
        </w:rPr>
      </w:pPr>
      <w:r>
        <w:rPr>
          <w:rFonts w:ascii="Times New Roman" w:hAnsi="Times New Roman"/>
          <w:lang w:val="pt-BR"/>
        </w:rPr>
        <w:t xml:space="preserve">Suelen Stutz agradece </w:t>
      </w:r>
      <w:r w:rsidR="00AF6AF8">
        <w:rPr>
          <w:rFonts w:ascii="Times New Roman" w:hAnsi="Times New Roman"/>
          <w:lang w:val="pt-BR"/>
        </w:rPr>
        <w:t>à FAPERJ pela bolsa de</w:t>
      </w:r>
      <w:r w:rsidR="00F90B9A">
        <w:rPr>
          <w:rFonts w:ascii="Times New Roman" w:hAnsi="Times New Roman"/>
          <w:lang w:val="pt-BR"/>
        </w:rPr>
        <w:t xml:space="preserve"> doutorado.</w:t>
      </w:r>
    </w:p>
    <w:p w14:paraId="518B498D" w14:textId="77777777" w:rsidR="0066721F" w:rsidRPr="001F25B2" w:rsidRDefault="0066721F" w:rsidP="004250D4">
      <w:pPr>
        <w:pStyle w:val="TAMainText"/>
        <w:spacing w:line="240" w:lineRule="auto"/>
        <w:rPr>
          <w:rFonts w:ascii="Times New Roman" w:hAnsi="Times New Roman"/>
          <w:lang w:val="pt-BR"/>
        </w:rPr>
      </w:pPr>
    </w:p>
    <w:p w14:paraId="1EAAA287"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158D911D" w14:textId="37CE2A9C" w:rsidR="00EA4E1B" w:rsidRDefault="00EA4E1B" w:rsidP="00EA4E1B">
      <w:pPr>
        <w:pStyle w:val="TAMainText"/>
        <w:ind w:firstLine="0"/>
        <w:rPr>
          <w:lang w:val="pt-BR"/>
        </w:rPr>
      </w:pPr>
    </w:p>
    <w:p w14:paraId="7304CE4A" w14:textId="1B9CB7E5" w:rsidR="00EA4E1B" w:rsidRPr="00FF7530" w:rsidRDefault="00AF6AF8" w:rsidP="00A63853">
      <w:pPr>
        <w:pStyle w:val="TAMainText"/>
        <w:numPr>
          <w:ilvl w:val="0"/>
          <w:numId w:val="1"/>
        </w:numPr>
        <w:spacing w:line="240" w:lineRule="auto"/>
        <w:rPr>
          <w:rFonts w:ascii="Times New Roman" w:hAnsi="Times New Roman"/>
          <w:bCs/>
        </w:rPr>
      </w:pPr>
      <w:r w:rsidRPr="007E3D7C">
        <w:rPr>
          <w:rFonts w:ascii="Times New Roman" w:hAnsi="Times New Roman"/>
          <w:bCs/>
        </w:rPr>
        <w:t>W</w:t>
      </w:r>
      <w:r w:rsidR="007E3D7C" w:rsidRPr="007E3D7C">
        <w:rPr>
          <w:rFonts w:ascii="Times New Roman" w:hAnsi="Times New Roman"/>
          <w:bCs/>
        </w:rPr>
        <w:t>ho</w:t>
      </w:r>
      <w:r w:rsidRPr="007E3D7C">
        <w:rPr>
          <w:rFonts w:ascii="Times New Roman" w:hAnsi="Times New Roman"/>
          <w:bCs/>
        </w:rPr>
        <w:t xml:space="preserve"> - World Health Organization. </w:t>
      </w:r>
      <w:r w:rsidRPr="00752063">
        <w:rPr>
          <w:rFonts w:ascii="Times New Roman" w:hAnsi="Times New Roman"/>
          <w:bCs/>
          <w:i/>
        </w:rPr>
        <w:t>Air Pollution</w:t>
      </w:r>
      <w:r w:rsidR="00752063">
        <w:rPr>
          <w:rFonts w:ascii="Times New Roman" w:hAnsi="Times New Roman"/>
          <w:bCs/>
        </w:rPr>
        <w:t>, 2023</w:t>
      </w:r>
      <w:r w:rsidRPr="007E3D7C">
        <w:rPr>
          <w:rFonts w:ascii="Times New Roman" w:hAnsi="Times New Roman"/>
          <w:bCs/>
        </w:rPr>
        <w:t xml:space="preserve"> </w:t>
      </w:r>
      <w:proofErr w:type="spellStart"/>
      <w:r w:rsidRPr="00FF7530">
        <w:rPr>
          <w:rFonts w:ascii="Times New Roman" w:hAnsi="Times New Roman"/>
          <w:bCs/>
        </w:rPr>
        <w:t>Disponível</w:t>
      </w:r>
      <w:proofErr w:type="spellEnd"/>
      <w:r w:rsidRPr="00FF7530">
        <w:rPr>
          <w:rFonts w:ascii="Times New Roman" w:hAnsi="Times New Roman"/>
          <w:bCs/>
        </w:rPr>
        <w:t xml:space="preserve"> </w:t>
      </w:r>
      <w:proofErr w:type="spellStart"/>
      <w:r w:rsidRPr="00FF7530">
        <w:rPr>
          <w:rFonts w:ascii="Times New Roman" w:hAnsi="Times New Roman"/>
          <w:bCs/>
        </w:rPr>
        <w:t>em</w:t>
      </w:r>
      <w:proofErr w:type="spellEnd"/>
      <w:r w:rsidRPr="00FF7530">
        <w:rPr>
          <w:rFonts w:ascii="Times New Roman" w:hAnsi="Times New Roman"/>
          <w:bCs/>
        </w:rPr>
        <w:t xml:space="preserve">: </w:t>
      </w:r>
      <w:r w:rsidR="00D62527" w:rsidRPr="00FF7530">
        <w:rPr>
          <w:rFonts w:ascii="Times New Roman" w:hAnsi="Times New Roman"/>
          <w:bCs/>
        </w:rPr>
        <w:t>https://www.who.int/health-topics/airpollution</w:t>
      </w:r>
      <w:r w:rsidR="00752063" w:rsidRPr="00FF7530">
        <w:rPr>
          <w:rFonts w:ascii="Times New Roman" w:hAnsi="Times New Roman"/>
          <w:bCs/>
        </w:rPr>
        <w:t xml:space="preserve"> </w:t>
      </w:r>
    </w:p>
    <w:p w14:paraId="1A6AD509" w14:textId="5CA49500" w:rsidR="00EA4E1B" w:rsidRPr="007E3D7C" w:rsidRDefault="00F32963" w:rsidP="00A63853">
      <w:pPr>
        <w:pStyle w:val="TAMainText"/>
        <w:numPr>
          <w:ilvl w:val="0"/>
          <w:numId w:val="1"/>
        </w:numPr>
        <w:spacing w:line="240" w:lineRule="auto"/>
        <w:rPr>
          <w:rFonts w:ascii="Times New Roman" w:hAnsi="Times New Roman"/>
        </w:rPr>
      </w:pPr>
      <w:r w:rsidRPr="007E3D7C">
        <w:rPr>
          <w:rFonts w:ascii="Times New Roman" w:hAnsi="Times New Roman"/>
        </w:rPr>
        <w:t>W</w:t>
      </w:r>
      <w:r w:rsidR="007E3D7C" w:rsidRPr="007E3D7C">
        <w:rPr>
          <w:rFonts w:ascii="Times New Roman" w:hAnsi="Times New Roman"/>
        </w:rPr>
        <w:t>ho</w:t>
      </w:r>
      <w:r w:rsidRPr="007E3D7C">
        <w:rPr>
          <w:rFonts w:ascii="Times New Roman" w:hAnsi="Times New Roman"/>
        </w:rPr>
        <w:t xml:space="preserve"> </w:t>
      </w:r>
      <w:r w:rsidR="00A93E58">
        <w:rPr>
          <w:rFonts w:ascii="Times New Roman" w:hAnsi="Times New Roman"/>
        </w:rPr>
        <w:t xml:space="preserve">- </w:t>
      </w:r>
      <w:r w:rsidRPr="007E3D7C">
        <w:rPr>
          <w:rFonts w:ascii="Times New Roman" w:hAnsi="Times New Roman"/>
        </w:rPr>
        <w:t xml:space="preserve">World Health Organization. </w:t>
      </w:r>
      <w:r w:rsidRPr="00752063">
        <w:rPr>
          <w:rFonts w:ascii="Times New Roman" w:hAnsi="Times New Roman"/>
          <w:i/>
        </w:rPr>
        <w:t xml:space="preserve">Burden of disease from the joint effects of household and ambient </w:t>
      </w:r>
      <w:r w:rsidR="00A93E58" w:rsidRPr="00752063">
        <w:rPr>
          <w:rFonts w:ascii="Times New Roman" w:hAnsi="Times New Roman"/>
          <w:i/>
        </w:rPr>
        <w:t>a</w:t>
      </w:r>
      <w:r w:rsidRPr="00752063">
        <w:rPr>
          <w:rFonts w:ascii="Times New Roman" w:hAnsi="Times New Roman"/>
          <w:i/>
        </w:rPr>
        <w:t>ir pollution for 2016</w:t>
      </w:r>
      <w:r w:rsidR="007E51D2">
        <w:rPr>
          <w:rFonts w:ascii="Times New Roman" w:hAnsi="Times New Roman"/>
        </w:rPr>
        <w:t xml:space="preserve">, 2018, 2. </w:t>
      </w:r>
    </w:p>
    <w:p w14:paraId="0F7B8055" w14:textId="536C22C3" w:rsidR="00F32963" w:rsidRPr="007E3D7C" w:rsidRDefault="008E33C3" w:rsidP="00A63853">
      <w:pPr>
        <w:pStyle w:val="TAMainText"/>
        <w:numPr>
          <w:ilvl w:val="0"/>
          <w:numId w:val="1"/>
        </w:numPr>
        <w:spacing w:line="240" w:lineRule="auto"/>
        <w:rPr>
          <w:rFonts w:ascii="Times New Roman" w:hAnsi="Times New Roman"/>
        </w:rPr>
      </w:pPr>
      <w:r>
        <w:rPr>
          <w:rFonts w:ascii="Times New Roman" w:hAnsi="Times New Roman"/>
        </w:rPr>
        <w:t xml:space="preserve">P.J. </w:t>
      </w:r>
      <w:proofErr w:type="spellStart"/>
      <w:r>
        <w:rPr>
          <w:rFonts w:ascii="Times New Roman" w:hAnsi="Times New Roman"/>
        </w:rPr>
        <w:t>Landrigan</w:t>
      </w:r>
      <w:proofErr w:type="spellEnd"/>
      <w:r>
        <w:rPr>
          <w:rFonts w:ascii="Times New Roman" w:hAnsi="Times New Roman"/>
        </w:rPr>
        <w:t>,</w:t>
      </w:r>
      <w:r w:rsidR="00F32963" w:rsidRPr="007E3D7C">
        <w:rPr>
          <w:rFonts w:ascii="Times New Roman" w:hAnsi="Times New Roman"/>
        </w:rPr>
        <w:t xml:space="preserve">; </w:t>
      </w:r>
      <w:r>
        <w:rPr>
          <w:rFonts w:ascii="Times New Roman" w:hAnsi="Times New Roman"/>
        </w:rPr>
        <w:t xml:space="preserve">R. </w:t>
      </w:r>
      <w:r w:rsidR="00F32963" w:rsidRPr="007E3D7C">
        <w:rPr>
          <w:rFonts w:ascii="Times New Roman" w:hAnsi="Times New Roman"/>
        </w:rPr>
        <w:t xml:space="preserve">Fuller; </w:t>
      </w:r>
      <w:r>
        <w:rPr>
          <w:rFonts w:ascii="Times New Roman" w:hAnsi="Times New Roman"/>
        </w:rPr>
        <w:t>N.</w:t>
      </w:r>
      <w:r w:rsidR="00B275C8">
        <w:rPr>
          <w:rFonts w:ascii="Times New Roman" w:hAnsi="Times New Roman"/>
        </w:rPr>
        <w:t xml:space="preserve"> </w:t>
      </w:r>
      <w:r>
        <w:rPr>
          <w:rFonts w:ascii="Times New Roman" w:hAnsi="Times New Roman"/>
        </w:rPr>
        <w:t>J.</w:t>
      </w:r>
      <w:r w:rsidR="00B275C8">
        <w:rPr>
          <w:rFonts w:ascii="Times New Roman" w:hAnsi="Times New Roman"/>
        </w:rPr>
        <w:t xml:space="preserve"> </w:t>
      </w:r>
      <w:r>
        <w:rPr>
          <w:rFonts w:ascii="Times New Roman" w:hAnsi="Times New Roman"/>
        </w:rPr>
        <w:t>R. Acosta</w:t>
      </w:r>
      <w:r w:rsidR="00F32963" w:rsidRPr="007E3D7C">
        <w:rPr>
          <w:rFonts w:ascii="Times New Roman" w:hAnsi="Times New Roman"/>
        </w:rPr>
        <w:t xml:space="preserve">; </w:t>
      </w:r>
      <w:r>
        <w:rPr>
          <w:rFonts w:ascii="Times New Roman" w:hAnsi="Times New Roman"/>
        </w:rPr>
        <w:t xml:space="preserve">O. </w:t>
      </w:r>
      <w:proofErr w:type="spellStart"/>
      <w:r>
        <w:rPr>
          <w:rFonts w:ascii="Times New Roman" w:hAnsi="Times New Roman"/>
        </w:rPr>
        <w:t>Adeyi</w:t>
      </w:r>
      <w:proofErr w:type="spellEnd"/>
      <w:r w:rsidR="00F32963" w:rsidRPr="007E3D7C">
        <w:rPr>
          <w:rFonts w:ascii="Times New Roman" w:hAnsi="Times New Roman"/>
        </w:rPr>
        <w:t xml:space="preserve">; </w:t>
      </w:r>
      <w:r>
        <w:rPr>
          <w:rFonts w:ascii="Times New Roman" w:hAnsi="Times New Roman"/>
        </w:rPr>
        <w:t>R. Arnold</w:t>
      </w:r>
      <w:r w:rsidR="00F32963" w:rsidRPr="007E3D7C">
        <w:rPr>
          <w:rFonts w:ascii="Times New Roman" w:hAnsi="Times New Roman"/>
        </w:rPr>
        <w:t xml:space="preserve">; </w:t>
      </w:r>
      <w:r>
        <w:rPr>
          <w:rFonts w:ascii="Times New Roman" w:hAnsi="Times New Roman"/>
        </w:rPr>
        <w:t xml:space="preserve">N. </w:t>
      </w:r>
      <w:proofErr w:type="spellStart"/>
      <w:r>
        <w:rPr>
          <w:rFonts w:ascii="Times New Roman" w:hAnsi="Times New Roman"/>
        </w:rPr>
        <w:t>Basu</w:t>
      </w:r>
      <w:proofErr w:type="spellEnd"/>
      <w:r w:rsidR="00F32963" w:rsidRPr="007E3D7C">
        <w:rPr>
          <w:rFonts w:ascii="Times New Roman" w:hAnsi="Times New Roman"/>
        </w:rPr>
        <w:t xml:space="preserve">; </w:t>
      </w:r>
      <w:r w:rsidR="00B275C8">
        <w:rPr>
          <w:rFonts w:ascii="Times New Roman" w:hAnsi="Times New Roman"/>
        </w:rPr>
        <w:t>A. B. Baldé</w:t>
      </w:r>
      <w:r w:rsidR="00F32963" w:rsidRPr="007E3D7C">
        <w:rPr>
          <w:rFonts w:ascii="Times New Roman" w:hAnsi="Times New Roman"/>
        </w:rPr>
        <w:t xml:space="preserve">; </w:t>
      </w:r>
      <w:r w:rsidR="00B275C8">
        <w:rPr>
          <w:rFonts w:ascii="Times New Roman" w:hAnsi="Times New Roman"/>
        </w:rPr>
        <w:t xml:space="preserve">R. </w:t>
      </w:r>
      <w:proofErr w:type="spellStart"/>
      <w:r w:rsidR="00B275C8">
        <w:rPr>
          <w:rFonts w:ascii="Times New Roman" w:hAnsi="Times New Roman"/>
        </w:rPr>
        <w:t>Bertollini</w:t>
      </w:r>
      <w:proofErr w:type="spellEnd"/>
      <w:r w:rsidR="00F32963" w:rsidRPr="007E3D7C">
        <w:rPr>
          <w:rFonts w:ascii="Times New Roman" w:hAnsi="Times New Roman"/>
        </w:rPr>
        <w:t xml:space="preserve">; </w:t>
      </w:r>
      <w:r w:rsidR="00B275C8">
        <w:rPr>
          <w:rFonts w:ascii="Times New Roman" w:hAnsi="Times New Roman"/>
        </w:rPr>
        <w:t>S. Bose-</w:t>
      </w:r>
      <w:proofErr w:type="spellStart"/>
      <w:r w:rsidR="00B275C8">
        <w:rPr>
          <w:rFonts w:ascii="Times New Roman" w:hAnsi="Times New Roman"/>
        </w:rPr>
        <w:t>O’reilly</w:t>
      </w:r>
      <w:proofErr w:type="spellEnd"/>
      <w:r w:rsidR="00F32963" w:rsidRPr="007E3D7C">
        <w:rPr>
          <w:rFonts w:ascii="Times New Roman" w:hAnsi="Times New Roman"/>
        </w:rPr>
        <w:t xml:space="preserve">; </w:t>
      </w:r>
      <w:r w:rsidR="004610E6">
        <w:rPr>
          <w:rFonts w:ascii="Times New Roman" w:hAnsi="Times New Roman"/>
        </w:rPr>
        <w:t xml:space="preserve">J. I. </w:t>
      </w:r>
      <w:proofErr w:type="spellStart"/>
      <w:r w:rsidR="004610E6">
        <w:rPr>
          <w:rFonts w:ascii="Times New Roman" w:hAnsi="Times New Roman"/>
        </w:rPr>
        <w:t>Bouff</w:t>
      </w:r>
      <w:r w:rsidR="004C09D4">
        <w:rPr>
          <w:rFonts w:ascii="Times New Roman" w:hAnsi="Times New Roman"/>
        </w:rPr>
        <w:t>ord</w:t>
      </w:r>
      <w:proofErr w:type="spellEnd"/>
      <w:r w:rsidR="00F32963" w:rsidRPr="007E3D7C">
        <w:rPr>
          <w:rFonts w:ascii="Times New Roman" w:hAnsi="Times New Roman"/>
        </w:rPr>
        <w:t>. The Lancet,</w:t>
      </w:r>
      <w:r w:rsidR="004C09D4">
        <w:rPr>
          <w:rFonts w:ascii="Times New Roman" w:hAnsi="Times New Roman"/>
        </w:rPr>
        <w:t xml:space="preserve"> 2018, 391,</w:t>
      </w:r>
      <w:r w:rsidR="00F32963" w:rsidRPr="007E3D7C">
        <w:rPr>
          <w:rFonts w:ascii="Times New Roman" w:hAnsi="Times New Roman"/>
        </w:rPr>
        <w:t xml:space="preserve"> 462-512</w:t>
      </w:r>
      <w:r w:rsidR="004610E6">
        <w:rPr>
          <w:rFonts w:ascii="Times New Roman" w:hAnsi="Times New Roman"/>
        </w:rPr>
        <w:t xml:space="preserve">. </w:t>
      </w:r>
    </w:p>
    <w:p w14:paraId="3D25798E" w14:textId="56D2FF0C" w:rsidR="00A93E58" w:rsidRPr="00A93E58" w:rsidRDefault="00A056CD" w:rsidP="00A63853">
      <w:pPr>
        <w:pStyle w:val="PargrafodaLista"/>
        <w:numPr>
          <w:ilvl w:val="0"/>
          <w:numId w:val="1"/>
        </w:numPr>
        <w:spacing w:line="240" w:lineRule="auto"/>
        <w:jc w:val="both"/>
        <w:rPr>
          <w:rFonts w:ascii="Times New Roman" w:eastAsia="Times New Roman" w:hAnsi="Times New Roman" w:cs="Times New Roman"/>
          <w:sz w:val="20"/>
          <w:szCs w:val="20"/>
          <w:lang w:eastAsia="pt-BR"/>
        </w:rPr>
      </w:pPr>
      <w:r w:rsidRPr="00A93E58">
        <w:rPr>
          <w:rFonts w:ascii="Times New Roman" w:hAnsi="Times New Roman" w:cs="Times New Roman"/>
          <w:sz w:val="20"/>
          <w:szCs w:val="20"/>
        </w:rPr>
        <w:t>C</w:t>
      </w:r>
      <w:r w:rsidR="007E3D7C" w:rsidRPr="00A93E58">
        <w:rPr>
          <w:rFonts w:ascii="Times New Roman" w:hAnsi="Times New Roman"/>
          <w:sz w:val="20"/>
          <w:szCs w:val="20"/>
        </w:rPr>
        <w:t>etesb</w:t>
      </w:r>
      <w:r w:rsidR="000710E6">
        <w:rPr>
          <w:rFonts w:ascii="Times New Roman" w:hAnsi="Times New Roman" w:cs="Times New Roman"/>
          <w:sz w:val="20"/>
          <w:szCs w:val="20"/>
        </w:rPr>
        <w:t xml:space="preserve">. </w:t>
      </w:r>
      <w:r w:rsidR="00A93E58" w:rsidRPr="00A93E58">
        <w:rPr>
          <w:rFonts w:ascii="Times New Roman" w:eastAsia="Times New Roman" w:hAnsi="Times New Roman" w:cs="Times New Roman"/>
          <w:sz w:val="20"/>
          <w:szCs w:val="20"/>
          <w:lang w:eastAsia="pt-BR"/>
        </w:rPr>
        <w:t>Série Relatórios</w:t>
      </w:r>
      <w:r w:rsidR="000710E6">
        <w:rPr>
          <w:rFonts w:ascii="Times New Roman" w:eastAsia="Times New Roman" w:hAnsi="Times New Roman" w:cs="Times New Roman"/>
          <w:sz w:val="20"/>
          <w:szCs w:val="20"/>
          <w:lang w:eastAsia="pt-BR"/>
        </w:rPr>
        <w:t>, 2020, ISSN 0103-4103.</w:t>
      </w:r>
    </w:p>
    <w:p w14:paraId="0E7B4FBA" w14:textId="49D56203" w:rsidR="00EA4E1B" w:rsidRPr="00A93E58" w:rsidRDefault="000710E6" w:rsidP="00A63853">
      <w:pPr>
        <w:pStyle w:val="PargrafodaLista"/>
        <w:numPr>
          <w:ilvl w:val="0"/>
          <w:numId w:val="1"/>
        </w:numPr>
        <w:spacing w:line="240" w:lineRule="auto"/>
        <w:jc w:val="both"/>
        <w:rPr>
          <w:rFonts w:ascii="Times New Roman" w:eastAsia="Times New Roman" w:hAnsi="Times New Roman" w:cs="Times New Roman"/>
          <w:sz w:val="20"/>
          <w:szCs w:val="20"/>
          <w:lang w:eastAsia="pt-BR"/>
        </w:rPr>
      </w:pPr>
      <w:r>
        <w:rPr>
          <w:rFonts w:ascii="Times New Roman" w:hAnsi="Times New Roman"/>
          <w:sz w:val="20"/>
          <w:szCs w:val="20"/>
        </w:rPr>
        <w:t xml:space="preserve">C. </w:t>
      </w:r>
      <w:r w:rsidR="00A056CD" w:rsidRPr="00A93E58">
        <w:rPr>
          <w:rFonts w:ascii="Times New Roman" w:hAnsi="Times New Roman"/>
          <w:sz w:val="20"/>
          <w:szCs w:val="20"/>
        </w:rPr>
        <w:t>B</w:t>
      </w:r>
      <w:r w:rsidR="007E3D7C" w:rsidRPr="00A93E58">
        <w:rPr>
          <w:rFonts w:ascii="Times New Roman" w:hAnsi="Times New Roman"/>
          <w:sz w:val="20"/>
          <w:szCs w:val="20"/>
        </w:rPr>
        <w:t>ardin</w:t>
      </w:r>
      <w:r w:rsidR="00A41B63">
        <w:rPr>
          <w:rFonts w:ascii="Times New Roman" w:hAnsi="Times New Roman"/>
          <w:sz w:val="20"/>
          <w:szCs w:val="20"/>
        </w:rPr>
        <w:t xml:space="preserve">; M. </w:t>
      </w:r>
      <w:proofErr w:type="spellStart"/>
      <w:r w:rsidR="00A41B63">
        <w:rPr>
          <w:rFonts w:ascii="Times New Roman" w:hAnsi="Times New Roman"/>
          <w:sz w:val="20"/>
          <w:szCs w:val="20"/>
        </w:rPr>
        <w:t>Cann</w:t>
      </w:r>
      <w:proofErr w:type="spellEnd"/>
      <w:r w:rsidR="00A41B63">
        <w:rPr>
          <w:rFonts w:ascii="Times New Roman" w:hAnsi="Times New Roman"/>
          <w:sz w:val="20"/>
          <w:szCs w:val="20"/>
        </w:rPr>
        <w:t>.</w:t>
      </w:r>
      <w:r w:rsidR="00C31277">
        <w:rPr>
          <w:rFonts w:ascii="Times New Roman" w:hAnsi="Times New Roman"/>
          <w:sz w:val="20"/>
          <w:szCs w:val="20"/>
        </w:rPr>
        <w:t xml:space="preserve"> </w:t>
      </w:r>
      <w:r w:rsidR="00A056CD" w:rsidRPr="00802A3B">
        <w:rPr>
          <w:rFonts w:ascii="Times New Roman" w:hAnsi="Times New Roman"/>
          <w:i/>
          <w:sz w:val="20"/>
          <w:szCs w:val="20"/>
        </w:rPr>
        <w:t>Química Ambiental</w:t>
      </w:r>
      <w:r w:rsidR="00A056CD" w:rsidRPr="00A93E58">
        <w:rPr>
          <w:rFonts w:ascii="Times New Roman" w:hAnsi="Times New Roman"/>
          <w:sz w:val="20"/>
          <w:szCs w:val="20"/>
        </w:rPr>
        <w:t>, Bookman,</w:t>
      </w:r>
      <w:r w:rsidR="0069240B">
        <w:rPr>
          <w:rFonts w:ascii="Times New Roman" w:hAnsi="Times New Roman"/>
          <w:sz w:val="20"/>
          <w:szCs w:val="20"/>
        </w:rPr>
        <w:t xml:space="preserve"> Ontário,</w:t>
      </w:r>
      <w:r w:rsidR="00A056CD" w:rsidRPr="00A93E58">
        <w:rPr>
          <w:rFonts w:ascii="Times New Roman" w:hAnsi="Times New Roman"/>
          <w:sz w:val="20"/>
          <w:szCs w:val="20"/>
        </w:rPr>
        <w:t xml:space="preserve"> 2004.</w:t>
      </w:r>
    </w:p>
    <w:p w14:paraId="2BAE4A9E" w14:textId="05443766" w:rsidR="00EA4E1B" w:rsidRPr="00A93E58" w:rsidRDefault="00C31277" w:rsidP="00A63853">
      <w:pPr>
        <w:pStyle w:val="TAMainText"/>
        <w:numPr>
          <w:ilvl w:val="0"/>
          <w:numId w:val="1"/>
        </w:numPr>
        <w:spacing w:line="240" w:lineRule="auto"/>
        <w:rPr>
          <w:rFonts w:ascii="Times New Roman" w:hAnsi="Times New Roman"/>
        </w:rPr>
      </w:pPr>
      <w:r>
        <w:rPr>
          <w:rFonts w:ascii="Times New Roman" w:hAnsi="Times New Roman"/>
        </w:rPr>
        <w:t xml:space="preserve">J. B. </w:t>
      </w:r>
      <w:r w:rsidR="00A056CD" w:rsidRPr="00A93E58">
        <w:rPr>
          <w:rFonts w:ascii="Times New Roman" w:hAnsi="Times New Roman"/>
        </w:rPr>
        <w:t>Heywood</w:t>
      </w:r>
      <w:r w:rsidR="006812E5">
        <w:rPr>
          <w:rFonts w:ascii="Times New Roman" w:hAnsi="Times New Roman"/>
        </w:rPr>
        <w:t>.</w:t>
      </w:r>
      <w:r w:rsidR="00A056CD" w:rsidRPr="00A93E58">
        <w:rPr>
          <w:rFonts w:ascii="Times New Roman" w:hAnsi="Times New Roman"/>
        </w:rPr>
        <w:t xml:space="preserve"> </w:t>
      </w:r>
      <w:r w:rsidR="00A056CD" w:rsidRPr="0069240B">
        <w:rPr>
          <w:rFonts w:ascii="Times New Roman" w:hAnsi="Times New Roman"/>
          <w:i/>
        </w:rPr>
        <w:t>Internal Comb</w:t>
      </w:r>
      <w:r w:rsidR="00750BB9" w:rsidRPr="0069240B">
        <w:rPr>
          <w:rFonts w:ascii="Times New Roman" w:hAnsi="Times New Roman"/>
          <w:i/>
        </w:rPr>
        <w:t>u</w:t>
      </w:r>
      <w:r w:rsidR="00A056CD" w:rsidRPr="0069240B">
        <w:rPr>
          <w:rFonts w:ascii="Times New Roman" w:hAnsi="Times New Roman"/>
          <w:i/>
        </w:rPr>
        <w:t>stion Engine Fundamentals</w:t>
      </w:r>
      <w:r w:rsidR="006812E5">
        <w:rPr>
          <w:rFonts w:ascii="Times New Roman" w:hAnsi="Times New Roman"/>
        </w:rPr>
        <w:t>, McGraw-Hill</w:t>
      </w:r>
      <w:r w:rsidR="00750BB9" w:rsidRPr="00A93E58">
        <w:rPr>
          <w:rFonts w:ascii="Times New Roman" w:hAnsi="Times New Roman"/>
        </w:rPr>
        <w:t xml:space="preserve">, </w:t>
      </w:r>
      <w:r w:rsidR="0069240B">
        <w:rPr>
          <w:rFonts w:ascii="Times New Roman" w:hAnsi="Times New Roman"/>
        </w:rPr>
        <w:t xml:space="preserve">New York, </w:t>
      </w:r>
      <w:r w:rsidR="00A056CD" w:rsidRPr="00A93E58">
        <w:rPr>
          <w:rFonts w:ascii="Times New Roman" w:hAnsi="Times New Roman"/>
        </w:rPr>
        <w:t>1988.</w:t>
      </w:r>
    </w:p>
    <w:p w14:paraId="3CA52E4D" w14:textId="11325F98" w:rsidR="00A056CD" w:rsidRPr="007E3D7C" w:rsidRDefault="00A056CD" w:rsidP="00A63853">
      <w:pPr>
        <w:pStyle w:val="TAMainText"/>
        <w:numPr>
          <w:ilvl w:val="0"/>
          <w:numId w:val="1"/>
        </w:numPr>
        <w:spacing w:line="240" w:lineRule="auto"/>
        <w:rPr>
          <w:rFonts w:ascii="Times New Roman" w:hAnsi="Times New Roman"/>
          <w:lang w:val="pt-BR"/>
        </w:rPr>
      </w:pPr>
      <w:r w:rsidRPr="00A93E58">
        <w:rPr>
          <w:rFonts w:ascii="Times New Roman" w:hAnsi="Times New Roman"/>
          <w:lang w:val="pt-BR"/>
        </w:rPr>
        <w:t>I</w:t>
      </w:r>
      <w:r w:rsidR="00292A3F">
        <w:rPr>
          <w:rFonts w:ascii="Times New Roman" w:hAnsi="Times New Roman"/>
          <w:lang w:val="pt-BR"/>
        </w:rPr>
        <w:t xml:space="preserve">bama. </w:t>
      </w:r>
      <w:r w:rsidRPr="00292A3F">
        <w:rPr>
          <w:rFonts w:ascii="Times New Roman" w:hAnsi="Times New Roman"/>
          <w:i/>
          <w:lang w:val="pt-BR"/>
        </w:rPr>
        <w:t>Programa de controle da poluição do ar por veículos automotores</w:t>
      </w:r>
      <w:r w:rsidR="00292A3F">
        <w:rPr>
          <w:rFonts w:ascii="Times New Roman" w:hAnsi="Times New Roman"/>
          <w:lang w:val="pt-BR"/>
        </w:rPr>
        <w:t>, 2011</w:t>
      </w:r>
      <w:r w:rsidR="00D7107D">
        <w:rPr>
          <w:rFonts w:ascii="Times New Roman" w:hAnsi="Times New Roman"/>
          <w:lang w:val="pt-BR"/>
        </w:rPr>
        <w:t xml:space="preserve">. </w:t>
      </w:r>
    </w:p>
    <w:p w14:paraId="3FFDD25A" w14:textId="3254DCE7" w:rsidR="00991951" w:rsidRPr="00750BB9" w:rsidRDefault="00D7107D" w:rsidP="00A63853">
      <w:pPr>
        <w:pStyle w:val="TAMainText"/>
        <w:numPr>
          <w:ilvl w:val="0"/>
          <w:numId w:val="1"/>
        </w:numPr>
        <w:spacing w:line="240" w:lineRule="auto"/>
        <w:rPr>
          <w:rFonts w:ascii="Times New Roman" w:hAnsi="Times New Roman"/>
        </w:rPr>
      </w:pPr>
      <w:r>
        <w:rPr>
          <w:rFonts w:ascii="Times New Roman" w:hAnsi="Times New Roman"/>
          <w:lang w:val="pt-BR"/>
        </w:rPr>
        <w:t>M. C. Rangel</w:t>
      </w:r>
      <w:r w:rsidR="0093521A" w:rsidRPr="0093521A">
        <w:rPr>
          <w:rFonts w:ascii="Times New Roman" w:hAnsi="Times New Roman"/>
          <w:lang w:val="pt-BR"/>
        </w:rPr>
        <w:t>;</w:t>
      </w:r>
      <w:r>
        <w:rPr>
          <w:rFonts w:ascii="Times New Roman" w:hAnsi="Times New Roman"/>
          <w:lang w:val="pt-BR"/>
        </w:rPr>
        <w:t xml:space="preserve"> M. F.</w:t>
      </w:r>
      <w:r w:rsidR="0093521A" w:rsidRPr="0093521A">
        <w:rPr>
          <w:rFonts w:ascii="Times New Roman" w:hAnsi="Times New Roman"/>
          <w:lang w:val="pt-BR"/>
        </w:rPr>
        <w:t xml:space="preserve"> </w:t>
      </w:r>
      <w:r>
        <w:rPr>
          <w:rFonts w:ascii="Times New Roman" w:hAnsi="Times New Roman"/>
          <w:lang w:val="pt-BR"/>
        </w:rPr>
        <w:t xml:space="preserve">A. Carvalho. </w:t>
      </w:r>
      <w:r w:rsidR="0093521A" w:rsidRPr="0093521A">
        <w:rPr>
          <w:rFonts w:ascii="Times New Roman" w:hAnsi="Times New Roman"/>
          <w:lang w:val="pt-BR"/>
        </w:rPr>
        <w:t xml:space="preserve"> </w:t>
      </w:r>
      <w:proofErr w:type="spellStart"/>
      <w:r w:rsidR="0093521A" w:rsidRPr="0093521A">
        <w:rPr>
          <w:rFonts w:ascii="Times New Roman" w:hAnsi="Times New Roman"/>
        </w:rPr>
        <w:t>Química</w:t>
      </w:r>
      <w:proofErr w:type="spellEnd"/>
      <w:r w:rsidR="0093521A" w:rsidRPr="0093521A">
        <w:rPr>
          <w:rFonts w:ascii="Times New Roman" w:hAnsi="Times New Roman"/>
        </w:rPr>
        <w:t xml:space="preserve"> nova, </w:t>
      </w:r>
      <w:proofErr w:type="gramStart"/>
      <w:r w:rsidR="00D83D7F">
        <w:rPr>
          <w:rFonts w:ascii="Times New Roman" w:hAnsi="Times New Roman"/>
        </w:rPr>
        <w:t>2003,  26</w:t>
      </w:r>
      <w:proofErr w:type="gramEnd"/>
      <w:r w:rsidR="00D83D7F">
        <w:rPr>
          <w:rFonts w:ascii="Times New Roman" w:hAnsi="Times New Roman"/>
        </w:rPr>
        <w:t xml:space="preserve">, 265-277. </w:t>
      </w:r>
    </w:p>
    <w:p w14:paraId="4967273A" w14:textId="4FE1EE43" w:rsidR="0093521A" w:rsidRPr="00577E67" w:rsidRDefault="00D83D7F" w:rsidP="00577E67">
      <w:pPr>
        <w:pStyle w:val="PargrafodaLista"/>
        <w:numPr>
          <w:ilvl w:val="0"/>
          <w:numId w:val="1"/>
        </w:numPr>
        <w:spacing w:line="240" w:lineRule="auto"/>
        <w:jc w:val="both"/>
        <w:rPr>
          <w:rFonts w:ascii="Times New Roman" w:eastAsia="Times New Roman" w:hAnsi="Times New Roman" w:cs="Times New Roman"/>
          <w:sz w:val="20"/>
          <w:szCs w:val="20"/>
          <w:lang w:eastAsia="pt-BR"/>
        </w:rPr>
      </w:pPr>
      <w:r>
        <w:rPr>
          <w:rFonts w:ascii="Times New Roman" w:hAnsi="Times New Roman"/>
          <w:sz w:val="20"/>
          <w:szCs w:val="20"/>
        </w:rPr>
        <w:t xml:space="preserve">C. M. S. </w:t>
      </w:r>
      <w:proofErr w:type="spellStart"/>
      <w:r>
        <w:rPr>
          <w:rFonts w:ascii="Times New Roman" w:hAnsi="Times New Roman"/>
          <w:sz w:val="20"/>
          <w:szCs w:val="20"/>
        </w:rPr>
        <w:t>Polato</w:t>
      </w:r>
      <w:proofErr w:type="spellEnd"/>
      <w:r>
        <w:rPr>
          <w:rFonts w:ascii="Times New Roman" w:hAnsi="Times New Roman"/>
          <w:sz w:val="20"/>
          <w:szCs w:val="20"/>
        </w:rPr>
        <w:t>.</w:t>
      </w:r>
      <w:r w:rsidR="0093521A" w:rsidRPr="0093521A">
        <w:rPr>
          <w:rFonts w:ascii="Times New Roman" w:hAnsi="Times New Roman"/>
          <w:sz w:val="20"/>
          <w:szCs w:val="20"/>
        </w:rPr>
        <w:t xml:space="preserve"> </w:t>
      </w:r>
      <w:r w:rsidR="00577E67">
        <w:rPr>
          <w:rFonts w:ascii="Times New Roman" w:hAnsi="Times New Roman"/>
          <w:sz w:val="20"/>
          <w:szCs w:val="20"/>
        </w:rPr>
        <w:t xml:space="preserve">Tese de Doutorado, </w:t>
      </w:r>
      <w:r w:rsidR="0093521A" w:rsidRPr="0093521A">
        <w:rPr>
          <w:rFonts w:ascii="Times New Roman" w:hAnsi="Times New Roman"/>
          <w:sz w:val="20"/>
          <w:szCs w:val="20"/>
        </w:rPr>
        <w:t xml:space="preserve">Universidade Federal </w:t>
      </w:r>
      <w:r w:rsidR="00577E67">
        <w:rPr>
          <w:rFonts w:ascii="Times New Roman" w:eastAsia="Times New Roman" w:hAnsi="Times New Roman" w:cs="Times New Roman"/>
          <w:sz w:val="20"/>
          <w:szCs w:val="20"/>
          <w:lang w:eastAsia="pt-BR"/>
        </w:rPr>
        <w:t xml:space="preserve">do Rio de Janeiro, </w:t>
      </w:r>
      <w:r w:rsidR="0093521A" w:rsidRPr="00577E67">
        <w:rPr>
          <w:rFonts w:ascii="Times New Roman" w:eastAsia="Times New Roman" w:hAnsi="Times New Roman" w:cs="Times New Roman"/>
          <w:sz w:val="20"/>
          <w:szCs w:val="20"/>
          <w:lang w:eastAsia="pt-BR"/>
        </w:rPr>
        <w:t>2005.</w:t>
      </w:r>
    </w:p>
    <w:p w14:paraId="4090E6EA" w14:textId="3C902258" w:rsidR="0093521A" w:rsidRPr="0093521A" w:rsidRDefault="00577E67" w:rsidP="00A63853">
      <w:pPr>
        <w:pStyle w:val="PargrafodaLista"/>
        <w:numPr>
          <w:ilvl w:val="0"/>
          <w:numId w:val="1"/>
        </w:numPr>
        <w:spacing w:line="240" w:lineRule="auto"/>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 xml:space="preserve">M. </w:t>
      </w:r>
      <w:proofErr w:type="spellStart"/>
      <w:r w:rsidR="0093521A" w:rsidRPr="0093521A">
        <w:rPr>
          <w:rFonts w:ascii="Times New Roman" w:eastAsia="Times New Roman" w:hAnsi="Times New Roman" w:cs="Times New Roman"/>
          <w:sz w:val="20"/>
          <w:szCs w:val="20"/>
          <w:lang w:val="en-US" w:eastAsia="pt-BR"/>
        </w:rPr>
        <w:t>S</w:t>
      </w:r>
      <w:r>
        <w:rPr>
          <w:rFonts w:ascii="Times New Roman" w:eastAsia="Times New Roman" w:hAnsi="Times New Roman" w:cs="Times New Roman"/>
          <w:sz w:val="20"/>
          <w:szCs w:val="20"/>
          <w:lang w:val="en-US" w:eastAsia="pt-BR"/>
        </w:rPr>
        <w:t>helef</w:t>
      </w:r>
      <w:proofErr w:type="spellEnd"/>
      <w:r w:rsidR="0093521A" w:rsidRPr="0093521A">
        <w:rPr>
          <w:rFonts w:ascii="Times New Roman" w:eastAsia="Times New Roman" w:hAnsi="Times New Roman" w:cs="Times New Roman"/>
          <w:sz w:val="20"/>
          <w:szCs w:val="20"/>
          <w:lang w:val="en-US" w:eastAsia="pt-BR"/>
        </w:rPr>
        <w:t xml:space="preserve">; </w:t>
      </w:r>
      <w:r>
        <w:rPr>
          <w:rFonts w:ascii="Times New Roman" w:eastAsia="Times New Roman" w:hAnsi="Times New Roman" w:cs="Times New Roman"/>
          <w:sz w:val="20"/>
          <w:szCs w:val="20"/>
          <w:lang w:val="en-US" w:eastAsia="pt-BR"/>
        </w:rPr>
        <w:t>K. Otto</w:t>
      </w:r>
      <w:r w:rsidR="0093521A" w:rsidRPr="0093521A">
        <w:rPr>
          <w:rFonts w:ascii="Times New Roman" w:eastAsia="Times New Roman" w:hAnsi="Times New Roman" w:cs="Times New Roman"/>
          <w:sz w:val="20"/>
          <w:szCs w:val="20"/>
          <w:lang w:val="en-US" w:eastAsia="pt-BR"/>
        </w:rPr>
        <w:t>;</w:t>
      </w:r>
      <w:r>
        <w:rPr>
          <w:rFonts w:ascii="Times New Roman" w:eastAsia="Times New Roman" w:hAnsi="Times New Roman" w:cs="Times New Roman"/>
          <w:sz w:val="20"/>
          <w:szCs w:val="20"/>
          <w:lang w:val="en-US" w:eastAsia="pt-BR"/>
        </w:rPr>
        <w:t xml:space="preserve"> H.</w:t>
      </w:r>
      <w:r w:rsidR="0093521A" w:rsidRPr="0093521A">
        <w:rPr>
          <w:rFonts w:ascii="Times New Roman" w:eastAsia="Times New Roman" w:hAnsi="Times New Roman" w:cs="Times New Roman"/>
          <w:sz w:val="20"/>
          <w:szCs w:val="20"/>
          <w:lang w:val="en-US" w:eastAsia="pt-BR"/>
        </w:rPr>
        <w:t xml:space="preserve"> Gandhi</w:t>
      </w:r>
      <w:r w:rsidR="00E54F90">
        <w:rPr>
          <w:rFonts w:ascii="Times New Roman" w:eastAsia="Times New Roman" w:hAnsi="Times New Roman" w:cs="Times New Roman"/>
          <w:sz w:val="20"/>
          <w:szCs w:val="20"/>
          <w:lang w:val="en-US" w:eastAsia="pt-BR"/>
        </w:rPr>
        <w:t>,</w:t>
      </w:r>
      <w:r>
        <w:rPr>
          <w:rFonts w:ascii="Times New Roman" w:eastAsia="Times New Roman" w:hAnsi="Times New Roman" w:cs="Times New Roman"/>
          <w:sz w:val="20"/>
          <w:szCs w:val="20"/>
          <w:lang w:val="en-US" w:eastAsia="pt-BR"/>
        </w:rPr>
        <w:t xml:space="preserve"> </w:t>
      </w:r>
      <w:r w:rsidR="0093521A" w:rsidRPr="0093521A">
        <w:rPr>
          <w:rFonts w:ascii="Times New Roman" w:eastAsia="Times New Roman" w:hAnsi="Times New Roman" w:cs="Times New Roman"/>
          <w:sz w:val="20"/>
          <w:szCs w:val="20"/>
          <w:lang w:val="en-US" w:eastAsia="pt-BR"/>
        </w:rPr>
        <w:t>Journal of Catalysis,</w:t>
      </w:r>
      <w:r w:rsidR="0035438D">
        <w:rPr>
          <w:rFonts w:ascii="Times New Roman" w:eastAsia="Times New Roman" w:hAnsi="Times New Roman" w:cs="Times New Roman"/>
          <w:sz w:val="20"/>
          <w:szCs w:val="20"/>
          <w:lang w:val="en-US" w:eastAsia="pt-BR"/>
        </w:rPr>
        <w:t xml:space="preserve"> 1973,</w:t>
      </w:r>
      <w:r w:rsidR="0093521A" w:rsidRPr="0093521A">
        <w:rPr>
          <w:rFonts w:ascii="Times New Roman" w:eastAsia="Times New Roman" w:hAnsi="Times New Roman" w:cs="Times New Roman"/>
          <w:sz w:val="20"/>
          <w:szCs w:val="20"/>
          <w:lang w:val="en-US" w:eastAsia="pt-BR"/>
        </w:rPr>
        <w:t xml:space="preserve"> 28, </w:t>
      </w:r>
      <w:r w:rsidR="0035438D">
        <w:rPr>
          <w:rFonts w:ascii="Times New Roman" w:eastAsia="Times New Roman" w:hAnsi="Times New Roman" w:cs="Times New Roman"/>
          <w:sz w:val="20"/>
          <w:szCs w:val="20"/>
          <w:lang w:val="en-US" w:eastAsia="pt-BR"/>
        </w:rPr>
        <w:t>1-7.</w:t>
      </w:r>
    </w:p>
    <w:p w14:paraId="700B6DC6" w14:textId="6113ECAF" w:rsidR="00A056CD" w:rsidRPr="007E3D7C" w:rsidRDefault="001213E8" w:rsidP="00A63853">
      <w:pPr>
        <w:pStyle w:val="TAMainText"/>
        <w:numPr>
          <w:ilvl w:val="0"/>
          <w:numId w:val="1"/>
        </w:numPr>
        <w:spacing w:line="240" w:lineRule="auto"/>
        <w:rPr>
          <w:rFonts w:ascii="Times New Roman" w:hAnsi="Times New Roman"/>
        </w:rPr>
      </w:pPr>
      <w:r>
        <w:rPr>
          <w:rFonts w:ascii="Times New Roman" w:hAnsi="Times New Roman"/>
        </w:rPr>
        <w:t xml:space="preserve">M. </w:t>
      </w:r>
      <w:proofErr w:type="spellStart"/>
      <w:proofErr w:type="gramStart"/>
      <w:r>
        <w:rPr>
          <w:rFonts w:ascii="Times New Roman" w:hAnsi="Times New Roman"/>
        </w:rPr>
        <w:t>Odaka</w:t>
      </w:r>
      <w:proofErr w:type="spellEnd"/>
      <w:r>
        <w:rPr>
          <w:rFonts w:ascii="Times New Roman" w:hAnsi="Times New Roman"/>
        </w:rPr>
        <w:t xml:space="preserve">, </w:t>
      </w:r>
      <w:r w:rsidR="0035438D">
        <w:rPr>
          <w:rFonts w:ascii="Times New Roman" w:hAnsi="Times New Roman"/>
        </w:rPr>
        <w:t xml:space="preserve"> </w:t>
      </w:r>
      <w:r w:rsidR="00A056CD" w:rsidRPr="007E3D7C">
        <w:rPr>
          <w:rFonts w:ascii="Times New Roman" w:hAnsi="Times New Roman"/>
        </w:rPr>
        <w:t>Chemosphere</w:t>
      </w:r>
      <w:proofErr w:type="gramEnd"/>
      <w:r w:rsidR="00A056CD" w:rsidRPr="007E3D7C">
        <w:rPr>
          <w:rFonts w:ascii="Times New Roman" w:hAnsi="Times New Roman"/>
        </w:rPr>
        <w:t xml:space="preserve"> Global Change Sci</w:t>
      </w:r>
      <w:r w:rsidR="00750BB9">
        <w:rPr>
          <w:rFonts w:ascii="Times New Roman" w:hAnsi="Times New Roman"/>
        </w:rPr>
        <w:t>ence,</w:t>
      </w:r>
      <w:r w:rsidR="0035438D">
        <w:rPr>
          <w:rFonts w:ascii="Times New Roman" w:hAnsi="Times New Roman"/>
        </w:rPr>
        <w:t xml:space="preserve"> 2000,</w:t>
      </w:r>
      <w:r w:rsidR="00A056CD" w:rsidRPr="007E3D7C">
        <w:rPr>
          <w:rFonts w:ascii="Times New Roman" w:hAnsi="Times New Roman"/>
        </w:rPr>
        <w:t xml:space="preserve"> 2</w:t>
      </w:r>
      <w:r w:rsidR="0035438D">
        <w:rPr>
          <w:rFonts w:ascii="Times New Roman" w:hAnsi="Times New Roman"/>
        </w:rPr>
        <w:t xml:space="preserve">, </w:t>
      </w:r>
      <w:r w:rsidR="00A056CD" w:rsidRPr="007E3D7C">
        <w:rPr>
          <w:rFonts w:ascii="Times New Roman" w:hAnsi="Times New Roman"/>
        </w:rPr>
        <w:t>413–423</w:t>
      </w:r>
      <w:r w:rsidR="0035438D">
        <w:rPr>
          <w:rFonts w:ascii="Times New Roman" w:hAnsi="Times New Roman"/>
        </w:rPr>
        <w:t xml:space="preserve">. </w:t>
      </w:r>
    </w:p>
    <w:p w14:paraId="071E0C40" w14:textId="273B76DA" w:rsidR="00903005" w:rsidRPr="00FF7530" w:rsidRDefault="0035438D" w:rsidP="00A63853">
      <w:pPr>
        <w:pStyle w:val="PargrafodaLista"/>
        <w:numPr>
          <w:ilvl w:val="0"/>
          <w:numId w:val="1"/>
        </w:numPr>
        <w:spacing w:line="240" w:lineRule="auto"/>
        <w:jc w:val="both"/>
        <w:rPr>
          <w:rFonts w:ascii="Times New Roman" w:eastAsia="Times New Roman" w:hAnsi="Times New Roman" w:cs="Times New Roman"/>
          <w:sz w:val="20"/>
          <w:szCs w:val="20"/>
          <w:lang w:eastAsia="pt-BR"/>
        </w:rPr>
      </w:pPr>
      <w:r w:rsidRPr="00FF7530">
        <w:rPr>
          <w:rFonts w:ascii="Times New Roman" w:eastAsia="Times New Roman" w:hAnsi="Times New Roman" w:cs="Times New Roman"/>
          <w:sz w:val="20"/>
          <w:szCs w:val="20"/>
          <w:lang w:eastAsia="pt-BR"/>
        </w:rPr>
        <w:t>A.E. Palomares</w:t>
      </w:r>
      <w:r w:rsidR="00903005" w:rsidRPr="00FF7530">
        <w:rPr>
          <w:rFonts w:ascii="Times New Roman" w:eastAsia="Times New Roman" w:hAnsi="Times New Roman" w:cs="Times New Roman"/>
          <w:sz w:val="20"/>
          <w:szCs w:val="20"/>
          <w:lang w:eastAsia="pt-BR"/>
        </w:rPr>
        <w:t xml:space="preserve">; </w:t>
      </w:r>
      <w:r w:rsidRPr="00FF7530">
        <w:rPr>
          <w:rFonts w:ascii="Times New Roman" w:eastAsia="Times New Roman" w:hAnsi="Times New Roman" w:cs="Times New Roman"/>
          <w:sz w:val="20"/>
          <w:szCs w:val="20"/>
          <w:lang w:eastAsia="pt-BR"/>
        </w:rPr>
        <w:t xml:space="preserve">A. </w:t>
      </w:r>
      <w:proofErr w:type="spellStart"/>
      <w:r w:rsidRPr="00FF7530">
        <w:rPr>
          <w:rFonts w:ascii="Times New Roman" w:eastAsia="Times New Roman" w:hAnsi="Times New Roman" w:cs="Times New Roman"/>
          <w:sz w:val="20"/>
          <w:szCs w:val="20"/>
          <w:lang w:eastAsia="pt-BR"/>
        </w:rPr>
        <w:t>Uzcategui</w:t>
      </w:r>
      <w:proofErr w:type="spellEnd"/>
      <w:r w:rsidR="00903005" w:rsidRPr="00FF7530">
        <w:rPr>
          <w:rFonts w:ascii="Times New Roman" w:eastAsia="Times New Roman" w:hAnsi="Times New Roman" w:cs="Times New Roman"/>
          <w:sz w:val="20"/>
          <w:szCs w:val="20"/>
          <w:lang w:eastAsia="pt-BR"/>
        </w:rPr>
        <w:t xml:space="preserve">; </w:t>
      </w:r>
      <w:r w:rsidR="00E54F90" w:rsidRPr="00FF7530">
        <w:rPr>
          <w:rFonts w:ascii="Times New Roman" w:eastAsia="Times New Roman" w:hAnsi="Times New Roman" w:cs="Times New Roman"/>
          <w:sz w:val="20"/>
          <w:szCs w:val="20"/>
          <w:lang w:eastAsia="pt-BR"/>
        </w:rPr>
        <w:t xml:space="preserve">A. </w:t>
      </w:r>
      <w:proofErr w:type="spellStart"/>
      <w:r w:rsidR="00E54F90" w:rsidRPr="00FF7530">
        <w:rPr>
          <w:rFonts w:ascii="Times New Roman" w:eastAsia="Times New Roman" w:hAnsi="Times New Roman" w:cs="Times New Roman"/>
          <w:sz w:val="20"/>
          <w:szCs w:val="20"/>
          <w:lang w:eastAsia="pt-BR"/>
        </w:rPr>
        <w:t>Corma</w:t>
      </w:r>
      <w:proofErr w:type="spellEnd"/>
      <w:r w:rsidR="00E54F90" w:rsidRPr="00FF7530">
        <w:rPr>
          <w:rFonts w:ascii="Times New Roman" w:eastAsia="Times New Roman" w:hAnsi="Times New Roman" w:cs="Times New Roman"/>
          <w:sz w:val="20"/>
          <w:szCs w:val="20"/>
          <w:lang w:eastAsia="pt-BR"/>
        </w:rPr>
        <w:t>,</w:t>
      </w:r>
      <w:r w:rsidR="007C3884" w:rsidRPr="00FF7530">
        <w:rPr>
          <w:rFonts w:ascii="Times New Roman" w:eastAsia="Times New Roman" w:hAnsi="Times New Roman" w:cs="Times New Roman"/>
          <w:sz w:val="20"/>
          <w:szCs w:val="20"/>
          <w:lang w:eastAsia="pt-BR"/>
        </w:rPr>
        <w:t xml:space="preserve"> </w:t>
      </w:r>
      <w:proofErr w:type="spellStart"/>
      <w:r w:rsidR="007C3884" w:rsidRPr="00FF7530">
        <w:rPr>
          <w:rFonts w:ascii="Times New Roman" w:eastAsia="Times New Roman" w:hAnsi="Times New Roman" w:cs="Times New Roman"/>
          <w:sz w:val="20"/>
          <w:szCs w:val="20"/>
          <w:lang w:eastAsia="pt-BR"/>
        </w:rPr>
        <w:t>Catalysis</w:t>
      </w:r>
      <w:proofErr w:type="spellEnd"/>
      <w:r w:rsidR="007C3884" w:rsidRPr="00FF7530">
        <w:rPr>
          <w:rFonts w:ascii="Times New Roman" w:eastAsia="Times New Roman" w:hAnsi="Times New Roman" w:cs="Times New Roman"/>
          <w:sz w:val="20"/>
          <w:szCs w:val="20"/>
          <w:lang w:eastAsia="pt-BR"/>
        </w:rPr>
        <w:t xml:space="preserve"> Today, 2008 137, 261–266. </w:t>
      </w:r>
    </w:p>
    <w:p w14:paraId="457B7BB1" w14:textId="2C234885" w:rsidR="002F674D" w:rsidRPr="002F674D" w:rsidRDefault="00C724B1" w:rsidP="00A63853">
      <w:pPr>
        <w:pStyle w:val="PargrafodaLista"/>
        <w:numPr>
          <w:ilvl w:val="0"/>
          <w:numId w:val="1"/>
        </w:numPr>
        <w:spacing w:line="240" w:lineRule="auto"/>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 xml:space="preserve">Y. </w:t>
      </w:r>
      <w:r w:rsidR="007C3884">
        <w:rPr>
          <w:rFonts w:ascii="Times New Roman" w:eastAsia="Times New Roman" w:hAnsi="Times New Roman" w:cs="Times New Roman"/>
          <w:sz w:val="20"/>
          <w:szCs w:val="20"/>
          <w:lang w:val="en-US" w:eastAsia="pt-BR"/>
        </w:rPr>
        <w:t>Lwin</w:t>
      </w:r>
      <w:r w:rsidR="002F674D" w:rsidRPr="002F674D">
        <w:rPr>
          <w:rFonts w:ascii="Times New Roman" w:eastAsia="Times New Roman" w:hAnsi="Times New Roman" w:cs="Times New Roman"/>
          <w:sz w:val="20"/>
          <w:szCs w:val="20"/>
          <w:lang w:val="en-US" w:eastAsia="pt-BR"/>
        </w:rPr>
        <w:t>;</w:t>
      </w:r>
      <w:r>
        <w:rPr>
          <w:rFonts w:ascii="Times New Roman" w:eastAsia="Times New Roman" w:hAnsi="Times New Roman" w:cs="Times New Roman"/>
          <w:sz w:val="20"/>
          <w:szCs w:val="20"/>
          <w:lang w:val="en-US" w:eastAsia="pt-BR"/>
        </w:rPr>
        <w:t xml:space="preserve"> </w:t>
      </w:r>
      <w:r w:rsidR="007C3884">
        <w:rPr>
          <w:rFonts w:ascii="Times New Roman" w:eastAsia="Times New Roman" w:hAnsi="Times New Roman" w:cs="Times New Roman"/>
          <w:sz w:val="20"/>
          <w:szCs w:val="20"/>
          <w:lang w:val="en-US" w:eastAsia="pt-BR"/>
        </w:rPr>
        <w:t xml:space="preserve">A. B.  Mohamad; Z. </w:t>
      </w:r>
      <w:proofErr w:type="spellStart"/>
      <w:r w:rsidR="007C3884">
        <w:rPr>
          <w:rFonts w:ascii="Times New Roman" w:eastAsia="Times New Roman" w:hAnsi="Times New Roman" w:cs="Times New Roman"/>
          <w:sz w:val="20"/>
          <w:szCs w:val="20"/>
          <w:lang w:val="en-US" w:eastAsia="pt-BR"/>
        </w:rPr>
        <w:t>Yaakob</w:t>
      </w:r>
      <w:proofErr w:type="spellEnd"/>
      <w:r w:rsidR="002F674D" w:rsidRPr="002F674D">
        <w:rPr>
          <w:rFonts w:ascii="Times New Roman" w:eastAsia="Times New Roman" w:hAnsi="Times New Roman" w:cs="Times New Roman"/>
          <w:sz w:val="20"/>
          <w:szCs w:val="20"/>
          <w:lang w:val="en-US" w:eastAsia="pt-BR"/>
        </w:rPr>
        <w:t xml:space="preserve">; </w:t>
      </w:r>
      <w:r w:rsidR="007C3884">
        <w:rPr>
          <w:rFonts w:ascii="Times New Roman" w:eastAsia="Times New Roman" w:hAnsi="Times New Roman" w:cs="Times New Roman"/>
          <w:sz w:val="20"/>
          <w:szCs w:val="20"/>
          <w:lang w:val="en-US" w:eastAsia="pt-BR"/>
        </w:rPr>
        <w:t>W. R. W. Daud</w:t>
      </w:r>
      <w:r w:rsidR="00E54F90">
        <w:rPr>
          <w:rFonts w:ascii="Times New Roman" w:eastAsia="Times New Roman" w:hAnsi="Times New Roman" w:cs="Times New Roman"/>
          <w:sz w:val="20"/>
          <w:szCs w:val="20"/>
          <w:lang w:val="en-US" w:eastAsia="pt-BR"/>
        </w:rPr>
        <w:t>,</w:t>
      </w:r>
      <w:r w:rsidR="007C3884">
        <w:rPr>
          <w:rFonts w:ascii="Times New Roman" w:eastAsia="Times New Roman" w:hAnsi="Times New Roman" w:cs="Times New Roman"/>
          <w:sz w:val="20"/>
          <w:szCs w:val="20"/>
          <w:lang w:val="en-US" w:eastAsia="pt-BR"/>
        </w:rPr>
        <w:t xml:space="preserve"> </w:t>
      </w:r>
      <w:r w:rsidR="002F674D" w:rsidRPr="002F674D">
        <w:rPr>
          <w:rFonts w:ascii="Times New Roman" w:eastAsia="Times New Roman" w:hAnsi="Times New Roman" w:cs="Times New Roman"/>
          <w:sz w:val="20"/>
          <w:szCs w:val="20"/>
          <w:lang w:val="en-US" w:eastAsia="pt-BR"/>
        </w:rPr>
        <w:t xml:space="preserve">Reaction Kinetics and Catalysis Letters, </w:t>
      </w:r>
      <w:r>
        <w:rPr>
          <w:rFonts w:ascii="Times New Roman" w:eastAsia="Times New Roman" w:hAnsi="Times New Roman" w:cs="Times New Roman"/>
          <w:sz w:val="20"/>
          <w:szCs w:val="20"/>
          <w:lang w:val="en-US" w:eastAsia="pt-BR"/>
        </w:rPr>
        <w:t xml:space="preserve">2000, 70, 303–310. </w:t>
      </w:r>
    </w:p>
    <w:p w14:paraId="4FE1E0BA" w14:textId="29617350" w:rsidR="00903005" w:rsidRDefault="00C724B1" w:rsidP="00A63853">
      <w:pPr>
        <w:pStyle w:val="TAMainText"/>
        <w:numPr>
          <w:ilvl w:val="0"/>
          <w:numId w:val="1"/>
        </w:numPr>
        <w:spacing w:line="240" w:lineRule="auto"/>
        <w:rPr>
          <w:rFonts w:ascii="Times New Roman" w:hAnsi="Times New Roman"/>
        </w:rPr>
      </w:pPr>
      <w:r>
        <w:rPr>
          <w:rFonts w:ascii="Times New Roman" w:hAnsi="Times New Roman"/>
        </w:rPr>
        <w:t xml:space="preserve">F. </w:t>
      </w:r>
      <w:r w:rsidR="00903005" w:rsidRPr="00903005">
        <w:rPr>
          <w:rFonts w:ascii="Times New Roman" w:hAnsi="Times New Roman"/>
        </w:rPr>
        <w:t>P</w:t>
      </w:r>
      <w:r w:rsidR="00A63853" w:rsidRPr="00903005">
        <w:rPr>
          <w:rFonts w:ascii="Times New Roman" w:hAnsi="Times New Roman"/>
        </w:rPr>
        <w:t>ascale</w:t>
      </w:r>
      <w:r w:rsidR="00EA6087">
        <w:rPr>
          <w:rFonts w:ascii="Times New Roman" w:hAnsi="Times New Roman"/>
        </w:rPr>
        <w:t>,</w:t>
      </w:r>
      <w:r>
        <w:rPr>
          <w:rFonts w:ascii="Times New Roman" w:hAnsi="Times New Roman"/>
        </w:rPr>
        <w:t xml:space="preserve"> Chemical Physics Letters, 2004, 396, 308–315. </w:t>
      </w:r>
    </w:p>
    <w:p w14:paraId="5D1923EC" w14:textId="1990971B" w:rsidR="00903005" w:rsidRPr="00903005" w:rsidRDefault="00C724B1" w:rsidP="00A63853">
      <w:pPr>
        <w:pStyle w:val="PargrafodaLista"/>
        <w:numPr>
          <w:ilvl w:val="0"/>
          <w:numId w:val="1"/>
        </w:numPr>
        <w:spacing w:line="240" w:lineRule="auto"/>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 xml:space="preserve">C. </w:t>
      </w:r>
      <w:r w:rsidR="001213E8">
        <w:rPr>
          <w:rFonts w:ascii="Times New Roman" w:eastAsia="Times New Roman" w:hAnsi="Times New Roman" w:cs="Times New Roman"/>
          <w:sz w:val="20"/>
          <w:szCs w:val="20"/>
          <w:lang w:val="en-US" w:eastAsia="pt-BR"/>
        </w:rPr>
        <w:t xml:space="preserve">Ge, </w:t>
      </w:r>
      <w:r w:rsidR="00903005" w:rsidRPr="00903005">
        <w:rPr>
          <w:rFonts w:ascii="Times New Roman" w:eastAsia="Times New Roman" w:hAnsi="Times New Roman" w:cs="Times New Roman"/>
          <w:sz w:val="20"/>
          <w:szCs w:val="20"/>
          <w:lang w:val="en-US" w:eastAsia="pt-BR"/>
        </w:rPr>
        <w:t>Cat</w:t>
      </w:r>
      <w:r w:rsidR="001213E8">
        <w:rPr>
          <w:rFonts w:ascii="Times New Roman" w:eastAsia="Times New Roman" w:hAnsi="Times New Roman" w:cs="Times New Roman"/>
          <w:sz w:val="20"/>
          <w:szCs w:val="20"/>
          <w:lang w:val="en-US" w:eastAsia="pt-BR"/>
        </w:rPr>
        <w:t xml:space="preserve">alysis Science &amp; Technology, 3, </w:t>
      </w:r>
      <w:r w:rsidR="00903005" w:rsidRPr="00903005">
        <w:rPr>
          <w:rFonts w:ascii="Times New Roman" w:eastAsia="Times New Roman" w:hAnsi="Times New Roman" w:cs="Times New Roman"/>
          <w:sz w:val="20"/>
          <w:szCs w:val="20"/>
          <w:lang w:val="en-US" w:eastAsia="pt-BR"/>
        </w:rPr>
        <w:t>1547, 2013.</w:t>
      </w:r>
    </w:p>
    <w:p w14:paraId="38870C97" w14:textId="3B00819F" w:rsidR="00903005" w:rsidRPr="00903005" w:rsidRDefault="001213E8" w:rsidP="00A63853">
      <w:pPr>
        <w:pStyle w:val="PargrafodaLista"/>
        <w:numPr>
          <w:ilvl w:val="0"/>
          <w:numId w:val="1"/>
        </w:numPr>
        <w:spacing w:line="24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J. L. Figueiredo</w:t>
      </w:r>
      <w:r w:rsidR="00903005" w:rsidRPr="00903005">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sz w:val="20"/>
          <w:szCs w:val="20"/>
          <w:lang w:eastAsia="pt-BR"/>
        </w:rPr>
        <w:t xml:space="preserve">F. R. </w:t>
      </w:r>
      <w:proofErr w:type="gramStart"/>
      <w:r w:rsidR="00903005" w:rsidRPr="00903005">
        <w:rPr>
          <w:rFonts w:ascii="Times New Roman" w:eastAsia="Times New Roman" w:hAnsi="Times New Roman" w:cs="Times New Roman"/>
          <w:sz w:val="20"/>
          <w:szCs w:val="20"/>
          <w:lang w:eastAsia="pt-BR"/>
        </w:rPr>
        <w:t xml:space="preserve">Ribeiro, </w:t>
      </w:r>
      <w:r w:rsidR="00EA056F">
        <w:rPr>
          <w:rFonts w:ascii="Times New Roman" w:eastAsia="Times New Roman" w:hAnsi="Times New Roman" w:cs="Times New Roman"/>
          <w:sz w:val="20"/>
          <w:szCs w:val="20"/>
          <w:lang w:eastAsia="pt-BR"/>
        </w:rPr>
        <w:t xml:space="preserve"> </w:t>
      </w:r>
      <w:r w:rsidR="00EA056F" w:rsidRPr="00EA056F">
        <w:rPr>
          <w:rFonts w:ascii="Times New Roman" w:eastAsia="Times New Roman" w:hAnsi="Times New Roman" w:cs="Times New Roman"/>
          <w:i/>
          <w:sz w:val="20"/>
          <w:szCs w:val="20"/>
          <w:lang w:eastAsia="pt-BR"/>
        </w:rPr>
        <w:t>Catálise</w:t>
      </w:r>
      <w:proofErr w:type="gramEnd"/>
      <w:r w:rsidR="00EA056F" w:rsidRPr="00EA056F">
        <w:rPr>
          <w:rFonts w:ascii="Times New Roman" w:eastAsia="Times New Roman" w:hAnsi="Times New Roman" w:cs="Times New Roman"/>
          <w:i/>
          <w:sz w:val="20"/>
          <w:szCs w:val="20"/>
          <w:lang w:eastAsia="pt-BR"/>
        </w:rPr>
        <w:t xml:space="preserve"> heterogênea</w:t>
      </w:r>
      <w:r w:rsidR="00EA056F">
        <w:rPr>
          <w:rFonts w:ascii="Times New Roman" w:eastAsia="Times New Roman" w:hAnsi="Times New Roman" w:cs="Times New Roman"/>
          <w:sz w:val="20"/>
          <w:szCs w:val="20"/>
          <w:lang w:eastAsia="pt-BR"/>
        </w:rPr>
        <w:t xml:space="preserve">, </w:t>
      </w:r>
      <w:r w:rsidR="00903005" w:rsidRPr="00903005">
        <w:rPr>
          <w:rFonts w:ascii="Times New Roman" w:eastAsia="Times New Roman" w:hAnsi="Times New Roman" w:cs="Times New Roman"/>
          <w:sz w:val="20"/>
          <w:szCs w:val="20"/>
          <w:lang w:eastAsia="pt-BR"/>
        </w:rPr>
        <w:t xml:space="preserve">Fundação Calouste Gulbenkian, </w:t>
      </w:r>
      <w:r w:rsidR="00EA056F">
        <w:rPr>
          <w:rFonts w:ascii="Times New Roman" w:eastAsia="Times New Roman" w:hAnsi="Times New Roman" w:cs="Times New Roman"/>
          <w:sz w:val="20"/>
          <w:szCs w:val="20"/>
          <w:lang w:eastAsia="pt-BR"/>
        </w:rPr>
        <w:t xml:space="preserve">Lisboa, </w:t>
      </w:r>
      <w:r w:rsidR="00903005" w:rsidRPr="00903005">
        <w:rPr>
          <w:rFonts w:ascii="Times New Roman" w:eastAsia="Times New Roman" w:hAnsi="Times New Roman" w:cs="Times New Roman"/>
          <w:sz w:val="20"/>
          <w:szCs w:val="20"/>
          <w:lang w:eastAsia="pt-BR"/>
        </w:rPr>
        <w:t>1987.</w:t>
      </w:r>
    </w:p>
    <w:p w14:paraId="641A59EE" w14:textId="55ECC525" w:rsidR="002F674D" w:rsidRPr="002F674D" w:rsidRDefault="00EA056F" w:rsidP="00A63853">
      <w:pPr>
        <w:pStyle w:val="PargrafodaLista"/>
        <w:numPr>
          <w:ilvl w:val="0"/>
          <w:numId w:val="1"/>
        </w:numPr>
        <w:spacing w:line="240" w:lineRule="auto"/>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 xml:space="preserve">M. Haneda, </w:t>
      </w:r>
      <w:r w:rsidR="002F674D" w:rsidRPr="002F674D">
        <w:rPr>
          <w:rFonts w:ascii="Times New Roman" w:eastAsia="Times New Roman" w:hAnsi="Times New Roman" w:cs="Times New Roman"/>
          <w:sz w:val="20"/>
          <w:szCs w:val="20"/>
          <w:lang w:val="en-US" w:eastAsia="pt-BR"/>
        </w:rPr>
        <w:t>Applied</w:t>
      </w:r>
      <w:r>
        <w:rPr>
          <w:rFonts w:ascii="Times New Roman" w:eastAsia="Times New Roman" w:hAnsi="Times New Roman" w:cs="Times New Roman"/>
          <w:sz w:val="20"/>
          <w:szCs w:val="20"/>
          <w:lang w:val="en-US" w:eastAsia="pt-BR"/>
        </w:rPr>
        <w:t xml:space="preserve"> Catalysis B: Environmental,</w:t>
      </w:r>
      <w:r w:rsidR="00CB358C">
        <w:rPr>
          <w:rFonts w:ascii="Times New Roman" w:eastAsia="Times New Roman" w:hAnsi="Times New Roman" w:cs="Times New Roman"/>
          <w:sz w:val="20"/>
          <w:szCs w:val="20"/>
          <w:lang w:val="en-US" w:eastAsia="pt-BR"/>
        </w:rPr>
        <w:t xml:space="preserve"> 2003,</w:t>
      </w:r>
      <w:r>
        <w:rPr>
          <w:rFonts w:ascii="Times New Roman" w:eastAsia="Times New Roman" w:hAnsi="Times New Roman" w:cs="Times New Roman"/>
          <w:sz w:val="20"/>
          <w:szCs w:val="20"/>
          <w:lang w:val="en-US" w:eastAsia="pt-BR"/>
        </w:rPr>
        <w:t xml:space="preserve"> </w:t>
      </w:r>
      <w:proofErr w:type="gramStart"/>
      <w:r>
        <w:rPr>
          <w:rFonts w:ascii="Times New Roman" w:eastAsia="Times New Roman" w:hAnsi="Times New Roman" w:cs="Times New Roman"/>
          <w:sz w:val="20"/>
          <w:szCs w:val="20"/>
          <w:lang w:val="en-US" w:eastAsia="pt-BR"/>
        </w:rPr>
        <w:t xml:space="preserve">46, </w:t>
      </w:r>
      <w:r w:rsidR="00CB358C">
        <w:rPr>
          <w:rFonts w:ascii="Times New Roman" w:eastAsia="Times New Roman" w:hAnsi="Times New Roman" w:cs="Times New Roman"/>
          <w:sz w:val="20"/>
          <w:szCs w:val="20"/>
          <w:lang w:val="en-US" w:eastAsia="pt-BR"/>
        </w:rPr>
        <w:t xml:space="preserve"> 473</w:t>
      </w:r>
      <w:proofErr w:type="gramEnd"/>
      <w:r w:rsidR="00CB358C">
        <w:rPr>
          <w:rFonts w:ascii="Times New Roman" w:eastAsia="Times New Roman" w:hAnsi="Times New Roman" w:cs="Times New Roman"/>
          <w:sz w:val="20"/>
          <w:szCs w:val="20"/>
          <w:lang w:val="en-US" w:eastAsia="pt-BR"/>
        </w:rPr>
        <w:t xml:space="preserve">–482. </w:t>
      </w:r>
    </w:p>
    <w:p w14:paraId="5BCD8318" w14:textId="315CB2A8" w:rsidR="002F674D" w:rsidRDefault="00CB358C" w:rsidP="00A63853">
      <w:pPr>
        <w:pStyle w:val="TAMainText"/>
        <w:numPr>
          <w:ilvl w:val="0"/>
          <w:numId w:val="1"/>
        </w:numPr>
        <w:spacing w:line="240" w:lineRule="auto"/>
        <w:rPr>
          <w:rFonts w:ascii="Times New Roman" w:hAnsi="Times New Roman"/>
        </w:rPr>
      </w:pPr>
      <w:r>
        <w:rPr>
          <w:rFonts w:ascii="Times New Roman" w:hAnsi="Times New Roman"/>
        </w:rPr>
        <w:t>K. Asano;</w:t>
      </w:r>
      <w:r w:rsidR="002F674D" w:rsidRPr="002F674D">
        <w:rPr>
          <w:rFonts w:ascii="Times New Roman" w:hAnsi="Times New Roman"/>
        </w:rPr>
        <w:t xml:space="preserve"> </w:t>
      </w:r>
      <w:r>
        <w:rPr>
          <w:rFonts w:ascii="Times New Roman" w:hAnsi="Times New Roman"/>
        </w:rPr>
        <w:t xml:space="preserve">C. </w:t>
      </w:r>
      <w:r w:rsidR="002F674D" w:rsidRPr="002F674D">
        <w:rPr>
          <w:rFonts w:ascii="Times New Roman" w:hAnsi="Times New Roman"/>
        </w:rPr>
        <w:t>Ohnishi</w:t>
      </w:r>
      <w:r>
        <w:rPr>
          <w:rFonts w:ascii="Times New Roman" w:hAnsi="Times New Roman"/>
        </w:rPr>
        <w:t>; S.</w:t>
      </w:r>
      <w:r w:rsidR="002F674D" w:rsidRPr="002F674D">
        <w:rPr>
          <w:rFonts w:ascii="Times New Roman" w:hAnsi="Times New Roman"/>
        </w:rPr>
        <w:t xml:space="preserve"> Iwamoto</w:t>
      </w:r>
      <w:r>
        <w:rPr>
          <w:rFonts w:ascii="Times New Roman" w:hAnsi="Times New Roman"/>
        </w:rPr>
        <w:t>; Y.</w:t>
      </w:r>
      <w:r w:rsidR="002F674D" w:rsidRPr="002F674D">
        <w:rPr>
          <w:rFonts w:ascii="Times New Roman" w:hAnsi="Times New Roman"/>
        </w:rPr>
        <w:t xml:space="preserve"> </w:t>
      </w:r>
      <w:proofErr w:type="spellStart"/>
      <w:r w:rsidR="002F674D" w:rsidRPr="002F674D">
        <w:rPr>
          <w:rFonts w:ascii="Times New Roman" w:hAnsi="Times New Roman"/>
        </w:rPr>
        <w:t>Shioya</w:t>
      </w:r>
      <w:proofErr w:type="spellEnd"/>
      <w:r>
        <w:rPr>
          <w:rFonts w:ascii="Times New Roman" w:hAnsi="Times New Roman"/>
        </w:rPr>
        <w:t xml:space="preserve">; M. Inoue, </w:t>
      </w:r>
      <w:r w:rsidR="002F674D" w:rsidRPr="002F674D">
        <w:rPr>
          <w:rFonts w:ascii="Times New Roman" w:hAnsi="Times New Roman"/>
        </w:rPr>
        <w:t>Applied</w:t>
      </w:r>
      <w:r>
        <w:rPr>
          <w:rFonts w:ascii="Times New Roman" w:hAnsi="Times New Roman"/>
        </w:rPr>
        <w:t xml:space="preserve"> Catalysis B: Environmental, 2008, 78, 242–249. </w:t>
      </w:r>
    </w:p>
    <w:p w14:paraId="2CED1CDF" w14:textId="4AE13156" w:rsidR="002F674D" w:rsidRPr="002F674D" w:rsidRDefault="00CB358C" w:rsidP="002F674D">
      <w:pPr>
        <w:pStyle w:val="PargrafodaLista"/>
        <w:numPr>
          <w:ilvl w:val="0"/>
          <w:numId w:val="1"/>
        </w:numPr>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N. Macleod</w:t>
      </w:r>
      <w:r w:rsidR="002F674D" w:rsidRPr="002F674D">
        <w:rPr>
          <w:rFonts w:ascii="Times New Roman" w:eastAsia="Times New Roman" w:hAnsi="Times New Roman" w:cs="Times New Roman"/>
          <w:sz w:val="20"/>
          <w:szCs w:val="20"/>
          <w:lang w:val="en-US" w:eastAsia="pt-BR"/>
        </w:rPr>
        <w:t xml:space="preserve">; </w:t>
      </w:r>
      <w:r>
        <w:rPr>
          <w:rFonts w:ascii="Times New Roman" w:eastAsia="Times New Roman" w:hAnsi="Times New Roman" w:cs="Times New Roman"/>
          <w:sz w:val="20"/>
          <w:szCs w:val="20"/>
          <w:lang w:val="en-US" w:eastAsia="pt-BR"/>
        </w:rPr>
        <w:t xml:space="preserve">J. </w:t>
      </w:r>
      <w:r w:rsidR="002F674D" w:rsidRPr="002F674D">
        <w:rPr>
          <w:rFonts w:ascii="Times New Roman" w:eastAsia="Times New Roman" w:hAnsi="Times New Roman" w:cs="Times New Roman"/>
          <w:sz w:val="20"/>
          <w:szCs w:val="20"/>
          <w:lang w:val="en-US" w:eastAsia="pt-BR"/>
        </w:rPr>
        <w:t xml:space="preserve">Isaac; </w:t>
      </w:r>
      <w:r w:rsidR="00873A9F">
        <w:rPr>
          <w:rFonts w:ascii="Times New Roman" w:eastAsia="Times New Roman" w:hAnsi="Times New Roman" w:cs="Times New Roman"/>
          <w:sz w:val="20"/>
          <w:szCs w:val="20"/>
          <w:lang w:val="en-US" w:eastAsia="pt-BR"/>
        </w:rPr>
        <w:t xml:space="preserve">R. M. Lambert, </w:t>
      </w:r>
      <w:r w:rsidR="002F674D" w:rsidRPr="002F674D">
        <w:rPr>
          <w:rFonts w:ascii="Times New Roman" w:eastAsia="Times New Roman" w:hAnsi="Times New Roman" w:cs="Times New Roman"/>
          <w:sz w:val="20"/>
          <w:szCs w:val="20"/>
          <w:lang w:val="en-US" w:eastAsia="pt-BR"/>
        </w:rPr>
        <w:t>Journal of Catalysis,</w:t>
      </w:r>
      <w:r w:rsidR="00873A9F">
        <w:rPr>
          <w:rFonts w:ascii="Times New Roman" w:eastAsia="Times New Roman" w:hAnsi="Times New Roman" w:cs="Times New Roman"/>
          <w:sz w:val="20"/>
          <w:szCs w:val="20"/>
          <w:lang w:val="en-US" w:eastAsia="pt-BR"/>
        </w:rPr>
        <w:t xml:space="preserve"> 2000, 193, 115–122. </w:t>
      </w:r>
    </w:p>
    <w:p w14:paraId="399A562B" w14:textId="4DC55835" w:rsidR="002F674D" w:rsidRPr="002F674D" w:rsidRDefault="00873A9F" w:rsidP="002F674D">
      <w:pPr>
        <w:pStyle w:val="PargrafodaLista"/>
        <w:numPr>
          <w:ilvl w:val="0"/>
          <w:numId w:val="1"/>
        </w:numPr>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 xml:space="preserve">A. </w:t>
      </w:r>
      <w:proofErr w:type="gramStart"/>
      <w:r w:rsidR="002F674D" w:rsidRPr="002F674D">
        <w:rPr>
          <w:rFonts w:ascii="Times New Roman" w:eastAsia="Times New Roman" w:hAnsi="Times New Roman" w:cs="Times New Roman"/>
          <w:sz w:val="20"/>
          <w:szCs w:val="20"/>
          <w:lang w:val="en-US" w:eastAsia="pt-BR"/>
        </w:rPr>
        <w:t>Palermo</w:t>
      </w:r>
      <w:r>
        <w:rPr>
          <w:rFonts w:ascii="Times New Roman" w:eastAsia="Times New Roman" w:hAnsi="Times New Roman" w:cs="Times New Roman"/>
          <w:sz w:val="20"/>
          <w:szCs w:val="20"/>
          <w:lang w:val="en-US" w:eastAsia="pt-BR"/>
        </w:rPr>
        <w:t xml:space="preserve">, </w:t>
      </w:r>
      <w:r w:rsidR="002F674D" w:rsidRPr="002F674D">
        <w:rPr>
          <w:rFonts w:ascii="Times New Roman" w:eastAsia="Times New Roman" w:hAnsi="Times New Roman" w:cs="Times New Roman"/>
          <w:sz w:val="20"/>
          <w:szCs w:val="20"/>
          <w:lang w:val="en-US" w:eastAsia="pt-BR"/>
        </w:rPr>
        <w:t xml:space="preserve"> Studies</w:t>
      </w:r>
      <w:proofErr w:type="gramEnd"/>
      <w:r w:rsidR="002F674D" w:rsidRPr="002F674D">
        <w:rPr>
          <w:rFonts w:ascii="Times New Roman" w:eastAsia="Times New Roman" w:hAnsi="Times New Roman" w:cs="Times New Roman"/>
          <w:sz w:val="20"/>
          <w:szCs w:val="20"/>
          <w:lang w:val="en-US" w:eastAsia="pt-BR"/>
        </w:rPr>
        <w:t xml:space="preserve"> in Su</w:t>
      </w:r>
      <w:r w:rsidR="00B634BF">
        <w:rPr>
          <w:rFonts w:ascii="Times New Roman" w:eastAsia="Times New Roman" w:hAnsi="Times New Roman" w:cs="Times New Roman"/>
          <w:sz w:val="20"/>
          <w:szCs w:val="20"/>
          <w:lang w:val="en-US" w:eastAsia="pt-BR"/>
        </w:rPr>
        <w:t xml:space="preserve">rface Science and Catalysis, 1996, 101, 513–522. </w:t>
      </w:r>
    </w:p>
    <w:p w14:paraId="20869704" w14:textId="087146F0" w:rsidR="00A056CD" w:rsidRPr="007E3D7C" w:rsidRDefault="00B634BF" w:rsidP="00A63853">
      <w:pPr>
        <w:pStyle w:val="TAMainText"/>
        <w:numPr>
          <w:ilvl w:val="0"/>
          <w:numId w:val="1"/>
        </w:numPr>
        <w:spacing w:line="240" w:lineRule="auto"/>
        <w:rPr>
          <w:rFonts w:ascii="Times New Roman" w:hAnsi="Times New Roman"/>
        </w:rPr>
      </w:pPr>
      <w:r w:rsidRPr="00FF7530">
        <w:rPr>
          <w:rFonts w:ascii="Times New Roman" w:hAnsi="Times New Roman"/>
          <w:lang w:val="pt-BR"/>
        </w:rPr>
        <w:t xml:space="preserve">D. </w:t>
      </w:r>
      <w:r w:rsidR="00A056CD" w:rsidRPr="00FF7530">
        <w:rPr>
          <w:rFonts w:ascii="Times New Roman" w:hAnsi="Times New Roman"/>
          <w:lang w:val="pt-BR"/>
        </w:rPr>
        <w:t>L</w:t>
      </w:r>
      <w:r w:rsidR="007E3D7C" w:rsidRPr="00FF7530">
        <w:rPr>
          <w:rFonts w:ascii="Times New Roman" w:hAnsi="Times New Roman"/>
          <w:lang w:val="pt-BR"/>
        </w:rPr>
        <w:t>opes</w:t>
      </w:r>
      <w:r w:rsidR="00A056CD" w:rsidRPr="00FF7530">
        <w:rPr>
          <w:rFonts w:ascii="Times New Roman" w:hAnsi="Times New Roman"/>
          <w:lang w:val="pt-BR"/>
        </w:rPr>
        <w:t xml:space="preserve">; </w:t>
      </w:r>
      <w:r w:rsidRPr="00FF7530">
        <w:rPr>
          <w:rFonts w:ascii="Times New Roman" w:hAnsi="Times New Roman"/>
          <w:lang w:val="pt-BR"/>
        </w:rPr>
        <w:t xml:space="preserve">F. </w:t>
      </w:r>
      <w:proofErr w:type="spellStart"/>
      <w:r w:rsidR="00A056CD" w:rsidRPr="00FF7530">
        <w:rPr>
          <w:rFonts w:ascii="Times New Roman" w:hAnsi="Times New Roman"/>
          <w:lang w:val="pt-BR"/>
        </w:rPr>
        <w:t>Z</w:t>
      </w:r>
      <w:r w:rsidR="007E3D7C" w:rsidRPr="00FF7530">
        <w:rPr>
          <w:rFonts w:ascii="Times New Roman" w:hAnsi="Times New Roman"/>
          <w:lang w:val="pt-BR"/>
        </w:rPr>
        <w:t>otin</w:t>
      </w:r>
      <w:proofErr w:type="spellEnd"/>
      <w:r w:rsidR="00A056CD" w:rsidRPr="00FF7530">
        <w:rPr>
          <w:rFonts w:ascii="Times New Roman" w:hAnsi="Times New Roman"/>
          <w:lang w:val="pt-BR"/>
        </w:rPr>
        <w:t xml:space="preserve">; </w:t>
      </w:r>
      <w:r w:rsidRPr="00FF7530">
        <w:rPr>
          <w:rFonts w:ascii="Times New Roman" w:hAnsi="Times New Roman"/>
          <w:lang w:val="pt-BR"/>
        </w:rPr>
        <w:t xml:space="preserve">L. A. </w:t>
      </w:r>
      <w:r w:rsidR="00A056CD" w:rsidRPr="00FF7530">
        <w:rPr>
          <w:rFonts w:ascii="Times New Roman" w:hAnsi="Times New Roman"/>
          <w:lang w:val="pt-BR"/>
        </w:rPr>
        <w:t>P</w:t>
      </w:r>
      <w:r w:rsidR="007E3D7C" w:rsidRPr="00FF7530">
        <w:rPr>
          <w:rFonts w:ascii="Times New Roman" w:hAnsi="Times New Roman"/>
          <w:lang w:val="pt-BR"/>
        </w:rPr>
        <w:t>alacio</w:t>
      </w:r>
      <w:r w:rsidR="00A056CD" w:rsidRPr="00FF7530">
        <w:rPr>
          <w:rFonts w:ascii="Times New Roman" w:hAnsi="Times New Roman"/>
          <w:lang w:val="pt-BR"/>
        </w:rPr>
        <w:t xml:space="preserve">. </w:t>
      </w:r>
      <w:r w:rsidR="00A056CD" w:rsidRPr="007E3D7C">
        <w:rPr>
          <w:rFonts w:ascii="Times New Roman" w:hAnsi="Times New Roman"/>
        </w:rPr>
        <w:t xml:space="preserve">Applied Catalysis B: Environmental, </w:t>
      </w:r>
      <w:proofErr w:type="gramStart"/>
      <w:r>
        <w:rPr>
          <w:rFonts w:ascii="Times New Roman" w:hAnsi="Times New Roman"/>
        </w:rPr>
        <w:t xml:space="preserve">2018, </w:t>
      </w:r>
      <w:r w:rsidR="00A056CD" w:rsidRPr="007E3D7C">
        <w:rPr>
          <w:rFonts w:ascii="Times New Roman" w:hAnsi="Times New Roman"/>
        </w:rPr>
        <w:t xml:space="preserve"> 237</w:t>
      </w:r>
      <w:proofErr w:type="gramEnd"/>
      <w:r w:rsidR="00A056CD" w:rsidRPr="007E3D7C">
        <w:rPr>
          <w:rFonts w:ascii="Times New Roman" w:hAnsi="Times New Roman"/>
        </w:rPr>
        <w:t xml:space="preserve">, </w:t>
      </w:r>
      <w:r>
        <w:rPr>
          <w:rFonts w:ascii="Times New Roman" w:hAnsi="Times New Roman"/>
        </w:rPr>
        <w:t xml:space="preserve">327–338. </w:t>
      </w:r>
    </w:p>
    <w:p w14:paraId="4AA7EA3C" w14:textId="5293389F" w:rsidR="004E10A8" w:rsidRPr="004E10A8" w:rsidRDefault="007D5D34" w:rsidP="00A63853">
      <w:pPr>
        <w:pStyle w:val="PargrafodaLista"/>
        <w:numPr>
          <w:ilvl w:val="0"/>
          <w:numId w:val="1"/>
        </w:numPr>
        <w:spacing w:line="240" w:lineRule="auto"/>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C. O. P. Teixeira</w:t>
      </w:r>
      <w:r w:rsidR="004E10A8" w:rsidRPr="004E10A8">
        <w:rPr>
          <w:rFonts w:ascii="Times New Roman" w:eastAsia="Times New Roman" w:hAnsi="Times New Roman" w:cs="Times New Roman"/>
          <w:sz w:val="20"/>
          <w:szCs w:val="20"/>
          <w:lang w:val="en-US" w:eastAsia="pt-BR"/>
        </w:rPr>
        <w:t xml:space="preserve">; </w:t>
      </w:r>
      <w:r>
        <w:rPr>
          <w:rFonts w:ascii="Times New Roman" w:eastAsia="Times New Roman" w:hAnsi="Times New Roman" w:cs="Times New Roman"/>
          <w:sz w:val="20"/>
          <w:szCs w:val="20"/>
          <w:lang w:val="en-US" w:eastAsia="pt-BR"/>
        </w:rPr>
        <w:t xml:space="preserve">S. S. </w:t>
      </w:r>
      <w:proofErr w:type="spellStart"/>
      <w:r>
        <w:rPr>
          <w:rFonts w:ascii="Times New Roman" w:eastAsia="Times New Roman" w:hAnsi="Times New Roman" w:cs="Times New Roman"/>
          <w:sz w:val="20"/>
          <w:szCs w:val="20"/>
          <w:lang w:val="en-US" w:eastAsia="pt-BR"/>
        </w:rPr>
        <w:t>Montani</w:t>
      </w:r>
      <w:proofErr w:type="spellEnd"/>
      <w:r w:rsidR="004E10A8" w:rsidRPr="004E10A8">
        <w:rPr>
          <w:rFonts w:ascii="Times New Roman" w:eastAsia="Times New Roman" w:hAnsi="Times New Roman" w:cs="Times New Roman"/>
          <w:sz w:val="20"/>
          <w:szCs w:val="20"/>
          <w:lang w:val="en-US" w:eastAsia="pt-BR"/>
        </w:rPr>
        <w:t xml:space="preserve">; </w:t>
      </w:r>
      <w:r>
        <w:rPr>
          <w:rFonts w:ascii="Times New Roman" w:eastAsia="Times New Roman" w:hAnsi="Times New Roman" w:cs="Times New Roman"/>
          <w:sz w:val="20"/>
          <w:szCs w:val="20"/>
          <w:lang w:val="en-US" w:eastAsia="pt-BR"/>
        </w:rPr>
        <w:t xml:space="preserve">L. A. </w:t>
      </w:r>
      <w:r w:rsidR="004E10A8" w:rsidRPr="004E10A8">
        <w:rPr>
          <w:rFonts w:ascii="Times New Roman" w:eastAsia="Times New Roman" w:hAnsi="Times New Roman" w:cs="Times New Roman"/>
          <w:sz w:val="20"/>
          <w:szCs w:val="20"/>
          <w:lang w:val="en-US" w:eastAsia="pt-BR"/>
        </w:rPr>
        <w:t xml:space="preserve">Palacio; </w:t>
      </w:r>
      <w:r>
        <w:rPr>
          <w:rFonts w:ascii="Times New Roman" w:eastAsia="Times New Roman" w:hAnsi="Times New Roman" w:cs="Times New Roman"/>
          <w:sz w:val="20"/>
          <w:szCs w:val="20"/>
          <w:lang w:val="en-US" w:eastAsia="pt-BR"/>
        </w:rPr>
        <w:t xml:space="preserve">F. M. Z. </w:t>
      </w:r>
      <w:proofErr w:type="spellStart"/>
      <w:r>
        <w:rPr>
          <w:rFonts w:ascii="Times New Roman" w:eastAsia="Times New Roman" w:hAnsi="Times New Roman" w:cs="Times New Roman"/>
          <w:sz w:val="20"/>
          <w:szCs w:val="20"/>
          <w:lang w:val="en-US" w:eastAsia="pt-BR"/>
        </w:rPr>
        <w:t>Zotin</w:t>
      </w:r>
      <w:proofErr w:type="spellEnd"/>
      <w:r>
        <w:rPr>
          <w:rFonts w:ascii="Times New Roman" w:eastAsia="Times New Roman" w:hAnsi="Times New Roman" w:cs="Times New Roman"/>
          <w:sz w:val="20"/>
          <w:szCs w:val="20"/>
          <w:lang w:val="en-US" w:eastAsia="pt-BR"/>
        </w:rPr>
        <w:t xml:space="preserve">, Royal Society of Chemistry, 2018, 47, 10989-11001. </w:t>
      </w:r>
    </w:p>
    <w:p w14:paraId="7124F2D1" w14:textId="3EB9D246" w:rsidR="004E10A8" w:rsidRPr="004E10A8" w:rsidRDefault="009B451B" w:rsidP="00A63853">
      <w:pPr>
        <w:pStyle w:val="PargrafodaLista"/>
        <w:numPr>
          <w:ilvl w:val="0"/>
          <w:numId w:val="1"/>
        </w:numPr>
        <w:spacing w:line="240" w:lineRule="auto"/>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V. Munoz</w:t>
      </w:r>
      <w:r w:rsidR="004E10A8" w:rsidRPr="004E10A8">
        <w:rPr>
          <w:rFonts w:ascii="Times New Roman" w:eastAsia="Times New Roman" w:hAnsi="Times New Roman" w:cs="Times New Roman"/>
          <w:sz w:val="20"/>
          <w:szCs w:val="20"/>
          <w:lang w:val="en-US" w:eastAsia="pt-BR"/>
        </w:rPr>
        <w:t>;</w:t>
      </w:r>
      <w:r>
        <w:rPr>
          <w:rFonts w:ascii="Times New Roman" w:eastAsia="Times New Roman" w:hAnsi="Times New Roman" w:cs="Times New Roman"/>
          <w:sz w:val="20"/>
          <w:szCs w:val="20"/>
          <w:lang w:val="en-US" w:eastAsia="pt-BR"/>
        </w:rPr>
        <w:t xml:space="preserve"> L. A.</w:t>
      </w:r>
      <w:r w:rsidR="004E10A8" w:rsidRPr="004E10A8">
        <w:rPr>
          <w:rFonts w:ascii="Times New Roman" w:eastAsia="Times New Roman" w:hAnsi="Times New Roman" w:cs="Times New Roman"/>
          <w:sz w:val="20"/>
          <w:szCs w:val="20"/>
          <w:lang w:val="en-US" w:eastAsia="pt-BR"/>
        </w:rPr>
        <w:t xml:space="preserve"> Palacio; </w:t>
      </w:r>
      <w:r>
        <w:rPr>
          <w:rFonts w:ascii="Times New Roman" w:eastAsia="Times New Roman" w:hAnsi="Times New Roman" w:cs="Times New Roman"/>
          <w:sz w:val="20"/>
          <w:szCs w:val="20"/>
          <w:lang w:val="en-US" w:eastAsia="pt-BR"/>
        </w:rPr>
        <w:t xml:space="preserve">F. M. Z. </w:t>
      </w:r>
      <w:proofErr w:type="spellStart"/>
      <w:r>
        <w:rPr>
          <w:rFonts w:ascii="Times New Roman" w:eastAsia="Times New Roman" w:hAnsi="Times New Roman" w:cs="Times New Roman"/>
          <w:sz w:val="20"/>
          <w:szCs w:val="20"/>
          <w:lang w:val="en-US" w:eastAsia="pt-BR"/>
        </w:rPr>
        <w:t>Zotin</w:t>
      </w:r>
      <w:proofErr w:type="spellEnd"/>
      <w:r>
        <w:rPr>
          <w:rFonts w:ascii="Times New Roman" w:eastAsia="Times New Roman" w:hAnsi="Times New Roman" w:cs="Times New Roman"/>
          <w:sz w:val="20"/>
          <w:szCs w:val="20"/>
          <w:lang w:val="en-US" w:eastAsia="pt-BR"/>
        </w:rPr>
        <w:t xml:space="preserve">, Catalysis Today, </w:t>
      </w:r>
      <w:proofErr w:type="gramStart"/>
      <w:r>
        <w:rPr>
          <w:rFonts w:ascii="Times New Roman" w:eastAsia="Times New Roman" w:hAnsi="Times New Roman" w:cs="Times New Roman"/>
          <w:sz w:val="20"/>
          <w:szCs w:val="20"/>
          <w:lang w:val="en-US" w:eastAsia="pt-BR"/>
        </w:rPr>
        <w:t>2015,  250</w:t>
      </w:r>
      <w:proofErr w:type="gramEnd"/>
      <w:r>
        <w:rPr>
          <w:rFonts w:ascii="Times New Roman" w:eastAsia="Times New Roman" w:hAnsi="Times New Roman" w:cs="Times New Roman"/>
          <w:sz w:val="20"/>
          <w:szCs w:val="20"/>
          <w:lang w:val="en-US" w:eastAsia="pt-BR"/>
        </w:rPr>
        <w:t xml:space="preserve">, 173-179. </w:t>
      </w:r>
    </w:p>
    <w:p w14:paraId="142850D3" w14:textId="54FADCD1" w:rsidR="000B3DA0" w:rsidRPr="000B3DA0" w:rsidRDefault="009B451B" w:rsidP="00A63853">
      <w:pPr>
        <w:pStyle w:val="PargrafodaLista"/>
        <w:numPr>
          <w:ilvl w:val="0"/>
          <w:numId w:val="1"/>
        </w:numPr>
        <w:spacing w:line="240" w:lineRule="auto"/>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 xml:space="preserve">B. M. </w:t>
      </w:r>
      <w:r w:rsidR="000B3DA0" w:rsidRPr="000B3DA0">
        <w:rPr>
          <w:rFonts w:ascii="Times New Roman" w:eastAsia="Times New Roman" w:hAnsi="Times New Roman" w:cs="Times New Roman"/>
          <w:sz w:val="20"/>
          <w:szCs w:val="20"/>
          <w:lang w:val="en-US" w:eastAsia="pt-BR"/>
        </w:rPr>
        <w:t>Abu-</w:t>
      </w:r>
      <w:proofErr w:type="spellStart"/>
      <w:r w:rsidR="000B3DA0" w:rsidRPr="000B3DA0">
        <w:rPr>
          <w:rFonts w:ascii="Times New Roman" w:eastAsia="Times New Roman" w:hAnsi="Times New Roman" w:cs="Times New Roman"/>
          <w:sz w:val="20"/>
          <w:szCs w:val="20"/>
          <w:lang w:val="en-US" w:eastAsia="pt-BR"/>
        </w:rPr>
        <w:t>zied</w:t>
      </w:r>
      <w:proofErr w:type="spellEnd"/>
      <w:r w:rsidR="000B3DA0" w:rsidRPr="000B3DA0">
        <w:rPr>
          <w:rFonts w:ascii="Times New Roman" w:eastAsia="Times New Roman" w:hAnsi="Times New Roman" w:cs="Times New Roman"/>
          <w:sz w:val="20"/>
          <w:szCs w:val="20"/>
          <w:lang w:val="en-US" w:eastAsia="pt-BR"/>
        </w:rPr>
        <w:t>, C</w:t>
      </w:r>
      <w:r>
        <w:rPr>
          <w:rFonts w:ascii="Times New Roman" w:eastAsia="Times New Roman" w:hAnsi="Times New Roman" w:cs="Times New Roman"/>
          <w:sz w:val="20"/>
          <w:szCs w:val="20"/>
          <w:lang w:val="en-US" w:eastAsia="pt-BR"/>
        </w:rPr>
        <w:t>hinese Journal of Catalysis, 32,</w:t>
      </w:r>
      <w:r w:rsidR="000B3DA0" w:rsidRPr="000B3DA0">
        <w:rPr>
          <w:rFonts w:ascii="Times New Roman" w:eastAsia="Times New Roman" w:hAnsi="Times New Roman" w:cs="Times New Roman"/>
          <w:sz w:val="20"/>
          <w:szCs w:val="20"/>
          <w:lang w:val="en-US" w:eastAsia="pt-BR"/>
        </w:rPr>
        <w:t xml:space="preserve"> 264–272, 2011.</w:t>
      </w:r>
    </w:p>
    <w:p w14:paraId="7C165AA7" w14:textId="0DF0E26E" w:rsidR="00224AC4" w:rsidRPr="004E10A8" w:rsidRDefault="00615D9F" w:rsidP="00A63853">
      <w:pPr>
        <w:pStyle w:val="TAMainText"/>
        <w:numPr>
          <w:ilvl w:val="0"/>
          <w:numId w:val="1"/>
        </w:numPr>
        <w:spacing w:line="240" w:lineRule="auto"/>
        <w:rPr>
          <w:rFonts w:ascii="Times New Roman" w:hAnsi="Times New Roman"/>
        </w:rPr>
      </w:pPr>
      <w:r>
        <w:rPr>
          <w:rFonts w:ascii="Times New Roman" w:hAnsi="Times New Roman"/>
          <w:noProof/>
        </w:rPr>
        <w:t xml:space="preserve">N. </w:t>
      </w:r>
      <w:r w:rsidR="00A056CD" w:rsidRPr="004E10A8">
        <w:rPr>
          <w:rFonts w:ascii="Times New Roman" w:hAnsi="Times New Roman"/>
          <w:noProof/>
        </w:rPr>
        <w:t>H</w:t>
      </w:r>
      <w:r w:rsidR="007E3D7C" w:rsidRPr="004E10A8">
        <w:rPr>
          <w:rFonts w:ascii="Times New Roman" w:hAnsi="Times New Roman"/>
          <w:noProof/>
        </w:rPr>
        <w:t>ou</w:t>
      </w:r>
      <w:r w:rsidR="00A056CD" w:rsidRPr="004E10A8">
        <w:rPr>
          <w:rFonts w:ascii="Times New Roman" w:hAnsi="Times New Roman"/>
          <w:noProof/>
        </w:rPr>
        <w:t xml:space="preserve">; </w:t>
      </w:r>
      <w:r>
        <w:rPr>
          <w:rFonts w:ascii="Times New Roman" w:hAnsi="Times New Roman"/>
          <w:noProof/>
        </w:rPr>
        <w:t xml:space="preserve">Y. </w:t>
      </w:r>
      <w:r w:rsidR="00A056CD" w:rsidRPr="004E10A8">
        <w:rPr>
          <w:rFonts w:ascii="Times New Roman" w:hAnsi="Times New Roman"/>
          <w:noProof/>
        </w:rPr>
        <w:t>Z</w:t>
      </w:r>
      <w:r w:rsidR="007E3D7C" w:rsidRPr="004E10A8">
        <w:rPr>
          <w:rFonts w:ascii="Times New Roman" w:hAnsi="Times New Roman"/>
          <w:noProof/>
        </w:rPr>
        <w:t>hang</w:t>
      </w:r>
      <w:r w:rsidR="00A056CD" w:rsidRPr="004E10A8">
        <w:rPr>
          <w:rFonts w:ascii="Times New Roman" w:hAnsi="Times New Roman"/>
          <w:noProof/>
        </w:rPr>
        <w:t xml:space="preserve">; </w:t>
      </w:r>
      <w:r>
        <w:rPr>
          <w:rFonts w:ascii="Times New Roman" w:hAnsi="Times New Roman"/>
          <w:noProof/>
        </w:rPr>
        <w:t xml:space="preserve">M. </w:t>
      </w:r>
      <w:r w:rsidR="00A056CD" w:rsidRPr="004E10A8">
        <w:rPr>
          <w:rFonts w:ascii="Times New Roman" w:hAnsi="Times New Roman"/>
          <w:noProof/>
        </w:rPr>
        <w:t>M</w:t>
      </w:r>
      <w:r w:rsidR="007E3D7C" w:rsidRPr="004E10A8">
        <w:rPr>
          <w:rFonts w:ascii="Times New Roman" w:hAnsi="Times New Roman"/>
          <w:noProof/>
        </w:rPr>
        <w:t>eng</w:t>
      </w:r>
      <w:r>
        <w:rPr>
          <w:rFonts w:ascii="Times New Roman" w:hAnsi="Times New Roman"/>
          <w:noProof/>
        </w:rPr>
        <w:t>,</w:t>
      </w:r>
      <w:r w:rsidR="002A3937" w:rsidRPr="004E10A8">
        <w:rPr>
          <w:rFonts w:ascii="Times New Roman" w:hAnsi="Times New Roman"/>
        </w:rPr>
        <w:t xml:space="preserve"> The Journal of Physical Chemistry</w:t>
      </w:r>
      <w:r>
        <w:rPr>
          <w:rFonts w:ascii="Times New Roman" w:hAnsi="Times New Roman"/>
          <w:noProof/>
        </w:rPr>
        <w:t xml:space="preserve">, 2013, 117, 4089−4097. </w:t>
      </w:r>
      <w:r w:rsidR="00A056CD" w:rsidRPr="004E10A8">
        <w:rPr>
          <w:rFonts w:ascii="Times New Roman" w:hAnsi="Times New Roman"/>
          <w:noProof/>
        </w:rPr>
        <w:t xml:space="preserve"> </w:t>
      </w:r>
    </w:p>
    <w:p w14:paraId="5135578E" w14:textId="63328E52" w:rsidR="00FA7D67" w:rsidRPr="00FA7D67" w:rsidRDefault="000713B0" w:rsidP="00A63853">
      <w:pPr>
        <w:pStyle w:val="PargrafodaLista"/>
        <w:numPr>
          <w:ilvl w:val="0"/>
          <w:numId w:val="1"/>
        </w:num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 M. </w:t>
      </w:r>
      <w:r w:rsidR="00A056CD" w:rsidRPr="00FA7D67">
        <w:rPr>
          <w:rFonts w:ascii="Times New Roman" w:hAnsi="Times New Roman" w:cs="Times New Roman"/>
          <w:sz w:val="20"/>
          <w:szCs w:val="20"/>
          <w:lang w:val="en-US"/>
        </w:rPr>
        <w:t>P</w:t>
      </w:r>
      <w:r w:rsidR="007E3D7C" w:rsidRPr="00FA7D67">
        <w:rPr>
          <w:rFonts w:ascii="Times New Roman" w:hAnsi="Times New Roman" w:cs="Times New Roman"/>
          <w:sz w:val="20"/>
          <w:szCs w:val="20"/>
          <w:lang w:val="en-US"/>
        </w:rPr>
        <w:t>ark</w:t>
      </w:r>
      <w:r w:rsidR="00A056CD" w:rsidRPr="00FA7D67">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J. W. </w:t>
      </w:r>
      <w:r w:rsidR="00A056CD" w:rsidRPr="00FA7D67">
        <w:rPr>
          <w:rFonts w:ascii="Times New Roman" w:hAnsi="Times New Roman" w:cs="Times New Roman"/>
          <w:sz w:val="20"/>
          <w:szCs w:val="20"/>
          <w:lang w:val="en-US"/>
        </w:rPr>
        <w:t>P</w:t>
      </w:r>
      <w:r w:rsidR="007E3D7C" w:rsidRPr="00FA7D67">
        <w:rPr>
          <w:rFonts w:ascii="Times New Roman" w:hAnsi="Times New Roman" w:cs="Times New Roman"/>
          <w:sz w:val="20"/>
          <w:szCs w:val="20"/>
          <w:lang w:val="en-US"/>
        </w:rPr>
        <w:t>ark</w:t>
      </w:r>
      <w:r w:rsidR="00A056CD" w:rsidRPr="00FA7D67">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H. P. </w:t>
      </w:r>
      <w:r w:rsidR="00A056CD" w:rsidRPr="00FA7D67">
        <w:rPr>
          <w:rFonts w:ascii="Times New Roman" w:hAnsi="Times New Roman" w:cs="Times New Roman"/>
          <w:sz w:val="20"/>
          <w:szCs w:val="20"/>
          <w:lang w:val="en-US"/>
        </w:rPr>
        <w:t>H</w:t>
      </w:r>
      <w:r w:rsidR="007E3D7C" w:rsidRPr="00FA7D67">
        <w:rPr>
          <w:rFonts w:ascii="Times New Roman" w:hAnsi="Times New Roman" w:cs="Times New Roman"/>
          <w:sz w:val="20"/>
          <w:szCs w:val="20"/>
          <w:lang w:val="en-US"/>
        </w:rPr>
        <w:t>a</w:t>
      </w:r>
      <w:r>
        <w:rPr>
          <w:rFonts w:ascii="Times New Roman" w:hAnsi="Times New Roman" w:cs="Times New Roman"/>
          <w:sz w:val="20"/>
          <w:szCs w:val="20"/>
          <w:lang w:val="en-US"/>
        </w:rPr>
        <w:t>; H.S.</w:t>
      </w:r>
      <w:r w:rsidR="00A056CD" w:rsidRPr="00FA7D67">
        <w:rPr>
          <w:rFonts w:ascii="Times New Roman" w:hAnsi="Times New Roman" w:cs="Times New Roman"/>
          <w:sz w:val="20"/>
          <w:szCs w:val="20"/>
          <w:lang w:val="en-US"/>
        </w:rPr>
        <w:t xml:space="preserve"> H</w:t>
      </w:r>
      <w:r w:rsidR="007E3D7C" w:rsidRPr="00FA7D67">
        <w:rPr>
          <w:rFonts w:ascii="Times New Roman" w:hAnsi="Times New Roman" w:cs="Times New Roman"/>
          <w:sz w:val="20"/>
          <w:szCs w:val="20"/>
          <w:lang w:val="en-US"/>
        </w:rPr>
        <w:t>an</w:t>
      </w:r>
      <w:r w:rsidR="00A056CD" w:rsidRPr="00FA7D67">
        <w:rPr>
          <w:rFonts w:ascii="Times New Roman" w:hAnsi="Times New Roman" w:cs="Times New Roman"/>
          <w:sz w:val="20"/>
          <w:szCs w:val="20"/>
          <w:lang w:val="en-US"/>
        </w:rPr>
        <w:t>;</w:t>
      </w:r>
      <w:r w:rsidR="00191D95">
        <w:rPr>
          <w:rFonts w:ascii="Times New Roman" w:hAnsi="Times New Roman" w:cs="Times New Roman"/>
          <w:sz w:val="20"/>
          <w:szCs w:val="20"/>
          <w:lang w:val="en-US"/>
        </w:rPr>
        <w:t xml:space="preserve"> G.</w:t>
      </w:r>
      <w:r w:rsidR="00A056CD" w:rsidRPr="00FA7D67">
        <w:rPr>
          <w:rFonts w:ascii="Times New Roman" w:hAnsi="Times New Roman" w:cs="Times New Roman"/>
          <w:sz w:val="20"/>
          <w:szCs w:val="20"/>
          <w:lang w:val="en-US"/>
        </w:rPr>
        <w:t xml:space="preserve"> </w:t>
      </w:r>
      <w:proofErr w:type="spellStart"/>
      <w:proofErr w:type="gramStart"/>
      <w:r w:rsidR="00A056CD" w:rsidRPr="00FA7D67">
        <w:rPr>
          <w:rFonts w:ascii="Times New Roman" w:hAnsi="Times New Roman" w:cs="Times New Roman"/>
          <w:sz w:val="20"/>
          <w:szCs w:val="20"/>
          <w:lang w:val="en-US"/>
        </w:rPr>
        <w:t>S</w:t>
      </w:r>
      <w:r w:rsidR="007E3D7C" w:rsidRPr="00FA7D67">
        <w:rPr>
          <w:rFonts w:ascii="Times New Roman" w:hAnsi="Times New Roman" w:cs="Times New Roman"/>
          <w:sz w:val="20"/>
          <w:szCs w:val="20"/>
          <w:lang w:val="en-US"/>
        </w:rPr>
        <w:t>eo</w:t>
      </w:r>
      <w:proofErr w:type="spellEnd"/>
      <w:r w:rsidR="00191D95">
        <w:rPr>
          <w:rFonts w:ascii="Times New Roman" w:hAnsi="Times New Roman" w:cs="Times New Roman"/>
          <w:sz w:val="20"/>
          <w:szCs w:val="20"/>
          <w:lang w:val="en-US"/>
        </w:rPr>
        <w:t xml:space="preserve">, </w:t>
      </w:r>
      <w:r w:rsidR="00A056CD" w:rsidRPr="00FA7D67">
        <w:rPr>
          <w:rFonts w:ascii="Times New Roman" w:hAnsi="Times New Roman" w:cs="Times New Roman"/>
          <w:sz w:val="20"/>
          <w:szCs w:val="20"/>
          <w:lang w:val="en-US"/>
        </w:rPr>
        <w:t xml:space="preserve"> Journal</w:t>
      </w:r>
      <w:proofErr w:type="gramEnd"/>
      <w:r w:rsidR="00A056CD" w:rsidRPr="00FA7D67">
        <w:rPr>
          <w:rFonts w:ascii="Times New Roman" w:hAnsi="Times New Roman" w:cs="Times New Roman"/>
          <w:sz w:val="20"/>
          <w:szCs w:val="20"/>
          <w:lang w:val="en-US"/>
        </w:rPr>
        <w:t xml:space="preserve"> of Molecular Catalysis</w:t>
      </w:r>
      <w:r w:rsidR="00A056CD" w:rsidRPr="00FA7D67">
        <w:rPr>
          <w:rFonts w:ascii="Times New Roman" w:hAnsi="Times New Roman" w:cs="Times New Roman"/>
          <w:i/>
          <w:iCs/>
          <w:sz w:val="20"/>
          <w:szCs w:val="20"/>
          <w:lang w:val="en-US"/>
        </w:rPr>
        <w:t xml:space="preserve"> </w:t>
      </w:r>
      <w:r w:rsidR="00A056CD" w:rsidRPr="00FA7D67">
        <w:rPr>
          <w:rFonts w:ascii="Times New Roman" w:hAnsi="Times New Roman" w:cs="Times New Roman"/>
          <w:sz w:val="20"/>
          <w:szCs w:val="20"/>
          <w:lang w:val="en-US"/>
        </w:rPr>
        <w:t>A:</w:t>
      </w:r>
      <w:r w:rsidR="00A056CD" w:rsidRPr="00FA7D67">
        <w:rPr>
          <w:rFonts w:ascii="Times New Roman" w:hAnsi="Times New Roman" w:cs="Times New Roman"/>
          <w:i/>
          <w:iCs/>
          <w:sz w:val="20"/>
          <w:szCs w:val="20"/>
          <w:lang w:val="en-US"/>
        </w:rPr>
        <w:t xml:space="preserve"> </w:t>
      </w:r>
      <w:r w:rsidR="00A056CD" w:rsidRPr="00FA7D67">
        <w:rPr>
          <w:rFonts w:ascii="Times New Roman" w:hAnsi="Times New Roman" w:cs="Times New Roman"/>
          <w:sz w:val="20"/>
          <w:szCs w:val="20"/>
          <w:lang w:val="en-US"/>
        </w:rPr>
        <w:t>Chemical,</w:t>
      </w:r>
      <w:r w:rsidR="00191D95">
        <w:rPr>
          <w:rFonts w:ascii="Times New Roman" w:hAnsi="Times New Roman" w:cs="Times New Roman"/>
          <w:sz w:val="20"/>
          <w:szCs w:val="20"/>
          <w:lang w:val="en-US"/>
        </w:rPr>
        <w:t xml:space="preserve"> 2007, 273,  64-72. </w:t>
      </w:r>
    </w:p>
    <w:p w14:paraId="4C235EEF" w14:textId="3BC2BC30" w:rsidR="00FA7D67" w:rsidRDefault="00191D95" w:rsidP="00A63853">
      <w:pPr>
        <w:pStyle w:val="PargrafodaLista"/>
        <w:numPr>
          <w:ilvl w:val="0"/>
          <w:numId w:val="1"/>
        </w:num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 D. </w:t>
      </w:r>
      <w:r w:rsidR="001B1BCF">
        <w:rPr>
          <w:rFonts w:ascii="Times New Roman" w:hAnsi="Times New Roman" w:cs="Times New Roman"/>
          <w:sz w:val="20"/>
          <w:szCs w:val="20"/>
          <w:lang w:val="en-US"/>
        </w:rPr>
        <w:t>Lang</w:t>
      </w:r>
      <w:r w:rsidR="00FA7D67" w:rsidRPr="00FA7D67">
        <w:rPr>
          <w:rFonts w:ascii="Times New Roman" w:hAnsi="Times New Roman" w:cs="Times New Roman"/>
          <w:sz w:val="20"/>
          <w:szCs w:val="20"/>
          <w:lang w:val="en-US"/>
        </w:rPr>
        <w:t xml:space="preserve">; </w:t>
      </w:r>
      <w:r w:rsidR="001B1BCF">
        <w:rPr>
          <w:rFonts w:ascii="Times New Roman" w:hAnsi="Times New Roman" w:cs="Times New Roman"/>
          <w:sz w:val="20"/>
          <w:szCs w:val="20"/>
          <w:lang w:val="en-US"/>
        </w:rPr>
        <w:t>S. Holloway</w:t>
      </w:r>
      <w:r w:rsidR="00FA7D67" w:rsidRPr="00FA7D67">
        <w:rPr>
          <w:rFonts w:ascii="Times New Roman" w:hAnsi="Times New Roman" w:cs="Times New Roman"/>
          <w:sz w:val="20"/>
          <w:szCs w:val="20"/>
          <w:lang w:val="en-US"/>
        </w:rPr>
        <w:t xml:space="preserve">; </w:t>
      </w:r>
      <w:r w:rsidR="001B1BCF">
        <w:rPr>
          <w:rFonts w:ascii="Times New Roman" w:hAnsi="Times New Roman" w:cs="Times New Roman"/>
          <w:sz w:val="20"/>
          <w:szCs w:val="20"/>
          <w:lang w:val="en-US"/>
        </w:rPr>
        <w:t xml:space="preserve">J. K. </w:t>
      </w:r>
      <w:proofErr w:type="spellStart"/>
      <w:r w:rsidR="001B1BCF">
        <w:rPr>
          <w:rFonts w:ascii="Times New Roman" w:hAnsi="Times New Roman" w:cs="Times New Roman"/>
          <w:sz w:val="20"/>
          <w:szCs w:val="20"/>
          <w:lang w:val="en-US"/>
        </w:rPr>
        <w:t>Nørskov</w:t>
      </w:r>
      <w:proofErr w:type="spellEnd"/>
      <w:r w:rsidR="001B1BCF">
        <w:rPr>
          <w:rFonts w:ascii="Times New Roman" w:hAnsi="Times New Roman" w:cs="Times New Roman"/>
          <w:sz w:val="20"/>
          <w:szCs w:val="20"/>
          <w:lang w:val="en-US"/>
        </w:rPr>
        <w:t xml:space="preserve">, </w:t>
      </w:r>
      <w:r w:rsidR="00FA7D67" w:rsidRPr="00FA7D67">
        <w:rPr>
          <w:rFonts w:ascii="Times New Roman" w:hAnsi="Times New Roman" w:cs="Times New Roman"/>
          <w:sz w:val="20"/>
          <w:szCs w:val="20"/>
          <w:lang w:val="en-US"/>
        </w:rPr>
        <w:t>Surface Science,</w:t>
      </w:r>
      <w:r w:rsidR="001B1BCF">
        <w:rPr>
          <w:rFonts w:ascii="Times New Roman" w:hAnsi="Times New Roman" w:cs="Times New Roman"/>
          <w:sz w:val="20"/>
          <w:szCs w:val="20"/>
          <w:lang w:val="en-US"/>
        </w:rPr>
        <w:t xml:space="preserve"> 1985, </w:t>
      </w:r>
      <w:r w:rsidR="00FA7D67" w:rsidRPr="00FA7D67">
        <w:rPr>
          <w:rFonts w:ascii="Times New Roman" w:hAnsi="Times New Roman" w:cs="Times New Roman"/>
          <w:sz w:val="20"/>
          <w:szCs w:val="20"/>
          <w:lang w:val="en-US"/>
        </w:rPr>
        <w:t xml:space="preserve">150, </w:t>
      </w:r>
      <w:r w:rsidR="001B1BCF">
        <w:rPr>
          <w:rFonts w:ascii="Times New Roman" w:hAnsi="Times New Roman" w:cs="Times New Roman"/>
          <w:sz w:val="20"/>
          <w:szCs w:val="20"/>
          <w:lang w:val="en-US"/>
        </w:rPr>
        <w:t>24–38</w:t>
      </w:r>
      <w:r w:rsidR="00FA7D67" w:rsidRPr="00FA7D67">
        <w:rPr>
          <w:rFonts w:ascii="Times New Roman" w:hAnsi="Times New Roman" w:cs="Times New Roman"/>
          <w:sz w:val="20"/>
          <w:szCs w:val="20"/>
          <w:lang w:val="en-US"/>
        </w:rPr>
        <w:t>.</w:t>
      </w:r>
    </w:p>
    <w:p w14:paraId="40167709" w14:textId="0E445D18" w:rsidR="00A056CD" w:rsidRPr="00A056CD" w:rsidRDefault="00A056CD" w:rsidP="00A056CD">
      <w:pPr>
        <w:rPr>
          <w:lang w:val="en-US"/>
        </w:rPr>
      </w:pPr>
    </w:p>
    <w:sectPr w:rsidR="00A056CD" w:rsidRPr="00A056CD"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E50A" w14:textId="77777777" w:rsidR="00DD03C3" w:rsidRDefault="00DD03C3" w:rsidP="00EA4E1B">
      <w:pPr>
        <w:spacing w:after="0" w:line="240" w:lineRule="auto"/>
      </w:pPr>
      <w:r>
        <w:separator/>
      </w:r>
    </w:p>
  </w:endnote>
  <w:endnote w:type="continuationSeparator" w:id="0">
    <w:p w14:paraId="49CEFCA1" w14:textId="77777777" w:rsidR="00DD03C3" w:rsidRDefault="00DD03C3"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7F1EF" w14:textId="77777777" w:rsidR="00DD03C3" w:rsidRDefault="00DD03C3" w:rsidP="00EA4E1B">
      <w:pPr>
        <w:spacing w:after="0" w:line="240" w:lineRule="auto"/>
      </w:pPr>
      <w:r>
        <w:separator/>
      </w:r>
    </w:p>
  </w:footnote>
  <w:footnote w:type="continuationSeparator" w:id="0">
    <w:p w14:paraId="14A1ABE1" w14:textId="77777777" w:rsidR="00DD03C3" w:rsidRDefault="00DD03C3"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32663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228E4"/>
    <w:rsid w:val="00061A72"/>
    <w:rsid w:val="000710E6"/>
    <w:rsid w:val="000713B0"/>
    <w:rsid w:val="0007255E"/>
    <w:rsid w:val="000A15A6"/>
    <w:rsid w:val="000B3DA0"/>
    <w:rsid w:val="000B484F"/>
    <w:rsid w:val="000D2F6A"/>
    <w:rsid w:val="000E6E1A"/>
    <w:rsid w:val="000F1D24"/>
    <w:rsid w:val="0010641C"/>
    <w:rsid w:val="001213E8"/>
    <w:rsid w:val="001424F8"/>
    <w:rsid w:val="00143578"/>
    <w:rsid w:val="00160E50"/>
    <w:rsid w:val="0016762D"/>
    <w:rsid w:val="0018286E"/>
    <w:rsid w:val="00190417"/>
    <w:rsid w:val="00191D95"/>
    <w:rsid w:val="001959F2"/>
    <w:rsid w:val="001A2AE4"/>
    <w:rsid w:val="001A601B"/>
    <w:rsid w:val="001B1BCF"/>
    <w:rsid w:val="001C21EB"/>
    <w:rsid w:val="001E58A9"/>
    <w:rsid w:val="001E7796"/>
    <w:rsid w:val="001F08C2"/>
    <w:rsid w:val="001F25B2"/>
    <w:rsid w:val="001F6072"/>
    <w:rsid w:val="00201CF4"/>
    <w:rsid w:val="00206DBC"/>
    <w:rsid w:val="00222230"/>
    <w:rsid w:val="00224AC4"/>
    <w:rsid w:val="00255964"/>
    <w:rsid w:val="00255E35"/>
    <w:rsid w:val="00256223"/>
    <w:rsid w:val="00267804"/>
    <w:rsid w:val="0027181E"/>
    <w:rsid w:val="00273645"/>
    <w:rsid w:val="0027569B"/>
    <w:rsid w:val="0028079A"/>
    <w:rsid w:val="00292A3F"/>
    <w:rsid w:val="002A2908"/>
    <w:rsid w:val="002A3937"/>
    <w:rsid w:val="002C0846"/>
    <w:rsid w:val="002C2700"/>
    <w:rsid w:val="002C5CC8"/>
    <w:rsid w:val="002D0A70"/>
    <w:rsid w:val="002D3AB2"/>
    <w:rsid w:val="002F674D"/>
    <w:rsid w:val="00340B1E"/>
    <w:rsid w:val="0035438D"/>
    <w:rsid w:val="003A40EE"/>
    <w:rsid w:val="003B3C19"/>
    <w:rsid w:val="003C1E95"/>
    <w:rsid w:val="003E6446"/>
    <w:rsid w:val="00402F3E"/>
    <w:rsid w:val="004106E2"/>
    <w:rsid w:val="00414B3F"/>
    <w:rsid w:val="00417A15"/>
    <w:rsid w:val="004250D4"/>
    <w:rsid w:val="00436574"/>
    <w:rsid w:val="004610E6"/>
    <w:rsid w:val="004A6914"/>
    <w:rsid w:val="004A6C18"/>
    <w:rsid w:val="004A7151"/>
    <w:rsid w:val="004A73E7"/>
    <w:rsid w:val="004B15A9"/>
    <w:rsid w:val="004C09D4"/>
    <w:rsid w:val="004E10A8"/>
    <w:rsid w:val="004F3F42"/>
    <w:rsid w:val="004F5C79"/>
    <w:rsid w:val="00501E17"/>
    <w:rsid w:val="005046F6"/>
    <w:rsid w:val="0052112E"/>
    <w:rsid w:val="00533892"/>
    <w:rsid w:val="005344DF"/>
    <w:rsid w:val="00564EDA"/>
    <w:rsid w:val="00577E67"/>
    <w:rsid w:val="005A0CE8"/>
    <w:rsid w:val="005A16F8"/>
    <w:rsid w:val="005A34A9"/>
    <w:rsid w:val="005B2145"/>
    <w:rsid w:val="005C1C41"/>
    <w:rsid w:val="005C2775"/>
    <w:rsid w:val="005C3107"/>
    <w:rsid w:val="005D65EB"/>
    <w:rsid w:val="005F055D"/>
    <w:rsid w:val="005F2624"/>
    <w:rsid w:val="00604718"/>
    <w:rsid w:val="00614B1B"/>
    <w:rsid w:val="00615D9F"/>
    <w:rsid w:val="00652815"/>
    <w:rsid w:val="00653371"/>
    <w:rsid w:val="006603DE"/>
    <w:rsid w:val="0066721F"/>
    <w:rsid w:val="00680F22"/>
    <w:rsid w:val="006812E5"/>
    <w:rsid w:val="00686802"/>
    <w:rsid w:val="0069240B"/>
    <w:rsid w:val="006B59C0"/>
    <w:rsid w:val="006F599B"/>
    <w:rsid w:val="00705B3C"/>
    <w:rsid w:val="0073212A"/>
    <w:rsid w:val="007401E0"/>
    <w:rsid w:val="0074360C"/>
    <w:rsid w:val="00746241"/>
    <w:rsid w:val="007468EB"/>
    <w:rsid w:val="00750BB9"/>
    <w:rsid w:val="00752063"/>
    <w:rsid w:val="00766133"/>
    <w:rsid w:val="007670A0"/>
    <w:rsid w:val="00767991"/>
    <w:rsid w:val="00770AC2"/>
    <w:rsid w:val="00773EB3"/>
    <w:rsid w:val="0077466A"/>
    <w:rsid w:val="00781685"/>
    <w:rsid w:val="00785321"/>
    <w:rsid w:val="00786947"/>
    <w:rsid w:val="007A7D42"/>
    <w:rsid w:val="007B4B2B"/>
    <w:rsid w:val="007B522C"/>
    <w:rsid w:val="007B760D"/>
    <w:rsid w:val="007C20F2"/>
    <w:rsid w:val="007C3884"/>
    <w:rsid w:val="007D5D34"/>
    <w:rsid w:val="007E3D7C"/>
    <w:rsid w:val="007E51D2"/>
    <w:rsid w:val="007F1BD2"/>
    <w:rsid w:val="007F5B7C"/>
    <w:rsid w:val="007F6C76"/>
    <w:rsid w:val="00802A3B"/>
    <w:rsid w:val="00805553"/>
    <w:rsid w:val="00822FE1"/>
    <w:rsid w:val="00831081"/>
    <w:rsid w:val="00836C2C"/>
    <w:rsid w:val="00854129"/>
    <w:rsid w:val="00866822"/>
    <w:rsid w:val="00867AD1"/>
    <w:rsid w:val="00873A9F"/>
    <w:rsid w:val="00882E90"/>
    <w:rsid w:val="00895351"/>
    <w:rsid w:val="008A358E"/>
    <w:rsid w:val="008B1683"/>
    <w:rsid w:val="008B54A1"/>
    <w:rsid w:val="008C1B30"/>
    <w:rsid w:val="008C44C7"/>
    <w:rsid w:val="008E33C3"/>
    <w:rsid w:val="008E593A"/>
    <w:rsid w:val="00902DE1"/>
    <w:rsid w:val="00903005"/>
    <w:rsid w:val="00922AFF"/>
    <w:rsid w:val="0092511D"/>
    <w:rsid w:val="0093521A"/>
    <w:rsid w:val="0095547D"/>
    <w:rsid w:val="009656D9"/>
    <w:rsid w:val="00974899"/>
    <w:rsid w:val="00991951"/>
    <w:rsid w:val="009B451B"/>
    <w:rsid w:val="009C3CEB"/>
    <w:rsid w:val="009C7B2E"/>
    <w:rsid w:val="009C7CB0"/>
    <w:rsid w:val="00A011D6"/>
    <w:rsid w:val="00A056CD"/>
    <w:rsid w:val="00A15499"/>
    <w:rsid w:val="00A17D85"/>
    <w:rsid w:val="00A31F3C"/>
    <w:rsid w:val="00A41422"/>
    <w:rsid w:val="00A41B63"/>
    <w:rsid w:val="00A62100"/>
    <w:rsid w:val="00A63853"/>
    <w:rsid w:val="00A658E0"/>
    <w:rsid w:val="00A72972"/>
    <w:rsid w:val="00A75D3B"/>
    <w:rsid w:val="00A87CE8"/>
    <w:rsid w:val="00A93E58"/>
    <w:rsid w:val="00AA182E"/>
    <w:rsid w:val="00AA6A1E"/>
    <w:rsid w:val="00AB5952"/>
    <w:rsid w:val="00AD4607"/>
    <w:rsid w:val="00AE70D0"/>
    <w:rsid w:val="00AF0400"/>
    <w:rsid w:val="00AF6AF8"/>
    <w:rsid w:val="00B275C8"/>
    <w:rsid w:val="00B30AEB"/>
    <w:rsid w:val="00B40FB6"/>
    <w:rsid w:val="00B50F6F"/>
    <w:rsid w:val="00B634BF"/>
    <w:rsid w:val="00B84B26"/>
    <w:rsid w:val="00BA33E6"/>
    <w:rsid w:val="00BA6A6E"/>
    <w:rsid w:val="00BC6C3C"/>
    <w:rsid w:val="00BD36D4"/>
    <w:rsid w:val="00BD3D88"/>
    <w:rsid w:val="00BF5B77"/>
    <w:rsid w:val="00C253BF"/>
    <w:rsid w:val="00C31277"/>
    <w:rsid w:val="00C52FF0"/>
    <w:rsid w:val="00C724B1"/>
    <w:rsid w:val="00C76E54"/>
    <w:rsid w:val="00C817A4"/>
    <w:rsid w:val="00C84CB8"/>
    <w:rsid w:val="00C943F3"/>
    <w:rsid w:val="00CB358C"/>
    <w:rsid w:val="00CB6B93"/>
    <w:rsid w:val="00CC4D8B"/>
    <w:rsid w:val="00CE0B09"/>
    <w:rsid w:val="00D07DA4"/>
    <w:rsid w:val="00D102DE"/>
    <w:rsid w:val="00D2069D"/>
    <w:rsid w:val="00D25722"/>
    <w:rsid w:val="00D26CB0"/>
    <w:rsid w:val="00D36CEC"/>
    <w:rsid w:val="00D40953"/>
    <w:rsid w:val="00D449A6"/>
    <w:rsid w:val="00D549C7"/>
    <w:rsid w:val="00D62527"/>
    <w:rsid w:val="00D66BE0"/>
    <w:rsid w:val="00D7107D"/>
    <w:rsid w:val="00D83D7F"/>
    <w:rsid w:val="00D90638"/>
    <w:rsid w:val="00D96135"/>
    <w:rsid w:val="00DA7279"/>
    <w:rsid w:val="00DD03C3"/>
    <w:rsid w:val="00DD0D0C"/>
    <w:rsid w:val="00DD7758"/>
    <w:rsid w:val="00E02A21"/>
    <w:rsid w:val="00E038AF"/>
    <w:rsid w:val="00E052E7"/>
    <w:rsid w:val="00E312DB"/>
    <w:rsid w:val="00E342E0"/>
    <w:rsid w:val="00E42C1A"/>
    <w:rsid w:val="00E54F90"/>
    <w:rsid w:val="00E56659"/>
    <w:rsid w:val="00E65D06"/>
    <w:rsid w:val="00E862E3"/>
    <w:rsid w:val="00EA056F"/>
    <w:rsid w:val="00EA4E1B"/>
    <w:rsid w:val="00EA6087"/>
    <w:rsid w:val="00EC6F6F"/>
    <w:rsid w:val="00EE11ED"/>
    <w:rsid w:val="00EE3F20"/>
    <w:rsid w:val="00EF5CFF"/>
    <w:rsid w:val="00F05724"/>
    <w:rsid w:val="00F136C4"/>
    <w:rsid w:val="00F250D1"/>
    <w:rsid w:val="00F2777F"/>
    <w:rsid w:val="00F30661"/>
    <w:rsid w:val="00F32963"/>
    <w:rsid w:val="00F32EFE"/>
    <w:rsid w:val="00F52627"/>
    <w:rsid w:val="00F60824"/>
    <w:rsid w:val="00F8283C"/>
    <w:rsid w:val="00F86B4A"/>
    <w:rsid w:val="00F90B9A"/>
    <w:rsid w:val="00F917DA"/>
    <w:rsid w:val="00F9382A"/>
    <w:rsid w:val="00FA398D"/>
    <w:rsid w:val="00FA7D67"/>
    <w:rsid w:val="00FC658F"/>
    <w:rsid w:val="00FD3771"/>
    <w:rsid w:val="00FE7ACF"/>
    <w:rsid w:val="00FF1E47"/>
    <w:rsid w:val="00FF75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D6"/>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160E50"/>
    <w:rPr>
      <w:color w:val="0563C1" w:themeColor="hyperlink"/>
      <w:u w:val="single"/>
    </w:rPr>
  </w:style>
  <w:style w:type="character" w:customStyle="1" w:styleId="MenoPendente1">
    <w:name w:val="Menção Pendente1"/>
    <w:basedOn w:val="Fontepargpadro"/>
    <w:uiPriority w:val="99"/>
    <w:semiHidden/>
    <w:unhideWhenUsed/>
    <w:rsid w:val="00160E50"/>
    <w:rPr>
      <w:color w:val="605E5C"/>
      <w:shd w:val="clear" w:color="auto" w:fill="E1DFDD"/>
    </w:rPr>
  </w:style>
  <w:style w:type="paragraph" w:styleId="PargrafodaLista">
    <w:name w:val="List Paragraph"/>
    <w:basedOn w:val="Normal"/>
    <w:uiPriority w:val="34"/>
    <w:qFormat/>
    <w:rsid w:val="00991951"/>
    <w:pPr>
      <w:ind w:left="720"/>
      <w:contextualSpacing/>
    </w:pPr>
  </w:style>
  <w:style w:type="character" w:styleId="Refdecomentrio">
    <w:name w:val="annotation reference"/>
    <w:basedOn w:val="Fontepargpadro"/>
    <w:uiPriority w:val="99"/>
    <w:semiHidden/>
    <w:unhideWhenUsed/>
    <w:rsid w:val="00D66BE0"/>
    <w:rPr>
      <w:sz w:val="16"/>
      <w:szCs w:val="16"/>
    </w:rPr>
  </w:style>
  <w:style w:type="paragraph" w:styleId="Textodecomentrio">
    <w:name w:val="annotation text"/>
    <w:basedOn w:val="Normal"/>
    <w:link w:val="TextodecomentrioChar"/>
    <w:uiPriority w:val="99"/>
    <w:unhideWhenUsed/>
    <w:rsid w:val="00D66BE0"/>
    <w:pPr>
      <w:spacing w:line="240" w:lineRule="auto"/>
    </w:pPr>
    <w:rPr>
      <w:sz w:val="20"/>
      <w:szCs w:val="20"/>
    </w:rPr>
  </w:style>
  <w:style w:type="character" w:customStyle="1" w:styleId="TextodecomentrioChar">
    <w:name w:val="Texto de comentário Char"/>
    <w:basedOn w:val="Fontepargpadro"/>
    <w:link w:val="Textodecomentrio"/>
    <w:uiPriority w:val="99"/>
    <w:rsid w:val="00D66BE0"/>
    <w:rPr>
      <w:sz w:val="20"/>
      <w:szCs w:val="20"/>
    </w:rPr>
  </w:style>
  <w:style w:type="paragraph" w:styleId="Assuntodocomentrio">
    <w:name w:val="annotation subject"/>
    <w:basedOn w:val="Textodecomentrio"/>
    <w:next w:val="Textodecomentrio"/>
    <w:link w:val="AssuntodocomentrioChar"/>
    <w:uiPriority w:val="99"/>
    <w:semiHidden/>
    <w:unhideWhenUsed/>
    <w:rsid w:val="00D66BE0"/>
    <w:rPr>
      <w:b/>
      <w:bCs/>
    </w:rPr>
  </w:style>
  <w:style w:type="character" w:customStyle="1" w:styleId="AssuntodocomentrioChar">
    <w:name w:val="Assunto do comentário Char"/>
    <w:basedOn w:val="TextodecomentrioChar"/>
    <w:link w:val="Assuntodocomentrio"/>
    <w:uiPriority w:val="99"/>
    <w:semiHidden/>
    <w:rsid w:val="00D66BE0"/>
    <w:rPr>
      <w:b/>
      <w:bCs/>
      <w:sz w:val="20"/>
      <w:szCs w:val="20"/>
    </w:rPr>
  </w:style>
  <w:style w:type="paragraph" w:styleId="Reviso">
    <w:name w:val="Revision"/>
    <w:hidden/>
    <w:uiPriority w:val="99"/>
    <w:semiHidden/>
    <w:rsid w:val="00C253BF"/>
    <w:pPr>
      <w:spacing w:after="0" w:line="240" w:lineRule="auto"/>
    </w:pPr>
  </w:style>
  <w:style w:type="character" w:styleId="TextodoEspaoReservado">
    <w:name w:val="Placeholder Text"/>
    <w:basedOn w:val="Fontepargpadro"/>
    <w:uiPriority w:val="99"/>
    <w:semiHidden/>
    <w:rsid w:val="00854129"/>
    <w:rPr>
      <w:color w:val="808080"/>
    </w:rPr>
  </w:style>
  <w:style w:type="table" w:styleId="Tabelacomgrade">
    <w:name w:val="Table Grid"/>
    <w:basedOn w:val="Tabelanormal"/>
    <w:uiPriority w:val="39"/>
    <w:rsid w:val="00854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24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fmzzotin@gmail.com"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luzamparopalacio@gmail.com"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B2B69-69DD-46AC-9EA6-175A44791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3160</Words>
  <Characters>17069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Suelen Stutz</cp:lastModifiedBy>
  <cp:revision>6</cp:revision>
  <dcterms:created xsi:type="dcterms:W3CDTF">2023-06-19T17:15:00Z</dcterms:created>
  <dcterms:modified xsi:type="dcterms:W3CDTF">2023-06-20T15:16:00Z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