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498B06" w14:textId="35AC8CAE" w:rsidR="004B700F" w:rsidRPr="007F18E2" w:rsidRDefault="00F4054D" w:rsidP="007F18E2">
      <w:pPr>
        <w:pStyle w:val="BATitle"/>
        <w:spacing w:before="0" w:line="240" w:lineRule="auto"/>
        <w:ind w:right="0"/>
        <w:jc w:val="both"/>
        <w:rPr>
          <w:sz w:val="32"/>
          <w:lang w:val="pt-BR"/>
        </w:rPr>
      </w:pPr>
      <w:r w:rsidRPr="001976C3">
        <w:rPr>
          <w:sz w:val="32"/>
          <w:lang w:val="pt-BR"/>
        </w:rPr>
        <w:t xml:space="preserve">Pirólise catalítica de resíduos de uva </w:t>
      </w:r>
      <w:r w:rsidR="005B304A">
        <w:rPr>
          <w:sz w:val="32"/>
          <w:lang w:val="pt-BR"/>
        </w:rPr>
        <w:t>sobre</w:t>
      </w:r>
      <w:r w:rsidR="005B304A" w:rsidRPr="001976C3">
        <w:rPr>
          <w:sz w:val="32"/>
          <w:lang w:val="pt-BR"/>
        </w:rPr>
        <w:t xml:space="preserve"> </w:t>
      </w:r>
      <w:r w:rsidRPr="001976C3">
        <w:rPr>
          <w:sz w:val="32"/>
          <w:lang w:val="pt-BR"/>
        </w:rPr>
        <w:t xml:space="preserve">argilas ácidas </w:t>
      </w:r>
    </w:p>
    <w:p w14:paraId="522A7406" w14:textId="50599F0A" w:rsidR="00CA5FBD" w:rsidRPr="00CA5FBD" w:rsidRDefault="00CA5FBD" w:rsidP="00F4054D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CA5FBD">
        <w:rPr>
          <w:rFonts w:ascii="Times New Roman" w:hAnsi="Times New Roman"/>
          <w:sz w:val="20"/>
          <w:lang w:val="pt-BR"/>
        </w:rPr>
        <w:t xml:space="preserve">Amanda </w:t>
      </w:r>
      <w:r w:rsidR="003E2E12">
        <w:rPr>
          <w:rFonts w:ascii="Times New Roman" w:hAnsi="Times New Roman"/>
          <w:sz w:val="20"/>
          <w:lang w:val="pt-BR"/>
        </w:rPr>
        <w:t>R</w:t>
      </w:r>
      <w:r w:rsidR="00E77A5B">
        <w:rPr>
          <w:rFonts w:ascii="Times New Roman" w:hAnsi="Times New Roman"/>
          <w:sz w:val="20"/>
          <w:lang w:val="pt-BR"/>
        </w:rPr>
        <w:t>.</w:t>
      </w:r>
      <w:r w:rsidR="003E2E12">
        <w:rPr>
          <w:rFonts w:ascii="Times New Roman" w:hAnsi="Times New Roman"/>
          <w:sz w:val="20"/>
          <w:lang w:val="pt-BR"/>
        </w:rPr>
        <w:t xml:space="preserve"> </w:t>
      </w:r>
      <w:r w:rsidRPr="00CA5FBD">
        <w:rPr>
          <w:rFonts w:ascii="Times New Roman" w:hAnsi="Times New Roman"/>
          <w:sz w:val="20"/>
          <w:lang w:val="pt-BR"/>
        </w:rPr>
        <w:t>Mallmann</w:t>
      </w:r>
      <w:r w:rsidRPr="00CA5FBD">
        <w:rPr>
          <w:rFonts w:ascii="Times New Roman" w:hAnsi="Times New Roman"/>
          <w:sz w:val="20"/>
          <w:vertAlign w:val="superscript"/>
          <w:lang w:val="pt-BR"/>
        </w:rPr>
        <w:t>1</w:t>
      </w:r>
      <w:r w:rsidRPr="00CA5FBD">
        <w:rPr>
          <w:rFonts w:ascii="Times New Roman" w:hAnsi="Times New Roman"/>
          <w:sz w:val="20"/>
          <w:lang w:val="pt-BR"/>
        </w:rPr>
        <w:t xml:space="preserve">, </w:t>
      </w:r>
      <w:r w:rsidR="00C00373" w:rsidRPr="00CA5FBD">
        <w:rPr>
          <w:rFonts w:ascii="Times New Roman" w:hAnsi="Times New Roman"/>
          <w:sz w:val="20"/>
          <w:lang w:val="pt-BR"/>
        </w:rPr>
        <w:t>Francieli M</w:t>
      </w:r>
      <w:r w:rsidR="00E77A5B">
        <w:rPr>
          <w:rFonts w:ascii="Times New Roman" w:hAnsi="Times New Roman"/>
          <w:sz w:val="20"/>
          <w:lang w:val="pt-BR"/>
        </w:rPr>
        <w:t>.</w:t>
      </w:r>
      <w:r w:rsidR="00C00373" w:rsidRPr="00CA5FBD">
        <w:rPr>
          <w:rFonts w:ascii="Times New Roman" w:hAnsi="Times New Roman"/>
          <w:sz w:val="20"/>
          <w:lang w:val="pt-BR"/>
        </w:rPr>
        <w:t xml:space="preserve"> Mayer</w:t>
      </w:r>
      <w:r w:rsidR="00C00373" w:rsidRPr="00CA5FBD">
        <w:rPr>
          <w:rFonts w:ascii="Times New Roman" w:hAnsi="Times New Roman"/>
          <w:sz w:val="20"/>
          <w:vertAlign w:val="superscript"/>
          <w:lang w:val="pt-BR"/>
        </w:rPr>
        <w:t>1</w:t>
      </w:r>
      <w:r w:rsidR="00C00373" w:rsidRPr="00C00373">
        <w:rPr>
          <w:rFonts w:ascii="Times New Roman" w:hAnsi="Times New Roman"/>
          <w:sz w:val="20"/>
          <w:lang w:val="pt-BR"/>
        </w:rPr>
        <w:t>,</w:t>
      </w:r>
      <w:r w:rsidR="00C00373">
        <w:rPr>
          <w:rFonts w:ascii="Times New Roman" w:hAnsi="Times New Roman"/>
          <w:sz w:val="20"/>
          <w:lang w:val="pt-BR"/>
        </w:rPr>
        <w:t xml:space="preserve"> </w:t>
      </w:r>
      <w:r w:rsidRPr="00CA5FBD">
        <w:rPr>
          <w:rFonts w:ascii="Times New Roman" w:hAnsi="Times New Roman"/>
          <w:sz w:val="20"/>
          <w:lang w:val="pt-BR"/>
        </w:rPr>
        <w:t xml:space="preserve">Arthur </w:t>
      </w:r>
      <w:r w:rsidR="000B61CC">
        <w:rPr>
          <w:rFonts w:ascii="Times New Roman" w:hAnsi="Times New Roman"/>
          <w:sz w:val="20"/>
          <w:lang w:val="pt-BR"/>
        </w:rPr>
        <w:t>M</w:t>
      </w:r>
      <w:r w:rsidR="00E77A5B">
        <w:rPr>
          <w:rFonts w:ascii="Times New Roman" w:hAnsi="Times New Roman"/>
          <w:sz w:val="20"/>
          <w:lang w:val="pt-BR"/>
        </w:rPr>
        <w:t>.</w:t>
      </w:r>
      <w:r w:rsidR="000B61CC">
        <w:rPr>
          <w:rFonts w:ascii="Times New Roman" w:hAnsi="Times New Roman"/>
          <w:sz w:val="20"/>
          <w:lang w:val="pt-BR"/>
        </w:rPr>
        <w:t xml:space="preserve"> de </w:t>
      </w:r>
      <w:r w:rsidRPr="00CA5FBD">
        <w:rPr>
          <w:rFonts w:ascii="Times New Roman" w:hAnsi="Times New Roman"/>
          <w:sz w:val="20"/>
          <w:lang w:val="pt-BR"/>
        </w:rPr>
        <w:t>Andrade</w:t>
      </w:r>
      <w:r w:rsidRPr="00CA5FBD">
        <w:rPr>
          <w:rFonts w:ascii="Times New Roman" w:hAnsi="Times New Roman"/>
          <w:sz w:val="20"/>
          <w:vertAlign w:val="superscript"/>
          <w:lang w:val="pt-BR"/>
        </w:rPr>
        <w:t>1</w:t>
      </w:r>
      <w:r w:rsidRPr="00CA5FBD">
        <w:rPr>
          <w:rFonts w:ascii="Times New Roman" w:hAnsi="Times New Roman"/>
          <w:sz w:val="20"/>
          <w:lang w:val="pt-BR"/>
        </w:rPr>
        <w:t>,</w:t>
      </w:r>
      <w:r w:rsidR="00C00373">
        <w:rPr>
          <w:rFonts w:ascii="Times New Roman" w:hAnsi="Times New Roman"/>
          <w:sz w:val="20"/>
          <w:lang w:val="pt-BR"/>
        </w:rPr>
        <w:t xml:space="preserve"> </w:t>
      </w:r>
      <w:r w:rsidRPr="00CA5FBD">
        <w:rPr>
          <w:rFonts w:ascii="Times New Roman" w:hAnsi="Times New Roman"/>
          <w:sz w:val="20"/>
          <w:lang w:val="pt-BR"/>
        </w:rPr>
        <w:t>Anderson J</w:t>
      </w:r>
      <w:r w:rsidR="00E77A5B">
        <w:rPr>
          <w:rFonts w:ascii="Times New Roman" w:hAnsi="Times New Roman"/>
          <w:sz w:val="20"/>
          <w:lang w:val="pt-BR"/>
        </w:rPr>
        <w:t>.</w:t>
      </w:r>
      <w:r w:rsidRPr="00CA5FBD">
        <w:rPr>
          <w:rFonts w:ascii="Times New Roman" w:hAnsi="Times New Roman"/>
          <w:sz w:val="20"/>
          <w:lang w:val="pt-BR"/>
        </w:rPr>
        <w:t xml:space="preserve"> Schwanke</w:t>
      </w:r>
      <w:r w:rsidRPr="00CA5FBD">
        <w:rPr>
          <w:rFonts w:ascii="Times New Roman" w:hAnsi="Times New Roman"/>
          <w:sz w:val="20"/>
          <w:vertAlign w:val="superscript"/>
          <w:lang w:val="pt-BR"/>
        </w:rPr>
        <w:t>1</w:t>
      </w:r>
      <w:r w:rsidRPr="00CA5FBD">
        <w:rPr>
          <w:rFonts w:ascii="Times New Roman" w:hAnsi="Times New Roman"/>
          <w:sz w:val="20"/>
          <w:lang w:val="pt-BR"/>
        </w:rPr>
        <w:t xml:space="preserve">, </w:t>
      </w:r>
      <w:r w:rsidR="009240DD">
        <w:rPr>
          <w:rFonts w:ascii="Times New Roman" w:hAnsi="Times New Roman"/>
          <w:sz w:val="20"/>
          <w:lang w:val="pt-BR"/>
        </w:rPr>
        <w:t>Dóriz Ruiz</w:t>
      </w:r>
      <w:r w:rsidR="00A55F72" w:rsidRPr="00A55F72">
        <w:rPr>
          <w:rFonts w:ascii="Times New Roman" w:hAnsi="Times New Roman"/>
          <w:sz w:val="20"/>
          <w:vertAlign w:val="superscript"/>
          <w:lang w:val="pt-BR"/>
        </w:rPr>
        <w:t>2</w:t>
      </w:r>
      <w:r w:rsidR="009240DD">
        <w:rPr>
          <w:rFonts w:ascii="Times New Roman" w:hAnsi="Times New Roman"/>
          <w:sz w:val="20"/>
          <w:lang w:val="pt-BR"/>
        </w:rPr>
        <w:t xml:space="preserve">, </w:t>
      </w:r>
      <w:r w:rsidRPr="00CA5FBD">
        <w:rPr>
          <w:rFonts w:ascii="Times New Roman" w:hAnsi="Times New Roman"/>
          <w:sz w:val="20"/>
          <w:lang w:val="pt-BR"/>
        </w:rPr>
        <w:t>Maria do C</w:t>
      </w:r>
      <w:r w:rsidR="001905BC">
        <w:rPr>
          <w:rFonts w:ascii="Times New Roman" w:hAnsi="Times New Roman"/>
          <w:sz w:val="20"/>
          <w:lang w:val="pt-BR"/>
        </w:rPr>
        <w:t>armo</w:t>
      </w:r>
      <w:r w:rsidRPr="00CA5FBD">
        <w:rPr>
          <w:rFonts w:ascii="Times New Roman" w:hAnsi="Times New Roman"/>
          <w:sz w:val="20"/>
          <w:lang w:val="pt-BR"/>
        </w:rPr>
        <w:t xml:space="preserve"> Rangel</w:t>
      </w:r>
      <w:r w:rsidRPr="00CA5FBD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*</w:t>
      </w:r>
    </w:p>
    <w:p w14:paraId="22D38595" w14:textId="6CFE90BD" w:rsidR="00EA4E1B" w:rsidRDefault="00EA4E1B" w:rsidP="00641741">
      <w:pPr>
        <w:spacing w:after="0"/>
        <w:jc w:val="both"/>
        <w:rPr>
          <w:rFonts w:ascii="Times" w:eastAsia="Times New Roman" w:hAnsi="Times" w:cs="Times New Roman"/>
          <w:i/>
          <w:sz w:val="20"/>
          <w:szCs w:val="20"/>
          <w:lang w:eastAsia="pt-BR"/>
        </w:rPr>
      </w:pPr>
      <w:r w:rsidRPr="00C030E8">
        <w:rPr>
          <w:rFonts w:ascii="Times" w:eastAsia="Times New Roman" w:hAnsi="Times" w:cs="Times New Roman"/>
          <w:i/>
          <w:sz w:val="20"/>
          <w:szCs w:val="20"/>
          <w:vertAlign w:val="superscript"/>
          <w:lang w:eastAsia="pt-BR"/>
        </w:rPr>
        <w:t>1</w:t>
      </w:r>
      <w:r w:rsidR="00253794" w:rsidRPr="00641741">
        <w:rPr>
          <w:rFonts w:ascii="Times" w:eastAsia="Times New Roman" w:hAnsi="Times" w:cs="Times New Roman"/>
          <w:i/>
          <w:sz w:val="20"/>
          <w:szCs w:val="20"/>
          <w:lang w:eastAsia="pt-BR"/>
        </w:rPr>
        <w:t>Universidade Federal do Rio Grande do Sul</w:t>
      </w:r>
      <w:r w:rsidR="002B640A"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, </w:t>
      </w:r>
      <w:r w:rsidR="002B640A" w:rsidRPr="00781BFB">
        <w:rPr>
          <w:rFonts w:ascii="Times" w:eastAsia="Times New Roman" w:hAnsi="Times" w:cs="Times New Roman"/>
          <w:i/>
          <w:sz w:val="20"/>
          <w:szCs w:val="20"/>
          <w:lang w:eastAsia="pt-BR"/>
        </w:rPr>
        <w:t>Departamento de Química Inorgânica, Av. Bento Gonçalves, 9500. Agronomia. 90650-001 Porto Alegre, RS, Brasil</w:t>
      </w:r>
    </w:p>
    <w:p w14:paraId="7E273069" w14:textId="21F951C3" w:rsidR="00A55F72" w:rsidRPr="00950B6C" w:rsidRDefault="00A55F72" w:rsidP="00950B6C">
      <w:pPr>
        <w:spacing w:after="0"/>
        <w:jc w:val="both"/>
        <w:rPr>
          <w:rFonts w:ascii="Times" w:eastAsia="Times New Roman" w:hAnsi="Times" w:cs="Times New Roman"/>
          <w:i/>
          <w:sz w:val="20"/>
          <w:szCs w:val="20"/>
          <w:vertAlign w:val="superscript"/>
          <w:lang w:val="es-ES" w:eastAsia="pt-BR"/>
        </w:rPr>
      </w:pPr>
      <w:r w:rsidRPr="00950B6C">
        <w:rPr>
          <w:rFonts w:ascii="Times" w:eastAsia="Times New Roman" w:hAnsi="Times" w:cs="Times New Roman"/>
          <w:i/>
          <w:sz w:val="20"/>
          <w:szCs w:val="20"/>
          <w:vertAlign w:val="superscript"/>
          <w:lang w:val="es-ES" w:eastAsia="pt-BR"/>
        </w:rPr>
        <w:t>2</w:t>
      </w:r>
      <w:r w:rsidR="00A25D72" w:rsidRPr="00950B6C">
        <w:rPr>
          <w:sz w:val="18"/>
          <w:szCs w:val="20"/>
          <w:lang w:val="es-ES"/>
        </w:rPr>
        <w:t xml:space="preserve"> </w:t>
      </w:r>
      <w:r w:rsidR="00A25D72" w:rsidRPr="00950B6C">
        <w:rPr>
          <w:rFonts w:ascii="Times" w:eastAsia="Times New Roman" w:hAnsi="Times" w:cs="Times New Roman"/>
          <w:i/>
          <w:sz w:val="20"/>
          <w:szCs w:val="20"/>
          <w:lang w:val="es-ES" w:eastAsia="pt-BR"/>
        </w:rPr>
        <w:t xml:space="preserve">Universidad de Concepción, </w:t>
      </w:r>
      <w:r w:rsidR="00950B6C" w:rsidRPr="00950B6C">
        <w:rPr>
          <w:rFonts w:ascii="Times" w:eastAsia="Times New Roman" w:hAnsi="Times" w:cs="Times New Roman"/>
          <w:i/>
          <w:sz w:val="20"/>
          <w:szCs w:val="20"/>
          <w:lang w:val="es-ES" w:eastAsia="pt-BR"/>
        </w:rPr>
        <w:t>Edmundo Larenas 129, Casilla 160-</w:t>
      </w:r>
      <w:r w:rsidR="00A25D72" w:rsidRPr="00950B6C">
        <w:rPr>
          <w:rFonts w:ascii="Times" w:eastAsia="Times New Roman" w:hAnsi="Times" w:cs="Times New Roman"/>
          <w:i/>
          <w:sz w:val="20"/>
          <w:szCs w:val="20"/>
          <w:lang w:val="es-ES" w:eastAsia="pt-BR"/>
        </w:rPr>
        <w:t>Chile</w:t>
      </w:r>
      <w:r w:rsidR="00950B6C" w:rsidRPr="00950B6C">
        <w:rPr>
          <w:rFonts w:ascii="Times" w:eastAsia="Times New Roman" w:hAnsi="Times" w:cs="Times New Roman"/>
          <w:i/>
          <w:sz w:val="20"/>
          <w:szCs w:val="20"/>
          <w:lang w:val="es-ES" w:eastAsia="pt-BR"/>
        </w:rPr>
        <w:t xml:space="preserve"> </w:t>
      </w:r>
    </w:p>
    <w:p w14:paraId="3708F9FB" w14:textId="3D37C901" w:rsidR="007E6425" w:rsidRPr="00000E4C" w:rsidRDefault="007E6425" w:rsidP="00000E4C">
      <w:pPr>
        <w:spacing w:after="0"/>
        <w:jc w:val="both"/>
        <w:rPr>
          <w:rFonts w:ascii="Times" w:eastAsia="Times New Roman" w:hAnsi="Times" w:cs="Times New Roman"/>
          <w:i/>
          <w:sz w:val="20"/>
          <w:szCs w:val="20"/>
          <w:lang w:eastAsia="pt-BR"/>
        </w:rPr>
      </w:pPr>
      <w:r w:rsidRPr="00641741">
        <w:rPr>
          <w:rFonts w:ascii="Times" w:eastAsia="Times New Roman" w:hAnsi="Times" w:cs="Times New Roman"/>
          <w:i/>
          <w:sz w:val="20"/>
          <w:szCs w:val="20"/>
          <w:lang w:eastAsia="pt-BR"/>
        </w:rPr>
        <w:t>e-mail: maria.rangel@ufrgs.br</w:t>
      </w:r>
    </w:p>
    <w:bookmarkEnd w:id="0"/>
    <w:p w14:paraId="238E7EC1" w14:textId="5D4AB3B8" w:rsidR="00AF0400" w:rsidRDefault="00AF0400" w:rsidP="006D6A2D">
      <w:pPr>
        <w:pStyle w:val="BDAbstract"/>
        <w:pBdr>
          <w:bottom w:val="single" w:sz="6" w:space="0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065CE62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065CE62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E410CB" w14:textId="77777777" w:rsidR="00F211B0" w:rsidRDefault="00F211B0" w:rsidP="003623E6">
      <w:pPr>
        <w:pStyle w:val="TAMainText"/>
        <w:rPr>
          <w:rFonts w:ascii="Times New Roman" w:hAnsi="Times New Roman"/>
          <w:lang w:val="pt-BR"/>
        </w:rPr>
      </w:pPr>
    </w:p>
    <w:p w14:paraId="6AE90D67" w14:textId="3AA2A971" w:rsidR="00EA4E1B" w:rsidRPr="00950B6C" w:rsidRDefault="00EA4E1B" w:rsidP="00477892">
      <w:pPr>
        <w:pStyle w:val="TAMainText"/>
        <w:ind w:firstLine="0"/>
        <w:rPr>
          <w:color w:val="FF0000"/>
          <w:lang w:val="pt-BR"/>
        </w:rPr>
      </w:pPr>
      <w:r>
        <w:rPr>
          <w:rFonts w:ascii="Times New Roman" w:hAnsi="Times New Roman"/>
          <w:lang w:val="pt-BR"/>
        </w:rPr>
        <w:t xml:space="preserve">RESUMO </w:t>
      </w:r>
      <w:r w:rsidR="00B24433">
        <w:rPr>
          <w:rFonts w:ascii="Times New Roman" w:hAnsi="Times New Roman"/>
          <w:lang w:val="pt-BR"/>
        </w:rPr>
        <w:t>–</w:t>
      </w:r>
      <w:r w:rsidR="00E8744B">
        <w:rPr>
          <w:rFonts w:ascii="Times New Roman" w:hAnsi="Times New Roman"/>
          <w:lang w:val="pt-BR"/>
        </w:rPr>
        <w:t xml:space="preserve"> </w:t>
      </w:r>
      <w:r w:rsidR="000410EA" w:rsidRPr="000410EA">
        <w:rPr>
          <w:rFonts w:ascii="Times New Roman" w:hAnsi="Times New Roman"/>
          <w:lang w:val="pt-BR"/>
        </w:rPr>
        <w:t xml:space="preserve">A pirólise </w:t>
      </w:r>
      <w:r w:rsidR="008D055A">
        <w:rPr>
          <w:rFonts w:ascii="Times New Roman" w:hAnsi="Times New Roman"/>
          <w:lang w:val="pt-BR"/>
        </w:rPr>
        <w:t>catalítica</w:t>
      </w:r>
      <w:r w:rsidR="000410EA">
        <w:rPr>
          <w:rFonts w:ascii="Times New Roman" w:hAnsi="Times New Roman"/>
          <w:lang w:val="pt-BR"/>
        </w:rPr>
        <w:t xml:space="preserve"> </w:t>
      </w:r>
      <w:r w:rsidR="000410EA" w:rsidRPr="000410EA">
        <w:rPr>
          <w:rFonts w:ascii="Times New Roman" w:hAnsi="Times New Roman"/>
          <w:lang w:val="pt-BR"/>
        </w:rPr>
        <w:t>d</w:t>
      </w:r>
      <w:r w:rsidR="000410EA">
        <w:rPr>
          <w:rFonts w:ascii="Times New Roman" w:hAnsi="Times New Roman"/>
          <w:lang w:val="pt-BR"/>
        </w:rPr>
        <w:t>a</w:t>
      </w:r>
      <w:r w:rsidR="000410EA" w:rsidRPr="000410EA">
        <w:rPr>
          <w:rFonts w:ascii="Times New Roman" w:hAnsi="Times New Roman"/>
          <w:lang w:val="pt-BR"/>
        </w:rPr>
        <w:t xml:space="preserve"> biomassa</w:t>
      </w:r>
      <w:r w:rsidR="000410EA">
        <w:rPr>
          <w:rFonts w:ascii="Times New Roman" w:hAnsi="Times New Roman"/>
          <w:lang w:val="pt-BR"/>
        </w:rPr>
        <w:t xml:space="preserve"> lignocelulósica </w:t>
      </w:r>
      <w:r w:rsidR="000410EA" w:rsidRPr="000410EA">
        <w:rPr>
          <w:rFonts w:ascii="Times New Roman" w:hAnsi="Times New Roman"/>
          <w:lang w:val="pt-BR"/>
        </w:rPr>
        <w:t xml:space="preserve">é uma importante rota </w:t>
      </w:r>
      <w:r w:rsidR="003F74FF">
        <w:rPr>
          <w:rFonts w:ascii="Times New Roman" w:hAnsi="Times New Roman"/>
          <w:lang w:val="pt-BR"/>
        </w:rPr>
        <w:t>para a</w:t>
      </w:r>
      <w:r w:rsidR="000410EA" w:rsidRPr="000410EA">
        <w:rPr>
          <w:rFonts w:ascii="Times New Roman" w:hAnsi="Times New Roman"/>
          <w:lang w:val="pt-BR"/>
        </w:rPr>
        <w:t xml:space="preserve"> obtenção de </w:t>
      </w:r>
      <w:r w:rsidR="000410EA">
        <w:rPr>
          <w:rFonts w:ascii="Times New Roman" w:hAnsi="Times New Roman"/>
          <w:lang w:val="pt-BR"/>
        </w:rPr>
        <w:t xml:space="preserve">combustíveis e </w:t>
      </w:r>
      <w:r w:rsidR="000410EA" w:rsidRPr="000410EA">
        <w:rPr>
          <w:rFonts w:ascii="Times New Roman" w:hAnsi="Times New Roman"/>
          <w:lang w:val="pt-BR"/>
        </w:rPr>
        <w:t>produtos</w:t>
      </w:r>
      <w:r w:rsidR="008F0C51">
        <w:rPr>
          <w:rFonts w:ascii="Times New Roman" w:hAnsi="Times New Roman"/>
          <w:lang w:val="pt-BR"/>
        </w:rPr>
        <w:t xml:space="preserve"> </w:t>
      </w:r>
      <w:r w:rsidR="003F74FF">
        <w:rPr>
          <w:rFonts w:ascii="Times New Roman" w:hAnsi="Times New Roman"/>
          <w:lang w:val="pt-BR"/>
        </w:rPr>
        <w:t>químicos de</w:t>
      </w:r>
      <w:r w:rsidR="000410EA" w:rsidRPr="000410EA">
        <w:rPr>
          <w:rFonts w:ascii="Times New Roman" w:hAnsi="Times New Roman"/>
          <w:lang w:val="pt-BR"/>
        </w:rPr>
        <w:t xml:space="preserve"> </w:t>
      </w:r>
      <w:r w:rsidR="000410EA">
        <w:rPr>
          <w:rFonts w:ascii="Times New Roman" w:hAnsi="Times New Roman"/>
          <w:lang w:val="pt-BR"/>
        </w:rPr>
        <w:t>alto valor agregado</w:t>
      </w:r>
      <w:r w:rsidR="001263D6">
        <w:rPr>
          <w:rFonts w:ascii="Times New Roman" w:hAnsi="Times New Roman"/>
          <w:lang w:val="pt-BR"/>
        </w:rPr>
        <w:t xml:space="preserve">. </w:t>
      </w:r>
      <w:r w:rsidR="00950B6C">
        <w:rPr>
          <w:rFonts w:ascii="Times New Roman" w:hAnsi="Times New Roman"/>
          <w:color w:val="000000" w:themeColor="text1"/>
          <w:lang w:val="pt-BR"/>
        </w:rPr>
        <w:t>Portanto</w:t>
      </w:r>
      <w:r w:rsidR="00A14D17" w:rsidRPr="009E5021">
        <w:rPr>
          <w:rFonts w:ascii="Times New Roman" w:hAnsi="Times New Roman"/>
          <w:color w:val="000000" w:themeColor="text1"/>
          <w:lang w:val="pt-BR"/>
        </w:rPr>
        <w:t xml:space="preserve">, </w:t>
      </w:r>
      <w:r w:rsidR="006800FB" w:rsidRPr="009E5021">
        <w:rPr>
          <w:rFonts w:ascii="Times New Roman" w:hAnsi="Times New Roman"/>
          <w:color w:val="000000" w:themeColor="text1"/>
          <w:lang w:val="pt-BR"/>
        </w:rPr>
        <w:t>a</w:t>
      </w:r>
      <w:r w:rsidR="008D055A" w:rsidRPr="009E5021">
        <w:rPr>
          <w:rFonts w:ascii="Times New Roman" w:hAnsi="Times New Roman"/>
          <w:color w:val="000000" w:themeColor="text1"/>
          <w:lang w:val="pt-BR"/>
        </w:rPr>
        <w:t xml:space="preserve"> busca por </w:t>
      </w:r>
      <w:r w:rsidR="00762E13" w:rsidRPr="009E5021">
        <w:rPr>
          <w:rFonts w:ascii="Times New Roman" w:hAnsi="Times New Roman"/>
          <w:color w:val="000000" w:themeColor="text1"/>
          <w:lang w:val="pt-BR"/>
        </w:rPr>
        <w:t xml:space="preserve">novos </w:t>
      </w:r>
      <w:r w:rsidR="008D055A" w:rsidRPr="009E5021">
        <w:rPr>
          <w:rFonts w:ascii="Times New Roman" w:hAnsi="Times New Roman"/>
          <w:color w:val="000000" w:themeColor="text1"/>
          <w:lang w:val="pt-BR"/>
        </w:rPr>
        <w:t xml:space="preserve">catalisadores </w:t>
      </w:r>
      <w:r w:rsidR="006800FB" w:rsidRPr="009E5021">
        <w:rPr>
          <w:rFonts w:ascii="Times New Roman" w:hAnsi="Times New Roman"/>
          <w:color w:val="000000" w:themeColor="text1"/>
          <w:lang w:val="pt-BR"/>
        </w:rPr>
        <w:t>e a</w:t>
      </w:r>
      <w:r w:rsidR="006B5529" w:rsidRPr="009E5021">
        <w:rPr>
          <w:rFonts w:ascii="Times New Roman" w:hAnsi="Times New Roman"/>
          <w:color w:val="000000" w:themeColor="text1"/>
          <w:lang w:val="pt-BR"/>
        </w:rPr>
        <w:t xml:space="preserve"> modificação de </w:t>
      </w:r>
      <w:r w:rsidR="00762E13" w:rsidRPr="009E5021">
        <w:rPr>
          <w:rFonts w:ascii="Times New Roman" w:hAnsi="Times New Roman"/>
          <w:color w:val="000000" w:themeColor="text1"/>
          <w:lang w:val="pt-BR"/>
        </w:rPr>
        <w:t xml:space="preserve">catalisadores </w:t>
      </w:r>
      <w:r w:rsidR="00950B6C">
        <w:rPr>
          <w:rFonts w:ascii="Times New Roman" w:hAnsi="Times New Roman"/>
          <w:color w:val="000000" w:themeColor="text1"/>
          <w:lang w:val="pt-BR"/>
        </w:rPr>
        <w:t>convencionais</w:t>
      </w:r>
      <w:r w:rsidR="00FE3BB8">
        <w:rPr>
          <w:rFonts w:ascii="Times New Roman" w:hAnsi="Times New Roman"/>
          <w:color w:val="000000" w:themeColor="text1"/>
          <w:lang w:val="pt-BR"/>
        </w:rPr>
        <w:t>, para</w:t>
      </w:r>
      <w:r w:rsidR="00AB062D" w:rsidRPr="009E5021">
        <w:rPr>
          <w:rFonts w:ascii="Times New Roman" w:hAnsi="Times New Roman"/>
          <w:color w:val="000000" w:themeColor="text1"/>
          <w:lang w:val="pt-BR"/>
        </w:rPr>
        <w:t xml:space="preserve"> </w:t>
      </w:r>
      <w:r w:rsidR="00DC59AC" w:rsidRPr="009E5021">
        <w:rPr>
          <w:rFonts w:ascii="Times New Roman" w:hAnsi="Times New Roman"/>
          <w:color w:val="000000" w:themeColor="text1"/>
          <w:lang w:val="pt-BR"/>
        </w:rPr>
        <w:t xml:space="preserve">melhorar </w:t>
      </w:r>
      <w:r w:rsidR="00762E13" w:rsidRPr="009E5021">
        <w:rPr>
          <w:rFonts w:ascii="Times New Roman" w:hAnsi="Times New Roman"/>
          <w:color w:val="000000" w:themeColor="text1"/>
          <w:lang w:val="pt-BR"/>
        </w:rPr>
        <w:t>seu</w:t>
      </w:r>
      <w:r w:rsidR="00DC59AC" w:rsidRPr="009E5021">
        <w:rPr>
          <w:rFonts w:ascii="Times New Roman" w:hAnsi="Times New Roman"/>
          <w:color w:val="000000" w:themeColor="text1"/>
          <w:lang w:val="pt-BR"/>
        </w:rPr>
        <w:t xml:space="preserve"> desempenho</w:t>
      </w:r>
      <w:r w:rsidR="00FE3BB8">
        <w:rPr>
          <w:rFonts w:ascii="Times New Roman" w:hAnsi="Times New Roman"/>
          <w:color w:val="000000" w:themeColor="text1"/>
          <w:lang w:val="pt-BR"/>
        </w:rPr>
        <w:t>,</w:t>
      </w:r>
      <w:r w:rsidR="00DC59AC" w:rsidRPr="009E5021">
        <w:rPr>
          <w:rFonts w:ascii="Times New Roman" w:hAnsi="Times New Roman"/>
          <w:color w:val="000000" w:themeColor="text1"/>
          <w:lang w:val="pt-BR"/>
        </w:rPr>
        <w:t xml:space="preserve"> </w:t>
      </w:r>
      <w:r w:rsidR="006800FB" w:rsidRPr="009E5021">
        <w:rPr>
          <w:rFonts w:ascii="Times New Roman" w:hAnsi="Times New Roman"/>
          <w:color w:val="000000" w:themeColor="text1"/>
          <w:lang w:val="pt-BR"/>
        </w:rPr>
        <w:t xml:space="preserve">são constantemente </w:t>
      </w:r>
      <w:r w:rsidR="00762E13" w:rsidRPr="009E5021">
        <w:rPr>
          <w:rFonts w:ascii="Times New Roman" w:hAnsi="Times New Roman"/>
          <w:color w:val="000000" w:themeColor="text1"/>
          <w:lang w:val="pt-BR"/>
        </w:rPr>
        <w:t>exploradas</w:t>
      </w:r>
      <w:r w:rsidR="00C5213B" w:rsidRPr="009E5021">
        <w:rPr>
          <w:rFonts w:ascii="Times New Roman" w:hAnsi="Times New Roman"/>
          <w:color w:val="000000" w:themeColor="text1"/>
          <w:lang w:val="pt-BR"/>
        </w:rPr>
        <w:t xml:space="preserve">. </w:t>
      </w:r>
      <w:r w:rsidR="00280C6B" w:rsidRPr="009E5021">
        <w:rPr>
          <w:rFonts w:ascii="Times New Roman" w:hAnsi="Times New Roman"/>
          <w:color w:val="000000" w:themeColor="text1"/>
          <w:lang w:val="pt-BR"/>
        </w:rPr>
        <w:t>Neste estudo, a</w:t>
      </w:r>
      <w:r w:rsidR="00B24433" w:rsidRPr="009E5021">
        <w:rPr>
          <w:rFonts w:ascii="Times New Roman" w:hAnsi="Times New Roman"/>
          <w:color w:val="000000" w:themeColor="text1"/>
          <w:lang w:val="pt-BR"/>
        </w:rPr>
        <w:t xml:space="preserve"> </w:t>
      </w:r>
      <w:r w:rsidR="00BE0D92" w:rsidRPr="009E5021">
        <w:rPr>
          <w:color w:val="000000" w:themeColor="text1"/>
          <w:lang w:val="pt-BR"/>
        </w:rPr>
        <w:t>montmoril</w:t>
      </w:r>
      <w:r w:rsidR="00D46574" w:rsidRPr="009E5021">
        <w:rPr>
          <w:color w:val="000000" w:themeColor="text1"/>
          <w:lang w:val="pt-BR"/>
        </w:rPr>
        <w:t>l</w:t>
      </w:r>
      <w:r w:rsidR="00BE0D92" w:rsidRPr="009E5021">
        <w:rPr>
          <w:color w:val="000000" w:themeColor="text1"/>
          <w:lang w:val="pt-BR"/>
        </w:rPr>
        <w:t xml:space="preserve">onita comercial (K10) foi submetida </w:t>
      </w:r>
      <w:r w:rsidR="00334C39" w:rsidRPr="009E5021">
        <w:rPr>
          <w:color w:val="000000" w:themeColor="text1"/>
          <w:lang w:val="pt-BR"/>
        </w:rPr>
        <w:t>a</w:t>
      </w:r>
      <w:r w:rsidR="00BE0D92" w:rsidRPr="009E5021">
        <w:rPr>
          <w:color w:val="000000" w:themeColor="text1"/>
          <w:lang w:val="pt-BR"/>
        </w:rPr>
        <w:t xml:space="preserve"> tratamento </w:t>
      </w:r>
      <w:r w:rsidR="007A022F" w:rsidRPr="009E5021">
        <w:rPr>
          <w:color w:val="000000" w:themeColor="text1"/>
          <w:lang w:val="pt-BR"/>
        </w:rPr>
        <w:t xml:space="preserve">com </w:t>
      </w:r>
      <w:r w:rsidR="00FE3BB8">
        <w:rPr>
          <w:color w:val="000000" w:themeColor="text1"/>
          <w:lang w:val="pt-BR"/>
        </w:rPr>
        <w:t>HCl</w:t>
      </w:r>
      <w:r w:rsidR="007140F8">
        <w:rPr>
          <w:color w:val="000000" w:themeColor="text1"/>
          <w:lang w:val="pt-BR"/>
        </w:rPr>
        <w:t xml:space="preserve"> </w:t>
      </w:r>
      <w:r w:rsidR="007A022F" w:rsidRPr="009E5021">
        <w:rPr>
          <w:color w:val="000000" w:themeColor="text1"/>
          <w:lang w:val="pt-BR"/>
        </w:rPr>
        <w:t>em diferentes concentrações</w:t>
      </w:r>
      <w:r w:rsidR="00E540BD" w:rsidRPr="009E5021">
        <w:rPr>
          <w:lang w:val="pt-BR"/>
        </w:rPr>
        <w:t>.</w:t>
      </w:r>
      <w:r w:rsidR="007140F8">
        <w:rPr>
          <w:lang w:val="pt-BR"/>
        </w:rPr>
        <w:t xml:space="preserve"> </w:t>
      </w:r>
      <w:r w:rsidR="002E0B02" w:rsidRPr="009E5021">
        <w:rPr>
          <w:lang w:val="pt-BR"/>
        </w:rPr>
        <w:t>O</w:t>
      </w:r>
      <w:r w:rsidR="002E0B02">
        <w:rPr>
          <w:lang w:val="pt-BR"/>
        </w:rPr>
        <w:t xml:space="preserve">s sólidos </w:t>
      </w:r>
      <w:r w:rsidR="00F83C1C">
        <w:rPr>
          <w:lang w:val="pt-BR"/>
        </w:rPr>
        <w:t xml:space="preserve">obtidos </w:t>
      </w:r>
      <w:r w:rsidR="002E0B02">
        <w:rPr>
          <w:lang w:val="pt-BR"/>
        </w:rPr>
        <w:t>foram ca</w:t>
      </w:r>
      <w:r w:rsidR="00ED3F75">
        <w:rPr>
          <w:lang w:val="pt-BR"/>
        </w:rPr>
        <w:t xml:space="preserve">racterizados </w:t>
      </w:r>
      <w:r w:rsidR="003623E6" w:rsidRPr="00EA7A2F">
        <w:rPr>
          <w:lang w:val="pt-BR"/>
        </w:rPr>
        <w:t>por difração de raios X</w:t>
      </w:r>
      <w:r w:rsidR="00ED3F75">
        <w:rPr>
          <w:lang w:val="pt-BR"/>
        </w:rPr>
        <w:t xml:space="preserve">, </w:t>
      </w:r>
      <w:r w:rsidR="00C369D3">
        <w:rPr>
          <w:lang w:val="pt-BR"/>
        </w:rPr>
        <w:t>medida de porosidade e</w:t>
      </w:r>
      <w:r w:rsidR="00AD6465">
        <w:rPr>
          <w:lang w:val="pt-BR"/>
        </w:rPr>
        <w:t xml:space="preserve"> </w:t>
      </w:r>
      <w:r w:rsidR="002E0B02" w:rsidRPr="002E0B02">
        <w:rPr>
          <w:lang w:val="pt-BR"/>
        </w:rPr>
        <w:t>dessorção de amônia à temperatura programada</w:t>
      </w:r>
      <w:r w:rsidR="00AD6465">
        <w:rPr>
          <w:lang w:val="pt-BR"/>
        </w:rPr>
        <w:t xml:space="preserve">. </w:t>
      </w:r>
      <w:r w:rsidR="00B6258D">
        <w:rPr>
          <w:lang w:val="pt-BR"/>
        </w:rPr>
        <w:t>Os</w:t>
      </w:r>
      <w:r w:rsidR="004E47CF">
        <w:rPr>
          <w:lang w:val="pt-BR"/>
        </w:rPr>
        <w:t xml:space="preserve"> catalisadores selecionados foram submetidos à pirólise catalítica d</w:t>
      </w:r>
      <w:r w:rsidR="00B6258D">
        <w:rPr>
          <w:lang w:val="pt-BR"/>
        </w:rPr>
        <w:t>o</w:t>
      </w:r>
      <w:r w:rsidR="004E47CF">
        <w:rPr>
          <w:lang w:val="pt-BR"/>
        </w:rPr>
        <w:t xml:space="preserve"> ba</w:t>
      </w:r>
      <w:r w:rsidR="00A7165A">
        <w:rPr>
          <w:lang w:val="pt-BR"/>
        </w:rPr>
        <w:t>gaço de uva</w:t>
      </w:r>
      <w:r w:rsidR="002F75E0">
        <w:rPr>
          <w:lang w:val="pt-BR"/>
        </w:rPr>
        <w:t xml:space="preserve"> para </w:t>
      </w:r>
      <w:r w:rsidR="00950B6C">
        <w:rPr>
          <w:lang w:val="pt-BR"/>
        </w:rPr>
        <w:t xml:space="preserve">a </w:t>
      </w:r>
      <w:r w:rsidR="002F75E0">
        <w:rPr>
          <w:lang w:val="pt-BR"/>
        </w:rPr>
        <w:t xml:space="preserve">determinação dos </w:t>
      </w:r>
      <w:r w:rsidR="002D24D8" w:rsidRPr="00781BFB">
        <w:rPr>
          <w:rFonts w:ascii="Times New Roman" w:hAnsi="Times New Roman"/>
          <w:lang w:val="pt-BR"/>
        </w:rPr>
        <w:t>parâmetros termocinéticos</w:t>
      </w:r>
      <w:r w:rsidR="00334C39">
        <w:rPr>
          <w:rFonts w:ascii="Times New Roman" w:hAnsi="Times New Roman"/>
          <w:lang w:val="pt-BR"/>
        </w:rPr>
        <w:t>,</w:t>
      </w:r>
      <w:r w:rsidR="002F75E0">
        <w:rPr>
          <w:rFonts w:ascii="Times New Roman" w:hAnsi="Times New Roman"/>
          <w:lang w:val="pt-BR"/>
        </w:rPr>
        <w:t xml:space="preserve"> através dos </w:t>
      </w:r>
      <w:r w:rsidR="002D24D8" w:rsidRPr="00781BFB">
        <w:rPr>
          <w:rFonts w:ascii="Times New Roman" w:hAnsi="Times New Roman"/>
          <w:lang w:val="pt-BR"/>
        </w:rPr>
        <w:t>métodos isoconversionais de Flynn-Wall-Ozawa (FWO), Kissinger-Akahira-Sunose (KAS) e Friedman.</w:t>
      </w:r>
      <w:r w:rsidR="004F5A24">
        <w:rPr>
          <w:rFonts w:ascii="Times New Roman" w:hAnsi="Times New Roman"/>
          <w:lang w:val="pt-BR"/>
        </w:rPr>
        <w:t xml:space="preserve"> De maneira geral, o </w:t>
      </w:r>
      <w:r w:rsidR="00BE786E">
        <w:rPr>
          <w:rFonts w:ascii="Times New Roman" w:hAnsi="Times New Roman"/>
          <w:lang w:val="pt-BR"/>
        </w:rPr>
        <w:t xml:space="preserve">tratamento </w:t>
      </w:r>
      <w:r w:rsidR="00950B6C">
        <w:rPr>
          <w:rFonts w:ascii="Times New Roman" w:hAnsi="Times New Roman"/>
          <w:lang w:val="pt-BR"/>
        </w:rPr>
        <w:t xml:space="preserve">ácido </w:t>
      </w:r>
      <w:r w:rsidR="00EE766F">
        <w:rPr>
          <w:rFonts w:ascii="Times New Roman" w:hAnsi="Times New Roman"/>
          <w:lang w:val="pt-BR"/>
        </w:rPr>
        <w:t>aumentou a quantidade de sítios ácidos e</w:t>
      </w:r>
      <w:r w:rsidR="004F5A24">
        <w:rPr>
          <w:rFonts w:ascii="Times New Roman" w:hAnsi="Times New Roman"/>
          <w:lang w:val="pt-BR"/>
        </w:rPr>
        <w:t xml:space="preserve"> criou sítios ácidos fortes.</w:t>
      </w:r>
      <w:r w:rsidR="00FE3FFB">
        <w:rPr>
          <w:lang w:val="pt-BR"/>
        </w:rPr>
        <w:t xml:space="preserve"> </w:t>
      </w:r>
      <w:r w:rsidR="002D24D8" w:rsidRPr="00781BFB">
        <w:rPr>
          <w:rFonts w:ascii="Times New Roman" w:hAnsi="Times New Roman"/>
          <w:lang w:val="pt-BR"/>
        </w:rPr>
        <w:t>O m</w:t>
      </w:r>
      <w:r w:rsidR="00950B6C">
        <w:rPr>
          <w:rFonts w:ascii="Times New Roman" w:hAnsi="Times New Roman"/>
          <w:lang w:val="pt-BR"/>
        </w:rPr>
        <w:t xml:space="preserve">odelo </w:t>
      </w:r>
      <w:r w:rsidR="002D24D8" w:rsidRPr="00781BFB">
        <w:rPr>
          <w:rFonts w:ascii="Times New Roman" w:hAnsi="Times New Roman"/>
          <w:lang w:val="pt-BR"/>
        </w:rPr>
        <w:t xml:space="preserve">de </w:t>
      </w:r>
      <w:r w:rsidR="00DB3F60">
        <w:rPr>
          <w:rFonts w:ascii="Times New Roman" w:hAnsi="Times New Roman"/>
          <w:lang w:val="pt-BR"/>
        </w:rPr>
        <w:t>FWO</w:t>
      </w:r>
      <w:r w:rsidR="00950B6C">
        <w:rPr>
          <w:rFonts w:ascii="Times New Roman" w:hAnsi="Times New Roman"/>
          <w:lang w:val="pt-BR"/>
        </w:rPr>
        <w:t xml:space="preserve"> foi aquele que melhor se ajustou aos </w:t>
      </w:r>
      <w:r w:rsidR="002D24D8" w:rsidRPr="00781BFB">
        <w:rPr>
          <w:rFonts w:ascii="Times New Roman" w:hAnsi="Times New Roman"/>
          <w:lang w:val="pt-BR"/>
        </w:rPr>
        <w:t>dados experimentais.</w:t>
      </w:r>
      <w:r w:rsidR="006A5C30">
        <w:rPr>
          <w:rFonts w:ascii="Times New Roman" w:hAnsi="Times New Roman"/>
          <w:lang w:val="pt-BR"/>
        </w:rPr>
        <w:t xml:space="preserve"> </w:t>
      </w:r>
      <w:r w:rsidR="00887B22">
        <w:rPr>
          <w:rFonts w:ascii="Times New Roman" w:hAnsi="Times New Roman"/>
          <w:lang w:val="pt-BR"/>
        </w:rPr>
        <w:t xml:space="preserve">A pirólise catalítica com </w:t>
      </w:r>
      <w:r w:rsidR="00AB78AE">
        <w:rPr>
          <w:rFonts w:ascii="Times New Roman" w:hAnsi="Times New Roman"/>
          <w:lang w:val="pt-BR"/>
        </w:rPr>
        <w:t>argila</w:t>
      </w:r>
      <w:r w:rsidR="000003E3">
        <w:rPr>
          <w:rFonts w:ascii="Times New Roman" w:hAnsi="Times New Roman"/>
          <w:lang w:val="pt-BR"/>
        </w:rPr>
        <w:t xml:space="preserve"> </w:t>
      </w:r>
      <w:r w:rsidR="00887B22">
        <w:rPr>
          <w:rFonts w:ascii="Times New Roman" w:hAnsi="Times New Roman"/>
          <w:lang w:val="pt-BR"/>
        </w:rPr>
        <w:t>tratad</w:t>
      </w:r>
      <w:r w:rsidR="00AB78AE">
        <w:rPr>
          <w:rFonts w:ascii="Times New Roman" w:hAnsi="Times New Roman"/>
          <w:lang w:val="pt-BR"/>
        </w:rPr>
        <w:t>a</w:t>
      </w:r>
      <w:r w:rsidR="00887B22">
        <w:rPr>
          <w:rFonts w:ascii="Times New Roman" w:hAnsi="Times New Roman"/>
          <w:lang w:val="pt-BR"/>
        </w:rPr>
        <w:t xml:space="preserve"> </w:t>
      </w:r>
      <w:r w:rsidR="007C5C0B">
        <w:rPr>
          <w:rFonts w:ascii="Times New Roman" w:hAnsi="Times New Roman"/>
          <w:lang w:val="pt-BR"/>
        </w:rPr>
        <w:t>com HCl na concentração de 4 mol L</w:t>
      </w:r>
      <w:r w:rsidR="007C5C0B" w:rsidRPr="007C5C0B">
        <w:rPr>
          <w:rFonts w:ascii="Times New Roman" w:hAnsi="Times New Roman"/>
          <w:vertAlign w:val="superscript"/>
          <w:lang w:val="pt-BR"/>
        </w:rPr>
        <w:t>-1</w:t>
      </w:r>
      <w:r w:rsidR="007C5C0B">
        <w:rPr>
          <w:rFonts w:ascii="Times New Roman" w:hAnsi="Times New Roman"/>
          <w:lang w:val="pt-BR"/>
        </w:rPr>
        <w:t xml:space="preserve"> (K104) </w:t>
      </w:r>
      <w:r w:rsidR="00CE58F0">
        <w:rPr>
          <w:rFonts w:ascii="Times New Roman" w:hAnsi="Times New Roman"/>
          <w:lang w:val="pt-BR"/>
        </w:rPr>
        <w:t>promove</w:t>
      </w:r>
      <w:r w:rsidR="00887B22">
        <w:rPr>
          <w:rFonts w:ascii="Times New Roman" w:hAnsi="Times New Roman"/>
          <w:lang w:val="pt-BR"/>
        </w:rPr>
        <w:t>u</w:t>
      </w:r>
      <w:r w:rsidR="00CE58F0">
        <w:rPr>
          <w:rFonts w:ascii="Times New Roman" w:hAnsi="Times New Roman"/>
          <w:lang w:val="pt-BR"/>
        </w:rPr>
        <w:t xml:space="preserve"> a </w:t>
      </w:r>
      <w:r w:rsidR="00D4453F">
        <w:rPr>
          <w:rFonts w:ascii="Times New Roman" w:hAnsi="Times New Roman"/>
          <w:lang w:val="pt-BR"/>
        </w:rPr>
        <w:t>diminu</w:t>
      </w:r>
      <w:r w:rsidR="00CE58F0">
        <w:rPr>
          <w:rFonts w:ascii="Times New Roman" w:hAnsi="Times New Roman"/>
          <w:lang w:val="pt-BR"/>
        </w:rPr>
        <w:t>ição</w:t>
      </w:r>
      <w:r w:rsidR="00D4453F">
        <w:rPr>
          <w:rFonts w:ascii="Times New Roman" w:hAnsi="Times New Roman"/>
          <w:lang w:val="pt-BR"/>
        </w:rPr>
        <w:t xml:space="preserve"> </w:t>
      </w:r>
      <w:r w:rsidR="00CE58F0">
        <w:rPr>
          <w:rFonts w:ascii="Times New Roman" w:hAnsi="Times New Roman"/>
          <w:lang w:val="pt-BR"/>
        </w:rPr>
        <w:t>d</w:t>
      </w:r>
      <w:r w:rsidR="00D4453F">
        <w:rPr>
          <w:rFonts w:ascii="Times New Roman" w:hAnsi="Times New Roman"/>
          <w:lang w:val="pt-BR"/>
        </w:rPr>
        <w:t>a energia de ativação</w:t>
      </w:r>
      <w:r w:rsidR="00CE58F0">
        <w:rPr>
          <w:rFonts w:ascii="Times New Roman" w:hAnsi="Times New Roman"/>
          <w:lang w:val="pt-BR"/>
        </w:rPr>
        <w:t xml:space="preserve"> quando comparad</w:t>
      </w:r>
      <w:r w:rsidR="00FE3BB8">
        <w:rPr>
          <w:rFonts w:ascii="Times New Roman" w:hAnsi="Times New Roman"/>
          <w:lang w:val="pt-BR"/>
        </w:rPr>
        <w:t>a</w:t>
      </w:r>
      <w:r w:rsidR="00CE58F0">
        <w:rPr>
          <w:rFonts w:ascii="Times New Roman" w:hAnsi="Times New Roman"/>
          <w:lang w:val="pt-BR"/>
        </w:rPr>
        <w:t xml:space="preserve"> </w:t>
      </w:r>
      <w:r w:rsidR="006435B0">
        <w:rPr>
          <w:rFonts w:ascii="Times New Roman" w:hAnsi="Times New Roman"/>
          <w:lang w:val="pt-BR"/>
        </w:rPr>
        <w:t xml:space="preserve">à pirólise </w:t>
      </w:r>
      <w:r w:rsidR="00FE3BB8">
        <w:rPr>
          <w:rFonts w:ascii="Times New Roman" w:hAnsi="Times New Roman"/>
          <w:lang w:val="pt-BR"/>
        </w:rPr>
        <w:t xml:space="preserve">com K10 e pirólise </w:t>
      </w:r>
      <w:r w:rsidR="006435B0">
        <w:rPr>
          <w:rFonts w:ascii="Times New Roman" w:hAnsi="Times New Roman"/>
          <w:lang w:val="pt-BR"/>
        </w:rPr>
        <w:t>não-catalítica.</w:t>
      </w:r>
    </w:p>
    <w:p w14:paraId="09B41B70" w14:textId="0E779E25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</w:t>
      </w:r>
      <w:r w:rsidR="00D323DD">
        <w:rPr>
          <w:rFonts w:ascii="Times New Roman" w:hAnsi="Times New Roman"/>
          <w:b w:val="0"/>
          <w:i/>
          <w:sz w:val="20"/>
          <w:lang w:val="pt-BR"/>
        </w:rPr>
        <w:t xml:space="preserve">: biomassa, </w:t>
      </w:r>
      <w:r w:rsidR="0085335F">
        <w:rPr>
          <w:rFonts w:ascii="Times New Roman" w:hAnsi="Times New Roman"/>
          <w:b w:val="0"/>
          <w:i/>
          <w:sz w:val="20"/>
          <w:lang w:val="pt-BR"/>
        </w:rPr>
        <w:t xml:space="preserve">pirólise catalítica, </w:t>
      </w:r>
      <w:r w:rsidR="00D323DD" w:rsidRPr="00224A27">
        <w:rPr>
          <w:rFonts w:ascii="Times New Roman" w:hAnsi="Times New Roman"/>
          <w:b w:val="0"/>
          <w:i/>
          <w:sz w:val="20"/>
          <w:lang w:val="pt-BR"/>
        </w:rPr>
        <w:t>montmorillonita</w:t>
      </w:r>
      <w:r w:rsidR="00D323DD">
        <w:rPr>
          <w:rFonts w:ascii="Times New Roman" w:hAnsi="Times New Roman"/>
          <w:b w:val="0"/>
          <w:i/>
          <w:sz w:val="20"/>
          <w:lang w:val="pt-BR"/>
        </w:rPr>
        <w:t>, energia de ativação</w:t>
      </w:r>
    </w:p>
    <w:p w14:paraId="3C74C404" w14:textId="77777777" w:rsidR="00E705C2" w:rsidRDefault="00E705C2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3A8AE82D" w:rsidR="00EA4E1B" w:rsidRPr="00C079E4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color w:val="000000" w:themeColor="text1"/>
          <w:sz w:val="20"/>
        </w:rPr>
      </w:pPr>
      <w:r w:rsidRPr="00C079E4">
        <w:rPr>
          <w:rFonts w:ascii="Times New Roman" w:hAnsi="Times New Roman"/>
          <w:b w:val="0"/>
          <w:color w:val="000000" w:themeColor="text1"/>
          <w:sz w:val="20"/>
        </w:rPr>
        <w:t xml:space="preserve">ABSTRACT - </w:t>
      </w:r>
      <w:r w:rsidR="007D7EF9" w:rsidRPr="00C079E4">
        <w:rPr>
          <w:rFonts w:ascii="Times New Roman" w:hAnsi="Times New Roman"/>
          <w:b w:val="0"/>
          <w:color w:val="000000" w:themeColor="text1"/>
          <w:sz w:val="20"/>
        </w:rPr>
        <w:t xml:space="preserve">The catalytic pyrolysis of lignocellulosic biomass is an essential route for obtaining fuels and chemicals with high added value. Therefore, the search for new catalysts and the modification of </w:t>
      </w:r>
      <w:r w:rsidR="00950B6C">
        <w:rPr>
          <w:rFonts w:ascii="Times New Roman" w:hAnsi="Times New Roman"/>
          <w:b w:val="0"/>
          <w:color w:val="000000" w:themeColor="text1"/>
          <w:sz w:val="20"/>
        </w:rPr>
        <w:t>conventional</w:t>
      </w:r>
      <w:r w:rsidR="007D7EF9" w:rsidRPr="00C079E4">
        <w:rPr>
          <w:rFonts w:ascii="Times New Roman" w:hAnsi="Times New Roman"/>
          <w:b w:val="0"/>
          <w:color w:val="000000" w:themeColor="text1"/>
          <w:sz w:val="20"/>
        </w:rPr>
        <w:t xml:space="preserve"> catalysts to improve their performance </w:t>
      </w:r>
      <w:r w:rsidR="00950B6C">
        <w:rPr>
          <w:rFonts w:ascii="Times New Roman" w:hAnsi="Times New Roman"/>
          <w:b w:val="0"/>
          <w:color w:val="000000" w:themeColor="text1"/>
          <w:sz w:val="20"/>
        </w:rPr>
        <w:t>has been</w:t>
      </w:r>
      <w:r w:rsidR="007D7EF9" w:rsidRPr="00C079E4">
        <w:rPr>
          <w:rFonts w:ascii="Times New Roman" w:hAnsi="Times New Roman"/>
          <w:b w:val="0"/>
          <w:color w:val="000000" w:themeColor="text1"/>
          <w:sz w:val="20"/>
        </w:rPr>
        <w:t xml:space="preserve"> constantly being explored. </w:t>
      </w:r>
      <w:r w:rsidR="00950B6C">
        <w:rPr>
          <w:rFonts w:ascii="Times New Roman" w:hAnsi="Times New Roman"/>
          <w:b w:val="0"/>
          <w:color w:val="000000" w:themeColor="text1"/>
          <w:sz w:val="20"/>
        </w:rPr>
        <w:t>C</w:t>
      </w:r>
      <w:r w:rsidR="007D7EF9" w:rsidRPr="00C079E4">
        <w:rPr>
          <w:rFonts w:ascii="Times New Roman" w:hAnsi="Times New Roman"/>
          <w:b w:val="0"/>
          <w:color w:val="000000" w:themeColor="text1"/>
          <w:sz w:val="20"/>
        </w:rPr>
        <w:t xml:space="preserve">ommercial montmorillonite (K10) </w:t>
      </w:r>
      <w:r w:rsidR="00950B6C">
        <w:rPr>
          <w:rFonts w:ascii="Times New Roman" w:hAnsi="Times New Roman"/>
          <w:b w:val="0"/>
          <w:color w:val="000000" w:themeColor="text1"/>
          <w:sz w:val="20"/>
        </w:rPr>
        <w:t xml:space="preserve">underwent </w:t>
      </w:r>
      <w:r w:rsidR="007D7EF9" w:rsidRPr="00C079E4">
        <w:rPr>
          <w:rFonts w:ascii="Times New Roman" w:hAnsi="Times New Roman"/>
          <w:b w:val="0"/>
          <w:color w:val="000000" w:themeColor="text1"/>
          <w:sz w:val="20"/>
        </w:rPr>
        <w:t>HCl treatment at different concentrations</w:t>
      </w:r>
      <w:r w:rsidR="00950B6C">
        <w:rPr>
          <w:rFonts w:ascii="Times New Roman" w:hAnsi="Times New Roman"/>
          <w:b w:val="0"/>
          <w:color w:val="000000" w:themeColor="text1"/>
          <w:sz w:val="20"/>
        </w:rPr>
        <w:t xml:space="preserve"> in this </w:t>
      </w:r>
      <w:r w:rsidR="00F83C1C">
        <w:rPr>
          <w:rFonts w:ascii="Times New Roman" w:hAnsi="Times New Roman"/>
          <w:b w:val="0"/>
          <w:color w:val="000000" w:themeColor="text1"/>
          <w:sz w:val="20"/>
        </w:rPr>
        <w:t>study</w:t>
      </w:r>
      <w:r w:rsidR="007D7EF9" w:rsidRPr="00C079E4">
        <w:rPr>
          <w:rFonts w:ascii="Times New Roman" w:hAnsi="Times New Roman"/>
          <w:b w:val="0"/>
          <w:color w:val="000000" w:themeColor="text1"/>
          <w:sz w:val="20"/>
        </w:rPr>
        <w:t xml:space="preserve">. The </w:t>
      </w:r>
      <w:r w:rsidR="00F83C1C">
        <w:rPr>
          <w:rFonts w:ascii="Times New Roman" w:hAnsi="Times New Roman"/>
          <w:b w:val="0"/>
          <w:color w:val="000000" w:themeColor="text1"/>
          <w:sz w:val="20"/>
        </w:rPr>
        <w:t>obtained</w:t>
      </w:r>
      <w:r w:rsidR="007D7EF9" w:rsidRPr="00C079E4">
        <w:rPr>
          <w:rFonts w:ascii="Times New Roman" w:hAnsi="Times New Roman"/>
          <w:b w:val="0"/>
          <w:color w:val="000000" w:themeColor="text1"/>
          <w:sz w:val="20"/>
        </w:rPr>
        <w:t xml:space="preserve"> solids were characterized by X-ray diffraction, porosity measurement and temperature-programmed ammonia desorption. The selected catalysts were subjected to catalytic pyrolysis of grape pomace to determine </w:t>
      </w:r>
      <w:r w:rsidR="00F83C1C">
        <w:rPr>
          <w:rFonts w:ascii="Times New Roman" w:hAnsi="Times New Roman"/>
          <w:b w:val="0"/>
          <w:color w:val="000000" w:themeColor="text1"/>
          <w:sz w:val="20"/>
        </w:rPr>
        <w:t xml:space="preserve">the </w:t>
      </w:r>
      <w:r w:rsidR="007D7EF9" w:rsidRPr="00C079E4">
        <w:rPr>
          <w:rFonts w:ascii="Times New Roman" w:hAnsi="Times New Roman"/>
          <w:b w:val="0"/>
          <w:color w:val="000000" w:themeColor="text1"/>
          <w:sz w:val="20"/>
        </w:rPr>
        <w:t xml:space="preserve">thermokinetic parameters, using the isoconversion methods of Flynn-Wall-Ozawa (FWO), Kissinger-Akahira-Sunose (KAS) and Friedman. The treatment increased the amount of acid sites and created strong acid sites. The FWO </w:t>
      </w:r>
      <w:r w:rsidR="00F83C1C">
        <w:rPr>
          <w:rFonts w:ascii="Times New Roman" w:hAnsi="Times New Roman"/>
          <w:b w:val="0"/>
          <w:color w:val="000000" w:themeColor="text1"/>
          <w:sz w:val="20"/>
        </w:rPr>
        <w:t xml:space="preserve">model </w:t>
      </w:r>
      <w:r w:rsidR="00F83C1C" w:rsidRPr="00F83C1C">
        <w:rPr>
          <w:rFonts w:ascii="Times New Roman" w:hAnsi="Times New Roman"/>
          <w:b w:val="0"/>
          <w:color w:val="000000" w:themeColor="text1"/>
          <w:sz w:val="20"/>
        </w:rPr>
        <w:t xml:space="preserve">was the one that best fitted the experimental </w:t>
      </w:r>
      <w:r w:rsidR="007D7EF9" w:rsidRPr="00C079E4">
        <w:rPr>
          <w:rFonts w:ascii="Times New Roman" w:hAnsi="Times New Roman"/>
          <w:b w:val="0"/>
          <w:color w:val="000000" w:themeColor="text1"/>
          <w:sz w:val="20"/>
        </w:rPr>
        <w:t xml:space="preserve">data. Catalytic pyrolysis with the treated catalyst </w:t>
      </w:r>
      <w:r w:rsidR="004C3016">
        <w:rPr>
          <w:rFonts w:ascii="Times New Roman" w:hAnsi="Times New Roman"/>
          <w:b w:val="0"/>
          <w:color w:val="000000" w:themeColor="text1"/>
          <w:sz w:val="20"/>
        </w:rPr>
        <w:t xml:space="preserve">with HCl </w:t>
      </w:r>
      <w:r w:rsidR="00EA3D8E">
        <w:rPr>
          <w:rFonts w:ascii="Times New Roman" w:hAnsi="Times New Roman"/>
          <w:b w:val="0"/>
          <w:color w:val="000000" w:themeColor="text1"/>
          <w:sz w:val="20"/>
        </w:rPr>
        <w:t xml:space="preserve">at </w:t>
      </w:r>
      <w:r w:rsidR="004C3016">
        <w:rPr>
          <w:rFonts w:ascii="Times New Roman" w:hAnsi="Times New Roman"/>
          <w:b w:val="0"/>
          <w:color w:val="000000" w:themeColor="text1"/>
          <w:sz w:val="20"/>
        </w:rPr>
        <w:t>4 mol L</w:t>
      </w:r>
      <w:r w:rsidR="004C3016" w:rsidRPr="004C3016">
        <w:rPr>
          <w:rFonts w:ascii="Times New Roman" w:hAnsi="Times New Roman"/>
          <w:b w:val="0"/>
          <w:color w:val="000000" w:themeColor="text1"/>
          <w:sz w:val="20"/>
          <w:vertAlign w:val="superscript"/>
        </w:rPr>
        <w:t>-1</w:t>
      </w:r>
      <w:r w:rsidR="004C3016">
        <w:rPr>
          <w:rFonts w:ascii="Times New Roman" w:hAnsi="Times New Roman"/>
          <w:b w:val="0"/>
          <w:color w:val="000000" w:themeColor="text1"/>
          <w:sz w:val="20"/>
        </w:rPr>
        <w:t xml:space="preserve"> </w:t>
      </w:r>
      <w:r w:rsidR="007D7EF9" w:rsidRPr="00C079E4">
        <w:rPr>
          <w:rFonts w:ascii="Times New Roman" w:hAnsi="Times New Roman"/>
          <w:b w:val="0"/>
          <w:color w:val="000000" w:themeColor="text1"/>
          <w:sz w:val="20"/>
        </w:rPr>
        <w:t>promoted a decrease in activation energy when compared to pyrolysis with K10 and non-catalytic pyrolysis.</w:t>
      </w:r>
    </w:p>
    <w:p w14:paraId="48D9B0C4" w14:textId="46CC85ED" w:rsidR="00EA4E1B" w:rsidRPr="00C079E4" w:rsidRDefault="00EA4E1B" w:rsidP="004900A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color w:val="000000" w:themeColor="text1"/>
          <w:sz w:val="20"/>
        </w:rPr>
        <w:sectPr w:rsidR="00EA4E1B" w:rsidRPr="00C079E4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C079E4">
        <w:rPr>
          <w:rFonts w:ascii="Times New Roman" w:hAnsi="Times New Roman"/>
          <w:b w:val="0"/>
          <w:i/>
          <w:color w:val="000000" w:themeColor="text1"/>
          <w:sz w:val="20"/>
        </w:rPr>
        <w:t xml:space="preserve">Keywords: </w:t>
      </w:r>
      <w:r w:rsidR="00276C4B" w:rsidRPr="00C079E4">
        <w:rPr>
          <w:rFonts w:ascii="Times New Roman" w:hAnsi="Times New Roman"/>
          <w:b w:val="0"/>
          <w:i/>
          <w:color w:val="000000" w:themeColor="text1"/>
          <w:sz w:val="20"/>
        </w:rPr>
        <w:t>biomass, catalytic pyrolysis, montmorillonit</w:t>
      </w:r>
      <w:r w:rsidR="002A3D64" w:rsidRPr="00C079E4">
        <w:rPr>
          <w:rFonts w:ascii="Times New Roman" w:hAnsi="Times New Roman"/>
          <w:b w:val="0"/>
          <w:i/>
          <w:color w:val="000000" w:themeColor="text1"/>
          <w:sz w:val="20"/>
        </w:rPr>
        <w:t>e</w:t>
      </w:r>
      <w:r w:rsidR="00276C4B" w:rsidRPr="00C079E4">
        <w:rPr>
          <w:rFonts w:ascii="Times New Roman" w:hAnsi="Times New Roman"/>
          <w:b w:val="0"/>
          <w:i/>
          <w:color w:val="000000" w:themeColor="text1"/>
          <w:sz w:val="20"/>
        </w:rPr>
        <w:t xml:space="preserve">, </w:t>
      </w:r>
      <w:r w:rsidR="004900AB" w:rsidRPr="00C079E4">
        <w:rPr>
          <w:rFonts w:ascii="Times New Roman" w:hAnsi="Times New Roman"/>
          <w:b w:val="0"/>
          <w:i/>
          <w:color w:val="000000" w:themeColor="text1"/>
          <w:sz w:val="20"/>
        </w:rPr>
        <w:t>activation energy</w:t>
      </w:r>
      <w:bookmarkEnd w:id="1"/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51063B16" w14:textId="6A5C6831" w:rsidR="002973D4" w:rsidRPr="00CC4650" w:rsidRDefault="007A7D4D" w:rsidP="002B782E">
      <w:pPr>
        <w:pStyle w:val="TAMainText"/>
        <w:rPr>
          <w:lang w:val="pt-BR"/>
        </w:rPr>
      </w:pPr>
      <w:r w:rsidRPr="00CC4650">
        <w:rPr>
          <w:lang w:val="pt-BR"/>
        </w:rPr>
        <w:t>O</w:t>
      </w:r>
      <w:r w:rsidR="00C61CAA" w:rsidRPr="00CC4650">
        <w:rPr>
          <w:lang w:val="pt-BR"/>
        </w:rPr>
        <w:t xml:space="preserve"> aumento crescente da população e da industrialização tem exigido, cada vez mais, a </w:t>
      </w:r>
      <w:r w:rsidR="00C61CAA" w:rsidRPr="00E142C4">
        <w:rPr>
          <w:lang w:val="pt-BR"/>
        </w:rPr>
        <w:t>produção eficiente e limpa de energia e</w:t>
      </w:r>
      <w:r w:rsidR="00E54105" w:rsidRPr="00E142C4">
        <w:rPr>
          <w:lang w:val="pt-BR"/>
        </w:rPr>
        <w:t xml:space="preserve"> </w:t>
      </w:r>
      <w:r w:rsidR="00C61CAA" w:rsidRPr="00E142C4">
        <w:rPr>
          <w:lang w:val="pt-BR"/>
        </w:rPr>
        <w:t>de</w:t>
      </w:r>
      <w:r w:rsidR="00E54105" w:rsidRPr="00E142C4">
        <w:rPr>
          <w:lang w:val="pt-BR"/>
        </w:rPr>
        <w:t xml:space="preserve"> </w:t>
      </w:r>
      <w:r w:rsidR="00C61CAA" w:rsidRPr="00E142C4">
        <w:rPr>
          <w:lang w:val="pt-BR"/>
        </w:rPr>
        <w:t>produtos químicos, em nível mundial.</w:t>
      </w:r>
      <w:r w:rsidR="003D4D7B" w:rsidRPr="00E142C4">
        <w:rPr>
          <w:lang w:val="pt-BR"/>
        </w:rPr>
        <w:t xml:space="preserve"> </w:t>
      </w:r>
      <w:r w:rsidR="003050F5" w:rsidRPr="00E142C4">
        <w:rPr>
          <w:lang w:val="pt-BR"/>
        </w:rPr>
        <w:t>A substituição de fontes fósseis por renováveis, na produção de energia e insumos químicos, deverá tornar os processos de produção mais sustentáveis, garantindo os atuais padrões de produção e consumo da vida moderna</w:t>
      </w:r>
      <w:r w:rsidR="00171515" w:rsidRPr="00E142C4">
        <w:rPr>
          <w:lang w:val="pt-BR"/>
        </w:rPr>
        <w:t xml:space="preserve"> (1)</w:t>
      </w:r>
      <w:r w:rsidR="003050F5" w:rsidRPr="00E142C4">
        <w:rPr>
          <w:lang w:val="pt-BR"/>
        </w:rPr>
        <w:t xml:space="preserve">. </w:t>
      </w:r>
      <w:r w:rsidR="00E8619C" w:rsidRPr="00E142C4">
        <w:rPr>
          <w:lang w:val="pt-BR"/>
        </w:rPr>
        <w:t xml:space="preserve">O uso </w:t>
      </w:r>
      <w:r w:rsidR="00DD62A5" w:rsidRPr="00E142C4">
        <w:rPr>
          <w:lang w:val="pt-BR"/>
        </w:rPr>
        <w:t>da biomassa residual para a produção de</w:t>
      </w:r>
      <w:r w:rsidR="0047236F" w:rsidRPr="00E142C4">
        <w:rPr>
          <w:lang w:val="pt-BR"/>
        </w:rPr>
        <w:t xml:space="preserve"> </w:t>
      </w:r>
      <w:r w:rsidR="00DD62A5" w:rsidRPr="00E142C4">
        <w:rPr>
          <w:lang w:val="pt-BR"/>
        </w:rPr>
        <w:t>combustíveis, produtos químicos, farmacêuticos,</w:t>
      </w:r>
      <w:r w:rsidR="004C5776" w:rsidRPr="00E142C4">
        <w:rPr>
          <w:lang w:val="pt-BR"/>
        </w:rPr>
        <w:t xml:space="preserve"> e </w:t>
      </w:r>
      <w:r w:rsidR="00DD62A5" w:rsidRPr="00E142C4">
        <w:rPr>
          <w:lang w:val="pt-BR"/>
        </w:rPr>
        <w:t>polímeros,</w:t>
      </w:r>
      <w:r w:rsidR="001A09AD" w:rsidRPr="00E142C4">
        <w:rPr>
          <w:lang w:val="pt-BR"/>
        </w:rPr>
        <w:t xml:space="preserve"> entre outros, segue </w:t>
      </w:r>
      <w:r w:rsidR="00EF0DA7" w:rsidRPr="00E142C4">
        <w:rPr>
          <w:lang w:val="pt-BR"/>
        </w:rPr>
        <w:t>a</w:t>
      </w:r>
      <w:r w:rsidR="001A09AD" w:rsidRPr="00E142C4">
        <w:rPr>
          <w:lang w:val="pt-BR"/>
        </w:rPr>
        <w:t xml:space="preserve"> </w:t>
      </w:r>
      <w:r w:rsidR="00FB1BEB" w:rsidRPr="00E142C4">
        <w:rPr>
          <w:lang w:val="pt-BR"/>
        </w:rPr>
        <w:t>t</w:t>
      </w:r>
      <w:r w:rsidR="00AA66B5" w:rsidRPr="00E142C4">
        <w:rPr>
          <w:lang w:val="pt-BR"/>
        </w:rPr>
        <w:t xml:space="preserve">endência mundial </w:t>
      </w:r>
      <w:r w:rsidR="00EF0DA7" w:rsidRPr="00E142C4">
        <w:rPr>
          <w:lang w:val="pt-BR"/>
        </w:rPr>
        <w:t>de</w:t>
      </w:r>
      <w:r w:rsidR="00FB1BEB" w:rsidRPr="00E142C4">
        <w:rPr>
          <w:lang w:val="pt-BR"/>
        </w:rPr>
        <w:t xml:space="preserve"> </w:t>
      </w:r>
      <w:r w:rsidR="00AA66B5" w:rsidRPr="00E142C4">
        <w:rPr>
          <w:lang w:val="pt-BR"/>
        </w:rPr>
        <w:t>converter resíduos em produtos de alto valor agregado, evitando o seu acúmulo no meio ambiente e diminuindo o uso de fontes fósseis</w:t>
      </w:r>
      <w:r w:rsidR="00171515" w:rsidRPr="00E142C4">
        <w:rPr>
          <w:lang w:val="pt-BR"/>
        </w:rPr>
        <w:t xml:space="preserve"> (1,2)</w:t>
      </w:r>
      <w:r w:rsidR="00AA66B5" w:rsidRPr="00E142C4">
        <w:rPr>
          <w:lang w:val="pt-BR"/>
        </w:rPr>
        <w:t>.</w:t>
      </w:r>
      <w:r w:rsidR="00AA66B5" w:rsidRPr="00CC4650">
        <w:rPr>
          <w:lang w:val="pt-BR"/>
        </w:rPr>
        <w:t xml:space="preserve"> </w:t>
      </w:r>
    </w:p>
    <w:p w14:paraId="5A3611EB" w14:textId="509AF840" w:rsidR="00426412" w:rsidRPr="00CC4650" w:rsidRDefault="00E512E8" w:rsidP="002B782E">
      <w:pPr>
        <w:pStyle w:val="TAMainText"/>
        <w:rPr>
          <w:lang w:val="pt-BR"/>
        </w:rPr>
      </w:pPr>
      <w:r w:rsidRPr="00CC4650">
        <w:rPr>
          <w:lang w:val="pt-BR"/>
        </w:rPr>
        <w:t>A</w:t>
      </w:r>
      <w:r w:rsidR="003A4265" w:rsidRPr="00CC4650">
        <w:rPr>
          <w:lang w:val="pt-BR"/>
        </w:rPr>
        <w:t xml:space="preserve"> </w:t>
      </w:r>
      <w:r w:rsidRPr="00CC4650">
        <w:rPr>
          <w:lang w:val="pt-BR"/>
        </w:rPr>
        <w:t xml:space="preserve">pirólise </w:t>
      </w:r>
      <w:r w:rsidR="009A6E49" w:rsidRPr="00CC4650">
        <w:rPr>
          <w:lang w:val="pt-BR"/>
        </w:rPr>
        <w:t>catalítica</w:t>
      </w:r>
      <w:r w:rsidRPr="00CC4650">
        <w:rPr>
          <w:lang w:val="pt-BR"/>
        </w:rPr>
        <w:t xml:space="preserve"> da biomassa é uma via promissora para a obtenção de bio-óleo</w:t>
      </w:r>
      <w:r w:rsidR="00E54105" w:rsidRPr="00CC4650">
        <w:rPr>
          <w:lang w:val="pt-BR"/>
        </w:rPr>
        <w:t xml:space="preserve">, que </w:t>
      </w:r>
      <w:r w:rsidR="002A0E44" w:rsidRPr="00CC4650">
        <w:rPr>
          <w:lang w:val="pt-BR"/>
        </w:rPr>
        <w:t>pode ser destinado à produção de combustíve</w:t>
      </w:r>
      <w:r w:rsidR="003A4265" w:rsidRPr="00CC4650">
        <w:rPr>
          <w:lang w:val="pt-BR"/>
        </w:rPr>
        <w:t>is</w:t>
      </w:r>
      <w:r w:rsidR="002A0E44" w:rsidRPr="00CC4650">
        <w:rPr>
          <w:lang w:val="pt-BR"/>
        </w:rPr>
        <w:t xml:space="preserve"> </w:t>
      </w:r>
      <w:r w:rsidR="00AB0B19" w:rsidRPr="00CC4650">
        <w:rPr>
          <w:lang w:val="pt-BR"/>
        </w:rPr>
        <w:t>ou</w:t>
      </w:r>
      <w:r w:rsidR="002A0E44" w:rsidRPr="00CC4650">
        <w:rPr>
          <w:lang w:val="pt-BR"/>
        </w:rPr>
        <w:t xml:space="preserve"> p</w:t>
      </w:r>
      <w:r w:rsidRPr="00CC4650">
        <w:rPr>
          <w:lang w:val="pt-BR"/>
        </w:rPr>
        <w:t>rodutos químicos</w:t>
      </w:r>
      <w:r w:rsidR="00A12645" w:rsidRPr="00CC4650">
        <w:rPr>
          <w:lang w:val="pt-BR"/>
        </w:rPr>
        <w:t>.</w:t>
      </w:r>
      <w:r w:rsidR="0003150E" w:rsidRPr="00CC4650">
        <w:rPr>
          <w:lang w:val="pt-BR"/>
        </w:rPr>
        <w:t xml:space="preserve"> </w:t>
      </w:r>
      <w:r w:rsidR="006B5EC0" w:rsidRPr="00CC4650">
        <w:rPr>
          <w:lang w:val="pt-BR"/>
        </w:rPr>
        <w:t xml:space="preserve">O desempenho da </w:t>
      </w:r>
      <w:r w:rsidR="00DC29F4" w:rsidRPr="00CC4650">
        <w:rPr>
          <w:lang w:val="pt-BR"/>
        </w:rPr>
        <w:t>pirólise catalítica depende de</w:t>
      </w:r>
      <w:r w:rsidR="003A4265" w:rsidRPr="00CC4650">
        <w:rPr>
          <w:lang w:val="pt-BR"/>
        </w:rPr>
        <w:t xml:space="preserve"> </w:t>
      </w:r>
      <w:r w:rsidR="004C5776" w:rsidRPr="00CC4650">
        <w:rPr>
          <w:lang w:val="pt-BR"/>
        </w:rPr>
        <w:t xml:space="preserve">diversas </w:t>
      </w:r>
      <w:r w:rsidR="006B5EC0" w:rsidRPr="00CC4650">
        <w:rPr>
          <w:lang w:val="pt-BR"/>
        </w:rPr>
        <w:t xml:space="preserve">variáveis </w:t>
      </w:r>
      <w:r w:rsidR="00DC29F4" w:rsidRPr="00CC4650">
        <w:rPr>
          <w:lang w:val="pt-BR"/>
        </w:rPr>
        <w:t>experimentais</w:t>
      </w:r>
      <w:r w:rsidR="00C3563E" w:rsidRPr="00CC4650">
        <w:rPr>
          <w:lang w:val="pt-BR"/>
        </w:rPr>
        <w:t xml:space="preserve"> (temperatura, </w:t>
      </w:r>
      <w:r w:rsidR="008E19B9" w:rsidRPr="00CC4650">
        <w:rPr>
          <w:lang w:val="pt-BR"/>
        </w:rPr>
        <w:t xml:space="preserve">tempo de residência tipo de </w:t>
      </w:r>
      <w:r w:rsidR="00C3563E" w:rsidRPr="00CC4650">
        <w:rPr>
          <w:lang w:val="pt-BR"/>
        </w:rPr>
        <w:t>reator</w:t>
      </w:r>
      <w:r w:rsidR="004C5776" w:rsidRPr="00CC4650">
        <w:rPr>
          <w:lang w:val="pt-BR"/>
        </w:rPr>
        <w:t xml:space="preserve">, </w:t>
      </w:r>
      <w:r w:rsidR="008D2716" w:rsidRPr="00CC4650">
        <w:rPr>
          <w:lang w:val="pt-BR"/>
        </w:rPr>
        <w:t>biomassa</w:t>
      </w:r>
      <w:r w:rsidR="004C5776" w:rsidRPr="00CC4650">
        <w:rPr>
          <w:lang w:val="pt-BR"/>
        </w:rPr>
        <w:t xml:space="preserve"> </w:t>
      </w:r>
      <w:r w:rsidR="008D2716" w:rsidRPr="00CC4650">
        <w:rPr>
          <w:lang w:val="pt-BR"/>
        </w:rPr>
        <w:t>etc)</w:t>
      </w:r>
      <w:r w:rsidR="004C5776" w:rsidRPr="00CC4650">
        <w:rPr>
          <w:lang w:val="pt-BR"/>
        </w:rPr>
        <w:t>. N</w:t>
      </w:r>
      <w:r w:rsidR="006B5EC0" w:rsidRPr="00CC4650">
        <w:rPr>
          <w:lang w:val="pt-BR"/>
        </w:rPr>
        <w:t xml:space="preserve">o entanto, </w:t>
      </w:r>
      <w:r w:rsidR="00F34B35" w:rsidRPr="00CC4650">
        <w:rPr>
          <w:lang w:val="pt-BR"/>
        </w:rPr>
        <w:t>o</w:t>
      </w:r>
      <w:r w:rsidR="009A6E49" w:rsidRPr="00CC4650">
        <w:rPr>
          <w:lang w:val="pt-BR"/>
        </w:rPr>
        <w:t xml:space="preserve"> controle da distribuição dos produtos </w:t>
      </w:r>
      <w:r w:rsidR="00F34B35" w:rsidRPr="00CC4650">
        <w:rPr>
          <w:lang w:val="pt-BR"/>
        </w:rPr>
        <w:t>e a escolha</w:t>
      </w:r>
      <w:r w:rsidR="009A4A54" w:rsidRPr="00CC4650">
        <w:rPr>
          <w:lang w:val="pt-BR"/>
        </w:rPr>
        <w:t xml:space="preserve"> de c</w:t>
      </w:r>
      <w:r w:rsidR="00553566" w:rsidRPr="00CC4650">
        <w:rPr>
          <w:lang w:val="pt-BR"/>
        </w:rPr>
        <w:t xml:space="preserve">atalisadores </w:t>
      </w:r>
      <w:r w:rsidR="009A4A54" w:rsidRPr="00CC4650">
        <w:rPr>
          <w:lang w:val="pt-BR"/>
        </w:rPr>
        <w:t xml:space="preserve">ativos e </w:t>
      </w:r>
      <w:r w:rsidR="00553566" w:rsidRPr="00CC4650">
        <w:rPr>
          <w:lang w:val="pt-BR"/>
        </w:rPr>
        <w:t>seletivos</w:t>
      </w:r>
      <w:r w:rsidR="009A4A54" w:rsidRPr="00CC4650">
        <w:rPr>
          <w:lang w:val="pt-BR"/>
        </w:rPr>
        <w:t xml:space="preserve"> </w:t>
      </w:r>
      <w:r w:rsidR="00E27055" w:rsidRPr="00CC4650">
        <w:rPr>
          <w:lang w:val="pt-BR"/>
        </w:rPr>
        <w:t xml:space="preserve">são os </w:t>
      </w:r>
      <w:r w:rsidR="00311B28" w:rsidRPr="00CC4650">
        <w:rPr>
          <w:lang w:val="pt-BR"/>
        </w:rPr>
        <w:t>principais d</w:t>
      </w:r>
      <w:r w:rsidR="002100BA" w:rsidRPr="00CC4650">
        <w:rPr>
          <w:lang w:val="pt-BR"/>
        </w:rPr>
        <w:t>esafios do processo</w:t>
      </w:r>
      <w:r w:rsidR="00A12645" w:rsidRPr="00CC4650">
        <w:rPr>
          <w:lang w:val="pt-BR"/>
        </w:rPr>
        <w:t xml:space="preserve"> (</w:t>
      </w:r>
      <w:r w:rsidR="006A25A0">
        <w:rPr>
          <w:lang w:val="pt-BR"/>
        </w:rPr>
        <w:t>2</w:t>
      </w:r>
      <w:r w:rsidR="00A12645" w:rsidRPr="00CC4650">
        <w:rPr>
          <w:lang w:val="pt-BR"/>
        </w:rPr>
        <w:t>).</w:t>
      </w:r>
    </w:p>
    <w:p w14:paraId="4478A0A6" w14:textId="2C96F958" w:rsidR="007A6EE9" w:rsidRPr="00CC4650" w:rsidRDefault="00D536C8" w:rsidP="00CC4650">
      <w:pPr>
        <w:pStyle w:val="TAMainText"/>
        <w:rPr>
          <w:lang w:val="pt-BR"/>
        </w:rPr>
      </w:pPr>
      <w:r w:rsidRPr="00CC4650">
        <w:rPr>
          <w:lang w:val="pt-BR"/>
        </w:rPr>
        <w:t xml:space="preserve">As argilas se mostram como materiais promissores para o processamento das moléculas da biomassa, devido à sua estrutura, composta por </w:t>
      </w:r>
      <w:r w:rsidR="007140F8" w:rsidRPr="00CC4650">
        <w:rPr>
          <w:lang w:val="pt-BR"/>
        </w:rPr>
        <w:t xml:space="preserve">lamelas formadas por </w:t>
      </w:r>
      <w:r w:rsidR="004C5776" w:rsidRPr="00CC4650">
        <w:rPr>
          <w:lang w:val="pt-BR"/>
        </w:rPr>
        <w:t xml:space="preserve">camadas </w:t>
      </w:r>
      <w:r w:rsidR="007140F8" w:rsidRPr="00CC4650">
        <w:rPr>
          <w:lang w:val="pt-BR"/>
        </w:rPr>
        <w:t>tetraédricas e octaédricas</w:t>
      </w:r>
      <w:r w:rsidRPr="00CC4650">
        <w:rPr>
          <w:lang w:val="pt-BR"/>
        </w:rPr>
        <w:t xml:space="preserve"> espaçadas entre si</w:t>
      </w:r>
      <w:r w:rsidR="00FE4D36" w:rsidRPr="00CC4650">
        <w:rPr>
          <w:lang w:val="pt-BR"/>
        </w:rPr>
        <w:t xml:space="preserve"> (</w:t>
      </w:r>
      <w:r w:rsidR="006A25A0">
        <w:rPr>
          <w:lang w:val="pt-BR"/>
        </w:rPr>
        <w:t>3-5</w:t>
      </w:r>
      <w:r w:rsidR="00FE4D36" w:rsidRPr="00CC4650">
        <w:rPr>
          <w:lang w:val="pt-BR"/>
        </w:rPr>
        <w:t xml:space="preserve">). </w:t>
      </w:r>
      <w:r w:rsidRPr="00CC4650">
        <w:rPr>
          <w:lang w:val="pt-BR"/>
        </w:rPr>
        <w:t>Esses espaços permitem o acesso das moléculas volumosas da biomassa aos sítios ácidos da argila</w:t>
      </w:r>
      <w:r w:rsidR="007A6EE9" w:rsidRPr="00CC4650">
        <w:rPr>
          <w:lang w:val="pt-BR"/>
        </w:rPr>
        <w:t>,</w:t>
      </w:r>
      <w:r w:rsidR="00B03EF3" w:rsidRPr="00CC4650">
        <w:rPr>
          <w:lang w:val="pt-BR"/>
        </w:rPr>
        <w:t xml:space="preserve"> </w:t>
      </w:r>
      <w:r w:rsidR="007A6EE9" w:rsidRPr="00CC4650">
        <w:rPr>
          <w:lang w:val="pt-BR"/>
        </w:rPr>
        <w:t>quando os cátions de compensação de carga são trocados por prótons</w:t>
      </w:r>
      <w:r w:rsidR="007E231B" w:rsidRPr="00CC4650">
        <w:rPr>
          <w:lang w:val="pt-BR"/>
        </w:rPr>
        <w:t>.</w:t>
      </w:r>
      <w:r w:rsidR="00C61CAA" w:rsidRPr="00CC4650">
        <w:rPr>
          <w:lang w:val="pt-BR"/>
        </w:rPr>
        <w:t xml:space="preserve"> </w:t>
      </w:r>
      <w:r w:rsidR="004C5776" w:rsidRPr="00CC4650">
        <w:rPr>
          <w:lang w:val="pt-BR"/>
        </w:rPr>
        <w:t xml:space="preserve">Dessa forma, espera-se que esses materiais possam aumentar a produção de compostos aromáticos, a partir da lignina existente na biomassa, pela superação das barreiras difusionais das moléculas volumosas. </w:t>
      </w:r>
      <w:r w:rsidR="007A6EE9" w:rsidRPr="00CC4650">
        <w:rPr>
          <w:lang w:val="pt-BR"/>
        </w:rPr>
        <w:t xml:space="preserve">Dentre as argilas </w:t>
      </w:r>
      <w:r w:rsidR="00B03EF3" w:rsidRPr="00CC4650">
        <w:rPr>
          <w:lang w:val="pt-BR"/>
        </w:rPr>
        <w:t xml:space="preserve">ácidas disponíveis na forma </w:t>
      </w:r>
      <w:r w:rsidR="007A6EE9" w:rsidRPr="00CC4650">
        <w:rPr>
          <w:lang w:val="pt-BR"/>
        </w:rPr>
        <w:t>comercia</w:t>
      </w:r>
      <w:r w:rsidR="00B03EF3" w:rsidRPr="00CC4650">
        <w:rPr>
          <w:lang w:val="pt-BR"/>
        </w:rPr>
        <w:t xml:space="preserve">l, </w:t>
      </w:r>
      <w:r w:rsidR="007A6EE9" w:rsidRPr="00CC4650">
        <w:rPr>
          <w:lang w:val="pt-BR"/>
        </w:rPr>
        <w:t>destac</w:t>
      </w:r>
      <w:r w:rsidR="00944DA2" w:rsidRPr="00CC4650">
        <w:rPr>
          <w:lang w:val="pt-BR"/>
        </w:rPr>
        <w:t>a-se a argila</w:t>
      </w:r>
      <w:r w:rsidR="007A6EE9" w:rsidRPr="00CC4650">
        <w:rPr>
          <w:lang w:val="pt-BR"/>
        </w:rPr>
        <w:t xml:space="preserve"> K10</w:t>
      </w:r>
      <w:r w:rsidR="00944DA2" w:rsidRPr="00CC4650">
        <w:rPr>
          <w:lang w:val="pt-BR"/>
        </w:rPr>
        <w:t>,</w:t>
      </w:r>
      <w:r w:rsidR="007A6EE9" w:rsidRPr="00CC4650">
        <w:rPr>
          <w:lang w:val="pt-BR"/>
        </w:rPr>
        <w:t xml:space="preserve"> </w:t>
      </w:r>
      <w:r w:rsidR="00B03EF3" w:rsidRPr="00CC4650">
        <w:rPr>
          <w:lang w:val="pt-BR"/>
        </w:rPr>
        <w:t>obtida</w:t>
      </w:r>
      <w:r w:rsidR="00944DA2" w:rsidRPr="00CC4650">
        <w:rPr>
          <w:lang w:val="pt-BR"/>
        </w:rPr>
        <w:t xml:space="preserve"> </w:t>
      </w:r>
      <w:r w:rsidR="00E30997" w:rsidRPr="00CC4650">
        <w:rPr>
          <w:lang w:val="pt-BR"/>
        </w:rPr>
        <w:t xml:space="preserve">por </w:t>
      </w:r>
      <w:r w:rsidR="00B03EF3" w:rsidRPr="00CC4650">
        <w:rPr>
          <w:lang w:val="pt-BR"/>
        </w:rPr>
        <w:t xml:space="preserve">tratamento com </w:t>
      </w:r>
      <w:r w:rsidR="00E30997" w:rsidRPr="00CC4650">
        <w:rPr>
          <w:lang w:val="pt-BR"/>
        </w:rPr>
        <w:t>HCl</w:t>
      </w:r>
      <w:r w:rsidR="00B03EF3" w:rsidRPr="00CC4650">
        <w:rPr>
          <w:lang w:val="pt-BR"/>
        </w:rPr>
        <w:t xml:space="preserve"> </w:t>
      </w:r>
      <w:r w:rsidR="004C5776" w:rsidRPr="00CC4650">
        <w:rPr>
          <w:lang w:val="pt-BR"/>
        </w:rPr>
        <w:t>e aquecimento</w:t>
      </w:r>
      <w:r w:rsidR="0039453A" w:rsidRPr="00CC4650">
        <w:rPr>
          <w:lang w:val="pt-BR"/>
        </w:rPr>
        <w:t xml:space="preserve"> (</w:t>
      </w:r>
      <w:r w:rsidR="006A25A0">
        <w:rPr>
          <w:lang w:val="pt-BR"/>
        </w:rPr>
        <w:t>4</w:t>
      </w:r>
      <w:r w:rsidR="0039453A" w:rsidRPr="00CC4650">
        <w:rPr>
          <w:lang w:val="pt-BR"/>
        </w:rPr>
        <w:t>)</w:t>
      </w:r>
      <w:r w:rsidR="00944DA2" w:rsidRPr="00CC4650">
        <w:rPr>
          <w:lang w:val="pt-BR"/>
        </w:rPr>
        <w:t>.</w:t>
      </w:r>
      <w:r w:rsidR="00B03EF3">
        <w:rPr>
          <w:lang w:val="pt-BR"/>
        </w:rPr>
        <w:t xml:space="preserve"> </w:t>
      </w:r>
      <w:r w:rsidR="00E30997" w:rsidRPr="00CC4650">
        <w:rPr>
          <w:lang w:val="pt-BR"/>
        </w:rPr>
        <w:lastRenderedPageBreak/>
        <w:t>Entretanto</w:t>
      </w:r>
      <w:r w:rsidR="00B03EF3" w:rsidRPr="00CC4650">
        <w:rPr>
          <w:lang w:val="pt-BR"/>
        </w:rPr>
        <w:t xml:space="preserve">, não há </w:t>
      </w:r>
      <w:r w:rsidR="00E8619C" w:rsidRPr="00CC4650">
        <w:rPr>
          <w:lang w:val="pt-BR"/>
        </w:rPr>
        <w:t xml:space="preserve">estudos </w:t>
      </w:r>
      <w:r w:rsidR="00B03EF3" w:rsidRPr="00CC4650">
        <w:rPr>
          <w:lang w:val="pt-BR"/>
        </w:rPr>
        <w:t xml:space="preserve">sobre a </w:t>
      </w:r>
      <w:r w:rsidR="00D300DE" w:rsidRPr="00CC4650">
        <w:rPr>
          <w:lang w:val="pt-BR"/>
        </w:rPr>
        <w:t>geração de</w:t>
      </w:r>
      <w:r w:rsidR="00B03EF3" w:rsidRPr="00CC4650">
        <w:rPr>
          <w:lang w:val="pt-BR"/>
        </w:rPr>
        <w:t xml:space="preserve"> porosidade adicional </w:t>
      </w:r>
      <w:r w:rsidR="00D300DE" w:rsidRPr="00CC4650">
        <w:rPr>
          <w:lang w:val="pt-BR"/>
        </w:rPr>
        <w:t xml:space="preserve">e </w:t>
      </w:r>
      <w:r w:rsidR="00B03EF3" w:rsidRPr="00CC4650">
        <w:rPr>
          <w:lang w:val="pt-BR"/>
        </w:rPr>
        <w:t xml:space="preserve">novos sítios ácidos </w:t>
      </w:r>
      <w:r w:rsidR="00944DA2" w:rsidRPr="00CC4650">
        <w:rPr>
          <w:lang w:val="pt-BR"/>
        </w:rPr>
        <w:t>na argila K10</w:t>
      </w:r>
      <w:r w:rsidR="004C5776" w:rsidRPr="00CC4650">
        <w:rPr>
          <w:lang w:val="pt-BR"/>
        </w:rPr>
        <w:t>,</w:t>
      </w:r>
      <w:r w:rsidR="00B03EF3" w:rsidRPr="00CC4650">
        <w:rPr>
          <w:lang w:val="pt-BR"/>
        </w:rPr>
        <w:t xml:space="preserve"> mediante tratamentos adicionais </w:t>
      </w:r>
      <w:r w:rsidR="00944DA2" w:rsidRPr="00CC4650">
        <w:rPr>
          <w:lang w:val="pt-BR"/>
        </w:rPr>
        <w:t>no material</w:t>
      </w:r>
      <w:r w:rsidR="00B03EF3" w:rsidRPr="00CC4650">
        <w:rPr>
          <w:lang w:val="pt-BR"/>
        </w:rPr>
        <w:t>.</w:t>
      </w:r>
    </w:p>
    <w:p w14:paraId="30C154D0" w14:textId="36E7FDC0" w:rsidR="00DC29F4" w:rsidRPr="00EA3D8E" w:rsidRDefault="00475AC1" w:rsidP="00CC4650">
      <w:pPr>
        <w:pStyle w:val="TAMainText"/>
        <w:rPr>
          <w:lang w:val="pt-BR"/>
        </w:rPr>
      </w:pPr>
      <w:r w:rsidRPr="00CC4650">
        <w:rPr>
          <w:lang w:val="pt-BR"/>
        </w:rPr>
        <w:t>A</w:t>
      </w:r>
      <w:r w:rsidR="004C5776" w:rsidRPr="00CC4650">
        <w:rPr>
          <w:lang w:val="pt-BR"/>
        </w:rPr>
        <w:t>lém disso, a</w:t>
      </w:r>
      <w:r w:rsidRPr="00CC4650">
        <w:rPr>
          <w:lang w:val="pt-BR"/>
        </w:rPr>
        <w:t xml:space="preserve"> pirólise </w:t>
      </w:r>
      <w:r w:rsidR="00024644" w:rsidRPr="00CC4650">
        <w:rPr>
          <w:lang w:val="pt-BR"/>
        </w:rPr>
        <w:t xml:space="preserve">catalítica </w:t>
      </w:r>
      <w:r w:rsidRPr="00CC4650">
        <w:rPr>
          <w:lang w:val="pt-BR"/>
        </w:rPr>
        <w:t xml:space="preserve">da biomassa ainda não é um processo bem compreendido. Isso se deve à </w:t>
      </w:r>
      <w:r w:rsidR="00AF2517" w:rsidRPr="00CC4650">
        <w:rPr>
          <w:lang w:val="pt-BR"/>
        </w:rPr>
        <w:t xml:space="preserve">complexidade da </w:t>
      </w:r>
      <w:r w:rsidR="00624605" w:rsidRPr="00CC4650">
        <w:rPr>
          <w:lang w:val="pt-BR"/>
        </w:rPr>
        <w:t>matriz</w:t>
      </w:r>
      <w:r w:rsidR="00E52277" w:rsidRPr="00CC4650">
        <w:rPr>
          <w:lang w:val="pt-BR"/>
        </w:rPr>
        <w:t xml:space="preserve">, </w:t>
      </w:r>
      <w:r w:rsidRPr="00CC4650">
        <w:rPr>
          <w:lang w:val="pt-BR"/>
        </w:rPr>
        <w:t>à</w:t>
      </w:r>
      <w:r w:rsidR="00E52277" w:rsidRPr="00CC4650">
        <w:rPr>
          <w:lang w:val="pt-BR"/>
        </w:rPr>
        <w:t xml:space="preserve">s </w:t>
      </w:r>
      <w:r w:rsidR="004C5776" w:rsidRPr="00CC4650">
        <w:rPr>
          <w:lang w:val="pt-BR"/>
        </w:rPr>
        <w:t>várias</w:t>
      </w:r>
      <w:r w:rsidR="00C948E2" w:rsidRPr="00CC4650">
        <w:rPr>
          <w:lang w:val="pt-BR"/>
        </w:rPr>
        <w:t xml:space="preserve"> reações </w:t>
      </w:r>
      <w:r w:rsidR="00965D93" w:rsidRPr="00CC4650">
        <w:rPr>
          <w:lang w:val="pt-BR"/>
        </w:rPr>
        <w:t>que ocorrem</w:t>
      </w:r>
      <w:r w:rsidR="00F95DB8" w:rsidRPr="00CC4650">
        <w:rPr>
          <w:lang w:val="pt-BR"/>
        </w:rPr>
        <w:t xml:space="preserve"> </w:t>
      </w:r>
      <w:r w:rsidR="00F62C72" w:rsidRPr="00CC4650">
        <w:rPr>
          <w:lang w:val="pt-BR"/>
        </w:rPr>
        <w:t xml:space="preserve">durante </w:t>
      </w:r>
      <w:r w:rsidR="00024644" w:rsidRPr="00CC4650">
        <w:rPr>
          <w:lang w:val="pt-BR"/>
        </w:rPr>
        <w:t>o processo</w:t>
      </w:r>
      <w:r w:rsidR="00385B0A" w:rsidRPr="00CC4650">
        <w:rPr>
          <w:lang w:val="pt-BR"/>
        </w:rPr>
        <w:t xml:space="preserve">, </w:t>
      </w:r>
      <w:r w:rsidR="005C75C9" w:rsidRPr="00CC4650">
        <w:rPr>
          <w:lang w:val="pt-BR"/>
        </w:rPr>
        <w:t>em decorrência das interações entre</w:t>
      </w:r>
      <w:r w:rsidR="005A5572" w:rsidRPr="00CC4650">
        <w:rPr>
          <w:lang w:val="pt-BR"/>
        </w:rPr>
        <w:t xml:space="preserve"> </w:t>
      </w:r>
      <w:r w:rsidR="007366A5" w:rsidRPr="00CC4650">
        <w:rPr>
          <w:lang w:val="pt-BR"/>
        </w:rPr>
        <w:t>os</w:t>
      </w:r>
      <w:r w:rsidR="00024644" w:rsidRPr="00CC4650">
        <w:rPr>
          <w:lang w:val="pt-BR"/>
        </w:rPr>
        <w:t xml:space="preserve"> </w:t>
      </w:r>
      <w:r w:rsidR="007366A5" w:rsidRPr="00CC4650">
        <w:rPr>
          <w:lang w:val="pt-BR"/>
        </w:rPr>
        <w:t>constituintes da biomassa (</w:t>
      </w:r>
      <w:r w:rsidR="005A5572" w:rsidRPr="00CC4650">
        <w:rPr>
          <w:lang w:val="pt-BR"/>
        </w:rPr>
        <w:t>celulose, hemicelulose e lignina</w:t>
      </w:r>
      <w:r w:rsidR="007366A5" w:rsidRPr="00CC4650">
        <w:rPr>
          <w:lang w:val="pt-BR"/>
        </w:rPr>
        <w:t>)</w:t>
      </w:r>
      <w:r w:rsidR="005A5572" w:rsidRPr="00CC4650">
        <w:rPr>
          <w:lang w:val="pt-BR"/>
        </w:rPr>
        <w:t xml:space="preserve"> e, ainda</w:t>
      </w:r>
      <w:r w:rsidR="005B3B8D" w:rsidRPr="00CC4650">
        <w:rPr>
          <w:lang w:val="pt-BR"/>
        </w:rPr>
        <w:t xml:space="preserve">, </w:t>
      </w:r>
      <w:r w:rsidR="007366A5" w:rsidRPr="00CC4650">
        <w:rPr>
          <w:lang w:val="pt-BR"/>
        </w:rPr>
        <w:t>devido à</w:t>
      </w:r>
      <w:r w:rsidR="005B3B8D" w:rsidRPr="00CC4650">
        <w:rPr>
          <w:lang w:val="pt-BR"/>
        </w:rPr>
        <w:t xml:space="preserve">s </w:t>
      </w:r>
      <w:r w:rsidR="004C5776" w:rsidRPr="00CC4650">
        <w:rPr>
          <w:lang w:val="pt-BR"/>
        </w:rPr>
        <w:t>diversas</w:t>
      </w:r>
      <w:r w:rsidR="007366A5" w:rsidRPr="00CC4650">
        <w:rPr>
          <w:lang w:val="pt-BR"/>
        </w:rPr>
        <w:t xml:space="preserve"> </w:t>
      </w:r>
      <w:r w:rsidR="00AF2517" w:rsidRPr="00CC4650">
        <w:rPr>
          <w:lang w:val="pt-BR"/>
        </w:rPr>
        <w:t xml:space="preserve">variáveis envolvidas </w:t>
      </w:r>
      <w:r w:rsidR="00F95DB8" w:rsidRPr="00CC4650">
        <w:rPr>
          <w:lang w:val="pt-BR"/>
        </w:rPr>
        <w:t>n</w:t>
      </w:r>
      <w:r w:rsidR="00024644" w:rsidRPr="00CC4650">
        <w:rPr>
          <w:lang w:val="pt-BR"/>
        </w:rPr>
        <w:t>a pirólise</w:t>
      </w:r>
      <w:r w:rsidR="007639B5" w:rsidRPr="00CC4650">
        <w:rPr>
          <w:lang w:val="pt-BR"/>
        </w:rPr>
        <w:t xml:space="preserve"> (</w:t>
      </w:r>
      <w:r w:rsidR="006A25A0">
        <w:rPr>
          <w:lang w:val="pt-BR"/>
        </w:rPr>
        <w:t>2</w:t>
      </w:r>
      <w:r w:rsidR="0024759C" w:rsidRPr="00CC4650">
        <w:rPr>
          <w:lang w:val="pt-BR"/>
        </w:rPr>
        <w:t>)</w:t>
      </w:r>
      <w:r w:rsidR="00F95DB8" w:rsidRPr="00CC4650">
        <w:rPr>
          <w:lang w:val="pt-BR"/>
        </w:rPr>
        <w:t xml:space="preserve">. </w:t>
      </w:r>
      <w:r w:rsidR="00024644" w:rsidRPr="00CC4650">
        <w:rPr>
          <w:lang w:val="pt-BR"/>
        </w:rPr>
        <w:t xml:space="preserve">No entanto, </w:t>
      </w:r>
      <w:r w:rsidR="0077499E" w:rsidRPr="00EA3D8E">
        <w:rPr>
          <w:lang w:val="pt-BR"/>
        </w:rPr>
        <w:t>a compreensão do</w:t>
      </w:r>
      <w:r w:rsidR="00385B0A" w:rsidRPr="00EA3D8E">
        <w:rPr>
          <w:lang w:val="pt-BR"/>
        </w:rPr>
        <w:t xml:space="preserve"> </w:t>
      </w:r>
      <w:r w:rsidR="0077499E" w:rsidRPr="00EA3D8E">
        <w:rPr>
          <w:lang w:val="pt-BR"/>
        </w:rPr>
        <w:t xml:space="preserve">processo </w:t>
      </w:r>
      <w:r w:rsidR="00024644" w:rsidRPr="00EA3D8E">
        <w:rPr>
          <w:lang w:val="pt-BR"/>
        </w:rPr>
        <w:t>é</w:t>
      </w:r>
      <w:r w:rsidR="0077499E" w:rsidRPr="00EA3D8E">
        <w:rPr>
          <w:lang w:val="pt-BR"/>
        </w:rPr>
        <w:t xml:space="preserve"> fundamental para s</w:t>
      </w:r>
      <w:r w:rsidR="00023096" w:rsidRPr="00EA3D8E">
        <w:rPr>
          <w:lang w:val="pt-BR"/>
        </w:rPr>
        <w:t>eu uso na i</w:t>
      </w:r>
      <w:r w:rsidR="00024644" w:rsidRPr="00EA3D8E">
        <w:rPr>
          <w:lang w:val="pt-BR"/>
        </w:rPr>
        <w:t>ndústria</w:t>
      </w:r>
      <w:r w:rsidR="0077499E" w:rsidRPr="00EA3D8E">
        <w:rPr>
          <w:lang w:val="pt-BR"/>
        </w:rPr>
        <w:t xml:space="preserve">. </w:t>
      </w:r>
      <w:r w:rsidR="00385B0A" w:rsidRPr="00EA3D8E">
        <w:rPr>
          <w:lang w:val="pt-BR"/>
        </w:rPr>
        <w:t xml:space="preserve">Com intuito de compreender a pirólise da biomassa </w:t>
      </w:r>
      <w:r w:rsidR="004C5776" w:rsidRPr="00EA3D8E">
        <w:rPr>
          <w:lang w:val="pt-BR"/>
        </w:rPr>
        <w:t>e</w:t>
      </w:r>
      <w:r w:rsidR="00385B0A" w:rsidRPr="00EA3D8E">
        <w:rPr>
          <w:lang w:val="pt-BR"/>
        </w:rPr>
        <w:t xml:space="preserve"> o papel de diferentes catalisadores no processo</w:t>
      </w:r>
      <w:r w:rsidR="003C4609" w:rsidRPr="00EA3D8E">
        <w:rPr>
          <w:lang w:val="pt-BR"/>
        </w:rPr>
        <w:t>, a</w:t>
      </w:r>
      <w:r w:rsidR="00DD5667" w:rsidRPr="00EA3D8E">
        <w:rPr>
          <w:lang w:val="pt-BR"/>
        </w:rPr>
        <w:t xml:space="preserve">lguns estudos </w:t>
      </w:r>
      <w:r w:rsidR="00946B0B" w:rsidRPr="00EA3D8E">
        <w:rPr>
          <w:lang w:val="pt-BR"/>
        </w:rPr>
        <w:t>(</w:t>
      </w:r>
      <w:r w:rsidR="006A25A0">
        <w:rPr>
          <w:lang w:val="pt-BR"/>
        </w:rPr>
        <w:t>6, 7</w:t>
      </w:r>
      <w:r w:rsidR="00946B0B" w:rsidRPr="00EA3D8E">
        <w:rPr>
          <w:lang w:val="pt-BR"/>
        </w:rPr>
        <w:t xml:space="preserve">) têm </w:t>
      </w:r>
      <w:r w:rsidR="009D3293" w:rsidRPr="00EA3D8E">
        <w:rPr>
          <w:lang w:val="pt-BR"/>
        </w:rPr>
        <w:t xml:space="preserve">utilizado modelos </w:t>
      </w:r>
      <w:r w:rsidR="000A1DFD" w:rsidRPr="00EA3D8E">
        <w:rPr>
          <w:lang w:val="pt-BR"/>
        </w:rPr>
        <w:t>livres para calcular parâmetros termo</w:t>
      </w:r>
      <w:r w:rsidR="009D3293" w:rsidRPr="00EA3D8E">
        <w:rPr>
          <w:lang w:val="pt-BR"/>
        </w:rPr>
        <w:t>cinéticos</w:t>
      </w:r>
      <w:r w:rsidR="003C4609" w:rsidRPr="00EA3D8E">
        <w:rPr>
          <w:lang w:val="pt-BR"/>
        </w:rPr>
        <w:t xml:space="preserve"> e termodinâmicos.</w:t>
      </w:r>
    </w:p>
    <w:p w14:paraId="011B938A" w14:textId="16482369" w:rsidR="00096885" w:rsidRPr="00CC4650" w:rsidRDefault="004C5776" w:rsidP="00CC4650">
      <w:pPr>
        <w:pStyle w:val="TAMainText"/>
        <w:rPr>
          <w:lang w:val="pt-BR"/>
        </w:rPr>
      </w:pPr>
      <w:r w:rsidRPr="00EA3D8E">
        <w:rPr>
          <w:lang w:val="pt-BR"/>
        </w:rPr>
        <w:t>O presente trabalho</w:t>
      </w:r>
      <w:r w:rsidR="007D6E70" w:rsidRPr="00EA3D8E">
        <w:rPr>
          <w:lang w:val="pt-BR"/>
        </w:rPr>
        <w:t xml:space="preserve"> tem como objetivo determinar </w:t>
      </w:r>
      <w:r w:rsidR="00096885" w:rsidRPr="00EA3D8E">
        <w:rPr>
          <w:lang w:val="pt-BR"/>
        </w:rPr>
        <w:t>os parâmetros termocinéticos da pirólise</w:t>
      </w:r>
      <w:r w:rsidR="006A11A7" w:rsidRPr="00EA3D8E">
        <w:rPr>
          <w:lang w:val="pt-BR"/>
        </w:rPr>
        <w:t xml:space="preserve"> catalítica</w:t>
      </w:r>
      <w:r w:rsidR="00096885" w:rsidRPr="00EA3D8E">
        <w:rPr>
          <w:lang w:val="pt-BR"/>
        </w:rPr>
        <w:t xml:space="preserve"> </w:t>
      </w:r>
      <w:r w:rsidR="0016760B" w:rsidRPr="00EA3D8E">
        <w:rPr>
          <w:lang w:val="pt-BR"/>
        </w:rPr>
        <w:t xml:space="preserve">e não-catalítica </w:t>
      </w:r>
      <w:r w:rsidR="00096885" w:rsidRPr="00EA3D8E">
        <w:rPr>
          <w:lang w:val="pt-BR"/>
        </w:rPr>
        <w:t xml:space="preserve">de resíduos de </w:t>
      </w:r>
      <w:r w:rsidR="009771A5" w:rsidRPr="00EA3D8E">
        <w:rPr>
          <w:lang w:val="pt-BR"/>
        </w:rPr>
        <w:t>bagaço de uva</w:t>
      </w:r>
      <w:r w:rsidR="007D6E70" w:rsidRPr="00CC4650">
        <w:rPr>
          <w:lang w:val="pt-BR"/>
        </w:rPr>
        <w:t xml:space="preserve"> </w:t>
      </w:r>
      <w:r w:rsidR="00566CD8" w:rsidRPr="00CC4650">
        <w:rPr>
          <w:lang w:val="pt-BR"/>
        </w:rPr>
        <w:t>p</w:t>
      </w:r>
      <w:r w:rsidR="00096885" w:rsidRPr="00CC4650">
        <w:rPr>
          <w:lang w:val="pt-BR"/>
        </w:rPr>
        <w:t>elos métodos não isotérmicos e isoconversionais de Flynn-Wall-Ozawa</w:t>
      </w:r>
      <w:r w:rsidR="000242D5" w:rsidRPr="00CC4650">
        <w:rPr>
          <w:lang w:val="pt-BR"/>
        </w:rPr>
        <w:t xml:space="preserve"> </w:t>
      </w:r>
      <w:r w:rsidR="00096885" w:rsidRPr="00CC4650">
        <w:rPr>
          <w:lang w:val="pt-BR"/>
        </w:rPr>
        <w:t>(FWO), Kissinger-Akahira-Sunose (KAS) e Friedman</w:t>
      </w:r>
      <w:r w:rsidR="006A11A7" w:rsidRPr="00CC4650">
        <w:rPr>
          <w:lang w:val="pt-BR"/>
        </w:rPr>
        <w:t>.</w:t>
      </w:r>
      <w:r w:rsidR="00874567" w:rsidRPr="00CC4650">
        <w:rPr>
          <w:lang w:val="pt-BR"/>
        </w:rPr>
        <w:t xml:space="preserve"> </w:t>
      </w:r>
      <w:r w:rsidR="00576C91" w:rsidRPr="00CC4650">
        <w:rPr>
          <w:lang w:val="pt-BR"/>
        </w:rPr>
        <w:t>O</w:t>
      </w:r>
      <w:r w:rsidRPr="00CC4650">
        <w:rPr>
          <w:lang w:val="pt-BR"/>
        </w:rPr>
        <w:t xml:space="preserve"> </w:t>
      </w:r>
      <w:r w:rsidR="00BB71FA" w:rsidRPr="00CC4650">
        <w:rPr>
          <w:lang w:val="pt-BR"/>
        </w:rPr>
        <w:t>t</w:t>
      </w:r>
      <w:r w:rsidR="003B4154" w:rsidRPr="00CC4650">
        <w:rPr>
          <w:lang w:val="pt-BR"/>
        </w:rPr>
        <w:t>ratamento ácido da a</w:t>
      </w:r>
      <w:r w:rsidR="00AE7DC7" w:rsidRPr="00CC4650">
        <w:rPr>
          <w:lang w:val="pt-BR"/>
        </w:rPr>
        <w:t xml:space="preserve">rgila comercial </w:t>
      </w:r>
      <w:r w:rsidR="003C4609" w:rsidRPr="00CC4650">
        <w:rPr>
          <w:lang w:val="pt-BR"/>
        </w:rPr>
        <w:t>m</w:t>
      </w:r>
      <w:r w:rsidR="00AE7DC7" w:rsidRPr="00CC4650">
        <w:rPr>
          <w:lang w:val="pt-BR"/>
        </w:rPr>
        <w:t xml:space="preserve">ontmorillonita </w:t>
      </w:r>
      <w:r w:rsidR="005C5648" w:rsidRPr="00CC4650">
        <w:rPr>
          <w:lang w:val="pt-BR"/>
        </w:rPr>
        <w:t xml:space="preserve">(K10) </w:t>
      </w:r>
      <w:r w:rsidR="003B4154" w:rsidRPr="00CC4650">
        <w:rPr>
          <w:lang w:val="pt-BR"/>
        </w:rPr>
        <w:t xml:space="preserve">também foi alvo de </w:t>
      </w:r>
      <w:r w:rsidR="00557416" w:rsidRPr="00CC4650">
        <w:rPr>
          <w:lang w:val="pt-BR"/>
        </w:rPr>
        <w:t>investigação</w:t>
      </w:r>
      <w:r w:rsidR="003B4154" w:rsidRPr="00CC4650">
        <w:rPr>
          <w:lang w:val="pt-BR"/>
        </w:rPr>
        <w:t xml:space="preserve">.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BBB71BE" w14:textId="72964AA9" w:rsidR="008F1E39" w:rsidRPr="008F1E39" w:rsidRDefault="000060E3" w:rsidP="008F1E39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Acidificação da </w:t>
      </w:r>
      <w:r w:rsidR="00E470E1">
        <w:rPr>
          <w:rFonts w:ascii="Times New Roman" w:hAnsi="Times New Roman"/>
          <w:i/>
          <w:lang w:val="pt-BR"/>
        </w:rPr>
        <w:t>argila.</w:t>
      </w:r>
    </w:p>
    <w:p w14:paraId="53C17489" w14:textId="1F139480" w:rsidR="00E30997" w:rsidRPr="009769F3" w:rsidRDefault="008F1E39" w:rsidP="00287D75">
      <w:pPr>
        <w:pStyle w:val="TAMainText"/>
        <w:ind w:firstLine="204"/>
        <w:rPr>
          <w:rFonts w:ascii="Arial" w:hAnsi="Arial" w:cs="Arial"/>
          <w:color w:val="000000"/>
          <w:lang w:val="pt-BR"/>
        </w:rPr>
      </w:pPr>
      <w:r w:rsidRPr="00A076AE">
        <w:rPr>
          <w:lang w:val="pt-BR"/>
        </w:rPr>
        <w:t xml:space="preserve">A </w:t>
      </w:r>
      <w:r w:rsidRPr="009769F3">
        <w:rPr>
          <w:lang w:val="pt-BR"/>
        </w:rPr>
        <w:t>argila montmorillonita comercial (Sigma Aldrich, CAS 1318-93-0)</w:t>
      </w:r>
      <w:r w:rsidR="005B49B1" w:rsidRPr="009769F3">
        <w:rPr>
          <w:lang w:val="pt-BR"/>
        </w:rPr>
        <w:t xml:space="preserve">, denominada K10, </w:t>
      </w:r>
      <w:r w:rsidR="000242D5" w:rsidRPr="009769F3">
        <w:rPr>
          <w:lang w:val="pt-BR"/>
        </w:rPr>
        <w:t xml:space="preserve">foi </w:t>
      </w:r>
      <w:r w:rsidRPr="009769F3">
        <w:rPr>
          <w:lang w:val="pt-BR"/>
        </w:rPr>
        <w:t>seca em estufa a 90 °C</w:t>
      </w:r>
      <w:r w:rsidR="004C5776" w:rsidRPr="009769F3">
        <w:rPr>
          <w:lang w:val="pt-BR"/>
        </w:rPr>
        <w:t>,</w:t>
      </w:r>
      <w:r w:rsidRPr="009769F3">
        <w:rPr>
          <w:lang w:val="pt-BR"/>
        </w:rPr>
        <w:t xml:space="preserve"> por 1 h</w:t>
      </w:r>
      <w:r w:rsidR="00362545" w:rsidRPr="009769F3">
        <w:rPr>
          <w:lang w:val="pt-BR"/>
        </w:rPr>
        <w:t xml:space="preserve"> </w:t>
      </w:r>
      <w:r w:rsidR="00B3168C" w:rsidRPr="009769F3">
        <w:rPr>
          <w:lang w:val="pt-BR"/>
        </w:rPr>
        <w:t>e</w:t>
      </w:r>
      <w:r w:rsidR="00362545" w:rsidRPr="009769F3">
        <w:rPr>
          <w:lang w:val="pt-BR"/>
        </w:rPr>
        <w:t xml:space="preserve">, </w:t>
      </w:r>
      <w:r w:rsidR="00B3168C" w:rsidRPr="009769F3">
        <w:rPr>
          <w:lang w:val="pt-BR"/>
        </w:rPr>
        <w:t>p</w:t>
      </w:r>
      <w:r w:rsidR="00453B34" w:rsidRPr="009769F3">
        <w:rPr>
          <w:lang w:val="pt-BR"/>
        </w:rPr>
        <w:t>osteri</w:t>
      </w:r>
      <w:r w:rsidR="00297F16" w:rsidRPr="009769F3">
        <w:rPr>
          <w:lang w:val="pt-BR"/>
        </w:rPr>
        <w:t>ormente</w:t>
      </w:r>
      <w:r w:rsidR="00B3168C" w:rsidRPr="009769F3">
        <w:rPr>
          <w:lang w:val="pt-BR"/>
        </w:rPr>
        <w:t xml:space="preserve">, </w:t>
      </w:r>
      <w:r w:rsidR="00297F16" w:rsidRPr="009769F3">
        <w:rPr>
          <w:lang w:val="pt-BR"/>
        </w:rPr>
        <w:t>tratada com ácido clorídrico (</w:t>
      </w:r>
      <w:r w:rsidR="006A25A0" w:rsidRPr="009769F3">
        <w:rPr>
          <w:lang w:val="pt-BR"/>
        </w:rPr>
        <w:t>8</w:t>
      </w:r>
      <w:r w:rsidR="00297F16" w:rsidRPr="009769F3">
        <w:rPr>
          <w:lang w:val="pt-BR"/>
        </w:rPr>
        <w:t>)</w:t>
      </w:r>
      <w:r w:rsidR="003D4D7B" w:rsidRPr="009769F3">
        <w:rPr>
          <w:lang w:val="pt-BR"/>
        </w:rPr>
        <w:t xml:space="preserve">. </w:t>
      </w:r>
      <w:r w:rsidR="003367BA" w:rsidRPr="009769F3">
        <w:rPr>
          <w:lang w:val="pt-BR"/>
        </w:rPr>
        <w:t xml:space="preserve">A </w:t>
      </w:r>
      <w:r w:rsidRPr="009769F3">
        <w:rPr>
          <w:lang w:val="pt-BR"/>
        </w:rPr>
        <w:t xml:space="preserve">argila </w:t>
      </w:r>
      <w:r w:rsidR="00530DD4" w:rsidRPr="009769F3">
        <w:rPr>
          <w:lang w:val="pt-BR"/>
        </w:rPr>
        <w:t xml:space="preserve">foi misturada </w:t>
      </w:r>
      <w:r w:rsidR="00EF7E4B" w:rsidRPr="009769F3">
        <w:rPr>
          <w:lang w:val="pt-BR"/>
        </w:rPr>
        <w:t>a</w:t>
      </w:r>
      <w:r w:rsidRPr="009769F3">
        <w:rPr>
          <w:lang w:val="pt-BR"/>
        </w:rPr>
        <w:t xml:space="preserve"> uma solução de ácido clorídrico</w:t>
      </w:r>
      <w:r w:rsidR="004C5776" w:rsidRPr="009769F3">
        <w:rPr>
          <w:lang w:val="pt-BR"/>
        </w:rPr>
        <w:t xml:space="preserve">, </w:t>
      </w:r>
      <w:r w:rsidRPr="009769F3">
        <w:rPr>
          <w:lang w:val="pt-BR"/>
        </w:rPr>
        <w:t xml:space="preserve">nas concentrações de 1, 2, 4 </w:t>
      </w:r>
      <w:r w:rsidR="00EF7E4B" w:rsidRPr="009769F3">
        <w:rPr>
          <w:lang w:val="pt-BR"/>
        </w:rPr>
        <w:t>e</w:t>
      </w:r>
      <w:r w:rsidRPr="009769F3">
        <w:rPr>
          <w:lang w:val="pt-BR"/>
        </w:rPr>
        <w:t xml:space="preserve"> 6 mol L</w:t>
      </w:r>
      <w:r w:rsidRPr="009769F3">
        <w:rPr>
          <w:vertAlign w:val="superscript"/>
          <w:lang w:val="pt-BR"/>
        </w:rPr>
        <w:t>-1</w:t>
      </w:r>
      <w:r w:rsidR="00EF7E4B" w:rsidRPr="009769F3">
        <w:rPr>
          <w:lang w:val="pt-BR"/>
        </w:rPr>
        <w:t>,</w:t>
      </w:r>
      <w:r w:rsidRPr="009769F3">
        <w:rPr>
          <w:lang w:val="pt-BR"/>
        </w:rPr>
        <w:t xml:space="preserve"> em </w:t>
      </w:r>
      <w:r w:rsidR="00EF7E4B" w:rsidRPr="009769F3">
        <w:rPr>
          <w:lang w:val="pt-BR"/>
        </w:rPr>
        <w:t xml:space="preserve">um </w:t>
      </w:r>
      <w:r w:rsidRPr="009769F3">
        <w:rPr>
          <w:lang w:val="pt-BR"/>
        </w:rPr>
        <w:t>balão de fundo redondo na proporção</w:t>
      </w:r>
      <w:r w:rsidR="004C5776" w:rsidRPr="009769F3">
        <w:rPr>
          <w:lang w:val="pt-BR"/>
        </w:rPr>
        <w:t xml:space="preserve"> (m/v)</w:t>
      </w:r>
      <w:r w:rsidRPr="009769F3">
        <w:rPr>
          <w:lang w:val="pt-BR"/>
        </w:rPr>
        <w:t xml:space="preserve"> 1:10 (argila:HCl). A mistura foi agita</w:t>
      </w:r>
      <w:r w:rsidR="004C5776" w:rsidRPr="009769F3">
        <w:rPr>
          <w:lang w:val="pt-BR"/>
        </w:rPr>
        <w:t xml:space="preserve">da </w:t>
      </w:r>
      <w:r w:rsidRPr="009769F3">
        <w:rPr>
          <w:lang w:val="pt-BR"/>
        </w:rPr>
        <w:t>e aqueci</w:t>
      </w:r>
      <w:r w:rsidR="004C5776" w:rsidRPr="009769F3">
        <w:rPr>
          <w:lang w:val="pt-BR"/>
        </w:rPr>
        <w:t xml:space="preserve">da </w:t>
      </w:r>
      <w:r w:rsidRPr="009769F3">
        <w:rPr>
          <w:lang w:val="pt-BR"/>
        </w:rPr>
        <w:t>sob</w:t>
      </w:r>
      <w:r w:rsidR="004C5776" w:rsidRPr="009769F3">
        <w:rPr>
          <w:lang w:val="pt-BR"/>
        </w:rPr>
        <w:t xml:space="preserve"> </w:t>
      </w:r>
      <w:r w:rsidRPr="009769F3">
        <w:rPr>
          <w:lang w:val="pt-BR"/>
        </w:rPr>
        <w:t>refluxo a 25 °C</w:t>
      </w:r>
      <w:r w:rsidR="004C5776" w:rsidRPr="009769F3">
        <w:rPr>
          <w:lang w:val="pt-BR"/>
        </w:rPr>
        <w:t>,</w:t>
      </w:r>
      <w:r w:rsidRPr="009769F3">
        <w:rPr>
          <w:lang w:val="pt-BR"/>
        </w:rPr>
        <w:t xml:space="preserve"> </w:t>
      </w:r>
      <w:r w:rsidR="00E30997" w:rsidRPr="009769F3">
        <w:rPr>
          <w:lang w:val="pt-BR"/>
        </w:rPr>
        <w:t xml:space="preserve">por </w:t>
      </w:r>
      <w:r w:rsidRPr="009769F3">
        <w:rPr>
          <w:lang w:val="pt-BR"/>
        </w:rPr>
        <w:t>1 h. As misturas</w:t>
      </w:r>
      <w:r w:rsidR="004C5776" w:rsidRPr="009769F3">
        <w:rPr>
          <w:lang w:val="pt-BR"/>
        </w:rPr>
        <w:t xml:space="preserve"> foram filtradas a vácuo e o sólido foi lavado c</w:t>
      </w:r>
      <w:r w:rsidRPr="009769F3">
        <w:rPr>
          <w:lang w:val="pt-BR"/>
        </w:rPr>
        <w:t>om água destilada e filtrad</w:t>
      </w:r>
      <w:r w:rsidR="00E30997" w:rsidRPr="009769F3">
        <w:rPr>
          <w:lang w:val="pt-BR"/>
        </w:rPr>
        <w:t>o novamente. O procedimento de lavagem e filtração foram repetidos</w:t>
      </w:r>
      <w:r w:rsidRPr="009769F3">
        <w:rPr>
          <w:lang w:val="pt-BR"/>
        </w:rPr>
        <w:t>, até o resíduo líquido alcançar pH</w:t>
      </w:r>
      <w:r w:rsidR="004C3606" w:rsidRPr="009769F3">
        <w:rPr>
          <w:lang w:val="pt-BR"/>
        </w:rPr>
        <w:t xml:space="preserve"> </w:t>
      </w:r>
      <w:r w:rsidR="00012EB4" w:rsidRPr="009769F3">
        <w:rPr>
          <w:lang w:val="pt-BR"/>
        </w:rPr>
        <w:t xml:space="preserve">~ </w:t>
      </w:r>
      <w:r w:rsidRPr="009769F3">
        <w:rPr>
          <w:lang w:val="pt-BR"/>
        </w:rPr>
        <w:t>7. O sólido foi seco em estufa a 60 °C</w:t>
      </w:r>
      <w:r w:rsidR="00E30997" w:rsidRPr="009769F3">
        <w:rPr>
          <w:lang w:val="pt-BR"/>
        </w:rPr>
        <w:t>,</w:t>
      </w:r>
      <w:r w:rsidRPr="009769F3">
        <w:rPr>
          <w:lang w:val="pt-BR"/>
        </w:rPr>
        <w:t xml:space="preserve"> por 48 h e</w:t>
      </w:r>
      <w:r w:rsidR="00305A5C" w:rsidRPr="009769F3">
        <w:rPr>
          <w:lang w:val="pt-BR"/>
        </w:rPr>
        <w:t xml:space="preserve"> </w:t>
      </w:r>
      <w:r w:rsidRPr="009769F3">
        <w:rPr>
          <w:lang w:val="pt-BR"/>
        </w:rPr>
        <w:t>armazenad</w:t>
      </w:r>
      <w:r w:rsidR="00093490" w:rsidRPr="009769F3">
        <w:rPr>
          <w:lang w:val="pt-BR"/>
        </w:rPr>
        <w:t>o</w:t>
      </w:r>
      <w:r w:rsidRPr="009769F3">
        <w:rPr>
          <w:lang w:val="pt-BR"/>
        </w:rPr>
        <w:t xml:space="preserve"> </w:t>
      </w:r>
      <w:r w:rsidR="00E30997" w:rsidRPr="009769F3">
        <w:rPr>
          <w:lang w:val="pt-BR"/>
        </w:rPr>
        <w:t xml:space="preserve">em </w:t>
      </w:r>
      <w:r w:rsidRPr="009769F3">
        <w:rPr>
          <w:lang w:val="pt-BR"/>
        </w:rPr>
        <w:t xml:space="preserve">dessecador. </w:t>
      </w:r>
      <w:r w:rsidR="00E30997" w:rsidRPr="009769F3">
        <w:rPr>
          <w:lang w:val="pt-BR"/>
        </w:rPr>
        <w:t xml:space="preserve"> </w:t>
      </w:r>
      <w:r w:rsidRPr="009769F3">
        <w:rPr>
          <w:lang w:val="pt-BR"/>
        </w:rPr>
        <w:t>As amostras foram nomeadas como K101, K102, K104 e K106, onde K10</w:t>
      </w:r>
      <w:r w:rsidR="00093490" w:rsidRPr="009769F3">
        <w:rPr>
          <w:lang w:val="pt-BR"/>
        </w:rPr>
        <w:t xml:space="preserve"> </w:t>
      </w:r>
      <w:r w:rsidR="0026039B" w:rsidRPr="009769F3">
        <w:rPr>
          <w:lang w:val="pt-BR"/>
        </w:rPr>
        <w:t xml:space="preserve">é </w:t>
      </w:r>
      <w:r w:rsidR="00093490" w:rsidRPr="009769F3">
        <w:rPr>
          <w:lang w:val="pt-BR"/>
        </w:rPr>
        <w:t xml:space="preserve">a </w:t>
      </w:r>
      <w:r w:rsidRPr="009769F3">
        <w:rPr>
          <w:lang w:val="pt-BR"/>
        </w:rPr>
        <w:t>montmorillonita</w:t>
      </w:r>
      <w:r w:rsidR="00093490" w:rsidRPr="009769F3">
        <w:rPr>
          <w:lang w:val="pt-BR"/>
        </w:rPr>
        <w:t xml:space="preserve"> comercial</w:t>
      </w:r>
      <w:r w:rsidR="0026039B" w:rsidRPr="009769F3">
        <w:rPr>
          <w:lang w:val="pt-BR"/>
        </w:rPr>
        <w:t xml:space="preserve"> e o</w:t>
      </w:r>
      <w:r w:rsidR="00E30997" w:rsidRPr="009769F3">
        <w:rPr>
          <w:lang w:val="pt-BR"/>
        </w:rPr>
        <w:t>s</w:t>
      </w:r>
      <w:r w:rsidR="0026039B" w:rsidRPr="009769F3">
        <w:rPr>
          <w:lang w:val="pt-BR"/>
        </w:rPr>
        <w:t xml:space="preserve"> número</w:t>
      </w:r>
      <w:r w:rsidR="00E30997" w:rsidRPr="009769F3">
        <w:rPr>
          <w:lang w:val="pt-BR"/>
        </w:rPr>
        <w:t>s</w:t>
      </w:r>
      <w:r w:rsidR="0026039B" w:rsidRPr="009769F3">
        <w:rPr>
          <w:lang w:val="pt-BR"/>
        </w:rPr>
        <w:t xml:space="preserve"> que </w:t>
      </w:r>
      <w:r w:rsidR="00E30997" w:rsidRPr="009769F3">
        <w:rPr>
          <w:lang w:val="pt-BR"/>
        </w:rPr>
        <w:t xml:space="preserve">se </w:t>
      </w:r>
      <w:r w:rsidR="0026039B" w:rsidRPr="009769F3">
        <w:rPr>
          <w:lang w:val="pt-BR"/>
        </w:rPr>
        <w:t>segue</w:t>
      </w:r>
      <w:r w:rsidR="00E30997" w:rsidRPr="009769F3">
        <w:rPr>
          <w:lang w:val="pt-BR"/>
        </w:rPr>
        <w:t>m</w:t>
      </w:r>
      <w:r w:rsidR="0026039B" w:rsidRPr="009769F3">
        <w:rPr>
          <w:lang w:val="pt-BR"/>
        </w:rPr>
        <w:t xml:space="preserve"> </w:t>
      </w:r>
      <w:r w:rsidR="00E30997" w:rsidRPr="009769F3">
        <w:rPr>
          <w:lang w:val="pt-BR"/>
        </w:rPr>
        <w:t xml:space="preserve">indicam </w:t>
      </w:r>
      <w:r w:rsidR="00530DD4" w:rsidRPr="009769F3">
        <w:rPr>
          <w:lang w:val="pt-BR"/>
        </w:rPr>
        <w:t xml:space="preserve">a </w:t>
      </w:r>
      <w:r w:rsidRPr="009769F3">
        <w:rPr>
          <w:lang w:val="pt-BR"/>
        </w:rPr>
        <w:t>concentração da solução de HCl</w:t>
      </w:r>
      <w:r w:rsidR="00E30997" w:rsidRPr="009769F3">
        <w:rPr>
          <w:lang w:val="pt-BR"/>
        </w:rPr>
        <w:t xml:space="preserve">. </w:t>
      </w:r>
      <w:r w:rsidRPr="009769F3">
        <w:rPr>
          <w:rFonts w:ascii="Arial" w:hAnsi="Arial" w:cs="Arial"/>
          <w:color w:val="000000"/>
          <w:lang w:val="pt-BR"/>
        </w:rPr>
        <w:t xml:space="preserve">  </w:t>
      </w:r>
    </w:p>
    <w:p w14:paraId="2ACC297A" w14:textId="4DE7E177" w:rsidR="000B2AFB" w:rsidRPr="009769F3" w:rsidRDefault="000B2AFB" w:rsidP="000B2AF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9769F3">
        <w:rPr>
          <w:rFonts w:ascii="Times New Roman" w:hAnsi="Times New Roman"/>
          <w:i/>
          <w:lang w:val="pt-BR"/>
        </w:rPr>
        <w:t>Caracterização da argila acidificada</w:t>
      </w:r>
      <w:r w:rsidR="005939E5" w:rsidRPr="009769F3">
        <w:rPr>
          <w:rFonts w:ascii="Times New Roman" w:hAnsi="Times New Roman"/>
          <w:i/>
          <w:lang w:val="pt-BR"/>
        </w:rPr>
        <w:t>.</w:t>
      </w:r>
    </w:p>
    <w:p w14:paraId="32BBF58B" w14:textId="4ECE9353" w:rsidR="008F1E39" w:rsidRPr="009769F3" w:rsidRDefault="005939E5" w:rsidP="00287D75">
      <w:pPr>
        <w:pStyle w:val="TAMainText"/>
        <w:ind w:firstLine="204"/>
        <w:rPr>
          <w:lang w:val="pt-BR"/>
        </w:rPr>
      </w:pPr>
      <w:r w:rsidRPr="009769F3">
        <w:rPr>
          <w:lang w:val="pt-BR"/>
        </w:rPr>
        <w:t xml:space="preserve">Os sólidos foram caracterizados por difração de raios X (DRX), </w:t>
      </w:r>
      <w:r w:rsidR="00FD5172" w:rsidRPr="009769F3">
        <w:rPr>
          <w:lang w:val="pt-BR"/>
        </w:rPr>
        <w:t xml:space="preserve">análise textural por adsorção de nitrogênio </w:t>
      </w:r>
      <w:r w:rsidR="009263CE" w:rsidRPr="009769F3">
        <w:rPr>
          <w:lang w:val="pt-BR"/>
        </w:rPr>
        <w:t>e</w:t>
      </w:r>
      <w:r w:rsidRPr="009769F3">
        <w:rPr>
          <w:lang w:val="pt-BR"/>
        </w:rPr>
        <w:t xml:space="preserve"> medidas de acidez por dessorção de amônia </w:t>
      </w:r>
      <w:r w:rsidR="009263CE" w:rsidRPr="009769F3">
        <w:rPr>
          <w:lang w:val="pt-BR"/>
        </w:rPr>
        <w:t>à</w:t>
      </w:r>
      <w:r w:rsidRPr="009769F3">
        <w:rPr>
          <w:lang w:val="pt-BR"/>
        </w:rPr>
        <w:t xml:space="preserve"> temperatura programada (NH</w:t>
      </w:r>
      <w:r w:rsidRPr="009769F3">
        <w:rPr>
          <w:vertAlign w:val="subscript"/>
          <w:lang w:val="pt-BR"/>
        </w:rPr>
        <w:t>3</w:t>
      </w:r>
      <w:r w:rsidRPr="009769F3">
        <w:rPr>
          <w:lang w:val="pt-BR"/>
        </w:rPr>
        <w:t xml:space="preserve">-TPD). </w:t>
      </w:r>
    </w:p>
    <w:p w14:paraId="57BB1629" w14:textId="3300E874" w:rsidR="009263CE" w:rsidRPr="009769F3" w:rsidRDefault="00E30997" w:rsidP="009263CE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9769F3">
        <w:rPr>
          <w:rFonts w:ascii="Times New Roman" w:hAnsi="Times New Roman"/>
          <w:i/>
          <w:lang w:val="pt-BR"/>
        </w:rPr>
        <w:t>Tratamento da b</w:t>
      </w:r>
      <w:r w:rsidR="009263CE" w:rsidRPr="009769F3">
        <w:rPr>
          <w:rFonts w:ascii="Times New Roman" w:hAnsi="Times New Roman"/>
          <w:i/>
          <w:lang w:val="pt-BR"/>
        </w:rPr>
        <w:t>iomassa</w:t>
      </w:r>
    </w:p>
    <w:p w14:paraId="5A4E21A3" w14:textId="4E1023E4" w:rsidR="00211C92" w:rsidRPr="009769F3" w:rsidRDefault="00E30997" w:rsidP="00211C92">
      <w:pPr>
        <w:pStyle w:val="TAMainText"/>
        <w:ind w:firstLine="204"/>
        <w:rPr>
          <w:lang w:val="pt-BR"/>
        </w:rPr>
      </w:pPr>
      <w:r w:rsidRPr="009769F3">
        <w:rPr>
          <w:lang w:val="pt-BR"/>
        </w:rPr>
        <w:t>Os r</w:t>
      </w:r>
      <w:r w:rsidR="009263CE" w:rsidRPr="009769F3">
        <w:rPr>
          <w:lang w:val="pt-BR"/>
        </w:rPr>
        <w:t xml:space="preserve">esíduos de uva </w:t>
      </w:r>
      <w:r w:rsidR="009263CE" w:rsidRPr="009769F3">
        <w:rPr>
          <w:i/>
          <w:iCs/>
          <w:lang w:val="pt-BR"/>
        </w:rPr>
        <w:t>S</w:t>
      </w:r>
      <w:r w:rsidR="00B725AC" w:rsidRPr="009769F3">
        <w:rPr>
          <w:i/>
          <w:iCs/>
          <w:lang w:val="pt-BR"/>
        </w:rPr>
        <w:t>irah</w:t>
      </w:r>
      <w:r w:rsidR="00B725AC" w:rsidRPr="009769F3">
        <w:rPr>
          <w:lang w:val="pt-BR"/>
        </w:rPr>
        <w:t xml:space="preserve"> (</w:t>
      </w:r>
      <w:r w:rsidR="00B20CAC" w:rsidRPr="009769F3">
        <w:rPr>
          <w:lang w:val="pt-BR"/>
        </w:rPr>
        <w:t>casca e caroços)</w:t>
      </w:r>
      <w:r w:rsidRPr="009769F3">
        <w:rPr>
          <w:lang w:val="pt-BR"/>
        </w:rPr>
        <w:t>, provenientes de uma vinícola,</w:t>
      </w:r>
      <w:r w:rsidR="00B20CAC" w:rsidRPr="009769F3">
        <w:rPr>
          <w:lang w:val="pt-BR"/>
        </w:rPr>
        <w:t xml:space="preserve"> foram triturados, peneirados e </w:t>
      </w:r>
      <w:r w:rsidR="009263CE" w:rsidRPr="009769F3">
        <w:rPr>
          <w:lang w:val="pt-BR"/>
        </w:rPr>
        <w:t>secos em estufa a 60 °C</w:t>
      </w:r>
      <w:r w:rsidRPr="009769F3">
        <w:rPr>
          <w:lang w:val="pt-BR"/>
        </w:rPr>
        <w:t xml:space="preserve">, </w:t>
      </w:r>
      <w:r w:rsidR="009263CE" w:rsidRPr="009769F3">
        <w:rPr>
          <w:lang w:val="pt-BR"/>
        </w:rPr>
        <w:t xml:space="preserve">por 24 h. </w:t>
      </w:r>
      <w:r w:rsidR="000F475F" w:rsidRPr="009769F3">
        <w:rPr>
          <w:lang w:val="pt-BR"/>
        </w:rPr>
        <w:t xml:space="preserve">A biomassa de </w:t>
      </w:r>
      <w:r w:rsidR="0017712E" w:rsidRPr="009769F3">
        <w:rPr>
          <w:lang w:val="pt-BR"/>
        </w:rPr>
        <w:t xml:space="preserve">bagaço de </w:t>
      </w:r>
      <w:r w:rsidR="000F475F" w:rsidRPr="009769F3">
        <w:rPr>
          <w:lang w:val="pt-BR"/>
        </w:rPr>
        <w:t xml:space="preserve">uva foi denominada B. </w:t>
      </w:r>
    </w:p>
    <w:p w14:paraId="30FD1EA5" w14:textId="33F77B40" w:rsidR="00302254" w:rsidRPr="009769F3" w:rsidRDefault="00302254" w:rsidP="00302254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9769F3">
        <w:rPr>
          <w:rFonts w:ascii="Times New Roman" w:hAnsi="Times New Roman"/>
          <w:i/>
          <w:lang w:val="pt-BR"/>
        </w:rPr>
        <w:t xml:space="preserve">Estudo termocinético </w:t>
      </w:r>
    </w:p>
    <w:p w14:paraId="1427C6BA" w14:textId="35DD7473" w:rsidR="00E30997" w:rsidRPr="009769F3" w:rsidRDefault="005F0A41" w:rsidP="00E30997">
      <w:pPr>
        <w:pStyle w:val="TAMainText"/>
        <w:ind w:firstLine="204"/>
        <w:rPr>
          <w:color w:val="000000" w:themeColor="text1"/>
          <w:lang w:val="pt-BR"/>
        </w:rPr>
      </w:pPr>
      <w:r w:rsidRPr="009769F3">
        <w:rPr>
          <w:lang w:val="pt-BR"/>
        </w:rPr>
        <w:t>A</w:t>
      </w:r>
      <w:r w:rsidR="00875F38" w:rsidRPr="009769F3">
        <w:rPr>
          <w:lang w:val="pt-BR"/>
        </w:rPr>
        <w:t>s</w:t>
      </w:r>
      <w:r w:rsidRPr="009769F3">
        <w:rPr>
          <w:lang w:val="pt-BR"/>
        </w:rPr>
        <w:t xml:space="preserve"> pirólise</w:t>
      </w:r>
      <w:r w:rsidR="00875F38" w:rsidRPr="009769F3">
        <w:rPr>
          <w:lang w:val="pt-BR"/>
        </w:rPr>
        <w:t>s</w:t>
      </w:r>
      <w:r w:rsidRPr="009769F3">
        <w:rPr>
          <w:lang w:val="pt-BR"/>
        </w:rPr>
        <w:t xml:space="preserve"> </w:t>
      </w:r>
      <w:r w:rsidR="00875F38" w:rsidRPr="009769F3">
        <w:rPr>
          <w:lang w:val="pt-BR"/>
        </w:rPr>
        <w:t>não-catalítica e catalítica</w:t>
      </w:r>
      <w:r w:rsidR="008F6D4E" w:rsidRPr="009769F3">
        <w:rPr>
          <w:lang w:val="pt-BR"/>
        </w:rPr>
        <w:t>s</w:t>
      </w:r>
      <w:r w:rsidR="00875F38" w:rsidRPr="009769F3">
        <w:rPr>
          <w:lang w:val="pt-BR"/>
        </w:rPr>
        <w:t xml:space="preserve"> </w:t>
      </w:r>
      <w:r w:rsidRPr="009769F3">
        <w:rPr>
          <w:lang w:val="pt-BR"/>
        </w:rPr>
        <w:t>fo</w:t>
      </w:r>
      <w:r w:rsidR="00875F38" w:rsidRPr="009769F3">
        <w:rPr>
          <w:lang w:val="pt-BR"/>
        </w:rPr>
        <w:t xml:space="preserve">ram </w:t>
      </w:r>
      <w:r w:rsidRPr="009769F3">
        <w:rPr>
          <w:lang w:val="pt-BR"/>
        </w:rPr>
        <w:t>conduzida</w:t>
      </w:r>
      <w:r w:rsidR="00875F38" w:rsidRPr="009769F3">
        <w:rPr>
          <w:lang w:val="pt-BR"/>
        </w:rPr>
        <w:t>s</w:t>
      </w:r>
      <w:r w:rsidRPr="009769F3">
        <w:rPr>
          <w:lang w:val="pt-BR"/>
        </w:rPr>
        <w:t xml:space="preserve"> em equipamento TGA Q50 (V6.7 Build 203, Universal) utilizando cerca de </w:t>
      </w:r>
      <w:r w:rsidR="00B20CAC" w:rsidRPr="009769F3">
        <w:rPr>
          <w:lang w:val="pt-BR"/>
        </w:rPr>
        <w:t>10</w:t>
      </w:r>
      <w:r w:rsidRPr="009769F3">
        <w:rPr>
          <w:lang w:val="pt-BR"/>
        </w:rPr>
        <w:t xml:space="preserve"> mg de amostr</w:t>
      </w:r>
      <w:r w:rsidR="006358CE" w:rsidRPr="009769F3">
        <w:rPr>
          <w:lang w:val="pt-BR"/>
        </w:rPr>
        <w:t xml:space="preserve">a. </w:t>
      </w:r>
      <w:r w:rsidRPr="009769F3">
        <w:rPr>
          <w:lang w:val="pt-BR"/>
        </w:rPr>
        <w:t>O forno foi aquecido de 25 °C a 900 °C em taxas de aquecimento (</w:t>
      </w:r>
      <w:r w:rsidRPr="009769F3">
        <w:t>β</w:t>
      </w:r>
      <w:r w:rsidRPr="009769F3">
        <w:rPr>
          <w:lang w:val="pt-BR"/>
        </w:rPr>
        <w:t xml:space="preserve">) de 5, 10, 15 </w:t>
      </w:r>
      <w:r w:rsidRPr="009769F3">
        <w:rPr>
          <w:lang w:val="pt-BR"/>
        </w:rPr>
        <w:t>e 20 °C min</w:t>
      </w:r>
      <w:r w:rsidRPr="009769F3">
        <w:rPr>
          <w:vertAlign w:val="superscript"/>
          <w:lang w:val="pt-BR"/>
        </w:rPr>
        <w:t>-1</w:t>
      </w:r>
      <w:r w:rsidRPr="009769F3">
        <w:rPr>
          <w:lang w:val="pt-BR"/>
        </w:rPr>
        <w:t xml:space="preserve"> sob fluxo de nitrogênio (60 mL min</w:t>
      </w:r>
      <w:r w:rsidRPr="009769F3">
        <w:rPr>
          <w:vertAlign w:val="superscript"/>
          <w:lang w:val="pt-BR"/>
        </w:rPr>
        <w:t>-1</w:t>
      </w:r>
      <w:r w:rsidRPr="009769F3">
        <w:rPr>
          <w:lang w:val="pt-BR"/>
        </w:rPr>
        <w:t>). Os parâmetros termocinéticos foram determinados pelos métodos isoconversionais, não-isotérmicos de Flynn-Wall-Ozawa (FWO), Kissinger-Akahira-Sunose (KAS) e Friedman</w:t>
      </w:r>
      <w:r w:rsidR="00875F38" w:rsidRPr="009769F3">
        <w:rPr>
          <w:lang w:val="pt-BR"/>
        </w:rPr>
        <w:t xml:space="preserve"> (</w:t>
      </w:r>
      <w:r w:rsidR="006A25A0" w:rsidRPr="009769F3">
        <w:rPr>
          <w:color w:val="000000" w:themeColor="text1"/>
          <w:lang w:val="pt-BR"/>
        </w:rPr>
        <w:t>9</w:t>
      </w:r>
      <w:r w:rsidR="007F6705" w:rsidRPr="009769F3">
        <w:rPr>
          <w:color w:val="000000" w:themeColor="text1"/>
          <w:lang w:val="pt-BR"/>
        </w:rPr>
        <w:t>)</w:t>
      </w:r>
      <w:r w:rsidRPr="009769F3">
        <w:rPr>
          <w:color w:val="000000" w:themeColor="text1"/>
          <w:lang w:val="pt-BR"/>
        </w:rPr>
        <w:t>.</w:t>
      </w:r>
      <w:r w:rsidR="00E30997" w:rsidRPr="009769F3">
        <w:rPr>
          <w:color w:val="000000" w:themeColor="text1"/>
          <w:lang w:val="pt-BR"/>
        </w:rPr>
        <w:t xml:space="preserve"> </w:t>
      </w:r>
    </w:p>
    <w:p w14:paraId="73DF2A13" w14:textId="657D54B6" w:rsidR="00E30997" w:rsidRPr="009769F3" w:rsidRDefault="00E30997" w:rsidP="00E30997">
      <w:pPr>
        <w:pStyle w:val="TAMainText"/>
        <w:spacing w:after="120"/>
        <w:ind w:firstLine="204"/>
        <w:rPr>
          <w:color w:val="FF0000"/>
          <w:lang w:val="pt-BR"/>
        </w:rPr>
      </w:pPr>
      <w:r w:rsidRPr="009769F3">
        <w:rPr>
          <w:lang w:val="pt-BR"/>
        </w:rPr>
        <w:t xml:space="preserve">A biomassa foi misturada ao catalisador selecionado na razão de 1/1. As misturas foram denominadas </w:t>
      </w:r>
      <w:r w:rsidRPr="009769F3">
        <w:rPr>
          <w:color w:val="000000" w:themeColor="text1"/>
          <w:lang w:val="pt-BR"/>
        </w:rPr>
        <w:t>BK10, BK102 e B104 para a biomassa misturada com as argilas K10, K102 e K104, respectivamente.</w:t>
      </w:r>
    </w:p>
    <w:p w14:paraId="136BD1AC" w14:textId="731A63B1" w:rsidR="00EA4E1B" w:rsidRPr="009769F3" w:rsidRDefault="00EA4E1B" w:rsidP="001E26B2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9769F3">
        <w:rPr>
          <w:rFonts w:ascii="Helvetica" w:hAnsi="Helvetica" w:cs="Helvetica"/>
          <w:sz w:val="24"/>
          <w:szCs w:val="24"/>
        </w:rPr>
        <w:t>Resultados e Discussão</w:t>
      </w:r>
    </w:p>
    <w:p w14:paraId="6FD389AB" w14:textId="2C8398A9" w:rsidR="00C61BB6" w:rsidRPr="009769F3" w:rsidRDefault="00C61BB6" w:rsidP="00C61BB6">
      <w:pPr>
        <w:pStyle w:val="TAMainText"/>
        <w:ind w:firstLine="0"/>
        <w:rPr>
          <w:rFonts w:ascii="Times New Roman" w:hAnsi="Times New Roman"/>
          <w:lang w:val="pt-BR"/>
        </w:rPr>
      </w:pPr>
      <w:r w:rsidRPr="009769F3">
        <w:rPr>
          <w:rFonts w:ascii="Times New Roman" w:hAnsi="Times New Roman"/>
          <w:i/>
          <w:lang w:val="pt-BR"/>
        </w:rPr>
        <w:t>Caracterização da</w:t>
      </w:r>
      <w:r w:rsidR="00E850BA" w:rsidRPr="009769F3">
        <w:rPr>
          <w:rFonts w:ascii="Times New Roman" w:hAnsi="Times New Roman"/>
          <w:i/>
          <w:lang w:val="pt-BR"/>
        </w:rPr>
        <w:t>s</w:t>
      </w:r>
      <w:r w:rsidRPr="009769F3">
        <w:rPr>
          <w:rFonts w:ascii="Times New Roman" w:hAnsi="Times New Roman"/>
          <w:i/>
          <w:lang w:val="pt-BR"/>
        </w:rPr>
        <w:t xml:space="preserve"> argila</w:t>
      </w:r>
      <w:r w:rsidR="00E850BA" w:rsidRPr="009769F3">
        <w:rPr>
          <w:rFonts w:ascii="Times New Roman" w:hAnsi="Times New Roman"/>
          <w:i/>
          <w:lang w:val="pt-BR"/>
        </w:rPr>
        <w:t>s.</w:t>
      </w:r>
      <w:r w:rsidRPr="009769F3">
        <w:rPr>
          <w:rFonts w:ascii="Times New Roman" w:hAnsi="Times New Roman"/>
          <w:lang w:val="pt-BR"/>
        </w:rPr>
        <w:t xml:space="preserve"> </w:t>
      </w:r>
    </w:p>
    <w:p w14:paraId="5721BA38" w14:textId="78E85EBC" w:rsidR="007F661E" w:rsidRPr="009769F3" w:rsidRDefault="00D4613D" w:rsidP="001A12B8">
      <w:pPr>
        <w:pStyle w:val="TAMainText"/>
        <w:rPr>
          <w:lang w:val="pt-BR"/>
        </w:rPr>
      </w:pPr>
      <w:r w:rsidRPr="009769F3">
        <w:rPr>
          <w:lang w:val="pt-BR"/>
        </w:rPr>
        <w:t xml:space="preserve">Os padrões de DRX </w:t>
      </w:r>
      <w:r w:rsidR="00E8619C" w:rsidRPr="009769F3">
        <w:rPr>
          <w:lang w:val="pt-BR"/>
        </w:rPr>
        <w:t xml:space="preserve">(não mostrados) </w:t>
      </w:r>
      <w:r w:rsidRPr="009769F3">
        <w:rPr>
          <w:lang w:val="pt-BR"/>
        </w:rPr>
        <w:t xml:space="preserve">mostraram perfis típicos da </w:t>
      </w:r>
      <w:r w:rsidR="002D1F1D" w:rsidRPr="009769F3">
        <w:rPr>
          <w:lang w:val="pt-BR"/>
        </w:rPr>
        <w:t>argila montmoril</w:t>
      </w:r>
      <w:r w:rsidR="007F6705" w:rsidRPr="009769F3">
        <w:rPr>
          <w:lang w:val="pt-BR"/>
        </w:rPr>
        <w:t>l</w:t>
      </w:r>
      <w:r w:rsidR="002D1F1D" w:rsidRPr="009769F3">
        <w:rPr>
          <w:lang w:val="pt-BR"/>
        </w:rPr>
        <w:t>onita</w:t>
      </w:r>
      <w:r w:rsidRPr="009769F3">
        <w:rPr>
          <w:lang w:val="pt-BR"/>
        </w:rPr>
        <w:t>, independente d</w:t>
      </w:r>
      <w:r w:rsidR="0090148C" w:rsidRPr="009769F3">
        <w:rPr>
          <w:lang w:val="pt-BR"/>
        </w:rPr>
        <w:t xml:space="preserve">a </w:t>
      </w:r>
      <w:r w:rsidR="008636FC" w:rsidRPr="009769F3">
        <w:rPr>
          <w:lang w:val="pt-BR"/>
        </w:rPr>
        <w:t xml:space="preserve">concentração de </w:t>
      </w:r>
      <w:r w:rsidR="007F661E" w:rsidRPr="009769F3">
        <w:rPr>
          <w:lang w:val="pt-BR"/>
        </w:rPr>
        <w:t>HCl</w:t>
      </w:r>
      <w:r w:rsidR="008636FC" w:rsidRPr="009769F3">
        <w:rPr>
          <w:lang w:val="pt-BR"/>
        </w:rPr>
        <w:t xml:space="preserve"> utilizad</w:t>
      </w:r>
      <w:r w:rsidR="00CF2316" w:rsidRPr="009769F3">
        <w:rPr>
          <w:lang w:val="pt-BR"/>
        </w:rPr>
        <w:t>a</w:t>
      </w:r>
      <w:r w:rsidR="008636FC" w:rsidRPr="009769F3">
        <w:rPr>
          <w:lang w:val="pt-BR"/>
        </w:rPr>
        <w:t xml:space="preserve"> n</w:t>
      </w:r>
      <w:r w:rsidR="00C66129" w:rsidRPr="009769F3">
        <w:rPr>
          <w:lang w:val="pt-BR"/>
        </w:rPr>
        <w:t>o tratamento</w:t>
      </w:r>
      <w:r w:rsidR="0090148C" w:rsidRPr="009769F3">
        <w:rPr>
          <w:lang w:val="pt-BR"/>
        </w:rPr>
        <w:t xml:space="preserve">. </w:t>
      </w:r>
    </w:p>
    <w:p w14:paraId="7B0FF0B9" w14:textId="7AC70284" w:rsidR="001A12B8" w:rsidRPr="009769F3" w:rsidRDefault="003F113F" w:rsidP="00287D75">
      <w:pPr>
        <w:pStyle w:val="TAMainText"/>
        <w:spacing w:after="240"/>
        <w:rPr>
          <w:color w:val="FF0000"/>
          <w:lang w:val="pt-BR"/>
        </w:rPr>
      </w:pPr>
      <w:r w:rsidRPr="009769F3">
        <w:rPr>
          <w:color w:val="000000" w:themeColor="text1"/>
          <w:lang w:val="pt-BR"/>
        </w:rPr>
        <w:t xml:space="preserve">A </w:t>
      </w:r>
      <w:r w:rsidR="00C66129" w:rsidRPr="009769F3">
        <w:rPr>
          <w:color w:val="000000" w:themeColor="text1"/>
          <w:lang w:val="pt-BR"/>
        </w:rPr>
        <w:t xml:space="preserve">área superficial específica da </w:t>
      </w:r>
      <w:r w:rsidRPr="009769F3">
        <w:rPr>
          <w:color w:val="000000" w:themeColor="text1"/>
          <w:lang w:val="pt-BR"/>
        </w:rPr>
        <w:t xml:space="preserve">K102 </w:t>
      </w:r>
      <w:r w:rsidR="00E8619C" w:rsidRPr="009769F3">
        <w:rPr>
          <w:color w:val="000000" w:themeColor="text1"/>
          <w:lang w:val="pt-BR"/>
        </w:rPr>
        <w:t xml:space="preserve">apresentou </w:t>
      </w:r>
      <w:r w:rsidR="00246271" w:rsidRPr="009769F3">
        <w:rPr>
          <w:color w:val="000000" w:themeColor="text1"/>
          <w:lang w:val="pt-BR"/>
        </w:rPr>
        <w:t xml:space="preserve">um </w:t>
      </w:r>
      <w:r w:rsidR="00E8619C" w:rsidRPr="009769F3">
        <w:rPr>
          <w:color w:val="000000" w:themeColor="text1"/>
          <w:lang w:val="pt-BR"/>
        </w:rPr>
        <w:t>leve</w:t>
      </w:r>
      <w:r w:rsidR="00246271" w:rsidRPr="009769F3">
        <w:rPr>
          <w:color w:val="000000" w:themeColor="text1"/>
          <w:lang w:val="pt-BR"/>
        </w:rPr>
        <w:t xml:space="preserve"> aumento</w:t>
      </w:r>
      <w:r w:rsidR="00906AD3" w:rsidRPr="009769F3">
        <w:rPr>
          <w:color w:val="000000" w:themeColor="text1"/>
          <w:lang w:val="pt-BR"/>
        </w:rPr>
        <w:t xml:space="preserve"> </w:t>
      </w:r>
      <w:r w:rsidR="00246271" w:rsidRPr="009769F3">
        <w:rPr>
          <w:color w:val="000000" w:themeColor="text1"/>
          <w:lang w:val="pt-BR"/>
        </w:rPr>
        <w:t xml:space="preserve">em comparação </w:t>
      </w:r>
      <w:r w:rsidR="008F6D4E" w:rsidRPr="009769F3">
        <w:rPr>
          <w:color w:val="000000" w:themeColor="text1"/>
          <w:lang w:val="pt-BR"/>
        </w:rPr>
        <w:t>à</w:t>
      </w:r>
      <w:r w:rsidR="00246271" w:rsidRPr="009769F3">
        <w:rPr>
          <w:color w:val="000000" w:themeColor="text1"/>
          <w:lang w:val="pt-BR"/>
        </w:rPr>
        <w:t xml:space="preserve"> K10</w:t>
      </w:r>
      <w:r w:rsidR="0039053F" w:rsidRPr="009769F3">
        <w:rPr>
          <w:color w:val="000000" w:themeColor="text1"/>
          <w:lang w:val="pt-BR"/>
        </w:rPr>
        <w:t xml:space="preserve"> (Tabela 1)</w:t>
      </w:r>
      <w:r w:rsidR="001A12B8" w:rsidRPr="009769F3">
        <w:rPr>
          <w:color w:val="000000" w:themeColor="text1"/>
          <w:lang w:val="pt-BR"/>
        </w:rPr>
        <w:t xml:space="preserve">. </w:t>
      </w:r>
      <w:r w:rsidR="00E8619C" w:rsidRPr="009769F3">
        <w:rPr>
          <w:color w:val="000000" w:themeColor="text1"/>
          <w:lang w:val="pt-BR"/>
        </w:rPr>
        <w:t>Nas</w:t>
      </w:r>
      <w:r w:rsidR="003F6D3F" w:rsidRPr="009769F3">
        <w:rPr>
          <w:color w:val="000000" w:themeColor="text1"/>
          <w:lang w:val="pt-BR"/>
        </w:rPr>
        <w:t xml:space="preserve"> outras argilas tratad</w:t>
      </w:r>
      <w:r w:rsidR="00446DDD" w:rsidRPr="009769F3">
        <w:rPr>
          <w:color w:val="000000" w:themeColor="text1"/>
          <w:lang w:val="pt-BR"/>
        </w:rPr>
        <w:t>as</w:t>
      </w:r>
      <w:r w:rsidR="003F6D3F" w:rsidRPr="009769F3">
        <w:rPr>
          <w:color w:val="000000" w:themeColor="text1"/>
          <w:lang w:val="pt-BR"/>
        </w:rPr>
        <w:t xml:space="preserve">, o </w:t>
      </w:r>
      <w:r w:rsidR="001A12B8" w:rsidRPr="009769F3">
        <w:rPr>
          <w:color w:val="000000" w:themeColor="text1"/>
          <w:lang w:val="pt-BR"/>
        </w:rPr>
        <w:t>aumento</w:t>
      </w:r>
      <w:r w:rsidRPr="009769F3">
        <w:rPr>
          <w:color w:val="000000" w:themeColor="text1"/>
          <w:lang w:val="pt-BR"/>
        </w:rPr>
        <w:t xml:space="preserve"> de área</w:t>
      </w:r>
      <w:r w:rsidR="001A12B8" w:rsidRPr="009769F3">
        <w:rPr>
          <w:color w:val="000000" w:themeColor="text1"/>
          <w:lang w:val="pt-BR"/>
        </w:rPr>
        <w:t xml:space="preserve"> está dentro do erro experimental</w:t>
      </w:r>
      <w:r w:rsidR="008F6D4E" w:rsidRPr="009769F3">
        <w:rPr>
          <w:color w:val="000000" w:themeColor="text1"/>
          <w:lang w:val="pt-BR"/>
        </w:rPr>
        <w:t xml:space="preserve"> (10%)</w:t>
      </w:r>
      <w:r w:rsidR="001A12B8" w:rsidRPr="009769F3">
        <w:rPr>
          <w:color w:val="000000" w:themeColor="text1"/>
          <w:lang w:val="pt-BR"/>
        </w:rPr>
        <w:t>.</w:t>
      </w:r>
    </w:p>
    <w:p w14:paraId="3E68832F" w14:textId="6F3BE6A9" w:rsidR="00556B43" w:rsidRPr="009769F3" w:rsidRDefault="00556B43" w:rsidP="00556B43">
      <w:pPr>
        <w:pStyle w:val="VDTableTitle"/>
        <w:spacing w:after="120"/>
        <w:jc w:val="both"/>
        <w:rPr>
          <w:lang w:val="pt-BR"/>
        </w:rPr>
      </w:pPr>
      <w:r w:rsidRPr="009769F3">
        <w:rPr>
          <w:b/>
          <w:bCs/>
          <w:lang w:val="pt-BR"/>
        </w:rPr>
        <w:t>Tabela 1.</w:t>
      </w:r>
      <w:r w:rsidRPr="009769F3">
        <w:rPr>
          <w:lang w:val="pt-BR"/>
        </w:rPr>
        <w:t xml:space="preserve"> </w:t>
      </w:r>
      <w:r w:rsidR="002E01B7" w:rsidRPr="009769F3">
        <w:rPr>
          <w:lang w:val="pt-BR"/>
        </w:rPr>
        <w:t xml:space="preserve">Avaliação textural </w:t>
      </w:r>
      <w:r w:rsidR="00C322E9" w:rsidRPr="009769F3">
        <w:rPr>
          <w:lang w:val="pt-BR"/>
        </w:rPr>
        <w:t xml:space="preserve">das argilas </w:t>
      </w:r>
      <w:r w:rsidR="002E01B7" w:rsidRPr="009769F3">
        <w:rPr>
          <w:lang w:val="pt-BR"/>
        </w:rPr>
        <w:t xml:space="preserve">por </w:t>
      </w:r>
      <w:r w:rsidR="00EF6DD4" w:rsidRPr="009769F3">
        <w:rPr>
          <w:lang w:val="pt-BR"/>
        </w:rPr>
        <w:t>adsorção de N</w:t>
      </w:r>
      <w:r w:rsidR="00EF6DD4" w:rsidRPr="009769F3">
        <w:rPr>
          <w:vertAlign w:val="subscript"/>
          <w:lang w:val="pt-BR"/>
        </w:rPr>
        <w:t>2</w:t>
      </w:r>
      <w:r w:rsidRPr="009769F3">
        <w:rPr>
          <w:lang w:val="pt-BR"/>
        </w:rPr>
        <w:t>.</w:t>
      </w:r>
      <w:r w:rsidR="00E8619C" w:rsidRPr="009769F3">
        <w:rPr>
          <w:lang w:val="pt-BR"/>
        </w:rPr>
        <w:t xml:space="preserve"> </w:t>
      </w: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709"/>
        <w:gridCol w:w="708"/>
        <w:gridCol w:w="709"/>
        <w:gridCol w:w="709"/>
        <w:gridCol w:w="567"/>
      </w:tblGrid>
      <w:tr w:rsidR="0004040E" w:rsidRPr="009769F3" w14:paraId="72B5C7F7" w14:textId="7FC1F767" w:rsidTr="0028132D">
        <w:tc>
          <w:tcPr>
            <w:tcW w:w="704" w:type="dxa"/>
            <w:vAlign w:val="center"/>
          </w:tcPr>
          <w:p w14:paraId="10D7A63A" w14:textId="4832FD3C" w:rsidR="0004040E" w:rsidRPr="009769F3" w:rsidRDefault="0004040E" w:rsidP="001306B7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769F3">
              <w:rPr>
                <w:rFonts w:ascii="Times New Roman" w:hAnsi="Times New Roman"/>
                <w:color w:val="000000" w:themeColor="text1"/>
                <w:szCs w:val="18"/>
              </w:rPr>
              <w:t>Argila</w:t>
            </w:r>
          </w:p>
        </w:tc>
        <w:tc>
          <w:tcPr>
            <w:tcW w:w="709" w:type="dxa"/>
            <w:vAlign w:val="center"/>
          </w:tcPr>
          <w:p w14:paraId="3C10A7FB" w14:textId="30BAE38D" w:rsidR="0004040E" w:rsidRPr="009769F3" w:rsidRDefault="0004040E" w:rsidP="001306B7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769F3">
              <w:rPr>
                <w:rFonts w:ascii="Times New Roman" w:hAnsi="Times New Roman"/>
                <w:color w:val="000000" w:themeColor="text1"/>
                <w:szCs w:val="18"/>
              </w:rPr>
              <w:t>S</w:t>
            </w:r>
            <w:r w:rsidRPr="009769F3">
              <w:rPr>
                <w:rFonts w:ascii="Times New Roman" w:hAnsi="Times New Roman"/>
                <w:color w:val="000000" w:themeColor="text1"/>
                <w:szCs w:val="18"/>
                <w:vertAlign w:val="subscript"/>
              </w:rPr>
              <w:t>BET</w:t>
            </w:r>
            <w:r w:rsidRPr="009769F3">
              <w:rPr>
                <w:rFonts w:ascii="Times New Roman" w:hAnsi="Times New Roman"/>
                <w:color w:val="000000" w:themeColor="text1"/>
                <w:szCs w:val="18"/>
              </w:rPr>
              <w:t xml:space="preserve"> (m²/g)</w:t>
            </w:r>
          </w:p>
        </w:tc>
        <w:tc>
          <w:tcPr>
            <w:tcW w:w="709" w:type="dxa"/>
            <w:vAlign w:val="center"/>
          </w:tcPr>
          <w:p w14:paraId="086DC637" w14:textId="67BCD3A6" w:rsidR="0004040E" w:rsidRPr="009769F3" w:rsidRDefault="0004040E" w:rsidP="001306B7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769F3">
              <w:rPr>
                <w:rFonts w:ascii="Times New Roman" w:hAnsi="Times New Roman"/>
                <w:color w:val="000000" w:themeColor="text1"/>
                <w:szCs w:val="18"/>
              </w:rPr>
              <w:t>S</w:t>
            </w:r>
            <w:r w:rsidRPr="009769F3">
              <w:rPr>
                <w:rFonts w:ascii="Times New Roman" w:hAnsi="Times New Roman"/>
                <w:color w:val="000000" w:themeColor="text1"/>
                <w:szCs w:val="18"/>
                <w:vertAlign w:val="subscript"/>
              </w:rPr>
              <w:t>ext</w:t>
            </w:r>
            <w:r w:rsidRPr="009769F3">
              <w:rPr>
                <w:rFonts w:ascii="Times New Roman" w:hAnsi="Times New Roman"/>
                <w:color w:val="000000" w:themeColor="text1"/>
                <w:szCs w:val="18"/>
              </w:rPr>
              <w:t xml:space="preserve"> (m²/g)</w:t>
            </w:r>
          </w:p>
        </w:tc>
        <w:tc>
          <w:tcPr>
            <w:tcW w:w="708" w:type="dxa"/>
          </w:tcPr>
          <w:p w14:paraId="30C58720" w14:textId="77777777" w:rsidR="00401959" w:rsidRPr="009769F3" w:rsidRDefault="00401959" w:rsidP="001306B7">
            <w:pPr>
              <w:pStyle w:val="TCTableBody"/>
              <w:spacing w:after="0"/>
              <w:rPr>
                <w:rFonts w:ascii="Times New Roman" w:hAnsi="Times New Roman"/>
                <w:szCs w:val="18"/>
                <w:vertAlign w:val="subscript"/>
              </w:rPr>
            </w:pPr>
            <w:r w:rsidRPr="009769F3">
              <w:rPr>
                <w:rFonts w:ascii="Times New Roman" w:hAnsi="Times New Roman"/>
                <w:szCs w:val="18"/>
              </w:rPr>
              <w:t>V</w:t>
            </w:r>
            <w:r w:rsidRPr="009769F3">
              <w:rPr>
                <w:rFonts w:ascii="Times New Roman" w:hAnsi="Times New Roman"/>
                <w:szCs w:val="18"/>
                <w:vertAlign w:val="subscript"/>
              </w:rPr>
              <w:t>meso</w:t>
            </w:r>
          </w:p>
          <w:p w14:paraId="60D55F72" w14:textId="0CDBC9C2" w:rsidR="0004040E" w:rsidRPr="009769F3" w:rsidRDefault="00401959" w:rsidP="001306B7">
            <w:pPr>
              <w:pStyle w:val="TCTableBody"/>
              <w:spacing w:after="0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(cm³/g)</w:t>
            </w:r>
          </w:p>
        </w:tc>
        <w:tc>
          <w:tcPr>
            <w:tcW w:w="709" w:type="dxa"/>
            <w:vAlign w:val="center"/>
          </w:tcPr>
          <w:p w14:paraId="7659EBBE" w14:textId="01061161" w:rsidR="0004040E" w:rsidRPr="009769F3" w:rsidRDefault="0004040E" w:rsidP="001306B7">
            <w:pPr>
              <w:pStyle w:val="TCTableBody"/>
              <w:spacing w:after="0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V</w:t>
            </w:r>
            <w:r w:rsidRPr="009769F3">
              <w:rPr>
                <w:rFonts w:ascii="Times New Roman" w:hAnsi="Times New Roman"/>
                <w:szCs w:val="18"/>
                <w:vertAlign w:val="subscript"/>
              </w:rPr>
              <w:t>micro</w:t>
            </w:r>
            <w:r w:rsidRPr="009769F3">
              <w:rPr>
                <w:rFonts w:ascii="Times New Roman" w:hAnsi="Times New Roman"/>
                <w:szCs w:val="18"/>
              </w:rPr>
              <w:t xml:space="preserve"> (cm³/g)</w:t>
            </w:r>
          </w:p>
        </w:tc>
        <w:tc>
          <w:tcPr>
            <w:tcW w:w="709" w:type="dxa"/>
          </w:tcPr>
          <w:p w14:paraId="2694D951" w14:textId="52107274" w:rsidR="0004040E" w:rsidRPr="009769F3" w:rsidRDefault="0004040E" w:rsidP="001306B7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769F3">
              <w:rPr>
                <w:rFonts w:ascii="Times New Roman" w:hAnsi="Times New Roman"/>
                <w:color w:val="000000" w:themeColor="text1"/>
                <w:szCs w:val="18"/>
              </w:rPr>
              <w:t>V</w:t>
            </w:r>
            <w:r w:rsidRPr="009769F3">
              <w:rPr>
                <w:rFonts w:ascii="Times New Roman" w:hAnsi="Times New Roman"/>
                <w:color w:val="000000" w:themeColor="text1"/>
                <w:szCs w:val="18"/>
                <w:vertAlign w:val="subscript"/>
              </w:rPr>
              <w:t>total</w:t>
            </w:r>
            <w:r w:rsidRPr="009769F3">
              <w:rPr>
                <w:rFonts w:ascii="Times New Roman" w:hAnsi="Times New Roman"/>
                <w:color w:val="000000" w:themeColor="text1"/>
                <w:szCs w:val="18"/>
              </w:rPr>
              <w:t xml:space="preserve"> (cm³/g)</w:t>
            </w:r>
          </w:p>
        </w:tc>
        <w:tc>
          <w:tcPr>
            <w:tcW w:w="567" w:type="dxa"/>
          </w:tcPr>
          <w:p w14:paraId="62874230" w14:textId="77777777" w:rsidR="0004040E" w:rsidRPr="009769F3" w:rsidRDefault="0004040E" w:rsidP="001306B7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769F3">
              <w:rPr>
                <w:rFonts w:ascii="Times New Roman" w:hAnsi="Times New Roman"/>
                <w:color w:val="000000" w:themeColor="text1"/>
                <w:szCs w:val="18"/>
              </w:rPr>
              <w:t xml:space="preserve">Dp </w:t>
            </w:r>
          </w:p>
          <w:p w14:paraId="4F3D1EA2" w14:textId="23753537" w:rsidR="0004040E" w:rsidRPr="009769F3" w:rsidRDefault="0004040E" w:rsidP="001306B7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769F3">
              <w:rPr>
                <w:rFonts w:ascii="Times New Roman" w:hAnsi="Times New Roman"/>
                <w:color w:val="000000" w:themeColor="text1"/>
                <w:szCs w:val="18"/>
              </w:rPr>
              <w:t>(Å)</w:t>
            </w:r>
          </w:p>
        </w:tc>
      </w:tr>
      <w:tr w:rsidR="0004040E" w:rsidRPr="009769F3" w14:paraId="703CC192" w14:textId="1F4C924E" w:rsidTr="0028132D">
        <w:tc>
          <w:tcPr>
            <w:tcW w:w="704" w:type="dxa"/>
            <w:vAlign w:val="center"/>
          </w:tcPr>
          <w:p w14:paraId="42C536F5" w14:textId="77777777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K10</w:t>
            </w:r>
          </w:p>
        </w:tc>
        <w:tc>
          <w:tcPr>
            <w:tcW w:w="709" w:type="dxa"/>
            <w:vAlign w:val="center"/>
          </w:tcPr>
          <w:p w14:paraId="22DA21F5" w14:textId="3679CE54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231</w:t>
            </w:r>
          </w:p>
        </w:tc>
        <w:tc>
          <w:tcPr>
            <w:tcW w:w="709" w:type="dxa"/>
            <w:vAlign w:val="center"/>
          </w:tcPr>
          <w:p w14:paraId="5B91A746" w14:textId="0464E080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221</w:t>
            </w:r>
          </w:p>
        </w:tc>
        <w:tc>
          <w:tcPr>
            <w:tcW w:w="708" w:type="dxa"/>
          </w:tcPr>
          <w:p w14:paraId="227D25B1" w14:textId="34D676E5" w:rsidR="0004040E" w:rsidRPr="009769F3" w:rsidRDefault="00637657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0,32</w:t>
            </w:r>
          </w:p>
        </w:tc>
        <w:tc>
          <w:tcPr>
            <w:tcW w:w="709" w:type="dxa"/>
            <w:vAlign w:val="center"/>
          </w:tcPr>
          <w:p w14:paraId="7DCB02F1" w14:textId="68A524AE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0,0037</w:t>
            </w:r>
          </w:p>
        </w:tc>
        <w:tc>
          <w:tcPr>
            <w:tcW w:w="709" w:type="dxa"/>
            <w:vAlign w:val="center"/>
          </w:tcPr>
          <w:p w14:paraId="40885E8F" w14:textId="57E52023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</w:t>
            </w:r>
            <w:r w:rsidR="00637657" w:rsidRPr="009769F3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57958869" w14:textId="00863128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57,3</w:t>
            </w:r>
          </w:p>
        </w:tc>
      </w:tr>
      <w:tr w:rsidR="0004040E" w:rsidRPr="009769F3" w14:paraId="735ED6A6" w14:textId="1F2618A6" w:rsidTr="0028132D">
        <w:tc>
          <w:tcPr>
            <w:tcW w:w="704" w:type="dxa"/>
            <w:vAlign w:val="center"/>
          </w:tcPr>
          <w:p w14:paraId="65DAFF23" w14:textId="77777777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K101</w:t>
            </w:r>
          </w:p>
        </w:tc>
        <w:tc>
          <w:tcPr>
            <w:tcW w:w="709" w:type="dxa"/>
            <w:vAlign w:val="center"/>
          </w:tcPr>
          <w:p w14:paraId="1D7AE0B9" w14:textId="6FD48E07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235</w:t>
            </w:r>
          </w:p>
        </w:tc>
        <w:tc>
          <w:tcPr>
            <w:tcW w:w="709" w:type="dxa"/>
            <w:vAlign w:val="center"/>
          </w:tcPr>
          <w:p w14:paraId="7508CF22" w14:textId="3D2E4C17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224</w:t>
            </w:r>
          </w:p>
        </w:tc>
        <w:tc>
          <w:tcPr>
            <w:tcW w:w="708" w:type="dxa"/>
          </w:tcPr>
          <w:p w14:paraId="1D29C8C1" w14:textId="61AD216B" w:rsidR="0004040E" w:rsidRPr="009769F3" w:rsidRDefault="009C7446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0,28</w:t>
            </w:r>
          </w:p>
        </w:tc>
        <w:tc>
          <w:tcPr>
            <w:tcW w:w="709" w:type="dxa"/>
            <w:vAlign w:val="center"/>
          </w:tcPr>
          <w:p w14:paraId="6DFF39F1" w14:textId="71EC9C01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0,0041</w:t>
            </w:r>
          </w:p>
        </w:tc>
        <w:tc>
          <w:tcPr>
            <w:tcW w:w="709" w:type="dxa"/>
            <w:vAlign w:val="center"/>
          </w:tcPr>
          <w:p w14:paraId="1E6C40C5" w14:textId="0F34EBF9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</w:t>
            </w:r>
            <w:r w:rsidR="009C7446" w:rsidRPr="009769F3">
              <w:rPr>
                <w:rFonts w:ascii="Times New Roman" w:hAnsi="Times New Roman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138C4D82" w14:textId="70C42E4C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51,2</w:t>
            </w:r>
          </w:p>
        </w:tc>
      </w:tr>
      <w:tr w:rsidR="0004040E" w:rsidRPr="009769F3" w14:paraId="14D58F67" w14:textId="74D22B2B" w:rsidTr="0028132D">
        <w:trPr>
          <w:trHeight w:val="454"/>
        </w:trPr>
        <w:tc>
          <w:tcPr>
            <w:tcW w:w="704" w:type="dxa"/>
            <w:tcBorders>
              <w:bottom w:val="single" w:sz="6" w:space="0" w:color="auto"/>
            </w:tcBorders>
            <w:vAlign w:val="center"/>
          </w:tcPr>
          <w:p w14:paraId="185D8123" w14:textId="77777777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K102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62FE5AB" w14:textId="7AF26E0F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258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12687E8C" w14:textId="4D3A4D39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247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118358BE" w14:textId="63E57E94" w:rsidR="0004040E" w:rsidRPr="009769F3" w:rsidRDefault="004C231F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DCB8C63" w14:textId="3DF595DF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0,0043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EE08ED3" w14:textId="7FC33186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</w:t>
            </w:r>
            <w:r w:rsidR="00CD7060" w:rsidRPr="009769F3">
              <w:rPr>
                <w:rFonts w:ascii="Times New Roman" w:hAnsi="Times New Roman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DCEFE77" w14:textId="52C618C5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52,8</w:t>
            </w:r>
          </w:p>
        </w:tc>
      </w:tr>
      <w:tr w:rsidR="0004040E" w:rsidRPr="009769F3" w14:paraId="142F16EE" w14:textId="46CA79D3" w:rsidTr="0028132D">
        <w:trPr>
          <w:trHeight w:val="454"/>
        </w:trPr>
        <w:tc>
          <w:tcPr>
            <w:tcW w:w="704" w:type="dxa"/>
            <w:tcBorders>
              <w:bottom w:val="single" w:sz="6" w:space="0" w:color="auto"/>
            </w:tcBorders>
            <w:vAlign w:val="center"/>
          </w:tcPr>
          <w:p w14:paraId="5FEB294C" w14:textId="77777777" w:rsidR="0004040E" w:rsidRPr="009769F3" w:rsidRDefault="0004040E" w:rsidP="006030A5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K104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B9C425E" w14:textId="554F6050" w:rsidR="0004040E" w:rsidRPr="009769F3" w:rsidRDefault="0004040E" w:rsidP="006030A5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</w:rPr>
              <w:t>243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7CD3B596" w14:textId="3D9B49D6" w:rsidR="0004040E" w:rsidRPr="009769F3" w:rsidRDefault="0004040E" w:rsidP="006030A5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</w:rPr>
              <w:t>229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5AE7B1EA" w14:textId="6BDB386C" w:rsidR="0004040E" w:rsidRPr="009769F3" w:rsidRDefault="00C400B3" w:rsidP="006030A5">
            <w:pPr>
              <w:pStyle w:val="TCTableBody"/>
              <w:rPr>
                <w:rFonts w:ascii="Times New Roman" w:hAnsi="Times New Roman"/>
              </w:rPr>
            </w:pPr>
            <w:r w:rsidRPr="009769F3">
              <w:rPr>
                <w:rFonts w:ascii="Times New Roman" w:hAnsi="Times New Roman"/>
              </w:rPr>
              <w:t>0,29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60EA3639" w14:textId="3ED3B586" w:rsidR="0004040E" w:rsidRPr="009769F3" w:rsidRDefault="0004040E" w:rsidP="006030A5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</w:rPr>
              <w:t>0,0055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1AB38AC" w14:textId="21213AD8" w:rsidR="0004040E" w:rsidRPr="009769F3" w:rsidRDefault="0042005B" w:rsidP="006030A5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0B072F6" w14:textId="01131DA4" w:rsidR="0004040E" w:rsidRPr="009769F3" w:rsidRDefault="0004040E" w:rsidP="006030A5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</w:rPr>
              <w:t>51,5</w:t>
            </w:r>
          </w:p>
        </w:tc>
      </w:tr>
      <w:tr w:rsidR="0004040E" w:rsidRPr="00E32468" w14:paraId="02908223" w14:textId="26C6AE04" w:rsidTr="0028132D">
        <w:trPr>
          <w:trHeight w:val="454"/>
        </w:trPr>
        <w:tc>
          <w:tcPr>
            <w:tcW w:w="704" w:type="dxa"/>
            <w:tcBorders>
              <w:bottom w:val="single" w:sz="6" w:space="0" w:color="auto"/>
            </w:tcBorders>
            <w:vAlign w:val="center"/>
          </w:tcPr>
          <w:p w14:paraId="6D8F635A" w14:textId="77777777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K106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0E36B0F" w14:textId="5A1CD737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243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7236B3B" w14:textId="0CB3574E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229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0E540917" w14:textId="04CE6A8E" w:rsidR="0004040E" w:rsidRPr="009769F3" w:rsidRDefault="00C400B3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</w:t>
            </w:r>
            <w:r w:rsidR="008704CE" w:rsidRPr="009769F3">
              <w:rPr>
                <w:rFonts w:ascii="Times New Roman" w:hAnsi="Times New Roman"/>
                <w:szCs w:val="18"/>
              </w:rPr>
              <w:t>29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4D5A10F" w14:textId="6DFC97AF" w:rsidR="0004040E" w:rsidRPr="009769F3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0,0058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9857402" w14:textId="1BB1A272" w:rsidR="0004040E" w:rsidRPr="009769F3" w:rsidRDefault="00724E87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F0E8E3F" w14:textId="52C2BB70" w:rsidR="0004040E" w:rsidRPr="00E32468" w:rsidRDefault="0004040E" w:rsidP="00580DB9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52,5</w:t>
            </w:r>
          </w:p>
        </w:tc>
      </w:tr>
    </w:tbl>
    <w:p w14:paraId="11E155A5" w14:textId="777E912D" w:rsidR="00E8619C" w:rsidRPr="000C1861" w:rsidRDefault="00537500" w:rsidP="00287D75">
      <w:pPr>
        <w:pStyle w:val="TAMainText"/>
        <w:spacing w:before="240" w:after="160"/>
        <w:ind w:firstLine="204"/>
        <w:rPr>
          <w:lang w:val="pt-BR"/>
        </w:rPr>
      </w:pPr>
      <w:r w:rsidRPr="00914035">
        <w:rPr>
          <w:lang w:val="pt-BR"/>
        </w:rPr>
        <w:t>Os perfis de NH</w:t>
      </w:r>
      <w:r w:rsidRPr="00914035">
        <w:rPr>
          <w:vertAlign w:val="subscript"/>
          <w:lang w:val="pt-BR"/>
        </w:rPr>
        <w:t>3</w:t>
      </w:r>
      <w:r w:rsidRPr="00914035">
        <w:rPr>
          <w:lang w:val="pt-BR"/>
        </w:rPr>
        <w:t xml:space="preserve">-TPD </w:t>
      </w:r>
      <w:r w:rsidR="00E8619C">
        <w:rPr>
          <w:color w:val="000000" w:themeColor="text1"/>
          <w:lang w:val="pt-BR"/>
        </w:rPr>
        <w:t>da</w:t>
      </w:r>
      <w:r w:rsidRPr="007F6705">
        <w:rPr>
          <w:color w:val="000000" w:themeColor="text1"/>
          <w:lang w:val="pt-BR"/>
        </w:rPr>
        <w:t xml:space="preserve"> </w:t>
      </w:r>
      <w:r w:rsidR="00DB5C5B">
        <w:rPr>
          <w:color w:val="000000" w:themeColor="text1"/>
          <w:lang w:val="pt-BR"/>
        </w:rPr>
        <w:t xml:space="preserve">K10 </w:t>
      </w:r>
      <w:r w:rsidR="00E8619C">
        <w:rPr>
          <w:color w:val="000000" w:themeColor="text1"/>
          <w:lang w:val="pt-BR"/>
        </w:rPr>
        <w:t xml:space="preserve">após o </w:t>
      </w:r>
      <w:r w:rsidR="00DB5C5B">
        <w:rPr>
          <w:color w:val="000000" w:themeColor="text1"/>
          <w:lang w:val="pt-BR"/>
        </w:rPr>
        <w:t xml:space="preserve">tratamento ácido </w:t>
      </w:r>
      <w:r w:rsidRPr="007F6705">
        <w:rPr>
          <w:color w:val="000000" w:themeColor="text1"/>
          <w:lang w:val="pt-BR"/>
        </w:rPr>
        <w:t>são mostrados na Figura 1</w:t>
      </w:r>
      <w:r w:rsidR="00353FB9">
        <w:rPr>
          <w:color w:val="000000" w:themeColor="text1"/>
          <w:lang w:val="pt-BR"/>
        </w:rPr>
        <w:t xml:space="preserve">. </w:t>
      </w:r>
      <w:r w:rsidR="00E8619C" w:rsidRPr="00420C65">
        <w:rPr>
          <w:lang w:val="pt-BR"/>
        </w:rPr>
        <w:t xml:space="preserve">A distribuição da força </w:t>
      </w:r>
      <w:r w:rsidR="00E8619C">
        <w:rPr>
          <w:lang w:val="pt-BR"/>
        </w:rPr>
        <w:t xml:space="preserve">dos sítios </w:t>
      </w:r>
      <w:r w:rsidR="00E8619C" w:rsidRPr="00420C65">
        <w:rPr>
          <w:lang w:val="pt-BR"/>
        </w:rPr>
        <w:t>(fraco</w:t>
      </w:r>
      <w:r w:rsidR="00031428">
        <w:rPr>
          <w:lang w:val="pt-BR"/>
        </w:rPr>
        <w:t>s</w:t>
      </w:r>
      <w:r w:rsidR="00E8619C" w:rsidRPr="00420C65">
        <w:rPr>
          <w:lang w:val="pt-BR"/>
        </w:rPr>
        <w:t>, moderado</w:t>
      </w:r>
      <w:r w:rsidR="00031428">
        <w:rPr>
          <w:lang w:val="pt-BR"/>
        </w:rPr>
        <w:t>s</w:t>
      </w:r>
      <w:r w:rsidR="00E8619C" w:rsidRPr="00420C65">
        <w:rPr>
          <w:lang w:val="pt-BR"/>
        </w:rPr>
        <w:t xml:space="preserve"> e forte</w:t>
      </w:r>
      <w:r w:rsidR="00031428">
        <w:rPr>
          <w:lang w:val="pt-BR"/>
        </w:rPr>
        <w:t>s</w:t>
      </w:r>
      <w:r w:rsidR="00E8619C" w:rsidRPr="00420C65">
        <w:rPr>
          <w:lang w:val="pt-BR"/>
        </w:rPr>
        <w:t xml:space="preserve">) e a quantidade de sítios ácidos </w:t>
      </w:r>
      <w:r w:rsidR="00D70CE3">
        <w:rPr>
          <w:lang w:val="pt-BR"/>
        </w:rPr>
        <w:t xml:space="preserve">foram alterados com o tratamento, como mostra </w:t>
      </w:r>
      <w:r w:rsidR="00E8619C" w:rsidRPr="00420C65">
        <w:rPr>
          <w:lang w:val="pt-BR"/>
        </w:rPr>
        <w:t>a Tabela 2.</w:t>
      </w:r>
      <w:r w:rsidR="00E8619C">
        <w:rPr>
          <w:lang w:val="pt-BR"/>
        </w:rPr>
        <w:t xml:space="preserve"> </w:t>
      </w:r>
      <w:r w:rsidR="00D70CE3">
        <w:rPr>
          <w:lang w:val="pt-BR"/>
        </w:rPr>
        <w:t xml:space="preserve">Entretanto, não se observou uma variação regular do efeito da concentração do ácido sobre essas propriedades. </w:t>
      </w:r>
      <w:r w:rsidR="00D70CE3" w:rsidRPr="00914035">
        <w:rPr>
          <w:lang w:val="pt-BR"/>
        </w:rPr>
        <w:t xml:space="preserve">A quantidade total de sítios ácidos aumentou </w:t>
      </w:r>
      <w:r w:rsidR="00D70CE3">
        <w:rPr>
          <w:lang w:val="pt-BR"/>
        </w:rPr>
        <w:t>em todas as argilas tratadas</w:t>
      </w:r>
      <w:r w:rsidR="00D70CE3" w:rsidRPr="00914035">
        <w:rPr>
          <w:lang w:val="pt-BR"/>
        </w:rPr>
        <w:t>, com exceção da K1</w:t>
      </w:r>
      <w:r w:rsidR="00D70CE3">
        <w:rPr>
          <w:lang w:val="pt-BR"/>
        </w:rPr>
        <w:t>02</w:t>
      </w:r>
      <w:r w:rsidR="00D70CE3" w:rsidRPr="00914035">
        <w:rPr>
          <w:lang w:val="pt-BR"/>
        </w:rPr>
        <w:t>.</w:t>
      </w:r>
      <w:r w:rsidR="00D70CE3">
        <w:rPr>
          <w:lang w:val="pt-BR"/>
        </w:rPr>
        <w:t xml:space="preserve"> </w:t>
      </w:r>
      <w:r w:rsidR="00D70CE3" w:rsidRPr="0062113D">
        <w:rPr>
          <w:lang w:val="pt-BR"/>
        </w:rPr>
        <w:t xml:space="preserve">A </w:t>
      </w:r>
      <w:r w:rsidR="00DF4D73">
        <w:rPr>
          <w:lang w:val="pt-BR"/>
        </w:rPr>
        <w:t>a</w:t>
      </w:r>
      <w:r w:rsidR="00D70CE3">
        <w:rPr>
          <w:lang w:val="pt-BR"/>
        </w:rPr>
        <w:t xml:space="preserve">mostra </w:t>
      </w:r>
      <w:r w:rsidR="00D70CE3" w:rsidRPr="0062113D">
        <w:rPr>
          <w:lang w:val="pt-BR"/>
        </w:rPr>
        <w:t xml:space="preserve">K104 </w:t>
      </w:r>
      <w:r w:rsidR="00D70CE3" w:rsidRPr="00C322E9">
        <w:rPr>
          <w:lang w:val="pt-BR"/>
        </w:rPr>
        <w:t>apresentou</w:t>
      </w:r>
      <w:r w:rsidR="00D70CE3" w:rsidRPr="0062113D">
        <w:rPr>
          <w:lang w:val="pt-BR"/>
        </w:rPr>
        <w:t xml:space="preserve"> a maior quantidade de sítios ácidos, seguida pela K10</w:t>
      </w:r>
      <w:r w:rsidR="00D70CE3">
        <w:rPr>
          <w:lang w:val="pt-BR"/>
        </w:rPr>
        <w:t>1</w:t>
      </w:r>
      <w:r w:rsidR="00D70CE3" w:rsidRPr="0062113D">
        <w:rPr>
          <w:lang w:val="pt-BR"/>
        </w:rPr>
        <w:t xml:space="preserve">, K106, K10 e K102. </w:t>
      </w:r>
      <w:r w:rsidR="00D70CE3">
        <w:rPr>
          <w:lang w:val="pt-BR"/>
        </w:rPr>
        <w:t xml:space="preserve"> No caso da </w:t>
      </w:r>
      <w:r w:rsidR="00E8619C">
        <w:rPr>
          <w:lang w:val="pt-BR"/>
        </w:rPr>
        <w:t xml:space="preserve"> </w:t>
      </w:r>
      <w:r w:rsidR="00DF4D73">
        <w:rPr>
          <w:lang w:val="pt-BR"/>
        </w:rPr>
        <w:t>a</w:t>
      </w:r>
      <w:r w:rsidR="00D70CE3">
        <w:rPr>
          <w:lang w:val="pt-BR"/>
        </w:rPr>
        <w:t xml:space="preserve">mostra </w:t>
      </w:r>
      <w:r w:rsidR="00E8619C">
        <w:rPr>
          <w:lang w:val="pt-BR"/>
        </w:rPr>
        <w:t xml:space="preserve">K10, </w:t>
      </w:r>
      <w:r w:rsidR="00D70CE3">
        <w:rPr>
          <w:lang w:val="pt-BR"/>
        </w:rPr>
        <w:t xml:space="preserve">foram identificados </w:t>
      </w:r>
      <w:r w:rsidR="00E8619C">
        <w:rPr>
          <w:lang w:val="pt-BR"/>
        </w:rPr>
        <w:t>apenas s</w:t>
      </w:r>
      <w:r w:rsidR="00E8619C">
        <w:rPr>
          <w:color w:val="000000" w:themeColor="text1"/>
          <w:lang w:val="pt-BR"/>
        </w:rPr>
        <w:t xml:space="preserve">ítios ácidos fracos e </w:t>
      </w:r>
      <w:r w:rsidR="00E8619C" w:rsidRPr="00914035">
        <w:rPr>
          <w:lang w:val="pt-BR"/>
        </w:rPr>
        <w:t>moderados</w:t>
      </w:r>
      <w:r w:rsidR="004328EF">
        <w:rPr>
          <w:lang w:val="pt-BR"/>
        </w:rPr>
        <w:t>, conforme esperado (</w:t>
      </w:r>
      <w:r w:rsidR="00E30332">
        <w:rPr>
          <w:lang w:val="pt-BR"/>
        </w:rPr>
        <w:t>10</w:t>
      </w:r>
      <w:r w:rsidR="004328EF">
        <w:rPr>
          <w:lang w:val="pt-BR"/>
        </w:rPr>
        <w:t>)</w:t>
      </w:r>
      <w:r w:rsidR="00E8619C" w:rsidRPr="00914035">
        <w:rPr>
          <w:lang w:val="pt-BR"/>
        </w:rPr>
        <w:t>.</w:t>
      </w:r>
      <w:r w:rsidR="00D70CE3">
        <w:rPr>
          <w:lang w:val="pt-BR"/>
        </w:rPr>
        <w:t xml:space="preserve"> O tratamento térmico criou sítios fortes, sendo este efeito mais acentuado na </w:t>
      </w:r>
      <w:r w:rsidR="00DF4D73">
        <w:rPr>
          <w:lang w:val="pt-BR"/>
        </w:rPr>
        <w:t>a</w:t>
      </w:r>
      <w:r w:rsidR="00D70CE3">
        <w:rPr>
          <w:lang w:val="pt-BR"/>
        </w:rPr>
        <w:t>mostra K102</w:t>
      </w:r>
      <w:r w:rsidR="00031428">
        <w:rPr>
          <w:lang w:val="pt-BR"/>
        </w:rPr>
        <w:t xml:space="preserve">, </w:t>
      </w:r>
      <w:r w:rsidR="00E8619C">
        <w:rPr>
          <w:lang w:val="pt-BR"/>
        </w:rPr>
        <w:t xml:space="preserve">seguida </w:t>
      </w:r>
      <w:r w:rsidR="00031428">
        <w:rPr>
          <w:lang w:val="pt-BR"/>
        </w:rPr>
        <w:t xml:space="preserve">pelas </w:t>
      </w:r>
      <w:r w:rsidR="00DF4D73">
        <w:rPr>
          <w:lang w:val="pt-BR"/>
        </w:rPr>
        <w:t>a</w:t>
      </w:r>
      <w:r w:rsidR="00031428">
        <w:rPr>
          <w:lang w:val="pt-BR"/>
        </w:rPr>
        <w:t xml:space="preserve">mostras </w:t>
      </w:r>
      <w:r w:rsidR="00E8619C">
        <w:rPr>
          <w:lang w:val="pt-BR"/>
        </w:rPr>
        <w:t xml:space="preserve"> K106 e K104. </w:t>
      </w:r>
    </w:p>
    <w:p w14:paraId="170A4339" w14:textId="77777777" w:rsidR="00C63AD5" w:rsidRDefault="00C63AD5" w:rsidP="00C63AD5">
      <w:pPr>
        <w:jc w:val="center"/>
        <w:rPr>
          <w:rFonts w:ascii="Times New Roman" w:hAnsi="Times New Roman" w:cs="Times New Roman"/>
        </w:rPr>
      </w:pPr>
    </w:p>
    <w:p w14:paraId="7FC1AC08" w14:textId="086E5578" w:rsidR="00C63AD5" w:rsidRDefault="00C63AD5" w:rsidP="00C63AD5">
      <w:pPr>
        <w:jc w:val="center"/>
        <w:rPr>
          <w:rFonts w:ascii="Times New Roman" w:hAnsi="Times New Roman" w:cs="Times New Roman"/>
        </w:rPr>
      </w:pPr>
    </w:p>
    <w:p w14:paraId="43F1B64D" w14:textId="77777777" w:rsidR="00C63AD5" w:rsidRDefault="00C63AD5" w:rsidP="00C63AD5">
      <w:pPr>
        <w:jc w:val="center"/>
        <w:rPr>
          <w:rFonts w:ascii="Times New Roman" w:hAnsi="Times New Roman" w:cs="Times New Roman"/>
        </w:rPr>
      </w:pPr>
    </w:p>
    <w:p w14:paraId="790E5F95" w14:textId="5B33CC4A" w:rsidR="002B782E" w:rsidRDefault="002B782E" w:rsidP="002B782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68FD050" wp14:editId="07571D75">
            <wp:extent cx="2349500" cy="2019300"/>
            <wp:effectExtent l="0" t="0" r="0" b="0"/>
            <wp:docPr id="626737967" name="Imagem 3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37967" name="Imagem 3" descr="Gráfic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4" t="9245" r="10444" b="4296"/>
                    <a:stretch/>
                  </pic:blipFill>
                  <pic:spPr bwMode="auto">
                    <a:xfrm>
                      <a:off x="0" y="0"/>
                      <a:ext cx="2349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B6CCD" w14:textId="4CD94F7A" w:rsidR="00BA52BF" w:rsidRDefault="005F4942" w:rsidP="00C322E9">
      <w:pPr>
        <w:pStyle w:val="VAFigureCaption"/>
        <w:spacing w:before="0" w:after="240"/>
        <w:rPr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Pr="00B8589A">
        <w:rPr>
          <w:rFonts w:ascii="Times New Roman" w:hAnsi="Times New Roman"/>
          <w:lang w:val="pt-BR"/>
        </w:rPr>
        <w:t>Perfis de dessorção da amônia à temperatura programada (NH</w:t>
      </w:r>
      <w:r w:rsidRPr="00914035">
        <w:rPr>
          <w:rFonts w:ascii="Times New Roman" w:hAnsi="Times New Roman"/>
          <w:vertAlign w:val="subscript"/>
          <w:lang w:val="pt-BR"/>
        </w:rPr>
        <w:t>3</w:t>
      </w:r>
      <w:r w:rsidRPr="00B8589A">
        <w:rPr>
          <w:rFonts w:ascii="Times New Roman" w:hAnsi="Times New Roman"/>
          <w:lang w:val="pt-BR"/>
        </w:rPr>
        <w:t>-TPD)</w:t>
      </w:r>
      <w:r>
        <w:rPr>
          <w:rFonts w:ascii="Times New Roman" w:hAnsi="Times New Roman"/>
          <w:lang w:val="pt-BR"/>
        </w:rPr>
        <w:t xml:space="preserve"> para </w:t>
      </w:r>
      <w:r>
        <w:rPr>
          <w:lang w:val="pt-BR"/>
        </w:rPr>
        <w:t>m</w:t>
      </w:r>
      <w:r w:rsidRPr="00EA7A2F">
        <w:rPr>
          <w:lang w:val="pt-BR"/>
        </w:rPr>
        <w:t>ontmoril</w:t>
      </w:r>
      <w:r>
        <w:rPr>
          <w:lang w:val="pt-BR"/>
        </w:rPr>
        <w:t>l</w:t>
      </w:r>
      <w:r w:rsidRPr="00EA7A2F">
        <w:rPr>
          <w:lang w:val="pt-BR"/>
        </w:rPr>
        <w:t>onita</w:t>
      </w:r>
      <w:r>
        <w:rPr>
          <w:lang w:val="pt-BR"/>
        </w:rPr>
        <w:t xml:space="preserve"> (K10) e m</w:t>
      </w:r>
      <w:r w:rsidRPr="00EA7A2F">
        <w:rPr>
          <w:lang w:val="pt-BR"/>
        </w:rPr>
        <w:t>ontmoril</w:t>
      </w:r>
      <w:r>
        <w:rPr>
          <w:lang w:val="pt-BR"/>
        </w:rPr>
        <w:t>l</w:t>
      </w:r>
      <w:r w:rsidRPr="00EA7A2F">
        <w:rPr>
          <w:lang w:val="pt-BR"/>
        </w:rPr>
        <w:t>onita</w:t>
      </w:r>
      <w:r>
        <w:rPr>
          <w:lang w:val="pt-BR"/>
        </w:rPr>
        <w:t xml:space="preserve"> acidificadas (K101, K102, K104 e K106). </w:t>
      </w:r>
    </w:p>
    <w:p w14:paraId="1DCD611B" w14:textId="23EA20DA" w:rsidR="00E34527" w:rsidRPr="00BA52BF" w:rsidRDefault="00BA52BF" w:rsidP="00BA52BF">
      <w:pPr>
        <w:pStyle w:val="VDTableTitle"/>
        <w:spacing w:after="120"/>
        <w:jc w:val="both"/>
        <w:rPr>
          <w:lang w:val="pt-BR"/>
        </w:rPr>
      </w:pPr>
      <w:r w:rsidRPr="00E34527">
        <w:rPr>
          <w:b/>
          <w:bCs/>
          <w:lang w:val="pt-BR"/>
        </w:rPr>
        <w:t xml:space="preserve">Tabela </w:t>
      </w:r>
      <w:r w:rsidR="00537500">
        <w:rPr>
          <w:b/>
          <w:bCs/>
          <w:lang w:val="pt-BR"/>
        </w:rPr>
        <w:t>2</w:t>
      </w:r>
      <w:r w:rsidRPr="00E34527">
        <w:rPr>
          <w:b/>
          <w:bCs/>
          <w:lang w:val="pt-BR"/>
        </w:rPr>
        <w:t>.</w:t>
      </w:r>
      <w:r w:rsidRPr="00E34527">
        <w:rPr>
          <w:lang w:val="pt-BR"/>
        </w:rPr>
        <w:t xml:space="preserve"> </w:t>
      </w:r>
      <w:r w:rsidR="00C40FDF">
        <w:rPr>
          <w:lang w:val="pt-BR"/>
        </w:rPr>
        <w:t xml:space="preserve">Distribuição </w:t>
      </w:r>
      <w:r w:rsidR="006F2761">
        <w:rPr>
          <w:lang w:val="pt-BR"/>
        </w:rPr>
        <w:t xml:space="preserve">da força e quantidade de sítios </w:t>
      </w:r>
      <w:r w:rsidR="00E5268A">
        <w:rPr>
          <w:lang w:val="pt-BR"/>
        </w:rPr>
        <w:t>ácidos nas argilas</w:t>
      </w:r>
      <w:r w:rsidRPr="00E34527">
        <w:rPr>
          <w:lang w:val="pt-BR"/>
        </w:rPr>
        <w:t>.</w:t>
      </w:r>
    </w:p>
    <w:tbl>
      <w:tblPr>
        <w:tblW w:w="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98"/>
        <w:gridCol w:w="1001"/>
        <w:gridCol w:w="950"/>
        <w:gridCol w:w="1202"/>
      </w:tblGrid>
      <w:tr w:rsidR="009A5A2E" w:rsidRPr="000D6BBF" w14:paraId="3B01C78B" w14:textId="3B41CCDC" w:rsidTr="00410C49">
        <w:tc>
          <w:tcPr>
            <w:tcW w:w="690" w:type="dxa"/>
            <w:tcBorders>
              <w:top w:val="single" w:sz="4" w:space="0" w:color="auto"/>
              <w:bottom w:val="nil"/>
            </w:tcBorders>
            <w:vAlign w:val="center"/>
          </w:tcPr>
          <w:p w14:paraId="084B65BC" w14:textId="0A476E4B" w:rsidR="009A5A2E" w:rsidRPr="00062FB1" w:rsidRDefault="00DB2BD7" w:rsidP="00607D0B">
            <w:pPr>
              <w:pStyle w:val="TCTableBody"/>
              <w:rPr>
                <w:lang w:val="pt-BR"/>
              </w:rPr>
            </w:pPr>
            <w:r w:rsidRPr="00062FB1">
              <w:rPr>
                <w:lang w:val="pt-BR"/>
              </w:rPr>
              <w:t>Argila</w:t>
            </w:r>
          </w:p>
        </w:tc>
        <w:tc>
          <w:tcPr>
            <w:tcW w:w="2849" w:type="dxa"/>
            <w:gridSpan w:val="3"/>
            <w:vAlign w:val="center"/>
          </w:tcPr>
          <w:p w14:paraId="23C7973D" w14:textId="03B43F05" w:rsidR="009A5A2E" w:rsidRPr="004A7DF3" w:rsidRDefault="007E5154" w:rsidP="00410C49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4A7DF3">
              <w:rPr>
                <w:lang w:val="pt-BR"/>
              </w:rPr>
              <w:t xml:space="preserve">Quantidade de sítios ácidos </w:t>
            </w:r>
            <w:r w:rsidR="009A5A2E" w:rsidRPr="004A7DF3">
              <w:rPr>
                <w:lang w:val="pt-BR"/>
              </w:rPr>
              <w:t>(µmol/g)</w:t>
            </w:r>
            <w:r w:rsidRPr="004A7DF3">
              <w:rPr>
                <w:lang w:val="pt-BR"/>
              </w:rPr>
              <w:t xml:space="preserve"> </w:t>
            </w:r>
            <w:r w:rsidR="004C114C" w:rsidRPr="004A7DF3">
              <w:rPr>
                <w:lang w:val="pt-BR"/>
              </w:rPr>
              <w:t>/</w:t>
            </w:r>
            <w:r w:rsidRPr="004A7DF3">
              <w:rPr>
                <w:lang w:val="pt-BR"/>
              </w:rPr>
              <w:t xml:space="preserve"> </w:t>
            </w:r>
            <w:r w:rsidR="004C114C" w:rsidRPr="004A7DF3">
              <w:rPr>
                <w:lang w:val="pt-BR"/>
              </w:rPr>
              <w:t>T</w:t>
            </w:r>
            <w:r w:rsidR="004C114C" w:rsidRPr="00062FB1">
              <w:rPr>
                <w:vertAlign w:val="subscript"/>
                <w:lang w:val="pt-BR"/>
              </w:rPr>
              <w:t>max</w:t>
            </w:r>
            <w:r w:rsidR="004C114C" w:rsidRPr="004A7DF3">
              <w:rPr>
                <w:lang w:val="pt-BR"/>
              </w:rPr>
              <w:t xml:space="preserve"> (°C)</w:t>
            </w:r>
          </w:p>
        </w:tc>
        <w:tc>
          <w:tcPr>
            <w:tcW w:w="1202" w:type="dxa"/>
            <w:tcBorders>
              <w:top w:val="single" w:sz="4" w:space="0" w:color="auto"/>
              <w:bottom w:val="nil"/>
            </w:tcBorders>
            <w:vAlign w:val="center"/>
          </w:tcPr>
          <w:p w14:paraId="665CE3DE" w14:textId="3B214C6B" w:rsidR="009A5A2E" w:rsidRPr="00062FB1" w:rsidRDefault="00DB2BD7" w:rsidP="00410C49">
            <w:pPr>
              <w:pStyle w:val="TCTableBody"/>
              <w:rPr>
                <w:lang w:val="pt-BR"/>
              </w:rPr>
            </w:pPr>
            <w:r w:rsidRPr="00062FB1">
              <w:rPr>
                <w:lang w:val="pt-BR"/>
              </w:rPr>
              <w:t>T</w:t>
            </w:r>
            <w:r w:rsidR="009A5A2E" w:rsidRPr="00062FB1">
              <w:rPr>
                <w:lang w:val="pt-BR"/>
              </w:rPr>
              <w:t>otal (µmol/g)</w:t>
            </w:r>
          </w:p>
        </w:tc>
      </w:tr>
      <w:tr w:rsidR="00C33252" w:rsidRPr="000D6BBF" w14:paraId="14F49005" w14:textId="77777777" w:rsidTr="00410C49">
        <w:tc>
          <w:tcPr>
            <w:tcW w:w="690" w:type="dxa"/>
            <w:tcBorders>
              <w:top w:val="nil"/>
            </w:tcBorders>
            <w:vAlign w:val="center"/>
          </w:tcPr>
          <w:p w14:paraId="518048DA" w14:textId="77777777" w:rsidR="00C33252" w:rsidRPr="000D6BBF" w:rsidRDefault="00C33252" w:rsidP="00BB014D">
            <w:pPr>
              <w:pStyle w:val="TCTableBody"/>
              <w:rPr>
                <w:lang w:val="pt-BR"/>
              </w:rPr>
            </w:pPr>
          </w:p>
        </w:tc>
        <w:tc>
          <w:tcPr>
            <w:tcW w:w="898" w:type="dxa"/>
            <w:vAlign w:val="center"/>
          </w:tcPr>
          <w:p w14:paraId="4177B6C6" w14:textId="6EB91283" w:rsidR="00C33252" w:rsidRPr="000D6BBF" w:rsidRDefault="00377C9F" w:rsidP="00031428">
            <w:pPr>
              <w:pStyle w:val="TCTableBody"/>
              <w:jc w:val="center"/>
              <w:rPr>
                <w:lang w:val="pt-BR"/>
              </w:rPr>
            </w:pPr>
            <w:r w:rsidRPr="000D6BBF">
              <w:rPr>
                <w:lang w:val="pt-BR"/>
              </w:rPr>
              <w:t>Fraco</w:t>
            </w:r>
          </w:p>
        </w:tc>
        <w:tc>
          <w:tcPr>
            <w:tcW w:w="1001" w:type="dxa"/>
            <w:vAlign w:val="center"/>
          </w:tcPr>
          <w:p w14:paraId="28ABB321" w14:textId="5B7010F1" w:rsidR="00C33252" w:rsidRPr="000D6BBF" w:rsidRDefault="00377C9F" w:rsidP="00031428">
            <w:pPr>
              <w:pStyle w:val="TCTableBody"/>
              <w:jc w:val="center"/>
              <w:rPr>
                <w:lang w:val="pt-BR"/>
              </w:rPr>
            </w:pPr>
            <w:r w:rsidRPr="000D6BBF">
              <w:rPr>
                <w:lang w:val="pt-BR"/>
              </w:rPr>
              <w:t>Mo</w:t>
            </w:r>
            <w:r w:rsidR="000104B1" w:rsidRPr="000D6BBF">
              <w:rPr>
                <w:lang w:val="pt-BR"/>
              </w:rPr>
              <w:t>derado</w:t>
            </w:r>
          </w:p>
        </w:tc>
        <w:tc>
          <w:tcPr>
            <w:tcW w:w="950" w:type="dxa"/>
            <w:vAlign w:val="center"/>
          </w:tcPr>
          <w:p w14:paraId="5E03D3BA" w14:textId="0AE5F677" w:rsidR="00C33252" w:rsidRPr="000D6BBF" w:rsidRDefault="000104B1" w:rsidP="00031428">
            <w:pPr>
              <w:pStyle w:val="TCTableBody"/>
              <w:jc w:val="center"/>
              <w:rPr>
                <w:lang w:val="pt-BR"/>
              </w:rPr>
            </w:pPr>
            <w:r w:rsidRPr="000D6BBF">
              <w:rPr>
                <w:lang w:val="pt-BR"/>
              </w:rPr>
              <w:t>Forte</w:t>
            </w:r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  <w:vAlign w:val="center"/>
          </w:tcPr>
          <w:p w14:paraId="53DE5F22" w14:textId="63D31329" w:rsidR="00C33252" w:rsidRPr="000D6BBF" w:rsidRDefault="00C33252" w:rsidP="00031428">
            <w:pPr>
              <w:pStyle w:val="TCTableBody"/>
              <w:jc w:val="center"/>
              <w:rPr>
                <w:lang w:val="pt-BR"/>
              </w:rPr>
            </w:pPr>
          </w:p>
        </w:tc>
      </w:tr>
      <w:tr w:rsidR="00BB014D" w:rsidRPr="000D6BBF" w14:paraId="725AF4CD" w14:textId="581DDDA4" w:rsidTr="00410C49">
        <w:tc>
          <w:tcPr>
            <w:tcW w:w="690" w:type="dxa"/>
            <w:vAlign w:val="center"/>
          </w:tcPr>
          <w:p w14:paraId="4E50E4CE" w14:textId="113BCA91" w:rsidR="00DB2BD7" w:rsidRPr="000D6BBF" w:rsidRDefault="00DB2BD7" w:rsidP="00BB014D">
            <w:pPr>
              <w:pStyle w:val="TCTableBody"/>
              <w:rPr>
                <w:lang w:val="pt-BR"/>
              </w:rPr>
            </w:pPr>
            <w:r w:rsidRPr="000D6BBF">
              <w:rPr>
                <w:lang w:val="pt-BR"/>
              </w:rPr>
              <w:t>K10</w:t>
            </w:r>
          </w:p>
        </w:tc>
        <w:tc>
          <w:tcPr>
            <w:tcW w:w="898" w:type="dxa"/>
            <w:vAlign w:val="center"/>
          </w:tcPr>
          <w:p w14:paraId="10668D5A" w14:textId="2FFEBA74" w:rsidR="00DB2BD7" w:rsidRPr="000D6BBF" w:rsidRDefault="004228B1" w:rsidP="00031428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7</w:t>
            </w:r>
            <w:r w:rsidR="00DA22B9">
              <w:rPr>
                <w:lang w:val="pt-BR"/>
              </w:rPr>
              <w:t>6,4/</w:t>
            </w:r>
            <w:r w:rsidR="00D70854">
              <w:rPr>
                <w:lang w:val="pt-BR"/>
              </w:rPr>
              <w:t>169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4949795B" w14:textId="1FDB79F9" w:rsidR="00DB2BD7" w:rsidRPr="000D6BBF" w:rsidRDefault="00F256CF" w:rsidP="00031428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13</w:t>
            </w:r>
            <w:r w:rsidR="00453A89">
              <w:rPr>
                <w:lang w:val="pt-BR"/>
              </w:rPr>
              <w:t>5,7</w:t>
            </w:r>
            <w:r w:rsidR="00BB014D" w:rsidRPr="000D6BBF">
              <w:rPr>
                <w:lang w:val="pt-BR"/>
              </w:rPr>
              <w:t>/</w:t>
            </w:r>
            <w:r w:rsidR="00DB2BD7" w:rsidRPr="000D6BBF">
              <w:rPr>
                <w:lang w:val="pt-BR"/>
              </w:rPr>
              <w:t>29</w:t>
            </w:r>
            <w:r w:rsidR="001D04E4">
              <w:rPr>
                <w:lang w:val="pt-BR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22C172B9" w14:textId="03AB75CE" w:rsidR="00DB2BD7" w:rsidRPr="000D6BBF" w:rsidRDefault="00031428" w:rsidP="00031428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--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0CCCD331" w14:textId="65D3CDAB" w:rsidR="00DB2BD7" w:rsidRPr="000D6BBF" w:rsidRDefault="00DB2BD7" w:rsidP="00031428">
            <w:pPr>
              <w:pStyle w:val="TCTableBody"/>
              <w:jc w:val="center"/>
              <w:rPr>
                <w:lang w:val="pt-BR"/>
              </w:rPr>
            </w:pPr>
            <w:r w:rsidRPr="000D6BBF">
              <w:rPr>
                <w:lang w:val="pt-BR"/>
              </w:rPr>
              <w:t>212,1</w:t>
            </w:r>
          </w:p>
        </w:tc>
      </w:tr>
      <w:tr w:rsidR="00BB014D" w:rsidRPr="000D6BBF" w14:paraId="7BAA0925" w14:textId="5559B18D" w:rsidTr="00BB014D">
        <w:tc>
          <w:tcPr>
            <w:tcW w:w="690" w:type="dxa"/>
            <w:vAlign w:val="center"/>
          </w:tcPr>
          <w:p w14:paraId="266E5542" w14:textId="1886DFBF" w:rsidR="00DB2BD7" w:rsidRPr="000D6BBF" w:rsidRDefault="00DB2BD7" w:rsidP="00BB014D">
            <w:pPr>
              <w:pStyle w:val="TCTableBody"/>
              <w:rPr>
                <w:lang w:val="pt-BR"/>
              </w:rPr>
            </w:pPr>
            <w:r w:rsidRPr="000D6BBF">
              <w:rPr>
                <w:lang w:val="pt-BR"/>
              </w:rPr>
              <w:t>K101</w:t>
            </w:r>
          </w:p>
        </w:tc>
        <w:tc>
          <w:tcPr>
            <w:tcW w:w="898" w:type="dxa"/>
            <w:vAlign w:val="center"/>
          </w:tcPr>
          <w:p w14:paraId="71C99752" w14:textId="0F215BBF" w:rsidR="00DB2BD7" w:rsidRPr="000D6BBF" w:rsidRDefault="00A34BB9" w:rsidP="00031428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100,1</w:t>
            </w:r>
            <w:r w:rsidR="004C063A">
              <w:rPr>
                <w:lang w:val="pt-BR"/>
              </w:rPr>
              <w:t>/</w:t>
            </w:r>
            <w:r w:rsidR="006F4613">
              <w:rPr>
                <w:lang w:val="pt-BR"/>
              </w:rPr>
              <w:t>174</w:t>
            </w:r>
          </w:p>
        </w:tc>
        <w:tc>
          <w:tcPr>
            <w:tcW w:w="1001" w:type="dxa"/>
            <w:vAlign w:val="center"/>
          </w:tcPr>
          <w:p w14:paraId="5DBF1687" w14:textId="73DF346D" w:rsidR="00DB2BD7" w:rsidRPr="000D6BBF" w:rsidRDefault="00D3601A" w:rsidP="00031428">
            <w:pPr>
              <w:pStyle w:val="TCTableBody"/>
              <w:jc w:val="center"/>
              <w:rPr>
                <w:lang w:val="pt-BR"/>
              </w:rPr>
            </w:pPr>
            <w:r w:rsidRPr="00062FB1">
              <w:rPr>
                <w:lang w:val="pt-BR"/>
              </w:rPr>
              <w:t>205,3</w:t>
            </w:r>
            <w:r w:rsidR="00BB014D" w:rsidRPr="000D6BBF">
              <w:rPr>
                <w:lang w:val="pt-BR"/>
              </w:rPr>
              <w:t>/</w:t>
            </w:r>
            <w:r w:rsidR="00DB2BD7" w:rsidRPr="000D6BBF">
              <w:rPr>
                <w:lang w:val="pt-BR"/>
              </w:rPr>
              <w:t>2</w:t>
            </w:r>
            <w:r w:rsidR="0031449F">
              <w:rPr>
                <w:lang w:val="pt-BR"/>
              </w:rPr>
              <w:t>80</w:t>
            </w:r>
          </w:p>
        </w:tc>
        <w:tc>
          <w:tcPr>
            <w:tcW w:w="950" w:type="dxa"/>
            <w:vAlign w:val="center"/>
          </w:tcPr>
          <w:p w14:paraId="06D02F0F" w14:textId="450A4651" w:rsidR="00DB2BD7" w:rsidRPr="000D6BBF" w:rsidRDefault="004C063A" w:rsidP="00031428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19,5</w:t>
            </w:r>
            <w:r w:rsidR="00BB014D" w:rsidRPr="000D6BBF">
              <w:rPr>
                <w:lang w:val="pt-BR"/>
              </w:rPr>
              <w:t>/</w:t>
            </w:r>
            <w:r w:rsidR="009A0C89">
              <w:rPr>
                <w:lang w:val="pt-BR"/>
              </w:rPr>
              <w:t>548</w:t>
            </w:r>
          </w:p>
        </w:tc>
        <w:tc>
          <w:tcPr>
            <w:tcW w:w="1202" w:type="dxa"/>
            <w:vAlign w:val="center"/>
          </w:tcPr>
          <w:p w14:paraId="6CFD56BF" w14:textId="0985FC41" w:rsidR="00DB2BD7" w:rsidRPr="000D6BBF" w:rsidRDefault="00DB2BD7" w:rsidP="00031428">
            <w:pPr>
              <w:pStyle w:val="TCTableBody"/>
              <w:jc w:val="center"/>
              <w:rPr>
                <w:lang w:val="pt-BR"/>
              </w:rPr>
            </w:pPr>
            <w:r w:rsidRPr="000D6BBF">
              <w:rPr>
                <w:lang w:val="pt-BR"/>
              </w:rPr>
              <w:t>324,9</w:t>
            </w:r>
          </w:p>
        </w:tc>
      </w:tr>
      <w:tr w:rsidR="00BB014D" w:rsidRPr="000D6BBF" w14:paraId="16AD0A99" w14:textId="030F4B66" w:rsidTr="00BB014D">
        <w:trPr>
          <w:trHeight w:val="454"/>
        </w:trPr>
        <w:tc>
          <w:tcPr>
            <w:tcW w:w="690" w:type="dxa"/>
            <w:tcBorders>
              <w:bottom w:val="single" w:sz="6" w:space="0" w:color="auto"/>
            </w:tcBorders>
            <w:vAlign w:val="center"/>
          </w:tcPr>
          <w:p w14:paraId="452DC135" w14:textId="533D95ED" w:rsidR="00DB2BD7" w:rsidRPr="000D6BBF" w:rsidRDefault="00DB2BD7" w:rsidP="00BB014D">
            <w:pPr>
              <w:pStyle w:val="TCTableBody"/>
              <w:rPr>
                <w:lang w:val="pt-BR"/>
              </w:rPr>
            </w:pPr>
            <w:r w:rsidRPr="000D6BBF">
              <w:rPr>
                <w:lang w:val="pt-BR"/>
              </w:rPr>
              <w:t>K102</w:t>
            </w:r>
          </w:p>
        </w:tc>
        <w:tc>
          <w:tcPr>
            <w:tcW w:w="898" w:type="dxa"/>
            <w:tcBorders>
              <w:bottom w:val="single" w:sz="6" w:space="0" w:color="auto"/>
            </w:tcBorders>
            <w:vAlign w:val="center"/>
          </w:tcPr>
          <w:p w14:paraId="0759F655" w14:textId="03AA5297" w:rsidR="00DB2BD7" w:rsidRPr="000D6BBF" w:rsidRDefault="00C66FDC" w:rsidP="00031428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77,0</w:t>
            </w:r>
            <w:r w:rsidR="00BB014D" w:rsidRPr="000D6BBF">
              <w:rPr>
                <w:lang w:val="pt-BR"/>
              </w:rPr>
              <w:t>/</w:t>
            </w:r>
            <w:r w:rsidR="00DB2BD7" w:rsidRPr="000D6BBF">
              <w:rPr>
                <w:lang w:val="pt-BR"/>
              </w:rPr>
              <w:t>1</w:t>
            </w:r>
            <w:r w:rsidR="00733CD9">
              <w:rPr>
                <w:lang w:val="pt-BR"/>
              </w:rPr>
              <w:t>66</w:t>
            </w:r>
          </w:p>
        </w:tc>
        <w:tc>
          <w:tcPr>
            <w:tcW w:w="1001" w:type="dxa"/>
            <w:tcBorders>
              <w:bottom w:val="single" w:sz="6" w:space="0" w:color="auto"/>
            </w:tcBorders>
            <w:vAlign w:val="center"/>
          </w:tcPr>
          <w:p w14:paraId="214BD9D2" w14:textId="5E6C3D12" w:rsidR="00DB2BD7" w:rsidRPr="000D6BBF" w:rsidRDefault="00E20536" w:rsidP="00031428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54,9/</w:t>
            </w:r>
            <w:r w:rsidR="00871283">
              <w:rPr>
                <w:lang w:val="pt-BR"/>
              </w:rPr>
              <w:t>295</w:t>
            </w:r>
          </w:p>
        </w:tc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75F016F1" w14:textId="69A2A3DB" w:rsidR="00DB2BD7" w:rsidRPr="000D6BBF" w:rsidRDefault="00D70722" w:rsidP="00031428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56</w:t>
            </w:r>
            <w:r w:rsidR="0051590E">
              <w:rPr>
                <w:lang w:val="pt-BR"/>
              </w:rPr>
              <w:t>,8</w:t>
            </w:r>
            <w:r w:rsidR="00BB014D" w:rsidRPr="000D6BBF">
              <w:rPr>
                <w:lang w:val="pt-BR"/>
              </w:rPr>
              <w:t>/</w:t>
            </w:r>
            <w:r w:rsidR="00DB2BD7" w:rsidRPr="000D6BBF">
              <w:rPr>
                <w:lang w:val="pt-BR"/>
              </w:rPr>
              <w:t>55</w:t>
            </w:r>
            <w:r w:rsidR="001D5255">
              <w:rPr>
                <w:lang w:val="pt-BR"/>
              </w:rPr>
              <w:t>8</w:t>
            </w:r>
          </w:p>
        </w:tc>
        <w:tc>
          <w:tcPr>
            <w:tcW w:w="1202" w:type="dxa"/>
            <w:tcBorders>
              <w:bottom w:val="single" w:sz="6" w:space="0" w:color="auto"/>
            </w:tcBorders>
            <w:vAlign w:val="center"/>
          </w:tcPr>
          <w:p w14:paraId="7CCC4BDD" w14:textId="742B0900" w:rsidR="00DB2BD7" w:rsidRPr="000D6BBF" w:rsidRDefault="00DB2BD7" w:rsidP="00031428">
            <w:pPr>
              <w:pStyle w:val="TCTableBody"/>
              <w:jc w:val="center"/>
              <w:rPr>
                <w:lang w:val="pt-BR"/>
              </w:rPr>
            </w:pPr>
            <w:r w:rsidRPr="000D6BBF">
              <w:rPr>
                <w:lang w:val="pt-BR"/>
              </w:rPr>
              <w:t>188,8</w:t>
            </w:r>
          </w:p>
        </w:tc>
      </w:tr>
      <w:tr w:rsidR="00DB2BD7" w:rsidRPr="000D6BBF" w14:paraId="52528DA1" w14:textId="77777777" w:rsidTr="00BB014D">
        <w:trPr>
          <w:trHeight w:val="454"/>
        </w:trPr>
        <w:tc>
          <w:tcPr>
            <w:tcW w:w="690" w:type="dxa"/>
            <w:tcBorders>
              <w:bottom w:val="single" w:sz="6" w:space="0" w:color="auto"/>
            </w:tcBorders>
            <w:vAlign w:val="center"/>
          </w:tcPr>
          <w:p w14:paraId="3378E8AB" w14:textId="722E612E" w:rsidR="00DB2BD7" w:rsidRPr="000D6BBF" w:rsidRDefault="00DB2BD7" w:rsidP="00BB014D">
            <w:pPr>
              <w:pStyle w:val="TCTableBody"/>
              <w:rPr>
                <w:lang w:val="pt-BR"/>
              </w:rPr>
            </w:pPr>
            <w:r w:rsidRPr="000D6BBF">
              <w:rPr>
                <w:lang w:val="pt-BR"/>
              </w:rPr>
              <w:t>K104</w:t>
            </w:r>
          </w:p>
        </w:tc>
        <w:tc>
          <w:tcPr>
            <w:tcW w:w="898" w:type="dxa"/>
            <w:tcBorders>
              <w:bottom w:val="single" w:sz="6" w:space="0" w:color="auto"/>
            </w:tcBorders>
            <w:vAlign w:val="center"/>
          </w:tcPr>
          <w:p w14:paraId="4082AF87" w14:textId="6696F65C" w:rsidR="00DB2BD7" w:rsidRPr="000D6BBF" w:rsidRDefault="008B2E65" w:rsidP="00031428">
            <w:pPr>
              <w:pStyle w:val="TCTableBody"/>
              <w:jc w:val="center"/>
              <w:rPr>
                <w:lang w:val="pt-BR"/>
              </w:rPr>
            </w:pPr>
            <w:r w:rsidRPr="00062FB1">
              <w:rPr>
                <w:lang w:val="pt-BR"/>
              </w:rPr>
              <w:t>128,2/</w:t>
            </w:r>
            <w:r w:rsidR="00B2041C" w:rsidRPr="00062FB1">
              <w:rPr>
                <w:lang w:val="pt-BR"/>
              </w:rPr>
              <w:t>190</w:t>
            </w:r>
          </w:p>
        </w:tc>
        <w:tc>
          <w:tcPr>
            <w:tcW w:w="1001" w:type="dxa"/>
            <w:tcBorders>
              <w:bottom w:val="single" w:sz="6" w:space="0" w:color="auto"/>
            </w:tcBorders>
            <w:vAlign w:val="center"/>
          </w:tcPr>
          <w:p w14:paraId="7094ABDA" w14:textId="3638657F" w:rsidR="00DB2BD7" w:rsidRPr="000D6BBF" w:rsidRDefault="006107DE" w:rsidP="00031428">
            <w:pPr>
              <w:pStyle w:val="TCTableBody"/>
              <w:jc w:val="center"/>
              <w:rPr>
                <w:lang w:val="pt-BR"/>
              </w:rPr>
            </w:pPr>
            <w:r w:rsidRPr="00062FB1">
              <w:rPr>
                <w:lang w:val="pt-BR"/>
              </w:rPr>
              <w:t>198,3</w:t>
            </w:r>
            <w:r w:rsidR="00BB014D" w:rsidRPr="000D6BBF">
              <w:rPr>
                <w:lang w:val="pt-BR"/>
              </w:rPr>
              <w:t>/</w:t>
            </w:r>
            <w:r w:rsidR="00DA1563">
              <w:rPr>
                <w:lang w:val="pt-BR"/>
              </w:rPr>
              <w:t>294</w:t>
            </w:r>
          </w:p>
        </w:tc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1291B3EC" w14:textId="2C9A8B56" w:rsidR="00DB2BD7" w:rsidRPr="000D6BBF" w:rsidRDefault="00DB2BD7" w:rsidP="00031428">
            <w:pPr>
              <w:pStyle w:val="TCTableBody"/>
              <w:jc w:val="center"/>
              <w:rPr>
                <w:lang w:val="pt-BR"/>
              </w:rPr>
            </w:pPr>
            <w:r w:rsidRPr="000D6BBF">
              <w:rPr>
                <w:lang w:val="pt-BR"/>
              </w:rPr>
              <w:t>28,8</w:t>
            </w:r>
            <w:r w:rsidR="00BB014D" w:rsidRPr="000D6BBF">
              <w:rPr>
                <w:lang w:val="pt-BR"/>
              </w:rPr>
              <w:t>/</w:t>
            </w:r>
            <w:r w:rsidRPr="000D6BBF">
              <w:rPr>
                <w:lang w:val="pt-BR"/>
              </w:rPr>
              <w:t>55</w:t>
            </w:r>
            <w:r w:rsidR="00DA1563">
              <w:rPr>
                <w:lang w:val="pt-BR"/>
              </w:rPr>
              <w:t>0</w:t>
            </w:r>
          </w:p>
        </w:tc>
        <w:tc>
          <w:tcPr>
            <w:tcW w:w="1202" w:type="dxa"/>
            <w:tcBorders>
              <w:bottom w:val="single" w:sz="6" w:space="0" w:color="auto"/>
            </w:tcBorders>
            <w:vAlign w:val="center"/>
          </w:tcPr>
          <w:p w14:paraId="7AB02399" w14:textId="32053877" w:rsidR="00DB2BD7" w:rsidRPr="000D6BBF" w:rsidRDefault="00DB2BD7" w:rsidP="00031428">
            <w:pPr>
              <w:pStyle w:val="TCTableBody"/>
              <w:jc w:val="center"/>
              <w:rPr>
                <w:lang w:val="pt-BR"/>
              </w:rPr>
            </w:pPr>
            <w:r w:rsidRPr="000D6BBF">
              <w:rPr>
                <w:lang w:val="pt-BR"/>
              </w:rPr>
              <w:t>355,2</w:t>
            </w:r>
          </w:p>
        </w:tc>
      </w:tr>
      <w:tr w:rsidR="00DB2BD7" w:rsidRPr="000D6BBF" w14:paraId="71B71A44" w14:textId="77777777" w:rsidTr="00BB014D">
        <w:trPr>
          <w:trHeight w:val="454"/>
        </w:trPr>
        <w:tc>
          <w:tcPr>
            <w:tcW w:w="690" w:type="dxa"/>
            <w:tcBorders>
              <w:bottom w:val="single" w:sz="6" w:space="0" w:color="auto"/>
            </w:tcBorders>
            <w:vAlign w:val="center"/>
          </w:tcPr>
          <w:p w14:paraId="19F5FDE8" w14:textId="5E22CFB3" w:rsidR="00DB2BD7" w:rsidRPr="000D6BBF" w:rsidRDefault="00DB2BD7" w:rsidP="00BB014D">
            <w:pPr>
              <w:pStyle w:val="TCTableBody"/>
              <w:rPr>
                <w:lang w:val="pt-BR"/>
              </w:rPr>
            </w:pPr>
            <w:r w:rsidRPr="000D6BBF">
              <w:rPr>
                <w:lang w:val="pt-BR"/>
              </w:rPr>
              <w:t>K106</w:t>
            </w:r>
          </w:p>
        </w:tc>
        <w:tc>
          <w:tcPr>
            <w:tcW w:w="898" w:type="dxa"/>
            <w:tcBorders>
              <w:bottom w:val="single" w:sz="6" w:space="0" w:color="auto"/>
            </w:tcBorders>
            <w:vAlign w:val="center"/>
          </w:tcPr>
          <w:p w14:paraId="0D1A64A8" w14:textId="1B39D666" w:rsidR="00DB2BD7" w:rsidRPr="000D6BBF" w:rsidRDefault="009F4723" w:rsidP="00031428">
            <w:pPr>
              <w:pStyle w:val="TCTableBody"/>
              <w:jc w:val="center"/>
              <w:rPr>
                <w:lang w:val="pt-BR"/>
              </w:rPr>
            </w:pPr>
            <w:r w:rsidRPr="00062FB1">
              <w:rPr>
                <w:lang w:val="pt-BR"/>
              </w:rPr>
              <w:t>181,7/</w:t>
            </w:r>
            <w:r w:rsidR="00D60DAA" w:rsidRPr="00062FB1">
              <w:rPr>
                <w:lang w:val="pt-BR"/>
              </w:rPr>
              <w:t>202</w:t>
            </w:r>
          </w:p>
        </w:tc>
        <w:tc>
          <w:tcPr>
            <w:tcW w:w="1001" w:type="dxa"/>
            <w:tcBorders>
              <w:bottom w:val="single" w:sz="6" w:space="0" w:color="auto"/>
            </w:tcBorders>
            <w:vAlign w:val="center"/>
          </w:tcPr>
          <w:p w14:paraId="48943D6C" w14:textId="3FE01FAF" w:rsidR="00DB2BD7" w:rsidRPr="000D6BBF" w:rsidRDefault="00D07389" w:rsidP="00031428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7</w:t>
            </w:r>
            <w:r w:rsidR="00F33B72">
              <w:rPr>
                <w:lang w:val="pt-BR"/>
              </w:rPr>
              <w:t>6,3</w:t>
            </w:r>
            <w:r w:rsidR="00BB014D" w:rsidRPr="000D6BBF">
              <w:rPr>
                <w:lang w:val="pt-BR"/>
              </w:rPr>
              <w:t>/</w:t>
            </w:r>
            <w:r w:rsidR="00DB2BD7" w:rsidRPr="000D6BBF">
              <w:rPr>
                <w:lang w:val="pt-BR"/>
              </w:rPr>
              <w:t>29</w:t>
            </w:r>
            <w:r w:rsidR="00A94969">
              <w:rPr>
                <w:lang w:val="pt-BR"/>
              </w:rPr>
              <w:t>7</w:t>
            </w:r>
          </w:p>
        </w:tc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7A054181" w14:textId="062AE774" w:rsidR="00DB2BD7" w:rsidRPr="000D6BBF" w:rsidRDefault="00341D42" w:rsidP="00031428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30,1</w:t>
            </w:r>
            <w:r w:rsidR="00BB014D" w:rsidRPr="000D6BBF">
              <w:rPr>
                <w:lang w:val="pt-BR"/>
              </w:rPr>
              <w:t>/</w:t>
            </w:r>
            <w:r w:rsidR="00DB2BD7" w:rsidRPr="000D6BBF">
              <w:rPr>
                <w:lang w:val="pt-BR"/>
              </w:rPr>
              <w:t>5</w:t>
            </w:r>
            <w:r w:rsidR="00062FB1">
              <w:rPr>
                <w:lang w:val="pt-BR"/>
              </w:rPr>
              <w:t>47</w:t>
            </w:r>
          </w:p>
        </w:tc>
        <w:tc>
          <w:tcPr>
            <w:tcW w:w="1202" w:type="dxa"/>
            <w:tcBorders>
              <w:bottom w:val="single" w:sz="6" w:space="0" w:color="auto"/>
            </w:tcBorders>
            <w:vAlign w:val="center"/>
          </w:tcPr>
          <w:p w14:paraId="36AEF9EF" w14:textId="0D5403A0" w:rsidR="00DB2BD7" w:rsidRPr="000D6BBF" w:rsidRDefault="00DB2BD7" w:rsidP="00031428">
            <w:pPr>
              <w:pStyle w:val="TCTableBody"/>
              <w:jc w:val="center"/>
              <w:rPr>
                <w:lang w:val="pt-BR"/>
              </w:rPr>
            </w:pPr>
            <w:r w:rsidRPr="000D6BBF">
              <w:rPr>
                <w:lang w:val="pt-BR"/>
              </w:rPr>
              <w:t>288,1</w:t>
            </w:r>
          </w:p>
        </w:tc>
      </w:tr>
      <w:tr w:rsidR="007E7391" w:rsidRPr="000D6BBF" w14:paraId="4644DB30" w14:textId="183649A1" w:rsidTr="00B36176">
        <w:trPr>
          <w:trHeight w:val="106"/>
        </w:trPr>
        <w:tc>
          <w:tcPr>
            <w:tcW w:w="4741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B36D7E" w14:textId="77777777" w:rsidR="007E7391" w:rsidRPr="000D6BBF" w:rsidRDefault="007E7391" w:rsidP="00182531">
            <w:pPr>
              <w:pStyle w:val="TCTableBody"/>
              <w:spacing w:after="0"/>
              <w:rPr>
                <w:lang w:val="pt-BR"/>
              </w:rPr>
            </w:pPr>
          </w:p>
        </w:tc>
      </w:tr>
    </w:tbl>
    <w:p w14:paraId="30602496" w14:textId="19ABAE8E" w:rsidR="007464D3" w:rsidRPr="002F7A5E" w:rsidRDefault="00743DDA" w:rsidP="002F7A5E">
      <w:pPr>
        <w:pStyle w:val="TAMainText"/>
        <w:spacing w:before="240"/>
        <w:rPr>
          <w:lang w:val="pt-BR"/>
        </w:rPr>
      </w:pPr>
      <w:r>
        <w:rPr>
          <w:lang w:val="pt-BR"/>
        </w:rPr>
        <w:t xml:space="preserve">A partir dos resultados de caracterização, </w:t>
      </w:r>
      <w:r w:rsidR="0062113D" w:rsidRPr="00C66F77">
        <w:rPr>
          <w:lang w:val="pt-BR"/>
        </w:rPr>
        <w:t>a</w:t>
      </w:r>
      <w:r w:rsidR="00AB78AE">
        <w:rPr>
          <w:lang w:val="pt-BR"/>
        </w:rPr>
        <w:t xml:space="preserve"> </w:t>
      </w:r>
      <w:r w:rsidRPr="00C66F77">
        <w:rPr>
          <w:lang w:val="pt-BR"/>
        </w:rPr>
        <w:t>argila</w:t>
      </w:r>
      <w:r w:rsidR="007F6705" w:rsidRPr="00C66F77">
        <w:rPr>
          <w:lang w:val="pt-BR"/>
        </w:rPr>
        <w:t xml:space="preserve"> </w:t>
      </w:r>
      <w:r w:rsidR="0052126D" w:rsidRPr="00C66F77">
        <w:rPr>
          <w:lang w:val="pt-BR"/>
        </w:rPr>
        <w:t>K1</w:t>
      </w:r>
      <w:r w:rsidR="00914035" w:rsidRPr="00C66F77">
        <w:rPr>
          <w:lang w:val="pt-BR"/>
        </w:rPr>
        <w:t>04</w:t>
      </w:r>
      <w:r w:rsidR="0052126D" w:rsidRPr="00C66F77">
        <w:rPr>
          <w:lang w:val="pt-BR"/>
        </w:rPr>
        <w:t xml:space="preserve"> </w:t>
      </w:r>
      <w:r w:rsidR="00AB78AE">
        <w:rPr>
          <w:lang w:val="pt-BR"/>
        </w:rPr>
        <w:t>foi selecionada</w:t>
      </w:r>
      <w:r w:rsidR="00725F9E" w:rsidRPr="00C66F77">
        <w:rPr>
          <w:lang w:val="pt-BR"/>
        </w:rPr>
        <w:t xml:space="preserve"> </w:t>
      </w:r>
      <w:r w:rsidR="00A82229" w:rsidRPr="00C66F77">
        <w:rPr>
          <w:lang w:val="pt-BR"/>
        </w:rPr>
        <w:t xml:space="preserve">para os experimentos de </w:t>
      </w:r>
      <w:r w:rsidR="00B2663B" w:rsidRPr="00C66F77">
        <w:rPr>
          <w:lang w:val="pt-BR"/>
        </w:rPr>
        <w:t xml:space="preserve">pirólise </w:t>
      </w:r>
      <w:r w:rsidR="00A82229" w:rsidRPr="00C66F77">
        <w:rPr>
          <w:lang w:val="pt-BR"/>
        </w:rPr>
        <w:t xml:space="preserve">catalítica </w:t>
      </w:r>
      <w:r w:rsidR="00B2663B" w:rsidRPr="00C66F77">
        <w:rPr>
          <w:lang w:val="pt-BR"/>
        </w:rPr>
        <w:t>da biomassa</w:t>
      </w:r>
      <w:r w:rsidR="00AB78AE">
        <w:rPr>
          <w:lang w:val="pt-BR"/>
        </w:rPr>
        <w:t xml:space="preserve">, </w:t>
      </w:r>
      <w:r w:rsidR="004058DF" w:rsidRPr="00C66F77">
        <w:rPr>
          <w:lang w:val="pt-BR"/>
        </w:rPr>
        <w:t xml:space="preserve">devido a maior quantidade de sítios ácidos </w:t>
      </w:r>
      <w:r w:rsidR="007F6705" w:rsidRPr="00C66F77">
        <w:rPr>
          <w:lang w:val="pt-BR"/>
        </w:rPr>
        <w:t xml:space="preserve">totais </w:t>
      </w:r>
      <w:r w:rsidR="00540860" w:rsidRPr="00C66F77">
        <w:rPr>
          <w:lang w:val="pt-BR"/>
        </w:rPr>
        <w:t>(3</w:t>
      </w:r>
      <w:r w:rsidR="001B3B29" w:rsidRPr="00C66F77">
        <w:rPr>
          <w:lang w:val="pt-BR"/>
        </w:rPr>
        <w:t xml:space="preserve">55,2 </w:t>
      </w:r>
      <w:r w:rsidR="00FD5CE9" w:rsidRPr="00C66F77">
        <w:rPr>
          <w:lang w:val="pt-BR"/>
        </w:rPr>
        <w:t>µmol/g)</w:t>
      </w:r>
      <w:r w:rsidR="00E51C96" w:rsidRPr="00C66F77">
        <w:rPr>
          <w:lang w:val="pt-BR"/>
        </w:rPr>
        <w:t xml:space="preserve"> </w:t>
      </w:r>
      <w:r w:rsidR="0062113D" w:rsidRPr="00C66F77">
        <w:rPr>
          <w:lang w:val="pt-BR"/>
        </w:rPr>
        <w:t>aliad</w:t>
      </w:r>
      <w:r w:rsidR="00EF3C4D" w:rsidRPr="00C66F77">
        <w:rPr>
          <w:lang w:val="pt-BR"/>
        </w:rPr>
        <w:t>o</w:t>
      </w:r>
      <w:r w:rsidR="0099371C" w:rsidRPr="00C66F77">
        <w:rPr>
          <w:lang w:val="pt-BR"/>
        </w:rPr>
        <w:t xml:space="preserve"> a</w:t>
      </w:r>
      <w:r w:rsidR="00A82229" w:rsidRPr="00C66F77">
        <w:rPr>
          <w:lang w:val="pt-BR"/>
        </w:rPr>
        <w:t xml:space="preserve"> </w:t>
      </w:r>
      <w:r w:rsidR="00DD6306" w:rsidRPr="00C66F77">
        <w:rPr>
          <w:lang w:val="pt-BR"/>
        </w:rPr>
        <w:t xml:space="preserve">presença de </w:t>
      </w:r>
      <w:r w:rsidR="00F5764A" w:rsidRPr="00C66F77">
        <w:rPr>
          <w:lang w:val="pt-BR"/>
        </w:rPr>
        <w:t>sítios ácidos fortes</w:t>
      </w:r>
      <w:r w:rsidR="005C510F" w:rsidRPr="00C66F77">
        <w:rPr>
          <w:lang w:val="pt-BR"/>
        </w:rPr>
        <w:t xml:space="preserve"> </w:t>
      </w:r>
      <w:r w:rsidR="00EA5C2D" w:rsidRPr="00C66F77">
        <w:rPr>
          <w:lang w:val="pt-BR"/>
        </w:rPr>
        <w:t>(</w:t>
      </w:r>
      <w:r w:rsidR="005C510F" w:rsidRPr="00C66F77">
        <w:rPr>
          <w:lang w:val="pt-BR"/>
        </w:rPr>
        <w:t>28,8</w:t>
      </w:r>
      <w:r w:rsidR="00EA5C2D" w:rsidRPr="00C66F77">
        <w:rPr>
          <w:lang w:val="pt-BR"/>
        </w:rPr>
        <w:t xml:space="preserve"> µmol/g)</w:t>
      </w:r>
      <w:r w:rsidR="009552AA" w:rsidRPr="00C66F77">
        <w:rPr>
          <w:lang w:val="pt-BR"/>
        </w:rPr>
        <w:t xml:space="preserve">. </w:t>
      </w:r>
      <w:r w:rsidR="0099371C" w:rsidRPr="00C66F77">
        <w:rPr>
          <w:lang w:val="pt-BR"/>
        </w:rPr>
        <w:t>A</w:t>
      </w:r>
      <w:r w:rsidR="00EF3C4D" w:rsidRPr="00C66F77">
        <w:rPr>
          <w:lang w:val="pt-BR"/>
        </w:rPr>
        <w:t xml:space="preserve"> </w:t>
      </w:r>
      <w:r w:rsidR="0099371C" w:rsidRPr="00C66F77">
        <w:rPr>
          <w:lang w:val="pt-BR"/>
        </w:rPr>
        <w:t xml:space="preserve">K10 </w:t>
      </w:r>
      <w:r w:rsidR="001B3572" w:rsidRPr="00C66F77">
        <w:rPr>
          <w:lang w:val="pt-BR"/>
        </w:rPr>
        <w:t xml:space="preserve">também foi </w:t>
      </w:r>
      <w:r w:rsidR="00B2663B" w:rsidRPr="00C66F77">
        <w:rPr>
          <w:lang w:val="pt-BR"/>
        </w:rPr>
        <w:t>submetida à pirólise</w:t>
      </w:r>
      <w:r w:rsidR="007464D3" w:rsidRPr="00C66F77">
        <w:rPr>
          <w:lang w:val="pt-BR"/>
        </w:rPr>
        <w:t xml:space="preserve"> catalítica</w:t>
      </w:r>
      <w:r w:rsidR="009552AA" w:rsidRPr="00C66F77">
        <w:rPr>
          <w:lang w:val="pt-BR"/>
        </w:rPr>
        <w:t xml:space="preserve"> de bagaço de uva</w:t>
      </w:r>
      <w:r w:rsidR="0099371C" w:rsidRPr="00C66F77">
        <w:rPr>
          <w:lang w:val="pt-BR"/>
        </w:rPr>
        <w:t xml:space="preserve"> para comparação.</w:t>
      </w:r>
    </w:p>
    <w:p w14:paraId="7D8E72BE" w14:textId="2347AD8F" w:rsidR="005C5648" w:rsidRPr="00C66F77" w:rsidRDefault="00914035" w:rsidP="005C5648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C66F77">
        <w:rPr>
          <w:rFonts w:ascii="Times New Roman" w:hAnsi="Times New Roman"/>
          <w:i/>
          <w:lang w:val="pt-BR"/>
        </w:rPr>
        <w:t>Estudo termocinético</w:t>
      </w:r>
    </w:p>
    <w:p w14:paraId="399ABB39" w14:textId="5D1EDD70" w:rsidR="00650E8C" w:rsidRPr="00321059" w:rsidRDefault="00B15F7A" w:rsidP="00D341CF">
      <w:pPr>
        <w:pStyle w:val="TAMainText"/>
        <w:rPr>
          <w:color w:val="FF0000"/>
          <w:lang w:val="pt-BR"/>
        </w:rPr>
      </w:pPr>
      <w:r w:rsidRPr="00AB78AE">
        <w:rPr>
          <w:rFonts w:ascii="Times New Roman" w:hAnsi="Times New Roman"/>
          <w:lang w:val="pt-BR"/>
        </w:rPr>
        <w:t>A</w:t>
      </w:r>
      <w:r w:rsidR="00D2238F">
        <w:rPr>
          <w:rFonts w:ascii="Times New Roman" w:hAnsi="Times New Roman"/>
          <w:lang w:val="pt-BR"/>
        </w:rPr>
        <w:t xml:space="preserve">s </w:t>
      </w:r>
      <w:r w:rsidRPr="00AB78AE">
        <w:rPr>
          <w:lang w:val="pt-BR"/>
        </w:rPr>
        <w:t>Figura</w:t>
      </w:r>
      <w:r w:rsidR="00D2238F">
        <w:rPr>
          <w:lang w:val="pt-BR"/>
        </w:rPr>
        <w:t>s</w:t>
      </w:r>
      <w:r w:rsidRPr="00AB78AE">
        <w:rPr>
          <w:lang w:val="pt-BR"/>
        </w:rPr>
        <w:t xml:space="preserve"> </w:t>
      </w:r>
      <w:r w:rsidR="00604DB0" w:rsidRPr="00AB78AE">
        <w:rPr>
          <w:lang w:val="pt-BR"/>
        </w:rPr>
        <w:t>2</w:t>
      </w:r>
      <w:r w:rsidRPr="00AB78AE">
        <w:rPr>
          <w:lang w:val="pt-BR"/>
        </w:rPr>
        <w:t xml:space="preserve"> </w:t>
      </w:r>
      <w:r w:rsidR="00FA12FE" w:rsidRPr="00AB78AE">
        <w:rPr>
          <w:lang w:val="pt-BR"/>
        </w:rPr>
        <w:t xml:space="preserve">e 3 </w:t>
      </w:r>
      <w:r w:rsidR="0015434B">
        <w:rPr>
          <w:lang w:val="pt-BR"/>
        </w:rPr>
        <w:t>mostram</w:t>
      </w:r>
      <w:r w:rsidRPr="00AB78AE">
        <w:rPr>
          <w:lang w:val="pt-BR"/>
        </w:rPr>
        <w:t xml:space="preserve"> </w:t>
      </w:r>
      <w:r w:rsidR="00385453" w:rsidRPr="00AB78AE">
        <w:rPr>
          <w:lang w:val="pt-BR"/>
        </w:rPr>
        <w:t>as</w:t>
      </w:r>
      <w:r w:rsidRPr="00AB78AE">
        <w:rPr>
          <w:lang w:val="pt-BR"/>
        </w:rPr>
        <w:t xml:space="preserve"> </w:t>
      </w:r>
      <w:r w:rsidR="00E24414" w:rsidRPr="00AB78AE">
        <w:rPr>
          <w:lang w:val="pt-BR"/>
        </w:rPr>
        <w:t>curvas</w:t>
      </w:r>
      <w:r w:rsidRPr="00AB78AE">
        <w:rPr>
          <w:lang w:val="pt-BR"/>
        </w:rPr>
        <w:t xml:space="preserve"> de termogravimetria</w:t>
      </w:r>
      <w:r w:rsidR="003E07B0" w:rsidRPr="00AB78AE">
        <w:rPr>
          <w:lang w:val="pt-BR"/>
        </w:rPr>
        <w:t xml:space="preserve"> (TG)</w:t>
      </w:r>
      <w:r w:rsidRPr="00AB78AE">
        <w:rPr>
          <w:lang w:val="pt-BR"/>
        </w:rPr>
        <w:t xml:space="preserve"> </w:t>
      </w:r>
      <w:r w:rsidR="00FA12FE" w:rsidRPr="00AB78AE">
        <w:rPr>
          <w:lang w:val="pt-BR"/>
        </w:rPr>
        <w:t xml:space="preserve">e </w:t>
      </w:r>
      <w:r w:rsidR="00385453" w:rsidRPr="00AB78AE">
        <w:rPr>
          <w:lang w:val="pt-BR"/>
        </w:rPr>
        <w:t>t</w:t>
      </w:r>
      <w:r w:rsidR="00806D65" w:rsidRPr="00AB78AE">
        <w:rPr>
          <w:lang w:val="pt-BR"/>
        </w:rPr>
        <w:t>ermogravimetria derivada (</w:t>
      </w:r>
      <w:r w:rsidR="00FA12FE" w:rsidRPr="00AB78AE">
        <w:rPr>
          <w:lang w:val="pt-BR"/>
        </w:rPr>
        <w:t>DTG</w:t>
      </w:r>
      <w:r w:rsidR="00806D65" w:rsidRPr="00AB78AE">
        <w:rPr>
          <w:lang w:val="pt-BR"/>
        </w:rPr>
        <w:t>)</w:t>
      </w:r>
      <w:r w:rsidR="00385453" w:rsidRPr="00AB78AE">
        <w:rPr>
          <w:lang w:val="pt-BR"/>
        </w:rPr>
        <w:t>, respectivamente</w:t>
      </w:r>
      <w:r w:rsidR="0015434B">
        <w:rPr>
          <w:lang w:val="pt-BR"/>
        </w:rPr>
        <w:t xml:space="preserve">. </w:t>
      </w:r>
      <w:r w:rsidR="00FA12FE" w:rsidRPr="00AB78AE">
        <w:rPr>
          <w:lang w:val="pt-BR"/>
        </w:rPr>
        <w:t>Na Figura 3</w:t>
      </w:r>
      <w:r w:rsidR="00410C49">
        <w:rPr>
          <w:lang w:val="pt-BR"/>
        </w:rPr>
        <w:t xml:space="preserve">, são observados quatro </w:t>
      </w:r>
      <w:r w:rsidR="00C66F77" w:rsidRPr="00AB78AE">
        <w:rPr>
          <w:lang w:val="pt-BR"/>
        </w:rPr>
        <w:t>estágios de decomposição</w:t>
      </w:r>
      <w:r w:rsidR="00E465B2" w:rsidRPr="00AB78AE">
        <w:rPr>
          <w:lang w:val="pt-BR"/>
        </w:rPr>
        <w:t xml:space="preserve"> da </w:t>
      </w:r>
      <w:r w:rsidR="00E465B2" w:rsidRPr="009769F3">
        <w:rPr>
          <w:lang w:val="pt-BR"/>
        </w:rPr>
        <w:t>biomassa</w:t>
      </w:r>
      <w:r w:rsidR="00CD5940" w:rsidRPr="009769F3">
        <w:rPr>
          <w:lang w:val="pt-BR"/>
        </w:rPr>
        <w:t xml:space="preserve">. A </w:t>
      </w:r>
      <w:r w:rsidR="0015434B" w:rsidRPr="009769F3">
        <w:rPr>
          <w:lang w:val="pt-BR"/>
        </w:rPr>
        <w:t xml:space="preserve">Tabela 3 mostra as </w:t>
      </w:r>
      <w:r w:rsidR="00E465B2" w:rsidRPr="009769F3">
        <w:rPr>
          <w:lang w:val="pt-BR"/>
        </w:rPr>
        <w:t>faixas de tempera</w:t>
      </w:r>
      <w:r w:rsidR="00FA12FE" w:rsidRPr="009769F3">
        <w:rPr>
          <w:lang w:val="pt-BR"/>
        </w:rPr>
        <w:t>tura</w:t>
      </w:r>
      <w:r w:rsidR="0076027D" w:rsidRPr="009769F3">
        <w:rPr>
          <w:lang w:val="pt-BR"/>
        </w:rPr>
        <w:t xml:space="preserve"> </w:t>
      </w:r>
      <w:r w:rsidR="00410C49" w:rsidRPr="009769F3">
        <w:rPr>
          <w:lang w:val="pt-BR"/>
        </w:rPr>
        <w:t xml:space="preserve">de </w:t>
      </w:r>
      <w:r w:rsidR="0076027D" w:rsidRPr="009769F3">
        <w:rPr>
          <w:lang w:val="pt-BR"/>
        </w:rPr>
        <w:t xml:space="preserve"> cada </w:t>
      </w:r>
      <w:r w:rsidR="00E465B2" w:rsidRPr="009769F3">
        <w:rPr>
          <w:lang w:val="pt-BR"/>
        </w:rPr>
        <w:t xml:space="preserve">estágio </w:t>
      </w:r>
      <w:r w:rsidR="00385453" w:rsidRPr="009769F3">
        <w:rPr>
          <w:lang w:val="pt-BR"/>
        </w:rPr>
        <w:t>de decomposição</w:t>
      </w:r>
      <w:r w:rsidR="00E465B2" w:rsidRPr="009769F3">
        <w:rPr>
          <w:lang w:val="pt-BR"/>
        </w:rPr>
        <w:t>.</w:t>
      </w:r>
      <w:r w:rsidR="00B954A7" w:rsidRPr="009769F3">
        <w:rPr>
          <w:lang w:val="pt-BR"/>
        </w:rPr>
        <w:t xml:space="preserve"> </w:t>
      </w:r>
      <w:r w:rsidR="00C66F77" w:rsidRPr="009769F3">
        <w:rPr>
          <w:lang w:val="pt-BR"/>
        </w:rPr>
        <w:t xml:space="preserve">O </w:t>
      </w:r>
      <w:r w:rsidR="0015434B" w:rsidRPr="009769F3">
        <w:rPr>
          <w:lang w:val="pt-BR"/>
        </w:rPr>
        <w:t xml:space="preserve">primeiro pico (200 °C), na pirólise não-catalítica, pode ser </w:t>
      </w:r>
      <w:r w:rsidR="00CD5940" w:rsidRPr="009769F3">
        <w:rPr>
          <w:lang w:val="pt-BR"/>
        </w:rPr>
        <w:t xml:space="preserve"> </w:t>
      </w:r>
      <w:r w:rsidR="0015434B" w:rsidRPr="009769F3">
        <w:rPr>
          <w:lang w:val="pt-BR"/>
        </w:rPr>
        <w:t xml:space="preserve">atribuído </w:t>
      </w:r>
      <w:r w:rsidR="00CD5940" w:rsidRPr="009769F3">
        <w:rPr>
          <w:lang w:val="pt-BR"/>
        </w:rPr>
        <w:t xml:space="preserve"> à decomposição</w:t>
      </w:r>
      <w:r w:rsidR="00CC1B47" w:rsidRPr="009769F3">
        <w:rPr>
          <w:lang w:val="pt-BR"/>
        </w:rPr>
        <w:t xml:space="preserve"> </w:t>
      </w:r>
      <w:r w:rsidR="00741E66" w:rsidRPr="009769F3">
        <w:rPr>
          <w:lang w:val="pt-BR"/>
        </w:rPr>
        <w:t>e/ou volatilização de açúcares livres presentes na biomassa (</w:t>
      </w:r>
      <w:r w:rsidR="003D4D7B" w:rsidRPr="009769F3">
        <w:rPr>
          <w:lang w:val="pt-BR"/>
        </w:rPr>
        <w:t>11-13</w:t>
      </w:r>
      <w:r w:rsidR="00741E66" w:rsidRPr="009769F3">
        <w:rPr>
          <w:lang w:val="pt-BR"/>
        </w:rPr>
        <w:t>). O segundo (277 °C) e terceiro picos (344 °C) correspondem à degradação da hemicelulose e celulose, respectivamente (</w:t>
      </w:r>
      <w:r w:rsidR="003D4D7B" w:rsidRPr="009769F3">
        <w:rPr>
          <w:lang w:val="pt-BR"/>
        </w:rPr>
        <w:t>12</w:t>
      </w:r>
      <w:r w:rsidR="00741E66" w:rsidRPr="009769F3">
        <w:rPr>
          <w:lang w:val="pt-BR"/>
        </w:rPr>
        <w:t>).</w:t>
      </w:r>
      <w:r w:rsidR="001E1A20" w:rsidRPr="009769F3">
        <w:rPr>
          <w:lang w:val="pt-BR"/>
        </w:rPr>
        <w:t xml:space="preserve"> Durante a </w:t>
      </w:r>
      <w:r w:rsidR="00C531D4" w:rsidRPr="009769F3">
        <w:rPr>
          <w:lang w:val="pt-BR"/>
        </w:rPr>
        <w:t xml:space="preserve">faixa de degradação </w:t>
      </w:r>
      <w:r w:rsidR="00AB3D7C" w:rsidRPr="009769F3">
        <w:rPr>
          <w:lang w:val="pt-BR"/>
        </w:rPr>
        <w:t xml:space="preserve">da hemicelulose ocorre </w:t>
      </w:r>
      <w:r w:rsidR="00AD1775" w:rsidRPr="009769F3">
        <w:rPr>
          <w:lang w:val="pt-BR"/>
        </w:rPr>
        <w:t>a clivagem de cadeias laterais</w:t>
      </w:r>
      <w:r w:rsidR="00D6305C" w:rsidRPr="009769F3">
        <w:rPr>
          <w:lang w:val="pt-BR"/>
        </w:rPr>
        <w:t>, seguida de reações de decomposição</w:t>
      </w:r>
      <w:r w:rsidR="00054A53" w:rsidRPr="009769F3">
        <w:rPr>
          <w:lang w:val="pt-BR"/>
        </w:rPr>
        <w:t>,</w:t>
      </w:r>
      <w:r w:rsidR="00054A53" w:rsidRPr="00C531D4">
        <w:rPr>
          <w:lang w:val="pt-BR"/>
        </w:rPr>
        <w:t xml:space="preserve"> </w:t>
      </w:r>
      <w:r w:rsidR="00054A53" w:rsidRPr="009769F3">
        <w:rPr>
          <w:lang w:val="pt-BR"/>
        </w:rPr>
        <w:t xml:space="preserve">descarboxilação e </w:t>
      </w:r>
      <w:r w:rsidR="00717539" w:rsidRPr="009769F3">
        <w:rPr>
          <w:lang w:val="pt-BR"/>
        </w:rPr>
        <w:t>descarboni</w:t>
      </w:r>
      <w:r w:rsidR="005B71CB" w:rsidRPr="009769F3">
        <w:rPr>
          <w:lang w:val="pt-BR"/>
        </w:rPr>
        <w:t>lação</w:t>
      </w:r>
      <w:r w:rsidR="00CF5FF1" w:rsidRPr="009769F3">
        <w:rPr>
          <w:lang w:val="pt-BR"/>
        </w:rPr>
        <w:t>.</w:t>
      </w:r>
      <w:r w:rsidR="00D341CF" w:rsidRPr="009769F3">
        <w:rPr>
          <w:lang w:val="pt-BR"/>
        </w:rPr>
        <w:t xml:space="preserve"> </w:t>
      </w:r>
      <w:r w:rsidR="00A43535" w:rsidRPr="009769F3">
        <w:rPr>
          <w:lang w:val="pt-BR"/>
        </w:rPr>
        <w:t>Enquanto que</w:t>
      </w:r>
      <w:r w:rsidR="000675CD" w:rsidRPr="009769F3">
        <w:rPr>
          <w:lang w:val="pt-BR"/>
        </w:rPr>
        <w:t xml:space="preserve">, na </w:t>
      </w:r>
      <w:r w:rsidR="00D341CF" w:rsidRPr="009769F3">
        <w:rPr>
          <w:lang w:val="pt-BR"/>
        </w:rPr>
        <w:t xml:space="preserve">etapa de </w:t>
      </w:r>
      <w:r w:rsidR="000675CD" w:rsidRPr="009769F3">
        <w:rPr>
          <w:lang w:val="pt-BR"/>
        </w:rPr>
        <w:t>decomposição da celulose</w:t>
      </w:r>
      <w:r w:rsidR="00D341CF" w:rsidRPr="009769F3">
        <w:rPr>
          <w:lang w:val="pt-BR"/>
        </w:rPr>
        <w:t xml:space="preserve">, após a </w:t>
      </w:r>
      <w:r w:rsidR="00F62BA2" w:rsidRPr="009769F3">
        <w:rPr>
          <w:lang w:val="pt-BR"/>
        </w:rPr>
        <w:t>eliminação da água,</w:t>
      </w:r>
      <w:r w:rsidR="000675CD" w:rsidRPr="009769F3">
        <w:rPr>
          <w:lang w:val="pt-BR"/>
        </w:rPr>
        <w:t xml:space="preserve"> ocorre</w:t>
      </w:r>
      <w:r w:rsidR="00D341CF" w:rsidRPr="009769F3">
        <w:rPr>
          <w:lang w:val="pt-BR"/>
        </w:rPr>
        <w:t xml:space="preserve"> </w:t>
      </w:r>
      <w:r w:rsidR="000675CD" w:rsidRPr="009769F3">
        <w:rPr>
          <w:lang w:val="pt-BR"/>
        </w:rPr>
        <w:t xml:space="preserve">a </w:t>
      </w:r>
      <w:r w:rsidR="008836F0" w:rsidRPr="009769F3">
        <w:rPr>
          <w:lang w:val="pt-BR"/>
        </w:rPr>
        <w:t>despolimerização da celulose</w:t>
      </w:r>
      <w:r w:rsidR="00722AA4" w:rsidRPr="009769F3">
        <w:rPr>
          <w:lang w:val="pt-BR"/>
        </w:rPr>
        <w:t>.</w:t>
      </w:r>
      <w:r w:rsidR="00F62BA2" w:rsidRPr="009769F3">
        <w:rPr>
          <w:lang w:val="pt-BR"/>
        </w:rPr>
        <w:t xml:space="preserve"> Na sequ</w:t>
      </w:r>
      <w:r w:rsidR="005156B1" w:rsidRPr="009769F3">
        <w:rPr>
          <w:lang w:val="pt-BR"/>
        </w:rPr>
        <w:t>ê</w:t>
      </w:r>
      <w:r w:rsidR="00F62BA2" w:rsidRPr="009769F3">
        <w:rPr>
          <w:lang w:val="pt-BR"/>
        </w:rPr>
        <w:t>ncia, a</w:t>
      </w:r>
      <w:r w:rsidR="0034192B" w:rsidRPr="009769F3">
        <w:rPr>
          <w:lang w:val="pt-BR"/>
        </w:rPr>
        <w:t xml:space="preserve"> c</w:t>
      </w:r>
      <w:r w:rsidR="002D6CAC" w:rsidRPr="009769F3">
        <w:rPr>
          <w:lang w:val="pt-BR"/>
        </w:rPr>
        <w:t xml:space="preserve">elulose ativa </w:t>
      </w:r>
      <w:r w:rsidR="00722AA4" w:rsidRPr="009769F3">
        <w:rPr>
          <w:lang w:val="pt-BR"/>
        </w:rPr>
        <w:t>é formada</w:t>
      </w:r>
      <w:r w:rsidR="00494B55" w:rsidRPr="009769F3">
        <w:rPr>
          <w:lang w:val="pt-BR"/>
        </w:rPr>
        <w:t>, através de reações de d</w:t>
      </w:r>
      <w:r w:rsidR="001B1458" w:rsidRPr="009769F3">
        <w:rPr>
          <w:lang w:val="pt-BR"/>
        </w:rPr>
        <w:t>e</w:t>
      </w:r>
      <w:r w:rsidR="0069474B" w:rsidRPr="009769F3">
        <w:rPr>
          <w:lang w:val="pt-BR"/>
        </w:rPr>
        <w:t>s</w:t>
      </w:r>
      <w:r w:rsidR="00B874EE" w:rsidRPr="009769F3">
        <w:rPr>
          <w:lang w:val="pt-BR"/>
        </w:rPr>
        <w:t>i</w:t>
      </w:r>
      <w:r w:rsidR="001B1458" w:rsidRPr="009769F3">
        <w:rPr>
          <w:lang w:val="pt-BR"/>
        </w:rPr>
        <w:t>drogenação e de</w:t>
      </w:r>
      <w:r w:rsidR="00B874EE" w:rsidRPr="009769F3">
        <w:rPr>
          <w:lang w:val="pt-BR"/>
        </w:rPr>
        <w:t>s</w:t>
      </w:r>
      <w:r w:rsidR="001B1458" w:rsidRPr="009769F3">
        <w:rPr>
          <w:lang w:val="pt-BR"/>
        </w:rPr>
        <w:t>c</w:t>
      </w:r>
      <w:r w:rsidR="00B874EE" w:rsidRPr="009769F3">
        <w:rPr>
          <w:lang w:val="pt-BR"/>
        </w:rPr>
        <w:t>a</w:t>
      </w:r>
      <w:r w:rsidR="001B1458" w:rsidRPr="009769F3">
        <w:rPr>
          <w:lang w:val="pt-BR"/>
        </w:rPr>
        <w:t>r</w:t>
      </w:r>
      <w:r w:rsidR="008F501E" w:rsidRPr="009769F3">
        <w:rPr>
          <w:lang w:val="pt-BR"/>
        </w:rPr>
        <w:t>b</w:t>
      </w:r>
      <w:r w:rsidR="001B1458" w:rsidRPr="009769F3">
        <w:rPr>
          <w:lang w:val="pt-BR"/>
        </w:rPr>
        <w:t>onização</w:t>
      </w:r>
      <w:r w:rsidR="00494B55" w:rsidRPr="009769F3">
        <w:rPr>
          <w:lang w:val="pt-BR"/>
        </w:rPr>
        <w:t>, e</w:t>
      </w:r>
      <w:r w:rsidR="00AB486A" w:rsidRPr="009769F3">
        <w:rPr>
          <w:lang w:val="pt-BR"/>
        </w:rPr>
        <w:t xml:space="preserve"> em temperaturas mais altas é</w:t>
      </w:r>
      <w:r w:rsidR="00B874EE" w:rsidRPr="009769F3">
        <w:rPr>
          <w:lang w:val="pt-BR"/>
        </w:rPr>
        <w:t xml:space="preserve"> decomposta para formar levoglucosan</w:t>
      </w:r>
      <w:r w:rsidR="0069474B" w:rsidRPr="009769F3">
        <w:rPr>
          <w:lang w:val="pt-BR"/>
        </w:rPr>
        <w:t>a</w:t>
      </w:r>
      <w:r w:rsidR="00B874EE" w:rsidRPr="009769F3">
        <w:rPr>
          <w:lang w:val="pt-BR"/>
        </w:rPr>
        <w:t xml:space="preserve"> e outros oligossacarídeos por meio da transglicosidação</w:t>
      </w:r>
      <w:r w:rsidR="007F2B59" w:rsidRPr="009769F3">
        <w:rPr>
          <w:lang w:val="pt-BR"/>
        </w:rPr>
        <w:t xml:space="preserve"> (1</w:t>
      </w:r>
      <w:r w:rsidR="000A004F" w:rsidRPr="009769F3">
        <w:rPr>
          <w:lang w:val="pt-BR"/>
        </w:rPr>
        <w:t>4</w:t>
      </w:r>
      <w:r w:rsidR="007F2B59" w:rsidRPr="009769F3">
        <w:rPr>
          <w:lang w:val="pt-BR"/>
        </w:rPr>
        <w:t>)</w:t>
      </w:r>
      <w:r w:rsidR="00B874EE" w:rsidRPr="009769F3">
        <w:rPr>
          <w:lang w:val="pt-BR"/>
        </w:rPr>
        <w:t>.</w:t>
      </w:r>
      <w:r w:rsidR="00AB486A" w:rsidRPr="009769F3">
        <w:rPr>
          <w:lang w:val="pt-BR"/>
        </w:rPr>
        <w:t xml:space="preserve"> </w:t>
      </w:r>
      <w:r w:rsidR="00741E66" w:rsidRPr="009769F3">
        <w:rPr>
          <w:lang w:val="pt-BR"/>
        </w:rPr>
        <w:t>O pico acima de 400 °C é atribuído</w:t>
      </w:r>
      <w:r w:rsidR="00F813CE" w:rsidRPr="009769F3">
        <w:rPr>
          <w:lang w:val="pt-BR"/>
        </w:rPr>
        <w:t>, principalmente,</w:t>
      </w:r>
      <w:r w:rsidR="00741E66" w:rsidRPr="009769F3">
        <w:rPr>
          <w:lang w:val="pt-BR"/>
        </w:rPr>
        <w:t xml:space="preserve"> à decomposição da lignina</w:t>
      </w:r>
      <w:r w:rsidR="005156B1" w:rsidRPr="009769F3">
        <w:rPr>
          <w:lang w:val="pt-BR"/>
        </w:rPr>
        <w:t xml:space="preserve">, onde </w:t>
      </w:r>
      <w:r w:rsidR="00CB3441" w:rsidRPr="009769F3">
        <w:rPr>
          <w:lang w:val="pt-BR"/>
        </w:rPr>
        <w:t xml:space="preserve">ocorre a formação de carvão, </w:t>
      </w:r>
      <w:r w:rsidR="00C92D9D" w:rsidRPr="009769F3">
        <w:rPr>
          <w:lang w:val="pt-BR"/>
        </w:rPr>
        <w:t>voláteis de baixa massa molecular, além de produtos monoméricos e oligoméricos</w:t>
      </w:r>
      <w:r w:rsidR="007F2B59" w:rsidRPr="009769F3">
        <w:rPr>
          <w:lang w:val="pt-BR"/>
        </w:rPr>
        <w:t xml:space="preserve"> (1</w:t>
      </w:r>
      <w:r w:rsidR="000A004F" w:rsidRPr="009769F3">
        <w:rPr>
          <w:lang w:val="pt-BR"/>
        </w:rPr>
        <w:t>4</w:t>
      </w:r>
      <w:r w:rsidR="007F2B59" w:rsidRPr="009769F3">
        <w:rPr>
          <w:lang w:val="pt-BR"/>
        </w:rPr>
        <w:t>)</w:t>
      </w:r>
      <w:r w:rsidR="00C92D9D" w:rsidRPr="009769F3">
        <w:rPr>
          <w:lang w:val="pt-BR"/>
        </w:rPr>
        <w:t xml:space="preserve">. </w:t>
      </w:r>
      <w:r w:rsidR="00741E66" w:rsidRPr="009769F3">
        <w:rPr>
          <w:lang w:val="pt-BR"/>
        </w:rPr>
        <w:t>Em temperaturas abaixo de 125 °C, ocorre a evaporação da água.</w:t>
      </w:r>
      <w:r w:rsidR="00F41FCD" w:rsidRPr="009769F3">
        <w:rPr>
          <w:lang w:val="pt-BR"/>
        </w:rPr>
        <w:t xml:space="preserve"> </w:t>
      </w:r>
      <w:r w:rsidR="00650E8C" w:rsidRPr="009769F3">
        <w:rPr>
          <w:lang w:val="pt-BR"/>
        </w:rPr>
        <w:t>As faixas de temperaturas dos estágios de decomposição foram deslocadas para temperaturas mais</w:t>
      </w:r>
      <w:r w:rsidR="00650E8C" w:rsidRPr="009769F3">
        <w:rPr>
          <w:rFonts w:ascii="Times New Roman" w:hAnsi="Times New Roman"/>
          <w:lang w:val="pt-BR"/>
        </w:rPr>
        <w:t xml:space="preserve"> </w:t>
      </w:r>
      <w:r w:rsidR="00650E8C" w:rsidRPr="009769F3">
        <w:rPr>
          <w:lang w:val="pt-BR"/>
        </w:rPr>
        <w:t>altas na pirólise catalítica e o uso de catalisadores aumentou ligeiramente a taxa de decomposição da biomassa (Tabela 3).</w:t>
      </w:r>
      <w:r w:rsidR="00650E8C" w:rsidRPr="000D69D4">
        <w:rPr>
          <w:rFonts w:ascii="Times New Roman" w:hAnsi="Times New Roman"/>
          <w:color w:val="000000" w:themeColor="text1"/>
          <w:lang w:val="pt-BR"/>
        </w:rPr>
        <w:t xml:space="preserve"> </w:t>
      </w:r>
    </w:p>
    <w:p w14:paraId="1ACAD13F" w14:textId="000D3EB8" w:rsidR="00741E66" w:rsidRDefault="00741E66" w:rsidP="00043DF6">
      <w:pPr>
        <w:pStyle w:val="TAMainText"/>
        <w:ind w:firstLine="204"/>
        <w:rPr>
          <w:lang w:val="pt-BR"/>
        </w:rPr>
      </w:pPr>
    </w:p>
    <w:p w14:paraId="468B3D74" w14:textId="5B00B484" w:rsidR="00422C24" w:rsidRPr="00C66F77" w:rsidRDefault="00422C24" w:rsidP="00422C24">
      <w:pPr>
        <w:spacing w:after="0"/>
        <w:jc w:val="center"/>
        <w:rPr>
          <w:rFonts w:ascii="Times New Roman" w:hAnsi="Times New Roman" w:cs="Times New Roman"/>
        </w:rPr>
      </w:pPr>
      <w:r w:rsidRPr="00C66F77">
        <w:rPr>
          <w:rFonts w:ascii="Times New Roman" w:hAnsi="Times New Roman" w:cs="Times New Roman"/>
          <w:noProof/>
        </w:rPr>
        <w:drawing>
          <wp:inline distT="0" distB="0" distL="0" distR="0" wp14:anchorId="7AD5000A" wp14:editId="20217C2A">
            <wp:extent cx="2396143" cy="1949713"/>
            <wp:effectExtent l="0" t="0" r="4445" b="0"/>
            <wp:docPr id="265192091" name="Imagem 2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92091" name="Imagem 2" descr="Gráfico, Histograma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9" t="8948" r="9081" b="4013"/>
                    <a:stretch/>
                  </pic:blipFill>
                  <pic:spPr bwMode="auto">
                    <a:xfrm>
                      <a:off x="0" y="0"/>
                      <a:ext cx="2402417" cy="195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9315B0" w14:textId="4600F9E3" w:rsidR="00C909C6" w:rsidRPr="00C66F77" w:rsidRDefault="00C909C6" w:rsidP="00422C24">
      <w:pPr>
        <w:pStyle w:val="VAFigureCaption"/>
        <w:spacing w:before="0"/>
        <w:rPr>
          <w:rFonts w:ascii="Times New Roman" w:hAnsi="Times New Roman"/>
          <w:lang w:val="pt-BR"/>
        </w:rPr>
      </w:pPr>
      <w:r w:rsidRPr="00C66F77">
        <w:rPr>
          <w:rFonts w:ascii="Times New Roman" w:hAnsi="Times New Roman"/>
          <w:b/>
          <w:bCs/>
          <w:lang w:val="pt-BR"/>
        </w:rPr>
        <w:t>Figura 2.</w:t>
      </w:r>
      <w:r w:rsidRPr="00C66F77">
        <w:rPr>
          <w:rFonts w:ascii="Times New Roman" w:hAnsi="Times New Roman"/>
          <w:lang w:val="pt-BR"/>
        </w:rPr>
        <w:t xml:space="preserve"> Perfis de TG para biomassa </w:t>
      </w:r>
      <w:r w:rsidR="00FC7D0C">
        <w:rPr>
          <w:rFonts w:ascii="Times New Roman" w:hAnsi="Times New Roman"/>
          <w:lang w:val="pt-BR"/>
        </w:rPr>
        <w:t xml:space="preserve">(B) </w:t>
      </w:r>
      <w:r w:rsidRPr="00C66F77">
        <w:rPr>
          <w:rFonts w:ascii="Times New Roman" w:hAnsi="Times New Roman"/>
          <w:lang w:val="pt-BR"/>
        </w:rPr>
        <w:t>e sistemas catalíticos</w:t>
      </w:r>
      <w:r w:rsidR="00FC7D0C">
        <w:rPr>
          <w:rFonts w:ascii="Times New Roman" w:hAnsi="Times New Roman"/>
          <w:lang w:val="pt-BR"/>
        </w:rPr>
        <w:t xml:space="preserve"> </w:t>
      </w:r>
      <w:r w:rsidR="00FC7D0C">
        <w:rPr>
          <w:rFonts w:ascii="Times New Roman" w:hAnsi="Times New Roman"/>
          <w:szCs w:val="18"/>
          <w:lang w:val="pt-BR"/>
        </w:rPr>
        <w:t>(BK10 e BK104)</w:t>
      </w:r>
      <w:r w:rsidR="00FA12FE">
        <w:rPr>
          <w:rFonts w:ascii="Times New Roman" w:hAnsi="Times New Roman"/>
          <w:szCs w:val="18"/>
          <w:lang w:val="pt-BR"/>
        </w:rPr>
        <w:t xml:space="preserve"> na </w:t>
      </w:r>
      <w:r w:rsidR="002A4244" w:rsidRPr="002A4244">
        <w:rPr>
          <w:rFonts w:ascii="Times New Roman" w:hAnsi="Times New Roman"/>
          <w:szCs w:val="18"/>
          <w:lang w:val="pt-BR"/>
        </w:rPr>
        <w:t xml:space="preserve">taxa de aquecimento (β) </w:t>
      </w:r>
      <w:r w:rsidR="002A4244" w:rsidRPr="00500903">
        <w:rPr>
          <w:rFonts w:ascii="Times New Roman" w:hAnsi="Times New Roman"/>
          <w:szCs w:val="18"/>
          <w:lang w:val="pt-BR"/>
        </w:rPr>
        <w:t>10 °C min</w:t>
      </w:r>
      <w:r w:rsidR="002A4244" w:rsidRPr="002A4244">
        <w:rPr>
          <w:rFonts w:ascii="Times New Roman" w:hAnsi="Times New Roman"/>
          <w:szCs w:val="18"/>
          <w:vertAlign w:val="superscript"/>
          <w:lang w:val="pt-BR"/>
        </w:rPr>
        <w:t>-1</w:t>
      </w:r>
      <w:r w:rsidRPr="00C66F77">
        <w:rPr>
          <w:rFonts w:ascii="Times New Roman" w:hAnsi="Times New Roman"/>
          <w:lang w:val="pt-BR"/>
        </w:rPr>
        <w:t>.</w:t>
      </w:r>
    </w:p>
    <w:p w14:paraId="4496D480" w14:textId="77777777" w:rsidR="00994C4D" w:rsidRDefault="00994C4D" w:rsidP="00016DDB">
      <w:pPr>
        <w:pStyle w:val="TAMainText"/>
        <w:rPr>
          <w:rFonts w:ascii="Times New Roman" w:hAnsi="Times New Roman"/>
          <w:lang w:val="pt-BR"/>
        </w:rPr>
      </w:pPr>
    </w:p>
    <w:p w14:paraId="35288D0A" w14:textId="09F7C27F" w:rsidR="00994C4D" w:rsidRDefault="00994C4D" w:rsidP="00994C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7D42856" wp14:editId="0AA8E567">
            <wp:extent cx="2486025" cy="2065655"/>
            <wp:effectExtent l="0" t="0" r="9525" b="0"/>
            <wp:docPr id="1656818038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18038" name="Imagem 1" descr="Gráfico, Histograma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9" t="8134" r="9710" b="3661"/>
                    <a:stretch/>
                  </pic:blipFill>
                  <pic:spPr bwMode="auto">
                    <a:xfrm>
                      <a:off x="0" y="0"/>
                      <a:ext cx="248602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97DE9F" w14:textId="2E7F6297" w:rsidR="00577E5B" w:rsidRPr="00500903" w:rsidRDefault="00577E5B" w:rsidP="00994C4D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500903">
        <w:rPr>
          <w:rFonts w:ascii="Times New Roman" w:hAnsi="Times New Roman"/>
          <w:b/>
          <w:bCs/>
          <w:sz w:val="18"/>
          <w:szCs w:val="18"/>
          <w:lang w:val="pt-BR"/>
        </w:rPr>
        <w:t>Figura 3.</w:t>
      </w:r>
      <w:r w:rsidRPr="00500903">
        <w:rPr>
          <w:rFonts w:ascii="Times New Roman" w:hAnsi="Times New Roman"/>
          <w:sz w:val="18"/>
          <w:szCs w:val="18"/>
          <w:lang w:val="pt-BR"/>
        </w:rPr>
        <w:t xml:space="preserve"> Perfis de DTG para biomassa </w:t>
      </w:r>
      <w:r w:rsidR="00FC7D0C" w:rsidRPr="00500903">
        <w:rPr>
          <w:rFonts w:ascii="Times New Roman" w:hAnsi="Times New Roman"/>
          <w:sz w:val="18"/>
          <w:szCs w:val="18"/>
          <w:lang w:val="pt-BR"/>
        </w:rPr>
        <w:t xml:space="preserve">(B) </w:t>
      </w:r>
      <w:r w:rsidRPr="00500903">
        <w:rPr>
          <w:rFonts w:ascii="Times New Roman" w:hAnsi="Times New Roman"/>
          <w:sz w:val="18"/>
          <w:szCs w:val="18"/>
          <w:lang w:val="pt-BR"/>
        </w:rPr>
        <w:t>e sistemas catalíticos</w:t>
      </w:r>
      <w:r w:rsidR="00FC7D0C" w:rsidRPr="00500903">
        <w:rPr>
          <w:rFonts w:ascii="Times New Roman" w:hAnsi="Times New Roman"/>
          <w:sz w:val="18"/>
          <w:szCs w:val="18"/>
          <w:lang w:val="pt-BR"/>
        </w:rPr>
        <w:t xml:space="preserve"> (BK10 e BK104)</w:t>
      </w:r>
      <w:r w:rsidR="00FA12FE" w:rsidRPr="00500903">
        <w:rPr>
          <w:rFonts w:ascii="Times New Roman" w:hAnsi="Times New Roman"/>
          <w:sz w:val="18"/>
          <w:szCs w:val="18"/>
          <w:lang w:val="pt-BR"/>
        </w:rPr>
        <w:t xml:space="preserve"> na </w:t>
      </w:r>
      <w:r w:rsidR="002A4244" w:rsidRPr="002A4244">
        <w:rPr>
          <w:rFonts w:ascii="Times New Roman" w:hAnsi="Times New Roman"/>
          <w:sz w:val="18"/>
          <w:szCs w:val="18"/>
          <w:lang w:val="pt-BR"/>
        </w:rPr>
        <w:t xml:space="preserve">taxa de aquecimento (β) </w:t>
      </w:r>
      <w:r w:rsidR="00FA12FE" w:rsidRPr="00500903">
        <w:rPr>
          <w:rFonts w:ascii="Times New Roman" w:hAnsi="Times New Roman"/>
          <w:sz w:val="18"/>
          <w:szCs w:val="18"/>
          <w:lang w:val="pt-BR"/>
        </w:rPr>
        <w:t>10 °C min</w:t>
      </w:r>
      <w:r w:rsidR="00FA12FE" w:rsidRPr="002A4244">
        <w:rPr>
          <w:rFonts w:ascii="Times New Roman" w:hAnsi="Times New Roman"/>
          <w:sz w:val="18"/>
          <w:szCs w:val="18"/>
          <w:vertAlign w:val="superscript"/>
          <w:lang w:val="pt-BR"/>
        </w:rPr>
        <w:t>-1</w:t>
      </w:r>
      <w:r w:rsidR="00FA12FE" w:rsidRPr="00500903">
        <w:rPr>
          <w:rFonts w:ascii="Times New Roman" w:hAnsi="Times New Roman"/>
          <w:sz w:val="18"/>
          <w:szCs w:val="18"/>
          <w:lang w:val="pt-BR"/>
        </w:rPr>
        <w:t>.</w:t>
      </w:r>
    </w:p>
    <w:p w14:paraId="3F9E57B7" w14:textId="77777777" w:rsidR="00577E5B" w:rsidRPr="002A4244" w:rsidRDefault="00577E5B" w:rsidP="002A4244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</w:p>
    <w:p w14:paraId="113CD204" w14:textId="77777777" w:rsidR="000E2059" w:rsidRDefault="000E2059" w:rsidP="00BB4C73">
      <w:pPr>
        <w:pStyle w:val="VDTableTitle"/>
        <w:spacing w:after="120"/>
        <w:jc w:val="both"/>
        <w:rPr>
          <w:rFonts w:ascii="Times New Roman" w:hAnsi="Times New Roman"/>
          <w:b/>
          <w:lang w:val="pt-BR"/>
        </w:rPr>
      </w:pPr>
    </w:p>
    <w:p w14:paraId="05CA5DA1" w14:textId="77777777" w:rsidR="000E2059" w:rsidRDefault="000E2059" w:rsidP="00BB4C73">
      <w:pPr>
        <w:pStyle w:val="VDTableTitle"/>
        <w:spacing w:after="120"/>
        <w:jc w:val="both"/>
        <w:rPr>
          <w:rFonts w:ascii="Times New Roman" w:hAnsi="Times New Roman"/>
          <w:b/>
          <w:lang w:val="pt-BR"/>
        </w:rPr>
      </w:pPr>
    </w:p>
    <w:p w14:paraId="0F0C2BD9" w14:textId="655194E7" w:rsidR="00BB4C73" w:rsidRPr="00781BFB" w:rsidRDefault="00BB4C73" w:rsidP="00BB4C73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781BFB">
        <w:rPr>
          <w:rFonts w:ascii="Times New Roman" w:hAnsi="Times New Roman"/>
          <w:b/>
          <w:lang w:val="pt-BR"/>
        </w:rPr>
        <w:t xml:space="preserve">Tabela </w:t>
      </w:r>
      <w:r>
        <w:rPr>
          <w:rFonts w:ascii="Times New Roman" w:hAnsi="Times New Roman"/>
          <w:b/>
          <w:lang w:val="pt-BR"/>
        </w:rPr>
        <w:t>3</w:t>
      </w:r>
      <w:r w:rsidRPr="00781BFB">
        <w:rPr>
          <w:rFonts w:ascii="Times New Roman" w:hAnsi="Times New Roman"/>
          <w:b/>
          <w:lang w:val="pt-BR"/>
        </w:rPr>
        <w:t>.</w:t>
      </w:r>
      <w:r w:rsidRPr="00781BFB">
        <w:rPr>
          <w:rFonts w:ascii="Times New Roman" w:hAnsi="Times New Roman"/>
          <w:lang w:val="pt-BR"/>
        </w:rPr>
        <w:t xml:space="preserve"> Faixa de temperatura das amostras durante a pirólise catalítica e não catalítica d</w:t>
      </w:r>
      <w:r w:rsidR="00C63C76">
        <w:rPr>
          <w:rFonts w:ascii="Times New Roman" w:hAnsi="Times New Roman"/>
          <w:lang w:val="pt-BR"/>
        </w:rPr>
        <w:t>o bagaço de uva</w:t>
      </w:r>
      <w:r w:rsidRPr="00781BFB">
        <w:rPr>
          <w:rFonts w:ascii="Times New Roman" w:hAnsi="Times New Roman"/>
          <w:lang w:val="pt-BR"/>
        </w:rPr>
        <w:t xml:space="preserve"> sob taxa de aquecimento de </w:t>
      </w:r>
      <w:r w:rsidR="00CE6503">
        <w:rPr>
          <w:rFonts w:ascii="Times New Roman" w:hAnsi="Times New Roman"/>
          <w:lang w:val="pt-BR"/>
        </w:rPr>
        <w:t>(</w:t>
      </w:r>
      <w:r w:rsidRPr="00781BFB">
        <w:rPr>
          <w:rFonts w:ascii="Times New Roman" w:hAnsi="Times New Roman"/>
          <w:lang w:val="pt-BR"/>
        </w:rPr>
        <w:t>β</w:t>
      </w:r>
      <w:r w:rsidR="00CE6503">
        <w:rPr>
          <w:rFonts w:ascii="Times New Roman" w:hAnsi="Times New Roman"/>
          <w:lang w:val="pt-BR"/>
        </w:rPr>
        <w:t xml:space="preserve">) </w:t>
      </w:r>
      <w:r w:rsidRPr="00781BFB">
        <w:rPr>
          <w:rFonts w:ascii="Times New Roman" w:hAnsi="Times New Roman"/>
          <w:lang w:val="pt-BR"/>
        </w:rPr>
        <w:t>10 °C min</w:t>
      </w:r>
      <w:r w:rsidRPr="00781BFB">
        <w:rPr>
          <w:rFonts w:ascii="Times New Roman" w:hAnsi="Times New Roman"/>
          <w:vertAlign w:val="superscript"/>
          <w:lang w:val="pt-BR"/>
        </w:rPr>
        <w:t>-1</w:t>
      </w:r>
      <w:r w:rsidR="00C63C76">
        <w:rPr>
          <w:rFonts w:ascii="Times New Roman" w:hAnsi="Times New Roman"/>
          <w:lang w:val="pt-BR"/>
        </w:rPr>
        <w:t>.</w:t>
      </w:r>
    </w:p>
    <w:tbl>
      <w:tblPr>
        <w:tblW w:w="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058"/>
        <w:gridCol w:w="1068"/>
        <w:gridCol w:w="1074"/>
      </w:tblGrid>
      <w:tr w:rsidR="00CE6503" w:rsidRPr="00781BFB" w14:paraId="5D2F2179" w14:textId="77777777" w:rsidTr="0015434B">
        <w:tc>
          <w:tcPr>
            <w:tcW w:w="1555" w:type="dxa"/>
            <w:vAlign w:val="center"/>
          </w:tcPr>
          <w:p w14:paraId="0F43D91F" w14:textId="631F3688" w:rsidR="000D69D4" w:rsidRPr="00781BFB" w:rsidRDefault="00CE6503" w:rsidP="000D69D4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Estágio (°C)</w:t>
            </w:r>
          </w:p>
        </w:tc>
        <w:tc>
          <w:tcPr>
            <w:tcW w:w="1058" w:type="dxa"/>
            <w:vAlign w:val="center"/>
          </w:tcPr>
          <w:p w14:paraId="38ED2B31" w14:textId="139807A7" w:rsidR="000D69D4" w:rsidRPr="00781BFB" w:rsidRDefault="000D69D4" w:rsidP="000D69D4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 xml:space="preserve">B </w:t>
            </w:r>
          </w:p>
        </w:tc>
        <w:tc>
          <w:tcPr>
            <w:tcW w:w="1068" w:type="dxa"/>
            <w:vAlign w:val="center"/>
          </w:tcPr>
          <w:p w14:paraId="7D9EC1BA" w14:textId="4A6A50FB" w:rsidR="000D69D4" w:rsidRPr="00781BFB" w:rsidRDefault="000D69D4" w:rsidP="000D69D4">
            <w:pPr>
              <w:pStyle w:val="TCTableBody"/>
              <w:rPr>
                <w:lang w:val="pt-BR"/>
              </w:rPr>
            </w:pPr>
            <w:r w:rsidRPr="00C66F77">
              <w:rPr>
                <w:rFonts w:ascii="Times New Roman" w:hAnsi="Times New Roman"/>
                <w:color w:val="000000" w:themeColor="text1"/>
                <w:lang w:val="pt-BR"/>
              </w:rPr>
              <w:t>BK10</w:t>
            </w:r>
          </w:p>
        </w:tc>
        <w:tc>
          <w:tcPr>
            <w:tcW w:w="1074" w:type="dxa"/>
            <w:vAlign w:val="center"/>
          </w:tcPr>
          <w:p w14:paraId="4E7AEEFC" w14:textId="6BB199AD" w:rsidR="000D69D4" w:rsidRPr="00781BFB" w:rsidRDefault="000D69D4" w:rsidP="000D69D4">
            <w:pPr>
              <w:pStyle w:val="TCTableBody"/>
              <w:rPr>
                <w:lang w:val="pt-BR"/>
              </w:rPr>
            </w:pPr>
            <w:r w:rsidRPr="00C66F77">
              <w:rPr>
                <w:rFonts w:ascii="Times New Roman" w:hAnsi="Times New Roman"/>
                <w:color w:val="000000" w:themeColor="text1"/>
                <w:lang w:val="pt-BR"/>
              </w:rPr>
              <w:t>BK141</w:t>
            </w:r>
          </w:p>
        </w:tc>
      </w:tr>
      <w:tr w:rsidR="000D69D4" w:rsidRPr="00781BFB" w14:paraId="29FF1305" w14:textId="77777777" w:rsidTr="0015434B">
        <w:tc>
          <w:tcPr>
            <w:tcW w:w="1555" w:type="dxa"/>
            <w:vAlign w:val="center"/>
          </w:tcPr>
          <w:p w14:paraId="5AEDB46C" w14:textId="4EC3F981" w:rsidR="000D69D4" w:rsidRPr="00781BFB" w:rsidRDefault="00410C49" w:rsidP="00D2238F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1058" w:type="dxa"/>
            <w:vAlign w:val="center"/>
          </w:tcPr>
          <w:p w14:paraId="6C2F6C52" w14:textId="334DC40E" w:rsidR="000D69D4" w:rsidRPr="00781BFB" w:rsidRDefault="000D69D4" w:rsidP="00082A2A">
            <w:pPr>
              <w:pStyle w:val="TCTableBody"/>
              <w:rPr>
                <w:lang w:val="pt-BR"/>
              </w:rPr>
            </w:pPr>
            <w:r w:rsidRPr="00781BFB">
              <w:rPr>
                <w:lang w:val="pt-BR"/>
              </w:rPr>
              <w:t>25 – 11</w:t>
            </w:r>
            <w:r>
              <w:rPr>
                <w:lang w:val="pt-BR"/>
              </w:rPr>
              <w:t>7</w:t>
            </w:r>
          </w:p>
        </w:tc>
        <w:tc>
          <w:tcPr>
            <w:tcW w:w="1068" w:type="dxa"/>
            <w:vAlign w:val="center"/>
          </w:tcPr>
          <w:p w14:paraId="725B84DD" w14:textId="49670BF3" w:rsidR="000D69D4" w:rsidRPr="00781BFB" w:rsidRDefault="000D69D4" w:rsidP="00082A2A">
            <w:pPr>
              <w:pStyle w:val="TCTableBody"/>
              <w:rPr>
                <w:lang w:val="pt-BR"/>
              </w:rPr>
            </w:pPr>
            <w:r w:rsidRPr="00781BFB">
              <w:rPr>
                <w:lang w:val="pt-BR"/>
              </w:rPr>
              <w:t>25 – 11</w:t>
            </w:r>
            <w:r>
              <w:rPr>
                <w:lang w:val="pt-BR"/>
              </w:rPr>
              <w:t>7</w:t>
            </w:r>
          </w:p>
        </w:tc>
        <w:tc>
          <w:tcPr>
            <w:tcW w:w="1074" w:type="dxa"/>
            <w:vAlign w:val="center"/>
          </w:tcPr>
          <w:p w14:paraId="3C0514E3" w14:textId="11425254" w:rsidR="000D69D4" w:rsidRPr="00781BFB" w:rsidRDefault="000D69D4" w:rsidP="00082A2A">
            <w:pPr>
              <w:pStyle w:val="TCTableBody"/>
              <w:rPr>
                <w:lang w:val="pt-BR"/>
              </w:rPr>
            </w:pPr>
            <w:r w:rsidRPr="00781BFB">
              <w:rPr>
                <w:lang w:val="pt-BR"/>
              </w:rPr>
              <w:t>25 – 1</w:t>
            </w:r>
            <w:r>
              <w:rPr>
                <w:lang w:val="pt-BR"/>
              </w:rPr>
              <w:t>24</w:t>
            </w:r>
          </w:p>
        </w:tc>
      </w:tr>
      <w:tr w:rsidR="00CE6503" w:rsidRPr="00781BFB" w14:paraId="1DD727F6" w14:textId="77777777" w:rsidTr="0015434B">
        <w:tc>
          <w:tcPr>
            <w:tcW w:w="1555" w:type="dxa"/>
            <w:vAlign w:val="center"/>
          </w:tcPr>
          <w:p w14:paraId="7423F652" w14:textId="0BDB70FF" w:rsidR="000D69D4" w:rsidRPr="00781BFB" w:rsidRDefault="00410C49" w:rsidP="00D2238F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1058" w:type="dxa"/>
            <w:vAlign w:val="center"/>
          </w:tcPr>
          <w:p w14:paraId="22ADA00D" w14:textId="56FDA80D" w:rsidR="000D69D4" w:rsidRPr="00781BFB" w:rsidRDefault="000D69D4" w:rsidP="00082A2A">
            <w:pPr>
              <w:pStyle w:val="TCTableBody"/>
              <w:rPr>
                <w:lang w:val="pt-BR"/>
              </w:rPr>
            </w:pPr>
            <w:r w:rsidRPr="00781BFB">
              <w:rPr>
                <w:lang w:val="pt-BR"/>
              </w:rPr>
              <w:t>11</w:t>
            </w:r>
            <w:r>
              <w:rPr>
                <w:lang w:val="pt-BR"/>
              </w:rPr>
              <w:t xml:space="preserve">7 </w:t>
            </w:r>
            <w:r w:rsidRPr="00781BFB">
              <w:rPr>
                <w:lang w:val="pt-BR"/>
              </w:rPr>
              <w:t xml:space="preserve">– </w:t>
            </w:r>
            <w:r>
              <w:rPr>
                <w:lang w:val="pt-BR"/>
              </w:rPr>
              <w:t>255</w:t>
            </w:r>
          </w:p>
        </w:tc>
        <w:tc>
          <w:tcPr>
            <w:tcW w:w="1068" w:type="dxa"/>
            <w:vAlign w:val="center"/>
          </w:tcPr>
          <w:p w14:paraId="79E1DABA" w14:textId="3475A0DD" w:rsidR="000D69D4" w:rsidRPr="00781BFB" w:rsidRDefault="000D69D4" w:rsidP="00082A2A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 xml:space="preserve">119 </w:t>
            </w:r>
            <w:r w:rsidRPr="00781BFB">
              <w:rPr>
                <w:lang w:val="pt-BR"/>
              </w:rPr>
              <w:t>–</w:t>
            </w:r>
            <w:r>
              <w:rPr>
                <w:lang w:val="pt-BR"/>
              </w:rPr>
              <w:t xml:space="preserve"> 263</w:t>
            </w:r>
          </w:p>
        </w:tc>
        <w:tc>
          <w:tcPr>
            <w:tcW w:w="1074" w:type="dxa"/>
            <w:vAlign w:val="center"/>
          </w:tcPr>
          <w:p w14:paraId="689100C3" w14:textId="7270DC96" w:rsidR="000D69D4" w:rsidRPr="00781BFB" w:rsidRDefault="000D69D4" w:rsidP="00082A2A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124</w:t>
            </w:r>
            <w:r w:rsidRPr="00781BFB">
              <w:rPr>
                <w:lang w:val="pt-BR"/>
              </w:rPr>
              <w:t xml:space="preserve"> – </w:t>
            </w:r>
            <w:r>
              <w:rPr>
                <w:lang w:val="pt-BR"/>
              </w:rPr>
              <w:t>265</w:t>
            </w:r>
          </w:p>
        </w:tc>
      </w:tr>
      <w:tr w:rsidR="00CE6503" w:rsidRPr="00781BFB" w14:paraId="20E64186" w14:textId="77777777" w:rsidTr="0015434B">
        <w:trPr>
          <w:trHeight w:val="454"/>
        </w:trPr>
        <w:tc>
          <w:tcPr>
            <w:tcW w:w="1555" w:type="dxa"/>
            <w:tcBorders>
              <w:bottom w:val="single" w:sz="6" w:space="0" w:color="auto"/>
            </w:tcBorders>
            <w:vAlign w:val="center"/>
          </w:tcPr>
          <w:p w14:paraId="6224CA27" w14:textId="6B2D68E1" w:rsidR="000D69D4" w:rsidRPr="00781BFB" w:rsidRDefault="00410C49" w:rsidP="00D2238F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1058" w:type="dxa"/>
            <w:tcBorders>
              <w:bottom w:val="single" w:sz="6" w:space="0" w:color="auto"/>
            </w:tcBorders>
            <w:vAlign w:val="center"/>
          </w:tcPr>
          <w:p w14:paraId="386C2671" w14:textId="1109E7BF" w:rsidR="000D69D4" w:rsidRPr="00781BFB" w:rsidRDefault="000D69D4" w:rsidP="00082A2A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255</w:t>
            </w:r>
            <w:r w:rsidRPr="00781BFB">
              <w:rPr>
                <w:lang w:val="pt-BR"/>
              </w:rPr>
              <w:t xml:space="preserve"> – </w:t>
            </w:r>
            <w:r>
              <w:rPr>
                <w:lang w:val="pt-BR"/>
              </w:rPr>
              <w:t>400</w:t>
            </w:r>
          </w:p>
        </w:tc>
        <w:tc>
          <w:tcPr>
            <w:tcW w:w="1068" w:type="dxa"/>
            <w:tcBorders>
              <w:bottom w:val="single" w:sz="6" w:space="0" w:color="auto"/>
            </w:tcBorders>
            <w:vAlign w:val="center"/>
          </w:tcPr>
          <w:p w14:paraId="280B8296" w14:textId="5B9A1247" w:rsidR="000D69D4" w:rsidRPr="00781BFB" w:rsidRDefault="000D69D4" w:rsidP="00082A2A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263</w:t>
            </w:r>
            <w:r w:rsidRPr="00781BFB">
              <w:rPr>
                <w:lang w:val="pt-BR"/>
              </w:rPr>
              <w:t xml:space="preserve"> – </w:t>
            </w:r>
            <w:r>
              <w:rPr>
                <w:lang w:val="pt-BR"/>
              </w:rPr>
              <w:t>425</w:t>
            </w:r>
          </w:p>
        </w:tc>
        <w:tc>
          <w:tcPr>
            <w:tcW w:w="1074" w:type="dxa"/>
            <w:tcBorders>
              <w:bottom w:val="single" w:sz="6" w:space="0" w:color="auto"/>
            </w:tcBorders>
            <w:vAlign w:val="center"/>
          </w:tcPr>
          <w:p w14:paraId="5C9D7D8C" w14:textId="39C26AEA" w:rsidR="000D69D4" w:rsidRPr="00781BFB" w:rsidRDefault="000D69D4" w:rsidP="00082A2A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265</w:t>
            </w:r>
            <w:r w:rsidRPr="00781BFB">
              <w:rPr>
                <w:lang w:val="pt-BR"/>
              </w:rPr>
              <w:t xml:space="preserve"> – </w:t>
            </w:r>
            <w:r>
              <w:rPr>
                <w:lang w:val="pt-BR"/>
              </w:rPr>
              <w:t>422</w:t>
            </w:r>
          </w:p>
        </w:tc>
      </w:tr>
      <w:tr w:rsidR="00CE6503" w:rsidRPr="00781BFB" w14:paraId="2C5AC249" w14:textId="77777777" w:rsidTr="0015434B">
        <w:trPr>
          <w:trHeight w:val="454"/>
        </w:trPr>
        <w:tc>
          <w:tcPr>
            <w:tcW w:w="1555" w:type="dxa"/>
            <w:tcBorders>
              <w:bottom w:val="single" w:sz="6" w:space="0" w:color="auto"/>
            </w:tcBorders>
            <w:vAlign w:val="center"/>
          </w:tcPr>
          <w:p w14:paraId="33251279" w14:textId="2BF9325F" w:rsidR="000D69D4" w:rsidRPr="00781BFB" w:rsidRDefault="00410C49" w:rsidP="00D2238F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1058" w:type="dxa"/>
            <w:tcBorders>
              <w:bottom w:val="single" w:sz="6" w:space="0" w:color="auto"/>
            </w:tcBorders>
            <w:vAlign w:val="center"/>
          </w:tcPr>
          <w:p w14:paraId="30427D8E" w14:textId="42DF7BA7" w:rsidR="000D69D4" w:rsidRPr="00781BFB" w:rsidRDefault="000D69D4" w:rsidP="00082A2A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 xml:space="preserve">400 </w:t>
            </w:r>
            <w:r w:rsidRPr="00781BFB">
              <w:rPr>
                <w:lang w:val="pt-BR"/>
              </w:rPr>
              <w:t>–</w:t>
            </w:r>
            <w:r>
              <w:rPr>
                <w:lang w:val="pt-BR"/>
              </w:rPr>
              <w:t xml:space="preserve"> &gt;800</w:t>
            </w:r>
          </w:p>
        </w:tc>
        <w:tc>
          <w:tcPr>
            <w:tcW w:w="1068" w:type="dxa"/>
            <w:tcBorders>
              <w:bottom w:val="single" w:sz="6" w:space="0" w:color="auto"/>
            </w:tcBorders>
            <w:vAlign w:val="center"/>
          </w:tcPr>
          <w:p w14:paraId="01D78303" w14:textId="0B0F3495" w:rsidR="000D69D4" w:rsidRPr="00781BFB" w:rsidRDefault="000D69D4" w:rsidP="00082A2A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 xml:space="preserve">425 </w:t>
            </w:r>
            <w:r w:rsidRPr="00781BFB">
              <w:rPr>
                <w:lang w:val="pt-BR"/>
              </w:rPr>
              <w:t>–</w:t>
            </w:r>
            <w:r>
              <w:rPr>
                <w:lang w:val="pt-BR"/>
              </w:rPr>
              <w:t xml:space="preserve"> &gt;800</w:t>
            </w:r>
          </w:p>
        </w:tc>
        <w:tc>
          <w:tcPr>
            <w:tcW w:w="1074" w:type="dxa"/>
            <w:tcBorders>
              <w:bottom w:val="single" w:sz="6" w:space="0" w:color="auto"/>
            </w:tcBorders>
            <w:vAlign w:val="center"/>
          </w:tcPr>
          <w:p w14:paraId="43C9B613" w14:textId="1C12ED7D" w:rsidR="000D69D4" w:rsidRPr="00781BFB" w:rsidRDefault="000D69D4" w:rsidP="00082A2A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 xml:space="preserve">422 </w:t>
            </w:r>
            <w:r w:rsidRPr="00781BFB">
              <w:rPr>
                <w:lang w:val="pt-BR"/>
              </w:rPr>
              <w:t>–</w:t>
            </w:r>
            <w:r>
              <w:rPr>
                <w:lang w:val="pt-BR"/>
              </w:rPr>
              <w:t xml:space="preserve"> &gt;800</w:t>
            </w:r>
          </w:p>
        </w:tc>
      </w:tr>
      <w:tr w:rsidR="000D69D4" w:rsidRPr="00781BFB" w14:paraId="69439814" w14:textId="77777777" w:rsidTr="0015434B">
        <w:trPr>
          <w:trHeight w:val="454"/>
        </w:trPr>
        <w:tc>
          <w:tcPr>
            <w:tcW w:w="1555" w:type="dxa"/>
            <w:tcBorders>
              <w:bottom w:val="single" w:sz="6" w:space="0" w:color="auto"/>
            </w:tcBorders>
            <w:vAlign w:val="center"/>
          </w:tcPr>
          <w:p w14:paraId="617B13CF" w14:textId="30F1A4AA" w:rsidR="000D69D4" w:rsidRPr="000D69D4" w:rsidRDefault="000D69D4" w:rsidP="000D69D4">
            <w:pPr>
              <w:pStyle w:val="TCTableBody"/>
              <w:rPr>
                <w:color w:val="000000" w:themeColor="text1"/>
                <w:lang w:val="pt-BR"/>
              </w:rPr>
            </w:pPr>
            <w:r w:rsidRPr="000D69D4">
              <w:rPr>
                <w:color w:val="000000" w:themeColor="text1"/>
                <w:lang w:val="pt-BR"/>
              </w:rPr>
              <w:t>Fração de biomassa decomposta (%)</w:t>
            </w:r>
          </w:p>
        </w:tc>
        <w:tc>
          <w:tcPr>
            <w:tcW w:w="1058" w:type="dxa"/>
            <w:tcBorders>
              <w:bottom w:val="single" w:sz="6" w:space="0" w:color="auto"/>
            </w:tcBorders>
            <w:vAlign w:val="center"/>
          </w:tcPr>
          <w:p w14:paraId="49B3E8E1" w14:textId="0D57C7AE" w:rsidR="000D69D4" w:rsidRPr="000D69D4" w:rsidRDefault="000D69D4" w:rsidP="000D69D4">
            <w:pPr>
              <w:pStyle w:val="TCTableBody"/>
              <w:rPr>
                <w:color w:val="000000" w:themeColor="text1"/>
                <w:lang w:val="pt-BR"/>
              </w:rPr>
            </w:pPr>
            <w:r w:rsidRPr="000D69D4">
              <w:rPr>
                <w:color w:val="000000" w:themeColor="text1"/>
                <w:lang w:val="pt-BR"/>
              </w:rPr>
              <w:t>72</w:t>
            </w:r>
          </w:p>
        </w:tc>
        <w:tc>
          <w:tcPr>
            <w:tcW w:w="1068" w:type="dxa"/>
            <w:tcBorders>
              <w:bottom w:val="single" w:sz="6" w:space="0" w:color="auto"/>
            </w:tcBorders>
            <w:vAlign w:val="center"/>
          </w:tcPr>
          <w:p w14:paraId="15F9E32C" w14:textId="7BBF0FDD" w:rsidR="000D69D4" w:rsidRPr="000D69D4" w:rsidRDefault="000D69D4" w:rsidP="000D69D4">
            <w:pPr>
              <w:pStyle w:val="TCTableBody"/>
              <w:rPr>
                <w:color w:val="000000" w:themeColor="text1"/>
                <w:lang w:val="pt-BR"/>
              </w:rPr>
            </w:pPr>
            <w:r w:rsidRPr="000D69D4">
              <w:rPr>
                <w:color w:val="000000" w:themeColor="text1"/>
                <w:lang w:val="pt-BR"/>
              </w:rPr>
              <w:t>75</w:t>
            </w:r>
          </w:p>
        </w:tc>
        <w:tc>
          <w:tcPr>
            <w:tcW w:w="1074" w:type="dxa"/>
            <w:tcBorders>
              <w:bottom w:val="single" w:sz="6" w:space="0" w:color="auto"/>
            </w:tcBorders>
            <w:vAlign w:val="center"/>
          </w:tcPr>
          <w:p w14:paraId="2E8CC3E3" w14:textId="39EECB3B" w:rsidR="000D69D4" w:rsidRPr="000D69D4" w:rsidRDefault="000D69D4" w:rsidP="000D69D4">
            <w:pPr>
              <w:pStyle w:val="TCTableBody"/>
              <w:rPr>
                <w:color w:val="000000" w:themeColor="text1"/>
                <w:lang w:val="pt-BR"/>
              </w:rPr>
            </w:pPr>
            <w:r w:rsidRPr="000D69D4">
              <w:rPr>
                <w:color w:val="000000" w:themeColor="text1"/>
                <w:lang w:val="pt-BR"/>
              </w:rPr>
              <w:t>75</w:t>
            </w:r>
          </w:p>
        </w:tc>
      </w:tr>
    </w:tbl>
    <w:p w14:paraId="7497713D" w14:textId="77777777" w:rsidR="001E1A20" w:rsidRDefault="001E1A20" w:rsidP="00952776">
      <w:pPr>
        <w:pStyle w:val="TAMainText"/>
        <w:rPr>
          <w:lang w:val="pt-BR"/>
        </w:rPr>
      </w:pPr>
    </w:p>
    <w:p w14:paraId="7F1A76BB" w14:textId="489E1BA5" w:rsidR="005C1FE1" w:rsidRPr="000A3ED4" w:rsidRDefault="000A3ED4" w:rsidP="00952776">
      <w:pPr>
        <w:pStyle w:val="TAMainText"/>
        <w:rPr>
          <w:lang w:val="pt-BR"/>
        </w:rPr>
      </w:pPr>
      <w:r w:rsidRPr="000A3ED4">
        <w:rPr>
          <w:lang w:val="pt-BR"/>
        </w:rPr>
        <w:t>Entre os três métodos empregados, o</w:t>
      </w:r>
      <w:r w:rsidR="009458AF" w:rsidRPr="000A3ED4">
        <w:rPr>
          <w:lang w:val="pt-BR"/>
        </w:rPr>
        <w:t xml:space="preserve"> </w:t>
      </w:r>
      <w:r w:rsidR="0015434B" w:rsidRPr="000A3ED4">
        <w:rPr>
          <w:lang w:val="pt-BR"/>
        </w:rPr>
        <w:t>modelo</w:t>
      </w:r>
      <w:r w:rsidR="009458AF" w:rsidRPr="000A3ED4">
        <w:rPr>
          <w:lang w:val="pt-BR"/>
        </w:rPr>
        <w:t xml:space="preserve"> de FWO </w:t>
      </w:r>
      <w:r w:rsidR="0015434B" w:rsidRPr="000A3ED4">
        <w:rPr>
          <w:lang w:val="pt-BR"/>
        </w:rPr>
        <w:t>foi o mais adequado para descrever a cinética d</w:t>
      </w:r>
      <w:r w:rsidRPr="000A3ED4">
        <w:rPr>
          <w:lang w:val="pt-BR"/>
        </w:rPr>
        <w:t xml:space="preserve">a pirólise </w:t>
      </w:r>
      <w:r w:rsidR="0015434B" w:rsidRPr="000A3ED4">
        <w:rPr>
          <w:lang w:val="pt-BR"/>
        </w:rPr>
        <w:t xml:space="preserve">e, por isso, foi usado no cálculo </w:t>
      </w:r>
      <w:r w:rsidRPr="000A3ED4">
        <w:rPr>
          <w:lang w:val="pt-BR"/>
        </w:rPr>
        <w:t>das energias de ativação</w:t>
      </w:r>
      <w:r w:rsidR="0015434B" w:rsidRPr="000A3ED4">
        <w:rPr>
          <w:lang w:val="pt-BR"/>
        </w:rPr>
        <w:t xml:space="preserve">. </w:t>
      </w:r>
      <w:r w:rsidR="005C1FE1" w:rsidRPr="000A3ED4">
        <w:rPr>
          <w:lang w:val="pt-BR"/>
        </w:rPr>
        <w:t xml:space="preserve">O valor </w:t>
      </w:r>
      <w:r w:rsidRPr="000A3ED4">
        <w:rPr>
          <w:lang w:val="pt-BR"/>
        </w:rPr>
        <w:t xml:space="preserve">médio </w:t>
      </w:r>
      <w:r w:rsidR="005C1FE1" w:rsidRPr="000A3ED4">
        <w:rPr>
          <w:lang w:val="pt-BR"/>
        </w:rPr>
        <w:t xml:space="preserve">de Ea </w:t>
      </w:r>
      <w:r w:rsidR="0015434B" w:rsidRPr="000A3ED4">
        <w:rPr>
          <w:lang w:val="pt-BR"/>
        </w:rPr>
        <w:t>n</w:t>
      </w:r>
      <w:r w:rsidR="005C1FE1" w:rsidRPr="000A3ED4">
        <w:rPr>
          <w:lang w:val="pt-BR"/>
        </w:rPr>
        <w:t xml:space="preserve">a pirólise </w:t>
      </w:r>
      <w:r w:rsidRPr="000A3ED4">
        <w:rPr>
          <w:lang w:val="pt-BR"/>
        </w:rPr>
        <w:t xml:space="preserve">sobre o catalisador </w:t>
      </w:r>
      <w:r w:rsidR="005C1FE1" w:rsidRPr="000A3ED4">
        <w:rPr>
          <w:lang w:val="pt-BR"/>
        </w:rPr>
        <w:t xml:space="preserve"> K104 (58 kJ mol</w:t>
      </w:r>
      <w:r w:rsidR="005C1FE1" w:rsidRPr="000A3ED4">
        <w:rPr>
          <w:vertAlign w:val="superscript"/>
          <w:lang w:val="pt-BR"/>
        </w:rPr>
        <w:t>-1</w:t>
      </w:r>
      <w:r w:rsidR="005C1FE1" w:rsidRPr="000A3ED4">
        <w:rPr>
          <w:lang w:val="pt-BR"/>
        </w:rPr>
        <w:t xml:space="preserve">) foi inferior ao encontrado </w:t>
      </w:r>
      <w:r w:rsidR="0015434B" w:rsidRPr="000A3ED4">
        <w:rPr>
          <w:lang w:val="pt-BR"/>
        </w:rPr>
        <w:t>n</w:t>
      </w:r>
      <w:r w:rsidR="005C1FE1" w:rsidRPr="000A3ED4">
        <w:rPr>
          <w:lang w:val="pt-BR"/>
        </w:rPr>
        <w:t>a pirólise não-catalítica (75 kJ mol</w:t>
      </w:r>
      <w:r w:rsidR="005C1FE1" w:rsidRPr="000A3ED4">
        <w:rPr>
          <w:vertAlign w:val="superscript"/>
          <w:lang w:val="pt-BR"/>
        </w:rPr>
        <w:t>-1</w:t>
      </w:r>
      <w:r w:rsidR="005C1FE1" w:rsidRPr="000A3ED4">
        <w:rPr>
          <w:lang w:val="pt-BR"/>
        </w:rPr>
        <w:t xml:space="preserve">). </w:t>
      </w:r>
      <w:r w:rsidRPr="000A3ED4">
        <w:rPr>
          <w:lang w:val="pt-BR"/>
        </w:rPr>
        <w:t>Isto</w:t>
      </w:r>
      <w:r w:rsidR="005C1FE1" w:rsidRPr="000A3ED4">
        <w:rPr>
          <w:lang w:val="pt-BR"/>
        </w:rPr>
        <w:t xml:space="preserve"> indica que a Ea média associada à decomposição dos componentes do</w:t>
      </w:r>
      <w:r w:rsidR="0015434B" w:rsidRPr="000A3ED4">
        <w:rPr>
          <w:lang w:val="pt-BR"/>
        </w:rPr>
        <w:t xml:space="preserve">s resíduos </w:t>
      </w:r>
      <w:r w:rsidR="005C1FE1" w:rsidRPr="000A3ED4">
        <w:rPr>
          <w:lang w:val="pt-BR"/>
        </w:rPr>
        <w:t xml:space="preserve">de uva foi reduzida </w:t>
      </w:r>
      <w:r w:rsidRPr="000A3ED4">
        <w:rPr>
          <w:lang w:val="pt-BR"/>
        </w:rPr>
        <w:t xml:space="preserve">em </w:t>
      </w:r>
      <w:r w:rsidR="005C1FE1" w:rsidRPr="000A3ED4">
        <w:rPr>
          <w:lang w:val="pt-BR"/>
        </w:rPr>
        <w:t xml:space="preserve">presença da argila, especialmente, a K104. A Ea </w:t>
      </w:r>
      <w:r w:rsidRPr="000A3ED4">
        <w:rPr>
          <w:lang w:val="pt-BR"/>
        </w:rPr>
        <w:t xml:space="preserve">da </w:t>
      </w:r>
      <w:r w:rsidR="005C1FE1" w:rsidRPr="000A3ED4">
        <w:rPr>
          <w:lang w:val="pt-BR"/>
        </w:rPr>
        <w:t xml:space="preserve">pirólise </w:t>
      </w:r>
      <w:r w:rsidRPr="000A3ED4">
        <w:rPr>
          <w:lang w:val="pt-BR"/>
        </w:rPr>
        <w:t xml:space="preserve">sobre a </w:t>
      </w:r>
      <w:r w:rsidR="00F37757">
        <w:rPr>
          <w:lang w:val="pt-BR"/>
        </w:rPr>
        <w:t>a</w:t>
      </w:r>
      <w:r w:rsidRPr="000A3ED4">
        <w:rPr>
          <w:lang w:val="pt-BR"/>
        </w:rPr>
        <w:t xml:space="preserve">mostra </w:t>
      </w:r>
      <w:r w:rsidR="005C1FE1" w:rsidRPr="000A3ED4">
        <w:rPr>
          <w:lang w:val="pt-BR"/>
        </w:rPr>
        <w:t xml:space="preserve"> K10 foi de 7</w:t>
      </w:r>
      <w:r w:rsidR="0043021A" w:rsidRPr="000A3ED4">
        <w:rPr>
          <w:lang w:val="pt-BR"/>
        </w:rPr>
        <w:t>2</w:t>
      </w:r>
      <w:r w:rsidR="005C1FE1" w:rsidRPr="000A3ED4">
        <w:rPr>
          <w:lang w:val="pt-BR"/>
        </w:rPr>
        <w:t xml:space="preserve"> kJ mol</w:t>
      </w:r>
      <w:r w:rsidR="005C1FE1" w:rsidRPr="000A3ED4">
        <w:rPr>
          <w:vertAlign w:val="superscript"/>
          <w:lang w:val="pt-BR"/>
        </w:rPr>
        <w:t>-1</w:t>
      </w:r>
      <w:r w:rsidR="005C1FE1" w:rsidRPr="000A3ED4">
        <w:rPr>
          <w:lang w:val="pt-BR"/>
        </w:rPr>
        <w:t>.</w:t>
      </w:r>
    </w:p>
    <w:p w14:paraId="2B50AF78" w14:textId="0D731B0C" w:rsidR="00CD5940" w:rsidRDefault="0035343F" w:rsidP="008A3A79">
      <w:pPr>
        <w:pStyle w:val="TAMainText"/>
        <w:spacing w:after="240"/>
        <w:ind w:firstLine="284"/>
        <w:rPr>
          <w:lang w:val="pt-BR"/>
        </w:rPr>
      </w:pPr>
      <w:r>
        <w:rPr>
          <w:lang w:val="pt-BR"/>
        </w:rPr>
        <w:t>A</w:t>
      </w:r>
      <w:r w:rsidR="00661B89" w:rsidRPr="00952776">
        <w:rPr>
          <w:lang w:val="pt-BR"/>
        </w:rPr>
        <w:t xml:space="preserve"> Ea </w:t>
      </w:r>
      <w:r>
        <w:rPr>
          <w:lang w:val="pt-BR"/>
        </w:rPr>
        <w:t>vari</w:t>
      </w:r>
      <w:r w:rsidR="000A3ED4">
        <w:rPr>
          <w:lang w:val="pt-BR"/>
        </w:rPr>
        <w:t>ou</w:t>
      </w:r>
      <w:r>
        <w:rPr>
          <w:lang w:val="pt-BR"/>
        </w:rPr>
        <w:t xml:space="preserve"> ao longo da pirólise, </w:t>
      </w:r>
      <w:r w:rsidR="000A3ED4">
        <w:rPr>
          <w:lang w:val="pt-BR"/>
        </w:rPr>
        <w:t>de acordo com</w:t>
      </w:r>
      <w:r w:rsidR="00CD5940">
        <w:rPr>
          <w:lang w:val="pt-BR"/>
        </w:rPr>
        <w:t xml:space="preserve"> o grau de conversão</w:t>
      </w:r>
      <w:r w:rsidR="009F3541">
        <w:rPr>
          <w:lang w:val="pt-BR"/>
        </w:rPr>
        <w:t xml:space="preserve"> da biomassa</w:t>
      </w:r>
      <w:r>
        <w:rPr>
          <w:lang w:val="pt-BR"/>
        </w:rPr>
        <w:t xml:space="preserve"> (Figura 4)</w:t>
      </w:r>
      <w:r w:rsidR="00CD5940">
        <w:rPr>
          <w:lang w:val="pt-BR"/>
        </w:rPr>
        <w:t>, como consequência das diversas reações que ocorrem simultaneamente.</w:t>
      </w:r>
      <w:r w:rsidR="001A4E3B">
        <w:rPr>
          <w:lang w:val="pt-BR"/>
        </w:rPr>
        <w:t xml:space="preserve"> </w:t>
      </w:r>
      <w:r>
        <w:rPr>
          <w:lang w:val="pt-BR"/>
        </w:rPr>
        <w:t xml:space="preserve">O efeito </w:t>
      </w:r>
      <w:r w:rsidR="001A4E3B">
        <w:rPr>
          <w:lang w:val="pt-BR"/>
        </w:rPr>
        <w:t xml:space="preserve">do catalisador sobre a Ea </w:t>
      </w:r>
      <w:r>
        <w:rPr>
          <w:lang w:val="pt-BR"/>
        </w:rPr>
        <w:t>se torn</w:t>
      </w:r>
      <w:r w:rsidR="000A3ED4">
        <w:rPr>
          <w:lang w:val="pt-BR"/>
        </w:rPr>
        <w:t>ou</w:t>
      </w:r>
      <w:r>
        <w:rPr>
          <w:lang w:val="pt-BR"/>
        </w:rPr>
        <w:t xml:space="preserve"> mais evidente </w:t>
      </w:r>
      <w:r w:rsidR="001A4E3B">
        <w:rPr>
          <w:lang w:val="pt-BR"/>
        </w:rPr>
        <w:t xml:space="preserve">em graus de </w:t>
      </w:r>
      <w:r w:rsidR="001A4E3B" w:rsidRPr="00EA3D8E">
        <w:rPr>
          <w:lang w:val="pt-BR"/>
        </w:rPr>
        <w:t xml:space="preserve">conversão superiores a 0,2, indicando que estão ocorrendo reações </w:t>
      </w:r>
      <w:r w:rsidRPr="00EA3D8E">
        <w:rPr>
          <w:lang w:val="pt-BR"/>
        </w:rPr>
        <w:t>com Ea</w:t>
      </w:r>
      <w:r w:rsidR="000A3ED4" w:rsidRPr="00EA3D8E">
        <w:rPr>
          <w:lang w:val="pt-BR"/>
        </w:rPr>
        <w:t xml:space="preserve"> baixas</w:t>
      </w:r>
      <w:r w:rsidRPr="00EA3D8E">
        <w:rPr>
          <w:lang w:val="pt-BR"/>
        </w:rPr>
        <w:t xml:space="preserve">, tais como </w:t>
      </w:r>
      <w:r w:rsidR="001A4E3B" w:rsidRPr="00EA3D8E">
        <w:rPr>
          <w:lang w:val="pt-BR"/>
        </w:rPr>
        <w:t xml:space="preserve">desidratação e </w:t>
      </w:r>
      <w:r w:rsidRPr="00EA3D8E">
        <w:rPr>
          <w:lang w:val="pt-BR"/>
        </w:rPr>
        <w:t>decomposição da celulose e hemicelulose. A partir 0,4, as Ea da pirólise catalítica se tornam mais baixas, em relação à pirólise não</w:t>
      </w:r>
      <w:r w:rsidR="009B60E3" w:rsidRPr="00EA3D8E">
        <w:rPr>
          <w:lang w:val="pt-BR"/>
        </w:rPr>
        <w:t>-</w:t>
      </w:r>
      <w:r w:rsidRPr="00EA3D8E">
        <w:rPr>
          <w:lang w:val="pt-BR"/>
        </w:rPr>
        <w:t xml:space="preserve">catalítica. O catalisador mais ácido (K104) conduz ao maior decréscimo de Ea, devido à sua atividade superior nas reações de desidratação e craqueamento. A complexa rede de reações que ocorre </w:t>
      </w:r>
      <w:r w:rsidR="000A3ED4" w:rsidRPr="00EA3D8E">
        <w:rPr>
          <w:lang w:val="pt-BR"/>
        </w:rPr>
        <w:t>na decomposição da biomassa (</w:t>
      </w:r>
      <w:r w:rsidR="003D4D7B">
        <w:rPr>
          <w:lang w:val="pt-BR"/>
        </w:rPr>
        <w:t>2</w:t>
      </w:r>
      <w:r w:rsidR="00DE3B81" w:rsidRPr="00EA3D8E">
        <w:rPr>
          <w:lang w:val="pt-BR"/>
        </w:rPr>
        <w:t xml:space="preserve">, </w:t>
      </w:r>
      <w:r w:rsidR="003D4D7B">
        <w:rPr>
          <w:lang w:val="pt-BR"/>
        </w:rPr>
        <w:t>1</w:t>
      </w:r>
      <w:r w:rsidR="000A004F">
        <w:rPr>
          <w:lang w:val="pt-BR"/>
        </w:rPr>
        <w:t>5</w:t>
      </w:r>
      <w:r w:rsidR="000A3ED4" w:rsidRPr="00EA3D8E">
        <w:rPr>
          <w:lang w:val="pt-BR"/>
        </w:rPr>
        <w:t>), justifica</w:t>
      </w:r>
      <w:r w:rsidR="000A3ED4">
        <w:rPr>
          <w:lang w:val="pt-BR"/>
        </w:rPr>
        <w:t xml:space="preserve"> a variação da energia de ativação.  </w:t>
      </w:r>
    </w:p>
    <w:p w14:paraId="33118354" w14:textId="1E7C3E79" w:rsidR="00977728" w:rsidRDefault="008A3A79" w:rsidP="008A3A7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CBA62B1" wp14:editId="51D9905E">
            <wp:extent cx="2495550" cy="2051050"/>
            <wp:effectExtent l="0" t="0" r="0" b="6350"/>
            <wp:docPr id="1342205897" name="Imagem 1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05897" name="Imagem 1" descr="Gráfico, Gráfico de dispersã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1" t="7885" r="10653" b="4295"/>
                    <a:stretch/>
                  </pic:blipFill>
                  <pic:spPr bwMode="auto">
                    <a:xfrm>
                      <a:off x="0" y="0"/>
                      <a:ext cx="24955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6D5CB8" w14:textId="4DF2237E" w:rsidR="00800D86" w:rsidRPr="000A3ED4" w:rsidRDefault="00800D86" w:rsidP="002B782E">
      <w:pPr>
        <w:pStyle w:val="TAMainText"/>
        <w:spacing w:after="240" w:line="240" w:lineRule="auto"/>
        <w:ind w:firstLine="0"/>
        <w:rPr>
          <w:rFonts w:cs="Times"/>
          <w:color w:val="FF0000"/>
          <w:sz w:val="18"/>
          <w:szCs w:val="18"/>
          <w:lang w:val="pt-BR"/>
        </w:rPr>
      </w:pPr>
      <w:r w:rsidRPr="002D2F07">
        <w:rPr>
          <w:rFonts w:cs="Times"/>
          <w:b/>
          <w:bCs/>
          <w:sz w:val="18"/>
          <w:szCs w:val="18"/>
          <w:lang w:val="pt-BR"/>
        </w:rPr>
        <w:t xml:space="preserve">Figura </w:t>
      </w:r>
      <w:r w:rsidR="006416F3" w:rsidRPr="002D2F07">
        <w:rPr>
          <w:rFonts w:cs="Times"/>
          <w:b/>
          <w:bCs/>
          <w:sz w:val="18"/>
          <w:szCs w:val="18"/>
          <w:lang w:val="pt-BR"/>
        </w:rPr>
        <w:t>4</w:t>
      </w:r>
      <w:r w:rsidRPr="002D2F07">
        <w:rPr>
          <w:rFonts w:cs="Times"/>
          <w:b/>
          <w:bCs/>
          <w:sz w:val="18"/>
          <w:szCs w:val="18"/>
          <w:lang w:val="pt-BR"/>
        </w:rPr>
        <w:t>.</w:t>
      </w:r>
      <w:r w:rsidRPr="002D2F07">
        <w:rPr>
          <w:rFonts w:cs="Times"/>
          <w:sz w:val="18"/>
          <w:szCs w:val="18"/>
          <w:lang w:val="pt-BR"/>
        </w:rPr>
        <w:t xml:space="preserve"> Ener</w:t>
      </w:r>
      <w:r w:rsidR="006416F3" w:rsidRPr="002D2F07">
        <w:rPr>
          <w:rFonts w:cs="Times"/>
          <w:sz w:val="18"/>
          <w:szCs w:val="18"/>
          <w:lang w:val="pt-BR"/>
        </w:rPr>
        <w:t xml:space="preserve">gia de ativação versus </w:t>
      </w:r>
      <w:r w:rsidR="00D87D86">
        <w:rPr>
          <w:rFonts w:cs="Times"/>
          <w:sz w:val="18"/>
          <w:szCs w:val="18"/>
          <w:lang w:val="pt-BR"/>
        </w:rPr>
        <w:t>grau</w:t>
      </w:r>
      <w:r w:rsidR="006416F3" w:rsidRPr="002D2F07">
        <w:rPr>
          <w:rFonts w:cs="Times"/>
          <w:sz w:val="18"/>
          <w:szCs w:val="18"/>
          <w:lang w:val="pt-BR"/>
        </w:rPr>
        <w:t xml:space="preserve"> de conversão para pirólise não-catalítica e c</w:t>
      </w:r>
      <w:r w:rsidRPr="002D2F07">
        <w:rPr>
          <w:rFonts w:cs="Times"/>
          <w:sz w:val="18"/>
          <w:szCs w:val="18"/>
          <w:lang w:val="pt-BR"/>
        </w:rPr>
        <w:t>a</w:t>
      </w:r>
      <w:r w:rsidR="006416F3" w:rsidRPr="002D2F07">
        <w:rPr>
          <w:rFonts w:cs="Times"/>
          <w:sz w:val="18"/>
          <w:szCs w:val="18"/>
          <w:lang w:val="pt-BR"/>
        </w:rPr>
        <w:t>ta</w:t>
      </w:r>
      <w:r w:rsidRPr="002D2F07">
        <w:rPr>
          <w:rFonts w:cs="Times"/>
          <w:sz w:val="18"/>
          <w:szCs w:val="18"/>
          <w:lang w:val="pt-BR"/>
        </w:rPr>
        <w:t>lític</w:t>
      </w:r>
      <w:r w:rsidR="006416F3" w:rsidRPr="002D2F07">
        <w:rPr>
          <w:rFonts w:cs="Times"/>
          <w:sz w:val="18"/>
          <w:szCs w:val="18"/>
          <w:lang w:val="pt-BR"/>
        </w:rPr>
        <w:t>a</w:t>
      </w:r>
      <w:r w:rsidRPr="002D2F07">
        <w:rPr>
          <w:rFonts w:cs="Times"/>
          <w:sz w:val="18"/>
          <w:szCs w:val="18"/>
          <w:lang w:val="pt-BR"/>
        </w:rPr>
        <w:t>s</w:t>
      </w:r>
      <w:r w:rsidR="006416F3" w:rsidRPr="002D2F07">
        <w:rPr>
          <w:rFonts w:cs="Times"/>
          <w:sz w:val="18"/>
          <w:szCs w:val="18"/>
          <w:lang w:val="pt-BR"/>
        </w:rPr>
        <w:t>.</w:t>
      </w:r>
      <w:r w:rsidR="000A3ED4">
        <w:rPr>
          <w:rFonts w:cs="Times"/>
          <w:sz w:val="18"/>
          <w:szCs w:val="18"/>
          <w:lang w:val="pt-BR"/>
        </w:rPr>
        <w:t xml:space="preserve"> </w:t>
      </w:r>
    </w:p>
    <w:p w14:paraId="20AA905D" w14:textId="69B82196" w:rsidR="00EA4E1B" w:rsidRPr="001F25B2" w:rsidRDefault="00EA4E1B" w:rsidP="00C079E4">
      <w:pPr>
        <w:pStyle w:val="Ttulo2"/>
        <w:spacing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52B8E655" w14:textId="5F11CB54" w:rsidR="003A3583" w:rsidRPr="007E46D5" w:rsidRDefault="00E364E0" w:rsidP="00C909C6">
      <w:pPr>
        <w:pStyle w:val="TAMainText"/>
        <w:rPr>
          <w:color w:val="000000" w:themeColor="text1"/>
          <w:lang w:val="pt-BR"/>
        </w:rPr>
      </w:pPr>
      <w:r w:rsidRPr="007E46D5">
        <w:rPr>
          <w:color w:val="000000" w:themeColor="text1"/>
          <w:lang w:val="pt-BR"/>
        </w:rPr>
        <w:t>O</w:t>
      </w:r>
      <w:r w:rsidR="009F34EA" w:rsidRPr="007E46D5">
        <w:rPr>
          <w:color w:val="000000" w:themeColor="text1"/>
          <w:lang w:val="pt-BR"/>
        </w:rPr>
        <w:t xml:space="preserve"> tratamento </w:t>
      </w:r>
      <w:r w:rsidR="00871242" w:rsidRPr="007E46D5">
        <w:rPr>
          <w:color w:val="000000" w:themeColor="text1"/>
          <w:lang w:val="pt-BR"/>
        </w:rPr>
        <w:t xml:space="preserve">da K10 comercial </w:t>
      </w:r>
      <w:r w:rsidR="008F4112" w:rsidRPr="007E46D5">
        <w:rPr>
          <w:color w:val="000000" w:themeColor="text1"/>
          <w:lang w:val="pt-BR"/>
        </w:rPr>
        <w:t xml:space="preserve">com ácido clorídrico </w:t>
      </w:r>
      <w:r w:rsidR="00871242" w:rsidRPr="007E46D5">
        <w:rPr>
          <w:color w:val="000000" w:themeColor="text1"/>
          <w:lang w:val="pt-BR"/>
        </w:rPr>
        <w:t xml:space="preserve">foi eficiente na criação de </w:t>
      </w:r>
      <w:r w:rsidR="003A3583" w:rsidRPr="007E46D5">
        <w:rPr>
          <w:color w:val="000000" w:themeColor="text1"/>
          <w:lang w:val="pt-BR"/>
        </w:rPr>
        <w:t xml:space="preserve">sítios ácidos fortes e no aumento da </w:t>
      </w:r>
      <w:r w:rsidR="009F34EA" w:rsidRPr="007E46D5">
        <w:rPr>
          <w:color w:val="000000" w:themeColor="text1"/>
          <w:lang w:val="pt-BR"/>
        </w:rPr>
        <w:t>quantidade total de sítios</w:t>
      </w:r>
      <w:r w:rsidR="00DE3B81">
        <w:rPr>
          <w:color w:val="000000" w:themeColor="text1"/>
          <w:lang w:val="pt-BR"/>
        </w:rPr>
        <w:t xml:space="preserve"> ácidos</w:t>
      </w:r>
      <w:r w:rsidR="00A55A55" w:rsidRPr="007E46D5">
        <w:rPr>
          <w:color w:val="000000" w:themeColor="text1"/>
          <w:lang w:val="pt-BR"/>
        </w:rPr>
        <w:t xml:space="preserve">. O tratamento também </w:t>
      </w:r>
      <w:r w:rsidR="00DE3B81">
        <w:rPr>
          <w:color w:val="000000" w:themeColor="text1"/>
          <w:lang w:val="pt-BR"/>
        </w:rPr>
        <w:t>conduziu a</w:t>
      </w:r>
      <w:r w:rsidR="00A55A55" w:rsidRPr="007E46D5">
        <w:rPr>
          <w:color w:val="000000" w:themeColor="text1"/>
          <w:lang w:val="pt-BR"/>
        </w:rPr>
        <w:t xml:space="preserve"> um pequeno aumento na área superficial específica </w:t>
      </w:r>
      <w:r w:rsidR="00E20A5E" w:rsidRPr="007E46D5">
        <w:rPr>
          <w:color w:val="000000" w:themeColor="text1"/>
          <w:lang w:val="pt-BR"/>
        </w:rPr>
        <w:t>da argila.</w:t>
      </w:r>
      <w:r w:rsidR="00E50C69" w:rsidRPr="007E46D5">
        <w:rPr>
          <w:color w:val="000000" w:themeColor="text1"/>
          <w:lang w:val="pt-BR"/>
        </w:rPr>
        <w:t xml:space="preserve"> </w:t>
      </w:r>
      <w:r w:rsidR="00465618" w:rsidRPr="007E46D5">
        <w:rPr>
          <w:color w:val="000000" w:themeColor="text1"/>
          <w:lang w:val="pt-BR"/>
        </w:rPr>
        <w:t xml:space="preserve">A argila tratada promoveu a redução </w:t>
      </w:r>
      <w:r w:rsidR="0042054A" w:rsidRPr="007E46D5">
        <w:rPr>
          <w:color w:val="000000" w:themeColor="text1"/>
          <w:lang w:val="pt-BR"/>
        </w:rPr>
        <w:t xml:space="preserve">na </w:t>
      </w:r>
      <w:r w:rsidR="00016BE7">
        <w:rPr>
          <w:color w:val="000000" w:themeColor="text1"/>
          <w:lang w:val="pt-BR"/>
        </w:rPr>
        <w:t>Ea</w:t>
      </w:r>
      <w:r w:rsidR="00465618" w:rsidRPr="007E46D5">
        <w:rPr>
          <w:color w:val="000000" w:themeColor="text1"/>
          <w:lang w:val="pt-BR"/>
        </w:rPr>
        <w:t xml:space="preserve"> </w:t>
      </w:r>
      <w:r w:rsidR="00DE3B81">
        <w:rPr>
          <w:color w:val="000000" w:themeColor="text1"/>
          <w:lang w:val="pt-BR"/>
        </w:rPr>
        <w:t xml:space="preserve">na </w:t>
      </w:r>
      <w:r w:rsidR="00465618" w:rsidRPr="007E46D5">
        <w:rPr>
          <w:color w:val="000000" w:themeColor="text1"/>
          <w:lang w:val="pt-BR"/>
        </w:rPr>
        <w:t>decomposição do bagaço de uva, quando comparad</w:t>
      </w:r>
      <w:r w:rsidR="003F6E55" w:rsidRPr="007E46D5">
        <w:rPr>
          <w:color w:val="000000" w:themeColor="text1"/>
          <w:lang w:val="pt-BR"/>
        </w:rPr>
        <w:t>a</w:t>
      </w:r>
      <w:r w:rsidR="00465618" w:rsidRPr="007E46D5">
        <w:rPr>
          <w:color w:val="000000" w:themeColor="text1"/>
          <w:lang w:val="pt-BR"/>
        </w:rPr>
        <w:t xml:space="preserve"> a </w:t>
      </w:r>
      <w:r w:rsidR="00016BE7">
        <w:rPr>
          <w:color w:val="000000" w:themeColor="text1"/>
          <w:lang w:val="pt-BR"/>
        </w:rPr>
        <w:t xml:space="preserve">Ea </w:t>
      </w:r>
      <w:r w:rsidR="0042054A" w:rsidRPr="007E46D5">
        <w:rPr>
          <w:color w:val="000000" w:themeColor="text1"/>
          <w:lang w:val="pt-BR"/>
        </w:rPr>
        <w:t xml:space="preserve">requerida </w:t>
      </w:r>
      <w:r w:rsidR="00DE3B81">
        <w:rPr>
          <w:color w:val="000000" w:themeColor="text1"/>
          <w:lang w:val="pt-BR"/>
        </w:rPr>
        <w:t>n</w:t>
      </w:r>
      <w:r w:rsidR="0042054A" w:rsidRPr="007E46D5">
        <w:rPr>
          <w:color w:val="000000" w:themeColor="text1"/>
          <w:lang w:val="pt-BR"/>
        </w:rPr>
        <w:t xml:space="preserve">o </w:t>
      </w:r>
      <w:r w:rsidR="000336C2" w:rsidRPr="007E46D5">
        <w:rPr>
          <w:color w:val="000000" w:themeColor="text1"/>
          <w:lang w:val="pt-BR"/>
        </w:rPr>
        <w:t>processo sem catalisador e com K10.</w:t>
      </w:r>
      <w:r w:rsidR="00C477C8" w:rsidRPr="007E46D5">
        <w:rPr>
          <w:color w:val="000000" w:themeColor="text1"/>
          <w:lang w:val="pt-BR"/>
        </w:rPr>
        <w:t xml:space="preserve"> </w:t>
      </w:r>
      <w:r w:rsidR="0042054A" w:rsidRPr="007E46D5">
        <w:rPr>
          <w:color w:val="000000" w:themeColor="text1"/>
          <w:lang w:val="pt-BR"/>
        </w:rPr>
        <w:t xml:space="preserve">Esses resultados indicam </w:t>
      </w:r>
      <w:r w:rsidR="00DE3B81">
        <w:rPr>
          <w:color w:val="000000" w:themeColor="text1"/>
          <w:lang w:val="pt-BR"/>
        </w:rPr>
        <w:t xml:space="preserve">que a </w:t>
      </w:r>
      <w:r w:rsidR="00333F71" w:rsidRPr="007E46D5">
        <w:rPr>
          <w:color w:val="000000" w:themeColor="text1"/>
          <w:lang w:val="pt-BR"/>
        </w:rPr>
        <w:t>argila comercia</w:t>
      </w:r>
      <w:r w:rsidR="00DE3B81">
        <w:rPr>
          <w:color w:val="000000" w:themeColor="text1"/>
          <w:lang w:val="pt-BR"/>
        </w:rPr>
        <w:t>l K10 é promissora para catalisar a decomposição da biomassa,</w:t>
      </w:r>
      <w:r w:rsidR="00333F71" w:rsidRPr="007E46D5">
        <w:rPr>
          <w:color w:val="000000" w:themeColor="text1"/>
          <w:lang w:val="pt-BR"/>
        </w:rPr>
        <w:t xml:space="preserve"> através de tratamento</w:t>
      </w:r>
      <w:r w:rsidR="007E46D5" w:rsidRPr="007E46D5">
        <w:rPr>
          <w:color w:val="000000" w:themeColor="text1"/>
          <w:lang w:val="pt-BR"/>
        </w:rPr>
        <w:t xml:space="preserve"> com</w:t>
      </w:r>
      <w:r w:rsidR="00333F71" w:rsidRPr="007E46D5">
        <w:rPr>
          <w:color w:val="000000" w:themeColor="text1"/>
          <w:lang w:val="pt-BR"/>
        </w:rPr>
        <w:t xml:space="preserve"> ácido</w:t>
      </w:r>
      <w:r w:rsidR="00DE3B81">
        <w:rPr>
          <w:color w:val="000000" w:themeColor="text1"/>
          <w:lang w:val="pt-BR"/>
        </w:rPr>
        <w:t xml:space="preserve"> clorídrico </w:t>
      </w:r>
      <w:r w:rsidR="007E46D5" w:rsidRPr="007E46D5">
        <w:rPr>
          <w:color w:val="000000" w:themeColor="text1"/>
          <w:lang w:val="pt-BR"/>
        </w:rPr>
        <w:t xml:space="preserve">de maneira </w:t>
      </w:r>
      <w:r w:rsidR="00D43C16">
        <w:rPr>
          <w:color w:val="000000" w:themeColor="text1"/>
          <w:lang w:val="pt-BR"/>
        </w:rPr>
        <w:t xml:space="preserve">rápida e </w:t>
      </w:r>
      <w:r w:rsidR="00333F71" w:rsidRPr="007E46D5">
        <w:rPr>
          <w:color w:val="000000" w:themeColor="text1"/>
          <w:lang w:val="pt-BR"/>
        </w:rPr>
        <w:t xml:space="preserve">simples. </w:t>
      </w:r>
    </w:p>
    <w:p w14:paraId="6BE32F7B" w14:textId="75FE2DC8" w:rsidR="00EA4E1B" w:rsidRPr="00634BD1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634BD1">
        <w:rPr>
          <w:rFonts w:ascii="Helvetica" w:hAnsi="Helvetica" w:cs="Helvetica"/>
          <w:sz w:val="24"/>
          <w:szCs w:val="24"/>
        </w:rPr>
        <w:t>Agradecimentos</w:t>
      </w:r>
    </w:p>
    <w:p w14:paraId="05A178F9" w14:textId="0CAD0C62" w:rsidR="00EA4E1B" w:rsidRPr="001F25B2" w:rsidRDefault="00C670CB" w:rsidP="00EA4E1B">
      <w:pPr>
        <w:pStyle w:val="TAMainText"/>
        <w:rPr>
          <w:rFonts w:ascii="Times New Roman" w:hAnsi="Times New Roman"/>
          <w:lang w:val="pt-BR"/>
        </w:rPr>
      </w:pPr>
      <w:r w:rsidRPr="00634BD1">
        <w:rPr>
          <w:rFonts w:ascii="Times New Roman" w:hAnsi="Times New Roman"/>
          <w:lang w:val="pt-BR"/>
        </w:rPr>
        <w:t xml:space="preserve">Os autores agradecem </w:t>
      </w:r>
      <w:r w:rsidR="00917340" w:rsidRPr="00634BD1">
        <w:rPr>
          <w:rFonts w:ascii="Times New Roman" w:hAnsi="Times New Roman"/>
          <w:lang w:val="pt-BR"/>
        </w:rPr>
        <w:t>ao CNPq</w:t>
      </w:r>
      <w:r w:rsidRPr="00634BD1">
        <w:rPr>
          <w:rFonts w:ascii="Times New Roman" w:hAnsi="Times New Roman"/>
          <w:lang w:val="pt-BR"/>
        </w:rPr>
        <w:t xml:space="preserve"> </w:t>
      </w:r>
      <w:r w:rsidR="00634BD1">
        <w:rPr>
          <w:rFonts w:ascii="Times New Roman" w:hAnsi="Times New Roman"/>
          <w:lang w:val="pt-BR"/>
        </w:rPr>
        <w:t xml:space="preserve">e FINEP </w:t>
      </w:r>
      <w:r w:rsidRPr="00634BD1">
        <w:rPr>
          <w:rFonts w:ascii="Times New Roman" w:hAnsi="Times New Roman"/>
          <w:lang w:val="pt-BR"/>
        </w:rPr>
        <w:t>pelo apoio financeiro</w:t>
      </w:r>
      <w:r w:rsidR="00DE3B81">
        <w:rPr>
          <w:rFonts w:ascii="Times New Roman" w:hAnsi="Times New Roman"/>
          <w:lang w:val="pt-BR"/>
        </w:rPr>
        <w:t>.</w:t>
      </w:r>
    </w:p>
    <w:p w14:paraId="7CF5CA66" w14:textId="149D19A2" w:rsidR="009025B4" w:rsidRPr="009769F3" w:rsidRDefault="00EA4E1B" w:rsidP="00E045B4">
      <w:pPr>
        <w:pStyle w:val="Ttulo2"/>
        <w:rPr>
          <w:rFonts w:ascii="Helvetica" w:hAnsi="Helvetica" w:cs="Helvetica"/>
          <w:sz w:val="24"/>
          <w:szCs w:val="24"/>
        </w:rPr>
      </w:pPr>
      <w:r w:rsidRPr="009769F3">
        <w:rPr>
          <w:rFonts w:ascii="Helvetica" w:hAnsi="Helvetica" w:cs="Helvetica"/>
          <w:sz w:val="24"/>
          <w:szCs w:val="24"/>
        </w:rPr>
        <w:t>Referências</w:t>
      </w:r>
    </w:p>
    <w:p w14:paraId="66267470" w14:textId="3FC6C815" w:rsidR="00171515" w:rsidRPr="009769F3" w:rsidRDefault="0028132D" w:rsidP="00D40CA5">
      <w:pPr>
        <w:pStyle w:val="TAMainText"/>
        <w:numPr>
          <w:ilvl w:val="0"/>
          <w:numId w:val="1"/>
        </w:numPr>
      </w:pPr>
      <w:r w:rsidRPr="009769F3">
        <w:t xml:space="preserve">D. </w:t>
      </w:r>
      <w:r w:rsidR="00171515" w:rsidRPr="009769F3">
        <w:t xml:space="preserve">Ayhan </w:t>
      </w:r>
      <w:r w:rsidR="00B40946" w:rsidRPr="009769F3">
        <w:t xml:space="preserve">in </w:t>
      </w:r>
      <w:r w:rsidR="00171515" w:rsidRPr="009769F3">
        <w:rPr>
          <w:i/>
          <w:iCs/>
        </w:rPr>
        <w:t>Biorefineries—For Biomass Upgrading Facilities</w:t>
      </w:r>
      <w:r w:rsidR="009D5E07" w:rsidRPr="009769F3">
        <w:t>,</w:t>
      </w:r>
      <w:r w:rsidR="00171515" w:rsidRPr="009769F3">
        <w:t xml:space="preserve"> Springer</w:t>
      </w:r>
      <w:r w:rsidR="003B0F8E" w:rsidRPr="009769F3">
        <w:t>,</w:t>
      </w:r>
      <w:r w:rsidR="00171515" w:rsidRPr="009769F3">
        <w:t xml:space="preserve"> London, </w:t>
      </w:r>
      <w:r w:rsidR="00171515" w:rsidRPr="009769F3">
        <w:rPr>
          <w:b/>
          <w:bCs/>
        </w:rPr>
        <w:t>2010</w:t>
      </w:r>
      <w:r w:rsidR="00171515" w:rsidRPr="009769F3">
        <w:t>.</w:t>
      </w:r>
    </w:p>
    <w:p w14:paraId="7772F85D" w14:textId="30311604" w:rsidR="009025B4" w:rsidRPr="009769F3" w:rsidRDefault="00377D31" w:rsidP="00D40CA5">
      <w:pPr>
        <w:pStyle w:val="TAMainText"/>
        <w:numPr>
          <w:ilvl w:val="0"/>
          <w:numId w:val="1"/>
        </w:numPr>
        <w:rPr>
          <w:lang w:val="pt-BR"/>
        </w:rPr>
      </w:pPr>
      <w:r w:rsidRPr="009769F3">
        <w:rPr>
          <w:lang w:val="pt-BR"/>
        </w:rPr>
        <w:t>M.C. Rangel</w:t>
      </w:r>
      <w:r w:rsidR="002764DB" w:rsidRPr="009769F3">
        <w:rPr>
          <w:lang w:val="pt-BR"/>
        </w:rPr>
        <w:t>;</w:t>
      </w:r>
      <w:r w:rsidR="0082398F" w:rsidRPr="009769F3">
        <w:rPr>
          <w:lang w:val="pt-BR"/>
        </w:rPr>
        <w:t xml:space="preserve"> </w:t>
      </w:r>
      <w:r w:rsidRPr="009769F3">
        <w:rPr>
          <w:lang w:val="pt-BR"/>
        </w:rPr>
        <w:t>F.M</w:t>
      </w:r>
      <w:r w:rsidR="002F6F50" w:rsidRPr="009769F3">
        <w:rPr>
          <w:lang w:val="pt-BR"/>
        </w:rPr>
        <w:t>.</w:t>
      </w:r>
      <w:r w:rsidRPr="009769F3">
        <w:rPr>
          <w:lang w:val="pt-BR"/>
        </w:rPr>
        <w:t xml:space="preserve"> Mayer</w:t>
      </w:r>
      <w:r w:rsidR="002764DB" w:rsidRPr="009769F3">
        <w:rPr>
          <w:lang w:val="pt-BR"/>
        </w:rPr>
        <w:t>;</w:t>
      </w:r>
      <w:r w:rsidR="0082398F" w:rsidRPr="009769F3">
        <w:rPr>
          <w:lang w:val="pt-BR"/>
        </w:rPr>
        <w:t xml:space="preserve"> </w:t>
      </w:r>
      <w:r w:rsidRPr="009769F3">
        <w:rPr>
          <w:lang w:val="pt-BR"/>
        </w:rPr>
        <w:t>M.d.S. Carvalho</w:t>
      </w:r>
      <w:r w:rsidR="002F6F50" w:rsidRPr="009769F3">
        <w:rPr>
          <w:lang w:val="pt-BR"/>
        </w:rPr>
        <w:t>;</w:t>
      </w:r>
      <w:r w:rsidRPr="009769F3">
        <w:rPr>
          <w:lang w:val="pt-BR"/>
        </w:rPr>
        <w:t xml:space="preserve"> G. Sabo</w:t>
      </w:r>
      <w:r w:rsidR="00DE3B81" w:rsidRPr="009769F3">
        <w:rPr>
          <w:lang w:val="pt-BR"/>
        </w:rPr>
        <w:t>i</w:t>
      </w:r>
      <w:r w:rsidRPr="009769F3">
        <w:rPr>
          <w:lang w:val="pt-BR"/>
        </w:rPr>
        <w:t>a</w:t>
      </w:r>
      <w:r w:rsidR="002F6F50" w:rsidRPr="009769F3">
        <w:rPr>
          <w:lang w:val="pt-BR"/>
        </w:rPr>
        <w:t>;</w:t>
      </w:r>
      <w:r w:rsidRPr="009769F3">
        <w:rPr>
          <w:lang w:val="pt-BR"/>
        </w:rPr>
        <w:t xml:space="preserve"> A.M. de Andrade, </w:t>
      </w:r>
      <w:r w:rsidRPr="009769F3">
        <w:rPr>
          <w:i/>
          <w:iCs/>
          <w:lang w:val="pt-BR"/>
        </w:rPr>
        <w:t>Biomass</w:t>
      </w:r>
      <w:r w:rsidR="00D40CA5" w:rsidRPr="009769F3">
        <w:rPr>
          <w:lang w:val="pt-BR"/>
        </w:rPr>
        <w:t xml:space="preserve">, </w:t>
      </w:r>
      <w:r w:rsidR="00D40CA5" w:rsidRPr="009769F3">
        <w:rPr>
          <w:b/>
          <w:bCs/>
          <w:lang w:val="pt-BR"/>
        </w:rPr>
        <w:t>2023</w:t>
      </w:r>
      <w:r w:rsidR="00D40CA5" w:rsidRPr="009769F3">
        <w:rPr>
          <w:lang w:val="pt-BR"/>
        </w:rPr>
        <w:t xml:space="preserve">, </w:t>
      </w:r>
      <w:r w:rsidRPr="009769F3">
        <w:rPr>
          <w:i/>
          <w:iCs/>
          <w:lang w:val="pt-BR"/>
        </w:rPr>
        <w:t>3</w:t>
      </w:r>
      <w:r w:rsidR="00D40CA5" w:rsidRPr="009769F3">
        <w:rPr>
          <w:lang w:val="pt-BR"/>
        </w:rPr>
        <w:t xml:space="preserve">, </w:t>
      </w:r>
      <w:r w:rsidRPr="009769F3">
        <w:rPr>
          <w:lang w:val="pt-BR"/>
        </w:rPr>
        <w:t xml:space="preserve">31-63. </w:t>
      </w:r>
    </w:p>
    <w:p w14:paraId="27FF00C7" w14:textId="23A590D8" w:rsidR="00BB0A59" w:rsidRPr="009769F3" w:rsidRDefault="002F6F50" w:rsidP="009025B4">
      <w:pPr>
        <w:pStyle w:val="TAMainText"/>
        <w:numPr>
          <w:ilvl w:val="0"/>
          <w:numId w:val="1"/>
        </w:numPr>
      </w:pPr>
      <w:r w:rsidRPr="009769F3">
        <w:rPr>
          <w:rFonts w:ascii="Times New Roman" w:hAnsi="Times New Roman"/>
        </w:rPr>
        <w:t xml:space="preserve">A.J. </w:t>
      </w:r>
      <w:r w:rsidR="00BB0A59" w:rsidRPr="009769F3">
        <w:rPr>
          <w:rFonts w:ascii="Times New Roman" w:hAnsi="Times New Roman"/>
        </w:rPr>
        <w:t xml:space="preserve">Schwanke; </w:t>
      </w:r>
      <w:r w:rsidRPr="009769F3">
        <w:rPr>
          <w:rFonts w:ascii="Times New Roman" w:hAnsi="Times New Roman"/>
        </w:rPr>
        <w:t xml:space="preserve">S.B.C. </w:t>
      </w:r>
      <w:r w:rsidR="00BB0A59" w:rsidRPr="009769F3">
        <w:rPr>
          <w:rFonts w:ascii="Times New Roman" w:hAnsi="Times New Roman"/>
        </w:rPr>
        <w:t>Pergher,</w:t>
      </w:r>
      <w:r w:rsidRPr="009769F3">
        <w:rPr>
          <w:rFonts w:ascii="Times New Roman" w:hAnsi="Times New Roman"/>
        </w:rPr>
        <w:t xml:space="preserve"> </w:t>
      </w:r>
      <w:r w:rsidR="00BB0A59" w:rsidRPr="009769F3">
        <w:rPr>
          <w:rFonts w:ascii="Times New Roman" w:hAnsi="Times New Roman"/>
          <w:i/>
        </w:rPr>
        <w:t>Cerâmica</w:t>
      </w:r>
      <w:r w:rsidR="00BB0A59" w:rsidRPr="009769F3">
        <w:rPr>
          <w:rFonts w:ascii="Times New Roman" w:hAnsi="Times New Roman"/>
        </w:rPr>
        <w:t xml:space="preserve"> </w:t>
      </w:r>
      <w:r w:rsidR="00BB0A59" w:rsidRPr="009769F3">
        <w:rPr>
          <w:rFonts w:ascii="Times New Roman" w:hAnsi="Times New Roman"/>
          <w:b/>
          <w:bCs/>
        </w:rPr>
        <w:t>2013</w:t>
      </w:r>
      <w:r w:rsidR="00BB0A59" w:rsidRPr="009769F3">
        <w:rPr>
          <w:rFonts w:ascii="Times New Roman" w:hAnsi="Times New Roman"/>
        </w:rPr>
        <w:t xml:space="preserve">, </w:t>
      </w:r>
      <w:r w:rsidR="00BB0A59" w:rsidRPr="009769F3">
        <w:rPr>
          <w:rFonts w:ascii="Times New Roman" w:hAnsi="Times New Roman"/>
          <w:i/>
          <w:iCs/>
        </w:rPr>
        <w:t>59</w:t>
      </w:r>
      <w:r w:rsidR="00BB0A59" w:rsidRPr="009769F3">
        <w:rPr>
          <w:rFonts w:ascii="Times New Roman" w:hAnsi="Times New Roman"/>
        </w:rPr>
        <w:t>, 576-587</w:t>
      </w:r>
      <w:r w:rsidRPr="009769F3">
        <w:rPr>
          <w:rFonts w:ascii="Times New Roman" w:hAnsi="Times New Roman"/>
        </w:rPr>
        <w:t>.</w:t>
      </w:r>
    </w:p>
    <w:p w14:paraId="6D06B41C" w14:textId="6A8E1C25" w:rsidR="00630648" w:rsidRPr="009769F3" w:rsidRDefault="00630648" w:rsidP="00E33844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009769F3">
        <w:rPr>
          <w:rFonts w:ascii="Times New Roman" w:hAnsi="Times New Roman"/>
          <w:sz w:val="20"/>
          <w:szCs w:val="20"/>
          <w:lang w:val="en-US"/>
        </w:rPr>
        <w:t xml:space="preserve">B.S. Kumar; A. Dhakshinamoorthy; K. Pitchumani, </w:t>
      </w:r>
      <w:r w:rsidRPr="009769F3">
        <w:rPr>
          <w:rFonts w:ascii="Times New Roman" w:hAnsi="Times New Roman"/>
          <w:i/>
          <w:sz w:val="20"/>
          <w:szCs w:val="20"/>
          <w:lang w:val="en-US"/>
        </w:rPr>
        <w:t>Catal. Sci. Technol.</w:t>
      </w:r>
      <w:r w:rsidRPr="009769F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769F3">
        <w:rPr>
          <w:rFonts w:ascii="Times New Roman" w:hAnsi="Times New Roman"/>
          <w:b/>
          <w:bCs/>
          <w:sz w:val="20"/>
          <w:szCs w:val="20"/>
          <w:lang w:val="en-US"/>
        </w:rPr>
        <w:t>2014</w:t>
      </w:r>
      <w:r w:rsidRPr="009769F3"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9769F3">
        <w:rPr>
          <w:rFonts w:ascii="Times New Roman" w:hAnsi="Times New Roman"/>
          <w:i/>
          <w:iCs/>
          <w:sz w:val="20"/>
          <w:szCs w:val="20"/>
          <w:lang w:val="en-US"/>
        </w:rPr>
        <w:t>4</w:t>
      </w:r>
      <w:r w:rsidRPr="009769F3">
        <w:rPr>
          <w:rFonts w:ascii="Times New Roman" w:hAnsi="Times New Roman"/>
          <w:sz w:val="20"/>
          <w:szCs w:val="20"/>
          <w:lang w:val="en-US"/>
        </w:rPr>
        <w:t>, 2378-2396.</w:t>
      </w:r>
    </w:p>
    <w:p w14:paraId="7225C990" w14:textId="34AA1875" w:rsidR="00482E13" w:rsidRPr="009769F3" w:rsidRDefault="000A0FA1" w:rsidP="000A0FA1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009769F3">
        <w:rPr>
          <w:rFonts w:ascii="Times New Roman" w:hAnsi="Times New Roman"/>
          <w:sz w:val="20"/>
          <w:szCs w:val="20"/>
          <w:lang w:val="en-US"/>
        </w:rPr>
        <w:t>P.</w:t>
      </w:r>
      <w:r w:rsidR="004C0B23" w:rsidRPr="009769F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769F3">
        <w:rPr>
          <w:rFonts w:ascii="Times New Roman" w:hAnsi="Times New Roman"/>
          <w:sz w:val="20"/>
          <w:szCs w:val="20"/>
          <w:lang w:val="en-US"/>
        </w:rPr>
        <w:t>Komadel</w:t>
      </w:r>
      <w:r w:rsidR="004C0B23" w:rsidRPr="009769F3">
        <w:rPr>
          <w:rFonts w:ascii="Times New Roman" w:hAnsi="Times New Roman"/>
          <w:sz w:val="20"/>
          <w:szCs w:val="20"/>
          <w:lang w:val="en-US"/>
        </w:rPr>
        <w:t>,</w:t>
      </w:r>
      <w:r w:rsidRPr="009769F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769F3">
        <w:rPr>
          <w:rFonts w:ascii="Times New Roman" w:hAnsi="Times New Roman"/>
          <w:i/>
          <w:iCs/>
          <w:sz w:val="20"/>
          <w:szCs w:val="20"/>
          <w:lang w:val="en-US"/>
        </w:rPr>
        <w:t>Appl. Clay Sci</w:t>
      </w:r>
      <w:r w:rsidRPr="009769F3">
        <w:rPr>
          <w:rFonts w:ascii="Times New Roman" w:hAnsi="Times New Roman"/>
          <w:sz w:val="20"/>
          <w:szCs w:val="20"/>
          <w:lang w:val="en-US"/>
        </w:rPr>
        <w:t>.</w:t>
      </w:r>
      <w:r w:rsidR="004C0B23" w:rsidRPr="009769F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769F3">
        <w:rPr>
          <w:rFonts w:ascii="Times New Roman" w:hAnsi="Times New Roman"/>
          <w:b/>
          <w:bCs/>
          <w:sz w:val="20"/>
          <w:szCs w:val="20"/>
          <w:lang w:val="en-US"/>
        </w:rPr>
        <w:t>2016</w:t>
      </w:r>
      <w:r w:rsidRPr="009769F3"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9769F3">
        <w:rPr>
          <w:rFonts w:ascii="Times New Roman" w:hAnsi="Times New Roman"/>
          <w:i/>
          <w:iCs/>
          <w:sz w:val="20"/>
          <w:szCs w:val="20"/>
          <w:lang w:val="en-US"/>
        </w:rPr>
        <w:t>131</w:t>
      </w:r>
      <w:r w:rsidRPr="009769F3">
        <w:rPr>
          <w:rFonts w:ascii="Times New Roman" w:hAnsi="Times New Roman"/>
          <w:sz w:val="20"/>
          <w:szCs w:val="20"/>
          <w:lang w:val="en-US"/>
        </w:rPr>
        <w:t>, 84-99.</w:t>
      </w:r>
    </w:p>
    <w:p w14:paraId="1F7F87E9" w14:textId="642D1C99" w:rsidR="007F6705" w:rsidRPr="009769F3" w:rsidRDefault="009025B4" w:rsidP="007F6705">
      <w:pPr>
        <w:pStyle w:val="TAMainText"/>
        <w:numPr>
          <w:ilvl w:val="0"/>
          <w:numId w:val="1"/>
        </w:numPr>
        <w:rPr>
          <w:lang w:val="pt-BR"/>
        </w:rPr>
      </w:pPr>
      <w:r w:rsidRPr="009769F3">
        <w:rPr>
          <w:lang w:val="pt-BR"/>
        </w:rPr>
        <w:t xml:space="preserve">M.S. Carvalho; A.P.S. Oliveira; F.M. Mayer; C.F. Virgens; M.C. Rangel. </w:t>
      </w:r>
      <w:r w:rsidRPr="009769F3">
        <w:rPr>
          <w:i/>
          <w:lang w:val="pt-BR"/>
        </w:rPr>
        <w:t xml:space="preserve">Catalysis Research. </w:t>
      </w:r>
      <w:r w:rsidRPr="009769F3">
        <w:rPr>
          <w:b/>
          <w:lang w:val="pt-BR"/>
        </w:rPr>
        <w:t>2022</w:t>
      </w:r>
      <w:r w:rsidRPr="009769F3">
        <w:rPr>
          <w:lang w:val="pt-BR"/>
        </w:rPr>
        <w:t xml:space="preserve">, </w:t>
      </w:r>
      <w:r w:rsidRPr="009769F3">
        <w:rPr>
          <w:i/>
          <w:lang w:val="pt-BR"/>
        </w:rPr>
        <w:t>4,</w:t>
      </w:r>
      <w:r w:rsidRPr="009769F3">
        <w:rPr>
          <w:b/>
          <w:i/>
          <w:lang w:val="pt-BR"/>
        </w:rPr>
        <w:t xml:space="preserve"> </w:t>
      </w:r>
      <w:r w:rsidRPr="009769F3">
        <w:rPr>
          <w:lang w:val="pt-BR"/>
        </w:rPr>
        <w:t>038.</w:t>
      </w:r>
    </w:p>
    <w:p w14:paraId="1F81EE2E" w14:textId="133DD680" w:rsidR="00CD002F" w:rsidRPr="009769F3" w:rsidRDefault="00D45831" w:rsidP="00D45831">
      <w:pPr>
        <w:pStyle w:val="TAMainText"/>
        <w:numPr>
          <w:ilvl w:val="0"/>
          <w:numId w:val="1"/>
        </w:numPr>
      </w:pPr>
      <w:r w:rsidRPr="009769F3">
        <w:t>M. Kumar; S.N. Upadhyay; P.K. Mishra</w:t>
      </w:r>
      <w:r w:rsidR="0006186F" w:rsidRPr="009769F3">
        <w:t xml:space="preserve">, </w:t>
      </w:r>
      <w:r w:rsidR="0006186F" w:rsidRPr="009769F3">
        <w:rPr>
          <w:i/>
          <w:iCs/>
        </w:rPr>
        <w:t>Bioresour</w:t>
      </w:r>
      <w:r w:rsidR="00AF48E4" w:rsidRPr="009769F3">
        <w:rPr>
          <w:i/>
          <w:iCs/>
        </w:rPr>
        <w:t>.</w:t>
      </w:r>
      <w:r w:rsidR="0006186F" w:rsidRPr="009769F3">
        <w:rPr>
          <w:i/>
          <w:iCs/>
        </w:rPr>
        <w:t xml:space="preserve"> Technol.</w:t>
      </w:r>
      <w:r w:rsidR="0006186F" w:rsidRPr="009769F3">
        <w:t xml:space="preserve"> </w:t>
      </w:r>
      <w:r w:rsidR="0006186F" w:rsidRPr="009769F3">
        <w:rPr>
          <w:b/>
          <w:bCs/>
        </w:rPr>
        <w:t>2020,</w:t>
      </w:r>
      <w:r w:rsidR="0006186F" w:rsidRPr="009769F3">
        <w:t xml:space="preserve"> </w:t>
      </w:r>
      <w:r w:rsidR="0006186F" w:rsidRPr="009769F3">
        <w:rPr>
          <w:i/>
          <w:iCs/>
        </w:rPr>
        <w:t xml:space="preserve">307, </w:t>
      </w:r>
      <w:r w:rsidR="0006186F" w:rsidRPr="009769F3">
        <w:t>123161.</w:t>
      </w:r>
    </w:p>
    <w:p w14:paraId="7A13368F" w14:textId="087250CC" w:rsidR="006A25A0" w:rsidRPr="009769F3" w:rsidRDefault="0028132D" w:rsidP="001B075C">
      <w:pPr>
        <w:pStyle w:val="TAMainText"/>
        <w:numPr>
          <w:ilvl w:val="0"/>
          <w:numId w:val="1"/>
        </w:numPr>
        <w:rPr>
          <w:lang w:val="pt-BR"/>
        </w:rPr>
      </w:pPr>
      <w:r w:rsidRPr="009769F3">
        <w:rPr>
          <w:lang w:val="pt-BR"/>
        </w:rPr>
        <w:t xml:space="preserve">M.G.F. </w:t>
      </w:r>
      <w:r w:rsidR="001B075C" w:rsidRPr="009769F3">
        <w:rPr>
          <w:lang w:val="pt-BR"/>
        </w:rPr>
        <w:t>R</w:t>
      </w:r>
      <w:r w:rsidRPr="009769F3">
        <w:rPr>
          <w:lang w:val="pt-BR"/>
        </w:rPr>
        <w:t>odrigues</w:t>
      </w:r>
      <w:r w:rsidR="001B075C" w:rsidRPr="009769F3">
        <w:rPr>
          <w:lang w:val="pt-BR"/>
        </w:rPr>
        <w:t xml:space="preserve">; </w:t>
      </w:r>
      <w:r w:rsidRPr="009769F3">
        <w:rPr>
          <w:lang w:val="pt-BR"/>
        </w:rPr>
        <w:t xml:space="preserve">K.R.O </w:t>
      </w:r>
      <w:r w:rsidR="001B075C" w:rsidRPr="009769F3">
        <w:rPr>
          <w:lang w:val="pt-BR"/>
        </w:rPr>
        <w:t>P</w:t>
      </w:r>
      <w:r w:rsidRPr="009769F3">
        <w:rPr>
          <w:lang w:val="pt-BR"/>
        </w:rPr>
        <w:t>ereira</w:t>
      </w:r>
      <w:r w:rsidR="001B075C" w:rsidRPr="009769F3">
        <w:rPr>
          <w:lang w:val="pt-BR"/>
        </w:rPr>
        <w:t xml:space="preserve">; </w:t>
      </w:r>
      <w:r w:rsidRPr="009769F3">
        <w:rPr>
          <w:lang w:val="pt-BR"/>
        </w:rPr>
        <w:t>F.R. Valenzuela Díaz</w:t>
      </w:r>
      <w:r w:rsidR="001B075C" w:rsidRPr="009769F3">
        <w:rPr>
          <w:lang w:val="pt-BR"/>
        </w:rPr>
        <w:t xml:space="preserve">, </w:t>
      </w:r>
      <w:r w:rsidR="001B075C" w:rsidRPr="009769F3">
        <w:rPr>
          <w:i/>
          <w:iCs/>
          <w:lang w:val="pt-BR"/>
        </w:rPr>
        <w:t>Cerâmica</w:t>
      </w:r>
      <w:r w:rsidR="001B075C" w:rsidRPr="009769F3">
        <w:rPr>
          <w:lang w:val="pt-BR"/>
        </w:rPr>
        <w:t xml:space="preserve">, </w:t>
      </w:r>
      <w:r w:rsidRPr="009769F3">
        <w:rPr>
          <w:b/>
          <w:bCs/>
          <w:lang w:val="pt-BR"/>
        </w:rPr>
        <w:t>2006,</w:t>
      </w:r>
      <w:r w:rsidR="001B075C" w:rsidRPr="009769F3">
        <w:rPr>
          <w:lang w:val="pt-BR"/>
        </w:rPr>
        <w:t xml:space="preserve"> </w:t>
      </w:r>
      <w:r w:rsidR="001B075C" w:rsidRPr="009769F3">
        <w:rPr>
          <w:i/>
          <w:iCs/>
          <w:lang w:val="pt-BR"/>
        </w:rPr>
        <w:t>52</w:t>
      </w:r>
      <w:r w:rsidR="001B075C" w:rsidRPr="009769F3">
        <w:rPr>
          <w:lang w:val="pt-BR"/>
        </w:rPr>
        <w:t>, 260-263.</w:t>
      </w:r>
    </w:p>
    <w:p w14:paraId="3F0A6C15" w14:textId="5A34D44B" w:rsidR="00CA5C94" w:rsidRPr="009769F3" w:rsidRDefault="007F6705" w:rsidP="00306D82">
      <w:pPr>
        <w:pStyle w:val="TAMainText"/>
        <w:numPr>
          <w:ilvl w:val="0"/>
          <w:numId w:val="1"/>
        </w:numPr>
      </w:pPr>
      <w:r w:rsidRPr="009769F3">
        <w:t xml:space="preserve">M.E. Brown, </w:t>
      </w:r>
      <w:r w:rsidRPr="009769F3">
        <w:rPr>
          <w:i/>
          <w:iCs/>
        </w:rPr>
        <w:t>Introduction to thermal analysis: techniques and applications</w:t>
      </w:r>
      <w:r w:rsidR="00481BCE" w:rsidRPr="009769F3">
        <w:rPr>
          <w:i/>
          <w:iCs/>
        </w:rPr>
        <w:t>,</w:t>
      </w:r>
      <w:r w:rsidRPr="009769F3">
        <w:t xml:space="preserve"> Springer</w:t>
      </w:r>
      <w:r w:rsidR="00481BCE" w:rsidRPr="009769F3">
        <w:t xml:space="preserve">, </w:t>
      </w:r>
      <w:r w:rsidRPr="009769F3">
        <w:t xml:space="preserve">Netherlands, </w:t>
      </w:r>
      <w:r w:rsidRPr="009769F3">
        <w:rPr>
          <w:b/>
          <w:bCs/>
        </w:rPr>
        <w:t>2001</w:t>
      </w:r>
      <w:r w:rsidRPr="009769F3">
        <w:t xml:space="preserve">. </w:t>
      </w:r>
    </w:p>
    <w:p w14:paraId="7BDE027F" w14:textId="63D07A93" w:rsidR="004328EF" w:rsidRPr="009769F3" w:rsidRDefault="00CE747D" w:rsidP="00306D82">
      <w:pPr>
        <w:pStyle w:val="TAMainText"/>
        <w:numPr>
          <w:ilvl w:val="0"/>
          <w:numId w:val="1"/>
        </w:numPr>
      </w:pPr>
      <w:r w:rsidRPr="009769F3">
        <w:t xml:space="preserve">C.R. Ellison; D. Boldor, </w:t>
      </w:r>
      <w:r w:rsidRPr="009769F3">
        <w:rPr>
          <w:i/>
          <w:iCs/>
        </w:rPr>
        <w:t>Fuel</w:t>
      </w:r>
      <w:r w:rsidRPr="009769F3">
        <w:t xml:space="preserve">, </w:t>
      </w:r>
      <w:r w:rsidR="00555D63" w:rsidRPr="009769F3">
        <w:rPr>
          <w:b/>
          <w:bCs/>
        </w:rPr>
        <w:t>2021</w:t>
      </w:r>
      <w:r w:rsidR="00555D63" w:rsidRPr="009769F3">
        <w:t xml:space="preserve">, </w:t>
      </w:r>
      <w:r w:rsidR="00555D63" w:rsidRPr="009769F3">
        <w:rPr>
          <w:i/>
          <w:iCs/>
        </w:rPr>
        <w:t>291</w:t>
      </w:r>
      <w:r w:rsidR="00555D63" w:rsidRPr="009769F3">
        <w:t>, 120226.</w:t>
      </w:r>
      <w:r w:rsidRPr="009769F3">
        <w:t xml:space="preserve"> </w:t>
      </w:r>
    </w:p>
    <w:p w14:paraId="6A5973E9" w14:textId="112CAB90" w:rsidR="002C6FA5" w:rsidRPr="009769F3" w:rsidRDefault="002C6FA5" w:rsidP="00CE2F3C">
      <w:pPr>
        <w:pStyle w:val="TAMainText"/>
        <w:numPr>
          <w:ilvl w:val="0"/>
          <w:numId w:val="1"/>
        </w:numPr>
        <w:rPr>
          <w:lang w:val="pt-BR"/>
        </w:rPr>
      </w:pPr>
      <w:r w:rsidRPr="009769F3">
        <w:rPr>
          <w:lang w:val="pt-BR"/>
        </w:rPr>
        <w:t>F. Orsi</w:t>
      </w:r>
      <w:r w:rsidR="00AE0175" w:rsidRPr="009769F3">
        <w:rPr>
          <w:lang w:val="pt-BR"/>
        </w:rPr>
        <w:t xml:space="preserve">, </w:t>
      </w:r>
      <w:r w:rsidR="00AE0175" w:rsidRPr="009769F3">
        <w:rPr>
          <w:i/>
          <w:iCs/>
          <w:lang w:val="pt-BR"/>
        </w:rPr>
        <w:t xml:space="preserve">Therm. Anal. </w:t>
      </w:r>
      <w:r w:rsidR="00AE0175" w:rsidRPr="009769F3">
        <w:rPr>
          <w:b/>
          <w:bCs/>
          <w:lang w:val="pt-BR"/>
        </w:rPr>
        <w:t>1973</w:t>
      </w:r>
      <w:r w:rsidR="00AE0175" w:rsidRPr="009769F3">
        <w:rPr>
          <w:lang w:val="pt-BR"/>
        </w:rPr>
        <w:t xml:space="preserve">, </w:t>
      </w:r>
      <w:r w:rsidR="00AE0175" w:rsidRPr="009769F3">
        <w:rPr>
          <w:i/>
          <w:iCs/>
          <w:lang w:val="pt-BR"/>
        </w:rPr>
        <w:t>5</w:t>
      </w:r>
      <w:r w:rsidR="00AE0175" w:rsidRPr="009769F3">
        <w:rPr>
          <w:lang w:val="pt-BR"/>
        </w:rPr>
        <w:t xml:space="preserve">, </w:t>
      </w:r>
      <w:r w:rsidR="0009214E" w:rsidRPr="009769F3">
        <w:rPr>
          <w:lang w:val="pt-BR"/>
        </w:rPr>
        <w:t>329-335.</w:t>
      </w:r>
    </w:p>
    <w:p w14:paraId="0230FA91" w14:textId="0409CA37" w:rsidR="00BA71DB" w:rsidRPr="009769F3" w:rsidRDefault="008774B9" w:rsidP="00CE2F3C">
      <w:pPr>
        <w:pStyle w:val="TAMainText"/>
        <w:numPr>
          <w:ilvl w:val="0"/>
          <w:numId w:val="1"/>
        </w:numPr>
        <w:rPr>
          <w:lang w:val="pt-BR"/>
        </w:rPr>
      </w:pPr>
      <w:r w:rsidRPr="009769F3">
        <w:rPr>
          <w:lang w:val="pt-BR"/>
        </w:rPr>
        <w:t>A.A. Casazza; B.</w:t>
      </w:r>
      <w:r w:rsidR="00CE2F3C" w:rsidRPr="009769F3">
        <w:rPr>
          <w:lang w:val="pt-BR"/>
        </w:rPr>
        <w:t xml:space="preserve"> Aliakbarian; A. Lagazzo; G. Garbarino; M.M</w:t>
      </w:r>
      <w:r w:rsidR="000B1E2F" w:rsidRPr="009769F3">
        <w:rPr>
          <w:lang w:val="pt-BR"/>
        </w:rPr>
        <w:t xml:space="preserve">. Carnasciali; P. Perego; G. Busca, </w:t>
      </w:r>
      <w:r w:rsidR="00FF6762" w:rsidRPr="009769F3">
        <w:rPr>
          <w:i/>
          <w:iCs/>
          <w:lang w:val="pt-BR"/>
        </w:rPr>
        <w:t>Fuel Process</w:t>
      </w:r>
      <w:r w:rsidR="003C72F7" w:rsidRPr="009769F3">
        <w:rPr>
          <w:i/>
          <w:iCs/>
          <w:lang w:val="pt-BR"/>
        </w:rPr>
        <w:t>.</w:t>
      </w:r>
      <w:r w:rsidR="00FF6762" w:rsidRPr="009769F3">
        <w:rPr>
          <w:i/>
          <w:iCs/>
          <w:lang w:val="pt-BR"/>
        </w:rPr>
        <w:t xml:space="preserve"> Technol</w:t>
      </w:r>
      <w:r w:rsidR="003C72F7" w:rsidRPr="009769F3">
        <w:rPr>
          <w:i/>
          <w:iCs/>
          <w:lang w:val="pt-BR"/>
        </w:rPr>
        <w:t>.</w:t>
      </w:r>
      <w:r w:rsidR="00FF6762" w:rsidRPr="009769F3">
        <w:rPr>
          <w:i/>
          <w:iCs/>
          <w:lang w:val="pt-BR"/>
        </w:rPr>
        <w:t xml:space="preserve"> </w:t>
      </w:r>
      <w:r w:rsidR="00FF6762" w:rsidRPr="009769F3">
        <w:rPr>
          <w:b/>
          <w:bCs/>
          <w:lang w:val="pt-BR"/>
        </w:rPr>
        <w:t>2016</w:t>
      </w:r>
      <w:r w:rsidR="00FF6762" w:rsidRPr="009769F3">
        <w:rPr>
          <w:lang w:val="pt-BR"/>
        </w:rPr>
        <w:t xml:space="preserve">, </w:t>
      </w:r>
      <w:r w:rsidR="00FF6762" w:rsidRPr="009769F3">
        <w:rPr>
          <w:i/>
          <w:iCs/>
          <w:lang w:val="pt-BR"/>
        </w:rPr>
        <w:t>153</w:t>
      </w:r>
      <w:r w:rsidR="00FF6762" w:rsidRPr="009769F3">
        <w:rPr>
          <w:lang w:val="pt-BR"/>
        </w:rPr>
        <w:t>, 121–128.</w:t>
      </w:r>
    </w:p>
    <w:p w14:paraId="5D7D851D" w14:textId="7E5476E1" w:rsidR="00186500" w:rsidRPr="009769F3" w:rsidRDefault="00AB0B05" w:rsidP="00AB0B05">
      <w:pPr>
        <w:pStyle w:val="TAMainText"/>
        <w:numPr>
          <w:ilvl w:val="0"/>
          <w:numId w:val="1"/>
        </w:numPr>
      </w:pPr>
      <w:r w:rsidRPr="009769F3">
        <w:t>E. Madadian; J. Rahimi; M. Mohebbi</w:t>
      </w:r>
      <w:r w:rsidR="0074596B" w:rsidRPr="009769F3">
        <w:t xml:space="preserve">; </w:t>
      </w:r>
      <w:r w:rsidRPr="009769F3">
        <w:t>D</w:t>
      </w:r>
      <w:r w:rsidR="0074596B" w:rsidRPr="009769F3">
        <w:t>.</w:t>
      </w:r>
      <w:r w:rsidRPr="009769F3">
        <w:t>S.A. Simakov</w:t>
      </w:r>
      <w:r w:rsidR="00FD34B3" w:rsidRPr="009769F3">
        <w:t xml:space="preserve">, </w:t>
      </w:r>
      <w:r w:rsidR="00FD34B3" w:rsidRPr="009769F3">
        <w:rPr>
          <w:i/>
          <w:iCs/>
        </w:rPr>
        <w:t>Food  Bioprod</w:t>
      </w:r>
      <w:r w:rsidR="005D6DFC" w:rsidRPr="009769F3">
        <w:rPr>
          <w:i/>
          <w:iCs/>
        </w:rPr>
        <w:t>.</w:t>
      </w:r>
      <w:r w:rsidR="00FD34B3" w:rsidRPr="009769F3">
        <w:rPr>
          <w:i/>
          <w:iCs/>
        </w:rPr>
        <w:t xml:space="preserve">  Process</w:t>
      </w:r>
      <w:r w:rsidR="005D6DFC" w:rsidRPr="009769F3">
        <w:rPr>
          <w:i/>
          <w:iCs/>
        </w:rPr>
        <w:t>.</w:t>
      </w:r>
      <w:r w:rsidR="00FD34B3" w:rsidRPr="009769F3">
        <w:t xml:space="preserve"> </w:t>
      </w:r>
      <w:r w:rsidR="00FD34B3" w:rsidRPr="009769F3">
        <w:rPr>
          <w:b/>
          <w:bCs/>
        </w:rPr>
        <w:t>2022</w:t>
      </w:r>
      <w:r w:rsidR="00FD34B3" w:rsidRPr="009769F3">
        <w:t xml:space="preserve">, </w:t>
      </w:r>
      <w:r w:rsidR="00FD34B3" w:rsidRPr="009769F3">
        <w:rPr>
          <w:i/>
          <w:iCs/>
        </w:rPr>
        <w:t>132</w:t>
      </w:r>
      <w:r w:rsidR="00FD34B3" w:rsidRPr="009769F3">
        <w:t>, 177–18.</w:t>
      </w:r>
    </w:p>
    <w:p w14:paraId="76918424" w14:textId="1D5B0A12" w:rsidR="000A004F" w:rsidRPr="009769F3" w:rsidRDefault="00E7015E" w:rsidP="000A004F">
      <w:pPr>
        <w:pStyle w:val="TAMainText"/>
        <w:numPr>
          <w:ilvl w:val="0"/>
          <w:numId w:val="1"/>
        </w:numPr>
      </w:pPr>
      <w:r w:rsidRPr="009769F3">
        <w:t xml:space="preserve">G. </w:t>
      </w:r>
      <w:r w:rsidR="000A004F" w:rsidRPr="009769F3">
        <w:t>Vtirhegyi</w:t>
      </w:r>
      <w:r w:rsidRPr="009769F3">
        <w:t xml:space="preserve">; </w:t>
      </w:r>
      <w:r w:rsidR="00A40308" w:rsidRPr="009769F3">
        <w:t xml:space="preserve">M.J. Antal Jr.; E. Jakab; </w:t>
      </w:r>
      <w:r w:rsidR="00493E64" w:rsidRPr="009769F3">
        <w:t xml:space="preserve">P. Szabó, </w:t>
      </w:r>
      <w:r w:rsidR="006C3DDF" w:rsidRPr="009769F3">
        <w:rPr>
          <w:i/>
          <w:iCs/>
        </w:rPr>
        <w:t>J. Anal. Appl. Pyrolysis</w:t>
      </w:r>
      <w:r w:rsidR="001E1A20" w:rsidRPr="009769F3">
        <w:t xml:space="preserve">. </w:t>
      </w:r>
      <w:r w:rsidR="001E1A20" w:rsidRPr="009769F3">
        <w:rPr>
          <w:b/>
          <w:bCs/>
        </w:rPr>
        <w:t>1997</w:t>
      </w:r>
      <w:r w:rsidR="001E1A20" w:rsidRPr="009769F3">
        <w:t>, 42, 73-87.</w:t>
      </w:r>
    </w:p>
    <w:p w14:paraId="0668FA11" w14:textId="77F56A31" w:rsidR="008631DA" w:rsidRPr="009769F3" w:rsidRDefault="008631DA" w:rsidP="008631DA">
      <w:pPr>
        <w:pStyle w:val="TAMainText"/>
        <w:numPr>
          <w:ilvl w:val="0"/>
          <w:numId w:val="1"/>
        </w:numPr>
      </w:pPr>
      <w:r w:rsidRPr="009769F3">
        <w:t xml:space="preserve">Y. Wang; </w:t>
      </w:r>
      <w:r w:rsidR="002764DB" w:rsidRPr="009769F3">
        <w:t>A</w:t>
      </w:r>
      <w:r w:rsidR="00C9305C" w:rsidRPr="009769F3">
        <w:t xml:space="preserve">. </w:t>
      </w:r>
      <w:r w:rsidRPr="009769F3">
        <w:t xml:space="preserve">Akbarzadeh; </w:t>
      </w:r>
      <w:r w:rsidR="00C9305C" w:rsidRPr="009769F3">
        <w:t xml:space="preserve">L. </w:t>
      </w:r>
      <w:r w:rsidRPr="009769F3">
        <w:t xml:space="preserve">Chong; </w:t>
      </w:r>
      <w:r w:rsidR="00C9305C" w:rsidRPr="009769F3">
        <w:t xml:space="preserve">J. </w:t>
      </w:r>
      <w:r w:rsidRPr="009769F3">
        <w:t xml:space="preserve">Du; </w:t>
      </w:r>
      <w:r w:rsidR="00C9305C" w:rsidRPr="009769F3">
        <w:t>N</w:t>
      </w:r>
      <w:r w:rsidR="00003C2E" w:rsidRPr="009769F3">
        <w:t xml:space="preserve">. </w:t>
      </w:r>
      <w:r w:rsidRPr="009769F3">
        <w:t xml:space="preserve">Tahir; </w:t>
      </w:r>
      <w:r w:rsidR="00003C2E" w:rsidRPr="009769F3">
        <w:t xml:space="preserve">M.K. </w:t>
      </w:r>
      <w:r w:rsidRPr="009769F3">
        <w:t xml:space="preserve">Awasthi, </w:t>
      </w:r>
      <w:r w:rsidRPr="009769F3">
        <w:rPr>
          <w:i/>
          <w:iCs/>
        </w:rPr>
        <w:t>Chemosphere</w:t>
      </w:r>
      <w:r w:rsidR="00003C2E" w:rsidRPr="009769F3">
        <w:t>,</w:t>
      </w:r>
      <w:r w:rsidRPr="009769F3">
        <w:t xml:space="preserve"> </w:t>
      </w:r>
      <w:r w:rsidRPr="009769F3">
        <w:rPr>
          <w:b/>
          <w:bCs/>
        </w:rPr>
        <w:t>2022</w:t>
      </w:r>
      <w:r w:rsidRPr="009769F3">
        <w:t xml:space="preserve">, </w:t>
      </w:r>
      <w:r w:rsidRPr="009769F3">
        <w:rPr>
          <w:i/>
          <w:iCs/>
        </w:rPr>
        <w:t>297</w:t>
      </w:r>
      <w:r w:rsidRPr="009769F3">
        <w:t>, 134181.</w:t>
      </w:r>
    </w:p>
    <w:p w14:paraId="7217004A" w14:textId="77777777" w:rsidR="009025B4" w:rsidRPr="00493E64" w:rsidRDefault="009025B4" w:rsidP="00EA4E1B">
      <w:pPr>
        <w:pStyle w:val="TAMainText"/>
        <w:ind w:firstLine="0"/>
      </w:pPr>
    </w:p>
    <w:p w14:paraId="16FFBE99" w14:textId="77777777" w:rsidR="008E1F36" w:rsidRPr="00493E64" w:rsidRDefault="008E1F36" w:rsidP="00EA4E1B">
      <w:pPr>
        <w:pStyle w:val="TAMainText"/>
        <w:ind w:firstLine="0"/>
      </w:pPr>
    </w:p>
    <w:sectPr w:rsidR="008E1F36" w:rsidRPr="00493E64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AAF2" w14:textId="77777777" w:rsidR="00796DCC" w:rsidRDefault="00796DCC" w:rsidP="00EA4E1B">
      <w:pPr>
        <w:spacing w:after="0" w:line="240" w:lineRule="auto"/>
      </w:pPr>
      <w:r>
        <w:separator/>
      </w:r>
    </w:p>
  </w:endnote>
  <w:endnote w:type="continuationSeparator" w:id="0">
    <w:p w14:paraId="35CD2C80" w14:textId="77777777" w:rsidR="00796DCC" w:rsidRDefault="00796DCC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AA99" w14:textId="77777777" w:rsidR="00796DCC" w:rsidRDefault="00796DCC" w:rsidP="00EA4E1B">
      <w:pPr>
        <w:spacing w:after="0" w:line="240" w:lineRule="auto"/>
      </w:pPr>
      <w:r>
        <w:separator/>
      </w:r>
    </w:p>
  </w:footnote>
  <w:footnote w:type="continuationSeparator" w:id="0">
    <w:p w14:paraId="015F2353" w14:textId="77777777" w:rsidR="00796DCC" w:rsidRDefault="00796DCC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2" name="Imagem 2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0B4117"/>
    <w:multiLevelType w:val="hybridMultilevel"/>
    <w:tmpl w:val="8F3EC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39884">
    <w:abstractNumId w:val="0"/>
  </w:num>
  <w:num w:numId="2" w16cid:durableId="68984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03E3"/>
    <w:rsid w:val="00000E4C"/>
    <w:rsid w:val="00001467"/>
    <w:rsid w:val="00003C2E"/>
    <w:rsid w:val="000060E3"/>
    <w:rsid w:val="000104B1"/>
    <w:rsid w:val="00011BB9"/>
    <w:rsid w:val="00011EAE"/>
    <w:rsid w:val="0001264A"/>
    <w:rsid w:val="00012EB4"/>
    <w:rsid w:val="000159F4"/>
    <w:rsid w:val="000163A6"/>
    <w:rsid w:val="00016BE7"/>
    <w:rsid w:val="00016DDB"/>
    <w:rsid w:val="00022590"/>
    <w:rsid w:val="00023096"/>
    <w:rsid w:val="000242D5"/>
    <w:rsid w:val="00024644"/>
    <w:rsid w:val="000256B1"/>
    <w:rsid w:val="00031428"/>
    <w:rsid w:val="0003150E"/>
    <w:rsid w:val="00031E79"/>
    <w:rsid w:val="00032D5F"/>
    <w:rsid w:val="00032FA3"/>
    <w:rsid w:val="000336C2"/>
    <w:rsid w:val="00037901"/>
    <w:rsid w:val="0004040E"/>
    <w:rsid w:val="00040971"/>
    <w:rsid w:val="000410EA"/>
    <w:rsid w:val="00041FCD"/>
    <w:rsid w:val="00042B1A"/>
    <w:rsid w:val="00043437"/>
    <w:rsid w:val="00043DF6"/>
    <w:rsid w:val="0004595F"/>
    <w:rsid w:val="00050795"/>
    <w:rsid w:val="00051A11"/>
    <w:rsid w:val="0005460D"/>
    <w:rsid w:val="00054A53"/>
    <w:rsid w:val="00060342"/>
    <w:rsid w:val="0006186F"/>
    <w:rsid w:val="00061A72"/>
    <w:rsid w:val="00062FB1"/>
    <w:rsid w:val="00065D54"/>
    <w:rsid w:val="00066617"/>
    <w:rsid w:val="000675CD"/>
    <w:rsid w:val="000676A3"/>
    <w:rsid w:val="00073E87"/>
    <w:rsid w:val="00073F45"/>
    <w:rsid w:val="00082A2A"/>
    <w:rsid w:val="00083DB6"/>
    <w:rsid w:val="000842E7"/>
    <w:rsid w:val="000863BC"/>
    <w:rsid w:val="00090DCC"/>
    <w:rsid w:val="0009128B"/>
    <w:rsid w:val="0009214E"/>
    <w:rsid w:val="00092ED6"/>
    <w:rsid w:val="00093490"/>
    <w:rsid w:val="00096885"/>
    <w:rsid w:val="00096CE9"/>
    <w:rsid w:val="000A004F"/>
    <w:rsid w:val="000A0FA1"/>
    <w:rsid w:val="000A1DFD"/>
    <w:rsid w:val="000A3ED4"/>
    <w:rsid w:val="000B1E2F"/>
    <w:rsid w:val="000B2AFB"/>
    <w:rsid w:val="000B4E14"/>
    <w:rsid w:val="000B61CC"/>
    <w:rsid w:val="000C1861"/>
    <w:rsid w:val="000C6AA9"/>
    <w:rsid w:val="000D69D4"/>
    <w:rsid w:val="000D6BBF"/>
    <w:rsid w:val="000E2059"/>
    <w:rsid w:val="000F1D24"/>
    <w:rsid w:val="000F475F"/>
    <w:rsid w:val="000F5C7D"/>
    <w:rsid w:val="0010105E"/>
    <w:rsid w:val="0010511F"/>
    <w:rsid w:val="0010575D"/>
    <w:rsid w:val="00110E82"/>
    <w:rsid w:val="001263D6"/>
    <w:rsid w:val="001306B7"/>
    <w:rsid w:val="00136903"/>
    <w:rsid w:val="001371A0"/>
    <w:rsid w:val="00137A11"/>
    <w:rsid w:val="00137B52"/>
    <w:rsid w:val="00143E7F"/>
    <w:rsid w:val="00145464"/>
    <w:rsid w:val="0014714B"/>
    <w:rsid w:val="0015434B"/>
    <w:rsid w:val="00156077"/>
    <w:rsid w:val="001614A0"/>
    <w:rsid w:val="00162D02"/>
    <w:rsid w:val="00166C7F"/>
    <w:rsid w:val="0016760B"/>
    <w:rsid w:val="00171515"/>
    <w:rsid w:val="00175329"/>
    <w:rsid w:val="0017712E"/>
    <w:rsid w:val="00182531"/>
    <w:rsid w:val="00186500"/>
    <w:rsid w:val="001905BC"/>
    <w:rsid w:val="001976C3"/>
    <w:rsid w:val="001A09AD"/>
    <w:rsid w:val="001A115E"/>
    <w:rsid w:val="001A12B8"/>
    <w:rsid w:val="001A49D8"/>
    <w:rsid w:val="001A4E3B"/>
    <w:rsid w:val="001A6EAC"/>
    <w:rsid w:val="001A7433"/>
    <w:rsid w:val="001B075C"/>
    <w:rsid w:val="001B1458"/>
    <w:rsid w:val="001B19D4"/>
    <w:rsid w:val="001B3572"/>
    <w:rsid w:val="001B3B29"/>
    <w:rsid w:val="001B5214"/>
    <w:rsid w:val="001B6C5F"/>
    <w:rsid w:val="001C2031"/>
    <w:rsid w:val="001C3539"/>
    <w:rsid w:val="001D04E4"/>
    <w:rsid w:val="001D5255"/>
    <w:rsid w:val="001E1A20"/>
    <w:rsid w:val="001E2656"/>
    <w:rsid w:val="001E26B2"/>
    <w:rsid w:val="001E3323"/>
    <w:rsid w:val="001E4DCF"/>
    <w:rsid w:val="001E58A9"/>
    <w:rsid w:val="001E5B15"/>
    <w:rsid w:val="001F0117"/>
    <w:rsid w:val="001F25B2"/>
    <w:rsid w:val="001F65FB"/>
    <w:rsid w:val="001F7F71"/>
    <w:rsid w:val="00204AE4"/>
    <w:rsid w:val="00204BE0"/>
    <w:rsid w:val="00204DB3"/>
    <w:rsid w:val="0020784D"/>
    <w:rsid w:val="002100BA"/>
    <w:rsid w:val="00211C92"/>
    <w:rsid w:val="00212E5F"/>
    <w:rsid w:val="00222230"/>
    <w:rsid w:val="00223CB1"/>
    <w:rsid w:val="00224A27"/>
    <w:rsid w:val="00226C24"/>
    <w:rsid w:val="00237AF9"/>
    <w:rsid w:val="00240B35"/>
    <w:rsid w:val="00244ED0"/>
    <w:rsid w:val="00246271"/>
    <w:rsid w:val="002468C8"/>
    <w:rsid w:val="00246E39"/>
    <w:rsid w:val="0024759C"/>
    <w:rsid w:val="002530BD"/>
    <w:rsid w:val="00253794"/>
    <w:rsid w:val="0026039B"/>
    <w:rsid w:val="00260516"/>
    <w:rsid w:val="00273375"/>
    <w:rsid w:val="002764DB"/>
    <w:rsid w:val="00276C4B"/>
    <w:rsid w:val="00280C6B"/>
    <w:rsid w:val="0028132D"/>
    <w:rsid w:val="00287D75"/>
    <w:rsid w:val="00293610"/>
    <w:rsid w:val="00296477"/>
    <w:rsid w:val="0029687E"/>
    <w:rsid w:val="002973D4"/>
    <w:rsid w:val="00297F16"/>
    <w:rsid w:val="002A0E44"/>
    <w:rsid w:val="002A231B"/>
    <w:rsid w:val="002A3D64"/>
    <w:rsid w:val="002A4244"/>
    <w:rsid w:val="002A497D"/>
    <w:rsid w:val="002A4BD3"/>
    <w:rsid w:val="002A64FE"/>
    <w:rsid w:val="002B0EF4"/>
    <w:rsid w:val="002B36EB"/>
    <w:rsid w:val="002B640A"/>
    <w:rsid w:val="002B782E"/>
    <w:rsid w:val="002C2388"/>
    <w:rsid w:val="002C391F"/>
    <w:rsid w:val="002C3C8A"/>
    <w:rsid w:val="002C6FA5"/>
    <w:rsid w:val="002D1F1D"/>
    <w:rsid w:val="002D2332"/>
    <w:rsid w:val="002D2458"/>
    <w:rsid w:val="002D24D8"/>
    <w:rsid w:val="002D2F07"/>
    <w:rsid w:val="002D3D70"/>
    <w:rsid w:val="002D5072"/>
    <w:rsid w:val="002D6CAC"/>
    <w:rsid w:val="002E01B7"/>
    <w:rsid w:val="002E0B02"/>
    <w:rsid w:val="002F2235"/>
    <w:rsid w:val="002F394E"/>
    <w:rsid w:val="002F52B6"/>
    <w:rsid w:val="002F6D7C"/>
    <w:rsid w:val="002F6F50"/>
    <w:rsid w:val="002F75E0"/>
    <w:rsid w:val="002F7A5E"/>
    <w:rsid w:val="00302254"/>
    <w:rsid w:val="00302401"/>
    <w:rsid w:val="003026DA"/>
    <w:rsid w:val="003050F5"/>
    <w:rsid w:val="00305A5C"/>
    <w:rsid w:val="00306D82"/>
    <w:rsid w:val="0030714B"/>
    <w:rsid w:val="003112BE"/>
    <w:rsid w:val="00311B28"/>
    <w:rsid w:val="0031449F"/>
    <w:rsid w:val="003158FF"/>
    <w:rsid w:val="0031731D"/>
    <w:rsid w:val="0032028F"/>
    <w:rsid w:val="00321059"/>
    <w:rsid w:val="00321581"/>
    <w:rsid w:val="0032236C"/>
    <w:rsid w:val="00324123"/>
    <w:rsid w:val="003303D6"/>
    <w:rsid w:val="00333F71"/>
    <w:rsid w:val="00334C39"/>
    <w:rsid w:val="003367BA"/>
    <w:rsid w:val="00340B1E"/>
    <w:rsid w:val="0034192B"/>
    <w:rsid w:val="00341D42"/>
    <w:rsid w:val="0035272B"/>
    <w:rsid w:val="0035343F"/>
    <w:rsid w:val="00353FB9"/>
    <w:rsid w:val="003555A6"/>
    <w:rsid w:val="003623E6"/>
    <w:rsid w:val="00362545"/>
    <w:rsid w:val="00364744"/>
    <w:rsid w:val="00366627"/>
    <w:rsid w:val="00371AF0"/>
    <w:rsid w:val="003736ED"/>
    <w:rsid w:val="00374082"/>
    <w:rsid w:val="00377C9F"/>
    <w:rsid w:val="00377D31"/>
    <w:rsid w:val="00385453"/>
    <w:rsid w:val="00385B0A"/>
    <w:rsid w:val="00386F5B"/>
    <w:rsid w:val="0039053F"/>
    <w:rsid w:val="0039097E"/>
    <w:rsid w:val="003942B3"/>
    <w:rsid w:val="0039453A"/>
    <w:rsid w:val="00395858"/>
    <w:rsid w:val="00395DC8"/>
    <w:rsid w:val="00397AC9"/>
    <w:rsid w:val="003A01FF"/>
    <w:rsid w:val="003A133D"/>
    <w:rsid w:val="003A3583"/>
    <w:rsid w:val="003A4265"/>
    <w:rsid w:val="003B0F8E"/>
    <w:rsid w:val="003B17DD"/>
    <w:rsid w:val="003B360A"/>
    <w:rsid w:val="003B4154"/>
    <w:rsid w:val="003C4433"/>
    <w:rsid w:val="003C4609"/>
    <w:rsid w:val="003C6CD8"/>
    <w:rsid w:val="003C72F7"/>
    <w:rsid w:val="003C7838"/>
    <w:rsid w:val="003D4D7B"/>
    <w:rsid w:val="003D55C3"/>
    <w:rsid w:val="003D78FD"/>
    <w:rsid w:val="003E07B0"/>
    <w:rsid w:val="003E099B"/>
    <w:rsid w:val="003E1624"/>
    <w:rsid w:val="003E2573"/>
    <w:rsid w:val="003E2E12"/>
    <w:rsid w:val="003E2EB4"/>
    <w:rsid w:val="003F107D"/>
    <w:rsid w:val="003F113F"/>
    <w:rsid w:val="003F4BB1"/>
    <w:rsid w:val="003F6D3F"/>
    <w:rsid w:val="003F6E55"/>
    <w:rsid w:val="003F74FF"/>
    <w:rsid w:val="00401959"/>
    <w:rsid w:val="00402F3E"/>
    <w:rsid w:val="0040486D"/>
    <w:rsid w:val="004058DF"/>
    <w:rsid w:val="00405F8C"/>
    <w:rsid w:val="00407019"/>
    <w:rsid w:val="00410C49"/>
    <w:rsid w:val="0041157C"/>
    <w:rsid w:val="0042005B"/>
    <w:rsid w:val="0042054A"/>
    <w:rsid w:val="00420C65"/>
    <w:rsid w:val="004228B1"/>
    <w:rsid w:val="00422C24"/>
    <w:rsid w:val="00424EA3"/>
    <w:rsid w:val="00426412"/>
    <w:rsid w:val="0043021A"/>
    <w:rsid w:val="004328EF"/>
    <w:rsid w:val="0043456B"/>
    <w:rsid w:val="00445C6D"/>
    <w:rsid w:val="00446DDD"/>
    <w:rsid w:val="004477D1"/>
    <w:rsid w:val="00453A89"/>
    <w:rsid w:val="00453B34"/>
    <w:rsid w:val="00454760"/>
    <w:rsid w:val="00464820"/>
    <w:rsid w:val="00465618"/>
    <w:rsid w:val="00466BD4"/>
    <w:rsid w:val="004676BB"/>
    <w:rsid w:val="00467F75"/>
    <w:rsid w:val="0047236F"/>
    <w:rsid w:val="00475A4E"/>
    <w:rsid w:val="00475AC1"/>
    <w:rsid w:val="00477892"/>
    <w:rsid w:val="00481BCE"/>
    <w:rsid w:val="00482E13"/>
    <w:rsid w:val="00483434"/>
    <w:rsid w:val="0048675B"/>
    <w:rsid w:val="004900AB"/>
    <w:rsid w:val="00493E64"/>
    <w:rsid w:val="00494B55"/>
    <w:rsid w:val="00495688"/>
    <w:rsid w:val="00495976"/>
    <w:rsid w:val="004961CA"/>
    <w:rsid w:val="004A64CA"/>
    <w:rsid w:val="004A7DF3"/>
    <w:rsid w:val="004B00BF"/>
    <w:rsid w:val="004B0B8F"/>
    <w:rsid w:val="004B1A92"/>
    <w:rsid w:val="004B4CEC"/>
    <w:rsid w:val="004B700F"/>
    <w:rsid w:val="004B7071"/>
    <w:rsid w:val="004C063A"/>
    <w:rsid w:val="004C0B23"/>
    <w:rsid w:val="004C114C"/>
    <w:rsid w:val="004C231F"/>
    <w:rsid w:val="004C3016"/>
    <w:rsid w:val="004C3606"/>
    <w:rsid w:val="004C5776"/>
    <w:rsid w:val="004C5C86"/>
    <w:rsid w:val="004C60CD"/>
    <w:rsid w:val="004C6468"/>
    <w:rsid w:val="004D0368"/>
    <w:rsid w:val="004D79FE"/>
    <w:rsid w:val="004E075E"/>
    <w:rsid w:val="004E47CF"/>
    <w:rsid w:val="004E55EC"/>
    <w:rsid w:val="004E73F9"/>
    <w:rsid w:val="004F1C36"/>
    <w:rsid w:val="004F3F42"/>
    <w:rsid w:val="004F3FFD"/>
    <w:rsid w:val="004F5639"/>
    <w:rsid w:val="004F5A24"/>
    <w:rsid w:val="004F6DB7"/>
    <w:rsid w:val="00500903"/>
    <w:rsid w:val="00502514"/>
    <w:rsid w:val="00514060"/>
    <w:rsid w:val="005156B1"/>
    <w:rsid w:val="0051590E"/>
    <w:rsid w:val="005207E7"/>
    <w:rsid w:val="0052112E"/>
    <w:rsid w:val="0052126D"/>
    <w:rsid w:val="0052278E"/>
    <w:rsid w:val="00524A7F"/>
    <w:rsid w:val="00530DD4"/>
    <w:rsid w:val="0053695A"/>
    <w:rsid w:val="00537500"/>
    <w:rsid w:val="00540860"/>
    <w:rsid w:val="0054293C"/>
    <w:rsid w:val="00543161"/>
    <w:rsid w:val="005439C6"/>
    <w:rsid w:val="0054464E"/>
    <w:rsid w:val="00545498"/>
    <w:rsid w:val="0054690D"/>
    <w:rsid w:val="00547912"/>
    <w:rsid w:val="005513FD"/>
    <w:rsid w:val="005529B2"/>
    <w:rsid w:val="0055347C"/>
    <w:rsid w:val="00553566"/>
    <w:rsid w:val="00555A34"/>
    <w:rsid w:val="00555D63"/>
    <w:rsid w:val="00555DC9"/>
    <w:rsid w:val="00556B43"/>
    <w:rsid w:val="00557416"/>
    <w:rsid w:val="0055792F"/>
    <w:rsid w:val="00566CD8"/>
    <w:rsid w:val="00571CA1"/>
    <w:rsid w:val="005739B7"/>
    <w:rsid w:val="00574140"/>
    <w:rsid w:val="00576C91"/>
    <w:rsid w:val="00577E5B"/>
    <w:rsid w:val="00580DB9"/>
    <w:rsid w:val="00582455"/>
    <w:rsid w:val="00582809"/>
    <w:rsid w:val="005833B5"/>
    <w:rsid w:val="00585688"/>
    <w:rsid w:val="0058665A"/>
    <w:rsid w:val="005939E5"/>
    <w:rsid w:val="00596A3F"/>
    <w:rsid w:val="0059782B"/>
    <w:rsid w:val="00597907"/>
    <w:rsid w:val="005A3204"/>
    <w:rsid w:val="005A53D4"/>
    <w:rsid w:val="005A5572"/>
    <w:rsid w:val="005A7193"/>
    <w:rsid w:val="005B304A"/>
    <w:rsid w:val="005B3B8D"/>
    <w:rsid w:val="005B49B1"/>
    <w:rsid w:val="005B57F3"/>
    <w:rsid w:val="005B71CB"/>
    <w:rsid w:val="005C1A56"/>
    <w:rsid w:val="005C1FE1"/>
    <w:rsid w:val="005C2775"/>
    <w:rsid w:val="005C2B35"/>
    <w:rsid w:val="005C510F"/>
    <w:rsid w:val="005C5648"/>
    <w:rsid w:val="005C75C9"/>
    <w:rsid w:val="005C7A0C"/>
    <w:rsid w:val="005D0200"/>
    <w:rsid w:val="005D041C"/>
    <w:rsid w:val="005D60D9"/>
    <w:rsid w:val="005D65EB"/>
    <w:rsid w:val="005D6DFC"/>
    <w:rsid w:val="005E0AF5"/>
    <w:rsid w:val="005E0C90"/>
    <w:rsid w:val="005E4994"/>
    <w:rsid w:val="005E576E"/>
    <w:rsid w:val="005E6464"/>
    <w:rsid w:val="005F0A41"/>
    <w:rsid w:val="005F184D"/>
    <w:rsid w:val="005F4942"/>
    <w:rsid w:val="005F5026"/>
    <w:rsid w:val="00600DA1"/>
    <w:rsid w:val="00602F34"/>
    <w:rsid w:val="006030A5"/>
    <w:rsid w:val="00604718"/>
    <w:rsid w:val="00604DB0"/>
    <w:rsid w:val="00606D11"/>
    <w:rsid w:val="00607D0B"/>
    <w:rsid w:val="006107DE"/>
    <w:rsid w:val="0061378D"/>
    <w:rsid w:val="006159F7"/>
    <w:rsid w:val="0062113D"/>
    <w:rsid w:val="00622F0D"/>
    <w:rsid w:val="00623146"/>
    <w:rsid w:val="00624605"/>
    <w:rsid w:val="0062462B"/>
    <w:rsid w:val="00630648"/>
    <w:rsid w:val="00634BD1"/>
    <w:rsid w:val="006354F0"/>
    <w:rsid w:val="00635591"/>
    <w:rsid w:val="006358CE"/>
    <w:rsid w:val="00637657"/>
    <w:rsid w:val="00637A6A"/>
    <w:rsid w:val="00637C6E"/>
    <w:rsid w:val="00641505"/>
    <w:rsid w:val="006416F3"/>
    <w:rsid w:val="00641741"/>
    <w:rsid w:val="006425DB"/>
    <w:rsid w:val="006435B0"/>
    <w:rsid w:val="00650E8C"/>
    <w:rsid w:val="00652815"/>
    <w:rsid w:val="00657016"/>
    <w:rsid w:val="00661169"/>
    <w:rsid w:val="00661B89"/>
    <w:rsid w:val="00670809"/>
    <w:rsid w:val="006800FB"/>
    <w:rsid w:val="0068052A"/>
    <w:rsid w:val="00680B70"/>
    <w:rsid w:val="00683729"/>
    <w:rsid w:val="00684618"/>
    <w:rsid w:val="00687C4C"/>
    <w:rsid w:val="00691020"/>
    <w:rsid w:val="0069474B"/>
    <w:rsid w:val="006A04F0"/>
    <w:rsid w:val="006A11A7"/>
    <w:rsid w:val="006A1407"/>
    <w:rsid w:val="006A24E5"/>
    <w:rsid w:val="006A25A0"/>
    <w:rsid w:val="006A26EA"/>
    <w:rsid w:val="006A5C30"/>
    <w:rsid w:val="006A7542"/>
    <w:rsid w:val="006B0ECE"/>
    <w:rsid w:val="006B5159"/>
    <w:rsid w:val="006B5529"/>
    <w:rsid w:val="006B5EC0"/>
    <w:rsid w:val="006B7DB0"/>
    <w:rsid w:val="006C1352"/>
    <w:rsid w:val="006C3DDF"/>
    <w:rsid w:val="006C3E00"/>
    <w:rsid w:val="006C4336"/>
    <w:rsid w:val="006D6A2D"/>
    <w:rsid w:val="006D6ECD"/>
    <w:rsid w:val="006E42F5"/>
    <w:rsid w:val="006E4C63"/>
    <w:rsid w:val="006E79FB"/>
    <w:rsid w:val="006F1BB2"/>
    <w:rsid w:val="006F2761"/>
    <w:rsid w:val="006F3106"/>
    <w:rsid w:val="006F4613"/>
    <w:rsid w:val="006F599B"/>
    <w:rsid w:val="006F6BEE"/>
    <w:rsid w:val="00706BDF"/>
    <w:rsid w:val="00712148"/>
    <w:rsid w:val="007140F8"/>
    <w:rsid w:val="00716A87"/>
    <w:rsid w:val="00717539"/>
    <w:rsid w:val="007206F3"/>
    <w:rsid w:val="00721241"/>
    <w:rsid w:val="00722152"/>
    <w:rsid w:val="00722AA4"/>
    <w:rsid w:val="007248F5"/>
    <w:rsid w:val="00724E87"/>
    <w:rsid w:val="00725F9E"/>
    <w:rsid w:val="0072699B"/>
    <w:rsid w:val="00726D4B"/>
    <w:rsid w:val="00730F63"/>
    <w:rsid w:val="00733CD9"/>
    <w:rsid w:val="007366A5"/>
    <w:rsid w:val="00741E66"/>
    <w:rsid w:val="00743DDA"/>
    <w:rsid w:val="00744278"/>
    <w:rsid w:val="007442EF"/>
    <w:rsid w:val="00744657"/>
    <w:rsid w:val="0074596B"/>
    <w:rsid w:val="007464D3"/>
    <w:rsid w:val="007473BD"/>
    <w:rsid w:val="00751E9F"/>
    <w:rsid w:val="0075601F"/>
    <w:rsid w:val="0076027D"/>
    <w:rsid w:val="00760ABE"/>
    <w:rsid w:val="0076105E"/>
    <w:rsid w:val="00762E13"/>
    <w:rsid w:val="007639B5"/>
    <w:rsid w:val="00766CC7"/>
    <w:rsid w:val="007670A0"/>
    <w:rsid w:val="0077009B"/>
    <w:rsid w:val="00773EE8"/>
    <w:rsid w:val="0077499E"/>
    <w:rsid w:val="00777C6C"/>
    <w:rsid w:val="00781029"/>
    <w:rsid w:val="00781685"/>
    <w:rsid w:val="0078471D"/>
    <w:rsid w:val="00792C80"/>
    <w:rsid w:val="00796DCC"/>
    <w:rsid w:val="007970D8"/>
    <w:rsid w:val="007974D8"/>
    <w:rsid w:val="007A01DC"/>
    <w:rsid w:val="007A022F"/>
    <w:rsid w:val="007A6EE9"/>
    <w:rsid w:val="007A7D4D"/>
    <w:rsid w:val="007B35EB"/>
    <w:rsid w:val="007B36B9"/>
    <w:rsid w:val="007B4B2B"/>
    <w:rsid w:val="007C0B02"/>
    <w:rsid w:val="007C284D"/>
    <w:rsid w:val="007C5C0B"/>
    <w:rsid w:val="007D5593"/>
    <w:rsid w:val="007D6E70"/>
    <w:rsid w:val="007D7EF9"/>
    <w:rsid w:val="007E0903"/>
    <w:rsid w:val="007E231B"/>
    <w:rsid w:val="007E2A1E"/>
    <w:rsid w:val="007E3EFA"/>
    <w:rsid w:val="007E46D5"/>
    <w:rsid w:val="007E5154"/>
    <w:rsid w:val="007E6425"/>
    <w:rsid w:val="007E7391"/>
    <w:rsid w:val="007F18E2"/>
    <w:rsid w:val="007F2529"/>
    <w:rsid w:val="007F2B59"/>
    <w:rsid w:val="007F661E"/>
    <w:rsid w:val="007F6705"/>
    <w:rsid w:val="00800D86"/>
    <w:rsid w:val="00801BBD"/>
    <w:rsid w:val="00803390"/>
    <w:rsid w:val="008058FF"/>
    <w:rsid w:val="00806D65"/>
    <w:rsid w:val="008219CA"/>
    <w:rsid w:val="0082398F"/>
    <w:rsid w:val="00833B56"/>
    <w:rsid w:val="00835964"/>
    <w:rsid w:val="008457EE"/>
    <w:rsid w:val="00852036"/>
    <w:rsid w:val="0085335F"/>
    <w:rsid w:val="008534B0"/>
    <w:rsid w:val="008541E0"/>
    <w:rsid w:val="00855644"/>
    <w:rsid w:val="008562D0"/>
    <w:rsid w:val="00860657"/>
    <w:rsid w:val="00862AB2"/>
    <w:rsid w:val="008631DA"/>
    <w:rsid w:val="008636FC"/>
    <w:rsid w:val="00866822"/>
    <w:rsid w:val="008704CE"/>
    <w:rsid w:val="00871242"/>
    <w:rsid w:val="00871283"/>
    <w:rsid w:val="008734EB"/>
    <w:rsid w:val="00874567"/>
    <w:rsid w:val="00875F38"/>
    <w:rsid w:val="008774B9"/>
    <w:rsid w:val="008836F0"/>
    <w:rsid w:val="008845C0"/>
    <w:rsid w:val="00887B22"/>
    <w:rsid w:val="00891DC3"/>
    <w:rsid w:val="008A3A79"/>
    <w:rsid w:val="008B1683"/>
    <w:rsid w:val="008B2462"/>
    <w:rsid w:val="008B2E65"/>
    <w:rsid w:val="008C1A72"/>
    <w:rsid w:val="008C1B30"/>
    <w:rsid w:val="008D055A"/>
    <w:rsid w:val="008D0E72"/>
    <w:rsid w:val="008D2716"/>
    <w:rsid w:val="008E0CF1"/>
    <w:rsid w:val="008E19B9"/>
    <w:rsid w:val="008E1F36"/>
    <w:rsid w:val="008F0C51"/>
    <w:rsid w:val="008F1E39"/>
    <w:rsid w:val="008F4112"/>
    <w:rsid w:val="008F501E"/>
    <w:rsid w:val="008F672B"/>
    <w:rsid w:val="008F6D4E"/>
    <w:rsid w:val="0090148C"/>
    <w:rsid w:val="009025B4"/>
    <w:rsid w:val="009061DD"/>
    <w:rsid w:val="009066A6"/>
    <w:rsid w:val="009068DE"/>
    <w:rsid w:val="00906AD3"/>
    <w:rsid w:val="00912376"/>
    <w:rsid w:val="00914035"/>
    <w:rsid w:val="00916AED"/>
    <w:rsid w:val="00917340"/>
    <w:rsid w:val="00917B08"/>
    <w:rsid w:val="009210EA"/>
    <w:rsid w:val="00921632"/>
    <w:rsid w:val="009240DD"/>
    <w:rsid w:val="009263CE"/>
    <w:rsid w:val="00932809"/>
    <w:rsid w:val="009335D7"/>
    <w:rsid w:val="00944A7A"/>
    <w:rsid w:val="00944DA2"/>
    <w:rsid w:val="009458AF"/>
    <w:rsid w:val="00945E70"/>
    <w:rsid w:val="00946B0B"/>
    <w:rsid w:val="00950693"/>
    <w:rsid w:val="00950B6C"/>
    <w:rsid w:val="0095264E"/>
    <w:rsid w:val="00952776"/>
    <w:rsid w:val="00952CD9"/>
    <w:rsid w:val="009552AA"/>
    <w:rsid w:val="00961895"/>
    <w:rsid w:val="00961CF9"/>
    <w:rsid w:val="00963ACE"/>
    <w:rsid w:val="009656D9"/>
    <w:rsid w:val="00965809"/>
    <w:rsid w:val="00965C81"/>
    <w:rsid w:val="00965D93"/>
    <w:rsid w:val="00971485"/>
    <w:rsid w:val="009769F3"/>
    <w:rsid w:val="009771A5"/>
    <w:rsid w:val="00977728"/>
    <w:rsid w:val="0098133A"/>
    <w:rsid w:val="00984F71"/>
    <w:rsid w:val="0099371C"/>
    <w:rsid w:val="00994C4D"/>
    <w:rsid w:val="009A0C89"/>
    <w:rsid w:val="009A4A54"/>
    <w:rsid w:val="009A5A2E"/>
    <w:rsid w:val="009A6E49"/>
    <w:rsid w:val="009B0C16"/>
    <w:rsid w:val="009B60E3"/>
    <w:rsid w:val="009B6C09"/>
    <w:rsid w:val="009C12A5"/>
    <w:rsid w:val="009C2720"/>
    <w:rsid w:val="009C64F1"/>
    <w:rsid w:val="009C7446"/>
    <w:rsid w:val="009C7CB0"/>
    <w:rsid w:val="009D142C"/>
    <w:rsid w:val="009D3293"/>
    <w:rsid w:val="009D5E07"/>
    <w:rsid w:val="009D64DA"/>
    <w:rsid w:val="009E1315"/>
    <w:rsid w:val="009E5021"/>
    <w:rsid w:val="009E68AB"/>
    <w:rsid w:val="009E7B28"/>
    <w:rsid w:val="009F34EA"/>
    <w:rsid w:val="009F3541"/>
    <w:rsid w:val="009F4723"/>
    <w:rsid w:val="009F6CF3"/>
    <w:rsid w:val="00A00411"/>
    <w:rsid w:val="00A00801"/>
    <w:rsid w:val="00A045C2"/>
    <w:rsid w:val="00A076AE"/>
    <w:rsid w:val="00A115A4"/>
    <w:rsid w:val="00A12645"/>
    <w:rsid w:val="00A14D17"/>
    <w:rsid w:val="00A172A7"/>
    <w:rsid w:val="00A17A8F"/>
    <w:rsid w:val="00A17D85"/>
    <w:rsid w:val="00A25D72"/>
    <w:rsid w:val="00A30A4F"/>
    <w:rsid w:val="00A34BB9"/>
    <w:rsid w:val="00A34F61"/>
    <w:rsid w:val="00A40308"/>
    <w:rsid w:val="00A40C49"/>
    <w:rsid w:val="00A40EF5"/>
    <w:rsid w:val="00A4340A"/>
    <w:rsid w:val="00A43535"/>
    <w:rsid w:val="00A53287"/>
    <w:rsid w:val="00A55A55"/>
    <w:rsid w:val="00A55F72"/>
    <w:rsid w:val="00A61160"/>
    <w:rsid w:val="00A64A0D"/>
    <w:rsid w:val="00A6769E"/>
    <w:rsid w:val="00A7165A"/>
    <w:rsid w:val="00A73BB0"/>
    <w:rsid w:val="00A80768"/>
    <w:rsid w:val="00A82229"/>
    <w:rsid w:val="00A85D96"/>
    <w:rsid w:val="00A87CE8"/>
    <w:rsid w:val="00A91CA1"/>
    <w:rsid w:val="00A928B3"/>
    <w:rsid w:val="00A94969"/>
    <w:rsid w:val="00AA182E"/>
    <w:rsid w:val="00AA5814"/>
    <w:rsid w:val="00AA66B5"/>
    <w:rsid w:val="00AB062D"/>
    <w:rsid w:val="00AB0B05"/>
    <w:rsid w:val="00AB0B19"/>
    <w:rsid w:val="00AB3D7C"/>
    <w:rsid w:val="00AB45A3"/>
    <w:rsid w:val="00AB486A"/>
    <w:rsid w:val="00AB6AE1"/>
    <w:rsid w:val="00AB78AE"/>
    <w:rsid w:val="00AC169A"/>
    <w:rsid w:val="00AC77E2"/>
    <w:rsid w:val="00AC79F8"/>
    <w:rsid w:val="00AD1775"/>
    <w:rsid w:val="00AD6465"/>
    <w:rsid w:val="00AD7714"/>
    <w:rsid w:val="00AE0175"/>
    <w:rsid w:val="00AE3356"/>
    <w:rsid w:val="00AE7DC7"/>
    <w:rsid w:val="00AF0400"/>
    <w:rsid w:val="00AF2517"/>
    <w:rsid w:val="00AF48E4"/>
    <w:rsid w:val="00B01254"/>
    <w:rsid w:val="00B03EF3"/>
    <w:rsid w:val="00B04955"/>
    <w:rsid w:val="00B11916"/>
    <w:rsid w:val="00B145B3"/>
    <w:rsid w:val="00B15F7A"/>
    <w:rsid w:val="00B2041C"/>
    <w:rsid w:val="00B20483"/>
    <w:rsid w:val="00B20CAC"/>
    <w:rsid w:val="00B24433"/>
    <w:rsid w:val="00B25B91"/>
    <w:rsid w:val="00B2663B"/>
    <w:rsid w:val="00B30AEB"/>
    <w:rsid w:val="00B3168C"/>
    <w:rsid w:val="00B34469"/>
    <w:rsid w:val="00B35C75"/>
    <w:rsid w:val="00B40946"/>
    <w:rsid w:val="00B437D9"/>
    <w:rsid w:val="00B440B3"/>
    <w:rsid w:val="00B50DDA"/>
    <w:rsid w:val="00B54371"/>
    <w:rsid w:val="00B6258D"/>
    <w:rsid w:val="00B725AC"/>
    <w:rsid w:val="00B75B33"/>
    <w:rsid w:val="00B8068E"/>
    <w:rsid w:val="00B840E7"/>
    <w:rsid w:val="00B8589A"/>
    <w:rsid w:val="00B85AAE"/>
    <w:rsid w:val="00B874EE"/>
    <w:rsid w:val="00B87D33"/>
    <w:rsid w:val="00B954A7"/>
    <w:rsid w:val="00BA167B"/>
    <w:rsid w:val="00BA31F9"/>
    <w:rsid w:val="00BA52BF"/>
    <w:rsid w:val="00BA6A6E"/>
    <w:rsid w:val="00BA71DB"/>
    <w:rsid w:val="00BB014D"/>
    <w:rsid w:val="00BB025A"/>
    <w:rsid w:val="00BB0A59"/>
    <w:rsid w:val="00BB159F"/>
    <w:rsid w:val="00BB4C73"/>
    <w:rsid w:val="00BB71FA"/>
    <w:rsid w:val="00BC0AC0"/>
    <w:rsid w:val="00BC3766"/>
    <w:rsid w:val="00BC46F6"/>
    <w:rsid w:val="00BC7D1E"/>
    <w:rsid w:val="00BD0D4F"/>
    <w:rsid w:val="00BD175C"/>
    <w:rsid w:val="00BD4B2B"/>
    <w:rsid w:val="00BD5530"/>
    <w:rsid w:val="00BD6989"/>
    <w:rsid w:val="00BE0D92"/>
    <w:rsid w:val="00BE6AD5"/>
    <w:rsid w:val="00BE786E"/>
    <w:rsid w:val="00BF196A"/>
    <w:rsid w:val="00C00373"/>
    <w:rsid w:val="00C030E8"/>
    <w:rsid w:val="00C079E4"/>
    <w:rsid w:val="00C17679"/>
    <w:rsid w:val="00C1792C"/>
    <w:rsid w:val="00C205AA"/>
    <w:rsid w:val="00C2453C"/>
    <w:rsid w:val="00C27843"/>
    <w:rsid w:val="00C322E9"/>
    <w:rsid w:val="00C327C5"/>
    <w:rsid w:val="00C33252"/>
    <w:rsid w:val="00C3563E"/>
    <w:rsid w:val="00C369D3"/>
    <w:rsid w:val="00C400B3"/>
    <w:rsid w:val="00C406CC"/>
    <w:rsid w:val="00C40FDF"/>
    <w:rsid w:val="00C41233"/>
    <w:rsid w:val="00C477C8"/>
    <w:rsid w:val="00C50E23"/>
    <w:rsid w:val="00C5213B"/>
    <w:rsid w:val="00C531D4"/>
    <w:rsid w:val="00C55BDB"/>
    <w:rsid w:val="00C60DD5"/>
    <w:rsid w:val="00C61BB6"/>
    <w:rsid w:val="00C61CAA"/>
    <w:rsid w:val="00C63AD5"/>
    <w:rsid w:val="00C63C76"/>
    <w:rsid w:val="00C66129"/>
    <w:rsid w:val="00C66F77"/>
    <w:rsid w:val="00C66FDC"/>
    <w:rsid w:val="00C670CB"/>
    <w:rsid w:val="00C6784F"/>
    <w:rsid w:val="00C70C7A"/>
    <w:rsid w:val="00C727DA"/>
    <w:rsid w:val="00C75CA5"/>
    <w:rsid w:val="00C76E54"/>
    <w:rsid w:val="00C84577"/>
    <w:rsid w:val="00C909C6"/>
    <w:rsid w:val="00C92D9D"/>
    <w:rsid w:val="00C9305C"/>
    <w:rsid w:val="00C93882"/>
    <w:rsid w:val="00C948E2"/>
    <w:rsid w:val="00C94999"/>
    <w:rsid w:val="00C96326"/>
    <w:rsid w:val="00CA035B"/>
    <w:rsid w:val="00CA0600"/>
    <w:rsid w:val="00CA5C94"/>
    <w:rsid w:val="00CA5FBD"/>
    <w:rsid w:val="00CA6D23"/>
    <w:rsid w:val="00CB3179"/>
    <w:rsid w:val="00CB3441"/>
    <w:rsid w:val="00CC1B47"/>
    <w:rsid w:val="00CC4650"/>
    <w:rsid w:val="00CC56B2"/>
    <w:rsid w:val="00CD002F"/>
    <w:rsid w:val="00CD4A77"/>
    <w:rsid w:val="00CD544C"/>
    <w:rsid w:val="00CD5940"/>
    <w:rsid w:val="00CD7059"/>
    <w:rsid w:val="00CD7060"/>
    <w:rsid w:val="00CE070A"/>
    <w:rsid w:val="00CE2F3C"/>
    <w:rsid w:val="00CE58F0"/>
    <w:rsid w:val="00CE6503"/>
    <w:rsid w:val="00CE6F7C"/>
    <w:rsid w:val="00CE747D"/>
    <w:rsid w:val="00CF1A44"/>
    <w:rsid w:val="00CF2316"/>
    <w:rsid w:val="00CF27DB"/>
    <w:rsid w:val="00CF5FF1"/>
    <w:rsid w:val="00D062E2"/>
    <w:rsid w:val="00D07389"/>
    <w:rsid w:val="00D10035"/>
    <w:rsid w:val="00D10888"/>
    <w:rsid w:val="00D11E7F"/>
    <w:rsid w:val="00D16D35"/>
    <w:rsid w:val="00D2238F"/>
    <w:rsid w:val="00D24ACA"/>
    <w:rsid w:val="00D300DE"/>
    <w:rsid w:val="00D323DD"/>
    <w:rsid w:val="00D341CF"/>
    <w:rsid w:val="00D3601A"/>
    <w:rsid w:val="00D37AB6"/>
    <w:rsid w:val="00D40CA5"/>
    <w:rsid w:val="00D412CF"/>
    <w:rsid w:val="00D43905"/>
    <w:rsid w:val="00D43C16"/>
    <w:rsid w:val="00D4453F"/>
    <w:rsid w:val="00D45831"/>
    <w:rsid w:val="00D4613D"/>
    <w:rsid w:val="00D46574"/>
    <w:rsid w:val="00D46800"/>
    <w:rsid w:val="00D473F4"/>
    <w:rsid w:val="00D51351"/>
    <w:rsid w:val="00D51B24"/>
    <w:rsid w:val="00D5259D"/>
    <w:rsid w:val="00D536C8"/>
    <w:rsid w:val="00D60DAA"/>
    <w:rsid w:val="00D6305C"/>
    <w:rsid w:val="00D6416A"/>
    <w:rsid w:val="00D70722"/>
    <w:rsid w:val="00D70854"/>
    <w:rsid w:val="00D70BD4"/>
    <w:rsid w:val="00D70CE3"/>
    <w:rsid w:val="00D71E8B"/>
    <w:rsid w:val="00D72E0E"/>
    <w:rsid w:val="00D73643"/>
    <w:rsid w:val="00D75BF0"/>
    <w:rsid w:val="00D76129"/>
    <w:rsid w:val="00D77232"/>
    <w:rsid w:val="00D84211"/>
    <w:rsid w:val="00D85527"/>
    <w:rsid w:val="00D865C9"/>
    <w:rsid w:val="00D87AC5"/>
    <w:rsid w:val="00D87D86"/>
    <w:rsid w:val="00D91DDD"/>
    <w:rsid w:val="00D91EBA"/>
    <w:rsid w:val="00D96135"/>
    <w:rsid w:val="00DA0EB4"/>
    <w:rsid w:val="00DA1563"/>
    <w:rsid w:val="00DA22B9"/>
    <w:rsid w:val="00DB1729"/>
    <w:rsid w:val="00DB2BD7"/>
    <w:rsid w:val="00DB3F60"/>
    <w:rsid w:val="00DB5C5B"/>
    <w:rsid w:val="00DB74C7"/>
    <w:rsid w:val="00DC1D81"/>
    <w:rsid w:val="00DC29F4"/>
    <w:rsid w:val="00DC4662"/>
    <w:rsid w:val="00DC51AD"/>
    <w:rsid w:val="00DC59AC"/>
    <w:rsid w:val="00DD5667"/>
    <w:rsid w:val="00DD62A5"/>
    <w:rsid w:val="00DD6306"/>
    <w:rsid w:val="00DD665C"/>
    <w:rsid w:val="00DD6CB0"/>
    <w:rsid w:val="00DD70CF"/>
    <w:rsid w:val="00DE3B81"/>
    <w:rsid w:val="00DE56DC"/>
    <w:rsid w:val="00DF4D73"/>
    <w:rsid w:val="00DF6514"/>
    <w:rsid w:val="00DF6801"/>
    <w:rsid w:val="00DF7040"/>
    <w:rsid w:val="00E02A21"/>
    <w:rsid w:val="00E031B9"/>
    <w:rsid w:val="00E038AF"/>
    <w:rsid w:val="00E045B4"/>
    <w:rsid w:val="00E078E8"/>
    <w:rsid w:val="00E102FF"/>
    <w:rsid w:val="00E142C4"/>
    <w:rsid w:val="00E20536"/>
    <w:rsid w:val="00E20A5E"/>
    <w:rsid w:val="00E22CF7"/>
    <w:rsid w:val="00E232A0"/>
    <w:rsid w:val="00E24414"/>
    <w:rsid w:val="00E24BE2"/>
    <w:rsid w:val="00E25152"/>
    <w:rsid w:val="00E27055"/>
    <w:rsid w:val="00E30332"/>
    <w:rsid w:val="00E30997"/>
    <w:rsid w:val="00E32468"/>
    <w:rsid w:val="00E33844"/>
    <w:rsid w:val="00E34527"/>
    <w:rsid w:val="00E3508F"/>
    <w:rsid w:val="00E35317"/>
    <w:rsid w:val="00E364E0"/>
    <w:rsid w:val="00E37D6A"/>
    <w:rsid w:val="00E44471"/>
    <w:rsid w:val="00E465B2"/>
    <w:rsid w:val="00E470E1"/>
    <w:rsid w:val="00E50C69"/>
    <w:rsid w:val="00E512E8"/>
    <w:rsid w:val="00E51C96"/>
    <w:rsid w:val="00E52277"/>
    <w:rsid w:val="00E52432"/>
    <w:rsid w:val="00E5268A"/>
    <w:rsid w:val="00E540BD"/>
    <w:rsid w:val="00E54105"/>
    <w:rsid w:val="00E55902"/>
    <w:rsid w:val="00E5658F"/>
    <w:rsid w:val="00E56E9C"/>
    <w:rsid w:val="00E677C7"/>
    <w:rsid w:val="00E7015E"/>
    <w:rsid w:val="00E705C2"/>
    <w:rsid w:val="00E77A5B"/>
    <w:rsid w:val="00E850BA"/>
    <w:rsid w:val="00E8619C"/>
    <w:rsid w:val="00E8744B"/>
    <w:rsid w:val="00E931F1"/>
    <w:rsid w:val="00E95FF0"/>
    <w:rsid w:val="00E96E53"/>
    <w:rsid w:val="00EA1433"/>
    <w:rsid w:val="00EA3D8E"/>
    <w:rsid w:val="00EA4E1B"/>
    <w:rsid w:val="00EA5C2D"/>
    <w:rsid w:val="00EA7A2F"/>
    <w:rsid w:val="00EB0D4A"/>
    <w:rsid w:val="00EB329D"/>
    <w:rsid w:val="00EB5361"/>
    <w:rsid w:val="00EB7E80"/>
    <w:rsid w:val="00EC3FD7"/>
    <w:rsid w:val="00EC6D54"/>
    <w:rsid w:val="00ED1EC4"/>
    <w:rsid w:val="00ED3F75"/>
    <w:rsid w:val="00EE1CBC"/>
    <w:rsid w:val="00EE2E57"/>
    <w:rsid w:val="00EE5051"/>
    <w:rsid w:val="00EE766F"/>
    <w:rsid w:val="00EF0DA7"/>
    <w:rsid w:val="00EF3C4D"/>
    <w:rsid w:val="00EF4E6A"/>
    <w:rsid w:val="00EF6A0C"/>
    <w:rsid w:val="00EF6DD4"/>
    <w:rsid w:val="00EF78E6"/>
    <w:rsid w:val="00EF7E4B"/>
    <w:rsid w:val="00F041C6"/>
    <w:rsid w:val="00F10A5E"/>
    <w:rsid w:val="00F10E9C"/>
    <w:rsid w:val="00F1441D"/>
    <w:rsid w:val="00F211B0"/>
    <w:rsid w:val="00F256CF"/>
    <w:rsid w:val="00F27FB6"/>
    <w:rsid w:val="00F302ED"/>
    <w:rsid w:val="00F30661"/>
    <w:rsid w:val="00F30D21"/>
    <w:rsid w:val="00F33B72"/>
    <w:rsid w:val="00F34B35"/>
    <w:rsid w:val="00F34C39"/>
    <w:rsid w:val="00F37757"/>
    <w:rsid w:val="00F4054D"/>
    <w:rsid w:val="00F41FCD"/>
    <w:rsid w:val="00F436D0"/>
    <w:rsid w:val="00F45B28"/>
    <w:rsid w:val="00F56011"/>
    <w:rsid w:val="00F5764A"/>
    <w:rsid w:val="00F61FF3"/>
    <w:rsid w:val="00F6278A"/>
    <w:rsid w:val="00F62BA2"/>
    <w:rsid w:val="00F62C72"/>
    <w:rsid w:val="00F67878"/>
    <w:rsid w:val="00F72311"/>
    <w:rsid w:val="00F813CE"/>
    <w:rsid w:val="00F83C1C"/>
    <w:rsid w:val="00F84926"/>
    <w:rsid w:val="00F85929"/>
    <w:rsid w:val="00F85A59"/>
    <w:rsid w:val="00F917DA"/>
    <w:rsid w:val="00F95DB5"/>
    <w:rsid w:val="00F95DB8"/>
    <w:rsid w:val="00FA0E64"/>
    <w:rsid w:val="00FA12FE"/>
    <w:rsid w:val="00FA3118"/>
    <w:rsid w:val="00FA5988"/>
    <w:rsid w:val="00FB1BEB"/>
    <w:rsid w:val="00FB7FDB"/>
    <w:rsid w:val="00FC1201"/>
    <w:rsid w:val="00FC5A4F"/>
    <w:rsid w:val="00FC7D0C"/>
    <w:rsid w:val="00FD12A1"/>
    <w:rsid w:val="00FD2D6A"/>
    <w:rsid w:val="00FD34B3"/>
    <w:rsid w:val="00FD3997"/>
    <w:rsid w:val="00FD3AE3"/>
    <w:rsid w:val="00FD5172"/>
    <w:rsid w:val="00FD5CE9"/>
    <w:rsid w:val="00FE277E"/>
    <w:rsid w:val="00FE3BB8"/>
    <w:rsid w:val="00FE3FFB"/>
    <w:rsid w:val="00FE4D36"/>
    <w:rsid w:val="00FF1E47"/>
    <w:rsid w:val="00FF2625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43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argrafodaLista">
    <w:name w:val="List Paragraph"/>
    <w:basedOn w:val="Normal"/>
    <w:uiPriority w:val="34"/>
    <w:qFormat/>
    <w:rsid w:val="002D50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Reviso">
    <w:name w:val="Revision"/>
    <w:hidden/>
    <w:uiPriority w:val="99"/>
    <w:semiHidden/>
    <w:rsid w:val="00714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3</Pages>
  <Words>2439</Words>
  <Characters>13172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Francieli Mayer</cp:lastModifiedBy>
  <cp:revision>160</cp:revision>
  <cp:lastPrinted>2023-05-13T17:28:00Z</cp:lastPrinted>
  <dcterms:created xsi:type="dcterms:W3CDTF">2023-05-12T22:31:00Z</dcterms:created>
  <dcterms:modified xsi:type="dcterms:W3CDTF">2023-06-21T15:27:00Z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