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042C7D16" w:rsidR="00EA4E1B" w:rsidRDefault="001E21D1" w:rsidP="00EA4E1B">
      <w:pPr>
        <w:pStyle w:val="BATitle"/>
        <w:spacing w:before="0" w:after="0" w:line="240" w:lineRule="auto"/>
        <w:ind w:right="0"/>
        <w:jc w:val="both"/>
        <w:rPr>
          <w:sz w:val="32"/>
          <w:lang w:val="pt-BR"/>
        </w:rPr>
      </w:pPr>
      <w:r>
        <w:rPr>
          <w:sz w:val="32"/>
          <w:lang w:val="pt-BR"/>
        </w:rPr>
        <w:t>Hidroprocessamento</w:t>
      </w:r>
      <w:r w:rsidR="00FA5868">
        <w:rPr>
          <w:sz w:val="32"/>
          <w:lang w:val="pt-BR"/>
        </w:rPr>
        <w:t xml:space="preserve"> </w:t>
      </w:r>
      <w:r w:rsidR="005813F5">
        <w:rPr>
          <w:sz w:val="32"/>
          <w:lang w:val="pt-BR"/>
        </w:rPr>
        <w:t xml:space="preserve">de </w:t>
      </w:r>
      <w:r w:rsidR="00FA5868">
        <w:rPr>
          <w:sz w:val="32"/>
          <w:lang w:val="pt-BR"/>
        </w:rPr>
        <w:t>ácido oleico empregando c</w:t>
      </w:r>
      <w:r w:rsidR="002A4E89">
        <w:rPr>
          <w:sz w:val="32"/>
          <w:lang w:val="pt-BR"/>
        </w:rPr>
        <w:t>atalisador</w:t>
      </w:r>
      <w:r w:rsidR="00FA5868">
        <w:rPr>
          <w:sz w:val="32"/>
          <w:lang w:val="pt-BR"/>
        </w:rPr>
        <w:t>es</w:t>
      </w:r>
      <w:r w:rsidR="002A4E89">
        <w:rPr>
          <w:sz w:val="32"/>
          <w:lang w:val="pt-BR"/>
        </w:rPr>
        <w:t xml:space="preserve"> de Ni e </w:t>
      </w:r>
      <w:proofErr w:type="spellStart"/>
      <w:r w:rsidR="002A4E89">
        <w:rPr>
          <w:sz w:val="32"/>
          <w:lang w:val="pt-BR"/>
        </w:rPr>
        <w:t>Pt</w:t>
      </w:r>
      <w:proofErr w:type="spellEnd"/>
      <w:r w:rsidR="002A4E89">
        <w:rPr>
          <w:sz w:val="32"/>
          <w:lang w:val="pt-BR"/>
        </w:rPr>
        <w:t xml:space="preserve"> suportado em </w:t>
      </w:r>
      <w:r w:rsidR="005813F5">
        <w:rPr>
          <w:sz w:val="32"/>
          <w:lang w:val="pt-BR"/>
        </w:rPr>
        <w:t xml:space="preserve">zeólita </w:t>
      </w:r>
      <w:r w:rsidR="000433CF">
        <w:rPr>
          <w:sz w:val="32"/>
          <w:lang w:val="pt-BR"/>
        </w:rPr>
        <w:t>HY</w:t>
      </w:r>
      <w:r w:rsidR="002A4E89">
        <w:rPr>
          <w:sz w:val="32"/>
          <w:lang w:val="pt-BR"/>
        </w:rPr>
        <w:t xml:space="preserve"> </w:t>
      </w:r>
    </w:p>
    <w:p w14:paraId="18735493" w14:textId="75E240A0" w:rsidR="00EA4E1B" w:rsidRPr="001F25B2" w:rsidRDefault="00DC20B7" w:rsidP="00C56443">
      <w:pPr>
        <w:pStyle w:val="BBAuthorName"/>
        <w:spacing w:before="120" w:after="120"/>
        <w:ind w:right="0"/>
        <w:jc w:val="both"/>
        <w:rPr>
          <w:rFonts w:ascii="Times New Roman" w:hAnsi="Times New Roman"/>
          <w:sz w:val="20"/>
          <w:lang w:val="pt-BR"/>
        </w:rPr>
      </w:pPr>
      <w:r>
        <w:rPr>
          <w:rFonts w:ascii="Times New Roman" w:hAnsi="Times New Roman"/>
          <w:sz w:val="20"/>
          <w:lang w:val="pt-BR"/>
        </w:rPr>
        <w:t xml:space="preserve">Carla </w:t>
      </w:r>
      <w:proofErr w:type="spellStart"/>
      <w:r>
        <w:rPr>
          <w:rFonts w:ascii="Times New Roman" w:hAnsi="Times New Roman"/>
          <w:sz w:val="20"/>
          <w:lang w:val="pt-BR"/>
        </w:rPr>
        <w:t>Rhaira</w:t>
      </w:r>
      <w:proofErr w:type="spellEnd"/>
      <w:r>
        <w:rPr>
          <w:rFonts w:ascii="Times New Roman" w:hAnsi="Times New Roman"/>
          <w:sz w:val="20"/>
          <w:lang w:val="pt-BR"/>
        </w:rPr>
        <w:t xml:space="preserve"> Teófilo</w:t>
      </w:r>
      <w:r w:rsidR="00336BA2">
        <w:rPr>
          <w:rFonts w:ascii="Times New Roman" w:hAnsi="Times New Roman"/>
          <w:sz w:val="20"/>
          <w:vertAlign w:val="superscript"/>
          <w:lang w:val="pt-BR"/>
        </w:rPr>
        <w:t>1</w:t>
      </w:r>
      <w:r w:rsidR="005813F5">
        <w:rPr>
          <w:rFonts w:ascii="Times New Roman" w:hAnsi="Times New Roman"/>
          <w:sz w:val="20"/>
          <w:vertAlign w:val="superscript"/>
          <w:lang w:val="pt-BR"/>
        </w:rPr>
        <w:t>,2</w:t>
      </w:r>
      <w:r>
        <w:rPr>
          <w:rFonts w:ascii="Times New Roman" w:hAnsi="Times New Roman"/>
          <w:sz w:val="20"/>
          <w:lang w:val="pt-BR"/>
        </w:rPr>
        <w:t>, Carlos Eduardo Vald</w:t>
      </w:r>
      <w:r w:rsidR="002B4747">
        <w:rPr>
          <w:rFonts w:ascii="Times New Roman" w:hAnsi="Times New Roman"/>
          <w:sz w:val="20"/>
          <w:lang w:val="pt-BR"/>
        </w:rPr>
        <w:t>é</w:t>
      </w:r>
      <w:r>
        <w:rPr>
          <w:rFonts w:ascii="Times New Roman" w:hAnsi="Times New Roman"/>
          <w:sz w:val="20"/>
          <w:lang w:val="pt-BR"/>
        </w:rPr>
        <w:t>s</w:t>
      </w:r>
      <w:r w:rsidR="002B4747">
        <w:rPr>
          <w:rFonts w:ascii="Times New Roman" w:hAnsi="Times New Roman"/>
          <w:sz w:val="20"/>
          <w:lang w:val="pt-BR"/>
        </w:rPr>
        <w:t>-de-</w:t>
      </w:r>
      <w:r w:rsidR="005813F5">
        <w:rPr>
          <w:rFonts w:ascii="Times New Roman" w:hAnsi="Times New Roman"/>
          <w:sz w:val="20"/>
          <w:lang w:val="pt-BR"/>
        </w:rPr>
        <w:t>Freitas</w:t>
      </w:r>
      <w:r w:rsidR="005813F5">
        <w:rPr>
          <w:rFonts w:ascii="Times New Roman" w:hAnsi="Times New Roman"/>
          <w:sz w:val="20"/>
          <w:vertAlign w:val="superscript"/>
          <w:lang w:val="pt-BR"/>
        </w:rPr>
        <w:t>3</w:t>
      </w:r>
      <w:r>
        <w:rPr>
          <w:rFonts w:ascii="Times New Roman" w:hAnsi="Times New Roman"/>
          <w:sz w:val="20"/>
          <w:lang w:val="pt-BR"/>
        </w:rPr>
        <w:t xml:space="preserve">, Jonas </w:t>
      </w:r>
      <w:r w:rsidR="002B4747">
        <w:rPr>
          <w:rFonts w:ascii="Times New Roman" w:hAnsi="Times New Roman"/>
          <w:sz w:val="20"/>
          <w:lang w:val="pt-BR"/>
        </w:rPr>
        <w:t xml:space="preserve">Santana </w:t>
      </w:r>
      <w:r w:rsidR="005813F5">
        <w:rPr>
          <w:rFonts w:ascii="Times New Roman" w:hAnsi="Times New Roman"/>
          <w:sz w:val="20"/>
          <w:lang w:val="pt-BR"/>
        </w:rPr>
        <w:t>Albuquerque</w:t>
      </w:r>
      <w:r w:rsidR="005813F5">
        <w:rPr>
          <w:rFonts w:ascii="Times New Roman" w:hAnsi="Times New Roman"/>
          <w:sz w:val="20"/>
          <w:vertAlign w:val="superscript"/>
          <w:lang w:val="pt-BR"/>
        </w:rPr>
        <w:t>3</w:t>
      </w:r>
      <w:r>
        <w:rPr>
          <w:rFonts w:ascii="Times New Roman" w:hAnsi="Times New Roman"/>
          <w:sz w:val="20"/>
          <w:lang w:val="pt-BR"/>
        </w:rPr>
        <w:t>, Ernesto Antonio Urquieta-</w:t>
      </w:r>
      <w:r w:rsidR="005813F5">
        <w:rPr>
          <w:rFonts w:ascii="Times New Roman" w:hAnsi="Times New Roman"/>
          <w:sz w:val="20"/>
          <w:lang w:val="pt-BR"/>
        </w:rPr>
        <w:t>González</w:t>
      </w:r>
      <w:r w:rsidR="005813F5">
        <w:rPr>
          <w:rFonts w:ascii="Times New Roman" w:hAnsi="Times New Roman"/>
          <w:sz w:val="20"/>
          <w:vertAlign w:val="superscript"/>
          <w:lang w:val="pt-BR"/>
        </w:rPr>
        <w:t>3</w:t>
      </w:r>
      <w:r>
        <w:rPr>
          <w:rFonts w:ascii="Times New Roman" w:hAnsi="Times New Roman"/>
          <w:sz w:val="20"/>
          <w:lang w:val="pt-BR"/>
        </w:rPr>
        <w:t xml:space="preserve">, Cristiane Alves </w:t>
      </w:r>
      <w:r w:rsidR="005813F5">
        <w:rPr>
          <w:rFonts w:ascii="Times New Roman" w:hAnsi="Times New Roman"/>
          <w:sz w:val="20"/>
          <w:lang w:val="pt-BR"/>
        </w:rPr>
        <w:t>Pereira</w:t>
      </w:r>
      <w:r w:rsidR="005813F5">
        <w:rPr>
          <w:rFonts w:ascii="Times New Roman" w:hAnsi="Times New Roman"/>
          <w:sz w:val="20"/>
          <w:vertAlign w:val="superscript"/>
          <w:lang w:val="pt-BR"/>
        </w:rPr>
        <w:t>2</w:t>
      </w:r>
      <w:r>
        <w:rPr>
          <w:rFonts w:ascii="Times New Roman" w:hAnsi="Times New Roman"/>
          <w:sz w:val="20"/>
          <w:lang w:val="pt-BR"/>
        </w:rPr>
        <w:t xml:space="preserve">, Zuy Maria </w:t>
      </w:r>
      <w:r w:rsidR="005813F5">
        <w:rPr>
          <w:rFonts w:ascii="Times New Roman" w:hAnsi="Times New Roman"/>
          <w:sz w:val="20"/>
          <w:lang w:val="pt-BR"/>
        </w:rPr>
        <w:t>Magriotis</w:t>
      </w:r>
      <w:r w:rsidR="005813F5">
        <w:rPr>
          <w:rFonts w:ascii="Times New Roman" w:hAnsi="Times New Roman"/>
          <w:sz w:val="20"/>
          <w:vertAlign w:val="superscript"/>
          <w:lang w:val="pt-BR"/>
        </w:rPr>
        <w:t>2</w:t>
      </w:r>
      <w:r w:rsidR="00336BA2">
        <w:rPr>
          <w:rFonts w:ascii="Times New Roman" w:hAnsi="Times New Roman"/>
          <w:sz w:val="20"/>
          <w:vertAlign w:val="superscript"/>
          <w:lang w:val="pt-BR"/>
        </w:rPr>
        <w:t>*</w:t>
      </w:r>
    </w:p>
    <w:bookmarkEnd w:id="0"/>
    <w:p w14:paraId="029A282B" w14:textId="0F60CCC1" w:rsidR="005813F5" w:rsidRDefault="00336BA2" w:rsidP="00336BA2">
      <w:pPr>
        <w:rPr>
          <w:rFonts w:ascii="Times" w:eastAsia="Times" w:hAnsi="Times" w:cs="Times"/>
          <w:i/>
          <w:color w:val="000000" w:themeColor="text1"/>
          <w:sz w:val="20"/>
          <w:szCs w:val="20"/>
        </w:rPr>
      </w:pPr>
      <w:r>
        <w:rPr>
          <w:rFonts w:ascii="Times New Roman" w:eastAsia="Times New Roman" w:hAnsi="Times New Roman" w:cs="Times New Roman"/>
          <w:i/>
          <w:vertAlign w:val="superscript"/>
        </w:rPr>
        <w:t>1</w:t>
      </w:r>
      <w:r w:rsidR="005813F5">
        <w:rPr>
          <w:rFonts w:ascii="Times" w:eastAsia="Times" w:hAnsi="Times" w:cs="Times"/>
          <w:i/>
          <w:color w:val="000000" w:themeColor="text1"/>
          <w:sz w:val="20"/>
          <w:szCs w:val="20"/>
          <w:vertAlign w:val="superscript"/>
        </w:rPr>
        <w:t xml:space="preserve"> </w:t>
      </w:r>
      <w:r w:rsidR="005813F5" w:rsidRPr="004539D4">
        <w:rPr>
          <w:rFonts w:ascii="Times" w:eastAsia="Times" w:hAnsi="Times" w:cs="Times"/>
          <w:i/>
          <w:color w:val="000000" w:themeColor="text1"/>
          <w:sz w:val="20"/>
          <w:szCs w:val="20"/>
        </w:rPr>
        <w:t>Programa de Pós-Graduação em Agroquímica, Departamento de Química, Instituto de Ciências Naturais, Universidade Federal de Lavras</w:t>
      </w:r>
      <w:r w:rsidR="005813F5">
        <w:rPr>
          <w:rFonts w:ascii="Times" w:eastAsia="Times" w:hAnsi="Times" w:cs="Times"/>
          <w:i/>
          <w:color w:val="000000" w:themeColor="text1"/>
          <w:sz w:val="20"/>
          <w:szCs w:val="20"/>
        </w:rPr>
        <w:t>, Lavras/MG, Brasil.</w:t>
      </w:r>
    </w:p>
    <w:p w14:paraId="24E2FD01" w14:textId="5FFCD28E" w:rsidR="00336BA2" w:rsidRPr="008A5AED" w:rsidRDefault="005813F5" w:rsidP="00336BA2">
      <w:pPr>
        <w:rPr>
          <w:rFonts w:ascii="Times New Roman" w:eastAsia="Times New Roman" w:hAnsi="Times New Roman" w:cs="Times New Roman"/>
          <w:i/>
        </w:rPr>
      </w:pPr>
      <w:r w:rsidRPr="00A24B10">
        <w:rPr>
          <w:rFonts w:ascii="Times" w:eastAsia="Times" w:hAnsi="Times" w:cs="Times"/>
          <w:i/>
          <w:color w:val="000000" w:themeColor="text1"/>
          <w:sz w:val="20"/>
          <w:szCs w:val="20"/>
          <w:vertAlign w:val="superscript"/>
        </w:rPr>
        <w:t>2</w:t>
      </w:r>
      <w:r w:rsidR="00336BA2" w:rsidRPr="008A5AED">
        <w:rPr>
          <w:rFonts w:ascii="Times New Roman" w:eastAsia="Times New Roman" w:hAnsi="Times New Roman" w:cs="Times New Roman"/>
          <w:i/>
        </w:rPr>
        <w:t>Laboratório</w:t>
      </w:r>
      <w:r w:rsidR="00336BA2">
        <w:rPr>
          <w:rFonts w:ascii="Times New Roman" w:eastAsia="Times New Roman" w:hAnsi="Times New Roman" w:cs="Times New Roman"/>
          <w:i/>
        </w:rPr>
        <w:t xml:space="preserve"> de Catálise e Biocombustíveis</w:t>
      </w:r>
      <w:r w:rsidR="00336BA2" w:rsidRPr="008A5AED">
        <w:rPr>
          <w:rFonts w:ascii="Times New Roman" w:eastAsia="Times New Roman" w:hAnsi="Times New Roman" w:cs="Times New Roman"/>
          <w:i/>
        </w:rPr>
        <w:t>/</w:t>
      </w:r>
      <w:r w:rsidR="00336BA2">
        <w:rPr>
          <w:rFonts w:ascii="Times New Roman" w:eastAsia="Times New Roman" w:hAnsi="Times New Roman" w:cs="Times New Roman"/>
          <w:i/>
        </w:rPr>
        <w:t>Departamento de Engenharia</w:t>
      </w:r>
      <w:r w:rsidR="00336BA2" w:rsidRPr="008A5AED">
        <w:rPr>
          <w:rFonts w:ascii="Times New Roman" w:eastAsia="Times New Roman" w:hAnsi="Times New Roman" w:cs="Times New Roman"/>
          <w:i/>
        </w:rPr>
        <w:t>/</w:t>
      </w:r>
      <w:r w:rsidR="00336BA2">
        <w:rPr>
          <w:rFonts w:ascii="Times New Roman" w:eastAsia="Times New Roman" w:hAnsi="Times New Roman" w:cs="Times New Roman"/>
          <w:i/>
        </w:rPr>
        <w:t>Escola de Engenharia</w:t>
      </w:r>
      <w:r w:rsidR="00336BA2" w:rsidRPr="008A5AED">
        <w:rPr>
          <w:rFonts w:ascii="Times New Roman" w:eastAsia="Times New Roman" w:hAnsi="Times New Roman" w:cs="Times New Roman"/>
          <w:i/>
        </w:rPr>
        <w:t xml:space="preserve">/Universidade </w:t>
      </w:r>
      <w:r w:rsidR="00336BA2">
        <w:rPr>
          <w:rFonts w:ascii="Times New Roman" w:eastAsia="Times New Roman" w:hAnsi="Times New Roman" w:cs="Times New Roman"/>
          <w:i/>
        </w:rPr>
        <w:t>Federal de Lavras</w:t>
      </w:r>
      <w:r w:rsidR="00336BA2" w:rsidRPr="008A5AED">
        <w:rPr>
          <w:rFonts w:ascii="Times New Roman" w:eastAsia="Times New Roman" w:hAnsi="Times New Roman" w:cs="Times New Roman"/>
          <w:i/>
        </w:rPr>
        <w:t xml:space="preserve">, </w:t>
      </w:r>
      <w:r w:rsidR="00336BA2">
        <w:rPr>
          <w:rFonts w:ascii="Times New Roman" w:eastAsia="Times New Roman" w:hAnsi="Times New Roman" w:cs="Times New Roman"/>
          <w:i/>
        </w:rPr>
        <w:t>Lavras</w:t>
      </w:r>
      <w:r w:rsidR="00336BA2" w:rsidRPr="00D047EB">
        <w:rPr>
          <w:rFonts w:ascii="Times New Roman" w:eastAsia="Times New Roman" w:hAnsi="Times New Roman" w:cs="Times New Roman"/>
          <w:i/>
        </w:rPr>
        <w:t>, C. Postal 3037, CEP 37200-000 – Lavras, MG – Brasil</w:t>
      </w:r>
    </w:p>
    <w:p w14:paraId="3310C922" w14:textId="3041C054" w:rsidR="00336BA2" w:rsidRDefault="005813F5" w:rsidP="00336BA2">
      <w:pPr>
        <w:spacing w:after="0"/>
        <w:rPr>
          <w:rFonts w:ascii="Times New Roman" w:eastAsia="Times New Roman" w:hAnsi="Times New Roman" w:cs="Times New Roman"/>
          <w:i/>
        </w:rPr>
      </w:pPr>
      <w:r>
        <w:rPr>
          <w:rFonts w:ascii="Times New Roman" w:eastAsia="Times New Roman" w:hAnsi="Times New Roman" w:cs="Times New Roman"/>
          <w:i/>
          <w:vertAlign w:val="superscript"/>
        </w:rPr>
        <w:t>3</w:t>
      </w:r>
      <w:r w:rsidRPr="008A5AED">
        <w:rPr>
          <w:rFonts w:ascii="Times New Roman" w:eastAsia="Times New Roman" w:hAnsi="Times New Roman" w:cs="Times New Roman"/>
          <w:i/>
          <w:vertAlign w:val="superscript"/>
        </w:rPr>
        <w:t xml:space="preserve"> </w:t>
      </w:r>
      <w:r w:rsidR="00336BA2" w:rsidRPr="00EA18D0">
        <w:rPr>
          <w:rFonts w:ascii="Times New Roman" w:hAnsi="Times New Roman" w:cs="Times New Roman"/>
          <w:i/>
          <w:iCs/>
        </w:rPr>
        <w:t>Centro de Pesquisas em Materiais Avançados e Energia</w:t>
      </w:r>
      <w:r w:rsidR="00336BA2">
        <w:rPr>
          <w:rFonts w:ascii="Times New Roman" w:eastAsia="Times New Roman" w:hAnsi="Times New Roman" w:cs="Times New Roman"/>
          <w:i/>
        </w:rPr>
        <w:t xml:space="preserve">, </w:t>
      </w:r>
      <w:r w:rsidR="00336BA2" w:rsidRPr="008A5AED">
        <w:rPr>
          <w:rFonts w:ascii="Times New Roman" w:eastAsia="Times New Roman" w:hAnsi="Times New Roman" w:cs="Times New Roman"/>
          <w:i/>
        </w:rPr>
        <w:t xml:space="preserve">Universidade </w:t>
      </w:r>
      <w:r w:rsidR="00336BA2">
        <w:rPr>
          <w:rFonts w:ascii="Times New Roman" w:eastAsia="Times New Roman" w:hAnsi="Times New Roman" w:cs="Times New Roman"/>
          <w:i/>
        </w:rPr>
        <w:t>Federal de São Carlos</w:t>
      </w:r>
      <w:r w:rsidR="00336BA2" w:rsidRPr="008A5AED">
        <w:rPr>
          <w:rFonts w:ascii="Times New Roman" w:eastAsia="Times New Roman" w:hAnsi="Times New Roman" w:cs="Times New Roman"/>
          <w:i/>
        </w:rPr>
        <w:t xml:space="preserve">, </w:t>
      </w:r>
      <w:r w:rsidR="00336BA2">
        <w:rPr>
          <w:rFonts w:ascii="Times New Roman" w:eastAsia="Times New Roman" w:hAnsi="Times New Roman" w:cs="Times New Roman"/>
          <w:i/>
        </w:rPr>
        <w:t>São Carlos</w:t>
      </w:r>
      <w:r w:rsidR="00336BA2" w:rsidRPr="008A5AED">
        <w:rPr>
          <w:rFonts w:ascii="Times New Roman" w:eastAsia="Times New Roman" w:hAnsi="Times New Roman" w:cs="Times New Roman"/>
          <w:i/>
        </w:rPr>
        <w:t xml:space="preserve">, </w:t>
      </w:r>
      <w:r w:rsidR="00336BA2">
        <w:rPr>
          <w:rFonts w:ascii="Times New Roman" w:eastAsia="Times New Roman" w:hAnsi="Times New Roman" w:cs="Times New Roman"/>
          <w:i/>
        </w:rPr>
        <w:t>C. Postal 676, CEP 13565-905, São Carlos, SP,</w:t>
      </w:r>
      <w:r w:rsidR="00336BA2" w:rsidRPr="008A5AED">
        <w:rPr>
          <w:rFonts w:ascii="Times New Roman" w:eastAsia="Times New Roman" w:hAnsi="Times New Roman" w:cs="Times New Roman"/>
          <w:i/>
        </w:rPr>
        <w:t xml:space="preserve"> </w:t>
      </w:r>
      <w:r w:rsidR="00336BA2">
        <w:rPr>
          <w:rFonts w:ascii="Times New Roman" w:eastAsia="Times New Roman" w:hAnsi="Times New Roman" w:cs="Times New Roman"/>
          <w:i/>
        </w:rPr>
        <w:t>Brasil</w:t>
      </w:r>
    </w:p>
    <w:p w14:paraId="3F893E8E" w14:textId="23EEE04F" w:rsidR="00336BA2" w:rsidRPr="008A5AED" w:rsidRDefault="00336BA2" w:rsidP="00336BA2">
      <w:pPr>
        <w:rPr>
          <w:rFonts w:ascii="Times New Roman" w:eastAsia="Times New Roman" w:hAnsi="Times New Roman" w:cs="Times New Roman"/>
          <w:i/>
        </w:rPr>
      </w:pPr>
      <w:r w:rsidRPr="008A5AED">
        <w:rPr>
          <w:rFonts w:ascii="Times New Roman" w:eastAsia="Times New Roman" w:hAnsi="Times New Roman" w:cs="Times New Roman"/>
          <w:i/>
        </w:rPr>
        <w:t xml:space="preserve">*E-mail: </w:t>
      </w:r>
      <w:r>
        <w:rPr>
          <w:rFonts w:ascii="Times New Roman" w:eastAsia="Times New Roman" w:hAnsi="Times New Roman" w:cs="Times New Roman"/>
          <w:i/>
        </w:rPr>
        <w:t>zuy@ufla.br</w:t>
      </w:r>
    </w:p>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A7C0C1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r w:rsidR="00C56443">
                              <w:rPr>
                                <w:rFonts w:cs="Helvetica"/>
                                <w:bCs/>
                                <w:sz w:val="20"/>
                                <w:lang w:val="pt-BR"/>
                              </w:rPr>
                              <w:t xml:space="preserve">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0A7C0C1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r w:rsidR="00C56443">
                        <w:rPr>
                          <w:rFonts w:cs="Helvetica"/>
                          <w:bCs/>
                          <w:sz w:val="20"/>
                          <w:lang w:val="pt-BR"/>
                        </w:rPr>
                        <w:t xml:space="preserve">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21CFD5B3" w:rsidR="00EA4E1B" w:rsidRDefault="00EA4E1B" w:rsidP="00225CBA">
      <w:pPr>
        <w:pStyle w:val="BDAbstract"/>
        <w:spacing w:before="240" w:after="0" w:line="240" w:lineRule="auto"/>
        <w:rPr>
          <w:rFonts w:ascii="Times New Roman" w:hAnsi="Times New Roman"/>
          <w:b w:val="0"/>
          <w:sz w:val="20"/>
          <w:lang w:val="pt-BR"/>
        </w:rPr>
      </w:pPr>
      <w:r>
        <w:rPr>
          <w:rFonts w:ascii="Times New Roman" w:hAnsi="Times New Roman"/>
          <w:b w:val="0"/>
          <w:sz w:val="20"/>
          <w:lang w:val="pt-BR"/>
        </w:rPr>
        <w:t xml:space="preserve">RESUMO </w:t>
      </w:r>
      <w:r w:rsidR="00D256E3">
        <w:rPr>
          <w:rFonts w:ascii="Times New Roman" w:hAnsi="Times New Roman"/>
          <w:b w:val="0"/>
          <w:sz w:val="20"/>
          <w:lang w:val="pt-BR"/>
        </w:rPr>
        <w:t>–</w:t>
      </w:r>
      <w:r w:rsidR="00E1676C">
        <w:rPr>
          <w:rFonts w:ascii="Times New Roman" w:hAnsi="Times New Roman"/>
          <w:b w:val="0"/>
          <w:sz w:val="20"/>
          <w:lang w:val="pt-BR"/>
        </w:rPr>
        <w:t xml:space="preserve"> </w:t>
      </w:r>
      <w:r w:rsidR="00D256E3">
        <w:rPr>
          <w:rFonts w:ascii="Times New Roman" w:hAnsi="Times New Roman"/>
          <w:b w:val="0"/>
          <w:sz w:val="20"/>
          <w:lang w:val="pt-BR"/>
        </w:rPr>
        <w:t xml:space="preserve">Neste trabalho, catalisadores de Ni e </w:t>
      </w:r>
      <w:proofErr w:type="spellStart"/>
      <w:r w:rsidR="00D256E3">
        <w:rPr>
          <w:rFonts w:ascii="Times New Roman" w:hAnsi="Times New Roman"/>
          <w:b w:val="0"/>
          <w:sz w:val="20"/>
          <w:lang w:val="pt-BR"/>
        </w:rPr>
        <w:t>Pt</w:t>
      </w:r>
      <w:proofErr w:type="spellEnd"/>
      <w:r w:rsidR="00D256E3">
        <w:rPr>
          <w:rFonts w:ascii="Times New Roman" w:hAnsi="Times New Roman"/>
          <w:b w:val="0"/>
          <w:sz w:val="20"/>
          <w:lang w:val="pt-BR"/>
        </w:rPr>
        <w:t xml:space="preserve"> suportados em HY (</w:t>
      </w:r>
      <w:proofErr w:type="spellStart"/>
      <w:r w:rsidR="00D256E3">
        <w:rPr>
          <w:rFonts w:ascii="Times New Roman" w:hAnsi="Times New Roman"/>
          <w:b w:val="0"/>
          <w:sz w:val="20"/>
          <w:lang w:val="pt-BR"/>
        </w:rPr>
        <w:t>NiPt</w:t>
      </w:r>
      <w:proofErr w:type="spellEnd"/>
      <w:r w:rsidR="00D256E3">
        <w:rPr>
          <w:rFonts w:ascii="Times New Roman" w:hAnsi="Times New Roman"/>
          <w:b w:val="0"/>
          <w:sz w:val="20"/>
          <w:lang w:val="pt-BR"/>
        </w:rPr>
        <w:t>/HY) e HY modificada com óxido de nióbio sulfatado (</w:t>
      </w:r>
      <w:proofErr w:type="spellStart"/>
      <w:r w:rsidR="00D256E3">
        <w:rPr>
          <w:rFonts w:ascii="Times New Roman" w:hAnsi="Times New Roman"/>
          <w:b w:val="0"/>
          <w:sz w:val="20"/>
          <w:lang w:val="pt-BR"/>
        </w:rPr>
        <w:t>NiPt</w:t>
      </w:r>
      <w:proofErr w:type="spellEnd"/>
      <w:r w:rsidR="00D256E3">
        <w:rPr>
          <w:rFonts w:ascii="Times New Roman" w:hAnsi="Times New Roman"/>
          <w:b w:val="0"/>
          <w:sz w:val="20"/>
          <w:lang w:val="pt-BR"/>
        </w:rPr>
        <w:t>/</w:t>
      </w:r>
      <w:proofErr w:type="spellStart"/>
      <w:r w:rsidR="00D256E3">
        <w:rPr>
          <w:rFonts w:ascii="Times New Roman" w:hAnsi="Times New Roman"/>
          <w:b w:val="0"/>
          <w:sz w:val="20"/>
          <w:lang w:val="pt-BR"/>
        </w:rPr>
        <w:t>SNb</w:t>
      </w:r>
      <w:proofErr w:type="spellEnd"/>
      <w:r w:rsidR="00D256E3">
        <w:rPr>
          <w:rFonts w:ascii="Times New Roman" w:hAnsi="Times New Roman"/>
          <w:b w:val="0"/>
          <w:sz w:val="20"/>
          <w:lang w:val="pt-BR"/>
        </w:rPr>
        <w:t>-HY) fo</w:t>
      </w:r>
      <w:r w:rsidR="00A46E9F">
        <w:rPr>
          <w:rFonts w:ascii="Times New Roman" w:hAnsi="Times New Roman"/>
          <w:b w:val="0"/>
          <w:sz w:val="20"/>
          <w:lang w:val="pt-BR"/>
        </w:rPr>
        <w:t>ram</w:t>
      </w:r>
      <w:r w:rsidR="00D256E3">
        <w:rPr>
          <w:rFonts w:ascii="Times New Roman" w:hAnsi="Times New Roman"/>
          <w:b w:val="0"/>
          <w:sz w:val="20"/>
          <w:lang w:val="pt-BR"/>
        </w:rPr>
        <w:t xml:space="preserve"> avaliado</w:t>
      </w:r>
      <w:r w:rsidR="00A46E9F">
        <w:rPr>
          <w:rFonts w:ascii="Times New Roman" w:hAnsi="Times New Roman"/>
          <w:b w:val="0"/>
          <w:sz w:val="20"/>
          <w:lang w:val="pt-BR"/>
        </w:rPr>
        <w:t>s</w:t>
      </w:r>
      <w:r w:rsidR="00D256E3">
        <w:rPr>
          <w:rFonts w:ascii="Times New Roman" w:hAnsi="Times New Roman"/>
          <w:b w:val="0"/>
          <w:sz w:val="20"/>
          <w:lang w:val="pt-BR"/>
        </w:rPr>
        <w:t xml:space="preserve"> no </w:t>
      </w:r>
      <w:r w:rsidR="005813F5">
        <w:rPr>
          <w:rFonts w:ascii="Times New Roman" w:hAnsi="Times New Roman"/>
          <w:b w:val="0"/>
          <w:sz w:val="20"/>
          <w:lang w:val="pt-BR"/>
        </w:rPr>
        <w:t>hidroprocessamento</w:t>
      </w:r>
      <w:r w:rsidR="00D256E3">
        <w:rPr>
          <w:rFonts w:ascii="Times New Roman" w:hAnsi="Times New Roman"/>
          <w:b w:val="0"/>
          <w:sz w:val="20"/>
          <w:lang w:val="pt-BR"/>
        </w:rPr>
        <w:t xml:space="preserve"> </w:t>
      </w:r>
      <w:r w:rsidR="005813F5">
        <w:rPr>
          <w:rFonts w:ascii="Times New Roman" w:hAnsi="Times New Roman"/>
          <w:b w:val="0"/>
          <w:sz w:val="20"/>
          <w:lang w:val="pt-BR"/>
        </w:rPr>
        <w:t xml:space="preserve">de </w:t>
      </w:r>
      <w:r w:rsidR="00D256E3">
        <w:rPr>
          <w:rFonts w:ascii="Times New Roman" w:hAnsi="Times New Roman"/>
          <w:b w:val="0"/>
          <w:sz w:val="20"/>
          <w:lang w:val="pt-BR"/>
        </w:rPr>
        <w:t xml:space="preserve">ácido oleico. Os catalisadores e suportes foram caracterizados por </w:t>
      </w:r>
      <w:proofErr w:type="spellStart"/>
      <w:r w:rsidR="00A46E9F">
        <w:rPr>
          <w:rFonts w:ascii="Times New Roman" w:hAnsi="Times New Roman"/>
          <w:b w:val="0"/>
          <w:sz w:val="20"/>
          <w:lang w:val="pt-BR"/>
        </w:rPr>
        <w:t>D</w:t>
      </w:r>
      <w:r w:rsidR="00D256E3">
        <w:rPr>
          <w:rFonts w:ascii="Times New Roman" w:hAnsi="Times New Roman"/>
          <w:b w:val="0"/>
          <w:sz w:val="20"/>
          <w:lang w:val="pt-BR"/>
        </w:rPr>
        <w:t>ifratometria</w:t>
      </w:r>
      <w:proofErr w:type="spellEnd"/>
      <w:r w:rsidR="00D256E3">
        <w:rPr>
          <w:rFonts w:ascii="Times New Roman" w:hAnsi="Times New Roman"/>
          <w:b w:val="0"/>
          <w:sz w:val="20"/>
          <w:lang w:val="pt-BR"/>
        </w:rPr>
        <w:t xml:space="preserve"> de </w:t>
      </w:r>
      <w:r w:rsidR="00A46E9F">
        <w:rPr>
          <w:rFonts w:ascii="Times New Roman" w:hAnsi="Times New Roman"/>
          <w:b w:val="0"/>
          <w:sz w:val="20"/>
          <w:lang w:val="pt-BR"/>
        </w:rPr>
        <w:t>R</w:t>
      </w:r>
      <w:r w:rsidR="00D256E3">
        <w:rPr>
          <w:rFonts w:ascii="Times New Roman" w:hAnsi="Times New Roman"/>
          <w:b w:val="0"/>
          <w:sz w:val="20"/>
          <w:lang w:val="pt-BR"/>
        </w:rPr>
        <w:t>aios X</w:t>
      </w:r>
      <w:r w:rsidR="005813F5">
        <w:rPr>
          <w:rFonts w:ascii="Times New Roman" w:hAnsi="Times New Roman"/>
          <w:b w:val="0"/>
          <w:sz w:val="20"/>
          <w:lang w:val="pt-BR"/>
        </w:rPr>
        <w:t xml:space="preserve"> (DRX)</w:t>
      </w:r>
      <w:r w:rsidR="00D256E3">
        <w:rPr>
          <w:rFonts w:ascii="Times New Roman" w:hAnsi="Times New Roman"/>
          <w:b w:val="0"/>
          <w:sz w:val="20"/>
          <w:lang w:val="pt-BR"/>
        </w:rPr>
        <w:t>,</w:t>
      </w:r>
      <w:r w:rsidR="00706440">
        <w:rPr>
          <w:rFonts w:ascii="Times New Roman" w:hAnsi="Times New Roman"/>
          <w:b w:val="0"/>
          <w:sz w:val="20"/>
          <w:lang w:val="pt-BR"/>
        </w:rPr>
        <w:t xml:space="preserve"> </w:t>
      </w:r>
      <w:r w:rsidR="00336BA2">
        <w:rPr>
          <w:rFonts w:ascii="Times New Roman" w:hAnsi="Times New Roman"/>
          <w:b w:val="0"/>
          <w:sz w:val="20"/>
          <w:lang w:val="pt-BR"/>
        </w:rPr>
        <w:t>redução com H</w:t>
      </w:r>
      <w:r w:rsidR="00336BA2" w:rsidRPr="00706440">
        <w:rPr>
          <w:rFonts w:ascii="Times New Roman" w:hAnsi="Times New Roman"/>
          <w:b w:val="0"/>
          <w:sz w:val="20"/>
          <w:vertAlign w:val="subscript"/>
          <w:lang w:val="pt-BR"/>
        </w:rPr>
        <w:t xml:space="preserve">2 </w:t>
      </w:r>
      <w:r w:rsidR="00336BA2">
        <w:rPr>
          <w:rFonts w:ascii="Times New Roman" w:hAnsi="Times New Roman"/>
          <w:b w:val="0"/>
          <w:sz w:val="20"/>
          <w:lang w:val="pt-BR"/>
        </w:rPr>
        <w:t xml:space="preserve">à temperatura programada </w:t>
      </w:r>
      <w:r w:rsidR="005813F5">
        <w:rPr>
          <w:rFonts w:ascii="Times New Roman" w:hAnsi="Times New Roman"/>
          <w:b w:val="0"/>
          <w:sz w:val="20"/>
          <w:lang w:val="pt-BR"/>
        </w:rPr>
        <w:t>(TPR – H</w:t>
      </w:r>
      <w:r w:rsidR="005813F5" w:rsidRPr="00A46E9F">
        <w:rPr>
          <w:rFonts w:ascii="Times New Roman" w:hAnsi="Times New Roman"/>
          <w:b w:val="0"/>
          <w:sz w:val="20"/>
          <w:vertAlign w:val="subscript"/>
          <w:lang w:val="pt-BR"/>
        </w:rPr>
        <w:t>2</w:t>
      </w:r>
      <w:r w:rsidR="005813F5">
        <w:rPr>
          <w:rFonts w:ascii="Times New Roman" w:hAnsi="Times New Roman"/>
          <w:b w:val="0"/>
          <w:sz w:val="20"/>
          <w:lang w:val="pt-BR"/>
        </w:rPr>
        <w:t xml:space="preserve">) </w:t>
      </w:r>
      <w:r w:rsidR="00336BA2">
        <w:rPr>
          <w:rFonts w:ascii="Times New Roman" w:hAnsi="Times New Roman"/>
          <w:b w:val="0"/>
          <w:sz w:val="20"/>
          <w:lang w:val="pt-BR"/>
        </w:rPr>
        <w:t xml:space="preserve">e </w:t>
      </w:r>
      <w:r w:rsidR="00706440">
        <w:rPr>
          <w:rFonts w:ascii="Times New Roman" w:hAnsi="Times New Roman"/>
          <w:b w:val="0"/>
          <w:sz w:val="20"/>
          <w:lang w:val="pt-BR"/>
        </w:rPr>
        <w:t xml:space="preserve">adsorção de piridina seguido de análise por espectroscopia </w:t>
      </w:r>
      <w:r w:rsidR="002B4747">
        <w:rPr>
          <w:rFonts w:ascii="Times New Roman" w:hAnsi="Times New Roman"/>
          <w:b w:val="0"/>
          <w:sz w:val="20"/>
          <w:lang w:val="pt-BR"/>
        </w:rPr>
        <w:t>de</w:t>
      </w:r>
      <w:r w:rsidR="00706440">
        <w:rPr>
          <w:rFonts w:ascii="Times New Roman" w:hAnsi="Times New Roman"/>
          <w:b w:val="0"/>
          <w:sz w:val="20"/>
          <w:lang w:val="pt-BR"/>
        </w:rPr>
        <w:t xml:space="preserve"> infravermelho</w:t>
      </w:r>
      <w:r w:rsidR="002B4747">
        <w:rPr>
          <w:rFonts w:ascii="Times New Roman" w:hAnsi="Times New Roman"/>
          <w:b w:val="0"/>
          <w:sz w:val="20"/>
          <w:lang w:val="pt-BR"/>
        </w:rPr>
        <w:t xml:space="preserve"> com transformada de Fourier</w:t>
      </w:r>
      <w:r w:rsidR="00A24B10">
        <w:rPr>
          <w:rFonts w:ascii="Times New Roman" w:hAnsi="Times New Roman"/>
          <w:b w:val="0"/>
          <w:sz w:val="20"/>
          <w:lang w:val="pt-BR"/>
        </w:rPr>
        <w:t xml:space="preserve"> </w:t>
      </w:r>
      <w:r w:rsidR="005813F5">
        <w:rPr>
          <w:rFonts w:ascii="Times New Roman" w:hAnsi="Times New Roman"/>
          <w:b w:val="0"/>
          <w:sz w:val="20"/>
          <w:lang w:val="pt-BR"/>
        </w:rPr>
        <w:t>(</w:t>
      </w:r>
      <w:proofErr w:type="spellStart"/>
      <w:r w:rsidR="005813F5">
        <w:rPr>
          <w:rFonts w:ascii="Times New Roman" w:hAnsi="Times New Roman"/>
          <w:b w:val="0"/>
          <w:sz w:val="20"/>
          <w:lang w:val="pt-BR"/>
        </w:rPr>
        <w:t>Py</w:t>
      </w:r>
      <w:proofErr w:type="spellEnd"/>
      <w:r w:rsidR="005813F5">
        <w:rPr>
          <w:rFonts w:ascii="Times New Roman" w:hAnsi="Times New Roman"/>
          <w:b w:val="0"/>
          <w:sz w:val="20"/>
          <w:lang w:val="pt-BR"/>
        </w:rPr>
        <w:t>-FTIR)</w:t>
      </w:r>
      <w:r w:rsidR="00706440">
        <w:rPr>
          <w:rFonts w:ascii="Times New Roman" w:hAnsi="Times New Roman"/>
          <w:b w:val="0"/>
          <w:sz w:val="20"/>
          <w:lang w:val="pt-BR"/>
        </w:rPr>
        <w:t>. O</w:t>
      </w:r>
      <w:r w:rsidR="00336BA2">
        <w:rPr>
          <w:rFonts w:ascii="Times New Roman" w:hAnsi="Times New Roman"/>
          <w:b w:val="0"/>
          <w:sz w:val="20"/>
          <w:lang w:val="pt-BR"/>
        </w:rPr>
        <w:t>s</w:t>
      </w:r>
      <w:r w:rsidR="00706440">
        <w:rPr>
          <w:rFonts w:ascii="Times New Roman" w:hAnsi="Times New Roman"/>
          <w:b w:val="0"/>
          <w:sz w:val="20"/>
          <w:lang w:val="pt-BR"/>
        </w:rPr>
        <w:t xml:space="preserve"> </w:t>
      </w:r>
      <w:r w:rsidR="002B4747">
        <w:rPr>
          <w:rFonts w:ascii="Times New Roman" w:hAnsi="Times New Roman"/>
          <w:b w:val="0"/>
          <w:sz w:val="20"/>
          <w:lang w:val="pt-BR"/>
        </w:rPr>
        <w:t xml:space="preserve">testes </w:t>
      </w:r>
      <w:r w:rsidR="00336BA2">
        <w:rPr>
          <w:rFonts w:ascii="Times New Roman" w:hAnsi="Times New Roman"/>
          <w:b w:val="0"/>
          <w:sz w:val="20"/>
          <w:lang w:val="pt-BR"/>
        </w:rPr>
        <w:t>catalíticos foram</w:t>
      </w:r>
      <w:r w:rsidR="00706440">
        <w:rPr>
          <w:rFonts w:ascii="Times New Roman" w:hAnsi="Times New Roman"/>
          <w:b w:val="0"/>
          <w:sz w:val="20"/>
          <w:lang w:val="pt-BR"/>
        </w:rPr>
        <w:t xml:space="preserve"> </w:t>
      </w:r>
      <w:r w:rsidR="00A46E9F">
        <w:rPr>
          <w:rFonts w:ascii="Times New Roman" w:hAnsi="Times New Roman"/>
          <w:b w:val="0"/>
          <w:sz w:val="20"/>
          <w:lang w:val="pt-BR"/>
        </w:rPr>
        <w:t>conduzido</w:t>
      </w:r>
      <w:r w:rsidR="00336BA2">
        <w:rPr>
          <w:rFonts w:ascii="Times New Roman" w:hAnsi="Times New Roman"/>
          <w:b w:val="0"/>
          <w:sz w:val="20"/>
          <w:lang w:val="pt-BR"/>
        </w:rPr>
        <w:t>s</w:t>
      </w:r>
      <w:r w:rsidR="00706440">
        <w:rPr>
          <w:rFonts w:ascii="Times New Roman" w:hAnsi="Times New Roman"/>
          <w:b w:val="0"/>
          <w:sz w:val="20"/>
          <w:lang w:val="pt-BR"/>
        </w:rPr>
        <w:t xml:space="preserve"> em reator de </w:t>
      </w:r>
      <w:r w:rsidR="00502280">
        <w:rPr>
          <w:rFonts w:ascii="Times New Roman" w:hAnsi="Times New Roman"/>
          <w:b w:val="0"/>
          <w:sz w:val="20"/>
          <w:lang w:val="pt-BR"/>
        </w:rPr>
        <w:t xml:space="preserve">leito fixo com fluxo </w:t>
      </w:r>
      <w:r w:rsidR="00706440">
        <w:rPr>
          <w:rFonts w:ascii="Times New Roman" w:hAnsi="Times New Roman"/>
          <w:b w:val="0"/>
          <w:sz w:val="20"/>
          <w:lang w:val="pt-BR"/>
        </w:rPr>
        <w:t>contínuo a 290 ºC e pressão de 5 MPa. Os produtos líquidos da reação foram quantificados por cromatografia gasosa com detector de ionização de chama</w:t>
      </w:r>
      <w:r w:rsidR="006D46AB">
        <w:rPr>
          <w:rFonts w:ascii="Times New Roman" w:hAnsi="Times New Roman"/>
          <w:b w:val="0"/>
          <w:sz w:val="20"/>
          <w:lang w:val="pt-BR"/>
        </w:rPr>
        <w:t xml:space="preserve"> (GC-FID</w:t>
      </w:r>
      <w:r w:rsidR="00A46E9F">
        <w:rPr>
          <w:rFonts w:ascii="Times New Roman" w:hAnsi="Times New Roman"/>
          <w:b w:val="0"/>
          <w:sz w:val="20"/>
          <w:lang w:val="pt-BR"/>
        </w:rPr>
        <w:t>)</w:t>
      </w:r>
      <w:r w:rsidR="00706440">
        <w:rPr>
          <w:rFonts w:ascii="Times New Roman" w:hAnsi="Times New Roman"/>
          <w:b w:val="0"/>
          <w:sz w:val="20"/>
          <w:lang w:val="pt-BR"/>
        </w:rPr>
        <w:t xml:space="preserve">. As análises de DRX revelaram </w:t>
      </w:r>
      <w:r w:rsidR="00A46E9F">
        <w:rPr>
          <w:rFonts w:ascii="Times New Roman" w:hAnsi="Times New Roman"/>
          <w:b w:val="0"/>
          <w:sz w:val="20"/>
          <w:lang w:val="pt-BR"/>
        </w:rPr>
        <w:t>que</w:t>
      </w:r>
      <w:r w:rsidR="00706440">
        <w:rPr>
          <w:rFonts w:ascii="Times New Roman" w:hAnsi="Times New Roman"/>
          <w:b w:val="0"/>
          <w:sz w:val="20"/>
          <w:lang w:val="pt-BR"/>
        </w:rPr>
        <w:t xml:space="preserve"> o procedimento de sulfatação não modificou a estrutura cristalina da HY. </w:t>
      </w:r>
      <w:r w:rsidR="00336BA2">
        <w:rPr>
          <w:rFonts w:ascii="Times New Roman" w:hAnsi="Times New Roman"/>
          <w:b w:val="0"/>
          <w:sz w:val="20"/>
          <w:lang w:val="pt-BR"/>
        </w:rPr>
        <w:t xml:space="preserve">A presença do grupo sulfato contribuiu para diminuir a temperatura de redução do </w:t>
      </w:r>
      <w:r w:rsidR="00502280">
        <w:rPr>
          <w:rFonts w:ascii="Times New Roman" w:hAnsi="Times New Roman"/>
          <w:b w:val="0"/>
          <w:sz w:val="20"/>
          <w:lang w:val="pt-BR"/>
        </w:rPr>
        <w:t xml:space="preserve">óxido de </w:t>
      </w:r>
      <w:r w:rsidR="00336BA2">
        <w:rPr>
          <w:rFonts w:ascii="Times New Roman" w:hAnsi="Times New Roman"/>
          <w:b w:val="0"/>
          <w:sz w:val="20"/>
          <w:lang w:val="pt-BR"/>
        </w:rPr>
        <w:t xml:space="preserve">níquel. </w:t>
      </w:r>
      <w:r w:rsidR="00706440">
        <w:rPr>
          <w:rFonts w:ascii="Times New Roman" w:hAnsi="Times New Roman"/>
          <w:b w:val="0"/>
          <w:sz w:val="20"/>
          <w:lang w:val="pt-BR"/>
        </w:rPr>
        <w:t xml:space="preserve">Por meio da análise de </w:t>
      </w:r>
      <w:proofErr w:type="spellStart"/>
      <w:r w:rsidR="00706440">
        <w:rPr>
          <w:rFonts w:ascii="Times New Roman" w:hAnsi="Times New Roman"/>
          <w:b w:val="0"/>
          <w:sz w:val="20"/>
          <w:lang w:val="pt-BR"/>
        </w:rPr>
        <w:t>Py</w:t>
      </w:r>
      <w:proofErr w:type="spellEnd"/>
      <w:r w:rsidR="00706440">
        <w:rPr>
          <w:rFonts w:ascii="Times New Roman" w:hAnsi="Times New Roman"/>
          <w:b w:val="0"/>
          <w:sz w:val="20"/>
          <w:lang w:val="pt-BR"/>
        </w:rPr>
        <w:t>-FTIR foi possível verificar um aumento na proporção de sítios ácido de Br</w:t>
      </w:r>
      <w:r w:rsidR="002B4747">
        <w:rPr>
          <w:rFonts w:ascii="Times New Roman" w:hAnsi="Times New Roman"/>
          <w:b w:val="0"/>
          <w:sz w:val="20"/>
          <w:lang w:val="pt-BR"/>
        </w:rPr>
        <w:t>ø</w:t>
      </w:r>
      <w:r w:rsidR="00706440">
        <w:rPr>
          <w:rFonts w:ascii="Times New Roman" w:hAnsi="Times New Roman"/>
          <w:b w:val="0"/>
          <w:sz w:val="20"/>
          <w:lang w:val="pt-BR"/>
        </w:rPr>
        <w:t xml:space="preserve">nsted </w:t>
      </w:r>
      <w:r w:rsidR="00A46E9F">
        <w:rPr>
          <w:rFonts w:ascii="Times New Roman" w:hAnsi="Times New Roman"/>
          <w:b w:val="0"/>
          <w:sz w:val="20"/>
          <w:lang w:val="pt-BR"/>
        </w:rPr>
        <w:t>após a sulfatação</w:t>
      </w:r>
      <w:r w:rsidR="00E1676C">
        <w:rPr>
          <w:rFonts w:ascii="Times New Roman" w:hAnsi="Times New Roman"/>
          <w:b w:val="0"/>
          <w:sz w:val="20"/>
          <w:lang w:val="pt-BR"/>
        </w:rPr>
        <w:t xml:space="preserve">. O </w:t>
      </w:r>
      <w:proofErr w:type="spellStart"/>
      <w:r w:rsidR="00E1676C">
        <w:rPr>
          <w:rFonts w:ascii="Times New Roman" w:hAnsi="Times New Roman"/>
          <w:b w:val="0"/>
          <w:sz w:val="20"/>
          <w:lang w:val="pt-BR"/>
        </w:rPr>
        <w:t>NiPt</w:t>
      </w:r>
      <w:proofErr w:type="spellEnd"/>
      <w:r w:rsidR="00E1676C">
        <w:rPr>
          <w:rFonts w:ascii="Times New Roman" w:hAnsi="Times New Roman"/>
          <w:b w:val="0"/>
          <w:sz w:val="20"/>
          <w:lang w:val="pt-BR"/>
        </w:rPr>
        <w:t>/</w:t>
      </w:r>
      <w:proofErr w:type="spellStart"/>
      <w:r w:rsidR="00E1676C">
        <w:rPr>
          <w:rFonts w:ascii="Times New Roman" w:hAnsi="Times New Roman"/>
          <w:b w:val="0"/>
          <w:sz w:val="20"/>
          <w:lang w:val="pt-BR"/>
        </w:rPr>
        <w:t>SNb</w:t>
      </w:r>
      <w:proofErr w:type="spellEnd"/>
      <w:r w:rsidR="00E1676C">
        <w:rPr>
          <w:rFonts w:ascii="Times New Roman" w:hAnsi="Times New Roman"/>
          <w:b w:val="0"/>
          <w:sz w:val="20"/>
          <w:lang w:val="pt-BR"/>
        </w:rPr>
        <w:t xml:space="preserve">-HY apresentou desempenho catalítico superior ao </w:t>
      </w:r>
      <w:proofErr w:type="spellStart"/>
      <w:r w:rsidR="00A46E9F">
        <w:rPr>
          <w:rFonts w:ascii="Times New Roman" w:hAnsi="Times New Roman"/>
          <w:b w:val="0"/>
          <w:sz w:val="20"/>
          <w:lang w:val="pt-BR"/>
        </w:rPr>
        <w:t>NiPt</w:t>
      </w:r>
      <w:proofErr w:type="spellEnd"/>
      <w:r w:rsidR="00A46E9F">
        <w:rPr>
          <w:rFonts w:ascii="Times New Roman" w:hAnsi="Times New Roman"/>
          <w:b w:val="0"/>
          <w:sz w:val="20"/>
          <w:lang w:val="pt-BR"/>
        </w:rPr>
        <w:t>/</w:t>
      </w:r>
      <w:r w:rsidR="00E1676C">
        <w:rPr>
          <w:rFonts w:ascii="Times New Roman" w:hAnsi="Times New Roman"/>
          <w:b w:val="0"/>
          <w:sz w:val="20"/>
          <w:lang w:val="pt-BR"/>
        </w:rPr>
        <w:t xml:space="preserve">HY. O grupo sulfato contribuiu para aumentar </w:t>
      </w:r>
      <w:r w:rsidR="004E5420">
        <w:rPr>
          <w:rFonts w:ascii="Times New Roman" w:hAnsi="Times New Roman"/>
          <w:b w:val="0"/>
          <w:sz w:val="20"/>
          <w:lang w:val="pt-BR"/>
        </w:rPr>
        <w:t>o rendimento de</w:t>
      </w:r>
      <w:r w:rsidR="00E1676C">
        <w:rPr>
          <w:rFonts w:ascii="Times New Roman" w:hAnsi="Times New Roman"/>
          <w:b w:val="0"/>
          <w:sz w:val="20"/>
          <w:lang w:val="pt-BR"/>
        </w:rPr>
        <w:t xml:space="preserve"> hidrocarbonetos.</w:t>
      </w:r>
    </w:p>
    <w:p w14:paraId="09B41B70" w14:textId="3757A251"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FF0383">
        <w:rPr>
          <w:rFonts w:ascii="Times New Roman" w:hAnsi="Times New Roman"/>
          <w:b w:val="0"/>
          <w:i/>
          <w:sz w:val="20"/>
          <w:lang w:val="pt-BR"/>
        </w:rPr>
        <w:t>biocombustíveis; sítios ácidos; desoxigenação</w:t>
      </w:r>
      <w:r>
        <w:rPr>
          <w:rFonts w:ascii="Times New Roman" w:hAnsi="Times New Roman"/>
          <w:b w:val="0"/>
          <w:i/>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448368BE" w:rsidR="00EA4E1B" w:rsidRPr="00225CBA" w:rsidRDefault="00EA4E1B" w:rsidP="00EA4E1B">
      <w:pPr>
        <w:pStyle w:val="BDAbstract"/>
        <w:spacing w:before="0" w:after="0" w:line="240" w:lineRule="auto"/>
        <w:rPr>
          <w:rFonts w:ascii="Times New Roman" w:hAnsi="Times New Roman"/>
          <w:b w:val="0"/>
          <w:sz w:val="20"/>
        </w:rPr>
      </w:pPr>
      <w:r w:rsidRPr="00153CDF">
        <w:rPr>
          <w:rFonts w:ascii="Times New Roman" w:hAnsi="Times New Roman"/>
          <w:b w:val="0"/>
          <w:sz w:val="20"/>
        </w:rPr>
        <w:t xml:space="preserve">ABSTRACT </w:t>
      </w:r>
      <w:r w:rsidR="00153CDF" w:rsidRPr="00153CDF">
        <w:rPr>
          <w:rFonts w:ascii="Times New Roman" w:hAnsi="Times New Roman"/>
          <w:b w:val="0"/>
          <w:sz w:val="20"/>
        </w:rPr>
        <w:t xml:space="preserve">– </w:t>
      </w:r>
      <w:r w:rsidR="00225CBA" w:rsidRPr="00225CBA">
        <w:rPr>
          <w:rFonts w:ascii="Times New Roman" w:hAnsi="Times New Roman"/>
          <w:b w:val="0"/>
          <w:sz w:val="20"/>
        </w:rPr>
        <w:t>In this work, Ni and Pt catalysts supported on HY (</w:t>
      </w:r>
      <w:proofErr w:type="spellStart"/>
      <w:r w:rsidR="00225CBA" w:rsidRPr="00225CBA">
        <w:rPr>
          <w:rFonts w:ascii="Times New Roman" w:hAnsi="Times New Roman"/>
          <w:b w:val="0"/>
          <w:sz w:val="20"/>
        </w:rPr>
        <w:t>NiPt</w:t>
      </w:r>
      <w:proofErr w:type="spellEnd"/>
      <w:r w:rsidR="00225CBA" w:rsidRPr="00225CBA">
        <w:rPr>
          <w:rFonts w:ascii="Times New Roman" w:hAnsi="Times New Roman"/>
          <w:b w:val="0"/>
          <w:sz w:val="20"/>
        </w:rPr>
        <w:t>/HY) and HY modified with sulfated niobium oxide (</w:t>
      </w:r>
      <w:proofErr w:type="spellStart"/>
      <w:r w:rsidR="00225CBA" w:rsidRPr="00225CBA">
        <w:rPr>
          <w:rFonts w:ascii="Times New Roman" w:hAnsi="Times New Roman"/>
          <w:b w:val="0"/>
          <w:sz w:val="20"/>
        </w:rPr>
        <w:t>NiPt</w:t>
      </w:r>
      <w:proofErr w:type="spellEnd"/>
      <w:r w:rsidR="00225CBA" w:rsidRPr="00225CBA">
        <w:rPr>
          <w:rFonts w:ascii="Times New Roman" w:hAnsi="Times New Roman"/>
          <w:b w:val="0"/>
          <w:sz w:val="20"/>
        </w:rPr>
        <w:t>/</w:t>
      </w:r>
      <w:proofErr w:type="spellStart"/>
      <w:r w:rsidR="00225CBA" w:rsidRPr="00225CBA">
        <w:rPr>
          <w:rFonts w:ascii="Times New Roman" w:hAnsi="Times New Roman"/>
          <w:b w:val="0"/>
          <w:sz w:val="20"/>
        </w:rPr>
        <w:t>SNb</w:t>
      </w:r>
      <w:proofErr w:type="spellEnd"/>
      <w:r w:rsidR="00225CBA" w:rsidRPr="00225CBA">
        <w:rPr>
          <w:rFonts w:ascii="Times New Roman" w:hAnsi="Times New Roman"/>
          <w:b w:val="0"/>
          <w:sz w:val="20"/>
        </w:rPr>
        <w:t>-HY) were evaluated in the hydroprocessing of oleic acid. The catalysts and supports were characterized by X-Ray Diffraction (XRD), H</w:t>
      </w:r>
      <w:r w:rsidR="00225CBA" w:rsidRPr="00225CBA">
        <w:rPr>
          <w:rFonts w:ascii="Times New Roman" w:hAnsi="Times New Roman"/>
          <w:b w:val="0"/>
          <w:sz w:val="20"/>
          <w:vertAlign w:val="subscript"/>
        </w:rPr>
        <w:t>2</w:t>
      </w:r>
      <w:r w:rsidR="00225CBA" w:rsidRPr="00225CBA">
        <w:rPr>
          <w:rFonts w:ascii="Times New Roman" w:hAnsi="Times New Roman"/>
          <w:b w:val="0"/>
          <w:sz w:val="20"/>
        </w:rPr>
        <w:t>-temperature-programmed reduction</w:t>
      </w:r>
      <w:r w:rsidR="00225CBA" w:rsidRPr="00225CBA" w:rsidDel="00225CBA">
        <w:rPr>
          <w:rFonts w:ascii="Times New Roman" w:hAnsi="Times New Roman"/>
          <w:b w:val="0"/>
          <w:sz w:val="20"/>
        </w:rPr>
        <w:t xml:space="preserve"> </w:t>
      </w:r>
      <w:r w:rsidR="00225CBA" w:rsidRPr="00225CBA">
        <w:rPr>
          <w:rFonts w:ascii="Times New Roman" w:hAnsi="Times New Roman"/>
          <w:b w:val="0"/>
          <w:sz w:val="20"/>
        </w:rPr>
        <w:t>(TPR – H</w:t>
      </w:r>
      <w:r w:rsidR="00225CBA" w:rsidRPr="00225CBA">
        <w:rPr>
          <w:rFonts w:ascii="Times New Roman" w:hAnsi="Times New Roman"/>
          <w:b w:val="0"/>
          <w:sz w:val="20"/>
          <w:vertAlign w:val="subscript"/>
        </w:rPr>
        <w:t>2</w:t>
      </w:r>
      <w:r w:rsidR="00225CBA" w:rsidRPr="00225CBA">
        <w:rPr>
          <w:rFonts w:ascii="Times New Roman" w:hAnsi="Times New Roman"/>
          <w:b w:val="0"/>
          <w:sz w:val="20"/>
        </w:rPr>
        <w:t>) and pyridine adsorption followed by analysis by Fourier transform infrared spectroscopy (</w:t>
      </w:r>
      <w:proofErr w:type="spellStart"/>
      <w:r w:rsidR="00225CBA" w:rsidRPr="00225CBA">
        <w:rPr>
          <w:rFonts w:ascii="Times New Roman" w:hAnsi="Times New Roman"/>
          <w:b w:val="0"/>
          <w:sz w:val="20"/>
        </w:rPr>
        <w:t>Py</w:t>
      </w:r>
      <w:proofErr w:type="spellEnd"/>
      <w:r w:rsidR="00225CBA" w:rsidRPr="00225CBA">
        <w:rPr>
          <w:rFonts w:ascii="Times New Roman" w:hAnsi="Times New Roman"/>
          <w:b w:val="0"/>
          <w:sz w:val="20"/>
        </w:rPr>
        <w:t xml:space="preserve">-FTIR). The catalytic tests were carried out in a fixed bed reactor with continuous flow at 290 ºC and pressure of 5 MPa. The liquid products of the reaction were quantified by gas chromatography with a flame ionization detector (GC-FID). XRD analyzes revealed that the sulphation procedure did not change the crystalline structure of HY. The presence of the sulfate group contributed to decrease the nickel oxide reduction temperature. Through </w:t>
      </w:r>
      <w:proofErr w:type="spellStart"/>
      <w:r w:rsidR="00225CBA" w:rsidRPr="00225CBA">
        <w:rPr>
          <w:rFonts w:ascii="Times New Roman" w:hAnsi="Times New Roman"/>
          <w:b w:val="0"/>
          <w:sz w:val="20"/>
        </w:rPr>
        <w:t>Py</w:t>
      </w:r>
      <w:proofErr w:type="spellEnd"/>
      <w:r w:rsidR="00225CBA" w:rsidRPr="00225CBA">
        <w:rPr>
          <w:rFonts w:ascii="Times New Roman" w:hAnsi="Times New Roman"/>
          <w:b w:val="0"/>
          <w:sz w:val="20"/>
        </w:rPr>
        <w:t xml:space="preserve">-FTIR analysis it was possible to verify an increase in the proportion of Brønsted acid sites after sulphation. </w:t>
      </w:r>
      <w:proofErr w:type="spellStart"/>
      <w:r w:rsidR="00225CBA" w:rsidRPr="00225CBA">
        <w:rPr>
          <w:rFonts w:ascii="Times New Roman" w:hAnsi="Times New Roman"/>
          <w:b w:val="0"/>
          <w:sz w:val="20"/>
        </w:rPr>
        <w:t>NiPt</w:t>
      </w:r>
      <w:proofErr w:type="spellEnd"/>
      <w:r w:rsidR="00225CBA" w:rsidRPr="00225CBA">
        <w:rPr>
          <w:rFonts w:ascii="Times New Roman" w:hAnsi="Times New Roman"/>
          <w:b w:val="0"/>
          <w:sz w:val="20"/>
        </w:rPr>
        <w:t>/</w:t>
      </w:r>
      <w:proofErr w:type="spellStart"/>
      <w:r w:rsidR="00225CBA" w:rsidRPr="00225CBA">
        <w:rPr>
          <w:rFonts w:ascii="Times New Roman" w:hAnsi="Times New Roman"/>
          <w:b w:val="0"/>
          <w:sz w:val="20"/>
        </w:rPr>
        <w:t>SNb</w:t>
      </w:r>
      <w:proofErr w:type="spellEnd"/>
      <w:r w:rsidR="00225CBA" w:rsidRPr="00225CBA">
        <w:rPr>
          <w:rFonts w:ascii="Times New Roman" w:hAnsi="Times New Roman"/>
          <w:b w:val="0"/>
          <w:sz w:val="20"/>
        </w:rPr>
        <w:t xml:space="preserve">-HY presented superior catalytic performance than </w:t>
      </w:r>
      <w:proofErr w:type="spellStart"/>
      <w:r w:rsidR="00225CBA" w:rsidRPr="00225CBA">
        <w:rPr>
          <w:rFonts w:ascii="Times New Roman" w:hAnsi="Times New Roman"/>
          <w:b w:val="0"/>
          <w:sz w:val="20"/>
        </w:rPr>
        <w:t>NiPt</w:t>
      </w:r>
      <w:proofErr w:type="spellEnd"/>
      <w:r w:rsidR="00225CBA" w:rsidRPr="00225CBA">
        <w:rPr>
          <w:rFonts w:ascii="Times New Roman" w:hAnsi="Times New Roman"/>
          <w:b w:val="0"/>
          <w:sz w:val="20"/>
        </w:rPr>
        <w:t>/HY. The sulfate group contributed to increase the hydrocarbons</w:t>
      </w:r>
      <w:r w:rsidR="004E5420">
        <w:rPr>
          <w:rFonts w:ascii="Times New Roman" w:hAnsi="Times New Roman"/>
          <w:b w:val="0"/>
          <w:sz w:val="20"/>
        </w:rPr>
        <w:t xml:space="preserve"> y</w:t>
      </w:r>
      <w:r w:rsidR="00694AC4">
        <w:rPr>
          <w:rFonts w:ascii="Times New Roman" w:hAnsi="Times New Roman"/>
          <w:b w:val="0"/>
          <w:sz w:val="20"/>
        </w:rPr>
        <w:t>i</w:t>
      </w:r>
      <w:r w:rsidR="004E5420">
        <w:rPr>
          <w:rFonts w:ascii="Times New Roman" w:hAnsi="Times New Roman"/>
          <w:b w:val="0"/>
          <w:sz w:val="20"/>
        </w:rPr>
        <w:t>eld</w:t>
      </w:r>
      <w:r w:rsidR="00153CDF" w:rsidRPr="00225CBA">
        <w:rPr>
          <w:rFonts w:ascii="Times New Roman" w:hAnsi="Times New Roman"/>
          <w:b w:val="0"/>
          <w:sz w:val="20"/>
        </w:rPr>
        <w:t>.</w:t>
      </w:r>
    </w:p>
    <w:p w14:paraId="5F4A84E8" w14:textId="7B7BE6CC" w:rsidR="00EA4E1B" w:rsidRPr="00252B3B" w:rsidRDefault="00EA4E1B" w:rsidP="00EA4E1B">
      <w:pPr>
        <w:pStyle w:val="BDAbstract"/>
        <w:spacing w:before="0" w:after="120" w:line="240" w:lineRule="auto"/>
        <w:rPr>
          <w:rFonts w:ascii="Times New Roman" w:hAnsi="Times New Roman"/>
          <w:b w:val="0"/>
          <w:i/>
          <w:sz w:val="20"/>
        </w:rPr>
      </w:pPr>
      <w:r w:rsidRPr="00252B3B">
        <w:rPr>
          <w:rFonts w:ascii="Times New Roman" w:hAnsi="Times New Roman"/>
          <w:b w:val="0"/>
          <w:i/>
          <w:sz w:val="20"/>
        </w:rPr>
        <w:t xml:space="preserve">Keywords: </w:t>
      </w:r>
      <w:r w:rsidR="00252B3B" w:rsidRPr="00252B3B">
        <w:rPr>
          <w:rFonts w:ascii="Times New Roman" w:hAnsi="Times New Roman"/>
          <w:b w:val="0"/>
          <w:i/>
          <w:sz w:val="20"/>
        </w:rPr>
        <w:t>biofuel, acid sites, deox</w:t>
      </w:r>
      <w:r w:rsidR="00D7043B">
        <w:rPr>
          <w:rFonts w:ascii="Times New Roman" w:hAnsi="Times New Roman"/>
          <w:b w:val="0"/>
          <w:i/>
          <w:sz w:val="20"/>
        </w:rPr>
        <w:t>y</w:t>
      </w:r>
      <w:r w:rsidR="00252B3B" w:rsidRPr="00252B3B">
        <w:rPr>
          <w:rFonts w:ascii="Times New Roman" w:hAnsi="Times New Roman"/>
          <w:b w:val="0"/>
          <w:i/>
          <w:sz w:val="20"/>
        </w:rPr>
        <w:t>genation.</w:t>
      </w:r>
    </w:p>
    <w:bookmarkEnd w:id="1"/>
    <w:p w14:paraId="48D9B0C4" w14:textId="77777777" w:rsidR="00EA4E1B" w:rsidRPr="00252B3B" w:rsidRDefault="00EA4E1B" w:rsidP="00EA4E1B">
      <w:pPr>
        <w:rPr>
          <w:lang w:val="en-US"/>
        </w:rPr>
        <w:sectPr w:rsidR="00EA4E1B" w:rsidRPr="00252B3B"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16A31033" w14:textId="2412C20E" w:rsidR="00CC36F6" w:rsidRDefault="006361E7" w:rsidP="00EA4E1B">
      <w:pPr>
        <w:pStyle w:val="TAMainText"/>
        <w:rPr>
          <w:rFonts w:ascii="Times New Roman" w:hAnsi="Times New Roman"/>
          <w:lang w:val="pt-BR"/>
        </w:rPr>
      </w:pPr>
      <w:r>
        <w:rPr>
          <w:rFonts w:ascii="Times New Roman" w:hAnsi="Times New Roman"/>
          <w:lang w:val="pt-BR"/>
        </w:rPr>
        <w:t xml:space="preserve">Os biocombustíveis são uma alternativa promissora para </w:t>
      </w:r>
      <w:r w:rsidR="00CC36F6">
        <w:rPr>
          <w:rFonts w:ascii="Times New Roman" w:hAnsi="Times New Roman"/>
          <w:lang w:val="pt-BR"/>
        </w:rPr>
        <w:t>diversificação da matriz energética e redução dos gases intensificadores do efeito estufa que são causados, principalmente, pela queima de combustíveis fósseis</w:t>
      </w:r>
      <w:r w:rsidR="00E050EE">
        <w:rPr>
          <w:rFonts w:ascii="Times New Roman" w:hAnsi="Times New Roman"/>
          <w:lang w:val="pt-BR"/>
        </w:rPr>
        <w:t xml:space="preserve"> </w:t>
      </w:r>
      <w:r w:rsidR="00DE7A11">
        <w:rPr>
          <w:rFonts w:ascii="Times New Roman" w:hAnsi="Times New Roman"/>
          <w:lang w:val="pt-BR"/>
        </w:rPr>
        <w:t>[1]</w:t>
      </w:r>
      <w:r w:rsidR="00CC36F6">
        <w:rPr>
          <w:rFonts w:ascii="Times New Roman" w:hAnsi="Times New Roman"/>
          <w:lang w:val="pt-BR"/>
        </w:rPr>
        <w:t xml:space="preserve">. </w:t>
      </w:r>
      <w:r w:rsidR="002B03FB">
        <w:rPr>
          <w:rFonts w:ascii="Times New Roman" w:hAnsi="Times New Roman"/>
          <w:lang w:val="pt-BR"/>
        </w:rPr>
        <w:t>Dentre os principais biocombustíveis utilizados na matriz energética brasileira, podemos citar o etanol e o biodiesel</w:t>
      </w:r>
      <w:r w:rsidR="00985F3A">
        <w:rPr>
          <w:rFonts w:ascii="Times New Roman" w:hAnsi="Times New Roman"/>
          <w:lang w:val="pt-BR"/>
        </w:rPr>
        <w:t xml:space="preserve"> </w:t>
      </w:r>
      <w:r w:rsidR="00DE7A11">
        <w:rPr>
          <w:rFonts w:ascii="Times New Roman" w:hAnsi="Times New Roman"/>
          <w:lang w:val="pt-BR"/>
        </w:rPr>
        <w:t>[2]</w:t>
      </w:r>
      <w:r w:rsidR="00CC36F6">
        <w:rPr>
          <w:rFonts w:ascii="Times New Roman" w:hAnsi="Times New Roman"/>
          <w:lang w:val="pt-BR"/>
        </w:rPr>
        <w:t>.</w:t>
      </w:r>
    </w:p>
    <w:p w14:paraId="3ECB31DE" w14:textId="18EBC474" w:rsidR="00E672D0" w:rsidRDefault="00E672D0" w:rsidP="00EA4E1B">
      <w:pPr>
        <w:pStyle w:val="TAMainText"/>
        <w:rPr>
          <w:rFonts w:ascii="Times New Roman" w:hAnsi="Times New Roman"/>
          <w:lang w:val="pt-BR"/>
        </w:rPr>
      </w:pPr>
      <w:r w:rsidRPr="00E672D0">
        <w:rPr>
          <w:rFonts w:ascii="Times New Roman" w:hAnsi="Times New Roman"/>
          <w:lang w:val="pt-BR"/>
        </w:rPr>
        <w:t>Outra classe de biocombustíveis que vem recebendo atenção</w:t>
      </w:r>
      <w:r>
        <w:rPr>
          <w:rFonts w:ascii="Times New Roman" w:hAnsi="Times New Roman"/>
          <w:lang w:val="pt-BR"/>
        </w:rPr>
        <w:t xml:space="preserve"> são os</w:t>
      </w:r>
      <w:r w:rsidRPr="00E672D0">
        <w:rPr>
          <w:rFonts w:ascii="Times New Roman" w:hAnsi="Times New Roman"/>
          <w:lang w:val="pt-BR"/>
        </w:rPr>
        <w:t xml:space="preserve"> combustíveis </w:t>
      </w:r>
      <w:proofErr w:type="spellStart"/>
      <w:r w:rsidRPr="00E672D0">
        <w:rPr>
          <w:rFonts w:ascii="Times New Roman" w:hAnsi="Times New Roman"/>
          <w:i/>
          <w:iCs/>
          <w:lang w:val="pt-BR"/>
        </w:rPr>
        <w:t>drop</w:t>
      </w:r>
      <w:proofErr w:type="spellEnd"/>
      <w:r w:rsidRPr="00E672D0">
        <w:rPr>
          <w:rFonts w:ascii="Times New Roman" w:hAnsi="Times New Roman"/>
          <w:i/>
          <w:iCs/>
          <w:lang w:val="pt-BR"/>
        </w:rPr>
        <w:t>-in</w:t>
      </w:r>
      <w:r w:rsidRPr="00E672D0">
        <w:rPr>
          <w:rFonts w:ascii="Times New Roman" w:hAnsi="Times New Roman"/>
          <w:lang w:val="pt-BR"/>
        </w:rPr>
        <w:t>.</w:t>
      </w:r>
      <w:r>
        <w:rPr>
          <w:rFonts w:ascii="Times New Roman" w:hAnsi="Times New Roman"/>
          <w:lang w:val="pt-BR"/>
        </w:rPr>
        <w:t xml:space="preserve"> </w:t>
      </w:r>
      <w:r w:rsidR="00362EB2">
        <w:rPr>
          <w:rFonts w:ascii="Times New Roman" w:hAnsi="Times New Roman"/>
          <w:lang w:val="pt-BR"/>
        </w:rPr>
        <w:t xml:space="preserve">Esses combustíveis </w:t>
      </w:r>
      <w:r w:rsidR="00362EB2">
        <w:rPr>
          <w:rFonts w:ascii="Times New Roman" w:hAnsi="Times New Roman"/>
          <w:lang w:val="pt-BR"/>
        </w:rPr>
        <w:t xml:space="preserve">são constituídos </w:t>
      </w:r>
      <w:r w:rsidR="00362EB2" w:rsidRPr="00362EB2">
        <w:rPr>
          <w:rFonts w:ascii="Times New Roman" w:hAnsi="Times New Roman"/>
          <w:lang w:val="pt-BR"/>
        </w:rPr>
        <w:t>de hidrocarbonetos estruturalmente equivalentes aos combustíveis provenientes do petróleo e podem ser misturados aos combustíveis fósseis em maior proporção</w:t>
      </w:r>
      <w:r w:rsidR="00CC36F6">
        <w:rPr>
          <w:rFonts w:ascii="Times New Roman" w:hAnsi="Times New Roman"/>
          <w:lang w:val="pt-BR"/>
        </w:rPr>
        <w:t xml:space="preserve"> </w:t>
      </w:r>
      <w:r>
        <w:rPr>
          <w:rFonts w:ascii="Times New Roman" w:hAnsi="Times New Roman"/>
          <w:lang w:val="pt-BR"/>
        </w:rPr>
        <w:t xml:space="preserve">se comparado, por exemplo, ao biodiesel que </w:t>
      </w:r>
      <w:r w:rsidR="001E21D1">
        <w:rPr>
          <w:rFonts w:ascii="Times New Roman" w:hAnsi="Times New Roman"/>
          <w:lang w:val="pt-BR"/>
        </w:rPr>
        <w:t>não pode ser adicionado em proporção elevada</w:t>
      </w:r>
      <w:r>
        <w:rPr>
          <w:rFonts w:ascii="Times New Roman" w:hAnsi="Times New Roman"/>
          <w:lang w:val="pt-BR"/>
        </w:rPr>
        <w:t xml:space="preserve"> ao diesel</w:t>
      </w:r>
      <w:r w:rsidR="00985F3A">
        <w:rPr>
          <w:rFonts w:ascii="Times New Roman" w:hAnsi="Times New Roman"/>
          <w:lang w:val="pt-BR"/>
        </w:rPr>
        <w:t xml:space="preserve"> </w:t>
      </w:r>
      <w:r w:rsidR="00DE7A11">
        <w:rPr>
          <w:rFonts w:ascii="Times New Roman" w:hAnsi="Times New Roman"/>
          <w:lang w:val="pt-BR"/>
        </w:rPr>
        <w:t>[3]</w:t>
      </w:r>
      <w:r>
        <w:rPr>
          <w:rFonts w:ascii="Times New Roman" w:hAnsi="Times New Roman"/>
          <w:lang w:val="pt-BR"/>
        </w:rPr>
        <w:t>.</w:t>
      </w:r>
    </w:p>
    <w:p w14:paraId="4053E656" w14:textId="55B935AD" w:rsidR="00EA4E1B" w:rsidRDefault="00E672D0" w:rsidP="00EA4E1B">
      <w:pPr>
        <w:pStyle w:val="TAMainText"/>
        <w:rPr>
          <w:rFonts w:ascii="Times New Roman" w:hAnsi="Times New Roman"/>
          <w:lang w:val="pt-BR"/>
        </w:rPr>
      </w:pPr>
      <w:r>
        <w:rPr>
          <w:rFonts w:ascii="Times New Roman" w:hAnsi="Times New Roman"/>
          <w:lang w:val="pt-BR"/>
        </w:rPr>
        <w:t xml:space="preserve">O hidroprocessamento de ésteres e ácidos graxos é uma das rotas que podem ser </w:t>
      </w:r>
      <w:r w:rsidR="003461D4">
        <w:rPr>
          <w:rFonts w:ascii="Times New Roman" w:hAnsi="Times New Roman"/>
          <w:lang w:val="pt-BR"/>
        </w:rPr>
        <w:t>empregadas</w:t>
      </w:r>
      <w:r>
        <w:rPr>
          <w:rFonts w:ascii="Times New Roman" w:hAnsi="Times New Roman"/>
          <w:lang w:val="pt-BR"/>
        </w:rPr>
        <w:t xml:space="preserve"> </w:t>
      </w:r>
      <w:r w:rsidR="003461D4">
        <w:rPr>
          <w:rFonts w:ascii="Times New Roman" w:hAnsi="Times New Roman"/>
          <w:lang w:val="pt-BR"/>
        </w:rPr>
        <w:t>n</w:t>
      </w:r>
      <w:r>
        <w:rPr>
          <w:rFonts w:ascii="Times New Roman" w:hAnsi="Times New Roman"/>
          <w:lang w:val="pt-BR"/>
        </w:rPr>
        <w:t xml:space="preserve">a obtenção dos combustíveis </w:t>
      </w:r>
      <w:proofErr w:type="spellStart"/>
      <w:r w:rsidRPr="00E672D0">
        <w:rPr>
          <w:rFonts w:ascii="Times New Roman" w:hAnsi="Times New Roman"/>
          <w:i/>
          <w:iCs/>
          <w:lang w:val="pt-BR"/>
        </w:rPr>
        <w:t>drop</w:t>
      </w:r>
      <w:proofErr w:type="spellEnd"/>
      <w:r w:rsidRPr="00E672D0">
        <w:rPr>
          <w:rFonts w:ascii="Times New Roman" w:hAnsi="Times New Roman"/>
          <w:i/>
          <w:iCs/>
          <w:lang w:val="pt-BR"/>
        </w:rPr>
        <w:t>-in</w:t>
      </w:r>
      <w:r>
        <w:rPr>
          <w:rFonts w:ascii="Times New Roman" w:hAnsi="Times New Roman"/>
          <w:lang w:val="pt-BR"/>
        </w:rPr>
        <w:t xml:space="preserve">. </w:t>
      </w:r>
      <w:r w:rsidR="003461D4">
        <w:rPr>
          <w:rFonts w:ascii="Times New Roman" w:hAnsi="Times New Roman"/>
          <w:lang w:val="pt-BR"/>
        </w:rPr>
        <w:t xml:space="preserve">A </w:t>
      </w:r>
      <w:r w:rsidR="001064F0">
        <w:rPr>
          <w:rFonts w:ascii="Times New Roman" w:hAnsi="Times New Roman"/>
          <w:lang w:val="pt-BR"/>
        </w:rPr>
        <w:t>c</w:t>
      </w:r>
      <w:r w:rsidR="003461D4">
        <w:rPr>
          <w:rFonts w:ascii="Times New Roman" w:hAnsi="Times New Roman"/>
          <w:lang w:val="pt-BR"/>
        </w:rPr>
        <w:t xml:space="preserve">urto prazo, essa rota é promissora para obtenção dos </w:t>
      </w:r>
      <w:r w:rsidR="002B03FB">
        <w:rPr>
          <w:rFonts w:ascii="Times New Roman" w:hAnsi="Times New Roman"/>
          <w:lang w:val="pt-BR"/>
        </w:rPr>
        <w:t>bio</w:t>
      </w:r>
      <w:r w:rsidR="003461D4">
        <w:rPr>
          <w:rFonts w:ascii="Times New Roman" w:hAnsi="Times New Roman"/>
          <w:lang w:val="pt-BR"/>
        </w:rPr>
        <w:t xml:space="preserve">combustíveis devido </w:t>
      </w:r>
      <w:r w:rsidR="00502280">
        <w:rPr>
          <w:rFonts w:ascii="Times New Roman" w:hAnsi="Times New Roman"/>
          <w:lang w:val="pt-BR"/>
        </w:rPr>
        <w:t>à</w:t>
      </w:r>
      <w:r w:rsidR="003461D4">
        <w:rPr>
          <w:rFonts w:ascii="Times New Roman" w:hAnsi="Times New Roman"/>
          <w:lang w:val="pt-BR"/>
        </w:rPr>
        <w:t xml:space="preserve"> d</w:t>
      </w:r>
      <w:r w:rsidR="001E21D1">
        <w:rPr>
          <w:rFonts w:ascii="Times New Roman" w:hAnsi="Times New Roman"/>
          <w:lang w:val="pt-BR"/>
        </w:rPr>
        <w:t>isponibilidade de infraestrutura.</w:t>
      </w:r>
      <w:r w:rsidR="001064F0">
        <w:rPr>
          <w:rFonts w:ascii="Times New Roman" w:hAnsi="Times New Roman"/>
          <w:lang w:val="pt-BR"/>
        </w:rPr>
        <w:t xml:space="preserve"> Os combustíveis </w:t>
      </w:r>
      <w:proofErr w:type="spellStart"/>
      <w:r w:rsidR="001064F0" w:rsidRPr="00A24B10">
        <w:rPr>
          <w:rFonts w:ascii="Times New Roman" w:hAnsi="Times New Roman"/>
          <w:i/>
          <w:iCs/>
          <w:lang w:val="pt-BR"/>
        </w:rPr>
        <w:t>drop</w:t>
      </w:r>
      <w:proofErr w:type="spellEnd"/>
      <w:r w:rsidR="001064F0" w:rsidRPr="00A24B10">
        <w:rPr>
          <w:rFonts w:ascii="Times New Roman" w:hAnsi="Times New Roman"/>
          <w:i/>
          <w:iCs/>
          <w:lang w:val="pt-BR"/>
        </w:rPr>
        <w:t>-in</w:t>
      </w:r>
      <w:r w:rsidR="001064F0">
        <w:rPr>
          <w:rFonts w:ascii="Times New Roman" w:hAnsi="Times New Roman"/>
          <w:lang w:val="pt-BR"/>
        </w:rPr>
        <w:t xml:space="preserve"> incluem a </w:t>
      </w:r>
      <w:proofErr w:type="spellStart"/>
      <w:r w:rsidR="001064F0">
        <w:rPr>
          <w:rFonts w:ascii="Times New Roman" w:hAnsi="Times New Roman"/>
          <w:lang w:val="pt-BR"/>
        </w:rPr>
        <w:lastRenderedPageBreak/>
        <w:t>biogasolina</w:t>
      </w:r>
      <w:proofErr w:type="spellEnd"/>
      <w:r w:rsidR="001064F0">
        <w:rPr>
          <w:rFonts w:ascii="Times New Roman" w:hAnsi="Times New Roman"/>
          <w:lang w:val="pt-BR"/>
        </w:rPr>
        <w:t xml:space="preserve">, o bioquerosene e o </w:t>
      </w:r>
      <w:proofErr w:type="spellStart"/>
      <w:r w:rsidR="001064F0" w:rsidRPr="00717067">
        <w:rPr>
          <w:rFonts w:ascii="Times New Roman" w:hAnsi="Times New Roman"/>
          <w:i/>
          <w:iCs/>
          <w:lang w:val="pt-BR"/>
        </w:rPr>
        <w:t>green</w:t>
      </w:r>
      <w:proofErr w:type="spellEnd"/>
      <w:r w:rsidR="001064F0">
        <w:rPr>
          <w:rFonts w:ascii="Times New Roman" w:hAnsi="Times New Roman"/>
          <w:lang w:val="pt-BR"/>
        </w:rPr>
        <w:t xml:space="preserve"> diesel, que </w:t>
      </w:r>
      <w:r w:rsidR="00717067">
        <w:rPr>
          <w:rFonts w:ascii="Times New Roman" w:hAnsi="Times New Roman"/>
          <w:lang w:val="pt-BR"/>
        </w:rPr>
        <w:t xml:space="preserve">são </w:t>
      </w:r>
      <w:r w:rsidR="001064F0">
        <w:rPr>
          <w:rFonts w:ascii="Times New Roman" w:hAnsi="Times New Roman"/>
          <w:lang w:val="pt-BR"/>
        </w:rPr>
        <w:t>equivalentes, respectivamente à gasolina, querosene de aviação e ao diesel</w:t>
      </w:r>
      <w:r w:rsidR="00502280">
        <w:rPr>
          <w:rFonts w:ascii="Times New Roman" w:hAnsi="Times New Roman"/>
          <w:lang w:val="pt-BR"/>
        </w:rPr>
        <w:t xml:space="preserve"> de petróleo</w:t>
      </w:r>
      <w:r w:rsidR="002B03FB">
        <w:rPr>
          <w:rFonts w:ascii="Times New Roman" w:hAnsi="Times New Roman"/>
          <w:lang w:val="pt-BR"/>
        </w:rPr>
        <w:t xml:space="preserve"> </w:t>
      </w:r>
      <w:r w:rsidR="00DE7A11">
        <w:rPr>
          <w:rFonts w:ascii="Times New Roman" w:hAnsi="Times New Roman"/>
          <w:lang w:val="pt-BR"/>
        </w:rPr>
        <w:t>[3,4]</w:t>
      </w:r>
      <w:r w:rsidR="001064F0">
        <w:rPr>
          <w:rFonts w:ascii="Times New Roman" w:hAnsi="Times New Roman"/>
          <w:lang w:val="pt-BR"/>
        </w:rPr>
        <w:t>.</w:t>
      </w:r>
    </w:p>
    <w:p w14:paraId="5018A21A" w14:textId="3C6677EC" w:rsidR="00606F27" w:rsidRDefault="00606F27" w:rsidP="00EA4E1B">
      <w:pPr>
        <w:pStyle w:val="TAMainText"/>
        <w:rPr>
          <w:rFonts w:ascii="Times New Roman" w:hAnsi="Times New Roman"/>
          <w:lang w:val="pt-BR"/>
        </w:rPr>
      </w:pPr>
      <w:r>
        <w:rPr>
          <w:rFonts w:ascii="Times New Roman" w:hAnsi="Times New Roman"/>
          <w:lang w:val="pt-BR"/>
        </w:rPr>
        <w:t xml:space="preserve">Na obtenção dos combustíveis </w:t>
      </w:r>
      <w:proofErr w:type="spellStart"/>
      <w:r w:rsidRPr="00606F27">
        <w:rPr>
          <w:rFonts w:ascii="Times New Roman" w:hAnsi="Times New Roman"/>
          <w:i/>
          <w:iCs/>
          <w:lang w:val="pt-BR"/>
        </w:rPr>
        <w:t>drop</w:t>
      </w:r>
      <w:proofErr w:type="spellEnd"/>
      <w:r w:rsidRPr="00606F27">
        <w:rPr>
          <w:rFonts w:ascii="Times New Roman" w:hAnsi="Times New Roman"/>
          <w:i/>
          <w:iCs/>
          <w:lang w:val="pt-BR"/>
        </w:rPr>
        <w:t>-in</w:t>
      </w:r>
      <w:r>
        <w:rPr>
          <w:rFonts w:ascii="Times New Roman" w:hAnsi="Times New Roman"/>
          <w:lang w:val="pt-BR"/>
        </w:rPr>
        <w:t xml:space="preserve"> a partir do hidroprocessamento de ésteres e ácidos graxos é necessária uma etapa de</w:t>
      </w:r>
      <w:r w:rsidR="00281523">
        <w:rPr>
          <w:rFonts w:ascii="Times New Roman" w:hAnsi="Times New Roman"/>
          <w:lang w:val="pt-BR"/>
        </w:rPr>
        <w:t xml:space="preserve"> hidrogenação das duplas ligações dos ácidos graxos e</w:t>
      </w:r>
      <w:r>
        <w:rPr>
          <w:rFonts w:ascii="Times New Roman" w:hAnsi="Times New Roman"/>
          <w:lang w:val="pt-BR"/>
        </w:rPr>
        <w:t xml:space="preserve"> remoção do oxigênio</w:t>
      </w:r>
      <w:r w:rsidR="003461D4">
        <w:rPr>
          <w:rFonts w:ascii="Times New Roman" w:hAnsi="Times New Roman"/>
          <w:lang w:val="pt-BR"/>
        </w:rPr>
        <w:t xml:space="preserve">. </w:t>
      </w:r>
      <w:r w:rsidR="00717067">
        <w:rPr>
          <w:rFonts w:ascii="Times New Roman" w:hAnsi="Times New Roman"/>
          <w:lang w:val="pt-BR"/>
        </w:rPr>
        <w:t>A</w:t>
      </w:r>
      <w:r w:rsidR="003461D4">
        <w:rPr>
          <w:rFonts w:ascii="Times New Roman" w:hAnsi="Times New Roman"/>
          <w:lang w:val="pt-BR"/>
        </w:rPr>
        <w:t xml:space="preserve"> remoção</w:t>
      </w:r>
      <w:r w:rsidR="00717067">
        <w:rPr>
          <w:rFonts w:ascii="Times New Roman" w:hAnsi="Times New Roman"/>
          <w:lang w:val="pt-BR"/>
        </w:rPr>
        <w:t xml:space="preserve"> do oxigênio</w:t>
      </w:r>
      <w:r w:rsidR="003461D4">
        <w:rPr>
          <w:rFonts w:ascii="Times New Roman" w:hAnsi="Times New Roman"/>
          <w:lang w:val="pt-BR"/>
        </w:rPr>
        <w:t xml:space="preserve"> </w:t>
      </w:r>
      <w:r>
        <w:rPr>
          <w:rFonts w:ascii="Times New Roman" w:hAnsi="Times New Roman"/>
          <w:lang w:val="pt-BR"/>
        </w:rPr>
        <w:t>pode ocorrer por meio da hidrodesoxigenação</w:t>
      </w:r>
      <w:r w:rsidR="003461D4">
        <w:rPr>
          <w:rFonts w:ascii="Times New Roman" w:hAnsi="Times New Roman"/>
          <w:lang w:val="pt-BR"/>
        </w:rPr>
        <w:t>,</w:t>
      </w:r>
      <w:r>
        <w:rPr>
          <w:rFonts w:ascii="Times New Roman" w:hAnsi="Times New Roman"/>
          <w:lang w:val="pt-BR"/>
        </w:rPr>
        <w:t xml:space="preserve"> quando ocorre perda de oxigênio formando H</w:t>
      </w:r>
      <w:r w:rsidRPr="00606F27">
        <w:rPr>
          <w:rFonts w:ascii="Times New Roman" w:hAnsi="Times New Roman"/>
          <w:vertAlign w:val="subscript"/>
          <w:lang w:val="pt-BR"/>
        </w:rPr>
        <w:t>2</w:t>
      </w:r>
      <w:r>
        <w:rPr>
          <w:rFonts w:ascii="Times New Roman" w:hAnsi="Times New Roman"/>
          <w:lang w:val="pt-BR"/>
        </w:rPr>
        <w:t xml:space="preserve">O, pela descarbonilação quando o oxigênio é removido na forma de CO ou pela </w:t>
      </w:r>
      <w:r w:rsidR="00C56443">
        <w:rPr>
          <w:rFonts w:ascii="Times New Roman" w:hAnsi="Times New Roman"/>
          <w:lang w:val="pt-BR"/>
        </w:rPr>
        <w:t>descarboxilação</w:t>
      </w:r>
      <w:r>
        <w:rPr>
          <w:rFonts w:ascii="Times New Roman" w:hAnsi="Times New Roman"/>
          <w:lang w:val="pt-BR"/>
        </w:rPr>
        <w:t>, quando o oxigênio é removido na forma de CO</w:t>
      </w:r>
      <w:r w:rsidRPr="00606F27">
        <w:rPr>
          <w:rFonts w:ascii="Times New Roman" w:hAnsi="Times New Roman"/>
          <w:vertAlign w:val="subscript"/>
          <w:lang w:val="pt-BR"/>
        </w:rPr>
        <w:t>2</w:t>
      </w:r>
      <w:r w:rsidR="002B03FB">
        <w:rPr>
          <w:rFonts w:ascii="Times New Roman" w:hAnsi="Times New Roman"/>
          <w:vertAlign w:val="subscript"/>
          <w:lang w:val="pt-BR"/>
        </w:rPr>
        <w:t xml:space="preserve"> </w:t>
      </w:r>
      <w:r w:rsidR="00DE7A11">
        <w:rPr>
          <w:rFonts w:ascii="Times New Roman" w:hAnsi="Times New Roman"/>
          <w:lang w:val="pt-BR"/>
        </w:rPr>
        <w:t>[5]</w:t>
      </w:r>
      <w:r>
        <w:rPr>
          <w:rFonts w:ascii="Times New Roman" w:hAnsi="Times New Roman"/>
          <w:lang w:val="pt-BR"/>
        </w:rPr>
        <w:t xml:space="preserve">. </w:t>
      </w:r>
      <w:r w:rsidR="00145E68">
        <w:rPr>
          <w:rFonts w:ascii="Times New Roman" w:hAnsi="Times New Roman"/>
          <w:lang w:val="pt-BR"/>
        </w:rPr>
        <w:t xml:space="preserve">As reações de </w:t>
      </w:r>
      <w:r w:rsidR="00281523">
        <w:rPr>
          <w:rFonts w:ascii="Times New Roman" w:hAnsi="Times New Roman"/>
          <w:lang w:val="pt-BR"/>
        </w:rPr>
        <w:t xml:space="preserve">hidrogenação e </w:t>
      </w:r>
      <w:r w:rsidR="00145E68">
        <w:rPr>
          <w:rFonts w:ascii="Times New Roman" w:hAnsi="Times New Roman"/>
          <w:lang w:val="pt-BR"/>
        </w:rPr>
        <w:t>desoxigenaçã</w:t>
      </w:r>
      <w:r w:rsidR="00281523">
        <w:rPr>
          <w:rFonts w:ascii="Times New Roman" w:hAnsi="Times New Roman"/>
          <w:lang w:val="pt-BR"/>
        </w:rPr>
        <w:t>o</w:t>
      </w:r>
      <w:r w:rsidR="00145E68">
        <w:rPr>
          <w:rFonts w:ascii="Times New Roman" w:hAnsi="Times New Roman"/>
          <w:lang w:val="pt-BR"/>
        </w:rPr>
        <w:t xml:space="preserve"> podem ser realizadas empregando catalisadores </w:t>
      </w:r>
      <w:r w:rsidR="003461D4">
        <w:rPr>
          <w:rFonts w:ascii="Times New Roman" w:hAnsi="Times New Roman"/>
          <w:lang w:val="pt-BR"/>
        </w:rPr>
        <w:t>que apresentam</w:t>
      </w:r>
      <w:r w:rsidR="00145E68">
        <w:rPr>
          <w:rFonts w:ascii="Times New Roman" w:hAnsi="Times New Roman"/>
          <w:lang w:val="pt-BR"/>
        </w:rPr>
        <w:t xml:space="preserve"> sítios metálicos</w:t>
      </w:r>
      <w:r w:rsidR="00FF0AAF">
        <w:rPr>
          <w:rFonts w:ascii="Times New Roman" w:hAnsi="Times New Roman"/>
          <w:lang w:val="pt-BR"/>
        </w:rPr>
        <w:t xml:space="preserve"> </w:t>
      </w:r>
      <w:r w:rsidR="00883379">
        <w:rPr>
          <w:rFonts w:ascii="Times New Roman" w:hAnsi="Times New Roman"/>
          <w:lang w:val="pt-BR"/>
        </w:rPr>
        <w:t>[6]</w:t>
      </w:r>
      <w:r w:rsidR="00145E68">
        <w:rPr>
          <w:rFonts w:ascii="Times New Roman" w:hAnsi="Times New Roman"/>
          <w:lang w:val="pt-BR"/>
        </w:rPr>
        <w:t>.</w:t>
      </w:r>
    </w:p>
    <w:p w14:paraId="05E0F7DA" w14:textId="2DB13B12" w:rsidR="001064F0" w:rsidRDefault="00145E68" w:rsidP="001064F0">
      <w:pPr>
        <w:pStyle w:val="TAMainText"/>
        <w:rPr>
          <w:rFonts w:ascii="Times New Roman" w:hAnsi="Times New Roman"/>
          <w:lang w:val="pt-BR"/>
        </w:rPr>
      </w:pPr>
      <w:r>
        <w:rPr>
          <w:rFonts w:ascii="Times New Roman" w:hAnsi="Times New Roman"/>
          <w:lang w:val="pt-BR"/>
        </w:rPr>
        <w:t>Os catalisadores metálicos suportados em zeólitas são</w:t>
      </w:r>
      <w:r w:rsidR="00717067">
        <w:rPr>
          <w:rFonts w:ascii="Times New Roman" w:hAnsi="Times New Roman"/>
          <w:lang w:val="pt-BR"/>
        </w:rPr>
        <w:t xml:space="preserve"> comumente </w:t>
      </w:r>
      <w:r>
        <w:rPr>
          <w:rFonts w:ascii="Times New Roman" w:hAnsi="Times New Roman"/>
          <w:lang w:val="pt-BR"/>
        </w:rPr>
        <w:t xml:space="preserve">investigados </w:t>
      </w:r>
      <w:r w:rsidR="003461D4">
        <w:rPr>
          <w:rFonts w:ascii="Times New Roman" w:hAnsi="Times New Roman"/>
          <w:lang w:val="pt-BR"/>
        </w:rPr>
        <w:t>no</w:t>
      </w:r>
      <w:r>
        <w:rPr>
          <w:rFonts w:ascii="Times New Roman" w:hAnsi="Times New Roman"/>
          <w:lang w:val="pt-BR"/>
        </w:rPr>
        <w:t xml:space="preserve"> hidroprocessamento de ésteres e ácidos graxos, pois além de </w:t>
      </w:r>
      <w:r w:rsidR="003461D4">
        <w:rPr>
          <w:rFonts w:ascii="Times New Roman" w:hAnsi="Times New Roman"/>
          <w:lang w:val="pt-BR"/>
        </w:rPr>
        <w:t>fornecer os sítios metálicos necessários para as reações de desoxigenação e hidrogenação, os sítios ácidos</w:t>
      </w:r>
      <w:r w:rsidR="00004E6A">
        <w:rPr>
          <w:rFonts w:ascii="Times New Roman" w:hAnsi="Times New Roman"/>
          <w:lang w:val="pt-BR"/>
        </w:rPr>
        <w:t xml:space="preserve"> de Lewis e Brønsted</w:t>
      </w:r>
      <w:r w:rsidR="003461D4">
        <w:rPr>
          <w:rFonts w:ascii="Times New Roman" w:hAnsi="Times New Roman"/>
          <w:lang w:val="pt-BR"/>
        </w:rPr>
        <w:t xml:space="preserve"> </w:t>
      </w:r>
      <w:r w:rsidR="00F86372">
        <w:rPr>
          <w:rFonts w:ascii="Times New Roman" w:hAnsi="Times New Roman"/>
          <w:lang w:val="pt-BR"/>
        </w:rPr>
        <w:t>presentes nas</w:t>
      </w:r>
      <w:r w:rsidR="003461D4">
        <w:rPr>
          <w:rFonts w:ascii="Times New Roman" w:hAnsi="Times New Roman"/>
          <w:lang w:val="pt-BR"/>
        </w:rPr>
        <w:t xml:space="preserve"> zeólitas </w:t>
      </w:r>
      <w:r w:rsidR="00F86372">
        <w:rPr>
          <w:rFonts w:ascii="Times New Roman" w:hAnsi="Times New Roman"/>
          <w:lang w:val="pt-BR"/>
        </w:rPr>
        <w:t>atuam</w:t>
      </w:r>
      <w:r w:rsidR="003461D4">
        <w:rPr>
          <w:rFonts w:ascii="Times New Roman" w:hAnsi="Times New Roman"/>
          <w:lang w:val="pt-BR"/>
        </w:rPr>
        <w:t xml:space="preserve"> </w:t>
      </w:r>
      <w:r w:rsidR="00F86372">
        <w:rPr>
          <w:rFonts w:ascii="Times New Roman" w:hAnsi="Times New Roman"/>
          <w:lang w:val="pt-BR"/>
        </w:rPr>
        <w:t>n</w:t>
      </w:r>
      <w:r w:rsidR="003461D4">
        <w:rPr>
          <w:rFonts w:ascii="Times New Roman" w:hAnsi="Times New Roman"/>
          <w:lang w:val="pt-BR"/>
        </w:rPr>
        <w:t>as reações de isomerização e craqueamento</w:t>
      </w:r>
      <w:r w:rsidR="00004E6A">
        <w:rPr>
          <w:rFonts w:ascii="Times New Roman" w:hAnsi="Times New Roman"/>
          <w:lang w:val="pt-BR"/>
        </w:rPr>
        <w:t xml:space="preserve"> </w:t>
      </w:r>
      <w:r w:rsidR="00883379">
        <w:rPr>
          <w:rFonts w:ascii="Times New Roman" w:hAnsi="Times New Roman"/>
          <w:lang w:val="pt-BR"/>
        </w:rPr>
        <w:t>[7]</w:t>
      </w:r>
      <w:r w:rsidR="003461D4">
        <w:rPr>
          <w:rFonts w:ascii="Times New Roman" w:hAnsi="Times New Roman"/>
          <w:lang w:val="pt-BR"/>
        </w:rPr>
        <w:t>. As reações de craqueamento contribuem para obtenção de hidrocarbonetos de cadeia carbônica menor e a formação de isômeros</w:t>
      </w:r>
      <w:r w:rsidR="00004E6A">
        <w:rPr>
          <w:rFonts w:ascii="Times New Roman" w:hAnsi="Times New Roman"/>
          <w:lang w:val="pt-BR"/>
        </w:rPr>
        <w:t xml:space="preserve"> contribuem para redução da temperatura de congelamento desses combustíveis, que é uma característica importante para</w:t>
      </w:r>
      <w:r w:rsidR="006D46AB">
        <w:rPr>
          <w:rFonts w:ascii="Times New Roman" w:hAnsi="Times New Roman"/>
          <w:lang w:val="pt-BR"/>
        </w:rPr>
        <w:t xml:space="preserve"> o</w:t>
      </w:r>
      <w:r w:rsidR="00004E6A">
        <w:rPr>
          <w:rFonts w:ascii="Times New Roman" w:hAnsi="Times New Roman"/>
          <w:lang w:val="pt-BR"/>
        </w:rPr>
        <w:t xml:space="preserve"> bioquerosene</w:t>
      </w:r>
      <w:r w:rsidR="00281523">
        <w:rPr>
          <w:rFonts w:ascii="Times New Roman" w:hAnsi="Times New Roman"/>
          <w:lang w:val="pt-BR"/>
        </w:rPr>
        <w:t xml:space="preserve"> </w:t>
      </w:r>
      <w:r w:rsidR="00883379">
        <w:rPr>
          <w:rFonts w:ascii="Times New Roman" w:hAnsi="Times New Roman"/>
          <w:lang w:val="pt-BR"/>
        </w:rPr>
        <w:t>[8,9]</w:t>
      </w:r>
      <w:r w:rsidR="001064F0">
        <w:rPr>
          <w:rFonts w:ascii="Times New Roman" w:hAnsi="Times New Roman"/>
          <w:lang w:val="pt-BR"/>
        </w:rPr>
        <w:t>.</w:t>
      </w:r>
      <w:r w:rsidR="00004E6A">
        <w:rPr>
          <w:rFonts w:ascii="Times New Roman" w:hAnsi="Times New Roman"/>
          <w:lang w:val="pt-BR"/>
        </w:rPr>
        <w:t xml:space="preserve"> </w:t>
      </w:r>
      <w:r w:rsidR="00F86372">
        <w:rPr>
          <w:rFonts w:ascii="Times New Roman" w:hAnsi="Times New Roman"/>
          <w:lang w:val="pt-BR"/>
        </w:rPr>
        <w:t>Uma das desvantagens da utilização das zeólitas é sua natureza microporosa, o que dificulta a difusão de moléculas de elevado diâmetro cinético.</w:t>
      </w:r>
    </w:p>
    <w:p w14:paraId="22310E1D" w14:textId="3517A9A7" w:rsidR="00CC4487" w:rsidRDefault="00CC4487" w:rsidP="001064F0">
      <w:pPr>
        <w:pStyle w:val="TAMainText"/>
        <w:rPr>
          <w:rFonts w:ascii="Times New Roman" w:hAnsi="Times New Roman"/>
          <w:lang w:val="pt-BR"/>
        </w:rPr>
      </w:pPr>
      <w:r>
        <w:rPr>
          <w:rFonts w:ascii="Times New Roman" w:hAnsi="Times New Roman"/>
          <w:lang w:val="pt-BR"/>
        </w:rPr>
        <w:t>A adição de</w:t>
      </w:r>
      <w:r w:rsidR="00F86372">
        <w:rPr>
          <w:rFonts w:ascii="Times New Roman" w:hAnsi="Times New Roman"/>
          <w:lang w:val="pt-BR"/>
        </w:rPr>
        <w:t xml:space="preserve"> grupos funcionais, como, por exemplo, o</w:t>
      </w:r>
      <w:r>
        <w:rPr>
          <w:rFonts w:ascii="Times New Roman" w:hAnsi="Times New Roman"/>
          <w:lang w:val="pt-BR"/>
        </w:rPr>
        <w:t xml:space="preserve"> grupo sulfato é uma alternativa para criação de sítio</w:t>
      </w:r>
      <w:r w:rsidR="00261BD1">
        <w:rPr>
          <w:rFonts w:ascii="Times New Roman" w:hAnsi="Times New Roman"/>
          <w:lang w:val="pt-BR"/>
        </w:rPr>
        <w:t>s ácidos</w:t>
      </w:r>
      <w:r w:rsidR="008A605D">
        <w:rPr>
          <w:rFonts w:ascii="Times New Roman" w:hAnsi="Times New Roman"/>
          <w:lang w:val="pt-BR"/>
        </w:rPr>
        <w:t xml:space="preserve"> de Lewis e </w:t>
      </w:r>
      <w:r w:rsidR="00C56443">
        <w:rPr>
          <w:rFonts w:ascii="Times New Roman" w:hAnsi="Times New Roman"/>
          <w:lang w:val="pt-BR"/>
        </w:rPr>
        <w:t>Brønsted</w:t>
      </w:r>
      <w:r w:rsidR="008A605D">
        <w:rPr>
          <w:rFonts w:ascii="Times New Roman" w:hAnsi="Times New Roman"/>
          <w:lang w:val="pt-BR"/>
        </w:rPr>
        <w:t xml:space="preserve"> </w:t>
      </w:r>
      <w:r w:rsidR="00717067">
        <w:rPr>
          <w:rFonts w:ascii="Times New Roman" w:hAnsi="Times New Roman"/>
          <w:lang w:val="pt-BR"/>
        </w:rPr>
        <w:t>em catalisadores</w:t>
      </w:r>
      <w:r w:rsidR="008A605D">
        <w:rPr>
          <w:rFonts w:ascii="Times New Roman" w:hAnsi="Times New Roman"/>
          <w:lang w:val="pt-BR"/>
        </w:rPr>
        <w:t>. A força desses sítios ácidos é aumentada devido ao efeito indutivo causado pelo grupo sulfato</w:t>
      </w:r>
      <w:r w:rsidR="00FF0AAF">
        <w:rPr>
          <w:rFonts w:ascii="Times New Roman" w:hAnsi="Times New Roman"/>
          <w:lang w:val="pt-BR"/>
        </w:rPr>
        <w:t xml:space="preserve"> </w:t>
      </w:r>
      <w:r w:rsidR="00883379">
        <w:rPr>
          <w:rFonts w:ascii="Times New Roman" w:hAnsi="Times New Roman"/>
          <w:lang w:val="pt-BR"/>
        </w:rPr>
        <w:t>[10]</w:t>
      </w:r>
      <w:r w:rsidR="008A605D">
        <w:rPr>
          <w:rFonts w:ascii="Times New Roman" w:hAnsi="Times New Roman"/>
          <w:lang w:val="pt-BR"/>
        </w:rPr>
        <w:t>.</w:t>
      </w:r>
      <w:r w:rsidR="0002541E">
        <w:rPr>
          <w:rFonts w:ascii="Times New Roman" w:hAnsi="Times New Roman"/>
          <w:lang w:val="pt-BR"/>
        </w:rPr>
        <w:t xml:space="preserve"> Óxidos </w:t>
      </w:r>
      <w:r w:rsidR="00DA3F16">
        <w:rPr>
          <w:rFonts w:ascii="Times New Roman" w:hAnsi="Times New Roman"/>
          <w:lang w:val="pt-BR"/>
        </w:rPr>
        <w:t>sulfatados suportados em zeólitas contribuem para o aumento da acidez externa e</w:t>
      </w:r>
      <w:r w:rsidR="00F86372">
        <w:rPr>
          <w:rFonts w:ascii="Times New Roman" w:hAnsi="Times New Roman"/>
          <w:lang w:val="pt-BR"/>
        </w:rPr>
        <w:t xml:space="preserve"> </w:t>
      </w:r>
      <w:r w:rsidR="00DA3F16">
        <w:rPr>
          <w:rFonts w:ascii="Times New Roman" w:hAnsi="Times New Roman"/>
          <w:lang w:val="pt-BR"/>
        </w:rPr>
        <w:t xml:space="preserve">para o aumento da proporção de sítios ácidos de </w:t>
      </w:r>
      <w:r w:rsidR="00C56443">
        <w:rPr>
          <w:rFonts w:ascii="Times New Roman" w:hAnsi="Times New Roman"/>
          <w:lang w:val="pt-BR"/>
        </w:rPr>
        <w:t>Brønsted</w:t>
      </w:r>
      <w:r w:rsidR="00DA3F16">
        <w:rPr>
          <w:rFonts w:ascii="Times New Roman" w:hAnsi="Times New Roman"/>
          <w:lang w:val="pt-BR"/>
        </w:rPr>
        <w:t xml:space="preserve"> </w:t>
      </w:r>
      <w:r w:rsidR="00883379">
        <w:rPr>
          <w:rFonts w:ascii="Times New Roman" w:hAnsi="Times New Roman"/>
          <w:lang w:val="pt-BR"/>
        </w:rPr>
        <w:t>[11]</w:t>
      </w:r>
      <w:r w:rsidR="00DA3F16">
        <w:rPr>
          <w:rFonts w:ascii="Times New Roman" w:hAnsi="Times New Roman"/>
          <w:lang w:val="pt-BR"/>
        </w:rPr>
        <w:t>.</w:t>
      </w:r>
      <w:r w:rsidR="00F86372">
        <w:rPr>
          <w:rFonts w:ascii="Times New Roman" w:hAnsi="Times New Roman"/>
          <w:lang w:val="pt-BR"/>
        </w:rPr>
        <w:t xml:space="preserve"> Além disso, a utilização de óxidos sulfatados suportados pode contribuir para inserção de sítios </w:t>
      </w:r>
      <w:r w:rsidR="00F40E89">
        <w:rPr>
          <w:rFonts w:ascii="Times New Roman" w:hAnsi="Times New Roman"/>
          <w:lang w:val="pt-BR"/>
        </w:rPr>
        <w:t>ácidos</w:t>
      </w:r>
      <w:r w:rsidR="00F86372">
        <w:rPr>
          <w:rFonts w:ascii="Times New Roman" w:hAnsi="Times New Roman"/>
          <w:lang w:val="pt-BR"/>
        </w:rPr>
        <w:t xml:space="preserve"> em materiais que não apresentam</w:t>
      </w:r>
      <w:r w:rsidR="005269E8">
        <w:rPr>
          <w:rFonts w:ascii="Times New Roman" w:hAnsi="Times New Roman"/>
          <w:lang w:val="pt-BR"/>
        </w:rPr>
        <w:t xml:space="preserve"> acidez</w:t>
      </w:r>
      <w:r w:rsidR="00F86372">
        <w:rPr>
          <w:rFonts w:ascii="Times New Roman" w:hAnsi="Times New Roman"/>
          <w:lang w:val="pt-BR"/>
        </w:rPr>
        <w:t xml:space="preserve">, tais como, as sílicas </w:t>
      </w:r>
      <w:proofErr w:type="spellStart"/>
      <w:r w:rsidR="00F86372">
        <w:rPr>
          <w:rFonts w:ascii="Times New Roman" w:hAnsi="Times New Roman"/>
          <w:lang w:val="pt-BR"/>
        </w:rPr>
        <w:t>mesoporosas</w:t>
      </w:r>
      <w:proofErr w:type="spellEnd"/>
      <w:r w:rsidR="00F86372">
        <w:rPr>
          <w:rFonts w:ascii="Times New Roman" w:hAnsi="Times New Roman"/>
          <w:lang w:val="pt-BR"/>
        </w:rPr>
        <w:t xml:space="preserve"> </w:t>
      </w:r>
      <w:r w:rsidR="00883379">
        <w:rPr>
          <w:rFonts w:ascii="Times New Roman" w:hAnsi="Times New Roman"/>
          <w:lang w:val="pt-BR"/>
        </w:rPr>
        <w:t>[12]</w:t>
      </w:r>
      <w:r w:rsidR="00F86372">
        <w:rPr>
          <w:rFonts w:ascii="Times New Roman" w:hAnsi="Times New Roman"/>
          <w:lang w:val="pt-BR"/>
        </w:rPr>
        <w:t>.</w:t>
      </w:r>
    </w:p>
    <w:p w14:paraId="300A9532" w14:textId="551C822A" w:rsidR="00886DD7" w:rsidRPr="001F25B2" w:rsidRDefault="00886DD7" w:rsidP="001064F0">
      <w:pPr>
        <w:pStyle w:val="TAMainText"/>
        <w:rPr>
          <w:rFonts w:ascii="Times New Roman" w:hAnsi="Times New Roman"/>
          <w:lang w:val="pt-BR"/>
        </w:rPr>
      </w:pPr>
      <w:r>
        <w:rPr>
          <w:rFonts w:ascii="Times New Roman" w:hAnsi="Times New Roman"/>
          <w:lang w:val="pt-BR"/>
        </w:rPr>
        <w:t xml:space="preserve">Sendo assim, o objetivo deste trabalho foi avaliar o desempenho dos catalisadores bimetálicos de Ni e </w:t>
      </w:r>
      <w:proofErr w:type="spellStart"/>
      <w:r>
        <w:rPr>
          <w:rFonts w:ascii="Times New Roman" w:hAnsi="Times New Roman"/>
          <w:lang w:val="pt-BR"/>
        </w:rPr>
        <w:t>Pt</w:t>
      </w:r>
      <w:proofErr w:type="spellEnd"/>
      <w:r>
        <w:rPr>
          <w:rFonts w:ascii="Times New Roman" w:hAnsi="Times New Roman"/>
          <w:lang w:val="pt-BR"/>
        </w:rPr>
        <w:t xml:space="preserve"> suportados em zeólita HY (</w:t>
      </w:r>
      <w:proofErr w:type="spellStart"/>
      <w:r>
        <w:rPr>
          <w:rFonts w:ascii="Times New Roman" w:hAnsi="Times New Roman"/>
          <w:lang w:val="pt-BR"/>
        </w:rPr>
        <w:t>NiPt</w:t>
      </w:r>
      <w:proofErr w:type="spellEnd"/>
      <w:r>
        <w:rPr>
          <w:rFonts w:ascii="Times New Roman" w:hAnsi="Times New Roman"/>
          <w:lang w:val="pt-BR"/>
        </w:rPr>
        <w:t xml:space="preserve">/HY) e Ni e </w:t>
      </w:r>
      <w:proofErr w:type="spellStart"/>
      <w:r>
        <w:rPr>
          <w:rFonts w:ascii="Times New Roman" w:hAnsi="Times New Roman"/>
          <w:lang w:val="pt-BR"/>
        </w:rPr>
        <w:t>Pt</w:t>
      </w:r>
      <w:proofErr w:type="spellEnd"/>
      <w:r>
        <w:rPr>
          <w:rFonts w:ascii="Times New Roman" w:hAnsi="Times New Roman"/>
          <w:lang w:val="pt-BR"/>
        </w:rPr>
        <w:t xml:space="preserve"> suportados em zeólita HY modificada com óxido de nióbio sulfatado (</w:t>
      </w:r>
      <w:proofErr w:type="spellStart"/>
      <w:r>
        <w:rPr>
          <w:rFonts w:ascii="Times New Roman" w:hAnsi="Times New Roman"/>
          <w:lang w:val="pt-BR"/>
        </w:rPr>
        <w:t>NiPt</w:t>
      </w:r>
      <w:proofErr w:type="spellEnd"/>
      <w:r>
        <w:rPr>
          <w:rFonts w:ascii="Times New Roman" w:hAnsi="Times New Roman"/>
          <w:lang w:val="pt-BR"/>
        </w:rPr>
        <w:t>/</w:t>
      </w:r>
      <w:proofErr w:type="spellStart"/>
      <w:r>
        <w:rPr>
          <w:rFonts w:ascii="Times New Roman" w:hAnsi="Times New Roman"/>
          <w:lang w:val="pt-BR"/>
        </w:rPr>
        <w:t>SNb</w:t>
      </w:r>
      <w:proofErr w:type="spellEnd"/>
      <w:r>
        <w:rPr>
          <w:rFonts w:ascii="Times New Roman" w:hAnsi="Times New Roman"/>
          <w:lang w:val="pt-BR"/>
        </w:rPr>
        <w:t>-HY) no hidroprocessamento d</w:t>
      </w:r>
      <w:r w:rsidR="00C56443">
        <w:rPr>
          <w:rFonts w:ascii="Times New Roman" w:hAnsi="Times New Roman"/>
          <w:lang w:val="pt-BR"/>
        </w:rPr>
        <w:t>e</w:t>
      </w:r>
      <w:r>
        <w:rPr>
          <w:rFonts w:ascii="Times New Roman" w:hAnsi="Times New Roman"/>
          <w:lang w:val="pt-BR"/>
        </w:rPr>
        <w:t xml:space="preserve"> ácido oleico em reator de fluxo contínuo.</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5FEA1FEE" w14:textId="746348C8" w:rsidR="00B102F5" w:rsidRDefault="00B102F5" w:rsidP="00B102F5">
      <w:pPr>
        <w:pStyle w:val="TAMainText"/>
        <w:spacing w:before="160" w:after="160"/>
        <w:ind w:firstLine="0"/>
        <w:rPr>
          <w:rFonts w:ascii="Times New Roman" w:hAnsi="Times New Roman"/>
          <w:i/>
          <w:lang w:val="pt-BR"/>
        </w:rPr>
      </w:pPr>
      <w:r>
        <w:rPr>
          <w:rFonts w:ascii="Times New Roman" w:hAnsi="Times New Roman"/>
          <w:i/>
          <w:lang w:val="pt-BR"/>
        </w:rPr>
        <w:t>Síntese dos catalisadores</w:t>
      </w:r>
    </w:p>
    <w:p w14:paraId="1E22CE57" w14:textId="22CD262B" w:rsidR="00B102F5" w:rsidRDefault="00B102F5" w:rsidP="00B102F5">
      <w:pPr>
        <w:pStyle w:val="TAMainText"/>
        <w:rPr>
          <w:rFonts w:ascii="Times New Roman" w:hAnsi="Times New Roman"/>
          <w:lang w:val="pt-BR"/>
        </w:rPr>
      </w:pPr>
      <w:r w:rsidRPr="00B102F5">
        <w:rPr>
          <w:rFonts w:ascii="Times New Roman" w:hAnsi="Times New Roman"/>
          <w:lang w:val="pt-BR"/>
        </w:rPr>
        <w:t xml:space="preserve">A zeólita HY, em sua forma protônica, foi </w:t>
      </w:r>
      <w:r w:rsidR="006D46AB">
        <w:rPr>
          <w:rFonts w:ascii="Times New Roman" w:hAnsi="Times New Roman"/>
          <w:lang w:val="pt-BR"/>
        </w:rPr>
        <w:t>fornecida</w:t>
      </w:r>
      <w:r w:rsidR="006D46AB" w:rsidRPr="00B102F5">
        <w:rPr>
          <w:rFonts w:ascii="Times New Roman" w:hAnsi="Times New Roman"/>
          <w:lang w:val="pt-BR"/>
        </w:rPr>
        <w:t xml:space="preserve"> </w:t>
      </w:r>
      <w:r w:rsidRPr="00B102F5">
        <w:rPr>
          <w:rFonts w:ascii="Times New Roman" w:hAnsi="Times New Roman"/>
          <w:lang w:val="pt-BR"/>
        </w:rPr>
        <w:t xml:space="preserve">pela </w:t>
      </w:r>
      <w:proofErr w:type="spellStart"/>
      <w:r w:rsidRPr="00B102F5">
        <w:rPr>
          <w:rFonts w:ascii="Times New Roman" w:hAnsi="Times New Roman"/>
          <w:lang w:val="pt-BR"/>
        </w:rPr>
        <w:t>Tosoh</w:t>
      </w:r>
      <w:proofErr w:type="spellEnd"/>
      <w:r w:rsidRPr="00B102F5">
        <w:rPr>
          <w:rFonts w:ascii="Times New Roman" w:hAnsi="Times New Roman"/>
          <w:lang w:val="pt-BR"/>
        </w:rPr>
        <w:t xml:space="preserve"> Corporation e apresenta razão Si/Al = 3. </w:t>
      </w:r>
      <w:r>
        <w:rPr>
          <w:rFonts w:ascii="Times New Roman" w:hAnsi="Times New Roman"/>
          <w:lang w:val="pt-BR"/>
        </w:rPr>
        <w:t xml:space="preserve">A HY foi </w:t>
      </w:r>
      <w:r w:rsidRPr="00B102F5">
        <w:rPr>
          <w:rFonts w:ascii="Times New Roman" w:hAnsi="Times New Roman"/>
          <w:lang w:val="pt-BR"/>
        </w:rPr>
        <w:t>calcinad</w:t>
      </w:r>
      <w:r w:rsidR="00F40E89">
        <w:rPr>
          <w:rFonts w:ascii="Times New Roman" w:hAnsi="Times New Roman"/>
          <w:lang w:val="pt-BR"/>
        </w:rPr>
        <w:t>a</w:t>
      </w:r>
      <w:r w:rsidRPr="00B102F5">
        <w:rPr>
          <w:rFonts w:ascii="Times New Roman" w:hAnsi="Times New Roman"/>
          <w:lang w:val="pt-BR"/>
        </w:rPr>
        <w:t xml:space="preserve"> em forno tipo mufla em atmosfera estática empregando taxa de aquecimento de 1 °C min</w:t>
      </w:r>
      <w:r w:rsidRPr="00B102F5">
        <w:rPr>
          <w:rFonts w:ascii="Times New Roman" w:hAnsi="Times New Roman"/>
          <w:vertAlign w:val="superscript"/>
          <w:lang w:val="pt-BR"/>
        </w:rPr>
        <w:t>-1</w:t>
      </w:r>
      <w:r w:rsidRPr="00B102F5">
        <w:rPr>
          <w:rFonts w:ascii="Times New Roman" w:hAnsi="Times New Roman"/>
          <w:lang w:val="pt-BR"/>
        </w:rPr>
        <w:t xml:space="preserve"> da temperatura ambiente até 200 °C, com patamar de 1 h,</w:t>
      </w:r>
      <w:r w:rsidR="002148BA">
        <w:rPr>
          <w:rFonts w:ascii="Times New Roman" w:hAnsi="Times New Roman"/>
          <w:lang w:val="pt-BR"/>
        </w:rPr>
        <w:t xml:space="preserve"> </w:t>
      </w:r>
      <w:r w:rsidR="002148BA">
        <w:rPr>
          <w:rFonts w:ascii="Times New Roman" w:hAnsi="Times New Roman"/>
          <w:lang w:val="pt-BR"/>
        </w:rPr>
        <w:t>seguido</w:t>
      </w:r>
      <w:r w:rsidRPr="00B102F5">
        <w:rPr>
          <w:rFonts w:ascii="Times New Roman" w:hAnsi="Times New Roman"/>
          <w:lang w:val="pt-BR"/>
        </w:rPr>
        <w:t xml:space="preserve"> </w:t>
      </w:r>
      <w:r w:rsidR="002148BA">
        <w:rPr>
          <w:rFonts w:ascii="Times New Roman" w:hAnsi="Times New Roman"/>
          <w:lang w:val="pt-BR"/>
        </w:rPr>
        <w:t>d</w:t>
      </w:r>
      <w:r w:rsidRPr="00B102F5">
        <w:rPr>
          <w:rFonts w:ascii="Times New Roman" w:hAnsi="Times New Roman"/>
          <w:lang w:val="pt-BR"/>
        </w:rPr>
        <w:t>e aquecimento até 500 °C a 2 °C min</w:t>
      </w:r>
      <w:r w:rsidRPr="00B102F5">
        <w:rPr>
          <w:rFonts w:ascii="Times New Roman" w:hAnsi="Times New Roman"/>
          <w:vertAlign w:val="superscript"/>
          <w:lang w:val="pt-BR"/>
        </w:rPr>
        <w:t>-1</w:t>
      </w:r>
      <w:r w:rsidRPr="00B102F5">
        <w:rPr>
          <w:rFonts w:ascii="Times New Roman" w:hAnsi="Times New Roman"/>
          <w:lang w:val="pt-BR"/>
        </w:rPr>
        <w:t xml:space="preserve"> e </w:t>
      </w:r>
      <w:r w:rsidR="002148BA">
        <w:rPr>
          <w:rFonts w:ascii="Times New Roman" w:hAnsi="Times New Roman"/>
          <w:lang w:val="pt-BR"/>
        </w:rPr>
        <w:t>patamar de</w:t>
      </w:r>
      <w:r w:rsidRPr="00B102F5">
        <w:rPr>
          <w:rFonts w:ascii="Times New Roman" w:hAnsi="Times New Roman"/>
          <w:lang w:val="pt-BR"/>
        </w:rPr>
        <w:t xml:space="preserve"> 3 h.</w:t>
      </w:r>
    </w:p>
    <w:p w14:paraId="27C0179D" w14:textId="49D72E6A" w:rsidR="006D19BF" w:rsidRPr="006D19BF" w:rsidRDefault="006D19BF" w:rsidP="006D19BF">
      <w:pPr>
        <w:pStyle w:val="TAMainText"/>
        <w:rPr>
          <w:rFonts w:ascii="Times New Roman" w:hAnsi="Times New Roman"/>
          <w:lang w:val="pt-BR"/>
        </w:rPr>
      </w:pPr>
      <w:r w:rsidRPr="006D19BF">
        <w:rPr>
          <w:rFonts w:ascii="Times New Roman" w:hAnsi="Times New Roman"/>
          <w:lang w:val="pt-BR"/>
        </w:rPr>
        <w:t>O Nb</w:t>
      </w:r>
      <w:r w:rsidRPr="006D19BF">
        <w:rPr>
          <w:rFonts w:ascii="Times New Roman" w:hAnsi="Times New Roman"/>
          <w:vertAlign w:val="subscript"/>
          <w:lang w:val="pt-BR"/>
        </w:rPr>
        <w:t>2</w:t>
      </w:r>
      <w:r w:rsidRPr="006D19BF">
        <w:rPr>
          <w:rFonts w:ascii="Times New Roman" w:hAnsi="Times New Roman"/>
          <w:lang w:val="pt-BR"/>
        </w:rPr>
        <w:t>O</w:t>
      </w:r>
      <w:r w:rsidRPr="006D19BF">
        <w:rPr>
          <w:rFonts w:ascii="Times New Roman" w:hAnsi="Times New Roman"/>
          <w:vertAlign w:val="subscript"/>
          <w:lang w:val="pt-BR"/>
        </w:rPr>
        <w:t>5</w:t>
      </w:r>
      <w:r w:rsidRPr="006D19BF">
        <w:rPr>
          <w:rFonts w:ascii="Times New Roman" w:hAnsi="Times New Roman"/>
          <w:lang w:val="pt-BR"/>
        </w:rPr>
        <w:t xml:space="preserve"> utilizado foi obtido a partir do tratamento térmico do ácido nióbico (HY340) a 500 ºC por 5 h sob atmosfera estática. O ácido nióbico foi fornecido pela Companhia Brasileira de Metalurgia e Mineração (CBMM). </w:t>
      </w:r>
    </w:p>
    <w:p w14:paraId="20FEC9CE" w14:textId="334EEA87" w:rsidR="00255AF0" w:rsidRDefault="006D19BF" w:rsidP="006D19BF">
      <w:pPr>
        <w:pStyle w:val="TAMainText"/>
        <w:rPr>
          <w:rFonts w:ascii="Times New Roman" w:hAnsi="Times New Roman"/>
          <w:lang w:val="pt-BR"/>
        </w:rPr>
      </w:pPr>
      <w:r>
        <w:rPr>
          <w:rFonts w:ascii="Times New Roman" w:hAnsi="Times New Roman"/>
          <w:lang w:val="pt-BR"/>
        </w:rPr>
        <w:t xml:space="preserve"> </w:t>
      </w:r>
      <w:r w:rsidR="00B102F5">
        <w:rPr>
          <w:rFonts w:ascii="Times New Roman" w:hAnsi="Times New Roman"/>
          <w:lang w:val="pt-BR"/>
        </w:rPr>
        <w:t>A zeólita HY modificada com óxido de nióbio sulfatado (</w:t>
      </w:r>
      <w:proofErr w:type="spellStart"/>
      <w:r w:rsidR="00B102F5">
        <w:rPr>
          <w:rFonts w:ascii="Times New Roman" w:hAnsi="Times New Roman"/>
          <w:lang w:val="pt-BR"/>
        </w:rPr>
        <w:t>SNb</w:t>
      </w:r>
      <w:proofErr w:type="spellEnd"/>
      <w:r w:rsidR="00B102F5">
        <w:rPr>
          <w:rFonts w:ascii="Times New Roman" w:hAnsi="Times New Roman"/>
          <w:lang w:val="pt-BR"/>
        </w:rPr>
        <w:t>-HY) foi preparad</w:t>
      </w:r>
      <w:r w:rsidR="002148BA">
        <w:rPr>
          <w:rFonts w:ascii="Times New Roman" w:hAnsi="Times New Roman"/>
          <w:lang w:val="pt-BR"/>
        </w:rPr>
        <w:t>a</w:t>
      </w:r>
      <w:r w:rsidR="00B102F5">
        <w:rPr>
          <w:rFonts w:ascii="Times New Roman" w:hAnsi="Times New Roman"/>
          <w:lang w:val="pt-BR"/>
        </w:rPr>
        <w:t xml:space="preserve"> empregando 10% (m/m) de Nb</w:t>
      </w:r>
      <w:r w:rsidR="00B102F5" w:rsidRPr="006D19BF">
        <w:rPr>
          <w:rFonts w:ascii="Times New Roman" w:hAnsi="Times New Roman"/>
          <w:vertAlign w:val="subscript"/>
          <w:lang w:val="pt-BR"/>
        </w:rPr>
        <w:t>2</w:t>
      </w:r>
      <w:r w:rsidR="00B102F5">
        <w:rPr>
          <w:rFonts w:ascii="Times New Roman" w:hAnsi="Times New Roman"/>
          <w:lang w:val="pt-BR"/>
        </w:rPr>
        <w:t>O</w:t>
      </w:r>
      <w:r w:rsidR="00B102F5" w:rsidRPr="006D19BF">
        <w:rPr>
          <w:rFonts w:ascii="Times New Roman" w:hAnsi="Times New Roman"/>
          <w:vertAlign w:val="subscript"/>
          <w:lang w:val="pt-BR"/>
        </w:rPr>
        <w:t>5</w:t>
      </w:r>
      <w:r w:rsidR="00B102F5" w:rsidRPr="006D19BF">
        <w:rPr>
          <w:rFonts w:ascii="Times New Roman" w:hAnsi="Times New Roman"/>
          <w:lang w:val="pt-BR"/>
        </w:rPr>
        <w:t xml:space="preserve"> </w:t>
      </w:r>
      <w:r w:rsidR="00B102F5">
        <w:rPr>
          <w:rFonts w:ascii="Times New Roman" w:hAnsi="Times New Roman"/>
          <w:lang w:val="pt-BR"/>
        </w:rPr>
        <w:t>em relação à HY</w:t>
      </w:r>
      <w:r w:rsidR="002148BA">
        <w:rPr>
          <w:rFonts w:ascii="Times New Roman" w:hAnsi="Times New Roman"/>
          <w:lang w:val="pt-BR"/>
        </w:rPr>
        <w:t xml:space="preserve"> + Nb</w:t>
      </w:r>
      <w:r w:rsidR="002148BA">
        <w:rPr>
          <w:rFonts w:ascii="Times New Roman" w:hAnsi="Times New Roman"/>
          <w:vertAlign w:val="subscript"/>
          <w:lang w:val="pt-BR"/>
        </w:rPr>
        <w:t>2</w:t>
      </w:r>
      <w:r w:rsidR="002148BA">
        <w:rPr>
          <w:rFonts w:ascii="Times New Roman" w:hAnsi="Times New Roman"/>
          <w:lang w:val="pt-BR"/>
        </w:rPr>
        <w:t>O</w:t>
      </w:r>
      <w:r w:rsidR="002148BA">
        <w:rPr>
          <w:rFonts w:ascii="Times New Roman" w:hAnsi="Times New Roman"/>
          <w:vertAlign w:val="subscript"/>
          <w:lang w:val="pt-BR"/>
        </w:rPr>
        <w:t>5</w:t>
      </w:r>
      <w:r w:rsidR="00B102F5">
        <w:rPr>
          <w:rFonts w:ascii="Times New Roman" w:hAnsi="Times New Roman"/>
          <w:lang w:val="pt-BR"/>
        </w:rPr>
        <w:t>.</w:t>
      </w:r>
      <w:r>
        <w:rPr>
          <w:rFonts w:ascii="Times New Roman" w:hAnsi="Times New Roman"/>
          <w:lang w:val="pt-BR"/>
        </w:rPr>
        <w:t xml:space="preserve"> Para a síntese do </w:t>
      </w:r>
      <w:proofErr w:type="spellStart"/>
      <w:r>
        <w:rPr>
          <w:rFonts w:ascii="Times New Roman" w:hAnsi="Times New Roman"/>
          <w:lang w:val="pt-BR"/>
        </w:rPr>
        <w:t>SNb</w:t>
      </w:r>
      <w:proofErr w:type="spellEnd"/>
      <w:r>
        <w:rPr>
          <w:rFonts w:ascii="Times New Roman" w:hAnsi="Times New Roman"/>
          <w:lang w:val="pt-BR"/>
        </w:rPr>
        <w:t>-HY,</w:t>
      </w:r>
      <w:r w:rsidRPr="006D19BF">
        <w:rPr>
          <w:rFonts w:ascii="Times New Roman" w:hAnsi="Times New Roman"/>
          <w:lang w:val="pt-BR"/>
        </w:rPr>
        <w:t xml:space="preserve"> 4,5 g </w:t>
      </w:r>
      <w:r>
        <w:rPr>
          <w:rFonts w:ascii="Times New Roman" w:hAnsi="Times New Roman"/>
          <w:lang w:val="pt-BR"/>
        </w:rPr>
        <w:t>da HY e</w:t>
      </w:r>
      <w:r w:rsidRPr="006D19BF">
        <w:rPr>
          <w:rFonts w:ascii="Times New Roman" w:hAnsi="Times New Roman"/>
          <w:lang w:val="pt-BR"/>
        </w:rPr>
        <w:t xml:space="preserve"> 0,5 g de Nb</w:t>
      </w:r>
      <w:r w:rsidRPr="006D19BF">
        <w:rPr>
          <w:rFonts w:ascii="Times New Roman" w:hAnsi="Times New Roman"/>
          <w:vertAlign w:val="subscript"/>
          <w:lang w:val="pt-BR"/>
        </w:rPr>
        <w:t>2</w:t>
      </w:r>
      <w:r w:rsidRPr="006D19BF">
        <w:rPr>
          <w:rFonts w:ascii="Times New Roman" w:hAnsi="Times New Roman"/>
          <w:lang w:val="pt-BR"/>
        </w:rPr>
        <w:t>O</w:t>
      </w:r>
      <w:r w:rsidRPr="006D19BF">
        <w:rPr>
          <w:rFonts w:ascii="Times New Roman" w:hAnsi="Times New Roman"/>
          <w:vertAlign w:val="subscript"/>
          <w:lang w:val="pt-BR"/>
        </w:rPr>
        <w:t>5</w:t>
      </w:r>
      <w:r w:rsidRPr="006D19BF">
        <w:rPr>
          <w:rFonts w:ascii="Times New Roman" w:hAnsi="Times New Roman"/>
          <w:lang w:val="pt-BR"/>
        </w:rPr>
        <w:t>, previamente secos</w:t>
      </w:r>
      <w:r>
        <w:rPr>
          <w:rFonts w:ascii="Times New Roman" w:hAnsi="Times New Roman"/>
          <w:lang w:val="pt-BR"/>
        </w:rPr>
        <w:t xml:space="preserve">, foram mantidos sob agitação a 25 ºC por 24 h com 45 </w:t>
      </w:r>
      <w:proofErr w:type="spellStart"/>
      <w:r>
        <w:rPr>
          <w:rFonts w:ascii="Times New Roman" w:hAnsi="Times New Roman"/>
          <w:lang w:val="pt-BR"/>
        </w:rPr>
        <w:t>mL</w:t>
      </w:r>
      <w:proofErr w:type="spellEnd"/>
      <w:r>
        <w:rPr>
          <w:rFonts w:ascii="Times New Roman" w:hAnsi="Times New Roman"/>
          <w:lang w:val="pt-BR"/>
        </w:rPr>
        <w:t xml:space="preserve"> de uma solução de </w:t>
      </w:r>
      <w:r w:rsidRPr="006D19BF">
        <w:rPr>
          <w:rFonts w:ascii="Times New Roman" w:hAnsi="Times New Roman"/>
          <w:lang w:val="pt-BR"/>
        </w:rPr>
        <w:t>(NH</w:t>
      </w:r>
      <w:r w:rsidRPr="006D19BF">
        <w:rPr>
          <w:rFonts w:ascii="Times New Roman" w:hAnsi="Times New Roman"/>
          <w:vertAlign w:val="subscript"/>
          <w:lang w:val="pt-BR"/>
        </w:rPr>
        <w:t>4</w:t>
      </w:r>
      <w:r w:rsidRPr="006D19BF">
        <w:rPr>
          <w:rFonts w:ascii="Times New Roman" w:hAnsi="Times New Roman"/>
          <w:lang w:val="pt-BR"/>
        </w:rPr>
        <w:t>)</w:t>
      </w:r>
      <w:r w:rsidRPr="006D19BF">
        <w:rPr>
          <w:rFonts w:ascii="Times New Roman" w:hAnsi="Times New Roman"/>
          <w:vertAlign w:val="subscript"/>
          <w:lang w:val="pt-BR"/>
        </w:rPr>
        <w:t>2</w:t>
      </w:r>
      <w:r w:rsidRPr="006D19BF">
        <w:rPr>
          <w:rFonts w:ascii="Times New Roman" w:hAnsi="Times New Roman"/>
          <w:lang w:val="pt-BR"/>
        </w:rPr>
        <w:t>SO</w:t>
      </w:r>
      <w:r w:rsidRPr="006D19BF">
        <w:rPr>
          <w:rFonts w:ascii="Times New Roman" w:hAnsi="Times New Roman"/>
          <w:vertAlign w:val="subscript"/>
          <w:lang w:val="pt-BR"/>
        </w:rPr>
        <w:t>4</w:t>
      </w:r>
      <w:r>
        <w:rPr>
          <w:rFonts w:ascii="Times New Roman" w:hAnsi="Times New Roman"/>
          <w:lang w:val="pt-BR"/>
        </w:rPr>
        <w:t xml:space="preserve"> (VETEC, 99%), </w:t>
      </w:r>
      <w:r w:rsidRPr="006D19BF">
        <w:rPr>
          <w:rFonts w:ascii="Times New Roman" w:hAnsi="Times New Roman"/>
          <w:lang w:val="pt-BR"/>
        </w:rPr>
        <w:t>3,0 mol L</w:t>
      </w:r>
      <w:r w:rsidRPr="00362EF7">
        <w:rPr>
          <w:rFonts w:ascii="Times New Roman" w:hAnsi="Times New Roman"/>
          <w:vertAlign w:val="superscript"/>
          <w:lang w:val="pt-BR"/>
        </w:rPr>
        <w:t>-1</w:t>
      </w:r>
      <w:r>
        <w:rPr>
          <w:rFonts w:ascii="Times New Roman" w:hAnsi="Times New Roman"/>
          <w:lang w:val="pt-BR"/>
        </w:rPr>
        <w:t>. Após esse período, o material obtido foi filtrado, seco em estufa a 60 ºC por 12 h e submetido ao mesmo tratamento térmico empregado para a HY pura</w:t>
      </w:r>
      <w:r w:rsidRPr="006D19BF">
        <w:rPr>
          <w:rFonts w:ascii="Times New Roman" w:hAnsi="Times New Roman"/>
          <w:lang w:val="pt-BR"/>
        </w:rPr>
        <w:t>.</w:t>
      </w:r>
    </w:p>
    <w:p w14:paraId="7CC1DE30" w14:textId="446C9BF3" w:rsidR="006D19BF" w:rsidRDefault="00255AF0" w:rsidP="006D19BF">
      <w:pPr>
        <w:pStyle w:val="TAMainText"/>
        <w:rPr>
          <w:rFonts w:ascii="Times New Roman" w:hAnsi="Times New Roman"/>
          <w:lang w:val="pt-BR"/>
        </w:rPr>
      </w:pPr>
      <w:r>
        <w:rPr>
          <w:rFonts w:ascii="Times New Roman" w:hAnsi="Times New Roman"/>
          <w:lang w:val="pt-BR"/>
        </w:rPr>
        <w:t xml:space="preserve">O Ni foi suportado na HY e na </w:t>
      </w:r>
      <w:proofErr w:type="spellStart"/>
      <w:r>
        <w:rPr>
          <w:rFonts w:ascii="Times New Roman" w:hAnsi="Times New Roman"/>
          <w:lang w:val="pt-BR"/>
        </w:rPr>
        <w:t>SNb</w:t>
      </w:r>
      <w:proofErr w:type="spellEnd"/>
      <w:r>
        <w:rPr>
          <w:rFonts w:ascii="Times New Roman" w:hAnsi="Times New Roman"/>
          <w:lang w:val="pt-BR"/>
        </w:rPr>
        <w:t>-HY por impregnação à umidade incipiente</w:t>
      </w:r>
      <w:r w:rsidR="00362EF7">
        <w:rPr>
          <w:rFonts w:ascii="Times New Roman" w:hAnsi="Times New Roman"/>
          <w:lang w:val="pt-BR"/>
        </w:rPr>
        <w:t xml:space="preserve"> </w:t>
      </w:r>
      <w:r w:rsidR="00F40E89">
        <w:rPr>
          <w:rFonts w:ascii="Times New Roman" w:hAnsi="Times New Roman"/>
          <w:lang w:val="pt-BR"/>
        </w:rPr>
        <w:t>na</w:t>
      </w:r>
      <w:r w:rsidR="00362EF7">
        <w:rPr>
          <w:rFonts w:ascii="Times New Roman" w:hAnsi="Times New Roman"/>
          <w:lang w:val="pt-BR"/>
        </w:rPr>
        <w:t xml:space="preserve"> proporção de 5% (m/m) em relação à HY ou </w:t>
      </w:r>
      <w:r w:rsidR="00F40E89">
        <w:rPr>
          <w:rFonts w:ascii="Times New Roman" w:hAnsi="Times New Roman"/>
          <w:lang w:val="pt-BR"/>
        </w:rPr>
        <w:t>à</w:t>
      </w:r>
      <w:r w:rsidR="00362EF7">
        <w:rPr>
          <w:rFonts w:ascii="Times New Roman" w:hAnsi="Times New Roman"/>
          <w:lang w:val="pt-BR"/>
        </w:rPr>
        <w:t xml:space="preserve"> </w:t>
      </w:r>
      <w:proofErr w:type="spellStart"/>
      <w:r w:rsidR="00362EF7">
        <w:rPr>
          <w:rFonts w:ascii="Times New Roman" w:hAnsi="Times New Roman"/>
          <w:lang w:val="pt-BR"/>
        </w:rPr>
        <w:t>SNb</w:t>
      </w:r>
      <w:proofErr w:type="spellEnd"/>
      <w:r w:rsidR="00362EF7">
        <w:rPr>
          <w:rFonts w:ascii="Times New Roman" w:hAnsi="Times New Roman"/>
          <w:lang w:val="pt-BR"/>
        </w:rPr>
        <w:t>-HY</w:t>
      </w:r>
      <w:r>
        <w:rPr>
          <w:rFonts w:ascii="Times New Roman" w:hAnsi="Times New Roman"/>
          <w:lang w:val="pt-BR"/>
        </w:rPr>
        <w:t xml:space="preserve">. O </w:t>
      </w:r>
      <w:proofErr w:type="gramStart"/>
      <w:r>
        <w:rPr>
          <w:rFonts w:ascii="Times New Roman" w:hAnsi="Times New Roman"/>
          <w:lang w:val="pt-BR"/>
        </w:rPr>
        <w:t>Ni</w:t>
      </w:r>
      <w:r w:rsidR="00F87DAC">
        <w:rPr>
          <w:rFonts w:ascii="Times New Roman" w:hAnsi="Times New Roman"/>
          <w:lang w:val="pt-BR"/>
        </w:rPr>
        <w:t>(</w:t>
      </w:r>
      <w:proofErr w:type="gramEnd"/>
      <w:r>
        <w:rPr>
          <w:rFonts w:ascii="Times New Roman" w:hAnsi="Times New Roman"/>
          <w:lang w:val="pt-BR"/>
        </w:rPr>
        <w:t>NO</w:t>
      </w:r>
      <w:r w:rsidRPr="00F87DAC">
        <w:rPr>
          <w:rFonts w:ascii="Times New Roman" w:hAnsi="Times New Roman"/>
          <w:vertAlign w:val="subscript"/>
          <w:lang w:val="pt-BR"/>
        </w:rPr>
        <w:t>3</w:t>
      </w:r>
      <w:r w:rsidR="00F87DAC">
        <w:rPr>
          <w:rFonts w:ascii="Times New Roman" w:hAnsi="Times New Roman"/>
          <w:lang w:val="pt-BR"/>
        </w:rPr>
        <w:t>)</w:t>
      </w:r>
      <w:r w:rsidR="00F87DAC" w:rsidRPr="00F87DAC">
        <w:rPr>
          <w:rFonts w:ascii="Times New Roman" w:hAnsi="Times New Roman"/>
          <w:vertAlign w:val="subscript"/>
          <w:lang w:val="pt-BR"/>
        </w:rPr>
        <w:t>2</w:t>
      </w:r>
      <w:r>
        <w:rPr>
          <w:rFonts w:ascii="Times New Roman" w:hAnsi="Times New Roman"/>
          <w:lang w:val="pt-BR"/>
        </w:rPr>
        <w:t>.6H</w:t>
      </w:r>
      <w:r w:rsidRPr="00F87DAC">
        <w:rPr>
          <w:rFonts w:ascii="Times New Roman" w:hAnsi="Times New Roman"/>
          <w:vertAlign w:val="subscript"/>
          <w:lang w:val="pt-BR"/>
        </w:rPr>
        <w:t>2</w:t>
      </w:r>
      <w:r>
        <w:rPr>
          <w:rFonts w:ascii="Times New Roman" w:hAnsi="Times New Roman"/>
          <w:lang w:val="pt-BR"/>
        </w:rPr>
        <w:t>O</w:t>
      </w:r>
      <w:r w:rsidR="00F87DAC">
        <w:rPr>
          <w:rFonts w:ascii="Times New Roman" w:hAnsi="Times New Roman"/>
          <w:lang w:val="pt-BR"/>
        </w:rPr>
        <w:t xml:space="preserve"> (</w:t>
      </w:r>
      <w:r w:rsidR="00F87DAC" w:rsidRPr="00F87DAC">
        <w:rPr>
          <w:lang w:val="pt-BR"/>
        </w:rPr>
        <w:t>Sigma-Aldrich,</w:t>
      </w:r>
      <w:r w:rsidR="00F87DAC">
        <w:rPr>
          <w:lang w:val="pt-BR"/>
        </w:rPr>
        <w:t xml:space="preserve"> 97%</w:t>
      </w:r>
      <w:r w:rsidR="00F87DAC">
        <w:rPr>
          <w:rFonts w:ascii="Times New Roman" w:hAnsi="Times New Roman"/>
          <w:lang w:val="pt-BR"/>
        </w:rPr>
        <w:t>) foi utilizado como precursor de N</w:t>
      </w:r>
      <w:r w:rsidR="00732A3E">
        <w:rPr>
          <w:rFonts w:ascii="Times New Roman" w:hAnsi="Times New Roman"/>
          <w:lang w:val="pt-BR"/>
        </w:rPr>
        <w:t>i</w:t>
      </w:r>
      <w:r w:rsidR="002148BA">
        <w:rPr>
          <w:rFonts w:ascii="Times New Roman" w:hAnsi="Times New Roman"/>
          <w:lang w:val="pt-BR"/>
        </w:rPr>
        <w:t>, o qual</w:t>
      </w:r>
      <w:r w:rsidR="00362EF7">
        <w:rPr>
          <w:rFonts w:ascii="Times New Roman" w:hAnsi="Times New Roman"/>
          <w:lang w:val="pt-BR"/>
        </w:rPr>
        <w:t xml:space="preserve"> foi solubilizado em volume mínimo de água e a solução obtida foi gotejada sobre os suportes e homogeneizada extensivamente com o auxílio de um almofariz e pistilo. Após a impregnação o material obtido foi seco em estufa a 60 ºC por 12 h e submetido a tratamento térmico sob fluxo de ar sintético (25 </w:t>
      </w:r>
      <w:proofErr w:type="spellStart"/>
      <w:r w:rsidR="00362EF7">
        <w:rPr>
          <w:rFonts w:ascii="Times New Roman" w:hAnsi="Times New Roman"/>
          <w:lang w:val="pt-BR"/>
        </w:rPr>
        <w:t>mL</w:t>
      </w:r>
      <w:proofErr w:type="spellEnd"/>
      <w:r w:rsidR="00362EF7">
        <w:rPr>
          <w:rFonts w:ascii="Times New Roman" w:hAnsi="Times New Roman"/>
          <w:lang w:val="pt-BR"/>
        </w:rPr>
        <w:t xml:space="preserve"> min</w:t>
      </w:r>
      <w:r w:rsidR="00362EF7" w:rsidRPr="00362EF7">
        <w:rPr>
          <w:rFonts w:ascii="Times New Roman" w:hAnsi="Times New Roman"/>
          <w:vertAlign w:val="superscript"/>
          <w:lang w:val="pt-BR"/>
        </w:rPr>
        <w:t>-1</w:t>
      </w:r>
      <w:r w:rsidR="00362EF7">
        <w:rPr>
          <w:rFonts w:ascii="Times New Roman" w:hAnsi="Times New Roman"/>
          <w:lang w:val="pt-BR"/>
        </w:rPr>
        <w:t>) empregando a mesma programação de temperatura anteriormente mencionada. Os materiais obtidos foram denominados Ni/HY e Ni/</w:t>
      </w:r>
      <w:proofErr w:type="spellStart"/>
      <w:r w:rsidR="00362EF7">
        <w:rPr>
          <w:rFonts w:ascii="Times New Roman" w:hAnsi="Times New Roman"/>
          <w:lang w:val="pt-BR"/>
        </w:rPr>
        <w:t>SNb</w:t>
      </w:r>
      <w:proofErr w:type="spellEnd"/>
      <w:r w:rsidR="00362EF7">
        <w:rPr>
          <w:rFonts w:ascii="Times New Roman" w:hAnsi="Times New Roman"/>
          <w:lang w:val="pt-BR"/>
        </w:rPr>
        <w:t>-HY.</w:t>
      </w:r>
    </w:p>
    <w:p w14:paraId="7ECFE56E" w14:textId="734D543C" w:rsidR="008F2CCE" w:rsidRDefault="00CC1689" w:rsidP="006D19BF">
      <w:pPr>
        <w:pStyle w:val="TAMainText"/>
        <w:rPr>
          <w:lang w:val="pt-BR"/>
        </w:rPr>
      </w:pPr>
      <w:r>
        <w:rPr>
          <w:rFonts w:ascii="Times New Roman" w:hAnsi="Times New Roman"/>
          <w:lang w:val="pt-BR"/>
        </w:rPr>
        <w:t>A platina</w:t>
      </w:r>
      <w:r w:rsidR="00B35D15">
        <w:rPr>
          <w:rFonts w:ascii="Times New Roman" w:hAnsi="Times New Roman"/>
          <w:lang w:val="pt-BR"/>
        </w:rPr>
        <w:t xml:space="preserve">, na proporção de 0,5% (m/m), </w:t>
      </w:r>
      <w:r>
        <w:rPr>
          <w:rFonts w:ascii="Times New Roman" w:hAnsi="Times New Roman"/>
          <w:lang w:val="pt-BR"/>
        </w:rPr>
        <w:t>foi adicionada ao Ni/HY e Ni/</w:t>
      </w:r>
      <w:proofErr w:type="spellStart"/>
      <w:r>
        <w:rPr>
          <w:rFonts w:ascii="Times New Roman" w:hAnsi="Times New Roman"/>
          <w:lang w:val="pt-BR"/>
        </w:rPr>
        <w:t>SNb</w:t>
      </w:r>
      <w:proofErr w:type="spellEnd"/>
      <w:r>
        <w:rPr>
          <w:rFonts w:ascii="Times New Roman" w:hAnsi="Times New Roman"/>
          <w:lang w:val="pt-BR"/>
        </w:rPr>
        <w:t>-HY empregando</w:t>
      </w:r>
      <w:r w:rsidRPr="00CC1689">
        <w:rPr>
          <w:lang w:val="pt-BR"/>
        </w:rPr>
        <w:t xml:space="preserve"> nanopartículas </w:t>
      </w:r>
      <w:r w:rsidR="00F40E89">
        <w:rPr>
          <w:lang w:val="pt-BR"/>
        </w:rPr>
        <w:t xml:space="preserve">coloidais </w:t>
      </w:r>
      <w:r w:rsidRPr="00CC1689">
        <w:rPr>
          <w:lang w:val="pt-BR"/>
        </w:rPr>
        <w:t xml:space="preserve">de </w:t>
      </w:r>
      <w:r>
        <w:rPr>
          <w:lang w:val="pt-BR"/>
        </w:rPr>
        <w:t>as quais</w:t>
      </w:r>
      <w:r w:rsidRPr="00CC1689">
        <w:rPr>
          <w:lang w:val="pt-BR"/>
        </w:rPr>
        <w:t xml:space="preserve"> foram obtidas de acordo com a metodologia de </w:t>
      </w:r>
      <w:r w:rsidR="00E15288">
        <w:rPr>
          <w:rStyle w:val="Refdenotaderodap"/>
        </w:rPr>
        <w:fldChar w:fldCharType="begin" w:fldLock="1"/>
      </w:r>
      <w:r w:rsidR="004E5420">
        <w:rPr>
          <w:lang w:val="pt-BR"/>
        </w:rPr>
        <w:instrText xml:space="preserve">ADDIN CSL_CITATION {"citationItems":[{"id":"ITEM-1","itemData":{"DOI":"10.1021/ja057383r","ISSN":"00027863","abstract":"A novel high surface area heterogeneous catalyst based on solution phase colloidal nanoparticle chemistry has been developed. Monodisperse platinum nanoparticles of 1.7-7.1 nm have been synthesized by alcohol reduction methods and incorporated into mesoporous SBA-15 silica during hydrothermal synthesis. Characterization of the Pt/SBA-15 catalysts suggests that Pt particles are located within the surfactant micelles during silica formation leading to their dispersion throughout the silica structure. After removal of the templating polymer from the nanoparticle surface, Pt particle sizes were determined from monolayer gas adsorption measurements. Infrared studies of CO adsorption revealed that CO exclusively adsorbs to atop sites and red-shifts as the particle size decreases suggesting surface roughness increases with decreasing particle size. Ethylene hydrogenation rates were invariant with particle size and consistent with a clean Pt surface. Ethane hydrogenolysis displayed significant structure sensitivity over the size range of 1-7 nm, while the apparent activation energy increased linearly up to a Pt particle size of </w:instrText>
      </w:r>
      <w:r w:rsidR="004E5420">
        <w:rPr>
          <w:rFonts w:ascii="Cambria Math" w:hAnsi="Cambria Math" w:cs="Cambria Math"/>
          <w:lang w:val="pt-BR"/>
        </w:rPr>
        <w:instrText>∼</w:instrText>
      </w:r>
      <w:r w:rsidR="004E5420">
        <w:rPr>
          <w:lang w:val="pt-BR"/>
        </w:rPr>
        <w:instrText>4 nm and then remained constant. The observed rate dependence with particle size is attributed to a higher reactivity of coordinatively unsaturated surface atoms in small particles compared to low-index surface atoms prevalent in large particles. The most reactive of these unsaturated surface atoms are responsible for ethane decomposition to surface carbon. The ability to design catalytic structures with tunable properties by rational synthetic methods is a major advance in the field of catalyst synthesis and for the development of accurate structure-function relationshios in heteroaeneous reaction kinetics. © 2006 American Chemical Society.","author":[{"dropping-particle":"","family":"Song","given":"Hyunjoon","non-dropping-particle":"","parse-names":false,"suffix":""},{"dropping-particle":"","family":"Rioux","given":"Robert M.","non-dropping-particle":"","parse-names":false,"suffix":""},{"dropping-particle":"","family":"Hoefelmeyer","given":"James D.","non-dropping-particle":"","parse-names":false,"suffix":""},{"dropping-particle":"","family":"Komor","given":"Russell","non-dropping-particle":"","parse-names":false,"suffix":""},{"dropping-particle":"","family":"Niesz","given":"Krisztian","non-dropping-particle":"","parse-names":false,"suffix":""},{"dropping-particle":"","family":"Grass","given":"Michael","non-dropping-particle":"","parse-names":false,"suffix":""},{"dropping-particle":"","family":"Yang","given":"Peidong","non-dropping-particle":"","parse-names":false,"suffix":""},{"dropping-particle":"","family":"Somorjai","given":"Gabor A.","non-dropping-particle":"","parse-names":false,"suffix":""}],"container-title":"Journal of the American Chemical Society","id":"ITEM-1","issue":"9","issued":{"date-parts":[["2006"]]},"page":"3027-3037","title":"Hydrothermal growth of mesoporous SBA-15 silica in the presence of PVP-stabilized Pt nanoparticles: Synthesis, characterization, and catalytic properties","type":"article-journal","volume":"128"},"uris":["http://www.mendeley.com/documents/?uuid=8a82987a-d474-4711-8c26-f81a0832f882","http://www.mendeley.com/documents/?uuid=89632863-035f-4a2b-8117-aed81fa68792"]}],"mendeley":{"formattedCitation":"(13)","manualFormatting":"Song e colaboradores (2006)","plainTextFormattedCitation":"(13)","previouslyFormattedCitation":"(13)"},"properties":{"noteIndex":0},"schema":"https://github.com/citation-style-language/schema/raw/master/csl-citation.json"}</w:instrText>
      </w:r>
      <w:r w:rsidR="00E15288">
        <w:rPr>
          <w:rStyle w:val="Refdenotaderodap"/>
        </w:rPr>
        <w:fldChar w:fldCharType="separate"/>
      </w:r>
      <w:r w:rsidR="00E15288" w:rsidRPr="004B3CC2">
        <w:rPr>
          <w:noProof/>
          <w:lang w:val="pt-BR"/>
        </w:rPr>
        <w:t>Song e colaboradores (2006)</w:t>
      </w:r>
      <w:r w:rsidR="00E15288">
        <w:rPr>
          <w:rStyle w:val="Refdenotaderodap"/>
        </w:rPr>
        <w:fldChar w:fldCharType="end"/>
      </w:r>
      <w:r w:rsidRPr="00CC1689">
        <w:rPr>
          <w:lang w:val="pt-BR"/>
        </w:rPr>
        <w:t xml:space="preserve"> com algumas modificaç</w:t>
      </w:r>
      <w:r>
        <w:rPr>
          <w:lang w:val="pt-BR"/>
        </w:rPr>
        <w:t xml:space="preserve">ões </w:t>
      </w:r>
      <w:r w:rsidR="00883379">
        <w:rPr>
          <w:lang w:val="pt-BR"/>
        </w:rPr>
        <w:t>[13]</w:t>
      </w:r>
      <w:r w:rsidRPr="00CC1689">
        <w:rPr>
          <w:lang w:val="pt-BR"/>
        </w:rPr>
        <w:t>.</w:t>
      </w:r>
      <w:r>
        <w:rPr>
          <w:lang w:val="pt-BR"/>
        </w:rPr>
        <w:t xml:space="preserve"> </w:t>
      </w:r>
      <w:r w:rsidRPr="00CC1689">
        <w:rPr>
          <w:lang w:val="pt-BR"/>
        </w:rPr>
        <w:t>Para a síntese</w:t>
      </w:r>
      <w:r w:rsidR="004F7401">
        <w:rPr>
          <w:lang w:val="pt-BR"/>
        </w:rPr>
        <w:t xml:space="preserve"> das nanopartículas de platina</w:t>
      </w:r>
      <w:r w:rsidRPr="00CC1689">
        <w:rPr>
          <w:lang w:val="pt-BR"/>
        </w:rPr>
        <w:t>, 0,096 g de (NH</w:t>
      </w:r>
      <w:r w:rsidRPr="00CC1689">
        <w:rPr>
          <w:vertAlign w:val="subscript"/>
          <w:lang w:val="pt-BR"/>
        </w:rPr>
        <w:t>4</w:t>
      </w:r>
      <w:r w:rsidRPr="00CC1689">
        <w:rPr>
          <w:lang w:val="pt-BR"/>
        </w:rPr>
        <w:t>)</w:t>
      </w:r>
      <w:r w:rsidRPr="00CC1689">
        <w:rPr>
          <w:vertAlign w:val="subscript"/>
          <w:lang w:val="pt-BR"/>
        </w:rPr>
        <w:t>2</w:t>
      </w:r>
      <w:r w:rsidRPr="00CC1689">
        <w:rPr>
          <w:lang w:val="pt-BR"/>
        </w:rPr>
        <w:t>PtCl</w:t>
      </w:r>
      <w:r w:rsidRPr="00CC1689">
        <w:rPr>
          <w:vertAlign w:val="subscript"/>
          <w:lang w:val="pt-BR"/>
        </w:rPr>
        <w:t xml:space="preserve">4 </w:t>
      </w:r>
      <w:r w:rsidRPr="00CC1689">
        <w:rPr>
          <w:lang w:val="pt-BR"/>
        </w:rPr>
        <w:t xml:space="preserve">foi solubilizada em 6,6 </w:t>
      </w:r>
      <w:proofErr w:type="spellStart"/>
      <w:r w:rsidRPr="00CC1689">
        <w:rPr>
          <w:lang w:val="pt-BR"/>
        </w:rPr>
        <w:t>mL</w:t>
      </w:r>
      <w:proofErr w:type="spellEnd"/>
      <w:r w:rsidRPr="00CC1689">
        <w:rPr>
          <w:lang w:val="pt-BR"/>
        </w:rPr>
        <w:t xml:space="preserve"> de etilenoglicol puro em um balão de fundo redondo de duas bocas de 50 </w:t>
      </w:r>
      <w:proofErr w:type="spellStart"/>
      <w:r w:rsidRPr="00CC1689">
        <w:rPr>
          <w:lang w:val="pt-BR"/>
        </w:rPr>
        <w:t>mL</w:t>
      </w:r>
      <w:proofErr w:type="spellEnd"/>
      <w:r w:rsidRPr="00CC1689">
        <w:rPr>
          <w:lang w:val="pt-BR"/>
        </w:rPr>
        <w:t xml:space="preserve">. Em seguida, 6,6 </w:t>
      </w:r>
      <w:proofErr w:type="spellStart"/>
      <w:r w:rsidRPr="00CC1689">
        <w:rPr>
          <w:lang w:val="pt-BR"/>
        </w:rPr>
        <w:t>mL</w:t>
      </w:r>
      <w:proofErr w:type="spellEnd"/>
      <w:r w:rsidRPr="00CC1689">
        <w:rPr>
          <w:lang w:val="pt-BR"/>
        </w:rPr>
        <w:t xml:space="preserve"> de solução de </w:t>
      </w:r>
      <w:proofErr w:type="spellStart"/>
      <w:r w:rsidRPr="00CC1689">
        <w:rPr>
          <w:lang w:val="pt-BR"/>
        </w:rPr>
        <w:t>NaOH</w:t>
      </w:r>
      <w:proofErr w:type="spellEnd"/>
      <w:r w:rsidRPr="00CC1689">
        <w:rPr>
          <w:lang w:val="pt-BR"/>
        </w:rPr>
        <w:t xml:space="preserve"> 0,5 mol L</w:t>
      </w:r>
      <w:r w:rsidRPr="00CC1689">
        <w:rPr>
          <w:vertAlign w:val="superscript"/>
          <w:lang w:val="pt-BR"/>
        </w:rPr>
        <w:t>-1</w:t>
      </w:r>
      <w:r w:rsidRPr="00CC1689">
        <w:rPr>
          <w:lang w:val="pt-BR"/>
        </w:rPr>
        <w:t xml:space="preserve"> em etilenoglicol foi adicionada ao balão. A mistura foi aquecida até 120 °C. </w:t>
      </w:r>
      <w:r w:rsidR="002148BA">
        <w:rPr>
          <w:lang w:val="pt-BR"/>
        </w:rPr>
        <w:t xml:space="preserve">Para definir o </w:t>
      </w:r>
      <w:r w:rsidR="008F2CCE">
        <w:rPr>
          <w:lang w:val="pt-BR"/>
        </w:rPr>
        <w:t xml:space="preserve">tempo de agitação para completa redução de </w:t>
      </w:r>
      <w:proofErr w:type="spellStart"/>
      <w:r w:rsidR="008F2CCE">
        <w:rPr>
          <w:lang w:val="pt-BR"/>
        </w:rPr>
        <w:t>Pt</w:t>
      </w:r>
      <w:proofErr w:type="spellEnd"/>
      <w:r w:rsidR="008F2CCE">
        <w:rPr>
          <w:lang w:val="pt-BR"/>
        </w:rPr>
        <w:t>, a</w:t>
      </w:r>
      <w:r w:rsidRPr="00CC1689">
        <w:rPr>
          <w:lang w:val="pt-BR"/>
        </w:rPr>
        <w:t xml:space="preserve">pós atingir </w:t>
      </w:r>
      <w:r w:rsidR="00732A3E">
        <w:rPr>
          <w:lang w:val="pt-BR"/>
        </w:rPr>
        <w:t>12</w:t>
      </w:r>
      <w:r w:rsidR="008F2CCE">
        <w:rPr>
          <w:lang w:val="pt-BR"/>
        </w:rPr>
        <w:t>0 °C</w:t>
      </w:r>
      <w:r w:rsidRPr="00CC1689">
        <w:rPr>
          <w:lang w:val="pt-BR"/>
        </w:rPr>
        <w:t xml:space="preserve">, alíquotas do sobrenadante foram retiradas do balão </w:t>
      </w:r>
      <w:r w:rsidR="008F2CCE">
        <w:rPr>
          <w:lang w:val="pt-BR"/>
        </w:rPr>
        <w:t>a cada</w:t>
      </w:r>
      <w:r w:rsidRPr="00CC1689">
        <w:rPr>
          <w:lang w:val="pt-BR"/>
        </w:rPr>
        <w:t xml:space="preserve"> 30 min e analisadas por espectroscopia na região do ultravioleta-visível empregando espectrofotômetro </w:t>
      </w:r>
      <w:r w:rsidR="004C068B">
        <w:rPr>
          <w:lang w:val="pt-BR"/>
        </w:rPr>
        <w:t xml:space="preserve">(Thermo </w:t>
      </w:r>
      <w:proofErr w:type="spellStart"/>
      <w:r w:rsidR="004C068B">
        <w:rPr>
          <w:lang w:val="pt-BR"/>
        </w:rPr>
        <w:t>Scietific</w:t>
      </w:r>
      <w:proofErr w:type="spellEnd"/>
      <w:r w:rsidR="004C068B">
        <w:rPr>
          <w:lang w:val="pt-BR"/>
        </w:rPr>
        <w:t xml:space="preserve">, </w:t>
      </w:r>
      <w:proofErr w:type="spellStart"/>
      <w:r w:rsidR="004C068B">
        <w:rPr>
          <w:lang w:val="pt-BR"/>
        </w:rPr>
        <w:t>Genesys</w:t>
      </w:r>
      <w:proofErr w:type="spellEnd"/>
      <w:r w:rsidR="004C068B">
        <w:rPr>
          <w:lang w:val="pt-BR"/>
        </w:rPr>
        <w:t xml:space="preserve"> 10S UV-Vis)</w:t>
      </w:r>
      <w:r w:rsidRPr="00CC1689">
        <w:rPr>
          <w:lang w:val="pt-BR"/>
        </w:rPr>
        <w:t xml:space="preserve"> na região de 200 a 800 </w:t>
      </w:r>
      <w:proofErr w:type="spellStart"/>
      <w:r w:rsidRPr="00CC1689">
        <w:rPr>
          <w:lang w:val="pt-BR"/>
        </w:rPr>
        <w:t>nm</w:t>
      </w:r>
      <w:proofErr w:type="spellEnd"/>
      <w:r w:rsidRPr="00CC1689">
        <w:rPr>
          <w:lang w:val="pt-BR"/>
        </w:rPr>
        <w:t xml:space="preserve">. </w:t>
      </w:r>
      <w:r w:rsidR="008F2CCE">
        <w:rPr>
          <w:lang w:val="pt-BR"/>
        </w:rPr>
        <w:t>Dessa forma, definiu-se que o</w:t>
      </w:r>
      <w:r w:rsidRPr="00CC1689">
        <w:rPr>
          <w:lang w:val="pt-BR"/>
        </w:rPr>
        <w:t xml:space="preserve"> período empregado para</w:t>
      </w:r>
      <w:r w:rsidR="008F2CCE">
        <w:rPr>
          <w:lang w:val="pt-BR"/>
        </w:rPr>
        <w:t xml:space="preserve"> a</w:t>
      </w:r>
      <w:r w:rsidRPr="00CC1689">
        <w:rPr>
          <w:lang w:val="pt-BR"/>
        </w:rPr>
        <w:t xml:space="preserve"> síntese das nanopartículas </w:t>
      </w:r>
      <w:r w:rsidR="008F2CCE">
        <w:rPr>
          <w:lang w:val="pt-BR"/>
        </w:rPr>
        <w:t xml:space="preserve">de </w:t>
      </w:r>
      <w:proofErr w:type="spellStart"/>
      <w:r w:rsidR="008F2CCE">
        <w:rPr>
          <w:lang w:val="pt-BR"/>
        </w:rPr>
        <w:t>Pt</w:t>
      </w:r>
      <w:proofErr w:type="spellEnd"/>
      <w:r w:rsidR="008F2CCE">
        <w:rPr>
          <w:lang w:val="pt-BR"/>
        </w:rPr>
        <w:t xml:space="preserve"> era</w:t>
      </w:r>
      <w:r w:rsidR="008F2CCE" w:rsidRPr="00CC1689">
        <w:rPr>
          <w:lang w:val="pt-BR"/>
        </w:rPr>
        <w:t xml:space="preserve"> </w:t>
      </w:r>
      <w:r w:rsidRPr="00CC1689">
        <w:rPr>
          <w:lang w:val="pt-BR"/>
        </w:rPr>
        <w:t>de 180 min.</w:t>
      </w:r>
      <w:r>
        <w:rPr>
          <w:lang w:val="pt-BR"/>
        </w:rPr>
        <w:t xml:space="preserve"> </w:t>
      </w:r>
    </w:p>
    <w:p w14:paraId="68ACA88D" w14:textId="59522E64" w:rsidR="00362EF7" w:rsidRPr="00CC1689" w:rsidRDefault="00CC1689" w:rsidP="006D19BF">
      <w:pPr>
        <w:pStyle w:val="TAMainText"/>
        <w:rPr>
          <w:lang w:val="pt-BR"/>
        </w:rPr>
      </w:pPr>
      <w:r w:rsidRPr="00CC1689">
        <w:rPr>
          <w:lang w:val="pt-BR"/>
        </w:rPr>
        <w:t xml:space="preserve">Após </w:t>
      </w:r>
      <w:r w:rsidR="008F2CCE">
        <w:rPr>
          <w:lang w:val="pt-BR"/>
        </w:rPr>
        <w:t>o período de agitação</w:t>
      </w:r>
      <w:r w:rsidRPr="00CC1689">
        <w:rPr>
          <w:lang w:val="pt-BR"/>
        </w:rPr>
        <w:t xml:space="preserve">, as nanopartículas foram obtidas por precipitação utilizando 1,1 </w:t>
      </w:r>
      <w:proofErr w:type="spellStart"/>
      <w:r w:rsidRPr="00CC1689">
        <w:rPr>
          <w:lang w:val="pt-BR"/>
        </w:rPr>
        <w:t>mL</w:t>
      </w:r>
      <w:proofErr w:type="spellEnd"/>
      <w:r w:rsidRPr="00CC1689">
        <w:rPr>
          <w:lang w:val="pt-BR"/>
        </w:rPr>
        <w:t xml:space="preserve"> de solução de </w:t>
      </w:r>
      <w:proofErr w:type="spellStart"/>
      <w:r w:rsidRPr="00CC1689">
        <w:rPr>
          <w:lang w:val="pt-BR"/>
        </w:rPr>
        <w:t>HCl</w:t>
      </w:r>
      <w:proofErr w:type="spellEnd"/>
      <w:r w:rsidRPr="00CC1689">
        <w:rPr>
          <w:lang w:val="pt-BR"/>
        </w:rPr>
        <w:t xml:space="preserve"> 2 mol L</w:t>
      </w:r>
      <w:r w:rsidRPr="00CC1689">
        <w:rPr>
          <w:vertAlign w:val="superscript"/>
          <w:lang w:val="pt-BR"/>
        </w:rPr>
        <w:t>-1</w:t>
      </w:r>
      <w:r w:rsidRPr="00CC1689">
        <w:rPr>
          <w:lang w:val="pt-BR"/>
        </w:rPr>
        <w:t xml:space="preserve"> seguida de centrifugação a 3500 rpm até a completa precipitação das nanopartículas. O sobrenadante foi retirado do tubo Falcon e o precipitado foi redisperso em uma solução de PVP</w:t>
      </w:r>
      <w:r w:rsidR="00F40E89">
        <w:rPr>
          <w:lang w:val="pt-BR"/>
        </w:rPr>
        <w:t xml:space="preserve"> (</w:t>
      </w:r>
      <w:proofErr w:type="spellStart"/>
      <w:r w:rsidR="00F40E89">
        <w:rPr>
          <w:lang w:val="pt-BR"/>
        </w:rPr>
        <w:t>polinilpirrolidona</w:t>
      </w:r>
      <w:proofErr w:type="spellEnd"/>
      <w:r w:rsidR="00F40E89">
        <w:rPr>
          <w:lang w:val="pt-BR"/>
        </w:rPr>
        <w:t>, Merck, 99%)</w:t>
      </w:r>
      <w:r w:rsidRPr="00CC1689">
        <w:rPr>
          <w:lang w:val="pt-BR"/>
        </w:rPr>
        <w:t xml:space="preserve"> em etanol na razão de PVP/</w:t>
      </w:r>
      <w:proofErr w:type="spellStart"/>
      <w:r w:rsidRPr="00CC1689">
        <w:rPr>
          <w:lang w:val="pt-BR"/>
        </w:rPr>
        <w:t>Pt</w:t>
      </w:r>
      <w:proofErr w:type="spellEnd"/>
      <w:r w:rsidRPr="00CC1689">
        <w:rPr>
          <w:lang w:val="pt-BR"/>
        </w:rPr>
        <w:t xml:space="preserve"> de 10 (mol/mol), uma vez que foi </w:t>
      </w:r>
      <w:r w:rsidR="008F2CCE">
        <w:rPr>
          <w:lang w:val="pt-BR"/>
        </w:rPr>
        <w:t>a</w:t>
      </w:r>
      <w:r w:rsidRPr="00CC1689">
        <w:rPr>
          <w:lang w:val="pt-BR"/>
        </w:rPr>
        <w:t xml:space="preserve"> melhor </w:t>
      </w:r>
      <w:r w:rsidR="008F2CCE">
        <w:rPr>
          <w:lang w:val="pt-BR"/>
        </w:rPr>
        <w:t>condição reportada</w:t>
      </w:r>
      <w:r w:rsidRPr="00CC1689">
        <w:rPr>
          <w:lang w:val="pt-BR"/>
        </w:rPr>
        <w:t xml:space="preserve"> por Ribeiro e colaboradore</w:t>
      </w:r>
      <w:r>
        <w:rPr>
          <w:lang w:val="pt-BR"/>
        </w:rPr>
        <w:t xml:space="preserve">s </w:t>
      </w:r>
      <w:r w:rsidR="00883379">
        <w:rPr>
          <w:lang w:val="pt-BR"/>
        </w:rPr>
        <w:t>[14]</w:t>
      </w:r>
      <w:r w:rsidRPr="00CC1689">
        <w:rPr>
          <w:lang w:val="pt-BR"/>
        </w:rPr>
        <w:t xml:space="preserve">. A redispersão </w:t>
      </w:r>
      <w:r w:rsidR="00F40E89">
        <w:rPr>
          <w:lang w:val="pt-BR"/>
        </w:rPr>
        <w:t xml:space="preserve">foi </w:t>
      </w:r>
      <w:r w:rsidRPr="00CC1689">
        <w:rPr>
          <w:lang w:val="pt-BR"/>
        </w:rPr>
        <w:t xml:space="preserve">conduzida utilizando banho ultrassônico </w:t>
      </w:r>
      <w:r w:rsidR="004C068B">
        <w:rPr>
          <w:lang w:val="pt-BR"/>
        </w:rPr>
        <w:t>(</w:t>
      </w:r>
      <w:proofErr w:type="spellStart"/>
      <w:r w:rsidR="004C068B">
        <w:rPr>
          <w:lang w:val="pt-BR"/>
        </w:rPr>
        <w:t>Solidsteel</w:t>
      </w:r>
      <w:proofErr w:type="spellEnd"/>
      <w:r w:rsidR="004C068B">
        <w:rPr>
          <w:lang w:val="pt-BR"/>
        </w:rPr>
        <w:t>)</w:t>
      </w:r>
      <w:r w:rsidRPr="00CC1689">
        <w:rPr>
          <w:lang w:val="pt-BR"/>
        </w:rPr>
        <w:t>.</w:t>
      </w:r>
    </w:p>
    <w:p w14:paraId="375B5FA1" w14:textId="5BF8FE50" w:rsidR="00B102F5" w:rsidRPr="00B102F5" w:rsidRDefault="004F7401" w:rsidP="006D19BF">
      <w:pPr>
        <w:pStyle w:val="TAMainText"/>
        <w:rPr>
          <w:rFonts w:ascii="Times New Roman" w:hAnsi="Times New Roman"/>
          <w:lang w:val="pt-BR"/>
        </w:rPr>
      </w:pPr>
      <w:r>
        <w:rPr>
          <w:lang w:val="pt-BR"/>
        </w:rPr>
        <w:lastRenderedPageBreak/>
        <w:t xml:space="preserve">O </w:t>
      </w:r>
      <w:proofErr w:type="spellStart"/>
      <w:r>
        <w:rPr>
          <w:lang w:val="pt-BR"/>
        </w:rPr>
        <w:t>NiPt</w:t>
      </w:r>
      <w:proofErr w:type="spellEnd"/>
      <w:r>
        <w:rPr>
          <w:lang w:val="pt-BR"/>
        </w:rPr>
        <w:t xml:space="preserve">/HY e a </w:t>
      </w:r>
      <w:proofErr w:type="spellStart"/>
      <w:r>
        <w:rPr>
          <w:lang w:val="pt-BR"/>
        </w:rPr>
        <w:t>NiPt</w:t>
      </w:r>
      <w:proofErr w:type="spellEnd"/>
      <w:r>
        <w:rPr>
          <w:lang w:val="pt-BR"/>
        </w:rPr>
        <w:t>/</w:t>
      </w:r>
      <w:proofErr w:type="spellStart"/>
      <w:r>
        <w:rPr>
          <w:lang w:val="pt-BR"/>
        </w:rPr>
        <w:t>SNb</w:t>
      </w:r>
      <w:proofErr w:type="spellEnd"/>
      <w:r>
        <w:rPr>
          <w:lang w:val="pt-BR"/>
        </w:rPr>
        <w:t>-HY foram obtidos</w:t>
      </w:r>
      <w:r w:rsidR="008F2CCE">
        <w:rPr>
          <w:lang w:val="pt-BR"/>
        </w:rPr>
        <w:t>, respectivamente</w:t>
      </w:r>
      <w:r>
        <w:rPr>
          <w:lang w:val="pt-BR"/>
        </w:rPr>
        <w:t xml:space="preserve"> </w:t>
      </w:r>
      <w:r w:rsidR="008F2CCE">
        <w:rPr>
          <w:lang w:val="pt-BR"/>
        </w:rPr>
        <w:t>por</w:t>
      </w:r>
      <w:r>
        <w:rPr>
          <w:lang w:val="pt-BR"/>
        </w:rPr>
        <w:t xml:space="preserve"> impregnação à umidade incipiente</w:t>
      </w:r>
      <w:r w:rsidR="008F2CCE">
        <w:rPr>
          <w:lang w:val="pt-BR"/>
        </w:rPr>
        <w:t xml:space="preserve"> de </w:t>
      </w:r>
      <w:r w:rsidR="008F2CCE">
        <w:rPr>
          <w:rFonts w:ascii="Times New Roman" w:hAnsi="Times New Roman"/>
          <w:lang w:val="pt-BR"/>
        </w:rPr>
        <w:t>Ni/HY e Ni/</w:t>
      </w:r>
      <w:proofErr w:type="spellStart"/>
      <w:r w:rsidR="008F2CCE">
        <w:rPr>
          <w:rFonts w:ascii="Times New Roman" w:hAnsi="Times New Roman"/>
          <w:lang w:val="pt-BR"/>
        </w:rPr>
        <w:t>SNb</w:t>
      </w:r>
      <w:proofErr w:type="spellEnd"/>
      <w:r w:rsidR="008F2CCE">
        <w:rPr>
          <w:rFonts w:ascii="Times New Roman" w:hAnsi="Times New Roman"/>
          <w:lang w:val="pt-BR"/>
        </w:rPr>
        <w:t>-HY,</w:t>
      </w:r>
      <w:r>
        <w:rPr>
          <w:lang w:val="pt-BR"/>
        </w:rPr>
        <w:t xml:space="preserve"> empregando as nanopartículas obtidas anteriormente. Nesse caso, a solução coloidal das nanopartículas foi gotejada sobre o suporte e </w:t>
      </w:r>
      <w:r w:rsidR="00E050EE">
        <w:rPr>
          <w:lang w:val="pt-BR"/>
        </w:rPr>
        <w:t>distribuída</w:t>
      </w:r>
      <w:r w:rsidR="008F2CCE">
        <w:rPr>
          <w:lang w:val="pt-BR"/>
        </w:rPr>
        <w:t xml:space="preserve"> sobre </w:t>
      </w:r>
      <w:r w:rsidR="008F2CCE">
        <w:rPr>
          <w:rFonts w:ascii="Times New Roman" w:hAnsi="Times New Roman"/>
          <w:lang w:val="pt-BR"/>
        </w:rPr>
        <w:t>Ni/HY e Ni/</w:t>
      </w:r>
      <w:proofErr w:type="spellStart"/>
      <w:r w:rsidR="008F2CCE">
        <w:rPr>
          <w:rFonts w:ascii="Times New Roman" w:hAnsi="Times New Roman"/>
          <w:lang w:val="pt-BR"/>
        </w:rPr>
        <w:t>SNb</w:t>
      </w:r>
      <w:proofErr w:type="spellEnd"/>
      <w:r w:rsidR="008F2CCE">
        <w:rPr>
          <w:rFonts w:ascii="Times New Roman" w:hAnsi="Times New Roman"/>
          <w:lang w:val="pt-BR"/>
        </w:rPr>
        <w:t>-HY</w:t>
      </w:r>
      <w:r w:rsidR="008F2CCE" w:rsidDel="008F2CCE">
        <w:rPr>
          <w:lang w:val="pt-BR"/>
        </w:rPr>
        <w:t xml:space="preserve"> </w:t>
      </w:r>
      <w:r>
        <w:rPr>
          <w:lang w:val="pt-BR"/>
        </w:rPr>
        <w:t>com o auxílio de uma espátula.</w:t>
      </w:r>
      <w:r w:rsidR="00FB757D">
        <w:rPr>
          <w:lang w:val="pt-BR"/>
        </w:rPr>
        <w:t xml:space="preserve"> </w:t>
      </w:r>
      <w:r w:rsidR="00FB757D" w:rsidRPr="00FB757D">
        <w:rPr>
          <w:lang w:val="pt-BR"/>
        </w:rPr>
        <w:t xml:space="preserve">Os materiais foram secos em estufa a 60 °C por 12 horas e submetidos a tratamento térmico sob fluxo de ar sintético (75 </w:t>
      </w:r>
      <w:proofErr w:type="spellStart"/>
      <w:r w:rsidR="00FB757D" w:rsidRPr="00FB757D">
        <w:rPr>
          <w:lang w:val="pt-BR"/>
        </w:rPr>
        <w:t>mL</w:t>
      </w:r>
      <w:proofErr w:type="spellEnd"/>
      <w:r w:rsidR="00FB757D" w:rsidRPr="00FB757D">
        <w:rPr>
          <w:lang w:val="pt-BR"/>
        </w:rPr>
        <w:t xml:space="preserve"> min</w:t>
      </w:r>
      <w:r w:rsidR="00FB757D" w:rsidRPr="00FB757D">
        <w:rPr>
          <w:vertAlign w:val="superscript"/>
          <w:lang w:val="pt-BR"/>
        </w:rPr>
        <w:t>-1</w:t>
      </w:r>
      <w:r w:rsidR="00FB757D" w:rsidRPr="00FB757D">
        <w:rPr>
          <w:lang w:val="pt-BR"/>
        </w:rPr>
        <w:t>)</w:t>
      </w:r>
      <w:r w:rsidR="00732A3E">
        <w:rPr>
          <w:lang w:val="pt-BR"/>
        </w:rPr>
        <w:t xml:space="preserve"> empregando a mesma programação de temperatura utilizada para a HY pura</w:t>
      </w:r>
      <w:r w:rsidR="00FB757D">
        <w:rPr>
          <w:lang w:val="pt-BR"/>
        </w:rPr>
        <w:t>.</w:t>
      </w:r>
    </w:p>
    <w:p w14:paraId="35887134" w14:textId="18FE71DF" w:rsidR="00EA4E1B" w:rsidRPr="001F25B2" w:rsidRDefault="00B102F5" w:rsidP="00B102F5">
      <w:pPr>
        <w:pStyle w:val="TAMainText"/>
        <w:spacing w:before="160" w:after="160"/>
        <w:ind w:firstLine="0"/>
        <w:rPr>
          <w:rFonts w:ascii="Times New Roman" w:hAnsi="Times New Roman"/>
          <w:i/>
          <w:lang w:val="pt-BR"/>
        </w:rPr>
      </w:pPr>
      <w:r>
        <w:rPr>
          <w:rFonts w:ascii="Times New Roman" w:hAnsi="Times New Roman"/>
          <w:i/>
          <w:lang w:val="pt-BR"/>
        </w:rPr>
        <w:t>Caracterização dos catalisadores</w:t>
      </w:r>
    </w:p>
    <w:p w14:paraId="25293FAE" w14:textId="31B68D43" w:rsidR="00B102F5" w:rsidRDefault="00732A3E" w:rsidP="00B102F5">
      <w:pPr>
        <w:pStyle w:val="TAMainText"/>
        <w:ind w:firstLine="187"/>
        <w:rPr>
          <w:lang w:val="pt-BR"/>
        </w:rPr>
      </w:pPr>
      <w:r w:rsidRPr="00B102F5">
        <w:rPr>
          <w:lang w:val="pt-BR"/>
        </w:rPr>
        <w:t>A</w:t>
      </w:r>
      <w:r>
        <w:rPr>
          <w:lang w:val="pt-BR"/>
        </w:rPr>
        <w:t xml:space="preserve"> presença de</w:t>
      </w:r>
      <w:r w:rsidRPr="00B102F5">
        <w:rPr>
          <w:lang w:val="pt-BR"/>
        </w:rPr>
        <w:t xml:space="preserve"> estruturas cristalinas nos materiais foi</w:t>
      </w:r>
      <w:r w:rsidR="00B102F5" w:rsidRPr="00B102F5">
        <w:rPr>
          <w:lang w:val="pt-BR"/>
        </w:rPr>
        <w:t xml:space="preserve"> avaliada por DRX, entre 5° e 80° ângulos 2θ, com velocidade do </w:t>
      </w:r>
      <w:proofErr w:type="spellStart"/>
      <w:r w:rsidR="00B102F5" w:rsidRPr="00B102F5">
        <w:rPr>
          <w:lang w:val="pt-BR"/>
        </w:rPr>
        <w:t>ganiômetro</w:t>
      </w:r>
      <w:proofErr w:type="spellEnd"/>
      <w:r w:rsidR="00B102F5" w:rsidRPr="00B102F5">
        <w:rPr>
          <w:lang w:val="pt-BR"/>
        </w:rPr>
        <w:t xml:space="preserve"> de 2° min</w:t>
      </w:r>
      <w:r w:rsidR="00B102F5" w:rsidRPr="00B35D15">
        <w:rPr>
          <w:vertAlign w:val="superscript"/>
          <w:lang w:val="pt-BR"/>
        </w:rPr>
        <w:t>-1</w:t>
      </w:r>
      <w:r w:rsidR="00B102F5" w:rsidRPr="00B102F5">
        <w:rPr>
          <w:lang w:val="pt-BR"/>
        </w:rPr>
        <w:t xml:space="preserve"> em equipamento </w:t>
      </w:r>
      <w:proofErr w:type="spellStart"/>
      <w:r w:rsidR="00B102F5" w:rsidRPr="00B102F5">
        <w:rPr>
          <w:lang w:val="pt-BR"/>
        </w:rPr>
        <w:t>Rigaku</w:t>
      </w:r>
      <w:proofErr w:type="spellEnd"/>
      <w:r w:rsidR="00B102F5" w:rsidRPr="00B102F5">
        <w:rPr>
          <w:lang w:val="pt-BR"/>
        </w:rPr>
        <w:t xml:space="preserve"> </w:t>
      </w:r>
      <w:proofErr w:type="spellStart"/>
      <w:r w:rsidR="00B102F5" w:rsidRPr="00B102F5">
        <w:rPr>
          <w:lang w:val="pt-BR"/>
        </w:rPr>
        <w:t>Miniflex</w:t>
      </w:r>
      <w:proofErr w:type="spellEnd"/>
      <w:r w:rsidR="00B102F5" w:rsidRPr="00B102F5">
        <w:rPr>
          <w:lang w:val="pt-BR"/>
        </w:rPr>
        <w:t xml:space="preserve"> empregando radiação Cu-kα (comprimento de onda de 0,15406 </w:t>
      </w:r>
      <w:proofErr w:type="spellStart"/>
      <w:r w:rsidR="00B102F5" w:rsidRPr="00B102F5">
        <w:rPr>
          <w:lang w:val="pt-BR"/>
        </w:rPr>
        <w:t>nm</w:t>
      </w:r>
      <w:proofErr w:type="spellEnd"/>
      <w:r w:rsidR="00B102F5" w:rsidRPr="00B102F5">
        <w:rPr>
          <w:lang w:val="pt-BR"/>
        </w:rPr>
        <w:t xml:space="preserve">), tensão de 40 kV e corrente de 40 </w:t>
      </w:r>
      <w:proofErr w:type="spellStart"/>
      <w:r w:rsidR="00B102F5" w:rsidRPr="00B102F5">
        <w:rPr>
          <w:lang w:val="pt-BR"/>
        </w:rPr>
        <w:t>mA.</w:t>
      </w:r>
      <w:proofErr w:type="spellEnd"/>
    </w:p>
    <w:p w14:paraId="57541255" w14:textId="41BA738D" w:rsidR="00FB757D" w:rsidRDefault="00FB757D" w:rsidP="00B102F5">
      <w:pPr>
        <w:pStyle w:val="TAMainText"/>
        <w:ind w:firstLine="187"/>
        <w:rPr>
          <w:lang w:val="pt-BR"/>
        </w:rPr>
      </w:pPr>
      <w:r w:rsidRPr="00FB757D">
        <w:rPr>
          <w:lang w:val="pt-BR"/>
        </w:rPr>
        <w:t>As análises de redução com H</w:t>
      </w:r>
      <w:r w:rsidRPr="00FB757D">
        <w:rPr>
          <w:vertAlign w:val="subscript"/>
          <w:lang w:val="pt-BR"/>
        </w:rPr>
        <w:t>2</w:t>
      </w:r>
      <w:r w:rsidRPr="00FB757D">
        <w:rPr>
          <w:lang w:val="pt-BR"/>
        </w:rPr>
        <w:t xml:space="preserve"> à temperatura programada foram realizadas com intuito de identificar espécies redutíveis presentes nos materiais</w:t>
      </w:r>
      <w:r w:rsidR="00B35D15">
        <w:rPr>
          <w:lang w:val="pt-BR"/>
        </w:rPr>
        <w:t xml:space="preserve"> e</w:t>
      </w:r>
      <w:r w:rsidRPr="00FB757D">
        <w:rPr>
          <w:lang w:val="pt-BR"/>
        </w:rPr>
        <w:t xml:space="preserve"> a faixa de temperatura de redução. As análises de </w:t>
      </w:r>
      <w:r w:rsidR="00B35D15">
        <w:rPr>
          <w:lang w:val="pt-BR"/>
        </w:rPr>
        <w:t>TPR</w:t>
      </w:r>
      <w:r w:rsidRPr="00FB757D">
        <w:rPr>
          <w:lang w:val="pt-BR"/>
        </w:rPr>
        <w:t>-H</w:t>
      </w:r>
      <w:r w:rsidRPr="00FB757D">
        <w:rPr>
          <w:vertAlign w:val="subscript"/>
          <w:lang w:val="pt-BR"/>
        </w:rPr>
        <w:t>2</w:t>
      </w:r>
      <w:r w:rsidRPr="00FB757D">
        <w:rPr>
          <w:lang w:val="pt-BR"/>
        </w:rPr>
        <w:t xml:space="preserve"> foram realizadas em equipamento </w:t>
      </w:r>
      <w:proofErr w:type="spellStart"/>
      <w:r w:rsidRPr="00FB757D">
        <w:rPr>
          <w:lang w:val="pt-BR"/>
        </w:rPr>
        <w:t>AutoChem</w:t>
      </w:r>
      <w:proofErr w:type="spellEnd"/>
      <w:r w:rsidRPr="00FB757D">
        <w:rPr>
          <w:lang w:val="pt-BR"/>
        </w:rPr>
        <w:t xml:space="preserve"> 2920 (</w:t>
      </w:r>
      <w:proofErr w:type="spellStart"/>
      <w:r w:rsidRPr="00FB757D">
        <w:rPr>
          <w:lang w:val="pt-BR"/>
        </w:rPr>
        <w:t>Microme</w:t>
      </w:r>
      <w:r w:rsidR="000A1363">
        <w:rPr>
          <w:lang w:val="pt-BR"/>
        </w:rPr>
        <w:t>ri</w:t>
      </w:r>
      <w:r w:rsidRPr="00FB757D">
        <w:rPr>
          <w:lang w:val="pt-BR"/>
        </w:rPr>
        <w:t>tics</w:t>
      </w:r>
      <w:proofErr w:type="spellEnd"/>
      <w:r w:rsidRPr="00FB757D">
        <w:rPr>
          <w:lang w:val="pt-BR"/>
        </w:rPr>
        <w:t xml:space="preserve">) equipado com um detector de condutividade térmica. Antes das análises, as amostras foram </w:t>
      </w:r>
      <w:proofErr w:type="spellStart"/>
      <w:r w:rsidRPr="00FB757D">
        <w:rPr>
          <w:lang w:val="pt-BR"/>
        </w:rPr>
        <w:t>pré-tratadas</w:t>
      </w:r>
      <w:proofErr w:type="spellEnd"/>
      <w:r w:rsidRPr="00FB757D">
        <w:rPr>
          <w:lang w:val="pt-BR"/>
        </w:rPr>
        <w:t xml:space="preserve"> sob fluxo de N</w:t>
      </w:r>
      <w:r w:rsidRPr="00FB757D">
        <w:rPr>
          <w:vertAlign w:val="subscript"/>
          <w:lang w:val="pt-BR"/>
        </w:rPr>
        <w:t>2</w:t>
      </w:r>
      <w:r w:rsidRPr="00FB757D">
        <w:rPr>
          <w:lang w:val="pt-BR"/>
        </w:rPr>
        <w:t xml:space="preserve">, 50 </w:t>
      </w:r>
      <w:proofErr w:type="spellStart"/>
      <w:r w:rsidRPr="00FB757D">
        <w:rPr>
          <w:lang w:val="pt-BR"/>
        </w:rPr>
        <w:t>mL</w:t>
      </w:r>
      <w:proofErr w:type="spellEnd"/>
      <w:r w:rsidRPr="00FB757D">
        <w:rPr>
          <w:lang w:val="pt-BR"/>
        </w:rPr>
        <w:t xml:space="preserve"> min</w:t>
      </w:r>
      <w:r w:rsidRPr="00FB757D">
        <w:rPr>
          <w:vertAlign w:val="superscript"/>
          <w:lang w:val="pt-BR"/>
        </w:rPr>
        <w:t>-1</w:t>
      </w:r>
      <w:r w:rsidRPr="00FB757D">
        <w:rPr>
          <w:lang w:val="pt-BR"/>
        </w:rPr>
        <w:t>, a 200 °C por 30 min empregando taxa de aquecimento de 20 °C min</w:t>
      </w:r>
      <w:r w:rsidRPr="00FB757D">
        <w:rPr>
          <w:vertAlign w:val="superscript"/>
          <w:lang w:val="pt-BR"/>
        </w:rPr>
        <w:t>-1</w:t>
      </w:r>
      <w:r w:rsidRPr="00FB757D">
        <w:rPr>
          <w:lang w:val="pt-BR"/>
        </w:rPr>
        <w:t>. Após o pré-tratamento, as amostras foram resfriadas até a temperatura ambiente e aquecida até 900 °C, com taxa de aquecimento de 10°C min</w:t>
      </w:r>
      <w:r w:rsidRPr="00FB757D">
        <w:rPr>
          <w:vertAlign w:val="superscript"/>
          <w:lang w:val="pt-BR"/>
        </w:rPr>
        <w:t>-1</w:t>
      </w:r>
      <w:r w:rsidRPr="00FB757D">
        <w:rPr>
          <w:lang w:val="pt-BR"/>
        </w:rPr>
        <w:t>, sob fluxo de H</w:t>
      </w:r>
      <w:r w:rsidRPr="00FB757D">
        <w:rPr>
          <w:vertAlign w:val="subscript"/>
          <w:lang w:val="pt-BR"/>
        </w:rPr>
        <w:t>2</w:t>
      </w:r>
      <w:r w:rsidRPr="00FB757D">
        <w:rPr>
          <w:lang w:val="pt-BR"/>
        </w:rPr>
        <w:t xml:space="preserve"> (10% V/V em N</w:t>
      </w:r>
      <w:r w:rsidRPr="00FB757D">
        <w:rPr>
          <w:vertAlign w:val="subscript"/>
          <w:lang w:val="pt-BR"/>
        </w:rPr>
        <w:t>2</w:t>
      </w:r>
      <w:r w:rsidRPr="00FB757D">
        <w:rPr>
          <w:lang w:val="pt-BR"/>
        </w:rPr>
        <w:t xml:space="preserve">). </w:t>
      </w:r>
    </w:p>
    <w:p w14:paraId="267CF142" w14:textId="521D7D36" w:rsidR="007D7DBA" w:rsidRPr="00FB757D" w:rsidRDefault="00255107" w:rsidP="00B102F5">
      <w:pPr>
        <w:pStyle w:val="TAMainText"/>
        <w:ind w:firstLine="187"/>
        <w:rPr>
          <w:lang w:val="pt-BR"/>
        </w:rPr>
      </w:pPr>
      <w:r>
        <w:rPr>
          <w:lang w:val="pt-BR"/>
        </w:rPr>
        <w:t xml:space="preserve">A acidez de </w:t>
      </w:r>
      <w:r w:rsidR="000A1363">
        <w:rPr>
          <w:lang w:val="pt-BR"/>
        </w:rPr>
        <w:t>Br</w:t>
      </w:r>
      <w:r w:rsidR="000A1363">
        <w:rPr>
          <w:rFonts w:cs="Times"/>
          <w:lang w:val="pt-BR"/>
        </w:rPr>
        <w:t>ø</w:t>
      </w:r>
      <w:r w:rsidR="000A1363">
        <w:rPr>
          <w:lang w:val="pt-BR"/>
        </w:rPr>
        <w:t>nsted</w:t>
      </w:r>
      <w:r>
        <w:rPr>
          <w:lang w:val="pt-BR"/>
        </w:rPr>
        <w:t xml:space="preserve"> e de Lewis dos materiais foi determinada por meio da técnica de</w:t>
      </w:r>
      <w:r w:rsidR="00D031D8">
        <w:rPr>
          <w:lang w:val="pt-BR"/>
        </w:rPr>
        <w:t xml:space="preserve"> e</w:t>
      </w:r>
      <w:r w:rsidR="002355D2">
        <w:rPr>
          <w:lang w:val="pt-BR"/>
        </w:rPr>
        <w:t>spectr</w:t>
      </w:r>
      <w:r w:rsidR="000A1363">
        <w:rPr>
          <w:lang w:val="pt-BR"/>
        </w:rPr>
        <w:t>oscopia</w:t>
      </w:r>
      <w:r w:rsidR="002355D2">
        <w:rPr>
          <w:lang w:val="pt-BR"/>
        </w:rPr>
        <w:t xml:space="preserve"> </w:t>
      </w:r>
      <w:r w:rsidR="000A1363">
        <w:rPr>
          <w:lang w:val="pt-BR"/>
        </w:rPr>
        <w:t xml:space="preserve">na região </w:t>
      </w:r>
      <w:r w:rsidR="002355D2">
        <w:rPr>
          <w:lang w:val="pt-BR"/>
        </w:rPr>
        <w:t>de infravermelho</w:t>
      </w:r>
      <w:r>
        <w:rPr>
          <w:lang w:val="pt-BR"/>
        </w:rPr>
        <w:t xml:space="preserve"> utilizando piridina como molécula sonda em um</w:t>
      </w:r>
      <w:r w:rsidR="00D031D8">
        <w:rPr>
          <w:lang w:val="pt-BR"/>
        </w:rPr>
        <w:t xml:space="preserve"> </w:t>
      </w:r>
      <w:proofErr w:type="spellStart"/>
      <w:r w:rsidR="00D031D8">
        <w:rPr>
          <w:lang w:val="pt-BR"/>
        </w:rPr>
        <w:t>Bruker</w:t>
      </w:r>
      <w:proofErr w:type="spellEnd"/>
      <w:r w:rsidR="00D031D8">
        <w:rPr>
          <w:lang w:val="pt-BR"/>
        </w:rPr>
        <w:t xml:space="preserve"> (</w:t>
      </w:r>
      <w:proofErr w:type="spellStart"/>
      <w:r w:rsidR="00D031D8">
        <w:rPr>
          <w:lang w:val="pt-BR"/>
        </w:rPr>
        <w:t>Vertex</w:t>
      </w:r>
      <w:proofErr w:type="spellEnd"/>
      <w:r w:rsidR="00D031D8">
        <w:rPr>
          <w:lang w:val="pt-BR"/>
        </w:rPr>
        <w:t xml:space="preserve"> 70)</w:t>
      </w:r>
      <w:r w:rsidR="009C38DA">
        <w:rPr>
          <w:lang w:val="pt-BR"/>
        </w:rPr>
        <w:t>, com resolução de 4 cm</w:t>
      </w:r>
      <w:r w:rsidR="009C38DA" w:rsidRPr="009C38DA">
        <w:rPr>
          <w:vertAlign w:val="superscript"/>
          <w:lang w:val="pt-BR"/>
        </w:rPr>
        <w:t>-1</w:t>
      </w:r>
      <w:r w:rsidR="009C38DA">
        <w:rPr>
          <w:lang w:val="pt-BR"/>
        </w:rPr>
        <w:t xml:space="preserve"> e 64 </w:t>
      </w:r>
      <w:proofErr w:type="spellStart"/>
      <w:r w:rsidR="009C38DA">
        <w:rPr>
          <w:lang w:val="pt-BR"/>
        </w:rPr>
        <w:t>scans</w:t>
      </w:r>
      <w:proofErr w:type="spellEnd"/>
      <w:r w:rsidR="002355D2">
        <w:rPr>
          <w:lang w:val="pt-BR"/>
        </w:rPr>
        <w:t xml:space="preserve">. Antes de cada análise foi realizado um </w:t>
      </w:r>
      <w:r w:rsidR="002355D2" w:rsidRPr="00187DB0">
        <w:rPr>
          <w:i/>
          <w:iCs/>
          <w:lang w:val="pt-BR"/>
        </w:rPr>
        <w:t>background</w:t>
      </w:r>
      <w:r w:rsidR="002355D2">
        <w:rPr>
          <w:lang w:val="pt-BR"/>
        </w:rPr>
        <w:t xml:space="preserve"> na temperatura de aquisição dos espectros (150 ºC)</w:t>
      </w:r>
      <w:r w:rsidR="002D54BC">
        <w:rPr>
          <w:lang w:val="pt-BR"/>
        </w:rPr>
        <w:t xml:space="preserve"> com fluxo de argônio (100 </w:t>
      </w:r>
      <w:proofErr w:type="spellStart"/>
      <w:r w:rsidR="002D54BC">
        <w:rPr>
          <w:lang w:val="pt-BR"/>
        </w:rPr>
        <w:t>mL</w:t>
      </w:r>
      <w:proofErr w:type="spellEnd"/>
      <w:r w:rsidR="002D54BC">
        <w:rPr>
          <w:lang w:val="pt-BR"/>
        </w:rPr>
        <w:t xml:space="preserve"> min</w:t>
      </w:r>
      <w:r w:rsidR="002D54BC" w:rsidRPr="002D54BC">
        <w:rPr>
          <w:vertAlign w:val="superscript"/>
          <w:lang w:val="pt-BR"/>
        </w:rPr>
        <w:t>-1</w:t>
      </w:r>
      <w:r w:rsidR="002D54BC">
        <w:rPr>
          <w:lang w:val="pt-BR"/>
        </w:rPr>
        <w:t>)</w:t>
      </w:r>
      <w:r w:rsidR="002355D2">
        <w:rPr>
          <w:lang w:val="pt-BR"/>
        </w:rPr>
        <w:t xml:space="preserve">. </w:t>
      </w:r>
      <w:r w:rsidR="009C38DA">
        <w:rPr>
          <w:lang w:val="pt-BR"/>
        </w:rPr>
        <w:t>As amostras,</w:t>
      </w:r>
      <w:r>
        <w:rPr>
          <w:lang w:val="pt-BR"/>
        </w:rPr>
        <w:t xml:space="preserve"> na forma de pastilhas de aproximadamente 10 mg</w:t>
      </w:r>
      <w:r w:rsidR="009C38DA">
        <w:rPr>
          <w:lang w:val="pt-BR"/>
        </w:rPr>
        <w:t>,</w:t>
      </w:r>
      <w:r>
        <w:rPr>
          <w:lang w:val="pt-BR"/>
        </w:rPr>
        <w:t xml:space="preserve"> foram </w:t>
      </w:r>
      <w:r w:rsidR="007D7DBA">
        <w:rPr>
          <w:lang w:val="pt-BR"/>
        </w:rPr>
        <w:t>submetida</w:t>
      </w:r>
      <w:r w:rsidR="009C38DA">
        <w:rPr>
          <w:lang w:val="pt-BR"/>
        </w:rPr>
        <w:t>s</w:t>
      </w:r>
      <w:r w:rsidR="007D7DBA">
        <w:rPr>
          <w:lang w:val="pt-BR"/>
        </w:rPr>
        <w:t xml:space="preserve"> a um tratamento térmico a 350 ºC</w:t>
      </w:r>
      <w:r w:rsidR="002355D2">
        <w:rPr>
          <w:lang w:val="pt-BR"/>
        </w:rPr>
        <w:t xml:space="preserve"> por 60 min</w:t>
      </w:r>
      <w:r w:rsidR="002D54BC">
        <w:rPr>
          <w:lang w:val="pt-BR"/>
        </w:rPr>
        <w:t xml:space="preserve"> sob fluxo de argônio</w:t>
      </w:r>
      <w:r w:rsidR="002355D2">
        <w:rPr>
          <w:lang w:val="pt-BR"/>
        </w:rPr>
        <w:t xml:space="preserve">. </w:t>
      </w:r>
      <w:r>
        <w:rPr>
          <w:lang w:val="pt-BR"/>
        </w:rPr>
        <w:t>Após o tratamento térmico, a temperatura do sistema foi reduzida</w:t>
      </w:r>
      <w:r w:rsidR="009C38DA">
        <w:rPr>
          <w:lang w:val="pt-BR"/>
        </w:rPr>
        <w:t xml:space="preserve"> para </w:t>
      </w:r>
      <w:r w:rsidR="002355D2">
        <w:rPr>
          <w:lang w:val="pt-BR"/>
        </w:rPr>
        <w:t>150 ºC e o espectro da amostra foi obtid</w:t>
      </w:r>
      <w:r w:rsidR="00F43E6D">
        <w:rPr>
          <w:lang w:val="pt-BR"/>
        </w:rPr>
        <w:t>o</w:t>
      </w:r>
      <w:r w:rsidR="002355D2">
        <w:rPr>
          <w:lang w:val="pt-BR"/>
        </w:rPr>
        <w:t xml:space="preserve"> nessa temperatura.</w:t>
      </w:r>
      <w:r w:rsidR="002D54BC">
        <w:rPr>
          <w:lang w:val="pt-BR"/>
        </w:rPr>
        <w:t xml:space="preserve"> Em seguida, vapor de piridina (Sigma-Aldrich,</w:t>
      </w:r>
      <w:r w:rsidR="002D54BC">
        <w:rPr>
          <w:rFonts w:cs="Times"/>
          <w:lang w:val="pt-BR"/>
        </w:rPr>
        <w:t xml:space="preserve"> </w:t>
      </w:r>
      <w:r w:rsidR="002D54BC">
        <w:rPr>
          <w:lang w:val="pt-BR"/>
        </w:rPr>
        <w:t xml:space="preserve">99,0%) foi injetado </w:t>
      </w:r>
      <w:r w:rsidR="009C38DA">
        <w:rPr>
          <w:lang w:val="pt-BR"/>
        </w:rPr>
        <w:t>ao sistema contendo a amostra</w:t>
      </w:r>
      <w:r w:rsidR="002D54BC">
        <w:rPr>
          <w:lang w:val="pt-BR"/>
        </w:rPr>
        <w:t xml:space="preserve"> até a saturação</w:t>
      </w:r>
      <w:r w:rsidR="009C38DA">
        <w:rPr>
          <w:lang w:val="pt-BR"/>
        </w:rPr>
        <w:t xml:space="preserve"> dos sítios ácidos</w:t>
      </w:r>
      <w:r w:rsidR="002D54BC">
        <w:rPr>
          <w:lang w:val="pt-BR"/>
        </w:rPr>
        <w:t>.</w:t>
      </w:r>
      <w:r w:rsidR="002177A9">
        <w:rPr>
          <w:lang w:val="pt-BR"/>
        </w:rPr>
        <w:t xml:space="preserve"> Após atingir a saturação, </w:t>
      </w:r>
      <w:r w:rsidR="005D7C13">
        <w:rPr>
          <w:lang w:val="pt-BR"/>
        </w:rPr>
        <w:t>o excesso de molécula sonda e a porção fisicamente adsorvida</w:t>
      </w:r>
      <w:r w:rsidR="00F43E6D">
        <w:rPr>
          <w:lang w:val="pt-BR"/>
        </w:rPr>
        <w:t xml:space="preserve"> </w:t>
      </w:r>
      <w:r w:rsidR="002177A9">
        <w:rPr>
          <w:lang w:val="pt-BR"/>
        </w:rPr>
        <w:t>fo</w:t>
      </w:r>
      <w:r w:rsidR="00F43E6D">
        <w:rPr>
          <w:lang w:val="pt-BR"/>
        </w:rPr>
        <w:t>ram</w:t>
      </w:r>
      <w:r w:rsidR="002177A9">
        <w:rPr>
          <w:lang w:val="pt-BR"/>
        </w:rPr>
        <w:t xml:space="preserve"> </w:t>
      </w:r>
      <w:r w:rsidR="009C38DA">
        <w:rPr>
          <w:lang w:val="pt-BR"/>
        </w:rPr>
        <w:t>purgados com</w:t>
      </w:r>
      <w:r w:rsidR="002177A9">
        <w:rPr>
          <w:lang w:val="pt-BR"/>
        </w:rPr>
        <w:t xml:space="preserve"> argônio (100 </w:t>
      </w:r>
      <w:proofErr w:type="spellStart"/>
      <w:r w:rsidR="002177A9">
        <w:rPr>
          <w:lang w:val="pt-BR"/>
        </w:rPr>
        <w:t>mL</w:t>
      </w:r>
      <w:proofErr w:type="spellEnd"/>
      <w:r w:rsidR="002177A9">
        <w:rPr>
          <w:lang w:val="pt-BR"/>
        </w:rPr>
        <w:t xml:space="preserve"> min</w:t>
      </w:r>
      <w:r w:rsidR="002177A9" w:rsidRPr="002177A9">
        <w:rPr>
          <w:vertAlign w:val="superscript"/>
          <w:lang w:val="pt-BR"/>
        </w:rPr>
        <w:t>-1</w:t>
      </w:r>
      <w:r w:rsidR="002177A9">
        <w:rPr>
          <w:lang w:val="pt-BR"/>
        </w:rPr>
        <w:t xml:space="preserve">). </w:t>
      </w:r>
      <w:r w:rsidR="009C38DA">
        <w:rPr>
          <w:lang w:val="pt-BR"/>
        </w:rPr>
        <w:t>Espectros foram adq</w:t>
      </w:r>
      <w:r w:rsidR="005D7C13">
        <w:rPr>
          <w:lang w:val="pt-BR"/>
        </w:rPr>
        <w:t>uiridos</w:t>
      </w:r>
      <w:r w:rsidR="009C38DA">
        <w:rPr>
          <w:lang w:val="pt-BR"/>
        </w:rPr>
        <w:t xml:space="preserve"> de modo acompanhar a dessorção da piridina, o que foi observado </w:t>
      </w:r>
      <w:r w:rsidR="005D7C13">
        <w:rPr>
          <w:lang w:val="pt-BR"/>
        </w:rPr>
        <w:t xml:space="preserve">até que não houvesse mais variação da intensidade das bandas. A concentração dos sítios ácidos de </w:t>
      </w:r>
      <w:r w:rsidR="00140051">
        <w:rPr>
          <w:lang w:val="pt-BR"/>
        </w:rPr>
        <w:t>Br</w:t>
      </w:r>
      <w:r w:rsidR="00140051">
        <w:rPr>
          <w:rFonts w:cs="Times"/>
          <w:lang w:val="pt-BR"/>
        </w:rPr>
        <w:t>ø</w:t>
      </w:r>
      <w:r w:rsidR="00140051">
        <w:rPr>
          <w:lang w:val="pt-BR"/>
        </w:rPr>
        <w:t>nsted</w:t>
      </w:r>
      <w:r w:rsidR="005D7C13">
        <w:rPr>
          <w:lang w:val="pt-BR"/>
        </w:rPr>
        <w:t xml:space="preserve"> e Lewis foram determinadas empregando as áreas das bandas de absorção em torno de 1545 e 1450 cm</w:t>
      </w:r>
      <w:r w:rsidR="005D7C13" w:rsidRPr="005D7C13">
        <w:rPr>
          <w:vertAlign w:val="superscript"/>
          <w:lang w:val="pt-BR"/>
        </w:rPr>
        <w:t>-1</w:t>
      </w:r>
      <w:r w:rsidR="005D7C13">
        <w:rPr>
          <w:lang w:val="pt-BR"/>
        </w:rPr>
        <w:t xml:space="preserve">, respectivamente. </w:t>
      </w:r>
      <w:r w:rsidR="00886DD7">
        <w:rPr>
          <w:lang w:val="pt-BR"/>
        </w:rPr>
        <w:t xml:space="preserve">As absortividades utilizadas </w:t>
      </w:r>
      <w:r w:rsidR="00F43E6D">
        <w:rPr>
          <w:lang w:val="pt-BR"/>
        </w:rPr>
        <w:t>para o cálculo da concentração dos sítios ácidos de Lewis e Br</w:t>
      </w:r>
      <w:r w:rsidR="00F43E6D">
        <w:rPr>
          <w:rFonts w:cs="Times"/>
          <w:lang w:val="pt-BR"/>
        </w:rPr>
        <w:t>ø</w:t>
      </w:r>
      <w:r w:rsidR="00F43E6D">
        <w:rPr>
          <w:lang w:val="pt-BR"/>
        </w:rPr>
        <w:t xml:space="preserve">nsted </w:t>
      </w:r>
      <w:r w:rsidR="00886DD7">
        <w:rPr>
          <w:lang w:val="pt-BR"/>
        </w:rPr>
        <w:t xml:space="preserve">foram 1,23 cm </w:t>
      </w:r>
      <w:r w:rsidR="00886DD7">
        <w:rPr>
          <w:rFonts w:cs="Times"/>
          <w:lang w:val="pt-BR"/>
        </w:rPr>
        <w:t>µ</w:t>
      </w:r>
      <w:r w:rsidR="00886DD7">
        <w:rPr>
          <w:lang w:val="pt-BR"/>
        </w:rPr>
        <w:t>mol</w:t>
      </w:r>
      <w:r w:rsidR="00886DD7" w:rsidRPr="00886DD7">
        <w:rPr>
          <w:vertAlign w:val="superscript"/>
          <w:lang w:val="pt-BR"/>
        </w:rPr>
        <w:t>-1</w:t>
      </w:r>
      <w:r w:rsidR="00886DD7">
        <w:rPr>
          <w:lang w:val="pt-BR"/>
        </w:rPr>
        <w:t xml:space="preserve"> e </w:t>
      </w:r>
      <w:r w:rsidR="00886DD7">
        <w:rPr>
          <w:lang w:val="pt-BR"/>
        </w:rPr>
        <w:t xml:space="preserve">1,73 cm </w:t>
      </w:r>
      <w:r w:rsidR="00886DD7">
        <w:rPr>
          <w:rFonts w:cs="Times"/>
          <w:lang w:val="pt-BR"/>
        </w:rPr>
        <w:t>µ</w:t>
      </w:r>
      <w:r w:rsidR="00886DD7">
        <w:rPr>
          <w:lang w:val="pt-BR"/>
        </w:rPr>
        <w:t>mol</w:t>
      </w:r>
      <w:r w:rsidR="00886DD7" w:rsidRPr="00886DD7">
        <w:rPr>
          <w:vertAlign w:val="superscript"/>
          <w:lang w:val="pt-BR"/>
        </w:rPr>
        <w:t>-1</w:t>
      </w:r>
      <w:r w:rsidR="00886DD7">
        <w:rPr>
          <w:lang w:val="pt-BR"/>
        </w:rPr>
        <w:t xml:space="preserve"> para a ligação da piridina nos sítios ácidos de Br</w:t>
      </w:r>
      <w:r w:rsidR="00886DD7">
        <w:rPr>
          <w:rFonts w:cs="Times"/>
          <w:lang w:val="pt-BR"/>
        </w:rPr>
        <w:t>ø</w:t>
      </w:r>
      <w:r w:rsidR="00886DD7">
        <w:rPr>
          <w:lang w:val="pt-BR"/>
        </w:rPr>
        <w:t>nsted e Lewis, respectivamente</w:t>
      </w:r>
      <w:r w:rsidR="00FF0AAF">
        <w:rPr>
          <w:lang w:val="pt-BR"/>
        </w:rPr>
        <w:t xml:space="preserve"> </w:t>
      </w:r>
      <w:r w:rsidR="00883379">
        <w:rPr>
          <w:lang w:val="pt-BR"/>
        </w:rPr>
        <w:t>[15]</w:t>
      </w:r>
      <w:r w:rsidR="00886DD7">
        <w:rPr>
          <w:lang w:val="pt-BR"/>
        </w:rPr>
        <w:t>.</w:t>
      </w:r>
    </w:p>
    <w:p w14:paraId="29861C75" w14:textId="088A6927" w:rsidR="004C068B" w:rsidRDefault="00B102F5" w:rsidP="004C068B">
      <w:pPr>
        <w:pStyle w:val="TAMainText"/>
        <w:spacing w:before="160" w:after="160"/>
        <w:ind w:firstLine="0"/>
        <w:rPr>
          <w:rFonts w:ascii="Times New Roman" w:hAnsi="Times New Roman"/>
          <w:i/>
          <w:lang w:val="pt-BR"/>
        </w:rPr>
      </w:pPr>
      <w:r>
        <w:rPr>
          <w:rFonts w:ascii="Times New Roman" w:hAnsi="Times New Roman"/>
          <w:i/>
          <w:lang w:val="pt-BR"/>
        </w:rPr>
        <w:t>Testes catalíticos</w:t>
      </w:r>
    </w:p>
    <w:p w14:paraId="69396240" w14:textId="5B51E1AF" w:rsidR="00B102F5" w:rsidRDefault="00AF4DD1" w:rsidP="005E77C0">
      <w:pPr>
        <w:pStyle w:val="TAMainText"/>
        <w:spacing w:before="160"/>
        <w:ind w:firstLine="187"/>
        <w:rPr>
          <w:lang w:val="pt-BR"/>
        </w:rPr>
      </w:pPr>
      <w:r w:rsidRPr="00AF4DD1">
        <w:rPr>
          <w:lang w:val="pt-BR"/>
        </w:rPr>
        <w:t>O</w:t>
      </w:r>
      <w:r>
        <w:rPr>
          <w:lang w:val="pt-BR"/>
        </w:rPr>
        <w:t>s testes catalíticos foram realizados empregando</w:t>
      </w:r>
      <w:r w:rsidRPr="00AF4DD1">
        <w:rPr>
          <w:lang w:val="pt-BR"/>
        </w:rPr>
        <w:t xml:space="preserve"> ácido oleico</w:t>
      </w:r>
      <w:r>
        <w:rPr>
          <w:lang w:val="pt-BR"/>
        </w:rPr>
        <w:t xml:space="preserve"> (VETEC)</w:t>
      </w:r>
      <w:r w:rsidRPr="00AF4DD1">
        <w:rPr>
          <w:lang w:val="pt-BR"/>
        </w:rPr>
        <w:t xml:space="preserve"> 5% (m/m) </w:t>
      </w:r>
      <w:r>
        <w:rPr>
          <w:lang w:val="pt-BR"/>
        </w:rPr>
        <w:t xml:space="preserve">diluído </w:t>
      </w:r>
      <w:r w:rsidRPr="00AF4DD1">
        <w:rPr>
          <w:lang w:val="pt-BR"/>
        </w:rPr>
        <w:t xml:space="preserve">em </w:t>
      </w:r>
      <w:proofErr w:type="spellStart"/>
      <w:r w:rsidRPr="00AF4DD1">
        <w:rPr>
          <w:lang w:val="pt-BR"/>
        </w:rPr>
        <w:t>cicloexano</w:t>
      </w:r>
      <w:proofErr w:type="spellEnd"/>
      <w:r>
        <w:rPr>
          <w:lang w:val="pt-BR"/>
        </w:rPr>
        <w:t xml:space="preserve"> (Sigma-Aldrich</w:t>
      </w:r>
      <w:r w:rsidR="00F13492">
        <w:rPr>
          <w:lang w:val="pt-BR"/>
        </w:rPr>
        <w:t>, 99,5%</w:t>
      </w:r>
      <w:r>
        <w:rPr>
          <w:lang w:val="pt-BR"/>
        </w:rPr>
        <w:t xml:space="preserve">) </w:t>
      </w:r>
      <w:r w:rsidRPr="00AF4DD1">
        <w:rPr>
          <w:lang w:val="pt-BR"/>
        </w:rPr>
        <w:t xml:space="preserve">em reator de </w:t>
      </w:r>
      <w:r w:rsidR="00467B8D">
        <w:rPr>
          <w:lang w:val="pt-BR"/>
        </w:rPr>
        <w:t xml:space="preserve">leito fixo operado com </w:t>
      </w:r>
      <w:r w:rsidRPr="00AF4DD1">
        <w:rPr>
          <w:lang w:val="pt-BR"/>
        </w:rPr>
        <w:t>fluxo contínuo (</w:t>
      </w:r>
      <w:proofErr w:type="spellStart"/>
      <w:r w:rsidRPr="00AF4DD1">
        <w:rPr>
          <w:lang w:val="pt-BR"/>
        </w:rPr>
        <w:t>PID-ENG&amp;Tech</w:t>
      </w:r>
      <w:proofErr w:type="spellEnd"/>
      <w:r w:rsidRPr="00AF4DD1">
        <w:rPr>
          <w:lang w:val="pt-BR"/>
        </w:rPr>
        <w:t xml:space="preserve"> </w:t>
      </w:r>
      <w:proofErr w:type="spellStart"/>
      <w:r w:rsidRPr="00AF4DD1">
        <w:rPr>
          <w:lang w:val="pt-BR"/>
        </w:rPr>
        <w:t>Mic</w:t>
      </w:r>
      <w:r w:rsidR="00467B8D">
        <w:rPr>
          <w:lang w:val="pt-BR"/>
        </w:rPr>
        <w:t>r</w:t>
      </w:r>
      <w:r w:rsidRPr="00AF4DD1">
        <w:rPr>
          <w:lang w:val="pt-BR"/>
        </w:rPr>
        <w:t>oactivity</w:t>
      </w:r>
      <w:proofErr w:type="spellEnd"/>
      <w:r w:rsidRPr="00AF4DD1">
        <w:rPr>
          <w:lang w:val="pt-BR"/>
        </w:rPr>
        <w:t xml:space="preserve"> </w:t>
      </w:r>
      <w:proofErr w:type="spellStart"/>
      <w:r w:rsidRPr="00AF4DD1">
        <w:rPr>
          <w:lang w:val="pt-BR"/>
        </w:rPr>
        <w:t>Reactor</w:t>
      </w:r>
      <w:proofErr w:type="spellEnd"/>
      <w:r w:rsidR="00467B8D">
        <w:rPr>
          <w:lang w:val="pt-BR"/>
        </w:rPr>
        <w:t xml:space="preserve"> </w:t>
      </w:r>
      <w:r w:rsidRPr="00AF4DD1">
        <w:rPr>
          <w:lang w:val="pt-BR"/>
        </w:rPr>
        <w:t xml:space="preserve">modelo 11198). </w:t>
      </w:r>
      <w:r>
        <w:rPr>
          <w:lang w:val="pt-BR"/>
        </w:rPr>
        <w:t>Para os testes</w:t>
      </w:r>
      <w:r w:rsidRPr="00AF4DD1">
        <w:rPr>
          <w:lang w:val="pt-BR"/>
        </w:rPr>
        <w:t xml:space="preserve"> </w:t>
      </w:r>
      <w:r w:rsidR="006D1736" w:rsidRPr="00AF4DD1">
        <w:rPr>
          <w:lang w:val="pt-BR"/>
        </w:rPr>
        <w:t>empreg</w:t>
      </w:r>
      <w:r w:rsidR="006D1736">
        <w:rPr>
          <w:lang w:val="pt-BR"/>
        </w:rPr>
        <w:t>aram</w:t>
      </w:r>
      <w:r>
        <w:rPr>
          <w:lang w:val="pt-BR"/>
        </w:rPr>
        <w:t>-se</w:t>
      </w:r>
      <w:r w:rsidRPr="00AF4DD1">
        <w:rPr>
          <w:lang w:val="pt-BR"/>
        </w:rPr>
        <w:t xml:space="preserve"> 200 mg de catalisador diluído</w:t>
      </w:r>
      <w:r w:rsidR="00467B8D">
        <w:rPr>
          <w:lang w:val="pt-BR"/>
        </w:rPr>
        <w:t>s</w:t>
      </w:r>
      <w:r w:rsidRPr="00AF4DD1">
        <w:rPr>
          <w:lang w:val="pt-BR"/>
        </w:rPr>
        <w:t xml:space="preserve"> em 200 mg de carbeto de silício </w:t>
      </w:r>
      <w:r w:rsidR="00E75C8A">
        <w:rPr>
          <w:lang w:val="pt-BR"/>
        </w:rPr>
        <w:t>(</w:t>
      </w:r>
      <w:proofErr w:type="spellStart"/>
      <w:r w:rsidR="00E75C8A">
        <w:rPr>
          <w:lang w:val="pt-BR"/>
        </w:rPr>
        <w:t>SiC</w:t>
      </w:r>
      <w:proofErr w:type="spellEnd"/>
      <w:r w:rsidR="00E75C8A">
        <w:rPr>
          <w:lang w:val="pt-BR"/>
        </w:rPr>
        <w:t xml:space="preserve">), </w:t>
      </w:r>
      <w:r w:rsidRPr="00AF4DD1">
        <w:rPr>
          <w:lang w:val="pt-BR"/>
        </w:rPr>
        <w:t xml:space="preserve">60 </w:t>
      </w:r>
      <w:proofErr w:type="spellStart"/>
      <w:r w:rsidRPr="00AF4DD1">
        <w:rPr>
          <w:lang w:val="pt-BR"/>
        </w:rPr>
        <w:t>Mesh</w:t>
      </w:r>
      <w:proofErr w:type="spellEnd"/>
      <w:r w:rsidRPr="00AF4DD1">
        <w:rPr>
          <w:lang w:val="pt-BR"/>
        </w:rPr>
        <w:t xml:space="preserve">. </w:t>
      </w:r>
      <w:r w:rsidR="003148F9">
        <w:rPr>
          <w:lang w:val="pt-BR"/>
        </w:rPr>
        <w:t xml:space="preserve">Antes de cada teste, </w:t>
      </w:r>
      <w:r w:rsidR="00E75C8A">
        <w:rPr>
          <w:lang w:val="pt-BR"/>
        </w:rPr>
        <w:t>o</w:t>
      </w:r>
      <w:r w:rsidR="003148F9">
        <w:rPr>
          <w:lang w:val="pt-BR"/>
        </w:rPr>
        <w:t xml:space="preserve"> reator foi pré-aquecido por 1 h a 350 ºC sob fluxo de N</w:t>
      </w:r>
      <w:r w:rsidR="003148F9" w:rsidRPr="003148F9">
        <w:rPr>
          <w:vertAlign w:val="subscript"/>
          <w:lang w:val="pt-BR"/>
        </w:rPr>
        <w:t>2</w:t>
      </w:r>
      <w:r w:rsidR="003148F9">
        <w:rPr>
          <w:lang w:val="pt-BR"/>
        </w:rPr>
        <w:t xml:space="preserve"> (30 </w:t>
      </w:r>
      <w:proofErr w:type="spellStart"/>
      <w:r w:rsidR="003148F9">
        <w:rPr>
          <w:lang w:val="pt-BR"/>
        </w:rPr>
        <w:t>mL</w:t>
      </w:r>
      <w:proofErr w:type="spellEnd"/>
      <w:r w:rsidR="003148F9">
        <w:rPr>
          <w:lang w:val="pt-BR"/>
        </w:rPr>
        <w:t xml:space="preserve"> min</w:t>
      </w:r>
      <w:r w:rsidR="003148F9" w:rsidRPr="003148F9">
        <w:rPr>
          <w:vertAlign w:val="superscript"/>
          <w:lang w:val="pt-BR"/>
        </w:rPr>
        <w:t>-1</w:t>
      </w:r>
      <w:r w:rsidR="003148F9">
        <w:rPr>
          <w:lang w:val="pt-BR"/>
        </w:rPr>
        <w:t xml:space="preserve">) com intuito de remover umidade e preparar o reator para a ativação do catalisador. Após esse período, </w:t>
      </w:r>
      <w:r w:rsidR="00467B8D">
        <w:rPr>
          <w:lang w:val="pt-BR"/>
        </w:rPr>
        <w:t>a alimentação</w:t>
      </w:r>
      <w:r w:rsidR="003148F9">
        <w:rPr>
          <w:lang w:val="pt-BR"/>
        </w:rPr>
        <w:t xml:space="preserve"> de N</w:t>
      </w:r>
      <w:r w:rsidR="003148F9" w:rsidRPr="00E75C8A">
        <w:rPr>
          <w:vertAlign w:val="subscript"/>
          <w:lang w:val="pt-BR"/>
        </w:rPr>
        <w:t>2</w:t>
      </w:r>
      <w:r w:rsidR="003148F9">
        <w:rPr>
          <w:lang w:val="pt-BR"/>
        </w:rPr>
        <w:t xml:space="preserve"> foi trocad</w:t>
      </w:r>
      <w:r w:rsidR="00467B8D">
        <w:rPr>
          <w:lang w:val="pt-BR"/>
        </w:rPr>
        <w:t>a</w:t>
      </w:r>
      <w:r w:rsidR="003148F9">
        <w:rPr>
          <w:lang w:val="pt-BR"/>
        </w:rPr>
        <w:t xml:space="preserve"> por </w:t>
      </w:r>
      <w:r w:rsidRPr="00AF4DD1">
        <w:rPr>
          <w:lang w:val="pt-BR"/>
        </w:rPr>
        <w:t>H</w:t>
      </w:r>
      <w:r w:rsidRPr="00AF4DD1">
        <w:rPr>
          <w:vertAlign w:val="subscript"/>
          <w:lang w:val="pt-BR"/>
        </w:rPr>
        <w:t>2</w:t>
      </w:r>
      <w:r w:rsidRPr="00AF4DD1">
        <w:rPr>
          <w:lang w:val="pt-BR"/>
        </w:rPr>
        <w:t xml:space="preserve"> </w:t>
      </w:r>
      <w:r>
        <w:rPr>
          <w:lang w:val="pt-BR"/>
        </w:rPr>
        <w:t xml:space="preserve">(30 </w:t>
      </w:r>
      <w:proofErr w:type="spellStart"/>
      <w:r>
        <w:rPr>
          <w:lang w:val="pt-BR"/>
        </w:rPr>
        <w:t>mL</w:t>
      </w:r>
      <w:proofErr w:type="spellEnd"/>
      <w:r>
        <w:rPr>
          <w:lang w:val="pt-BR"/>
        </w:rPr>
        <w:t xml:space="preserve"> min</w:t>
      </w:r>
      <w:r w:rsidRPr="00AF4DD1">
        <w:rPr>
          <w:vertAlign w:val="superscript"/>
          <w:lang w:val="pt-BR"/>
        </w:rPr>
        <w:t>-1</w:t>
      </w:r>
      <w:r>
        <w:rPr>
          <w:lang w:val="pt-BR"/>
        </w:rPr>
        <w:t xml:space="preserve">) </w:t>
      </w:r>
      <w:r w:rsidR="003148F9">
        <w:rPr>
          <w:lang w:val="pt-BR"/>
        </w:rPr>
        <w:t xml:space="preserve">e os catalisadores foram </w:t>
      </w:r>
      <w:r w:rsidR="006D1736">
        <w:rPr>
          <w:lang w:val="pt-BR"/>
        </w:rPr>
        <w:t xml:space="preserve">reduzidos </w:t>
      </w:r>
      <w:r w:rsidR="00F13492">
        <w:rPr>
          <w:lang w:val="pt-BR"/>
        </w:rPr>
        <w:t>a 350 ºC por 2 h</w:t>
      </w:r>
      <w:r w:rsidRPr="00AF4DD1">
        <w:rPr>
          <w:lang w:val="pt-BR"/>
        </w:rPr>
        <w:t xml:space="preserve">. </w:t>
      </w:r>
      <w:r w:rsidR="00F13492">
        <w:rPr>
          <w:lang w:val="pt-BR"/>
        </w:rPr>
        <w:t xml:space="preserve">Em seguida, a temperatura do reator foi reduzida para 290 ºC. </w:t>
      </w:r>
      <w:r w:rsidR="00140051">
        <w:rPr>
          <w:lang w:val="pt-BR"/>
        </w:rPr>
        <w:t>A</w:t>
      </w:r>
      <w:r w:rsidR="00F13492">
        <w:rPr>
          <w:lang w:val="pt-BR"/>
        </w:rPr>
        <w:t xml:space="preserve"> mistura reacional (solução de ácido oleico 5% (m/m) em </w:t>
      </w:r>
      <w:proofErr w:type="spellStart"/>
      <w:r w:rsidR="00F13492">
        <w:rPr>
          <w:lang w:val="pt-BR"/>
        </w:rPr>
        <w:t>ciclohexano</w:t>
      </w:r>
      <w:proofErr w:type="spellEnd"/>
      <w:r w:rsidR="00F13492">
        <w:rPr>
          <w:lang w:val="pt-BR"/>
        </w:rPr>
        <w:t xml:space="preserve">) foi alimentada ao reator empregando uma bomba de alta pressão (Gilson, modelo 307) com vazão de 0,1 </w:t>
      </w:r>
      <w:proofErr w:type="spellStart"/>
      <w:r w:rsidR="00F13492">
        <w:rPr>
          <w:lang w:val="pt-BR"/>
        </w:rPr>
        <w:t>mL</w:t>
      </w:r>
      <w:proofErr w:type="spellEnd"/>
      <w:r w:rsidR="00F13492">
        <w:rPr>
          <w:lang w:val="pt-BR"/>
        </w:rPr>
        <w:t xml:space="preserve"> min</w:t>
      </w:r>
      <w:r w:rsidR="00F13492" w:rsidRPr="00F13492">
        <w:rPr>
          <w:vertAlign w:val="superscript"/>
          <w:lang w:val="pt-BR"/>
        </w:rPr>
        <w:t>-1</w:t>
      </w:r>
      <w:r w:rsidR="00F13492">
        <w:rPr>
          <w:lang w:val="pt-BR"/>
        </w:rPr>
        <w:t xml:space="preserve">. Simultaneamente, o sistema reacional foi pressurizado </w:t>
      </w:r>
      <w:r w:rsidR="00884181">
        <w:rPr>
          <w:lang w:val="pt-BR"/>
        </w:rPr>
        <w:t>até</w:t>
      </w:r>
      <w:r w:rsidRPr="00AF4DD1">
        <w:rPr>
          <w:lang w:val="pt-BR"/>
        </w:rPr>
        <w:t xml:space="preserve"> </w:t>
      </w:r>
      <w:r>
        <w:rPr>
          <w:lang w:val="pt-BR"/>
        </w:rPr>
        <w:t>5</w:t>
      </w:r>
      <w:r w:rsidRPr="00AF4DD1">
        <w:rPr>
          <w:lang w:val="pt-BR"/>
        </w:rPr>
        <w:t xml:space="preserve"> MPa. </w:t>
      </w:r>
      <w:r w:rsidR="00884181">
        <w:rPr>
          <w:lang w:val="pt-BR"/>
        </w:rPr>
        <w:t xml:space="preserve">O efluente do reator foi direcionado a um separador gás/líquido e os compostos líquidos foram condensados em um sistema resfriado. </w:t>
      </w:r>
      <w:r>
        <w:rPr>
          <w:lang w:val="pt-BR"/>
        </w:rPr>
        <w:t xml:space="preserve">As amostras </w:t>
      </w:r>
      <w:r w:rsidR="009C7720">
        <w:rPr>
          <w:lang w:val="pt-BR"/>
        </w:rPr>
        <w:t xml:space="preserve">líquidas </w:t>
      </w:r>
      <w:r>
        <w:rPr>
          <w:lang w:val="pt-BR"/>
        </w:rPr>
        <w:t xml:space="preserve">foram coletadas </w:t>
      </w:r>
      <w:r w:rsidR="00467B8D">
        <w:rPr>
          <w:lang w:val="pt-BR"/>
        </w:rPr>
        <w:t xml:space="preserve">em intervalo de 20 min </w:t>
      </w:r>
      <w:r w:rsidR="009C7720">
        <w:rPr>
          <w:lang w:val="pt-BR"/>
        </w:rPr>
        <w:t xml:space="preserve">em </w:t>
      </w:r>
      <w:proofErr w:type="spellStart"/>
      <w:r w:rsidR="009C7720">
        <w:rPr>
          <w:lang w:val="pt-BR"/>
        </w:rPr>
        <w:t>vials</w:t>
      </w:r>
      <w:proofErr w:type="spellEnd"/>
      <w:r w:rsidR="009C7720">
        <w:rPr>
          <w:lang w:val="pt-BR"/>
        </w:rPr>
        <w:t xml:space="preserve"> de 2 </w:t>
      </w:r>
      <w:proofErr w:type="spellStart"/>
      <w:r w:rsidR="009C7720">
        <w:rPr>
          <w:lang w:val="pt-BR"/>
        </w:rPr>
        <w:t>mL</w:t>
      </w:r>
      <w:proofErr w:type="spellEnd"/>
      <w:r w:rsidR="009C7720">
        <w:rPr>
          <w:lang w:val="pt-BR"/>
        </w:rPr>
        <w:t xml:space="preserve"> </w:t>
      </w:r>
      <w:r>
        <w:rPr>
          <w:lang w:val="pt-BR"/>
        </w:rPr>
        <w:t xml:space="preserve">empregando </w:t>
      </w:r>
      <w:r w:rsidR="00467B8D">
        <w:rPr>
          <w:lang w:val="pt-BR"/>
        </w:rPr>
        <w:t xml:space="preserve">um </w:t>
      </w:r>
      <w:r w:rsidR="006D1736">
        <w:rPr>
          <w:lang w:val="pt-BR"/>
        </w:rPr>
        <w:t xml:space="preserve">amostrador </w:t>
      </w:r>
      <w:r>
        <w:rPr>
          <w:lang w:val="pt-BR"/>
        </w:rPr>
        <w:t>automático</w:t>
      </w:r>
      <w:r w:rsidR="00D6240A">
        <w:rPr>
          <w:lang w:val="pt-BR"/>
        </w:rPr>
        <w:t>. A reação foi conduzida por 10 h e os resultados coletados a partir de 6 h, pois se alcançou o estado estacionário</w:t>
      </w:r>
      <w:r w:rsidR="009C7720">
        <w:rPr>
          <w:lang w:val="pt-BR"/>
        </w:rPr>
        <w:t xml:space="preserve">. </w:t>
      </w:r>
      <w:r w:rsidR="00884181">
        <w:rPr>
          <w:lang w:val="pt-BR"/>
        </w:rPr>
        <w:t xml:space="preserve">Portanto, os dados empregados para os cálculos de conversão e </w:t>
      </w:r>
      <w:r w:rsidR="00694AC4">
        <w:rPr>
          <w:lang w:val="pt-BR"/>
        </w:rPr>
        <w:t xml:space="preserve">distribuição dos produtos líquidos </w:t>
      </w:r>
      <w:r w:rsidR="00E75C8A">
        <w:rPr>
          <w:lang w:val="pt-BR"/>
        </w:rPr>
        <w:t xml:space="preserve">são </w:t>
      </w:r>
      <w:r w:rsidR="00884181">
        <w:rPr>
          <w:lang w:val="pt-BR"/>
        </w:rPr>
        <w:t>corresponde</w:t>
      </w:r>
      <w:r w:rsidR="006D1736">
        <w:rPr>
          <w:lang w:val="pt-BR"/>
        </w:rPr>
        <w:t>ntes</w:t>
      </w:r>
      <w:r w:rsidR="00884181">
        <w:rPr>
          <w:lang w:val="pt-BR"/>
        </w:rPr>
        <w:t xml:space="preserve"> às últimas 4 horas do teste.</w:t>
      </w:r>
    </w:p>
    <w:p w14:paraId="6926926E" w14:textId="25CDA9AC" w:rsidR="00884181" w:rsidRDefault="00884181" w:rsidP="00C56443">
      <w:pPr>
        <w:pStyle w:val="TAMainText"/>
        <w:rPr>
          <w:lang w:val="pt-BR"/>
        </w:rPr>
      </w:pPr>
      <w:r>
        <w:rPr>
          <w:lang w:val="pt-BR"/>
        </w:rPr>
        <w:t xml:space="preserve">As amostras líquidas foram analisadas em cromatógrafo </w:t>
      </w:r>
      <w:proofErr w:type="spellStart"/>
      <w:r>
        <w:rPr>
          <w:lang w:val="pt-BR"/>
        </w:rPr>
        <w:t>Shimadzu</w:t>
      </w:r>
      <w:proofErr w:type="spellEnd"/>
      <w:r>
        <w:rPr>
          <w:lang w:val="pt-BR"/>
        </w:rPr>
        <w:t xml:space="preserve"> (GC-2014) </w:t>
      </w:r>
      <w:r w:rsidR="00E75C8A">
        <w:rPr>
          <w:lang w:val="pt-BR"/>
        </w:rPr>
        <w:t xml:space="preserve">com </w:t>
      </w:r>
      <w:r>
        <w:rPr>
          <w:lang w:val="pt-BR"/>
        </w:rPr>
        <w:t>detector de ionização em chama.</w:t>
      </w:r>
      <w:r w:rsidR="003F5976">
        <w:rPr>
          <w:lang w:val="pt-BR"/>
        </w:rPr>
        <w:t xml:space="preserve"> </w:t>
      </w:r>
      <w:r w:rsidR="00140051">
        <w:rPr>
          <w:lang w:val="pt-BR"/>
        </w:rPr>
        <w:t>A</w:t>
      </w:r>
      <w:r w:rsidR="00467B8D">
        <w:rPr>
          <w:lang w:val="pt-BR"/>
        </w:rPr>
        <w:t>pós</w:t>
      </w:r>
      <w:r w:rsidR="003F5976" w:rsidRPr="003F5976">
        <w:rPr>
          <w:lang w:val="pt-BR"/>
        </w:rPr>
        <w:t xml:space="preserve"> </w:t>
      </w:r>
      <w:proofErr w:type="spellStart"/>
      <w:r w:rsidR="00467B8D" w:rsidRPr="003F5976">
        <w:rPr>
          <w:lang w:val="pt-BR"/>
        </w:rPr>
        <w:t>derivatiza</w:t>
      </w:r>
      <w:r w:rsidR="00467B8D">
        <w:rPr>
          <w:lang w:val="pt-BR"/>
        </w:rPr>
        <w:t>ção</w:t>
      </w:r>
      <w:proofErr w:type="spellEnd"/>
      <w:r w:rsidR="00467B8D" w:rsidRPr="003F5976">
        <w:rPr>
          <w:lang w:val="pt-BR"/>
        </w:rPr>
        <w:t xml:space="preserve"> </w:t>
      </w:r>
      <w:r w:rsidR="003F5976" w:rsidRPr="003F5976">
        <w:rPr>
          <w:lang w:val="pt-BR"/>
        </w:rPr>
        <w:t>com BSTFA</w:t>
      </w:r>
      <w:r w:rsidR="00C34171">
        <w:rPr>
          <w:lang w:val="pt-BR"/>
        </w:rPr>
        <w:t>:TMSC</w:t>
      </w:r>
      <w:r w:rsidR="00F010A6">
        <w:rPr>
          <w:lang w:val="pt-BR"/>
        </w:rPr>
        <w:t xml:space="preserve"> (</w:t>
      </w:r>
      <w:proofErr w:type="gramStart"/>
      <w:r w:rsidR="00C34171">
        <w:rPr>
          <w:lang w:val="pt-BR"/>
        </w:rPr>
        <w:t>N,O</w:t>
      </w:r>
      <w:proofErr w:type="gramEnd"/>
      <w:r w:rsidR="00C34171">
        <w:rPr>
          <w:lang w:val="pt-BR"/>
        </w:rPr>
        <w:t>-Bis</w:t>
      </w:r>
      <w:r w:rsidR="00C56443">
        <w:rPr>
          <w:lang w:val="pt-BR"/>
        </w:rPr>
        <w:t xml:space="preserve"> </w:t>
      </w:r>
      <w:r w:rsidR="00C34171">
        <w:rPr>
          <w:lang w:val="pt-BR"/>
        </w:rPr>
        <w:t>(</w:t>
      </w:r>
      <w:proofErr w:type="spellStart"/>
      <w:r w:rsidR="00C34171">
        <w:rPr>
          <w:lang w:val="pt-BR"/>
        </w:rPr>
        <w:t>trimetilsili</w:t>
      </w:r>
      <w:proofErr w:type="spellEnd"/>
      <w:r w:rsidR="00C34171">
        <w:rPr>
          <w:lang w:val="pt-BR"/>
        </w:rPr>
        <w:t>)</w:t>
      </w:r>
      <w:proofErr w:type="spellStart"/>
      <w:r w:rsidR="00C34171">
        <w:rPr>
          <w:lang w:val="pt-BR"/>
        </w:rPr>
        <w:t>trifluoracetamida:trimetilclorosilano</w:t>
      </w:r>
      <w:proofErr w:type="spellEnd"/>
      <w:r w:rsidR="00C34171">
        <w:rPr>
          <w:lang w:val="pt-BR"/>
        </w:rPr>
        <w:t>, Sigma-Aldrich, 99:1</w:t>
      </w:r>
      <w:r w:rsidR="00F010A6">
        <w:rPr>
          <w:lang w:val="pt-BR"/>
        </w:rPr>
        <w:t>)</w:t>
      </w:r>
      <w:r w:rsidR="00140051">
        <w:rPr>
          <w:lang w:val="pt-BR"/>
        </w:rPr>
        <w:t xml:space="preserve">. </w:t>
      </w:r>
      <w:r w:rsidR="003F5976" w:rsidRPr="003F5976">
        <w:rPr>
          <w:lang w:val="pt-BR"/>
        </w:rPr>
        <w:t>Para tanto, 20 µL da amostra coletada foi adicionad</w:t>
      </w:r>
      <w:r w:rsidR="00140051">
        <w:rPr>
          <w:lang w:val="pt-BR"/>
        </w:rPr>
        <w:t>a</w:t>
      </w:r>
      <w:r w:rsidR="003F5976" w:rsidRPr="003F5976">
        <w:rPr>
          <w:lang w:val="pt-BR"/>
        </w:rPr>
        <w:t xml:space="preserve"> em um </w:t>
      </w:r>
      <w:proofErr w:type="spellStart"/>
      <w:r w:rsidR="003F5976" w:rsidRPr="003F5976">
        <w:rPr>
          <w:lang w:val="pt-BR"/>
        </w:rPr>
        <w:t>vial</w:t>
      </w:r>
      <w:proofErr w:type="spellEnd"/>
      <w:r w:rsidR="003F5976" w:rsidRPr="003F5976">
        <w:rPr>
          <w:lang w:val="pt-BR"/>
        </w:rPr>
        <w:t xml:space="preserve"> de </w:t>
      </w:r>
      <w:r w:rsidR="00E75C8A">
        <w:rPr>
          <w:lang w:val="pt-BR"/>
        </w:rPr>
        <w:t>2,0</w:t>
      </w:r>
      <w:r w:rsidR="003F5976" w:rsidRPr="003F5976">
        <w:rPr>
          <w:lang w:val="pt-BR"/>
        </w:rPr>
        <w:t xml:space="preserve"> </w:t>
      </w:r>
      <w:proofErr w:type="spellStart"/>
      <w:r w:rsidR="003F5976" w:rsidRPr="003F5976">
        <w:rPr>
          <w:lang w:val="pt-BR"/>
        </w:rPr>
        <w:t>mL</w:t>
      </w:r>
      <w:proofErr w:type="spellEnd"/>
      <w:r w:rsidR="003F5976" w:rsidRPr="003F5976">
        <w:rPr>
          <w:lang w:val="pt-BR"/>
        </w:rPr>
        <w:t xml:space="preserve"> juntamente com 20 µL de BSTFA:TMCS (99:1). O </w:t>
      </w:r>
      <w:proofErr w:type="spellStart"/>
      <w:r w:rsidR="003F5976" w:rsidRPr="003F5976">
        <w:rPr>
          <w:lang w:val="pt-BR"/>
        </w:rPr>
        <w:t>vial</w:t>
      </w:r>
      <w:proofErr w:type="spellEnd"/>
      <w:r w:rsidR="003F5976" w:rsidRPr="003F5976">
        <w:rPr>
          <w:lang w:val="pt-BR"/>
        </w:rPr>
        <w:t xml:space="preserve"> foi fechado, a mistura foi agitada e mantida sob aquecimento em banho de glicerina a 70 °C por 30 min. Após esse período, com a mistura a temperatura ambiente, 960 µL de </w:t>
      </w:r>
      <w:proofErr w:type="spellStart"/>
      <w:r w:rsidR="003F5976" w:rsidRPr="003F5976">
        <w:rPr>
          <w:lang w:val="pt-BR"/>
        </w:rPr>
        <w:t>ciclohexano</w:t>
      </w:r>
      <w:proofErr w:type="spellEnd"/>
      <w:r w:rsidR="003F5976" w:rsidRPr="003F5976">
        <w:rPr>
          <w:lang w:val="pt-BR"/>
        </w:rPr>
        <w:t xml:space="preserve"> foi adicionado ao </w:t>
      </w:r>
      <w:proofErr w:type="spellStart"/>
      <w:r w:rsidR="003F5976" w:rsidRPr="003F5976">
        <w:rPr>
          <w:lang w:val="pt-BR"/>
        </w:rPr>
        <w:t>vial</w:t>
      </w:r>
      <w:proofErr w:type="spellEnd"/>
      <w:r w:rsidR="003F5976" w:rsidRPr="003F5976">
        <w:rPr>
          <w:lang w:val="pt-BR"/>
        </w:rPr>
        <w:t xml:space="preserve"> e as amostras foram analisadas </w:t>
      </w:r>
      <w:r w:rsidR="00DA3A2A">
        <w:rPr>
          <w:lang w:val="pt-BR"/>
        </w:rPr>
        <w:t>em</w:t>
      </w:r>
      <w:r w:rsidR="00DA3A2A" w:rsidRPr="003F5976">
        <w:rPr>
          <w:lang w:val="pt-BR"/>
        </w:rPr>
        <w:t xml:space="preserve"> </w:t>
      </w:r>
      <w:r w:rsidR="00DA3A2A">
        <w:rPr>
          <w:lang w:val="pt-BR"/>
        </w:rPr>
        <w:t>cromatógrafo a g</w:t>
      </w:r>
      <w:r w:rsidR="00372114">
        <w:rPr>
          <w:lang w:val="pt-BR"/>
        </w:rPr>
        <w:t>á</w:t>
      </w:r>
      <w:r w:rsidR="00DA3A2A">
        <w:rPr>
          <w:lang w:val="pt-BR"/>
        </w:rPr>
        <w:t xml:space="preserve">s equipado com FID e coluna Rtx-5ms (30 m x 0,25 </w:t>
      </w:r>
      <w:r w:rsidR="00DA3A2A">
        <w:rPr>
          <w:rFonts w:cs="Times"/>
          <w:lang w:val="pt-BR"/>
        </w:rPr>
        <w:t>µ</w:t>
      </w:r>
      <w:r w:rsidR="00DA3A2A">
        <w:rPr>
          <w:lang w:val="pt-BR"/>
        </w:rPr>
        <w:t>m x 0,25 mm)</w:t>
      </w:r>
      <w:r w:rsidR="003F5976" w:rsidRPr="003F5976">
        <w:rPr>
          <w:lang w:val="pt-BR"/>
        </w:rPr>
        <w:t>.</w:t>
      </w:r>
      <w:r w:rsidR="00FB6F24">
        <w:rPr>
          <w:lang w:val="pt-BR"/>
        </w:rPr>
        <w:t xml:space="preserve"> </w:t>
      </w:r>
    </w:p>
    <w:p w14:paraId="7FB13B5D" w14:textId="0564A48A" w:rsidR="00C3362E" w:rsidRDefault="00C3362E" w:rsidP="00AF4DD1">
      <w:pPr>
        <w:pStyle w:val="TAMainText"/>
        <w:rPr>
          <w:lang w:val="pt-BR"/>
        </w:rPr>
      </w:pPr>
      <w:r>
        <w:rPr>
          <w:lang w:val="pt-BR"/>
        </w:rPr>
        <w:t>A conversão do ácido oleico (X) foi calculad</w:t>
      </w:r>
      <w:r w:rsidR="00D469B8">
        <w:rPr>
          <w:lang w:val="pt-BR"/>
        </w:rPr>
        <w:t>a</w:t>
      </w:r>
      <w:r>
        <w:rPr>
          <w:lang w:val="pt-BR"/>
        </w:rPr>
        <w:t xml:space="preserve"> de acordo com a Equação 1.</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
        <w:gridCol w:w="3897"/>
        <w:gridCol w:w="497"/>
      </w:tblGrid>
      <w:tr w:rsidR="008E0174" w14:paraId="654D23C5" w14:textId="77777777" w:rsidTr="008E0174">
        <w:tc>
          <w:tcPr>
            <w:tcW w:w="364" w:type="dxa"/>
            <w:vAlign w:val="center"/>
          </w:tcPr>
          <w:p w14:paraId="370A0E22" w14:textId="77777777" w:rsidR="008E0174" w:rsidRDefault="008E0174">
            <w:pPr>
              <w:spacing w:line="360" w:lineRule="auto"/>
              <w:jc w:val="center"/>
            </w:pPr>
          </w:p>
        </w:tc>
        <w:tc>
          <w:tcPr>
            <w:tcW w:w="3897" w:type="dxa"/>
            <w:vAlign w:val="center"/>
          </w:tcPr>
          <w:p w14:paraId="17CCEFEB" w14:textId="72B0694C" w:rsidR="008E0174" w:rsidRPr="008E0174" w:rsidRDefault="00C56443">
            <w:pPr>
              <w:spacing w:line="360" w:lineRule="auto"/>
              <w:jc w:val="center"/>
              <w:rPr>
                <w:rFonts w:eastAsiaTheme="minorEastAsia"/>
                <w:color w:val="000000" w:themeColor="text1"/>
                <w:sz w:val="20"/>
                <w:szCs w:val="20"/>
              </w:rPr>
            </w:pPr>
            <w:bookmarkStart w:id="2" w:name="_Hlk134017547"/>
            <m:oMathPara>
              <m:oMath>
                <m:r>
                  <w:rPr>
                    <w:rFonts w:ascii="Cambria Math" w:hAnsi="Cambria Math"/>
                    <w:color w:val="000000" w:themeColor="text1"/>
                    <w:sz w:val="20"/>
                    <w:szCs w:val="20"/>
                  </w:rPr>
                  <m:t>X=</m:t>
                </m:r>
                <m:f>
                  <m:fPr>
                    <m:ctrlPr>
                      <w:rPr>
                        <w:rFonts w:ascii="Cambria Math" w:hAnsi="Cambria Math"/>
                        <w:i/>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C</m:t>
                        </m:r>
                      </m:e>
                      <m:sub>
                        <m:r>
                          <w:rPr>
                            <w:rFonts w:ascii="Cambria Math" w:hAnsi="Cambria Math"/>
                            <w:color w:val="000000" w:themeColor="text1"/>
                            <w:sz w:val="20"/>
                            <w:szCs w:val="20"/>
                          </w:rPr>
                          <m:t>AO, 0</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C</m:t>
                        </m:r>
                      </m:e>
                      <m:sub>
                        <m:r>
                          <w:rPr>
                            <w:rFonts w:ascii="Cambria Math" w:hAnsi="Cambria Math"/>
                            <w:color w:val="000000" w:themeColor="text1"/>
                            <w:sz w:val="20"/>
                            <w:szCs w:val="20"/>
                          </w:rPr>
                          <m:t>AO</m:t>
                        </m:r>
                      </m:sub>
                    </m:sSub>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C</m:t>
                        </m:r>
                      </m:e>
                      <m:sub>
                        <m:r>
                          <w:rPr>
                            <w:rFonts w:ascii="Cambria Math" w:hAnsi="Cambria Math"/>
                            <w:color w:val="000000" w:themeColor="text1"/>
                            <w:sz w:val="20"/>
                            <w:szCs w:val="20"/>
                          </w:rPr>
                          <m:t>AO, 0</m:t>
                        </m:r>
                      </m:sub>
                    </m:sSub>
                  </m:den>
                </m:f>
                <m:r>
                  <w:rPr>
                    <w:rFonts w:ascii="Cambria Math" w:hAnsi="Cambria Math"/>
                    <w:color w:val="000000" w:themeColor="text1"/>
                    <w:sz w:val="20"/>
                    <w:szCs w:val="20"/>
                  </w:rPr>
                  <m:t>×100</m:t>
                </m:r>
              </m:oMath>
            </m:oMathPara>
            <w:bookmarkEnd w:id="2"/>
          </w:p>
        </w:tc>
        <w:tc>
          <w:tcPr>
            <w:tcW w:w="497" w:type="dxa"/>
            <w:vAlign w:val="center"/>
          </w:tcPr>
          <w:p w14:paraId="2C1CBB60" w14:textId="4A4D2CA8" w:rsidR="008E0174" w:rsidRPr="008E0174" w:rsidRDefault="008E0174">
            <w:pPr>
              <w:spacing w:line="360" w:lineRule="auto"/>
              <w:jc w:val="center"/>
              <w:rPr>
                <w:sz w:val="20"/>
                <w:szCs w:val="20"/>
              </w:rPr>
            </w:pPr>
            <w:r w:rsidRPr="008E0174">
              <w:rPr>
                <w:sz w:val="20"/>
                <w:szCs w:val="20"/>
              </w:rPr>
              <w:t>(</w:t>
            </w:r>
            <w:r>
              <w:rPr>
                <w:sz w:val="20"/>
                <w:szCs w:val="20"/>
              </w:rPr>
              <w:t>1</w:t>
            </w:r>
            <w:r w:rsidRPr="008E0174">
              <w:rPr>
                <w:sz w:val="20"/>
                <w:szCs w:val="20"/>
              </w:rPr>
              <w:t>)</w:t>
            </w:r>
          </w:p>
        </w:tc>
      </w:tr>
    </w:tbl>
    <w:p w14:paraId="1E297213" w14:textId="0F295B2C" w:rsidR="008E0174" w:rsidRDefault="008E0174" w:rsidP="008E0174">
      <w:pPr>
        <w:pStyle w:val="TAMainText"/>
        <w:ind w:firstLine="0"/>
        <w:rPr>
          <w:rFonts w:ascii="Times New Roman" w:hAnsi="Times New Roman"/>
          <w:lang w:val="pt-BR"/>
        </w:rPr>
      </w:pPr>
      <w:r w:rsidRPr="008E0174">
        <w:rPr>
          <w:rFonts w:ascii="Times New Roman" w:hAnsi="Times New Roman"/>
          <w:lang w:val="pt-BR"/>
        </w:rPr>
        <w:t xml:space="preserve">em que </w:t>
      </w:r>
      <w:r>
        <w:rPr>
          <w:rFonts w:ascii="Times New Roman" w:hAnsi="Times New Roman"/>
          <w:i/>
          <w:iCs/>
          <w:lang w:val="pt-BR"/>
        </w:rPr>
        <w:t>C</w:t>
      </w:r>
      <w:r w:rsidRPr="008E0174">
        <w:rPr>
          <w:rFonts w:ascii="Times New Roman" w:hAnsi="Times New Roman"/>
          <w:i/>
          <w:iCs/>
          <w:vertAlign w:val="subscript"/>
          <w:lang w:val="pt-BR"/>
        </w:rPr>
        <w:t>AO,0</w:t>
      </w:r>
      <w:r w:rsidRPr="008E0174">
        <w:rPr>
          <w:rFonts w:ascii="Times New Roman" w:hAnsi="Times New Roman"/>
          <w:lang w:val="pt-BR"/>
        </w:rPr>
        <w:t xml:space="preserve"> é </w:t>
      </w:r>
      <w:r>
        <w:rPr>
          <w:rFonts w:ascii="Times New Roman" w:hAnsi="Times New Roman"/>
          <w:lang w:val="pt-BR"/>
        </w:rPr>
        <w:t>concentração</w:t>
      </w:r>
      <w:r w:rsidRPr="008E0174">
        <w:rPr>
          <w:rFonts w:ascii="Times New Roman" w:hAnsi="Times New Roman"/>
          <w:lang w:val="pt-BR"/>
        </w:rPr>
        <w:t xml:space="preserve"> de ácido oleico na </w:t>
      </w:r>
      <w:r>
        <w:rPr>
          <w:rFonts w:ascii="Times New Roman" w:hAnsi="Times New Roman"/>
          <w:lang w:val="pt-BR"/>
        </w:rPr>
        <w:t>mistura reacional</w:t>
      </w:r>
      <w:r w:rsidRPr="008E0174">
        <w:rPr>
          <w:rFonts w:ascii="Times New Roman" w:hAnsi="Times New Roman"/>
          <w:lang w:val="pt-BR"/>
        </w:rPr>
        <w:t xml:space="preserve"> e </w:t>
      </w:r>
      <w:r>
        <w:rPr>
          <w:rFonts w:ascii="Times New Roman" w:hAnsi="Times New Roman"/>
          <w:lang w:val="pt-BR"/>
        </w:rPr>
        <w:t xml:space="preserve">o </w:t>
      </w:r>
      <w:r w:rsidRPr="008E0174">
        <w:rPr>
          <w:rFonts w:ascii="Times New Roman" w:hAnsi="Times New Roman"/>
          <w:i/>
          <w:iCs/>
          <w:lang w:val="pt-BR"/>
        </w:rPr>
        <w:t>C</w:t>
      </w:r>
      <w:r w:rsidRPr="008E0174">
        <w:rPr>
          <w:rFonts w:ascii="Times New Roman" w:hAnsi="Times New Roman"/>
          <w:i/>
          <w:iCs/>
          <w:vertAlign w:val="subscript"/>
          <w:lang w:val="pt-BR"/>
        </w:rPr>
        <w:t>AO</w:t>
      </w:r>
      <w:r w:rsidRPr="008E0174">
        <w:rPr>
          <w:rFonts w:ascii="Times New Roman" w:hAnsi="Times New Roman"/>
          <w:lang w:val="pt-BR"/>
        </w:rPr>
        <w:t xml:space="preserve"> é </w:t>
      </w:r>
      <w:r>
        <w:rPr>
          <w:rFonts w:ascii="Times New Roman" w:hAnsi="Times New Roman"/>
          <w:lang w:val="pt-BR"/>
        </w:rPr>
        <w:t>a concentração</w:t>
      </w:r>
      <w:r w:rsidRPr="008E0174">
        <w:rPr>
          <w:rFonts w:ascii="Times New Roman" w:hAnsi="Times New Roman"/>
          <w:lang w:val="pt-BR"/>
        </w:rPr>
        <w:t xml:space="preserve"> de ácido oleico </w:t>
      </w:r>
      <w:r w:rsidR="00DA3A2A">
        <w:rPr>
          <w:rFonts w:ascii="Times New Roman" w:hAnsi="Times New Roman"/>
          <w:lang w:val="pt-BR"/>
        </w:rPr>
        <w:t>após a reação</w:t>
      </w:r>
      <w:r w:rsidRPr="008E0174">
        <w:rPr>
          <w:rFonts w:ascii="Times New Roman" w:hAnsi="Times New Roman"/>
          <w:lang w:val="pt-BR"/>
        </w:rPr>
        <w:t>.</w:t>
      </w:r>
    </w:p>
    <w:p w14:paraId="6F4151FD" w14:textId="17F6749E" w:rsidR="008E0174" w:rsidRPr="008E0174" w:rsidRDefault="008E0174" w:rsidP="008E0174">
      <w:pPr>
        <w:spacing w:after="0" w:line="240" w:lineRule="exact"/>
        <w:ind w:firstLine="187"/>
        <w:jc w:val="both"/>
        <w:rPr>
          <w:rFonts w:ascii="Times New Roman" w:eastAsia="Times New Roman" w:hAnsi="Times New Roman" w:cs="Times New Roman"/>
          <w:sz w:val="20"/>
          <w:szCs w:val="20"/>
          <w:lang w:eastAsia="pt-BR"/>
        </w:rPr>
      </w:pPr>
      <w:r w:rsidRPr="008E0174">
        <w:rPr>
          <w:rFonts w:ascii="Times New Roman" w:eastAsia="Times New Roman" w:hAnsi="Times New Roman" w:cs="Times New Roman"/>
          <w:sz w:val="20"/>
          <w:szCs w:val="20"/>
          <w:lang w:eastAsia="pt-BR"/>
        </w:rPr>
        <w:t xml:space="preserve">A </w:t>
      </w:r>
      <w:r w:rsidR="00FF48CF">
        <w:rPr>
          <w:rFonts w:ascii="Times New Roman" w:eastAsia="Times New Roman" w:hAnsi="Times New Roman" w:cs="Times New Roman"/>
          <w:sz w:val="20"/>
          <w:szCs w:val="20"/>
          <w:lang w:eastAsia="pt-BR"/>
        </w:rPr>
        <w:t>distribuição</w:t>
      </w:r>
      <w:r w:rsidR="004F0A19">
        <w:rPr>
          <w:rFonts w:ascii="Times New Roman" w:eastAsia="Times New Roman" w:hAnsi="Times New Roman" w:cs="Times New Roman"/>
          <w:sz w:val="20"/>
          <w:szCs w:val="20"/>
          <w:lang w:eastAsia="pt-BR"/>
        </w:rPr>
        <w:t xml:space="preserve"> (</w:t>
      </w:r>
      <w:r w:rsidR="00FF48CF">
        <w:rPr>
          <w:rFonts w:ascii="Times New Roman" w:eastAsia="Times New Roman" w:hAnsi="Times New Roman" w:cs="Times New Roman"/>
          <w:sz w:val="20"/>
          <w:szCs w:val="20"/>
          <w:lang w:eastAsia="pt-BR"/>
        </w:rPr>
        <w:t>Y</w:t>
      </w:r>
      <w:r w:rsidR="004F0A19" w:rsidRPr="004F0A19">
        <w:rPr>
          <w:rFonts w:ascii="Times New Roman" w:eastAsia="Times New Roman" w:hAnsi="Times New Roman" w:cs="Times New Roman"/>
          <w:i/>
          <w:iCs/>
          <w:sz w:val="20"/>
          <w:szCs w:val="20"/>
          <w:vertAlign w:val="subscript"/>
          <w:lang w:eastAsia="pt-BR"/>
        </w:rPr>
        <w:t>i</w:t>
      </w:r>
      <w:r w:rsidR="004F0A19">
        <w:rPr>
          <w:rFonts w:ascii="Times New Roman" w:eastAsia="Times New Roman" w:hAnsi="Times New Roman" w:cs="Times New Roman"/>
          <w:sz w:val="20"/>
          <w:szCs w:val="20"/>
          <w:lang w:eastAsia="pt-BR"/>
        </w:rPr>
        <w:t>)</w:t>
      </w:r>
      <w:r w:rsidRPr="008E0174">
        <w:rPr>
          <w:rFonts w:ascii="Times New Roman" w:eastAsia="Times New Roman" w:hAnsi="Times New Roman" w:cs="Times New Roman"/>
          <w:sz w:val="20"/>
          <w:szCs w:val="20"/>
          <w:lang w:eastAsia="pt-BR"/>
        </w:rPr>
        <w:t xml:space="preserve"> </w:t>
      </w:r>
      <w:r w:rsidR="004F0A19">
        <w:rPr>
          <w:rFonts w:ascii="Times New Roman" w:eastAsia="Times New Roman" w:hAnsi="Times New Roman" w:cs="Times New Roman"/>
          <w:sz w:val="20"/>
          <w:szCs w:val="20"/>
          <w:lang w:eastAsia="pt-BR"/>
        </w:rPr>
        <w:t>a</w:t>
      </w:r>
      <w:r w:rsidRPr="008E0174">
        <w:rPr>
          <w:rFonts w:ascii="Times New Roman" w:eastAsia="Times New Roman" w:hAnsi="Times New Roman" w:cs="Times New Roman"/>
          <w:sz w:val="20"/>
          <w:szCs w:val="20"/>
          <w:lang w:eastAsia="pt-BR"/>
        </w:rPr>
        <w:t xml:space="preserve">os produtos presentes na fase líquida </w:t>
      </w:r>
      <w:r w:rsidR="004F0A19">
        <w:rPr>
          <w:rFonts w:ascii="Times New Roman" w:eastAsia="Times New Roman" w:hAnsi="Times New Roman" w:cs="Times New Roman"/>
          <w:sz w:val="20"/>
          <w:szCs w:val="20"/>
          <w:lang w:eastAsia="pt-BR"/>
        </w:rPr>
        <w:t>foi</w:t>
      </w:r>
      <w:r w:rsidRPr="008E0174">
        <w:rPr>
          <w:rFonts w:ascii="Times New Roman" w:eastAsia="Times New Roman" w:hAnsi="Times New Roman" w:cs="Times New Roman"/>
          <w:sz w:val="20"/>
          <w:szCs w:val="20"/>
          <w:lang w:eastAsia="pt-BR"/>
        </w:rPr>
        <w:t xml:space="preserve"> determinada de acordo com a Equação </w:t>
      </w:r>
      <w:r>
        <w:rPr>
          <w:rFonts w:ascii="Times New Roman" w:eastAsia="Times New Roman" w:hAnsi="Times New Roman" w:cs="Times New Roman"/>
          <w:sz w:val="20"/>
          <w:szCs w:val="20"/>
          <w:lang w:eastAsia="pt-BR"/>
        </w:rPr>
        <w:t>2</w:t>
      </w:r>
      <w:r w:rsidRPr="008E0174">
        <w:rPr>
          <w:rFonts w:ascii="Times New Roman" w:eastAsia="Times New Roman" w:hAnsi="Times New Roman" w:cs="Times New Roman"/>
          <w:sz w:val="20"/>
          <w:szCs w:val="20"/>
          <w:lang w:eastAsia="pt-BR"/>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3880"/>
        <w:gridCol w:w="511"/>
      </w:tblGrid>
      <w:tr w:rsidR="008E0174" w:rsidRPr="008E0174" w14:paraId="6A7B4159" w14:textId="77777777" w:rsidTr="004F0A19">
        <w:tc>
          <w:tcPr>
            <w:tcW w:w="367" w:type="dxa"/>
            <w:vAlign w:val="center"/>
          </w:tcPr>
          <w:p w14:paraId="37F3420F" w14:textId="77777777" w:rsidR="008E0174" w:rsidRDefault="008E0174">
            <w:pPr>
              <w:spacing w:line="360" w:lineRule="auto"/>
              <w:jc w:val="center"/>
            </w:pPr>
          </w:p>
        </w:tc>
        <w:tc>
          <w:tcPr>
            <w:tcW w:w="3880" w:type="dxa"/>
            <w:vAlign w:val="center"/>
          </w:tcPr>
          <w:p w14:paraId="0A3A1517" w14:textId="05B46A0A" w:rsidR="008E0174" w:rsidRPr="004F0A19" w:rsidRDefault="00000000">
            <w:pPr>
              <w:spacing w:line="360" w:lineRule="auto"/>
              <w:jc w:val="center"/>
              <w:rPr>
                <w:rFonts w:ascii="Times" w:eastAsiaTheme="minorEastAsia" w:hAnsi="Times" w:cs="Times"/>
                <w:color w:val="000000" w:themeColor="text1"/>
                <w:sz w:val="22"/>
                <w:szCs w:val="22"/>
              </w:rPr>
            </w:pPr>
            <m:oMathPara>
              <m:oMath>
                <m:sSub>
                  <m:sSubPr>
                    <m:ctrlPr>
                      <w:rPr>
                        <w:rFonts w:ascii="Cambria Math" w:hAnsi="Cambria Math" w:cs="Times"/>
                        <w:i/>
                        <w:color w:val="000000" w:themeColor="text1"/>
                        <w:sz w:val="22"/>
                        <w:szCs w:val="22"/>
                      </w:rPr>
                    </m:ctrlPr>
                  </m:sSubPr>
                  <m:e>
                    <m:r>
                      <w:rPr>
                        <w:rFonts w:ascii="Cambria Math" w:hAnsi="Cambria Math" w:cs="Times"/>
                        <w:color w:val="000000" w:themeColor="text1"/>
                        <w:sz w:val="22"/>
                        <w:szCs w:val="22"/>
                      </w:rPr>
                      <m:t>Y</m:t>
                    </m:r>
                  </m:e>
                  <m:sub>
                    <m:r>
                      <w:rPr>
                        <w:rFonts w:ascii="Cambria Math" w:hAnsi="Cambria Math" w:cs="Times"/>
                        <w:color w:val="000000" w:themeColor="text1"/>
                        <w:sz w:val="22"/>
                        <w:szCs w:val="22"/>
                      </w:rPr>
                      <m:t>i</m:t>
                    </m:r>
                  </m:sub>
                </m:sSub>
                <m:r>
                  <w:rPr>
                    <w:rFonts w:ascii="Cambria Math" w:hAnsi="Cambria Math" w:cs="Times"/>
                    <w:color w:val="000000" w:themeColor="text1"/>
                    <w:sz w:val="22"/>
                    <w:szCs w:val="22"/>
                  </w:rPr>
                  <m:t>=</m:t>
                </m:r>
                <m:f>
                  <m:fPr>
                    <m:ctrlPr>
                      <w:rPr>
                        <w:rFonts w:ascii="Cambria Math" w:hAnsi="Cambria Math" w:cs="Times"/>
                        <w:i/>
                        <w:color w:val="000000" w:themeColor="text1"/>
                        <w:sz w:val="22"/>
                        <w:szCs w:val="22"/>
                      </w:rPr>
                    </m:ctrlPr>
                  </m:fPr>
                  <m:num>
                    <m:sSub>
                      <m:sSubPr>
                        <m:ctrlPr>
                          <w:rPr>
                            <w:rFonts w:ascii="Cambria Math" w:hAnsi="Cambria Math" w:cs="Times"/>
                            <w:i/>
                            <w:color w:val="000000" w:themeColor="text1"/>
                            <w:sz w:val="22"/>
                            <w:szCs w:val="22"/>
                          </w:rPr>
                        </m:ctrlPr>
                      </m:sSubPr>
                      <m:e>
                        <m:r>
                          <w:rPr>
                            <w:rFonts w:ascii="Cambria Math" w:hAnsi="Cambria Math" w:cs="Times"/>
                            <w:color w:val="000000" w:themeColor="text1"/>
                            <w:sz w:val="22"/>
                            <w:szCs w:val="22"/>
                          </w:rPr>
                          <m:t>C</m:t>
                        </m:r>
                      </m:e>
                      <m:sub>
                        <m:r>
                          <w:rPr>
                            <w:rFonts w:ascii="Cambria Math" w:hAnsi="Cambria Math" w:cs="Times"/>
                            <w:color w:val="000000" w:themeColor="text1"/>
                            <w:sz w:val="22"/>
                            <w:szCs w:val="22"/>
                          </w:rPr>
                          <m:t>i</m:t>
                        </m:r>
                      </m:sub>
                    </m:sSub>
                  </m:num>
                  <m:den>
                    <m:nary>
                      <m:naryPr>
                        <m:chr m:val="∑"/>
                        <m:limLoc m:val="undOvr"/>
                        <m:ctrlPr>
                          <w:rPr>
                            <w:rFonts w:ascii="Cambria Math" w:hAnsi="Cambria Math" w:cs="Times"/>
                            <w:i/>
                            <w:color w:val="000000" w:themeColor="text1"/>
                            <w:sz w:val="22"/>
                            <w:szCs w:val="22"/>
                          </w:rPr>
                        </m:ctrlPr>
                      </m:naryPr>
                      <m:sub>
                        <m:r>
                          <w:rPr>
                            <w:rFonts w:ascii="Cambria Math" w:hAnsi="Cambria Math" w:cs="Times"/>
                            <w:color w:val="000000" w:themeColor="text1"/>
                            <w:sz w:val="22"/>
                            <w:szCs w:val="22"/>
                          </w:rPr>
                          <m:t>n=1</m:t>
                        </m:r>
                      </m:sub>
                      <m:sup>
                        <m:r>
                          <w:rPr>
                            <w:rFonts w:ascii="Cambria Math" w:hAnsi="Cambria Math" w:cs="Times"/>
                            <w:color w:val="000000" w:themeColor="text1"/>
                            <w:sz w:val="22"/>
                            <w:szCs w:val="22"/>
                          </w:rPr>
                          <m:t>n</m:t>
                        </m:r>
                      </m:sup>
                      <m:e>
                        <m:r>
                          <w:rPr>
                            <w:rFonts w:ascii="Cambria Math" w:hAnsi="Cambria Math" w:cs="Times"/>
                            <w:color w:val="000000" w:themeColor="text1"/>
                            <w:sz w:val="22"/>
                            <w:szCs w:val="22"/>
                          </w:rPr>
                          <m:t>(</m:t>
                        </m:r>
                        <m:sSub>
                          <m:sSubPr>
                            <m:ctrlPr>
                              <w:rPr>
                                <w:rFonts w:ascii="Cambria Math" w:hAnsi="Cambria Math" w:cs="Times"/>
                                <w:i/>
                                <w:color w:val="000000" w:themeColor="text1"/>
                                <w:sz w:val="22"/>
                                <w:szCs w:val="22"/>
                              </w:rPr>
                            </m:ctrlPr>
                          </m:sSubPr>
                          <m:e>
                            <m:r>
                              <w:rPr>
                                <w:rFonts w:ascii="Cambria Math" w:hAnsi="Cambria Math" w:cs="Times"/>
                                <w:color w:val="000000" w:themeColor="text1"/>
                                <w:sz w:val="22"/>
                                <w:szCs w:val="22"/>
                              </w:rPr>
                              <m:t>C</m:t>
                            </m:r>
                          </m:e>
                          <m:sub>
                            <m:r>
                              <w:rPr>
                                <w:rFonts w:ascii="Cambria Math" w:hAnsi="Cambria Math" w:cs="Times"/>
                                <w:color w:val="000000" w:themeColor="text1"/>
                                <w:sz w:val="22"/>
                                <w:szCs w:val="22"/>
                              </w:rPr>
                              <m:t>i</m:t>
                            </m:r>
                          </m:sub>
                        </m:sSub>
                        <m:r>
                          <w:rPr>
                            <w:rFonts w:ascii="Cambria Math" w:hAnsi="Cambria Math" w:cs="Times"/>
                            <w:color w:val="000000" w:themeColor="text1"/>
                            <w:sz w:val="22"/>
                            <w:szCs w:val="22"/>
                          </w:rPr>
                          <m:t>)</m:t>
                        </m:r>
                      </m:e>
                    </m:nary>
                  </m:den>
                </m:f>
                <m:r>
                  <w:rPr>
                    <w:rFonts w:ascii="Cambria Math" w:hAnsi="Cambria Math" w:cs="Times"/>
                    <w:color w:val="000000" w:themeColor="text1"/>
                    <w:sz w:val="22"/>
                    <w:szCs w:val="22"/>
                  </w:rPr>
                  <m:t>×100</m:t>
                </m:r>
              </m:oMath>
            </m:oMathPara>
          </w:p>
        </w:tc>
        <w:tc>
          <w:tcPr>
            <w:tcW w:w="511" w:type="dxa"/>
            <w:vAlign w:val="center"/>
          </w:tcPr>
          <w:p w14:paraId="7147CC73" w14:textId="4EDA1419" w:rsidR="008E0174" w:rsidRPr="004F0A19" w:rsidRDefault="008E0174">
            <w:pPr>
              <w:spacing w:line="360" w:lineRule="auto"/>
              <w:jc w:val="center"/>
              <w:rPr>
                <w:rFonts w:ascii="Times" w:hAnsi="Times" w:cs="Times"/>
                <w:sz w:val="22"/>
                <w:szCs w:val="22"/>
              </w:rPr>
            </w:pPr>
            <w:r w:rsidRPr="004F0A19">
              <w:rPr>
                <w:rFonts w:ascii="Times" w:hAnsi="Times" w:cs="Times"/>
                <w:sz w:val="22"/>
                <w:szCs w:val="22"/>
              </w:rPr>
              <w:t>(2)</w:t>
            </w:r>
          </w:p>
        </w:tc>
      </w:tr>
    </w:tbl>
    <w:p w14:paraId="43A50A87" w14:textId="2B145340" w:rsidR="008E0174" w:rsidRPr="008E0174" w:rsidRDefault="004F0A19" w:rsidP="008E0174">
      <w:pPr>
        <w:spacing w:after="0" w:line="240" w:lineRule="exact"/>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em que </w:t>
      </w:r>
      <w:proofErr w:type="spellStart"/>
      <w:r w:rsidRPr="004F0A19">
        <w:rPr>
          <w:rFonts w:ascii="Times New Roman" w:eastAsia="Times New Roman" w:hAnsi="Times New Roman" w:cs="Times New Roman"/>
          <w:i/>
          <w:iCs/>
          <w:sz w:val="20"/>
          <w:szCs w:val="20"/>
          <w:lang w:eastAsia="pt-BR"/>
        </w:rPr>
        <w:t>C</w:t>
      </w:r>
      <w:r w:rsidRPr="004F0A19">
        <w:rPr>
          <w:rFonts w:ascii="Times New Roman" w:eastAsia="Times New Roman" w:hAnsi="Times New Roman" w:cs="Times New Roman"/>
          <w:i/>
          <w:iCs/>
          <w:sz w:val="20"/>
          <w:szCs w:val="20"/>
          <w:vertAlign w:val="subscript"/>
          <w:lang w:eastAsia="pt-BR"/>
        </w:rPr>
        <w:t>i</w:t>
      </w:r>
      <w:proofErr w:type="spellEnd"/>
      <w:r w:rsidRPr="004F0A19">
        <w:rPr>
          <w:rFonts w:ascii="Times New Roman" w:eastAsia="Times New Roman" w:hAnsi="Times New Roman" w:cs="Times New Roman"/>
          <w:i/>
          <w:iCs/>
          <w:sz w:val="20"/>
          <w:szCs w:val="20"/>
          <w:lang w:eastAsia="pt-BR"/>
        </w:rPr>
        <w:t xml:space="preserve"> </w:t>
      </w:r>
      <w:r>
        <w:rPr>
          <w:rFonts w:ascii="Times New Roman" w:eastAsia="Times New Roman" w:hAnsi="Times New Roman" w:cs="Times New Roman"/>
          <w:sz w:val="20"/>
          <w:szCs w:val="20"/>
          <w:lang w:eastAsia="pt-BR"/>
        </w:rPr>
        <w:t xml:space="preserve">é a concentração do produto i e </w:t>
      </w:r>
      <m:oMath>
        <m:nary>
          <m:naryPr>
            <m:chr m:val="∑"/>
            <m:limLoc m:val="undOvr"/>
            <m:ctrlPr>
              <w:rPr>
                <w:rFonts w:ascii="Cambria Math" w:hAnsi="Cambria Math" w:cs="Times"/>
                <w:i/>
                <w:color w:val="000000" w:themeColor="text1"/>
                <w:sz w:val="22"/>
                <w:szCs w:val="22"/>
              </w:rPr>
            </m:ctrlPr>
          </m:naryPr>
          <m:sub>
            <m:r>
              <w:rPr>
                <w:rFonts w:ascii="Cambria Math" w:hAnsi="Cambria Math" w:cs="Times"/>
                <w:color w:val="000000" w:themeColor="text1"/>
                <w:sz w:val="22"/>
                <w:szCs w:val="22"/>
              </w:rPr>
              <m:t>n=1</m:t>
            </m:r>
          </m:sub>
          <m:sup>
            <m:r>
              <w:rPr>
                <w:rFonts w:ascii="Cambria Math" w:hAnsi="Cambria Math" w:cs="Times"/>
                <w:color w:val="000000" w:themeColor="text1"/>
                <w:sz w:val="22"/>
                <w:szCs w:val="22"/>
              </w:rPr>
              <m:t>n</m:t>
            </m:r>
          </m:sup>
          <m:e>
            <m:r>
              <w:rPr>
                <w:rFonts w:ascii="Cambria Math" w:hAnsi="Cambria Math" w:cs="Times"/>
                <w:color w:val="000000" w:themeColor="text1"/>
                <w:sz w:val="22"/>
                <w:szCs w:val="22"/>
              </w:rPr>
              <m:t>(</m:t>
            </m:r>
            <m:sSub>
              <m:sSubPr>
                <m:ctrlPr>
                  <w:rPr>
                    <w:rFonts w:ascii="Cambria Math" w:hAnsi="Cambria Math" w:cs="Times"/>
                    <w:i/>
                    <w:color w:val="000000" w:themeColor="text1"/>
                    <w:sz w:val="22"/>
                    <w:szCs w:val="22"/>
                  </w:rPr>
                </m:ctrlPr>
              </m:sSubPr>
              <m:e>
                <m:r>
                  <w:rPr>
                    <w:rFonts w:ascii="Cambria Math" w:hAnsi="Cambria Math" w:cs="Times"/>
                    <w:color w:val="000000" w:themeColor="text1"/>
                    <w:sz w:val="22"/>
                    <w:szCs w:val="22"/>
                  </w:rPr>
                  <m:t>C</m:t>
                </m:r>
              </m:e>
              <m:sub>
                <m:r>
                  <w:rPr>
                    <w:rFonts w:ascii="Cambria Math" w:hAnsi="Cambria Math" w:cs="Times"/>
                    <w:color w:val="000000" w:themeColor="text1"/>
                    <w:sz w:val="22"/>
                    <w:szCs w:val="22"/>
                  </w:rPr>
                  <m:t>i</m:t>
                </m:r>
              </m:sub>
            </m:sSub>
            <m:r>
              <w:rPr>
                <w:rFonts w:ascii="Cambria Math" w:hAnsi="Cambria Math" w:cs="Times"/>
                <w:color w:val="000000" w:themeColor="text1"/>
                <w:sz w:val="22"/>
                <w:szCs w:val="22"/>
              </w:rPr>
              <m:t>)</m:t>
            </m:r>
          </m:e>
        </m:nary>
      </m:oMath>
      <w:r>
        <w:rPr>
          <w:rFonts w:ascii="Times New Roman" w:eastAsia="Times New Roman" w:hAnsi="Times New Roman" w:cs="Times New Roman"/>
          <w:color w:val="000000" w:themeColor="text1"/>
          <w:sz w:val="22"/>
          <w:szCs w:val="22"/>
        </w:rPr>
        <w:t xml:space="preserve"> é o somatório da concentração de todos os produtos líquidos.</w:t>
      </w:r>
    </w:p>
    <w:p w14:paraId="136BD1AC" w14:textId="7E5D642B"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53875EDB" w14:textId="5A92E636" w:rsidR="00485F21" w:rsidRDefault="00485F21" w:rsidP="00485F21">
      <w:pPr>
        <w:pStyle w:val="TAMainText"/>
        <w:ind w:firstLine="187"/>
        <w:rPr>
          <w:lang w:val="pt-BR"/>
        </w:rPr>
      </w:pPr>
      <w:r>
        <w:rPr>
          <w:rFonts w:ascii="Times New Roman" w:hAnsi="Times New Roman"/>
          <w:lang w:val="pt-BR"/>
        </w:rPr>
        <w:t xml:space="preserve">Na Figura 1 estão apresentados os difratogramas de </w:t>
      </w:r>
      <w:r w:rsidR="00140051">
        <w:rPr>
          <w:rFonts w:ascii="Times New Roman" w:hAnsi="Times New Roman"/>
          <w:lang w:val="pt-BR"/>
        </w:rPr>
        <w:t>raios X</w:t>
      </w:r>
      <w:r>
        <w:rPr>
          <w:rFonts w:ascii="Times New Roman" w:hAnsi="Times New Roman"/>
          <w:lang w:val="pt-BR"/>
        </w:rPr>
        <w:t xml:space="preserve"> obtidos para a </w:t>
      </w:r>
      <w:r w:rsidR="00591A5C">
        <w:rPr>
          <w:rFonts w:ascii="Times New Roman" w:hAnsi="Times New Roman"/>
          <w:lang w:val="pt-BR"/>
        </w:rPr>
        <w:t xml:space="preserve">HY, </w:t>
      </w:r>
      <w:proofErr w:type="spellStart"/>
      <w:r w:rsidR="00591A5C">
        <w:rPr>
          <w:rFonts w:ascii="Times New Roman" w:hAnsi="Times New Roman"/>
          <w:lang w:val="pt-BR"/>
        </w:rPr>
        <w:t>NiPt</w:t>
      </w:r>
      <w:proofErr w:type="spellEnd"/>
      <w:r w:rsidR="00591A5C">
        <w:rPr>
          <w:rFonts w:ascii="Times New Roman" w:hAnsi="Times New Roman"/>
          <w:lang w:val="pt-BR"/>
        </w:rPr>
        <w:t>/HY, Nb</w:t>
      </w:r>
      <w:r w:rsidR="00591A5C" w:rsidRPr="00591A5C">
        <w:rPr>
          <w:rFonts w:ascii="Times New Roman" w:hAnsi="Times New Roman"/>
          <w:vertAlign w:val="subscript"/>
          <w:lang w:val="pt-BR"/>
        </w:rPr>
        <w:t>2</w:t>
      </w:r>
      <w:r w:rsidR="00591A5C">
        <w:rPr>
          <w:rFonts w:ascii="Times New Roman" w:hAnsi="Times New Roman"/>
          <w:lang w:val="pt-BR"/>
        </w:rPr>
        <w:t>O</w:t>
      </w:r>
      <w:r w:rsidR="00591A5C" w:rsidRPr="00591A5C">
        <w:rPr>
          <w:rFonts w:ascii="Times New Roman" w:hAnsi="Times New Roman"/>
          <w:vertAlign w:val="subscript"/>
          <w:lang w:val="pt-BR"/>
        </w:rPr>
        <w:t>5</w:t>
      </w:r>
      <w:r w:rsidR="00591A5C">
        <w:rPr>
          <w:rFonts w:ascii="Times New Roman" w:hAnsi="Times New Roman"/>
          <w:lang w:val="pt-BR"/>
        </w:rPr>
        <w:t xml:space="preserve">, </w:t>
      </w:r>
      <w:proofErr w:type="spellStart"/>
      <w:r w:rsidR="00591A5C">
        <w:rPr>
          <w:rFonts w:ascii="Times New Roman" w:hAnsi="Times New Roman"/>
          <w:lang w:val="pt-BR"/>
        </w:rPr>
        <w:t>SNb</w:t>
      </w:r>
      <w:proofErr w:type="spellEnd"/>
      <w:r w:rsidR="00591A5C">
        <w:rPr>
          <w:rFonts w:ascii="Times New Roman" w:hAnsi="Times New Roman"/>
          <w:lang w:val="pt-BR"/>
        </w:rPr>
        <w:t xml:space="preserve">-HY e </w:t>
      </w:r>
      <w:proofErr w:type="spellStart"/>
      <w:r w:rsidR="00591A5C">
        <w:rPr>
          <w:rFonts w:ascii="Times New Roman" w:hAnsi="Times New Roman"/>
          <w:lang w:val="pt-BR"/>
        </w:rPr>
        <w:t>NiPt</w:t>
      </w:r>
      <w:proofErr w:type="spellEnd"/>
      <w:r w:rsidR="00591A5C">
        <w:rPr>
          <w:rFonts w:ascii="Times New Roman" w:hAnsi="Times New Roman"/>
          <w:lang w:val="pt-BR"/>
        </w:rPr>
        <w:t>/</w:t>
      </w:r>
      <w:proofErr w:type="spellStart"/>
      <w:r w:rsidR="00591A5C">
        <w:rPr>
          <w:rFonts w:ascii="Times New Roman" w:hAnsi="Times New Roman"/>
          <w:lang w:val="pt-BR"/>
        </w:rPr>
        <w:t>SNb</w:t>
      </w:r>
      <w:proofErr w:type="spellEnd"/>
      <w:r w:rsidR="00591A5C">
        <w:rPr>
          <w:rFonts w:ascii="Times New Roman" w:hAnsi="Times New Roman"/>
          <w:lang w:val="pt-BR"/>
        </w:rPr>
        <w:t>-HY</w:t>
      </w:r>
      <w:r>
        <w:rPr>
          <w:rFonts w:ascii="Times New Roman" w:hAnsi="Times New Roman"/>
          <w:lang w:val="pt-BR"/>
        </w:rPr>
        <w:t>.</w:t>
      </w:r>
      <w:r w:rsidR="00E550E1">
        <w:rPr>
          <w:rFonts w:ascii="Times New Roman" w:hAnsi="Times New Roman"/>
          <w:lang w:val="pt-BR"/>
        </w:rPr>
        <w:t xml:space="preserve"> A HY apresenta </w:t>
      </w:r>
      <w:r w:rsidR="005269E8">
        <w:rPr>
          <w:rFonts w:ascii="Times New Roman" w:hAnsi="Times New Roman"/>
          <w:lang w:val="pt-BR"/>
        </w:rPr>
        <w:t>padrão</w:t>
      </w:r>
      <w:r w:rsidR="00E550E1">
        <w:rPr>
          <w:rFonts w:ascii="Times New Roman" w:hAnsi="Times New Roman"/>
          <w:lang w:val="pt-BR"/>
        </w:rPr>
        <w:t xml:space="preserve"> de difração característico das faujasitas com picos de difração em </w:t>
      </w:r>
      <w:r w:rsidR="00E550E1" w:rsidRPr="00E550E1">
        <w:rPr>
          <w:lang w:val="pt-BR"/>
        </w:rPr>
        <w:t>2</w:t>
      </w:r>
      <w:r w:rsidR="00E550E1">
        <w:t>θ</w:t>
      </w:r>
      <w:r w:rsidR="00E550E1" w:rsidRPr="00E550E1">
        <w:rPr>
          <w:lang w:val="pt-BR"/>
        </w:rPr>
        <w:t xml:space="preserve"> igual a 6,4°, 10,2°, 12°, 15,9°, 18,8°, 20,6°, 24°, 27,5° e 31,95° correspondendo aos planos cristalográficos (111), (220), (311), (331), (511), (440), (533), (642) e (555), respectivamente [ICSD – 049555].</w:t>
      </w:r>
      <w:r w:rsidR="00E550E1">
        <w:rPr>
          <w:lang w:val="pt-BR"/>
        </w:rPr>
        <w:t xml:space="preserve"> O perfil de difração obtido para o </w:t>
      </w:r>
      <w:proofErr w:type="spellStart"/>
      <w:r w:rsidR="00E550E1">
        <w:rPr>
          <w:lang w:val="pt-BR"/>
        </w:rPr>
        <w:t>NiPt</w:t>
      </w:r>
      <w:proofErr w:type="spellEnd"/>
      <w:r w:rsidR="00E550E1">
        <w:rPr>
          <w:lang w:val="pt-BR"/>
        </w:rPr>
        <w:t>/HY é similar ao obtido para a HY pura.</w:t>
      </w:r>
      <w:r w:rsidR="005269E8">
        <w:rPr>
          <w:lang w:val="pt-BR"/>
        </w:rPr>
        <w:t xml:space="preserve"> </w:t>
      </w:r>
      <w:r w:rsidR="00E550E1">
        <w:rPr>
          <w:lang w:val="pt-BR"/>
        </w:rPr>
        <w:t xml:space="preserve">Não foram observados picos de difração do </w:t>
      </w:r>
      <w:proofErr w:type="spellStart"/>
      <w:r w:rsidR="00E550E1">
        <w:rPr>
          <w:lang w:val="pt-BR"/>
        </w:rPr>
        <w:t>NiO</w:t>
      </w:r>
      <w:proofErr w:type="spellEnd"/>
      <w:r w:rsidR="004F5CBB">
        <w:rPr>
          <w:lang w:val="pt-BR"/>
        </w:rPr>
        <w:t>, o que pode estar relacionado com a elevada dispersão do óxido no suporte</w:t>
      </w:r>
      <w:r w:rsidR="00227576">
        <w:rPr>
          <w:lang w:val="pt-BR"/>
        </w:rPr>
        <w:t xml:space="preserve">. </w:t>
      </w:r>
      <w:r w:rsidR="00140051">
        <w:rPr>
          <w:lang w:val="pt-BR"/>
        </w:rPr>
        <w:t>Além disso, o</w:t>
      </w:r>
      <w:r w:rsidR="00227576" w:rsidRPr="00227576">
        <w:rPr>
          <w:lang w:val="pt-BR"/>
        </w:rPr>
        <w:t xml:space="preserve"> </w:t>
      </w:r>
      <w:proofErr w:type="spellStart"/>
      <w:r w:rsidR="00227576" w:rsidRPr="00227576">
        <w:rPr>
          <w:lang w:val="pt-BR"/>
        </w:rPr>
        <w:t>NiO</w:t>
      </w:r>
      <w:proofErr w:type="spellEnd"/>
      <w:r w:rsidR="00227576" w:rsidRPr="00227576">
        <w:rPr>
          <w:lang w:val="pt-BR"/>
        </w:rPr>
        <w:t xml:space="preserve"> apresenta picos de difração de em 2</w:t>
      </w:r>
      <w:r w:rsidR="00227576">
        <w:t>θ</w:t>
      </w:r>
      <w:r w:rsidR="00227576" w:rsidRPr="00227576">
        <w:rPr>
          <w:lang w:val="pt-BR"/>
        </w:rPr>
        <w:t xml:space="preserve"> igual a 37,4º, 43,4º e 62,9º que coincidem com os picos de difração da HY </w:t>
      </w:r>
      <w:r w:rsidR="00883379">
        <w:rPr>
          <w:lang w:val="pt-BR"/>
        </w:rPr>
        <w:t>[16]</w:t>
      </w:r>
      <w:r w:rsidR="004F5CBB">
        <w:rPr>
          <w:lang w:val="pt-BR"/>
        </w:rPr>
        <w:t xml:space="preserve">. Em </w:t>
      </w:r>
      <w:r w:rsidR="004F5CBB" w:rsidRPr="00E550E1">
        <w:rPr>
          <w:lang w:val="pt-BR"/>
        </w:rPr>
        <w:t>2</w:t>
      </w:r>
      <w:r w:rsidR="004F5CBB">
        <w:t>θ</w:t>
      </w:r>
      <w:r w:rsidR="004F5CBB" w:rsidRPr="00E550E1">
        <w:rPr>
          <w:lang w:val="pt-BR"/>
        </w:rPr>
        <w:t xml:space="preserve"> igual a</w:t>
      </w:r>
      <w:r w:rsidR="004F5CBB">
        <w:rPr>
          <w:lang w:val="pt-BR"/>
        </w:rPr>
        <w:t xml:space="preserve"> 39,7º, pode ser observado um pico de baixa intensidade para o </w:t>
      </w:r>
      <w:proofErr w:type="spellStart"/>
      <w:r w:rsidR="004F5CBB">
        <w:rPr>
          <w:lang w:val="pt-BR"/>
        </w:rPr>
        <w:t>NiPt</w:t>
      </w:r>
      <w:proofErr w:type="spellEnd"/>
      <w:r w:rsidR="004F5CBB">
        <w:rPr>
          <w:lang w:val="pt-BR"/>
        </w:rPr>
        <w:t xml:space="preserve">/HY que está associado à </w:t>
      </w:r>
      <w:proofErr w:type="spellStart"/>
      <w:r w:rsidR="004F5CBB">
        <w:rPr>
          <w:lang w:val="pt-BR"/>
        </w:rPr>
        <w:t>Pt</w:t>
      </w:r>
      <w:proofErr w:type="spellEnd"/>
      <w:r w:rsidR="004F5CBB">
        <w:rPr>
          <w:lang w:val="pt-BR"/>
        </w:rPr>
        <w:t xml:space="preserve"> metálica </w:t>
      </w:r>
      <w:r w:rsidR="00E272B0">
        <w:rPr>
          <w:lang w:val="pt-BR"/>
        </w:rPr>
        <w:fldChar w:fldCharType="begin" w:fldLock="1"/>
      </w:r>
      <w:r w:rsidR="004E5420">
        <w:rPr>
          <w:lang w:val="pt-BR"/>
        </w:rPr>
        <w:instrText>ADDIN CSL_CITATION {"citationItems":[{"id":"ITEM-1","itemData":{"DOI":"10.1016/j.apcata.2014.07.039","ISSN":"0926860X","abstract":"In this work, we address the stability of platinum nanoparticles (Pt-NPs) encapsulated in alumina. Colloidal Pt-NPs capped with poly(N-vinyl-2- pyrrolidone) (PVP) were prepared and enclosed in an oxide matrix by incorporating them during the sol-gel synthesis of boehmite. PVP/Pt molar ratios of 0.2 and 10 produced particles with similar average diameters (&lt;3 nm) but showed very different thermal stability in the alumina support. We investigated the calcination process and the phase transition of the support (boehmite to γ-Al2O3) by several techniques, showing that Pt-NPs catalyzed PVP decomposition at lower temperature than required for dehydroxylation of boehmite, causing sintering of the Pt-NPs when the PVP/Pt ratio was low. The results showed that a high PVP/Pt ratio was required to encapsulate and stabilize the Pt-NPs in the γ-Al2O3 support, having a direct impact in the catalytic performance of the materials in the water gas shift reaction. © 2014 Elsevier B.V.","author":[{"dropping-particle":"","family":"Ribeiro","given":"R. U.","non-dropping-particle":"","parse-names":false,"suffix":""},{"dropping-particle":"","family":"Meira","given":"D. M.","non-dropping-particle":"","parse-names":false,"suffix":""},{"dropping-particle":"","family":"Rodella","given":"C. B.","non-dropping-particle":"","parse-names":false,"suffix":""},{"dropping-particle":"","family":"Oliveira","given":"D. C.","non-dropping-particle":"","parse-names":false,"suffix":""},{"dropping-particle":"","family":"Bueno","given":"J. M.C.","non-dropping-particle":"","parse-names":false,"suffix":""},{"dropping-particle":"","family":"Zanchet","given":"D.","non-dropping-particle":"","parse-names":false,"suffix":""}],"container-title":"Applied Catalysis A: General","id":"ITEM-1","issued":{"date-parts":[["2014"]]},"page":"108-117","publisher":"Elsevier B.V.","title":"Probing the stability of Pt nanoparticles encapsulated in sol-gel Al 2O3 using in situ and ex situ characterization techniques","type":"article-journal","volume":"485"},"uris":["http://www.mendeley.com/documents/?uuid=21143080-c841-42e6-bcd7-596c676244ed"]}],"mendeley":{"formattedCitation":"(14)","plainTextFormattedCitation":"(14)","previouslyFormattedCitation":"(14)"},"properties":{"noteIndex":0},"schema":"https://github.com/citation-style-language/schema/raw/master/csl-citation.json"}</w:instrText>
      </w:r>
      <w:r w:rsidR="00E272B0">
        <w:rPr>
          <w:lang w:val="pt-BR"/>
        </w:rPr>
        <w:fldChar w:fldCharType="separate"/>
      </w:r>
      <w:r w:rsidR="00E050EE" w:rsidRPr="00E050EE">
        <w:rPr>
          <w:noProof/>
          <w:lang w:val="pt-BR"/>
        </w:rPr>
        <w:t>(14)</w:t>
      </w:r>
      <w:r w:rsidR="00E272B0">
        <w:rPr>
          <w:lang w:val="pt-BR"/>
        </w:rPr>
        <w:fldChar w:fldCharType="end"/>
      </w:r>
      <w:r w:rsidR="004F5CBB">
        <w:rPr>
          <w:lang w:val="pt-BR"/>
        </w:rPr>
        <w:t>. Após a adição dos metais ao suporte</w:t>
      </w:r>
      <w:r w:rsidR="00140051">
        <w:rPr>
          <w:lang w:val="pt-BR"/>
        </w:rPr>
        <w:t>,</w:t>
      </w:r>
      <w:r w:rsidR="004F5CBB">
        <w:rPr>
          <w:lang w:val="pt-BR"/>
        </w:rPr>
        <w:t xml:space="preserve"> observa-se uma redução na intensidade dos picos de difração que pode estar associado à absorção de raios X pelo</w:t>
      </w:r>
      <w:r w:rsidR="005269E8">
        <w:rPr>
          <w:lang w:val="pt-BR"/>
        </w:rPr>
        <w:t xml:space="preserve"> Ni e </w:t>
      </w:r>
      <w:proofErr w:type="spellStart"/>
      <w:r w:rsidR="005269E8">
        <w:rPr>
          <w:lang w:val="pt-BR"/>
        </w:rPr>
        <w:t>Pt</w:t>
      </w:r>
      <w:proofErr w:type="spellEnd"/>
      <w:r w:rsidR="004F5CBB">
        <w:rPr>
          <w:lang w:val="pt-BR"/>
        </w:rPr>
        <w:t>.</w:t>
      </w:r>
    </w:p>
    <w:p w14:paraId="2E8338A5" w14:textId="59C2E9CB" w:rsidR="00485F21" w:rsidRDefault="00387C2A" w:rsidP="00485F21">
      <w:pPr>
        <w:jc w:val="center"/>
      </w:pPr>
      <w:r>
        <w:rPr>
          <w:rFonts w:ascii="Times New Roman" w:hAnsi="Times New Roman"/>
          <w:b/>
          <w:noProof/>
        </w:rPr>
        <w:drawing>
          <wp:anchor distT="0" distB="0" distL="114300" distR="114300" simplePos="0" relativeHeight="251662335" behindDoc="0" locked="0" layoutInCell="1" allowOverlap="1" wp14:anchorId="21B383C9" wp14:editId="59B43166">
            <wp:simplePos x="0" y="0"/>
            <wp:positionH relativeFrom="margin">
              <wp:posOffset>3473090</wp:posOffset>
            </wp:positionH>
            <wp:positionV relativeFrom="margin">
              <wp:posOffset>4620248</wp:posOffset>
            </wp:positionV>
            <wp:extent cx="3027680" cy="2541905"/>
            <wp:effectExtent l="0" t="0" r="1270" b="0"/>
            <wp:wrapSquare wrapText="bothSides"/>
            <wp:docPr id="71020943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09434" name="Imagem 7102094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7680" cy="2541905"/>
                    </a:xfrm>
                    <a:prstGeom prst="rect">
                      <a:avLst/>
                    </a:prstGeom>
                  </pic:spPr>
                </pic:pic>
              </a:graphicData>
            </a:graphic>
            <wp14:sizeRelH relativeFrom="margin">
              <wp14:pctWidth>0</wp14:pctWidth>
            </wp14:sizeRelH>
            <wp14:sizeRelV relativeFrom="margin">
              <wp14:pctHeight>0</wp14:pctHeight>
            </wp14:sizeRelV>
          </wp:anchor>
        </w:drawing>
      </w:r>
      <w:r w:rsidR="00591A5C">
        <w:rPr>
          <w:noProof/>
        </w:rPr>
        <w:drawing>
          <wp:inline distT="0" distB="0" distL="0" distR="0" wp14:anchorId="75B50EC3" wp14:editId="35FD5DAD">
            <wp:extent cx="3027680" cy="2573020"/>
            <wp:effectExtent l="0" t="0" r="1270" b="0"/>
            <wp:docPr id="7312414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41436" name="Imagem 73124143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7680" cy="2573020"/>
                    </a:xfrm>
                    <a:prstGeom prst="rect">
                      <a:avLst/>
                    </a:prstGeom>
                  </pic:spPr>
                </pic:pic>
              </a:graphicData>
            </a:graphic>
          </wp:inline>
        </w:drawing>
      </w:r>
    </w:p>
    <w:p w14:paraId="7B20E303" w14:textId="10689558" w:rsidR="00485F21" w:rsidRPr="00E038AF" w:rsidRDefault="00485F21" w:rsidP="00485F21">
      <w:pPr>
        <w:pStyle w:val="VAFigureCaption"/>
        <w:spacing w:before="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sidR="00591A5C">
        <w:rPr>
          <w:rFonts w:ascii="Times New Roman" w:hAnsi="Times New Roman"/>
          <w:lang w:val="pt-BR"/>
        </w:rPr>
        <w:t xml:space="preserve">Difratogramas de Raios X obtidos para a HY, </w:t>
      </w:r>
      <w:proofErr w:type="spellStart"/>
      <w:r w:rsidR="00591A5C">
        <w:rPr>
          <w:rFonts w:ascii="Times New Roman" w:hAnsi="Times New Roman"/>
          <w:lang w:val="pt-BR"/>
        </w:rPr>
        <w:t>NiPt</w:t>
      </w:r>
      <w:proofErr w:type="spellEnd"/>
      <w:r w:rsidR="00591A5C">
        <w:rPr>
          <w:rFonts w:ascii="Times New Roman" w:hAnsi="Times New Roman"/>
          <w:lang w:val="pt-BR"/>
        </w:rPr>
        <w:t>/HY, Nb</w:t>
      </w:r>
      <w:r w:rsidR="00591A5C" w:rsidRPr="00AD35FB">
        <w:rPr>
          <w:rFonts w:ascii="Times New Roman" w:hAnsi="Times New Roman"/>
          <w:vertAlign w:val="subscript"/>
          <w:lang w:val="pt-BR"/>
        </w:rPr>
        <w:t>2</w:t>
      </w:r>
      <w:r w:rsidR="00591A5C">
        <w:rPr>
          <w:rFonts w:ascii="Times New Roman" w:hAnsi="Times New Roman"/>
          <w:lang w:val="pt-BR"/>
        </w:rPr>
        <w:t>O</w:t>
      </w:r>
      <w:r w:rsidR="00591A5C" w:rsidRPr="00AD35FB">
        <w:rPr>
          <w:rFonts w:ascii="Times New Roman" w:hAnsi="Times New Roman"/>
          <w:vertAlign w:val="subscript"/>
          <w:lang w:val="pt-BR"/>
        </w:rPr>
        <w:t>5</w:t>
      </w:r>
      <w:r w:rsidR="00591A5C">
        <w:rPr>
          <w:rFonts w:ascii="Times New Roman" w:hAnsi="Times New Roman"/>
          <w:lang w:val="pt-BR"/>
        </w:rPr>
        <w:t xml:space="preserve">, </w:t>
      </w:r>
      <w:proofErr w:type="spellStart"/>
      <w:r w:rsidR="00591A5C">
        <w:rPr>
          <w:rFonts w:ascii="Times New Roman" w:hAnsi="Times New Roman"/>
          <w:lang w:val="pt-BR"/>
        </w:rPr>
        <w:t>SNb</w:t>
      </w:r>
      <w:proofErr w:type="spellEnd"/>
      <w:r w:rsidR="00591A5C">
        <w:rPr>
          <w:rFonts w:ascii="Times New Roman" w:hAnsi="Times New Roman"/>
          <w:lang w:val="pt-BR"/>
        </w:rPr>
        <w:t xml:space="preserve">-HY e </w:t>
      </w:r>
      <w:proofErr w:type="spellStart"/>
      <w:r w:rsidR="00591A5C">
        <w:rPr>
          <w:rFonts w:ascii="Times New Roman" w:hAnsi="Times New Roman"/>
          <w:lang w:val="pt-BR"/>
        </w:rPr>
        <w:t>NiPt</w:t>
      </w:r>
      <w:proofErr w:type="spellEnd"/>
      <w:r w:rsidR="00591A5C">
        <w:rPr>
          <w:rFonts w:ascii="Times New Roman" w:hAnsi="Times New Roman"/>
          <w:lang w:val="pt-BR"/>
        </w:rPr>
        <w:t>/</w:t>
      </w:r>
      <w:proofErr w:type="spellStart"/>
      <w:r w:rsidR="00591A5C">
        <w:rPr>
          <w:rFonts w:ascii="Times New Roman" w:hAnsi="Times New Roman"/>
          <w:lang w:val="pt-BR"/>
        </w:rPr>
        <w:t>SNb</w:t>
      </w:r>
      <w:proofErr w:type="spellEnd"/>
      <w:r w:rsidR="00591A5C">
        <w:rPr>
          <w:rFonts w:ascii="Times New Roman" w:hAnsi="Times New Roman"/>
          <w:lang w:val="pt-BR"/>
        </w:rPr>
        <w:t>-HY</w:t>
      </w:r>
      <w:r w:rsidRPr="00E038AF">
        <w:rPr>
          <w:rFonts w:ascii="Times New Roman" w:hAnsi="Times New Roman"/>
          <w:lang w:val="pt-BR"/>
        </w:rPr>
        <w:t>.</w:t>
      </w:r>
    </w:p>
    <w:p w14:paraId="727026A4" w14:textId="71587B19" w:rsidR="00485F21" w:rsidRDefault="00485F21" w:rsidP="00485F21">
      <w:pPr>
        <w:pStyle w:val="TAMainText"/>
        <w:ind w:firstLine="0"/>
        <w:rPr>
          <w:rFonts w:ascii="Times New Roman" w:hAnsi="Times New Roman"/>
          <w:lang w:val="pt-BR"/>
        </w:rPr>
      </w:pPr>
    </w:p>
    <w:p w14:paraId="04255D96" w14:textId="035B0FBE" w:rsidR="005269E8" w:rsidRDefault="005269E8" w:rsidP="005269E8">
      <w:pPr>
        <w:pStyle w:val="TAMainText"/>
        <w:ind w:firstLine="187"/>
        <w:rPr>
          <w:rFonts w:ascii="Times New Roman" w:hAnsi="Times New Roman"/>
          <w:lang w:val="pt-BR"/>
        </w:rPr>
      </w:pPr>
      <w:r>
        <w:rPr>
          <w:lang w:val="pt-BR"/>
        </w:rPr>
        <w:t xml:space="preserve">O </w:t>
      </w:r>
      <w:proofErr w:type="spellStart"/>
      <w:r>
        <w:rPr>
          <w:lang w:val="pt-BR"/>
        </w:rPr>
        <w:t>SNb</w:t>
      </w:r>
      <w:proofErr w:type="spellEnd"/>
      <w:r>
        <w:rPr>
          <w:lang w:val="pt-BR"/>
        </w:rPr>
        <w:t>-HY apresentou perfil de difração similar à HY e, além disso, apresentou picos de difração do Nb</w:t>
      </w:r>
      <w:r w:rsidRPr="0023778C">
        <w:rPr>
          <w:vertAlign w:val="subscript"/>
          <w:lang w:val="pt-BR"/>
        </w:rPr>
        <w:t>2</w:t>
      </w:r>
      <w:r>
        <w:rPr>
          <w:lang w:val="pt-BR"/>
        </w:rPr>
        <w:t>O</w:t>
      </w:r>
      <w:r w:rsidRPr="0023778C">
        <w:rPr>
          <w:vertAlign w:val="subscript"/>
          <w:lang w:val="pt-BR"/>
        </w:rPr>
        <w:t>5</w:t>
      </w:r>
      <w:r>
        <w:rPr>
          <w:lang w:val="pt-BR"/>
        </w:rPr>
        <w:t xml:space="preserve">, conforme pode ser observado pela Figura 1. Assim como observado para o </w:t>
      </w:r>
      <w:proofErr w:type="spellStart"/>
      <w:r>
        <w:rPr>
          <w:lang w:val="pt-BR"/>
        </w:rPr>
        <w:t>NiPt</w:t>
      </w:r>
      <w:proofErr w:type="spellEnd"/>
      <w:r>
        <w:rPr>
          <w:lang w:val="pt-BR"/>
        </w:rPr>
        <w:t xml:space="preserve">/HY, para o </w:t>
      </w:r>
      <w:proofErr w:type="spellStart"/>
      <w:r>
        <w:rPr>
          <w:lang w:val="pt-BR"/>
        </w:rPr>
        <w:t>NiPt</w:t>
      </w:r>
      <w:proofErr w:type="spellEnd"/>
      <w:r>
        <w:rPr>
          <w:lang w:val="pt-BR"/>
        </w:rPr>
        <w:t>/</w:t>
      </w:r>
      <w:proofErr w:type="spellStart"/>
      <w:r>
        <w:rPr>
          <w:lang w:val="pt-BR"/>
        </w:rPr>
        <w:t>SNb</w:t>
      </w:r>
      <w:proofErr w:type="spellEnd"/>
      <w:r>
        <w:rPr>
          <w:lang w:val="pt-BR"/>
        </w:rPr>
        <w:t xml:space="preserve">-HY não foram observados picos de difração do </w:t>
      </w:r>
      <w:proofErr w:type="spellStart"/>
      <w:r>
        <w:rPr>
          <w:lang w:val="pt-BR"/>
        </w:rPr>
        <w:t>NiO</w:t>
      </w:r>
      <w:proofErr w:type="spellEnd"/>
      <w:r>
        <w:rPr>
          <w:lang w:val="pt-BR"/>
        </w:rPr>
        <w:t xml:space="preserve">. O pico de baixa intensidade em torno de 39,7º pode estar associado à presença de </w:t>
      </w:r>
      <w:proofErr w:type="spellStart"/>
      <w:r>
        <w:rPr>
          <w:lang w:val="pt-BR"/>
        </w:rPr>
        <w:t>Pt</w:t>
      </w:r>
      <w:proofErr w:type="spellEnd"/>
      <w:r>
        <w:rPr>
          <w:lang w:val="pt-BR"/>
        </w:rPr>
        <w:t xml:space="preserve"> metálica </w:t>
      </w:r>
      <w:r w:rsidR="00883379">
        <w:rPr>
          <w:lang w:val="pt-BR"/>
        </w:rPr>
        <w:t>[14]</w:t>
      </w:r>
      <w:r>
        <w:rPr>
          <w:lang w:val="pt-BR"/>
        </w:rPr>
        <w:t>.</w:t>
      </w:r>
    </w:p>
    <w:p w14:paraId="49B135A4" w14:textId="1D653F98" w:rsidR="00D469B8" w:rsidRDefault="00485F21" w:rsidP="00D469B8">
      <w:pPr>
        <w:pStyle w:val="TAMainText"/>
        <w:ind w:firstLine="187"/>
        <w:rPr>
          <w:rFonts w:ascii="Times New Roman" w:hAnsi="Times New Roman"/>
          <w:lang w:val="pt-BR"/>
        </w:rPr>
      </w:pPr>
      <w:r>
        <w:rPr>
          <w:rFonts w:ascii="Times New Roman" w:hAnsi="Times New Roman"/>
          <w:lang w:val="pt-BR"/>
        </w:rPr>
        <w:t>Na Figura 2 estão apresentados os resultados de TPR-H</w:t>
      </w:r>
      <w:r w:rsidRPr="0065570B">
        <w:rPr>
          <w:rFonts w:ascii="Times New Roman" w:hAnsi="Times New Roman"/>
          <w:vertAlign w:val="subscript"/>
          <w:lang w:val="pt-BR"/>
        </w:rPr>
        <w:t xml:space="preserve">2 </w:t>
      </w:r>
      <w:r>
        <w:rPr>
          <w:rFonts w:ascii="Times New Roman" w:hAnsi="Times New Roman"/>
          <w:lang w:val="pt-BR"/>
        </w:rPr>
        <w:t xml:space="preserve">obtidos para </w:t>
      </w:r>
      <w:r w:rsidR="005269E8">
        <w:rPr>
          <w:rFonts w:ascii="Times New Roman" w:hAnsi="Times New Roman"/>
          <w:lang w:val="pt-BR"/>
        </w:rPr>
        <w:t>o</w:t>
      </w:r>
      <w:r w:rsidR="00591A5C">
        <w:rPr>
          <w:rFonts w:ascii="Times New Roman" w:hAnsi="Times New Roman"/>
          <w:lang w:val="pt-BR"/>
        </w:rPr>
        <w:t xml:space="preserve"> </w:t>
      </w:r>
      <w:proofErr w:type="spellStart"/>
      <w:r w:rsidR="00591A5C">
        <w:rPr>
          <w:rFonts w:ascii="Times New Roman" w:hAnsi="Times New Roman"/>
          <w:lang w:val="pt-BR"/>
        </w:rPr>
        <w:t>NiPt</w:t>
      </w:r>
      <w:proofErr w:type="spellEnd"/>
      <w:r w:rsidR="00591A5C">
        <w:rPr>
          <w:rFonts w:ascii="Times New Roman" w:hAnsi="Times New Roman"/>
          <w:lang w:val="pt-BR"/>
        </w:rPr>
        <w:t xml:space="preserve">/HY, </w:t>
      </w:r>
      <w:proofErr w:type="spellStart"/>
      <w:r w:rsidR="00591A5C">
        <w:rPr>
          <w:rFonts w:ascii="Times New Roman" w:hAnsi="Times New Roman"/>
          <w:lang w:val="pt-BR"/>
        </w:rPr>
        <w:t>SNb</w:t>
      </w:r>
      <w:proofErr w:type="spellEnd"/>
      <w:r w:rsidR="00591A5C">
        <w:rPr>
          <w:rFonts w:ascii="Times New Roman" w:hAnsi="Times New Roman"/>
          <w:lang w:val="pt-BR"/>
        </w:rPr>
        <w:t>-HY</w:t>
      </w:r>
      <w:r w:rsidR="005269E8">
        <w:rPr>
          <w:rFonts w:ascii="Times New Roman" w:hAnsi="Times New Roman"/>
          <w:lang w:val="pt-BR"/>
        </w:rPr>
        <w:t>,</w:t>
      </w:r>
      <w:r w:rsidR="00591A5C">
        <w:rPr>
          <w:rFonts w:ascii="Times New Roman" w:hAnsi="Times New Roman"/>
          <w:lang w:val="pt-BR"/>
        </w:rPr>
        <w:t xml:space="preserve"> </w:t>
      </w:r>
      <w:proofErr w:type="spellStart"/>
      <w:r w:rsidR="00591A5C">
        <w:rPr>
          <w:rFonts w:ascii="Times New Roman" w:hAnsi="Times New Roman"/>
          <w:lang w:val="pt-BR"/>
        </w:rPr>
        <w:t>NiPt</w:t>
      </w:r>
      <w:proofErr w:type="spellEnd"/>
      <w:r w:rsidR="00591A5C">
        <w:rPr>
          <w:rFonts w:ascii="Times New Roman" w:hAnsi="Times New Roman"/>
          <w:lang w:val="pt-BR"/>
        </w:rPr>
        <w:t>/</w:t>
      </w:r>
      <w:proofErr w:type="spellStart"/>
      <w:r w:rsidR="00591A5C">
        <w:rPr>
          <w:rFonts w:ascii="Times New Roman" w:hAnsi="Times New Roman"/>
          <w:lang w:val="pt-BR"/>
        </w:rPr>
        <w:t>SNb</w:t>
      </w:r>
      <w:proofErr w:type="spellEnd"/>
      <w:r w:rsidR="00591A5C">
        <w:rPr>
          <w:rFonts w:ascii="Times New Roman" w:hAnsi="Times New Roman"/>
          <w:lang w:val="pt-BR"/>
        </w:rPr>
        <w:t>-HY</w:t>
      </w:r>
      <w:r w:rsidR="005269E8">
        <w:rPr>
          <w:rFonts w:ascii="Times New Roman" w:hAnsi="Times New Roman"/>
          <w:lang w:val="pt-BR"/>
        </w:rPr>
        <w:t xml:space="preserve"> e Nb</w:t>
      </w:r>
      <w:r w:rsidR="005269E8" w:rsidRPr="005269E8">
        <w:rPr>
          <w:rFonts w:ascii="Times New Roman" w:hAnsi="Times New Roman"/>
          <w:vertAlign w:val="subscript"/>
          <w:lang w:val="pt-BR"/>
        </w:rPr>
        <w:t>2</w:t>
      </w:r>
      <w:r w:rsidR="005269E8">
        <w:rPr>
          <w:rFonts w:ascii="Times New Roman" w:hAnsi="Times New Roman"/>
          <w:lang w:val="pt-BR"/>
        </w:rPr>
        <w:t>O</w:t>
      </w:r>
      <w:r w:rsidR="005269E8" w:rsidRPr="005269E8">
        <w:rPr>
          <w:rFonts w:ascii="Times New Roman" w:hAnsi="Times New Roman"/>
          <w:vertAlign w:val="subscript"/>
          <w:lang w:val="pt-BR"/>
        </w:rPr>
        <w:t>5</w:t>
      </w:r>
      <w:r>
        <w:rPr>
          <w:rFonts w:ascii="Times New Roman" w:hAnsi="Times New Roman"/>
          <w:lang w:val="pt-BR"/>
        </w:rPr>
        <w:t>.</w:t>
      </w:r>
      <w:r w:rsidR="0065570B">
        <w:rPr>
          <w:rFonts w:ascii="Times New Roman" w:hAnsi="Times New Roman"/>
          <w:lang w:val="pt-BR"/>
        </w:rPr>
        <w:t xml:space="preserve"> O </w:t>
      </w:r>
      <w:proofErr w:type="spellStart"/>
      <w:r w:rsidR="0065570B">
        <w:rPr>
          <w:rFonts w:ascii="Times New Roman" w:hAnsi="Times New Roman"/>
          <w:lang w:val="pt-BR"/>
        </w:rPr>
        <w:t>NiPt</w:t>
      </w:r>
      <w:proofErr w:type="spellEnd"/>
      <w:r w:rsidR="0065570B">
        <w:rPr>
          <w:rFonts w:ascii="Times New Roman" w:hAnsi="Times New Roman"/>
          <w:lang w:val="pt-BR"/>
        </w:rPr>
        <w:t>/HY apresenta máxima redução em torno de 474 ºC</w:t>
      </w:r>
      <w:r w:rsidR="00580DF7">
        <w:rPr>
          <w:rFonts w:ascii="Times New Roman" w:hAnsi="Times New Roman"/>
          <w:lang w:val="pt-BR"/>
        </w:rPr>
        <w:t xml:space="preserve"> </w:t>
      </w:r>
      <w:r w:rsidR="005269E8">
        <w:rPr>
          <w:rFonts w:ascii="Times New Roman" w:hAnsi="Times New Roman"/>
          <w:lang w:val="pt-BR"/>
        </w:rPr>
        <w:t>correspondente</w:t>
      </w:r>
      <w:r w:rsidR="00580DF7">
        <w:rPr>
          <w:rFonts w:ascii="Times New Roman" w:hAnsi="Times New Roman"/>
          <w:lang w:val="pt-BR"/>
        </w:rPr>
        <w:t xml:space="preserve"> à redução do Ni</w:t>
      </w:r>
      <w:r w:rsidR="00E272B0" w:rsidRPr="00E272B0">
        <w:rPr>
          <w:rFonts w:ascii="Times New Roman" w:hAnsi="Times New Roman"/>
          <w:vertAlign w:val="superscript"/>
          <w:lang w:val="pt-BR"/>
        </w:rPr>
        <w:t>2+</w:t>
      </w:r>
      <w:r w:rsidR="00E272B0">
        <w:rPr>
          <w:rFonts w:ascii="Times New Roman" w:hAnsi="Times New Roman"/>
          <w:lang w:val="pt-BR"/>
        </w:rPr>
        <w:t xml:space="preserve"> a Ni</w:t>
      </w:r>
      <w:r w:rsidR="00E272B0" w:rsidRPr="00E272B0">
        <w:rPr>
          <w:rFonts w:ascii="Times New Roman" w:hAnsi="Times New Roman"/>
          <w:vertAlign w:val="superscript"/>
          <w:lang w:val="pt-BR"/>
        </w:rPr>
        <w:t>0</w:t>
      </w:r>
      <w:r w:rsidR="00580DF7">
        <w:rPr>
          <w:rFonts w:ascii="Times New Roman" w:hAnsi="Times New Roman"/>
          <w:lang w:val="pt-BR"/>
        </w:rPr>
        <w:t>.</w:t>
      </w:r>
      <w:r w:rsidR="00780EB3">
        <w:rPr>
          <w:rFonts w:ascii="Times New Roman" w:hAnsi="Times New Roman"/>
          <w:lang w:val="pt-BR"/>
        </w:rPr>
        <w:t xml:space="preserve"> </w:t>
      </w:r>
      <w:r w:rsidR="00780EB3" w:rsidRPr="00780EB3">
        <w:rPr>
          <w:lang w:val="pt-BR"/>
        </w:rPr>
        <w:t xml:space="preserve">A temperatura de redução do </w:t>
      </w:r>
      <w:proofErr w:type="spellStart"/>
      <w:r w:rsidR="00780EB3" w:rsidRPr="00780EB3">
        <w:rPr>
          <w:lang w:val="pt-BR"/>
        </w:rPr>
        <w:t>NiO</w:t>
      </w:r>
      <w:proofErr w:type="spellEnd"/>
      <w:r w:rsidR="00780EB3" w:rsidRPr="00780EB3">
        <w:rPr>
          <w:lang w:val="pt-BR"/>
        </w:rPr>
        <w:t xml:space="preserve"> mássico é em torno de 300 – 380 °C, o que sugere forte interação das espécies </w:t>
      </w:r>
      <w:proofErr w:type="spellStart"/>
      <w:r w:rsidR="00780EB3" w:rsidRPr="00780EB3">
        <w:rPr>
          <w:lang w:val="pt-BR"/>
        </w:rPr>
        <w:t>NiO</w:t>
      </w:r>
      <w:proofErr w:type="spellEnd"/>
      <w:r w:rsidR="00780EB3" w:rsidRPr="00780EB3">
        <w:rPr>
          <w:lang w:val="pt-BR"/>
        </w:rPr>
        <w:t xml:space="preserve"> com a HY</w:t>
      </w:r>
      <w:r w:rsidR="00780EB3">
        <w:rPr>
          <w:lang w:val="pt-BR"/>
        </w:rPr>
        <w:t xml:space="preserve"> </w:t>
      </w:r>
      <w:r w:rsidR="00883379">
        <w:rPr>
          <w:lang w:val="pt-BR"/>
        </w:rPr>
        <w:t>[16]</w:t>
      </w:r>
      <w:r w:rsidR="00780EB3">
        <w:rPr>
          <w:lang w:val="pt-BR"/>
        </w:rPr>
        <w:t>.</w:t>
      </w:r>
      <w:r w:rsidR="00580DF7">
        <w:rPr>
          <w:rFonts w:ascii="Times New Roman" w:hAnsi="Times New Roman"/>
          <w:lang w:val="pt-BR"/>
        </w:rPr>
        <w:t xml:space="preserve"> Observa-se que o </w:t>
      </w:r>
      <w:proofErr w:type="spellStart"/>
      <w:r w:rsidR="00580DF7">
        <w:rPr>
          <w:rFonts w:ascii="Times New Roman" w:hAnsi="Times New Roman"/>
          <w:lang w:val="pt-BR"/>
        </w:rPr>
        <w:t>NiPt</w:t>
      </w:r>
      <w:proofErr w:type="spellEnd"/>
      <w:r w:rsidR="00580DF7">
        <w:rPr>
          <w:rFonts w:ascii="Times New Roman" w:hAnsi="Times New Roman"/>
          <w:lang w:val="pt-BR"/>
        </w:rPr>
        <w:t>/</w:t>
      </w:r>
      <w:proofErr w:type="spellStart"/>
      <w:r w:rsidR="00580DF7">
        <w:rPr>
          <w:rFonts w:ascii="Times New Roman" w:hAnsi="Times New Roman"/>
          <w:lang w:val="pt-BR"/>
        </w:rPr>
        <w:t>SNb</w:t>
      </w:r>
      <w:proofErr w:type="spellEnd"/>
      <w:r w:rsidR="00580DF7">
        <w:rPr>
          <w:rFonts w:ascii="Times New Roman" w:hAnsi="Times New Roman"/>
          <w:lang w:val="pt-BR"/>
        </w:rPr>
        <w:t>-HY apresentou máxima redução em torno de 386 ºC, ou seja, a</w:t>
      </w:r>
      <w:r w:rsidR="0080273E">
        <w:rPr>
          <w:rFonts w:ascii="Times New Roman" w:hAnsi="Times New Roman"/>
          <w:lang w:val="pt-BR"/>
        </w:rPr>
        <w:t xml:space="preserve"> redução do </w:t>
      </w:r>
      <w:proofErr w:type="spellStart"/>
      <w:r w:rsidR="0080273E">
        <w:rPr>
          <w:rFonts w:ascii="Times New Roman" w:hAnsi="Times New Roman"/>
          <w:lang w:val="pt-BR"/>
        </w:rPr>
        <w:t>NiPt</w:t>
      </w:r>
      <w:proofErr w:type="spellEnd"/>
      <w:r w:rsidR="0080273E">
        <w:rPr>
          <w:rFonts w:ascii="Times New Roman" w:hAnsi="Times New Roman"/>
          <w:lang w:val="pt-BR"/>
        </w:rPr>
        <w:t>/</w:t>
      </w:r>
      <w:proofErr w:type="spellStart"/>
      <w:r w:rsidR="0080273E">
        <w:rPr>
          <w:rFonts w:ascii="Times New Roman" w:hAnsi="Times New Roman"/>
          <w:lang w:val="pt-BR"/>
        </w:rPr>
        <w:t>SNb</w:t>
      </w:r>
      <w:proofErr w:type="spellEnd"/>
      <w:r w:rsidR="0080273E">
        <w:rPr>
          <w:rFonts w:ascii="Times New Roman" w:hAnsi="Times New Roman"/>
          <w:lang w:val="pt-BR"/>
        </w:rPr>
        <w:t xml:space="preserve">-HY ocorreu em menor temperatura se comparado com o </w:t>
      </w:r>
      <w:proofErr w:type="spellStart"/>
      <w:r w:rsidR="0080273E">
        <w:rPr>
          <w:rFonts w:ascii="Times New Roman" w:hAnsi="Times New Roman"/>
          <w:lang w:val="pt-BR"/>
        </w:rPr>
        <w:t>NiPt</w:t>
      </w:r>
      <w:proofErr w:type="spellEnd"/>
      <w:r w:rsidR="0080273E">
        <w:rPr>
          <w:rFonts w:ascii="Times New Roman" w:hAnsi="Times New Roman"/>
          <w:lang w:val="pt-BR"/>
        </w:rPr>
        <w:t>/HY.</w:t>
      </w:r>
      <w:r w:rsidR="00D42816">
        <w:rPr>
          <w:rFonts w:ascii="Times New Roman" w:hAnsi="Times New Roman"/>
          <w:lang w:val="pt-BR"/>
        </w:rPr>
        <w:t xml:space="preserve"> </w:t>
      </w:r>
      <w:r w:rsidR="00E01918">
        <w:rPr>
          <w:rFonts w:ascii="Times New Roman" w:hAnsi="Times New Roman"/>
          <w:lang w:val="pt-BR"/>
        </w:rPr>
        <w:t xml:space="preserve">O </w:t>
      </w:r>
      <w:proofErr w:type="spellStart"/>
      <w:r w:rsidR="00E01918">
        <w:rPr>
          <w:rFonts w:ascii="Times New Roman" w:hAnsi="Times New Roman"/>
          <w:lang w:val="pt-BR"/>
        </w:rPr>
        <w:t>NiPt</w:t>
      </w:r>
      <w:proofErr w:type="spellEnd"/>
      <w:r w:rsidR="00E01918">
        <w:rPr>
          <w:rFonts w:ascii="Times New Roman" w:hAnsi="Times New Roman"/>
          <w:lang w:val="pt-BR"/>
        </w:rPr>
        <w:t>/</w:t>
      </w:r>
      <w:proofErr w:type="spellStart"/>
      <w:r w:rsidR="00E01918">
        <w:rPr>
          <w:rFonts w:ascii="Times New Roman" w:hAnsi="Times New Roman"/>
          <w:lang w:val="pt-BR"/>
        </w:rPr>
        <w:t>SNb</w:t>
      </w:r>
      <w:proofErr w:type="spellEnd"/>
      <w:r w:rsidR="00E01918">
        <w:rPr>
          <w:rFonts w:ascii="Times New Roman" w:hAnsi="Times New Roman"/>
          <w:lang w:val="pt-BR"/>
        </w:rPr>
        <w:t>-HY apresentou um sinal de redução em torno de 840 ºC que está associado à redução do Nb</w:t>
      </w:r>
      <w:r w:rsidR="00E01918" w:rsidRPr="00E01918">
        <w:rPr>
          <w:rFonts w:ascii="Times New Roman" w:hAnsi="Times New Roman"/>
          <w:vertAlign w:val="subscript"/>
          <w:lang w:val="pt-BR"/>
        </w:rPr>
        <w:t>2</w:t>
      </w:r>
      <w:r w:rsidR="00E01918">
        <w:rPr>
          <w:rFonts w:ascii="Times New Roman" w:hAnsi="Times New Roman"/>
          <w:lang w:val="pt-BR"/>
        </w:rPr>
        <w:t>O</w:t>
      </w:r>
      <w:r w:rsidR="00E01918" w:rsidRPr="00E01918">
        <w:rPr>
          <w:rFonts w:ascii="Times New Roman" w:hAnsi="Times New Roman"/>
          <w:vertAlign w:val="subscript"/>
          <w:lang w:val="pt-BR"/>
        </w:rPr>
        <w:t>5</w:t>
      </w:r>
      <w:r w:rsidR="00E01918">
        <w:rPr>
          <w:rFonts w:ascii="Times New Roman" w:hAnsi="Times New Roman"/>
          <w:lang w:val="pt-BR"/>
        </w:rPr>
        <w:t>, o que pode ser confirmado pela redução do Nb</w:t>
      </w:r>
      <w:r w:rsidR="00E01918" w:rsidRPr="00E01918">
        <w:rPr>
          <w:rFonts w:ascii="Times New Roman" w:hAnsi="Times New Roman"/>
          <w:vertAlign w:val="subscript"/>
          <w:lang w:val="pt-BR"/>
        </w:rPr>
        <w:t>2</w:t>
      </w:r>
      <w:r w:rsidR="00E01918">
        <w:rPr>
          <w:rFonts w:ascii="Times New Roman" w:hAnsi="Times New Roman"/>
          <w:lang w:val="pt-BR"/>
        </w:rPr>
        <w:t>O</w:t>
      </w:r>
      <w:r w:rsidR="00E01918" w:rsidRPr="00E01918">
        <w:rPr>
          <w:rFonts w:ascii="Times New Roman" w:hAnsi="Times New Roman"/>
          <w:vertAlign w:val="subscript"/>
          <w:lang w:val="pt-BR"/>
        </w:rPr>
        <w:t>5</w:t>
      </w:r>
      <w:r w:rsidR="00E01918">
        <w:rPr>
          <w:rFonts w:ascii="Times New Roman" w:hAnsi="Times New Roman"/>
          <w:lang w:val="pt-BR"/>
        </w:rPr>
        <w:t xml:space="preserve"> puro que apresenta redução na mesma região</w:t>
      </w:r>
      <w:r w:rsidR="00E272B0">
        <w:rPr>
          <w:rFonts w:ascii="Times New Roman" w:hAnsi="Times New Roman"/>
          <w:lang w:val="pt-BR"/>
        </w:rPr>
        <w:t xml:space="preserve"> </w:t>
      </w:r>
      <w:r w:rsidR="00883379">
        <w:rPr>
          <w:rFonts w:ascii="Times New Roman" w:hAnsi="Times New Roman"/>
          <w:lang w:val="pt-BR"/>
        </w:rPr>
        <w:t>[10]</w:t>
      </w:r>
      <w:r w:rsidR="0080273E">
        <w:rPr>
          <w:rFonts w:ascii="Times New Roman" w:hAnsi="Times New Roman"/>
          <w:lang w:val="pt-BR"/>
        </w:rPr>
        <w:t xml:space="preserve">. </w:t>
      </w:r>
      <w:r w:rsidR="00090B51">
        <w:rPr>
          <w:rFonts w:ascii="Times New Roman" w:hAnsi="Times New Roman"/>
          <w:lang w:val="pt-BR"/>
        </w:rPr>
        <w:t>O</w:t>
      </w:r>
      <w:r w:rsidR="0080273E">
        <w:rPr>
          <w:rFonts w:ascii="Times New Roman" w:hAnsi="Times New Roman"/>
          <w:lang w:val="pt-BR"/>
        </w:rPr>
        <w:t xml:space="preserve"> </w:t>
      </w:r>
      <w:proofErr w:type="spellStart"/>
      <w:r w:rsidR="0080273E">
        <w:rPr>
          <w:rFonts w:ascii="Times New Roman" w:hAnsi="Times New Roman"/>
          <w:lang w:val="pt-BR"/>
        </w:rPr>
        <w:t>SNb</w:t>
      </w:r>
      <w:proofErr w:type="spellEnd"/>
      <w:r w:rsidR="0080273E">
        <w:rPr>
          <w:rFonts w:ascii="Times New Roman" w:hAnsi="Times New Roman"/>
          <w:lang w:val="pt-BR"/>
        </w:rPr>
        <w:t xml:space="preserve">-HY apresentou </w:t>
      </w:r>
      <w:r w:rsidR="00090B51">
        <w:rPr>
          <w:rFonts w:ascii="Times New Roman" w:hAnsi="Times New Roman"/>
          <w:lang w:val="pt-BR"/>
        </w:rPr>
        <w:t xml:space="preserve">duas regiões de redução, a primeira em torno de </w:t>
      </w:r>
      <w:r w:rsidR="0080273E">
        <w:rPr>
          <w:rFonts w:ascii="Times New Roman" w:hAnsi="Times New Roman"/>
          <w:lang w:val="pt-BR"/>
        </w:rPr>
        <w:t>657 ºC está associad</w:t>
      </w:r>
      <w:r w:rsidR="00D42816">
        <w:rPr>
          <w:rFonts w:ascii="Times New Roman" w:hAnsi="Times New Roman"/>
          <w:lang w:val="pt-BR"/>
        </w:rPr>
        <w:t>a</w:t>
      </w:r>
      <w:r w:rsidR="0080273E">
        <w:rPr>
          <w:rFonts w:ascii="Times New Roman" w:hAnsi="Times New Roman"/>
          <w:lang w:val="pt-BR"/>
        </w:rPr>
        <w:t xml:space="preserve"> à redução do grupo sulfato</w:t>
      </w:r>
      <w:r w:rsidR="00090B51">
        <w:rPr>
          <w:rFonts w:ascii="Times New Roman" w:hAnsi="Times New Roman"/>
          <w:lang w:val="pt-BR"/>
        </w:rPr>
        <w:t xml:space="preserve"> e outra em torno de 840 ºC está associada à redução do Nb</w:t>
      </w:r>
      <w:r w:rsidR="00090B51" w:rsidRPr="00090B51">
        <w:rPr>
          <w:rFonts w:ascii="Times New Roman" w:hAnsi="Times New Roman"/>
          <w:vertAlign w:val="subscript"/>
          <w:lang w:val="pt-BR"/>
        </w:rPr>
        <w:t>2</w:t>
      </w:r>
      <w:r w:rsidR="00090B51">
        <w:rPr>
          <w:rFonts w:ascii="Times New Roman" w:hAnsi="Times New Roman"/>
          <w:lang w:val="pt-BR"/>
        </w:rPr>
        <w:t>O</w:t>
      </w:r>
      <w:r w:rsidR="00090B51" w:rsidRPr="00090B51">
        <w:rPr>
          <w:rFonts w:ascii="Times New Roman" w:hAnsi="Times New Roman"/>
          <w:vertAlign w:val="subscript"/>
          <w:lang w:val="pt-BR"/>
        </w:rPr>
        <w:t>5</w:t>
      </w:r>
      <w:r w:rsidR="00E01918">
        <w:rPr>
          <w:rFonts w:ascii="Times New Roman" w:hAnsi="Times New Roman"/>
          <w:lang w:val="pt-BR"/>
        </w:rPr>
        <w:t>.</w:t>
      </w:r>
      <w:r w:rsidR="00D42816">
        <w:rPr>
          <w:rFonts w:ascii="Times New Roman" w:hAnsi="Times New Roman"/>
          <w:lang w:val="pt-BR"/>
        </w:rPr>
        <w:t xml:space="preserve"> A redução do grupo sulfato no </w:t>
      </w:r>
      <w:proofErr w:type="spellStart"/>
      <w:r w:rsidR="00D42816">
        <w:rPr>
          <w:rFonts w:ascii="Times New Roman" w:hAnsi="Times New Roman"/>
          <w:lang w:val="pt-BR"/>
        </w:rPr>
        <w:t>NiPt</w:t>
      </w:r>
      <w:proofErr w:type="spellEnd"/>
      <w:r w:rsidR="00D42816">
        <w:rPr>
          <w:rFonts w:ascii="Times New Roman" w:hAnsi="Times New Roman"/>
          <w:lang w:val="pt-BR"/>
        </w:rPr>
        <w:t>/</w:t>
      </w:r>
      <w:proofErr w:type="spellStart"/>
      <w:r w:rsidR="00D42816">
        <w:rPr>
          <w:rFonts w:ascii="Times New Roman" w:hAnsi="Times New Roman"/>
          <w:lang w:val="pt-BR"/>
        </w:rPr>
        <w:t>SNb</w:t>
      </w:r>
      <w:proofErr w:type="spellEnd"/>
      <w:r w:rsidR="00D42816">
        <w:rPr>
          <w:rFonts w:ascii="Times New Roman" w:hAnsi="Times New Roman"/>
          <w:lang w:val="pt-BR"/>
        </w:rPr>
        <w:t xml:space="preserve">-HY ocorreu em menor temperatura se comparado com o </w:t>
      </w:r>
      <w:proofErr w:type="spellStart"/>
      <w:r w:rsidR="00D42816">
        <w:rPr>
          <w:rFonts w:ascii="Times New Roman" w:hAnsi="Times New Roman"/>
          <w:lang w:val="pt-BR"/>
        </w:rPr>
        <w:t>SNb</w:t>
      </w:r>
      <w:proofErr w:type="spellEnd"/>
      <w:r w:rsidR="00D42816">
        <w:rPr>
          <w:rFonts w:ascii="Times New Roman" w:hAnsi="Times New Roman"/>
          <w:lang w:val="pt-BR"/>
        </w:rPr>
        <w:t xml:space="preserve">-HY puro. Desse modo, à presença do Ni e da </w:t>
      </w:r>
      <w:proofErr w:type="spellStart"/>
      <w:r w:rsidR="00D42816">
        <w:rPr>
          <w:rFonts w:ascii="Times New Roman" w:hAnsi="Times New Roman"/>
          <w:lang w:val="pt-BR"/>
        </w:rPr>
        <w:t>Pt</w:t>
      </w:r>
      <w:proofErr w:type="spellEnd"/>
      <w:r w:rsidR="00D42816">
        <w:rPr>
          <w:rFonts w:ascii="Times New Roman" w:hAnsi="Times New Roman"/>
          <w:lang w:val="pt-BR"/>
        </w:rPr>
        <w:t xml:space="preserve"> no </w:t>
      </w:r>
      <w:proofErr w:type="spellStart"/>
      <w:r w:rsidR="00D42816">
        <w:rPr>
          <w:rFonts w:ascii="Times New Roman" w:hAnsi="Times New Roman"/>
          <w:lang w:val="pt-BR"/>
        </w:rPr>
        <w:t>NiPt</w:t>
      </w:r>
      <w:proofErr w:type="spellEnd"/>
      <w:r w:rsidR="00D42816">
        <w:rPr>
          <w:rFonts w:ascii="Times New Roman" w:hAnsi="Times New Roman"/>
          <w:lang w:val="pt-BR"/>
        </w:rPr>
        <w:t>/</w:t>
      </w:r>
      <w:proofErr w:type="spellStart"/>
      <w:r w:rsidR="00D42816">
        <w:rPr>
          <w:rFonts w:ascii="Times New Roman" w:hAnsi="Times New Roman"/>
          <w:lang w:val="pt-BR"/>
        </w:rPr>
        <w:t>SNb</w:t>
      </w:r>
      <w:proofErr w:type="spellEnd"/>
      <w:r w:rsidR="00D42816">
        <w:rPr>
          <w:rFonts w:ascii="Times New Roman" w:hAnsi="Times New Roman"/>
          <w:lang w:val="pt-BR"/>
        </w:rPr>
        <w:t xml:space="preserve">-HY contribuiu para redução do grupo sulfato em menor temperatura. </w:t>
      </w:r>
      <w:r w:rsidR="005269E8">
        <w:rPr>
          <w:rFonts w:ascii="Times New Roman" w:hAnsi="Times New Roman"/>
          <w:lang w:val="pt-BR"/>
        </w:rPr>
        <w:t xml:space="preserve">Resultado similar foi obtido </w:t>
      </w:r>
      <w:r w:rsidR="00651640">
        <w:rPr>
          <w:rFonts w:ascii="Times New Roman" w:hAnsi="Times New Roman"/>
          <w:lang w:val="pt-BR"/>
        </w:rPr>
        <w:t xml:space="preserve">para o </w:t>
      </w:r>
      <w:r w:rsidR="006D1736">
        <w:rPr>
          <w:rFonts w:ascii="Times New Roman" w:hAnsi="Times New Roman"/>
          <w:lang w:val="pt-BR"/>
        </w:rPr>
        <w:t>catalisador</w:t>
      </w:r>
      <w:r w:rsidR="00651640">
        <w:rPr>
          <w:rFonts w:ascii="Times New Roman" w:hAnsi="Times New Roman"/>
          <w:lang w:val="pt-BR"/>
        </w:rPr>
        <w:t xml:space="preserve"> de </w:t>
      </w:r>
      <w:proofErr w:type="spellStart"/>
      <w:r w:rsidR="00651640">
        <w:rPr>
          <w:rFonts w:ascii="Times New Roman" w:hAnsi="Times New Roman"/>
          <w:lang w:val="pt-BR"/>
        </w:rPr>
        <w:t>Pt</w:t>
      </w:r>
      <w:proofErr w:type="spellEnd"/>
      <w:r w:rsidR="00651640">
        <w:rPr>
          <w:rFonts w:ascii="Times New Roman" w:hAnsi="Times New Roman"/>
          <w:lang w:val="pt-BR"/>
        </w:rPr>
        <w:t xml:space="preserve"> suportada em </w:t>
      </w:r>
      <w:proofErr w:type="spellStart"/>
      <w:r w:rsidR="00651640">
        <w:rPr>
          <w:rFonts w:ascii="Times New Roman" w:hAnsi="Times New Roman"/>
          <w:lang w:val="pt-BR"/>
        </w:rPr>
        <w:t>céria</w:t>
      </w:r>
      <w:proofErr w:type="spellEnd"/>
      <w:r w:rsidR="00651640">
        <w:rPr>
          <w:rFonts w:ascii="Times New Roman" w:hAnsi="Times New Roman"/>
          <w:lang w:val="pt-BR"/>
        </w:rPr>
        <w:t xml:space="preserve">-zircônia sulfatada </w:t>
      </w:r>
      <w:r w:rsidR="00883379">
        <w:rPr>
          <w:rFonts w:ascii="Times New Roman" w:hAnsi="Times New Roman"/>
          <w:lang w:val="pt-BR"/>
        </w:rPr>
        <w:t>[17]</w:t>
      </w:r>
      <w:r w:rsidR="00651640">
        <w:rPr>
          <w:rFonts w:ascii="Times New Roman" w:hAnsi="Times New Roman"/>
          <w:lang w:val="pt-BR"/>
        </w:rPr>
        <w:t xml:space="preserve">. </w:t>
      </w:r>
      <w:r w:rsidR="00D42816">
        <w:rPr>
          <w:rFonts w:ascii="Times New Roman" w:hAnsi="Times New Roman"/>
          <w:lang w:val="pt-BR"/>
        </w:rPr>
        <w:t xml:space="preserve">Além disso, o grupo sulfato também contribuiu para redução do Ni, visto que a temperatura de redução do metal no </w:t>
      </w:r>
      <w:proofErr w:type="spellStart"/>
      <w:r w:rsidR="00D42816">
        <w:rPr>
          <w:rFonts w:ascii="Times New Roman" w:hAnsi="Times New Roman"/>
          <w:lang w:val="pt-BR"/>
        </w:rPr>
        <w:t>NiPt</w:t>
      </w:r>
      <w:proofErr w:type="spellEnd"/>
      <w:r w:rsidR="00D42816">
        <w:rPr>
          <w:rFonts w:ascii="Times New Roman" w:hAnsi="Times New Roman"/>
          <w:lang w:val="pt-BR"/>
        </w:rPr>
        <w:t>/</w:t>
      </w:r>
      <w:proofErr w:type="spellStart"/>
      <w:r w:rsidR="00D42816">
        <w:rPr>
          <w:rFonts w:ascii="Times New Roman" w:hAnsi="Times New Roman"/>
          <w:lang w:val="pt-BR"/>
        </w:rPr>
        <w:t>SNb</w:t>
      </w:r>
      <w:proofErr w:type="spellEnd"/>
      <w:r w:rsidR="00D42816">
        <w:rPr>
          <w:rFonts w:ascii="Times New Roman" w:hAnsi="Times New Roman"/>
          <w:lang w:val="pt-BR"/>
        </w:rPr>
        <w:t xml:space="preserve">-HY foi menor se comparado com </w:t>
      </w:r>
      <w:proofErr w:type="spellStart"/>
      <w:r w:rsidR="00D42816">
        <w:rPr>
          <w:rFonts w:ascii="Times New Roman" w:hAnsi="Times New Roman"/>
          <w:lang w:val="pt-BR"/>
        </w:rPr>
        <w:t>NiPt</w:t>
      </w:r>
      <w:proofErr w:type="spellEnd"/>
      <w:r w:rsidR="00D42816">
        <w:rPr>
          <w:rFonts w:ascii="Times New Roman" w:hAnsi="Times New Roman"/>
          <w:lang w:val="pt-BR"/>
        </w:rPr>
        <w:t>/HY.</w:t>
      </w:r>
      <w:r w:rsidR="00D469B8">
        <w:rPr>
          <w:rFonts w:ascii="Times New Roman" w:hAnsi="Times New Roman"/>
          <w:lang w:val="pt-BR"/>
        </w:rPr>
        <w:t xml:space="preserve"> A temperatura de redução dos catalisadores escolhida para os testes catalíticos foi de 350 ºC de modo </w:t>
      </w:r>
      <w:r w:rsidR="00AD35FB">
        <w:rPr>
          <w:rFonts w:ascii="Times New Roman" w:hAnsi="Times New Roman"/>
          <w:lang w:val="pt-BR"/>
        </w:rPr>
        <w:t xml:space="preserve">que </w:t>
      </w:r>
      <w:r w:rsidR="00D469B8">
        <w:rPr>
          <w:rFonts w:ascii="Times New Roman" w:hAnsi="Times New Roman"/>
          <w:lang w:val="pt-BR"/>
        </w:rPr>
        <w:t>o Ni fosse reduzido e que parte do grupo sulfato fosse mantido no catalisador.</w:t>
      </w:r>
    </w:p>
    <w:p w14:paraId="08FA2F20" w14:textId="53E6D695" w:rsidR="00591A5C" w:rsidRDefault="00591A5C" w:rsidP="00485F21">
      <w:pPr>
        <w:pStyle w:val="VAFigureCaption"/>
        <w:spacing w:before="0"/>
        <w:rPr>
          <w:rFonts w:ascii="Times New Roman" w:hAnsi="Times New Roman"/>
          <w:b/>
          <w:lang w:val="pt-BR"/>
        </w:rPr>
      </w:pPr>
    </w:p>
    <w:p w14:paraId="7E7CD94E" w14:textId="1015200E" w:rsidR="00485F21" w:rsidRPr="00E038AF" w:rsidRDefault="00485F21" w:rsidP="00485F21">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00591A5C">
        <w:rPr>
          <w:rFonts w:ascii="Times New Roman" w:hAnsi="Times New Roman"/>
          <w:lang w:val="pt-BR"/>
        </w:rPr>
        <w:t xml:space="preserve">Perfis de </w:t>
      </w:r>
      <w:r w:rsidR="00C34AE9">
        <w:rPr>
          <w:rFonts w:ascii="Times New Roman" w:hAnsi="Times New Roman"/>
          <w:lang w:val="pt-BR"/>
        </w:rPr>
        <w:t>TPR-</w:t>
      </w:r>
      <w:r w:rsidR="00591A5C">
        <w:rPr>
          <w:rFonts w:ascii="Times New Roman" w:hAnsi="Times New Roman"/>
          <w:lang w:val="pt-BR"/>
        </w:rPr>
        <w:t>H</w:t>
      </w:r>
      <w:r w:rsidR="00591A5C" w:rsidRPr="00A80C3B">
        <w:rPr>
          <w:rFonts w:ascii="Times New Roman" w:hAnsi="Times New Roman"/>
          <w:vertAlign w:val="subscript"/>
          <w:lang w:val="pt-BR"/>
        </w:rPr>
        <w:t>2</w:t>
      </w:r>
      <w:r w:rsidR="00C34AE9">
        <w:rPr>
          <w:rFonts w:ascii="Times New Roman" w:hAnsi="Times New Roman"/>
          <w:lang w:val="pt-BR"/>
        </w:rPr>
        <w:t xml:space="preserve"> obtidos para HY, </w:t>
      </w:r>
      <w:proofErr w:type="spellStart"/>
      <w:r w:rsidR="00C34AE9">
        <w:rPr>
          <w:rFonts w:ascii="Times New Roman" w:hAnsi="Times New Roman"/>
          <w:lang w:val="pt-BR"/>
        </w:rPr>
        <w:t>NiPt</w:t>
      </w:r>
      <w:proofErr w:type="spellEnd"/>
      <w:r w:rsidR="00C34AE9">
        <w:rPr>
          <w:rFonts w:ascii="Times New Roman" w:hAnsi="Times New Roman"/>
          <w:lang w:val="pt-BR"/>
        </w:rPr>
        <w:t>/HY, Nb</w:t>
      </w:r>
      <w:r w:rsidR="00C34AE9" w:rsidRPr="00591A5C">
        <w:rPr>
          <w:rFonts w:ascii="Times New Roman" w:hAnsi="Times New Roman"/>
          <w:vertAlign w:val="subscript"/>
          <w:lang w:val="pt-BR"/>
        </w:rPr>
        <w:t>2</w:t>
      </w:r>
      <w:r w:rsidR="00C34AE9">
        <w:rPr>
          <w:rFonts w:ascii="Times New Roman" w:hAnsi="Times New Roman"/>
          <w:lang w:val="pt-BR"/>
        </w:rPr>
        <w:t>O</w:t>
      </w:r>
      <w:r w:rsidR="00C34AE9" w:rsidRPr="00591A5C">
        <w:rPr>
          <w:rFonts w:ascii="Times New Roman" w:hAnsi="Times New Roman"/>
          <w:vertAlign w:val="subscript"/>
          <w:lang w:val="pt-BR"/>
        </w:rPr>
        <w:t>5</w:t>
      </w:r>
      <w:r w:rsidR="00C34AE9">
        <w:rPr>
          <w:rFonts w:ascii="Times New Roman" w:hAnsi="Times New Roman"/>
          <w:lang w:val="pt-BR"/>
        </w:rPr>
        <w:t xml:space="preserve">, </w:t>
      </w:r>
      <w:proofErr w:type="spellStart"/>
      <w:r w:rsidR="00C34AE9">
        <w:rPr>
          <w:rFonts w:ascii="Times New Roman" w:hAnsi="Times New Roman"/>
          <w:lang w:val="pt-BR"/>
        </w:rPr>
        <w:t>SNb</w:t>
      </w:r>
      <w:proofErr w:type="spellEnd"/>
      <w:r w:rsidR="00C34AE9">
        <w:rPr>
          <w:rFonts w:ascii="Times New Roman" w:hAnsi="Times New Roman"/>
          <w:lang w:val="pt-BR"/>
        </w:rPr>
        <w:t xml:space="preserve">-HY e </w:t>
      </w:r>
      <w:proofErr w:type="spellStart"/>
      <w:r w:rsidR="00C34AE9">
        <w:rPr>
          <w:rFonts w:ascii="Times New Roman" w:hAnsi="Times New Roman"/>
          <w:lang w:val="pt-BR"/>
        </w:rPr>
        <w:t>NiPt</w:t>
      </w:r>
      <w:proofErr w:type="spellEnd"/>
      <w:r w:rsidR="00C34AE9">
        <w:rPr>
          <w:rFonts w:ascii="Times New Roman" w:hAnsi="Times New Roman"/>
          <w:lang w:val="pt-BR"/>
        </w:rPr>
        <w:t>/</w:t>
      </w:r>
      <w:proofErr w:type="spellStart"/>
      <w:r w:rsidR="00C34AE9">
        <w:rPr>
          <w:rFonts w:ascii="Times New Roman" w:hAnsi="Times New Roman"/>
          <w:lang w:val="pt-BR"/>
        </w:rPr>
        <w:t>SNb</w:t>
      </w:r>
      <w:proofErr w:type="spellEnd"/>
      <w:r w:rsidR="00C34AE9">
        <w:rPr>
          <w:rFonts w:ascii="Times New Roman" w:hAnsi="Times New Roman"/>
          <w:lang w:val="pt-BR"/>
        </w:rPr>
        <w:t>-HY</w:t>
      </w:r>
      <w:r w:rsidRPr="00E038AF">
        <w:rPr>
          <w:rFonts w:ascii="Times New Roman" w:hAnsi="Times New Roman"/>
          <w:lang w:val="pt-BR"/>
        </w:rPr>
        <w:t>.</w:t>
      </w:r>
      <w:r w:rsidR="00D42816" w:rsidRPr="00D42816">
        <w:rPr>
          <w:rFonts w:ascii="Times New Roman" w:hAnsi="Times New Roman"/>
          <w:noProof/>
          <w:lang w:val="pt-BR"/>
        </w:rPr>
        <w:t xml:space="preserve"> </w:t>
      </w:r>
    </w:p>
    <w:p w14:paraId="3CC9EFC6" w14:textId="2E9A3FF1" w:rsidR="00485F21" w:rsidRDefault="00485F21" w:rsidP="00485F21">
      <w:pPr>
        <w:pStyle w:val="TAMainText"/>
        <w:ind w:firstLine="0"/>
        <w:rPr>
          <w:rFonts w:ascii="Times New Roman" w:hAnsi="Times New Roman"/>
          <w:lang w:val="pt-BR"/>
        </w:rPr>
      </w:pPr>
    </w:p>
    <w:p w14:paraId="4D7A6D82" w14:textId="3FF77FDB" w:rsidR="00485F21" w:rsidRDefault="00DC20B7" w:rsidP="00EA4E1B">
      <w:pPr>
        <w:pStyle w:val="TAMainText"/>
        <w:ind w:firstLine="187"/>
        <w:rPr>
          <w:rFonts w:ascii="Times New Roman" w:hAnsi="Times New Roman"/>
          <w:lang w:val="pt-BR"/>
        </w:rPr>
      </w:pPr>
      <w:r>
        <w:rPr>
          <w:rFonts w:ascii="Times New Roman" w:hAnsi="Times New Roman"/>
          <w:lang w:val="pt-BR"/>
        </w:rPr>
        <w:t xml:space="preserve">Na Figura </w:t>
      </w:r>
      <w:r w:rsidR="00485F21">
        <w:rPr>
          <w:rFonts w:ascii="Times New Roman" w:hAnsi="Times New Roman"/>
          <w:lang w:val="pt-BR"/>
        </w:rPr>
        <w:t>3</w:t>
      </w:r>
      <w:r>
        <w:rPr>
          <w:rFonts w:ascii="Times New Roman" w:hAnsi="Times New Roman"/>
          <w:lang w:val="pt-BR"/>
        </w:rPr>
        <w:t xml:space="preserve"> estão apresentados </w:t>
      </w:r>
      <w:r w:rsidR="00485F21">
        <w:rPr>
          <w:rFonts w:ascii="Times New Roman" w:hAnsi="Times New Roman"/>
          <w:lang w:val="pt-BR"/>
        </w:rPr>
        <w:t xml:space="preserve">os espectros de FTIR de piridina adsorvida sobre a </w:t>
      </w:r>
      <w:r w:rsidR="00591A5C">
        <w:rPr>
          <w:rFonts w:ascii="Times New Roman" w:hAnsi="Times New Roman"/>
          <w:lang w:val="pt-BR"/>
        </w:rPr>
        <w:t xml:space="preserve">HY, </w:t>
      </w:r>
      <w:proofErr w:type="spellStart"/>
      <w:r w:rsidR="00591A5C">
        <w:rPr>
          <w:rFonts w:ascii="Times New Roman" w:hAnsi="Times New Roman"/>
          <w:lang w:val="pt-BR"/>
        </w:rPr>
        <w:t>NiPt</w:t>
      </w:r>
      <w:proofErr w:type="spellEnd"/>
      <w:r w:rsidR="00591A5C">
        <w:rPr>
          <w:rFonts w:ascii="Times New Roman" w:hAnsi="Times New Roman"/>
          <w:lang w:val="pt-BR"/>
        </w:rPr>
        <w:t xml:space="preserve">/HY, </w:t>
      </w:r>
      <w:proofErr w:type="spellStart"/>
      <w:r w:rsidR="00591A5C">
        <w:rPr>
          <w:rFonts w:ascii="Times New Roman" w:hAnsi="Times New Roman"/>
          <w:lang w:val="pt-BR"/>
        </w:rPr>
        <w:t>SNb</w:t>
      </w:r>
      <w:proofErr w:type="spellEnd"/>
      <w:r w:rsidR="00591A5C">
        <w:rPr>
          <w:rFonts w:ascii="Times New Roman" w:hAnsi="Times New Roman"/>
          <w:lang w:val="pt-BR"/>
        </w:rPr>
        <w:t xml:space="preserve">-HY e </w:t>
      </w:r>
      <w:proofErr w:type="spellStart"/>
      <w:r w:rsidR="00591A5C">
        <w:rPr>
          <w:rFonts w:ascii="Times New Roman" w:hAnsi="Times New Roman"/>
          <w:lang w:val="pt-BR"/>
        </w:rPr>
        <w:t>NiPt</w:t>
      </w:r>
      <w:proofErr w:type="spellEnd"/>
      <w:r w:rsidR="00591A5C">
        <w:rPr>
          <w:rFonts w:ascii="Times New Roman" w:hAnsi="Times New Roman"/>
          <w:lang w:val="pt-BR"/>
        </w:rPr>
        <w:t>/</w:t>
      </w:r>
      <w:proofErr w:type="spellStart"/>
      <w:r w:rsidR="00591A5C">
        <w:rPr>
          <w:rFonts w:ascii="Times New Roman" w:hAnsi="Times New Roman"/>
          <w:lang w:val="pt-BR"/>
        </w:rPr>
        <w:t>SNb</w:t>
      </w:r>
      <w:proofErr w:type="spellEnd"/>
      <w:r w:rsidR="00591A5C">
        <w:rPr>
          <w:rFonts w:ascii="Times New Roman" w:hAnsi="Times New Roman"/>
          <w:lang w:val="pt-BR"/>
        </w:rPr>
        <w:t>-HY</w:t>
      </w:r>
      <w:r w:rsidR="00485F21">
        <w:rPr>
          <w:rFonts w:ascii="Times New Roman" w:hAnsi="Times New Roman"/>
          <w:lang w:val="pt-BR"/>
        </w:rPr>
        <w:t>.</w:t>
      </w:r>
      <w:r w:rsidR="00966BCA">
        <w:rPr>
          <w:rFonts w:ascii="Times New Roman" w:hAnsi="Times New Roman"/>
          <w:lang w:val="pt-BR"/>
        </w:rPr>
        <w:t xml:space="preserve"> </w:t>
      </w:r>
      <w:r w:rsidR="00AD35FB">
        <w:rPr>
          <w:rFonts w:ascii="Times New Roman" w:hAnsi="Times New Roman"/>
          <w:lang w:val="pt-BR"/>
        </w:rPr>
        <w:t>A banda em torno de 1540 cm</w:t>
      </w:r>
      <w:r w:rsidR="00AD35FB" w:rsidRPr="00113989">
        <w:rPr>
          <w:rFonts w:ascii="Times New Roman" w:hAnsi="Times New Roman"/>
          <w:vertAlign w:val="superscript"/>
          <w:lang w:val="pt-BR"/>
        </w:rPr>
        <w:t>-1</w:t>
      </w:r>
      <w:r w:rsidR="00AD35FB">
        <w:rPr>
          <w:rFonts w:ascii="Times New Roman" w:hAnsi="Times New Roman"/>
          <w:lang w:val="pt-BR"/>
        </w:rPr>
        <w:t xml:space="preserve"> e em torno de 1450 cm</w:t>
      </w:r>
      <w:r w:rsidR="00AD35FB" w:rsidRPr="00113989">
        <w:rPr>
          <w:rFonts w:ascii="Times New Roman" w:hAnsi="Times New Roman"/>
          <w:vertAlign w:val="superscript"/>
          <w:lang w:val="pt-BR"/>
        </w:rPr>
        <w:t>-1</w:t>
      </w:r>
      <w:r w:rsidR="00AD35FB">
        <w:rPr>
          <w:rFonts w:ascii="Times New Roman" w:hAnsi="Times New Roman"/>
          <w:vertAlign w:val="superscript"/>
          <w:lang w:val="pt-BR"/>
        </w:rPr>
        <w:t xml:space="preserve"> </w:t>
      </w:r>
      <w:r w:rsidR="00966BCA">
        <w:rPr>
          <w:rFonts w:ascii="Times New Roman" w:hAnsi="Times New Roman"/>
          <w:lang w:val="pt-BR"/>
        </w:rPr>
        <w:t>corresponde</w:t>
      </w:r>
      <w:r w:rsidR="00AD35FB">
        <w:rPr>
          <w:rFonts w:ascii="Times New Roman" w:hAnsi="Times New Roman"/>
          <w:lang w:val="pt-BR"/>
        </w:rPr>
        <w:t>m</w:t>
      </w:r>
      <w:r w:rsidR="00966BCA">
        <w:rPr>
          <w:rFonts w:ascii="Times New Roman" w:hAnsi="Times New Roman"/>
          <w:lang w:val="pt-BR"/>
        </w:rPr>
        <w:t xml:space="preserve"> à adsorção d</w:t>
      </w:r>
      <w:r w:rsidR="00AD35FB">
        <w:rPr>
          <w:rFonts w:ascii="Times New Roman" w:hAnsi="Times New Roman"/>
          <w:lang w:val="pt-BR"/>
        </w:rPr>
        <w:t>e</w:t>
      </w:r>
      <w:r w:rsidR="00966BCA">
        <w:rPr>
          <w:rFonts w:ascii="Times New Roman" w:hAnsi="Times New Roman"/>
          <w:lang w:val="pt-BR"/>
        </w:rPr>
        <w:t xml:space="preserve"> piridina nos sítios </w:t>
      </w:r>
      <w:r w:rsidR="00966BCA">
        <w:rPr>
          <w:rFonts w:ascii="Times New Roman" w:hAnsi="Times New Roman"/>
          <w:lang w:val="pt-BR"/>
        </w:rPr>
        <w:lastRenderedPageBreak/>
        <w:t xml:space="preserve">ácido de </w:t>
      </w:r>
      <w:r w:rsidR="00113989">
        <w:rPr>
          <w:rFonts w:ascii="Times New Roman" w:hAnsi="Times New Roman"/>
          <w:lang w:val="pt-BR"/>
        </w:rPr>
        <w:t>Brønsted</w:t>
      </w:r>
      <w:r w:rsidR="00966BCA">
        <w:rPr>
          <w:rFonts w:ascii="Times New Roman" w:hAnsi="Times New Roman"/>
          <w:lang w:val="pt-BR"/>
        </w:rPr>
        <w:t xml:space="preserve"> e de Lewis, </w:t>
      </w:r>
      <w:r w:rsidR="00AD35FB">
        <w:rPr>
          <w:rFonts w:ascii="Times New Roman" w:hAnsi="Times New Roman"/>
          <w:lang w:val="pt-BR"/>
        </w:rPr>
        <w:t>respectivamente</w:t>
      </w:r>
      <w:r w:rsidR="00113989">
        <w:rPr>
          <w:rFonts w:ascii="Times New Roman" w:hAnsi="Times New Roman"/>
          <w:lang w:val="pt-BR"/>
        </w:rPr>
        <w:t xml:space="preserve">. </w:t>
      </w:r>
      <w:r w:rsidR="00AD35FB">
        <w:rPr>
          <w:rFonts w:ascii="Times New Roman" w:hAnsi="Times New Roman"/>
          <w:lang w:val="pt-BR"/>
        </w:rPr>
        <w:t>Já a</w:t>
      </w:r>
      <w:r w:rsidR="00113989">
        <w:rPr>
          <w:rFonts w:ascii="Times New Roman" w:hAnsi="Times New Roman"/>
          <w:lang w:val="pt-BR"/>
        </w:rPr>
        <w:t xml:space="preserve"> banda em torno de 1488 cm</w:t>
      </w:r>
      <w:r w:rsidR="00113989" w:rsidRPr="00113989">
        <w:rPr>
          <w:rFonts w:ascii="Times New Roman" w:hAnsi="Times New Roman"/>
          <w:vertAlign w:val="superscript"/>
          <w:lang w:val="pt-BR"/>
        </w:rPr>
        <w:t>-1</w:t>
      </w:r>
      <w:r w:rsidR="00113989">
        <w:rPr>
          <w:rFonts w:ascii="Times New Roman" w:hAnsi="Times New Roman"/>
          <w:lang w:val="pt-BR"/>
        </w:rPr>
        <w:t xml:space="preserve"> corresponde à adsorção de piridina nos sítios ácidos de Lewis e Brønsted</w:t>
      </w:r>
      <w:r w:rsidR="007F098D">
        <w:rPr>
          <w:rFonts w:ascii="Times New Roman" w:hAnsi="Times New Roman"/>
          <w:lang w:val="pt-BR"/>
        </w:rPr>
        <w:t xml:space="preserve"> </w:t>
      </w:r>
      <w:r w:rsidR="00883379">
        <w:rPr>
          <w:rFonts w:ascii="Times New Roman" w:hAnsi="Times New Roman"/>
          <w:lang w:val="pt-BR"/>
        </w:rPr>
        <w:t>[18]</w:t>
      </w:r>
      <w:r w:rsidR="00113989">
        <w:rPr>
          <w:rFonts w:ascii="Times New Roman" w:hAnsi="Times New Roman"/>
          <w:lang w:val="pt-BR"/>
        </w:rPr>
        <w:t>.</w:t>
      </w:r>
    </w:p>
    <w:p w14:paraId="2EA9D887" w14:textId="09227EC5" w:rsidR="00485F21" w:rsidRDefault="00FF2F38" w:rsidP="00485F21">
      <w:pPr>
        <w:jc w:val="center"/>
      </w:pPr>
      <w:r>
        <w:rPr>
          <w:noProof/>
        </w:rPr>
        <w:drawing>
          <wp:inline distT="0" distB="0" distL="0" distR="0" wp14:anchorId="0B6601BE" wp14:editId="24F08EE6">
            <wp:extent cx="3027680" cy="2559685"/>
            <wp:effectExtent l="0" t="0" r="1270" b="0"/>
            <wp:docPr id="637732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3287" name="Imagem 637732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7680" cy="2559685"/>
                    </a:xfrm>
                    <a:prstGeom prst="rect">
                      <a:avLst/>
                    </a:prstGeom>
                  </pic:spPr>
                </pic:pic>
              </a:graphicData>
            </a:graphic>
          </wp:inline>
        </w:drawing>
      </w:r>
    </w:p>
    <w:p w14:paraId="44E47727" w14:textId="728DC82E" w:rsidR="00485F21" w:rsidRDefault="00485F21" w:rsidP="00485F21">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proofErr w:type="spellStart"/>
      <w:r w:rsidR="00FF2F38">
        <w:rPr>
          <w:rFonts w:ascii="Times New Roman" w:hAnsi="Times New Roman"/>
          <w:lang w:val="pt-BR"/>
        </w:rPr>
        <w:t>Py</w:t>
      </w:r>
      <w:proofErr w:type="spellEnd"/>
      <w:r w:rsidR="00FF2F38">
        <w:rPr>
          <w:rFonts w:ascii="Times New Roman" w:hAnsi="Times New Roman"/>
          <w:lang w:val="pt-BR"/>
        </w:rPr>
        <w:t xml:space="preserve">-FTIR obtidos para a HY, </w:t>
      </w:r>
      <w:proofErr w:type="spellStart"/>
      <w:r w:rsidR="00FF2F38">
        <w:rPr>
          <w:rFonts w:ascii="Times New Roman" w:hAnsi="Times New Roman"/>
          <w:lang w:val="pt-BR"/>
        </w:rPr>
        <w:t>NiP</w:t>
      </w:r>
      <w:r w:rsidR="00113989">
        <w:rPr>
          <w:rFonts w:ascii="Times New Roman" w:hAnsi="Times New Roman"/>
          <w:lang w:val="pt-BR"/>
        </w:rPr>
        <w:t>t</w:t>
      </w:r>
      <w:proofErr w:type="spellEnd"/>
      <w:r w:rsidR="00FF2F38">
        <w:rPr>
          <w:rFonts w:ascii="Times New Roman" w:hAnsi="Times New Roman"/>
          <w:lang w:val="pt-BR"/>
        </w:rPr>
        <w:t xml:space="preserve">/HY, </w:t>
      </w:r>
      <w:proofErr w:type="spellStart"/>
      <w:r w:rsidR="00FF2F38">
        <w:rPr>
          <w:rFonts w:ascii="Times New Roman" w:hAnsi="Times New Roman"/>
          <w:lang w:val="pt-BR"/>
        </w:rPr>
        <w:t>SNb</w:t>
      </w:r>
      <w:proofErr w:type="spellEnd"/>
      <w:r w:rsidR="00FF2F38">
        <w:rPr>
          <w:rFonts w:ascii="Times New Roman" w:hAnsi="Times New Roman"/>
          <w:lang w:val="pt-BR"/>
        </w:rPr>
        <w:t xml:space="preserve">-HY e </w:t>
      </w:r>
      <w:proofErr w:type="spellStart"/>
      <w:r w:rsidR="00FF2F38">
        <w:rPr>
          <w:rFonts w:ascii="Times New Roman" w:hAnsi="Times New Roman"/>
          <w:lang w:val="pt-BR"/>
        </w:rPr>
        <w:t>NiPt</w:t>
      </w:r>
      <w:proofErr w:type="spellEnd"/>
      <w:r w:rsidR="00FF2F38">
        <w:rPr>
          <w:rFonts w:ascii="Times New Roman" w:hAnsi="Times New Roman"/>
          <w:lang w:val="pt-BR"/>
        </w:rPr>
        <w:t>/</w:t>
      </w:r>
      <w:proofErr w:type="spellStart"/>
      <w:r w:rsidR="00FF2F38">
        <w:rPr>
          <w:rFonts w:ascii="Times New Roman" w:hAnsi="Times New Roman"/>
          <w:lang w:val="pt-BR"/>
        </w:rPr>
        <w:t>SNb</w:t>
      </w:r>
      <w:proofErr w:type="spellEnd"/>
      <w:r w:rsidR="00FF2F38">
        <w:rPr>
          <w:rFonts w:ascii="Times New Roman" w:hAnsi="Times New Roman"/>
          <w:lang w:val="pt-BR"/>
        </w:rPr>
        <w:t>-HY</w:t>
      </w:r>
      <w:r w:rsidRPr="00E038AF">
        <w:rPr>
          <w:rFonts w:ascii="Times New Roman" w:hAnsi="Times New Roman"/>
          <w:lang w:val="pt-BR"/>
        </w:rPr>
        <w:t>.</w:t>
      </w:r>
    </w:p>
    <w:p w14:paraId="78CDA761" w14:textId="372CD1D3" w:rsidR="00DC20B7" w:rsidRDefault="00485F21" w:rsidP="00EA4E1B">
      <w:pPr>
        <w:pStyle w:val="TAMainText"/>
        <w:ind w:firstLine="187"/>
        <w:rPr>
          <w:rFonts w:ascii="Times New Roman" w:hAnsi="Times New Roman"/>
          <w:lang w:val="pt-BR"/>
        </w:rPr>
      </w:pPr>
      <w:r>
        <w:rPr>
          <w:rFonts w:ascii="Times New Roman" w:hAnsi="Times New Roman"/>
          <w:lang w:val="pt-BR"/>
        </w:rPr>
        <w:t xml:space="preserve"> </w:t>
      </w:r>
    </w:p>
    <w:p w14:paraId="67A23829" w14:textId="39465F18" w:rsidR="009D402C" w:rsidRDefault="00FF2F38" w:rsidP="009D402C">
      <w:pPr>
        <w:pStyle w:val="TAMainText"/>
        <w:ind w:firstLine="187"/>
        <w:rPr>
          <w:rFonts w:ascii="Times New Roman" w:hAnsi="Times New Roman"/>
          <w:lang w:val="pt-BR"/>
        </w:rPr>
      </w:pPr>
      <w:r>
        <w:rPr>
          <w:rFonts w:ascii="Times New Roman" w:hAnsi="Times New Roman"/>
          <w:lang w:val="pt-BR"/>
        </w:rPr>
        <w:t>Na Tabela 1 estão apresentad</w:t>
      </w:r>
      <w:r w:rsidR="00D469B8">
        <w:rPr>
          <w:rFonts w:ascii="Times New Roman" w:hAnsi="Times New Roman"/>
          <w:lang w:val="pt-BR"/>
        </w:rPr>
        <w:t>a</w:t>
      </w:r>
      <w:r>
        <w:rPr>
          <w:rFonts w:ascii="Times New Roman" w:hAnsi="Times New Roman"/>
          <w:lang w:val="pt-BR"/>
        </w:rPr>
        <w:t>s</w:t>
      </w:r>
      <w:r w:rsidR="007A141C">
        <w:rPr>
          <w:rFonts w:ascii="Times New Roman" w:hAnsi="Times New Roman"/>
          <w:lang w:val="pt-BR"/>
        </w:rPr>
        <w:t xml:space="preserve"> a </w:t>
      </w:r>
      <w:r w:rsidR="00D469B8">
        <w:rPr>
          <w:rFonts w:ascii="Times New Roman" w:hAnsi="Times New Roman"/>
          <w:lang w:val="pt-BR"/>
        </w:rPr>
        <w:t>concentração</w:t>
      </w:r>
      <w:r w:rsidR="007A141C">
        <w:rPr>
          <w:rFonts w:ascii="Times New Roman" w:hAnsi="Times New Roman"/>
          <w:lang w:val="pt-BR"/>
        </w:rPr>
        <w:t xml:space="preserve"> de sítios ácidos de Br</w:t>
      </w:r>
      <w:r w:rsidR="00651640">
        <w:rPr>
          <w:rFonts w:ascii="Times New Roman" w:hAnsi="Times New Roman"/>
          <w:lang w:val="pt-BR"/>
        </w:rPr>
        <w:t>ø</w:t>
      </w:r>
      <w:r w:rsidR="007A141C">
        <w:rPr>
          <w:rFonts w:ascii="Times New Roman" w:hAnsi="Times New Roman"/>
          <w:lang w:val="pt-BR"/>
        </w:rPr>
        <w:t xml:space="preserve">nsted e de Lewis </w:t>
      </w:r>
      <w:r w:rsidR="00D469B8">
        <w:rPr>
          <w:rFonts w:ascii="Times New Roman" w:hAnsi="Times New Roman"/>
          <w:lang w:val="pt-BR"/>
        </w:rPr>
        <w:t xml:space="preserve">obtidos </w:t>
      </w:r>
      <w:r w:rsidR="007A141C">
        <w:rPr>
          <w:rFonts w:ascii="Times New Roman" w:hAnsi="Times New Roman"/>
          <w:lang w:val="pt-BR"/>
        </w:rPr>
        <w:t xml:space="preserve">por meio da técnica de </w:t>
      </w:r>
      <w:proofErr w:type="spellStart"/>
      <w:r w:rsidR="007A141C">
        <w:rPr>
          <w:rFonts w:ascii="Times New Roman" w:hAnsi="Times New Roman"/>
          <w:lang w:val="pt-BR"/>
        </w:rPr>
        <w:t>Py</w:t>
      </w:r>
      <w:proofErr w:type="spellEnd"/>
      <w:r w:rsidR="007A141C">
        <w:rPr>
          <w:rFonts w:ascii="Times New Roman" w:hAnsi="Times New Roman"/>
          <w:lang w:val="pt-BR"/>
        </w:rPr>
        <w:t>-FTIR</w:t>
      </w:r>
      <w:r w:rsidR="00464E35">
        <w:rPr>
          <w:rFonts w:ascii="Times New Roman" w:hAnsi="Times New Roman"/>
          <w:lang w:val="pt-BR"/>
        </w:rPr>
        <w:t>.</w:t>
      </w:r>
      <w:r w:rsidR="007A141C">
        <w:rPr>
          <w:rFonts w:ascii="Times New Roman" w:hAnsi="Times New Roman"/>
          <w:lang w:val="pt-BR"/>
        </w:rPr>
        <w:t xml:space="preserve"> Após a adição de Ni e </w:t>
      </w:r>
      <w:proofErr w:type="spellStart"/>
      <w:r w:rsidR="007A141C">
        <w:rPr>
          <w:rFonts w:ascii="Times New Roman" w:hAnsi="Times New Roman"/>
          <w:lang w:val="pt-BR"/>
        </w:rPr>
        <w:t>Pt</w:t>
      </w:r>
      <w:proofErr w:type="spellEnd"/>
      <w:r w:rsidR="007A141C">
        <w:rPr>
          <w:rFonts w:ascii="Times New Roman" w:hAnsi="Times New Roman"/>
          <w:lang w:val="pt-BR"/>
        </w:rPr>
        <w:t xml:space="preserve"> à HY (</w:t>
      </w:r>
      <w:proofErr w:type="spellStart"/>
      <w:r w:rsidR="007A141C">
        <w:rPr>
          <w:rFonts w:ascii="Times New Roman" w:hAnsi="Times New Roman"/>
          <w:lang w:val="pt-BR"/>
        </w:rPr>
        <w:t>NiPt</w:t>
      </w:r>
      <w:proofErr w:type="spellEnd"/>
      <w:r w:rsidR="007A141C">
        <w:rPr>
          <w:rFonts w:ascii="Times New Roman" w:hAnsi="Times New Roman"/>
          <w:lang w:val="pt-BR"/>
        </w:rPr>
        <w:t xml:space="preserve">/HY) houve redução da quantidade de sítios ácidos de </w:t>
      </w:r>
      <w:r w:rsidR="00651640">
        <w:rPr>
          <w:rFonts w:ascii="Times New Roman" w:hAnsi="Times New Roman"/>
          <w:lang w:val="pt-BR"/>
        </w:rPr>
        <w:t>Brønsted</w:t>
      </w:r>
      <w:r w:rsidR="007A141C">
        <w:rPr>
          <w:rFonts w:ascii="Times New Roman" w:hAnsi="Times New Roman"/>
          <w:lang w:val="pt-BR"/>
        </w:rPr>
        <w:t xml:space="preserve">, o que está associado à presença de Ni e </w:t>
      </w:r>
      <w:proofErr w:type="spellStart"/>
      <w:r w:rsidR="007A141C">
        <w:rPr>
          <w:rFonts w:ascii="Times New Roman" w:hAnsi="Times New Roman"/>
          <w:lang w:val="pt-BR"/>
        </w:rPr>
        <w:t>Pt</w:t>
      </w:r>
      <w:proofErr w:type="spellEnd"/>
      <w:r w:rsidR="007A141C">
        <w:rPr>
          <w:rFonts w:ascii="Times New Roman" w:hAnsi="Times New Roman"/>
          <w:lang w:val="pt-BR"/>
        </w:rPr>
        <w:t xml:space="preserve"> nos sítios ácidos de </w:t>
      </w:r>
      <w:r w:rsidR="00651640">
        <w:rPr>
          <w:rFonts w:ascii="Times New Roman" w:hAnsi="Times New Roman"/>
          <w:lang w:val="pt-BR"/>
        </w:rPr>
        <w:t>Brønsted</w:t>
      </w:r>
      <w:r w:rsidR="00D469B8">
        <w:rPr>
          <w:rFonts w:ascii="Times New Roman" w:hAnsi="Times New Roman"/>
          <w:lang w:val="pt-BR"/>
        </w:rPr>
        <w:t xml:space="preserve"> da zeólita</w:t>
      </w:r>
      <w:r w:rsidR="004E5420">
        <w:rPr>
          <w:rFonts w:ascii="Times New Roman" w:hAnsi="Times New Roman"/>
          <w:lang w:val="pt-BR"/>
        </w:rPr>
        <w:t xml:space="preserve"> </w:t>
      </w:r>
      <w:r w:rsidR="00883379">
        <w:rPr>
          <w:rFonts w:ascii="Times New Roman" w:hAnsi="Times New Roman"/>
          <w:lang w:val="pt-BR"/>
        </w:rPr>
        <w:t>[19]</w:t>
      </w:r>
      <w:r w:rsidR="007A141C">
        <w:rPr>
          <w:rFonts w:ascii="Times New Roman" w:hAnsi="Times New Roman"/>
          <w:lang w:val="pt-BR"/>
        </w:rPr>
        <w:t>.</w:t>
      </w:r>
      <w:r w:rsidR="009D402C">
        <w:rPr>
          <w:rFonts w:ascii="Times New Roman" w:hAnsi="Times New Roman"/>
          <w:lang w:val="pt-BR"/>
        </w:rPr>
        <w:t xml:space="preserve"> Por outro lado, foi observado um aumento na quantidade de sítios ácidos de Lewis.</w:t>
      </w:r>
    </w:p>
    <w:p w14:paraId="5B8A298C" w14:textId="71BB352A" w:rsidR="00464E35" w:rsidRPr="00E038AF" w:rsidRDefault="00464E35" w:rsidP="00D469B8">
      <w:pPr>
        <w:pStyle w:val="VDTableTitle"/>
        <w:spacing w:before="120"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00B06763">
        <w:rPr>
          <w:rFonts w:ascii="Times New Roman" w:hAnsi="Times New Roman"/>
          <w:lang w:val="pt-BR"/>
        </w:rPr>
        <w:t xml:space="preserve">Sítios ácidos de Brønsted e Lewis determinados por </w:t>
      </w:r>
      <w:proofErr w:type="spellStart"/>
      <w:r w:rsidR="00B06763">
        <w:rPr>
          <w:rFonts w:ascii="Times New Roman" w:hAnsi="Times New Roman"/>
          <w:lang w:val="pt-BR"/>
        </w:rPr>
        <w:t>Py</w:t>
      </w:r>
      <w:proofErr w:type="spellEnd"/>
      <w:r w:rsidR="00B06763">
        <w:rPr>
          <w:rFonts w:ascii="Times New Roman" w:hAnsi="Times New Roman"/>
          <w:lang w:val="pt-BR"/>
        </w:rPr>
        <w:t>-FTIR</w:t>
      </w:r>
      <w:r w:rsidRPr="00E038AF">
        <w:rPr>
          <w:rFonts w:ascii="Times New Roman" w:hAnsi="Times New Roman"/>
          <w:lang w:val="pt-BR"/>
        </w:rPr>
        <w:t>.</w:t>
      </w:r>
    </w:p>
    <w:tbl>
      <w:tblPr>
        <w:tblW w:w="48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44"/>
        <w:gridCol w:w="1247"/>
        <w:gridCol w:w="1247"/>
        <w:gridCol w:w="666"/>
        <w:gridCol w:w="14"/>
      </w:tblGrid>
      <w:tr w:rsidR="00464E35" w:rsidRPr="00B03C9E" w14:paraId="31835E85" w14:textId="77777777" w:rsidTr="00B06763">
        <w:tc>
          <w:tcPr>
            <w:tcW w:w="1644" w:type="dxa"/>
            <w:vAlign w:val="center"/>
          </w:tcPr>
          <w:p w14:paraId="5E68D81E" w14:textId="60A78EF8" w:rsidR="00464E35" w:rsidRPr="00B03C9E" w:rsidRDefault="00B06763" w:rsidP="00464E35">
            <w:pPr>
              <w:pStyle w:val="TCTableBody"/>
              <w:jc w:val="center"/>
              <w:rPr>
                <w:rFonts w:ascii="Times New Roman" w:hAnsi="Times New Roman"/>
                <w:szCs w:val="18"/>
                <w:lang w:val="pt-BR"/>
              </w:rPr>
            </w:pPr>
            <w:r>
              <w:rPr>
                <w:rFonts w:ascii="Times New Roman" w:hAnsi="Times New Roman"/>
                <w:b/>
                <w:bCs/>
                <w:szCs w:val="18"/>
              </w:rPr>
              <w:t>Material</w:t>
            </w:r>
          </w:p>
        </w:tc>
        <w:tc>
          <w:tcPr>
            <w:tcW w:w="1247" w:type="dxa"/>
            <w:vAlign w:val="center"/>
          </w:tcPr>
          <w:p w14:paraId="7737E531" w14:textId="36F2B835" w:rsidR="00464E35" w:rsidRPr="00B03C9E" w:rsidRDefault="00464E35" w:rsidP="00464E35">
            <w:pPr>
              <w:jc w:val="center"/>
              <w:rPr>
                <w:rFonts w:ascii="Times New Roman" w:hAnsi="Times New Roman" w:cs="Times New Roman"/>
                <w:b/>
                <w:bCs/>
                <w:sz w:val="18"/>
                <w:szCs w:val="18"/>
                <w:vertAlign w:val="superscript"/>
              </w:rPr>
            </w:pPr>
            <w:r w:rsidRPr="00B03C9E">
              <w:rPr>
                <w:rFonts w:ascii="Times New Roman" w:hAnsi="Times New Roman" w:cs="Times New Roman"/>
                <w:b/>
                <w:bCs/>
                <w:sz w:val="18"/>
                <w:szCs w:val="18"/>
              </w:rPr>
              <w:t>[B]</w:t>
            </w:r>
            <w:r w:rsidRPr="00B03C9E">
              <w:rPr>
                <w:rFonts w:ascii="Times New Roman" w:hAnsi="Times New Roman" w:cs="Times New Roman"/>
                <w:b/>
                <w:bCs/>
                <w:sz w:val="18"/>
                <w:szCs w:val="18"/>
                <w:vertAlign w:val="superscript"/>
              </w:rPr>
              <w:t xml:space="preserve">a </w:t>
            </w:r>
            <w:r w:rsidRPr="00B03C9E">
              <w:rPr>
                <w:rFonts w:ascii="Times New Roman" w:hAnsi="Times New Roman" w:cs="Times New Roman"/>
                <w:b/>
                <w:bCs/>
                <w:sz w:val="18"/>
                <w:szCs w:val="18"/>
              </w:rPr>
              <w:t>(µmol g</w:t>
            </w:r>
            <w:r w:rsidRPr="00B03C9E">
              <w:rPr>
                <w:rFonts w:ascii="Times New Roman" w:hAnsi="Times New Roman" w:cs="Times New Roman"/>
                <w:b/>
                <w:bCs/>
                <w:sz w:val="18"/>
                <w:szCs w:val="18"/>
                <w:vertAlign w:val="superscript"/>
              </w:rPr>
              <w:t>-1</w:t>
            </w:r>
            <w:r w:rsidRPr="00B03C9E">
              <w:rPr>
                <w:rFonts w:ascii="Times New Roman" w:hAnsi="Times New Roman" w:cs="Times New Roman"/>
                <w:b/>
                <w:bCs/>
                <w:sz w:val="18"/>
                <w:szCs w:val="18"/>
              </w:rPr>
              <w:t>)</w:t>
            </w:r>
          </w:p>
        </w:tc>
        <w:tc>
          <w:tcPr>
            <w:tcW w:w="1247" w:type="dxa"/>
            <w:vAlign w:val="center"/>
          </w:tcPr>
          <w:p w14:paraId="36607107" w14:textId="5D8EF5CC" w:rsidR="00464E35" w:rsidRPr="00B03C9E" w:rsidRDefault="00464E35" w:rsidP="00464E35">
            <w:pPr>
              <w:jc w:val="center"/>
              <w:rPr>
                <w:rFonts w:ascii="Times New Roman" w:hAnsi="Times New Roman" w:cs="Times New Roman"/>
                <w:b/>
                <w:bCs/>
                <w:sz w:val="18"/>
                <w:szCs w:val="18"/>
                <w:vertAlign w:val="superscript"/>
              </w:rPr>
            </w:pPr>
            <w:r w:rsidRPr="00B03C9E">
              <w:rPr>
                <w:rFonts w:ascii="Times New Roman" w:hAnsi="Times New Roman" w:cs="Times New Roman"/>
                <w:b/>
                <w:bCs/>
                <w:sz w:val="18"/>
                <w:szCs w:val="18"/>
              </w:rPr>
              <w:t>[L]</w:t>
            </w:r>
            <w:r w:rsidRPr="00B03C9E">
              <w:rPr>
                <w:rFonts w:ascii="Times New Roman" w:hAnsi="Times New Roman" w:cs="Times New Roman"/>
                <w:b/>
                <w:bCs/>
                <w:sz w:val="18"/>
                <w:szCs w:val="18"/>
                <w:vertAlign w:val="superscript"/>
              </w:rPr>
              <w:t xml:space="preserve">b </w:t>
            </w:r>
            <w:r w:rsidRPr="00B03C9E">
              <w:rPr>
                <w:rFonts w:ascii="Times New Roman" w:hAnsi="Times New Roman" w:cs="Times New Roman"/>
                <w:b/>
                <w:bCs/>
                <w:sz w:val="18"/>
                <w:szCs w:val="18"/>
              </w:rPr>
              <w:t>(µmol g</w:t>
            </w:r>
            <w:r w:rsidRPr="00B03C9E">
              <w:rPr>
                <w:rFonts w:ascii="Times New Roman" w:hAnsi="Times New Roman" w:cs="Times New Roman"/>
                <w:b/>
                <w:bCs/>
                <w:sz w:val="18"/>
                <w:szCs w:val="18"/>
                <w:vertAlign w:val="superscript"/>
              </w:rPr>
              <w:t>-1</w:t>
            </w:r>
            <w:r w:rsidRPr="00B03C9E">
              <w:rPr>
                <w:rFonts w:ascii="Times New Roman" w:hAnsi="Times New Roman" w:cs="Times New Roman"/>
                <w:b/>
                <w:bCs/>
                <w:sz w:val="18"/>
                <w:szCs w:val="18"/>
              </w:rPr>
              <w:t>)</w:t>
            </w:r>
          </w:p>
        </w:tc>
        <w:tc>
          <w:tcPr>
            <w:tcW w:w="680" w:type="dxa"/>
            <w:gridSpan w:val="2"/>
            <w:vAlign w:val="center"/>
          </w:tcPr>
          <w:p w14:paraId="2CDCE67F" w14:textId="5F26A838" w:rsidR="00464E35" w:rsidRPr="00B03C9E" w:rsidRDefault="00464E35" w:rsidP="00464E35">
            <w:pPr>
              <w:pStyle w:val="TCTableBody"/>
              <w:jc w:val="center"/>
              <w:rPr>
                <w:rFonts w:ascii="Times New Roman" w:hAnsi="Times New Roman"/>
                <w:szCs w:val="18"/>
                <w:lang w:val="pt-BR"/>
              </w:rPr>
            </w:pPr>
            <w:r w:rsidRPr="00B03C9E">
              <w:rPr>
                <w:rFonts w:ascii="Times New Roman" w:hAnsi="Times New Roman"/>
                <w:b/>
                <w:bCs/>
                <w:szCs w:val="18"/>
              </w:rPr>
              <w:t>[</w:t>
            </w:r>
            <w:r w:rsidR="00E1676C">
              <w:rPr>
                <w:rFonts w:ascii="Times New Roman" w:hAnsi="Times New Roman"/>
                <w:b/>
                <w:bCs/>
                <w:szCs w:val="18"/>
              </w:rPr>
              <w:t>B</w:t>
            </w:r>
            <w:r w:rsidRPr="00B03C9E">
              <w:rPr>
                <w:rFonts w:ascii="Times New Roman" w:hAnsi="Times New Roman"/>
                <w:b/>
                <w:bCs/>
                <w:szCs w:val="18"/>
              </w:rPr>
              <w:t>]/[</w:t>
            </w:r>
            <w:r w:rsidR="00E1676C">
              <w:rPr>
                <w:rFonts w:ascii="Times New Roman" w:hAnsi="Times New Roman"/>
                <w:b/>
                <w:bCs/>
                <w:szCs w:val="18"/>
              </w:rPr>
              <w:t>L</w:t>
            </w:r>
            <w:r w:rsidRPr="00B03C9E">
              <w:rPr>
                <w:rFonts w:ascii="Times New Roman" w:hAnsi="Times New Roman"/>
                <w:b/>
                <w:bCs/>
                <w:szCs w:val="18"/>
              </w:rPr>
              <w:t>]</w:t>
            </w:r>
          </w:p>
        </w:tc>
      </w:tr>
      <w:tr w:rsidR="00464E35" w:rsidRPr="00B03C9E" w14:paraId="6B1F5266" w14:textId="77777777" w:rsidTr="00B06763">
        <w:trPr>
          <w:trHeight w:val="454"/>
        </w:trPr>
        <w:tc>
          <w:tcPr>
            <w:tcW w:w="1644" w:type="dxa"/>
            <w:tcBorders>
              <w:bottom w:val="single" w:sz="6" w:space="0" w:color="auto"/>
            </w:tcBorders>
            <w:vAlign w:val="center"/>
          </w:tcPr>
          <w:p w14:paraId="17CDD9A1" w14:textId="36368D76" w:rsidR="00464E35" w:rsidRPr="00B03C9E" w:rsidRDefault="00464E35" w:rsidP="00464E35">
            <w:pPr>
              <w:pStyle w:val="TCTableBody"/>
              <w:jc w:val="center"/>
              <w:rPr>
                <w:rFonts w:ascii="Times New Roman" w:hAnsi="Times New Roman"/>
                <w:szCs w:val="18"/>
                <w:lang w:val="pt-BR"/>
              </w:rPr>
            </w:pPr>
            <w:r w:rsidRPr="00B03C9E">
              <w:rPr>
                <w:rFonts w:ascii="Times New Roman" w:hAnsi="Times New Roman"/>
                <w:szCs w:val="18"/>
              </w:rPr>
              <w:t>HY</w:t>
            </w:r>
          </w:p>
        </w:tc>
        <w:tc>
          <w:tcPr>
            <w:tcW w:w="1247" w:type="dxa"/>
            <w:tcBorders>
              <w:bottom w:val="single" w:sz="6" w:space="0" w:color="auto"/>
            </w:tcBorders>
            <w:vAlign w:val="center"/>
          </w:tcPr>
          <w:p w14:paraId="4F22A9A3" w14:textId="65DDB3EB" w:rsidR="00464E35" w:rsidRPr="00B03C9E" w:rsidRDefault="00464E35" w:rsidP="00464E35">
            <w:pPr>
              <w:pStyle w:val="TCTableBody"/>
              <w:jc w:val="center"/>
              <w:rPr>
                <w:rFonts w:ascii="Times New Roman" w:hAnsi="Times New Roman"/>
                <w:szCs w:val="18"/>
                <w:lang w:val="pt-BR"/>
              </w:rPr>
            </w:pPr>
            <w:r w:rsidRPr="00B03C9E">
              <w:rPr>
                <w:rFonts w:ascii="Times New Roman" w:hAnsi="Times New Roman"/>
                <w:szCs w:val="18"/>
              </w:rPr>
              <w:t>303</w:t>
            </w:r>
          </w:p>
        </w:tc>
        <w:tc>
          <w:tcPr>
            <w:tcW w:w="1247" w:type="dxa"/>
            <w:tcBorders>
              <w:bottom w:val="single" w:sz="6" w:space="0" w:color="auto"/>
            </w:tcBorders>
            <w:vAlign w:val="center"/>
          </w:tcPr>
          <w:p w14:paraId="7FD2BC3C" w14:textId="054C263A" w:rsidR="00464E35" w:rsidRPr="00B03C9E" w:rsidRDefault="00464E35" w:rsidP="00464E35">
            <w:pPr>
              <w:pStyle w:val="TCTableBody"/>
              <w:jc w:val="center"/>
              <w:rPr>
                <w:rFonts w:ascii="Times New Roman" w:hAnsi="Times New Roman"/>
                <w:szCs w:val="18"/>
                <w:lang w:val="pt-BR"/>
              </w:rPr>
            </w:pPr>
            <w:r w:rsidRPr="00B03C9E">
              <w:rPr>
                <w:rFonts w:ascii="Times New Roman" w:hAnsi="Times New Roman"/>
                <w:szCs w:val="18"/>
              </w:rPr>
              <w:t>63</w:t>
            </w:r>
          </w:p>
        </w:tc>
        <w:tc>
          <w:tcPr>
            <w:tcW w:w="680" w:type="dxa"/>
            <w:gridSpan w:val="2"/>
            <w:tcBorders>
              <w:bottom w:val="single" w:sz="6" w:space="0" w:color="auto"/>
            </w:tcBorders>
            <w:vAlign w:val="center"/>
          </w:tcPr>
          <w:p w14:paraId="528C4AD3" w14:textId="586EA2CD" w:rsidR="00464E35" w:rsidRPr="00B03C9E" w:rsidRDefault="00E1676C" w:rsidP="00464E35">
            <w:pPr>
              <w:pStyle w:val="TCTableBody"/>
              <w:jc w:val="center"/>
              <w:rPr>
                <w:rFonts w:ascii="Times New Roman" w:hAnsi="Times New Roman"/>
                <w:szCs w:val="18"/>
                <w:lang w:val="pt-BR"/>
              </w:rPr>
            </w:pPr>
            <w:r>
              <w:rPr>
                <w:rFonts w:ascii="Times New Roman" w:hAnsi="Times New Roman"/>
                <w:szCs w:val="18"/>
              </w:rPr>
              <w:t>4,80</w:t>
            </w:r>
          </w:p>
        </w:tc>
      </w:tr>
      <w:tr w:rsidR="00464E35" w:rsidRPr="00B03C9E" w14:paraId="2BADFFC0" w14:textId="77777777" w:rsidTr="00B06763">
        <w:trPr>
          <w:trHeight w:val="454"/>
        </w:trPr>
        <w:tc>
          <w:tcPr>
            <w:tcW w:w="1644" w:type="dxa"/>
            <w:tcBorders>
              <w:bottom w:val="single" w:sz="6" w:space="0" w:color="auto"/>
            </w:tcBorders>
            <w:vAlign w:val="center"/>
          </w:tcPr>
          <w:p w14:paraId="03454174" w14:textId="5563291B" w:rsidR="00464E35" w:rsidRPr="00B03C9E" w:rsidRDefault="00464E35" w:rsidP="00464E35">
            <w:pPr>
              <w:pStyle w:val="TCTableBody"/>
              <w:jc w:val="center"/>
              <w:rPr>
                <w:rFonts w:ascii="Times New Roman" w:hAnsi="Times New Roman"/>
                <w:szCs w:val="18"/>
                <w:lang w:val="pt-BR"/>
              </w:rPr>
            </w:pPr>
            <w:proofErr w:type="spellStart"/>
            <w:r w:rsidRPr="00B03C9E">
              <w:rPr>
                <w:rFonts w:ascii="Times New Roman" w:hAnsi="Times New Roman"/>
                <w:szCs w:val="18"/>
              </w:rPr>
              <w:t>NiPt</w:t>
            </w:r>
            <w:proofErr w:type="spellEnd"/>
            <w:r w:rsidRPr="00B03C9E">
              <w:rPr>
                <w:rFonts w:ascii="Times New Roman" w:hAnsi="Times New Roman"/>
                <w:szCs w:val="18"/>
              </w:rPr>
              <w:t>/HY</w:t>
            </w:r>
          </w:p>
        </w:tc>
        <w:tc>
          <w:tcPr>
            <w:tcW w:w="1247" w:type="dxa"/>
            <w:tcBorders>
              <w:bottom w:val="single" w:sz="6" w:space="0" w:color="auto"/>
            </w:tcBorders>
            <w:vAlign w:val="center"/>
          </w:tcPr>
          <w:p w14:paraId="12ECAC40" w14:textId="582CC6D3" w:rsidR="00464E35" w:rsidRPr="00B03C9E" w:rsidRDefault="00464E35" w:rsidP="00464E35">
            <w:pPr>
              <w:pStyle w:val="TCTableBody"/>
              <w:jc w:val="center"/>
              <w:rPr>
                <w:rFonts w:ascii="Times New Roman" w:hAnsi="Times New Roman"/>
                <w:szCs w:val="18"/>
                <w:lang w:val="pt-BR"/>
              </w:rPr>
            </w:pPr>
            <w:r w:rsidRPr="00B03C9E">
              <w:rPr>
                <w:rFonts w:ascii="Times New Roman" w:hAnsi="Times New Roman"/>
                <w:szCs w:val="18"/>
              </w:rPr>
              <w:t>180</w:t>
            </w:r>
          </w:p>
        </w:tc>
        <w:tc>
          <w:tcPr>
            <w:tcW w:w="1247" w:type="dxa"/>
            <w:tcBorders>
              <w:bottom w:val="single" w:sz="6" w:space="0" w:color="auto"/>
            </w:tcBorders>
            <w:vAlign w:val="center"/>
          </w:tcPr>
          <w:p w14:paraId="1C98D411" w14:textId="48D47A92" w:rsidR="00464E35" w:rsidRPr="00B03C9E" w:rsidRDefault="00464E35" w:rsidP="00464E35">
            <w:pPr>
              <w:pStyle w:val="TCTableBody"/>
              <w:jc w:val="center"/>
              <w:rPr>
                <w:rFonts w:ascii="Times New Roman" w:hAnsi="Times New Roman"/>
                <w:szCs w:val="18"/>
                <w:lang w:val="pt-BR"/>
              </w:rPr>
            </w:pPr>
            <w:r w:rsidRPr="00B03C9E">
              <w:rPr>
                <w:rFonts w:ascii="Times New Roman" w:hAnsi="Times New Roman"/>
                <w:szCs w:val="18"/>
              </w:rPr>
              <w:t>189</w:t>
            </w:r>
          </w:p>
        </w:tc>
        <w:tc>
          <w:tcPr>
            <w:tcW w:w="680" w:type="dxa"/>
            <w:gridSpan w:val="2"/>
            <w:tcBorders>
              <w:bottom w:val="single" w:sz="6" w:space="0" w:color="auto"/>
            </w:tcBorders>
            <w:vAlign w:val="center"/>
          </w:tcPr>
          <w:p w14:paraId="2E0C5F3A" w14:textId="6CFD1321" w:rsidR="00464E35" w:rsidRPr="00B03C9E" w:rsidRDefault="00E1676C" w:rsidP="00464E35">
            <w:pPr>
              <w:pStyle w:val="TCTableBody"/>
              <w:jc w:val="center"/>
              <w:rPr>
                <w:rFonts w:ascii="Times New Roman" w:hAnsi="Times New Roman"/>
                <w:szCs w:val="18"/>
                <w:lang w:val="pt-BR"/>
              </w:rPr>
            </w:pPr>
            <w:r>
              <w:rPr>
                <w:rFonts w:ascii="Times New Roman" w:hAnsi="Times New Roman"/>
                <w:szCs w:val="18"/>
              </w:rPr>
              <w:t>0,95</w:t>
            </w:r>
          </w:p>
        </w:tc>
      </w:tr>
      <w:tr w:rsidR="00464E35" w:rsidRPr="00B03C9E" w14:paraId="4D26D1CC" w14:textId="77777777" w:rsidTr="00B06763">
        <w:trPr>
          <w:trHeight w:val="454"/>
        </w:trPr>
        <w:tc>
          <w:tcPr>
            <w:tcW w:w="1644" w:type="dxa"/>
            <w:tcBorders>
              <w:bottom w:val="single" w:sz="6" w:space="0" w:color="auto"/>
            </w:tcBorders>
            <w:vAlign w:val="center"/>
          </w:tcPr>
          <w:p w14:paraId="49948C65" w14:textId="1A6F1ECA" w:rsidR="00464E35" w:rsidRPr="00B03C9E" w:rsidRDefault="00464E35" w:rsidP="00464E35">
            <w:pPr>
              <w:pStyle w:val="TCTableBody"/>
              <w:jc w:val="center"/>
              <w:rPr>
                <w:rFonts w:ascii="Times New Roman" w:hAnsi="Times New Roman"/>
                <w:szCs w:val="18"/>
                <w:lang w:val="pt-BR"/>
              </w:rPr>
            </w:pPr>
            <w:proofErr w:type="spellStart"/>
            <w:r w:rsidRPr="00B03C9E">
              <w:rPr>
                <w:rFonts w:ascii="Times New Roman" w:hAnsi="Times New Roman"/>
                <w:szCs w:val="18"/>
              </w:rPr>
              <w:t>SNb</w:t>
            </w:r>
            <w:proofErr w:type="spellEnd"/>
            <w:r w:rsidRPr="00B03C9E">
              <w:rPr>
                <w:rFonts w:ascii="Times New Roman" w:hAnsi="Times New Roman"/>
                <w:szCs w:val="18"/>
              </w:rPr>
              <w:t>-HY</w:t>
            </w:r>
          </w:p>
        </w:tc>
        <w:tc>
          <w:tcPr>
            <w:tcW w:w="1247" w:type="dxa"/>
            <w:tcBorders>
              <w:bottom w:val="single" w:sz="6" w:space="0" w:color="auto"/>
            </w:tcBorders>
            <w:vAlign w:val="center"/>
          </w:tcPr>
          <w:p w14:paraId="62DAD6E1" w14:textId="33FCE681" w:rsidR="00464E35" w:rsidRPr="00B03C9E" w:rsidRDefault="00464E35" w:rsidP="00464E35">
            <w:pPr>
              <w:pStyle w:val="TCTableBody"/>
              <w:jc w:val="center"/>
              <w:rPr>
                <w:rFonts w:ascii="Times New Roman" w:hAnsi="Times New Roman"/>
                <w:szCs w:val="18"/>
                <w:lang w:val="pt-BR"/>
              </w:rPr>
            </w:pPr>
            <w:r w:rsidRPr="00B03C9E">
              <w:rPr>
                <w:rFonts w:ascii="Times New Roman" w:hAnsi="Times New Roman"/>
                <w:szCs w:val="18"/>
              </w:rPr>
              <w:t>368</w:t>
            </w:r>
          </w:p>
        </w:tc>
        <w:tc>
          <w:tcPr>
            <w:tcW w:w="1247" w:type="dxa"/>
            <w:tcBorders>
              <w:bottom w:val="single" w:sz="6" w:space="0" w:color="auto"/>
            </w:tcBorders>
            <w:vAlign w:val="center"/>
          </w:tcPr>
          <w:p w14:paraId="00726DED" w14:textId="0823A268" w:rsidR="00464E35" w:rsidRPr="00B03C9E" w:rsidRDefault="00464E35" w:rsidP="00464E35">
            <w:pPr>
              <w:pStyle w:val="TCTableBody"/>
              <w:jc w:val="center"/>
              <w:rPr>
                <w:rFonts w:ascii="Times New Roman" w:hAnsi="Times New Roman"/>
                <w:szCs w:val="18"/>
                <w:lang w:val="pt-BR"/>
              </w:rPr>
            </w:pPr>
            <w:r w:rsidRPr="00B03C9E">
              <w:rPr>
                <w:rFonts w:ascii="Times New Roman" w:hAnsi="Times New Roman"/>
                <w:szCs w:val="18"/>
              </w:rPr>
              <w:t>55</w:t>
            </w:r>
          </w:p>
        </w:tc>
        <w:tc>
          <w:tcPr>
            <w:tcW w:w="680" w:type="dxa"/>
            <w:gridSpan w:val="2"/>
            <w:tcBorders>
              <w:bottom w:val="single" w:sz="6" w:space="0" w:color="auto"/>
            </w:tcBorders>
            <w:vAlign w:val="center"/>
          </w:tcPr>
          <w:p w14:paraId="40EFDE10" w14:textId="7CE1E4D2" w:rsidR="00464E35" w:rsidRPr="00B03C9E" w:rsidRDefault="00E1676C" w:rsidP="00464E35">
            <w:pPr>
              <w:pStyle w:val="TCTableBody"/>
              <w:jc w:val="center"/>
              <w:rPr>
                <w:rFonts w:ascii="Times New Roman" w:hAnsi="Times New Roman"/>
                <w:szCs w:val="18"/>
                <w:lang w:val="pt-BR"/>
              </w:rPr>
            </w:pPr>
            <w:r>
              <w:rPr>
                <w:rFonts w:ascii="Times New Roman" w:hAnsi="Times New Roman"/>
                <w:szCs w:val="18"/>
                <w:lang w:val="pt-BR"/>
              </w:rPr>
              <w:t>6,71</w:t>
            </w:r>
          </w:p>
        </w:tc>
      </w:tr>
      <w:tr w:rsidR="00464E35" w:rsidRPr="00B03C9E" w14:paraId="2DE34C4E" w14:textId="77777777" w:rsidTr="00B06763">
        <w:trPr>
          <w:trHeight w:val="454"/>
        </w:trPr>
        <w:tc>
          <w:tcPr>
            <w:tcW w:w="1644" w:type="dxa"/>
            <w:tcBorders>
              <w:bottom w:val="single" w:sz="6" w:space="0" w:color="auto"/>
            </w:tcBorders>
            <w:vAlign w:val="center"/>
          </w:tcPr>
          <w:p w14:paraId="5DCCA9DC" w14:textId="5A1A2474" w:rsidR="00464E35" w:rsidRPr="00B03C9E" w:rsidRDefault="00464E35" w:rsidP="00464E35">
            <w:pPr>
              <w:pStyle w:val="TCTableBody"/>
              <w:jc w:val="center"/>
              <w:rPr>
                <w:rFonts w:ascii="Times New Roman" w:hAnsi="Times New Roman"/>
                <w:szCs w:val="18"/>
                <w:lang w:val="pt-BR"/>
              </w:rPr>
            </w:pPr>
            <w:proofErr w:type="spellStart"/>
            <w:r w:rsidRPr="00B03C9E">
              <w:rPr>
                <w:rFonts w:ascii="Times New Roman" w:hAnsi="Times New Roman"/>
                <w:szCs w:val="18"/>
              </w:rPr>
              <w:t>NiPt</w:t>
            </w:r>
            <w:proofErr w:type="spellEnd"/>
            <w:r w:rsidRPr="00B03C9E">
              <w:rPr>
                <w:rFonts w:ascii="Times New Roman" w:hAnsi="Times New Roman"/>
                <w:szCs w:val="18"/>
              </w:rPr>
              <w:t>/</w:t>
            </w:r>
            <w:proofErr w:type="spellStart"/>
            <w:r w:rsidRPr="00B03C9E">
              <w:rPr>
                <w:rFonts w:ascii="Times New Roman" w:hAnsi="Times New Roman"/>
                <w:szCs w:val="18"/>
              </w:rPr>
              <w:t>SNb</w:t>
            </w:r>
            <w:proofErr w:type="spellEnd"/>
            <w:r w:rsidRPr="00B03C9E">
              <w:rPr>
                <w:rFonts w:ascii="Times New Roman" w:hAnsi="Times New Roman"/>
                <w:szCs w:val="18"/>
              </w:rPr>
              <w:t>-HY</w:t>
            </w:r>
          </w:p>
        </w:tc>
        <w:tc>
          <w:tcPr>
            <w:tcW w:w="1247" w:type="dxa"/>
            <w:tcBorders>
              <w:bottom w:val="single" w:sz="6" w:space="0" w:color="auto"/>
            </w:tcBorders>
            <w:vAlign w:val="center"/>
          </w:tcPr>
          <w:p w14:paraId="0F9D3950" w14:textId="37F56A94" w:rsidR="00464E35" w:rsidRPr="00B03C9E" w:rsidRDefault="00464E35" w:rsidP="00464E35">
            <w:pPr>
              <w:pStyle w:val="TCTableBody"/>
              <w:jc w:val="center"/>
              <w:rPr>
                <w:rFonts w:ascii="Times New Roman" w:hAnsi="Times New Roman"/>
                <w:szCs w:val="18"/>
                <w:lang w:val="pt-BR"/>
              </w:rPr>
            </w:pPr>
            <w:r w:rsidRPr="00B03C9E">
              <w:rPr>
                <w:rFonts w:ascii="Times New Roman" w:hAnsi="Times New Roman"/>
                <w:szCs w:val="18"/>
              </w:rPr>
              <w:t>199</w:t>
            </w:r>
          </w:p>
        </w:tc>
        <w:tc>
          <w:tcPr>
            <w:tcW w:w="1247" w:type="dxa"/>
            <w:tcBorders>
              <w:bottom w:val="single" w:sz="6" w:space="0" w:color="auto"/>
            </w:tcBorders>
            <w:vAlign w:val="center"/>
          </w:tcPr>
          <w:p w14:paraId="1DAC641E" w14:textId="5D0693F1" w:rsidR="00464E35" w:rsidRPr="00B03C9E" w:rsidRDefault="00464E35" w:rsidP="00464E35">
            <w:pPr>
              <w:pStyle w:val="TCTableBody"/>
              <w:jc w:val="center"/>
              <w:rPr>
                <w:rFonts w:ascii="Times New Roman" w:hAnsi="Times New Roman"/>
                <w:szCs w:val="18"/>
                <w:lang w:val="pt-BR"/>
              </w:rPr>
            </w:pPr>
            <w:r w:rsidRPr="00B03C9E">
              <w:rPr>
                <w:rFonts w:ascii="Times New Roman" w:hAnsi="Times New Roman"/>
                <w:szCs w:val="18"/>
              </w:rPr>
              <w:t>128</w:t>
            </w:r>
          </w:p>
        </w:tc>
        <w:tc>
          <w:tcPr>
            <w:tcW w:w="680" w:type="dxa"/>
            <w:gridSpan w:val="2"/>
            <w:tcBorders>
              <w:bottom w:val="single" w:sz="6" w:space="0" w:color="auto"/>
            </w:tcBorders>
            <w:vAlign w:val="center"/>
          </w:tcPr>
          <w:p w14:paraId="79899342" w14:textId="59C6D855" w:rsidR="00464E35" w:rsidRPr="00B03C9E" w:rsidRDefault="00E1676C" w:rsidP="00464E35">
            <w:pPr>
              <w:pStyle w:val="TCTableBody"/>
              <w:jc w:val="center"/>
              <w:rPr>
                <w:rFonts w:ascii="Times New Roman" w:hAnsi="Times New Roman"/>
                <w:szCs w:val="18"/>
                <w:lang w:val="pt-BR"/>
              </w:rPr>
            </w:pPr>
            <w:r>
              <w:rPr>
                <w:rFonts w:ascii="Times New Roman" w:hAnsi="Times New Roman"/>
                <w:szCs w:val="18"/>
              </w:rPr>
              <w:t>1,55</w:t>
            </w:r>
          </w:p>
        </w:tc>
      </w:tr>
      <w:tr w:rsidR="00464E35" w:rsidRPr="00B03C9E" w14:paraId="0B8EF3C4" w14:textId="77777777" w:rsidTr="00B06763">
        <w:trPr>
          <w:gridAfter w:val="1"/>
          <w:wAfter w:w="14" w:type="dxa"/>
        </w:trPr>
        <w:tc>
          <w:tcPr>
            <w:tcW w:w="4804" w:type="dxa"/>
            <w:gridSpan w:val="4"/>
            <w:tcBorders>
              <w:top w:val="single" w:sz="6" w:space="0" w:color="auto"/>
              <w:left w:val="nil"/>
              <w:bottom w:val="nil"/>
              <w:right w:val="nil"/>
            </w:tcBorders>
            <w:vAlign w:val="center"/>
          </w:tcPr>
          <w:p w14:paraId="3B057203" w14:textId="5D8D3861" w:rsidR="00464E35" w:rsidRPr="00B03C9E" w:rsidRDefault="00464E35" w:rsidP="00464E35">
            <w:pPr>
              <w:pStyle w:val="TCTableBody"/>
              <w:spacing w:after="0" w:line="240" w:lineRule="auto"/>
              <w:rPr>
                <w:rFonts w:ascii="Times New Roman" w:hAnsi="Times New Roman"/>
                <w:szCs w:val="18"/>
                <w:lang w:val="pt-BR"/>
              </w:rPr>
            </w:pPr>
            <w:r w:rsidRPr="00B03C9E">
              <w:rPr>
                <w:rFonts w:ascii="Times New Roman" w:hAnsi="Times New Roman"/>
                <w:szCs w:val="18"/>
                <w:vertAlign w:val="superscript"/>
                <w:lang w:val="pt-BR"/>
              </w:rPr>
              <w:t>a</w:t>
            </w:r>
            <w:r w:rsidRPr="00B03C9E">
              <w:rPr>
                <w:rFonts w:ascii="Times New Roman" w:hAnsi="Times New Roman"/>
                <w:szCs w:val="18"/>
                <w:lang w:val="pt-BR"/>
              </w:rPr>
              <w:t xml:space="preserve">[B]: concentração de sítios ácidos de </w:t>
            </w:r>
            <w:proofErr w:type="spellStart"/>
            <w:r w:rsidRPr="00B03C9E">
              <w:rPr>
                <w:rFonts w:ascii="Times New Roman" w:hAnsi="Times New Roman"/>
                <w:szCs w:val="18"/>
                <w:lang w:val="pt-BR"/>
              </w:rPr>
              <w:t>Brönsted</w:t>
            </w:r>
            <w:proofErr w:type="spellEnd"/>
            <w:r w:rsidRPr="00B03C9E">
              <w:rPr>
                <w:rFonts w:ascii="Times New Roman" w:hAnsi="Times New Roman"/>
                <w:szCs w:val="18"/>
                <w:lang w:val="pt-BR"/>
              </w:rPr>
              <w:t xml:space="preserve">; </w:t>
            </w:r>
            <w:r w:rsidRPr="00B03C9E">
              <w:rPr>
                <w:rFonts w:ascii="Times New Roman" w:hAnsi="Times New Roman"/>
                <w:szCs w:val="18"/>
                <w:vertAlign w:val="superscript"/>
                <w:lang w:val="pt-BR"/>
              </w:rPr>
              <w:t>b</w:t>
            </w:r>
            <w:r w:rsidRPr="00B03C9E">
              <w:rPr>
                <w:rFonts w:ascii="Times New Roman" w:hAnsi="Times New Roman"/>
                <w:szCs w:val="18"/>
                <w:lang w:val="pt-BR"/>
              </w:rPr>
              <w:t>[L]: concentração de sítios ácidos de Lewis.</w:t>
            </w:r>
          </w:p>
          <w:p w14:paraId="2BA8F36A" w14:textId="593A9AB6" w:rsidR="00464E35" w:rsidRPr="00B03C9E" w:rsidRDefault="00464E35" w:rsidP="00464E35">
            <w:pPr>
              <w:pStyle w:val="TCTableBody"/>
              <w:spacing w:after="0" w:line="240" w:lineRule="auto"/>
              <w:jc w:val="center"/>
              <w:rPr>
                <w:rFonts w:ascii="Times New Roman" w:hAnsi="Times New Roman"/>
                <w:szCs w:val="18"/>
                <w:lang w:val="pt-BR"/>
              </w:rPr>
            </w:pPr>
          </w:p>
        </w:tc>
      </w:tr>
    </w:tbl>
    <w:p w14:paraId="068C4474" w14:textId="5566ABD5" w:rsidR="00D469B8" w:rsidRDefault="00D469B8" w:rsidP="00D469B8">
      <w:pPr>
        <w:pStyle w:val="TAMainText"/>
        <w:ind w:firstLine="187"/>
        <w:rPr>
          <w:rFonts w:ascii="Times New Roman" w:hAnsi="Times New Roman"/>
          <w:lang w:val="pt-BR"/>
        </w:rPr>
      </w:pPr>
      <w:r>
        <w:rPr>
          <w:rFonts w:ascii="Times New Roman" w:hAnsi="Times New Roman"/>
          <w:lang w:val="pt-BR"/>
        </w:rPr>
        <w:t xml:space="preserve">O </w:t>
      </w:r>
      <w:proofErr w:type="spellStart"/>
      <w:r>
        <w:rPr>
          <w:rFonts w:ascii="Times New Roman" w:hAnsi="Times New Roman"/>
          <w:lang w:val="pt-BR"/>
        </w:rPr>
        <w:t>SNb</w:t>
      </w:r>
      <w:proofErr w:type="spellEnd"/>
      <w:r>
        <w:rPr>
          <w:rFonts w:ascii="Times New Roman" w:hAnsi="Times New Roman"/>
          <w:lang w:val="pt-BR"/>
        </w:rPr>
        <w:t xml:space="preserve">-HY apresentou aumento na quantidade de sítios ácidos de Brønsted se comparado com a HY pura. Esse aumento pode estar associado à formação de sítios ácidos de Brønsted após o procedimento de sulfatação. Comparando o </w:t>
      </w:r>
      <w:proofErr w:type="spellStart"/>
      <w:r>
        <w:rPr>
          <w:rFonts w:ascii="Times New Roman" w:hAnsi="Times New Roman"/>
          <w:lang w:val="pt-BR"/>
        </w:rPr>
        <w:t>NiPt</w:t>
      </w:r>
      <w:proofErr w:type="spellEnd"/>
      <w:r>
        <w:rPr>
          <w:rFonts w:ascii="Times New Roman" w:hAnsi="Times New Roman"/>
          <w:lang w:val="pt-BR"/>
        </w:rPr>
        <w:t xml:space="preserve">/HY com o </w:t>
      </w:r>
      <w:proofErr w:type="spellStart"/>
      <w:r>
        <w:rPr>
          <w:rFonts w:ascii="Times New Roman" w:hAnsi="Times New Roman"/>
          <w:lang w:val="pt-BR"/>
        </w:rPr>
        <w:t>NiPt</w:t>
      </w:r>
      <w:proofErr w:type="spellEnd"/>
      <w:r>
        <w:rPr>
          <w:rFonts w:ascii="Times New Roman" w:hAnsi="Times New Roman"/>
          <w:lang w:val="pt-BR"/>
        </w:rPr>
        <w:t>/</w:t>
      </w:r>
      <w:proofErr w:type="spellStart"/>
      <w:r>
        <w:rPr>
          <w:rFonts w:ascii="Times New Roman" w:hAnsi="Times New Roman"/>
          <w:lang w:val="pt-BR"/>
        </w:rPr>
        <w:t>SNb</w:t>
      </w:r>
      <w:proofErr w:type="spellEnd"/>
      <w:r>
        <w:rPr>
          <w:rFonts w:ascii="Times New Roman" w:hAnsi="Times New Roman"/>
          <w:lang w:val="pt-BR"/>
        </w:rPr>
        <w:t xml:space="preserve">-HY, observa-se aumento na razão entre os sítios ácido de Brønsted e de Lewis para o </w:t>
      </w:r>
      <w:proofErr w:type="spellStart"/>
      <w:r>
        <w:rPr>
          <w:rFonts w:ascii="Times New Roman" w:hAnsi="Times New Roman"/>
          <w:lang w:val="pt-BR"/>
        </w:rPr>
        <w:t>NiPt</w:t>
      </w:r>
      <w:proofErr w:type="spellEnd"/>
      <w:r>
        <w:rPr>
          <w:rFonts w:ascii="Times New Roman" w:hAnsi="Times New Roman"/>
          <w:lang w:val="pt-BR"/>
        </w:rPr>
        <w:t>/</w:t>
      </w:r>
      <w:proofErr w:type="spellStart"/>
      <w:r>
        <w:rPr>
          <w:rFonts w:ascii="Times New Roman" w:hAnsi="Times New Roman"/>
          <w:lang w:val="pt-BR"/>
        </w:rPr>
        <w:t>SNb</w:t>
      </w:r>
      <w:proofErr w:type="spellEnd"/>
      <w:r>
        <w:rPr>
          <w:rFonts w:ascii="Times New Roman" w:hAnsi="Times New Roman"/>
          <w:lang w:val="pt-BR"/>
        </w:rPr>
        <w:t xml:space="preserve">-HY se comparado ao </w:t>
      </w:r>
      <w:proofErr w:type="spellStart"/>
      <w:r>
        <w:rPr>
          <w:rFonts w:ascii="Times New Roman" w:hAnsi="Times New Roman"/>
          <w:lang w:val="pt-BR"/>
        </w:rPr>
        <w:t>NiPt</w:t>
      </w:r>
      <w:proofErr w:type="spellEnd"/>
      <w:r>
        <w:rPr>
          <w:rFonts w:ascii="Times New Roman" w:hAnsi="Times New Roman"/>
          <w:lang w:val="pt-BR"/>
        </w:rPr>
        <w:t xml:space="preserve">/HY, o que está associado ao aumento da concentração de sítios de </w:t>
      </w:r>
      <w:bookmarkStart w:id="3" w:name="_Hlk134731430"/>
      <w:r>
        <w:rPr>
          <w:rFonts w:ascii="Times New Roman" w:hAnsi="Times New Roman"/>
          <w:lang w:val="pt-BR"/>
        </w:rPr>
        <w:t>Brønsted</w:t>
      </w:r>
      <w:bookmarkEnd w:id="3"/>
      <w:r>
        <w:rPr>
          <w:rFonts w:ascii="Times New Roman" w:hAnsi="Times New Roman"/>
          <w:lang w:val="pt-BR"/>
        </w:rPr>
        <w:t xml:space="preserve"> e redução na concentração de sítios de Lewis.</w:t>
      </w:r>
    </w:p>
    <w:p w14:paraId="6F89479F" w14:textId="2088230A" w:rsidR="005D7CA9" w:rsidRDefault="00237FB0" w:rsidP="005D7CA9">
      <w:pPr>
        <w:pStyle w:val="TAMainText"/>
        <w:ind w:firstLine="187"/>
        <w:rPr>
          <w:rFonts w:ascii="Times New Roman" w:hAnsi="Times New Roman"/>
          <w:lang w:val="pt-BR"/>
        </w:rPr>
      </w:pPr>
      <w:r>
        <w:rPr>
          <w:rFonts w:ascii="Times New Roman" w:hAnsi="Times New Roman"/>
          <w:lang w:val="pt-BR"/>
        </w:rPr>
        <w:t xml:space="preserve">Na </w:t>
      </w:r>
      <w:r w:rsidR="005D7CA9">
        <w:rPr>
          <w:rFonts w:ascii="Times New Roman" w:hAnsi="Times New Roman"/>
          <w:lang w:val="pt-BR"/>
        </w:rPr>
        <w:t>F</w:t>
      </w:r>
      <w:r w:rsidR="00931BD2">
        <w:rPr>
          <w:rFonts w:ascii="Times New Roman" w:hAnsi="Times New Roman"/>
          <w:lang w:val="pt-BR"/>
        </w:rPr>
        <w:t>i</w:t>
      </w:r>
      <w:r w:rsidR="005D7CA9">
        <w:rPr>
          <w:rFonts w:ascii="Times New Roman" w:hAnsi="Times New Roman"/>
          <w:lang w:val="pt-BR"/>
        </w:rPr>
        <w:t>gura</w:t>
      </w:r>
      <w:r>
        <w:rPr>
          <w:rFonts w:ascii="Times New Roman" w:hAnsi="Times New Roman"/>
          <w:lang w:val="pt-BR"/>
        </w:rPr>
        <w:t xml:space="preserve"> </w:t>
      </w:r>
      <w:r w:rsidR="009771E0">
        <w:rPr>
          <w:rFonts w:ascii="Times New Roman" w:hAnsi="Times New Roman"/>
          <w:lang w:val="pt-BR"/>
        </w:rPr>
        <w:t>4</w:t>
      </w:r>
      <w:r>
        <w:rPr>
          <w:rFonts w:ascii="Times New Roman" w:hAnsi="Times New Roman"/>
          <w:lang w:val="pt-BR"/>
        </w:rPr>
        <w:t xml:space="preserve"> estão apresentados os resultados de conversão </w:t>
      </w:r>
      <w:r w:rsidR="0076399E">
        <w:rPr>
          <w:rFonts w:ascii="Times New Roman" w:hAnsi="Times New Roman"/>
          <w:lang w:val="pt-BR"/>
        </w:rPr>
        <w:t xml:space="preserve">do ácido oleico </w:t>
      </w:r>
      <w:r>
        <w:rPr>
          <w:rFonts w:ascii="Times New Roman" w:hAnsi="Times New Roman"/>
          <w:lang w:val="pt-BR"/>
        </w:rPr>
        <w:t xml:space="preserve">e </w:t>
      </w:r>
      <w:r w:rsidR="00694AC4">
        <w:rPr>
          <w:rFonts w:ascii="Times New Roman" w:hAnsi="Times New Roman"/>
          <w:lang w:val="pt-BR"/>
        </w:rPr>
        <w:t>distribuição</w:t>
      </w:r>
      <w:r w:rsidR="001F11E3">
        <w:rPr>
          <w:rFonts w:ascii="Times New Roman" w:hAnsi="Times New Roman"/>
          <w:lang w:val="pt-BR"/>
        </w:rPr>
        <w:t xml:space="preserve"> </w:t>
      </w:r>
      <w:r w:rsidR="00694AC4">
        <w:rPr>
          <w:rFonts w:ascii="Times New Roman" w:hAnsi="Times New Roman"/>
          <w:lang w:val="pt-BR"/>
        </w:rPr>
        <w:t>dos</w:t>
      </w:r>
      <w:r w:rsidR="00FA5868">
        <w:rPr>
          <w:rFonts w:ascii="Times New Roman" w:hAnsi="Times New Roman"/>
          <w:lang w:val="pt-BR"/>
        </w:rPr>
        <w:t xml:space="preserve"> principais produtos</w:t>
      </w:r>
      <w:r w:rsidR="00651640">
        <w:rPr>
          <w:rFonts w:ascii="Times New Roman" w:hAnsi="Times New Roman"/>
          <w:lang w:val="pt-BR"/>
        </w:rPr>
        <w:t xml:space="preserve"> líquidos</w:t>
      </w:r>
      <w:r w:rsidR="00FA5868">
        <w:rPr>
          <w:rFonts w:ascii="Times New Roman" w:hAnsi="Times New Roman"/>
          <w:lang w:val="pt-BR"/>
        </w:rPr>
        <w:t xml:space="preserve"> </w:t>
      </w:r>
      <w:r w:rsidR="001F11E3">
        <w:rPr>
          <w:rFonts w:ascii="Times New Roman" w:hAnsi="Times New Roman"/>
          <w:lang w:val="pt-BR"/>
        </w:rPr>
        <w:t xml:space="preserve">obtidos </w:t>
      </w:r>
      <w:r w:rsidR="00FA5868">
        <w:rPr>
          <w:rFonts w:ascii="Times New Roman" w:hAnsi="Times New Roman"/>
          <w:lang w:val="pt-BR"/>
        </w:rPr>
        <w:t>empregando</w:t>
      </w:r>
      <w:r w:rsidR="001F11E3">
        <w:rPr>
          <w:rFonts w:ascii="Times New Roman" w:hAnsi="Times New Roman"/>
          <w:lang w:val="pt-BR"/>
        </w:rPr>
        <w:t xml:space="preserve"> o HY, </w:t>
      </w:r>
      <w:proofErr w:type="spellStart"/>
      <w:r w:rsidR="001F11E3">
        <w:rPr>
          <w:rFonts w:ascii="Times New Roman" w:hAnsi="Times New Roman"/>
          <w:lang w:val="pt-BR"/>
        </w:rPr>
        <w:t>NiPt</w:t>
      </w:r>
      <w:proofErr w:type="spellEnd"/>
      <w:r w:rsidR="001F11E3">
        <w:rPr>
          <w:rFonts w:ascii="Times New Roman" w:hAnsi="Times New Roman"/>
          <w:lang w:val="pt-BR"/>
        </w:rPr>
        <w:t xml:space="preserve">/HY, </w:t>
      </w:r>
      <w:proofErr w:type="spellStart"/>
      <w:r w:rsidR="001F11E3">
        <w:rPr>
          <w:rFonts w:ascii="Times New Roman" w:hAnsi="Times New Roman"/>
          <w:lang w:val="pt-BR"/>
        </w:rPr>
        <w:t>SNb</w:t>
      </w:r>
      <w:proofErr w:type="spellEnd"/>
      <w:r w:rsidR="001F11E3">
        <w:rPr>
          <w:rFonts w:ascii="Times New Roman" w:hAnsi="Times New Roman"/>
          <w:lang w:val="pt-BR"/>
        </w:rPr>
        <w:t>-HY</w:t>
      </w:r>
      <w:r w:rsidR="00FA5868">
        <w:rPr>
          <w:rFonts w:ascii="Times New Roman" w:hAnsi="Times New Roman"/>
          <w:lang w:val="pt-BR"/>
        </w:rPr>
        <w:t>,</w:t>
      </w:r>
      <w:r w:rsidR="001F11E3">
        <w:rPr>
          <w:rFonts w:ascii="Times New Roman" w:hAnsi="Times New Roman"/>
          <w:lang w:val="pt-BR"/>
        </w:rPr>
        <w:t xml:space="preserve"> </w:t>
      </w:r>
      <w:proofErr w:type="spellStart"/>
      <w:r w:rsidR="001F11E3">
        <w:rPr>
          <w:rFonts w:ascii="Times New Roman" w:hAnsi="Times New Roman"/>
          <w:lang w:val="pt-BR"/>
        </w:rPr>
        <w:t>NiPt</w:t>
      </w:r>
      <w:proofErr w:type="spellEnd"/>
      <w:r w:rsidR="001F11E3">
        <w:rPr>
          <w:rFonts w:ascii="Times New Roman" w:hAnsi="Times New Roman"/>
          <w:lang w:val="pt-BR"/>
        </w:rPr>
        <w:t>/</w:t>
      </w:r>
      <w:proofErr w:type="spellStart"/>
      <w:r w:rsidR="001F11E3">
        <w:rPr>
          <w:rFonts w:ascii="Times New Roman" w:hAnsi="Times New Roman"/>
          <w:lang w:val="pt-BR"/>
        </w:rPr>
        <w:t>SNb</w:t>
      </w:r>
      <w:proofErr w:type="spellEnd"/>
      <w:r w:rsidR="001F11E3">
        <w:rPr>
          <w:rFonts w:ascii="Times New Roman" w:hAnsi="Times New Roman"/>
          <w:lang w:val="pt-BR"/>
        </w:rPr>
        <w:t>-HY</w:t>
      </w:r>
      <w:r w:rsidR="00FA5868">
        <w:rPr>
          <w:rFonts w:ascii="Times New Roman" w:hAnsi="Times New Roman"/>
          <w:lang w:val="pt-BR"/>
        </w:rPr>
        <w:t xml:space="preserve"> e para o</w:t>
      </w:r>
      <w:r w:rsidR="00651640">
        <w:rPr>
          <w:rFonts w:ascii="Times New Roman" w:hAnsi="Times New Roman"/>
          <w:lang w:val="pt-BR"/>
        </w:rPr>
        <w:t xml:space="preserve"> material</w:t>
      </w:r>
      <w:r w:rsidR="00FA5868">
        <w:rPr>
          <w:rFonts w:ascii="Times New Roman" w:hAnsi="Times New Roman"/>
          <w:lang w:val="pt-BR"/>
        </w:rPr>
        <w:t xml:space="preserve"> inerte (</w:t>
      </w:r>
      <w:proofErr w:type="spellStart"/>
      <w:r w:rsidR="00FA5868">
        <w:rPr>
          <w:rFonts w:ascii="Times New Roman" w:hAnsi="Times New Roman"/>
          <w:lang w:val="pt-BR"/>
        </w:rPr>
        <w:t>SiC</w:t>
      </w:r>
      <w:proofErr w:type="spellEnd"/>
      <w:r w:rsidR="00FA5868">
        <w:rPr>
          <w:rFonts w:ascii="Times New Roman" w:hAnsi="Times New Roman"/>
          <w:lang w:val="pt-BR"/>
        </w:rPr>
        <w:t>)</w:t>
      </w:r>
      <w:r w:rsidR="00931BD2">
        <w:rPr>
          <w:rFonts w:ascii="Times New Roman" w:hAnsi="Times New Roman"/>
          <w:lang w:val="pt-BR"/>
        </w:rPr>
        <w:t>.</w:t>
      </w:r>
    </w:p>
    <w:p w14:paraId="6F5EEFD6" w14:textId="5418E76B" w:rsidR="006D1736" w:rsidRDefault="00255107" w:rsidP="006D1736">
      <w:r>
        <w:rPr>
          <w:noProof/>
        </w:rPr>
        <w:drawing>
          <wp:inline distT="0" distB="0" distL="0" distR="0" wp14:anchorId="5A72E144" wp14:editId="0C8E0D98">
            <wp:extent cx="3027680" cy="2131060"/>
            <wp:effectExtent l="0" t="0" r="1270" b="2540"/>
            <wp:docPr id="191966183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61833" name="Imagem 191966183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7680" cy="2131060"/>
                    </a:xfrm>
                    <a:prstGeom prst="rect">
                      <a:avLst/>
                    </a:prstGeom>
                  </pic:spPr>
                </pic:pic>
              </a:graphicData>
            </a:graphic>
          </wp:inline>
        </w:drawing>
      </w:r>
    </w:p>
    <w:p w14:paraId="2823D489" w14:textId="43E702F1" w:rsidR="006D1736" w:rsidRDefault="006D1736" w:rsidP="006D1736">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4</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 xml:space="preserve">Conversão e </w:t>
      </w:r>
      <w:r w:rsidR="00694AC4">
        <w:rPr>
          <w:rFonts w:ascii="Times New Roman" w:hAnsi="Times New Roman"/>
          <w:lang w:val="pt-BR"/>
        </w:rPr>
        <w:t>distribuição dos produtos líquidos</w:t>
      </w:r>
      <w:r>
        <w:rPr>
          <w:rFonts w:ascii="Times New Roman" w:hAnsi="Times New Roman"/>
          <w:lang w:val="pt-BR"/>
        </w:rPr>
        <w:t xml:space="preserve"> obtidos para a HY, </w:t>
      </w:r>
      <w:proofErr w:type="spellStart"/>
      <w:r>
        <w:rPr>
          <w:rFonts w:ascii="Times New Roman" w:hAnsi="Times New Roman"/>
          <w:lang w:val="pt-BR"/>
        </w:rPr>
        <w:t>NiPt</w:t>
      </w:r>
      <w:proofErr w:type="spellEnd"/>
      <w:r>
        <w:rPr>
          <w:rFonts w:ascii="Times New Roman" w:hAnsi="Times New Roman"/>
          <w:lang w:val="pt-BR"/>
        </w:rPr>
        <w:t xml:space="preserve">/HY, </w:t>
      </w:r>
      <w:proofErr w:type="spellStart"/>
      <w:r>
        <w:rPr>
          <w:rFonts w:ascii="Times New Roman" w:hAnsi="Times New Roman"/>
          <w:lang w:val="pt-BR"/>
        </w:rPr>
        <w:t>SNb</w:t>
      </w:r>
      <w:proofErr w:type="spellEnd"/>
      <w:r>
        <w:rPr>
          <w:rFonts w:ascii="Times New Roman" w:hAnsi="Times New Roman"/>
          <w:lang w:val="pt-BR"/>
        </w:rPr>
        <w:t xml:space="preserve">-HY, </w:t>
      </w:r>
      <w:proofErr w:type="spellStart"/>
      <w:r>
        <w:rPr>
          <w:rFonts w:ascii="Times New Roman" w:hAnsi="Times New Roman"/>
          <w:lang w:val="pt-BR"/>
        </w:rPr>
        <w:t>NiPt</w:t>
      </w:r>
      <w:proofErr w:type="spellEnd"/>
      <w:r>
        <w:rPr>
          <w:rFonts w:ascii="Times New Roman" w:hAnsi="Times New Roman"/>
          <w:lang w:val="pt-BR"/>
        </w:rPr>
        <w:t>/</w:t>
      </w:r>
      <w:proofErr w:type="spellStart"/>
      <w:r>
        <w:rPr>
          <w:rFonts w:ascii="Times New Roman" w:hAnsi="Times New Roman"/>
          <w:lang w:val="pt-BR"/>
        </w:rPr>
        <w:t>SNb</w:t>
      </w:r>
      <w:proofErr w:type="spellEnd"/>
      <w:r>
        <w:rPr>
          <w:rFonts w:ascii="Times New Roman" w:hAnsi="Times New Roman"/>
          <w:lang w:val="pt-BR"/>
        </w:rPr>
        <w:t xml:space="preserve">-HY e </w:t>
      </w:r>
      <w:proofErr w:type="spellStart"/>
      <w:r>
        <w:rPr>
          <w:rFonts w:ascii="Times New Roman" w:hAnsi="Times New Roman"/>
          <w:lang w:val="pt-BR"/>
        </w:rPr>
        <w:t>SiC</w:t>
      </w:r>
      <w:proofErr w:type="spellEnd"/>
      <w:r w:rsidRPr="00E038AF">
        <w:rPr>
          <w:rFonts w:ascii="Times New Roman" w:hAnsi="Times New Roman"/>
          <w:lang w:val="pt-BR"/>
        </w:rPr>
        <w:t>.</w:t>
      </w:r>
    </w:p>
    <w:p w14:paraId="72687D6C" w14:textId="77777777" w:rsidR="006D1736" w:rsidRDefault="006D1736" w:rsidP="005D7CA9">
      <w:pPr>
        <w:pStyle w:val="TAMainText"/>
        <w:ind w:firstLine="187"/>
        <w:rPr>
          <w:rFonts w:ascii="Times New Roman" w:hAnsi="Times New Roman"/>
          <w:lang w:val="pt-BR"/>
        </w:rPr>
      </w:pPr>
    </w:p>
    <w:p w14:paraId="2ED1BFDE" w14:textId="6257CA1A" w:rsidR="00FA5868" w:rsidRDefault="00FA5868" w:rsidP="00FA5868">
      <w:pPr>
        <w:pStyle w:val="TAMainText"/>
        <w:ind w:firstLine="187"/>
        <w:rPr>
          <w:rFonts w:ascii="Times New Roman" w:hAnsi="Times New Roman"/>
          <w:lang w:val="pt-BR"/>
        </w:rPr>
      </w:pPr>
      <w:r>
        <w:rPr>
          <w:rFonts w:ascii="Times New Roman" w:hAnsi="Times New Roman"/>
          <w:lang w:val="pt-BR"/>
        </w:rPr>
        <w:t xml:space="preserve">Conforme pode ser observado, a HY e o </w:t>
      </w:r>
      <w:proofErr w:type="spellStart"/>
      <w:r>
        <w:rPr>
          <w:rFonts w:ascii="Times New Roman" w:hAnsi="Times New Roman"/>
          <w:lang w:val="pt-BR"/>
        </w:rPr>
        <w:t>SNb</w:t>
      </w:r>
      <w:proofErr w:type="spellEnd"/>
      <w:r>
        <w:rPr>
          <w:rFonts w:ascii="Times New Roman" w:hAnsi="Times New Roman"/>
          <w:lang w:val="pt-BR"/>
        </w:rPr>
        <w:t>-HY apresentaram elevada conversão do ácido oleico</w:t>
      </w:r>
      <w:r w:rsidRPr="00E038AF">
        <w:rPr>
          <w:rFonts w:ascii="Times New Roman" w:hAnsi="Times New Roman"/>
          <w:lang w:val="pt-BR"/>
        </w:rPr>
        <w:t>.</w:t>
      </w:r>
      <w:r>
        <w:rPr>
          <w:rFonts w:ascii="Times New Roman" w:hAnsi="Times New Roman"/>
          <w:lang w:val="pt-BR"/>
        </w:rPr>
        <w:t xml:space="preserve"> Entretanto, o principal produto formado foi o ácido </w:t>
      </w:r>
      <w:proofErr w:type="spellStart"/>
      <w:r>
        <w:rPr>
          <w:rFonts w:ascii="Times New Roman" w:hAnsi="Times New Roman"/>
          <w:lang w:val="pt-BR"/>
        </w:rPr>
        <w:t>elaidico</w:t>
      </w:r>
      <w:proofErr w:type="spellEnd"/>
      <w:r>
        <w:rPr>
          <w:rFonts w:ascii="Times New Roman" w:hAnsi="Times New Roman"/>
          <w:lang w:val="pt-BR"/>
        </w:rPr>
        <w:t xml:space="preserve">, 99% para ambos. Para o </w:t>
      </w:r>
      <w:proofErr w:type="spellStart"/>
      <w:r>
        <w:rPr>
          <w:rFonts w:ascii="Times New Roman" w:hAnsi="Times New Roman"/>
          <w:lang w:val="pt-BR"/>
        </w:rPr>
        <w:t>SiC</w:t>
      </w:r>
      <w:proofErr w:type="spellEnd"/>
      <w:r>
        <w:rPr>
          <w:rFonts w:ascii="Times New Roman" w:hAnsi="Times New Roman"/>
          <w:lang w:val="pt-BR"/>
        </w:rPr>
        <w:t xml:space="preserve"> também foi identificado conversão do ácido oleico e o principal produto formado também foi o ácido </w:t>
      </w:r>
      <w:proofErr w:type="spellStart"/>
      <w:r w:rsidR="00651640">
        <w:rPr>
          <w:rFonts w:ascii="Times New Roman" w:hAnsi="Times New Roman"/>
          <w:lang w:val="pt-BR"/>
        </w:rPr>
        <w:t>elaidico</w:t>
      </w:r>
      <w:proofErr w:type="spellEnd"/>
      <w:r>
        <w:rPr>
          <w:rFonts w:ascii="Times New Roman" w:hAnsi="Times New Roman"/>
          <w:lang w:val="pt-BR"/>
        </w:rPr>
        <w:t xml:space="preserve">. O ácido </w:t>
      </w:r>
      <w:proofErr w:type="spellStart"/>
      <w:r>
        <w:rPr>
          <w:rFonts w:ascii="Times New Roman" w:hAnsi="Times New Roman"/>
          <w:lang w:val="pt-BR"/>
        </w:rPr>
        <w:t>elaidico</w:t>
      </w:r>
      <w:proofErr w:type="spellEnd"/>
      <w:r>
        <w:rPr>
          <w:rFonts w:ascii="Times New Roman" w:hAnsi="Times New Roman"/>
          <w:lang w:val="pt-BR"/>
        </w:rPr>
        <w:t xml:space="preserve"> é formado a partir da isomerização do ácido oleico. Enquanto o ácido oleico apresenta isomeria cis, o ácido </w:t>
      </w:r>
      <w:proofErr w:type="spellStart"/>
      <w:r>
        <w:rPr>
          <w:rFonts w:ascii="Times New Roman" w:hAnsi="Times New Roman"/>
          <w:lang w:val="pt-BR"/>
        </w:rPr>
        <w:t>elaidico</w:t>
      </w:r>
      <w:proofErr w:type="spellEnd"/>
      <w:r>
        <w:rPr>
          <w:rFonts w:ascii="Times New Roman" w:hAnsi="Times New Roman"/>
          <w:lang w:val="pt-BR"/>
        </w:rPr>
        <w:t xml:space="preserve"> apresenta isomeria trans. </w:t>
      </w:r>
      <w:r w:rsidRPr="00415293">
        <w:rPr>
          <w:rFonts w:ascii="Times New Roman" w:hAnsi="Times New Roman"/>
          <w:lang w:val="pt-BR"/>
        </w:rPr>
        <w:t xml:space="preserve">A isomerização do </w:t>
      </w:r>
      <w:r w:rsidR="00A26C6B" w:rsidRPr="00415293">
        <w:rPr>
          <w:rFonts w:ascii="Times New Roman" w:hAnsi="Times New Roman"/>
          <w:lang w:val="pt-BR"/>
        </w:rPr>
        <w:t xml:space="preserve">ácido oleico a ácido </w:t>
      </w:r>
      <w:proofErr w:type="spellStart"/>
      <w:r w:rsidR="00A26C6B" w:rsidRPr="00415293">
        <w:rPr>
          <w:rFonts w:ascii="Times New Roman" w:hAnsi="Times New Roman"/>
          <w:lang w:val="pt-BR"/>
        </w:rPr>
        <w:t>elaidico</w:t>
      </w:r>
      <w:proofErr w:type="spellEnd"/>
      <w:r w:rsidR="00A26C6B" w:rsidRPr="00415293">
        <w:rPr>
          <w:rFonts w:ascii="Times New Roman" w:hAnsi="Times New Roman"/>
          <w:lang w:val="pt-BR"/>
        </w:rPr>
        <w:t xml:space="preserve"> pode ocorrer pelo efeito da temperatura</w:t>
      </w:r>
      <w:r w:rsidR="00415293" w:rsidRPr="00415293">
        <w:rPr>
          <w:rFonts w:ascii="Times New Roman" w:hAnsi="Times New Roman"/>
          <w:lang w:val="pt-BR"/>
        </w:rPr>
        <w:t xml:space="preserve"> </w:t>
      </w:r>
      <w:r w:rsidR="00883379">
        <w:rPr>
          <w:rFonts w:ascii="Times New Roman" w:hAnsi="Times New Roman"/>
          <w:lang w:val="pt-BR"/>
        </w:rPr>
        <w:t>[20]</w:t>
      </w:r>
      <w:r w:rsidR="00A26C6B" w:rsidRPr="00415293">
        <w:rPr>
          <w:rFonts w:ascii="Times New Roman" w:hAnsi="Times New Roman"/>
          <w:lang w:val="pt-BR"/>
        </w:rPr>
        <w:t>.</w:t>
      </w:r>
    </w:p>
    <w:p w14:paraId="1D425CC2" w14:textId="1C58A9F1" w:rsidR="0090164C" w:rsidRPr="005D7CA9" w:rsidRDefault="0090164C" w:rsidP="0090164C">
      <w:pPr>
        <w:pStyle w:val="TAMainText"/>
        <w:ind w:firstLine="187"/>
        <w:rPr>
          <w:rFonts w:ascii="Times New Roman" w:hAnsi="Times New Roman"/>
          <w:lang w:val="pt-BR"/>
        </w:rPr>
      </w:pPr>
      <w:r w:rsidRPr="005D7CA9">
        <w:rPr>
          <w:rFonts w:ascii="Times New Roman" w:hAnsi="Times New Roman"/>
          <w:lang w:val="pt-BR"/>
        </w:rPr>
        <w:t xml:space="preserve">O </w:t>
      </w:r>
      <w:proofErr w:type="spellStart"/>
      <w:r w:rsidRPr="005D7CA9">
        <w:rPr>
          <w:rFonts w:ascii="Times New Roman" w:hAnsi="Times New Roman"/>
          <w:lang w:val="pt-BR"/>
        </w:rPr>
        <w:t>NiPt</w:t>
      </w:r>
      <w:proofErr w:type="spellEnd"/>
      <w:r w:rsidRPr="005D7CA9">
        <w:rPr>
          <w:rFonts w:ascii="Times New Roman" w:hAnsi="Times New Roman"/>
          <w:lang w:val="pt-BR"/>
        </w:rPr>
        <w:t xml:space="preserve">/HY e </w:t>
      </w:r>
      <w:proofErr w:type="spellStart"/>
      <w:r w:rsidRPr="005D7CA9">
        <w:rPr>
          <w:rFonts w:ascii="Times New Roman" w:hAnsi="Times New Roman"/>
          <w:lang w:val="pt-BR"/>
        </w:rPr>
        <w:t>NiPt</w:t>
      </w:r>
      <w:proofErr w:type="spellEnd"/>
      <w:r w:rsidRPr="005D7CA9">
        <w:rPr>
          <w:rFonts w:ascii="Times New Roman" w:hAnsi="Times New Roman"/>
          <w:lang w:val="pt-BR"/>
        </w:rPr>
        <w:t>/</w:t>
      </w:r>
      <w:proofErr w:type="spellStart"/>
      <w:r w:rsidRPr="005D7CA9">
        <w:rPr>
          <w:rFonts w:ascii="Times New Roman" w:hAnsi="Times New Roman"/>
          <w:lang w:val="pt-BR"/>
        </w:rPr>
        <w:t>SNb</w:t>
      </w:r>
      <w:proofErr w:type="spellEnd"/>
      <w:r w:rsidRPr="005D7CA9">
        <w:rPr>
          <w:rFonts w:ascii="Times New Roman" w:hAnsi="Times New Roman"/>
          <w:lang w:val="pt-BR"/>
        </w:rPr>
        <w:t xml:space="preserve">-HY </w:t>
      </w:r>
      <w:r>
        <w:rPr>
          <w:rFonts w:ascii="Times New Roman" w:hAnsi="Times New Roman"/>
          <w:lang w:val="pt-BR"/>
        </w:rPr>
        <w:t xml:space="preserve">apresentaram elevada conversão do ácido oleico. Para ambos, os principais produtos formados foram o ácido </w:t>
      </w:r>
      <w:proofErr w:type="spellStart"/>
      <w:r>
        <w:rPr>
          <w:rFonts w:ascii="Times New Roman" w:hAnsi="Times New Roman"/>
          <w:lang w:val="pt-BR"/>
        </w:rPr>
        <w:t>elaidico</w:t>
      </w:r>
      <w:proofErr w:type="spellEnd"/>
      <w:r>
        <w:rPr>
          <w:rFonts w:ascii="Times New Roman" w:hAnsi="Times New Roman"/>
          <w:lang w:val="pt-BR"/>
        </w:rPr>
        <w:t xml:space="preserve"> e ácido esteárico. O ácido esteárico é formado a partir da hidrogenação do ácido oleico e do ácido </w:t>
      </w:r>
      <w:proofErr w:type="spellStart"/>
      <w:r>
        <w:rPr>
          <w:rFonts w:ascii="Times New Roman" w:hAnsi="Times New Roman"/>
          <w:lang w:val="pt-BR"/>
        </w:rPr>
        <w:t>elaidico</w:t>
      </w:r>
      <w:proofErr w:type="spellEnd"/>
      <w:r>
        <w:rPr>
          <w:rFonts w:ascii="Times New Roman" w:hAnsi="Times New Roman"/>
          <w:lang w:val="pt-BR"/>
        </w:rPr>
        <w:t xml:space="preserve">. </w:t>
      </w:r>
      <w:r w:rsidR="00126395">
        <w:rPr>
          <w:rFonts w:ascii="Times New Roman" w:hAnsi="Times New Roman"/>
          <w:lang w:val="pt-BR"/>
        </w:rPr>
        <w:t xml:space="preserve">A </w:t>
      </w:r>
      <w:r w:rsidR="004E5420">
        <w:rPr>
          <w:rFonts w:ascii="Times New Roman" w:hAnsi="Times New Roman"/>
          <w:lang w:val="pt-BR"/>
        </w:rPr>
        <w:t>distribuição</w:t>
      </w:r>
      <w:r w:rsidR="00126395">
        <w:rPr>
          <w:rFonts w:ascii="Times New Roman" w:hAnsi="Times New Roman"/>
          <w:lang w:val="pt-BR"/>
        </w:rPr>
        <w:t xml:space="preserve"> </w:t>
      </w:r>
      <w:r w:rsidR="004E5420">
        <w:rPr>
          <w:rFonts w:ascii="Times New Roman" w:hAnsi="Times New Roman"/>
          <w:lang w:val="pt-BR"/>
        </w:rPr>
        <w:t xml:space="preserve">do </w:t>
      </w:r>
      <w:r w:rsidR="00126395">
        <w:rPr>
          <w:rFonts w:ascii="Times New Roman" w:hAnsi="Times New Roman"/>
          <w:lang w:val="pt-BR"/>
        </w:rPr>
        <w:t xml:space="preserve">ácido esteárico foi maior para o </w:t>
      </w:r>
      <w:proofErr w:type="spellStart"/>
      <w:r w:rsidR="00126395">
        <w:rPr>
          <w:rFonts w:ascii="Times New Roman" w:hAnsi="Times New Roman"/>
          <w:lang w:val="pt-BR"/>
        </w:rPr>
        <w:t>NiPt</w:t>
      </w:r>
      <w:proofErr w:type="spellEnd"/>
      <w:r w:rsidR="00126395">
        <w:rPr>
          <w:rFonts w:ascii="Times New Roman" w:hAnsi="Times New Roman"/>
          <w:lang w:val="pt-BR"/>
        </w:rPr>
        <w:t>/</w:t>
      </w:r>
      <w:proofErr w:type="spellStart"/>
      <w:r w:rsidR="00126395">
        <w:rPr>
          <w:rFonts w:ascii="Times New Roman" w:hAnsi="Times New Roman"/>
          <w:lang w:val="pt-BR"/>
        </w:rPr>
        <w:t>SNb</w:t>
      </w:r>
      <w:proofErr w:type="spellEnd"/>
      <w:r w:rsidR="00126395">
        <w:rPr>
          <w:rFonts w:ascii="Times New Roman" w:hAnsi="Times New Roman"/>
          <w:lang w:val="pt-BR"/>
        </w:rPr>
        <w:t xml:space="preserve">-HY o que pode estar associado </w:t>
      </w:r>
      <w:r w:rsidR="00931BD2">
        <w:rPr>
          <w:rFonts w:ascii="Times New Roman" w:hAnsi="Times New Roman"/>
          <w:lang w:val="pt-BR"/>
        </w:rPr>
        <w:t xml:space="preserve">ao aumento da </w:t>
      </w:r>
      <w:r w:rsidR="004E5420">
        <w:rPr>
          <w:rFonts w:ascii="Times New Roman" w:hAnsi="Times New Roman"/>
          <w:lang w:val="pt-BR"/>
        </w:rPr>
        <w:t>distribuição dos</w:t>
      </w:r>
      <w:r w:rsidR="00931BD2">
        <w:rPr>
          <w:rFonts w:ascii="Times New Roman" w:hAnsi="Times New Roman"/>
          <w:lang w:val="pt-BR"/>
        </w:rPr>
        <w:t xml:space="preserve"> hidrocarbonetos para o </w:t>
      </w:r>
      <w:proofErr w:type="spellStart"/>
      <w:r w:rsidR="00931BD2">
        <w:rPr>
          <w:rFonts w:ascii="Times New Roman" w:hAnsi="Times New Roman"/>
          <w:lang w:val="pt-BR"/>
        </w:rPr>
        <w:t>NiPt</w:t>
      </w:r>
      <w:proofErr w:type="spellEnd"/>
      <w:r w:rsidR="00931BD2">
        <w:rPr>
          <w:rFonts w:ascii="Times New Roman" w:hAnsi="Times New Roman"/>
          <w:lang w:val="pt-BR"/>
        </w:rPr>
        <w:t>/</w:t>
      </w:r>
      <w:proofErr w:type="spellStart"/>
      <w:r w:rsidR="00931BD2">
        <w:rPr>
          <w:rFonts w:ascii="Times New Roman" w:hAnsi="Times New Roman"/>
          <w:lang w:val="pt-BR"/>
        </w:rPr>
        <w:t>SNb</w:t>
      </w:r>
      <w:proofErr w:type="spellEnd"/>
      <w:r w:rsidR="00931BD2">
        <w:rPr>
          <w:rFonts w:ascii="Times New Roman" w:hAnsi="Times New Roman"/>
          <w:lang w:val="pt-BR"/>
        </w:rPr>
        <w:t>-HY</w:t>
      </w:r>
      <w:r w:rsidR="00126395">
        <w:rPr>
          <w:rFonts w:ascii="Times New Roman" w:hAnsi="Times New Roman"/>
          <w:lang w:val="pt-BR"/>
        </w:rPr>
        <w:t>.</w:t>
      </w:r>
    </w:p>
    <w:p w14:paraId="6F25EEAD" w14:textId="7E922451" w:rsidR="0090164C" w:rsidRDefault="00B81A3E" w:rsidP="00FA5868">
      <w:pPr>
        <w:pStyle w:val="TAMainText"/>
        <w:ind w:firstLine="187"/>
        <w:rPr>
          <w:rFonts w:ascii="Times New Roman" w:hAnsi="Times New Roman"/>
          <w:lang w:val="pt-BR"/>
        </w:rPr>
      </w:pPr>
      <w:r>
        <w:rPr>
          <w:rFonts w:ascii="Times New Roman" w:hAnsi="Times New Roman"/>
          <w:lang w:val="pt-BR"/>
        </w:rPr>
        <w:t xml:space="preserve">Para o </w:t>
      </w:r>
      <w:proofErr w:type="spellStart"/>
      <w:r>
        <w:rPr>
          <w:rFonts w:ascii="Times New Roman" w:hAnsi="Times New Roman"/>
          <w:lang w:val="pt-BR"/>
        </w:rPr>
        <w:t>NiPt</w:t>
      </w:r>
      <w:proofErr w:type="spellEnd"/>
      <w:r>
        <w:rPr>
          <w:rFonts w:ascii="Times New Roman" w:hAnsi="Times New Roman"/>
          <w:lang w:val="pt-BR"/>
        </w:rPr>
        <w:t>/</w:t>
      </w:r>
      <w:proofErr w:type="spellStart"/>
      <w:r>
        <w:rPr>
          <w:rFonts w:ascii="Times New Roman" w:hAnsi="Times New Roman"/>
          <w:lang w:val="pt-BR"/>
        </w:rPr>
        <w:t>SNb</w:t>
      </w:r>
      <w:proofErr w:type="spellEnd"/>
      <w:r>
        <w:rPr>
          <w:rFonts w:ascii="Times New Roman" w:hAnsi="Times New Roman"/>
          <w:lang w:val="pt-BR"/>
        </w:rPr>
        <w:t xml:space="preserve">-HY houve um aumento da </w:t>
      </w:r>
      <w:r w:rsidR="004E5420">
        <w:rPr>
          <w:rFonts w:ascii="Times New Roman" w:hAnsi="Times New Roman"/>
          <w:lang w:val="pt-BR"/>
        </w:rPr>
        <w:t xml:space="preserve">distribuição </w:t>
      </w:r>
      <w:r>
        <w:rPr>
          <w:rFonts w:ascii="Times New Roman" w:hAnsi="Times New Roman"/>
          <w:lang w:val="pt-BR"/>
        </w:rPr>
        <w:t xml:space="preserve">do </w:t>
      </w:r>
      <w:proofErr w:type="spellStart"/>
      <w:r>
        <w:rPr>
          <w:rFonts w:ascii="Times New Roman" w:hAnsi="Times New Roman"/>
          <w:lang w:val="pt-BR"/>
        </w:rPr>
        <w:t>heptadecano</w:t>
      </w:r>
      <w:proofErr w:type="spellEnd"/>
      <w:r>
        <w:rPr>
          <w:rFonts w:ascii="Times New Roman" w:hAnsi="Times New Roman"/>
          <w:lang w:val="pt-BR"/>
        </w:rPr>
        <w:t xml:space="preserve"> e </w:t>
      </w:r>
      <w:proofErr w:type="spellStart"/>
      <w:r>
        <w:rPr>
          <w:rFonts w:ascii="Times New Roman" w:hAnsi="Times New Roman"/>
          <w:lang w:val="pt-BR"/>
        </w:rPr>
        <w:t>heptadecenos</w:t>
      </w:r>
      <w:proofErr w:type="spellEnd"/>
      <w:r>
        <w:rPr>
          <w:rFonts w:ascii="Times New Roman" w:hAnsi="Times New Roman"/>
          <w:lang w:val="pt-BR"/>
        </w:rPr>
        <w:t xml:space="preserve"> se comparado ao </w:t>
      </w:r>
      <w:proofErr w:type="spellStart"/>
      <w:r>
        <w:rPr>
          <w:rFonts w:ascii="Times New Roman" w:hAnsi="Times New Roman"/>
          <w:lang w:val="pt-BR"/>
        </w:rPr>
        <w:t>NiPt</w:t>
      </w:r>
      <w:proofErr w:type="spellEnd"/>
      <w:r>
        <w:rPr>
          <w:rFonts w:ascii="Times New Roman" w:hAnsi="Times New Roman"/>
          <w:lang w:val="pt-BR"/>
        </w:rPr>
        <w:t>/HY. Esse aumento pode estar associado à presença do grupo sulfato que contribuiu para o aumento dos sítios ácidos de Brønsted.</w:t>
      </w:r>
      <w:r w:rsidR="00704F9D">
        <w:rPr>
          <w:rFonts w:ascii="Times New Roman" w:hAnsi="Times New Roman"/>
          <w:lang w:val="pt-BR"/>
        </w:rPr>
        <w:t xml:space="preserve"> De acordo com Phan e Lee (2020) os sítios ácidos de Brønsted podem atuar na descarboxilação do ácido oleico, levando a um aumento </w:t>
      </w:r>
      <w:r w:rsidR="00694AC4">
        <w:rPr>
          <w:rFonts w:ascii="Times New Roman" w:hAnsi="Times New Roman"/>
          <w:lang w:val="pt-BR"/>
        </w:rPr>
        <w:t>no rendimento</w:t>
      </w:r>
      <w:r w:rsidR="00704F9D">
        <w:rPr>
          <w:rFonts w:ascii="Times New Roman" w:hAnsi="Times New Roman"/>
          <w:lang w:val="pt-BR"/>
        </w:rPr>
        <w:t xml:space="preserve"> aos </w:t>
      </w:r>
      <w:proofErr w:type="spellStart"/>
      <w:r w:rsidR="00704F9D">
        <w:rPr>
          <w:rFonts w:ascii="Times New Roman" w:hAnsi="Times New Roman"/>
          <w:lang w:val="pt-BR"/>
        </w:rPr>
        <w:t>hep</w:t>
      </w:r>
      <w:r w:rsidR="004E5420">
        <w:rPr>
          <w:rFonts w:ascii="Times New Roman" w:hAnsi="Times New Roman"/>
          <w:lang w:val="pt-BR"/>
        </w:rPr>
        <w:t>ta</w:t>
      </w:r>
      <w:r w:rsidR="00704F9D">
        <w:rPr>
          <w:rFonts w:ascii="Times New Roman" w:hAnsi="Times New Roman"/>
          <w:lang w:val="pt-BR"/>
        </w:rPr>
        <w:t>decenos</w:t>
      </w:r>
      <w:proofErr w:type="spellEnd"/>
      <w:r w:rsidR="00704F9D">
        <w:rPr>
          <w:rFonts w:ascii="Times New Roman" w:hAnsi="Times New Roman"/>
          <w:lang w:val="pt-BR"/>
        </w:rPr>
        <w:t xml:space="preserve"> e </w:t>
      </w:r>
      <w:proofErr w:type="spellStart"/>
      <w:r w:rsidR="00704F9D">
        <w:rPr>
          <w:rFonts w:ascii="Times New Roman" w:hAnsi="Times New Roman"/>
          <w:lang w:val="pt-BR"/>
        </w:rPr>
        <w:t>heptadecano</w:t>
      </w:r>
      <w:proofErr w:type="spellEnd"/>
      <w:r w:rsidR="00704F9D">
        <w:rPr>
          <w:rFonts w:ascii="Times New Roman" w:hAnsi="Times New Roman"/>
          <w:lang w:val="pt-BR"/>
        </w:rPr>
        <w:t xml:space="preserve"> </w:t>
      </w:r>
      <w:r w:rsidR="00883379">
        <w:rPr>
          <w:rFonts w:ascii="Times New Roman" w:hAnsi="Times New Roman"/>
          <w:lang w:val="pt-BR"/>
        </w:rPr>
        <w:t>[21]</w:t>
      </w:r>
      <w:r w:rsidR="00704F9D">
        <w:rPr>
          <w:rFonts w:ascii="Times New Roman" w:hAnsi="Times New Roman"/>
          <w:lang w:val="pt-BR"/>
        </w:rPr>
        <w:t>.</w:t>
      </w:r>
      <w:r w:rsidR="00113989">
        <w:rPr>
          <w:rFonts w:ascii="Times New Roman" w:hAnsi="Times New Roman"/>
          <w:lang w:val="pt-BR"/>
        </w:rPr>
        <w:t xml:space="preserve"> Sendo assim, o </w:t>
      </w:r>
      <w:proofErr w:type="spellStart"/>
      <w:r w:rsidR="00113989">
        <w:rPr>
          <w:rFonts w:ascii="Times New Roman" w:hAnsi="Times New Roman"/>
          <w:lang w:val="pt-BR"/>
        </w:rPr>
        <w:t>NiPt</w:t>
      </w:r>
      <w:proofErr w:type="spellEnd"/>
      <w:r w:rsidR="00113989">
        <w:rPr>
          <w:rFonts w:ascii="Times New Roman" w:hAnsi="Times New Roman"/>
          <w:lang w:val="pt-BR"/>
        </w:rPr>
        <w:t>/</w:t>
      </w:r>
      <w:proofErr w:type="spellStart"/>
      <w:r w:rsidR="00113989">
        <w:rPr>
          <w:rFonts w:ascii="Times New Roman" w:hAnsi="Times New Roman"/>
          <w:lang w:val="pt-BR"/>
        </w:rPr>
        <w:t>SNb</w:t>
      </w:r>
      <w:proofErr w:type="spellEnd"/>
      <w:r w:rsidR="00113989">
        <w:rPr>
          <w:rFonts w:ascii="Times New Roman" w:hAnsi="Times New Roman"/>
          <w:lang w:val="pt-BR"/>
        </w:rPr>
        <w:t xml:space="preserve">-HY apresentou melhor desempenho para obtenção de combustíveis </w:t>
      </w:r>
      <w:proofErr w:type="spellStart"/>
      <w:r w:rsidR="00113989" w:rsidRPr="00113989">
        <w:rPr>
          <w:rFonts w:ascii="Times New Roman" w:hAnsi="Times New Roman"/>
          <w:i/>
          <w:iCs/>
          <w:lang w:val="pt-BR"/>
        </w:rPr>
        <w:t>drop</w:t>
      </w:r>
      <w:proofErr w:type="spellEnd"/>
      <w:r w:rsidR="00113989" w:rsidRPr="00113989">
        <w:rPr>
          <w:rFonts w:ascii="Times New Roman" w:hAnsi="Times New Roman"/>
          <w:i/>
          <w:iCs/>
          <w:lang w:val="pt-BR"/>
        </w:rPr>
        <w:t>-in</w:t>
      </w:r>
      <w:r w:rsidR="00113989">
        <w:rPr>
          <w:rFonts w:ascii="Times New Roman" w:hAnsi="Times New Roman"/>
          <w:lang w:val="pt-BR"/>
        </w:rPr>
        <w:t xml:space="preserve">, nesse caso correspondendo à faixa do </w:t>
      </w:r>
      <w:proofErr w:type="spellStart"/>
      <w:r w:rsidR="00113989" w:rsidRPr="00113989">
        <w:rPr>
          <w:rFonts w:ascii="Times New Roman" w:hAnsi="Times New Roman"/>
          <w:i/>
          <w:iCs/>
          <w:lang w:val="pt-BR"/>
        </w:rPr>
        <w:t>green</w:t>
      </w:r>
      <w:proofErr w:type="spellEnd"/>
      <w:r w:rsidR="00113989">
        <w:rPr>
          <w:rFonts w:ascii="Times New Roman" w:hAnsi="Times New Roman"/>
          <w:lang w:val="pt-BR"/>
        </w:rPr>
        <w:t xml:space="preserve"> diesel</w:t>
      </w:r>
      <w:r w:rsidR="004E5420">
        <w:rPr>
          <w:rFonts w:ascii="Times New Roman" w:hAnsi="Times New Roman"/>
          <w:lang w:val="pt-BR"/>
        </w:rPr>
        <w:t>.</w:t>
      </w:r>
    </w:p>
    <w:p w14:paraId="743BCE61" w14:textId="77777777" w:rsidR="005D7CA9" w:rsidRDefault="005D7CA9" w:rsidP="00113989">
      <w:pPr>
        <w:pStyle w:val="TAMainText"/>
        <w:ind w:firstLine="0"/>
        <w:rPr>
          <w:rFonts w:ascii="Times New Roman" w:hAnsi="Times New Roman"/>
          <w:lang w:val="pt-BR"/>
        </w:rPr>
      </w:pP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lastRenderedPageBreak/>
        <w:t>Conclusões</w:t>
      </w:r>
    </w:p>
    <w:p w14:paraId="4A70FE93" w14:textId="50C03770" w:rsidR="00EA4E1B" w:rsidRPr="001F25B2" w:rsidRDefault="006A0D21" w:rsidP="00EA4E1B">
      <w:pPr>
        <w:pStyle w:val="TAMainText"/>
        <w:ind w:firstLine="187"/>
        <w:rPr>
          <w:rFonts w:ascii="Times New Roman" w:hAnsi="Times New Roman"/>
          <w:lang w:val="pt-BR"/>
        </w:rPr>
      </w:pPr>
      <w:r>
        <w:rPr>
          <w:rFonts w:ascii="Times New Roman" w:hAnsi="Times New Roman"/>
          <w:lang w:val="pt-BR"/>
        </w:rPr>
        <w:t xml:space="preserve">Catalisadores bimetálicos de Ni e </w:t>
      </w:r>
      <w:proofErr w:type="spellStart"/>
      <w:r>
        <w:rPr>
          <w:rFonts w:ascii="Times New Roman" w:hAnsi="Times New Roman"/>
          <w:lang w:val="pt-BR"/>
        </w:rPr>
        <w:t>Pt</w:t>
      </w:r>
      <w:proofErr w:type="spellEnd"/>
      <w:r>
        <w:rPr>
          <w:rFonts w:ascii="Times New Roman" w:hAnsi="Times New Roman"/>
          <w:lang w:val="pt-BR"/>
        </w:rPr>
        <w:t xml:space="preserve"> suportados em zeólita HY e </w:t>
      </w:r>
      <w:proofErr w:type="spellStart"/>
      <w:r>
        <w:rPr>
          <w:rFonts w:ascii="Times New Roman" w:hAnsi="Times New Roman"/>
          <w:lang w:val="pt-BR"/>
        </w:rPr>
        <w:t>SNb</w:t>
      </w:r>
      <w:proofErr w:type="spellEnd"/>
      <w:r>
        <w:rPr>
          <w:rFonts w:ascii="Times New Roman" w:hAnsi="Times New Roman"/>
          <w:lang w:val="pt-BR"/>
        </w:rPr>
        <w:t>-HY</w:t>
      </w:r>
      <w:r w:rsidR="00931BD2">
        <w:rPr>
          <w:rFonts w:ascii="Times New Roman" w:hAnsi="Times New Roman"/>
          <w:lang w:val="pt-BR"/>
        </w:rPr>
        <w:t xml:space="preserve"> foram avaliados no hidroprocessamento </w:t>
      </w:r>
      <w:r w:rsidR="006D1736">
        <w:rPr>
          <w:rFonts w:ascii="Times New Roman" w:hAnsi="Times New Roman"/>
          <w:lang w:val="pt-BR"/>
        </w:rPr>
        <w:t xml:space="preserve">de </w:t>
      </w:r>
      <w:r w:rsidR="00931BD2">
        <w:rPr>
          <w:rFonts w:ascii="Times New Roman" w:hAnsi="Times New Roman"/>
          <w:lang w:val="pt-BR"/>
        </w:rPr>
        <w:t>ácido oleico</w:t>
      </w:r>
      <w:r w:rsidR="00EA4E1B" w:rsidRPr="001F25B2">
        <w:rPr>
          <w:rFonts w:ascii="Times New Roman" w:hAnsi="Times New Roman"/>
          <w:lang w:val="pt-BR"/>
        </w:rPr>
        <w:t>.</w:t>
      </w:r>
      <w:r>
        <w:rPr>
          <w:rFonts w:ascii="Times New Roman" w:hAnsi="Times New Roman"/>
          <w:lang w:val="pt-BR"/>
        </w:rPr>
        <w:t xml:space="preserve"> O DRX do </w:t>
      </w:r>
      <w:proofErr w:type="spellStart"/>
      <w:r>
        <w:rPr>
          <w:rFonts w:ascii="Times New Roman" w:hAnsi="Times New Roman"/>
          <w:lang w:val="pt-BR"/>
        </w:rPr>
        <w:t>NiPt</w:t>
      </w:r>
      <w:proofErr w:type="spellEnd"/>
      <w:r>
        <w:rPr>
          <w:rFonts w:ascii="Times New Roman" w:hAnsi="Times New Roman"/>
          <w:lang w:val="pt-BR"/>
        </w:rPr>
        <w:t xml:space="preserve">/HY e do </w:t>
      </w:r>
      <w:proofErr w:type="spellStart"/>
      <w:r>
        <w:rPr>
          <w:rFonts w:ascii="Times New Roman" w:hAnsi="Times New Roman"/>
          <w:lang w:val="pt-BR"/>
        </w:rPr>
        <w:t>NiPt</w:t>
      </w:r>
      <w:proofErr w:type="spellEnd"/>
      <w:r>
        <w:rPr>
          <w:rFonts w:ascii="Times New Roman" w:hAnsi="Times New Roman"/>
          <w:lang w:val="pt-BR"/>
        </w:rPr>
        <w:t>/</w:t>
      </w:r>
      <w:proofErr w:type="spellStart"/>
      <w:r>
        <w:rPr>
          <w:rFonts w:ascii="Times New Roman" w:hAnsi="Times New Roman"/>
          <w:lang w:val="pt-BR"/>
        </w:rPr>
        <w:t>SNb</w:t>
      </w:r>
      <w:proofErr w:type="spellEnd"/>
      <w:r>
        <w:rPr>
          <w:rFonts w:ascii="Times New Roman" w:hAnsi="Times New Roman"/>
          <w:lang w:val="pt-BR"/>
        </w:rPr>
        <w:t xml:space="preserve">-HY apresentou perfil característico das faujasitas. No </w:t>
      </w:r>
      <w:proofErr w:type="spellStart"/>
      <w:r>
        <w:rPr>
          <w:rFonts w:ascii="Times New Roman" w:hAnsi="Times New Roman"/>
          <w:lang w:val="pt-BR"/>
        </w:rPr>
        <w:t>NiPt</w:t>
      </w:r>
      <w:proofErr w:type="spellEnd"/>
      <w:r>
        <w:rPr>
          <w:rFonts w:ascii="Times New Roman" w:hAnsi="Times New Roman"/>
          <w:lang w:val="pt-BR"/>
        </w:rPr>
        <w:t>/</w:t>
      </w:r>
      <w:proofErr w:type="spellStart"/>
      <w:r>
        <w:rPr>
          <w:rFonts w:ascii="Times New Roman" w:hAnsi="Times New Roman"/>
          <w:lang w:val="pt-BR"/>
        </w:rPr>
        <w:t>SNb</w:t>
      </w:r>
      <w:proofErr w:type="spellEnd"/>
      <w:r>
        <w:rPr>
          <w:rFonts w:ascii="Times New Roman" w:hAnsi="Times New Roman"/>
          <w:lang w:val="pt-BR"/>
        </w:rPr>
        <w:t>-HY também foram observados picos característicos do óxido de nióbio. O procedimento de sulfatação não modificou a estrutura cristalina da HY. Por meio da análise de TPR-H</w:t>
      </w:r>
      <w:r w:rsidRPr="0076799C">
        <w:rPr>
          <w:rFonts w:ascii="Times New Roman" w:hAnsi="Times New Roman"/>
          <w:vertAlign w:val="subscript"/>
          <w:lang w:val="pt-BR"/>
        </w:rPr>
        <w:t>2</w:t>
      </w:r>
      <w:r>
        <w:rPr>
          <w:rFonts w:ascii="Times New Roman" w:hAnsi="Times New Roman"/>
          <w:lang w:val="pt-BR"/>
        </w:rPr>
        <w:t>, foi possível verificar que o</w:t>
      </w:r>
      <w:r w:rsidR="0076799C">
        <w:rPr>
          <w:rFonts w:ascii="Times New Roman" w:hAnsi="Times New Roman"/>
          <w:lang w:val="pt-BR"/>
        </w:rPr>
        <w:t xml:space="preserve"> grupo</w:t>
      </w:r>
      <w:r>
        <w:rPr>
          <w:rFonts w:ascii="Times New Roman" w:hAnsi="Times New Roman"/>
          <w:lang w:val="pt-BR"/>
        </w:rPr>
        <w:t xml:space="preserve"> sulfato favoreceu a redução do </w:t>
      </w:r>
      <w:r w:rsidR="00694AC4">
        <w:rPr>
          <w:rFonts w:ascii="Times New Roman" w:hAnsi="Times New Roman"/>
          <w:lang w:val="pt-BR"/>
        </w:rPr>
        <w:t xml:space="preserve">óxido de </w:t>
      </w:r>
      <w:r>
        <w:rPr>
          <w:rFonts w:ascii="Times New Roman" w:hAnsi="Times New Roman"/>
          <w:lang w:val="pt-BR"/>
        </w:rPr>
        <w:t xml:space="preserve">níquel. </w:t>
      </w:r>
      <w:r w:rsidR="0076799C">
        <w:rPr>
          <w:rFonts w:ascii="Times New Roman" w:hAnsi="Times New Roman"/>
          <w:lang w:val="pt-BR"/>
        </w:rPr>
        <w:t xml:space="preserve">O grupo sulfato contribuiu para o aumento da proporção de sítios ácidos de Brønsted. Os principais produtos identificados no hidroprocessamento do ácido oleico foram o ácido </w:t>
      </w:r>
      <w:proofErr w:type="spellStart"/>
      <w:r w:rsidR="0076799C">
        <w:rPr>
          <w:rFonts w:ascii="Times New Roman" w:hAnsi="Times New Roman"/>
          <w:lang w:val="pt-BR"/>
        </w:rPr>
        <w:t>elaidico</w:t>
      </w:r>
      <w:proofErr w:type="spellEnd"/>
      <w:r w:rsidR="0076799C">
        <w:rPr>
          <w:rFonts w:ascii="Times New Roman" w:hAnsi="Times New Roman"/>
          <w:lang w:val="pt-BR"/>
        </w:rPr>
        <w:t xml:space="preserve">, ácido esteárico, </w:t>
      </w:r>
      <w:proofErr w:type="spellStart"/>
      <w:r w:rsidR="0076799C">
        <w:rPr>
          <w:rFonts w:ascii="Times New Roman" w:hAnsi="Times New Roman"/>
          <w:lang w:val="pt-BR"/>
        </w:rPr>
        <w:t>heptadecenos</w:t>
      </w:r>
      <w:proofErr w:type="spellEnd"/>
      <w:r w:rsidR="0076799C">
        <w:rPr>
          <w:rFonts w:ascii="Times New Roman" w:hAnsi="Times New Roman"/>
          <w:lang w:val="pt-BR"/>
        </w:rPr>
        <w:t xml:space="preserve"> e </w:t>
      </w:r>
      <w:proofErr w:type="spellStart"/>
      <w:r w:rsidR="0076799C">
        <w:rPr>
          <w:rFonts w:ascii="Times New Roman" w:hAnsi="Times New Roman"/>
          <w:lang w:val="pt-BR"/>
        </w:rPr>
        <w:t>heptadecano</w:t>
      </w:r>
      <w:proofErr w:type="spellEnd"/>
      <w:r w:rsidR="0076799C">
        <w:rPr>
          <w:rFonts w:ascii="Times New Roman" w:hAnsi="Times New Roman"/>
          <w:lang w:val="pt-BR"/>
        </w:rPr>
        <w:t xml:space="preserve">. O </w:t>
      </w:r>
      <w:proofErr w:type="spellStart"/>
      <w:r w:rsidR="0076799C">
        <w:rPr>
          <w:rFonts w:ascii="Times New Roman" w:hAnsi="Times New Roman"/>
          <w:lang w:val="pt-BR"/>
        </w:rPr>
        <w:t>NiPt</w:t>
      </w:r>
      <w:proofErr w:type="spellEnd"/>
      <w:r w:rsidR="0076799C">
        <w:rPr>
          <w:rFonts w:ascii="Times New Roman" w:hAnsi="Times New Roman"/>
          <w:lang w:val="pt-BR"/>
        </w:rPr>
        <w:t>/</w:t>
      </w:r>
      <w:proofErr w:type="spellStart"/>
      <w:r w:rsidR="0076799C">
        <w:rPr>
          <w:rFonts w:ascii="Times New Roman" w:hAnsi="Times New Roman"/>
          <w:lang w:val="pt-BR"/>
        </w:rPr>
        <w:t>SNb</w:t>
      </w:r>
      <w:proofErr w:type="spellEnd"/>
      <w:r w:rsidR="0076799C">
        <w:rPr>
          <w:rFonts w:ascii="Times New Roman" w:hAnsi="Times New Roman"/>
          <w:lang w:val="pt-BR"/>
        </w:rPr>
        <w:t xml:space="preserve">-HY apresentou maior </w:t>
      </w:r>
      <w:r w:rsidR="00694AC4">
        <w:rPr>
          <w:rFonts w:ascii="Times New Roman" w:hAnsi="Times New Roman"/>
          <w:lang w:val="pt-BR"/>
        </w:rPr>
        <w:t>rendimento</w:t>
      </w:r>
      <w:r w:rsidR="0076799C">
        <w:rPr>
          <w:rFonts w:ascii="Times New Roman" w:hAnsi="Times New Roman"/>
          <w:lang w:val="pt-BR"/>
        </w:rPr>
        <w:t xml:space="preserve"> aos hidrocarbonetos em relação ao </w:t>
      </w:r>
      <w:proofErr w:type="spellStart"/>
      <w:r w:rsidR="0076799C">
        <w:rPr>
          <w:rFonts w:ascii="Times New Roman" w:hAnsi="Times New Roman"/>
          <w:lang w:val="pt-BR"/>
        </w:rPr>
        <w:t>NiPt</w:t>
      </w:r>
      <w:proofErr w:type="spellEnd"/>
      <w:r w:rsidR="0076799C">
        <w:rPr>
          <w:rFonts w:ascii="Times New Roman" w:hAnsi="Times New Roman"/>
          <w:lang w:val="pt-BR"/>
        </w:rPr>
        <w:t>/HY.</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3BA48F98" w:rsidR="00EA4E1B" w:rsidRPr="001F25B2" w:rsidRDefault="004C068B" w:rsidP="00EA4E1B">
      <w:pPr>
        <w:pStyle w:val="TAMainText"/>
        <w:rPr>
          <w:rFonts w:ascii="Times New Roman" w:hAnsi="Times New Roman"/>
          <w:lang w:val="pt-BR"/>
        </w:rPr>
      </w:pPr>
      <w:r w:rsidRPr="00B25BE1">
        <w:rPr>
          <w:rFonts w:ascii="Times New Roman" w:hAnsi="Times New Roman"/>
          <w:lang w:val="pt-BR"/>
        </w:rPr>
        <w:t xml:space="preserve">À CAPES, CNPq e FAPEMIG pelo apoio financeiro. À CBMM </w:t>
      </w:r>
      <w:r>
        <w:rPr>
          <w:rFonts w:ascii="Times New Roman" w:hAnsi="Times New Roman"/>
          <w:lang w:val="pt-BR"/>
        </w:rPr>
        <w:t>pelo fornecimento do</w:t>
      </w:r>
      <w:r w:rsidRPr="00B25BE1">
        <w:rPr>
          <w:rFonts w:ascii="Times New Roman" w:hAnsi="Times New Roman"/>
          <w:lang w:val="pt-BR"/>
        </w:rPr>
        <w:t xml:space="preserve"> ácido nióbico (HY340). </w:t>
      </w:r>
      <w:r w:rsidR="006D1736">
        <w:rPr>
          <w:rFonts w:ascii="Times New Roman" w:hAnsi="Times New Roman"/>
          <w:lang w:val="pt-BR"/>
        </w:rPr>
        <w:t xml:space="preserve">À </w:t>
      </w:r>
      <w:proofErr w:type="spellStart"/>
      <w:r w:rsidR="006D1736" w:rsidRPr="00B102F5">
        <w:rPr>
          <w:rFonts w:ascii="Times New Roman" w:hAnsi="Times New Roman"/>
          <w:lang w:val="pt-BR"/>
        </w:rPr>
        <w:t>Tosoh</w:t>
      </w:r>
      <w:proofErr w:type="spellEnd"/>
      <w:r w:rsidR="006D1736" w:rsidRPr="00B102F5">
        <w:rPr>
          <w:rFonts w:ascii="Times New Roman" w:hAnsi="Times New Roman"/>
          <w:lang w:val="pt-BR"/>
        </w:rPr>
        <w:t xml:space="preserve"> Corporation </w:t>
      </w:r>
      <w:r w:rsidR="006D1736">
        <w:rPr>
          <w:rFonts w:ascii="Times New Roman" w:hAnsi="Times New Roman"/>
          <w:lang w:val="pt-BR"/>
        </w:rPr>
        <w:t xml:space="preserve">pelo fornecimento da zeólita HY. </w:t>
      </w:r>
      <w:r w:rsidRPr="00B25BE1">
        <w:rPr>
          <w:rFonts w:ascii="Times New Roman" w:hAnsi="Times New Roman"/>
          <w:lang w:val="pt-BR"/>
        </w:rPr>
        <w:t>Ao Laboratório de Catálise e Adsorção Aplicada (</w:t>
      </w:r>
      <w:proofErr w:type="spellStart"/>
      <w:r w:rsidRPr="00B25BE1">
        <w:rPr>
          <w:rFonts w:ascii="Times New Roman" w:hAnsi="Times New Roman"/>
          <w:lang w:val="pt-BR"/>
        </w:rPr>
        <w:t>LACAp</w:t>
      </w:r>
      <w:proofErr w:type="spellEnd"/>
      <w:r w:rsidRPr="00B25BE1">
        <w:rPr>
          <w:rFonts w:ascii="Times New Roman" w:hAnsi="Times New Roman"/>
          <w:lang w:val="pt-BR"/>
        </w:rPr>
        <w:t>) do Centro de Pesquisas em Materiais Avançados e Energia da Universidade Federal de São Carlos (</w:t>
      </w:r>
      <w:proofErr w:type="spellStart"/>
      <w:r w:rsidRPr="00B25BE1">
        <w:rPr>
          <w:rFonts w:ascii="Times New Roman" w:hAnsi="Times New Roman"/>
          <w:lang w:val="pt-BR"/>
        </w:rPr>
        <w:t>CPqMAE</w:t>
      </w:r>
      <w:proofErr w:type="spellEnd"/>
      <w:r w:rsidRPr="00B25BE1">
        <w:rPr>
          <w:rFonts w:ascii="Times New Roman" w:hAnsi="Times New Roman"/>
          <w:lang w:val="pt-BR"/>
        </w:rPr>
        <w:t>/UFSCar) pelas análises de DRX</w:t>
      </w:r>
      <w:r>
        <w:rPr>
          <w:rFonts w:ascii="Times New Roman" w:hAnsi="Times New Roman"/>
          <w:lang w:val="pt-BR"/>
        </w:rPr>
        <w:t>, TPR-H</w:t>
      </w:r>
      <w:r w:rsidRPr="006A0D21">
        <w:rPr>
          <w:rFonts w:ascii="Times New Roman" w:hAnsi="Times New Roman"/>
          <w:vertAlign w:val="subscript"/>
          <w:lang w:val="pt-BR"/>
        </w:rPr>
        <w:t>2</w:t>
      </w:r>
      <w:r>
        <w:rPr>
          <w:rFonts w:ascii="Times New Roman" w:hAnsi="Times New Roman"/>
          <w:lang w:val="pt-BR"/>
        </w:rPr>
        <w:t xml:space="preserve"> e </w:t>
      </w:r>
      <w:proofErr w:type="spellStart"/>
      <w:r>
        <w:rPr>
          <w:rFonts w:ascii="Times New Roman" w:hAnsi="Times New Roman"/>
          <w:lang w:val="pt-BR"/>
        </w:rPr>
        <w:t>Py</w:t>
      </w:r>
      <w:proofErr w:type="spellEnd"/>
      <w:r>
        <w:rPr>
          <w:rFonts w:ascii="Times New Roman" w:hAnsi="Times New Roman"/>
          <w:lang w:val="pt-BR"/>
        </w:rPr>
        <w:t>-FTIR</w:t>
      </w:r>
      <w:r w:rsidR="00EA4E1B" w:rsidRPr="001F25B2">
        <w:rPr>
          <w:rFonts w:ascii="Times New Roman" w:hAnsi="Times New Roman"/>
          <w:lang w:val="pt-BR"/>
        </w:rPr>
        <w:t>.</w:t>
      </w:r>
    </w:p>
    <w:p w14:paraId="1EAAA287" w14:textId="77777777" w:rsidR="00EA4E1B" w:rsidRPr="00C56443" w:rsidRDefault="00EA4E1B" w:rsidP="00EA4E1B">
      <w:pPr>
        <w:pStyle w:val="Ttulo2"/>
        <w:rPr>
          <w:rFonts w:ascii="Helvetica" w:hAnsi="Helvetica" w:cs="Helvetica"/>
          <w:sz w:val="24"/>
          <w:szCs w:val="24"/>
        </w:rPr>
      </w:pPr>
      <w:bookmarkStart w:id="4" w:name="_Hlk134742359"/>
      <w:r w:rsidRPr="00C56443">
        <w:rPr>
          <w:rFonts w:ascii="Helvetica" w:hAnsi="Helvetica" w:cs="Helvetica"/>
          <w:sz w:val="24"/>
          <w:szCs w:val="24"/>
        </w:rPr>
        <w:t>Referências</w:t>
      </w:r>
    </w:p>
    <w:p w14:paraId="6B447723" w14:textId="5C5B9C0C" w:rsidR="004E5420" w:rsidRPr="004E5420" w:rsidRDefault="00E15288" w:rsidP="00694AC4">
      <w:pPr>
        <w:widowControl w:val="0"/>
        <w:autoSpaceDE w:val="0"/>
        <w:autoSpaceDN w:val="0"/>
        <w:adjustRightInd w:val="0"/>
        <w:spacing w:line="240" w:lineRule="auto"/>
        <w:ind w:left="357" w:hanging="357"/>
        <w:jc w:val="both"/>
        <w:rPr>
          <w:rFonts w:ascii="Times" w:hAnsi="Times" w:cs="Times"/>
          <w:noProof/>
          <w:sz w:val="20"/>
          <w:szCs w:val="24"/>
        </w:rPr>
      </w:pPr>
      <w:r>
        <w:fldChar w:fldCharType="begin" w:fldLock="1"/>
      </w:r>
      <w:r w:rsidRPr="00C56443">
        <w:instrText xml:space="preserve">ADDIN Mendeley Bibliography CSL_BIBLIOGRAPHY </w:instrText>
      </w:r>
      <w:r>
        <w:fldChar w:fldCharType="separate"/>
      </w:r>
      <w:r w:rsidR="004E5420" w:rsidRPr="004E5420">
        <w:rPr>
          <w:rFonts w:ascii="Times" w:hAnsi="Times" w:cs="Times"/>
          <w:noProof/>
          <w:sz w:val="20"/>
          <w:szCs w:val="24"/>
        </w:rPr>
        <w:t xml:space="preserve">1. </w:t>
      </w:r>
      <w:r w:rsidR="004E5420" w:rsidRPr="004E5420">
        <w:rPr>
          <w:rFonts w:ascii="Times" w:hAnsi="Times" w:cs="Times"/>
          <w:noProof/>
          <w:sz w:val="20"/>
          <w:szCs w:val="24"/>
        </w:rPr>
        <w:tab/>
      </w:r>
      <w:r w:rsidR="00430CA1">
        <w:rPr>
          <w:rFonts w:ascii="Times" w:hAnsi="Times" w:cs="Times"/>
          <w:noProof/>
          <w:sz w:val="20"/>
          <w:szCs w:val="24"/>
        </w:rPr>
        <w:t xml:space="preserve">M.L.N.M </w:t>
      </w:r>
      <w:r w:rsidR="004E5420" w:rsidRPr="004E5420">
        <w:rPr>
          <w:rFonts w:ascii="Times" w:hAnsi="Times" w:cs="Times"/>
          <w:noProof/>
          <w:sz w:val="20"/>
          <w:szCs w:val="24"/>
        </w:rPr>
        <w:t>Carneiro</w:t>
      </w:r>
      <w:r w:rsidR="00430CA1">
        <w:rPr>
          <w:rFonts w:ascii="Times" w:hAnsi="Times" w:cs="Times"/>
          <w:noProof/>
          <w:sz w:val="20"/>
          <w:szCs w:val="24"/>
        </w:rPr>
        <w:t>; F.</w:t>
      </w:r>
      <w:r w:rsidR="004E5420" w:rsidRPr="004E5420">
        <w:rPr>
          <w:rFonts w:ascii="Times" w:hAnsi="Times" w:cs="Times"/>
          <w:noProof/>
          <w:sz w:val="20"/>
          <w:szCs w:val="24"/>
        </w:rPr>
        <w:t xml:space="preserve"> Pradelle</w:t>
      </w:r>
      <w:r w:rsidR="00430CA1">
        <w:rPr>
          <w:rFonts w:ascii="Times" w:hAnsi="Times" w:cs="Times"/>
          <w:noProof/>
          <w:sz w:val="20"/>
          <w:szCs w:val="24"/>
        </w:rPr>
        <w:t>;</w:t>
      </w:r>
      <w:r w:rsidR="004E5420" w:rsidRPr="004E5420">
        <w:rPr>
          <w:rFonts w:ascii="Times" w:hAnsi="Times" w:cs="Times"/>
          <w:noProof/>
          <w:sz w:val="20"/>
          <w:szCs w:val="24"/>
        </w:rPr>
        <w:t xml:space="preserve"> </w:t>
      </w:r>
      <w:r w:rsidR="00430CA1">
        <w:rPr>
          <w:rFonts w:ascii="Times" w:hAnsi="Times" w:cs="Times"/>
          <w:noProof/>
          <w:sz w:val="20"/>
          <w:szCs w:val="24"/>
        </w:rPr>
        <w:t xml:space="preserve">S.L. </w:t>
      </w:r>
      <w:r w:rsidR="004E5420" w:rsidRPr="004E5420">
        <w:rPr>
          <w:rFonts w:ascii="Times" w:hAnsi="Times" w:cs="Times"/>
          <w:noProof/>
          <w:sz w:val="20"/>
          <w:szCs w:val="24"/>
        </w:rPr>
        <w:t>Braga</w:t>
      </w:r>
      <w:r w:rsidR="00430CA1">
        <w:rPr>
          <w:rFonts w:ascii="Times" w:hAnsi="Times" w:cs="Times"/>
          <w:noProof/>
          <w:sz w:val="20"/>
          <w:szCs w:val="24"/>
        </w:rPr>
        <w:t>; M.S.P.</w:t>
      </w:r>
      <w:r w:rsidR="004E5420" w:rsidRPr="004E5420">
        <w:rPr>
          <w:rFonts w:ascii="Times" w:hAnsi="Times" w:cs="Times"/>
          <w:noProof/>
          <w:sz w:val="20"/>
          <w:szCs w:val="24"/>
        </w:rPr>
        <w:t xml:space="preserve"> Gomes</w:t>
      </w:r>
      <w:r w:rsidR="00430CA1">
        <w:rPr>
          <w:rFonts w:ascii="Times" w:hAnsi="Times" w:cs="Times"/>
          <w:noProof/>
          <w:sz w:val="20"/>
          <w:szCs w:val="24"/>
        </w:rPr>
        <w:t>; A.R.F.A.</w:t>
      </w:r>
      <w:r w:rsidR="004E5420" w:rsidRPr="004E5420">
        <w:rPr>
          <w:rFonts w:ascii="Times" w:hAnsi="Times" w:cs="Times"/>
          <w:noProof/>
          <w:sz w:val="20"/>
          <w:szCs w:val="24"/>
        </w:rPr>
        <w:t xml:space="preserve"> Martins</w:t>
      </w:r>
      <w:r w:rsidR="00430CA1">
        <w:rPr>
          <w:rFonts w:ascii="Times" w:hAnsi="Times" w:cs="Times"/>
          <w:noProof/>
          <w:sz w:val="20"/>
          <w:szCs w:val="24"/>
        </w:rPr>
        <w:t>; F.</w:t>
      </w:r>
      <w:r w:rsidR="004E5420" w:rsidRPr="004E5420">
        <w:rPr>
          <w:rFonts w:ascii="Times" w:hAnsi="Times" w:cs="Times"/>
          <w:noProof/>
          <w:sz w:val="20"/>
          <w:szCs w:val="24"/>
        </w:rPr>
        <w:t xml:space="preserve"> Turkovics F. </w:t>
      </w:r>
      <w:r w:rsidR="004E5420" w:rsidRPr="0057238B">
        <w:rPr>
          <w:rFonts w:ascii="Times" w:hAnsi="Times" w:cs="Times"/>
          <w:i/>
          <w:iCs/>
          <w:noProof/>
          <w:sz w:val="20"/>
          <w:szCs w:val="24"/>
        </w:rPr>
        <w:t>Renew Sustain Energy Rev</w:t>
      </w:r>
      <w:r w:rsidR="004E5420" w:rsidRPr="004E5420">
        <w:rPr>
          <w:rFonts w:ascii="Times" w:hAnsi="Times" w:cs="Times"/>
          <w:noProof/>
          <w:sz w:val="20"/>
          <w:szCs w:val="24"/>
        </w:rPr>
        <w:t xml:space="preserve">. </w:t>
      </w:r>
      <w:r w:rsidR="004E5420" w:rsidRPr="0057238B">
        <w:rPr>
          <w:rFonts w:ascii="Times" w:hAnsi="Times" w:cs="Times"/>
          <w:b/>
          <w:bCs/>
          <w:noProof/>
          <w:sz w:val="20"/>
          <w:szCs w:val="24"/>
        </w:rPr>
        <w:t>2017</w:t>
      </w:r>
      <w:r w:rsidR="004E5420" w:rsidRPr="004E5420">
        <w:rPr>
          <w:rFonts w:ascii="Times" w:hAnsi="Times" w:cs="Times"/>
          <w:noProof/>
          <w:sz w:val="20"/>
          <w:szCs w:val="24"/>
        </w:rPr>
        <w:t>;73</w:t>
      </w:r>
      <w:r w:rsidR="0057238B">
        <w:rPr>
          <w:rFonts w:ascii="Times" w:hAnsi="Times" w:cs="Times"/>
          <w:noProof/>
          <w:sz w:val="20"/>
          <w:szCs w:val="24"/>
        </w:rPr>
        <w:t>;</w:t>
      </w:r>
      <w:r w:rsidR="004E5420" w:rsidRPr="004E5420">
        <w:rPr>
          <w:rFonts w:ascii="Times" w:hAnsi="Times" w:cs="Times"/>
          <w:noProof/>
          <w:sz w:val="20"/>
          <w:szCs w:val="24"/>
        </w:rPr>
        <w:t xml:space="preserve">632–53. </w:t>
      </w:r>
    </w:p>
    <w:p w14:paraId="3C9B725A" w14:textId="77777777" w:rsidR="004E5420" w:rsidRPr="00C56443" w:rsidRDefault="004E5420" w:rsidP="00694AC4">
      <w:pPr>
        <w:widowControl w:val="0"/>
        <w:autoSpaceDE w:val="0"/>
        <w:autoSpaceDN w:val="0"/>
        <w:adjustRightInd w:val="0"/>
        <w:spacing w:line="240" w:lineRule="auto"/>
        <w:ind w:left="357" w:hanging="357"/>
        <w:jc w:val="both"/>
        <w:rPr>
          <w:rFonts w:ascii="Times" w:hAnsi="Times" w:cs="Times"/>
          <w:noProof/>
          <w:sz w:val="20"/>
          <w:szCs w:val="24"/>
          <w:lang w:val="en-US"/>
        </w:rPr>
      </w:pPr>
      <w:r w:rsidRPr="004E5420">
        <w:rPr>
          <w:rFonts w:ascii="Times" w:hAnsi="Times" w:cs="Times"/>
          <w:noProof/>
          <w:sz w:val="20"/>
          <w:szCs w:val="24"/>
        </w:rPr>
        <w:t xml:space="preserve">2. </w:t>
      </w:r>
      <w:r w:rsidRPr="004E5420">
        <w:rPr>
          <w:rFonts w:ascii="Times" w:hAnsi="Times" w:cs="Times"/>
          <w:noProof/>
          <w:sz w:val="20"/>
          <w:szCs w:val="24"/>
        </w:rPr>
        <w:tab/>
        <w:t xml:space="preserve">Brasil. Balanço Energético Nacional (BEN) 2022: Ano base 2021 - Relatório Final. </w:t>
      </w:r>
      <w:r w:rsidRPr="00C56443">
        <w:rPr>
          <w:rFonts w:ascii="Times" w:hAnsi="Times" w:cs="Times"/>
          <w:noProof/>
          <w:sz w:val="20"/>
          <w:szCs w:val="24"/>
          <w:lang w:val="en-US"/>
        </w:rPr>
        <w:t>2022;264. Available from: http://www.epe.gov.br</w:t>
      </w:r>
    </w:p>
    <w:p w14:paraId="327EAB41" w14:textId="7BA24609" w:rsidR="004E5420" w:rsidRPr="00C56443" w:rsidRDefault="004E5420" w:rsidP="00694AC4">
      <w:pPr>
        <w:widowControl w:val="0"/>
        <w:autoSpaceDE w:val="0"/>
        <w:autoSpaceDN w:val="0"/>
        <w:adjustRightInd w:val="0"/>
        <w:spacing w:line="240" w:lineRule="auto"/>
        <w:ind w:left="357" w:hanging="357"/>
        <w:jc w:val="both"/>
        <w:rPr>
          <w:rFonts w:ascii="Times" w:hAnsi="Times" w:cs="Times"/>
          <w:noProof/>
          <w:sz w:val="20"/>
          <w:szCs w:val="24"/>
          <w:lang w:val="en-US"/>
        </w:rPr>
      </w:pPr>
      <w:r w:rsidRPr="00C56443">
        <w:rPr>
          <w:rFonts w:ascii="Times" w:hAnsi="Times" w:cs="Times"/>
          <w:noProof/>
          <w:sz w:val="20"/>
          <w:szCs w:val="24"/>
          <w:lang w:val="en-US"/>
        </w:rPr>
        <w:t xml:space="preserve">3. </w:t>
      </w:r>
      <w:r w:rsidRPr="00C56443">
        <w:rPr>
          <w:rFonts w:ascii="Times" w:hAnsi="Times" w:cs="Times"/>
          <w:noProof/>
          <w:sz w:val="20"/>
          <w:szCs w:val="24"/>
          <w:lang w:val="en-US"/>
        </w:rPr>
        <w:tab/>
      </w:r>
      <w:r w:rsidR="00430CA1" w:rsidRPr="00C56443">
        <w:rPr>
          <w:rFonts w:ascii="Times" w:hAnsi="Times" w:cs="Times"/>
          <w:noProof/>
          <w:sz w:val="20"/>
          <w:szCs w:val="24"/>
          <w:lang w:val="en-US"/>
        </w:rPr>
        <w:t xml:space="preserve">S. </w:t>
      </w:r>
      <w:r w:rsidRPr="00C56443">
        <w:rPr>
          <w:rFonts w:ascii="Times" w:hAnsi="Times" w:cs="Times"/>
          <w:noProof/>
          <w:sz w:val="20"/>
          <w:szCs w:val="24"/>
          <w:lang w:val="en-US"/>
        </w:rPr>
        <w:t>Karatzos</w:t>
      </w:r>
      <w:r w:rsidR="00430CA1" w:rsidRPr="00C56443">
        <w:rPr>
          <w:rFonts w:ascii="Times" w:hAnsi="Times" w:cs="Times"/>
          <w:noProof/>
          <w:sz w:val="20"/>
          <w:szCs w:val="24"/>
          <w:lang w:val="en-US"/>
        </w:rPr>
        <w:t>; S.</w:t>
      </w:r>
      <w:r w:rsidRPr="00C56443">
        <w:rPr>
          <w:rFonts w:ascii="Times" w:hAnsi="Times" w:cs="Times"/>
          <w:noProof/>
          <w:sz w:val="20"/>
          <w:szCs w:val="24"/>
          <w:lang w:val="en-US"/>
        </w:rPr>
        <w:t xml:space="preserve"> van Dyk</w:t>
      </w:r>
      <w:r w:rsidR="00430CA1" w:rsidRPr="00C56443">
        <w:rPr>
          <w:rFonts w:ascii="Times" w:hAnsi="Times" w:cs="Times"/>
          <w:noProof/>
          <w:sz w:val="20"/>
          <w:szCs w:val="24"/>
          <w:lang w:val="en-US"/>
        </w:rPr>
        <w:t>; J.D.</w:t>
      </w:r>
      <w:r w:rsidRPr="00C56443">
        <w:rPr>
          <w:rFonts w:ascii="Times" w:hAnsi="Times" w:cs="Times"/>
          <w:noProof/>
          <w:sz w:val="20"/>
          <w:szCs w:val="24"/>
          <w:lang w:val="en-US"/>
        </w:rPr>
        <w:t xml:space="preserve"> McMillan,</w:t>
      </w:r>
      <w:r w:rsidR="00430CA1" w:rsidRPr="00C56443">
        <w:rPr>
          <w:rFonts w:ascii="Times" w:hAnsi="Times" w:cs="Times"/>
          <w:noProof/>
          <w:sz w:val="20"/>
          <w:szCs w:val="24"/>
          <w:lang w:val="en-US"/>
        </w:rPr>
        <w:t xml:space="preserve"> J.</w:t>
      </w:r>
      <w:r w:rsidRPr="00C56443">
        <w:rPr>
          <w:rFonts w:ascii="Times" w:hAnsi="Times" w:cs="Times"/>
          <w:noProof/>
          <w:sz w:val="20"/>
          <w:szCs w:val="24"/>
          <w:lang w:val="en-US"/>
        </w:rPr>
        <w:t xml:space="preserve"> Saddler</w:t>
      </w:r>
      <w:r w:rsidR="00430CA1" w:rsidRPr="00C56443">
        <w:rPr>
          <w:rFonts w:ascii="Times" w:hAnsi="Times" w:cs="Times"/>
          <w:noProof/>
          <w:sz w:val="20"/>
          <w:szCs w:val="24"/>
          <w:lang w:val="en-US"/>
        </w:rPr>
        <w:t>;</w:t>
      </w:r>
      <w:r w:rsidRPr="00C56443">
        <w:rPr>
          <w:rFonts w:ascii="Times" w:hAnsi="Times" w:cs="Times"/>
          <w:noProof/>
          <w:sz w:val="20"/>
          <w:szCs w:val="24"/>
          <w:lang w:val="en-US"/>
        </w:rPr>
        <w:t xml:space="preserve"> </w:t>
      </w:r>
      <w:r w:rsidRPr="00C56443">
        <w:rPr>
          <w:rFonts w:ascii="Times" w:hAnsi="Times" w:cs="Times"/>
          <w:i/>
          <w:iCs/>
          <w:noProof/>
          <w:sz w:val="20"/>
          <w:szCs w:val="24"/>
          <w:lang w:val="en-US"/>
        </w:rPr>
        <w:t>Biofuels, Bioprod Biorefining</w:t>
      </w:r>
      <w:r w:rsidRPr="00C56443">
        <w:rPr>
          <w:rFonts w:ascii="Times" w:hAnsi="Times" w:cs="Times"/>
          <w:noProof/>
          <w:sz w:val="20"/>
          <w:szCs w:val="24"/>
          <w:lang w:val="en-US"/>
        </w:rPr>
        <w:t xml:space="preserve">. </w:t>
      </w:r>
      <w:r w:rsidRPr="00C56443">
        <w:rPr>
          <w:rFonts w:ascii="Times" w:hAnsi="Times" w:cs="Times"/>
          <w:b/>
          <w:bCs/>
          <w:noProof/>
          <w:sz w:val="20"/>
          <w:szCs w:val="24"/>
          <w:lang w:val="en-US"/>
        </w:rPr>
        <w:t>2017</w:t>
      </w:r>
      <w:r w:rsidRPr="00C56443">
        <w:rPr>
          <w:rFonts w:ascii="Times" w:hAnsi="Times" w:cs="Times"/>
          <w:noProof/>
          <w:sz w:val="20"/>
          <w:szCs w:val="24"/>
          <w:lang w:val="en-US"/>
        </w:rPr>
        <w:t>;11</w:t>
      </w:r>
      <w:r w:rsidR="0057238B" w:rsidRPr="00C56443">
        <w:rPr>
          <w:rFonts w:ascii="Times" w:hAnsi="Times" w:cs="Times"/>
          <w:noProof/>
          <w:sz w:val="20"/>
          <w:szCs w:val="24"/>
          <w:lang w:val="en-US"/>
        </w:rPr>
        <w:t>;</w:t>
      </w:r>
      <w:r w:rsidRPr="00C56443">
        <w:rPr>
          <w:rFonts w:ascii="Times" w:hAnsi="Times" w:cs="Times"/>
          <w:noProof/>
          <w:sz w:val="20"/>
          <w:szCs w:val="24"/>
          <w:lang w:val="en-US"/>
        </w:rPr>
        <w:t xml:space="preserve">344–62. </w:t>
      </w:r>
    </w:p>
    <w:p w14:paraId="407CBE2C" w14:textId="5A04AA15" w:rsidR="004E5420" w:rsidRPr="00C56443" w:rsidRDefault="004E5420" w:rsidP="00694AC4">
      <w:pPr>
        <w:widowControl w:val="0"/>
        <w:autoSpaceDE w:val="0"/>
        <w:autoSpaceDN w:val="0"/>
        <w:adjustRightInd w:val="0"/>
        <w:spacing w:line="240" w:lineRule="auto"/>
        <w:ind w:left="357" w:hanging="357"/>
        <w:jc w:val="both"/>
        <w:rPr>
          <w:rFonts w:ascii="Times" w:hAnsi="Times" w:cs="Times"/>
          <w:noProof/>
          <w:sz w:val="20"/>
          <w:szCs w:val="24"/>
          <w:lang w:val="en-US"/>
        </w:rPr>
      </w:pPr>
      <w:r w:rsidRPr="00C56443">
        <w:rPr>
          <w:rFonts w:ascii="Times" w:hAnsi="Times" w:cs="Times"/>
          <w:noProof/>
          <w:sz w:val="20"/>
          <w:szCs w:val="24"/>
          <w:lang w:val="en-US"/>
        </w:rPr>
        <w:t xml:space="preserve">4. </w:t>
      </w:r>
      <w:r w:rsidRPr="00C56443">
        <w:rPr>
          <w:rFonts w:ascii="Times" w:hAnsi="Times" w:cs="Times"/>
          <w:noProof/>
          <w:sz w:val="20"/>
          <w:szCs w:val="24"/>
          <w:lang w:val="en-US"/>
        </w:rPr>
        <w:tab/>
      </w:r>
      <w:r w:rsidR="00EE44AE" w:rsidRPr="00C56443">
        <w:rPr>
          <w:rFonts w:ascii="Times" w:hAnsi="Times" w:cs="Times"/>
          <w:noProof/>
          <w:sz w:val="20"/>
          <w:szCs w:val="24"/>
          <w:lang w:val="en-US"/>
        </w:rPr>
        <w:t xml:space="preserve">U. </w:t>
      </w:r>
      <w:r w:rsidRPr="00C56443">
        <w:rPr>
          <w:rFonts w:ascii="Times" w:hAnsi="Times" w:cs="Times"/>
          <w:noProof/>
          <w:sz w:val="20"/>
          <w:szCs w:val="24"/>
          <w:lang w:val="en-US"/>
        </w:rPr>
        <w:t>Neuling</w:t>
      </w:r>
      <w:r w:rsidR="00EE44AE" w:rsidRPr="00C56443">
        <w:rPr>
          <w:rFonts w:ascii="Times" w:hAnsi="Times" w:cs="Times"/>
          <w:noProof/>
          <w:sz w:val="20"/>
          <w:szCs w:val="24"/>
          <w:lang w:val="en-US"/>
        </w:rPr>
        <w:t>; M.</w:t>
      </w:r>
      <w:r w:rsidRPr="00C56443">
        <w:rPr>
          <w:rFonts w:ascii="Times" w:hAnsi="Times" w:cs="Times"/>
          <w:noProof/>
          <w:sz w:val="20"/>
          <w:szCs w:val="24"/>
          <w:lang w:val="en-US"/>
        </w:rPr>
        <w:t xml:space="preserve"> Kaltschmitt</w:t>
      </w:r>
      <w:r w:rsidR="00EE44AE" w:rsidRPr="00C56443">
        <w:rPr>
          <w:rFonts w:ascii="Times" w:hAnsi="Times" w:cs="Times"/>
          <w:noProof/>
          <w:sz w:val="20"/>
          <w:szCs w:val="24"/>
          <w:lang w:val="en-US"/>
        </w:rPr>
        <w:t>;</w:t>
      </w:r>
      <w:r w:rsidRPr="00C56443">
        <w:rPr>
          <w:rFonts w:ascii="Times" w:hAnsi="Times" w:cs="Times"/>
          <w:noProof/>
          <w:sz w:val="20"/>
          <w:szCs w:val="24"/>
          <w:lang w:val="en-US"/>
        </w:rPr>
        <w:t xml:space="preserve"> </w:t>
      </w:r>
      <w:r w:rsidRPr="00C56443">
        <w:rPr>
          <w:rFonts w:ascii="Times" w:hAnsi="Times" w:cs="Times"/>
          <w:i/>
          <w:iCs/>
          <w:noProof/>
          <w:sz w:val="20"/>
          <w:szCs w:val="24"/>
          <w:lang w:val="en-US"/>
        </w:rPr>
        <w:t>Fuel Process Technol</w:t>
      </w:r>
      <w:r w:rsidRPr="00C56443">
        <w:rPr>
          <w:rFonts w:ascii="Times" w:hAnsi="Times" w:cs="Times"/>
          <w:noProof/>
          <w:sz w:val="20"/>
          <w:szCs w:val="24"/>
          <w:lang w:val="en-US"/>
        </w:rPr>
        <w:t xml:space="preserve">. </w:t>
      </w:r>
      <w:r w:rsidRPr="00C56443">
        <w:rPr>
          <w:rFonts w:ascii="Times" w:hAnsi="Times" w:cs="Times"/>
          <w:b/>
          <w:bCs/>
          <w:noProof/>
          <w:sz w:val="20"/>
          <w:szCs w:val="24"/>
          <w:lang w:val="en-US"/>
        </w:rPr>
        <w:t>2018</w:t>
      </w:r>
      <w:r w:rsidRPr="00C56443">
        <w:rPr>
          <w:rFonts w:ascii="Times" w:hAnsi="Times" w:cs="Times"/>
          <w:noProof/>
          <w:sz w:val="20"/>
          <w:szCs w:val="24"/>
          <w:lang w:val="en-US"/>
        </w:rPr>
        <w:t xml:space="preserve">;171:54–69. </w:t>
      </w:r>
    </w:p>
    <w:p w14:paraId="0C98647F" w14:textId="215CC297" w:rsidR="004E5420" w:rsidRPr="004E5420" w:rsidRDefault="004E5420" w:rsidP="00694AC4">
      <w:pPr>
        <w:widowControl w:val="0"/>
        <w:autoSpaceDE w:val="0"/>
        <w:autoSpaceDN w:val="0"/>
        <w:adjustRightInd w:val="0"/>
        <w:spacing w:line="240" w:lineRule="auto"/>
        <w:ind w:left="357" w:hanging="357"/>
        <w:jc w:val="both"/>
        <w:rPr>
          <w:rFonts w:ascii="Times" w:hAnsi="Times" w:cs="Times"/>
          <w:noProof/>
          <w:sz w:val="20"/>
          <w:szCs w:val="24"/>
        </w:rPr>
      </w:pPr>
      <w:r w:rsidRPr="00C56443">
        <w:rPr>
          <w:rFonts w:ascii="Times" w:hAnsi="Times" w:cs="Times"/>
          <w:noProof/>
          <w:sz w:val="20"/>
          <w:szCs w:val="24"/>
          <w:lang w:val="en-US"/>
        </w:rPr>
        <w:t xml:space="preserve">5. </w:t>
      </w:r>
      <w:r w:rsidRPr="00C56443">
        <w:rPr>
          <w:rFonts w:ascii="Times" w:hAnsi="Times" w:cs="Times"/>
          <w:noProof/>
          <w:sz w:val="20"/>
          <w:szCs w:val="24"/>
          <w:lang w:val="en-US"/>
        </w:rPr>
        <w:tab/>
      </w:r>
      <w:r w:rsidR="00EE44AE" w:rsidRPr="00C56443">
        <w:rPr>
          <w:rFonts w:ascii="Times" w:hAnsi="Times" w:cs="Times"/>
          <w:noProof/>
          <w:sz w:val="20"/>
          <w:szCs w:val="24"/>
          <w:lang w:val="en-US"/>
        </w:rPr>
        <w:t xml:space="preserve">M.F. </w:t>
      </w:r>
      <w:r w:rsidRPr="00C56443">
        <w:rPr>
          <w:rFonts w:ascii="Times" w:hAnsi="Times" w:cs="Times"/>
          <w:noProof/>
          <w:sz w:val="20"/>
          <w:szCs w:val="24"/>
          <w:lang w:val="en-US"/>
        </w:rPr>
        <w:t>Wagenhofer</w:t>
      </w:r>
      <w:r w:rsidR="00EE44AE" w:rsidRPr="00C56443">
        <w:rPr>
          <w:rFonts w:ascii="Times" w:hAnsi="Times" w:cs="Times"/>
          <w:noProof/>
          <w:sz w:val="20"/>
          <w:szCs w:val="24"/>
          <w:lang w:val="en-US"/>
        </w:rPr>
        <w:t>; E.</w:t>
      </w:r>
      <w:r w:rsidRPr="00C56443">
        <w:rPr>
          <w:rFonts w:ascii="Times" w:hAnsi="Times" w:cs="Times"/>
          <w:noProof/>
          <w:sz w:val="20"/>
          <w:szCs w:val="24"/>
          <w:lang w:val="en-US"/>
        </w:rPr>
        <w:t xml:space="preserve"> Baráth</w:t>
      </w:r>
      <w:r w:rsidR="00EE44AE" w:rsidRPr="00C56443">
        <w:rPr>
          <w:rFonts w:ascii="Times" w:hAnsi="Times" w:cs="Times"/>
          <w:noProof/>
          <w:sz w:val="20"/>
          <w:szCs w:val="24"/>
          <w:lang w:val="en-US"/>
        </w:rPr>
        <w:t>;</w:t>
      </w:r>
      <w:r w:rsidRPr="00C56443">
        <w:rPr>
          <w:rFonts w:ascii="Times" w:hAnsi="Times" w:cs="Times"/>
          <w:noProof/>
          <w:sz w:val="20"/>
          <w:szCs w:val="24"/>
          <w:lang w:val="en-US"/>
        </w:rPr>
        <w:t xml:space="preserve"> </w:t>
      </w:r>
      <w:r w:rsidR="00EE44AE" w:rsidRPr="00C56443">
        <w:rPr>
          <w:rFonts w:ascii="Times" w:hAnsi="Times" w:cs="Times"/>
          <w:noProof/>
          <w:sz w:val="20"/>
          <w:szCs w:val="24"/>
          <w:lang w:val="en-US"/>
        </w:rPr>
        <w:t xml:space="preserve">O.Y. </w:t>
      </w:r>
      <w:r w:rsidRPr="00C56443">
        <w:rPr>
          <w:rFonts w:ascii="Times" w:hAnsi="Times" w:cs="Times"/>
          <w:noProof/>
          <w:sz w:val="20"/>
          <w:szCs w:val="24"/>
          <w:lang w:val="en-US"/>
        </w:rPr>
        <w:t>Gutiérrez</w:t>
      </w:r>
      <w:r w:rsidR="00EE44AE" w:rsidRPr="00C56443">
        <w:rPr>
          <w:rFonts w:ascii="Times" w:hAnsi="Times" w:cs="Times"/>
          <w:noProof/>
          <w:sz w:val="20"/>
          <w:szCs w:val="24"/>
          <w:lang w:val="en-US"/>
        </w:rPr>
        <w:t>; J.A.</w:t>
      </w:r>
      <w:r w:rsidRPr="00C56443">
        <w:rPr>
          <w:rFonts w:ascii="Times" w:hAnsi="Times" w:cs="Times"/>
          <w:noProof/>
          <w:sz w:val="20"/>
          <w:szCs w:val="24"/>
          <w:lang w:val="en-US"/>
        </w:rPr>
        <w:t xml:space="preserve"> Lercher. </w:t>
      </w:r>
      <w:r w:rsidRPr="0057238B">
        <w:rPr>
          <w:rFonts w:ascii="Times" w:hAnsi="Times" w:cs="Times"/>
          <w:i/>
          <w:iCs/>
          <w:noProof/>
          <w:sz w:val="20"/>
          <w:szCs w:val="24"/>
        </w:rPr>
        <w:t>ACS Catal</w:t>
      </w:r>
      <w:r w:rsidRPr="004E5420">
        <w:rPr>
          <w:rFonts w:ascii="Times" w:hAnsi="Times" w:cs="Times"/>
          <w:noProof/>
          <w:sz w:val="20"/>
          <w:szCs w:val="24"/>
        </w:rPr>
        <w:t xml:space="preserve">. </w:t>
      </w:r>
      <w:r w:rsidRPr="0057238B">
        <w:rPr>
          <w:rFonts w:ascii="Times" w:hAnsi="Times" w:cs="Times"/>
          <w:b/>
          <w:bCs/>
          <w:noProof/>
          <w:sz w:val="20"/>
          <w:szCs w:val="24"/>
        </w:rPr>
        <w:t>2017</w:t>
      </w:r>
      <w:r w:rsidRPr="004E5420">
        <w:rPr>
          <w:rFonts w:ascii="Times" w:hAnsi="Times" w:cs="Times"/>
          <w:noProof/>
          <w:sz w:val="20"/>
          <w:szCs w:val="24"/>
        </w:rPr>
        <w:t>;7</w:t>
      </w:r>
      <w:r w:rsidR="0057238B">
        <w:rPr>
          <w:rFonts w:ascii="Times" w:hAnsi="Times" w:cs="Times"/>
          <w:noProof/>
          <w:sz w:val="20"/>
          <w:szCs w:val="24"/>
        </w:rPr>
        <w:t>;</w:t>
      </w:r>
      <w:r w:rsidRPr="004E5420">
        <w:rPr>
          <w:rFonts w:ascii="Times" w:hAnsi="Times" w:cs="Times"/>
          <w:noProof/>
          <w:sz w:val="20"/>
          <w:szCs w:val="24"/>
        </w:rPr>
        <w:t xml:space="preserve">1068–76. </w:t>
      </w:r>
    </w:p>
    <w:p w14:paraId="4D540CB1" w14:textId="67DA90E8" w:rsidR="004E5420" w:rsidRPr="00C56443" w:rsidRDefault="004E5420" w:rsidP="0057238B">
      <w:pPr>
        <w:widowControl w:val="0"/>
        <w:autoSpaceDE w:val="0"/>
        <w:autoSpaceDN w:val="0"/>
        <w:adjustRightInd w:val="0"/>
        <w:spacing w:line="240" w:lineRule="auto"/>
        <w:ind w:left="357" w:hanging="357"/>
        <w:jc w:val="both"/>
        <w:rPr>
          <w:rFonts w:ascii="Times" w:hAnsi="Times" w:cs="Times"/>
          <w:noProof/>
          <w:sz w:val="20"/>
          <w:szCs w:val="24"/>
          <w:lang w:val="en-US"/>
        </w:rPr>
      </w:pPr>
      <w:r w:rsidRPr="004E5420">
        <w:rPr>
          <w:rFonts w:ascii="Times" w:hAnsi="Times" w:cs="Times"/>
          <w:noProof/>
          <w:sz w:val="20"/>
          <w:szCs w:val="24"/>
        </w:rPr>
        <w:t xml:space="preserve">6. </w:t>
      </w:r>
      <w:r w:rsidRPr="004E5420">
        <w:rPr>
          <w:rFonts w:ascii="Times" w:hAnsi="Times" w:cs="Times"/>
          <w:noProof/>
          <w:sz w:val="20"/>
          <w:szCs w:val="24"/>
        </w:rPr>
        <w:tab/>
      </w:r>
      <w:r w:rsidR="00EE44AE">
        <w:rPr>
          <w:rFonts w:ascii="Times" w:hAnsi="Times" w:cs="Times"/>
          <w:noProof/>
          <w:sz w:val="20"/>
          <w:szCs w:val="24"/>
        </w:rPr>
        <w:t xml:space="preserve">S. </w:t>
      </w:r>
      <w:r w:rsidRPr="004E5420">
        <w:rPr>
          <w:rFonts w:ascii="Times" w:hAnsi="Times" w:cs="Times"/>
          <w:noProof/>
          <w:sz w:val="20"/>
          <w:szCs w:val="24"/>
        </w:rPr>
        <w:t>Janampelli</w:t>
      </w:r>
      <w:r w:rsidR="00EE44AE">
        <w:rPr>
          <w:rFonts w:ascii="Times" w:hAnsi="Times" w:cs="Times"/>
          <w:noProof/>
          <w:sz w:val="20"/>
          <w:szCs w:val="24"/>
        </w:rPr>
        <w:t>; S.</w:t>
      </w:r>
      <w:r w:rsidRPr="004E5420">
        <w:rPr>
          <w:rFonts w:ascii="Times" w:hAnsi="Times" w:cs="Times"/>
          <w:noProof/>
          <w:sz w:val="20"/>
          <w:szCs w:val="24"/>
        </w:rPr>
        <w:t xml:space="preserve"> Darbha.</w:t>
      </w:r>
      <w:r w:rsidRPr="0057238B">
        <w:rPr>
          <w:rFonts w:ascii="Times" w:hAnsi="Times" w:cs="Times"/>
          <w:i/>
          <w:iCs/>
          <w:noProof/>
          <w:sz w:val="20"/>
          <w:szCs w:val="24"/>
        </w:rPr>
        <w:t xml:space="preserve"> </w:t>
      </w:r>
      <w:r w:rsidRPr="00C56443">
        <w:rPr>
          <w:rFonts w:ascii="Times" w:hAnsi="Times" w:cs="Times"/>
          <w:i/>
          <w:iCs/>
          <w:noProof/>
          <w:sz w:val="20"/>
          <w:szCs w:val="24"/>
          <w:lang w:val="en-US"/>
        </w:rPr>
        <w:t>Catal Today</w:t>
      </w:r>
      <w:r w:rsidRPr="00C56443">
        <w:rPr>
          <w:rFonts w:ascii="Times" w:hAnsi="Times" w:cs="Times"/>
          <w:noProof/>
          <w:sz w:val="20"/>
          <w:szCs w:val="24"/>
          <w:lang w:val="en-US"/>
        </w:rPr>
        <w:t xml:space="preserve">. </w:t>
      </w:r>
      <w:r w:rsidRPr="00C56443">
        <w:rPr>
          <w:rFonts w:ascii="Times" w:hAnsi="Times" w:cs="Times"/>
          <w:b/>
          <w:bCs/>
          <w:noProof/>
          <w:sz w:val="20"/>
          <w:szCs w:val="24"/>
          <w:lang w:val="en-US"/>
        </w:rPr>
        <w:t>202</w:t>
      </w:r>
      <w:r w:rsidR="0057238B" w:rsidRPr="00C56443">
        <w:rPr>
          <w:rFonts w:ascii="Times" w:hAnsi="Times" w:cs="Times"/>
          <w:b/>
          <w:bCs/>
          <w:noProof/>
          <w:sz w:val="20"/>
          <w:szCs w:val="24"/>
          <w:lang w:val="en-US"/>
        </w:rPr>
        <w:t>1</w:t>
      </w:r>
      <w:r w:rsidRPr="00C56443">
        <w:rPr>
          <w:rFonts w:ascii="Times" w:hAnsi="Times" w:cs="Times"/>
          <w:noProof/>
          <w:sz w:val="20"/>
          <w:szCs w:val="24"/>
          <w:lang w:val="en-US"/>
        </w:rPr>
        <w:t>;</w:t>
      </w:r>
      <w:r w:rsidR="0057238B" w:rsidRPr="00C56443">
        <w:rPr>
          <w:rFonts w:ascii="Times" w:hAnsi="Times" w:cs="Times"/>
          <w:noProof/>
          <w:sz w:val="20"/>
          <w:szCs w:val="24"/>
          <w:lang w:val="en-US"/>
        </w:rPr>
        <w:t xml:space="preserve"> 375;174-180.</w:t>
      </w:r>
    </w:p>
    <w:p w14:paraId="2C77B0C1" w14:textId="3A2461B3" w:rsidR="004E5420" w:rsidRPr="00C56443" w:rsidRDefault="004E5420" w:rsidP="0057238B">
      <w:pPr>
        <w:widowControl w:val="0"/>
        <w:autoSpaceDE w:val="0"/>
        <w:autoSpaceDN w:val="0"/>
        <w:adjustRightInd w:val="0"/>
        <w:spacing w:line="240" w:lineRule="auto"/>
        <w:ind w:left="357" w:hanging="357"/>
        <w:jc w:val="both"/>
        <w:rPr>
          <w:rFonts w:ascii="Times" w:hAnsi="Times" w:cs="Times"/>
          <w:noProof/>
          <w:sz w:val="20"/>
          <w:szCs w:val="24"/>
          <w:lang w:val="en-US"/>
        </w:rPr>
      </w:pPr>
      <w:r w:rsidRPr="00C56443">
        <w:rPr>
          <w:rFonts w:ascii="Times" w:hAnsi="Times" w:cs="Times"/>
          <w:noProof/>
          <w:sz w:val="20"/>
          <w:szCs w:val="24"/>
          <w:lang w:val="en-US"/>
        </w:rPr>
        <w:t xml:space="preserve">7. </w:t>
      </w:r>
      <w:r w:rsidRPr="00C56443">
        <w:rPr>
          <w:rFonts w:ascii="Times" w:hAnsi="Times" w:cs="Times"/>
          <w:noProof/>
          <w:sz w:val="20"/>
          <w:szCs w:val="24"/>
          <w:lang w:val="en-US"/>
        </w:rPr>
        <w:tab/>
      </w:r>
      <w:r w:rsidR="00EE44AE" w:rsidRPr="00C56443">
        <w:rPr>
          <w:rFonts w:ascii="Times" w:hAnsi="Times" w:cs="Times"/>
          <w:noProof/>
          <w:sz w:val="20"/>
          <w:szCs w:val="24"/>
          <w:lang w:val="en-US"/>
        </w:rPr>
        <w:t xml:space="preserve">F. </w:t>
      </w:r>
      <w:r w:rsidRPr="00C56443">
        <w:rPr>
          <w:rFonts w:ascii="Times" w:hAnsi="Times" w:cs="Times"/>
          <w:noProof/>
          <w:sz w:val="20"/>
          <w:szCs w:val="24"/>
          <w:lang w:val="en-US"/>
        </w:rPr>
        <w:t>Feng F</w:t>
      </w:r>
      <w:r w:rsidR="00EE44AE" w:rsidRPr="00C56443">
        <w:rPr>
          <w:rFonts w:ascii="Times" w:hAnsi="Times" w:cs="Times"/>
          <w:noProof/>
          <w:sz w:val="20"/>
          <w:szCs w:val="24"/>
          <w:lang w:val="en-US"/>
        </w:rPr>
        <w:t>; X.</w:t>
      </w:r>
      <w:r w:rsidRPr="00C56443">
        <w:rPr>
          <w:rFonts w:ascii="Times" w:hAnsi="Times" w:cs="Times"/>
          <w:noProof/>
          <w:sz w:val="20"/>
          <w:szCs w:val="24"/>
          <w:lang w:val="en-US"/>
        </w:rPr>
        <w:t xml:space="preserve"> Niu</w:t>
      </w:r>
      <w:r w:rsidR="00EE44AE" w:rsidRPr="00C56443">
        <w:rPr>
          <w:rFonts w:ascii="Times" w:hAnsi="Times" w:cs="Times"/>
          <w:noProof/>
          <w:sz w:val="20"/>
          <w:szCs w:val="24"/>
          <w:lang w:val="en-US"/>
        </w:rPr>
        <w:t>; L.</w:t>
      </w:r>
      <w:r w:rsidRPr="00C56443">
        <w:rPr>
          <w:rFonts w:ascii="Times" w:hAnsi="Times" w:cs="Times"/>
          <w:noProof/>
          <w:sz w:val="20"/>
          <w:szCs w:val="24"/>
          <w:lang w:val="en-US"/>
        </w:rPr>
        <w:t xml:space="preserve"> Wang</w:t>
      </w:r>
      <w:r w:rsidR="00EE44AE" w:rsidRPr="00C56443">
        <w:rPr>
          <w:rFonts w:ascii="Times" w:hAnsi="Times" w:cs="Times"/>
          <w:noProof/>
          <w:sz w:val="20"/>
          <w:szCs w:val="24"/>
          <w:lang w:val="en-US"/>
        </w:rPr>
        <w:t>; X.</w:t>
      </w:r>
      <w:r w:rsidRPr="00C56443">
        <w:rPr>
          <w:rFonts w:ascii="Times" w:hAnsi="Times" w:cs="Times"/>
          <w:noProof/>
          <w:sz w:val="20"/>
          <w:szCs w:val="24"/>
          <w:lang w:val="en-US"/>
        </w:rPr>
        <w:t xml:space="preserve"> Zhang</w:t>
      </w:r>
      <w:r w:rsidR="00EE44AE" w:rsidRPr="00C56443">
        <w:rPr>
          <w:rFonts w:ascii="Times" w:hAnsi="Times" w:cs="Times"/>
          <w:noProof/>
          <w:sz w:val="20"/>
          <w:szCs w:val="24"/>
          <w:lang w:val="en-US"/>
        </w:rPr>
        <w:t>; Q.</w:t>
      </w:r>
      <w:r w:rsidRPr="00C56443">
        <w:rPr>
          <w:rFonts w:ascii="Times" w:hAnsi="Times" w:cs="Times"/>
          <w:noProof/>
          <w:sz w:val="20"/>
          <w:szCs w:val="24"/>
          <w:lang w:val="en-US"/>
        </w:rPr>
        <w:t xml:space="preserve"> Wang. </w:t>
      </w:r>
      <w:r w:rsidRPr="00C56443">
        <w:rPr>
          <w:rFonts w:ascii="Times" w:hAnsi="Times" w:cs="Times"/>
          <w:i/>
          <w:iCs/>
          <w:noProof/>
          <w:sz w:val="20"/>
          <w:szCs w:val="24"/>
          <w:lang w:val="en-US"/>
        </w:rPr>
        <w:t>Microporous Mesoporous Mater</w:t>
      </w:r>
      <w:r w:rsidRPr="00C56443">
        <w:rPr>
          <w:rFonts w:ascii="Times" w:hAnsi="Times" w:cs="Times"/>
          <w:noProof/>
          <w:sz w:val="20"/>
          <w:szCs w:val="24"/>
          <w:lang w:val="en-US"/>
        </w:rPr>
        <w:t xml:space="preserve">. </w:t>
      </w:r>
      <w:r w:rsidRPr="00C56443">
        <w:rPr>
          <w:rFonts w:ascii="Times" w:hAnsi="Times" w:cs="Times"/>
          <w:b/>
          <w:bCs/>
          <w:noProof/>
          <w:sz w:val="20"/>
          <w:szCs w:val="24"/>
          <w:lang w:val="en-US"/>
        </w:rPr>
        <w:t>2020</w:t>
      </w:r>
      <w:r w:rsidRPr="00C56443">
        <w:rPr>
          <w:rFonts w:ascii="Times" w:hAnsi="Times" w:cs="Times"/>
          <w:noProof/>
          <w:sz w:val="20"/>
          <w:szCs w:val="24"/>
          <w:lang w:val="en-US"/>
        </w:rPr>
        <w:t>;291</w:t>
      </w:r>
      <w:r w:rsidR="00EE44AE" w:rsidRPr="00C56443">
        <w:rPr>
          <w:rFonts w:ascii="Times" w:hAnsi="Times" w:cs="Times"/>
          <w:noProof/>
          <w:sz w:val="20"/>
          <w:szCs w:val="24"/>
          <w:lang w:val="en-US"/>
        </w:rPr>
        <w:t>;</w:t>
      </w:r>
      <w:r w:rsidRPr="00C56443">
        <w:rPr>
          <w:rFonts w:ascii="Times" w:hAnsi="Times" w:cs="Times"/>
          <w:noProof/>
          <w:sz w:val="20"/>
          <w:szCs w:val="24"/>
          <w:lang w:val="en-US"/>
        </w:rPr>
        <w:t xml:space="preserve">109705. </w:t>
      </w:r>
    </w:p>
    <w:p w14:paraId="06C49669" w14:textId="300D8F8F" w:rsidR="004E5420" w:rsidRPr="00EE44AE" w:rsidRDefault="004E5420" w:rsidP="0057238B">
      <w:pPr>
        <w:widowControl w:val="0"/>
        <w:autoSpaceDE w:val="0"/>
        <w:autoSpaceDN w:val="0"/>
        <w:adjustRightInd w:val="0"/>
        <w:spacing w:line="240" w:lineRule="auto"/>
        <w:ind w:left="357" w:hanging="357"/>
        <w:jc w:val="both"/>
        <w:rPr>
          <w:rFonts w:ascii="Times" w:hAnsi="Times" w:cs="Times"/>
          <w:noProof/>
          <w:sz w:val="20"/>
          <w:szCs w:val="24"/>
          <w:lang w:val="en-US"/>
        </w:rPr>
      </w:pPr>
      <w:r w:rsidRPr="00C56443">
        <w:rPr>
          <w:rFonts w:ascii="Times" w:hAnsi="Times" w:cs="Times"/>
          <w:noProof/>
          <w:sz w:val="20"/>
          <w:szCs w:val="24"/>
          <w:lang w:val="en-US"/>
        </w:rPr>
        <w:t xml:space="preserve">8. </w:t>
      </w:r>
      <w:r w:rsidRPr="00C56443">
        <w:rPr>
          <w:rFonts w:ascii="Times" w:hAnsi="Times" w:cs="Times"/>
          <w:noProof/>
          <w:sz w:val="20"/>
          <w:szCs w:val="24"/>
          <w:lang w:val="en-US"/>
        </w:rPr>
        <w:tab/>
      </w:r>
      <w:r w:rsidR="00EE44AE" w:rsidRPr="00EE44AE">
        <w:rPr>
          <w:rFonts w:ascii="Times" w:hAnsi="Times" w:cs="Times"/>
          <w:noProof/>
          <w:sz w:val="20"/>
          <w:szCs w:val="24"/>
          <w:lang w:val="en-US"/>
        </w:rPr>
        <w:t xml:space="preserve">L. </w:t>
      </w:r>
      <w:r w:rsidRPr="00EE44AE">
        <w:rPr>
          <w:rFonts w:ascii="Times" w:hAnsi="Times" w:cs="Times"/>
          <w:noProof/>
          <w:sz w:val="20"/>
          <w:szCs w:val="24"/>
          <w:lang w:val="en-US"/>
        </w:rPr>
        <w:t>Yang</w:t>
      </w:r>
      <w:r w:rsidR="00EE44AE">
        <w:rPr>
          <w:rFonts w:ascii="Times" w:hAnsi="Times" w:cs="Times"/>
          <w:noProof/>
          <w:sz w:val="20"/>
          <w:szCs w:val="24"/>
          <w:lang w:val="en-US"/>
        </w:rPr>
        <w:t>; S.</w:t>
      </w:r>
      <w:r w:rsidRPr="00EE44AE">
        <w:rPr>
          <w:rFonts w:ascii="Times" w:hAnsi="Times" w:cs="Times"/>
          <w:noProof/>
          <w:sz w:val="20"/>
          <w:szCs w:val="24"/>
          <w:lang w:val="en-US"/>
        </w:rPr>
        <w:t xml:space="preserve"> Xing</w:t>
      </w:r>
      <w:r w:rsidR="00EE44AE">
        <w:rPr>
          <w:rFonts w:ascii="Times" w:hAnsi="Times" w:cs="Times"/>
          <w:noProof/>
          <w:sz w:val="20"/>
          <w:szCs w:val="24"/>
          <w:lang w:val="en-US"/>
        </w:rPr>
        <w:t>; H.</w:t>
      </w:r>
      <w:r w:rsidRPr="00EE44AE">
        <w:rPr>
          <w:rFonts w:ascii="Times" w:hAnsi="Times" w:cs="Times"/>
          <w:noProof/>
          <w:sz w:val="20"/>
          <w:szCs w:val="24"/>
          <w:lang w:val="en-US"/>
        </w:rPr>
        <w:t xml:space="preserve"> Sun</w:t>
      </w:r>
      <w:r w:rsidR="00EE44AE">
        <w:rPr>
          <w:rFonts w:ascii="Times" w:hAnsi="Times" w:cs="Times"/>
          <w:noProof/>
          <w:sz w:val="20"/>
          <w:szCs w:val="24"/>
          <w:lang w:val="en-US"/>
        </w:rPr>
        <w:t>; C.</w:t>
      </w:r>
      <w:r w:rsidRPr="00EE44AE">
        <w:rPr>
          <w:rFonts w:ascii="Times" w:hAnsi="Times" w:cs="Times"/>
          <w:noProof/>
          <w:sz w:val="20"/>
          <w:szCs w:val="24"/>
          <w:lang w:val="en-US"/>
        </w:rPr>
        <w:t xml:space="preserve"> Miao</w:t>
      </w:r>
      <w:r w:rsidR="00EE44AE">
        <w:rPr>
          <w:rFonts w:ascii="Times" w:hAnsi="Times" w:cs="Times"/>
          <w:noProof/>
          <w:sz w:val="20"/>
          <w:szCs w:val="24"/>
          <w:lang w:val="en-US"/>
        </w:rPr>
        <w:t>; M.</w:t>
      </w:r>
      <w:r w:rsidRPr="00EE44AE">
        <w:rPr>
          <w:rFonts w:ascii="Times" w:hAnsi="Times" w:cs="Times"/>
          <w:noProof/>
          <w:sz w:val="20"/>
          <w:szCs w:val="24"/>
          <w:lang w:val="en-US"/>
        </w:rPr>
        <w:t xml:space="preserve"> Li</w:t>
      </w:r>
      <w:r w:rsidR="00EE44AE">
        <w:rPr>
          <w:rFonts w:ascii="Times" w:hAnsi="Times" w:cs="Times"/>
          <w:noProof/>
          <w:sz w:val="20"/>
          <w:szCs w:val="24"/>
          <w:lang w:val="en-US"/>
        </w:rPr>
        <w:t>; P.</w:t>
      </w:r>
      <w:r w:rsidRPr="00EE44AE">
        <w:rPr>
          <w:rFonts w:ascii="Times" w:hAnsi="Times" w:cs="Times"/>
          <w:noProof/>
          <w:sz w:val="20"/>
          <w:szCs w:val="24"/>
          <w:lang w:val="en-US"/>
        </w:rPr>
        <w:t xml:space="preserve"> Lv P, et al. </w:t>
      </w:r>
      <w:r w:rsidRPr="00EE44AE">
        <w:rPr>
          <w:rFonts w:ascii="Times" w:hAnsi="Times" w:cs="Times"/>
          <w:i/>
          <w:iCs/>
          <w:noProof/>
          <w:sz w:val="20"/>
          <w:szCs w:val="24"/>
          <w:lang w:val="en-US"/>
        </w:rPr>
        <w:t>Fuel Process Technol</w:t>
      </w:r>
      <w:r w:rsidRPr="00EE44AE">
        <w:rPr>
          <w:rFonts w:ascii="Times" w:hAnsi="Times" w:cs="Times"/>
          <w:noProof/>
          <w:sz w:val="20"/>
          <w:szCs w:val="24"/>
          <w:lang w:val="en-US"/>
        </w:rPr>
        <w:t xml:space="preserve">. </w:t>
      </w:r>
      <w:r w:rsidRPr="00EE44AE">
        <w:rPr>
          <w:rFonts w:ascii="Times" w:hAnsi="Times" w:cs="Times"/>
          <w:b/>
          <w:bCs/>
          <w:noProof/>
          <w:sz w:val="20"/>
          <w:szCs w:val="24"/>
          <w:lang w:val="en-US"/>
        </w:rPr>
        <w:t>2019</w:t>
      </w:r>
      <w:r w:rsidRPr="00EE44AE">
        <w:rPr>
          <w:rFonts w:ascii="Times" w:hAnsi="Times" w:cs="Times"/>
          <w:noProof/>
          <w:sz w:val="20"/>
          <w:szCs w:val="24"/>
          <w:lang w:val="en-US"/>
        </w:rPr>
        <w:t>;187</w:t>
      </w:r>
      <w:r w:rsidR="00EE44AE">
        <w:rPr>
          <w:rFonts w:ascii="Times" w:hAnsi="Times" w:cs="Times"/>
          <w:noProof/>
          <w:sz w:val="20"/>
          <w:szCs w:val="24"/>
          <w:lang w:val="en-US"/>
        </w:rPr>
        <w:t>;</w:t>
      </w:r>
      <w:r w:rsidRPr="00EE44AE">
        <w:rPr>
          <w:rFonts w:ascii="Times" w:hAnsi="Times" w:cs="Times"/>
          <w:noProof/>
          <w:sz w:val="20"/>
          <w:szCs w:val="24"/>
          <w:lang w:val="en-US"/>
        </w:rPr>
        <w:t xml:space="preserve">52–62. </w:t>
      </w:r>
    </w:p>
    <w:p w14:paraId="3ECAF9C2" w14:textId="28EAA492" w:rsidR="004E5420" w:rsidRPr="004E5420" w:rsidRDefault="004E5420" w:rsidP="0057238B">
      <w:pPr>
        <w:widowControl w:val="0"/>
        <w:autoSpaceDE w:val="0"/>
        <w:autoSpaceDN w:val="0"/>
        <w:adjustRightInd w:val="0"/>
        <w:spacing w:line="240" w:lineRule="auto"/>
        <w:ind w:left="357" w:hanging="357"/>
        <w:jc w:val="both"/>
        <w:rPr>
          <w:rFonts w:ascii="Times" w:hAnsi="Times" w:cs="Times"/>
          <w:noProof/>
          <w:sz w:val="20"/>
          <w:szCs w:val="24"/>
        </w:rPr>
      </w:pPr>
      <w:r w:rsidRPr="00C56443">
        <w:rPr>
          <w:rFonts w:ascii="Times" w:hAnsi="Times" w:cs="Times"/>
          <w:noProof/>
          <w:sz w:val="20"/>
          <w:szCs w:val="24"/>
          <w:lang w:val="en-US"/>
        </w:rPr>
        <w:t xml:space="preserve">9. </w:t>
      </w:r>
      <w:r w:rsidRPr="00C56443">
        <w:rPr>
          <w:rFonts w:ascii="Times" w:hAnsi="Times" w:cs="Times"/>
          <w:noProof/>
          <w:sz w:val="20"/>
          <w:szCs w:val="24"/>
          <w:lang w:val="en-US"/>
        </w:rPr>
        <w:tab/>
      </w:r>
      <w:r w:rsidR="00EE44AE" w:rsidRPr="00C56443">
        <w:rPr>
          <w:rFonts w:ascii="Times" w:hAnsi="Times" w:cs="Times"/>
          <w:noProof/>
          <w:sz w:val="20"/>
          <w:szCs w:val="24"/>
          <w:lang w:val="en-US"/>
        </w:rPr>
        <w:t xml:space="preserve">M. </w:t>
      </w:r>
      <w:r w:rsidRPr="00C56443">
        <w:rPr>
          <w:rFonts w:ascii="Times" w:hAnsi="Times" w:cs="Times"/>
          <w:noProof/>
          <w:sz w:val="20"/>
          <w:szCs w:val="24"/>
          <w:lang w:val="en-US"/>
        </w:rPr>
        <w:t>Li</w:t>
      </w:r>
      <w:r w:rsidR="00EE44AE" w:rsidRPr="00C56443">
        <w:rPr>
          <w:rFonts w:ascii="Times" w:hAnsi="Times" w:cs="Times"/>
          <w:noProof/>
          <w:sz w:val="20"/>
          <w:szCs w:val="24"/>
          <w:lang w:val="en-US"/>
        </w:rPr>
        <w:t>; S.</w:t>
      </w:r>
      <w:r w:rsidRPr="00C56443">
        <w:rPr>
          <w:rFonts w:ascii="Times" w:hAnsi="Times" w:cs="Times"/>
          <w:noProof/>
          <w:sz w:val="20"/>
          <w:szCs w:val="24"/>
          <w:lang w:val="en-US"/>
        </w:rPr>
        <w:t xml:space="preserve"> Xing</w:t>
      </w:r>
      <w:r w:rsidR="00EE44AE" w:rsidRPr="00C56443">
        <w:rPr>
          <w:rFonts w:ascii="Times" w:hAnsi="Times" w:cs="Times"/>
          <w:noProof/>
          <w:sz w:val="20"/>
          <w:szCs w:val="24"/>
          <w:lang w:val="en-US"/>
        </w:rPr>
        <w:t>; L.</w:t>
      </w:r>
      <w:r w:rsidRPr="00C56443">
        <w:rPr>
          <w:rFonts w:ascii="Times" w:hAnsi="Times" w:cs="Times"/>
          <w:noProof/>
          <w:sz w:val="20"/>
          <w:szCs w:val="24"/>
          <w:lang w:val="en-US"/>
        </w:rPr>
        <w:t xml:space="preserve"> Yang</w:t>
      </w:r>
      <w:r w:rsidR="00EE44AE" w:rsidRPr="00C56443">
        <w:rPr>
          <w:rFonts w:ascii="Times" w:hAnsi="Times" w:cs="Times"/>
          <w:noProof/>
          <w:sz w:val="20"/>
          <w:szCs w:val="24"/>
          <w:lang w:val="en-US"/>
        </w:rPr>
        <w:t>; J.</w:t>
      </w:r>
      <w:r w:rsidRPr="00C56443">
        <w:rPr>
          <w:rFonts w:ascii="Times" w:hAnsi="Times" w:cs="Times"/>
          <w:noProof/>
          <w:sz w:val="20"/>
          <w:szCs w:val="24"/>
          <w:lang w:val="en-US"/>
        </w:rPr>
        <w:t xml:space="preserve"> Fu</w:t>
      </w:r>
      <w:r w:rsidR="00EE44AE" w:rsidRPr="00C56443">
        <w:rPr>
          <w:rFonts w:ascii="Times" w:hAnsi="Times" w:cs="Times"/>
          <w:noProof/>
          <w:sz w:val="20"/>
          <w:szCs w:val="24"/>
          <w:lang w:val="en-US"/>
        </w:rPr>
        <w:t>; P.</w:t>
      </w:r>
      <w:r w:rsidRPr="00C56443">
        <w:rPr>
          <w:rFonts w:ascii="Times" w:hAnsi="Times" w:cs="Times"/>
          <w:noProof/>
          <w:sz w:val="20"/>
          <w:szCs w:val="24"/>
          <w:lang w:val="en-US"/>
        </w:rPr>
        <w:t xml:space="preserve"> Lv. </w:t>
      </w:r>
      <w:r w:rsidRPr="0057238B">
        <w:rPr>
          <w:rFonts w:ascii="Times" w:hAnsi="Times" w:cs="Times"/>
          <w:i/>
          <w:iCs/>
          <w:noProof/>
          <w:sz w:val="20"/>
          <w:szCs w:val="24"/>
        </w:rPr>
        <w:t>Appl Catal A</w:t>
      </w:r>
      <w:r w:rsidRPr="004E5420">
        <w:rPr>
          <w:rFonts w:ascii="Times" w:hAnsi="Times" w:cs="Times"/>
          <w:noProof/>
          <w:sz w:val="20"/>
          <w:szCs w:val="24"/>
        </w:rPr>
        <w:t xml:space="preserve">. </w:t>
      </w:r>
      <w:r w:rsidRPr="0057238B">
        <w:rPr>
          <w:rFonts w:ascii="Times" w:hAnsi="Times" w:cs="Times"/>
          <w:b/>
          <w:bCs/>
          <w:noProof/>
          <w:sz w:val="20"/>
          <w:szCs w:val="24"/>
        </w:rPr>
        <w:t>2019</w:t>
      </w:r>
      <w:r w:rsidRPr="004E5420">
        <w:rPr>
          <w:rFonts w:ascii="Times" w:hAnsi="Times" w:cs="Times"/>
          <w:noProof/>
          <w:sz w:val="20"/>
          <w:szCs w:val="24"/>
        </w:rPr>
        <w:t>;587</w:t>
      </w:r>
      <w:r w:rsidR="0057238B">
        <w:rPr>
          <w:rFonts w:ascii="Times" w:hAnsi="Times" w:cs="Times"/>
          <w:noProof/>
          <w:sz w:val="20"/>
          <w:szCs w:val="24"/>
        </w:rPr>
        <w:t>;</w:t>
      </w:r>
      <w:r w:rsidRPr="004E5420">
        <w:rPr>
          <w:rFonts w:ascii="Times" w:hAnsi="Times" w:cs="Times"/>
          <w:noProof/>
          <w:sz w:val="20"/>
          <w:szCs w:val="24"/>
        </w:rPr>
        <w:t xml:space="preserve">117112. </w:t>
      </w:r>
    </w:p>
    <w:p w14:paraId="0BDC697C" w14:textId="57A84C72" w:rsidR="004E5420" w:rsidRPr="004E5420" w:rsidRDefault="004E5420" w:rsidP="0057238B">
      <w:pPr>
        <w:widowControl w:val="0"/>
        <w:autoSpaceDE w:val="0"/>
        <w:autoSpaceDN w:val="0"/>
        <w:adjustRightInd w:val="0"/>
        <w:spacing w:line="240" w:lineRule="auto"/>
        <w:ind w:left="357" w:hanging="357"/>
        <w:jc w:val="both"/>
        <w:rPr>
          <w:rFonts w:ascii="Times" w:hAnsi="Times" w:cs="Times"/>
          <w:noProof/>
          <w:sz w:val="20"/>
          <w:szCs w:val="24"/>
        </w:rPr>
      </w:pPr>
      <w:r w:rsidRPr="004E5420">
        <w:rPr>
          <w:rFonts w:ascii="Times" w:hAnsi="Times" w:cs="Times"/>
          <w:noProof/>
          <w:sz w:val="20"/>
          <w:szCs w:val="24"/>
        </w:rPr>
        <w:t xml:space="preserve">10. </w:t>
      </w:r>
      <w:r w:rsidRPr="004E5420">
        <w:rPr>
          <w:rFonts w:ascii="Times" w:hAnsi="Times" w:cs="Times"/>
          <w:noProof/>
          <w:sz w:val="20"/>
          <w:szCs w:val="24"/>
        </w:rPr>
        <w:tab/>
      </w:r>
      <w:r w:rsidR="00EE44AE">
        <w:rPr>
          <w:rFonts w:ascii="Times" w:hAnsi="Times" w:cs="Times"/>
          <w:noProof/>
          <w:sz w:val="20"/>
          <w:szCs w:val="24"/>
        </w:rPr>
        <w:t>N</w:t>
      </w:r>
      <w:r w:rsidR="00BC664D">
        <w:rPr>
          <w:rFonts w:ascii="Times" w:hAnsi="Times" w:cs="Times"/>
          <w:noProof/>
          <w:sz w:val="20"/>
          <w:szCs w:val="24"/>
        </w:rPr>
        <w:t>.</w:t>
      </w:r>
      <w:r w:rsidR="00EE44AE">
        <w:rPr>
          <w:rFonts w:ascii="Times" w:hAnsi="Times" w:cs="Times"/>
          <w:noProof/>
          <w:sz w:val="20"/>
          <w:szCs w:val="24"/>
        </w:rPr>
        <w:t>R</w:t>
      </w:r>
      <w:r w:rsidR="00BC664D">
        <w:rPr>
          <w:rFonts w:ascii="Times" w:hAnsi="Times" w:cs="Times"/>
          <w:noProof/>
          <w:sz w:val="20"/>
          <w:szCs w:val="24"/>
        </w:rPr>
        <w:t>.</w:t>
      </w:r>
      <w:r w:rsidR="00EE44AE">
        <w:rPr>
          <w:rFonts w:ascii="Times" w:hAnsi="Times" w:cs="Times"/>
          <w:noProof/>
          <w:sz w:val="20"/>
          <w:szCs w:val="24"/>
        </w:rPr>
        <w:t xml:space="preserve">M </w:t>
      </w:r>
      <w:r w:rsidRPr="004E5420">
        <w:rPr>
          <w:rFonts w:ascii="Times" w:hAnsi="Times" w:cs="Times"/>
          <w:noProof/>
          <w:sz w:val="20"/>
          <w:szCs w:val="24"/>
        </w:rPr>
        <w:t>Sturt</w:t>
      </w:r>
      <w:r w:rsidR="00EE44AE">
        <w:rPr>
          <w:rFonts w:ascii="Times" w:hAnsi="Times" w:cs="Times"/>
          <w:noProof/>
          <w:sz w:val="20"/>
          <w:szCs w:val="24"/>
        </w:rPr>
        <w:t>; S.S.</w:t>
      </w:r>
      <w:r w:rsidRPr="004E5420">
        <w:rPr>
          <w:rFonts w:ascii="Times" w:hAnsi="Times" w:cs="Times"/>
          <w:noProof/>
          <w:sz w:val="20"/>
          <w:szCs w:val="24"/>
        </w:rPr>
        <w:t xml:space="preserve"> Vieira</w:t>
      </w:r>
      <w:r w:rsidR="00EE44AE">
        <w:rPr>
          <w:rFonts w:ascii="Times" w:hAnsi="Times" w:cs="Times"/>
          <w:noProof/>
          <w:sz w:val="20"/>
          <w:szCs w:val="24"/>
        </w:rPr>
        <w:t xml:space="preserve">; </w:t>
      </w:r>
      <w:r w:rsidR="00957394">
        <w:rPr>
          <w:rFonts w:ascii="Times" w:hAnsi="Times" w:cs="Times"/>
          <w:noProof/>
          <w:sz w:val="20"/>
          <w:szCs w:val="24"/>
        </w:rPr>
        <w:t>F.C.C</w:t>
      </w:r>
      <w:r w:rsidR="00EE44AE">
        <w:rPr>
          <w:rFonts w:ascii="Times" w:hAnsi="Times" w:cs="Times"/>
          <w:noProof/>
          <w:sz w:val="20"/>
          <w:szCs w:val="24"/>
        </w:rPr>
        <w:t>.</w:t>
      </w:r>
      <w:r w:rsidRPr="004E5420">
        <w:rPr>
          <w:rFonts w:ascii="Times" w:hAnsi="Times" w:cs="Times"/>
          <w:noProof/>
          <w:sz w:val="20"/>
          <w:szCs w:val="24"/>
        </w:rPr>
        <w:t xml:space="preserve"> Moura.</w:t>
      </w:r>
      <w:r w:rsidRPr="0057238B">
        <w:rPr>
          <w:rFonts w:ascii="Times" w:hAnsi="Times" w:cs="Times"/>
          <w:i/>
          <w:iCs/>
          <w:noProof/>
          <w:sz w:val="20"/>
          <w:szCs w:val="24"/>
        </w:rPr>
        <w:t xml:space="preserve"> Environ Chem Eng</w:t>
      </w:r>
      <w:r w:rsidRPr="004E5420">
        <w:rPr>
          <w:rFonts w:ascii="Times" w:hAnsi="Times" w:cs="Times"/>
          <w:noProof/>
          <w:sz w:val="20"/>
          <w:szCs w:val="24"/>
        </w:rPr>
        <w:t xml:space="preserve">. </w:t>
      </w:r>
      <w:r w:rsidRPr="0057238B">
        <w:rPr>
          <w:rFonts w:ascii="Times" w:hAnsi="Times" w:cs="Times"/>
          <w:b/>
          <w:bCs/>
          <w:noProof/>
          <w:sz w:val="20"/>
          <w:szCs w:val="24"/>
        </w:rPr>
        <w:t>2019</w:t>
      </w:r>
      <w:r w:rsidRPr="004E5420">
        <w:rPr>
          <w:rFonts w:ascii="Times" w:hAnsi="Times" w:cs="Times"/>
          <w:noProof/>
          <w:sz w:val="20"/>
          <w:szCs w:val="24"/>
        </w:rPr>
        <w:t>;7</w:t>
      </w:r>
      <w:r w:rsidR="0057238B">
        <w:rPr>
          <w:rFonts w:ascii="Times" w:hAnsi="Times" w:cs="Times"/>
          <w:noProof/>
          <w:sz w:val="20"/>
          <w:szCs w:val="24"/>
        </w:rPr>
        <w:t>; 102866</w:t>
      </w:r>
      <w:r w:rsidRPr="004E5420">
        <w:rPr>
          <w:rFonts w:ascii="Times" w:hAnsi="Times" w:cs="Times"/>
          <w:noProof/>
          <w:sz w:val="20"/>
          <w:szCs w:val="24"/>
        </w:rPr>
        <w:t xml:space="preserve">. </w:t>
      </w:r>
    </w:p>
    <w:p w14:paraId="21C78401" w14:textId="085295F4" w:rsidR="004E5420" w:rsidRPr="004E5420" w:rsidRDefault="004E5420" w:rsidP="00EE44AE">
      <w:pPr>
        <w:widowControl w:val="0"/>
        <w:autoSpaceDE w:val="0"/>
        <w:autoSpaceDN w:val="0"/>
        <w:adjustRightInd w:val="0"/>
        <w:spacing w:line="240" w:lineRule="auto"/>
        <w:ind w:left="357" w:hanging="357"/>
        <w:jc w:val="both"/>
        <w:rPr>
          <w:rFonts w:ascii="Times" w:hAnsi="Times" w:cs="Times"/>
          <w:noProof/>
          <w:sz w:val="20"/>
          <w:szCs w:val="24"/>
        </w:rPr>
      </w:pPr>
      <w:r w:rsidRPr="004E5420">
        <w:rPr>
          <w:rFonts w:ascii="Times" w:hAnsi="Times" w:cs="Times"/>
          <w:noProof/>
          <w:sz w:val="20"/>
          <w:szCs w:val="24"/>
        </w:rPr>
        <w:t xml:space="preserve">11. </w:t>
      </w:r>
      <w:r w:rsidRPr="004E5420">
        <w:rPr>
          <w:rFonts w:ascii="Times" w:hAnsi="Times" w:cs="Times"/>
          <w:noProof/>
          <w:sz w:val="20"/>
          <w:szCs w:val="24"/>
        </w:rPr>
        <w:tab/>
      </w:r>
      <w:r w:rsidR="00F41E62">
        <w:rPr>
          <w:rFonts w:ascii="Times" w:hAnsi="Times" w:cs="Times"/>
          <w:noProof/>
          <w:sz w:val="20"/>
          <w:szCs w:val="24"/>
        </w:rPr>
        <w:t xml:space="preserve">S.S. </w:t>
      </w:r>
      <w:r w:rsidRPr="004E5420">
        <w:rPr>
          <w:rFonts w:ascii="Times" w:hAnsi="Times" w:cs="Times"/>
          <w:noProof/>
          <w:sz w:val="20"/>
          <w:szCs w:val="24"/>
        </w:rPr>
        <w:t>Vieira</w:t>
      </w:r>
      <w:r w:rsidR="00F41E62">
        <w:rPr>
          <w:rFonts w:ascii="Times" w:hAnsi="Times" w:cs="Times"/>
          <w:noProof/>
          <w:sz w:val="20"/>
          <w:szCs w:val="24"/>
        </w:rPr>
        <w:t>; I.</w:t>
      </w:r>
      <w:r w:rsidRPr="004E5420">
        <w:rPr>
          <w:rFonts w:ascii="Times" w:hAnsi="Times" w:cs="Times"/>
          <w:noProof/>
          <w:sz w:val="20"/>
          <w:szCs w:val="24"/>
        </w:rPr>
        <w:t xml:space="preserve"> Graça</w:t>
      </w:r>
      <w:r w:rsidR="00F41E62">
        <w:rPr>
          <w:rFonts w:ascii="Times" w:hAnsi="Times" w:cs="Times"/>
          <w:noProof/>
          <w:sz w:val="20"/>
          <w:szCs w:val="24"/>
        </w:rPr>
        <w:t>; A.</w:t>
      </w:r>
      <w:r w:rsidRPr="004E5420">
        <w:rPr>
          <w:rFonts w:ascii="Times" w:hAnsi="Times" w:cs="Times"/>
          <w:noProof/>
          <w:sz w:val="20"/>
          <w:szCs w:val="24"/>
        </w:rPr>
        <w:t xml:space="preserve"> Fernandes</w:t>
      </w:r>
      <w:r w:rsidR="00F41E62">
        <w:rPr>
          <w:rFonts w:ascii="Times" w:hAnsi="Times" w:cs="Times"/>
          <w:noProof/>
          <w:sz w:val="20"/>
          <w:szCs w:val="24"/>
        </w:rPr>
        <w:t>; J.M.F.M.</w:t>
      </w:r>
      <w:r w:rsidRPr="004E5420">
        <w:rPr>
          <w:rFonts w:ascii="Times" w:hAnsi="Times" w:cs="Times"/>
          <w:noProof/>
          <w:sz w:val="20"/>
          <w:szCs w:val="24"/>
        </w:rPr>
        <w:t xml:space="preserve"> Lop</w:t>
      </w:r>
      <w:r w:rsidR="00F41E62">
        <w:rPr>
          <w:rFonts w:ascii="Times" w:hAnsi="Times" w:cs="Times"/>
          <w:noProof/>
          <w:sz w:val="20"/>
          <w:szCs w:val="24"/>
        </w:rPr>
        <w:t>es;</w:t>
      </w:r>
      <w:r w:rsidR="00430CA1">
        <w:rPr>
          <w:rFonts w:ascii="Times" w:hAnsi="Times" w:cs="Times"/>
          <w:noProof/>
          <w:sz w:val="20"/>
          <w:szCs w:val="24"/>
        </w:rPr>
        <w:t xml:space="preserve"> </w:t>
      </w:r>
      <w:r w:rsidR="00F41E62">
        <w:rPr>
          <w:rFonts w:ascii="Times" w:hAnsi="Times" w:cs="Times"/>
          <w:noProof/>
          <w:sz w:val="20"/>
          <w:szCs w:val="24"/>
        </w:rPr>
        <w:t xml:space="preserve">M.F. </w:t>
      </w:r>
      <w:r w:rsidR="00430CA1">
        <w:rPr>
          <w:rFonts w:ascii="Times" w:hAnsi="Times" w:cs="Times"/>
          <w:noProof/>
          <w:sz w:val="20"/>
          <w:szCs w:val="24"/>
        </w:rPr>
        <w:t>Ribeiro</w:t>
      </w:r>
      <w:r w:rsidR="00F41E62">
        <w:rPr>
          <w:rFonts w:ascii="Times" w:hAnsi="Times" w:cs="Times"/>
          <w:noProof/>
          <w:sz w:val="20"/>
          <w:szCs w:val="24"/>
        </w:rPr>
        <w:t>; Z.M.</w:t>
      </w:r>
      <w:r w:rsidR="00430CA1">
        <w:rPr>
          <w:rFonts w:ascii="Times" w:hAnsi="Times" w:cs="Times"/>
          <w:noProof/>
          <w:sz w:val="20"/>
          <w:szCs w:val="24"/>
        </w:rPr>
        <w:t xml:space="preserve"> Magriotis</w:t>
      </w:r>
      <w:r w:rsidRPr="004E5420">
        <w:rPr>
          <w:rFonts w:ascii="Times" w:hAnsi="Times" w:cs="Times"/>
          <w:noProof/>
          <w:sz w:val="20"/>
          <w:szCs w:val="24"/>
        </w:rPr>
        <w:t xml:space="preserve">. </w:t>
      </w:r>
      <w:r w:rsidRPr="0057238B">
        <w:rPr>
          <w:rFonts w:ascii="Times" w:hAnsi="Times" w:cs="Times"/>
          <w:i/>
          <w:iCs/>
          <w:noProof/>
          <w:sz w:val="20"/>
          <w:szCs w:val="24"/>
        </w:rPr>
        <w:t>Microporous Mesoporous Mater</w:t>
      </w:r>
      <w:r w:rsidRPr="004E5420">
        <w:rPr>
          <w:rFonts w:ascii="Times" w:hAnsi="Times" w:cs="Times"/>
          <w:noProof/>
          <w:sz w:val="20"/>
          <w:szCs w:val="24"/>
        </w:rPr>
        <w:t xml:space="preserve">. </w:t>
      </w:r>
      <w:r w:rsidRPr="00430CA1">
        <w:rPr>
          <w:rFonts w:ascii="Times" w:hAnsi="Times" w:cs="Times"/>
          <w:b/>
          <w:bCs/>
          <w:noProof/>
          <w:sz w:val="20"/>
          <w:szCs w:val="24"/>
        </w:rPr>
        <w:t>2018</w:t>
      </w:r>
      <w:r w:rsidRPr="004E5420">
        <w:rPr>
          <w:rFonts w:ascii="Times" w:hAnsi="Times" w:cs="Times"/>
          <w:noProof/>
          <w:sz w:val="20"/>
          <w:szCs w:val="24"/>
        </w:rPr>
        <w:t>;</w:t>
      </w:r>
      <w:r w:rsidR="0057238B">
        <w:rPr>
          <w:rFonts w:ascii="Times" w:hAnsi="Times" w:cs="Times"/>
          <w:noProof/>
          <w:sz w:val="20"/>
          <w:szCs w:val="24"/>
        </w:rPr>
        <w:t xml:space="preserve"> </w:t>
      </w:r>
      <w:r w:rsidRPr="004E5420">
        <w:rPr>
          <w:rFonts w:ascii="Times" w:hAnsi="Times" w:cs="Times"/>
          <w:noProof/>
          <w:sz w:val="20"/>
          <w:szCs w:val="24"/>
        </w:rPr>
        <w:t>270</w:t>
      </w:r>
      <w:r w:rsidR="0057238B">
        <w:rPr>
          <w:rFonts w:ascii="Times" w:hAnsi="Times" w:cs="Times"/>
          <w:noProof/>
          <w:sz w:val="20"/>
          <w:szCs w:val="24"/>
        </w:rPr>
        <w:t xml:space="preserve">; </w:t>
      </w:r>
      <w:r w:rsidRPr="004E5420">
        <w:rPr>
          <w:rFonts w:ascii="Times" w:hAnsi="Times" w:cs="Times"/>
          <w:noProof/>
          <w:sz w:val="20"/>
          <w:szCs w:val="24"/>
        </w:rPr>
        <w:t xml:space="preserve">189–99. </w:t>
      </w:r>
    </w:p>
    <w:p w14:paraId="7E1FD88D" w14:textId="028F837D" w:rsidR="004E5420" w:rsidRPr="00C56443" w:rsidRDefault="004E5420" w:rsidP="00F41E62">
      <w:pPr>
        <w:widowControl w:val="0"/>
        <w:autoSpaceDE w:val="0"/>
        <w:autoSpaceDN w:val="0"/>
        <w:adjustRightInd w:val="0"/>
        <w:spacing w:line="240" w:lineRule="auto"/>
        <w:ind w:left="357" w:hanging="357"/>
        <w:jc w:val="both"/>
        <w:rPr>
          <w:rFonts w:ascii="Times" w:hAnsi="Times" w:cs="Times"/>
          <w:noProof/>
          <w:sz w:val="20"/>
          <w:szCs w:val="24"/>
          <w:lang w:val="en-US"/>
        </w:rPr>
      </w:pPr>
      <w:r w:rsidRPr="004E5420">
        <w:rPr>
          <w:rFonts w:ascii="Times" w:hAnsi="Times" w:cs="Times"/>
          <w:noProof/>
          <w:sz w:val="20"/>
          <w:szCs w:val="24"/>
        </w:rPr>
        <w:t xml:space="preserve">12. </w:t>
      </w:r>
      <w:r w:rsidRPr="004E5420">
        <w:rPr>
          <w:rFonts w:ascii="Times" w:hAnsi="Times" w:cs="Times"/>
          <w:noProof/>
          <w:sz w:val="20"/>
          <w:szCs w:val="24"/>
        </w:rPr>
        <w:tab/>
      </w:r>
      <w:r w:rsidR="00F41E62">
        <w:rPr>
          <w:rFonts w:ascii="Times" w:hAnsi="Times" w:cs="Times"/>
          <w:noProof/>
          <w:sz w:val="20"/>
          <w:szCs w:val="24"/>
        </w:rPr>
        <w:t xml:space="preserve">K. </w:t>
      </w:r>
      <w:r w:rsidRPr="004E5420">
        <w:rPr>
          <w:rFonts w:ascii="Times" w:hAnsi="Times" w:cs="Times"/>
          <w:noProof/>
          <w:sz w:val="20"/>
          <w:szCs w:val="24"/>
        </w:rPr>
        <w:t>Barbera</w:t>
      </w:r>
      <w:r w:rsidR="00F41E62">
        <w:rPr>
          <w:rFonts w:ascii="Times" w:hAnsi="Times" w:cs="Times"/>
          <w:noProof/>
          <w:sz w:val="20"/>
          <w:szCs w:val="24"/>
        </w:rPr>
        <w:t>; P.</w:t>
      </w:r>
      <w:r w:rsidRPr="004E5420">
        <w:rPr>
          <w:rFonts w:ascii="Times" w:hAnsi="Times" w:cs="Times"/>
          <w:noProof/>
          <w:sz w:val="20"/>
          <w:szCs w:val="24"/>
        </w:rPr>
        <w:t xml:space="preserve"> Lanzafame</w:t>
      </w:r>
      <w:r w:rsidR="00F41E62">
        <w:rPr>
          <w:rFonts w:ascii="Times" w:hAnsi="Times" w:cs="Times"/>
          <w:noProof/>
          <w:sz w:val="20"/>
          <w:szCs w:val="24"/>
        </w:rPr>
        <w:t>; A.</w:t>
      </w:r>
      <w:r w:rsidRPr="004E5420">
        <w:rPr>
          <w:rFonts w:ascii="Times" w:hAnsi="Times" w:cs="Times"/>
          <w:noProof/>
          <w:sz w:val="20"/>
          <w:szCs w:val="24"/>
        </w:rPr>
        <w:t xml:space="preserve"> Pistone</w:t>
      </w:r>
      <w:r w:rsidR="00F41E62">
        <w:rPr>
          <w:rFonts w:ascii="Times" w:hAnsi="Times" w:cs="Times"/>
          <w:noProof/>
          <w:sz w:val="20"/>
          <w:szCs w:val="24"/>
        </w:rPr>
        <w:t>; S.</w:t>
      </w:r>
      <w:r w:rsidRPr="004E5420">
        <w:rPr>
          <w:rFonts w:ascii="Times" w:hAnsi="Times" w:cs="Times"/>
          <w:noProof/>
          <w:sz w:val="20"/>
          <w:szCs w:val="24"/>
        </w:rPr>
        <w:t xml:space="preserve"> Millesi</w:t>
      </w:r>
      <w:r w:rsidR="00F41E62">
        <w:rPr>
          <w:rFonts w:ascii="Times" w:hAnsi="Times" w:cs="Times"/>
          <w:noProof/>
          <w:sz w:val="20"/>
          <w:szCs w:val="24"/>
        </w:rPr>
        <w:t>;</w:t>
      </w:r>
      <w:r w:rsidRPr="004E5420">
        <w:rPr>
          <w:rFonts w:ascii="Times" w:hAnsi="Times" w:cs="Times"/>
          <w:noProof/>
          <w:sz w:val="20"/>
          <w:szCs w:val="24"/>
        </w:rPr>
        <w:t xml:space="preserve"> </w:t>
      </w:r>
      <w:r w:rsidR="00F41E62">
        <w:rPr>
          <w:rFonts w:ascii="Times" w:hAnsi="Times" w:cs="Times"/>
          <w:noProof/>
          <w:sz w:val="20"/>
          <w:szCs w:val="24"/>
        </w:rPr>
        <w:t xml:space="preserve">G. </w:t>
      </w:r>
      <w:r w:rsidRPr="004E5420">
        <w:rPr>
          <w:rFonts w:ascii="Times" w:hAnsi="Times" w:cs="Times"/>
          <w:noProof/>
          <w:sz w:val="20"/>
          <w:szCs w:val="24"/>
        </w:rPr>
        <w:t>Malandrino</w:t>
      </w:r>
      <w:r w:rsidR="00F41E62">
        <w:rPr>
          <w:rFonts w:ascii="Times" w:hAnsi="Times" w:cs="Times"/>
          <w:noProof/>
          <w:sz w:val="20"/>
          <w:szCs w:val="24"/>
        </w:rPr>
        <w:t>; A.</w:t>
      </w:r>
      <w:r w:rsidRPr="004E5420">
        <w:rPr>
          <w:rFonts w:ascii="Times" w:hAnsi="Times" w:cs="Times"/>
          <w:noProof/>
          <w:sz w:val="20"/>
          <w:szCs w:val="24"/>
        </w:rPr>
        <w:t xml:space="preserve"> Gulino</w:t>
      </w:r>
      <w:r w:rsidR="00F41E62">
        <w:rPr>
          <w:rFonts w:ascii="Times" w:hAnsi="Times" w:cs="Times"/>
          <w:noProof/>
          <w:sz w:val="20"/>
          <w:szCs w:val="24"/>
        </w:rPr>
        <w:t>; S. Perathoner; G. Centi.</w:t>
      </w:r>
      <w:r w:rsidRPr="004E5420">
        <w:rPr>
          <w:rFonts w:ascii="Times" w:hAnsi="Times" w:cs="Times"/>
          <w:noProof/>
          <w:sz w:val="20"/>
          <w:szCs w:val="24"/>
        </w:rPr>
        <w:t xml:space="preserve"> </w:t>
      </w:r>
      <w:r w:rsidRPr="00F41E62">
        <w:rPr>
          <w:rFonts w:ascii="Times" w:hAnsi="Times" w:cs="Times"/>
          <w:i/>
          <w:iCs/>
          <w:noProof/>
          <w:sz w:val="20"/>
          <w:szCs w:val="24"/>
        </w:rPr>
        <w:t>J Catal</w:t>
      </w:r>
      <w:r w:rsidRPr="004E5420">
        <w:rPr>
          <w:rFonts w:ascii="Times" w:hAnsi="Times" w:cs="Times"/>
          <w:noProof/>
          <w:sz w:val="20"/>
          <w:szCs w:val="24"/>
        </w:rPr>
        <w:t xml:space="preserve">. </w:t>
      </w:r>
      <w:r w:rsidRPr="00C56443">
        <w:rPr>
          <w:rFonts w:ascii="Times" w:hAnsi="Times" w:cs="Times"/>
          <w:b/>
          <w:bCs/>
          <w:noProof/>
          <w:sz w:val="20"/>
          <w:szCs w:val="24"/>
          <w:lang w:val="en-US"/>
        </w:rPr>
        <w:t>2015</w:t>
      </w:r>
      <w:r w:rsidRPr="00C56443">
        <w:rPr>
          <w:rFonts w:ascii="Times" w:hAnsi="Times" w:cs="Times"/>
          <w:noProof/>
          <w:sz w:val="20"/>
          <w:szCs w:val="24"/>
          <w:lang w:val="en-US"/>
        </w:rPr>
        <w:t>;323:19–32.</w:t>
      </w:r>
    </w:p>
    <w:p w14:paraId="26C39049" w14:textId="6E6B8A1C" w:rsidR="004E5420" w:rsidRPr="004E5420" w:rsidRDefault="004E5420" w:rsidP="00F41E62">
      <w:pPr>
        <w:widowControl w:val="0"/>
        <w:autoSpaceDE w:val="0"/>
        <w:autoSpaceDN w:val="0"/>
        <w:adjustRightInd w:val="0"/>
        <w:spacing w:line="240" w:lineRule="auto"/>
        <w:ind w:left="357" w:hanging="357"/>
        <w:jc w:val="both"/>
        <w:rPr>
          <w:rFonts w:ascii="Times" w:hAnsi="Times" w:cs="Times"/>
          <w:noProof/>
          <w:sz w:val="20"/>
          <w:szCs w:val="24"/>
        </w:rPr>
      </w:pPr>
      <w:r w:rsidRPr="00C56443">
        <w:rPr>
          <w:rFonts w:ascii="Times" w:hAnsi="Times" w:cs="Times"/>
          <w:noProof/>
          <w:sz w:val="20"/>
          <w:szCs w:val="24"/>
          <w:lang w:val="en-US"/>
        </w:rPr>
        <w:t xml:space="preserve">13. </w:t>
      </w:r>
      <w:r w:rsidRPr="00C56443">
        <w:rPr>
          <w:rFonts w:ascii="Times" w:hAnsi="Times" w:cs="Times"/>
          <w:noProof/>
          <w:sz w:val="20"/>
          <w:szCs w:val="24"/>
          <w:lang w:val="en-US"/>
        </w:rPr>
        <w:tab/>
      </w:r>
      <w:r w:rsidR="00F41E62" w:rsidRPr="00F41E62">
        <w:rPr>
          <w:rFonts w:ascii="Times" w:hAnsi="Times" w:cs="Times"/>
          <w:noProof/>
          <w:sz w:val="20"/>
          <w:szCs w:val="24"/>
          <w:lang w:val="en-US"/>
        </w:rPr>
        <w:t xml:space="preserve">H. </w:t>
      </w:r>
      <w:r w:rsidRPr="00F41E62">
        <w:rPr>
          <w:rFonts w:ascii="Times" w:hAnsi="Times" w:cs="Times"/>
          <w:noProof/>
          <w:sz w:val="20"/>
          <w:szCs w:val="24"/>
          <w:lang w:val="en-US"/>
        </w:rPr>
        <w:t>Song</w:t>
      </w:r>
      <w:r w:rsidR="00F41E62" w:rsidRPr="00F41E62">
        <w:rPr>
          <w:rFonts w:ascii="Times" w:hAnsi="Times" w:cs="Times"/>
          <w:noProof/>
          <w:sz w:val="20"/>
          <w:szCs w:val="24"/>
          <w:lang w:val="en-US"/>
        </w:rPr>
        <w:t>; R.M.</w:t>
      </w:r>
      <w:r w:rsidRPr="00F41E62">
        <w:rPr>
          <w:rFonts w:ascii="Times" w:hAnsi="Times" w:cs="Times"/>
          <w:noProof/>
          <w:sz w:val="20"/>
          <w:szCs w:val="24"/>
          <w:lang w:val="en-US"/>
        </w:rPr>
        <w:t xml:space="preserve"> Rioux</w:t>
      </w:r>
      <w:r w:rsidR="00F41E62" w:rsidRPr="00F41E62">
        <w:rPr>
          <w:rFonts w:ascii="Times" w:hAnsi="Times" w:cs="Times"/>
          <w:noProof/>
          <w:sz w:val="20"/>
          <w:szCs w:val="24"/>
          <w:lang w:val="en-US"/>
        </w:rPr>
        <w:t>; J.D.</w:t>
      </w:r>
      <w:r w:rsidRPr="00F41E62">
        <w:rPr>
          <w:rFonts w:ascii="Times" w:hAnsi="Times" w:cs="Times"/>
          <w:noProof/>
          <w:sz w:val="20"/>
          <w:szCs w:val="24"/>
          <w:lang w:val="en-US"/>
        </w:rPr>
        <w:t xml:space="preserve"> Hoefelmeyer</w:t>
      </w:r>
      <w:r w:rsidR="00F41E62">
        <w:rPr>
          <w:rFonts w:ascii="Times" w:hAnsi="Times" w:cs="Times"/>
          <w:noProof/>
          <w:sz w:val="20"/>
          <w:szCs w:val="24"/>
          <w:lang w:val="en-US"/>
        </w:rPr>
        <w:t>; R.</w:t>
      </w:r>
      <w:r w:rsidRPr="00F41E62">
        <w:rPr>
          <w:rFonts w:ascii="Times" w:hAnsi="Times" w:cs="Times"/>
          <w:noProof/>
          <w:sz w:val="20"/>
          <w:szCs w:val="24"/>
          <w:lang w:val="en-US"/>
        </w:rPr>
        <w:t xml:space="preserve"> Komor</w:t>
      </w:r>
      <w:r w:rsidR="00F41E62">
        <w:rPr>
          <w:rFonts w:ascii="Times" w:hAnsi="Times" w:cs="Times"/>
          <w:noProof/>
          <w:sz w:val="20"/>
          <w:szCs w:val="24"/>
          <w:lang w:val="en-US"/>
        </w:rPr>
        <w:t>;</w:t>
      </w:r>
      <w:r w:rsidRPr="00F41E62">
        <w:rPr>
          <w:rFonts w:ascii="Times" w:hAnsi="Times" w:cs="Times"/>
          <w:noProof/>
          <w:sz w:val="20"/>
          <w:szCs w:val="24"/>
          <w:lang w:val="en-US"/>
        </w:rPr>
        <w:t xml:space="preserve"> </w:t>
      </w:r>
      <w:r w:rsidR="00F41E62">
        <w:rPr>
          <w:rFonts w:ascii="Times" w:hAnsi="Times" w:cs="Times"/>
          <w:noProof/>
          <w:sz w:val="20"/>
          <w:szCs w:val="24"/>
          <w:lang w:val="en-US"/>
        </w:rPr>
        <w:t xml:space="preserve">K. </w:t>
      </w:r>
      <w:r w:rsidRPr="00F41E62">
        <w:rPr>
          <w:rFonts w:ascii="Times" w:hAnsi="Times" w:cs="Times"/>
          <w:noProof/>
          <w:sz w:val="20"/>
          <w:szCs w:val="24"/>
          <w:lang w:val="en-US"/>
        </w:rPr>
        <w:t>Niesz</w:t>
      </w:r>
      <w:r w:rsidR="00F41E62">
        <w:rPr>
          <w:rFonts w:ascii="Times" w:hAnsi="Times" w:cs="Times"/>
          <w:noProof/>
          <w:sz w:val="20"/>
          <w:szCs w:val="24"/>
          <w:lang w:val="en-US"/>
        </w:rPr>
        <w:t>; M.</w:t>
      </w:r>
      <w:r w:rsidRPr="00F41E62">
        <w:rPr>
          <w:rFonts w:ascii="Times" w:hAnsi="Times" w:cs="Times"/>
          <w:noProof/>
          <w:sz w:val="20"/>
          <w:szCs w:val="24"/>
          <w:lang w:val="en-US"/>
        </w:rPr>
        <w:t xml:space="preserve"> Grass</w:t>
      </w:r>
      <w:r w:rsidR="00F41E62">
        <w:rPr>
          <w:rFonts w:ascii="Times" w:hAnsi="Times" w:cs="Times"/>
          <w:noProof/>
          <w:sz w:val="20"/>
          <w:szCs w:val="24"/>
          <w:lang w:val="en-US"/>
        </w:rPr>
        <w:t>;</w:t>
      </w:r>
      <w:r w:rsidRPr="00F41E62">
        <w:rPr>
          <w:rFonts w:ascii="Times" w:hAnsi="Times" w:cs="Times"/>
          <w:noProof/>
          <w:sz w:val="20"/>
          <w:szCs w:val="24"/>
          <w:lang w:val="en-US"/>
        </w:rPr>
        <w:t xml:space="preserve"> et al. </w:t>
      </w:r>
      <w:r w:rsidRPr="00F41E62">
        <w:rPr>
          <w:rFonts w:ascii="Times" w:hAnsi="Times" w:cs="Times"/>
          <w:i/>
          <w:iCs/>
          <w:noProof/>
          <w:sz w:val="20"/>
          <w:szCs w:val="24"/>
        </w:rPr>
        <w:t>J Am Chem Soc</w:t>
      </w:r>
      <w:r w:rsidRPr="004E5420">
        <w:rPr>
          <w:rFonts w:ascii="Times" w:hAnsi="Times" w:cs="Times"/>
          <w:noProof/>
          <w:sz w:val="20"/>
          <w:szCs w:val="24"/>
        </w:rPr>
        <w:t>.</w:t>
      </w:r>
      <w:r w:rsidRPr="00F41E62">
        <w:rPr>
          <w:rFonts w:ascii="Times" w:hAnsi="Times" w:cs="Times"/>
          <w:b/>
          <w:bCs/>
          <w:noProof/>
          <w:sz w:val="20"/>
          <w:szCs w:val="24"/>
        </w:rPr>
        <w:t xml:space="preserve"> 2006</w:t>
      </w:r>
      <w:r w:rsidRPr="004E5420">
        <w:rPr>
          <w:rFonts w:ascii="Times" w:hAnsi="Times" w:cs="Times"/>
          <w:noProof/>
          <w:sz w:val="20"/>
          <w:szCs w:val="24"/>
        </w:rPr>
        <w:t>;128</w:t>
      </w:r>
      <w:r w:rsidR="00F41E62">
        <w:rPr>
          <w:rFonts w:ascii="Times" w:hAnsi="Times" w:cs="Times"/>
          <w:noProof/>
          <w:sz w:val="20"/>
          <w:szCs w:val="24"/>
        </w:rPr>
        <w:t>;</w:t>
      </w:r>
      <w:r w:rsidRPr="004E5420">
        <w:rPr>
          <w:rFonts w:ascii="Times" w:hAnsi="Times" w:cs="Times"/>
          <w:noProof/>
          <w:sz w:val="20"/>
          <w:szCs w:val="24"/>
        </w:rPr>
        <w:t xml:space="preserve">3027–37. </w:t>
      </w:r>
    </w:p>
    <w:p w14:paraId="37830C1F" w14:textId="4682E243" w:rsidR="004E5420" w:rsidRPr="004E5420" w:rsidRDefault="004E5420" w:rsidP="00F41E62">
      <w:pPr>
        <w:widowControl w:val="0"/>
        <w:autoSpaceDE w:val="0"/>
        <w:autoSpaceDN w:val="0"/>
        <w:adjustRightInd w:val="0"/>
        <w:spacing w:line="240" w:lineRule="auto"/>
        <w:ind w:left="357" w:hanging="357"/>
        <w:jc w:val="both"/>
        <w:rPr>
          <w:rFonts w:ascii="Times" w:hAnsi="Times" w:cs="Times"/>
          <w:noProof/>
          <w:sz w:val="20"/>
          <w:szCs w:val="24"/>
        </w:rPr>
      </w:pPr>
      <w:r w:rsidRPr="004E5420">
        <w:rPr>
          <w:rFonts w:ascii="Times" w:hAnsi="Times" w:cs="Times"/>
          <w:noProof/>
          <w:sz w:val="20"/>
          <w:szCs w:val="24"/>
        </w:rPr>
        <w:t xml:space="preserve">14. </w:t>
      </w:r>
      <w:r w:rsidRPr="004E5420">
        <w:rPr>
          <w:rFonts w:ascii="Times" w:hAnsi="Times" w:cs="Times"/>
          <w:noProof/>
          <w:sz w:val="20"/>
          <w:szCs w:val="24"/>
        </w:rPr>
        <w:tab/>
      </w:r>
      <w:r w:rsidR="00F41E62">
        <w:rPr>
          <w:rFonts w:ascii="Times" w:hAnsi="Times" w:cs="Times"/>
          <w:noProof/>
          <w:sz w:val="20"/>
          <w:szCs w:val="24"/>
        </w:rPr>
        <w:t xml:space="preserve">R.U. </w:t>
      </w:r>
      <w:r w:rsidRPr="004E5420">
        <w:rPr>
          <w:rFonts w:ascii="Times" w:hAnsi="Times" w:cs="Times"/>
          <w:noProof/>
          <w:sz w:val="20"/>
          <w:szCs w:val="24"/>
        </w:rPr>
        <w:t>Ribeiro</w:t>
      </w:r>
      <w:r w:rsidR="00F41E62">
        <w:rPr>
          <w:rFonts w:ascii="Times" w:hAnsi="Times" w:cs="Times"/>
          <w:noProof/>
          <w:sz w:val="20"/>
          <w:szCs w:val="24"/>
        </w:rPr>
        <w:t>; M.D.</w:t>
      </w:r>
      <w:r w:rsidRPr="004E5420">
        <w:rPr>
          <w:rFonts w:ascii="Times" w:hAnsi="Times" w:cs="Times"/>
          <w:noProof/>
          <w:sz w:val="20"/>
          <w:szCs w:val="24"/>
        </w:rPr>
        <w:t xml:space="preserve"> Meira</w:t>
      </w:r>
      <w:r w:rsidR="00F41E62">
        <w:rPr>
          <w:rFonts w:ascii="Times" w:hAnsi="Times" w:cs="Times"/>
          <w:noProof/>
          <w:sz w:val="20"/>
          <w:szCs w:val="24"/>
        </w:rPr>
        <w:t>; C.B.</w:t>
      </w:r>
      <w:r w:rsidRPr="004E5420">
        <w:rPr>
          <w:rFonts w:ascii="Times" w:hAnsi="Times" w:cs="Times"/>
          <w:noProof/>
          <w:sz w:val="20"/>
          <w:szCs w:val="24"/>
        </w:rPr>
        <w:t xml:space="preserve"> Rodella</w:t>
      </w:r>
      <w:r w:rsidR="00F41E62">
        <w:rPr>
          <w:rFonts w:ascii="Times" w:hAnsi="Times" w:cs="Times"/>
          <w:noProof/>
          <w:sz w:val="20"/>
          <w:szCs w:val="24"/>
        </w:rPr>
        <w:t>; D.C.</w:t>
      </w:r>
      <w:r w:rsidRPr="004E5420">
        <w:rPr>
          <w:rFonts w:ascii="Times" w:hAnsi="Times" w:cs="Times"/>
          <w:noProof/>
          <w:sz w:val="20"/>
          <w:szCs w:val="24"/>
        </w:rPr>
        <w:t xml:space="preserve"> Oliveira</w:t>
      </w:r>
      <w:r w:rsidR="00F41E62">
        <w:rPr>
          <w:rFonts w:ascii="Times" w:hAnsi="Times" w:cs="Times"/>
          <w:noProof/>
          <w:sz w:val="20"/>
          <w:szCs w:val="24"/>
        </w:rPr>
        <w:t>; J.M.C.</w:t>
      </w:r>
      <w:r w:rsidRPr="004E5420">
        <w:rPr>
          <w:rFonts w:ascii="Times" w:hAnsi="Times" w:cs="Times"/>
          <w:noProof/>
          <w:sz w:val="20"/>
          <w:szCs w:val="24"/>
        </w:rPr>
        <w:t xml:space="preserve"> Bueno</w:t>
      </w:r>
      <w:r w:rsidR="00F41E62">
        <w:rPr>
          <w:rFonts w:ascii="Times" w:hAnsi="Times" w:cs="Times"/>
          <w:noProof/>
          <w:sz w:val="20"/>
          <w:szCs w:val="24"/>
        </w:rPr>
        <w:t>; D.</w:t>
      </w:r>
      <w:r w:rsidRPr="004E5420">
        <w:rPr>
          <w:rFonts w:ascii="Times" w:hAnsi="Times" w:cs="Times"/>
          <w:noProof/>
          <w:sz w:val="20"/>
          <w:szCs w:val="24"/>
        </w:rPr>
        <w:t xml:space="preserve"> Zanchet. </w:t>
      </w:r>
      <w:r w:rsidRPr="00F41E62">
        <w:rPr>
          <w:rFonts w:ascii="Times" w:hAnsi="Times" w:cs="Times"/>
          <w:i/>
          <w:iCs/>
          <w:noProof/>
          <w:sz w:val="20"/>
          <w:szCs w:val="24"/>
        </w:rPr>
        <w:t>Appl Catal A Gen</w:t>
      </w:r>
      <w:r w:rsidRPr="004E5420">
        <w:rPr>
          <w:rFonts w:ascii="Times" w:hAnsi="Times" w:cs="Times"/>
          <w:noProof/>
          <w:sz w:val="20"/>
          <w:szCs w:val="24"/>
        </w:rPr>
        <w:t xml:space="preserve">. </w:t>
      </w:r>
      <w:r w:rsidRPr="00F41E62">
        <w:rPr>
          <w:rFonts w:ascii="Times" w:hAnsi="Times" w:cs="Times"/>
          <w:b/>
          <w:bCs/>
          <w:noProof/>
          <w:sz w:val="20"/>
          <w:szCs w:val="24"/>
        </w:rPr>
        <w:t>2014</w:t>
      </w:r>
      <w:r w:rsidRPr="004E5420">
        <w:rPr>
          <w:rFonts w:ascii="Times" w:hAnsi="Times" w:cs="Times"/>
          <w:noProof/>
          <w:sz w:val="20"/>
          <w:szCs w:val="24"/>
        </w:rPr>
        <w:t>;485</w:t>
      </w:r>
      <w:r w:rsidR="00F41E62">
        <w:rPr>
          <w:rFonts w:ascii="Times" w:hAnsi="Times" w:cs="Times"/>
          <w:noProof/>
          <w:sz w:val="20"/>
          <w:szCs w:val="24"/>
        </w:rPr>
        <w:t>;</w:t>
      </w:r>
      <w:r w:rsidRPr="004E5420">
        <w:rPr>
          <w:rFonts w:ascii="Times" w:hAnsi="Times" w:cs="Times"/>
          <w:noProof/>
          <w:sz w:val="20"/>
          <w:szCs w:val="24"/>
        </w:rPr>
        <w:t xml:space="preserve">108–17. </w:t>
      </w:r>
    </w:p>
    <w:p w14:paraId="3974E5AB" w14:textId="3DB7CE90" w:rsidR="004E5420" w:rsidRPr="004E5420" w:rsidRDefault="004E5420" w:rsidP="00F41E62">
      <w:pPr>
        <w:widowControl w:val="0"/>
        <w:autoSpaceDE w:val="0"/>
        <w:autoSpaceDN w:val="0"/>
        <w:adjustRightInd w:val="0"/>
        <w:spacing w:line="240" w:lineRule="auto"/>
        <w:ind w:left="357" w:hanging="357"/>
        <w:jc w:val="both"/>
        <w:rPr>
          <w:rFonts w:ascii="Times" w:hAnsi="Times" w:cs="Times"/>
          <w:noProof/>
          <w:sz w:val="20"/>
          <w:szCs w:val="24"/>
        </w:rPr>
      </w:pPr>
      <w:r w:rsidRPr="004E5420">
        <w:rPr>
          <w:rFonts w:ascii="Times" w:hAnsi="Times" w:cs="Times"/>
          <w:noProof/>
          <w:sz w:val="20"/>
          <w:szCs w:val="24"/>
        </w:rPr>
        <w:t xml:space="preserve">15. </w:t>
      </w:r>
      <w:r w:rsidRPr="004E5420">
        <w:rPr>
          <w:rFonts w:ascii="Times" w:hAnsi="Times" w:cs="Times"/>
          <w:noProof/>
          <w:sz w:val="20"/>
          <w:szCs w:val="24"/>
        </w:rPr>
        <w:tab/>
      </w:r>
      <w:r w:rsidR="00F41E62">
        <w:rPr>
          <w:rFonts w:ascii="Times" w:hAnsi="Times" w:cs="Times"/>
          <w:noProof/>
          <w:sz w:val="20"/>
          <w:szCs w:val="24"/>
        </w:rPr>
        <w:t xml:space="preserve">M. </w:t>
      </w:r>
      <w:r w:rsidRPr="004E5420">
        <w:rPr>
          <w:rFonts w:ascii="Times" w:hAnsi="Times" w:cs="Times"/>
          <w:noProof/>
          <w:sz w:val="20"/>
          <w:szCs w:val="24"/>
        </w:rPr>
        <w:t>Tamura</w:t>
      </w:r>
      <w:r w:rsidR="00F41E62">
        <w:rPr>
          <w:rFonts w:ascii="Times" w:hAnsi="Times" w:cs="Times"/>
          <w:noProof/>
          <w:sz w:val="20"/>
          <w:szCs w:val="24"/>
        </w:rPr>
        <w:t>; K.I.</w:t>
      </w:r>
      <w:r w:rsidRPr="004E5420">
        <w:rPr>
          <w:rFonts w:ascii="Times" w:hAnsi="Times" w:cs="Times"/>
          <w:noProof/>
          <w:sz w:val="20"/>
          <w:szCs w:val="24"/>
        </w:rPr>
        <w:t xml:space="preserve"> Shimizu</w:t>
      </w:r>
      <w:r w:rsidR="00F41E62">
        <w:rPr>
          <w:rFonts w:ascii="Times" w:hAnsi="Times" w:cs="Times"/>
          <w:noProof/>
          <w:sz w:val="20"/>
          <w:szCs w:val="24"/>
        </w:rPr>
        <w:t>; A.</w:t>
      </w:r>
      <w:r w:rsidRPr="004E5420">
        <w:rPr>
          <w:rFonts w:ascii="Times" w:hAnsi="Times" w:cs="Times"/>
          <w:noProof/>
          <w:sz w:val="20"/>
          <w:szCs w:val="24"/>
        </w:rPr>
        <w:t xml:space="preserve"> Satsuma. </w:t>
      </w:r>
      <w:r w:rsidRPr="00F41E62">
        <w:rPr>
          <w:rFonts w:ascii="Times" w:hAnsi="Times" w:cs="Times"/>
          <w:i/>
          <w:iCs/>
          <w:noProof/>
          <w:sz w:val="20"/>
          <w:szCs w:val="24"/>
        </w:rPr>
        <w:t>Appl Catal A Gen</w:t>
      </w:r>
      <w:r w:rsidRPr="004E5420">
        <w:rPr>
          <w:rFonts w:ascii="Times" w:hAnsi="Times" w:cs="Times"/>
          <w:noProof/>
          <w:sz w:val="20"/>
          <w:szCs w:val="24"/>
        </w:rPr>
        <w:t xml:space="preserve">. </w:t>
      </w:r>
      <w:r w:rsidRPr="00F41E62">
        <w:rPr>
          <w:rFonts w:ascii="Times" w:hAnsi="Times" w:cs="Times"/>
          <w:b/>
          <w:bCs/>
          <w:noProof/>
          <w:sz w:val="20"/>
          <w:szCs w:val="24"/>
        </w:rPr>
        <w:t>2012</w:t>
      </w:r>
      <w:r w:rsidRPr="004E5420">
        <w:rPr>
          <w:rFonts w:ascii="Times" w:hAnsi="Times" w:cs="Times"/>
          <w:noProof/>
          <w:sz w:val="20"/>
          <w:szCs w:val="24"/>
        </w:rPr>
        <w:t xml:space="preserve">;433–434:135–45. </w:t>
      </w:r>
    </w:p>
    <w:p w14:paraId="549B93E2" w14:textId="52A7BC61" w:rsidR="004E5420" w:rsidRPr="00C56443" w:rsidRDefault="004E5420" w:rsidP="00D63FBE">
      <w:pPr>
        <w:widowControl w:val="0"/>
        <w:autoSpaceDE w:val="0"/>
        <w:autoSpaceDN w:val="0"/>
        <w:adjustRightInd w:val="0"/>
        <w:spacing w:line="240" w:lineRule="auto"/>
        <w:ind w:left="357" w:hanging="357"/>
        <w:jc w:val="both"/>
        <w:rPr>
          <w:rFonts w:ascii="Times" w:hAnsi="Times" w:cs="Times"/>
          <w:noProof/>
          <w:sz w:val="20"/>
          <w:szCs w:val="24"/>
          <w:lang w:val="en-US"/>
        </w:rPr>
      </w:pPr>
      <w:r w:rsidRPr="004E5420">
        <w:rPr>
          <w:rFonts w:ascii="Times" w:hAnsi="Times" w:cs="Times"/>
          <w:noProof/>
          <w:sz w:val="20"/>
          <w:szCs w:val="24"/>
        </w:rPr>
        <w:t xml:space="preserve">16. </w:t>
      </w:r>
      <w:r w:rsidRPr="004E5420">
        <w:rPr>
          <w:rFonts w:ascii="Times" w:hAnsi="Times" w:cs="Times"/>
          <w:noProof/>
          <w:sz w:val="20"/>
          <w:szCs w:val="24"/>
        </w:rPr>
        <w:tab/>
      </w:r>
      <w:r w:rsidR="00F41E62">
        <w:rPr>
          <w:rFonts w:ascii="Times" w:hAnsi="Times" w:cs="Times"/>
          <w:noProof/>
          <w:sz w:val="20"/>
          <w:szCs w:val="24"/>
        </w:rPr>
        <w:t xml:space="preserve">S.R. </w:t>
      </w:r>
      <w:r w:rsidRPr="004E5420">
        <w:rPr>
          <w:rFonts w:ascii="Times" w:hAnsi="Times" w:cs="Times"/>
          <w:noProof/>
          <w:sz w:val="20"/>
          <w:szCs w:val="24"/>
        </w:rPr>
        <w:t>Yenumala</w:t>
      </w:r>
      <w:r w:rsidR="00F41E62">
        <w:rPr>
          <w:rFonts w:ascii="Times" w:hAnsi="Times" w:cs="Times"/>
          <w:noProof/>
          <w:sz w:val="20"/>
          <w:szCs w:val="24"/>
        </w:rPr>
        <w:t>; S.K.</w:t>
      </w:r>
      <w:r w:rsidRPr="004E5420">
        <w:rPr>
          <w:rFonts w:ascii="Times" w:hAnsi="Times" w:cs="Times"/>
          <w:noProof/>
          <w:sz w:val="20"/>
          <w:szCs w:val="24"/>
        </w:rPr>
        <w:t xml:space="preserve"> Maity</w:t>
      </w:r>
      <w:r w:rsidR="00F41E62">
        <w:rPr>
          <w:rFonts w:ascii="Times" w:hAnsi="Times" w:cs="Times"/>
          <w:noProof/>
          <w:sz w:val="20"/>
          <w:szCs w:val="24"/>
        </w:rPr>
        <w:t>;</w:t>
      </w:r>
      <w:r w:rsidR="00D63FBE">
        <w:rPr>
          <w:rFonts w:ascii="Times" w:hAnsi="Times" w:cs="Times"/>
          <w:noProof/>
          <w:sz w:val="20"/>
          <w:szCs w:val="24"/>
        </w:rPr>
        <w:t xml:space="preserve"> D.</w:t>
      </w:r>
      <w:r w:rsidRPr="004E5420">
        <w:rPr>
          <w:rFonts w:ascii="Times" w:hAnsi="Times" w:cs="Times"/>
          <w:noProof/>
          <w:sz w:val="20"/>
          <w:szCs w:val="24"/>
        </w:rPr>
        <w:t xml:space="preserve"> Shee. </w:t>
      </w:r>
      <w:r w:rsidRPr="00C56443">
        <w:rPr>
          <w:rFonts w:ascii="Times" w:hAnsi="Times" w:cs="Times"/>
          <w:i/>
          <w:iCs/>
          <w:noProof/>
          <w:sz w:val="20"/>
          <w:szCs w:val="24"/>
          <w:lang w:val="en-US"/>
        </w:rPr>
        <w:t>Catalysis Science &amp; Technology</w:t>
      </w:r>
      <w:r w:rsidRPr="00C56443">
        <w:rPr>
          <w:rFonts w:ascii="Times" w:hAnsi="Times" w:cs="Times"/>
          <w:noProof/>
          <w:sz w:val="20"/>
          <w:szCs w:val="24"/>
          <w:lang w:val="en-US"/>
        </w:rPr>
        <w:t xml:space="preserve">. </w:t>
      </w:r>
      <w:r w:rsidRPr="00C56443">
        <w:rPr>
          <w:rFonts w:ascii="Times" w:hAnsi="Times" w:cs="Times"/>
          <w:b/>
          <w:bCs/>
          <w:noProof/>
          <w:sz w:val="20"/>
          <w:szCs w:val="24"/>
          <w:lang w:val="en-US"/>
        </w:rPr>
        <w:t>2016</w:t>
      </w:r>
      <w:r w:rsidRPr="00C56443">
        <w:rPr>
          <w:rFonts w:ascii="Times" w:hAnsi="Times" w:cs="Times"/>
          <w:noProof/>
          <w:sz w:val="20"/>
          <w:szCs w:val="24"/>
          <w:lang w:val="en-US"/>
        </w:rPr>
        <w:t xml:space="preserve">;3156–65. </w:t>
      </w:r>
    </w:p>
    <w:p w14:paraId="6F8518DE" w14:textId="3E8A8055" w:rsidR="004E5420" w:rsidRPr="00C56443" w:rsidRDefault="004E5420" w:rsidP="00D63FBE">
      <w:pPr>
        <w:widowControl w:val="0"/>
        <w:autoSpaceDE w:val="0"/>
        <w:autoSpaceDN w:val="0"/>
        <w:adjustRightInd w:val="0"/>
        <w:spacing w:line="240" w:lineRule="auto"/>
        <w:ind w:left="357" w:hanging="357"/>
        <w:jc w:val="both"/>
        <w:rPr>
          <w:rFonts w:ascii="Times" w:hAnsi="Times" w:cs="Times"/>
          <w:noProof/>
          <w:sz w:val="20"/>
          <w:szCs w:val="24"/>
          <w:lang w:val="en-US"/>
        </w:rPr>
      </w:pPr>
      <w:r w:rsidRPr="00C56443">
        <w:rPr>
          <w:rFonts w:ascii="Times" w:hAnsi="Times" w:cs="Times"/>
          <w:noProof/>
          <w:sz w:val="20"/>
          <w:szCs w:val="24"/>
          <w:lang w:val="en-US"/>
        </w:rPr>
        <w:t xml:space="preserve">17. </w:t>
      </w:r>
      <w:r w:rsidRPr="00C56443">
        <w:rPr>
          <w:rFonts w:ascii="Times" w:hAnsi="Times" w:cs="Times"/>
          <w:noProof/>
          <w:sz w:val="20"/>
          <w:szCs w:val="24"/>
          <w:lang w:val="en-US"/>
        </w:rPr>
        <w:tab/>
      </w:r>
      <w:r w:rsidR="00D63FBE" w:rsidRPr="00C56443">
        <w:rPr>
          <w:rFonts w:ascii="Times" w:hAnsi="Times" w:cs="Times"/>
          <w:noProof/>
          <w:sz w:val="20"/>
          <w:szCs w:val="24"/>
          <w:lang w:val="en-US"/>
        </w:rPr>
        <w:t xml:space="preserve">L. </w:t>
      </w:r>
      <w:r w:rsidRPr="00C56443">
        <w:rPr>
          <w:rFonts w:ascii="Times" w:hAnsi="Times" w:cs="Times"/>
          <w:noProof/>
          <w:sz w:val="20"/>
          <w:szCs w:val="24"/>
          <w:lang w:val="en-US"/>
        </w:rPr>
        <w:t>Gu</w:t>
      </w:r>
      <w:r w:rsidR="00D63FBE" w:rsidRPr="00C56443">
        <w:rPr>
          <w:rFonts w:ascii="Times" w:hAnsi="Times" w:cs="Times"/>
          <w:noProof/>
          <w:sz w:val="20"/>
          <w:szCs w:val="24"/>
          <w:lang w:val="en-US"/>
        </w:rPr>
        <w:t>; X.</w:t>
      </w:r>
      <w:r w:rsidRPr="00C56443">
        <w:rPr>
          <w:rFonts w:ascii="Times" w:hAnsi="Times" w:cs="Times"/>
          <w:noProof/>
          <w:sz w:val="20"/>
          <w:szCs w:val="24"/>
          <w:lang w:val="en-US"/>
        </w:rPr>
        <w:t xml:space="preserve"> Chen</w:t>
      </w:r>
      <w:r w:rsidR="00D63FBE" w:rsidRPr="00C56443">
        <w:rPr>
          <w:rFonts w:ascii="Times" w:hAnsi="Times" w:cs="Times"/>
          <w:noProof/>
          <w:sz w:val="20"/>
          <w:szCs w:val="24"/>
          <w:lang w:val="en-US"/>
        </w:rPr>
        <w:t>; Y.</w:t>
      </w:r>
      <w:r w:rsidRPr="00C56443">
        <w:rPr>
          <w:rFonts w:ascii="Times" w:hAnsi="Times" w:cs="Times"/>
          <w:noProof/>
          <w:sz w:val="20"/>
          <w:szCs w:val="24"/>
          <w:lang w:val="en-US"/>
        </w:rPr>
        <w:t xml:space="preserve"> Zhou</w:t>
      </w:r>
      <w:r w:rsidR="00D63FBE" w:rsidRPr="00C56443">
        <w:rPr>
          <w:rFonts w:ascii="Times" w:hAnsi="Times" w:cs="Times"/>
          <w:noProof/>
          <w:sz w:val="20"/>
          <w:szCs w:val="24"/>
          <w:lang w:val="en-US"/>
        </w:rPr>
        <w:t>; Q.</w:t>
      </w:r>
      <w:r w:rsidRPr="00C56443">
        <w:rPr>
          <w:rFonts w:ascii="Times" w:hAnsi="Times" w:cs="Times"/>
          <w:noProof/>
          <w:sz w:val="20"/>
          <w:szCs w:val="24"/>
          <w:lang w:val="en-US"/>
        </w:rPr>
        <w:t xml:space="preserve"> Zhu</w:t>
      </w:r>
      <w:r w:rsidR="00D63FBE" w:rsidRPr="00C56443">
        <w:rPr>
          <w:rFonts w:ascii="Times" w:hAnsi="Times" w:cs="Times"/>
          <w:noProof/>
          <w:sz w:val="20"/>
          <w:szCs w:val="24"/>
          <w:lang w:val="en-US"/>
        </w:rPr>
        <w:t>; H;</w:t>
      </w:r>
      <w:r w:rsidRPr="00C56443">
        <w:rPr>
          <w:rFonts w:ascii="Times" w:hAnsi="Times" w:cs="Times"/>
          <w:noProof/>
          <w:sz w:val="20"/>
          <w:szCs w:val="24"/>
          <w:lang w:val="en-US"/>
        </w:rPr>
        <w:t xml:space="preserve"> Huang</w:t>
      </w:r>
      <w:r w:rsidR="00D63FBE" w:rsidRPr="00C56443">
        <w:rPr>
          <w:rFonts w:ascii="Times" w:hAnsi="Times" w:cs="Times"/>
          <w:noProof/>
          <w:sz w:val="20"/>
          <w:szCs w:val="24"/>
          <w:lang w:val="en-US"/>
        </w:rPr>
        <w:t>; H.</w:t>
      </w:r>
      <w:r w:rsidRPr="00C56443">
        <w:rPr>
          <w:rFonts w:ascii="Times" w:hAnsi="Times" w:cs="Times"/>
          <w:noProof/>
          <w:sz w:val="20"/>
          <w:szCs w:val="24"/>
          <w:lang w:val="en-US"/>
        </w:rPr>
        <w:t xml:space="preserve"> Lu</w:t>
      </w:r>
      <w:r w:rsidR="00D63FBE" w:rsidRPr="00C56443">
        <w:rPr>
          <w:rFonts w:ascii="Times" w:hAnsi="Times" w:cs="Times"/>
          <w:noProof/>
          <w:sz w:val="20"/>
          <w:szCs w:val="24"/>
          <w:lang w:val="en-US"/>
        </w:rPr>
        <w:t>;</w:t>
      </w:r>
      <w:r w:rsidRPr="00C56443">
        <w:rPr>
          <w:rFonts w:ascii="Times" w:hAnsi="Times" w:cs="Times"/>
          <w:noProof/>
          <w:sz w:val="20"/>
          <w:szCs w:val="24"/>
          <w:lang w:val="en-US"/>
        </w:rPr>
        <w:t xml:space="preserve"> </w:t>
      </w:r>
      <w:r w:rsidRPr="00C56443">
        <w:rPr>
          <w:rFonts w:ascii="Times" w:hAnsi="Times" w:cs="Times"/>
          <w:b/>
          <w:bCs/>
          <w:noProof/>
          <w:sz w:val="20"/>
          <w:szCs w:val="24"/>
          <w:lang w:val="en-US"/>
        </w:rPr>
        <w:t>2017</w:t>
      </w:r>
      <w:r w:rsidRPr="00C56443">
        <w:rPr>
          <w:rFonts w:ascii="Times" w:hAnsi="Times" w:cs="Times"/>
          <w:noProof/>
          <w:sz w:val="20"/>
          <w:szCs w:val="24"/>
          <w:lang w:val="en-US"/>
        </w:rPr>
        <w:t>;38</w:t>
      </w:r>
      <w:r w:rsidR="00D63FBE" w:rsidRPr="00C56443">
        <w:rPr>
          <w:rFonts w:ascii="Times" w:hAnsi="Times" w:cs="Times"/>
          <w:noProof/>
          <w:sz w:val="20"/>
          <w:szCs w:val="24"/>
          <w:lang w:val="en-US"/>
        </w:rPr>
        <w:t>;</w:t>
      </w:r>
      <w:r w:rsidRPr="00C56443">
        <w:rPr>
          <w:rFonts w:ascii="Times" w:hAnsi="Times" w:cs="Times"/>
          <w:noProof/>
          <w:sz w:val="20"/>
          <w:szCs w:val="24"/>
          <w:lang w:val="en-US"/>
        </w:rPr>
        <w:t xml:space="preserve">607–15. </w:t>
      </w:r>
    </w:p>
    <w:p w14:paraId="6017FFB2" w14:textId="05D52E33" w:rsidR="004E5420" w:rsidRPr="00C56443" w:rsidRDefault="004E5420" w:rsidP="00D63FBE">
      <w:pPr>
        <w:widowControl w:val="0"/>
        <w:autoSpaceDE w:val="0"/>
        <w:autoSpaceDN w:val="0"/>
        <w:adjustRightInd w:val="0"/>
        <w:spacing w:line="240" w:lineRule="auto"/>
        <w:ind w:left="357" w:hanging="357"/>
        <w:jc w:val="both"/>
        <w:rPr>
          <w:rFonts w:ascii="Times" w:hAnsi="Times" w:cs="Times"/>
          <w:noProof/>
          <w:sz w:val="20"/>
          <w:szCs w:val="24"/>
          <w:lang w:val="en-US"/>
        </w:rPr>
      </w:pPr>
      <w:r w:rsidRPr="00C56443">
        <w:rPr>
          <w:rFonts w:ascii="Times" w:hAnsi="Times" w:cs="Times"/>
          <w:noProof/>
          <w:sz w:val="20"/>
          <w:szCs w:val="24"/>
          <w:lang w:val="en-US"/>
        </w:rPr>
        <w:t xml:space="preserve">18. </w:t>
      </w:r>
      <w:r w:rsidRPr="00C56443">
        <w:rPr>
          <w:rFonts w:ascii="Times" w:hAnsi="Times" w:cs="Times"/>
          <w:noProof/>
          <w:sz w:val="20"/>
          <w:szCs w:val="24"/>
          <w:lang w:val="en-US"/>
        </w:rPr>
        <w:tab/>
      </w:r>
      <w:r w:rsidR="00D63FBE" w:rsidRPr="00C56443">
        <w:rPr>
          <w:rFonts w:ascii="Times" w:hAnsi="Times" w:cs="Times"/>
          <w:noProof/>
          <w:sz w:val="20"/>
          <w:szCs w:val="24"/>
          <w:lang w:val="en-US"/>
        </w:rPr>
        <w:t xml:space="preserve">V. </w:t>
      </w:r>
      <w:r w:rsidRPr="00C56443">
        <w:rPr>
          <w:rFonts w:ascii="Times" w:hAnsi="Times" w:cs="Times"/>
          <w:noProof/>
          <w:sz w:val="20"/>
          <w:szCs w:val="24"/>
          <w:lang w:val="en-US"/>
        </w:rPr>
        <w:t>Zholobenko</w:t>
      </w:r>
      <w:r w:rsidR="00D63FBE" w:rsidRPr="00C56443">
        <w:rPr>
          <w:rFonts w:ascii="Times" w:hAnsi="Times" w:cs="Times"/>
          <w:noProof/>
          <w:sz w:val="20"/>
          <w:szCs w:val="24"/>
          <w:lang w:val="en-US"/>
        </w:rPr>
        <w:t>; C.</w:t>
      </w:r>
      <w:r w:rsidRPr="00C56443">
        <w:rPr>
          <w:rFonts w:ascii="Times" w:hAnsi="Times" w:cs="Times"/>
          <w:noProof/>
          <w:sz w:val="20"/>
          <w:szCs w:val="24"/>
          <w:lang w:val="en-US"/>
        </w:rPr>
        <w:t xml:space="preserve"> Freitas</w:t>
      </w:r>
      <w:r w:rsidR="00D63FBE" w:rsidRPr="00C56443">
        <w:rPr>
          <w:rFonts w:ascii="Times" w:hAnsi="Times" w:cs="Times"/>
          <w:noProof/>
          <w:sz w:val="20"/>
          <w:szCs w:val="24"/>
          <w:lang w:val="en-US"/>
        </w:rPr>
        <w:t>; M.</w:t>
      </w:r>
      <w:r w:rsidRPr="00C56443">
        <w:rPr>
          <w:rFonts w:ascii="Times" w:hAnsi="Times" w:cs="Times"/>
          <w:noProof/>
          <w:sz w:val="20"/>
          <w:szCs w:val="24"/>
          <w:lang w:val="en-US"/>
        </w:rPr>
        <w:t xml:space="preserve"> Jendrlin</w:t>
      </w:r>
      <w:r w:rsidR="00D63FBE" w:rsidRPr="00C56443">
        <w:rPr>
          <w:rFonts w:ascii="Times" w:hAnsi="Times" w:cs="Times"/>
          <w:noProof/>
          <w:sz w:val="20"/>
          <w:szCs w:val="24"/>
          <w:lang w:val="en-US"/>
        </w:rPr>
        <w:t>; P.</w:t>
      </w:r>
      <w:r w:rsidRPr="00C56443">
        <w:rPr>
          <w:rFonts w:ascii="Times" w:hAnsi="Times" w:cs="Times"/>
          <w:noProof/>
          <w:sz w:val="20"/>
          <w:szCs w:val="24"/>
          <w:lang w:val="en-US"/>
        </w:rPr>
        <w:t xml:space="preserve"> Bazin</w:t>
      </w:r>
      <w:r w:rsidR="00D63FBE" w:rsidRPr="00C56443">
        <w:rPr>
          <w:rFonts w:ascii="Times" w:hAnsi="Times" w:cs="Times"/>
          <w:noProof/>
          <w:sz w:val="20"/>
          <w:szCs w:val="24"/>
          <w:lang w:val="en-US"/>
        </w:rPr>
        <w:t>;</w:t>
      </w:r>
      <w:r w:rsidRPr="00C56443">
        <w:rPr>
          <w:rFonts w:ascii="Times" w:hAnsi="Times" w:cs="Times"/>
          <w:noProof/>
          <w:sz w:val="20"/>
          <w:szCs w:val="24"/>
          <w:lang w:val="en-US"/>
        </w:rPr>
        <w:t xml:space="preserve"> </w:t>
      </w:r>
      <w:r w:rsidR="00D63FBE" w:rsidRPr="00C56443">
        <w:rPr>
          <w:rFonts w:ascii="Times" w:hAnsi="Times" w:cs="Times"/>
          <w:noProof/>
          <w:sz w:val="20"/>
          <w:szCs w:val="24"/>
          <w:lang w:val="en-US"/>
        </w:rPr>
        <w:t xml:space="preserve">A. </w:t>
      </w:r>
      <w:r w:rsidRPr="00C56443">
        <w:rPr>
          <w:rFonts w:ascii="Times" w:hAnsi="Times" w:cs="Times"/>
          <w:noProof/>
          <w:sz w:val="20"/>
          <w:szCs w:val="24"/>
          <w:lang w:val="en-US"/>
        </w:rPr>
        <w:t>Travert</w:t>
      </w:r>
      <w:r w:rsidR="00D63FBE" w:rsidRPr="00C56443">
        <w:rPr>
          <w:rFonts w:ascii="Times" w:hAnsi="Times" w:cs="Times"/>
          <w:noProof/>
          <w:sz w:val="20"/>
          <w:szCs w:val="24"/>
          <w:lang w:val="en-US"/>
        </w:rPr>
        <w:t>; F.</w:t>
      </w:r>
      <w:r w:rsidRPr="00C56443">
        <w:rPr>
          <w:rFonts w:ascii="Times" w:hAnsi="Times" w:cs="Times"/>
          <w:noProof/>
          <w:sz w:val="20"/>
          <w:szCs w:val="24"/>
          <w:lang w:val="en-US"/>
        </w:rPr>
        <w:t xml:space="preserve"> Thibault-Starzyk. </w:t>
      </w:r>
      <w:r w:rsidRPr="00C56443">
        <w:rPr>
          <w:rFonts w:ascii="Times" w:hAnsi="Times" w:cs="Times"/>
          <w:i/>
          <w:iCs/>
          <w:noProof/>
          <w:sz w:val="20"/>
          <w:szCs w:val="24"/>
          <w:lang w:val="en-US"/>
        </w:rPr>
        <w:t>J Catal</w:t>
      </w:r>
      <w:r w:rsidRPr="00C56443">
        <w:rPr>
          <w:rFonts w:ascii="Times" w:hAnsi="Times" w:cs="Times"/>
          <w:noProof/>
          <w:sz w:val="20"/>
          <w:szCs w:val="24"/>
          <w:lang w:val="en-US"/>
        </w:rPr>
        <w:t xml:space="preserve">. </w:t>
      </w:r>
      <w:r w:rsidRPr="00C56443">
        <w:rPr>
          <w:rFonts w:ascii="Times" w:hAnsi="Times" w:cs="Times"/>
          <w:b/>
          <w:bCs/>
          <w:noProof/>
          <w:sz w:val="20"/>
          <w:szCs w:val="24"/>
          <w:lang w:val="en-US"/>
        </w:rPr>
        <w:t>2020</w:t>
      </w:r>
      <w:r w:rsidRPr="00C56443">
        <w:rPr>
          <w:rFonts w:ascii="Times" w:hAnsi="Times" w:cs="Times"/>
          <w:noProof/>
          <w:sz w:val="20"/>
          <w:szCs w:val="24"/>
          <w:lang w:val="en-US"/>
        </w:rPr>
        <w:t>;385</w:t>
      </w:r>
      <w:r w:rsidR="00D63FBE" w:rsidRPr="00C56443">
        <w:rPr>
          <w:rFonts w:ascii="Times" w:hAnsi="Times" w:cs="Times"/>
          <w:noProof/>
          <w:sz w:val="20"/>
          <w:szCs w:val="24"/>
          <w:lang w:val="en-US"/>
        </w:rPr>
        <w:t>;</w:t>
      </w:r>
      <w:r w:rsidRPr="00C56443">
        <w:rPr>
          <w:rFonts w:ascii="Times" w:hAnsi="Times" w:cs="Times"/>
          <w:noProof/>
          <w:sz w:val="20"/>
          <w:szCs w:val="24"/>
          <w:lang w:val="en-US"/>
        </w:rPr>
        <w:t xml:space="preserve">52–60. </w:t>
      </w:r>
    </w:p>
    <w:p w14:paraId="13B94408" w14:textId="22DBC95B" w:rsidR="004E5420" w:rsidRPr="00C56443" w:rsidRDefault="004E5420" w:rsidP="00D63FBE">
      <w:pPr>
        <w:widowControl w:val="0"/>
        <w:autoSpaceDE w:val="0"/>
        <w:autoSpaceDN w:val="0"/>
        <w:adjustRightInd w:val="0"/>
        <w:spacing w:line="240" w:lineRule="auto"/>
        <w:ind w:left="357" w:hanging="357"/>
        <w:jc w:val="both"/>
        <w:rPr>
          <w:rFonts w:ascii="Times" w:hAnsi="Times" w:cs="Times"/>
          <w:noProof/>
          <w:sz w:val="20"/>
          <w:szCs w:val="24"/>
          <w:lang w:val="en-US"/>
        </w:rPr>
      </w:pPr>
      <w:r w:rsidRPr="00C56443">
        <w:rPr>
          <w:rFonts w:ascii="Times" w:hAnsi="Times" w:cs="Times"/>
          <w:noProof/>
          <w:sz w:val="20"/>
          <w:szCs w:val="24"/>
          <w:lang w:val="en-US"/>
        </w:rPr>
        <w:t xml:space="preserve">19. </w:t>
      </w:r>
      <w:r w:rsidRPr="00C56443">
        <w:rPr>
          <w:rFonts w:ascii="Times" w:hAnsi="Times" w:cs="Times"/>
          <w:noProof/>
          <w:sz w:val="20"/>
          <w:szCs w:val="24"/>
          <w:lang w:val="en-US"/>
        </w:rPr>
        <w:tab/>
      </w:r>
      <w:r w:rsidR="00D63FBE" w:rsidRPr="00D63FBE">
        <w:rPr>
          <w:rFonts w:ascii="Times" w:hAnsi="Times" w:cs="Times"/>
          <w:noProof/>
          <w:sz w:val="20"/>
          <w:szCs w:val="24"/>
          <w:lang w:val="en-US"/>
        </w:rPr>
        <w:t xml:space="preserve">C. </w:t>
      </w:r>
      <w:r w:rsidRPr="00D63FBE">
        <w:rPr>
          <w:rFonts w:ascii="Times" w:hAnsi="Times" w:cs="Times"/>
          <w:noProof/>
          <w:sz w:val="20"/>
          <w:szCs w:val="24"/>
          <w:lang w:val="en-US"/>
        </w:rPr>
        <w:t>Wang</w:t>
      </w:r>
      <w:r w:rsidR="00D63FBE">
        <w:rPr>
          <w:rFonts w:ascii="Times" w:hAnsi="Times" w:cs="Times"/>
          <w:noProof/>
          <w:sz w:val="20"/>
          <w:szCs w:val="24"/>
          <w:lang w:val="en-US"/>
        </w:rPr>
        <w:t>; M.</w:t>
      </w:r>
      <w:r w:rsidRPr="00D63FBE">
        <w:rPr>
          <w:rFonts w:ascii="Times" w:hAnsi="Times" w:cs="Times"/>
          <w:noProof/>
          <w:sz w:val="20"/>
          <w:szCs w:val="24"/>
          <w:lang w:val="en-US"/>
        </w:rPr>
        <w:t xml:space="preserve"> Tian</w:t>
      </w:r>
      <w:r w:rsidR="00D63FBE">
        <w:rPr>
          <w:rFonts w:ascii="Times" w:hAnsi="Times" w:cs="Times"/>
          <w:noProof/>
          <w:sz w:val="20"/>
          <w:szCs w:val="24"/>
          <w:lang w:val="en-US"/>
        </w:rPr>
        <w:t>; Y.</w:t>
      </w:r>
      <w:r w:rsidRPr="00D63FBE">
        <w:rPr>
          <w:rFonts w:ascii="Times" w:hAnsi="Times" w:cs="Times"/>
          <w:noProof/>
          <w:sz w:val="20"/>
          <w:szCs w:val="24"/>
          <w:lang w:val="en-US"/>
        </w:rPr>
        <w:t xml:space="preserve"> Han</w:t>
      </w:r>
      <w:r w:rsidR="00D63FBE">
        <w:rPr>
          <w:rFonts w:ascii="Times" w:hAnsi="Times" w:cs="Times"/>
          <w:noProof/>
          <w:sz w:val="20"/>
          <w:szCs w:val="24"/>
          <w:lang w:val="en-US"/>
        </w:rPr>
        <w:t>; T.</w:t>
      </w:r>
      <w:r w:rsidRPr="00D63FBE">
        <w:rPr>
          <w:rFonts w:ascii="Times" w:hAnsi="Times" w:cs="Times"/>
          <w:noProof/>
          <w:sz w:val="20"/>
          <w:szCs w:val="24"/>
          <w:lang w:val="en-US"/>
        </w:rPr>
        <w:t xml:space="preserve"> Zong</w:t>
      </w:r>
      <w:r w:rsidR="00D63FBE">
        <w:rPr>
          <w:rFonts w:ascii="Times" w:hAnsi="Times" w:cs="Times"/>
          <w:noProof/>
          <w:sz w:val="20"/>
          <w:szCs w:val="24"/>
          <w:lang w:val="en-US"/>
        </w:rPr>
        <w:t>; N.</w:t>
      </w:r>
      <w:r w:rsidRPr="00D63FBE">
        <w:rPr>
          <w:rFonts w:ascii="Times" w:hAnsi="Times" w:cs="Times"/>
          <w:noProof/>
          <w:sz w:val="20"/>
          <w:szCs w:val="24"/>
          <w:lang w:val="en-US"/>
        </w:rPr>
        <w:t xml:space="preserve"> Wang</w:t>
      </w:r>
      <w:r w:rsidR="00D63FBE">
        <w:rPr>
          <w:rFonts w:ascii="Times" w:hAnsi="Times" w:cs="Times"/>
          <w:noProof/>
          <w:sz w:val="20"/>
          <w:szCs w:val="24"/>
          <w:lang w:val="en-US"/>
        </w:rPr>
        <w:t>; L.</w:t>
      </w:r>
      <w:r w:rsidRPr="00D63FBE">
        <w:rPr>
          <w:rFonts w:ascii="Times" w:hAnsi="Times" w:cs="Times"/>
          <w:noProof/>
          <w:sz w:val="20"/>
          <w:szCs w:val="24"/>
          <w:lang w:val="en-US"/>
        </w:rPr>
        <w:t xml:space="preserve"> Li, et al. </w:t>
      </w:r>
      <w:r w:rsidRPr="00D63FBE">
        <w:rPr>
          <w:rFonts w:ascii="Times" w:hAnsi="Times" w:cs="Times"/>
          <w:i/>
          <w:iCs/>
          <w:noProof/>
          <w:sz w:val="20"/>
          <w:szCs w:val="24"/>
          <w:lang w:val="en-US"/>
        </w:rPr>
        <w:t>Appl Catal B Environ</w:t>
      </w:r>
      <w:r w:rsidRPr="00D63FBE">
        <w:rPr>
          <w:rFonts w:ascii="Times" w:hAnsi="Times" w:cs="Times"/>
          <w:noProof/>
          <w:sz w:val="20"/>
          <w:szCs w:val="24"/>
          <w:lang w:val="en-US"/>
        </w:rPr>
        <w:t>.</w:t>
      </w:r>
      <w:r w:rsidRPr="00D63FBE">
        <w:rPr>
          <w:rFonts w:ascii="Times" w:hAnsi="Times" w:cs="Times"/>
          <w:b/>
          <w:bCs/>
          <w:noProof/>
          <w:sz w:val="20"/>
          <w:szCs w:val="24"/>
          <w:lang w:val="en-US"/>
        </w:rPr>
        <w:t xml:space="preserve"> </w:t>
      </w:r>
      <w:r w:rsidRPr="00C56443">
        <w:rPr>
          <w:rFonts w:ascii="Times" w:hAnsi="Times" w:cs="Times"/>
          <w:b/>
          <w:bCs/>
          <w:noProof/>
          <w:sz w:val="20"/>
          <w:szCs w:val="24"/>
          <w:lang w:val="en-US"/>
        </w:rPr>
        <w:t>2023</w:t>
      </w:r>
      <w:r w:rsidRPr="00C56443">
        <w:rPr>
          <w:rFonts w:ascii="Times" w:hAnsi="Times" w:cs="Times"/>
          <w:noProof/>
          <w:sz w:val="20"/>
          <w:szCs w:val="24"/>
          <w:lang w:val="en-US"/>
        </w:rPr>
        <w:t>;325</w:t>
      </w:r>
      <w:r w:rsidR="00D63FBE" w:rsidRPr="00C56443">
        <w:rPr>
          <w:rFonts w:ascii="Times" w:hAnsi="Times" w:cs="Times"/>
          <w:noProof/>
          <w:sz w:val="20"/>
          <w:szCs w:val="24"/>
          <w:lang w:val="en-US"/>
        </w:rPr>
        <w:t>;</w:t>
      </w:r>
      <w:r w:rsidRPr="00C56443">
        <w:rPr>
          <w:rFonts w:ascii="Times" w:hAnsi="Times" w:cs="Times"/>
          <w:noProof/>
          <w:sz w:val="20"/>
          <w:szCs w:val="24"/>
          <w:lang w:val="en-US"/>
        </w:rPr>
        <w:t xml:space="preserve">122334. </w:t>
      </w:r>
    </w:p>
    <w:p w14:paraId="45739DC1" w14:textId="18A819B0" w:rsidR="004E5420" w:rsidRPr="00C56443" w:rsidRDefault="004E5420" w:rsidP="00D63FBE">
      <w:pPr>
        <w:widowControl w:val="0"/>
        <w:autoSpaceDE w:val="0"/>
        <w:autoSpaceDN w:val="0"/>
        <w:adjustRightInd w:val="0"/>
        <w:spacing w:line="240" w:lineRule="auto"/>
        <w:ind w:left="357" w:hanging="357"/>
        <w:jc w:val="both"/>
        <w:rPr>
          <w:rFonts w:ascii="Times" w:hAnsi="Times" w:cs="Times"/>
          <w:noProof/>
          <w:sz w:val="20"/>
          <w:szCs w:val="24"/>
          <w:lang w:val="en-US"/>
        </w:rPr>
      </w:pPr>
      <w:r w:rsidRPr="00C56443">
        <w:rPr>
          <w:rFonts w:ascii="Times" w:hAnsi="Times" w:cs="Times"/>
          <w:noProof/>
          <w:sz w:val="20"/>
          <w:szCs w:val="24"/>
          <w:lang w:val="en-US"/>
        </w:rPr>
        <w:t xml:space="preserve">20. </w:t>
      </w:r>
      <w:r w:rsidRPr="00C56443">
        <w:rPr>
          <w:rFonts w:ascii="Times" w:hAnsi="Times" w:cs="Times"/>
          <w:noProof/>
          <w:sz w:val="20"/>
          <w:szCs w:val="24"/>
          <w:lang w:val="en-US"/>
        </w:rPr>
        <w:tab/>
      </w:r>
      <w:r w:rsidR="00D63FBE" w:rsidRPr="00C56443">
        <w:rPr>
          <w:rFonts w:ascii="Times" w:hAnsi="Times" w:cs="Times"/>
          <w:noProof/>
          <w:sz w:val="20"/>
          <w:szCs w:val="24"/>
          <w:lang w:val="en-US"/>
        </w:rPr>
        <w:t xml:space="preserve">C. </w:t>
      </w:r>
      <w:r w:rsidRPr="00C56443">
        <w:rPr>
          <w:rFonts w:ascii="Times" w:hAnsi="Times" w:cs="Times"/>
          <w:noProof/>
          <w:sz w:val="20"/>
          <w:szCs w:val="24"/>
          <w:lang w:val="en-US"/>
        </w:rPr>
        <w:t>He</w:t>
      </w:r>
      <w:r w:rsidR="00D63FBE" w:rsidRPr="00C56443">
        <w:rPr>
          <w:rFonts w:ascii="Times" w:hAnsi="Times" w:cs="Times"/>
          <w:noProof/>
          <w:sz w:val="20"/>
          <w:szCs w:val="24"/>
          <w:lang w:val="en-US"/>
        </w:rPr>
        <w:t>;</w:t>
      </w:r>
      <w:r w:rsidRPr="00C56443">
        <w:rPr>
          <w:rFonts w:ascii="Times" w:hAnsi="Times" w:cs="Times"/>
          <w:noProof/>
          <w:sz w:val="20"/>
          <w:szCs w:val="24"/>
          <w:lang w:val="en-US"/>
        </w:rPr>
        <w:t xml:space="preserve"> </w:t>
      </w:r>
      <w:r w:rsidR="00D63FBE" w:rsidRPr="00C56443">
        <w:rPr>
          <w:rFonts w:ascii="Times" w:hAnsi="Times" w:cs="Times"/>
          <w:noProof/>
          <w:sz w:val="20"/>
          <w:szCs w:val="24"/>
          <w:lang w:val="en-US"/>
        </w:rPr>
        <w:t xml:space="preserve">L. </w:t>
      </w:r>
      <w:r w:rsidRPr="00C56443">
        <w:rPr>
          <w:rFonts w:ascii="Times" w:hAnsi="Times" w:cs="Times"/>
          <w:noProof/>
          <w:sz w:val="20"/>
          <w:szCs w:val="24"/>
          <w:lang w:val="en-US"/>
        </w:rPr>
        <w:t>Qin</w:t>
      </w:r>
      <w:r w:rsidR="00D63FBE" w:rsidRPr="00C56443">
        <w:rPr>
          <w:rFonts w:ascii="Times" w:hAnsi="Times" w:cs="Times"/>
          <w:noProof/>
          <w:sz w:val="20"/>
          <w:szCs w:val="24"/>
          <w:lang w:val="en-US"/>
        </w:rPr>
        <w:t>; J.</w:t>
      </w:r>
      <w:r w:rsidRPr="00C56443">
        <w:rPr>
          <w:rFonts w:ascii="Times" w:hAnsi="Times" w:cs="Times"/>
          <w:noProof/>
          <w:sz w:val="20"/>
          <w:szCs w:val="24"/>
          <w:lang w:val="en-US"/>
        </w:rPr>
        <w:t xml:space="preserve"> Yang</w:t>
      </w:r>
      <w:r w:rsidR="00D63FBE" w:rsidRPr="00C56443">
        <w:rPr>
          <w:rFonts w:ascii="Times" w:hAnsi="Times" w:cs="Times"/>
          <w:noProof/>
          <w:sz w:val="20"/>
          <w:szCs w:val="24"/>
          <w:lang w:val="en-US"/>
        </w:rPr>
        <w:t>;Y.</w:t>
      </w:r>
      <w:r w:rsidRPr="00C56443">
        <w:rPr>
          <w:rFonts w:ascii="Times" w:hAnsi="Times" w:cs="Times"/>
          <w:noProof/>
          <w:sz w:val="20"/>
          <w:szCs w:val="24"/>
          <w:lang w:val="en-US"/>
        </w:rPr>
        <w:t xml:space="preserve"> Zhu</w:t>
      </w:r>
      <w:r w:rsidR="00D63FBE" w:rsidRPr="00C56443">
        <w:rPr>
          <w:rFonts w:ascii="Times" w:hAnsi="Times" w:cs="Times"/>
          <w:noProof/>
          <w:sz w:val="20"/>
          <w:szCs w:val="24"/>
          <w:lang w:val="en-US"/>
        </w:rPr>
        <w:t>;</w:t>
      </w:r>
      <w:r w:rsidRPr="00C56443">
        <w:rPr>
          <w:rFonts w:ascii="Times" w:hAnsi="Times" w:cs="Times"/>
          <w:noProof/>
          <w:sz w:val="20"/>
          <w:szCs w:val="24"/>
          <w:lang w:val="en-US"/>
        </w:rPr>
        <w:t xml:space="preserve"> </w:t>
      </w:r>
      <w:r w:rsidRPr="00C56443">
        <w:rPr>
          <w:rFonts w:ascii="Times" w:hAnsi="Times" w:cs="Times"/>
          <w:i/>
          <w:iCs/>
          <w:noProof/>
          <w:sz w:val="20"/>
          <w:szCs w:val="24"/>
          <w:lang w:val="en-US"/>
        </w:rPr>
        <w:t>LWT</w:t>
      </w:r>
      <w:r w:rsidRPr="00C56443">
        <w:rPr>
          <w:rFonts w:ascii="Times" w:hAnsi="Times" w:cs="Times"/>
          <w:noProof/>
          <w:sz w:val="20"/>
          <w:szCs w:val="24"/>
          <w:lang w:val="en-US"/>
        </w:rPr>
        <w:t xml:space="preserve">. </w:t>
      </w:r>
      <w:r w:rsidRPr="00C56443">
        <w:rPr>
          <w:rFonts w:ascii="Times" w:hAnsi="Times" w:cs="Times"/>
          <w:b/>
          <w:bCs/>
          <w:noProof/>
          <w:sz w:val="20"/>
          <w:szCs w:val="24"/>
          <w:lang w:val="en-US"/>
        </w:rPr>
        <w:t>2023</w:t>
      </w:r>
      <w:r w:rsidRPr="00C56443">
        <w:rPr>
          <w:rFonts w:ascii="Times" w:hAnsi="Times" w:cs="Times"/>
          <w:noProof/>
          <w:sz w:val="20"/>
          <w:szCs w:val="24"/>
          <w:lang w:val="en-US"/>
        </w:rPr>
        <w:t>;173</w:t>
      </w:r>
      <w:r w:rsidR="00D63FBE" w:rsidRPr="00C56443">
        <w:rPr>
          <w:rFonts w:ascii="Times" w:hAnsi="Times" w:cs="Times"/>
          <w:noProof/>
          <w:sz w:val="20"/>
          <w:szCs w:val="24"/>
          <w:lang w:val="en-US"/>
        </w:rPr>
        <w:t>;</w:t>
      </w:r>
      <w:r w:rsidRPr="00C56443">
        <w:rPr>
          <w:rFonts w:ascii="Times" w:hAnsi="Times" w:cs="Times"/>
          <w:noProof/>
          <w:sz w:val="20"/>
          <w:szCs w:val="24"/>
          <w:lang w:val="en-US"/>
        </w:rPr>
        <w:t xml:space="preserve">114293. </w:t>
      </w:r>
    </w:p>
    <w:p w14:paraId="7F77CD73" w14:textId="1B2347D5" w:rsidR="004E5420" w:rsidRPr="004E5420" w:rsidRDefault="004E5420" w:rsidP="00D63FBE">
      <w:pPr>
        <w:widowControl w:val="0"/>
        <w:autoSpaceDE w:val="0"/>
        <w:autoSpaceDN w:val="0"/>
        <w:adjustRightInd w:val="0"/>
        <w:spacing w:line="240" w:lineRule="auto"/>
        <w:ind w:left="357" w:hanging="357"/>
        <w:jc w:val="both"/>
        <w:rPr>
          <w:rFonts w:ascii="Times" w:hAnsi="Times" w:cs="Times"/>
          <w:noProof/>
          <w:sz w:val="20"/>
        </w:rPr>
      </w:pPr>
      <w:r w:rsidRPr="00C56443">
        <w:rPr>
          <w:rFonts w:ascii="Times" w:hAnsi="Times" w:cs="Times"/>
          <w:noProof/>
          <w:sz w:val="20"/>
          <w:szCs w:val="24"/>
          <w:lang w:val="en-US"/>
        </w:rPr>
        <w:t xml:space="preserve">21. </w:t>
      </w:r>
      <w:r w:rsidRPr="00C56443">
        <w:rPr>
          <w:rFonts w:ascii="Times" w:hAnsi="Times" w:cs="Times"/>
          <w:noProof/>
          <w:sz w:val="20"/>
          <w:szCs w:val="24"/>
          <w:lang w:val="en-US"/>
        </w:rPr>
        <w:tab/>
      </w:r>
      <w:r w:rsidR="00D63FBE" w:rsidRPr="00D63FBE">
        <w:rPr>
          <w:rFonts w:ascii="Times" w:hAnsi="Times" w:cs="Times"/>
          <w:noProof/>
          <w:sz w:val="20"/>
          <w:szCs w:val="24"/>
          <w:lang w:val="en-US"/>
        </w:rPr>
        <w:t xml:space="preserve">D.P. </w:t>
      </w:r>
      <w:r w:rsidRPr="00D63FBE">
        <w:rPr>
          <w:rFonts w:ascii="Times" w:hAnsi="Times" w:cs="Times"/>
          <w:noProof/>
          <w:sz w:val="20"/>
          <w:szCs w:val="24"/>
          <w:lang w:val="en-US"/>
        </w:rPr>
        <w:t>Phan</w:t>
      </w:r>
      <w:r w:rsidR="00D63FBE" w:rsidRPr="00D63FBE">
        <w:rPr>
          <w:rFonts w:ascii="Times" w:hAnsi="Times" w:cs="Times"/>
          <w:noProof/>
          <w:sz w:val="20"/>
          <w:szCs w:val="24"/>
          <w:lang w:val="en-US"/>
        </w:rPr>
        <w:t>; E.</w:t>
      </w:r>
      <w:r w:rsidR="00D63FBE">
        <w:rPr>
          <w:rFonts w:ascii="Times" w:hAnsi="Times" w:cs="Times"/>
          <w:noProof/>
          <w:sz w:val="20"/>
          <w:szCs w:val="24"/>
          <w:lang w:val="en-US"/>
        </w:rPr>
        <w:t>Y.</w:t>
      </w:r>
      <w:r w:rsidRPr="00D63FBE">
        <w:rPr>
          <w:rFonts w:ascii="Times" w:hAnsi="Times" w:cs="Times"/>
          <w:noProof/>
          <w:sz w:val="20"/>
          <w:szCs w:val="24"/>
          <w:lang w:val="en-US"/>
        </w:rPr>
        <w:t xml:space="preserve"> Lee. </w:t>
      </w:r>
      <w:r w:rsidRPr="00D63FBE">
        <w:rPr>
          <w:rFonts w:ascii="Times" w:hAnsi="Times" w:cs="Times"/>
          <w:i/>
          <w:iCs/>
          <w:noProof/>
          <w:sz w:val="20"/>
          <w:szCs w:val="24"/>
          <w:lang w:val="en-US"/>
        </w:rPr>
        <w:t>J Catal.</w:t>
      </w:r>
      <w:r w:rsidRPr="00D63FBE">
        <w:rPr>
          <w:rFonts w:ascii="Times" w:hAnsi="Times" w:cs="Times"/>
          <w:noProof/>
          <w:sz w:val="20"/>
          <w:szCs w:val="24"/>
          <w:lang w:val="en-US"/>
        </w:rPr>
        <w:t xml:space="preserve"> </w:t>
      </w:r>
      <w:r w:rsidRPr="00D63FBE">
        <w:rPr>
          <w:rFonts w:ascii="Times" w:hAnsi="Times" w:cs="Times"/>
          <w:b/>
          <w:bCs/>
          <w:noProof/>
          <w:sz w:val="20"/>
          <w:szCs w:val="24"/>
        </w:rPr>
        <w:t>2020</w:t>
      </w:r>
      <w:r w:rsidRPr="004E5420">
        <w:rPr>
          <w:rFonts w:ascii="Times" w:hAnsi="Times" w:cs="Times"/>
          <w:noProof/>
          <w:sz w:val="20"/>
          <w:szCs w:val="24"/>
        </w:rPr>
        <w:t>;386</w:t>
      </w:r>
      <w:r w:rsidR="00D63FBE">
        <w:rPr>
          <w:rFonts w:ascii="Times" w:hAnsi="Times" w:cs="Times"/>
          <w:noProof/>
          <w:sz w:val="20"/>
          <w:szCs w:val="24"/>
        </w:rPr>
        <w:t>;</w:t>
      </w:r>
      <w:r w:rsidRPr="004E5420">
        <w:rPr>
          <w:rFonts w:ascii="Times" w:hAnsi="Times" w:cs="Times"/>
          <w:noProof/>
          <w:sz w:val="20"/>
          <w:szCs w:val="24"/>
        </w:rPr>
        <w:t xml:space="preserve">19–29. </w:t>
      </w:r>
    </w:p>
    <w:p w14:paraId="58716424" w14:textId="6DB7278D" w:rsidR="007B4B2B" w:rsidRPr="00EA4E1B" w:rsidRDefault="00E15288" w:rsidP="00706CFC">
      <w:pPr>
        <w:jc w:val="both"/>
      </w:pPr>
      <w:r>
        <w:fldChar w:fldCharType="end"/>
      </w:r>
      <w:bookmarkEnd w:id="4"/>
    </w:p>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4D06D" w14:textId="77777777" w:rsidR="00EA2FD5" w:rsidRDefault="00EA2FD5" w:rsidP="00EA4E1B">
      <w:pPr>
        <w:spacing w:after="0" w:line="240" w:lineRule="auto"/>
      </w:pPr>
      <w:r>
        <w:separator/>
      </w:r>
    </w:p>
  </w:endnote>
  <w:endnote w:type="continuationSeparator" w:id="0">
    <w:p w14:paraId="4D25EBFA" w14:textId="77777777" w:rsidR="00EA2FD5" w:rsidRDefault="00EA2FD5"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2CC49" w14:textId="77777777" w:rsidR="00EA2FD5" w:rsidRDefault="00EA2FD5" w:rsidP="00EA4E1B">
      <w:pPr>
        <w:spacing w:after="0" w:line="240" w:lineRule="auto"/>
      </w:pPr>
      <w:r>
        <w:separator/>
      </w:r>
    </w:p>
  </w:footnote>
  <w:footnote w:type="continuationSeparator" w:id="0">
    <w:p w14:paraId="7DF9549A" w14:textId="77777777" w:rsidR="00EA2FD5" w:rsidRDefault="00EA2FD5"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4E6A"/>
    <w:rsid w:val="0001264A"/>
    <w:rsid w:val="0002541E"/>
    <w:rsid w:val="00042A49"/>
    <w:rsid w:val="000433CF"/>
    <w:rsid w:val="00061A72"/>
    <w:rsid w:val="00090B51"/>
    <w:rsid w:val="000A1363"/>
    <w:rsid w:val="000F1D24"/>
    <w:rsid w:val="001064F0"/>
    <w:rsid w:val="00113989"/>
    <w:rsid w:val="00126395"/>
    <w:rsid w:val="00140051"/>
    <w:rsid w:val="00145E68"/>
    <w:rsid w:val="00153CDF"/>
    <w:rsid w:val="00187DB0"/>
    <w:rsid w:val="001D634A"/>
    <w:rsid w:val="001E21D1"/>
    <w:rsid w:val="001E58A9"/>
    <w:rsid w:val="001F11E3"/>
    <w:rsid w:val="001F25B2"/>
    <w:rsid w:val="00213535"/>
    <w:rsid w:val="002148BA"/>
    <w:rsid w:val="002177A9"/>
    <w:rsid w:val="00222230"/>
    <w:rsid w:val="00225CBA"/>
    <w:rsid w:val="00227576"/>
    <w:rsid w:val="002355D2"/>
    <w:rsid w:val="0023778C"/>
    <w:rsid w:val="00237FB0"/>
    <w:rsid w:val="00252B3B"/>
    <w:rsid w:val="00255107"/>
    <w:rsid w:val="00255AF0"/>
    <w:rsid w:val="0026075D"/>
    <w:rsid w:val="00261BD1"/>
    <w:rsid w:val="00273AC1"/>
    <w:rsid w:val="00281523"/>
    <w:rsid w:val="002A4E89"/>
    <w:rsid w:val="002B03FB"/>
    <w:rsid w:val="002B4747"/>
    <w:rsid w:val="002D54BC"/>
    <w:rsid w:val="002F116E"/>
    <w:rsid w:val="002F1BB2"/>
    <w:rsid w:val="003148F9"/>
    <w:rsid w:val="00336BA2"/>
    <w:rsid w:val="00340B1E"/>
    <w:rsid w:val="003461D4"/>
    <w:rsid w:val="00362EB2"/>
    <w:rsid w:val="00362EF7"/>
    <w:rsid w:val="00372114"/>
    <w:rsid w:val="00387C2A"/>
    <w:rsid w:val="003A45AE"/>
    <w:rsid w:val="003C5524"/>
    <w:rsid w:val="003F1AB7"/>
    <w:rsid w:val="003F2083"/>
    <w:rsid w:val="003F5976"/>
    <w:rsid w:val="00402F3E"/>
    <w:rsid w:val="00415293"/>
    <w:rsid w:val="00430CA1"/>
    <w:rsid w:val="004408C3"/>
    <w:rsid w:val="004543A3"/>
    <w:rsid w:val="00464E35"/>
    <w:rsid w:val="00467B8D"/>
    <w:rsid w:val="00485F21"/>
    <w:rsid w:val="004B3CC2"/>
    <w:rsid w:val="004C068B"/>
    <w:rsid w:val="004E5420"/>
    <w:rsid w:val="004F0A19"/>
    <w:rsid w:val="004F3F42"/>
    <w:rsid w:val="004F5CBB"/>
    <w:rsid w:val="004F7401"/>
    <w:rsid w:val="00502280"/>
    <w:rsid w:val="0052112E"/>
    <w:rsid w:val="005269E8"/>
    <w:rsid w:val="005433BC"/>
    <w:rsid w:val="00552FF2"/>
    <w:rsid w:val="00563110"/>
    <w:rsid w:val="0057238B"/>
    <w:rsid w:val="00580DF7"/>
    <w:rsid w:val="005813F5"/>
    <w:rsid w:val="00591A5C"/>
    <w:rsid w:val="005A2036"/>
    <w:rsid w:val="005C2775"/>
    <w:rsid w:val="005D22C4"/>
    <w:rsid w:val="005D65EB"/>
    <w:rsid w:val="005D7C13"/>
    <w:rsid w:val="005D7CA9"/>
    <w:rsid w:val="005E77C0"/>
    <w:rsid w:val="00604718"/>
    <w:rsid w:val="00606F27"/>
    <w:rsid w:val="006076EF"/>
    <w:rsid w:val="006361E7"/>
    <w:rsid w:val="00651640"/>
    <w:rsid w:val="00652815"/>
    <w:rsid w:val="0065570B"/>
    <w:rsid w:val="006732DB"/>
    <w:rsid w:val="00694AC4"/>
    <w:rsid w:val="006A0D21"/>
    <w:rsid w:val="006C2EEC"/>
    <w:rsid w:val="006D1736"/>
    <w:rsid w:val="006D19BF"/>
    <w:rsid w:val="006D46AB"/>
    <w:rsid w:val="006E4855"/>
    <w:rsid w:val="006F599B"/>
    <w:rsid w:val="00704F9D"/>
    <w:rsid w:val="00706440"/>
    <w:rsid w:val="00706CFC"/>
    <w:rsid w:val="00706F99"/>
    <w:rsid w:val="00717067"/>
    <w:rsid w:val="00732A3E"/>
    <w:rsid w:val="00740FF7"/>
    <w:rsid w:val="00741454"/>
    <w:rsid w:val="0076399E"/>
    <w:rsid w:val="007670A0"/>
    <w:rsid w:val="007674E5"/>
    <w:rsid w:val="0076799C"/>
    <w:rsid w:val="00780EB3"/>
    <w:rsid w:val="00781685"/>
    <w:rsid w:val="007A141C"/>
    <w:rsid w:val="007B4B2B"/>
    <w:rsid w:val="007D7DBA"/>
    <w:rsid w:val="007F098D"/>
    <w:rsid w:val="0080273E"/>
    <w:rsid w:val="0082736E"/>
    <w:rsid w:val="0084044D"/>
    <w:rsid w:val="008431F6"/>
    <w:rsid w:val="00866822"/>
    <w:rsid w:val="008679FF"/>
    <w:rsid w:val="00883379"/>
    <w:rsid w:val="00884181"/>
    <w:rsid w:val="00886DD7"/>
    <w:rsid w:val="008A605D"/>
    <w:rsid w:val="008B0C92"/>
    <w:rsid w:val="008B1683"/>
    <w:rsid w:val="008C1B30"/>
    <w:rsid w:val="008C65DC"/>
    <w:rsid w:val="008E0174"/>
    <w:rsid w:val="008F2CCE"/>
    <w:rsid w:val="0090164C"/>
    <w:rsid w:val="00931BD2"/>
    <w:rsid w:val="00957394"/>
    <w:rsid w:val="009656D9"/>
    <w:rsid w:val="00966BCA"/>
    <w:rsid w:val="009771E0"/>
    <w:rsid w:val="00985F3A"/>
    <w:rsid w:val="009C38DA"/>
    <w:rsid w:val="009C6207"/>
    <w:rsid w:val="009C7720"/>
    <w:rsid w:val="009C7CB0"/>
    <w:rsid w:val="009D402C"/>
    <w:rsid w:val="009D4480"/>
    <w:rsid w:val="00A17D85"/>
    <w:rsid w:val="00A2283E"/>
    <w:rsid w:val="00A23030"/>
    <w:rsid w:val="00A24B10"/>
    <w:rsid w:val="00A26C6B"/>
    <w:rsid w:val="00A46E9F"/>
    <w:rsid w:val="00A80C3B"/>
    <w:rsid w:val="00A87CE8"/>
    <w:rsid w:val="00AA182E"/>
    <w:rsid w:val="00AC6299"/>
    <w:rsid w:val="00AD35FB"/>
    <w:rsid w:val="00AD381E"/>
    <w:rsid w:val="00AF0400"/>
    <w:rsid w:val="00AF4DD1"/>
    <w:rsid w:val="00B03C9E"/>
    <w:rsid w:val="00B06763"/>
    <w:rsid w:val="00B102F5"/>
    <w:rsid w:val="00B30AEB"/>
    <w:rsid w:val="00B35D15"/>
    <w:rsid w:val="00B43046"/>
    <w:rsid w:val="00B6336E"/>
    <w:rsid w:val="00B81A3E"/>
    <w:rsid w:val="00BA4BC3"/>
    <w:rsid w:val="00BA4E0C"/>
    <w:rsid w:val="00BA6A6E"/>
    <w:rsid w:val="00BC620F"/>
    <w:rsid w:val="00BC664D"/>
    <w:rsid w:val="00BD4319"/>
    <w:rsid w:val="00C3362E"/>
    <w:rsid w:val="00C34171"/>
    <w:rsid w:val="00C34AE9"/>
    <w:rsid w:val="00C3529B"/>
    <w:rsid w:val="00C56443"/>
    <w:rsid w:val="00C60352"/>
    <w:rsid w:val="00C7156A"/>
    <w:rsid w:val="00C76E54"/>
    <w:rsid w:val="00CB6255"/>
    <w:rsid w:val="00CC1689"/>
    <w:rsid w:val="00CC36F6"/>
    <w:rsid w:val="00CC4487"/>
    <w:rsid w:val="00CF3A12"/>
    <w:rsid w:val="00D031D8"/>
    <w:rsid w:val="00D10976"/>
    <w:rsid w:val="00D256E3"/>
    <w:rsid w:val="00D42816"/>
    <w:rsid w:val="00D42B74"/>
    <w:rsid w:val="00D469B8"/>
    <w:rsid w:val="00D6240A"/>
    <w:rsid w:val="00D63371"/>
    <w:rsid w:val="00D63FBE"/>
    <w:rsid w:val="00D65FF0"/>
    <w:rsid w:val="00D7043B"/>
    <w:rsid w:val="00D815A5"/>
    <w:rsid w:val="00D85717"/>
    <w:rsid w:val="00D96135"/>
    <w:rsid w:val="00DA3A2A"/>
    <w:rsid w:val="00DA3F16"/>
    <w:rsid w:val="00DC192D"/>
    <w:rsid w:val="00DC20B7"/>
    <w:rsid w:val="00DE7A11"/>
    <w:rsid w:val="00E01918"/>
    <w:rsid w:val="00E02A21"/>
    <w:rsid w:val="00E038AF"/>
    <w:rsid w:val="00E050EE"/>
    <w:rsid w:val="00E073E6"/>
    <w:rsid w:val="00E15288"/>
    <w:rsid w:val="00E1676C"/>
    <w:rsid w:val="00E272B0"/>
    <w:rsid w:val="00E51582"/>
    <w:rsid w:val="00E550E1"/>
    <w:rsid w:val="00E672D0"/>
    <w:rsid w:val="00E75C8A"/>
    <w:rsid w:val="00EA2FD5"/>
    <w:rsid w:val="00EA4E1B"/>
    <w:rsid w:val="00EE44AE"/>
    <w:rsid w:val="00EF061B"/>
    <w:rsid w:val="00F010A6"/>
    <w:rsid w:val="00F02CDE"/>
    <w:rsid w:val="00F13492"/>
    <w:rsid w:val="00F23101"/>
    <w:rsid w:val="00F30661"/>
    <w:rsid w:val="00F40E89"/>
    <w:rsid w:val="00F41E62"/>
    <w:rsid w:val="00F43E6D"/>
    <w:rsid w:val="00F86372"/>
    <w:rsid w:val="00F87DAC"/>
    <w:rsid w:val="00F917DA"/>
    <w:rsid w:val="00FA5868"/>
    <w:rsid w:val="00FB6F24"/>
    <w:rsid w:val="00FB757D"/>
    <w:rsid w:val="00FF0383"/>
    <w:rsid w:val="00FF0AAF"/>
    <w:rsid w:val="00FF1E47"/>
    <w:rsid w:val="00FF2F38"/>
    <w:rsid w:val="00FF48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B3300A0D-E58D-437C-896E-196A0FA4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Textodecomentrio">
    <w:name w:val="annotation text"/>
    <w:basedOn w:val="Normal"/>
    <w:link w:val="TextodecomentrioChar"/>
    <w:uiPriority w:val="99"/>
    <w:unhideWhenUsed/>
    <w:rsid w:val="00464E35"/>
    <w:pPr>
      <w:spacing w:after="200" w:line="240" w:lineRule="auto"/>
    </w:pPr>
    <w:rPr>
      <w:rFonts w:ascii="Times New Roman" w:eastAsiaTheme="minorHAnsi" w:hAnsi="Times New Roman" w:cs="Times New Roman"/>
      <w:sz w:val="20"/>
      <w:szCs w:val="20"/>
    </w:rPr>
  </w:style>
  <w:style w:type="character" w:customStyle="1" w:styleId="TextodecomentrioChar">
    <w:name w:val="Texto de comentário Char"/>
    <w:basedOn w:val="Fontepargpadro"/>
    <w:link w:val="Textodecomentrio"/>
    <w:uiPriority w:val="99"/>
    <w:rsid w:val="00464E35"/>
    <w:rPr>
      <w:rFonts w:ascii="Times New Roman" w:eastAsiaTheme="minorHAnsi" w:hAnsi="Times New Roman" w:cs="Times New Roman"/>
      <w:sz w:val="20"/>
      <w:szCs w:val="20"/>
    </w:rPr>
  </w:style>
  <w:style w:type="character" w:styleId="TextodoEspaoReservado">
    <w:name w:val="Placeholder Text"/>
    <w:basedOn w:val="Fontepargpadro"/>
    <w:uiPriority w:val="99"/>
    <w:semiHidden/>
    <w:rsid w:val="00C3362E"/>
    <w:rPr>
      <w:color w:val="808080"/>
    </w:rPr>
  </w:style>
  <w:style w:type="table" w:styleId="Tabelacomgrade">
    <w:name w:val="Table Grid"/>
    <w:basedOn w:val="Tabelanormal"/>
    <w:uiPriority w:val="59"/>
    <w:rsid w:val="008E0174"/>
    <w:pPr>
      <w:spacing w:after="0" w:line="240" w:lineRule="auto"/>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5813F5"/>
    <w:pPr>
      <w:spacing w:after="0" w:line="240" w:lineRule="auto"/>
    </w:pPr>
  </w:style>
  <w:style w:type="character" w:styleId="Refdecomentrio">
    <w:name w:val="annotation reference"/>
    <w:basedOn w:val="Fontepargpadro"/>
    <w:uiPriority w:val="99"/>
    <w:semiHidden/>
    <w:unhideWhenUsed/>
    <w:rsid w:val="006D1736"/>
    <w:rPr>
      <w:sz w:val="16"/>
      <w:szCs w:val="16"/>
    </w:rPr>
  </w:style>
  <w:style w:type="paragraph" w:styleId="Assuntodocomentrio">
    <w:name w:val="annotation subject"/>
    <w:basedOn w:val="Textodecomentrio"/>
    <w:next w:val="Textodecomentrio"/>
    <w:link w:val="AssuntodocomentrioChar"/>
    <w:uiPriority w:val="99"/>
    <w:semiHidden/>
    <w:unhideWhenUsed/>
    <w:rsid w:val="006D1736"/>
    <w:pPr>
      <w:spacing w:after="160"/>
    </w:pPr>
    <w:rPr>
      <w:rFonts w:asciiTheme="minorHAnsi" w:eastAsiaTheme="minorEastAsia" w:hAnsiTheme="minorHAnsi" w:cstheme="minorBidi"/>
      <w:b/>
      <w:bCs/>
    </w:rPr>
  </w:style>
  <w:style w:type="character" w:customStyle="1" w:styleId="AssuntodocomentrioChar">
    <w:name w:val="Assunto do comentário Char"/>
    <w:basedOn w:val="TextodecomentrioChar"/>
    <w:link w:val="Assuntodocomentrio"/>
    <w:uiPriority w:val="99"/>
    <w:semiHidden/>
    <w:rsid w:val="006D1736"/>
    <w:rPr>
      <w:rFonts w:ascii="Times New Roman" w:eastAsiaTheme="minorHAns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tiff"/><Relationship Id="rId5" Type="http://schemas.openxmlformats.org/officeDocument/2006/relationships/webSettings" Target="webSettings.xml"/><Relationship Id="rId10" Type="http://schemas.openxmlformats.org/officeDocument/2006/relationships/image" Target="media/image4.tiff"/><Relationship Id="rId4" Type="http://schemas.openxmlformats.org/officeDocument/2006/relationships/settings" Target="settings.xml"/><Relationship Id="rId9" Type="http://schemas.openxmlformats.org/officeDocument/2006/relationships/image" Target="media/image3.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4882</Words>
  <Characters>26366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Marcel Ribeiro Gallo</dc:creator>
  <cp:keywords/>
  <dc:description/>
  <cp:lastModifiedBy>Zuy Magriotis</cp:lastModifiedBy>
  <cp:revision>7</cp:revision>
  <dcterms:created xsi:type="dcterms:W3CDTF">2023-05-11T16:53:00Z</dcterms:created>
  <dcterms:modified xsi:type="dcterms:W3CDTF">2023-05-14T18:50:00Z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http://www.zotero.org/styles/acs-catalysis</vt:lpwstr>
  </property>
  <property fmtid="{D5CDD505-2E9C-101B-9397-08002B2CF9AE}" pid="3" name="Mendeley Recent Style Name 0_1">
    <vt:lpwstr>ACS Catalysis</vt:lpwstr>
  </property>
  <property fmtid="{D5CDD505-2E9C-101B-9397-08002B2CF9AE}" pid="4" name="Mendeley Recent Style Id 1_1">
    <vt:lpwstr>http://www.zotero.org/styles/associacao-nacional-de-pesquisa-e-ensino-em-transportes</vt:lpwstr>
  </property>
  <property fmtid="{D5CDD505-2E9C-101B-9397-08002B2CF9AE}" pid="5" name="Mendeley Recent Style Name 1_1">
    <vt:lpwstr>ANPET - Congresso de Pesquisa e Ensino em Transportes (Português - Brasil)</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http://www.zotero.org/styles/energy-conversion-and-management</vt:lpwstr>
  </property>
  <property fmtid="{D5CDD505-2E9C-101B-9397-08002B2CF9AE}" pid="11" name="Mendeley Recent Style Name 4_1">
    <vt:lpwstr>Energy Conversion and Management</vt:lpwstr>
  </property>
  <property fmtid="{D5CDD505-2E9C-101B-9397-08002B2CF9AE}" pid="12" name="Mendeley Recent Style Id 5_1">
    <vt:lpwstr>http://www.zotero.org/styles/fuel-processing-technology</vt:lpwstr>
  </property>
  <property fmtid="{D5CDD505-2E9C-101B-9397-08002B2CF9AE}" pid="13" name="Mendeley Recent Style Name 5_1">
    <vt:lpwstr>Fuel Processing Technology</vt:lpwstr>
  </property>
  <property fmtid="{D5CDD505-2E9C-101B-9397-08002B2CF9AE}" pid="14" name="Mendeley Recent Style Id 6_1">
    <vt:lpwstr>http://www.zotero.org/styles/journal-of-analytical-and-applied-pyrolysis</vt:lpwstr>
  </property>
  <property fmtid="{D5CDD505-2E9C-101B-9397-08002B2CF9AE}" pid="15" name="Mendeley Recent Style Name 6_1">
    <vt:lpwstr>Journal of Analytical and Applied Pyrolysis</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ba426663-7518-3926-8ced-c1468c3b03b4</vt:lpwstr>
  </property>
</Properties>
</file>