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9B07" w14:textId="77777777" w:rsidR="00B830D9" w:rsidRDefault="00000000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310F2C93" wp14:editId="2E2DCC89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6507480" cy="167640"/>
                <wp:effectExtent l="0" t="0" r="0" b="0"/>
                <wp:wrapNone/>
                <wp:docPr id="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360" cy="16776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257C704" w14:textId="77777777" w:rsidR="00B830D9" w:rsidRDefault="00B830D9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4C7AAF3B" w14:textId="77777777" w:rsidR="00B830D9" w:rsidRDefault="00B830D9">
                            <w:pPr>
                              <w:pStyle w:val="SemEspaamento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t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F2C93" id="Retângulo 3" o:spid="_x0000_s1026" style="position:absolute;left:0;text-align:left;margin-left:0;margin-top:.05pt;width:512.4pt;height:13.2pt;z-index: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" o:allowincell="f" fillcolor="#9a0000" stroked="f" strokeweight="1pt">
                <v:textbox inset=",0,,0">
                  <w:txbxContent>
                    <w:p w14:paraId="1257C704" w14:textId="77777777" w:rsidR="00B830D9" w:rsidRDefault="00B830D9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4C7AAF3B" w14:textId="77777777" w:rsidR="00B830D9" w:rsidRDefault="00B830D9">
                      <w:pPr>
                        <w:pStyle w:val="SemEspaamento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1324517"/>
    </w:p>
    <w:p w14:paraId="15DE4678" w14:textId="77777777" w:rsidR="00BC1D8E" w:rsidRDefault="00BC1D8E" w:rsidP="00BC1D8E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1" w:name="_Hlk134966153"/>
      <w:bookmarkEnd w:id="0"/>
      <w:r>
        <w:rPr>
          <w:sz w:val="32"/>
          <w:lang w:val="pt-BR"/>
        </w:rPr>
        <w:t>Oxidação de sulfetos via compósitos de NiWO</w:t>
      </w:r>
      <w:r w:rsidRPr="00861034">
        <w:rPr>
          <w:sz w:val="32"/>
          <w:vertAlign w:val="subscript"/>
          <w:lang w:val="pt-BR"/>
        </w:rPr>
        <w:t>4</w:t>
      </w:r>
      <w:r>
        <w:rPr>
          <w:sz w:val="32"/>
          <w:lang w:val="pt-BR"/>
        </w:rPr>
        <w:t xml:space="preserve"> suportados em quitosana</w:t>
      </w:r>
    </w:p>
    <w:p w14:paraId="0B4224CA" w14:textId="77777777" w:rsidR="00BC1D8E" w:rsidRPr="00BC1D8E" w:rsidRDefault="00BC1D8E" w:rsidP="00BC1D8E">
      <w:pPr>
        <w:pStyle w:val="BBAuthorName"/>
        <w:rPr>
          <w:lang w:val="pt-BR"/>
        </w:rPr>
      </w:pPr>
    </w:p>
    <w:p w14:paraId="038A1FE5" w14:textId="77777777" w:rsidR="00BC1D8E" w:rsidRDefault="00BC1D8E" w:rsidP="00BC1D8E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bookmarkStart w:id="2" w:name="_Hlk134966186"/>
      <w:bookmarkEnd w:id="1"/>
      <w:r>
        <w:rPr>
          <w:rFonts w:ascii="Times New Roman" w:hAnsi="Times New Roman"/>
          <w:sz w:val="20"/>
          <w:lang w:val="pt-BR"/>
        </w:rPr>
        <w:t>Giovanna A. Grasser,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 Lara K. Ribeiro,</w:t>
      </w:r>
      <w:r>
        <w:rPr>
          <w:rFonts w:ascii="Times New Roman" w:hAnsi="Times New Roman"/>
          <w:sz w:val="20"/>
          <w:vertAlign w:val="superscript"/>
          <w:lang w:val="pt-BR"/>
        </w:rPr>
        <w:t>1,2</w:t>
      </w:r>
      <w:r>
        <w:rPr>
          <w:rFonts w:ascii="Times New Roman" w:hAnsi="Times New Roman"/>
          <w:sz w:val="20"/>
          <w:lang w:val="pt-BR"/>
        </w:rPr>
        <w:t xml:space="preserve"> Juan Andrés,</w:t>
      </w:r>
      <w:r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 xml:space="preserve"> Elson Longo,</w:t>
      </w:r>
      <w:r w:rsidRPr="00117B83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 e Marcelo Assis</w:t>
      </w:r>
      <w:r>
        <w:rPr>
          <w:rFonts w:ascii="Times New Roman" w:hAnsi="Times New Roman"/>
          <w:sz w:val="20"/>
          <w:vertAlign w:val="superscript"/>
          <w:lang w:val="pt-BR"/>
        </w:rPr>
        <w:t>2</w:t>
      </w:r>
    </w:p>
    <w:bookmarkEnd w:id="2"/>
    <w:p w14:paraId="64F644BE" w14:textId="77777777" w:rsidR="009233B3" w:rsidRPr="004F5676" w:rsidRDefault="009233B3" w:rsidP="009233B3">
      <w:pPr>
        <w:pStyle w:val="BCAuthorAddress"/>
        <w:spacing w:after="0"/>
        <w:ind w:right="-103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Pr="004F5676">
        <w:rPr>
          <w:lang w:val="pt-BR"/>
        </w:rPr>
        <w:t xml:space="preserve"> Centro de Desenvolvimento de Materiais Funcionais (CDMF), Universidade Federal de</w:t>
      </w:r>
      <w:r>
        <w:rPr>
          <w:lang w:val="pt-BR"/>
        </w:rPr>
        <w:t xml:space="preserve"> </w:t>
      </w:r>
      <w:r w:rsidRPr="004F5676">
        <w:rPr>
          <w:lang w:val="pt-BR"/>
        </w:rPr>
        <w:t xml:space="preserve">São Carlos (UFSCar), São Carlos, Brasil. </w:t>
      </w:r>
    </w:p>
    <w:p w14:paraId="56B821D6" w14:textId="77777777" w:rsidR="009233B3" w:rsidRDefault="009233B3" w:rsidP="009233B3">
      <w:pPr>
        <w:pStyle w:val="BCAuthorAddress"/>
        <w:spacing w:after="0"/>
        <w:ind w:right="0"/>
        <w:jc w:val="both"/>
        <w:rPr>
          <w:lang w:val="pt-BR"/>
        </w:rPr>
      </w:pPr>
      <w:r>
        <w:rPr>
          <w:lang w:val="pt-BR"/>
        </w:rPr>
        <w:t>³</w:t>
      </w:r>
      <w:r w:rsidRPr="004F5676">
        <w:rPr>
          <w:lang w:val="pt-BR"/>
        </w:rPr>
        <w:t xml:space="preserve">Departamento de </w:t>
      </w:r>
      <w:r>
        <w:rPr>
          <w:lang w:val="pt-BR"/>
        </w:rPr>
        <w:t>Físico-química e Analítica</w:t>
      </w:r>
      <w:r w:rsidRPr="004F5676">
        <w:rPr>
          <w:lang w:val="pt-BR"/>
        </w:rPr>
        <w:t>, Universidade Jaume I</w:t>
      </w:r>
      <w:r>
        <w:rPr>
          <w:lang w:val="pt-BR"/>
        </w:rPr>
        <w:t xml:space="preserve"> (UJI)</w:t>
      </w:r>
      <w:r w:rsidRPr="004F5676">
        <w:rPr>
          <w:lang w:val="pt-BR"/>
        </w:rPr>
        <w:t xml:space="preserve">, </w:t>
      </w:r>
      <w:proofErr w:type="spellStart"/>
      <w:r w:rsidRPr="004F5676">
        <w:rPr>
          <w:lang w:val="pt-BR"/>
        </w:rPr>
        <w:t>Castellón</w:t>
      </w:r>
      <w:proofErr w:type="spellEnd"/>
      <w:r w:rsidRPr="004F5676">
        <w:rPr>
          <w:lang w:val="pt-BR"/>
        </w:rPr>
        <w:t xml:space="preserve"> de </w:t>
      </w:r>
      <w:proofErr w:type="spellStart"/>
      <w:r w:rsidRPr="004F5676">
        <w:rPr>
          <w:lang w:val="pt-BR"/>
        </w:rPr>
        <w:t>la</w:t>
      </w:r>
      <w:proofErr w:type="spellEnd"/>
      <w:r w:rsidRPr="004F5676">
        <w:rPr>
          <w:lang w:val="pt-BR"/>
        </w:rPr>
        <w:t xml:space="preserve"> Plana, Espanha.</w:t>
      </w:r>
    </w:p>
    <w:p w14:paraId="70F6EF66" w14:textId="77777777" w:rsidR="00B830D9" w:rsidRDefault="00000000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noProof/>
          <w:sz w:val="20"/>
          <w:lang w:val="pt-BR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252C2FA4" wp14:editId="2B2C62BF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0" b="0"/>
                <wp:wrapNone/>
                <wp:docPr id="3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360" cy="16776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C5D30BC" w14:textId="77777777" w:rsidR="00B830D9" w:rsidRDefault="0000000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cs="Helvetica"/>
                                <w:bCs/>
                                <w:color w:val="FFFFFF"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E23924E" w14:textId="77777777" w:rsidR="00B830D9" w:rsidRDefault="00B830D9">
                            <w:pPr>
                              <w:pStyle w:val="SemEspaamento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tIns="0" bIns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C2FA4" id="Retângulo 4" o:spid="_x0000_s1027" style="position:absolute;left:0;text-align:left;margin-left:461.2pt;margin-top:2.75pt;width:512.4pt;height:13.2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" o:allowincell="f" fillcolor="#9a0000" stroked="f" strokeweight="1pt">
                <v:textbox inset=",0,,0">
                  <w:txbxContent>
                    <w:p w14:paraId="5C5D30BC" w14:textId="77777777" w:rsidR="00B830D9" w:rsidRDefault="0000000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>
                        <w:rPr>
                          <w:rFonts w:cs="Helvetica"/>
                          <w:bCs/>
                          <w:color w:val="FFFFFF"/>
                          <w:sz w:val="20"/>
                          <w:lang w:val="pt-BR"/>
                        </w:rPr>
                        <w:t>Resumo/Abstract</w:t>
                      </w:r>
                    </w:p>
                    <w:p w14:paraId="7E23924E" w14:textId="77777777" w:rsidR="00B830D9" w:rsidRDefault="00B830D9">
                      <w:pPr>
                        <w:pStyle w:val="SemEspaamento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4B0208" w14:textId="77777777" w:rsidR="00B830D9" w:rsidRDefault="00B830D9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7499CEFC" w14:textId="77777777" w:rsidR="00BC1D8E" w:rsidRPr="00117B83" w:rsidRDefault="00000000" w:rsidP="00BC1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RESUMO - </w:t>
      </w:r>
      <w:r w:rsidR="00BC1D8E" w:rsidRPr="00117B83">
        <w:rPr>
          <w:rFonts w:ascii="Times New Roman" w:hAnsi="Times New Roman" w:cs="Times New Roman"/>
          <w:sz w:val="20"/>
          <w:szCs w:val="20"/>
        </w:rPr>
        <w:t xml:space="preserve">A contínua procura por combustíveis mais limpos </w:t>
      </w:r>
      <w:r w:rsidR="00BC1D8E">
        <w:rPr>
          <w:rFonts w:ascii="Times New Roman" w:hAnsi="Times New Roman" w:cs="Times New Roman"/>
          <w:sz w:val="20"/>
          <w:szCs w:val="20"/>
        </w:rPr>
        <w:t xml:space="preserve">e o desenvolvimento de medicamentos </w:t>
      </w:r>
      <w:r w:rsidR="00BC1D8E" w:rsidRPr="00117B83">
        <w:rPr>
          <w:rFonts w:ascii="Times New Roman" w:hAnsi="Times New Roman" w:cs="Times New Roman"/>
          <w:sz w:val="20"/>
          <w:szCs w:val="20"/>
        </w:rPr>
        <w:t>motivam o desenvolvimento de materiais funcionais capazes de transformar um composto indesejado em outro. Sobre esse raciocínio, nanomateriais podem ser adotados na elaboração como catalisadores, eficientes e de baixo custo para a oxidação de sulfetos. Desta maneira, o presente trabalho busca empregar um catalisador a base de um semicondutor, NiWO</w:t>
      </w:r>
      <w:r w:rsidR="00BC1D8E" w:rsidRPr="00117B8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BC1D8E" w:rsidRPr="00117B83">
        <w:rPr>
          <w:rFonts w:ascii="Times New Roman" w:hAnsi="Times New Roman" w:cs="Times New Roman"/>
          <w:sz w:val="20"/>
          <w:szCs w:val="20"/>
        </w:rPr>
        <w:t xml:space="preserve">, além de encapsular estas partículas com um suporte biodegradável </w:t>
      </w:r>
      <w:r w:rsidR="00BC1D8E">
        <w:rPr>
          <w:rFonts w:ascii="Times New Roman" w:hAnsi="Times New Roman" w:cs="Times New Roman"/>
          <w:sz w:val="20"/>
          <w:szCs w:val="20"/>
        </w:rPr>
        <w:t>de</w:t>
      </w:r>
      <w:r w:rsidR="00BC1D8E" w:rsidRPr="00117B83">
        <w:rPr>
          <w:rFonts w:ascii="Times New Roman" w:hAnsi="Times New Roman" w:cs="Times New Roman"/>
          <w:sz w:val="20"/>
          <w:szCs w:val="20"/>
        </w:rPr>
        <w:t xml:space="preserve"> quitosana, auxiliando a dispersão, estabilidade e reciclagem do catalisador. Para a realização do trabalho os parâmetros composicionais do catalisador foram variados, e este foi analisado estruturalmente por difração de raios-x, </w:t>
      </w:r>
      <w:r w:rsidR="00BC1D8E">
        <w:rPr>
          <w:rFonts w:ascii="Times New Roman" w:hAnsi="Times New Roman" w:cs="Times New Roman"/>
          <w:sz w:val="20"/>
          <w:szCs w:val="20"/>
        </w:rPr>
        <w:t>microscopia eletrônica de varredura acoplada com espectroscopia de e</w:t>
      </w:r>
      <w:r w:rsidR="00BC1D8E" w:rsidRPr="00117B83">
        <w:rPr>
          <w:rFonts w:ascii="Times New Roman" w:hAnsi="Times New Roman" w:cs="Times New Roman"/>
          <w:sz w:val="20"/>
          <w:szCs w:val="20"/>
        </w:rPr>
        <w:t xml:space="preserve">nergia dispersiva de </w:t>
      </w:r>
      <w:r w:rsidR="00BC1D8E">
        <w:rPr>
          <w:rFonts w:ascii="Times New Roman" w:hAnsi="Times New Roman" w:cs="Times New Roman"/>
          <w:sz w:val="20"/>
          <w:szCs w:val="20"/>
        </w:rPr>
        <w:t>r</w:t>
      </w:r>
      <w:r w:rsidR="00BC1D8E" w:rsidRPr="00117B83">
        <w:rPr>
          <w:rFonts w:ascii="Times New Roman" w:hAnsi="Times New Roman" w:cs="Times New Roman"/>
          <w:sz w:val="20"/>
          <w:szCs w:val="20"/>
        </w:rPr>
        <w:t>aio</w:t>
      </w:r>
      <w:r w:rsidR="00BC1D8E">
        <w:rPr>
          <w:rFonts w:ascii="Times New Roman" w:hAnsi="Times New Roman" w:cs="Times New Roman"/>
          <w:sz w:val="20"/>
          <w:szCs w:val="20"/>
        </w:rPr>
        <w:t>s</w:t>
      </w:r>
      <w:r w:rsidR="00BC1D8E" w:rsidRPr="00117B83">
        <w:rPr>
          <w:rFonts w:ascii="Times New Roman" w:hAnsi="Times New Roman" w:cs="Times New Roman"/>
          <w:sz w:val="20"/>
          <w:szCs w:val="20"/>
        </w:rPr>
        <w:t xml:space="preserve">-X. A avaliação do potencial catalítico desse material frente à oxidação de sulfetos, foi realizado utilizando como molécula de sulfeto padrão o </w:t>
      </w:r>
      <w:proofErr w:type="spellStart"/>
      <w:r w:rsidR="00BC1D8E"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>metilsulfanilbenzeno</w:t>
      </w:r>
      <w:proofErr w:type="spellEnd"/>
      <w:r w:rsidR="00BC1D8E" w:rsidRPr="00117B8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BC1D8E" w:rsidRPr="00117B83">
        <w:rPr>
          <w:rFonts w:ascii="Times New Roman" w:hAnsi="Times New Roman" w:cs="Times New Roman"/>
          <w:sz w:val="20"/>
          <w:szCs w:val="20"/>
        </w:rPr>
        <w:t>tioanisol</w:t>
      </w:r>
      <w:proofErr w:type="spellEnd"/>
      <w:r w:rsidR="00BC1D8E" w:rsidRPr="00117B83">
        <w:rPr>
          <w:rFonts w:ascii="Times New Roman" w:hAnsi="Times New Roman" w:cs="Times New Roman"/>
          <w:sz w:val="20"/>
          <w:szCs w:val="20"/>
        </w:rPr>
        <w:t>)</w:t>
      </w:r>
      <w:r w:rsidR="00BC1D8E">
        <w:rPr>
          <w:rFonts w:ascii="Times New Roman" w:hAnsi="Times New Roman" w:cs="Times New Roman"/>
          <w:sz w:val="20"/>
          <w:szCs w:val="20"/>
        </w:rPr>
        <w:t>, avaliando-se os parâmetros reacionais de temperatura, tempo, quantidade de catalisador, composição do catalisador, tipo e quantidade de oxidante e solvente, afim de se encontrar as condições catalíticas mais brandas possíveis.</w:t>
      </w:r>
    </w:p>
    <w:p w14:paraId="4BA690D5" w14:textId="77777777" w:rsidR="00BC1D8E" w:rsidRPr="00117B83" w:rsidRDefault="00BC1D8E" w:rsidP="00BC1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B83">
        <w:rPr>
          <w:rFonts w:ascii="Times New Roman" w:hAnsi="Times New Roman" w:cs="Times New Roman"/>
          <w:i/>
          <w:iCs/>
          <w:sz w:val="20"/>
          <w:szCs w:val="20"/>
        </w:rPr>
        <w:t>Palavras-chave:</w:t>
      </w:r>
      <w:r w:rsidRPr="00117B83">
        <w:rPr>
          <w:rFonts w:ascii="Times New Roman" w:hAnsi="Times New Roman" w:cs="Times New Roman"/>
          <w:sz w:val="20"/>
          <w:szCs w:val="20"/>
        </w:rPr>
        <w:t xml:space="preserve"> oxidação de sulfetos, biocompósitos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7B83">
        <w:rPr>
          <w:rFonts w:ascii="Times New Roman" w:hAnsi="Times New Roman" w:cs="Times New Roman"/>
          <w:sz w:val="20"/>
          <w:szCs w:val="20"/>
        </w:rPr>
        <w:t xml:space="preserve"> catálise heterogênea.</w:t>
      </w:r>
    </w:p>
    <w:p w14:paraId="500F1BD0" w14:textId="77777777" w:rsidR="00B830D9" w:rsidRDefault="00B830D9" w:rsidP="00BC1D8E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EAACBA2" w14:textId="77777777" w:rsidR="00BC1D8E" w:rsidRDefault="00000000" w:rsidP="00BC1D8E">
      <w:pPr>
        <w:pStyle w:val="BDAbstract"/>
        <w:spacing w:before="0" w:after="0" w:line="240" w:lineRule="auto"/>
        <w:rPr>
          <w:rFonts w:ascii="Segoe UI" w:hAnsi="Segoe UI" w:cs="Segoe UI"/>
          <w:color w:val="374151"/>
          <w:shd w:val="clear" w:color="auto" w:fill="F7F7F8"/>
        </w:rPr>
      </w:pPr>
      <w:r w:rsidRPr="009233B3">
        <w:rPr>
          <w:rFonts w:ascii="Times New Roman" w:hAnsi="Times New Roman"/>
          <w:b w:val="0"/>
          <w:sz w:val="20"/>
        </w:rPr>
        <w:t xml:space="preserve">ABSTRACT - </w:t>
      </w:r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 xml:space="preserve">The continuous search for cleaner fuels </w:t>
      </w:r>
      <w:r w:rsidR="00BC1D8E">
        <w:rPr>
          <w:rFonts w:ascii="Times New Roman" w:eastAsiaTheme="minorEastAsia" w:hAnsi="Times New Roman"/>
          <w:b w:val="0"/>
          <w:sz w:val="20"/>
          <w:lang w:val="en-GB" w:eastAsia="en-US"/>
        </w:rPr>
        <w:t xml:space="preserve">and the development of new drugs </w:t>
      </w:r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>motivates the development of functional materials capable of transforming unwanted compounds into others. Following this reasoning, nanomaterials can be employed as efficient and low-cost catalysts for the oxidation of sulfides. In this regard, this study aims to employ a semiconductor-based catalyst, NiWO</w:t>
      </w:r>
      <w:r w:rsidR="00BC1D8E" w:rsidRPr="00117B83">
        <w:rPr>
          <w:rFonts w:ascii="Times New Roman" w:eastAsiaTheme="minorEastAsia" w:hAnsi="Times New Roman"/>
          <w:b w:val="0"/>
          <w:sz w:val="20"/>
          <w:vertAlign w:val="subscript"/>
          <w:lang w:val="en-GB" w:eastAsia="en-US"/>
        </w:rPr>
        <w:t>4</w:t>
      </w:r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 xml:space="preserve">, and encapsulate these particles with biodegradable chitosan support, aiding in the dispersion, stability, and recycling of the catalyst. The compositional parameters of the catalyst were varied, and it was structurally </w:t>
      </w:r>
      <w:proofErr w:type="spellStart"/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>analyzed</w:t>
      </w:r>
      <w:proofErr w:type="spellEnd"/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 xml:space="preserve"> by X-ray diffraction and scanning electron microscopy coupled with energy-dispersive X-ray spectroscopy. The assessment of the catalytic potential of this material in sulfide oxidation was carried out using the standard </w:t>
      </w:r>
      <w:proofErr w:type="spellStart"/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>sulfide</w:t>
      </w:r>
      <w:proofErr w:type="spellEnd"/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 xml:space="preserve"> molecule, </w:t>
      </w:r>
      <w:proofErr w:type="spellStart"/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>methylsulfanilbenzene</w:t>
      </w:r>
      <w:proofErr w:type="spellEnd"/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 xml:space="preserve"> (</w:t>
      </w:r>
      <w:proofErr w:type="spellStart"/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>thioanisole</w:t>
      </w:r>
      <w:proofErr w:type="spellEnd"/>
      <w:r w:rsidR="00BC1D8E" w:rsidRPr="00117B83">
        <w:rPr>
          <w:rFonts w:ascii="Times New Roman" w:eastAsiaTheme="minorEastAsia" w:hAnsi="Times New Roman"/>
          <w:b w:val="0"/>
          <w:sz w:val="20"/>
          <w:lang w:val="en-GB" w:eastAsia="en-US"/>
        </w:rPr>
        <w:t>), evaluating the reaction parameters of temperature, time, catalyst quantity, catalyst composition, type and quantity of oxidant, and solvent to determine the mildest catalytic conditions possible.</w:t>
      </w:r>
    </w:p>
    <w:p w14:paraId="2952F439" w14:textId="77777777" w:rsidR="00BC1D8E" w:rsidRPr="00117B83" w:rsidRDefault="00BC1D8E" w:rsidP="00BC1D8E">
      <w:pPr>
        <w:pStyle w:val="BDAbstract"/>
        <w:spacing w:before="0" w:after="0" w:line="240" w:lineRule="auto"/>
        <w:rPr>
          <w:rFonts w:ascii="Times New Roman" w:hAnsi="Times New Roman"/>
          <w:b w:val="0"/>
          <w:iCs/>
          <w:sz w:val="20"/>
          <w:lang w:val="en-GB"/>
        </w:rPr>
      </w:pPr>
      <w:r w:rsidRPr="00DF2F86">
        <w:rPr>
          <w:rFonts w:ascii="Times New Roman" w:hAnsi="Times New Roman"/>
          <w:b w:val="0"/>
          <w:i/>
          <w:sz w:val="20"/>
          <w:lang w:val="en-GB"/>
        </w:rPr>
        <w:t xml:space="preserve">Keywords: </w:t>
      </w:r>
      <w:r w:rsidRPr="00117B83">
        <w:rPr>
          <w:rFonts w:ascii="Times New Roman" w:hAnsi="Times New Roman"/>
          <w:b w:val="0"/>
          <w:iCs/>
          <w:sz w:val="20"/>
          <w:lang w:val="en-GB"/>
        </w:rPr>
        <w:t>oxidation of sulfides, biocomposites, heterogeneous catalysis</w:t>
      </w:r>
    </w:p>
    <w:p w14:paraId="6E6FF79C" w14:textId="77777777" w:rsidR="00B830D9" w:rsidRPr="009233B3" w:rsidRDefault="00B830D9">
      <w:pPr>
        <w:rPr>
          <w:lang w:val="en-US"/>
        </w:rPr>
        <w:sectPr w:rsidR="00B830D9" w:rsidRPr="009233B3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0" w:gutter="0"/>
          <w:cols w:space="720"/>
          <w:formProt w:val="0"/>
          <w:docGrid w:linePitch="360" w:charSpace="5938"/>
        </w:sectPr>
      </w:pPr>
    </w:p>
    <w:p w14:paraId="587B11C2" w14:textId="77777777" w:rsidR="00B830D9" w:rsidRDefault="00000000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Introdução</w:t>
      </w:r>
      <w:r>
        <w:rPr>
          <w:rFonts w:ascii="Times New Roman" w:hAnsi="Times New Roman"/>
        </w:rPr>
        <w:t xml:space="preserve"> </w:t>
      </w:r>
    </w:p>
    <w:p w14:paraId="04652383" w14:textId="6E198486" w:rsidR="00BC1D8E" w:rsidRPr="00C35AE0" w:rsidRDefault="00BC1D8E" w:rsidP="00BC1D8E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C35AE0">
        <w:rPr>
          <w:rFonts w:ascii="Times New Roman" w:hAnsi="Times New Roman" w:cs="Times New Roman"/>
          <w:sz w:val="20"/>
          <w:szCs w:val="20"/>
        </w:rPr>
        <w:t xml:space="preserve">Os impactos da poluição ambiental nos ecossistemas têm se tornado mais severos dado a rápida urbanização e o crescimento </w:t>
      </w:r>
      <w:r w:rsidR="00A94B62" w:rsidRPr="00C35AE0">
        <w:rPr>
          <w:rFonts w:ascii="Times New Roman" w:hAnsi="Times New Roman" w:cs="Times New Roman"/>
          <w:sz w:val="20"/>
          <w:szCs w:val="20"/>
        </w:rPr>
        <w:t>industrial.</w:t>
      </w:r>
      <w:r w:rsidR="00A94B62">
        <w:rPr>
          <w:rFonts w:ascii="Times New Roman" w:hAnsi="Times New Roman" w:cs="Times New Roman"/>
          <w:sz w:val="20"/>
          <w:szCs w:val="20"/>
        </w:rPr>
        <w:t xml:space="preserve"> (</w:t>
      </w:r>
      <w:r w:rsidRPr="00C35AE0">
        <w:rPr>
          <w:rFonts w:ascii="Times New Roman" w:hAnsi="Times New Roman" w:cs="Times New Roman"/>
          <w:sz w:val="20"/>
          <w:szCs w:val="20"/>
        </w:rPr>
        <w:t>1</w:t>
      </w:r>
      <w:r w:rsidR="00CE1463">
        <w:rPr>
          <w:rFonts w:ascii="Times New Roman" w:hAnsi="Times New Roman" w:cs="Times New Roman"/>
          <w:sz w:val="20"/>
          <w:szCs w:val="20"/>
        </w:rPr>
        <w:t>)</w:t>
      </w:r>
      <w:r w:rsidRPr="00C35AE0">
        <w:rPr>
          <w:rFonts w:ascii="Times New Roman" w:hAnsi="Times New Roman" w:cs="Times New Roman"/>
          <w:sz w:val="20"/>
          <w:szCs w:val="20"/>
        </w:rPr>
        <w:t xml:space="preserve"> Uma parcela substancial da geração de poluentes é provocada pela combustão de compostos sulfurados presentes em combustíveis derivados de petróleo. A emissão contínua de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SO</w:t>
      </w:r>
      <w:r w:rsidRPr="00C35AE0">
        <w:rPr>
          <w:rFonts w:ascii="Times New Roman" w:hAnsi="Times New Roman" w:cs="Times New Roman"/>
          <w:sz w:val="20"/>
          <w:szCs w:val="20"/>
          <w:vertAlign w:val="subscript"/>
        </w:rPr>
        <w:t>x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 acarreta danos graves na saúde da população, especialmente no sistema respiratório. Além disso, esses são responsáveis pela chuva ácida, o que contribuí para smog </w:t>
      </w:r>
      <w:r w:rsidR="00A94B62" w:rsidRPr="00C35AE0">
        <w:rPr>
          <w:rFonts w:ascii="Times New Roman" w:hAnsi="Times New Roman" w:cs="Times New Roman"/>
          <w:sz w:val="20"/>
          <w:szCs w:val="20"/>
        </w:rPr>
        <w:t>fotoquímico.</w:t>
      </w:r>
      <w:r w:rsidR="00A94B62">
        <w:rPr>
          <w:rFonts w:ascii="Times New Roman" w:hAnsi="Times New Roman" w:cs="Times New Roman"/>
          <w:sz w:val="20"/>
          <w:szCs w:val="20"/>
        </w:rPr>
        <w:t xml:space="preserve"> (</w:t>
      </w:r>
      <w:r w:rsidRPr="00C35AE0">
        <w:rPr>
          <w:rFonts w:ascii="Times New Roman" w:hAnsi="Times New Roman" w:cs="Times New Roman"/>
          <w:sz w:val="20"/>
          <w:szCs w:val="20"/>
        </w:rPr>
        <w:t>2</w:t>
      </w:r>
      <w:r w:rsidR="00CE1463">
        <w:rPr>
          <w:rFonts w:ascii="Times New Roman" w:hAnsi="Times New Roman" w:cs="Times New Roman"/>
          <w:sz w:val="20"/>
          <w:szCs w:val="20"/>
        </w:rPr>
        <w:t>)</w:t>
      </w:r>
      <w:r w:rsidRPr="00C35AE0">
        <w:rPr>
          <w:rFonts w:ascii="Times New Roman" w:hAnsi="Times New Roman" w:cs="Times New Roman"/>
          <w:sz w:val="20"/>
          <w:szCs w:val="20"/>
        </w:rPr>
        <w:t xml:space="preserve"> Frente as múltiplas consequências, países da União Europeia permitem o teor máximo de enxofre na gasolina em torno de 10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ppm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 e no diesel, 15 </w:t>
      </w:r>
      <w:proofErr w:type="spellStart"/>
      <w:r w:rsidR="00A94B62" w:rsidRPr="00C35AE0">
        <w:rPr>
          <w:rFonts w:ascii="Times New Roman" w:hAnsi="Times New Roman" w:cs="Times New Roman"/>
          <w:sz w:val="20"/>
          <w:szCs w:val="20"/>
        </w:rPr>
        <w:t>ppm</w:t>
      </w:r>
      <w:proofErr w:type="spellEnd"/>
      <w:r w:rsidR="00A94B62" w:rsidRPr="00C35AE0">
        <w:rPr>
          <w:rFonts w:ascii="Times New Roman" w:hAnsi="Times New Roman" w:cs="Times New Roman"/>
          <w:sz w:val="20"/>
          <w:szCs w:val="20"/>
        </w:rPr>
        <w:t>.</w:t>
      </w:r>
      <w:r w:rsidR="00A94B62">
        <w:rPr>
          <w:rFonts w:ascii="Times New Roman" w:hAnsi="Times New Roman" w:cs="Times New Roman"/>
          <w:sz w:val="20"/>
          <w:szCs w:val="20"/>
        </w:rPr>
        <w:t xml:space="preserve"> (</w:t>
      </w:r>
      <w:r w:rsidRPr="00C35AE0">
        <w:rPr>
          <w:rFonts w:ascii="Times New Roman" w:hAnsi="Times New Roman" w:cs="Times New Roman"/>
          <w:sz w:val="20"/>
          <w:szCs w:val="20"/>
        </w:rPr>
        <w:t>3</w:t>
      </w:r>
      <w:r w:rsidR="00CE1463">
        <w:rPr>
          <w:rFonts w:ascii="Times New Roman" w:hAnsi="Times New Roman" w:cs="Times New Roman"/>
          <w:sz w:val="20"/>
          <w:szCs w:val="20"/>
        </w:rPr>
        <w:t>)</w:t>
      </w:r>
      <w:r w:rsidRPr="00C35AE0">
        <w:rPr>
          <w:rFonts w:ascii="Times New Roman" w:hAnsi="Times New Roman" w:cs="Times New Roman"/>
          <w:sz w:val="20"/>
          <w:szCs w:val="20"/>
        </w:rPr>
        <w:t xml:space="preserve"> No Brasil, não há nenhuma restrição definida, apenas projetos de lei que estabelecem teores semelhantes aos regulamentados pela UE. Contudo, a </w:t>
      </w:r>
      <w:r w:rsidRPr="00C35AE0">
        <w:rPr>
          <w:rFonts w:ascii="Times New Roman" w:hAnsi="Times New Roman" w:cs="Times New Roman"/>
          <w:sz w:val="20"/>
          <w:szCs w:val="20"/>
        </w:rPr>
        <w:t xml:space="preserve">comercialização de combustíveis super sulfurados (&gt; 500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ppm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 para o diesel) ainda é uma </w:t>
      </w:r>
      <w:r w:rsidR="00A94B62" w:rsidRPr="00C35AE0">
        <w:rPr>
          <w:rFonts w:ascii="Times New Roman" w:hAnsi="Times New Roman" w:cs="Times New Roman"/>
          <w:sz w:val="20"/>
          <w:szCs w:val="20"/>
        </w:rPr>
        <w:t>realidade.</w:t>
      </w:r>
      <w:r w:rsidR="00A94B62">
        <w:rPr>
          <w:rFonts w:ascii="Times New Roman" w:hAnsi="Times New Roman" w:cs="Times New Roman"/>
          <w:sz w:val="20"/>
          <w:szCs w:val="20"/>
        </w:rPr>
        <w:t xml:space="preserve"> (</w:t>
      </w:r>
      <w:r w:rsidRPr="00C35AE0">
        <w:rPr>
          <w:rFonts w:ascii="Times New Roman" w:hAnsi="Times New Roman" w:cs="Times New Roman"/>
          <w:sz w:val="20"/>
          <w:szCs w:val="20"/>
        </w:rPr>
        <w:t>4</w:t>
      </w:r>
      <w:r w:rsidR="00CE1463">
        <w:rPr>
          <w:rFonts w:ascii="Times New Roman" w:hAnsi="Times New Roman" w:cs="Times New Roman"/>
          <w:sz w:val="20"/>
          <w:szCs w:val="20"/>
        </w:rPr>
        <w:t>).</w:t>
      </w:r>
    </w:p>
    <w:p w14:paraId="370FF883" w14:textId="39127596" w:rsidR="00BC1D8E" w:rsidRPr="00C35AE0" w:rsidRDefault="00BC1D8E" w:rsidP="00BC1D8E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C35AE0">
        <w:rPr>
          <w:rFonts w:ascii="Times New Roman" w:hAnsi="Times New Roman" w:cs="Times New Roman"/>
          <w:sz w:val="20"/>
          <w:szCs w:val="20"/>
        </w:rPr>
        <w:t>Diante dessa problemática, a oxidação de sulfetos tem aplicação substancial na dessulfurização de óleos combustíveis. Está técnica é utilizada para diminuição do grau de enxofre presente em tais misturas, no qual o respectivo sulfóxido é convertido em sulfonas, facilitando a extração dos compostos sulfurados</w:t>
      </w:r>
      <w:r w:rsidR="00CE1463">
        <w:rPr>
          <w:rFonts w:ascii="Times New Roman" w:hAnsi="Times New Roman" w:cs="Times New Roman"/>
          <w:sz w:val="20"/>
          <w:szCs w:val="20"/>
        </w:rPr>
        <w:t xml:space="preserve"> (</w:t>
      </w:r>
      <w:r w:rsidRPr="00C35AE0">
        <w:rPr>
          <w:rFonts w:ascii="Times New Roman" w:hAnsi="Times New Roman" w:cs="Times New Roman"/>
          <w:sz w:val="20"/>
          <w:szCs w:val="20"/>
        </w:rPr>
        <w:t>5</w:t>
      </w:r>
      <w:r w:rsidR="00CE1463">
        <w:rPr>
          <w:rFonts w:ascii="Times New Roman" w:hAnsi="Times New Roman" w:cs="Times New Roman"/>
          <w:sz w:val="20"/>
          <w:szCs w:val="20"/>
        </w:rPr>
        <w:t>-6)</w:t>
      </w:r>
      <w:r w:rsidRPr="00C35AE0">
        <w:rPr>
          <w:rFonts w:ascii="Times New Roman" w:hAnsi="Times New Roman" w:cs="Times New Roman"/>
          <w:sz w:val="20"/>
          <w:szCs w:val="20"/>
        </w:rPr>
        <w:t xml:space="preserve">. Sulfonas são moléculas compostas de um grupo funcional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sulfonilo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 (-SO</w:t>
      </w:r>
      <w:r w:rsidRPr="00BC1D8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35AE0">
        <w:rPr>
          <w:rFonts w:ascii="Times New Roman" w:hAnsi="Times New Roman" w:cs="Times New Roman"/>
          <w:sz w:val="20"/>
          <w:szCs w:val="20"/>
        </w:rPr>
        <w:t xml:space="preserve">-) ligado a dois carbonos substituídos. Essas têm papel indispensável em diversos processos químicos e sua reatividade pode ser modulada conforme as condições reacionais, atuando como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nucleófilos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eletrófilos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 e radicais. </w:t>
      </w:r>
      <w:r w:rsidR="00CE1463">
        <w:rPr>
          <w:rFonts w:ascii="Times New Roman" w:hAnsi="Times New Roman" w:cs="Times New Roman"/>
          <w:sz w:val="20"/>
          <w:szCs w:val="20"/>
        </w:rPr>
        <w:t>(5,7,8)</w:t>
      </w:r>
      <w:r w:rsidRPr="00C35AE0">
        <w:rPr>
          <w:rFonts w:ascii="Times New Roman" w:hAnsi="Times New Roman" w:cs="Times New Roman"/>
          <w:sz w:val="20"/>
          <w:szCs w:val="20"/>
        </w:rPr>
        <w:t xml:space="preserve">. Diante disso, sua aplicação se estende em diversos ramos industriais abrangendo a área farmacêutica, como antibiótico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thiamphenicol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; indústria agroquímica, como </w:t>
      </w:r>
      <w:r w:rsidRPr="00C35AE0">
        <w:rPr>
          <w:rFonts w:ascii="Times New Roman" w:hAnsi="Times New Roman" w:cs="Times New Roman"/>
          <w:sz w:val="20"/>
          <w:szCs w:val="20"/>
        </w:rPr>
        <w:lastRenderedPageBreak/>
        <w:t xml:space="preserve">pesticida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fipronil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sulfone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; e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platificantes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 seguros, como </w:t>
      </w:r>
      <w:proofErr w:type="spellStart"/>
      <w:r w:rsidR="00A94B62" w:rsidRPr="00C35AE0">
        <w:rPr>
          <w:rFonts w:ascii="Times New Roman" w:hAnsi="Times New Roman" w:cs="Times New Roman"/>
          <w:sz w:val="20"/>
          <w:szCs w:val="20"/>
        </w:rPr>
        <w:t>polietersulfona</w:t>
      </w:r>
      <w:proofErr w:type="spellEnd"/>
      <w:r w:rsidR="00A94B62" w:rsidRPr="00C35AE0">
        <w:rPr>
          <w:rFonts w:ascii="Times New Roman" w:hAnsi="Times New Roman" w:cs="Times New Roman"/>
          <w:sz w:val="20"/>
          <w:szCs w:val="20"/>
        </w:rPr>
        <w:t>.</w:t>
      </w:r>
      <w:r w:rsidR="00A94B6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7</w:t>
      </w:r>
      <w:r w:rsidR="00CE1463">
        <w:rPr>
          <w:rFonts w:ascii="Times New Roman" w:hAnsi="Times New Roman" w:cs="Times New Roman"/>
          <w:sz w:val="20"/>
          <w:szCs w:val="20"/>
        </w:rPr>
        <w:t>)</w:t>
      </w:r>
    </w:p>
    <w:p w14:paraId="7ABD7B99" w14:textId="4DACF144" w:rsidR="00BC1D8E" w:rsidRPr="00C35AE0" w:rsidRDefault="00BC1D8E" w:rsidP="00BC1D8E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C35AE0">
        <w:rPr>
          <w:rFonts w:ascii="Times New Roman" w:hAnsi="Times New Roman" w:cs="Times New Roman"/>
          <w:sz w:val="20"/>
          <w:szCs w:val="20"/>
        </w:rPr>
        <w:t>Nos últimos anos, diferentes métodos para produção de sulfonas foram desenvolvidos. Dentre eles estão, a oxidação de sulfetos ou sulfóxidos por meio de diversos tipos de oxidantes e alquilação de sais sulfonatos (-SO</w:t>
      </w:r>
      <w:r w:rsidRPr="00BC1D8E">
        <w:rPr>
          <w:rFonts w:ascii="Times New Roman" w:hAnsi="Times New Roman" w:cs="Times New Roman"/>
          <w:sz w:val="20"/>
          <w:szCs w:val="20"/>
          <w:vertAlign w:val="superscript"/>
        </w:rPr>
        <w:t>3-</w:t>
      </w:r>
      <w:r w:rsidRPr="00C35AE0">
        <w:rPr>
          <w:rFonts w:ascii="Times New Roman" w:hAnsi="Times New Roman" w:cs="Times New Roman"/>
          <w:sz w:val="20"/>
          <w:szCs w:val="20"/>
        </w:rPr>
        <w:t>), sendo ambos considerados métodos tradicionais dado o maior leque de aplicações. Embora, os procedimentos que busquem sustentabilidade no processo reacional têm ganhado muita atenção, como funcionalização de ligações C-</w:t>
      </w:r>
      <w:r w:rsidR="00A94B62" w:rsidRPr="00C35AE0">
        <w:rPr>
          <w:rFonts w:ascii="Times New Roman" w:hAnsi="Times New Roman" w:cs="Times New Roman"/>
          <w:sz w:val="20"/>
          <w:szCs w:val="20"/>
        </w:rPr>
        <w:t>H,</w:t>
      </w:r>
      <w:r w:rsidR="00A94B6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8</w:t>
      </w:r>
      <w:r w:rsidR="00CE1463">
        <w:rPr>
          <w:rFonts w:ascii="Times New Roman" w:hAnsi="Times New Roman" w:cs="Times New Roman"/>
          <w:sz w:val="20"/>
          <w:szCs w:val="20"/>
        </w:rPr>
        <w:t>)</w:t>
      </w:r>
      <w:r w:rsidRPr="00C35AE0">
        <w:rPr>
          <w:rFonts w:ascii="Times New Roman" w:hAnsi="Times New Roman" w:cs="Times New Roman"/>
          <w:sz w:val="20"/>
          <w:szCs w:val="20"/>
        </w:rPr>
        <w:t xml:space="preserve"> os métodos clássicos ainda são os mais aplicados. Uma análise detalhada da oxidação de sulfetos mostra que a primeira oxidação (de sulfeto para sulfóxido) ocorre em condições normais, sem o uso de reagentes agressivos. No entanto, a segunda oxidação para obtenção da sulfona demanda alta temperatura e excesso de oxidante, o que torna o processo problemático. Dessa forma, a busca por catalisadores e oxidantes que tornam as condições reacionais menos drásticas, mantendo a seletividade, é de extrema importância.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Farshi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 et.al, demonstrou em seu trabalho a remoção de enxofre de óleos pesados utilizando um sistema de oxidação-extração mediado por ácido acético como catalisador e peróxido de hidrogênio como oxidante. </w:t>
      </w:r>
      <w:r w:rsidR="00CE14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9</w:t>
      </w:r>
      <w:r w:rsidR="00CE1463">
        <w:rPr>
          <w:rFonts w:ascii="Times New Roman" w:hAnsi="Times New Roman" w:cs="Times New Roman"/>
          <w:sz w:val="20"/>
          <w:szCs w:val="20"/>
        </w:rPr>
        <w:t>)</w:t>
      </w:r>
      <w:r w:rsidRPr="00C35AE0">
        <w:rPr>
          <w:rFonts w:ascii="Times New Roman" w:hAnsi="Times New Roman" w:cs="Times New Roman"/>
          <w:sz w:val="20"/>
          <w:szCs w:val="20"/>
        </w:rPr>
        <w:t xml:space="preserve"> O uso de oxidantes, como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tert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-butil hidroperóxido (TBH) e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iodobenzeno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>, tem sido relatada para a oxidação de sulfetos.</w:t>
      </w:r>
      <w:r w:rsidR="00CE14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E1463" w:rsidRPr="00F7194D"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="00CE1463">
        <w:rPr>
          <w:rFonts w:ascii="Times New Roman" w:hAnsi="Times New Roman" w:cs="Times New Roman"/>
          <w:sz w:val="20"/>
          <w:szCs w:val="20"/>
        </w:rPr>
        <w:t>)</w:t>
      </w:r>
      <w:r w:rsidRPr="00C35AE0">
        <w:rPr>
          <w:rFonts w:ascii="Times New Roman" w:hAnsi="Times New Roman" w:cs="Times New Roman"/>
          <w:sz w:val="20"/>
          <w:szCs w:val="20"/>
        </w:rPr>
        <w:t xml:space="preserve"> No entanto, estes produzem intermediários reacionais tóxicos e suas seletividades para sulfona é difícil de ser controlada. Assim, esforços têm sido feitos para catálises que utilizam oxidantes “verdes”, como H</w:t>
      </w:r>
      <w:r w:rsidRPr="00BC1D8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35AE0">
        <w:rPr>
          <w:rFonts w:ascii="Times New Roman" w:hAnsi="Times New Roman" w:cs="Times New Roman"/>
          <w:sz w:val="20"/>
          <w:szCs w:val="20"/>
        </w:rPr>
        <w:t>O</w:t>
      </w:r>
      <w:r w:rsidRPr="00BC1D8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35AE0">
        <w:rPr>
          <w:rFonts w:ascii="Times New Roman" w:hAnsi="Times New Roman" w:cs="Times New Roman"/>
          <w:sz w:val="20"/>
          <w:szCs w:val="20"/>
        </w:rPr>
        <w:t xml:space="preserve">. </w:t>
      </w:r>
      <w:r w:rsidR="00CE14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1</w:t>
      </w:r>
      <w:r w:rsidR="00F7194D">
        <w:rPr>
          <w:rFonts w:ascii="Times New Roman" w:hAnsi="Times New Roman" w:cs="Times New Roman"/>
          <w:sz w:val="20"/>
          <w:szCs w:val="20"/>
        </w:rPr>
        <w:t>0</w:t>
      </w:r>
      <w:r w:rsidR="00CE1463">
        <w:rPr>
          <w:rFonts w:ascii="Times New Roman" w:hAnsi="Times New Roman" w:cs="Times New Roman"/>
          <w:sz w:val="20"/>
          <w:szCs w:val="20"/>
        </w:rPr>
        <w:t>)</w:t>
      </w:r>
      <w:r w:rsidRPr="00C35AE0">
        <w:rPr>
          <w:rFonts w:ascii="Times New Roman" w:hAnsi="Times New Roman" w:cs="Times New Roman"/>
          <w:sz w:val="20"/>
          <w:szCs w:val="20"/>
        </w:rPr>
        <w:t xml:space="preserve"> Dessa maneira, a catálise Fenton Heterogênea avança como um possível caminho para produção de sulfonas, já que é conhecida em processos oxidativos avançados pela mediação de peróxido de hidrogênio como iniciador. Nesta esfera, diferentes tipos de catalisadores a base de semicondutores têm chamado atenção como geradores de radicais hidroxilas (•OH), radicais superóxido (•O</w:t>
      </w:r>
      <w:r w:rsidRPr="00BC1D8E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C35AE0">
        <w:rPr>
          <w:rFonts w:ascii="Times New Roman" w:hAnsi="Times New Roman" w:cs="Times New Roman"/>
          <w:sz w:val="20"/>
          <w:szCs w:val="20"/>
        </w:rPr>
        <w:t xml:space="preserve">) e de oxigênio </w:t>
      </w:r>
      <w:proofErr w:type="spellStart"/>
      <w:r w:rsidRPr="00C35AE0">
        <w:rPr>
          <w:rFonts w:ascii="Times New Roman" w:hAnsi="Times New Roman" w:cs="Times New Roman"/>
          <w:sz w:val="20"/>
          <w:szCs w:val="20"/>
        </w:rPr>
        <w:t>singlete</w:t>
      </w:r>
      <w:proofErr w:type="spellEnd"/>
      <w:r w:rsidRPr="00C35AE0">
        <w:rPr>
          <w:rFonts w:ascii="Times New Roman" w:hAnsi="Times New Roman" w:cs="Times New Roman"/>
          <w:sz w:val="20"/>
          <w:szCs w:val="20"/>
        </w:rPr>
        <w:t xml:space="preserve"> (</w:t>
      </w:r>
      <w:r w:rsidRPr="00BC1D8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35AE0">
        <w:rPr>
          <w:rFonts w:ascii="Times New Roman" w:hAnsi="Times New Roman" w:cs="Times New Roman"/>
          <w:sz w:val="20"/>
          <w:szCs w:val="20"/>
        </w:rPr>
        <w:t>O</w:t>
      </w:r>
      <w:r w:rsidRPr="00BC1D8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35AE0">
        <w:rPr>
          <w:rFonts w:ascii="Times New Roman" w:hAnsi="Times New Roman" w:cs="Times New Roman"/>
          <w:sz w:val="20"/>
          <w:szCs w:val="20"/>
        </w:rPr>
        <w:t xml:space="preserve">) para descontaminação de efluentes. Uma das principais vantagens em utilizar catalisadores a base de semicondutores, é o aumento do potencial catalítico desses sem o desprendimento do metal na solução aquosa, além do seu baixo custo. </w:t>
      </w:r>
    </w:p>
    <w:p w14:paraId="523B9DC2" w14:textId="11E91189" w:rsidR="00BC1D8E" w:rsidRPr="00C35AE0" w:rsidRDefault="00BC1D8E" w:rsidP="00BC1D8E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C35AE0">
        <w:rPr>
          <w:rFonts w:ascii="Times New Roman" w:hAnsi="Times New Roman" w:cs="Times New Roman"/>
          <w:sz w:val="20"/>
          <w:szCs w:val="20"/>
        </w:rPr>
        <w:t>O encapsulamento de óxidos com quitosana para a formação de biocompósitos, pode ser uma alternativa interessante, visto que ela pode funcionar como um carregador destas partículas, e por se tratar de um biopolímero, apresenta menos impactos ao meio ambiente.</w:t>
      </w:r>
      <w:r w:rsidR="00CE14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1</w:t>
      </w:r>
      <w:r w:rsidR="00F7194D">
        <w:rPr>
          <w:rFonts w:ascii="Times New Roman" w:hAnsi="Times New Roman" w:cs="Times New Roman"/>
          <w:sz w:val="20"/>
          <w:szCs w:val="20"/>
        </w:rPr>
        <w:t>1</w:t>
      </w:r>
      <w:r w:rsidR="00CE1463">
        <w:rPr>
          <w:rFonts w:ascii="Times New Roman" w:hAnsi="Times New Roman" w:cs="Times New Roman"/>
          <w:sz w:val="20"/>
          <w:szCs w:val="20"/>
        </w:rPr>
        <w:t>)</w:t>
      </w:r>
      <w:r w:rsidRPr="00C35AE0">
        <w:rPr>
          <w:rFonts w:ascii="Times New Roman" w:hAnsi="Times New Roman" w:cs="Times New Roman"/>
          <w:sz w:val="20"/>
          <w:szCs w:val="20"/>
        </w:rPr>
        <w:t xml:space="preserve"> No entanto, a baixa resistência mecânica da quitosana é seu principal déficit, e um dos métodos mais simples para resolver esse problema é incorporar outros materiais à quitosana.</w:t>
      </w:r>
      <w:r w:rsidR="00CE146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1</w:t>
      </w:r>
      <w:r w:rsidR="00F7194D">
        <w:rPr>
          <w:rFonts w:ascii="Times New Roman" w:hAnsi="Times New Roman" w:cs="Times New Roman"/>
          <w:sz w:val="20"/>
          <w:szCs w:val="20"/>
        </w:rPr>
        <w:t>1</w:t>
      </w:r>
      <w:r w:rsidR="00CE1463">
        <w:rPr>
          <w:rFonts w:ascii="Times New Roman" w:hAnsi="Times New Roman" w:cs="Times New Roman"/>
          <w:sz w:val="20"/>
          <w:szCs w:val="20"/>
        </w:rPr>
        <w:t>)</w:t>
      </w:r>
      <w:r w:rsidRPr="00C35AE0">
        <w:rPr>
          <w:rFonts w:ascii="Times New Roman" w:hAnsi="Times New Roman" w:cs="Times New Roman"/>
          <w:sz w:val="20"/>
          <w:szCs w:val="20"/>
        </w:rPr>
        <w:t xml:space="preserve"> Biocompósitos são uma combinação de biopolímeros e materiais inorgânicos, como óxidos metálicos, partículas metálicas, etc. Estes biocompósitos podem apresentar resistência mecânica </w:t>
      </w:r>
      <w:r w:rsidRPr="00C35AE0">
        <w:rPr>
          <w:rFonts w:ascii="Times New Roman" w:hAnsi="Times New Roman" w:cs="Times New Roman"/>
          <w:sz w:val="20"/>
          <w:szCs w:val="20"/>
        </w:rPr>
        <w:t xml:space="preserve">superior, alta resistência térmica e baixa permeabilidade contra gases e vapor de </w:t>
      </w:r>
      <w:r w:rsidR="00A94B62" w:rsidRPr="00C35AE0">
        <w:rPr>
          <w:rFonts w:ascii="Times New Roman" w:hAnsi="Times New Roman" w:cs="Times New Roman"/>
          <w:sz w:val="20"/>
          <w:szCs w:val="20"/>
        </w:rPr>
        <w:t>água.</w:t>
      </w:r>
      <w:r w:rsidR="00A94B62">
        <w:rPr>
          <w:rFonts w:ascii="Times New Roman" w:hAnsi="Times New Roman" w:cs="Times New Roman"/>
          <w:sz w:val="20"/>
          <w:szCs w:val="20"/>
        </w:rPr>
        <w:t xml:space="preserve"> (</w:t>
      </w:r>
      <w:r w:rsidR="00CE1463">
        <w:rPr>
          <w:rFonts w:ascii="Times New Roman" w:hAnsi="Times New Roman" w:cs="Times New Roman"/>
          <w:sz w:val="20"/>
          <w:szCs w:val="20"/>
        </w:rPr>
        <w:t>1</w:t>
      </w:r>
      <w:r w:rsidR="00F7194D">
        <w:rPr>
          <w:rFonts w:ascii="Times New Roman" w:hAnsi="Times New Roman" w:cs="Times New Roman"/>
          <w:sz w:val="20"/>
          <w:szCs w:val="20"/>
        </w:rPr>
        <w:t>2</w:t>
      </w:r>
      <w:r w:rsidR="00CE1463">
        <w:rPr>
          <w:rFonts w:ascii="Times New Roman" w:hAnsi="Times New Roman" w:cs="Times New Roman"/>
          <w:sz w:val="20"/>
          <w:szCs w:val="20"/>
        </w:rPr>
        <w:t>).</w:t>
      </w:r>
    </w:p>
    <w:p w14:paraId="541FFB02" w14:textId="77777777" w:rsidR="00B830D9" w:rsidRDefault="00000000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Experimental</w:t>
      </w:r>
    </w:p>
    <w:p w14:paraId="69ED6C44" w14:textId="38A648D6" w:rsidR="00BC1D8E" w:rsidRDefault="00000000" w:rsidP="00BC1D8E">
      <w:pPr>
        <w:pStyle w:val="TAMainText"/>
        <w:ind w:firstLine="204"/>
        <w:rPr>
          <w:rFonts w:ascii="Times New Roman" w:hAnsi="Times New Roman"/>
          <w:lang w:val="pt-BR"/>
        </w:rPr>
      </w:pPr>
      <w:r w:rsidRPr="003F3C2C">
        <w:rPr>
          <w:rFonts w:ascii="Times New Roman" w:hAnsi="Times New Roman"/>
          <w:i/>
          <w:lang w:val="pt-BR"/>
        </w:rPr>
        <w:t>Síntese</w:t>
      </w:r>
      <w:r w:rsidR="00BC1D8E">
        <w:rPr>
          <w:rFonts w:ascii="Times New Roman" w:hAnsi="Times New Roman"/>
          <w:i/>
          <w:lang w:val="pt-BR"/>
        </w:rPr>
        <w:t xml:space="preserve"> NiWO</w:t>
      </w:r>
      <w:r w:rsidR="00BC1D8E" w:rsidRPr="00BC1D8E">
        <w:rPr>
          <w:rFonts w:ascii="Times New Roman" w:hAnsi="Times New Roman"/>
          <w:i/>
          <w:vertAlign w:val="subscript"/>
          <w:lang w:val="pt-BR"/>
        </w:rPr>
        <w:t>4</w:t>
      </w:r>
      <w:r w:rsidR="003F3C2C" w:rsidRPr="003F3C2C">
        <w:rPr>
          <w:rFonts w:ascii="Times New Roman" w:hAnsi="Times New Roman"/>
          <w:i/>
          <w:lang w:val="pt-BR"/>
        </w:rPr>
        <w:t>:</w:t>
      </w:r>
      <w:r w:rsidR="003F3C2C">
        <w:rPr>
          <w:rFonts w:ascii="Times New Roman" w:hAnsi="Times New Roman"/>
          <w:iCs/>
          <w:lang w:val="pt-BR"/>
        </w:rPr>
        <w:t xml:space="preserve"> </w:t>
      </w:r>
      <w:r w:rsidR="00BC1D8E" w:rsidRPr="00DF2F86">
        <w:rPr>
          <w:rFonts w:ascii="Times New Roman" w:hAnsi="Times New Roman"/>
          <w:lang w:val="pt-BR"/>
        </w:rPr>
        <w:t>As partícu</w:t>
      </w:r>
      <w:r w:rsidR="00BC1D8E">
        <w:rPr>
          <w:rFonts w:ascii="Times New Roman" w:hAnsi="Times New Roman"/>
          <w:lang w:val="pt-BR"/>
        </w:rPr>
        <w:t>l</w:t>
      </w:r>
      <w:r w:rsidR="00BC1D8E" w:rsidRPr="00DF2F86">
        <w:rPr>
          <w:rFonts w:ascii="Times New Roman" w:hAnsi="Times New Roman"/>
          <w:lang w:val="pt-BR"/>
        </w:rPr>
        <w:t xml:space="preserve">as de </w:t>
      </w:r>
      <w:r w:rsidR="00BC1D8E" w:rsidRPr="00593F91">
        <w:rPr>
          <w:rFonts w:ascii="Times New Roman" w:hAnsi="Times New Roman"/>
          <w:lang w:val="pt-BR"/>
        </w:rPr>
        <w:t>NiWO</w:t>
      </w:r>
      <w:r w:rsidR="00BC1D8E" w:rsidRPr="00593F91">
        <w:rPr>
          <w:rFonts w:ascii="Times New Roman" w:hAnsi="Times New Roman"/>
          <w:vertAlign w:val="subscript"/>
          <w:lang w:val="pt-BR"/>
        </w:rPr>
        <w:t>4</w:t>
      </w:r>
      <w:r w:rsidR="00BC1D8E" w:rsidRPr="00DF2F86">
        <w:rPr>
          <w:rFonts w:ascii="Times New Roman" w:hAnsi="Times New Roman"/>
          <w:lang w:val="pt-BR"/>
        </w:rPr>
        <w:t xml:space="preserve"> foram preparadas pelo método hidrotermal micro-ondas em meio aquoso. Primeiramente </w:t>
      </w:r>
      <w:r w:rsidR="00BC1D8E" w:rsidRPr="00593F91">
        <w:rPr>
          <w:rFonts w:ascii="Times New Roman" w:hAnsi="Times New Roman"/>
          <w:lang w:val="pt-BR"/>
        </w:rPr>
        <w:t>1×10</w:t>
      </w:r>
      <w:r w:rsidR="00BC1D8E" w:rsidRPr="00593F91">
        <w:rPr>
          <w:rFonts w:ascii="Times New Roman" w:hAnsi="Times New Roman"/>
          <w:vertAlign w:val="superscript"/>
          <w:lang w:val="pt-BR"/>
        </w:rPr>
        <w:t>-3</w:t>
      </w:r>
      <w:r w:rsidR="00BC1D8E" w:rsidRPr="005F37A4">
        <w:rPr>
          <w:rFonts w:ascii="Times New Roman" w:hAnsi="Times New Roman"/>
          <w:color w:val="FF0000"/>
          <w:lang w:val="pt-BR"/>
        </w:rPr>
        <w:t xml:space="preserve"> </w:t>
      </w:r>
      <w:r w:rsidR="00BC1D8E" w:rsidRPr="00DF2F86">
        <w:rPr>
          <w:rFonts w:ascii="Times New Roman" w:hAnsi="Times New Roman"/>
          <w:lang w:val="pt-BR"/>
        </w:rPr>
        <w:t xml:space="preserve">mol de nitrato de </w:t>
      </w:r>
      <w:proofErr w:type="spellStart"/>
      <w:r w:rsidR="00BC1D8E" w:rsidRPr="00DF2F86">
        <w:rPr>
          <w:rFonts w:ascii="Times New Roman" w:hAnsi="Times New Roman"/>
          <w:lang w:val="pt-BR"/>
        </w:rPr>
        <w:t>niquel</w:t>
      </w:r>
      <w:proofErr w:type="spellEnd"/>
      <w:r w:rsidR="00BC1D8E" w:rsidRPr="00DF2F86">
        <w:rPr>
          <w:rFonts w:ascii="Times New Roman" w:hAnsi="Times New Roman"/>
          <w:lang w:val="pt-BR"/>
        </w:rPr>
        <w:t xml:space="preserve"> (II) (</w:t>
      </w:r>
      <w:proofErr w:type="gramStart"/>
      <w:r w:rsidR="00A94B62" w:rsidRPr="00DF2F86">
        <w:rPr>
          <w:rFonts w:ascii="Times New Roman" w:hAnsi="Times New Roman"/>
          <w:lang w:val="pt-BR"/>
        </w:rPr>
        <w:t>Ni(</w:t>
      </w:r>
      <w:proofErr w:type="gramEnd"/>
      <w:r w:rsidR="00BC1D8E" w:rsidRPr="00DF2F86">
        <w:rPr>
          <w:rFonts w:ascii="Times New Roman" w:hAnsi="Times New Roman"/>
          <w:lang w:val="pt-BR"/>
        </w:rPr>
        <w:t>NO</w:t>
      </w:r>
      <w:r w:rsidR="00BC1D8E" w:rsidRPr="00DF2F86">
        <w:rPr>
          <w:rFonts w:ascii="Times New Roman" w:hAnsi="Times New Roman"/>
          <w:vertAlign w:val="subscript"/>
          <w:lang w:val="pt-BR"/>
        </w:rPr>
        <w:t>3</w:t>
      </w:r>
      <w:r w:rsidR="00BC1D8E" w:rsidRPr="00DF2F86">
        <w:rPr>
          <w:rFonts w:ascii="Times New Roman" w:hAnsi="Times New Roman"/>
          <w:lang w:val="pt-BR"/>
        </w:rPr>
        <w:t>)</w:t>
      </w:r>
      <w:r w:rsidR="00BC1D8E" w:rsidRPr="00DF2F86">
        <w:rPr>
          <w:rFonts w:ascii="Times New Roman" w:hAnsi="Times New Roman"/>
          <w:vertAlign w:val="subscript"/>
          <w:lang w:val="pt-BR"/>
        </w:rPr>
        <w:t>2</w:t>
      </w:r>
      <w:r w:rsidR="00BC1D8E" w:rsidRPr="00DF2F86">
        <w:rPr>
          <w:rFonts w:ascii="Times New Roman" w:hAnsi="Times New Roman"/>
          <w:lang w:val="pt-BR"/>
        </w:rPr>
        <w:t>.6H</w:t>
      </w:r>
      <w:r w:rsidR="00BC1D8E" w:rsidRPr="00DF2F86">
        <w:rPr>
          <w:rFonts w:ascii="Times New Roman" w:hAnsi="Times New Roman"/>
          <w:vertAlign w:val="subscript"/>
          <w:lang w:val="pt-BR"/>
        </w:rPr>
        <w:t>2</w:t>
      </w:r>
      <w:r w:rsidR="00BC1D8E" w:rsidRPr="00DF2F86">
        <w:rPr>
          <w:rFonts w:ascii="Times New Roman" w:hAnsi="Times New Roman"/>
          <w:lang w:val="pt-BR"/>
        </w:rPr>
        <w:t xml:space="preserve">O, 98%, Sigma-Aldrich) e </w:t>
      </w:r>
      <w:r w:rsidR="00BC1D8E" w:rsidRPr="00593F91">
        <w:rPr>
          <w:rFonts w:ascii="Times New Roman" w:hAnsi="Times New Roman"/>
          <w:lang w:val="pt-BR"/>
        </w:rPr>
        <w:t>1×10</w:t>
      </w:r>
      <w:r w:rsidR="00BC1D8E" w:rsidRPr="00593F91">
        <w:rPr>
          <w:rFonts w:ascii="Times New Roman" w:hAnsi="Times New Roman"/>
          <w:vertAlign w:val="superscript"/>
          <w:lang w:val="pt-BR"/>
        </w:rPr>
        <w:t>-3</w:t>
      </w:r>
      <w:r w:rsidR="00BC1D8E" w:rsidRPr="005F37A4">
        <w:rPr>
          <w:rFonts w:ascii="Times New Roman" w:hAnsi="Times New Roman"/>
          <w:color w:val="FF0000"/>
          <w:lang w:val="pt-BR"/>
        </w:rPr>
        <w:t xml:space="preserve"> </w:t>
      </w:r>
      <w:r w:rsidR="00BC1D8E" w:rsidRPr="00DF2F86">
        <w:rPr>
          <w:rFonts w:ascii="Times New Roman" w:hAnsi="Times New Roman"/>
          <w:lang w:val="pt-BR"/>
        </w:rPr>
        <w:t>mol de tungstato de sódio (NaWO</w:t>
      </w:r>
      <w:r w:rsidR="00BC1D8E" w:rsidRPr="00DF2F86">
        <w:rPr>
          <w:rFonts w:ascii="Times New Roman" w:hAnsi="Times New Roman"/>
          <w:vertAlign w:val="subscript"/>
          <w:lang w:val="pt-BR"/>
        </w:rPr>
        <w:t>4</w:t>
      </w:r>
      <w:r w:rsidR="00BC1D8E" w:rsidRPr="00DF2F86">
        <w:rPr>
          <w:rFonts w:ascii="Times New Roman" w:hAnsi="Times New Roman"/>
          <w:lang w:val="pt-BR"/>
        </w:rPr>
        <w:t>.2H</w:t>
      </w:r>
      <w:r w:rsidR="00BC1D8E" w:rsidRPr="00DF2F86">
        <w:rPr>
          <w:rFonts w:ascii="Times New Roman" w:hAnsi="Times New Roman"/>
          <w:vertAlign w:val="subscript"/>
          <w:lang w:val="pt-BR"/>
        </w:rPr>
        <w:t>2</w:t>
      </w:r>
      <w:r w:rsidR="00BC1D8E" w:rsidRPr="00DF2F86">
        <w:rPr>
          <w:rFonts w:ascii="Times New Roman" w:hAnsi="Times New Roman"/>
          <w:lang w:val="pt-BR"/>
        </w:rPr>
        <w:t xml:space="preserve">O, 99%, </w:t>
      </w:r>
      <w:proofErr w:type="spellStart"/>
      <w:r w:rsidR="00BC1D8E" w:rsidRPr="00DF2F86">
        <w:rPr>
          <w:rFonts w:ascii="Times New Roman" w:hAnsi="Times New Roman"/>
          <w:lang w:val="pt-BR"/>
        </w:rPr>
        <w:t>Synth</w:t>
      </w:r>
      <w:proofErr w:type="spellEnd"/>
      <w:r w:rsidR="00BC1D8E" w:rsidRPr="00DF2F86">
        <w:rPr>
          <w:rFonts w:ascii="Times New Roman" w:hAnsi="Times New Roman"/>
          <w:lang w:val="pt-BR"/>
        </w:rPr>
        <w:t xml:space="preserve">) foram dissolvidos em água deionizada (50 </w:t>
      </w:r>
      <w:proofErr w:type="spellStart"/>
      <w:r w:rsidR="00BC1D8E" w:rsidRPr="00DF2F86">
        <w:rPr>
          <w:rFonts w:ascii="Times New Roman" w:hAnsi="Times New Roman"/>
          <w:lang w:val="pt-BR"/>
        </w:rPr>
        <w:t>mL</w:t>
      </w:r>
      <w:proofErr w:type="spellEnd"/>
      <w:r w:rsidR="00BC1D8E" w:rsidRPr="00DF2F86">
        <w:rPr>
          <w:rFonts w:ascii="Times New Roman" w:hAnsi="Times New Roman"/>
          <w:lang w:val="pt-BR"/>
        </w:rPr>
        <w:t>) separadamente e sob agitação continua. A solução de Ni</w:t>
      </w:r>
      <w:r w:rsidR="00BC1D8E" w:rsidRPr="00DF2F86">
        <w:rPr>
          <w:rFonts w:ascii="Times New Roman" w:hAnsi="Times New Roman"/>
          <w:vertAlign w:val="superscript"/>
          <w:lang w:val="pt-BR"/>
        </w:rPr>
        <w:t>2+</w:t>
      </w:r>
      <w:r w:rsidR="00BC1D8E" w:rsidRPr="00DF2F86">
        <w:rPr>
          <w:rFonts w:ascii="Times New Roman" w:hAnsi="Times New Roman"/>
          <w:lang w:val="pt-BR"/>
        </w:rPr>
        <w:t xml:space="preserve"> foi então adicionada na solução de (WO</w:t>
      </w:r>
      <w:r w:rsidR="00BC1D8E" w:rsidRPr="00DF2F86">
        <w:rPr>
          <w:rFonts w:ascii="Times New Roman" w:hAnsi="Times New Roman"/>
          <w:vertAlign w:val="subscript"/>
          <w:lang w:val="pt-BR"/>
        </w:rPr>
        <w:t>4</w:t>
      </w:r>
      <w:r w:rsidR="00BC1D8E" w:rsidRPr="00DF2F86">
        <w:rPr>
          <w:rFonts w:ascii="Times New Roman" w:hAnsi="Times New Roman"/>
          <w:lang w:val="pt-BR"/>
        </w:rPr>
        <w:t>)</w:t>
      </w:r>
      <w:r w:rsidR="00BC1D8E" w:rsidRPr="00DF2F86">
        <w:rPr>
          <w:rFonts w:ascii="Times New Roman" w:hAnsi="Times New Roman"/>
          <w:vertAlign w:val="superscript"/>
          <w:lang w:val="pt-BR"/>
        </w:rPr>
        <w:t>2-</w:t>
      </w:r>
      <w:r w:rsidR="00BC1D8E" w:rsidRPr="00DF2F86">
        <w:rPr>
          <w:rFonts w:ascii="Times New Roman" w:hAnsi="Times New Roman"/>
          <w:lang w:val="pt-BR"/>
        </w:rPr>
        <w:t xml:space="preserve"> sob agitação. A solução formada é então transferida para um reator de teflon para a síntese hidrotermal micro-ondas. A reação é realizada nas seguintes condições: 160 ºC por </w:t>
      </w:r>
      <w:r w:rsidR="00BC1D8E" w:rsidRPr="00593F91">
        <w:rPr>
          <w:rFonts w:ascii="Times New Roman" w:hAnsi="Times New Roman"/>
          <w:lang w:val="pt-BR"/>
        </w:rPr>
        <w:t>8 min</w:t>
      </w:r>
      <w:r w:rsidR="00BC1D8E" w:rsidRPr="00DF2F86">
        <w:rPr>
          <w:rFonts w:ascii="Times New Roman" w:hAnsi="Times New Roman"/>
          <w:lang w:val="pt-BR"/>
        </w:rPr>
        <w:t>. Após esse processo o precipitado de NiWO</w:t>
      </w:r>
      <w:r w:rsidR="00BC1D8E" w:rsidRPr="00DF2F86">
        <w:rPr>
          <w:rFonts w:ascii="Times New Roman" w:hAnsi="Times New Roman"/>
          <w:vertAlign w:val="subscript"/>
          <w:lang w:val="pt-BR"/>
        </w:rPr>
        <w:t>4</w:t>
      </w:r>
      <w:r w:rsidR="00BC1D8E" w:rsidRPr="00DF2F86">
        <w:rPr>
          <w:rFonts w:ascii="Times New Roman" w:hAnsi="Times New Roman"/>
          <w:lang w:val="pt-BR"/>
        </w:rPr>
        <w:t xml:space="preserve"> formado foi centrifugado, lavado 5 vezes com água destilada e seco em estufa convencional por 12 h a 60 °C.</w:t>
      </w:r>
    </w:p>
    <w:p w14:paraId="545F6629" w14:textId="77777777" w:rsidR="00BC1D8E" w:rsidRDefault="00BC1D8E" w:rsidP="00BC1D8E">
      <w:pPr>
        <w:pStyle w:val="TAMainText"/>
        <w:ind w:firstLine="204"/>
        <w:rPr>
          <w:lang w:val="pt-BR"/>
        </w:rPr>
      </w:pPr>
      <w:r w:rsidRPr="00BC1D8E">
        <w:rPr>
          <w:rFonts w:ascii="Times New Roman" w:hAnsi="Times New Roman"/>
          <w:i/>
          <w:iCs/>
          <w:lang w:val="pt-BR"/>
        </w:rPr>
        <w:t>Encapsulamento</w:t>
      </w:r>
      <w:r>
        <w:rPr>
          <w:rFonts w:ascii="Times New Roman" w:hAnsi="Times New Roman"/>
          <w:lang w:val="pt-BR"/>
        </w:rPr>
        <w:t xml:space="preserve">: </w:t>
      </w:r>
      <w:r w:rsidRPr="00DF2F86">
        <w:rPr>
          <w:lang w:val="pt-BR"/>
        </w:rPr>
        <w:t>Inicialmente foi preparad</w:t>
      </w:r>
      <w:r>
        <w:rPr>
          <w:lang w:val="pt-BR"/>
        </w:rPr>
        <w:t>o</w:t>
      </w:r>
      <w:r w:rsidRPr="00DF2F86">
        <w:rPr>
          <w:lang w:val="pt-BR"/>
        </w:rPr>
        <w:t xml:space="preserve"> uma solução de quitosana dissolvendo-se 2 g de quitosana (peso molecular &gt;5000, </w:t>
      </w:r>
      <w:proofErr w:type="spellStart"/>
      <w:r w:rsidRPr="00DF2F86">
        <w:rPr>
          <w:lang w:val="pt-BR"/>
        </w:rPr>
        <w:t>Infynitus</w:t>
      </w:r>
      <w:proofErr w:type="spellEnd"/>
      <w:r w:rsidRPr="00DF2F86">
        <w:rPr>
          <w:lang w:val="pt-BR"/>
        </w:rPr>
        <w:t xml:space="preserve">) em 200 </w:t>
      </w:r>
      <w:proofErr w:type="spellStart"/>
      <w:r w:rsidRPr="00DF2F86">
        <w:rPr>
          <w:lang w:val="pt-BR"/>
        </w:rPr>
        <w:t>mL</w:t>
      </w:r>
      <w:proofErr w:type="spellEnd"/>
      <w:r w:rsidRPr="00DF2F86">
        <w:rPr>
          <w:lang w:val="pt-BR"/>
        </w:rPr>
        <w:t xml:space="preserve"> de solução aquosa de ácido acético a 1% (</w:t>
      </w:r>
      <w:r>
        <w:rPr>
          <w:lang w:val="pt-BR"/>
        </w:rPr>
        <w:t>v</w:t>
      </w:r>
      <w:r w:rsidRPr="00DF2F86">
        <w:rPr>
          <w:lang w:val="pt-BR"/>
        </w:rPr>
        <w:t>/</w:t>
      </w:r>
      <w:r>
        <w:rPr>
          <w:lang w:val="pt-BR"/>
        </w:rPr>
        <w:t>v</w:t>
      </w:r>
      <w:r w:rsidRPr="00DF2F86">
        <w:rPr>
          <w:lang w:val="pt-BR"/>
        </w:rPr>
        <w:t xml:space="preserve">) à temperatura ambiente. Deixou-se esta solução sob agitação durante 24h afim de polimerizar a quitosana. Após este processo, filtrou-se a quitosana preparada em filtro de vidro placa de sílica sinterizada n°0, e ajustou-se o pH da solução para 4,8 com pHmetro por meio da adição de uma solução 0,1 mol/L de </w:t>
      </w:r>
      <w:proofErr w:type="spellStart"/>
      <w:r w:rsidRPr="00DF2F86">
        <w:rPr>
          <w:lang w:val="pt-BR"/>
        </w:rPr>
        <w:t>NaOH</w:t>
      </w:r>
      <w:proofErr w:type="spellEnd"/>
      <w:r w:rsidRPr="00DF2F86">
        <w:rPr>
          <w:lang w:val="pt-BR"/>
        </w:rPr>
        <w:t xml:space="preserve"> (99,9%, </w:t>
      </w:r>
      <w:proofErr w:type="spellStart"/>
      <w:r w:rsidRPr="00DF2F86">
        <w:rPr>
          <w:lang w:val="pt-BR"/>
        </w:rPr>
        <w:t>Synth</w:t>
      </w:r>
      <w:proofErr w:type="spellEnd"/>
      <w:r w:rsidRPr="00DF2F86">
        <w:rPr>
          <w:lang w:val="pt-BR"/>
        </w:rPr>
        <w:t xml:space="preserve">). Por </w:t>
      </w:r>
      <w:r>
        <w:rPr>
          <w:lang w:val="pt-BR"/>
        </w:rPr>
        <w:t>f</w:t>
      </w:r>
      <w:r w:rsidRPr="00DF2F86">
        <w:rPr>
          <w:lang w:val="pt-BR"/>
        </w:rPr>
        <w:t>im, adicionaram-se as nanoparticulas de NiWO</w:t>
      </w:r>
      <w:r w:rsidRPr="00DF2F86">
        <w:rPr>
          <w:vertAlign w:val="subscript"/>
          <w:lang w:val="pt-BR"/>
        </w:rPr>
        <w:t>4</w:t>
      </w:r>
      <w:r w:rsidRPr="00DF2F86">
        <w:rPr>
          <w:lang w:val="pt-BR"/>
        </w:rPr>
        <w:t xml:space="preserve"> na solução de quitosana em diferentes concentrações (100, 200 e 400 mg/100 ml de QT), dispersando a solução durante 15 minutos em ultrassom. As</w:t>
      </w:r>
      <w:r>
        <w:rPr>
          <w:lang w:val="pt-BR"/>
        </w:rPr>
        <w:t xml:space="preserve"> </w:t>
      </w:r>
      <w:r w:rsidRPr="00DF2F86">
        <w:rPr>
          <w:lang w:val="pt-BR"/>
        </w:rPr>
        <w:t xml:space="preserve">soluções de quitosana com as nanoparticulas de </w:t>
      </w:r>
      <w:r w:rsidRPr="00593F91">
        <w:rPr>
          <w:lang w:val="pt-BR"/>
        </w:rPr>
        <w:t>NiWO</w:t>
      </w:r>
      <w:r w:rsidRPr="00593F91">
        <w:rPr>
          <w:vertAlign w:val="subscript"/>
          <w:lang w:val="pt-BR"/>
        </w:rPr>
        <w:t>4</w:t>
      </w:r>
      <w:r w:rsidRPr="00DF2F86">
        <w:rPr>
          <w:lang w:val="pt-BR"/>
        </w:rPr>
        <w:t xml:space="preserve"> foram vertidas em placa de Petri e secas a 40 ºC por 2 dias para a formação de filmes.</w:t>
      </w:r>
    </w:p>
    <w:p w14:paraId="6ADF1D97" w14:textId="77777777" w:rsidR="003F3C2C" w:rsidRPr="003F3C2C" w:rsidRDefault="003F3C2C" w:rsidP="003F3C2C">
      <w:pPr>
        <w:pStyle w:val="TAMainText"/>
        <w:ind w:firstLine="187"/>
        <w:rPr>
          <w:rFonts w:cs="Arial"/>
          <w:szCs w:val="24"/>
          <w:lang w:val="pt-BR"/>
        </w:rPr>
      </w:pPr>
      <w:r w:rsidRPr="00AD61AA">
        <w:rPr>
          <w:rFonts w:ascii="Times New Roman" w:hAnsi="Times New Roman"/>
          <w:i/>
          <w:iCs/>
          <w:lang w:val="pt-BR"/>
        </w:rPr>
        <w:t>Caracterizações</w:t>
      </w:r>
      <w:r>
        <w:rPr>
          <w:rFonts w:ascii="Times New Roman" w:hAnsi="Times New Roman"/>
          <w:lang w:val="pt-BR"/>
        </w:rPr>
        <w:t>:</w:t>
      </w:r>
      <w:r w:rsidRPr="00AD61AA">
        <w:rPr>
          <w:rFonts w:cs="Arial"/>
          <w:szCs w:val="24"/>
          <w:lang w:val="pt-BR"/>
        </w:rPr>
        <w:t xml:space="preserve"> </w:t>
      </w:r>
      <w:r>
        <w:rPr>
          <w:rFonts w:cs="Arial"/>
          <w:szCs w:val="24"/>
          <w:lang w:val="pt-BR"/>
        </w:rPr>
        <w:t>As amostras</w:t>
      </w:r>
      <w:r w:rsidRPr="00DD2F6B">
        <w:rPr>
          <w:rFonts w:cs="Arial"/>
          <w:szCs w:val="24"/>
          <w:lang w:val="pt-BR"/>
        </w:rPr>
        <w:t xml:space="preserve"> foram caracterizad</w:t>
      </w:r>
      <w:r>
        <w:rPr>
          <w:rFonts w:cs="Arial"/>
          <w:szCs w:val="24"/>
          <w:lang w:val="pt-BR"/>
        </w:rPr>
        <w:t>a</w:t>
      </w:r>
      <w:r w:rsidRPr="00DD2F6B">
        <w:rPr>
          <w:rFonts w:cs="Arial"/>
          <w:szCs w:val="24"/>
          <w:lang w:val="pt-BR"/>
        </w:rPr>
        <w:t xml:space="preserve">s estruturalmente utilizando padrões de difração de raios-X obtidos a partir de um </w:t>
      </w:r>
      <w:proofErr w:type="spellStart"/>
      <w:r w:rsidRPr="00DD2F6B">
        <w:rPr>
          <w:rFonts w:cs="Arial"/>
          <w:szCs w:val="24"/>
          <w:lang w:val="pt-BR"/>
        </w:rPr>
        <w:t>difratômetro</w:t>
      </w:r>
      <w:proofErr w:type="spellEnd"/>
      <w:r w:rsidRPr="00DD2F6B">
        <w:rPr>
          <w:rFonts w:cs="Arial"/>
          <w:szCs w:val="24"/>
          <w:lang w:val="pt-BR"/>
        </w:rPr>
        <w:t xml:space="preserve"> D/Max-2000PC (</w:t>
      </w:r>
      <w:proofErr w:type="spellStart"/>
      <w:r w:rsidRPr="00DD2F6B">
        <w:rPr>
          <w:rFonts w:cs="Arial"/>
          <w:szCs w:val="24"/>
          <w:lang w:val="pt-BR"/>
        </w:rPr>
        <w:t>Rigaku</w:t>
      </w:r>
      <w:proofErr w:type="spellEnd"/>
      <w:r w:rsidRPr="00DD2F6B">
        <w:rPr>
          <w:rFonts w:cs="Arial"/>
          <w:szCs w:val="24"/>
          <w:lang w:val="pt-BR"/>
        </w:rPr>
        <w:t xml:space="preserve">, Japão) com radiação de Cu Ka (λ = 1,5406 Å). As </w:t>
      </w:r>
      <w:r>
        <w:rPr>
          <w:rFonts w:cs="Arial"/>
          <w:szCs w:val="24"/>
          <w:lang w:val="pt-BR"/>
        </w:rPr>
        <w:t>morfologias</w:t>
      </w:r>
      <w:r w:rsidRPr="00DD2F6B">
        <w:rPr>
          <w:rFonts w:cs="Arial"/>
          <w:szCs w:val="24"/>
          <w:lang w:val="pt-BR"/>
        </w:rPr>
        <w:t xml:space="preserve"> e tamanhos foram observad</w:t>
      </w:r>
      <w:r>
        <w:rPr>
          <w:rFonts w:cs="Arial"/>
          <w:szCs w:val="24"/>
          <w:lang w:val="pt-BR"/>
        </w:rPr>
        <w:t>a</w:t>
      </w:r>
      <w:r w:rsidRPr="00DD2F6B">
        <w:rPr>
          <w:rFonts w:cs="Arial"/>
          <w:szCs w:val="24"/>
          <w:lang w:val="pt-BR"/>
        </w:rPr>
        <w:t xml:space="preserve">s usando um microscópio eletrônico de varredura por emissão de campo (FE-SEM) modelo FE-SEM </w:t>
      </w:r>
      <w:proofErr w:type="spellStart"/>
      <w:r w:rsidRPr="00DD2F6B">
        <w:rPr>
          <w:rFonts w:cs="Arial"/>
          <w:szCs w:val="24"/>
          <w:lang w:val="pt-BR"/>
        </w:rPr>
        <w:t>Inspect</w:t>
      </w:r>
      <w:proofErr w:type="spellEnd"/>
      <w:r w:rsidRPr="00DD2F6B">
        <w:rPr>
          <w:rFonts w:cs="Arial"/>
          <w:szCs w:val="24"/>
          <w:lang w:val="pt-BR"/>
        </w:rPr>
        <w:t xml:space="preserve"> F50 (FEI </w:t>
      </w:r>
      <w:proofErr w:type="spellStart"/>
      <w:r w:rsidRPr="00DD2F6B">
        <w:rPr>
          <w:rFonts w:cs="Arial"/>
          <w:szCs w:val="24"/>
          <w:lang w:val="pt-BR"/>
        </w:rPr>
        <w:t>Company</w:t>
      </w:r>
      <w:proofErr w:type="spellEnd"/>
      <w:r w:rsidRPr="00DD2F6B">
        <w:rPr>
          <w:rFonts w:cs="Arial"/>
          <w:szCs w:val="24"/>
          <w:lang w:val="pt-BR"/>
        </w:rPr>
        <w:t xml:space="preserve">, </w:t>
      </w:r>
      <w:proofErr w:type="spellStart"/>
      <w:r w:rsidRPr="00DD2F6B">
        <w:rPr>
          <w:rFonts w:cs="Arial"/>
          <w:szCs w:val="24"/>
          <w:lang w:val="pt-BR"/>
        </w:rPr>
        <w:t>Hillsboro</w:t>
      </w:r>
      <w:proofErr w:type="spellEnd"/>
      <w:r w:rsidRPr="00DD2F6B">
        <w:rPr>
          <w:rFonts w:cs="Arial"/>
          <w:szCs w:val="24"/>
          <w:lang w:val="pt-BR"/>
        </w:rPr>
        <w:t xml:space="preserve">, OR) operado a </w:t>
      </w:r>
      <w:r w:rsidR="00BC1D8E">
        <w:rPr>
          <w:rFonts w:cs="Arial"/>
          <w:szCs w:val="24"/>
          <w:lang w:val="pt-BR"/>
        </w:rPr>
        <w:t>1</w:t>
      </w:r>
      <w:r w:rsidRPr="00DD2F6B">
        <w:rPr>
          <w:rFonts w:cs="Arial"/>
          <w:szCs w:val="24"/>
          <w:lang w:val="pt-BR"/>
        </w:rPr>
        <w:t>5 kV</w:t>
      </w:r>
      <w:r w:rsidR="00BC1D8E">
        <w:rPr>
          <w:rFonts w:cs="Arial"/>
          <w:szCs w:val="24"/>
          <w:lang w:val="pt-BR"/>
        </w:rPr>
        <w:t xml:space="preserve"> e acoplado com EDS</w:t>
      </w:r>
      <w:r w:rsidRPr="00DD2F6B">
        <w:rPr>
          <w:rFonts w:cs="Arial"/>
          <w:szCs w:val="24"/>
          <w:lang w:val="pt-BR"/>
        </w:rPr>
        <w:t>.</w:t>
      </w:r>
    </w:p>
    <w:p w14:paraId="0C7F1CE0" w14:textId="5F13F678" w:rsidR="00BC1D8E" w:rsidRDefault="00BC1D8E" w:rsidP="00BC1D8E">
      <w:pPr>
        <w:pStyle w:val="TAMainText"/>
        <w:ind w:firstLine="204"/>
        <w:rPr>
          <w:lang w:val="pt-BR"/>
        </w:rPr>
      </w:pPr>
      <w:r>
        <w:rPr>
          <w:rFonts w:cs="Arial"/>
          <w:i/>
          <w:iCs/>
          <w:szCs w:val="24"/>
          <w:lang w:val="pt-BR"/>
        </w:rPr>
        <w:t>Catalise</w:t>
      </w:r>
      <w:r w:rsidR="003F3C2C">
        <w:rPr>
          <w:rFonts w:cs="Arial"/>
          <w:szCs w:val="24"/>
          <w:lang w:val="pt-BR"/>
        </w:rPr>
        <w:t xml:space="preserve">: </w:t>
      </w:r>
      <w:r w:rsidRPr="00DF2F86">
        <w:rPr>
          <w:lang w:val="pt-BR"/>
        </w:rPr>
        <w:t xml:space="preserve">Os testes catalíticos foram realizados em frasco de fundo redondo de 4 </w:t>
      </w:r>
      <w:proofErr w:type="spellStart"/>
      <w:r w:rsidRPr="00DF2F86">
        <w:rPr>
          <w:lang w:val="pt-BR"/>
        </w:rPr>
        <w:t>mL</w:t>
      </w:r>
      <w:proofErr w:type="spellEnd"/>
      <w:r w:rsidRPr="00DF2F86">
        <w:rPr>
          <w:lang w:val="pt-BR"/>
        </w:rPr>
        <w:t xml:space="preserve"> com rotação magnética de 700 rpm/min. O procedimento experimental consiste nas seguintes etapas: dispersão do catalisador em uma mistura de 0,1 mmol de </w:t>
      </w:r>
      <w:proofErr w:type="spellStart"/>
      <w:r w:rsidRPr="00DF2F86">
        <w:rPr>
          <w:lang w:val="pt-BR"/>
        </w:rPr>
        <w:t>su</w:t>
      </w:r>
      <w:r>
        <w:rPr>
          <w:lang w:val="pt-BR"/>
        </w:rPr>
        <w:t>feto</w:t>
      </w:r>
      <w:proofErr w:type="spellEnd"/>
      <w:r>
        <w:rPr>
          <w:lang w:val="pt-BR"/>
        </w:rPr>
        <w:t xml:space="preserve">, o </w:t>
      </w:r>
      <w:proofErr w:type="spellStart"/>
      <w:r>
        <w:rPr>
          <w:lang w:val="pt-BR"/>
        </w:rPr>
        <w:t>metilsufanilbenzeno</w:t>
      </w:r>
      <w:proofErr w:type="spellEnd"/>
      <w:r w:rsidRPr="00DF2F86">
        <w:rPr>
          <w:lang w:val="pt-BR"/>
        </w:rPr>
        <w:t xml:space="preserve"> (</w:t>
      </w:r>
      <w:proofErr w:type="spellStart"/>
      <w:r w:rsidRPr="00DF2F86">
        <w:rPr>
          <w:lang w:val="pt-BR"/>
        </w:rPr>
        <w:t>tioanisol</w:t>
      </w:r>
      <w:proofErr w:type="spellEnd"/>
      <w:r w:rsidRPr="00DF2F86">
        <w:rPr>
          <w:lang w:val="pt-BR"/>
        </w:rPr>
        <w:t xml:space="preserve">, 99.8%, Aldrich), 2 </w:t>
      </w:r>
      <w:proofErr w:type="spellStart"/>
      <w:r w:rsidRPr="00DF2F86">
        <w:rPr>
          <w:lang w:val="pt-BR"/>
        </w:rPr>
        <w:t>mL</w:t>
      </w:r>
      <w:proofErr w:type="spellEnd"/>
      <w:r w:rsidRPr="00DF2F86">
        <w:rPr>
          <w:lang w:val="pt-BR"/>
        </w:rPr>
        <w:t xml:space="preserve"> de solvente, 15 </w:t>
      </w:r>
      <w:r>
        <w:t>μ</w:t>
      </w:r>
      <w:r w:rsidRPr="00DF2F86">
        <w:rPr>
          <w:lang w:val="pt-BR"/>
        </w:rPr>
        <w:t xml:space="preserve">L de padrão interno de </w:t>
      </w:r>
      <w:proofErr w:type="spellStart"/>
      <w:r w:rsidRPr="00DF2F86">
        <w:rPr>
          <w:lang w:val="pt-BR"/>
        </w:rPr>
        <w:t>hexadecano</w:t>
      </w:r>
      <w:proofErr w:type="spellEnd"/>
      <w:r w:rsidRPr="00DF2F86">
        <w:rPr>
          <w:lang w:val="pt-BR"/>
        </w:rPr>
        <w:t xml:space="preserve"> (99.9%, Aldrich). H</w:t>
      </w:r>
      <w:r w:rsidRPr="00DF2F86">
        <w:rPr>
          <w:vertAlign w:val="subscript"/>
          <w:lang w:val="pt-BR"/>
        </w:rPr>
        <w:t>2</w:t>
      </w:r>
      <w:r w:rsidRPr="00DF2F86">
        <w:rPr>
          <w:lang w:val="pt-BR"/>
        </w:rPr>
        <w:t>O</w:t>
      </w:r>
      <w:r w:rsidRPr="00DF2F86">
        <w:rPr>
          <w:vertAlign w:val="subscript"/>
          <w:lang w:val="pt-BR"/>
        </w:rPr>
        <w:t>2</w:t>
      </w:r>
      <w:r w:rsidRPr="00DF2F86">
        <w:rPr>
          <w:lang w:val="pt-BR"/>
        </w:rPr>
        <w:t xml:space="preserve"> e foi adicionado como oxidante. As condições </w:t>
      </w:r>
      <w:r>
        <w:rPr>
          <w:lang w:val="pt-BR"/>
        </w:rPr>
        <w:t>reacionais</w:t>
      </w:r>
      <w:r>
        <w:rPr>
          <w:rStyle w:val="Refdecomentrio"/>
          <w:rFonts w:asciiTheme="minorHAnsi" w:eastAsiaTheme="minorEastAsia" w:hAnsiTheme="minorHAnsi" w:cstheme="minorBidi"/>
          <w:lang w:val="pt-BR" w:eastAsia="en-US"/>
        </w:rPr>
        <w:t xml:space="preserve"> (</w:t>
      </w:r>
      <w:r w:rsidRPr="00DF2F86">
        <w:rPr>
          <w:lang w:val="pt-BR"/>
        </w:rPr>
        <w:t>tempo, temperatura, volume de oxidante, solvente e carga de catalisadores heterogêneos) foram variadas para encontrar um alto rendimento e seletividade para sulfóxido</w:t>
      </w:r>
      <w:r>
        <w:rPr>
          <w:lang w:val="pt-BR"/>
        </w:rPr>
        <w:t>s</w:t>
      </w:r>
      <w:r w:rsidRPr="00DF2F86">
        <w:rPr>
          <w:lang w:val="pt-BR"/>
        </w:rPr>
        <w:t xml:space="preserve"> e sulfona</w:t>
      </w:r>
      <w:r>
        <w:rPr>
          <w:lang w:val="pt-BR"/>
        </w:rPr>
        <w:t>s</w:t>
      </w:r>
      <w:r w:rsidRPr="00DF2F86">
        <w:rPr>
          <w:lang w:val="pt-BR"/>
        </w:rPr>
        <w:t>.</w:t>
      </w:r>
      <w:r w:rsidRPr="0060521A">
        <w:rPr>
          <w:lang w:val="pt-BR"/>
        </w:rPr>
        <w:t xml:space="preserve"> As soluções resultantes do processo catalítico</w:t>
      </w:r>
      <w:r w:rsidRPr="00DF2F86">
        <w:rPr>
          <w:lang w:val="pt-BR"/>
        </w:rPr>
        <w:t xml:space="preserve"> </w:t>
      </w:r>
      <w:r w:rsidRPr="00DF2F86">
        <w:rPr>
          <w:lang w:val="pt-BR"/>
        </w:rPr>
        <w:lastRenderedPageBreak/>
        <w:t xml:space="preserve">foram diluídas em 2 </w:t>
      </w:r>
      <w:proofErr w:type="spellStart"/>
      <w:r w:rsidRPr="00DF2F86">
        <w:rPr>
          <w:lang w:val="pt-BR"/>
        </w:rPr>
        <w:t>mL</w:t>
      </w:r>
      <w:proofErr w:type="spellEnd"/>
      <w:r w:rsidRPr="00DF2F86">
        <w:rPr>
          <w:lang w:val="pt-BR"/>
        </w:rPr>
        <w:t xml:space="preserve"> de acetato de etila e analisadas por cromatografia gasosa (CG) com detecção de ionização por chama (FID) usando </w:t>
      </w:r>
      <w:proofErr w:type="spellStart"/>
      <w:r w:rsidRPr="00DF2F86">
        <w:rPr>
          <w:lang w:val="pt-BR"/>
        </w:rPr>
        <w:t>hexadecano</w:t>
      </w:r>
      <w:proofErr w:type="spellEnd"/>
      <w:r w:rsidRPr="00DF2F86">
        <w:rPr>
          <w:lang w:val="pt-BR"/>
        </w:rPr>
        <w:t xml:space="preserve"> como padrão interno.</w:t>
      </w:r>
    </w:p>
    <w:p w14:paraId="038369F6" w14:textId="3CD35583" w:rsidR="00BC1D8E" w:rsidRDefault="00BC1D8E" w:rsidP="00BC1D8E">
      <w:pPr>
        <w:pStyle w:val="TAMainText"/>
        <w:ind w:firstLine="204"/>
        <w:rPr>
          <w:rFonts w:ascii="Times New Roman" w:hAnsi="Times New Roman"/>
          <w:i/>
          <w:vertAlign w:val="subscript"/>
          <w:lang w:val="pt-BR"/>
        </w:rPr>
      </w:pPr>
    </w:p>
    <w:p w14:paraId="6384B8C3" w14:textId="77777777" w:rsidR="00B830D9" w:rsidRPr="00BC1D8E" w:rsidRDefault="00000000" w:rsidP="00BC1D8E">
      <w:pPr>
        <w:pStyle w:val="TAMainText"/>
        <w:jc w:val="center"/>
        <w:rPr>
          <w:rFonts w:ascii="Helvetica" w:hAnsi="Helvetica" w:cs="Helvetica"/>
          <w:sz w:val="24"/>
          <w:szCs w:val="24"/>
          <w:lang w:val="pt-BR"/>
        </w:rPr>
      </w:pPr>
      <w:r w:rsidRPr="00BC1D8E">
        <w:rPr>
          <w:rFonts w:ascii="Helvetica" w:hAnsi="Helvetica" w:cs="Helvetica"/>
          <w:sz w:val="24"/>
          <w:szCs w:val="24"/>
          <w:lang w:val="pt-BR"/>
        </w:rPr>
        <w:t>Resultados e Discussão</w:t>
      </w:r>
    </w:p>
    <w:p w14:paraId="75B10C18" w14:textId="6118D48C" w:rsidR="00BC1D8E" w:rsidRDefault="001A5886" w:rsidP="00BC1D8E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1A5886">
        <w:rPr>
          <w:rFonts w:ascii="Times New Roman" w:hAnsi="Times New Roman"/>
        </w:rPr>
        <w:drawing>
          <wp:anchor distT="0" distB="0" distL="114300" distR="114300" simplePos="0" relativeHeight="251660288" behindDoc="0" locked="0" layoutInCell="1" allowOverlap="1" wp14:anchorId="15288E67" wp14:editId="3903A4F1">
            <wp:simplePos x="0" y="0"/>
            <wp:positionH relativeFrom="column">
              <wp:posOffset>4307205</wp:posOffset>
            </wp:positionH>
            <wp:positionV relativeFrom="paragraph">
              <wp:posOffset>1767205</wp:posOffset>
            </wp:positionV>
            <wp:extent cx="1631315" cy="1476375"/>
            <wp:effectExtent l="0" t="0" r="6985" b="9525"/>
            <wp:wrapTopAndBottom/>
            <wp:docPr id="1387284299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84299" name="Imagem 1" descr="Interface gráfica do usuário, Aplicativo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886"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 wp14:anchorId="4A758A4E" wp14:editId="70D2FEF3">
            <wp:simplePos x="0" y="0"/>
            <wp:positionH relativeFrom="column">
              <wp:posOffset>4269105</wp:posOffset>
            </wp:positionH>
            <wp:positionV relativeFrom="paragraph">
              <wp:posOffset>224155</wp:posOffset>
            </wp:positionV>
            <wp:extent cx="1668780" cy="1488440"/>
            <wp:effectExtent l="0" t="0" r="7620" b="0"/>
            <wp:wrapTopAndBottom/>
            <wp:docPr id="940420572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20572" name="Imagem 1" descr="Interface gráfica do usuário, Aplicativo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AFD">
        <w:rPr>
          <w:rFonts w:ascii="Times New Roman" w:hAnsi="Times New Roman" w:cs="Times New Roman"/>
          <w:sz w:val="20"/>
          <w:szCs w:val="20"/>
        </w:rPr>
        <w:t>Foram obtidos 5 tipos de amostras diferentes, sendo que a primeiro consiste do pó de NiWO</w:t>
      </w:r>
      <w:r w:rsidR="00273AFD" w:rsidRPr="00273AF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73AFD">
        <w:rPr>
          <w:rFonts w:ascii="Times New Roman" w:hAnsi="Times New Roman" w:cs="Times New Roman"/>
          <w:sz w:val="20"/>
          <w:szCs w:val="20"/>
        </w:rPr>
        <w:t>, a segunda pelo filme de quitosana puro e as demais amostras por filmes de quitosana com diferentes cargas de NiWO</w:t>
      </w:r>
      <w:r w:rsidR="00273AFD" w:rsidRPr="00273AF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73AFD">
        <w:rPr>
          <w:rFonts w:ascii="Times New Roman" w:hAnsi="Times New Roman" w:cs="Times New Roman"/>
          <w:sz w:val="20"/>
          <w:szCs w:val="20"/>
        </w:rPr>
        <w:t xml:space="preserve"> (1mg NiWO</w:t>
      </w:r>
      <w:r w:rsidR="00273AFD" w:rsidRPr="00273AF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73AFD">
        <w:rPr>
          <w:rFonts w:ascii="Times New Roman" w:hAnsi="Times New Roman" w:cs="Times New Roman"/>
          <w:sz w:val="20"/>
          <w:szCs w:val="20"/>
        </w:rPr>
        <w:t xml:space="preserve"> / 1mL de quitosana, 2mg de NiWO</w:t>
      </w:r>
      <w:r w:rsidR="00273AFD" w:rsidRPr="00273AF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73AFD">
        <w:rPr>
          <w:rFonts w:ascii="Times New Roman" w:hAnsi="Times New Roman" w:cs="Times New Roman"/>
          <w:sz w:val="20"/>
          <w:szCs w:val="20"/>
        </w:rPr>
        <w:t>/ 1mL de quitosana e 4mg NiWO</w:t>
      </w:r>
      <w:r w:rsidR="00273AFD" w:rsidRPr="00273AF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73AFD">
        <w:rPr>
          <w:rFonts w:ascii="Times New Roman" w:hAnsi="Times New Roman" w:cs="Times New Roman"/>
          <w:sz w:val="20"/>
          <w:szCs w:val="20"/>
        </w:rPr>
        <w:t xml:space="preserve"> / 1mL de quitosana). Analisando-se primeiramente</w:t>
      </w:r>
      <w:r w:rsidR="003240AC">
        <w:rPr>
          <w:rFonts w:ascii="Times New Roman" w:hAnsi="Times New Roman" w:cs="Times New Roman"/>
          <w:sz w:val="20"/>
          <w:szCs w:val="20"/>
        </w:rPr>
        <w:t xml:space="preserve"> as analises de DRX</w:t>
      </w:r>
      <w:r w:rsidR="00273AFD">
        <w:rPr>
          <w:rFonts w:ascii="Times New Roman" w:hAnsi="Times New Roman" w:cs="Times New Roman"/>
          <w:sz w:val="20"/>
          <w:szCs w:val="20"/>
        </w:rPr>
        <w:t xml:space="preserve"> </w:t>
      </w:r>
      <w:r w:rsidR="003240AC">
        <w:rPr>
          <w:rFonts w:ascii="Times New Roman" w:hAnsi="Times New Roman" w:cs="Times New Roman"/>
          <w:sz w:val="20"/>
          <w:szCs w:val="20"/>
        </w:rPr>
        <w:t>d</w:t>
      </w:r>
      <w:r w:rsidR="00273AFD">
        <w:rPr>
          <w:rFonts w:ascii="Times New Roman" w:hAnsi="Times New Roman" w:cs="Times New Roman"/>
          <w:sz w:val="20"/>
          <w:szCs w:val="20"/>
        </w:rPr>
        <w:t>o NiWO</w:t>
      </w:r>
      <w:r w:rsidR="00273AFD" w:rsidRPr="00273AF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73AFD">
        <w:rPr>
          <w:rFonts w:ascii="Times New Roman" w:hAnsi="Times New Roman" w:cs="Times New Roman"/>
          <w:sz w:val="20"/>
          <w:szCs w:val="20"/>
        </w:rPr>
        <w:t xml:space="preserve">, observa-se que ele apresenta uma </w:t>
      </w:r>
      <w:proofErr w:type="spellStart"/>
      <w:r w:rsidR="00273AFD">
        <w:rPr>
          <w:rFonts w:ascii="Times New Roman" w:hAnsi="Times New Roman" w:cs="Times New Roman"/>
          <w:sz w:val="20"/>
          <w:szCs w:val="20"/>
        </w:rPr>
        <w:t>semi-cristalinidade</w:t>
      </w:r>
      <w:proofErr w:type="spellEnd"/>
      <w:r w:rsidR="00273AFD">
        <w:rPr>
          <w:rFonts w:ascii="Times New Roman" w:hAnsi="Times New Roman" w:cs="Times New Roman"/>
          <w:sz w:val="20"/>
          <w:szCs w:val="20"/>
        </w:rPr>
        <w:t>, porém não está organizado no seu sistema cristalino usual P2/c</w:t>
      </w:r>
      <w:r w:rsidR="003240AC">
        <w:rPr>
          <w:rFonts w:ascii="Times New Roman" w:hAnsi="Times New Roman" w:cs="Times New Roman"/>
          <w:sz w:val="20"/>
          <w:szCs w:val="20"/>
        </w:rPr>
        <w:t xml:space="preserve"> (Figura 1)</w:t>
      </w:r>
      <w:r w:rsidR="00273AFD">
        <w:rPr>
          <w:rFonts w:ascii="Times New Roman" w:hAnsi="Times New Roman" w:cs="Times New Roman"/>
          <w:sz w:val="20"/>
          <w:szCs w:val="20"/>
        </w:rPr>
        <w:t>. Desta maneira o NiWO</w:t>
      </w:r>
      <w:r w:rsidR="00273AFD" w:rsidRPr="00273AF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73AFD">
        <w:rPr>
          <w:rFonts w:ascii="Times New Roman" w:hAnsi="Times New Roman" w:cs="Times New Roman"/>
          <w:sz w:val="20"/>
          <w:szCs w:val="20"/>
        </w:rPr>
        <w:t xml:space="preserve"> apresenta alto grau de desordem a longo alcance. </w:t>
      </w:r>
      <w:r w:rsidR="00273AFD" w:rsidRPr="00273AFD">
        <w:rPr>
          <w:rFonts w:ascii="Times New Roman" w:hAnsi="Times New Roman" w:cs="Times New Roman"/>
          <w:sz w:val="20"/>
          <w:szCs w:val="20"/>
        </w:rPr>
        <w:t xml:space="preserve">Para os filmes de quitosana pura, o pico localizado em 11,6° pode ser atribuído ao polímero semicristalino anidro e é característico de filmes de quitosana preparados pela dissolução do polissacarídeo em ácido acético e subsequente secagem em baixas temperaturas. Para os materiais compostos com a imobilização de </w:t>
      </w:r>
      <w:r w:rsidR="003240AC">
        <w:rPr>
          <w:rFonts w:ascii="Times New Roman" w:hAnsi="Times New Roman" w:cs="Times New Roman"/>
          <w:sz w:val="20"/>
          <w:szCs w:val="20"/>
        </w:rPr>
        <w:t>NiWO</w:t>
      </w:r>
      <w:r w:rsidR="003240AC" w:rsidRPr="003240AC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73AFD" w:rsidRPr="00273AFD">
        <w:rPr>
          <w:rFonts w:ascii="Times New Roman" w:hAnsi="Times New Roman" w:cs="Times New Roman"/>
          <w:sz w:val="20"/>
          <w:szCs w:val="20"/>
        </w:rPr>
        <w:t xml:space="preserve"> </w:t>
      </w:r>
      <w:r w:rsidR="003240AC">
        <w:rPr>
          <w:rFonts w:ascii="Times New Roman" w:hAnsi="Times New Roman" w:cs="Times New Roman"/>
          <w:sz w:val="20"/>
          <w:szCs w:val="20"/>
        </w:rPr>
        <w:t xml:space="preserve">semicristalino </w:t>
      </w:r>
      <w:r w:rsidR="00273AFD" w:rsidRPr="00273AFD">
        <w:rPr>
          <w:rFonts w:ascii="Times New Roman" w:hAnsi="Times New Roman" w:cs="Times New Roman"/>
          <w:sz w:val="20"/>
          <w:szCs w:val="20"/>
        </w:rPr>
        <w:t xml:space="preserve">na quitosana, é possível observar um pico referente ao </w:t>
      </w:r>
      <w:r w:rsidR="003240AC">
        <w:rPr>
          <w:rFonts w:ascii="Times New Roman" w:hAnsi="Times New Roman" w:cs="Times New Roman"/>
          <w:sz w:val="20"/>
          <w:szCs w:val="20"/>
        </w:rPr>
        <w:t>NiWO</w:t>
      </w:r>
      <w:r w:rsidR="003240AC" w:rsidRPr="003240AC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73AFD" w:rsidRPr="00273AFD">
        <w:rPr>
          <w:rFonts w:ascii="Times New Roman" w:hAnsi="Times New Roman" w:cs="Times New Roman"/>
          <w:sz w:val="20"/>
          <w:szCs w:val="20"/>
        </w:rPr>
        <w:t xml:space="preserve"> em </w:t>
      </w:r>
      <w:r w:rsidR="003240AC">
        <w:rPr>
          <w:rFonts w:ascii="Times New Roman" w:hAnsi="Times New Roman" w:cs="Times New Roman"/>
          <w:sz w:val="20"/>
          <w:szCs w:val="20"/>
        </w:rPr>
        <w:t>~35</w:t>
      </w:r>
      <w:r w:rsidR="00273AFD" w:rsidRPr="00273AFD">
        <w:rPr>
          <w:rFonts w:ascii="Times New Roman" w:hAnsi="Times New Roman" w:cs="Times New Roman"/>
          <w:sz w:val="20"/>
          <w:szCs w:val="20"/>
        </w:rPr>
        <w:t>°, indicando que não ocorreram mudanças na estrutura d</w:t>
      </w:r>
      <w:r w:rsidR="003240AC">
        <w:rPr>
          <w:rFonts w:ascii="Times New Roman" w:hAnsi="Times New Roman" w:cs="Times New Roman"/>
          <w:sz w:val="20"/>
          <w:szCs w:val="20"/>
        </w:rPr>
        <w:t>o</w:t>
      </w:r>
      <w:r w:rsidR="00273AFD" w:rsidRPr="00273AFD">
        <w:rPr>
          <w:rFonts w:ascii="Times New Roman" w:hAnsi="Times New Roman" w:cs="Times New Roman"/>
          <w:sz w:val="20"/>
          <w:szCs w:val="20"/>
        </w:rPr>
        <w:t xml:space="preserve"> </w:t>
      </w:r>
      <w:r w:rsidR="003240AC">
        <w:rPr>
          <w:rFonts w:ascii="Times New Roman" w:hAnsi="Times New Roman" w:cs="Times New Roman"/>
          <w:sz w:val="20"/>
          <w:szCs w:val="20"/>
        </w:rPr>
        <w:t>NiWO</w:t>
      </w:r>
      <w:r w:rsidR="003240AC" w:rsidRPr="003240AC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273AFD" w:rsidRPr="00273AFD">
        <w:rPr>
          <w:rFonts w:ascii="Times New Roman" w:hAnsi="Times New Roman" w:cs="Times New Roman"/>
          <w:sz w:val="20"/>
          <w:szCs w:val="20"/>
        </w:rPr>
        <w:t xml:space="preserve"> e</w:t>
      </w:r>
      <w:r w:rsidR="003240AC">
        <w:rPr>
          <w:rFonts w:ascii="Times New Roman" w:hAnsi="Times New Roman" w:cs="Times New Roman"/>
          <w:sz w:val="20"/>
          <w:szCs w:val="20"/>
        </w:rPr>
        <w:t xml:space="preserve"> da</w:t>
      </w:r>
      <w:r w:rsidR="00273AFD" w:rsidRPr="00273AFD">
        <w:rPr>
          <w:rFonts w:ascii="Times New Roman" w:hAnsi="Times New Roman" w:cs="Times New Roman"/>
          <w:sz w:val="20"/>
          <w:szCs w:val="20"/>
        </w:rPr>
        <w:t xml:space="preserve"> quitosana após a formação do compósito.</w:t>
      </w:r>
    </w:p>
    <w:p w14:paraId="6F6CA8EA" w14:textId="1343B6B3" w:rsidR="001A5886" w:rsidRDefault="001A5886" w:rsidP="001A5886">
      <w:pPr>
        <w:pStyle w:val="TAMainText"/>
        <w:ind w:firstLine="187"/>
        <w:rPr>
          <w:lang w:val="pt-PT"/>
        </w:rPr>
      </w:pPr>
      <w:r w:rsidRPr="001A5886">
        <w:rPr>
          <w:rFonts w:ascii="Times New Roman" w:hAnsi="Times New Roman"/>
          <w:lang w:val="pt-BR"/>
        </w:rPr>
        <w:drawing>
          <wp:anchor distT="0" distB="0" distL="114300" distR="114300" simplePos="0" relativeHeight="251662336" behindDoc="0" locked="0" layoutInCell="1" allowOverlap="1" wp14:anchorId="4D2EDC9B" wp14:editId="41998A37">
            <wp:simplePos x="0" y="0"/>
            <wp:positionH relativeFrom="column">
              <wp:posOffset>4258945</wp:posOffset>
            </wp:positionH>
            <wp:positionV relativeFrom="paragraph">
              <wp:posOffset>1919605</wp:posOffset>
            </wp:positionV>
            <wp:extent cx="1705610" cy="1562100"/>
            <wp:effectExtent l="0" t="0" r="8890" b="0"/>
            <wp:wrapTopAndBottom/>
            <wp:docPr id="1815695437" name="Imagem 1" descr="Tela de celular com aplicativo aber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95437" name="Imagem 1" descr="Tela de celular com aplicativo aberto&#10;&#10;Descrição gerada automaticamente com confiança baix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886">
        <w:rPr>
          <w:rFonts w:ascii="Times New Roman" w:hAnsi="Times New Roman"/>
          <w:lang w:val="pt-BR"/>
        </w:rPr>
        <w:drawing>
          <wp:anchor distT="0" distB="0" distL="114300" distR="114300" simplePos="0" relativeHeight="251661312" behindDoc="0" locked="0" layoutInCell="1" allowOverlap="1" wp14:anchorId="251B1435" wp14:editId="5E0BBE9B">
            <wp:simplePos x="0" y="0"/>
            <wp:positionH relativeFrom="column">
              <wp:posOffset>4250055</wp:posOffset>
            </wp:positionH>
            <wp:positionV relativeFrom="paragraph">
              <wp:posOffset>281305</wp:posOffset>
            </wp:positionV>
            <wp:extent cx="1714500" cy="1529080"/>
            <wp:effectExtent l="0" t="0" r="0" b="0"/>
            <wp:wrapTopAndBottom/>
            <wp:docPr id="130175255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52551" name="Imagem 1" descr="Interface gráfica do usuário, Aplicativo&#10;&#10;Descrição gerada automa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5886">
        <w:rPr>
          <w:lang w:val="pt-PT"/>
        </w:rPr>
        <w:drawing>
          <wp:anchor distT="0" distB="0" distL="114300" distR="114300" simplePos="0" relativeHeight="251658240" behindDoc="0" locked="0" layoutInCell="1" allowOverlap="1" wp14:anchorId="68D15E95" wp14:editId="1A960106">
            <wp:simplePos x="0" y="0"/>
            <wp:positionH relativeFrom="column">
              <wp:posOffset>430530</wp:posOffset>
            </wp:positionH>
            <wp:positionV relativeFrom="paragraph">
              <wp:posOffset>157480</wp:posOffset>
            </wp:positionV>
            <wp:extent cx="2238375" cy="1911985"/>
            <wp:effectExtent l="0" t="0" r="9525" b="0"/>
            <wp:wrapTopAndBottom/>
            <wp:docPr id="1067455716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455716" name="Imagem 1" descr="Gráfico, Gráfico de linhas&#10;&#10;Descrição gerada automa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15D34" w14:textId="3B5780AF" w:rsidR="001A5886" w:rsidRPr="00BC1D8E" w:rsidRDefault="001A5886">
      <w:pPr>
        <w:pStyle w:val="TAMainText"/>
        <w:ind w:firstLine="187"/>
        <w:rPr>
          <w:lang w:val="pt-PT"/>
        </w:rPr>
      </w:pPr>
    </w:p>
    <w:p w14:paraId="777DC0B9" w14:textId="77777777" w:rsidR="00B830D9" w:rsidRDefault="00000000">
      <w:pPr>
        <w:pStyle w:val="VAFigureCaption"/>
        <w:spacing w:before="0"/>
        <w:rPr>
          <w:rFonts w:ascii="Times New Roman" w:hAnsi="Times New Roman"/>
          <w:lang w:val="pt-BR"/>
        </w:rPr>
      </w:pPr>
      <w:bookmarkStart w:id="3" w:name="_Hlk134971123"/>
      <w:r>
        <w:rPr>
          <w:rFonts w:ascii="Times New Roman" w:hAnsi="Times New Roman"/>
          <w:b/>
          <w:lang w:val="pt-BR"/>
        </w:rPr>
        <w:t>Figura 1.</w:t>
      </w:r>
      <w:r>
        <w:rPr>
          <w:rFonts w:ascii="Times New Roman" w:hAnsi="Times New Roman"/>
          <w:lang w:val="pt-BR"/>
        </w:rPr>
        <w:t xml:space="preserve"> Difração de raios x das amostras obtidas</w:t>
      </w:r>
      <w:r w:rsidR="003240AC">
        <w:rPr>
          <w:rFonts w:ascii="Times New Roman" w:hAnsi="Times New Roman"/>
          <w:lang w:val="pt-BR"/>
        </w:rPr>
        <w:t>.</w:t>
      </w:r>
      <w:bookmarkEnd w:id="3"/>
    </w:p>
    <w:p w14:paraId="2E577B6F" w14:textId="35D2B6A3" w:rsidR="003240AC" w:rsidRDefault="003240AC">
      <w:pPr>
        <w:spacing w:after="0"/>
        <w:rPr>
          <w:rFonts w:ascii="Times New Roman" w:hAnsi="Times New Roman"/>
        </w:rPr>
      </w:pPr>
    </w:p>
    <w:p w14:paraId="6D271F79" w14:textId="0E962430" w:rsidR="003240AC" w:rsidRDefault="003240AC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Para analisar morfologicamente a superfície dos catalisadores obtidos, foram realizadas analises de microscopia eletrônica de varredura aliadas com mapeamento de EDS (Figura 2). Para a quitosana pura observa-se uma superfície uniforme composta unicamente por C, O e N. Ao passa que se adiciona nanoparticulas de NiWO</w:t>
      </w:r>
      <w:r w:rsidRPr="003240AC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>, alguns pontos de alto contraste começam a ser observados na superfície da quitosana, devido ao maior peso molecular do Ni e W em relação ao C, O e N. Para as amostras obtidas com 1</w:t>
      </w:r>
      <w:r w:rsidR="00FC1BFF">
        <w:rPr>
          <w:rFonts w:ascii="Times New Roman" w:hAnsi="Times New Roman"/>
          <w:lang w:val="pt-BR"/>
        </w:rPr>
        <w:t>mg</w:t>
      </w:r>
      <w:r>
        <w:rPr>
          <w:rFonts w:ascii="Times New Roman" w:hAnsi="Times New Roman"/>
          <w:lang w:val="pt-BR"/>
        </w:rPr>
        <w:t xml:space="preserve"> de NiWO</w:t>
      </w:r>
      <w:r w:rsidRPr="003240AC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por cada 1 </w:t>
      </w:r>
      <w:proofErr w:type="spellStart"/>
      <w:r>
        <w:rPr>
          <w:rFonts w:ascii="Times New Roman" w:hAnsi="Times New Roman"/>
          <w:lang w:val="pt-BR"/>
        </w:rPr>
        <w:t>mL</w:t>
      </w:r>
      <w:proofErr w:type="spellEnd"/>
      <w:r>
        <w:rPr>
          <w:rFonts w:ascii="Times New Roman" w:hAnsi="Times New Roman"/>
          <w:lang w:val="pt-BR"/>
        </w:rPr>
        <w:t xml:space="preserve"> de quitosana, observa-se certa homogeneidade da superfície do filme das partículas de NiWO</w:t>
      </w:r>
      <w:r w:rsidRPr="003240AC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. Tal resultado é suportado </w:t>
      </w:r>
      <w:r>
        <w:rPr>
          <w:rFonts w:ascii="Times New Roman" w:hAnsi="Times New Roman"/>
          <w:lang w:val="pt-BR"/>
        </w:rPr>
        <w:t>pelos mapeamentos de EDS que mostram a dispersão das partículas de NiWO</w:t>
      </w:r>
      <w:r w:rsidRPr="003240AC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na superfície do filme (Figura 2B). Para a amostra com </w:t>
      </w:r>
      <w:r w:rsidR="00FC1BFF">
        <w:rPr>
          <w:rFonts w:ascii="Times New Roman" w:hAnsi="Times New Roman"/>
          <w:lang w:val="pt-BR"/>
        </w:rPr>
        <w:t xml:space="preserve">2 e </w:t>
      </w:r>
      <w:r>
        <w:rPr>
          <w:rFonts w:ascii="Times New Roman" w:hAnsi="Times New Roman"/>
          <w:lang w:val="pt-BR"/>
        </w:rPr>
        <w:t>4mg de NiWO</w:t>
      </w:r>
      <w:r w:rsidRPr="003240AC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por cada 1 </w:t>
      </w:r>
      <w:proofErr w:type="spellStart"/>
      <w:r>
        <w:rPr>
          <w:rFonts w:ascii="Times New Roman" w:hAnsi="Times New Roman"/>
          <w:lang w:val="pt-BR"/>
        </w:rPr>
        <w:t>mL</w:t>
      </w:r>
      <w:proofErr w:type="spellEnd"/>
      <w:r>
        <w:rPr>
          <w:rFonts w:ascii="Times New Roman" w:hAnsi="Times New Roman"/>
          <w:lang w:val="pt-BR"/>
        </w:rPr>
        <w:t xml:space="preserve"> de quitosana, já se observa a aglomeração destas nanoparticulas na superfície do filme, seguido por uma distribuição irregular (Figura 2D).</w:t>
      </w:r>
    </w:p>
    <w:p w14:paraId="6DF38CC4" w14:textId="2CD58D60" w:rsidR="001A5886" w:rsidRDefault="001A5886" w:rsidP="001A5886">
      <w:pPr>
        <w:pStyle w:val="TAMainText"/>
        <w:ind w:firstLine="0"/>
        <w:rPr>
          <w:rFonts w:ascii="Times New Roman" w:hAnsi="Times New Roman"/>
          <w:lang w:val="pt-BR"/>
        </w:rPr>
      </w:pPr>
    </w:p>
    <w:p w14:paraId="07ADD8D7" w14:textId="385161AC" w:rsidR="001A5886" w:rsidRDefault="001A5886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7E0EC0E" w14:textId="77777777" w:rsidR="003240AC" w:rsidRPr="003240AC" w:rsidRDefault="003240AC" w:rsidP="003240AC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3240AC"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>
        <w:rPr>
          <w:rFonts w:ascii="Times New Roman" w:hAnsi="Times New Roman"/>
          <w:b/>
          <w:sz w:val="18"/>
          <w:szCs w:val="18"/>
          <w:lang w:val="pt-BR"/>
        </w:rPr>
        <w:t>2</w:t>
      </w:r>
      <w:r w:rsidRPr="003240AC">
        <w:rPr>
          <w:rFonts w:ascii="Times New Roman" w:hAnsi="Times New Roman"/>
          <w:b/>
          <w:sz w:val="18"/>
          <w:szCs w:val="18"/>
          <w:lang w:val="pt-BR"/>
        </w:rPr>
        <w:t>.</w:t>
      </w:r>
      <w:r w:rsidRPr="003240AC">
        <w:rPr>
          <w:rFonts w:ascii="Times New Roman" w:hAnsi="Times New Roman"/>
          <w:sz w:val="18"/>
          <w:szCs w:val="18"/>
          <w:lang w:val="pt-BR"/>
        </w:rPr>
        <w:t xml:space="preserve"> </w:t>
      </w:r>
      <w:r>
        <w:rPr>
          <w:rFonts w:ascii="Times New Roman" w:hAnsi="Times New Roman"/>
          <w:sz w:val="18"/>
          <w:szCs w:val="18"/>
          <w:lang w:val="pt-BR"/>
        </w:rPr>
        <w:t>Imagens de MEV com mapeamento de EDS das amostras A) quitosana, B) 1 mg de NiWO</w:t>
      </w:r>
      <w:r w:rsidRPr="003240AC">
        <w:rPr>
          <w:rFonts w:ascii="Times New Roman" w:hAnsi="Times New Roman"/>
          <w:sz w:val="18"/>
          <w:szCs w:val="18"/>
          <w:vertAlign w:val="subscript"/>
          <w:lang w:val="pt-BR"/>
        </w:rPr>
        <w:t>4</w:t>
      </w:r>
      <w:r>
        <w:rPr>
          <w:rFonts w:ascii="Times New Roman" w:hAnsi="Times New Roman"/>
          <w:sz w:val="18"/>
          <w:szCs w:val="18"/>
          <w:lang w:val="pt-BR"/>
        </w:rPr>
        <w:t xml:space="preserve"> /1 </w:t>
      </w:r>
      <w:proofErr w:type="spellStart"/>
      <w:r>
        <w:rPr>
          <w:rFonts w:ascii="Times New Roman" w:hAnsi="Times New Roman"/>
          <w:sz w:val="18"/>
          <w:szCs w:val="18"/>
          <w:lang w:val="pt-BR"/>
        </w:rPr>
        <w:t>mL</w:t>
      </w:r>
      <w:proofErr w:type="spellEnd"/>
      <w:r>
        <w:rPr>
          <w:rFonts w:ascii="Times New Roman" w:hAnsi="Times New Roman"/>
          <w:sz w:val="18"/>
          <w:szCs w:val="18"/>
          <w:lang w:val="pt-BR"/>
        </w:rPr>
        <w:t xml:space="preserve"> de quitosana, C) 2 mg de NiWO</w:t>
      </w:r>
      <w:r w:rsidRPr="003240AC">
        <w:rPr>
          <w:rFonts w:ascii="Times New Roman" w:hAnsi="Times New Roman"/>
          <w:sz w:val="18"/>
          <w:szCs w:val="18"/>
          <w:vertAlign w:val="subscript"/>
          <w:lang w:val="pt-BR"/>
        </w:rPr>
        <w:t>4</w:t>
      </w:r>
      <w:r>
        <w:rPr>
          <w:rFonts w:ascii="Times New Roman" w:hAnsi="Times New Roman"/>
          <w:sz w:val="18"/>
          <w:szCs w:val="18"/>
          <w:lang w:val="pt-BR"/>
        </w:rPr>
        <w:t xml:space="preserve"> /1 </w:t>
      </w:r>
      <w:proofErr w:type="spellStart"/>
      <w:r>
        <w:rPr>
          <w:rFonts w:ascii="Times New Roman" w:hAnsi="Times New Roman"/>
          <w:sz w:val="18"/>
          <w:szCs w:val="18"/>
          <w:lang w:val="pt-BR"/>
        </w:rPr>
        <w:t>mL</w:t>
      </w:r>
      <w:proofErr w:type="spellEnd"/>
      <w:r>
        <w:rPr>
          <w:rFonts w:ascii="Times New Roman" w:hAnsi="Times New Roman"/>
          <w:sz w:val="18"/>
          <w:szCs w:val="18"/>
          <w:lang w:val="pt-BR"/>
        </w:rPr>
        <w:t xml:space="preserve"> de quitosana e, D) 4 mg de NiWO</w:t>
      </w:r>
      <w:r w:rsidRPr="003240AC">
        <w:rPr>
          <w:rFonts w:ascii="Times New Roman" w:hAnsi="Times New Roman"/>
          <w:sz w:val="18"/>
          <w:szCs w:val="18"/>
          <w:vertAlign w:val="subscript"/>
          <w:lang w:val="pt-BR"/>
        </w:rPr>
        <w:t>4</w:t>
      </w:r>
      <w:r>
        <w:rPr>
          <w:rFonts w:ascii="Times New Roman" w:hAnsi="Times New Roman"/>
          <w:sz w:val="18"/>
          <w:szCs w:val="18"/>
          <w:lang w:val="pt-BR"/>
        </w:rPr>
        <w:t xml:space="preserve"> /1 </w:t>
      </w:r>
      <w:proofErr w:type="spellStart"/>
      <w:r>
        <w:rPr>
          <w:rFonts w:ascii="Times New Roman" w:hAnsi="Times New Roman"/>
          <w:sz w:val="18"/>
          <w:szCs w:val="18"/>
          <w:lang w:val="pt-BR"/>
        </w:rPr>
        <w:t>mL</w:t>
      </w:r>
      <w:proofErr w:type="spellEnd"/>
      <w:r>
        <w:rPr>
          <w:rFonts w:ascii="Times New Roman" w:hAnsi="Times New Roman"/>
          <w:sz w:val="18"/>
          <w:szCs w:val="18"/>
          <w:lang w:val="pt-BR"/>
        </w:rPr>
        <w:t xml:space="preserve"> de quitosana.</w:t>
      </w:r>
    </w:p>
    <w:p w14:paraId="1ACCC388" w14:textId="77777777" w:rsidR="003240AC" w:rsidRDefault="003240AC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C760835" w14:textId="77777777" w:rsidR="00FC1BFF" w:rsidRDefault="00FC1BFF" w:rsidP="00FC1BFF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Para o processo </w:t>
      </w:r>
      <w:proofErr w:type="spellStart"/>
      <w:r>
        <w:rPr>
          <w:rFonts w:ascii="Times New Roman" w:hAnsi="Times New Roman" w:cs="Times New Roman"/>
          <w:sz w:val="20"/>
          <w:szCs w:val="20"/>
        </w:rPr>
        <w:t>catalitico</w:t>
      </w:r>
      <w:proofErr w:type="spellEnd"/>
      <w:r w:rsidRPr="00503D36">
        <w:rPr>
          <w:rFonts w:ascii="Times New Roman" w:hAnsi="Times New Roman" w:cs="Times New Roman"/>
          <w:sz w:val="20"/>
          <w:szCs w:val="20"/>
        </w:rPr>
        <w:t xml:space="preserve">, utilizou-se o </w:t>
      </w:r>
      <w:proofErr w:type="spellStart"/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>metilsulfanilbenzeno</w:t>
      </w:r>
      <w:proofErr w:type="spellEnd"/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spellStart"/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>tioanisol</w:t>
      </w:r>
      <w:proofErr w:type="spellEnd"/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>) como molécula de partida para a otimização das condições catalíticas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</w:t>
      </w:r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oxidação dessa molécula pode dar origem a dois produtos distintos o </w:t>
      </w:r>
      <w:proofErr w:type="spellStart"/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>metilfenil</w:t>
      </w:r>
      <w:proofErr w:type="spellEnd"/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sulfóxido e a </w:t>
      </w:r>
      <w:proofErr w:type="spellStart"/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>metilfenil</w:t>
      </w:r>
      <w:proofErr w:type="spellEnd"/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>sulfona</w:t>
      </w:r>
      <w:proofErr w:type="spellEnd"/>
      <w:r w:rsidRPr="00503D3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sendo a obtenção de sulfonas um processo na qual exige o envolvimento de uma elevada energia de ativação. Afim de promover uma maior eficiência no processo catalítico, </w:t>
      </w:r>
      <w:r w:rsidRPr="00503D36">
        <w:rPr>
          <w:rFonts w:ascii="Times New Roman" w:hAnsi="Times New Roman" w:cs="Times New Roman"/>
          <w:sz w:val="20"/>
          <w:szCs w:val="20"/>
        </w:rPr>
        <w:t>temperatura, tempo, volume de oxidante, solvente, e massa do catalisador</w:t>
      </w:r>
      <w:r>
        <w:rPr>
          <w:rFonts w:ascii="Times New Roman" w:hAnsi="Times New Roman" w:cs="Times New Roman"/>
          <w:sz w:val="20"/>
          <w:szCs w:val="20"/>
        </w:rPr>
        <w:t>, foram otimizados</w:t>
      </w:r>
      <w:r w:rsidRPr="00503D36">
        <w:rPr>
          <w:rFonts w:ascii="Times New Roman" w:hAnsi="Times New Roman" w:cs="Times New Roman"/>
          <w:sz w:val="20"/>
          <w:szCs w:val="20"/>
        </w:rPr>
        <w:t>.</w:t>
      </w:r>
    </w:p>
    <w:p w14:paraId="17259DE4" w14:textId="03E19F98" w:rsidR="00FC1BFF" w:rsidRDefault="00FC1BFF" w:rsidP="00FC1BFF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072C85">
        <w:rPr>
          <w:rFonts w:ascii="Times New Roman" w:hAnsi="Times New Roman" w:cs="Times New Roman"/>
          <w:sz w:val="20"/>
          <w:szCs w:val="20"/>
        </w:rPr>
        <w:t>Primeiramente</w:t>
      </w:r>
      <w:r>
        <w:rPr>
          <w:rFonts w:ascii="Times New Roman" w:hAnsi="Times New Roman" w:cs="Times New Roman"/>
          <w:sz w:val="20"/>
          <w:szCs w:val="20"/>
        </w:rPr>
        <w:t xml:space="preserve"> verificou-se o desempenho catalítico dos compósitos (1 mg/1 </w:t>
      </w:r>
      <w:proofErr w:type="spellStart"/>
      <w:r>
        <w:rPr>
          <w:rFonts w:ascii="Times New Roman" w:hAnsi="Times New Roman" w:cs="Times New Roman"/>
          <w:sz w:val="20"/>
          <w:szCs w:val="20"/>
        </w:rPr>
        <w:t>mL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 mg/1 </w:t>
      </w:r>
      <w:proofErr w:type="spellStart"/>
      <w:r>
        <w:rPr>
          <w:rFonts w:ascii="Times New Roman" w:hAnsi="Times New Roman" w:cs="Times New Roman"/>
          <w:sz w:val="20"/>
          <w:szCs w:val="20"/>
        </w:rPr>
        <w:t>mL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4 mg/1 </w:t>
      </w:r>
      <w:proofErr w:type="spellStart"/>
      <w:r>
        <w:rPr>
          <w:rFonts w:ascii="Times New Roman" w:hAnsi="Times New Roman" w:cs="Times New Roman"/>
          <w:sz w:val="20"/>
          <w:szCs w:val="20"/>
        </w:rPr>
        <w:t>mL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NiWO</w:t>
      </w:r>
      <w:r w:rsidRPr="00CE79A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</w:rPr>
        <w:t>/quitosana), uma vez que sabe-se que a atividade catalítica da quitosana não é significativa neste processo. A</w:t>
      </w:r>
      <w:r w:rsidRPr="00072C85">
        <w:rPr>
          <w:rFonts w:ascii="Times New Roman" w:hAnsi="Times New Roman" w:cs="Times New Roman"/>
          <w:sz w:val="20"/>
          <w:szCs w:val="20"/>
        </w:rPr>
        <w:t xml:space="preserve">través da variação de tempo e temperatura (Figura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072C8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72C85">
        <w:rPr>
          <w:rFonts w:ascii="Times New Roman" w:hAnsi="Times New Roman" w:cs="Times New Roman"/>
          <w:sz w:val="20"/>
          <w:szCs w:val="20"/>
        </w:rPr>
        <w:t xml:space="preserve">utilizando acetonitrila como solvente e </w:t>
      </w:r>
      <w:r w:rsidRPr="00CE79AD">
        <w:rPr>
          <w:rFonts w:ascii="Times New Roman" w:hAnsi="Times New Roman" w:cs="Times New Roman"/>
          <w:sz w:val="20"/>
          <w:szCs w:val="20"/>
        </w:rPr>
        <w:t>H</w:t>
      </w:r>
      <w:r w:rsidRPr="00CE79A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E79AD">
        <w:rPr>
          <w:rFonts w:ascii="Times New Roman" w:hAnsi="Times New Roman" w:cs="Times New Roman"/>
          <w:sz w:val="20"/>
          <w:szCs w:val="20"/>
        </w:rPr>
        <w:t>O</w:t>
      </w:r>
      <w:r w:rsidRPr="00CE79A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072C85">
        <w:rPr>
          <w:rFonts w:ascii="Times New Roman" w:hAnsi="Times New Roman" w:cs="Times New Roman"/>
          <w:sz w:val="20"/>
          <w:szCs w:val="20"/>
        </w:rPr>
        <w:t xml:space="preserve"> como oxidante, observa-se que acima de 50 °C e 1h de reação não há diferenças significativas nos valores de rendimento da reação, obtendo-se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72C85">
        <w:rPr>
          <w:rFonts w:ascii="Times New Roman" w:hAnsi="Times New Roman" w:cs="Times New Roman"/>
          <w:sz w:val="20"/>
          <w:szCs w:val="20"/>
        </w:rPr>
        <w:t xml:space="preserve">cerca de 96% de seletividade para a formação de sulfonas. Em temperaturas e tempos mais baixos (30°C e 30 min), observa-se </w:t>
      </w:r>
      <w:r>
        <w:rPr>
          <w:rFonts w:ascii="Times New Roman" w:hAnsi="Times New Roman" w:cs="Times New Roman"/>
          <w:sz w:val="20"/>
          <w:szCs w:val="20"/>
        </w:rPr>
        <w:t>uma queda</w:t>
      </w:r>
      <w:r w:rsidRPr="00072C85">
        <w:rPr>
          <w:rFonts w:ascii="Times New Roman" w:hAnsi="Times New Roman" w:cs="Times New Roman"/>
          <w:sz w:val="20"/>
          <w:szCs w:val="20"/>
        </w:rPr>
        <w:t xml:space="preserve"> significativa na conversão do </w:t>
      </w:r>
      <w:proofErr w:type="spellStart"/>
      <w:r w:rsidRPr="00072C85">
        <w:rPr>
          <w:rFonts w:ascii="Times New Roman" w:hAnsi="Times New Roman" w:cs="Times New Roman"/>
          <w:sz w:val="20"/>
          <w:szCs w:val="20"/>
        </w:rPr>
        <w:t>tioanisol</w:t>
      </w:r>
      <w:proofErr w:type="spellEnd"/>
      <w:r w:rsidRPr="00072C8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alcançando s</w:t>
      </w:r>
      <w:r w:rsidRPr="00072C85">
        <w:rPr>
          <w:rFonts w:ascii="Times New Roman" w:hAnsi="Times New Roman" w:cs="Times New Roman"/>
          <w:sz w:val="20"/>
          <w:szCs w:val="20"/>
        </w:rPr>
        <w:t xml:space="preserve">eletividades máximas </w:t>
      </w:r>
      <w:r>
        <w:rPr>
          <w:rFonts w:ascii="Times New Roman" w:hAnsi="Times New Roman" w:cs="Times New Roman"/>
          <w:sz w:val="20"/>
          <w:szCs w:val="20"/>
        </w:rPr>
        <w:t>de aproximadamente</w:t>
      </w:r>
      <w:r w:rsidRPr="00855FF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072C85">
        <w:rPr>
          <w:rFonts w:ascii="Times New Roman" w:hAnsi="Times New Roman" w:cs="Times New Roman"/>
          <w:sz w:val="20"/>
          <w:szCs w:val="20"/>
        </w:rPr>
        <w:t>80%. Desta maneira,</w:t>
      </w:r>
      <w:r>
        <w:rPr>
          <w:rFonts w:ascii="Times New Roman" w:hAnsi="Times New Roman" w:cs="Times New Roman"/>
          <w:sz w:val="20"/>
          <w:szCs w:val="20"/>
        </w:rPr>
        <w:t xml:space="preserve"> os testes posteriores foram realizados à</w:t>
      </w:r>
      <w:r w:rsidRPr="00072C85">
        <w:rPr>
          <w:rFonts w:ascii="Times New Roman" w:hAnsi="Times New Roman" w:cs="Times New Roman"/>
          <w:sz w:val="20"/>
          <w:szCs w:val="20"/>
        </w:rPr>
        <w:t xml:space="preserve"> temperatura de 50°C e o tempo reacional de 1h. </w:t>
      </w:r>
      <w:r>
        <w:rPr>
          <w:rFonts w:ascii="Times New Roman" w:hAnsi="Times New Roman" w:cs="Times New Roman"/>
          <w:sz w:val="20"/>
          <w:szCs w:val="20"/>
        </w:rPr>
        <w:t>Além disso, d</w:t>
      </w:r>
      <w:r w:rsidRPr="00072C85">
        <w:rPr>
          <w:rFonts w:ascii="Times New Roman" w:hAnsi="Times New Roman" w:cs="Times New Roman"/>
          <w:sz w:val="20"/>
          <w:szCs w:val="20"/>
        </w:rPr>
        <w:t xml:space="preserve">entre as </w:t>
      </w:r>
      <w:r w:rsidR="00A94B62" w:rsidRPr="00072C85">
        <w:rPr>
          <w:rFonts w:ascii="Times New Roman" w:hAnsi="Times New Roman" w:cs="Times New Roman"/>
          <w:sz w:val="20"/>
          <w:szCs w:val="20"/>
        </w:rPr>
        <w:t xml:space="preserve">proporções </w:t>
      </w:r>
      <w:r w:rsidR="00A94B62"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semicondutor suportado em quitosana</w:t>
      </w:r>
      <w:r w:rsidRPr="00072C85">
        <w:rPr>
          <w:rFonts w:ascii="Times New Roman" w:hAnsi="Times New Roman" w:cs="Times New Roman"/>
          <w:sz w:val="20"/>
          <w:szCs w:val="20"/>
        </w:rPr>
        <w:t xml:space="preserve">, optou-se por utilizar a </w:t>
      </w:r>
      <w:r w:rsidRPr="00CE79AD">
        <w:rPr>
          <w:rFonts w:ascii="Times New Roman" w:hAnsi="Times New Roman" w:cs="Times New Roman"/>
          <w:sz w:val="20"/>
          <w:szCs w:val="20"/>
        </w:rPr>
        <w:t>compósito com concentração 1</w:t>
      </w:r>
      <w:r>
        <w:rPr>
          <w:rFonts w:ascii="Times New Roman" w:hAnsi="Times New Roman" w:cs="Times New Roman"/>
          <w:sz w:val="20"/>
          <w:szCs w:val="20"/>
        </w:rPr>
        <w:t>mg de NiWO</w:t>
      </w:r>
      <w:r w:rsidRPr="00FC1BFF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CE79AD">
        <w:rPr>
          <w:rFonts w:ascii="Times New Roman" w:hAnsi="Times New Roman" w:cs="Times New Roman"/>
          <w:sz w:val="20"/>
          <w:szCs w:val="20"/>
        </w:rPr>
        <w:t>/1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quitosana</w:t>
      </w:r>
      <w:r w:rsidRPr="00072C85">
        <w:rPr>
          <w:rFonts w:ascii="Times New Roman" w:hAnsi="Times New Roman" w:cs="Times New Roman"/>
          <w:sz w:val="20"/>
          <w:szCs w:val="20"/>
        </w:rPr>
        <w:t>, uma vez que ela apresentou resultados similares as outras, com menor teor de catalisador imobilizado</w:t>
      </w:r>
      <w:r>
        <w:rPr>
          <w:rFonts w:ascii="Times New Roman" w:hAnsi="Times New Roman" w:cs="Times New Roman"/>
          <w:sz w:val="20"/>
          <w:szCs w:val="20"/>
        </w:rPr>
        <w:t xml:space="preserve"> (concentrações mais baixas foram testadas, porém não apresentaram resultados satisfatórios)</w:t>
      </w:r>
      <w:r w:rsidRPr="00072C8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Esta proporção apresentou melhor desempenho provavelmente pelos fatores de agregação observados na Figura 2. Os resultados obtidos por </w:t>
      </w:r>
      <w:r w:rsidR="00A94B62">
        <w:rPr>
          <w:rFonts w:ascii="Times New Roman" w:hAnsi="Times New Roman" w:cs="Times New Roman"/>
          <w:sz w:val="20"/>
          <w:szCs w:val="20"/>
        </w:rPr>
        <w:t>estes compósitos</w:t>
      </w:r>
      <w:r>
        <w:rPr>
          <w:rFonts w:ascii="Times New Roman" w:hAnsi="Times New Roman" w:cs="Times New Roman"/>
          <w:sz w:val="20"/>
          <w:szCs w:val="20"/>
        </w:rPr>
        <w:t xml:space="preserve"> foram superiores aos obtidos por Assis et al.</w:t>
      </w:r>
      <w:r w:rsidR="00CE1463">
        <w:rPr>
          <w:rFonts w:ascii="Times New Roman" w:hAnsi="Times New Roman" w:cs="Times New Roman"/>
          <w:sz w:val="20"/>
          <w:szCs w:val="20"/>
        </w:rPr>
        <w:t xml:space="preserve"> (1</w:t>
      </w:r>
      <w:r w:rsidR="00F7194D">
        <w:rPr>
          <w:rFonts w:ascii="Times New Roman" w:hAnsi="Times New Roman" w:cs="Times New Roman"/>
          <w:sz w:val="20"/>
          <w:szCs w:val="20"/>
        </w:rPr>
        <w:t>3</w:t>
      </w:r>
      <w:r w:rsidR="00CE146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utilizando apenas o NiWO</w:t>
      </w:r>
      <w:r w:rsidRPr="0097655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</w:rPr>
        <w:t>. Além disso, eles foram similares aos obtidos por Libero et al.</w:t>
      </w:r>
      <w:r w:rsidR="00CE1463">
        <w:rPr>
          <w:rFonts w:ascii="Times New Roman" w:hAnsi="Times New Roman" w:cs="Times New Roman"/>
          <w:sz w:val="20"/>
          <w:szCs w:val="20"/>
        </w:rPr>
        <w:t xml:space="preserve"> (1</w:t>
      </w:r>
      <w:r w:rsidR="00F7194D">
        <w:rPr>
          <w:rFonts w:ascii="Times New Roman" w:hAnsi="Times New Roman" w:cs="Times New Roman"/>
          <w:sz w:val="20"/>
          <w:szCs w:val="20"/>
        </w:rPr>
        <w:t>4</w:t>
      </w:r>
      <w:r w:rsidR="00CE1463"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hAnsi="Times New Roman" w:cs="Times New Roman"/>
          <w:sz w:val="20"/>
          <w:szCs w:val="20"/>
        </w:rPr>
        <w:t xml:space="preserve">onde </w:t>
      </w:r>
      <w:proofErr w:type="spellStart"/>
      <w:r>
        <w:rPr>
          <w:rFonts w:ascii="Times New Roman" w:hAnsi="Times New Roman" w:cs="Times New Roman"/>
          <w:sz w:val="20"/>
          <w:szCs w:val="20"/>
        </w:rPr>
        <w:t>nanoparticulas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Fe</w:t>
      </w:r>
      <w:r w:rsidRPr="0097655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(MoO</w:t>
      </w:r>
      <w:r w:rsidRPr="00976553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976553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foram</w:t>
      </w:r>
      <w:r w:rsidR="00976553">
        <w:rPr>
          <w:rFonts w:ascii="Times New Roman" w:hAnsi="Times New Roman" w:cs="Times New Roman"/>
          <w:sz w:val="20"/>
          <w:szCs w:val="20"/>
        </w:rPr>
        <w:t xml:space="preserve"> encapsuladas com quitosana. Segundo este trabalho, a atividade superior dos compósitos em relação aos seus componentes puros se deve ao efeito sinérgico entre o semicondutor e a quitosana, visto que o suporte pode funcionar como um doador de elétrons para a formação de espécies reativas de oxigênio, que são as espécies ativas no processo de oxidação.</w:t>
      </w:r>
    </w:p>
    <w:p w14:paraId="0CF6AF5F" w14:textId="2B8BE5B5" w:rsidR="001A5886" w:rsidRDefault="001A5886" w:rsidP="00FC1BFF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64BFA897" w14:textId="77777777" w:rsidR="00976553" w:rsidRDefault="00976553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D013179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914120A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B8704F4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B45E9AA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8925D26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13A0B88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AB63365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58B4887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3F3CFB0" w14:textId="6F8E68DB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1A5886">
        <w:rPr>
          <w:rFonts w:ascii="Times New Roman" w:hAnsi="Times New Roman" w:cs="Times New Roman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1EE19F6" wp14:editId="45597EC9">
            <wp:simplePos x="0" y="0"/>
            <wp:positionH relativeFrom="margin">
              <wp:align>right</wp:align>
            </wp:positionH>
            <wp:positionV relativeFrom="paragraph">
              <wp:posOffset>165735</wp:posOffset>
            </wp:positionV>
            <wp:extent cx="3027680" cy="1765300"/>
            <wp:effectExtent l="0" t="0" r="1270" b="6350"/>
            <wp:wrapNone/>
            <wp:docPr id="929612468" name="Imagem 1" descr="Gráfico, Gráfico de barr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12468" name="Imagem 1" descr="Gráfico, Gráfico de barras&#10;&#10;Descrição gerada automa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EBCDD" w14:textId="6D91058A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7CD5468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7F00B5D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F9C40E1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BD36DE0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4476CE4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11B6C5C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BF75675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47F3DC4" w14:textId="68DB95B8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6F0B11C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44CE9F94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5D3D65B4" w14:textId="77777777" w:rsidR="001A5886" w:rsidRDefault="001A5886" w:rsidP="00976553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AC1E288" w14:textId="6D0C42A0" w:rsidR="00976553" w:rsidRPr="00976553" w:rsidRDefault="00976553" w:rsidP="00976553">
      <w:pPr>
        <w:pStyle w:val="TAMainText"/>
        <w:ind w:firstLine="0"/>
        <w:rPr>
          <w:rFonts w:ascii="Times New Roman" w:hAnsi="Times New Roman"/>
          <w:sz w:val="18"/>
          <w:szCs w:val="18"/>
          <w:lang w:val="pt-BR"/>
        </w:rPr>
      </w:pPr>
      <w:r w:rsidRPr="003240AC">
        <w:rPr>
          <w:rFonts w:ascii="Times New Roman" w:hAnsi="Times New Roman"/>
          <w:b/>
          <w:sz w:val="18"/>
          <w:szCs w:val="18"/>
          <w:lang w:val="pt-BR"/>
        </w:rPr>
        <w:t xml:space="preserve">Figura </w:t>
      </w:r>
      <w:r>
        <w:rPr>
          <w:rFonts w:ascii="Times New Roman" w:hAnsi="Times New Roman"/>
          <w:b/>
          <w:sz w:val="18"/>
          <w:szCs w:val="18"/>
          <w:lang w:val="pt-BR"/>
        </w:rPr>
        <w:t>3</w:t>
      </w:r>
      <w:r w:rsidRPr="003240AC">
        <w:rPr>
          <w:rFonts w:ascii="Times New Roman" w:hAnsi="Times New Roman"/>
          <w:b/>
          <w:sz w:val="18"/>
          <w:szCs w:val="18"/>
          <w:lang w:val="pt-BR"/>
        </w:rPr>
        <w:t>.</w:t>
      </w:r>
      <w:r w:rsidRPr="003240AC">
        <w:rPr>
          <w:rFonts w:ascii="Times New Roman" w:hAnsi="Times New Roman"/>
          <w:sz w:val="18"/>
          <w:szCs w:val="18"/>
          <w:lang w:val="pt-BR"/>
        </w:rPr>
        <w:t xml:space="preserve"> </w:t>
      </w:r>
      <w:r w:rsidRPr="00976553">
        <w:rPr>
          <w:rFonts w:ascii="Times New Roman" w:hAnsi="Times New Roman"/>
          <w:sz w:val="18"/>
          <w:szCs w:val="18"/>
          <w:lang w:val="pt-BR"/>
        </w:rPr>
        <w:t>Otimização de temperatura utilizando tempo base de 1h, 100 uL de H</w:t>
      </w:r>
      <w:r w:rsidRPr="00976553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976553">
        <w:rPr>
          <w:rFonts w:ascii="Times New Roman" w:hAnsi="Times New Roman"/>
          <w:sz w:val="18"/>
          <w:szCs w:val="18"/>
          <w:lang w:val="pt-BR"/>
        </w:rPr>
        <w:t>O</w:t>
      </w:r>
      <w:r w:rsidRPr="00976553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976553">
        <w:rPr>
          <w:rFonts w:ascii="Times New Roman" w:hAnsi="Times New Roman"/>
          <w:sz w:val="18"/>
          <w:szCs w:val="18"/>
          <w:lang w:val="pt-BR"/>
        </w:rPr>
        <w:t>, 0</w:t>
      </w:r>
      <w:r>
        <w:rPr>
          <w:rFonts w:ascii="Times New Roman" w:hAnsi="Times New Roman"/>
          <w:sz w:val="18"/>
          <w:szCs w:val="18"/>
          <w:lang w:val="pt-BR"/>
        </w:rPr>
        <w:t>,</w:t>
      </w:r>
      <w:r w:rsidRPr="00976553">
        <w:rPr>
          <w:rFonts w:ascii="Times New Roman" w:hAnsi="Times New Roman"/>
          <w:sz w:val="18"/>
          <w:szCs w:val="18"/>
          <w:lang w:val="pt-BR"/>
        </w:rPr>
        <w:t xml:space="preserve">1 mmol de </w:t>
      </w:r>
      <w:proofErr w:type="spellStart"/>
      <w:r w:rsidRPr="00976553">
        <w:rPr>
          <w:rFonts w:ascii="Times New Roman" w:hAnsi="Times New Roman"/>
          <w:sz w:val="18"/>
          <w:szCs w:val="18"/>
          <w:lang w:val="pt-BR"/>
        </w:rPr>
        <w:t>tioanisol</w:t>
      </w:r>
      <w:proofErr w:type="spellEnd"/>
      <w:r w:rsidRPr="00976553">
        <w:rPr>
          <w:rFonts w:ascii="Times New Roman" w:hAnsi="Times New Roman"/>
          <w:sz w:val="18"/>
          <w:szCs w:val="18"/>
          <w:lang w:val="pt-BR"/>
        </w:rPr>
        <w:t xml:space="preserve"> e 2 </w:t>
      </w:r>
      <w:proofErr w:type="spellStart"/>
      <w:r w:rsidRPr="00976553">
        <w:rPr>
          <w:rFonts w:ascii="Times New Roman" w:hAnsi="Times New Roman"/>
          <w:sz w:val="18"/>
          <w:szCs w:val="18"/>
          <w:lang w:val="pt-BR"/>
        </w:rPr>
        <w:t>mL</w:t>
      </w:r>
      <w:proofErr w:type="spellEnd"/>
      <w:r w:rsidRPr="00976553">
        <w:rPr>
          <w:rFonts w:ascii="Times New Roman" w:hAnsi="Times New Roman"/>
          <w:sz w:val="18"/>
          <w:szCs w:val="18"/>
          <w:lang w:val="pt-BR"/>
        </w:rPr>
        <w:t xml:space="preserve"> de acetonitrila: A) 30°C; B) 50°C e C) 70°C. Otimização de tempo utilizando a temperatura base de 50°C</w:t>
      </w:r>
      <w:r>
        <w:rPr>
          <w:rFonts w:ascii="Times New Roman" w:hAnsi="Times New Roman"/>
          <w:sz w:val="18"/>
          <w:szCs w:val="18"/>
          <w:lang w:val="pt-BR"/>
        </w:rPr>
        <w:t xml:space="preserve">, </w:t>
      </w:r>
      <w:r w:rsidRPr="00976553">
        <w:rPr>
          <w:rFonts w:ascii="Times New Roman" w:hAnsi="Times New Roman"/>
          <w:sz w:val="18"/>
          <w:szCs w:val="18"/>
          <w:lang w:val="pt-BR"/>
        </w:rPr>
        <w:t>100 uL de H</w:t>
      </w:r>
      <w:r w:rsidRPr="00976553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976553">
        <w:rPr>
          <w:rFonts w:ascii="Times New Roman" w:hAnsi="Times New Roman"/>
          <w:sz w:val="18"/>
          <w:szCs w:val="18"/>
          <w:lang w:val="pt-BR"/>
        </w:rPr>
        <w:t>O</w:t>
      </w:r>
      <w:r w:rsidRPr="00976553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976553">
        <w:rPr>
          <w:rFonts w:ascii="Times New Roman" w:hAnsi="Times New Roman"/>
          <w:sz w:val="18"/>
          <w:szCs w:val="18"/>
          <w:lang w:val="pt-BR"/>
        </w:rPr>
        <w:t>, 0</w:t>
      </w:r>
      <w:r>
        <w:rPr>
          <w:rFonts w:ascii="Times New Roman" w:hAnsi="Times New Roman"/>
          <w:sz w:val="18"/>
          <w:szCs w:val="18"/>
          <w:lang w:val="pt-BR"/>
        </w:rPr>
        <w:t>,</w:t>
      </w:r>
      <w:r w:rsidRPr="00976553">
        <w:rPr>
          <w:rFonts w:ascii="Times New Roman" w:hAnsi="Times New Roman"/>
          <w:sz w:val="18"/>
          <w:szCs w:val="18"/>
          <w:lang w:val="pt-BR"/>
        </w:rPr>
        <w:t xml:space="preserve">1 mmol de </w:t>
      </w:r>
      <w:proofErr w:type="spellStart"/>
      <w:r w:rsidRPr="00976553">
        <w:rPr>
          <w:rFonts w:ascii="Times New Roman" w:hAnsi="Times New Roman"/>
          <w:sz w:val="18"/>
          <w:szCs w:val="18"/>
          <w:lang w:val="pt-BR"/>
        </w:rPr>
        <w:t>tioanisol</w:t>
      </w:r>
      <w:proofErr w:type="spellEnd"/>
      <w:r w:rsidRPr="00976553">
        <w:rPr>
          <w:rFonts w:ascii="Times New Roman" w:hAnsi="Times New Roman"/>
          <w:sz w:val="18"/>
          <w:szCs w:val="18"/>
          <w:lang w:val="pt-BR"/>
        </w:rPr>
        <w:t xml:space="preserve"> e 2 </w:t>
      </w:r>
      <w:proofErr w:type="spellStart"/>
      <w:r w:rsidRPr="00976553">
        <w:rPr>
          <w:rFonts w:ascii="Times New Roman" w:hAnsi="Times New Roman"/>
          <w:sz w:val="18"/>
          <w:szCs w:val="18"/>
          <w:lang w:val="pt-BR"/>
        </w:rPr>
        <w:t>mL</w:t>
      </w:r>
      <w:proofErr w:type="spellEnd"/>
      <w:r w:rsidRPr="00976553">
        <w:rPr>
          <w:rFonts w:ascii="Times New Roman" w:hAnsi="Times New Roman"/>
          <w:sz w:val="18"/>
          <w:szCs w:val="18"/>
          <w:lang w:val="pt-BR"/>
        </w:rPr>
        <w:t xml:space="preserve"> de acetonitrila: D) 30 min; E) 60 min e F) 90 min.</w:t>
      </w:r>
    </w:p>
    <w:p w14:paraId="1926F5FE" w14:textId="77777777" w:rsidR="00FC1BFF" w:rsidRDefault="00FC1BFF" w:rsidP="00976553">
      <w:pPr>
        <w:pStyle w:val="TAMainText"/>
        <w:ind w:firstLine="0"/>
        <w:rPr>
          <w:rFonts w:ascii="Times New Roman" w:hAnsi="Times New Roman"/>
          <w:lang w:val="pt-BR"/>
        </w:rPr>
      </w:pPr>
    </w:p>
    <w:p w14:paraId="198FB3B5" w14:textId="5A3BD043" w:rsidR="00976553" w:rsidRDefault="00CE1463" w:rsidP="00976553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CE1463">
        <w:rPr>
          <w:rFonts w:ascii="Times New Roman" w:hAnsi="Times New Roman"/>
        </w:rPr>
        <w:drawing>
          <wp:anchor distT="0" distB="0" distL="114300" distR="114300" simplePos="0" relativeHeight="251664384" behindDoc="0" locked="0" layoutInCell="1" allowOverlap="1" wp14:anchorId="20EE8217" wp14:editId="524EC4D5">
            <wp:simplePos x="0" y="0"/>
            <wp:positionH relativeFrom="margin">
              <wp:posOffset>3532284</wp:posOffset>
            </wp:positionH>
            <wp:positionV relativeFrom="paragraph">
              <wp:posOffset>2212036</wp:posOffset>
            </wp:positionV>
            <wp:extent cx="3027680" cy="1341755"/>
            <wp:effectExtent l="0" t="0" r="1270" b="0"/>
            <wp:wrapTopAndBottom/>
            <wp:docPr id="632242391" name="Imagem 1" descr="Gráfico, Gráfico de barr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42391" name="Imagem 1" descr="Gráfico, Gráfico de barras&#10;&#10;Descrição gerada automa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/>
        </w:rPr>
        <w:t xml:space="preserve"> </w:t>
      </w:r>
      <w:r w:rsidR="00976553" w:rsidRPr="00CE7EFF">
        <w:rPr>
          <w:rFonts w:ascii="Times New Roman" w:hAnsi="Times New Roman" w:cs="Times New Roman"/>
          <w:sz w:val="20"/>
          <w:szCs w:val="20"/>
        </w:rPr>
        <w:t xml:space="preserve">A quantidade de oxidante, bem como o tipo de </w:t>
      </w:r>
      <w:r w:rsidR="003474F9" w:rsidRPr="00CE7EFF">
        <w:rPr>
          <w:rFonts w:ascii="Times New Roman" w:hAnsi="Times New Roman" w:cs="Times New Roman"/>
          <w:sz w:val="20"/>
          <w:szCs w:val="20"/>
        </w:rPr>
        <w:t>solvente foram</w:t>
      </w:r>
      <w:r w:rsidR="00976553" w:rsidRPr="00CE7EFF">
        <w:rPr>
          <w:rFonts w:ascii="Times New Roman" w:hAnsi="Times New Roman" w:cs="Times New Roman"/>
          <w:sz w:val="20"/>
          <w:szCs w:val="20"/>
        </w:rPr>
        <w:t xml:space="preserve"> analisadas frente a oxidação do </w:t>
      </w:r>
      <w:proofErr w:type="spellStart"/>
      <w:r w:rsidR="00976553" w:rsidRPr="00CE7EFF">
        <w:rPr>
          <w:rFonts w:ascii="Times New Roman" w:hAnsi="Times New Roman" w:cs="Times New Roman"/>
          <w:sz w:val="20"/>
          <w:szCs w:val="20"/>
        </w:rPr>
        <w:t>tioanisol</w:t>
      </w:r>
      <w:proofErr w:type="spellEnd"/>
      <w:r w:rsidR="00976553" w:rsidRPr="00CE7EFF">
        <w:rPr>
          <w:rFonts w:ascii="Times New Roman" w:hAnsi="Times New Roman" w:cs="Times New Roman"/>
          <w:sz w:val="20"/>
          <w:szCs w:val="20"/>
        </w:rPr>
        <w:t xml:space="preserve">, empregando-se 50°C, 1h de reação (Figura </w:t>
      </w:r>
      <w:r w:rsidR="00976553">
        <w:rPr>
          <w:rFonts w:ascii="Times New Roman" w:hAnsi="Times New Roman" w:cs="Times New Roman"/>
          <w:sz w:val="20"/>
          <w:szCs w:val="20"/>
        </w:rPr>
        <w:t>4</w:t>
      </w:r>
      <w:r w:rsidR="00976553" w:rsidRPr="00CE7EFF">
        <w:rPr>
          <w:rFonts w:ascii="Times New Roman" w:hAnsi="Times New Roman" w:cs="Times New Roman"/>
          <w:sz w:val="20"/>
          <w:szCs w:val="20"/>
        </w:rPr>
        <w:t xml:space="preserve">). Observa-se </w:t>
      </w:r>
      <w:r w:rsidR="00976553">
        <w:rPr>
          <w:rFonts w:ascii="Times New Roman" w:hAnsi="Times New Roman" w:cs="Times New Roman"/>
          <w:sz w:val="20"/>
          <w:szCs w:val="20"/>
        </w:rPr>
        <w:t xml:space="preserve">que a conversão para sulfonas é facilitada </w:t>
      </w:r>
      <w:r w:rsidR="00976553" w:rsidRPr="00CE7EFF">
        <w:rPr>
          <w:rFonts w:ascii="Times New Roman" w:hAnsi="Times New Roman" w:cs="Times New Roman"/>
          <w:sz w:val="20"/>
          <w:szCs w:val="20"/>
        </w:rPr>
        <w:t xml:space="preserve">com o uso de solvente polar aprótico, </w:t>
      </w:r>
      <w:r w:rsidR="00976553" w:rsidRPr="00CE79AD">
        <w:rPr>
          <w:rFonts w:ascii="Times New Roman" w:hAnsi="Times New Roman" w:cs="Times New Roman"/>
          <w:sz w:val="20"/>
          <w:szCs w:val="20"/>
        </w:rPr>
        <w:t>como</w:t>
      </w:r>
      <w:r w:rsidR="00976553">
        <w:rPr>
          <w:rFonts w:ascii="Times New Roman" w:hAnsi="Times New Roman" w:cs="Times New Roman"/>
          <w:sz w:val="20"/>
          <w:szCs w:val="20"/>
        </w:rPr>
        <w:t xml:space="preserve"> </w:t>
      </w:r>
      <w:r w:rsidR="00976553" w:rsidRPr="00CE7EFF">
        <w:rPr>
          <w:rFonts w:ascii="Times New Roman" w:hAnsi="Times New Roman" w:cs="Times New Roman"/>
          <w:sz w:val="20"/>
          <w:szCs w:val="20"/>
        </w:rPr>
        <w:t xml:space="preserve">acetonitrila, quando em comparação com os outros testados. Além disso, observa-se que com 100 µL de </w:t>
      </w:r>
      <w:r w:rsidR="00976553" w:rsidRPr="00CE79AD">
        <w:rPr>
          <w:rFonts w:ascii="Times New Roman" w:hAnsi="Times New Roman" w:cs="Times New Roman"/>
          <w:sz w:val="20"/>
          <w:szCs w:val="20"/>
        </w:rPr>
        <w:t>H</w:t>
      </w:r>
      <w:r w:rsidR="00976553" w:rsidRPr="00CE79A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976553" w:rsidRPr="00CE79AD">
        <w:rPr>
          <w:rFonts w:ascii="Times New Roman" w:hAnsi="Times New Roman" w:cs="Times New Roman"/>
          <w:sz w:val="20"/>
          <w:szCs w:val="20"/>
        </w:rPr>
        <w:t>O</w:t>
      </w:r>
      <w:r w:rsidR="00976553" w:rsidRPr="00CE79A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976553" w:rsidRPr="00CE7EFF">
        <w:rPr>
          <w:rFonts w:ascii="Times New Roman" w:hAnsi="Times New Roman" w:cs="Times New Roman"/>
          <w:sz w:val="20"/>
          <w:szCs w:val="20"/>
        </w:rPr>
        <w:t xml:space="preserve"> (1.2 mmol) obtém-se uma conversão de &gt;</w:t>
      </w:r>
      <w:r w:rsidR="00976553">
        <w:rPr>
          <w:rFonts w:ascii="Times New Roman" w:hAnsi="Times New Roman" w:cs="Times New Roman"/>
          <w:sz w:val="20"/>
          <w:szCs w:val="20"/>
        </w:rPr>
        <w:t xml:space="preserve"> </w:t>
      </w:r>
      <w:r w:rsidR="00976553" w:rsidRPr="00CE7EFF">
        <w:rPr>
          <w:rFonts w:ascii="Times New Roman" w:hAnsi="Times New Roman" w:cs="Times New Roman"/>
          <w:sz w:val="20"/>
          <w:szCs w:val="20"/>
        </w:rPr>
        <w:t>96% da reação, com um rendimento de 96% de sulfona. Como o</w:t>
      </w:r>
      <w:r w:rsidR="00976553" w:rsidRPr="00CE79AD">
        <w:rPr>
          <w:rFonts w:ascii="Times New Roman" w:hAnsi="Times New Roman" w:cs="Times New Roman"/>
          <w:sz w:val="20"/>
          <w:szCs w:val="20"/>
        </w:rPr>
        <w:t xml:space="preserve"> H</w:t>
      </w:r>
      <w:r w:rsidR="00976553" w:rsidRPr="00CE79A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976553" w:rsidRPr="00CE79AD">
        <w:rPr>
          <w:rFonts w:ascii="Times New Roman" w:hAnsi="Times New Roman" w:cs="Times New Roman"/>
          <w:sz w:val="20"/>
          <w:szCs w:val="20"/>
        </w:rPr>
        <w:t>O</w:t>
      </w:r>
      <w:r w:rsidR="00976553" w:rsidRPr="00CE79A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976553" w:rsidRPr="00CE7EFF">
        <w:rPr>
          <w:rFonts w:ascii="Times New Roman" w:hAnsi="Times New Roman" w:cs="Times New Roman"/>
          <w:sz w:val="20"/>
          <w:szCs w:val="20"/>
        </w:rPr>
        <w:t xml:space="preserve"> pode ser uma fonte direta de oxidação de sulfetos, verificou-se que apenas seu uso</w:t>
      </w:r>
      <w:r w:rsidR="00976553">
        <w:rPr>
          <w:rFonts w:ascii="Times New Roman" w:hAnsi="Times New Roman" w:cs="Times New Roman"/>
          <w:sz w:val="20"/>
          <w:szCs w:val="20"/>
        </w:rPr>
        <w:t xml:space="preserve"> não é capaz de converter porcentagens significativas de sulfonas. Assim, o oxidante promove a </w:t>
      </w:r>
      <w:r w:rsidR="00976553" w:rsidRPr="000B48E3">
        <w:rPr>
          <w:rFonts w:ascii="Times New Roman" w:hAnsi="Times New Roman" w:cs="Times New Roman"/>
          <w:sz w:val="20"/>
          <w:szCs w:val="20"/>
        </w:rPr>
        <w:t xml:space="preserve">ativação do catalisador, estimulando a produção de espécies </w:t>
      </w:r>
      <w:r w:rsidR="00976553">
        <w:rPr>
          <w:rFonts w:ascii="Times New Roman" w:hAnsi="Times New Roman" w:cs="Times New Roman"/>
          <w:sz w:val="20"/>
          <w:szCs w:val="20"/>
        </w:rPr>
        <w:t>reativas de oxigênio</w:t>
      </w:r>
      <w:r w:rsidR="00976553" w:rsidRPr="000B48E3">
        <w:rPr>
          <w:rFonts w:ascii="Times New Roman" w:hAnsi="Times New Roman" w:cs="Times New Roman"/>
          <w:sz w:val="20"/>
          <w:szCs w:val="20"/>
        </w:rPr>
        <w:t>. Portanto é essencial a utilização de ambos simultaneamente.</w:t>
      </w:r>
    </w:p>
    <w:p w14:paraId="5E5A081F" w14:textId="2295C960" w:rsidR="00976553" w:rsidRDefault="00976553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E271C41" w14:textId="5C0C2D89" w:rsidR="00976553" w:rsidRPr="00DF2F86" w:rsidRDefault="00976553" w:rsidP="00976553">
      <w:pPr>
        <w:spacing w:after="0" w:line="240" w:lineRule="exact"/>
        <w:jc w:val="both"/>
      </w:pPr>
      <w:r w:rsidRPr="000B48E3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Figura </w:t>
      </w:r>
      <w:r w:rsidR="001A5886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4</w:t>
      </w:r>
      <w:r w:rsidRPr="000B48E3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.</w:t>
      </w:r>
      <w:r w:rsidRPr="000B48E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0B48E3">
        <w:rPr>
          <w:rFonts w:ascii="Times New Roman" w:hAnsi="Times New Roman" w:cs="Times New Roman"/>
          <w:sz w:val="18"/>
          <w:szCs w:val="18"/>
        </w:rPr>
        <w:t>A) Otimização de solvente utilizando tempo de 1h, temperatura de 50 °C, 100 uL de H</w:t>
      </w:r>
      <w:r w:rsidRPr="000B48E3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0B48E3">
        <w:rPr>
          <w:rFonts w:ascii="Times New Roman" w:hAnsi="Times New Roman" w:cs="Times New Roman"/>
          <w:sz w:val="18"/>
          <w:szCs w:val="18"/>
        </w:rPr>
        <w:t>O</w:t>
      </w:r>
      <w:r w:rsidRPr="000B48E3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0B48E3">
        <w:rPr>
          <w:rFonts w:ascii="Times New Roman" w:hAnsi="Times New Roman" w:cs="Times New Roman"/>
          <w:sz w:val="18"/>
          <w:szCs w:val="18"/>
        </w:rPr>
        <w:t xml:space="preserve">, 0.1 mmol de </w:t>
      </w:r>
      <w:proofErr w:type="spellStart"/>
      <w:r w:rsidRPr="000B48E3">
        <w:rPr>
          <w:rFonts w:ascii="Times New Roman" w:hAnsi="Times New Roman" w:cs="Times New Roman"/>
          <w:sz w:val="18"/>
          <w:szCs w:val="18"/>
        </w:rPr>
        <w:t>tioanisol</w:t>
      </w:r>
      <w:proofErr w:type="spellEnd"/>
      <w:r w:rsidRPr="000B48E3">
        <w:rPr>
          <w:rFonts w:ascii="Times New Roman" w:hAnsi="Times New Roman" w:cs="Times New Roman"/>
          <w:sz w:val="18"/>
          <w:szCs w:val="18"/>
        </w:rPr>
        <w:t xml:space="preserve"> e 2 </w:t>
      </w:r>
      <w:proofErr w:type="spellStart"/>
      <w:r w:rsidRPr="000B48E3">
        <w:rPr>
          <w:rFonts w:ascii="Times New Roman" w:hAnsi="Times New Roman" w:cs="Times New Roman"/>
          <w:sz w:val="18"/>
          <w:szCs w:val="18"/>
        </w:rPr>
        <w:t>mL</w:t>
      </w:r>
      <w:proofErr w:type="spellEnd"/>
      <w:r w:rsidRPr="000B48E3">
        <w:rPr>
          <w:rFonts w:ascii="Times New Roman" w:hAnsi="Times New Roman" w:cs="Times New Roman"/>
          <w:sz w:val="18"/>
          <w:szCs w:val="18"/>
        </w:rPr>
        <w:t xml:space="preserve"> de solvente. B) Otimização de volume de oxidante utilizando tempo de 1h</w:t>
      </w:r>
      <w:r w:rsidRPr="000B48E3">
        <w:rPr>
          <w:rFonts w:ascii="Times New Roman" w:hAnsi="Times New Roman" w:cs="Times New Roman"/>
        </w:rPr>
        <w:t xml:space="preserve">, </w:t>
      </w:r>
      <w:r w:rsidRPr="000B48E3">
        <w:rPr>
          <w:rFonts w:ascii="Times New Roman" w:hAnsi="Times New Roman" w:cs="Times New Roman"/>
          <w:sz w:val="18"/>
          <w:szCs w:val="18"/>
        </w:rPr>
        <w:t xml:space="preserve">temperatura de 50 °C, 0.1 mmol de </w:t>
      </w:r>
      <w:proofErr w:type="spellStart"/>
      <w:r w:rsidRPr="000B48E3">
        <w:rPr>
          <w:rFonts w:ascii="Times New Roman" w:hAnsi="Times New Roman" w:cs="Times New Roman"/>
          <w:sz w:val="18"/>
          <w:szCs w:val="18"/>
        </w:rPr>
        <w:t>tioanisol</w:t>
      </w:r>
      <w:proofErr w:type="spellEnd"/>
      <w:r w:rsidRPr="000B48E3">
        <w:rPr>
          <w:rFonts w:ascii="Times New Roman" w:hAnsi="Times New Roman" w:cs="Times New Roman"/>
          <w:sz w:val="18"/>
          <w:szCs w:val="18"/>
        </w:rPr>
        <w:t xml:space="preserve"> e 2 </w:t>
      </w:r>
      <w:proofErr w:type="spellStart"/>
      <w:r w:rsidRPr="000B48E3">
        <w:rPr>
          <w:rFonts w:ascii="Times New Roman" w:hAnsi="Times New Roman" w:cs="Times New Roman"/>
          <w:sz w:val="18"/>
          <w:szCs w:val="18"/>
        </w:rPr>
        <w:t>mL</w:t>
      </w:r>
      <w:proofErr w:type="spellEnd"/>
      <w:r w:rsidRPr="000B48E3">
        <w:rPr>
          <w:rFonts w:ascii="Times New Roman" w:hAnsi="Times New Roman" w:cs="Times New Roman"/>
          <w:sz w:val="18"/>
          <w:szCs w:val="18"/>
        </w:rPr>
        <w:t xml:space="preserve"> de acetonitrila.</w:t>
      </w:r>
    </w:p>
    <w:p w14:paraId="18C10B26" w14:textId="06DC969D" w:rsidR="00976553" w:rsidRDefault="00976553" w:rsidP="00976553">
      <w:pPr>
        <w:pStyle w:val="TAMainText"/>
        <w:ind w:firstLine="0"/>
        <w:rPr>
          <w:rFonts w:ascii="Times New Roman" w:hAnsi="Times New Roman"/>
          <w:lang w:val="pt-BR"/>
        </w:rPr>
      </w:pPr>
    </w:p>
    <w:p w14:paraId="2AD8FAC6" w14:textId="77777777" w:rsidR="00B830D9" w:rsidRDefault="00000000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Conclusões</w:t>
      </w:r>
    </w:p>
    <w:p w14:paraId="6119433D" w14:textId="2F67D469" w:rsidR="00B830D9" w:rsidRDefault="00976553">
      <w:pPr>
        <w:pStyle w:val="TAMainText"/>
        <w:ind w:firstLine="187"/>
        <w:rPr>
          <w:rFonts w:ascii="Times New Roman" w:hAnsi="Times New Roman"/>
          <w:lang w:val="pt-BR"/>
        </w:rPr>
      </w:pPr>
      <w:r w:rsidRPr="00976553">
        <w:rPr>
          <w:rFonts w:ascii="Times New Roman" w:hAnsi="Times New Roman"/>
          <w:lang w:val="pt-BR"/>
        </w:rPr>
        <w:t xml:space="preserve">As principais conclusões do presente trabalho são: (i) a síntese de um catalisador de forma prática e rápida, </w:t>
      </w:r>
      <w:r w:rsidRPr="00976553">
        <w:rPr>
          <w:rFonts w:ascii="Times New Roman" w:hAnsi="Times New Roman"/>
          <w:lang w:val="pt-BR"/>
        </w:rPr>
        <w:lastRenderedPageBreak/>
        <w:t>imobilizando nanopartículas de NiWO</w:t>
      </w:r>
      <w:r w:rsidRPr="00976553">
        <w:rPr>
          <w:rFonts w:ascii="Times New Roman" w:hAnsi="Times New Roman"/>
          <w:vertAlign w:val="subscript"/>
          <w:lang w:val="pt-BR"/>
        </w:rPr>
        <w:t>4</w:t>
      </w:r>
      <w:r w:rsidRPr="00976553">
        <w:rPr>
          <w:rFonts w:ascii="Times New Roman" w:hAnsi="Times New Roman"/>
          <w:lang w:val="pt-BR"/>
        </w:rPr>
        <w:t xml:space="preserve"> em quitosana; (</w:t>
      </w:r>
      <w:proofErr w:type="spellStart"/>
      <w:r w:rsidRPr="00976553">
        <w:rPr>
          <w:rFonts w:ascii="Times New Roman" w:hAnsi="Times New Roman"/>
          <w:lang w:val="pt-BR"/>
        </w:rPr>
        <w:t>ii</w:t>
      </w:r>
      <w:proofErr w:type="spellEnd"/>
      <w:r w:rsidRPr="00976553">
        <w:rPr>
          <w:rFonts w:ascii="Times New Roman" w:hAnsi="Times New Roman"/>
          <w:lang w:val="pt-BR"/>
        </w:rPr>
        <w:t>) obtenção de altos índices de conversão de sulfetos em sulfonas, sendo amostra de 1 mg de NiWO</w:t>
      </w:r>
      <w:r w:rsidRPr="00976553">
        <w:rPr>
          <w:rFonts w:ascii="Times New Roman" w:hAnsi="Times New Roman"/>
          <w:vertAlign w:val="subscript"/>
          <w:lang w:val="pt-BR"/>
        </w:rPr>
        <w:t>4</w:t>
      </w:r>
      <w:r w:rsidRPr="00976553">
        <w:rPr>
          <w:rFonts w:ascii="Times New Roman" w:hAnsi="Times New Roman"/>
          <w:color w:val="FF0000"/>
          <w:lang w:val="pt-BR"/>
        </w:rPr>
        <w:t xml:space="preserve"> </w:t>
      </w:r>
      <w:r w:rsidRPr="00976553">
        <w:rPr>
          <w:rFonts w:ascii="Times New Roman" w:hAnsi="Times New Roman"/>
          <w:lang w:val="pt-BR"/>
        </w:rPr>
        <w:t>por ml de quitosana, o catalisador de maior eficiência. De forma geral, o catalisador desenvolvido é eficiente para o processo de oxidação de sulfetos a sulfonas, utilizando condições reacionais brandas.</w:t>
      </w:r>
    </w:p>
    <w:p w14:paraId="572A37A4" w14:textId="45641B00" w:rsidR="00976553" w:rsidRDefault="00976553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13555AD" w14:textId="77777777" w:rsidR="00B830D9" w:rsidRDefault="00000000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Agradecimentos</w:t>
      </w:r>
    </w:p>
    <w:p w14:paraId="16249183" w14:textId="6826C5A7" w:rsidR="00EE2A38" w:rsidRDefault="00EE2A38" w:rsidP="00EE2A38">
      <w:pPr>
        <w:pStyle w:val="TAMainText"/>
        <w:rPr>
          <w:rFonts w:ascii="Times New Roman" w:hAnsi="Times New Roman"/>
          <w:lang w:val="pt-BR"/>
        </w:rPr>
      </w:pPr>
      <w:r w:rsidRPr="0067566B">
        <w:rPr>
          <w:rFonts w:ascii="Times New Roman" w:hAnsi="Times New Roman"/>
          <w:lang w:val="pt-BR"/>
        </w:rPr>
        <w:t>Este trabalho foi financiado parcialmente pela Fundação de Amparo à Pesquisa do Estado de São Paulo – FAPESP (2013/07296-2</w:t>
      </w:r>
      <w:r>
        <w:rPr>
          <w:rFonts w:ascii="Times New Roman" w:hAnsi="Times New Roman"/>
          <w:lang w:val="pt-BR"/>
        </w:rPr>
        <w:t xml:space="preserve">, </w:t>
      </w:r>
      <w:r w:rsidR="00976553" w:rsidRPr="00117B83">
        <w:rPr>
          <w:lang w:val="pt-BR"/>
        </w:rPr>
        <w:t>2022/09715-1</w:t>
      </w:r>
      <w:r w:rsidRPr="0067566B">
        <w:rPr>
          <w:rFonts w:ascii="Times New Roman" w:hAnsi="Times New Roman"/>
          <w:lang w:val="pt-BR"/>
        </w:rPr>
        <w:t>), Financiadora de Estudos e Projetos – FINEP, e pela Coordenação de Aperfeiçoamento Pessoal de Nível Superior– CAPES (001). Marcelo Assis agrade</w:t>
      </w:r>
      <w:r>
        <w:rPr>
          <w:rFonts w:ascii="Times New Roman" w:hAnsi="Times New Roman"/>
          <w:lang w:val="pt-BR"/>
        </w:rPr>
        <w:t>ce</w:t>
      </w:r>
      <w:r w:rsidRPr="0067566B">
        <w:rPr>
          <w:rFonts w:ascii="Times New Roman" w:hAnsi="Times New Roman"/>
          <w:lang w:val="pt-BR"/>
        </w:rPr>
        <w:t xml:space="preserve"> pelo apoio d</w:t>
      </w:r>
      <w:r>
        <w:rPr>
          <w:rFonts w:ascii="Times New Roman" w:hAnsi="Times New Roman"/>
          <w:lang w:val="pt-BR"/>
        </w:rPr>
        <w:t>o contrato</w:t>
      </w:r>
      <w:r w:rsidRPr="0067566B">
        <w:rPr>
          <w:rFonts w:ascii="Times New Roman" w:hAnsi="Times New Roman"/>
          <w:lang w:val="pt-BR"/>
        </w:rPr>
        <w:t xml:space="preserve"> Margarita Salas MGS/2021/21 (UP2021-021)</w:t>
      </w:r>
      <w:r>
        <w:rPr>
          <w:rFonts w:ascii="Times New Roman" w:hAnsi="Times New Roman"/>
          <w:lang w:val="pt-BR"/>
        </w:rPr>
        <w:t xml:space="preserve"> financiado pelo programa da União </w:t>
      </w:r>
      <w:proofErr w:type="spellStart"/>
      <w:r>
        <w:rPr>
          <w:rFonts w:ascii="Times New Roman" w:hAnsi="Times New Roman"/>
          <w:lang w:val="pt-BR"/>
        </w:rPr>
        <w:t>Européia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Pr="0067566B">
        <w:rPr>
          <w:rFonts w:ascii="Times New Roman" w:hAnsi="Times New Roman"/>
          <w:lang w:val="pt-BR"/>
        </w:rPr>
        <w:t>Next Generatio</w:t>
      </w:r>
      <w:r>
        <w:rPr>
          <w:rFonts w:ascii="Times New Roman" w:hAnsi="Times New Roman"/>
          <w:lang w:val="pt-BR"/>
        </w:rPr>
        <w:t>n-</w:t>
      </w:r>
      <w:r w:rsidRPr="0067566B">
        <w:rPr>
          <w:rFonts w:ascii="Times New Roman" w:hAnsi="Times New Roman"/>
          <w:lang w:val="pt-BR"/>
        </w:rPr>
        <w:t>EU</w:t>
      </w:r>
      <w:r>
        <w:rPr>
          <w:rFonts w:ascii="Times New Roman" w:hAnsi="Times New Roman"/>
          <w:lang w:val="pt-BR"/>
        </w:rPr>
        <w:t>.</w:t>
      </w:r>
    </w:p>
    <w:p w14:paraId="2AAC16A6" w14:textId="77777777" w:rsidR="00976553" w:rsidRDefault="00976553" w:rsidP="00EE2A38">
      <w:pPr>
        <w:pStyle w:val="TAMainText"/>
        <w:rPr>
          <w:rFonts w:ascii="Times New Roman" w:hAnsi="Times New Roman"/>
          <w:lang w:val="pt-BR"/>
        </w:rPr>
      </w:pPr>
    </w:p>
    <w:p w14:paraId="13EF02E5" w14:textId="77777777" w:rsidR="00B830D9" w:rsidRDefault="00000000">
      <w:pPr>
        <w:pStyle w:val="Ttulo2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Referências</w:t>
      </w:r>
    </w:p>
    <w:p w14:paraId="534EB66D" w14:textId="77777777" w:rsidR="00B830D9" w:rsidRDefault="00B830D9">
      <w:pPr>
        <w:pStyle w:val="TAMainText"/>
        <w:ind w:firstLine="0"/>
        <w:rPr>
          <w:lang w:val="pt-BR"/>
        </w:rPr>
      </w:pPr>
    </w:p>
    <w:p w14:paraId="32105C0F" w14:textId="0F71AAB8" w:rsidR="00B830D9" w:rsidRDefault="008F56CF" w:rsidP="008F56CF">
      <w:pPr>
        <w:pStyle w:val="TAMainText"/>
        <w:numPr>
          <w:ilvl w:val="0"/>
          <w:numId w:val="1"/>
        </w:numPr>
        <w:suppressAutoHyphens w:val="0"/>
      </w:pPr>
      <w:r w:rsidRPr="008F56CF">
        <w:t xml:space="preserve">B. Koul; A. Kumar </w:t>
      </w:r>
      <w:proofErr w:type="spellStart"/>
      <w:r w:rsidRPr="008F56CF">
        <w:t>Poonia</w:t>
      </w:r>
      <w:proofErr w:type="spellEnd"/>
      <w:r w:rsidRPr="008F56CF">
        <w:t xml:space="preserve">; R. Singh; S. </w:t>
      </w:r>
      <w:proofErr w:type="spellStart"/>
      <w:r w:rsidRPr="008F56CF">
        <w:t>Kajla</w:t>
      </w:r>
      <w:proofErr w:type="spellEnd"/>
      <w:r w:rsidRPr="008F56CF">
        <w:rPr>
          <w:i/>
          <w:iCs/>
        </w:rPr>
        <w:t xml:space="preserve">. Chapter 4 - Strategies to cope with the emerging </w:t>
      </w:r>
      <w:proofErr w:type="gramStart"/>
      <w:r w:rsidRPr="008F56CF">
        <w:rPr>
          <w:i/>
          <w:iCs/>
        </w:rPr>
        <w:t>waste water</w:t>
      </w:r>
      <w:proofErr w:type="gramEnd"/>
      <w:r w:rsidRPr="008F56CF">
        <w:rPr>
          <w:i/>
          <w:iCs/>
        </w:rPr>
        <w:t xml:space="preserve"> contaminants through adsorption regimes</w:t>
      </w:r>
      <w:r w:rsidRPr="008F56CF">
        <w:t>, Ed.; Elsevier, 2022; Vol. 1, 61-</w:t>
      </w:r>
      <w:r w:rsidR="00A94B62" w:rsidRPr="008F56CF">
        <w:t>106.</w:t>
      </w:r>
      <w:r w:rsidR="00A94B62">
        <w:t xml:space="preserve"> L.</w:t>
      </w:r>
      <w:r w:rsidR="00000000">
        <w:t xml:space="preserve"> Wang, P. </w:t>
      </w:r>
      <w:proofErr w:type="spellStart"/>
      <w:r w:rsidR="00000000">
        <w:t>Jin</w:t>
      </w:r>
      <w:proofErr w:type="spellEnd"/>
      <w:r w:rsidR="00000000">
        <w:t xml:space="preserve">, S. Duan, H. She, J. Huang, Q. Wang, </w:t>
      </w:r>
      <w:r w:rsidR="00000000" w:rsidRPr="008F56CF">
        <w:t>Sci. Bull.</w:t>
      </w:r>
      <w:r w:rsidR="00000000">
        <w:t xml:space="preserve">, </w:t>
      </w:r>
      <w:r w:rsidR="00000000" w:rsidRPr="008F56CF">
        <w:t>2019</w:t>
      </w:r>
      <w:r w:rsidR="00000000">
        <w:t xml:space="preserve">, </w:t>
      </w:r>
      <w:r w:rsidR="00000000" w:rsidRPr="008F56CF">
        <w:t>64</w:t>
      </w:r>
      <w:r w:rsidR="00000000">
        <w:t>, 926–933.</w:t>
      </w:r>
    </w:p>
    <w:p w14:paraId="3A48DCB1" w14:textId="77777777" w:rsidR="008F56CF" w:rsidRDefault="008F56CF" w:rsidP="008F56CF">
      <w:pPr>
        <w:pStyle w:val="TAMainText"/>
        <w:numPr>
          <w:ilvl w:val="0"/>
          <w:numId w:val="1"/>
        </w:numPr>
        <w:suppressAutoHyphens w:val="0"/>
      </w:pPr>
      <w:r>
        <w:t xml:space="preserve">F.M. de Lima; T. de Andrade Borges; R.M. Braga. </w:t>
      </w:r>
      <w:r w:rsidRPr="007876DA">
        <w:rPr>
          <w:i/>
          <w:iCs/>
        </w:rPr>
        <w:t xml:space="preserve">Environ Sci </w:t>
      </w:r>
      <w:proofErr w:type="spellStart"/>
      <w:r w:rsidRPr="007876DA">
        <w:rPr>
          <w:i/>
          <w:iCs/>
        </w:rPr>
        <w:t>Pollut</w:t>
      </w:r>
      <w:proofErr w:type="spellEnd"/>
      <w:r w:rsidRPr="007876DA">
        <w:rPr>
          <w:i/>
          <w:iCs/>
        </w:rPr>
        <w:t xml:space="preserve"> Res</w:t>
      </w:r>
      <w:r>
        <w:t xml:space="preserve">, </w:t>
      </w:r>
      <w:r w:rsidRPr="00653146">
        <w:rPr>
          <w:b/>
          <w:bCs/>
        </w:rPr>
        <w:t>2018</w:t>
      </w:r>
      <w:r>
        <w:t xml:space="preserve">, </w:t>
      </w:r>
      <w:r w:rsidRPr="007876DA">
        <w:rPr>
          <w:i/>
          <w:iCs/>
        </w:rPr>
        <w:t>25</w:t>
      </w:r>
      <w:r>
        <w:t>, 13760-13774.</w:t>
      </w:r>
    </w:p>
    <w:p w14:paraId="5C20F980" w14:textId="1BA70FD6" w:rsidR="008F56CF" w:rsidRDefault="008F56CF" w:rsidP="008F56CF">
      <w:pPr>
        <w:pStyle w:val="TAMainText"/>
        <w:numPr>
          <w:ilvl w:val="0"/>
          <w:numId w:val="1"/>
        </w:numPr>
      </w:pPr>
      <w:r>
        <w:t xml:space="preserve">M. Hanif; N. Ibrahim; A. Jalil, </w:t>
      </w:r>
      <w:r w:rsidRPr="008F56CF">
        <w:rPr>
          <w:i/>
          <w:iCs/>
        </w:rPr>
        <w:t>Environmental Science and Pollution Research</w:t>
      </w:r>
      <w:r>
        <w:t xml:space="preserve">, </w:t>
      </w:r>
      <w:r w:rsidRPr="008F56CF">
        <w:rPr>
          <w:b/>
          <w:bCs/>
        </w:rPr>
        <w:t>2020</w:t>
      </w:r>
      <w:r>
        <w:t xml:space="preserve">, </w:t>
      </w:r>
      <w:r w:rsidRPr="008F56CF">
        <w:rPr>
          <w:i/>
          <w:iCs/>
        </w:rPr>
        <w:t>27</w:t>
      </w:r>
      <w:r>
        <w:t>, 27515 – 27540.</w:t>
      </w:r>
    </w:p>
    <w:p w14:paraId="605285CB" w14:textId="24535668" w:rsidR="008F56CF" w:rsidRDefault="008F56CF" w:rsidP="008F56CF">
      <w:pPr>
        <w:pStyle w:val="TAMainText"/>
        <w:numPr>
          <w:ilvl w:val="0"/>
          <w:numId w:val="1"/>
        </w:numPr>
      </w:pPr>
      <w:r>
        <w:t xml:space="preserve">PL 4322/2021 - </w:t>
      </w:r>
      <w:proofErr w:type="spellStart"/>
      <w:r>
        <w:t>Senado</w:t>
      </w:r>
      <w:proofErr w:type="spellEnd"/>
      <w:r>
        <w:t xml:space="preserve"> Federal. </w:t>
      </w:r>
      <w:proofErr w:type="spellStart"/>
      <w:r>
        <w:t>Disponível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: </w:t>
      </w:r>
      <w:hyperlink r:id="rId16" w:history="1">
        <w:r w:rsidRPr="008F56CF">
          <w:rPr>
            <w:rStyle w:val="Hyperlink"/>
            <w:color w:val="auto"/>
          </w:rPr>
          <w:t>https://www25.senado.leg.br/web/atividade/materias/-/materia/151175</w:t>
        </w:r>
      </w:hyperlink>
      <w:r w:rsidRPr="008F56CF">
        <w:t>.</w:t>
      </w:r>
    </w:p>
    <w:p w14:paraId="5987ED63" w14:textId="31B5D861" w:rsidR="008F56CF" w:rsidRDefault="008F56CF" w:rsidP="008F56CF">
      <w:pPr>
        <w:pStyle w:val="TAMainText"/>
        <w:numPr>
          <w:ilvl w:val="0"/>
          <w:numId w:val="1"/>
        </w:numPr>
        <w:suppressAutoHyphens w:val="0"/>
      </w:pPr>
      <w:r>
        <w:t xml:space="preserve">S. Liang; K. </w:t>
      </w:r>
      <w:proofErr w:type="spellStart"/>
      <w:r>
        <w:t>Hofman</w:t>
      </w:r>
      <w:proofErr w:type="spellEnd"/>
      <w:r>
        <w:t xml:space="preserve">; M. Friedrich; J. Keller; G. </w:t>
      </w:r>
      <w:proofErr w:type="spellStart"/>
      <w:r>
        <w:t>Manolikakes</w:t>
      </w:r>
      <w:proofErr w:type="spellEnd"/>
      <w:r>
        <w:t xml:space="preserve">, </w:t>
      </w:r>
      <w:proofErr w:type="spellStart"/>
      <w:r w:rsidRPr="00FA55CC">
        <w:rPr>
          <w:i/>
          <w:iCs/>
        </w:rPr>
        <w:t>ChemSusChem</w:t>
      </w:r>
      <w:proofErr w:type="spellEnd"/>
      <w:r>
        <w:rPr>
          <w:i/>
          <w:iCs/>
        </w:rPr>
        <w:t xml:space="preserve">, </w:t>
      </w:r>
      <w:r w:rsidRPr="00F70969">
        <w:rPr>
          <w:b/>
          <w:bCs/>
        </w:rPr>
        <w:t>2021</w:t>
      </w:r>
      <w:r w:rsidRPr="00D15BF2">
        <w:t xml:space="preserve">, </w:t>
      </w:r>
      <w:r>
        <w:t>22</w:t>
      </w:r>
      <w:r w:rsidRPr="00D15BF2">
        <w:t>, 4878-4902</w:t>
      </w:r>
      <w:r>
        <w:t>.</w:t>
      </w:r>
    </w:p>
    <w:p w14:paraId="70B4D0D2" w14:textId="77E58CEA" w:rsidR="008F56CF" w:rsidRDefault="004B3C11" w:rsidP="008F56CF">
      <w:pPr>
        <w:pStyle w:val="TAMainText"/>
        <w:numPr>
          <w:ilvl w:val="0"/>
          <w:numId w:val="1"/>
        </w:numPr>
        <w:suppressAutoHyphens w:val="0"/>
      </w:pPr>
      <w:r>
        <w:t xml:space="preserve">M. Hossain; H. Park; H. Choi, </w:t>
      </w:r>
      <w:r w:rsidRPr="004B3C11">
        <w:rPr>
          <w:i/>
          <w:iCs/>
        </w:rPr>
        <w:t>Catalysts</w:t>
      </w:r>
      <w:r>
        <w:t xml:space="preserve">, </w:t>
      </w:r>
      <w:r w:rsidRPr="004B3C11">
        <w:rPr>
          <w:b/>
          <w:bCs/>
        </w:rPr>
        <w:t>2019</w:t>
      </w:r>
      <w:r>
        <w:t xml:space="preserve">, </w:t>
      </w:r>
      <w:r w:rsidRPr="004B3C11">
        <w:rPr>
          <w:i/>
          <w:iCs/>
        </w:rPr>
        <w:t>9</w:t>
      </w:r>
      <w:r>
        <w:t>, 229.</w:t>
      </w:r>
    </w:p>
    <w:p w14:paraId="745CEB75" w14:textId="77777777" w:rsidR="00CE1463" w:rsidRDefault="00CE1463" w:rsidP="00CE1463">
      <w:pPr>
        <w:pStyle w:val="TAMainText"/>
        <w:numPr>
          <w:ilvl w:val="0"/>
          <w:numId w:val="1"/>
        </w:numPr>
        <w:suppressAutoHyphens w:val="0"/>
      </w:pPr>
      <w:r>
        <w:t xml:space="preserve">C. Zhao; J. Xue; F. Ran; S. Sun, </w:t>
      </w:r>
      <w:r w:rsidRPr="00354430">
        <w:rPr>
          <w:i/>
          <w:iCs/>
        </w:rPr>
        <w:t>Progress in Materials Science</w:t>
      </w:r>
      <w:r>
        <w:t xml:space="preserve">, </w:t>
      </w:r>
      <w:r w:rsidRPr="00354430">
        <w:rPr>
          <w:b/>
          <w:bCs/>
        </w:rPr>
        <w:t>2013</w:t>
      </w:r>
      <w:r>
        <w:t xml:space="preserve">, </w:t>
      </w:r>
      <w:r w:rsidRPr="00354430">
        <w:rPr>
          <w:i/>
          <w:iCs/>
        </w:rPr>
        <w:t>58</w:t>
      </w:r>
      <w:r>
        <w:t>, 76-150.</w:t>
      </w:r>
    </w:p>
    <w:p w14:paraId="00AFD3CC" w14:textId="364556B0" w:rsidR="00CE1463" w:rsidRDefault="00CE1463" w:rsidP="008F56CF">
      <w:pPr>
        <w:pStyle w:val="TAMainText"/>
        <w:numPr>
          <w:ilvl w:val="0"/>
          <w:numId w:val="1"/>
        </w:numPr>
        <w:suppressAutoHyphens w:val="0"/>
      </w:pPr>
      <w:r>
        <w:t xml:space="preserve">J. Yamaguchi; A. Yamaguchi; K. </w:t>
      </w:r>
      <w:proofErr w:type="spellStart"/>
      <w:r>
        <w:t>Itami</w:t>
      </w:r>
      <w:proofErr w:type="spellEnd"/>
      <w:r>
        <w:t xml:space="preserve">, </w:t>
      </w:r>
      <w:proofErr w:type="spellStart"/>
      <w:r w:rsidRPr="00CE1463">
        <w:rPr>
          <w:i/>
          <w:iCs/>
        </w:rPr>
        <w:t>Angew</w:t>
      </w:r>
      <w:proofErr w:type="spellEnd"/>
      <w:r w:rsidRPr="00CE1463">
        <w:rPr>
          <w:i/>
          <w:iCs/>
        </w:rPr>
        <w:t xml:space="preserve"> Chem Int Ed </w:t>
      </w:r>
      <w:proofErr w:type="spellStart"/>
      <w:r w:rsidRPr="00CE1463">
        <w:rPr>
          <w:i/>
          <w:iCs/>
        </w:rPr>
        <w:t>Engl</w:t>
      </w:r>
      <w:proofErr w:type="spellEnd"/>
      <w:r>
        <w:t xml:space="preserve">, </w:t>
      </w:r>
      <w:r w:rsidRPr="00CE1463">
        <w:rPr>
          <w:b/>
          <w:bCs/>
        </w:rPr>
        <w:t>2012</w:t>
      </w:r>
      <w:r>
        <w:t xml:space="preserve">, </w:t>
      </w:r>
      <w:r w:rsidRPr="00CE1463">
        <w:rPr>
          <w:i/>
          <w:iCs/>
        </w:rPr>
        <w:t>51</w:t>
      </w:r>
      <w:r>
        <w:t>, 8960-9009.</w:t>
      </w:r>
    </w:p>
    <w:p w14:paraId="3EC3E203" w14:textId="727810F9" w:rsidR="00CE1463" w:rsidRDefault="00CE1463" w:rsidP="008F56CF">
      <w:pPr>
        <w:pStyle w:val="TAMainText"/>
        <w:numPr>
          <w:ilvl w:val="0"/>
          <w:numId w:val="1"/>
        </w:numPr>
        <w:suppressAutoHyphens w:val="0"/>
      </w:pPr>
      <w:r>
        <w:t xml:space="preserve">A. </w:t>
      </w:r>
      <w:proofErr w:type="spellStart"/>
      <w:r>
        <w:t>Farshi</w:t>
      </w:r>
      <w:proofErr w:type="spellEnd"/>
      <w:r>
        <w:t xml:space="preserve">; P. </w:t>
      </w:r>
      <w:proofErr w:type="spellStart"/>
      <w:r>
        <w:t>Shiralizadeh</w:t>
      </w:r>
      <w:proofErr w:type="spellEnd"/>
      <w:r>
        <w:t xml:space="preserve">, </w:t>
      </w:r>
      <w:r w:rsidRPr="00F7194D">
        <w:rPr>
          <w:i/>
          <w:iCs/>
        </w:rPr>
        <w:t>Petroleum &amp; Coal</w:t>
      </w:r>
      <w:r>
        <w:t xml:space="preserve">, </w:t>
      </w:r>
      <w:r w:rsidRPr="00F7194D">
        <w:rPr>
          <w:b/>
          <w:bCs/>
        </w:rPr>
        <w:t>2015</w:t>
      </w:r>
      <w:r>
        <w:t>, 1337-7027</w:t>
      </w:r>
      <w:r w:rsidR="00F7194D">
        <w:t>.</w:t>
      </w:r>
    </w:p>
    <w:p w14:paraId="688CE346" w14:textId="1AE58F2E" w:rsidR="00F7194D" w:rsidRDefault="00F7194D" w:rsidP="008F56CF">
      <w:pPr>
        <w:pStyle w:val="TAMainText"/>
        <w:numPr>
          <w:ilvl w:val="0"/>
          <w:numId w:val="1"/>
        </w:numPr>
        <w:suppressAutoHyphens w:val="0"/>
      </w:pPr>
      <w:r>
        <w:t xml:space="preserve">J. </w:t>
      </w:r>
      <w:proofErr w:type="spellStart"/>
      <w:r>
        <w:t>Zhanf</w:t>
      </w:r>
      <w:proofErr w:type="spellEnd"/>
      <w:r>
        <w:t xml:space="preserve">; A. Wang; Y. Wang; H. Wang; J. Gui, </w:t>
      </w:r>
      <w:r w:rsidRPr="00F7194D">
        <w:rPr>
          <w:i/>
          <w:iCs/>
        </w:rPr>
        <w:t>Chemical Engineering Journal</w:t>
      </w:r>
      <w:r>
        <w:t xml:space="preserve">, </w:t>
      </w:r>
      <w:r w:rsidRPr="00F7194D">
        <w:rPr>
          <w:b/>
          <w:bCs/>
        </w:rPr>
        <w:t>2014</w:t>
      </w:r>
      <w:r>
        <w:t xml:space="preserve">, </w:t>
      </w:r>
      <w:r w:rsidRPr="00F7194D">
        <w:rPr>
          <w:i/>
          <w:iCs/>
        </w:rPr>
        <w:t>245</w:t>
      </w:r>
      <w:r>
        <w:t>, 65-70.</w:t>
      </w:r>
    </w:p>
    <w:p w14:paraId="4FA8F914" w14:textId="3D76D1E7" w:rsidR="00F7194D" w:rsidRDefault="00F7194D" w:rsidP="008F56CF">
      <w:pPr>
        <w:pStyle w:val="TAMainText"/>
        <w:numPr>
          <w:ilvl w:val="0"/>
          <w:numId w:val="1"/>
        </w:numPr>
        <w:suppressAutoHyphens w:val="0"/>
      </w:pPr>
      <w:r>
        <w:t xml:space="preserve">K. </w:t>
      </w:r>
      <w:proofErr w:type="spellStart"/>
      <w:r>
        <w:t>Kanimozhi</w:t>
      </w:r>
      <w:proofErr w:type="spellEnd"/>
      <w:r>
        <w:t xml:space="preserve">; S. Bacha; V. Kumari, </w:t>
      </w:r>
      <w:r w:rsidRPr="00F7194D">
        <w:rPr>
          <w:i/>
          <w:iCs/>
        </w:rPr>
        <w:t>Materials Science and Engineering</w:t>
      </w:r>
      <w:r>
        <w:t xml:space="preserve">, </w:t>
      </w:r>
      <w:r w:rsidRPr="00F7194D">
        <w:rPr>
          <w:b/>
          <w:bCs/>
        </w:rPr>
        <w:t>2016</w:t>
      </w:r>
      <w:r>
        <w:t xml:space="preserve">, </w:t>
      </w:r>
      <w:r w:rsidRPr="00F7194D">
        <w:rPr>
          <w:i/>
          <w:iCs/>
        </w:rPr>
        <w:t>61</w:t>
      </w:r>
      <w:r>
        <w:t>, 484-491.</w:t>
      </w:r>
    </w:p>
    <w:p w14:paraId="6EE02CB5" w14:textId="0380BD37" w:rsidR="00F7194D" w:rsidRDefault="00F7194D" w:rsidP="008F56CF">
      <w:pPr>
        <w:pStyle w:val="TAMainText"/>
        <w:numPr>
          <w:ilvl w:val="0"/>
          <w:numId w:val="1"/>
        </w:numPr>
        <w:suppressAutoHyphens w:val="0"/>
      </w:pPr>
      <w:r>
        <w:t xml:space="preserve">N. </w:t>
      </w:r>
      <w:proofErr w:type="spellStart"/>
      <w:r>
        <w:t>Alipoormazandarani</w:t>
      </w:r>
      <w:proofErr w:type="spellEnd"/>
      <w:r>
        <w:t xml:space="preserve">; S. </w:t>
      </w:r>
      <w:proofErr w:type="spellStart"/>
      <w:r>
        <w:t>Ghazihoseini</w:t>
      </w:r>
      <w:proofErr w:type="spellEnd"/>
      <w:r>
        <w:t xml:space="preserve">; A. </w:t>
      </w:r>
      <w:proofErr w:type="spellStart"/>
      <w:r>
        <w:t>Nafchi</w:t>
      </w:r>
      <w:proofErr w:type="spellEnd"/>
      <w:r>
        <w:t xml:space="preserve">, </w:t>
      </w:r>
      <w:r w:rsidRPr="00F7194D">
        <w:rPr>
          <w:i/>
          <w:iCs/>
        </w:rPr>
        <w:t>Carbohydrate Polymers</w:t>
      </w:r>
      <w:r>
        <w:t xml:space="preserve">, </w:t>
      </w:r>
      <w:r w:rsidRPr="00F7194D">
        <w:rPr>
          <w:b/>
          <w:bCs/>
        </w:rPr>
        <w:t>2015</w:t>
      </w:r>
      <w:r>
        <w:t xml:space="preserve">, </w:t>
      </w:r>
      <w:r w:rsidRPr="00F7194D">
        <w:rPr>
          <w:i/>
          <w:iCs/>
        </w:rPr>
        <w:t>134</w:t>
      </w:r>
      <w:r>
        <w:t>, 745-751.</w:t>
      </w:r>
    </w:p>
    <w:p w14:paraId="27CC9C83" w14:textId="065314BA" w:rsidR="00CE1463" w:rsidRDefault="00F7194D" w:rsidP="008F56CF">
      <w:pPr>
        <w:pStyle w:val="TAMainText"/>
        <w:numPr>
          <w:ilvl w:val="0"/>
          <w:numId w:val="1"/>
        </w:numPr>
        <w:suppressAutoHyphens w:val="0"/>
      </w:pPr>
      <w:r>
        <w:t xml:space="preserve">M. </w:t>
      </w:r>
      <w:r w:rsidRPr="00F7194D">
        <w:t xml:space="preserve">Assis, AF Gouveia, LK Ribeiro, MA Ponce, MS </w:t>
      </w:r>
      <w:proofErr w:type="spellStart"/>
      <w:r w:rsidRPr="00F7194D">
        <w:t>Churio</w:t>
      </w:r>
      <w:proofErr w:type="spellEnd"/>
      <w:r w:rsidRPr="00F7194D">
        <w:t xml:space="preserve">, ON Oliveira Jr, LH Mascaro, E Longo, R </w:t>
      </w:r>
      <w:proofErr w:type="spellStart"/>
      <w:r w:rsidRPr="00F7194D">
        <w:t>Llusar</w:t>
      </w:r>
      <w:proofErr w:type="spellEnd"/>
      <w:r w:rsidRPr="00F7194D">
        <w:t xml:space="preserve">, E </w:t>
      </w:r>
      <w:proofErr w:type="spellStart"/>
      <w:r w:rsidRPr="00F7194D">
        <w:t>Guillamón</w:t>
      </w:r>
      <w:proofErr w:type="spellEnd"/>
      <w:r w:rsidRPr="00F7194D">
        <w:t>, J Andrés</w:t>
      </w:r>
      <w:r>
        <w:t>,</w:t>
      </w:r>
      <w:r w:rsidR="00A94B62">
        <w:t xml:space="preserve"> </w:t>
      </w:r>
      <w:r w:rsidR="00A94B62" w:rsidRPr="00A94B62">
        <w:rPr>
          <w:i/>
          <w:iCs/>
        </w:rPr>
        <w:t>Applied Catalysis A: General</w:t>
      </w:r>
      <w:r w:rsidR="00A94B62" w:rsidRPr="00A94B62">
        <w:t xml:space="preserve">, </w:t>
      </w:r>
      <w:r w:rsidR="00A94B62" w:rsidRPr="00A94B62">
        <w:rPr>
          <w:b/>
          <w:bCs/>
        </w:rPr>
        <w:t>2013</w:t>
      </w:r>
      <w:r w:rsidR="00A94B62" w:rsidRPr="00A94B62">
        <w:t xml:space="preserve">, </w:t>
      </w:r>
      <w:r w:rsidR="00A94B62" w:rsidRPr="00A94B62">
        <w:rPr>
          <w:i/>
          <w:iCs/>
        </w:rPr>
        <w:t>1</w:t>
      </w:r>
      <w:r w:rsidR="00A94B62" w:rsidRPr="00A94B62">
        <w:t>, 13.</w:t>
      </w:r>
    </w:p>
    <w:p w14:paraId="6F7AA84F" w14:textId="546029C7" w:rsidR="00A94B62" w:rsidRPr="008F56CF" w:rsidRDefault="00A94B62" w:rsidP="008F56CF">
      <w:pPr>
        <w:pStyle w:val="TAMainText"/>
        <w:numPr>
          <w:ilvl w:val="0"/>
          <w:numId w:val="1"/>
        </w:numPr>
        <w:suppressAutoHyphens w:val="0"/>
      </w:pPr>
      <w:r>
        <w:rPr>
          <w:rFonts w:ascii="Times New Roman" w:hAnsi="Times New Roman"/>
          <w:szCs w:val="32"/>
        </w:rPr>
        <w:t xml:space="preserve">L. Libero; L. Ribeiro; L. </w:t>
      </w:r>
      <w:proofErr w:type="spellStart"/>
      <w:r>
        <w:rPr>
          <w:rFonts w:ascii="Times New Roman" w:hAnsi="Times New Roman"/>
          <w:szCs w:val="32"/>
        </w:rPr>
        <w:t>Granone</w:t>
      </w:r>
      <w:proofErr w:type="spellEnd"/>
      <w:r>
        <w:rPr>
          <w:rFonts w:ascii="Times New Roman" w:hAnsi="Times New Roman"/>
          <w:szCs w:val="32"/>
        </w:rPr>
        <w:t xml:space="preserve">; M. </w:t>
      </w:r>
      <w:proofErr w:type="spellStart"/>
      <w:r>
        <w:rPr>
          <w:rFonts w:ascii="Times New Roman" w:hAnsi="Times New Roman"/>
          <w:szCs w:val="32"/>
        </w:rPr>
        <w:t>Churio</w:t>
      </w:r>
      <w:proofErr w:type="spellEnd"/>
      <w:r>
        <w:rPr>
          <w:rFonts w:ascii="Times New Roman" w:hAnsi="Times New Roman"/>
          <w:szCs w:val="32"/>
        </w:rPr>
        <w:t xml:space="preserve">; J. Souza; V.  </w:t>
      </w:r>
      <w:proofErr w:type="spellStart"/>
      <w:r>
        <w:rPr>
          <w:rFonts w:ascii="Times New Roman" w:hAnsi="Times New Roman"/>
          <w:szCs w:val="32"/>
        </w:rPr>
        <w:t>Mastelaro</w:t>
      </w:r>
      <w:proofErr w:type="spellEnd"/>
      <w:r>
        <w:rPr>
          <w:rFonts w:ascii="Times New Roman" w:hAnsi="Times New Roman"/>
          <w:szCs w:val="32"/>
        </w:rPr>
        <w:t xml:space="preserve">; J. Andrés; E. Longo; L. Mascaro; M. Assis, </w:t>
      </w:r>
      <w:proofErr w:type="spellStart"/>
      <w:r>
        <w:rPr>
          <w:rFonts w:ascii="Times New Roman" w:hAnsi="Times New Roman"/>
          <w:i/>
          <w:iCs/>
          <w:szCs w:val="32"/>
        </w:rPr>
        <w:t>ChemCatChem</w:t>
      </w:r>
      <w:proofErr w:type="spellEnd"/>
      <w:r>
        <w:rPr>
          <w:rFonts w:ascii="Times New Roman" w:hAnsi="Times New Roman"/>
          <w:szCs w:val="32"/>
        </w:rPr>
        <w:t xml:space="preserve">, </w:t>
      </w:r>
      <w:r>
        <w:rPr>
          <w:rFonts w:ascii="Times New Roman" w:hAnsi="Times New Roman"/>
          <w:b/>
          <w:bCs/>
          <w:szCs w:val="32"/>
        </w:rPr>
        <w:t>2023</w:t>
      </w:r>
      <w:r>
        <w:rPr>
          <w:rFonts w:ascii="Times New Roman" w:hAnsi="Times New Roman"/>
          <w:szCs w:val="32"/>
        </w:rPr>
        <w:t>, e202300421</w:t>
      </w:r>
    </w:p>
    <w:sectPr w:rsidR="00A94B62" w:rsidRPr="008F56CF">
      <w:endnotePr>
        <w:numFmt w:val="decimal"/>
      </w:endnotePr>
      <w:type w:val="continuous"/>
      <w:pgSz w:w="11906" w:h="16838"/>
      <w:pgMar w:top="1418" w:right="1094" w:bottom="1418" w:left="567" w:header="709" w:footer="0" w:gutter="0"/>
      <w:cols w:num="2" w:space="708"/>
      <w:formProt w:val="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1DA9" w14:textId="77777777" w:rsidR="00082A10" w:rsidRDefault="00082A10">
      <w:r>
        <w:separator/>
      </w:r>
    </w:p>
  </w:endnote>
  <w:endnote w:type="continuationSeparator" w:id="0">
    <w:p w14:paraId="20809DE2" w14:textId="77777777" w:rsidR="00082A10" w:rsidRDefault="0008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9624" w14:textId="77777777" w:rsidR="00082A10" w:rsidRDefault="00082A10">
      <w:pPr>
        <w:spacing w:after="0" w:line="240" w:lineRule="auto"/>
      </w:pPr>
      <w:r>
        <w:separator/>
      </w:r>
    </w:p>
  </w:footnote>
  <w:footnote w:type="continuationSeparator" w:id="0">
    <w:p w14:paraId="2781C619" w14:textId="77777777" w:rsidR="00082A10" w:rsidRDefault="00082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2C12" w14:textId="77777777" w:rsidR="00B830D9" w:rsidRDefault="00000000">
    <w:pPr>
      <w:pStyle w:val="Cabealho"/>
      <w:jc w:val="center"/>
    </w:pPr>
    <w:r>
      <w:rPr>
        <w:noProof/>
      </w:rPr>
      <w:drawing>
        <wp:inline distT="0" distB="0" distL="0" distR="0" wp14:anchorId="77EF35D6" wp14:editId="2EF15229">
          <wp:extent cx="1524000" cy="1049655"/>
          <wp:effectExtent l="0" t="0" r="0" b="0"/>
          <wp:docPr id="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626" t="15706" r="28689" b="16131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9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</w:t>
    </w:r>
    <w:r>
      <w:rPr>
        <w:noProof/>
      </w:rPr>
      <w:drawing>
        <wp:inline distT="0" distB="0" distL="0" distR="0" wp14:anchorId="7AE9B10E" wp14:editId="723A4ED5">
          <wp:extent cx="1964055" cy="695960"/>
          <wp:effectExtent l="0" t="0" r="0" b="0"/>
          <wp:docPr id="6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9" descr="Logo do Si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0D3"/>
    <w:multiLevelType w:val="multilevel"/>
    <w:tmpl w:val="382E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2457B2"/>
    <w:multiLevelType w:val="multilevel"/>
    <w:tmpl w:val="2D0471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4024512">
    <w:abstractNumId w:val="0"/>
  </w:num>
  <w:num w:numId="2" w16cid:durableId="1702515623">
    <w:abstractNumId w:val="2"/>
  </w:num>
  <w:num w:numId="3" w16cid:durableId="112115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B830D9"/>
    <w:rsid w:val="00082A10"/>
    <w:rsid w:val="001A5886"/>
    <w:rsid w:val="00273AFD"/>
    <w:rsid w:val="003240AC"/>
    <w:rsid w:val="003474F9"/>
    <w:rsid w:val="00354430"/>
    <w:rsid w:val="00371397"/>
    <w:rsid w:val="003F3C2C"/>
    <w:rsid w:val="0047166A"/>
    <w:rsid w:val="004B3C11"/>
    <w:rsid w:val="00737ADD"/>
    <w:rsid w:val="008F56CF"/>
    <w:rsid w:val="0092225D"/>
    <w:rsid w:val="009233B3"/>
    <w:rsid w:val="00976553"/>
    <w:rsid w:val="00A94B62"/>
    <w:rsid w:val="00B830D9"/>
    <w:rsid w:val="00BC1D8E"/>
    <w:rsid w:val="00CE1463"/>
    <w:rsid w:val="00E273AD"/>
    <w:rsid w:val="00EE2A38"/>
    <w:rsid w:val="00F7194D"/>
    <w:rsid w:val="00FC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E5E7"/>
  <w15:docId w15:val="{96C51DDA-ED1F-4159-A623-C98DEB79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  <w:pPr>
      <w:spacing w:after="160" w:line="30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semiHidden/>
    <w:qFormat/>
    <w:rsid w:val="00EA4E1B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A4E1B"/>
  </w:style>
  <w:style w:type="character" w:customStyle="1" w:styleId="RodapChar">
    <w:name w:val="Rodapé Char"/>
    <w:basedOn w:val="Fontepargpadro"/>
    <w:link w:val="Rodap"/>
    <w:uiPriority w:val="99"/>
    <w:qFormat/>
    <w:rsid w:val="00EA4E1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E58A9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1E58A9"/>
    <w:rPr>
      <w:sz w:val="20"/>
      <w:szCs w:val="20"/>
    </w:rPr>
  </w:style>
  <w:style w:type="character" w:customStyle="1" w:styleId="Caracteresdenotadefim">
    <w:name w:val="Caracteres de nota de fim"/>
    <w:uiPriority w:val="99"/>
    <w:semiHidden/>
    <w:unhideWhenUsed/>
    <w:qFormat/>
    <w:rsid w:val="001E58A9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F25B2"/>
    <w:rPr>
      <w:b/>
      <w:bCs/>
      <w:i/>
      <w:iCs/>
    </w:rPr>
  </w:style>
  <w:style w:type="character" w:customStyle="1" w:styleId="TtuloChar">
    <w:name w:val="Título Char"/>
    <w:basedOn w:val="Fontepargpadro"/>
    <w:link w:val="Ttulo"/>
    <w:uiPriority w:val="10"/>
    <w:qFormat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F25B2"/>
    <w:rPr>
      <w:i/>
      <w:iCs/>
      <w:color w:val="7B7B7B" w:themeColor="accent3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smallCaps/>
      <w:spacing w:val="0"/>
    </w:rPr>
  </w:style>
  <w:style w:type="paragraph" w:styleId="Ttulo">
    <w:name w:val="Title"/>
    <w:basedOn w:val="Normal"/>
    <w:next w:val="Corpodetexto"/>
    <w:link w:val="TtuloChar"/>
    <w:uiPriority w:val="10"/>
    <w:qFormat/>
    <w:rsid w:val="001F25B2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qFormat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qFormat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qFormat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qFormat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before="0"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qFormat/>
    <w:rsid w:val="00EA4E1B"/>
    <w:pPr>
      <w:pBdr>
        <w:bottom w:val="single" w:sz="6" w:space="12" w:color="000000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paragraph" w:customStyle="1" w:styleId="TFReferencesSection">
    <w:name w:val="TF_References_Section"/>
    <w:basedOn w:val="Normal"/>
    <w:qFormat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qFormat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qFormat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qFormat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qFormat/>
    <w:rsid w:val="00EA4E1B"/>
    <w:pPr>
      <w:jc w:val="both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jc w:val="center"/>
    </w:pPr>
    <w:rPr>
      <w:color w:val="44546A" w:themeColor="text2"/>
      <w:sz w:val="28"/>
      <w:szCs w:val="28"/>
    </w:rPr>
  </w:style>
  <w:style w:type="paragraph" w:styleId="SemEspaamento">
    <w:name w:val="No Spacing"/>
    <w:uiPriority w:val="1"/>
    <w:qFormat/>
    <w:rsid w:val="001F25B2"/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customStyle="1" w:styleId="Contedodoquadro">
    <w:name w:val="Conteúdo do quadro"/>
    <w:basedOn w:val="Normal"/>
    <w:qFormat/>
  </w:style>
  <w:style w:type="character" w:styleId="Refdecomentrio">
    <w:name w:val="annotation reference"/>
    <w:basedOn w:val="Fontepargpadro"/>
    <w:uiPriority w:val="99"/>
    <w:semiHidden/>
    <w:unhideWhenUsed/>
    <w:rsid w:val="00BC1D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1BFF"/>
    <w:pPr>
      <w:suppressAutoHyphens w:val="0"/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1B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6553"/>
    <w:pPr>
      <w:suppressAutoHyphens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655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F56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5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25.senado.leg.br/web/atividade/materias/-/materia/1511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2956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Marcel Ribeiro Gallo</dc:creator>
  <dc:description/>
  <cp:lastModifiedBy>Giovanna Grasser</cp:lastModifiedBy>
  <cp:revision>2</cp:revision>
  <dcterms:created xsi:type="dcterms:W3CDTF">2023-05-14T20:08:00Z</dcterms:created>
  <dcterms:modified xsi:type="dcterms:W3CDTF">2023-05-14T20:08:00Z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Id 1_1">
    <vt:lpwstr>http://www.zotero.org/styles/angewandte-chemie</vt:lpwstr>
  </property>
  <property fmtid="{D5CDD505-2E9C-101B-9397-08002B2CF9AE}" pid="4" name="Mendeley Recent Style Id 2_1">
    <vt:lpwstr>http://www.zotero.org/styles/applied-catalysis-a-general</vt:lpwstr>
  </property>
  <property fmtid="{D5CDD505-2E9C-101B-9397-08002B2CF9AE}" pid="5" name="Mendeley Recent Style Id 3_1">
    <vt:lpwstr>http://www.zotero.org/styles/chicago-author-date</vt:lpwstr>
  </property>
  <property fmtid="{D5CDD505-2E9C-101B-9397-08002B2CF9AE}" pid="6" name="Mendeley Recent Style Id 4_1">
    <vt:lpwstr>http://www.zotero.org/styles/harvard-cite-them-right</vt:lpwstr>
  </property>
  <property fmtid="{D5CDD505-2E9C-101B-9397-08002B2CF9AE}" pid="7" name="Mendeley Recent Style Id 5_1">
    <vt:lpwstr>http://www.zotero.org/styles/fuel</vt:lpwstr>
  </property>
  <property fmtid="{D5CDD505-2E9C-101B-9397-08002B2CF9AE}" pid="8" name="Mendeley Recent Style Id 6_1">
    <vt:lpwstr>http://www.zotero.org/styles/ieee</vt:lpwstr>
  </property>
  <property fmtid="{D5CDD505-2E9C-101B-9397-08002B2CF9AE}" pid="9" name="Mendeley Recent Style Id 7_1">
    <vt:lpwstr>http://www.zotero.org/styles/microporous-and-mesoporous-materials</vt:lpwstr>
  </property>
  <property fmtid="{D5CDD505-2E9C-101B-9397-08002B2CF9AE}" pid="10" name="Mendeley Recent Style Id 8_1">
    <vt:lpwstr>http://www.zotero.org/styles/modern-humanities-research-association</vt:lpwstr>
  </property>
  <property fmtid="{D5CDD505-2E9C-101B-9397-08002B2CF9AE}" pid="11" name="Mendeley Recent Style Id 9_1">
    <vt:lpwstr>http://www.zotero.org/styles/modern-language-association</vt:lpwstr>
  </property>
  <property fmtid="{D5CDD505-2E9C-101B-9397-08002B2CF9AE}" pid="12" name="Mendeley Recent Style Name 0_1">
    <vt:lpwstr>American Sociological Association</vt:lpwstr>
  </property>
  <property fmtid="{D5CDD505-2E9C-101B-9397-08002B2CF9AE}" pid="13" name="Mendeley Recent Style Name 1_1">
    <vt:lpwstr>Angewandte Chemie International Edition</vt:lpwstr>
  </property>
  <property fmtid="{D5CDD505-2E9C-101B-9397-08002B2CF9AE}" pid="14" name="Mendeley Recent Style Name 2_1">
    <vt:lpwstr>Applied Catalysis A, General</vt:lpwstr>
  </property>
  <property fmtid="{D5CDD505-2E9C-101B-9397-08002B2CF9AE}" pid="15" name="Mendeley Recent Style Name 3_1">
    <vt:lpwstr>Chicago Manual of Style 17th edition (author-date)</vt:lpwstr>
  </property>
  <property fmtid="{D5CDD505-2E9C-101B-9397-08002B2CF9AE}" pid="16" name="Mendeley Recent Style Name 4_1">
    <vt:lpwstr>Cite Them Right 10th edition - Harvard</vt:lpwstr>
  </property>
  <property fmtid="{D5CDD505-2E9C-101B-9397-08002B2CF9AE}" pid="17" name="Mendeley Recent Style Name 5_1">
    <vt:lpwstr>Fuel</vt:lpwstr>
  </property>
  <property fmtid="{D5CDD505-2E9C-101B-9397-08002B2CF9AE}" pid="18" name="Mendeley Recent Style Name 6_1">
    <vt:lpwstr>IEEE</vt:lpwstr>
  </property>
  <property fmtid="{D5CDD505-2E9C-101B-9397-08002B2CF9AE}" pid="19" name="Mendeley Recent Style Name 7_1">
    <vt:lpwstr>Microporous and Mesoporous Materials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96732281b6992ae435e1bb4e256a576cc4cdfc5f2d821ade889454598892852e</vt:lpwstr>
  </property>
</Properties>
</file>