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26CEE" w14:textId="4B25CA65" w:rsidR="00AF0400" w:rsidRDefault="00866822" w:rsidP="00EA4E1B">
      <w:pPr>
        <w:pStyle w:val="BATitle"/>
        <w:spacing w:before="0" w:after="0" w:line="240" w:lineRule="auto"/>
        <w:ind w:right="0"/>
        <w:jc w:val="both"/>
        <w:rPr>
          <w:sz w:val="32"/>
          <w:lang w:val="pt-BR"/>
        </w:rPr>
      </w:pPr>
      <w:bookmarkStart w:id="0" w:name="_Hlk1324517"/>
      <w:bookmarkStart w:id="1" w:name="_Hlk1324670"/>
      <w:r>
        <w:rPr>
          <w:noProof/>
          <w:sz w:val="32"/>
          <w:lang w:val="pt-BR"/>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050D20D3" w14:textId="58A5C7E2" w:rsidR="00EA4E1B" w:rsidRDefault="0035023F" w:rsidP="00EA4E1B">
      <w:pPr>
        <w:pStyle w:val="BATitle"/>
        <w:spacing w:before="0" w:after="0" w:line="240" w:lineRule="auto"/>
        <w:ind w:right="0"/>
        <w:jc w:val="both"/>
        <w:rPr>
          <w:sz w:val="32"/>
          <w:lang w:val="pt-BR"/>
        </w:rPr>
      </w:pPr>
      <w:r>
        <w:rPr>
          <w:sz w:val="32"/>
          <w:lang w:val="pt-BR"/>
        </w:rPr>
        <w:t xml:space="preserve">Síntese de UiO-66 com </w:t>
      </w:r>
      <w:proofErr w:type="spellStart"/>
      <w:r w:rsidRPr="0035023F">
        <w:rPr>
          <w:i/>
          <w:iCs/>
          <w:sz w:val="32"/>
          <w:lang w:val="pt-BR"/>
        </w:rPr>
        <w:t>linkers</w:t>
      </w:r>
      <w:proofErr w:type="spellEnd"/>
      <w:r>
        <w:rPr>
          <w:sz w:val="32"/>
          <w:lang w:val="pt-BR"/>
        </w:rPr>
        <w:t xml:space="preserve"> mistos</w:t>
      </w:r>
      <w:r w:rsidR="003D1B6C">
        <w:rPr>
          <w:sz w:val="32"/>
          <w:lang w:val="pt-BR"/>
        </w:rPr>
        <w:t xml:space="preserve"> e sua funcionalização</w:t>
      </w:r>
      <w:r>
        <w:rPr>
          <w:sz w:val="32"/>
          <w:lang w:val="pt-BR"/>
        </w:rPr>
        <w:t xml:space="preserve"> para conversão de </w:t>
      </w:r>
      <w:r w:rsidRPr="0035023F">
        <w:rPr>
          <w:rFonts w:ascii="Arial" w:hAnsi="Arial" w:cs="Arial"/>
          <w:noProof/>
          <w:color w:val="000000"/>
          <w:sz w:val="32"/>
          <w:lang w:val="pt-BR"/>
        </w:rPr>
        <w:t>CO</w:t>
      </w:r>
      <w:r w:rsidRPr="0035023F">
        <w:rPr>
          <w:rFonts w:ascii="Arial" w:hAnsi="Arial" w:cs="Arial"/>
          <w:noProof/>
          <w:color w:val="000000"/>
          <w:sz w:val="32"/>
          <w:vertAlign w:val="subscript"/>
          <w:lang w:val="pt-BR"/>
        </w:rPr>
        <w:t>2</w:t>
      </w:r>
      <w:r>
        <w:rPr>
          <w:sz w:val="32"/>
          <w:lang w:val="pt-BR"/>
        </w:rPr>
        <w:t xml:space="preserve"> em carbonatos cíclicos</w:t>
      </w:r>
    </w:p>
    <w:p w14:paraId="4316A953" w14:textId="77777777" w:rsidR="00D84D8A" w:rsidRDefault="00D84D8A" w:rsidP="00EA4E1B">
      <w:pPr>
        <w:pStyle w:val="BBAuthorName"/>
        <w:spacing w:after="120"/>
        <w:ind w:right="0"/>
        <w:jc w:val="both"/>
        <w:rPr>
          <w:rFonts w:ascii="Times New Roman" w:hAnsi="Times New Roman"/>
          <w:sz w:val="20"/>
          <w:u w:val="single"/>
          <w:lang w:val="pt-BR"/>
        </w:rPr>
      </w:pPr>
    </w:p>
    <w:p w14:paraId="18735493" w14:textId="07AE4195" w:rsidR="00EA4E1B" w:rsidRPr="0035023F" w:rsidRDefault="0035023F" w:rsidP="00EA4E1B">
      <w:pPr>
        <w:pStyle w:val="BBAuthorName"/>
        <w:spacing w:after="120"/>
        <w:ind w:right="0"/>
        <w:jc w:val="both"/>
        <w:rPr>
          <w:rFonts w:ascii="Times New Roman" w:hAnsi="Times New Roman"/>
          <w:sz w:val="20"/>
          <w:lang w:val="pt-BR"/>
        </w:rPr>
      </w:pPr>
      <w:r w:rsidRPr="0035023F">
        <w:rPr>
          <w:rFonts w:ascii="Times New Roman" w:hAnsi="Times New Roman"/>
          <w:sz w:val="20"/>
          <w:u w:val="single"/>
          <w:lang w:val="pt-BR"/>
        </w:rPr>
        <w:t>Vicente P. Matos</w:t>
      </w:r>
      <w:r>
        <w:rPr>
          <w:rFonts w:ascii="Times New Roman" w:hAnsi="Times New Roman"/>
          <w:sz w:val="20"/>
          <w:u w:val="single"/>
          <w:lang w:val="pt-BR"/>
        </w:rPr>
        <w:t>*</w:t>
      </w:r>
      <w:r w:rsidR="00EA4E1B" w:rsidRPr="0035023F">
        <w:rPr>
          <w:rFonts w:ascii="Times New Roman" w:hAnsi="Times New Roman"/>
          <w:sz w:val="20"/>
          <w:u w:val="single"/>
          <w:vertAlign w:val="superscript"/>
          <w:lang w:val="pt-BR"/>
        </w:rPr>
        <w:t>1</w:t>
      </w:r>
      <w:r w:rsidRPr="0035023F">
        <w:rPr>
          <w:rFonts w:ascii="Times New Roman" w:hAnsi="Times New Roman"/>
          <w:sz w:val="20"/>
          <w:lang w:val="pt-BR"/>
        </w:rPr>
        <w:t>, Andressa V. Hilário</w:t>
      </w:r>
      <w:r w:rsidRPr="0035023F">
        <w:rPr>
          <w:rFonts w:ascii="Times New Roman" w:hAnsi="Times New Roman"/>
          <w:sz w:val="20"/>
          <w:vertAlign w:val="superscript"/>
          <w:lang w:val="pt-BR"/>
        </w:rPr>
        <w:t>1</w:t>
      </w:r>
      <w:r w:rsidRPr="0035023F">
        <w:rPr>
          <w:rFonts w:ascii="Times New Roman" w:hAnsi="Times New Roman"/>
          <w:sz w:val="20"/>
          <w:lang w:val="pt-BR"/>
        </w:rPr>
        <w:t>, Tatiana Zanette</w:t>
      </w:r>
      <w:r w:rsidRPr="0035023F">
        <w:rPr>
          <w:rFonts w:ascii="Times New Roman" w:hAnsi="Times New Roman"/>
          <w:sz w:val="20"/>
          <w:vertAlign w:val="superscript"/>
          <w:lang w:val="pt-BR"/>
        </w:rPr>
        <w:t>1</w:t>
      </w:r>
      <w:r w:rsidRPr="0035023F">
        <w:rPr>
          <w:rFonts w:ascii="Times New Roman" w:hAnsi="Times New Roman"/>
          <w:sz w:val="20"/>
          <w:lang w:val="pt-BR"/>
        </w:rPr>
        <w:t>, Katia Bernardo-Gusmão</w:t>
      </w:r>
      <w:r w:rsidRPr="0035023F">
        <w:rPr>
          <w:rFonts w:ascii="Times New Roman" w:hAnsi="Times New Roman"/>
          <w:sz w:val="20"/>
          <w:vertAlign w:val="superscript"/>
          <w:lang w:val="pt-BR"/>
        </w:rPr>
        <w:t>1</w:t>
      </w:r>
      <w:r w:rsidRPr="0035023F">
        <w:rPr>
          <w:rFonts w:ascii="Times New Roman" w:hAnsi="Times New Roman"/>
          <w:sz w:val="20"/>
          <w:lang w:val="pt-BR"/>
        </w:rPr>
        <w:t>, Christian W. Lopes</w:t>
      </w:r>
      <w:r w:rsidRPr="0035023F">
        <w:rPr>
          <w:rFonts w:ascii="Times New Roman" w:hAnsi="Times New Roman"/>
          <w:sz w:val="20"/>
          <w:vertAlign w:val="superscript"/>
          <w:lang w:val="pt-BR"/>
        </w:rPr>
        <w:t>1</w:t>
      </w:r>
    </w:p>
    <w:p w14:paraId="22D38595" w14:textId="76327EF2" w:rsidR="00EA4E1B" w:rsidRDefault="00EA4E1B" w:rsidP="00EA4E1B">
      <w:pPr>
        <w:pStyle w:val="BCAuthorAddress"/>
        <w:spacing w:after="0"/>
        <w:ind w:right="0"/>
        <w:jc w:val="both"/>
        <w:rPr>
          <w:lang w:val="pt-BR"/>
        </w:rPr>
      </w:pPr>
      <w:r>
        <w:rPr>
          <w:vertAlign w:val="superscript"/>
          <w:lang w:val="pt-BR"/>
        </w:rPr>
        <w:t>1</w:t>
      </w:r>
      <w:r w:rsidR="00D84D8A" w:rsidRPr="00D84D8A">
        <w:rPr>
          <w:lang w:val="pt-BR"/>
        </w:rPr>
        <w:t>Instituto de Química, Universidade Federal do Rio Grande do Sul (UFRGS), 91501-970, Porto Alegre-RS, Brasil.</w:t>
      </w:r>
    </w:p>
    <w:p w14:paraId="54D4DDE5" w14:textId="7EBEFAB9" w:rsidR="008F196E" w:rsidRPr="008F196E" w:rsidRDefault="008F196E" w:rsidP="008F196E">
      <w:pPr>
        <w:rPr>
          <w:rFonts w:ascii="Times" w:eastAsia="Times New Roman" w:hAnsi="Times" w:cs="Times New Roman"/>
          <w:i/>
          <w:sz w:val="20"/>
          <w:szCs w:val="20"/>
          <w:lang w:eastAsia="pt-BR"/>
        </w:rPr>
      </w:pPr>
      <w:r>
        <w:rPr>
          <w:rFonts w:ascii="Times" w:eastAsia="Times New Roman" w:hAnsi="Times" w:cs="Times New Roman"/>
          <w:i/>
          <w:sz w:val="20"/>
          <w:szCs w:val="20"/>
          <w:lang w:eastAsia="pt-BR"/>
        </w:rPr>
        <w:t>*</w:t>
      </w:r>
      <w:r w:rsidRPr="008F196E">
        <w:rPr>
          <w:rFonts w:ascii="Times" w:eastAsia="Times New Roman" w:hAnsi="Times" w:cs="Times New Roman"/>
          <w:i/>
          <w:sz w:val="20"/>
          <w:szCs w:val="20"/>
          <w:lang w:eastAsia="pt-BR"/>
        </w:rPr>
        <w:t>vicentempereira@gmail.com</w:t>
      </w:r>
    </w:p>
    <w:bookmarkEnd w:id="0"/>
    <w:p w14:paraId="238E7EC1" w14:textId="5D4AB3B8" w:rsidR="00AF0400" w:rsidRDefault="00AF0400" w:rsidP="00EA4E1B">
      <w:pPr>
        <w:pStyle w:val="BDAbstract"/>
        <w:spacing w:before="0" w:after="0" w:line="240" w:lineRule="auto"/>
        <w:rPr>
          <w:rFonts w:ascii="Times New Roman" w:hAnsi="Times New Roman"/>
          <w:b w:val="0"/>
          <w:sz w:val="20"/>
          <w:lang w:val="pt-BR"/>
        </w:rPr>
      </w:pPr>
      <w:r>
        <w:rPr>
          <w:noProof/>
          <w:sz w:val="32"/>
          <w:lang w:val="pt-BR"/>
        </w:rPr>
        <mc:AlternateContent>
          <mc:Choice Requires="wps">
            <w:drawing>
              <wp:anchor distT="0" distB="0" distL="114300" distR="114300" simplePos="0" relativeHeight="251658239"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4CC1B4CD"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p>
                          <w:p w14:paraId="7638102C" w14:textId="04A73240"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" fillcolor="#9a0000" stroked="f" strokeweight="1pt">
                <v:textbox inset=",0,,0">
                  <w:txbxContent>
                    <w:p w14:paraId="3D0F07B3" w14:textId="4CC1B4CD"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p>
                    <w:p w14:paraId="7638102C" w14:textId="04A73240" w:rsidR="00AF0400" w:rsidRPr="008C1B30" w:rsidRDefault="00AF0400" w:rsidP="008C1B30">
                      <w:pPr>
                        <w:pStyle w:val="SemEspaamento"/>
                      </w:pPr>
                    </w:p>
                  </w:txbxContent>
                </v:textbox>
                <w10:wrap anchorx="margin"/>
              </v:rect>
            </w:pict>
          </mc:Fallback>
        </mc:AlternateContent>
      </w:r>
    </w:p>
    <w:p w14:paraId="4A5DDA03" w14:textId="738EF898" w:rsidR="00AF0400" w:rsidRDefault="00AF0400" w:rsidP="00EA4E1B">
      <w:pPr>
        <w:pStyle w:val="BDAbstract"/>
        <w:spacing w:before="0" w:after="0" w:line="240" w:lineRule="auto"/>
        <w:rPr>
          <w:rFonts w:ascii="Times New Roman" w:hAnsi="Times New Roman"/>
          <w:b w:val="0"/>
          <w:sz w:val="20"/>
          <w:lang w:val="pt-BR"/>
        </w:rPr>
      </w:pPr>
    </w:p>
    <w:p w14:paraId="14CCA465" w14:textId="6956A77E" w:rsidR="00630B41" w:rsidRDefault="00EA4E1B" w:rsidP="00EA4E1B">
      <w:pPr>
        <w:pStyle w:val="BDAbstract"/>
        <w:spacing w:before="0" w:after="0" w:line="240" w:lineRule="auto"/>
        <w:rPr>
          <w:rFonts w:ascii="Times New Roman" w:hAnsi="Times New Roman"/>
          <w:b w:val="0"/>
          <w:color w:val="FF0000"/>
          <w:sz w:val="20"/>
          <w:lang w:val="pt-BR"/>
        </w:rPr>
      </w:pPr>
      <w:r>
        <w:rPr>
          <w:rFonts w:ascii="Times New Roman" w:hAnsi="Times New Roman"/>
          <w:b w:val="0"/>
          <w:sz w:val="20"/>
          <w:lang w:val="pt-BR"/>
        </w:rPr>
        <w:t xml:space="preserve">RESUMO - </w:t>
      </w:r>
      <w:r w:rsidR="001517DB" w:rsidRPr="001517DB">
        <w:rPr>
          <w:rFonts w:ascii="Times New Roman" w:hAnsi="Times New Roman"/>
          <w:b w:val="0"/>
          <w:sz w:val="20"/>
          <w:lang w:val="pt-BR"/>
        </w:rPr>
        <w:t>A queima excessiva de combustíveis fósseis gerou um acúmulo antropogênico de dióxido de carbono na atmosfera, levando ao aumento da temperatura da superfície terrestre e agravamento do efeito estufa. A conversão do CO</w:t>
      </w:r>
      <w:r w:rsidR="001517DB" w:rsidRPr="002F732F">
        <w:rPr>
          <w:rFonts w:ascii="Times New Roman" w:hAnsi="Times New Roman"/>
          <w:b w:val="0"/>
          <w:sz w:val="20"/>
          <w:vertAlign w:val="subscript"/>
          <w:lang w:val="pt-BR"/>
        </w:rPr>
        <w:t>2</w:t>
      </w:r>
      <w:r w:rsidR="001517DB" w:rsidRPr="001517DB">
        <w:rPr>
          <w:rFonts w:ascii="Times New Roman" w:hAnsi="Times New Roman"/>
          <w:b w:val="0"/>
          <w:sz w:val="20"/>
          <w:lang w:val="pt-BR"/>
        </w:rPr>
        <w:t xml:space="preserve"> em produtos químicos orgânicos e combustíveis é uma estratégia para reduzir as emissões de carbono. Catalisadores homogêneos e heterogêneos, como líquidos iônicos (</w:t>
      </w:r>
      <w:proofErr w:type="spellStart"/>
      <w:r w:rsidR="001517DB" w:rsidRPr="001517DB">
        <w:rPr>
          <w:rFonts w:ascii="Times New Roman" w:hAnsi="Times New Roman"/>
          <w:b w:val="0"/>
          <w:sz w:val="20"/>
          <w:lang w:val="pt-BR"/>
        </w:rPr>
        <w:t>LIs</w:t>
      </w:r>
      <w:proofErr w:type="spellEnd"/>
      <w:r w:rsidR="001517DB" w:rsidRPr="001517DB">
        <w:rPr>
          <w:rFonts w:ascii="Times New Roman" w:hAnsi="Times New Roman"/>
          <w:b w:val="0"/>
          <w:sz w:val="20"/>
          <w:lang w:val="pt-BR"/>
        </w:rPr>
        <w:t>) e estruturas metal-orgânicas (</w:t>
      </w:r>
      <w:proofErr w:type="spellStart"/>
      <w:r w:rsidR="001517DB" w:rsidRPr="001517DB">
        <w:rPr>
          <w:rFonts w:ascii="Times New Roman" w:hAnsi="Times New Roman"/>
          <w:b w:val="0"/>
          <w:sz w:val="20"/>
          <w:lang w:val="pt-BR"/>
        </w:rPr>
        <w:t>MOFs</w:t>
      </w:r>
      <w:proofErr w:type="spellEnd"/>
      <w:r w:rsidR="001517DB" w:rsidRPr="001517DB">
        <w:rPr>
          <w:rFonts w:ascii="Times New Roman" w:hAnsi="Times New Roman"/>
          <w:b w:val="0"/>
          <w:sz w:val="20"/>
          <w:lang w:val="pt-BR"/>
        </w:rPr>
        <w:t>), têm sido utilizados na conversão de CO</w:t>
      </w:r>
      <w:r w:rsidR="001517DB" w:rsidRPr="002F732F">
        <w:rPr>
          <w:rFonts w:ascii="Times New Roman" w:hAnsi="Times New Roman"/>
          <w:b w:val="0"/>
          <w:sz w:val="20"/>
          <w:vertAlign w:val="subscript"/>
          <w:lang w:val="pt-BR"/>
        </w:rPr>
        <w:t>2</w:t>
      </w:r>
      <w:r w:rsidR="001517DB" w:rsidRPr="001517DB">
        <w:rPr>
          <w:rFonts w:ascii="Times New Roman" w:hAnsi="Times New Roman"/>
          <w:b w:val="0"/>
          <w:sz w:val="20"/>
          <w:lang w:val="pt-BR"/>
        </w:rPr>
        <w:t xml:space="preserve"> em carbonatos cíclicos. No entanto, o desenvolvimento de catalisadores mais eficientes ainda é um desafio. Neste trabalho, </w:t>
      </w:r>
      <w:proofErr w:type="spellStart"/>
      <w:r w:rsidR="001517DB" w:rsidRPr="001517DB">
        <w:rPr>
          <w:rFonts w:ascii="Times New Roman" w:hAnsi="Times New Roman"/>
          <w:b w:val="0"/>
          <w:sz w:val="20"/>
          <w:lang w:val="pt-BR"/>
        </w:rPr>
        <w:t>MOFs</w:t>
      </w:r>
      <w:proofErr w:type="spellEnd"/>
      <w:r w:rsidR="001517DB" w:rsidRPr="001517DB">
        <w:rPr>
          <w:rFonts w:ascii="Times New Roman" w:hAnsi="Times New Roman"/>
          <w:b w:val="0"/>
          <w:sz w:val="20"/>
          <w:lang w:val="pt-BR"/>
        </w:rPr>
        <w:t xml:space="preserve"> UiO-66</w:t>
      </w:r>
      <w:r w:rsidR="002F732F">
        <w:rPr>
          <w:rFonts w:ascii="Times New Roman" w:hAnsi="Times New Roman"/>
          <w:b w:val="0"/>
          <w:sz w:val="20"/>
          <w:lang w:val="pt-BR"/>
        </w:rPr>
        <w:t xml:space="preserve"> contendo diferentes teores de ácido </w:t>
      </w:r>
      <w:proofErr w:type="spellStart"/>
      <w:r w:rsidR="002F732F">
        <w:rPr>
          <w:rFonts w:ascii="Times New Roman" w:hAnsi="Times New Roman"/>
          <w:b w:val="0"/>
          <w:sz w:val="20"/>
          <w:lang w:val="pt-BR"/>
        </w:rPr>
        <w:t>dipicolínico</w:t>
      </w:r>
      <w:proofErr w:type="spellEnd"/>
      <w:r w:rsidR="002F732F">
        <w:rPr>
          <w:rFonts w:ascii="Times New Roman" w:hAnsi="Times New Roman"/>
          <w:b w:val="0"/>
          <w:sz w:val="20"/>
          <w:lang w:val="pt-BR"/>
        </w:rPr>
        <w:t xml:space="preserve"> como </w:t>
      </w:r>
      <w:proofErr w:type="spellStart"/>
      <w:r w:rsidR="002F732F" w:rsidRPr="002F732F">
        <w:rPr>
          <w:rFonts w:ascii="Times New Roman" w:hAnsi="Times New Roman"/>
          <w:b w:val="0"/>
          <w:i/>
          <w:iCs/>
          <w:sz w:val="20"/>
          <w:lang w:val="pt-BR"/>
        </w:rPr>
        <w:t>linker</w:t>
      </w:r>
      <w:proofErr w:type="spellEnd"/>
      <w:r w:rsidR="002F732F">
        <w:rPr>
          <w:rFonts w:ascii="Times New Roman" w:hAnsi="Times New Roman"/>
          <w:b w:val="0"/>
          <w:sz w:val="20"/>
          <w:lang w:val="pt-BR"/>
        </w:rPr>
        <w:t xml:space="preserve"> adicional</w:t>
      </w:r>
      <w:r w:rsidR="001517DB" w:rsidRPr="001517DB">
        <w:rPr>
          <w:rFonts w:ascii="Times New Roman" w:hAnsi="Times New Roman"/>
          <w:b w:val="0"/>
          <w:sz w:val="20"/>
          <w:lang w:val="pt-BR"/>
        </w:rPr>
        <w:t xml:space="preserve"> foram funcionalizados com </w:t>
      </w:r>
      <w:proofErr w:type="spellStart"/>
      <w:r w:rsidR="001517DB" w:rsidRPr="001517DB">
        <w:rPr>
          <w:rFonts w:ascii="Times New Roman" w:hAnsi="Times New Roman"/>
          <w:b w:val="0"/>
          <w:sz w:val="20"/>
          <w:lang w:val="pt-BR"/>
        </w:rPr>
        <w:t>bromobutano</w:t>
      </w:r>
      <w:proofErr w:type="spellEnd"/>
      <w:r w:rsidR="001517DB" w:rsidRPr="001517DB">
        <w:rPr>
          <w:rFonts w:ascii="Times New Roman" w:hAnsi="Times New Roman"/>
          <w:b w:val="0"/>
          <w:sz w:val="20"/>
          <w:lang w:val="pt-BR"/>
        </w:rPr>
        <w:t xml:space="preserve"> para gerar sítios ativos similares aos encontrados em líquidos iônicos</w:t>
      </w:r>
      <w:r w:rsidR="00590017">
        <w:rPr>
          <w:rFonts w:ascii="Times New Roman" w:hAnsi="Times New Roman"/>
          <w:b w:val="0"/>
          <w:sz w:val="20"/>
          <w:lang w:val="pt-BR"/>
        </w:rPr>
        <w:t xml:space="preserve"> visando a aplicação</w:t>
      </w:r>
      <w:r w:rsidR="001517DB" w:rsidRPr="001517DB">
        <w:rPr>
          <w:rFonts w:ascii="Times New Roman" w:hAnsi="Times New Roman"/>
          <w:b w:val="0"/>
          <w:sz w:val="20"/>
          <w:lang w:val="pt-BR"/>
        </w:rPr>
        <w:t xml:space="preserve"> na </w:t>
      </w:r>
      <w:proofErr w:type="spellStart"/>
      <w:r w:rsidR="001517DB" w:rsidRPr="001517DB">
        <w:rPr>
          <w:rFonts w:ascii="Times New Roman" w:hAnsi="Times New Roman"/>
          <w:b w:val="0"/>
          <w:sz w:val="20"/>
          <w:lang w:val="pt-BR"/>
        </w:rPr>
        <w:t>cicloadição</w:t>
      </w:r>
      <w:proofErr w:type="spellEnd"/>
      <w:r w:rsidR="001517DB" w:rsidRPr="001517DB">
        <w:rPr>
          <w:rFonts w:ascii="Times New Roman" w:hAnsi="Times New Roman"/>
          <w:b w:val="0"/>
          <w:sz w:val="20"/>
          <w:lang w:val="pt-BR"/>
        </w:rPr>
        <w:t xml:space="preserve"> de CO</w:t>
      </w:r>
      <w:r w:rsidR="001517DB" w:rsidRPr="002F732F">
        <w:rPr>
          <w:rFonts w:ascii="Times New Roman" w:hAnsi="Times New Roman"/>
          <w:b w:val="0"/>
          <w:sz w:val="20"/>
          <w:vertAlign w:val="subscript"/>
          <w:lang w:val="pt-BR"/>
        </w:rPr>
        <w:t>2</w:t>
      </w:r>
      <w:r w:rsidR="001517DB" w:rsidRPr="001517DB">
        <w:rPr>
          <w:rFonts w:ascii="Times New Roman" w:hAnsi="Times New Roman"/>
          <w:b w:val="0"/>
          <w:sz w:val="20"/>
          <w:lang w:val="pt-BR"/>
        </w:rPr>
        <w:t xml:space="preserve"> a óxido de propileno.</w:t>
      </w:r>
    </w:p>
    <w:p w14:paraId="09B41B70" w14:textId="1667524A" w:rsidR="00EA4E1B" w:rsidRDefault="00EA4E1B" w:rsidP="00EA4E1B">
      <w:pPr>
        <w:pStyle w:val="BDAbstract"/>
        <w:spacing w:before="0" w:after="0" w:line="240" w:lineRule="auto"/>
        <w:rPr>
          <w:rFonts w:ascii="Times New Roman" w:hAnsi="Times New Roman"/>
          <w:b w:val="0"/>
          <w:sz w:val="20"/>
          <w:lang w:val="pt-BR"/>
        </w:rPr>
      </w:pPr>
      <w:r w:rsidRPr="00870522">
        <w:rPr>
          <w:rFonts w:ascii="Times New Roman" w:hAnsi="Times New Roman"/>
          <w:b w:val="0"/>
          <w:i/>
          <w:sz w:val="20"/>
          <w:lang w:val="pt-BR"/>
        </w:rPr>
        <w:t xml:space="preserve">Palavras-chave: </w:t>
      </w:r>
      <w:r w:rsidR="00A76F2B">
        <w:rPr>
          <w:rFonts w:ascii="Times New Roman" w:hAnsi="Times New Roman"/>
          <w:b w:val="0"/>
          <w:i/>
          <w:sz w:val="20"/>
          <w:lang w:val="pt-BR"/>
        </w:rPr>
        <w:t xml:space="preserve">redes </w:t>
      </w:r>
      <w:proofErr w:type="spellStart"/>
      <w:r w:rsidR="00A76F2B">
        <w:rPr>
          <w:rFonts w:ascii="Times New Roman" w:hAnsi="Times New Roman"/>
          <w:b w:val="0"/>
          <w:i/>
          <w:sz w:val="20"/>
          <w:lang w:val="pt-BR"/>
        </w:rPr>
        <w:t>metalorgânicas</w:t>
      </w:r>
      <w:proofErr w:type="spellEnd"/>
      <w:r w:rsidR="00A76F2B">
        <w:rPr>
          <w:rFonts w:ascii="Times New Roman" w:hAnsi="Times New Roman"/>
          <w:b w:val="0"/>
          <w:i/>
          <w:sz w:val="20"/>
          <w:lang w:val="pt-BR"/>
        </w:rPr>
        <w:t xml:space="preserve">, </w:t>
      </w:r>
      <w:proofErr w:type="spellStart"/>
      <w:r w:rsidR="00A76F2B">
        <w:rPr>
          <w:rFonts w:ascii="Times New Roman" w:hAnsi="Times New Roman"/>
          <w:b w:val="0"/>
          <w:i/>
          <w:sz w:val="20"/>
          <w:lang w:val="pt-BR"/>
        </w:rPr>
        <w:t>cicloadição</w:t>
      </w:r>
      <w:proofErr w:type="spellEnd"/>
      <w:r w:rsidR="00A76F2B">
        <w:rPr>
          <w:rFonts w:ascii="Times New Roman" w:hAnsi="Times New Roman"/>
          <w:b w:val="0"/>
          <w:i/>
          <w:sz w:val="20"/>
          <w:lang w:val="pt-BR"/>
        </w:rPr>
        <w:t xml:space="preserve"> d</w:t>
      </w:r>
      <w:r w:rsidR="00A76F2B" w:rsidRPr="00A76F2B">
        <w:rPr>
          <w:rFonts w:ascii="Times New Roman" w:hAnsi="Times New Roman"/>
          <w:b w:val="0"/>
          <w:i/>
          <w:sz w:val="20"/>
          <w:lang w:val="pt-BR"/>
        </w:rPr>
        <w:t xml:space="preserve">e </w:t>
      </w:r>
      <w:r w:rsidR="00A76F2B" w:rsidRPr="00A76F2B">
        <w:rPr>
          <w:rFonts w:ascii="Times New Roman" w:hAnsi="Times New Roman"/>
          <w:b w:val="0"/>
          <w:i/>
          <w:noProof/>
          <w:color w:val="000000"/>
          <w:sz w:val="20"/>
          <w:lang w:val="pt-BR"/>
        </w:rPr>
        <w:t>CO</w:t>
      </w:r>
      <w:r w:rsidR="00A76F2B" w:rsidRPr="00A76F2B">
        <w:rPr>
          <w:rFonts w:ascii="Times New Roman" w:hAnsi="Times New Roman"/>
          <w:b w:val="0"/>
          <w:i/>
          <w:noProof/>
          <w:color w:val="000000"/>
          <w:sz w:val="20"/>
          <w:vertAlign w:val="subscript"/>
          <w:lang w:val="pt-BR"/>
        </w:rPr>
        <w:t>2</w:t>
      </w:r>
      <w:r w:rsidR="00A76F2B" w:rsidRPr="00A76F2B">
        <w:rPr>
          <w:rFonts w:ascii="Times New Roman" w:hAnsi="Times New Roman"/>
          <w:b w:val="0"/>
          <w:i/>
          <w:sz w:val="20"/>
          <w:lang w:val="pt-BR"/>
        </w:rPr>
        <w:t>, carbonatos</w:t>
      </w:r>
      <w:r w:rsidR="00A76F2B">
        <w:rPr>
          <w:rFonts w:ascii="Times New Roman" w:hAnsi="Times New Roman"/>
          <w:b w:val="0"/>
          <w:i/>
          <w:sz w:val="20"/>
          <w:lang w:val="pt-BR"/>
        </w:rPr>
        <w:t xml:space="preserve"> cíclicos</w:t>
      </w:r>
    </w:p>
    <w:p w14:paraId="5D8D4445" w14:textId="11D77547" w:rsidR="00EA4E1B" w:rsidRPr="00DA4DFC" w:rsidRDefault="00EA4E1B" w:rsidP="00EA4E1B">
      <w:pPr>
        <w:pStyle w:val="BDAbstract"/>
        <w:spacing w:before="0" w:after="0" w:line="240" w:lineRule="auto"/>
        <w:rPr>
          <w:rFonts w:ascii="Times New Roman" w:hAnsi="Times New Roman"/>
          <w:b w:val="0"/>
          <w:sz w:val="20"/>
          <w:lang w:val="pt-BR"/>
        </w:rPr>
      </w:pPr>
    </w:p>
    <w:p w14:paraId="64A71E87" w14:textId="3E36A466" w:rsidR="00630B41" w:rsidRPr="00630B41" w:rsidRDefault="00EA4E1B" w:rsidP="00630B41">
      <w:pPr>
        <w:pStyle w:val="BDAbstract"/>
        <w:spacing w:before="0" w:after="0" w:line="240" w:lineRule="auto"/>
        <w:rPr>
          <w:rFonts w:ascii="Times New Roman" w:hAnsi="Times New Roman"/>
          <w:b w:val="0"/>
          <w:color w:val="FF0000"/>
          <w:sz w:val="20"/>
        </w:rPr>
      </w:pPr>
      <w:r w:rsidRPr="00630B41">
        <w:rPr>
          <w:rFonts w:ascii="Times New Roman" w:hAnsi="Times New Roman"/>
          <w:b w:val="0"/>
          <w:sz w:val="20"/>
        </w:rPr>
        <w:t xml:space="preserve">ABSTRACT - </w:t>
      </w:r>
      <w:r w:rsidR="00590017" w:rsidRPr="00590017">
        <w:rPr>
          <w:rFonts w:ascii="Times New Roman" w:hAnsi="Times New Roman"/>
          <w:b w:val="0"/>
          <w:sz w:val="20"/>
        </w:rPr>
        <w:t>The excessive burning of fossil fuels has generated an anthropogenic accumulation of carbon dioxide in the atmosphere, leading to an increase in the Earth's surface temperature and aggravation of the greenhouse effect. The conversion of CO</w:t>
      </w:r>
      <w:r w:rsidR="00590017" w:rsidRPr="00590017">
        <w:rPr>
          <w:rFonts w:ascii="Times New Roman" w:hAnsi="Times New Roman"/>
          <w:b w:val="0"/>
          <w:sz w:val="20"/>
          <w:vertAlign w:val="subscript"/>
        </w:rPr>
        <w:t>2</w:t>
      </w:r>
      <w:r w:rsidR="00590017" w:rsidRPr="00590017">
        <w:rPr>
          <w:rFonts w:ascii="Times New Roman" w:hAnsi="Times New Roman"/>
          <w:b w:val="0"/>
          <w:sz w:val="20"/>
        </w:rPr>
        <w:t xml:space="preserve"> into organic chemicals and fuels is a strategy to reduce carbon emissions. Homogeneous and heterogeneous catalysts, such as ionic liquids (ILs) and metal-organic frameworks (MOFs), have been used in the conversion of CO</w:t>
      </w:r>
      <w:r w:rsidR="00590017" w:rsidRPr="00590017">
        <w:rPr>
          <w:rFonts w:ascii="Times New Roman" w:hAnsi="Times New Roman"/>
          <w:b w:val="0"/>
          <w:sz w:val="20"/>
          <w:vertAlign w:val="subscript"/>
        </w:rPr>
        <w:t>2</w:t>
      </w:r>
      <w:r w:rsidR="00590017" w:rsidRPr="00590017">
        <w:rPr>
          <w:rFonts w:ascii="Times New Roman" w:hAnsi="Times New Roman"/>
          <w:b w:val="0"/>
          <w:sz w:val="20"/>
        </w:rPr>
        <w:t xml:space="preserve"> into cyclic carbonates. However, the development of more efficient catalysts is still a challenge. In this work, UiO-66 MOFs containing different amounts of </w:t>
      </w:r>
      <w:proofErr w:type="spellStart"/>
      <w:r w:rsidR="00590017" w:rsidRPr="00590017">
        <w:rPr>
          <w:rFonts w:ascii="Times New Roman" w:hAnsi="Times New Roman"/>
          <w:b w:val="0"/>
          <w:sz w:val="20"/>
        </w:rPr>
        <w:t>dipicolinic</w:t>
      </w:r>
      <w:proofErr w:type="spellEnd"/>
      <w:r w:rsidR="00590017" w:rsidRPr="00590017">
        <w:rPr>
          <w:rFonts w:ascii="Times New Roman" w:hAnsi="Times New Roman"/>
          <w:b w:val="0"/>
          <w:sz w:val="20"/>
        </w:rPr>
        <w:t xml:space="preserve"> acid as an additional linker were functionalized with bromobutane to generate active sites similar to those found in ionic liquids, aiming at their application in the cycloaddition of CO</w:t>
      </w:r>
      <w:r w:rsidR="00590017" w:rsidRPr="00590017">
        <w:rPr>
          <w:rFonts w:ascii="Times New Roman" w:hAnsi="Times New Roman"/>
          <w:b w:val="0"/>
          <w:sz w:val="20"/>
          <w:vertAlign w:val="subscript"/>
        </w:rPr>
        <w:t>2</w:t>
      </w:r>
      <w:r w:rsidR="00590017" w:rsidRPr="00590017">
        <w:rPr>
          <w:rFonts w:ascii="Times New Roman" w:hAnsi="Times New Roman"/>
          <w:b w:val="0"/>
          <w:sz w:val="20"/>
        </w:rPr>
        <w:t xml:space="preserve"> to propylene oxide.</w:t>
      </w:r>
    </w:p>
    <w:p w14:paraId="5F4A84E8" w14:textId="320AD556" w:rsidR="00EA4E1B" w:rsidRPr="00A76F2B" w:rsidRDefault="00EA4E1B" w:rsidP="00630B41">
      <w:pPr>
        <w:pStyle w:val="BDAbstract"/>
        <w:spacing w:before="0" w:after="0" w:line="240" w:lineRule="auto"/>
        <w:rPr>
          <w:rFonts w:ascii="Times New Roman" w:hAnsi="Times New Roman"/>
          <w:b w:val="0"/>
          <w:i/>
          <w:sz w:val="20"/>
        </w:rPr>
      </w:pPr>
      <w:r w:rsidRPr="00A76F2B">
        <w:rPr>
          <w:rFonts w:ascii="Times New Roman" w:hAnsi="Times New Roman"/>
          <w:b w:val="0"/>
          <w:i/>
          <w:sz w:val="20"/>
        </w:rPr>
        <w:t xml:space="preserve">Keywords: </w:t>
      </w:r>
      <w:r w:rsidR="00A76F2B" w:rsidRPr="00A76F2B">
        <w:rPr>
          <w:rFonts w:ascii="Times New Roman" w:hAnsi="Times New Roman"/>
          <w:b w:val="0"/>
          <w:i/>
          <w:sz w:val="20"/>
        </w:rPr>
        <w:t xml:space="preserve">metal-organic frameworks, </w:t>
      </w:r>
      <w:r w:rsidR="00A76F2B" w:rsidRPr="00A76F2B">
        <w:rPr>
          <w:rFonts w:ascii="Times New Roman" w:hAnsi="Times New Roman"/>
          <w:b w:val="0"/>
          <w:i/>
          <w:noProof/>
          <w:color w:val="000000"/>
          <w:sz w:val="20"/>
        </w:rPr>
        <w:t>CO</w:t>
      </w:r>
      <w:r w:rsidR="00A76F2B" w:rsidRPr="00A76F2B">
        <w:rPr>
          <w:rFonts w:ascii="Times New Roman" w:hAnsi="Times New Roman"/>
          <w:b w:val="0"/>
          <w:i/>
          <w:noProof/>
          <w:color w:val="000000"/>
          <w:sz w:val="20"/>
          <w:vertAlign w:val="subscript"/>
        </w:rPr>
        <w:t>2</w:t>
      </w:r>
      <w:r w:rsidR="00A76F2B" w:rsidRPr="00A76F2B">
        <w:rPr>
          <w:rFonts w:ascii="Times New Roman" w:hAnsi="Times New Roman"/>
          <w:b w:val="0"/>
          <w:i/>
          <w:sz w:val="20"/>
        </w:rPr>
        <w:t xml:space="preserve"> cycloaddition, cyclic carbonates</w:t>
      </w:r>
    </w:p>
    <w:bookmarkEnd w:id="1"/>
    <w:p w14:paraId="48D9B0C4" w14:textId="77777777" w:rsidR="00EA4E1B" w:rsidRPr="00A76F2B" w:rsidRDefault="00EA4E1B" w:rsidP="00EA4E1B">
      <w:pPr>
        <w:rPr>
          <w:lang w:val="en-US"/>
        </w:rPr>
        <w:sectPr w:rsidR="00EA4E1B" w:rsidRPr="00A76F2B" w:rsidSect="00EA4E1B">
          <w:headerReference w:type="default" r:id="rId8"/>
          <w:endnotePr>
            <w:numFmt w:val="decimal"/>
          </w:endnotePr>
          <w:pgSz w:w="11906" w:h="16838"/>
          <w:pgMar w:top="1418" w:right="1094" w:bottom="1418" w:left="567" w:header="709" w:footer="709" w:gutter="0"/>
          <w:cols w:space="708"/>
          <w:docGrid w:linePitch="360"/>
        </w:sectPr>
      </w:pPr>
    </w:p>
    <w:p w14:paraId="625F2C0A" w14:textId="77777777" w:rsidR="00EA4E1B" w:rsidRPr="001F25B2" w:rsidRDefault="00EA4E1B" w:rsidP="00EA4E1B">
      <w:pPr>
        <w:pStyle w:val="Ttulo2"/>
        <w:spacing w:before="0"/>
        <w:rPr>
          <w:rFonts w:ascii="Helvetica" w:hAnsi="Helvetica" w:cs="Helvetica"/>
          <w:sz w:val="24"/>
          <w:szCs w:val="24"/>
        </w:rPr>
      </w:pPr>
      <w:r w:rsidRPr="001F25B2">
        <w:rPr>
          <w:rFonts w:ascii="Helvetica" w:hAnsi="Helvetica" w:cs="Helvetica"/>
          <w:sz w:val="24"/>
          <w:szCs w:val="24"/>
        </w:rPr>
        <w:t>Introdução</w:t>
      </w:r>
    </w:p>
    <w:p w14:paraId="2EB44951" w14:textId="25CFF3E2" w:rsidR="00904C16" w:rsidRPr="00904C16" w:rsidRDefault="00904C16" w:rsidP="00904C16">
      <w:pPr>
        <w:pStyle w:val="TAMainText"/>
        <w:rPr>
          <w:rFonts w:ascii="Times New Roman" w:hAnsi="Times New Roman"/>
          <w:lang w:val="pt-BR"/>
        </w:rPr>
      </w:pPr>
      <w:r w:rsidRPr="00904C16">
        <w:rPr>
          <w:rFonts w:ascii="Times New Roman" w:hAnsi="Times New Roman"/>
          <w:lang w:val="pt-BR"/>
        </w:rPr>
        <w:t xml:space="preserve">É interessante observar que a </w:t>
      </w:r>
      <w:r w:rsidR="00FA6FE2">
        <w:rPr>
          <w:rFonts w:ascii="Times New Roman" w:hAnsi="Times New Roman"/>
          <w:lang w:val="pt-BR"/>
        </w:rPr>
        <w:t>queima</w:t>
      </w:r>
      <w:r w:rsidRPr="00904C16">
        <w:rPr>
          <w:rFonts w:ascii="Times New Roman" w:hAnsi="Times New Roman"/>
          <w:lang w:val="pt-BR"/>
        </w:rPr>
        <w:t xml:space="preserve"> excessiva dos combustíveis fósseis ao longo dos últimos séculos possibilitou um grande desenvolvimento industrial e cotidiano. Entretanto, essa queima exacerbada tem gerado um acúmulo antropogênico de dióxido de carbono na atmosfera, o que tem provocado o aumento da temperatura da superfície terrestre e o agravamento do efeito estufa. Como o CO</w:t>
      </w:r>
      <w:r w:rsidRPr="008955A7">
        <w:rPr>
          <w:rFonts w:ascii="Times New Roman" w:hAnsi="Times New Roman"/>
          <w:vertAlign w:val="subscript"/>
          <w:lang w:val="pt-BR"/>
        </w:rPr>
        <w:t>2</w:t>
      </w:r>
      <w:r w:rsidRPr="00904C16">
        <w:rPr>
          <w:rFonts w:ascii="Times New Roman" w:hAnsi="Times New Roman"/>
          <w:lang w:val="pt-BR"/>
        </w:rPr>
        <w:t xml:space="preserve"> é uma fonte econômica, abundante e renovável, sua conversão em produtos químicos orgânicos e combustíveis é uma estratégia importante para reduzir as emissões de carbono. A reação do CO</w:t>
      </w:r>
      <w:r w:rsidRPr="008955A7">
        <w:rPr>
          <w:rFonts w:ascii="Times New Roman" w:hAnsi="Times New Roman"/>
          <w:vertAlign w:val="subscript"/>
          <w:lang w:val="pt-BR"/>
        </w:rPr>
        <w:t>2</w:t>
      </w:r>
      <w:r w:rsidRPr="00904C16">
        <w:rPr>
          <w:rFonts w:ascii="Times New Roman" w:hAnsi="Times New Roman"/>
          <w:lang w:val="pt-BR"/>
        </w:rPr>
        <w:t xml:space="preserve"> com </w:t>
      </w:r>
      <w:proofErr w:type="spellStart"/>
      <w:r w:rsidRPr="00904C16">
        <w:rPr>
          <w:rFonts w:ascii="Times New Roman" w:hAnsi="Times New Roman"/>
          <w:lang w:val="pt-BR"/>
        </w:rPr>
        <w:t>epóxidos</w:t>
      </w:r>
      <w:proofErr w:type="spellEnd"/>
      <w:r w:rsidRPr="00904C16">
        <w:rPr>
          <w:rFonts w:ascii="Times New Roman" w:hAnsi="Times New Roman"/>
          <w:lang w:val="pt-BR"/>
        </w:rPr>
        <w:t xml:space="preserve"> para produzir carbonatos cíclicos tem atraído muita atenção recentemente, pois os produtos são utilizados em diversas áreas, como estamparia, tingimento de tecidos, eletroquímica, síntese de polímeros e de intermediários farmacêuticos</w:t>
      </w:r>
      <w:r w:rsidR="008955A7">
        <w:rPr>
          <w:rFonts w:ascii="Times New Roman" w:hAnsi="Times New Roman"/>
          <w:lang w:val="pt-BR"/>
        </w:rPr>
        <w:t xml:space="preserve"> (</w:t>
      </w:r>
      <w:r w:rsidR="00DC6502">
        <w:rPr>
          <w:rFonts w:ascii="Times New Roman" w:hAnsi="Times New Roman"/>
          <w:lang w:val="pt-BR"/>
        </w:rPr>
        <w:t>1-2)</w:t>
      </w:r>
      <w:r w:rsidR="008955A7">
        <w:rPr>
          <w:rFonts w:ascii="Times New Roman" w:hAnsi="Times New Roman"/>
          <w:lang w:val="pt-BR"/>
        </w:rPr>
        <w:t>.</w:t>
      </w:r>
    </w:p>
    <w:p w14:paraId="556D814A" w14:textId="56B070F2" w:rsidR="00904C16" w:rsidRPr="00904C16" w:rsidRDefault="00904C16" w:rsidP="00904C16">
      <w:pPr>
        <w:pStyle w:val="TAMainText"/>
        <w:rPr>
          <w:rFonts w:ascii="Times New Roman" w:hAnsi="Times New Roman"/>
          <w:lang w:val="pt-BR"/>
        </w:rPr>
      </w:pPr>
      <w:r w:rsidRPr="00904C16">
        <w:rPr>
          <w:rFonts w:ascii="Times New Roman" w:hAnsi="Times New Roman"/>
          <w:lang w:val="pt-BR"/>
        </w:rPr>
        <w:t>Contudo, devido à grande estabilidade da dupla ligação C=O no dióxido de carbono, a conversão de CO</w:t>
      </w:r>
      <w:r w:rsidRPr="008955A7">
        <w:rPr>
          <w:rFonts w:ascii="Times New Roman" w:hAnsi="Times New Roman"/>
          <w:vertAlign w:val="subscript"/>
          <w:lang w:val="pt-BR"/>
        </w:rPr>
        <w:t>2</w:t>
      </w:r>
      <w:r w:rsidRPr="00904C16">
        <w:rPr>
          <w:rFonts w:ascii="Times New Roman" w:hAnsi="Times New Roman"/>
          <w:lang w:val="pt-BR"/>
        </w:rPr>
        <w:t xml:space="preserve"> em condições amenas é um desafio de pesquisa</w:t>
      </w:r>
      <w:r w:rsidR="00DC6502">
        <w:rPr>
          <w:rFonts w:ascii="Times New Roman" w:hAnsi="Times New Roman"/>
          <w:lang w:val="pt-BR"/>
        </w:rPr>
        <w:t xml:space="preserve"> (2)</w:t>
      </w:r>
      <w:r w:rsidRPr="00904C16">
        <w:rPr>
          <w:rFonts w:ascii="Times New Roman" w:hAnsi="Times New Roman"/>
          <w:lang w:val="pt-BR"/>
        </w:rPr>
        <w:t>. Catalisadores homogêneos e heterogêneos, como líquidos iônicos (</w:t>
      </w:r>
      <w:proofErr w:type="spellStart"/>
      <w:r w:rsidRPr="00904C16">
        <w:rPr>
          <w:rFonts w:ascii="Times New Roman" w:hAnsi="Times New Roman"/>
          <w:lang w:val="pt-BR"/>
        </w:rPr>
        <w:t>LIs</w:t>
      </w:r>
      <w:proofErr w:type="spellEnd"/>
      <w:r w:rsidRPr="00904C16">
        <w:rPr>
          <w:rFonts w:ascii="Times New Roman" w:hAnsi="Times New Roman"/>
          <w:lang w:val="pt-BR"/>
        </w:rPr>
        <w:t>), estruturas metal-orgânicas (</w:t>
      </w:r>
      <w:proofErr w:type="spellStart"/>
      <w:r w:rsidRPr="00904C16">
        <w:rPr>
          <w:rFonts w:ascii="Times New Roman" w:hAnsi="Times New Roman"/>
          <w:lang w:val="pt-BR"/>
        </w:rPr>
        <w:t>MOFs</w:t>
      </w:r>
      <w:proofErr w:type="spellEnd"/>
      <w:r w:rsidRPr="00904C16">
        <w:rPr>
          <w:rFonts w:ascii="Times New Roman" w:hAnsi="Times New Roman"/>
          <w:lang w:val="pt-BR"/>
        </w:rPr>
        <w:t>) e estruturas orgânicas covalentes (</w:t>
      </w:r>
      <w:proofErr w:type="spellStart"/>
      <w:r w:rsidRPr="00904C16">
        <w:rPr>
          <w:rFonts w:ascii="Times New Roman" w:hAnsi="Times New Roman"/>
          <w:lang w:val="pt-BR"/>
        </w:rPr>
        <w:t>COFs</w:t>
      </w:r>
      <w:proofErr w:type="spellEnd"/>
      <w:r w:rsidRPr="00904C16">
        <w:rPr>
          <w:rFonts w:ascii="Times New Roman" w:hAnsi="Times New Roman"/>
          <w:lang w:val="pt-BR"/>
        </w:rPr>
        <w:t xml:space="preserve">), são amplamente utilizados na reação de </w:t>
      </w:r>
      <w:proofErr w:type="spellStart"/>
      <w:r w:rsidRPr="00904C16">
        <w:rPr>
          <w:rFonts w:ascii="Times New Roman" w:hAnsi="Times New Roman"/>
          <w:lang w:val="pt-BR"/>
        </w:rPr>
        <w:t>cicloadição</w:t>
      </w:r>
      <w:proofErr w:type="spellEnd"/>
      <w:r w:rsidRPr="00904C16">
        <w:rPr>
          <w:rFonts w:ascii="Times New Roman" w:hAnsi="Times New Roman"/>
          <w:lang w:val="pt-BR"/>
        </w:rPr>
        <w:t xml:space="preserve"> de CO</w:t>
      </w:r>
      <w:r w:rsidRPr="008955A7">
        <w:rPr>
          <w:rFonts w:ascii="Times New Roman" w:hAnsi="Times New Roman"/>
          <w:vertAlign w:val="subscript"/>
          <w:lang w:val="pt-BR"/>
        </w:rPr>
        <w:t>2</w:t>
      </w:r>
      <w:r w:rsidRPr="00904C16">
        <w:rPr>
          <w:rFonts w:ascii="Times New Roman" w:hAnsi="Times New Roman"/>
          <w:lang w:val="pt-BR"/>
        </w:rPr>
        <w:t xml:space="preserve">. Porém, a </w:t>
      </w:r>
      <w:r w:rsidRPr="00904C16">
        <w:rPr>
          <w:rFonts w:ascii="Times New Roman" w:hAnsi="Times New Roman"/>
          <w:lang w:val="pt-BR"/>
        </w:rPr>
        <w:t xml:space="preserve">maioria desses catalisadores ainda apresenta problemas como condições </w:t>
      </w:r>
      <w:r w:rsidR="00341158">
        <w:rPr>
          <w:rFonts w:ascii="Times New Roman" w:hAnsi="Times New Roman"/>
          <w:lang w:val="pt-BR"/>
        </w:rPr>
        <w:t>severas</w:t>
      </w:r>
      <w:r w:rsidR="00341158" w:rsidRPr="00904C16">
        <w:rPr>
          <w:rFonts w:ascii="Times New Roman" w:hAnsi="Times New Roman"/>
          <w:lang w:val="pt-BR"/>
        </w:rPr>
        <w:t xml:space="preserve"> </w:t>
      </w:r>
      <w:r w:rsidRPr="00904C16">
        <w:rPr>
          <w:rFonts w:ascii="Times New Roman" w:hAnsi="Times New Roman"/>
          <w:lang w:val="pt-BR"/>
        </w:rPr>
        <w:t xml:space="preserve">de reação e necessidade de </w:t>
      </w:r>
      <w:proofErr w:type="spellStart"/>
      <w:r w:rsidRPr="00904C16">
        <w:rPr>
          <w:rFonts w:ascii="Times New Roman" w:hAnsi="Times New Roman"/>
          <w:lang w:val="pt-BR"/>
        </w:rPr>
        <w:t>cocatalisadores</w:t>
      </w:r>
      <w:proofErr w:type="spellEnd"/>
      <w:r w:rsidRPr="00904C16">
        <w:rPr>
          <w:rFonts w:ascii="Times New Roman" w:hAnsi="Times New Roman"/>
          <w:lang w:val="pt-BR"/>
        </w:rPr>
        <w:t>, devido ao fraco efeito sinérgico dos sítios ativos que funcionam como ácido-base de Lewis</w:t>
      </w:r>
      <w:r w:rsidR="008955A7">
        <w:rPr>
          <w:rFonts w:ascii="Times New Roman" w:hAnsi="Times New Roman"/>
          <w:lang w:val="pt-BR"/>
        </w:rPr>
        <w:t xml:space="preserve"> (</w:t>
      </w:r>
      <w:r w:rsidR="00DC6502">
        <w:rPr>
          <w:rFonts w:ascii="Times New Roman" w:hAnsi="Times New Roman"/>
          <w:lang w:val="pt-BR"/>
        </w:rPr>
        <w:t>2</w:t>
      </w:r>
      <w:r w:rsidR="008955A7">
        <w:rPr>
          <w:rFonts w:ascii="Times New Roman" w:hAnsi="Times New Roman"/>
          <w:lang w:val="pt-BR"/>
        </w:rPr>
        <w:t>)</w:t>
      </w:r>
      <w:r w:rsidRPr="00904C16">
        <w:rPr>
          <w:rFonts w:ascii="Times New Roman" w:hAnsi="Times New Roman"/>
          <w:lang w:val="pt-BR"/>
        </w:rPr>
        <w:t>.</w:t>
      </w:r>
    </w:p>
    <w:p w14:paraId="62889AB1" w14:textId="09CF878F" w:rsidR="006F0A79" w:rsidRPr="006F0A79" w:rsidRDefault="00904C16" w:rsidP="00904C16">
      <w:pPr>
        <w:pStyle w:val="TAMainText"/>
        <w:rPr>
          <w:rFonts w:ascii="Times New Roman" w:hAnsi="Times New Roman"/>
          <w:lang w:val="pt-BR"/>
        </w:rPr>
      </w:pPr>
      <w:r w:rsidRPr="006F0A79">
        <w:rPr>
          <w:rFonts w:ascii="Times New Roman" w:hAnsi="Times New Roman"/>
          <w:lang w:val="pt-BR"/>
        </w:rPr>
        <w:t xml:space="preserve">Os </w:t>
      </w:r>
      <w:proofErr w:type="spellStart"/>
      <w:r w:rsidRPr="006F0A79">
        <w:rPr>
          <w:rFonts w:ascii="Times New Roman" w:hAnsi="Times New Roman"/>
          <w:lang w:val="pt-BR"/>
        </w:rPr>
        <w:t>MOFs</w:t>
      </w:r>
      <w:proofErr w:type="spellEnd"/>
      <w:r w:rsidRPr="006F0A79">
        <w:rPr>
          <w:rFonts w:ascii="Times New Roman" w:hAnsi="Times New Roman"/>
          <w:lang w:val="pt-BR"/>
        </w:rPr>
        <w:t xml:space="preserve">, uma classe emergente de materiais cristalinos porosos compostos por ligantes orgânicos e íons/clusters metálicos, têm sido usados </w:t>
      </w:r>
      <w:r w:rsidR="006F0A79" w:rsidRPr="006F0A79">
        <w:rPr>
          <w:rFonts w:ascii="Times New Roman" w:hAnsi="Times New Roman"/>
          <w:lang w:val="pt-BR"/>
        </w:rPr>
        <w:t xml:space="preserve">como catalisadores na conversão de </w:t>
      </w:r>
      <w:r w:rsidR="006F0A79" w:rsidRPr="006F0A79">
        <w:rPr>
          <w:rFonts w:ascii="Times New Roman" w:hAnsi="Times New Roman"/>
          <w:noProof/>
          <w:color w:val="000000"/>
          <w:lang w:val="pt-BR"/>
        </w:rPr>
        <w:t>CO</w:t>
      </w:r>
      <w:r w:rsidR="006F0A79" w:rsidRPr="006F0A79">
        <w:rPr>
          <w:rFonts w:ascii="Times New Roman" w:hAnsi="Times New Roman"/>
          <w:noProof/>
          <w:color w:val="000000"/>
          <w:vertAlign w:val="subscript"/>
          <w:lang w:val="pt-BR"/>
        </w:rPr>
        <w:t>2</w:t>
      </w:r>
      <w:r w:rsidR="006F0A79" w:rsidRPr="006F0A79">
        <w:rPr>
          <w:rFonts w:ascii="Times New Roman" w:hAnsi="Times New Roman"/>
          <w:lang w:val="pt-BR"/>
        </w:rPr>
        <w:t xml:space="preserve"> em carbonatos cíclicos</w:t>
      </w:r>
      <w:r w:rsidRPr="006F0A79">
        <w:rPr>
          <w:rFonts w:ascii="Times New Roman" w:hAnsi="Times New Roman"/>
          <w:lang w:val="pt-BR"/>
        </w:rPr>
        <w:t xml:space="preserve"> devido à </w:t>
      </w:r>
      <w:r w:rsidR="008955A7" w:rsidRPr="006F0A79">
        <w:rPr>
          <w:rFonts w:ascii="Times New Roman" w:hAnsi="Times New Roman"/>
          <w:lang w:val="pt-BR"/>
        </w:rPr>
        <w:t>ampla gama de estruturas existentes</w:t>
      </w:r>
      <w:r w:rsidRPr="006F0A79">
        <w:rPr>
          <w:rFonts w:ascii="Times New Roman" w:hAnsi="Times New Roman"/>
          <w:lang w:val="pt-BR"/>
        </w:rPr>
        <w:t xml:space="preserve">, tamanho de poro controlável, alta área de superfície específica e sítios ácidos </w:t>
      </w:r>
      <w:r w:rsidR="008955A7" w:rsidRPr="006F0A79">
        <w:rPr>
          <w:rFonts w:ascii="Times New Roman" w:hAnsi="Times New Roman"/>
          <w:lang w:val="pt-BR"/>
        </w:rPr>
        <w:t>de diferente natureza (</w:t>
      </w:r>
      <w:r w:rsidR="00DC6502">
        <w:rPr>
          <w:rFonts w:ascii="Times New Roman" w:hAnsi="Times New Roman"/>
          <w:lang w:val="pt-BR"/>
        </w:rPr>
        <w:t>3-4)</w:t>
      </w:r>
      <w:r w:rsidRPr="006F0A79">
        <w:rPr>
          <w:rFonts w:ascii="Times New Roman" w:hAnsi="Times New Roman"/>
          <w:lang w:val="pt-BR"/>
        </w:rPr>
        <w:t xml:space="preserve">. Enquanto isso, os </w:t>
      </w:r>
      <w:proofErr w:type="spellStart"/>
      <w:r w:rsidRPr="006F0A79">
        <w:rPr>
          <w:rFonts w:ascii="Times New Roman" w:hAnsi="Times New Roman"/>
          <w:lang w:val="pt-BR"/>
        </w:rPr>
        <w:t>LIs</w:t>
      </w:r>
      <w:proofErr w:type="spellEnd"/>
      <w:r w:rsidRPr="006F0A79">
        <w:rPr>
          <w:rFonts w:ascii="Times New Roman" w:hAnsi="Times New Roman"/>
          <w:lang w:val="pt-BR"/>
        </w:rPr>
        <w:t xml:space="preserve"> </w:t>
      </w:r>
      <w:r w:rsidR="006F0A79" w:rsidRPr="006F0A79">
        <w:rPr>
          <w:rFonts w:ascii="Times New Roman" w:hAnsi="Times New Roman"/>
          <w:lang w:val="pt-BR"/>
        </w:rPr>
        <w:t>são catalisadores</w:t>
      </w:r>
      <w:r w:rsidR="006F0A79">
        <w:rPr>
          <w:rFonts w:ascii="Times New Roman" w:hAnsi="Times New Roman"/>
          <w:lang w:val="pt-BR"/>
        </w:rPr>
        <w:t xml:space="preserve"> </w:t>
      </w:r>
      <w:r w:rsidR="00463688">
        <w:rPr>
          <w:rFonts w:ascii="Times New Roman" w:hAnsi="Times New Roman"/>
          <w:lang w:val="pt-BR"/>
        </w:rPr>
        <w:t>tradicionais</w:t>
      </w:r>
      <w:r w:rsidR="006F0A79" w:rsidRPr="006F0A79">
        <w:rPr>
          <w:rFonts w:ascii="Times New Roman" w:hAnsi="Times New Roman"/>
          <w:lang w:val="pt-BR"/>
        </w:rPr>
        <w:t xml:space="preserve"> da </w:t>
      </w:r>
      <w:proofErr w:type="spellStart"/>
      <w:r w:rsidR="006F0A79" w:rsidRPr="006F0A79">
        <w:rPr>
          <w:rFonts w:ascii="Times New Roman" w:hAnsi="Times New Roman"/>
          <w:lang w:val="pt-BR"/>
        </w:rPr>
        <w:t>cicloadição</w:t>
      </w:r>
      <w:proofErr w:type="spellEnd"/>
      <w:r w:rsidR="006F0A79" w:rsidRPr="006F0A79">
        <w:rPr>
          <w:rFonts w:ascii="Times New Roman" w:hAnsi="Times New Roman"/>
          <w:lang w:val="pt-BR"/>
        </w:rPr>
        <w:t xml:space="preserve"> do </w:t>
      </w:r>
      <w:r w:rsidR="006F0A79" w:rsidRPr="006F0A79">
        <w:rPr>
          <w:rFonts w:ascii="Times New Roman" w:hAnsi="Times New Roman"/>
          <w:noProof/>
          <w:color w:val="000000"/>
          <w:lang w:val="pt-BR"/>
        </w:rPr>
        <w:t>CO</w:t>
      </w:r>
      <w:r w:rsidR="006F0A79" w:rsidRPr="006F0A79">
        <w:rPr>
          <w:rFonts w:ascii="Times New Roman" w:hAnsi="Times New Roman"/>
          <w:noProof/>
          <w:color w:val="000000"/>
          <w:vertAlign w:val="subscript"/>
          <w:lang w:val="pt-BR"/>
        </w:rPr>
        <w:t>2</w:t>
      </w:r>
      <w:r w:rsidR="006F0A79" w:rsidRPr="006F0A79">
        <w:rPr>
          <w:rFonts w:ascii="Times New Roman" w:hAnsi="Times New Roman"/>
          <w:lang w:val="pt-BR"/>
        </w:rPr>
        <w:t xml:space="preserve"> em </w:t>
      </w:r>
      <w:proofErr w:type="spellStart"/>
      <w:r w:rsidR="006F0A79" w:rsidRPr="006F0A79">
        <w:rPr>
          <w:rFonts w:ascii="Times New Roman" w:hAnsi="Times New Roman"/>
          <w:lang w:val="pt-BR"/>
        </w:rPr>
        <w:t>epóxidos</w:t>
      </w:r>
      <w:proofErr w:type="spellEnd"/>
      <w:r w:rsidR="006F0A79" w:rsidRPr="006F0A79">
        <w:rPr>
          <w:rFonts w:ascii="Times New Roman" w:hAnsi="Times New Roman"/>
          <w:lang w:val="pt-BR"/>
        </w:rPr>
        <w:t xml:space="preserve"> devido as suas propriedades </w:t>
      </w:r>
      <w:proofErr w:type="spellStart"/>
      <w:r w:rsidR="006F0A79" w:rsidRPr="006F0A79">
        <w:rPr>
          <w:rFonts w:ascii="Times New Roman" w:hAnsi="Times New Roman"/>
          <w:lang w:val="pt-BR"/>
        </w:rPr>
        <w:t>nucleofílicas</w:t>
      </w:r>
      <w:proofErr w:type="spellEnd"/>
      <w:r w:rsidR="006F0A79">
        <w:rPr>
          <w:rFonts w:ascii="Times New Roman" w:hAnsi="Times New Roman"/>
          <w:lang w:val="pt-BR"/>
        </w:rPr>
        <w:t xml:space="preserve">, solubilização do </w:t>
      </w:r>
      <w:r w:rsidR="006F0A79" w:rsidRPr="006F0A79">
        <w:rPr>
          <w:rFonts w:ascii="Times New Roman" w:hAnsi="Times New Roman"/>
          <w:noProof/>
          <w:color w:val="000000"/>
          <w:lang w:val="pt-BR"/>
        </w:rPr>
        <w:t>CO</w:t>
      </w:r>
      <w:r w:rsidR="006F0A79" w:rsidRPr="006F0A79">
        <w:rPr>
          <w:rFonts w:ascii="Times New Roman" w:hAnsi="Times New Roman"/>
          <w:noProof/>
          <w:color w:val="000000"/>
          <w:vertAlign w:val="subscript"/>
          <w:lang w:val="pt-BR"/>
        </w:rPr>
        <w:t>2</w:t>
      </w:r>
      <w:r w:rsidR="006F0A79">
        <w:rPr>
          <w:rFonts w:ascii="Times New Roman" w:hAnsi="Times New Roman"/>
          <w:lang w:val="pt-BR"/>
        </w:rPr>
        <w:t xml:space="preserve"> e</w:t>
      </w:r>
      <w:r w:rsidR="006F0A79" w:rsidRPr="006F0A79">
        <w:rPr>
          <w:rFonts w:ascii="Times New Roman" w:hAnsi="Times New Roman"/>
          <w:lang w:val="pt-BR"/>
        </w:rPr>
        <w:t xml:space="preserve"> estabilização de intermediários da reação</w:t>
      </w:r>
      <w:r w:rsidR="006F0A79">
        <w:rPr>
          <w:rFonts w:ascii="Times New Roman" w:hAnsi="Times New Roman"/>
          <w:lang w:val="pt-BR"/>
        </w:rPr>
        <w:t xml:space="preserve"> (</w:t>
      </w:r>
      <w:r w:rsidR="005E0D71">
        <w:rPr>
          <w:rFonts w:ascii="Times New Roman" w:hAnsi="Times New Roman"/>
          <w:lang w:val="pt-BR"/>
        </w:rPr>
        <w:t>5</w:t>
      </w:r>
      <w:r w:rsidR="006F0A79">
        <w:rPr>
          <w:rFonts w:ascii="Times New Roman" w:hAnsi="Times New Roman"/>
          <w:lang w:val="pt-BR"/>
        </w:rPr>
        <w:t>)</w:t>
      </w:r>
      <w:r w:rsidR="006F0A79" w:rsidRPr="006F0A79">
        <w:rPr>
          <w:rFonts w:ascii="Times New Roman" w:hAnsi="Times New Roman"/>
          <w:lang w:val="pt-BR"/>
        </w:rPr>
        <w:t xml:space="preserve">. </w:t>
      </w:r>
      <w:r w:rsidRPr="006F0A79">
        <w:rPr>
          <w:rFonts w:ascii="Times New Roman" w:hAnsi="Times New Roman"/>
          <w:lang w:val="pt-BR"/>
        </w:rPr>
        <w:t xml:space="preserve">Portanto, </w:t>
      </w:r>
      <w:r w:rsidR="008955A7" w:rsidRPr="006F0A79">
        <w:rPr>
          <w:rFonts w:ascii="Times New Roman" w:hAnsi="Times New Roman"/>
          <w:lang w:val="pt-BR"/>
        </w:rPr>
        <w:t xml:space="preserve">o preparo de um catalisador que </w:t>
      </w:r>
      <w:r w:rsidR="006F0A79" w:rsidRPr="006F0A79">
        <w:rPr>
          <w:rFonts w:ascii="Times New Roman" w:hAnsi="Times New Roman"/>
          <w:lang w:val="pt-BR"/>
        </w:rPr>
        <w:t>combine</w:t>
      </w:r>
      <w:r w:rsidR="008955A7" w:rsidRPr="006F0A79">
        <w:rPr>
          <w:rFonts w:ascii="Times New Roman" w:hAnsi="Times New Roman"/>
          <w:lang w:val="pt-BR"/>
        </w:rPr>
        <w:t xml:space="preserve"> as propriedades dos líquidos iônicos </w:t>
      </w:r>
      <w:r w:rsidR="006F0A79" w:rsidRPr="006F0A79">
        <w:rPr>
          <w:rFonts w:ascii="Times New Roman" w:hAnsi="Times New Roman"/>
          <w:lang w:val="pt-BR"/>
        </w:rPr>
        <w:t xml:space="preserve">e </w:t>
      </w:r>
      <w:r w:rsidRPr="006F0A79">
        <w:rPr>
          <w:rFonts w:ascii="Times New Roman" w:hAnsi="Times New Roman"/>
          <w:lang w:val="pt-BR"/>
        </w:rPr>
        <w:t>aproveit</w:t>
      </w:r>
      <w:r w:rsidR="006F0A79" w:rsidRPr="006F0A79">
        <w:rPr>
          <w:rFonts w:ascii="Times New Roman" w:hAnsi="Times New Roman"/>
          <w:lang w:val="pt-BR"/>
        </w:rPr>
        <w:t>e</w:t>
      </w:r>
      <w:r w:rsidRPr="006F0A79">
        <w:rPr>
          <w:rFonts w:ascii="Times New Roman" w:hAnsi="Times New Roman"/>
          <w:lang w:val="pt-BR"/>
        </w:rPr>
        <w:t xml:space="preserve"> as vantagens dos </w:t>
      </w:r>
      <w:proofErr w:type="spellStart"/>
      <w:r w:rsidRPr="006F0A79">
        <w:rPr>
          <w:rFonts w:ascii="Times New Roman" w:hAnsi="Times New Roman"/>
          <w:lang w:val="pt-BR"/>
        </w:rPr>
        <w:t>MOFs</w:t>
      </w:r>
      <w:proofErr w:type="spellEnd"/>
      <w:r w:rsidRPr="006F0A79">
        <w:rPr>
          <w:rFonts w:ascii="Times New Roman" w:hAnsi="Times New Roman"/>
          <w:lang w:val="pt-BR"/>
        </w:rPr>
        <w:t xml:space="preserve">, como alta área superficial e acidez de Lewis, </w:t>
      </w:r>
      <w:r w:rsidR="006F0A79" w:rsidRPr="006F0A79">
        <w:rPr>
          <w:rFonts w:ascii="Times New Roman" w:hAnsi="Times New Roman"/>
          <w:lang w:val="pt-BR"/>
        </w:rPr>
        <w:t>é uma estratégia interessante para atingir catalisadores mais eficientes</w:t>
      </w:r>
      <w:r w:rsidRPr="006F0A79">
        <w:rPr>
          <w:rFonts w:ascii="Times New Roman" w:hAnsi="Times New Roman"/>
          <w:lang w:val="pt-BR"/>
        </w:rPr>
        <w:t>.</w:t>
      </w:r>
      <w:r w:rsidR="006F0A79" w:rsidRPr="006F0A79">
        <w:rPr>
          <w:rFonts w:ascii="Times New Roman" w:hAnsi="Times New Roman"/>
          <w:lang w:val="pt-BR"/>
        </w:rPr>
        <w:t xml:space="preserve"> Tal sistema poderia compensar a grande viscosidade, lenta transferência de massa e alta dosagem dos </w:t>
      </w:r>
      <w:proofErr w:type="spellStart"/>
      <w:r w:rsidR="006F0A79" w:rsidRPr="006F0A79">
        <w:rPr>
          <w:rFonts w:ascii="Times New Roman" w:hAnsi="Times New Roman"/>
          <w:lang w:val="pt-BR"/>
        </w:rPr>
        <w:t>L</w:t>
      </w:r>
      <w:r w:rsidR="006F0A79">
        <w:rPr>
          <w:rFonts w:ascii="Times New Roman" w:hAnsi="Times New Roman"/>
          <w:lang w:val="pt-BR"/>
        </w:rPr>
        <w:t>I</w:t>
      </w:r>
      <w:r w:rsidR="006F0A79" w:rsidRPr="006F0A79">
        <w:rPr>
          <w:rFonts w:ascii="Times New Roman" w:hAnsi="Times New Roman"/>
          <w:lang w:val="pt-BR"/>
        </w:rPr>
        <w:t>s</w:t>
      </w:r>
      <w:proofErr w:type="spellEnd"/>
      <w:r w:rsidR="006F0A79" w:rsidRPr="006F0A79">
        <w:rPr>
          <w:rFonts w:ascii="Times New Roman" w:hAnsi="Times New Roman"/>
          <w:lang w:val="pt-BR"/>
        </w:rPr>
        <w:t xml:space="preserve"> no sistema reacional</w:t>
      </w:r>
      <w:r w:rsidR="00A76F2B">
        <w:rPr>
          <w:rFonts w:ascii="Times New Roman" w:hAnsi="Times New Roman"/>
          <w:lang w:val="pt-BR"/>
        </w:rPr>
        <w:t xml:space="preserve"> (</w:t>
      </w:r>
      <w:r w:rsidR="00463688">
        <w:rPr>
          <w:rFonts w:ascii="Times New Roman" w:hAnsi="Times New Roman"/>
          <w:lang w:val="pt-BR"/>
        </w:rPr>
        <w:t>2</w:t>
      </w:r>
      <w:r w:rsidR="00A76F2B">
        <w:rPr>
          <w:rFonts w:ascii="Times New Roman" w:hAnsi="Times New Roman"/>
          <w:lang w:val="pt-BR"/>
        </w:rPr>
        <w:t>).</w:t>
      </w:r>
    </w:p>
    <w:p w14:paraId="44E589EE" w14:textId="35444428" w:rsidR="006F0A79" w:rsidRDefault="00904C16" w:rsidP="00904C16">
      <w:pPr>
        <w:pStyle w:val="TAMainText"/>
        <w:rPr>
          <w:rFonts w:ascii="Times New Roman" w:hAnsi="Times New Roman"/>
          <w:lang w:val="pt-BR"/>
        </w:rPr>
      </w:pPr>
      <w:r w:rsidRPr="00904C16">
        <w:rPr>
          <w:rFonts w:ascii="Times New Roman" w:hAnsi="Times New Roman"/>
          <w:lang w:val="pt-BR"/>
        </w:rPr>
        <w:t>Neste trabalho,</w:t>
      </w:r>
      <w:r w:rsidR="006F0A79">
        <w:rPr>
          <w:rFonts w:ascii="Times New Roman" w:hAnsi="Times New Roman"/>
          <w:lang w:val="pt-BR"/>
        </w:rPr>
        <w:t xml:space="preserve"> </w:t>
      </w:r>
      <w:proofErr w:type="spellStart"/>
      <w:r w:rsidR="006F0A79">
        <w:rPr>
          <w:rFonts w:ascii="Times New Roman" w:hAnsi="Times New Roman"/>
          <w:lang w:val="pt-BR"/>
        </w:rPr>
        <w:t>MOFs</w:t>
      </w:r>
      <w:proofErr w:type="spellEnd"/>
      <w:r w:rsidR="006F0A79">
        <w:rPr>
          <w:rFonts w:ascii="Times New Roman" w:hAnsi="Times New Roman"/>
          <w:lang w:val="pt-BR"/>
        </w:rPr>
        <w:t xml:space="preserve"> UiO-66 foram sintetizados empregando diferentes quantidades do á</w:t>
      </w:r>
      <w:r w:rsidR="006F0A79" w:rsidRPr="006F0A79">
        <w:rPr>
          <w:rFonts w:ascii="Times New Roman" w:hAnsi="Times New Roman"/>
          <w:lang w:val="pt-BR"/>
        </w:rPr>
        <w:t>cido 2,6-piridinodicarboxílico</w:t>
      </w:r>
      <w:r w:rsidR="00FC4FA6">
        <w:rPr>
          <w:rFonts w:ascii="Times New Roman" w:hAnsi="Times New Roman"/>
          <w:lang w:val="pt-BR"/>
        </w:rPr>
        <w:t xml:space="preserve"> (ácido </w:t>
      </w:r>
      <w:proofErr w:type="spellStart"/>
      <w:r w:rsidR="00FC4FA6">
        <w:rPr>
          <w:rFonts w:ascii="Times New Roman" w:hAnsi="Times New Roman"/>
          <w:lang w:val="pt-BR"/>
        </w:rPr>
        <w:t>dipicolínico</w:t>
      </w:r>
      <w:proofErr w:type="spellEnd"/>
      <w:r w:rsidR="00FC4FA6">
        <w:rPr>
          <w:rFonts w:ascii="Times New Roman" w:hAnsi="Times New Roman"/>
          <w:lang w:val="pt-BR"/>
        </w:rPr>
        <w:t xml:space="preserve"> – DPA)</w:t>
      </w:r>
      <w:r w:rsidR="006F0A79">
        <w:rPr>
          <w:rFonts w:ascii="Times New Roman" w:hAnsi="Times New Roman"/>
          <w:lang w:val="pt-BR"/>
        </w:rPr>
        <w:t xml:space="preserve"> como </w:t>
      </w:r>
      <w:proofErr w:type="spellStart"/>
      <w:r w:rsidR="006F0A79" w:rsidRPr="006F0A79">
        <w:rPr>
          <w:rFonts w:ascii="Times New Roman" w:hAnsi="Times New Roman"/>
          <w:i/>
          <w:iCs/>
          <w:lang w:val="pt-BR"/>
        </w:rPr>
        <w:lastRenderedPageBreak/>
        <w:t>linker</w:t>
      </w:r>
      <w:proofErr w:type="spellEnd"/>
      <w:r w:rsidR="006F0A79">
        <w:rPr>
          <w:rFonts w:ascii="Times New Roman" w:hAnsi="Times New Roman"/>
          <w:lang w:val="pt-BR"/>
        </w:rPr>
        <w:t xml:space="preserve"> adicional ao ácido </w:t>
      </w:r>
      <w:proofErr w:type="spellStart"/>
      <w:r w:rsidR="006F0A79">
        <w:rPr>
          <w:rFonts w:ascii="Times New Roman" w:hAnsi="Times New Roman"/>
          <w:lang w:val="pt-BR"/>
        </w:rPr>
        <w:t>tereftálico</w:t>
      </w:r>
      <w:proofErr w:type="spellEnd"/>
      <w:r w:rsidR="006F0A79">
        <w:rPr>
          <w:rFonts w:ascii="Times New Roman" w:hAnsi="Times New Roman"/>
          <w:lang w:val="pt-BR"/>
        </w:rPr>
        <w:t xml:space="preserve"> de maneira a modular as propriedades texturais e grupos funcionais na superfície dos </w:t>
      </w:r>
      <w:proofErr w:type="spellStart"/>
      <w:r w:rsidR="006F0A79">
        <w:rPr>
          <w:rFonts w:ascii="Times New Roman" w:hAnsi="Times New Roman"/>
          <w:lang w:val="pt-BR"/>
        </w:rPr>
        <w:t>MOFs</w:t>
      </w:r>
      <w:proofErr w:type="spellEnd"/>
      <w:r w:rsidR="006F0A79">
        <w:rPr>
          <w:rFonts w:ascii="Times New Roman" w:hAnsi="Times New Roman"/>
          <w:lang w:val="pt-BR"/>
        </w:rPr>
        <w:t xml:space="preserve">. Posteriormente, os </w:t>
      </w:r>
      <w:proofErr w:type="spellStart"/>
      <w:r w:rsidR="006F0A79">
        <w:rPr>
          <w:rFonts w:ascii="Times New Roman" w:hAnsi="Times New Roman"/>
          <w:lang w:val="pt-BR"/>
        </w:rPr>
        <w:t>MOFs</w:t>
      </w:r>
      <w:proofErr w:type="spellEnd"/>
      <w:r w:rsidR="006F0A79">
        <w:rPr>
          <w:rFonts w:ascii="Times New Roman" w:hAnsi="Times New Roman"/>
          <w:lang w:val="pt-BR"/>
        </w:rPr>
        <w:t xml:space="preserve"> DPA-UiO-66 foram funcionalizados com </w:t>
      </w:r>
      <w:proofErr w:type="spellStart"/>
      <w:r w:rsidR="006F0A79">
        <w:rPr>
          <w:rFonts w:ascii="Times New Roman" w:hAnsi="Times New Roman"/>
          <w:lang w:val="pt-BR"/>
        </w:rPr>
        <w:t>bromobutano</w:t>
      </w:r>
      <w:proofErr w:type="spellEnd"/>
      <w:r w:rsidR="006F0A79">
        <w:rPr>
          <w:rFonts w:ascii="Times New Roman" w:hAnsi="Times New Roman"/>
          <w:lang w:val="pt-BR"/>
        </w:rPr>
        <w:t xml:space="preserve"> para </w:t>
      </w:r>
      <w:r w:rsidR="00833169">
        <w:rPr>
          <w:rFonts w:ascii="Times New Roman" w:hAnsi="Times New Roman"/>
          <w:lang w:val="pt-BR"/>
        </w:rPr>
        <w:t>gerar sítios ativos similares aos encontrados em líquidos iônicos (</w:t>
      </w:r>
      <w:proofErr w:type="spellStart"/>
      <w:r w:rsidR="00833169">
        <w:rPr>
          <w:rFonts w:ascii="Times New Roman" w:hAnsi="Times New Roman"/>
          <w:lang w:val="pt-BR"/>
        </w:rPr>
        <w:t>R</w:t>
      </w:r>
      <w:r w:rsidR="00E002F7">
        <w:rPr>
          <w:rFonts w:ascii="Times New Roman" w:hAnsi="Times New Roman"/>
          <w:vertAlign w:val="subscript"/>
          <w:lang w:val="pt-BR"/>
        </w:rPr>
        <w:t>X</w:t>
      </w:r>
      <w:r w:rsidR="00833169">
        <w:rPr>
          <w:rFonts w:ascii="Times New Roman" w:hAnsi="Times New Roman"/>
          <w:lang w:val="pt-BR"/>
        </w:rPr>
        <w:t>N</w:t>
      </w:r>
      <w:r w:rsidR="00833169" w:rsidRPr="00833169">
        <w:rPr>
          <w:rFonts w:ascii="Times New Roman" w:hAnsi="Times New Roman"/>
          <w:vertAlign w:val="superscript"/>
          <w:lang w:val="pt-BR"/>
        </w:rPr>
        <w:t>+</w:t>
      </w:r>
      <w:r w:rsidR="00833169">
        <w:rPr>
          <w:rFonts w:ascii="Times New Roman" w:hAnsi="Times New Roman"/>
          <w:lang w:val="pt-BR"/>
        </w:rPr>
        <w:t>Br</w:t>
      </w:r>
      <w:proofErr w:type="spellEnd"/>
      <w:r w:rsidR="00833169" w:rsidRPr="00833169">
        <w:rPr>
          <w:rFonts w:ascii="Times New Roman" w:hAnsi="Times New Roman"/>
          <w:vertAlign w:val="superscript"/>
          <w:lang w:val="pt-BR"/>
        </w:rPr>
        <w:t>-</w:t>
      </w:r>
      <w:r w:rsidR="00115FCE">
        <w:rPr>
          <w:rFonts w:ascii="Times New Roman" w:hAnsi="Times New Roman"/>
          <w:lang w:val="pt-BR"/>
        </w:rPr>
        <w:t xml:space="preserve"> - </w:t>
      </w:r>
      <w:r w:rsidR="00115FCE" w:rsidRPr="007866D3">
        <w:rPr>
          <w:rFonts w:ascii="Times New Roman" w:hAnsi="Times New Roman"/>
          <w:b/>
          <w:bCs/>
          <w:lang w:val="pt-BR"/>
        </w:rPr>
        <w:t>Figura 1</w:t>
      </w:r>
      <w:r w:rsidR="00833169">
        <w:rPr>
          <w:rFonts w:ascii="Times New Roman" w:hAnsi="Times New Roman"/>
          <w:lang w:val="pt-BR"/>
        </w:rPr>
        <w:t xml:space="preserve">). </w:t>
      </w:r>
      <w:r w:rsidR="00115FCE">
        <w:rPr>
          <w:rFonts w:ascii="Times New Roman" w:hAnsi="Times New Roman"/>
          <w:lang w:val="pt-BR"/>
        </w:rPr>
        <w:t xml:space="preserve">Os catalisadores foram testados na </w:t>
      </w:r>
      <w:proofErr w:type="spellStart"/>
      <w:r w:rsidR="00115FCE">
        <w:rPr>
          <w:rFonts w:ascii="Times New Roman" w:hAnsi="Times New Roman"/>
          <w:lang w:val="pt-BR"/>
        </w:rPr>
        <w:t>cicloadiçã</w:t>
      </w:r>
      <w:r w:rsidR="00115FCE" w:rsidRPr="00115FCE">
        <w:rPr>
          <w:rFonts w:ascii="Times New Roman" w:hAnsi="Times New Roman"/>
          <w:lang w:val="pt-BR"/>
        </w:rPr>
        <w:t>o</w:t>
      </w:r>
      <w:proofErr w:type="spellEnd"/>
      <w:r w:rsidR="00115FCE" w:rsidRPr="00115FCE">
        <w:rPr>
          <w:rFonts w:ascii="Times New Roman" w:hAnsi="Times New Roman"/>
          <w:lang w:val="pt-BR"/>
        </w:rPr>
        <w:t xml:space="preserve"> de </w:t>
      </w:r>
      <w:r w:rsidR="00115FCE" w:rsidRPr="00115FCE">
        <w:rPr>
          <w:rFonts w:ascii="Times New Roman" w:hAnsi="Times New Roman"/>
          <w:noProof/>
          <w:color w:val="000000"/>
          <w:lang w:val="pt-BR"/>
        </w:rPr>
        <w:t>CO</w:t>
      </w:r>
      <w:r w:rsidR="00115FCE" w:rsidRPr="00115FCE">
        <w:rPr>
          <w:rFonts w:ascii="Times New Roman" w:hAnsi="Times New Roman"/>
          <w:noProof/>
          <w:color w:val="000000"/>
          <w:vertAlign w:val="subscript"/>
          <w:lang w:val="pt-BR"/>
        </w:rPr>
        <w:t>2</w:t>
      </w:r>
      <w:r w:rsidR="00115FCE" w:rsidRPr="00115FCE">
        <w:rPr>
          <w:rFonts w:ascii="Times New Roman" w:hAnsi="Times New Roman"/>
          <w:lang w:val="pt-BR"/>
        </w:rPr>
        <w:t xml:space="preserve"> a óxido</w:t>
      </w:r>
      <w:r w:rsidR="00115FCE">
        <w:rPr>
          <w:rFonts w:ascii="Times New Roman" w:hAnsi="Times New Roman"/>
          <w:lang w:val="pt-BR"/>
        </w:rPr>
        <w:t xml:space="preserve"> de propileno.</w:t>
      </w:r>
    </w:p>
    <w:p w14:paraId="274B91D8" w14:textId="77777777" w:rsidR="0033559E" w:rsidRDefault="0033559E" w:rsidP="0033559E">
      <w:pPr>
        <w:pStyle w:val="TAMainText"/>
        <w:ind w:firstLine="187"/>
        <w:rPr>
          <w:lang w:val="pt-BR"/>
        </w:rPr>
      </w:pPr>
    </w:p>
    <w:p w14:paraId="1926C325" w14:textId="77777777" w:rsidR="0033559E" w:rsidRDefault="0033559E" w:rsidP="0033559E">
      <w:pPr>
        <w:pStyle w:val="TAMainText"/>
        <w:ind w:firstLine="187"/>
        <w:rPr>
          <w:lang w:val="pt-BR"/>
        </w:rPr>
      </w:pPr>
    </w:p>
    <w:p w14:paraId="7F191457" w14:textId="1FE7918E" w:rsidR="0033559E" w:rsidRPr="00E038AF" w:rsidRDefault="0033559E" w:rsidP="00CE5206">
      <w:pPr>
        <w:jc w:val="both"/>
        <w:rPr>
          <w:rFonts w:ascii="Times New Roman" w:hAnsi="Times New Roman" w:cs="Times New Roman"/>
        </w:rPr>
      </w:pPr>
      <w:r>
        <w:rPr>
          <w:rFonts w:ascii="Times New Roman" w:hAnsi="Times New Roman" w:cs="Times New Roman"/>
          <w:noProof/>
        </w:rPr>
        <w:drawing>
          <wp:inline distT="0" distB="0" distL="0" distR="0" wp14:anchorId="3A3B8CCE" wp14:editId="637BBFDB">
            <wp:extent cx="3169388" cy="2144389"/>
            <wp:effectExtent l="0" t="0" r="0" b="8890"/>
            <wp:docPr id="128274407"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74407" name="Imagem 128274407"/>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71946" cy="2146120"/>
                    </a:xfrm>
                    <a:prstGeom prst="rect">
                      <a:avLst/>
                    </a:prstGeom>
                  </pic:spPr>
                </pic:pic>
              </a:graphicData>
            </a:graphic>
          </wp:inline>
        </w:drawing>
      </w:r>
      <w:r w:rsidRPr="00CE5206">
        <w:rPr>
          <w:rFonts w:ascii="Times New Roman" w:hAnsi="Times New Roman" w:cs="Times New Roman"/>
          <w:b/>
          <w:bCs/>
          <w:sz w:val="18"/>
          <w:szCs w:val="18"/>
        </w:rPr>
        <w:t>Figura 1</w:t>
      </w:r>
      <w:r w:rsidRPr="00CE5206">
        <w:rPr>
          <w:rFonts w:ascii="Times New Roman" w:hAnsi="Times New Roman" w:cs="Times New Roman"/>
          <w:sz w:val="18"/>
          <w:szCs w:val="18"/>
        </w:rPr>
        <w:t>. Esquema de preparação dos catalisadores baseados em DPA-UiO-66.</w:t>
      </w:r>
    </w:p>
    <w:p w14:paraId="5A488513" w14:textId="3F39958F" w:rsidR="00E002F7" w:rsidRPr="0033559E" w:rsidRDefault="00E002F7" w:rsidP="00904C16">
      <w:pPr>
        <w:pStyle w:val="TAMainText"/>
        <w:rPr>
          <w:lang w:val="pt-BR"/>
        </w:rPr>
      </w:pPr>
    </w:p>
    <w:p w14:paraId="52FFAC79" w14:textId="70B9CF6A" w:rsidR="00EA4E1B" w:rsidRDefault="006F0A79" w:rsidP="00E002F7">
      <w:pPr>
        <w:pStyle w:val="TAMainText"/>
        <w:rPr>
          <w:rFonts w:ascii="Helvetica" w:hAnsi="Helvetica" w:cs="Helvetica"/>
          <w:sz w:val="24"/>
          <w:szCs w:val="24"/>
          <w:lang w:val="pt-BR"/>
        </w:rPr>
      </w:pPr>
      <w:r>
        <w:rPr>
          <w:rFonts w:ascii="Times New Roman" w:hAnsi="Times New Roman"/>
          <w:lang w:val="pt-BR"/>
        </w:rPr>
        <w:t xml:space="preserve"> </w:t>
      </w:r>
      <w:r w:rsidR="00EA4E1B" w:rsidRPr="0033559E">
        <w:rPr>
          <w:rFonts w:ascii="Helvetica" w:hAnsi="Helvetica" w:cs="Helvetica"/>
          <w:sz w:val="24"/>
          <w:szCs w:val="24"/>
          <w:lang w:val="pt-BR"/>
        </w:rPr>
        <w:t>Experimental</w:t>
      </w:r>
    </w:p>
    <w:p w14:paraId="58CDDD29" w14:textId="77777777" w:rsidR="00455F31" w:rsidRPr="0033559E" w:rsidRDefault="00455F31" w:rsidP="00E002F7">
      <w:pPr>
        <w:pStyle w:val="TAMainText"/>
        <w:rPr>
          <w:rFonts w:ascii="Helvetica" w:hAnsi="Helvetica" w:cs="Helvetica"/>
          <w:sz w:val="24"/>
          <w:szCs w:val="24"/>
          <w:lang w:val="pt-BR"/>
        </w:rPr>
      </w:pPr>
    </w:p>
    <w:p w14:paraId="0967068D" w14:textId="046BBF6E" w:rsidR="00944CA1" w:rsidRDefault="00944CA1" w:rsidP="00944CA1">
      <w:pPr>
        <w:pStyle w:val="TAMainText"/>
        <w:ind w:firstLine="0"/>
        <w:rPr>
          <w:rFonts w:ascii="Times New Roman" w:hAnsi="Times New Roman"/>
          <w:i/>
          <w:lang w:val="pt-BR"/>
        </w:rPr>
      </w:pPr>
      <w:r w:rsidRPr="00455F31">
        <w:rPr>
          <w:rFonts w:ascii="Times New Roman" w:hAnsi="Times New Roman"/>
          <w:i/>
          <w:lang w:val="pt-BR"/>
        </w:rPr>
        <w:t>Síntese do MOF</w:t>
      </w:r>
      <w:r>
        <w:rPr>
          <w:rFonts w:ascii="Times New Roman" w:hAnsi="Times New Roman"/>
          <w:i/>
          <w:lang w:val="pt-BR"/>
        </w:rPr>
        <w:t xml:space="preserve"> UiO-66</w:t>
      </w:r>
      <w:r w:rsidRPr="001F25B2">
        <w:rPr>
          <w:rFonts w:ascii="Times New Roman" w:hAnsi="Times New Roman"/>
          <w:i/>
          <w:lang w:val="pt-BR"/>
        </w:rPr>
        <w:t>.</w:t>
      </w:r>
    </w:p>
    <w:p w14:paraId="417CE0CD" w14:textId="34B6BDBD" w:rsidR="00E46553" w:rsidRPr="00FE6FE8" w:rsidRDefault="00FE6FE8" w:rsidP="003476CA">
      <w:pPr>
        <w:pStyle w:val="TAMainText"/>
        <w:rPr>
          <w:rFonts w:ascii="Times New Roman" w:hAnsi="Times New Roman"/>
          <w:i/>
          <w:lang w:val="pt-BR"/>
        </w:rPr>
      </w:pPr>
      <w:r>
        <w:rPr>
          <w:rFonts w:ascii="Times New Roman" w:hAnsi="Times New Roman"/>
          <w:lang w:val="pt-BR"/>
        </w:rPr>
        <w:t>Para a síntese do UiO-66</w:t>
      </w:r>
      <w:r w:rsidR="00CF416B">
        <w:rPr>
          <w:rFonts w:ascii="Times New Roman" w:hAnsi="Times New Roman"/>
          <w:lang w:val="pt-BR"/>
        </w:rPr>
        <w:t xml:space="preserve"> foi seguida a metodologia de Santiago-Portillo e colaboradores (6)</w:t>
      </w:r>
      <w:r w:rsidR="00D24CDA">
        <w:rPr>
          <w:rFonts w:ascii="Times New Roman" w:hAnsi="Times New Roman"/>
          <w:lang w:val="pt-BR"/>
        </w:rPr>
        <w:t>,</w:t>
      </w:r>
      <w:r w:rsidR="00CF416B">
        <w:rPr>
          <w:rFonts w:ascii="Times New Roman" w:hAnsi="Times New Roman"/>
          <w:lang w:val="pt-BR"/>
        </w:rPr>
        <w:t xml:space="preserve"> com adaptações. Resumidamente,</w:t>
      </w:r>
      <w:r>
        <w:rPr>
          <w:rFonts w:ascii="Times New Roman" w:hAnsi="Times New Roman"/>
          <w:lang w:val="pt-BR"/>
        </w:rPr>
        <w:t xml:space="preserve"> 0,1675</w:t>
      </w:r>
      <w:r w:rsidR="002A3C85">
        <w:rPr>
          <w:rFonts w:ascii="Times New Roman" w:hAnsi="Times New Roman"/>
          <w:lang w:val="pt-BR"/>
        </w:rPr>
        <w:t xml:space="preserve"> </w:t>
      </w:r>
      <w:r>
        <w:rPr>
          <w:rFonts w:ascii="Times New Roman" w:hAnsi="Times New Roman"/>
          <w:lang w:val="pt-BR"/>
        </w:rPr>
        <w:t xml:space="preserve">g de ácido </w:t>
      </w:r>
      <w:proofErr w:type="spellStart"/>
      <w:r>
        <w:rPr>
          <w:rFonts w:ascii="Times New Roman" w:hAnsi="Times New Roman"/>
          <w:lang w:val="pt-BR"/>
        </w:rPr>
        <w:t>tereftálico</w:t>
      </w:r>
      <w:proofErr w:type="spellEnd"/>
      <w:r>
        <w:rPr>
          <w:rFonts w:ascii="Times New Roman" w:hAnsi="Times New Roman"/>
          <w:lang w:val="pt-BR"/>
        </w:rPr>
        <w:t>, 0,244</w:t>
      </w:r>
      <w:r w:rsidR="002A3C85">
        <w:rPr>
          <w:rFonts w:ascii="Times New Roman" w:hAnsi="Times New Roman"/>
          <w:lang w:val="pt-BR"/>
        </w:rPr>
        <w:t xml:space="preserve"> </w:t>
      </w:r>
      <w:r>
        <w:rPr>
          <w:rFonts w:ascii="Times New Roman" w:hAnsi="Times New Roman"/>
          <w:lang w:val="pt-BR"/>
        </w:rPr>
        <w:t xml:space="preserve">g de cloreto de zircônio e 3 </w:t>
      </w:r>
      <w:proofErr w:type="spellStart"/>
      <w:r>
        <w:rPr>
          <w:rFonts w:ascii="Times New Roman" w:hAnsi="Times New Roman"/>
          <w:lang w:val="pt-BR"/>
        </w:rPr>
        <w:t>mL</w:t>
      </w:r>
      <w:proofErr w:type="spellEnd"/>
      <w:r>
        <w:rPr>
          <w:rFonts w:ascii="Times New Roman" w:hAnsi="Times New Roman"/>
          <w:lang w:val="pt-BR"/>
        </w:rPr>
        <w:t xml:space="preserve"> de dimetilformamida foram dissolvidos e a solução foi </w:t>
      </w:r>
      <w:r w:rsidRPr="00FE6FE8">
        <w:rPr>
          <w:rFonts w:ascii="Times New Roman" w:hAnsi="Times New Roman"/>
          <w:lang w:val="pt-BR"/>
        </w:rPr>
        <w:t>transferida para uma autoclave de aço inoxidável revestida internamente com Teflon e mantida em estufa a 120 °C por 24 h</w:t>
      </w:r>
      <w:r>
        <w:rPr>
          <w:rFonts w:ascii="Times New Roman" w:hAnsi="Times New Roman"/>
          <w:lang w:val="pt-BR"/>
        </w:rPr>
        <w:t xml:space="preserve">. </w:t>
      </w:r>
      <w:r w:rsidRPr="00FE6FE8">
        <w:rPr>
          <w:rFonts w:ascii="Times New Roman" w:hAnsi="Times New Roman"/>
          <w:lang w:val="pt-BR"/>
        </w:rPr>
        <w:t xml:space="preserve">Após isso, o produto foi filtrado a vácuo, lavado com DMF e seco em estufa a 60 °C </w:t>
      </w:r>
      <w:r w:rsidRPr="00FE6FE8">
        <w:rPr>
          <w:rFonts w:ascii="Times New Roman" w:hAnsi="Times New Roman"/>
          <w:i/>
          <w:iCs/>
          <w:lang w:val="pt-BR"/>
        </w:rPr>
        <w:t>overnight</w:t>
      </w:r>
      <w:r w:rsidRPr="00FE6FE8">
        <w:rPr>
          <w:rFonts w:ascii="Times New Roman" w:hAnsi="Times New Roman"/>
          <w:lang w:val="pt-BR"/>
        </w:rPr>
        <w:t>.</w:t>
      </w:r>
      <w:r>
        <w:rPr>
          <w:rFonts w:ascii="Times New Roman" w:hAnsi="Times New Roman"/>
          <w:lang w:val="pt-BR"/>
        </w:rPr>
        <w:t xml:space="preserve"> O MOF sintetizado foi nomeado UiO-66.</w:t>
      </w:r>
    </w:p>
    <w:p w14:paraId="367A3599" w14:textId="77777777" w:rsidR="00944CA1" w:rsidRDefault="00944CA1" w:rsidP="00EA4E1B">
      <w:pPr>
        <w:pStyle w:val="TAMainText"/>
        <w:ind w:firstLine="0"/>
        <w:rPr>
          <w:rFonts w:ascii="Times New Roman" w:hAnsi="Times New Roman"/>
          <w:i/>
          <w:lang w:val="pt-BR"/>
        </w:rPr>
      </w:pPr>
    </w:p>
    <w:p w14:paraId="35887134" w14:textId="3D245914" w:rsidR="00EA4E1B" w:rsidRPr="001F25B2" w:rsidRDefault="00455F31" w:rsidP="00EA4E1B">
      <w:pPr>
        <w:pStyle w:val="TAMainText"/>
        <w:ind w:firstLine="0"/>
        <w:rPr>
          <w:rFonts w:ascii="Times New Roman" w:hAnsi="Times New Roman"/>
          <w:i/>
          <w:lang w:val="pt-BR"/>
        </w:rPr>
      </w:pPr>
      <w:r w:rsidRPr="00455F31">
        <w:rPr>
          <w:rFonts w:ascii="Times New Roman" w:hAnsi="Times New Roman"/>
          <w:i/>
          <w:lang w:val="pt-BR"/>
        </w:rPr>
        <w:t>Síntese do</w:t>
      </w:r>
      <w:r w:rsidR="00397E4E">
        <w:rPr>
          <w:rFonts w:ascii="Times New Roman" w:hAnsi="Times New Roman"/>
          <w:i/>
          <w:lang w:val="pt-BR"/>
        </w:rPr>
        <w:t>s</w:t>
      </w:r>
      <w:r w:rsidRPr="00455F31">
        <w:rPr>
          <w:rFonts w:ascii="Times New Roman" w:hAnsi="Times New Roman"/>
          <w:i/>
          <w:lang w:val="pt-BR"/>
        </w:rPr>
        <w:t xml:space="preserve"> </w:t>
      </w:r>
      <w:proofErr w:type="spellStart"/>
      <w:r w:rsidRPr="00455F31">
        <w:rPr>
          <w:rFonts w:ascii="Times New Roman" w:hAnsi="Times New Roman"/>
          <w:i/>
          <w:lang w:val="pt-BR"/>
        </w:rPr>
        <w:t>MOF</w:t>
      </w:r>
      <w:r>
        <w:rPr>
          <w:rFonts w:ascii="Times New Roman" w:hAnsi="Times New Roman"/>
          <w:i/>
          <w:lang w:val="pt-BR"/>
        </w:rPr>
        <w:t>s</w:t>
      </w:r>
      <w:proofErr w:type="spellEnd"/>
      <w:r w:rsidRPr="00455F31">
        <w:rPr>
          <w:rFonts w:ascii="Times New Roman" w:hAnsi="Times New Roman"/>
          <w:i/>
          <w:lang w:val="pt-BR"/>
        </w:rPr>
        <w:t xml:space="preserve"> DPA-UiO-66</w:t>
      </w:r>
      <w:r w:rsidR="00EA4E1B" w:rsidRPr="001F25B2">
        <w:rPr>
          <w:rFonts w:ascii="Times New Roman" w:hAnsi="Times New Roman"/>
          <w:i/>
          <w:lang w:val="pt-BR"/>
        </w:rPr>
        <w:t>.</w:t>
      </w:r>
    </w:p>
    <w:p w14:paraId="7A2DF89A" w14:textId="645E595D" w:rsidR="00455F31" w:rsidRPr="00D24CDA" w:rsidRDefault="00FC4FA6" w:rsidP="003476CA">
      <w:pPr>
        <w:pStyle w:val="TAMainText"/>
        <w:rPr>
          <w:rFonts w:ascii="Times New Roman" w:hAnsi="Times New Roman"/>
          <w:lang w:val="pt-BR"/>
        </w:rPr>
      </w:pPr>
      <w:r w:rsidRPr="00D24CDA">
        <w:rPr>
          <w:rFonts w:ascii="Times New Roman" w:hAnsi="Times New Roman"/>
          <w:lang w:val="pt-BR"/>
        </w:rPr>
        <w:t>T</w:t>
      </w:r>
      <w:r w:rsidR="00944CA1" w:rsidRPr="00D24CDA">
        <w:rPr>
          <w:rFonts w:ascii="Times New Roman" w:hAnsi="Times New Roman"/>
          <w:lang w:val="pt-BR"/>
        </w:rPr>
        <w:t xml:space="preserve">rês </w:t>
      </w:r>
      <w:proofErr w:type="spellStart"/>
      <w:r w:rsidR="00944CA1" w:rsidRPr="00D24CDA">
        <w:rPr>
          <w:rFonts w:ascii="Times New Roman" w:hAnsi="Times New Roman"/>
          <w:lang w:val="pt-BR"/>
        </w:rPr>
        <w:t>MOFs</w:t>
      </w:r>
      <w:proofErr w:type="spellEnd"/>
      <w:r w:rsidR="00944CA1" w:rsidRPr="00D24CDA">
        <w:rPr>
          <w:rFonts w:ascii="Times New Roman" w:hAnsi="Times New Roman"/>
          <w:lang w:val="pt-BR"/>
        </w:rPr>
        <w:t xml:space="preserve"> com 15%, 20% e 30% de ácido </w:t>
      </w:r>
      <w:proofErr w:type="spellStart"/>
      <w:r w:rsidR="00944CA1" w:rsidRPr="00D24CDA">
        <w:rPr>
          <w:rFonts w:ascii="Times New Roman" w:hAnsi="Times New Roman"/>
          <w:lang w:val="pt-BR"/>
        </w:rPr>
        <w:t>dipicolínico</w:t>
      </w:r>
      <w:proofErr w:type="spellEnd"/>
      <w:r w:rsidR="00455F31" w:rsidRPr="00D24CDA">
        <w:rPr>
          <w:rFonts w:ascii="Times New Roman" w:hAnsi="Times New Roman"/>
          <w:lang w:val="pt-BR"/>
        </w:rPr>
        <w:t xml:space="preserve"> </w:t>
      </w:r>
      <w:r w:rsidR="002A3C85">
        <w:rPr>
          <w:rFonts w:ascii="Times New Roman" w:hAnsi="Times New Roman"/>
          <w:lang w:val="pt-BR"/>
        </w:rPr>
        <w:t>em relação ao total dos ácidos adicionados</w:t>
      </w:r>
      <w:r w:rsidR="00944CA1" w:rsidRPr="00D24CDA">
        <w:rPr>
          <w:rFonts w:ascii="Times New Roman" w:hAnsi="Times New Roman"/>
          <w:lang w:val="pt-BR"/>
        </w:rPr>
        <w:t xml:space="preserve"> </w:t>
      </w:r>
      <w:r w:rsidR="002A3C85">
        <w:rPr>
          <w:rFonts w:ascii="Times New Roman" w:hAnsi="Times New Roman"/>
          <w:lang w:val="pt-BR"/>
        </w:rPr>
        <w:t>(</w:t>
      </w:r>
      <w:r w:rsidR="00944CA1" w:rsidRPr="00D24CDA">
        <w:rPr>
          <w:rFonts w:ascii="Times New Roman" w:hAnsi="Times New Roman"/>
          <w:lang w:val="pt-BR"/>
        </w:rPr>
        <w:t>ácido</w:t>
      </w:r>
      <w:r w:rsidR="002A3C85">
        <w:rPr>
          <w:rFonts w:ascii="Times New Roman" w:hAnsi="Times New Roman"/>
          <w:lang w:val="pt-BR"/>
        </w:rPr>
        <w:t xml:space="preserve"> </w:t>
      </w:r>
      <w:proofErr w:type="spellStart"/>
      <w:r w:rsidR="002A3C85">
        <w:rPr>
          <w:rFonts w:ascii="Times New Roman" w:hAnsi="Times New Roman"/>
          <w:lang w:val="pt-BR"/>
        </w:rPr>
        <w:t>dipicolínico</w:t>
      </w:r>
      <w:proofErr w:type="spellEnd"/>
      <w:r w:rsidR="002A3C85">
        <w:rPr>
          <w:rFonts w:ascii="Times New Roman" w:hAnsi="Times New Roman"/>
          <w:lang w:val="pt-BR"/>
        </w:rPr>
        <w:t xml:space="preserve"> e ácido</w:t>
      </w:r>
      <w:r w:rsidR="00944CA1" w:rsidRPr="00D24CDA">
        <w:rPr>
          <w:rFonts w:ascii="Times New Roman" w:hAnsi="Times New Roman"/>
          <w:lang w:val="pt-BR"/>
        </w:rPr>
        <w:t xml:space="preserve"> </w:t>
      </w:r>
      <w:proofErr w:type="spellStart"/>
      <w:r w:rsidR="00944CA1" w:rsidRPr="00D24CDA">
        <w:rPr>
          <w:rFonts w:ascii="Times New Roman" w:hAnsi="Times New Roman"/>
          <w:lang w:val="pt-BR"/>
        </w:rPr>
        <w:t>tereftálico</w:t>
      </w:r>
      <w:proofErr w:type="spellEnd"/>
      <w:r w:rsidR="002A3C85">
        <w:rPr>
          <w:rFonts w:ascii="Times New Roman" w:hAnsi="Times New Roman"/>
          <w:lang w:val="pt-BR"/>
        </w:rPr>
        <w:t>)</w:t>
      </w:r>
      <w:r w:rsidRPr="00D24CDA">
        <w:rPr>
          <w:rFonts w:ascii="Times New Roman" w:hAnsi="Times New Roman"/>
          <w:lang w:val="pt-BR"/>
        </w:rPr>
        <w:t xml:space="preserve"> foram sintetizados pela rota </w:t>
      </w:r>
      <w:proofErr w:type="spellStart"/>
      <w:r w:rsidRPr="00D24CDA">
        <w:rPr>
          <w:rFonts w:ascii="Times New Roman" w:hAnsi="Times New Roman"/>
          <w:lang w:val="pt-BR"/>
        </w:rPr>
        <w:t>solvotérmica</w:t>
      </w:r>
      <w:proofErr w:type="spellEnd"/>
      <w:r w:rsidR="00944CA1" w:rsidRPr="00D24CDA">
        <w:rPr>
          <w:rFonts w:ascii="Times New Roman" w:hAnsi="Times New Roman"/>
          <w:lang w:val="pt-BR"/>
        </w:rPr>
        <w:t xml:space="preserve">. </w:t>
      </w:r>
      <w:r w:rsidR="00455F31" w:rsidRPr="00D24CDA">
        <w:rPr>
          <w:rFonts w:ascii="Times New Roman" w:hAnsi="Times New Roman"/>
          <w:lang w:val="pt-BR"/>
        </w:rPr>
        <w:t xml:space="preserve"> </w:t>
      </w:r>
      <w:r w:rsidR="00A5397D" w:rsidRPr="002C576E">
        <w:rPr>
          <w:rFonts w:ascii="Times New Roman" w:hAnsi="Times New Roman"/>
          <w:lang w:val="pt-BR"/>
        </w:rPr>
        <w:t>Por exemplo</w:t>
      </w:r>
      <w:r w:rsidR="00455F31" w:rsidRPr="002C576E">
        <w:rPr>
          <w:rFonts w:ascii="Times New Roman" w:hAnsi="Times New Roman"/>
          <w:lang w:val="pt-BR"/>
        </w:rPr>
        <w:t xml:space="preserve">, </w:t>
      </w:r>
      <w:r w:rsidR="00C12BFC" w:rsidRPr="002C576E">
        <w:rPr>
          <w:rFonts w:ascii="Times New Roman" w:hAnsi="Times New Roman"/>
          <w:lang w:val="pt-BR"/>
        </w:rPr>
        <w:t>para a síntese do dpa20, 0,167</w:t>
      </w:r>
      <w:r w:rsidR="00D24CDA">
        <w:rPr>
          <w:rFonts w:ascii="Times New Roman" w:hAnsi="Times New Roman"/>
          <w:lang w:val="pt-BR"/>
        </w:rPr>
        <w:t xml:space="preserve"> </w:t>
      </w:r>
      <w:r w:rsidR="00C12BFC" w:rsidRPr="002C576E">
        <w:rPr>
          <w:rFonts w:ascii="Times New Roman" w:hAnsi="Times New Roman"/>
          <w:lang w:val="pt-BR"/>
        </w:rPr>
        <w:t>g</w:t>
      </w:r>
      <w:r w:rsidR="00455F31" w:rsidRPr="002C576E">
        <w:rPr>
          <w:rFonts w:ascii="Times New Roman" w:hAnsi="Times New Roman"/>
          <w:lang w:val="pt-BR"/>
        </w:rPr>
        <w:t xml:space="preserve"> de DPA, </w:t>
      </w:r>
      <w:r w:rsidR="00C12BFC" w:rsidRPr="002C576E">
        <w:rPr>
          <w:rFonts w:ascii="Times New Roman" w:hAnsi="Times New Roman"/>
          <w:lang w:val="pt-BR"/>
        </w:rPr>
        <w:t>0,6646</w:t>
      </w:r>
      <w:r w:rsidR="00D24CDA">
        <w:rPr>
          <w:rFonts w:ascii="Times New Roman" w:hAnsi="Times New Roman"/>
          <w:lang w:val="pt-BR"/>
        </w:rPr>
        <w:t xml:space="preserve"> </w:t>
      </w:r>
      <w:r w:rsidR="00C12BFC" w:rsidRPr="002C576E">
        <w:rPr>
          <w:rFonts w:ascii="Times New Roman" w:hAnsi="Times New Roman"/>
          <w:lang w:val="pt-BR"/>
        </w:rPr>
        <w:t>g</w:t>
      </w:r>
      <w:r w:rsidR="00455F31" w:rsidRPr="002C576E">
        <w:rPr>
          <w:rFonts w:ascii="Times New Roman" w:hAnsi="Times New Roman"/>
          <w:lang w:val="pt-BR"/>
        </w:rPr>
        <w:t xml:space="preserve"> de </w:t>
      </w:r>
      <w:r w:rsidR="00944CA1" w:rsidRPr="002C576E">
        <w:rPr>
          <w:rFonts w:ascii="Times New Roman" w:hAnsi="Times New Roman"/>
          <w:lang w:val="pt-BR"/>
        </w:rPr>
        <w:t>á</w:t>
      </w:r>
      <w:r w:rsidR="00455F31" w:rsidRPr="002C576E">
        <w:rPr>
          <w:rFonts w:ascii="Times New Roman" w:hAnsi="Times New Roman"/>
          <w:lang w:val="pt-BR"/>
        </w:rPr>
        <w:t xml:space="preserve">cido </w:t>
      </w:r>
      <w:proofErr w:type="spellStart"/>
      <w:r w:rsidR="00944CA1" w:rsidRPr="002C576E">
        <w:rPr>
          <w:rFonts w:ascii="Times New Roman" w:hAnsi="Times New Roman"/>
          <w:lang w:val="pt-BR"/>
        </w:rPr>
        <w:t>t</w:t>
      </w:r>
      <w:r w:rsidR="00455F31" w:rsidRPr="002C576E">
        <w:rPr>
          <w:rFonts w:ascii="Times New Roman" w:hAnsi="Times New Roman"/>
          <w:lang w:val="pt-BR"/>
        </w:rPr>
        <w:t>ereftálico</w:t>
      </w:r>
      <w:proofErr w:type="spellEnd"/>
      <w:r w:rsidR="00455F31" w:rsidRPr="002C576E">
        <w:rPr>
          <w:rFonts w:ascii="Times New Roman" w:hAnsi="Times New Roman"/>
          <w:lang w:val="pt-BR"/>
        </w:rPr>
        <w:t xml:space="preserve"> e </w:t>
      </w:r>
      <w:r w:rsidR="00C12BFC" w:rsidRPr="002C576E">
        <w:rPr>
          <w:rFonts w:ascii="Times New Roman" w:hAnsi="Times New Roman"/>
          <w:lang w:val="pt-BR"/>
        </w:rPr>
        <w:t>1,165</w:t>
      </w:r>
      <w:r w:rsidR="00D24CDA">
        <w:rPr>
          <w:rFonts w:ascii="Times New Roman" w:hAnsi="Times New Roman"/>
          <w:lang w:val="pt-BR"/>
        </w:rPr>
        <w:t xml:space="preserve"> </w:t>
      </w:r>
      <w:r w:rsidR="00C12BFC" w:rsidRPr="002C576E">
        <w:rPr>
          <w:rFonts w:ascii="Times New Roman" w:hAnsi="Times New Roman"/>
          <w:lang w:val="pt-BR"/>
        </w:rPr>
        <w:t>g</w:t>
      </w:r>
      <w:r w:rsidR="00455F31" w:rsidRPr="002C576E">
        <w:rPr>
          <w:rFonts w:ascii="Times New Roman" w:hAnsi="Times New Roman"/>
          <w:lang w:val="pt-BR"/>
        </w:rPr>
        <w:t xml:space="preserve"> de </w:t>
      </w:r>
      <w:r w:rsidR="00944CA1" w:rsidRPr="002C576E">
        <w:rPr>
          <w:rFonts w:ascii="Times New Roman" w:hAnsi="Times New Roman"/>
          <w:lang w:val="pt-BR"/>
        </w:rPr>
        <w:t>c</w:t>
      </w:r>
      <w:r w:rsidR="00455F31" w:rsidRPr="002C576E">
        <w:rPr>
          <w:rFonts w:ascii="Times New Roman" w:hAnsi="Times New Roman"/>
          <w:lang w:val="pt-BR"/>
        </w:rPr>
        <w:t xml:space="preserve">loreto de </w:t>
      </w:r>
      <w:r w:rsidR="00944CA1" w:rsidRPr="002C576E">
        <w:rPr>
          <w:rFonts w:ascii="Times New Roman" w:hAnsi="Times New Roman"/>
          <w:lang w:val="pt-BR"/>
        </w:rPr>
        <w:t>z</w:t>
      </w:r>
      <w:r w:rsidR="00455F31" w:rsidRPr="002C576E">
        <w:rPr>
          <w:rFonts w:ascii="Times New Roman" w:hAnsi="Times New Roman"/>
          <w:lang w:val="pt-BR"/>
        </w:rPr>
        <w:t>ircônio foram dissolvidos em</w:t>
      </w:r>
      <w:r w:rsidR="00C12BFC" w:rsidRPr="002C576E">
        <w:rPr>
          <w:rFonts w:ascii="Times New Roman" w:hAnsi="Times New Roman"/>
          <w:lang w:val="pt-BR"/>
        </w:rPr>
        <w:t xml:space="preserve"> 15 </w:t>
      </w:r>
      <w:proofErr w:type="spellStart"/>
      <w:r w:rsidR="00455F31" w:rsidRPr="002C576E">
        <w:rPr>
          <w:rFonts w:ascii="Times New Roman" w:hAnsi="Times New Roman"/>
          <w:lang w:val="pt-BR"/>
        </w:rPr>
        <w:t>m</w:t>
      </w:r>
      <w:r w:rsidR="00944CA1" w:rsidRPr="002C576E">
        <w:rPr>
          <w:rFonts w:ascii="Times New Roman" w:hAnsi="Times New Roman"/>
          <w:lang w:val="pt-BR"/>
        </w:rPr>
        <w:t>L</w:t>
      </w:r>
      <w:proofErr w:type="spellEnd"/>
      <w:r w:rsidR="00455F31" w:rsidRPr="002C576E">
        <w:rPr>
          <w:rFonts w:ascii="Times New Roman" w:hAnsi="Times New Roman"/>
          <w:lang w:val="pt-BR"/>
        </w:rPr>
        <w:t xml:space="preserve"> de </w:t>
      </w:r>
      <w:r w:rsidR="00FD5539" w:rsidRPr="002C576E">
        <w:rPr>
          <w:rFonts w:ascii="Times New Roman" w:hAnsi="Times New Roman"/>
          <w:lang w:val="pt-BR"/>
        </w:rPr>
        <w:t>dimetilformamida (</w:t>
      </w:r>
      <w:r w:rsidR="00455F31" w:rsidRPr="002C576E">
        <w:rPr>
          <w:rFonts w:ascii="Times New Roman" w:hAnsi="Times New Roman"/>
          <w:lang w:val="pt-BR"/>
        </w:rPr>
        <w:t>DMF</w:t>
      </w:r>
      <w:r w:rsidR="00FD5539" w:rsidRPr="002C576E">
        <w:rPr>
          <w:rFonts w:ascii="Times New Roman" w:hAnsi="Times New Roman"/>
          <w:lang w:val="pt-BR"/>
        </w:rPr>
        <w:t>)</w:t>
      </w:r>
      <w:r w:rsidR="00455F31" w:rsidRPr="002C576E">
        <w:rPr>
          <w:rFonts w:ascii="Times New Roman" w:hAnsi="Times New Roman"/>
          <w:lang w:val="pt-BR"/>
        </w:rPr>
        <w:t xml:space="preserve"> e agitados com um bastão de vidro a </w:t>
      </w:r>
      <w:r w:rsidR="00944CA1" w:rsidRPr="002C576E">
        <w:rPr>
          <w:rFonts w:ascii="Times New Roman" w:hAnsi="Times New Roman"/>
          <w:lang w:val="pt-BR"/>
        </w:rPr>
        <w:t>temperatura ambiente</w:t>
      </w:r>
      <w:r w:rsidR="00455F31" w:rsidRPr="002C576E">
        <w:rPr>
          <w:rFonts w:ascii="Times New Roman" w:hAnsi="Times New Roman"/>
          <w:lang w:val="pt-BR"/>
        </w:rPr>
        <w:t xml:space="preserve">. </w:t>
      </w:r>
      <w:r w:rsidR="00455F31" w:rsidRPr="00D24CDA">
        <w:rPr>
          <w:rFonts w:ascii="Times New Roman" w:hAnsi="Times New Roman"/>
          <w:lang w:val="pt-BR"/>
        </w:rPr>
        <w:t>A solução foi então transferida para uma autoclave</w:t>
      </w:r>
      <w:r w:rsidR="00944CA1" w:rsidRPr="00D24CDA">
        <w:rPr>
          <w:rFonts w:ascii="Times New Roman" w:hAnsi="Times New Roman"/>
          <w:lang w:val="pt-BR"/>
        </w:rPr>
        <w:t xml:space="preserve"> de aço inoxidável</w:t>
      </w:r>
      <w:r w:rsidR="00455F31" w:rsidRPr="00D24CDA">
        <w:rPr>
          <w:rFonts w:ascii="Times New Roman" w:hAnsi="Times New Roman"/>
          <w:lang w:val="pt-BR"/>
        </w:rPr>
        <w:t xml:space="preserve"> revestida </w:t>
      </w:r>
      <w:r w:rsidR="00944CA1" w:rsidRPr="00D24CDA">
        <w:rPr>
          <w:rFonts w:ascii="Times New Roman" w:hAnsi="Times New Roman"/>
          <w:lang w:val="pt-BR"/>
        </w:rPr>
        <w:t>internamente com</w:t>
      </w:r>
      <w:r w:rsidR="00455F31" w:rsidRPr="00D24CDA">
        <w:rPr>
          <w:rFonts w:ascii="Times New Roman" w:hAnsi="Times New Roman"/>
          <w:lang w:val="pt-BR"/>
        </w:rPr>
        <w:t xml:space="preserve"> Teflon e mantida </w:t>
      </w:r>
      <w:r w:rsidR="00944CA1" w:rsidRPr="00D24CDA">
        <w:rPr>
          <w:rFonts w:ascii="Times New Roman" w:hAnsi="Times New Roman"/>
          <w:lang w:val="pt-BR"/>
        </w:rPr>
        <w:t xml:space="preserve">em estufa </w:t>
      </w:r>
      <w:r w:rsidR="00455F31" w:rsidRPr="00D24CDA">
        <w:rPr>
          <w:rFonts w:ascii="Times New Roman" w:hAnsi="Times New Roman"/>
          <w:lang w:val="pt-BR"/>
        </w:rPr>
        <w:t xml:space="preserve">a 120 °C por 24 h. Após isso, o produto foi </w:t>
      </w:r>
      <w:r w:rsidR="00944CA1" w:rsidRPr="00D24CDA">
        <w:rPr>
          <w:rFonts w:ascii="Times New Roman" w:hAnsi="Times New Roman"/>
          <w:lang w:val="pt-BR"/>
        </w:rPr>
        <w:t>filtr</w:t>
      </w:r>
      <w:r w:rsidR="00FE6FE8" w:rsidRPr="00D24CDA">
        <w:rPr>
          <w:rFonts w:ascii="Times New Roman" w:hAnsi="Times New Roman"/>
          <w:lang w:val="pt-BR"/>
        </w:rPr>
        <w:t>ado</w:t>
      </w:r>
      <w:r w:rsidR="00944CA1" w:rsidRPr="00D24CDA">
        <w:rPr>
          <w:rFonts w:ascii="Times New Roman" w:hAnsi="Times New Roman"/>
          <w:lang w:val="pt-BR"/>
        </w:rPr>
        <w:t xml:space="preserve"> a vácuo, </w:t>
      </w:r>
      <w:r w:rsidR="00455F31" w:rsidRPr="00D24CDA">
        <w:rPr>
          <w:rFonts w:ascii="Times New Roman" w:hAnsi="Times New Roman"/>
          <w:lang w:val="pt-BR"/>
        </w:rPr>
        <w:t>lavado com DMF e sec</w:t>
      </w:r>
      <w:r w:rsidR="00944CA1" w:rsidRPr="00D24CDA">
        <w:rPr>
          <w:rFonts w:ascii="Times New Roman" w:hAnsi="Times New Roman"/>
          <w:lang w:val="pt-BR"/>
        </w:rPr>
        <w:t>o</w:t>
      </w:r>
      <w:r w:rsidR="00455F31" w:rsidRPr="00D24CDA">
        <w:rPr>
          <w:rFonts w:ascii="Times New Roman" w:hAnsi="Times New Roman"/>
          <w:lang w:val="pt-BR"/>
        </w:rPr>
        <w:t xml:space="preserve"> </w:t>
      </w:r>
      <w:r w:rsidR="00944CA1" w:rsidRPr="00D24CDA">
        <w:rPr>
          <w:rFonts w:ascii="Times New Roman" w:hAnsi="Times New Roman"/>
          <w:lang w:val="pt-BR"/>
        </w:rPr>
        <w:t xml:space="preserve">em </w:t>
      </w:r>
      <w:r w:rsidR="00455F31" w:rsidRPr="00D24CDA">
        <w:rPr>
          <w:rFonts w:ascii="Times New Roman" w:hAnsi="Times New Roman"/>
          <w:lang w:val="pt-BR"/>
        </w:rPr>
        <w:t>estufa a 60</w:t>
      </w:r>
      <w:r w:rsidR="00944CA1" w:rsidRPr="00D24CDA">
        <w:rPr>
          <w:rFonts w:ascii="Times New Roman" w:hAnsi="Times New Roman"/>
          <w:lang w:val="pt-BR"/>
        </w:rPr>
        <w:t xml:space="preserve"> </w:t>
      </w:r>
      <w:r w:rsidR="00455F31" w:rsidRPr="00D24CDA">
        <w:rPr>
          <w:rFonts w:ascii="Times New Roman" w:hAnsi="Times New Roman"/>
          <w:lang w:val="pt-BR"/>
        </w:rPr>
        <w:t xml:space="preserve">°C </w:t>
      </w:r>
      <w:r w:rsidR="00944CA1" w:rsidRPr="00D24CDA">
        <w:rPr>
          <w:rFonts w:ascii="Times New Roman" w:hAnsi="Times New Roman"/>
          <w:i/>
          <w:iCs/>
          <w:lang w:val="pt-BR"/>
        </w:rPr>
        <w:t>overnight</w:t>
      </w:r>
      <w:r w:rsidR="00455F31" w:rsidRPr="00D24CDA">
        <w:rPr>
          <w:rFonts w:ascii="Times New Roman" w:hAnsi="Times New Roman"/>
          <w:lang w:val="pt-BR"/>
        </w:rPr>
        <w:t xml:space="preserve">. </w:t>
      </w:r>
      <w:r w:rsidR="00944CA1" w:rsidRPr="00D24CDA">
        <w:rPr>
          <w:rFonts w:ascii="Times New Roman" w:hAnsi="Times New Roman"/>
          <w:lang w:val="pt-BR"/>
        </w:rPr>
        <w:t xml:space="preserve">Os </w:t>
      </w:r>
      <w:proofErr w:type="spellStart"/>
      <w:r w:rsidR="00944CA1" w:rsidRPr="00D24CDA">
        <w:rPr>
          <w:rFonts w:ascii="Times New Roman" w:hAnsi="Times New Roman"/>
          <w:lang w:val="pt-BR"/>
        </w:rPr>
        <w:t>MOFs</w:t>
      </w:r>
      <w:proofErr w:type="spellEnd"/>
      <w:r w:rsidR="00944CA1" w:rsidRPr="00D24CDA">
        <w:rPr>
          <w:rFonts w:ascii="Times New Roman" w:hAnsi="Times New Roman"/>
          <w:lang w:val="pt-BR"/>
        </w:rPr>
        <w:t xml:space="preserve"> </w:t>
      </w:r>
      <w:r w:rsidR="00944CA1" w:rsidRPr="00D24CDA">
        <w:rPr>
          <w:rFonts w:ascii="Times New Roman" w:hAnsi="Times New Roman"/>
          <w:lang w:val="pt-BR"/>
        </w:rPr>
        <w:t>sintetizados com 15, 20 e 30% de DPA foram nomeados dpa15, dpa20 e dpa30, respectivamente.</w:t>
      </w:r>
    </w:p>
    <w:p w14:paraId="65A8B296" w14:textId="77777777" w:rsidR="00397E4E" w:rsidRPr="0033559E" w:rsidRDefault="00397E4E" w:rsidP="00397E4E">
      <w:pPr>
        <w:pStyle w:val="TAMainText"/>
        <w:rPr>
          <w:rFonts w:ascii="Helvetica" w:hAnsi="Helvetica" w:cs="Helvetica"/>
          <w:sz w:val="24"/>
          <w:szCs w:val="24"/>
          <w:lang w:val="pt-BR"/>
        </w:rPr>
      </w:pPr>
    </w:p>
    <w:p w14:paraId="2D5A000E" w14:textId="04C4236A" w:rsidR="00397E4E" w:rsidRDefault="00397E4E" w:rsidP="00397E4E">
      <w:pPr>
        <w:pStyle w:val="Ttulo2"/>
        <w:jc w:val="both"/>
        <w:rPr>
          <w:rFonts w:ascii="Times New Roman" w:eastAsia="Times New Roman" w:hAnsi="Times New Roman" w:cs="Times New Roman"/>
          <w:i/>
          <w:sz w:val="20"/>
          <w:szCs w:val="20"/>
          <w:lang w:eastAsia="pt-BR"/>
        </w:rPr>
      </w:pPr>
      <w:r w:rsidRPr="00397E4E">
        <w:rPr>
          <w:rFonts w:ascii="Times New Roman" w:eastAsia="Times New Roman" w:hAnsi="Times New Roman" w:cs="Times New Roman"/>
          <w:i/>
          <w:sz w:val="20"/>
          <w:szCs w:val="20"/>
          <w:lang w:eastAsia="pt-BR"/>
        </w:rPr>
        <w:t>Síntese do</w:t>
      </w:r>
      <w:r>
        <w:rPr>
          <w:rFonts w:ascii="Times New Roman" w:eastAsia="Times New Roman" w:hAnsi="Times New Roman" w:cs="Times New Roman"/>
          <w:i/>
          <w:sz w:val="20"/>
          <w:szCs w:val="20"/>
          <w:lang w:eastAsia="pt-BR"/>
        </w:rPr>
        <w:t>s</w:t>
      </w:r>
      <w:r w:rsidRPr="00397E4E">
        <w:rPr>
          <w:rFonts w:ascii="Times New Roman" w:eastAsia="Times New Roman" w:hAnsi="Times New Roman" w:cs="Times New Roman"/>
          <w:i/>
          <w:sz w:val="20"/>
          <w:szCs w:val="20"/>
          <w:lang w:eastAsia="pt-BR"/>
        </w:rPr>
        <w:t xml:space="preserve"> </w:t>
      </w:r>
      <w:proofErr w:type="spellStart"/>
      <w:r w:rsidRPr="00397E4E">
        <w:rPr>
          <w:rFonts w:ascii="Times New Roman" w:eastAsia="Times New Roman" w:hAnsi="Times New Roman" w:cs="Times New Roman"/>
          <w:i/>
          <w:sz w:val="20"/>
          <w:szCs w:val="20"/>
          <w:lang w:eastAsia="pt-BR"/>
        </w:rPr>
        <w:t>MOF</w:t>
      </w:r>
      <w:r>
        <w:rPr>
          <w:rFonts w:ascii="Times New Roman" w:eastAsia="Times New Roman" w:hAnsi="Times New Roman" w:cs="Times New Roman"/>
          <w:i/>
          <w:sz w:val="20"/>
          <w:szCs w:val="20"/>
          <w:lang w:eastAsia="pt-BR"/>
        </w:rPr>
        <w:t>s</w:t>
      </w:r>
      <w:proofErr w:type="spellEnd"/>
      <w:r w:rsidRPr="00397E4E">
        <w:rPr>
          <w:rFonts w:ascii="Times New Roman" w:eastAsia="Times New Roman" w:hAnsi="Times New Roman" w:cs="Times New Roman"/>
          <w:i/>
          <w:sz w:val="20"/>
          <w:szCs w:val="20"/>
          <w:lang w:eastAsia="pt-BR"/>
        </w:rPr>
        <w:t xml:space="preserve"> DPA</w:t>
      </w:r>
      <w:r>
        <w:rPr>
          <w:rFonts w:ascii="Times New Roman" w:eastAsia="Times New Roman" w:hAnsi="Times New Roman" w:cs="Times New Roman"/>
          <w:i/>
          <w:sz w:val="20"/>
          <w:szCs w:val="20"/>
          <w:lang w:eastAsia="pt-BR"/>
        </w:rPr>
        <w:t>-</w:t>
      </w:r>
      <w:r w:rsidRPr="00397E4E">
        <w:rPr>
          <w:rFonts w:ascii="Times New Roman" w:eastAsia="Times New Roman" w:hAnsi="Times New Roman" w:cs="Times New Roman"/>
          <w:i/>
          <w:sz w:val="20"/>
          <w:szCs w:val="20"/>
          <w:lang w:eastAsia="pt-BR"/>
        </w:rPr>
        <w:t>UiO-66 funcionalizado</w:t>
      </w:r>
      <w:r>
        <w:rPr>
          <w:rFonts w:ascii="Times New Roman" w:eastAsia="Times New Roman" w:hAnsi="Times New Roman" w:cs="Times New Roman"/>
          <w:i/>
          <w:sz w:val="20"/>
          <w:szCs w:val="20"/>
          <w:lang w:eastAsia="pt-BR"/>
        </w:rPr>
        <w:t>s</w:t>
      </w:r>
      <w:r w:rsidR="00FC4FA6">
        <w:rPr>
          <w:rFonts w:ascii="Times New Roman" w:eastAsia="Times New Roman" w:hAnsi="Times New Roman" w:cs="Times New Roman"/>
          <w:i/>
          <w:sz w:val="20"/>
          <w:szCs w:val="20"/>
          <w:lang w:eastAsia="pt-BR"/>
        </w:rPr>
        <w:t xml:space="preserve"> com </w:t>
      </w:r>
      <w:proofErr w:type="spellStart"/>
      <w:r w:rsidR="00FC4FA6">
        <w:rPr>
          <w:rFonts w:ascii="Times New Roman" w:eastAsia="Times New Roman" w:hAnsi="Times New Roman" w:cs="Times New Roman"/>
          <w:i/>
          <w:sz w:val="20"/>
          <w:szCs w:val="20"/>
          <w:lang w:eastAsia="pt-BR"/>
        </w:rPr>
        <w:t>bromobutano</w:t>
      </w:r>
      <w:proofErr w:type="spellEnd"/>
      <w:r w:rsidRPr="00397E4E">
        <w:rPr>
          <w:rFonts w:ascii="Times New Roman" w:eastAsia="Times New Roman" w:hAnsi="Times New Roman" w:cs="Times New Roman"/>
          <w:i/>
          <w:sz w:val="20"/>
          <w:szCs w:val="20"/>
          <w:lang w:eastAsia="pt-BR"/>
        </w:rPr>
        <w:t>:</w:t>
      </w:r>
    </w:p>
    <w:p w14:paraId="1C75FCFA" w14:textId="4D627CA5" w:rsidR="003F5EAC" w:rsidRPr="00D24CDA" w:rsidRDefault="00D746A1" w:rsidP="003476CA">
      <w:pPr>
        <w:pStyle w:val="TAMainText"/>
        <w:rPr>
          <w:rFonts w:ascii="Times New Roman" w:hAnsi="Times New Roman"/>
          <w:lang w:val="pt-BR"/>
        </w:rPr>
      </w:pPr>
      <w:r w:rsidRPr="00D24CDA">
        <w:rPr>
          <w:rFonts w:ascii="Times New Roman" w:hAnsi="Times New Roman"/>
          <w:lang w:val="pt-BR"/>
        </w:rPr>
        <w:t xml:space="preserve">Para funcionalização dos </w:t>
      </w:r>
      <w:proofErr w:type="spellStart"/>
      <w:r w:rsidRPr="00D24CDA">
        <w:rPr>
          <w:rFonts w:ascii="Times New Roman" w:hAnsi="Times New Roman"/>
          <w:lang w:val="pt-BR"/>
        </w:rPr>
        <w:t>MOFs</w:t>
      </w:r>
      <w:proofErr w:type="spellEnd"/>
      <w:r w:rsidRPr="00D24CDA">
        <w:rPr>
          <w:rFonts w:ascii="Times New Roman" w:hAnsi="Times New Roman"/>
          <w:lang w:val="pt-BR"/>
        </w:rPr>
        <w:t xml:space="preserve">, o </w:t>
      </w:r>
      <w:proofErr w:type="spellStart"/>
      <w:r w:rsidRPr="00D24CDA">
        <w:rPr>
          <w:rFonts w:ascii="Times New Roman" w:hAnsi="Times New Roman"/>
          <w:lang w:val="pt-BR"/>
        </w:rPr>
        <w:t>bromobutano</w:t>
      </w:r>
      <w:proofErr w:type="spellEnd"/>
      <w:r w:rsidRPr="00D24CDA">
        <w:rPr>
          <w:rFonts w:ascii="Times New Roman" w:hAnsi="Times New Roman"/>
          <w:lang w:val="pt-BR"/>
        </w:rPr>
        <w:t xml:space="preserve"> foi </w:t>
      </w:r>
      <w:r w:rsidR="003F5EAC" w:rsidRPr="00D24CDA">
        <w:rPr>
          <w:rFonts w:ascii="Times New Roman" w:hAnsi="Times New Roman"/>
          <w:lang w:val="pt-BR"/>
        </w:rPr>
        <w:t xml:space="preserve">inserido em proporções equimolares em relação à quantidade de N encontrada nos </w:t>
      </w:r>
      <w:proofErr w:type="spellStart"/>
      <w:r w:rsidR="003F5EAC" w:rsidRPr="00D24CDA">
        <w:rPr>
          <w:rFonts w:ascii="Times New Roman" w:hAnsi="Times New Roman"/>
          <w:lang w:val="pt-BR"/>
        </w:rPr>
        <w:t>MOFs</w:t>
      </w:r>
      <w:proofErr w:type="spellEnd"/>
      <w:r w:rsidR="003F5EAC" w:rsidRPr="00D24CDA">
        <w:rPr>
          <w:rFonts w:ascii="Times New Roman" w:hAnsi="Times New Roman"/>
          <w:lang w:val="pt-BR"/>
        </w:rPr>
        <w:t xml:space="preserve"> por análise elementar (CHN). A funcionalização ocorreu pela mistura dos </w:t>
      </w:r>
      <w:proofErr w:type="spellStart"/>
      <w:r w:rsidR="003F5EAC" w:rsidRPr="00D24CDA">
        <w:rPr>
          <w:rFonts w:ascii="Times New Roman" w:hAnsi="Times New Roman"/>
          <w:lang w:val="pt-BR"/>
        </w:rPr>
        <w:t>MOFs</w:t>
      </w:r>
      <w:proofErr w:type="spellEnd"/>
      <w:r w:rsidR="003F5EAC" w:rsidRPr="00D24CDA">
        <w:rPr>
          <w:rFonts w:ascii="Times New Roman" w:hAnsi="Times New Roman"/>
          <w:lang w:val="pt-BR"/>
        </w:rPr>
        <w:t xml:space="preserve"> DPA-UiO-66 e o </w:t>
      </w:r>
      <w:proofErr w:type="spellStart"/>
      <w:r w:rsidR="003F5EAC" w:rsidRPr="00D24CDA">
        <w:rPr>
          <w:rFonts w:ascii="Times New Roman" w:hAnsi="Times New Roman"/>
          <w:lang w:val="pt-BR"/>
        </w:rPr>
        <w:t>bromobutano</w:t>
      </w:r>
      <w:proofErr w:type="spellEnd"/>
      <w:r w:rsidR="003F5EAC" w:rsidRPr="00D24CDA">
        <w:rPr>
          <w:rFonts w:ascii="Times New Roman" w:hAnsi="Times New Roman"/>
          <w:lang w:val="pt-BR"/>
        </w:rPr>
        <w:t xml:space="preserve"> em </w:t>
      </w:r>
      <w:proofErr w:type="spellStart"/>
      <w:r w:rsidR="003F5EAC" w:rsidRPr="00D24CDA">
        <w:rPr>
          <w:rFonts w:ascii="Times New Roman" w:hAnsi="Times New Roman"/>
          <w:lang w:val="pt-BR"/>
        </w:rPr>
        <w:t>acetonitrila</w:t>
      </w:r>
      <w:proofErr w:type="spellEnd"/>
      <w:r w:rsidR="003F5EAC" w:rsidRPr="00D24CDA">
        <w:rPr>
          <w:rFonts w:ascii="Times New Roman" w:hAnsi="Times New Roman"/>
          <w:lang w:val="pt-BR"/>
        </w:rPr>
        <w:t xml:space="preserve"> sob refluxo a 80 °C por 27h. Após a reação, os </w:t>
      </w:r>
      <w:proofErr w:type="spellStart"/>
      <w:r w:rsidR="003F5EAC" w:rsidRPr="00D24CDA">
        <w:rPr>
          <w:rFonts w:ascii="Times New Roman" w:hAnsi="Times New Roman"/>
          <w:lang w:val="pt-BR"/>
        </w:rPr>
        <w:t>MOFs</w:t>
      </w:r>
      <w:proofErr w:type="spellEnd"/>
      <w:r w:rsidR="003F5EAC" w:rsidRPr="00D24CDA">
        <w:rPr>
          <w:rFonts w:ascii="Times New Roman" w:hAnsi="Times New Roman"/>
          <w:lang w:val="pt-BR"/>
        </w:rPr>
        <w:t xml:space="preserve"> foram filtrados a vácuo, lavados com </w:t>
      </w:r>
      <w:proofErr w:type="spellStart"/>
      <w:r w:rsidR="003F5EAC" w:rsidRPr="00D24CDA">
        <w:rPr>
          <w:rFonts w:ascii="Times New Roman" w:hAnsi="Times New Roman"/>
          <w:lang w:val="pt-BR"/>
        </w:rPr>
        <w:t>acetonitrila</w:t>
      </w:r>
      <w:proofErr w:type="spellEnd"/>
      <w:r w:rsidR="003F5EAC" w:rsidRPr="00D24CDA">
        <w:rPr>
          <w:rFonts w:ascii="Times New Roman" w:hAnsi="Times New Roman"/>
          <w:lang w:val="pt-BR"/>
        </w:rPr>
        <w:t xml:space="preserve"> e secos sob vácuo. Os </w:t>
      </w:r>
      <w:proofErr w:type="spellStart"/>
      <w:r w:rsidR="003F5EAC" w:rsidRPr="00D24CDA">
        <w:rPr>
          <w:rFonts w:ascii="Times New Roman" w:hAnsi="Times New Roman"/>
          <w:lang w:val="pt-BR"/>
        </w:rPr>
        <w:t>MOFs</w:t>
      </w:r>
      <w:proofErr w:type="spellEnd"/>
      <w:r w:rsidR="003F5EAC" w:rsidRPr="00D24CDA">
        <w:rPr>
          <w:rFonts w:ascii="Times New Roman" w:hAnsi="Times New Roman"/>
          <w:lang w:val="pt-BR"/>
        </w:rPr>
        <w:t xml:space="preserve"> funcionalizados com </w:t>
      </w:r>
      <w:proofErr w:type="spellStart"/>
      <w:r w:rsidR="003F5EAC" w:rsidRPr="00D24CDA">
        <w:rPr>
          <w:rFonts w:ascii="Times New Roman" w:hAnsi="Times New Roman"/>
          <w:lang w:val="pt-BR"/>
        </w:rPr>
        <w:t>bromobutano</w:t>
      </w:r>
      <w:proofErr w:type="spellEnd"/>
      <w:r w:rsidR="003F5EAC" w:rsidRPr="00D24CDA">
        <w:rPr>
          <w:rFonts w:ascii="Times New Roman" w:hAnsi="Times New Roman"/>
          <w:lang w:val="pt-BR"/>
        </w:rPr>
        <w:t xml:space="preserve"> foram nomeados </w:t>
      </w:r>
      <w:proofErr w:type="spellStart"/>
      <w:r w:rsidR="003F5EAC" w:rsidRPr="00D24CDA">
        <w:rPr>
          <w:rFonts w:ascii="Times New Roman" w:hAnsi="Times New Roman"/>
          <w:lang w:val="pt-BR"/>
        </w:rPr>
        <w:t>dpa</w:t>
      </w:r>
      <w:r w:rsidR="003F5EAC" w:rsidRPr="00D24CDA">
        <w:rPr>
          <w:rFonts w:ascii="Times New Roman" w:hAnsi="Times New Roman"/>
          <w:b/>
          <w:bCs/>
          <w:lang w:val="pt-BR"/>
        </w:rPr>
        <w:t>X</w:t>
      </w:r>
      <w:r w:rsidR="003F5EAC" w:rsidRPr="00D24CDA">
        <w:rPr>
          <w:rFonts w:ascii="Times New Roman" w:hAnsi="Times New Roman"/>
          <w:lang w:val="pt-BR"/>
        </w:rPr>
        <w:t>func</w:t>
      </w:r>
      <w:proofErr w:type="spellEnd"/>
      <w:r w:rsidR="003F5EAC" w:rsidRPr="00D24CDA">
        <w:rPr>
          <w:rFonts w:ascii="Times New Roman" w:hAnsi="Times New Roman"/>
          <w:lang w:val="pt-BR"/>
        </w:rPr>
        <w:t xml:space="preserve">, onde </w:t>
      </w:r>
      <w:r w:rsidR="003F5EAC" w:rsidRPr="00D24CDA">
        <w:rPr>
          <w:rFonts w:ascii="Times New Roman" w:hAnsi="Times New Roman"/>
          <w:b/>
          <w:bCs/>
          <w:lang w:val="pt-BR"/>
        </w:rPr>
        <w:t>X</w:t>
      </w:r>
      <w:r w:rsidR="003F5EAC" w:rsidRPr="00D24CDA">
        <w:rPr>
          <w:rFonts w:ascii="Times New Roman" w:hAnsi="Times New Roman"/>
          <w:lang w:val="pt-BR"/>
        </w:rPr>
        <w:t xml:space="preserve"> representa a porcentagem de DPA colocada na síntese.</w:t>
      </w:r>
    </w:p>
    <w:p w14:paraId="2BB82969" w14:textId="6D10FBB3" w:rsidR="00C74CD1" w:rsidRDefault="00C74CD1" w:rsidP="00C74CD1">
      <w:pPr>
        <w:pStyle w:val="Ttulo2"/>
        <w:jc w:val="both"/>
        <w:rPr>
          <w:rFonts w:ascii="Times New Roman" w:eastAsia="Times New Roman" w:hAnsi="Times New Roman" w:cs="Times New Roman"/>
          <w:i/>
          <w:sz w:val="20"/>
          <w:szCs w:val="20"/>
          <w:lang w:eastAsia="pt-BR"/>
        </w:rPr>
      </w:pPr>
      <w:r>
        <w:rPr>
          <w:rFonts w:ascii="Times New Roman" w:eastAsia="Times New Roman" w:hAnsi="Times New Roman" w:cs="Times New Roman"/>
          <w:i/>
          <w:sz w:val="20"/>
          <w:szCs w:val="20"/>
          <w:lang w:eastAsia="pt-BR"/>
        </w:rPr>
        <w:t xml:space="preserve">Reação de </w:t>
      </w:r>
      <w:proofErr w:type="spellStart"/>
      <w:r>
        <w:rPr>
          <w:rFonts w:ascii="Times New Roman" w:eastAsia="Times New Roman" w:hAnsi="Times New Roman" w:cs="Times New Roman"/>
          <w:i/>
          <w:sz w:val="20"/>
          <w:szCs w:val="20"/>
          <w:lang w:eastAsia="pt-BR"/>
        </w:rPr>
        <w:t>cicloadição</w:t>
      </w:r>
      <w:proofErr w:type="spellEnd"/>
      <w:r>
        <w:rPr>
          <w:rFonts w:ascii="Times New Roman" w:eastAsia="Times New Roman" w:hAnsi="Times New Roman" w:cs="Times New Roman"/>
          <w:i/>
          <w:sz w:val="20"/>
          <w:szCs w:val="20"/>
          <w:lang w:eastAsia="pt-BR"/>
        </w:rPr>
        <w:t xml:space="preserve"> de </w:t>
      </w:r>
      <w:r w:rsidRPr="00C74CD1">
        <w:rPr>
          <w:rFonts w:ascii="Times New Roman" w:eastAsia="Times New Roman" w:hAnsi="Times New Roman" w:cs="Times New Roman"/>
          <w:i/>
          <w:noProof/>
          <w:color w:val="000000"/>
          <w:sz w:val="20"/>
          <w:szCs w:val="20"/>
          <w:lang w:eastAsia="pt-BR"/>
        </w:rPr>
        <w:t>CO</w:t>
      </w:r>
      <w:r w:rsidRPr="00C74CD1">
        <w:rPr>
          <w:rFonts w:ascii="Times New Roman" w:eastAsia="Times New Roman" w:hAnsi="Times New Roman" w:cs="Times New Roman"/>
          <w:i/>
          <w:noProof/>
          <w:color w:val="000000"/>
          <w:sz w:val="20"/>
          <w:szCs w:val="20"/>
          <w:vertAlign w:val="subscript"/>
          <w:lang w:eastAsia="pt-BR"/>
        </w:rPr>
        <w:t>2</w:t>
      </w:r>
      <w:r w:rsidRPr="00397E4E">
        <w:rPr>
          <w:rFonts w:ascii="Times New Roman" w:eastAsia="Times New Roman" w:hAnsi="Times New Roman" w:cs="Times New Roman"/>
          <w:i/>
          <w:sz w:val="20"/>
          <w:szCs w:val="20"/>
          <w:lang w:eastAsia="pt-BR"/>
        </w:rPr>
        <w:t>:</w:t>
      </w:r>
    </w:p>
    <w:p w14:paraId="2C123AB5" w14:textId="2AC3832A" w:rsidR="00C74CD1" w:rsidRPr="00D24CDA" w:rsidRDefault="0024298C" w:rsidP="003476CA">
      <w:pPr>
        <w:pStyle w:val="TAMainText"/>
        <w:rPr>
          <w:rFonts w:ascii="Times New Roman" w:hAnsi="Times New Roman"/>
          <w:lang w:val="pt-BR"/>
        </w:rPr>
      </w:pPr>
      <w:r w:rsidRPr="00D24CDA">
        <w:rPr>
          <w:rFonts w:ascii="Times New Roman" w:hAnsi="Times New Roman"/>
          <w:lang w:val="pt-BR"/>
        </w:rPr>
        <w:t>As reações foram conduzidas utilizando um reator de aço inoxidável (</w:t>
      </w:r>
      <w:proofErr w:type="spellStart"/>
      <w:r w:rsidRPr="00D24CDA">
        <w:rPr>
          <w:rFonts w:ascii="Times New Roman" w:hAnsi="Times New Roman"/>
          <w:lang w:val="pt-BR"/>
        </w:rPr>
        <w:t>Parr</w:t>
      </w:r>
      <w:proofErr w:type="spellEnd"/>
      <w:r w:rsidRPr="00D24CDA">
        <w:rPr>
          <w:rFonts w:ascii="Times New Roman" w:hAnsi="Times New Roman"/>
          <w:lang w:val="pt-BR"/>
        </w:rPr>
        <w:t xml:space="preserve"> </w:t>
      </w:r>
      <w:proofErr w:type="spellStart"/>
      <w:r w:rsidRPr="00D24CDA">
        <w:rPr>
          <w:rFonts w:ascii="Times New Roman" w:hAnsi="Times New Roman"/>
          <w:lang w:val="pt-BR"/>
        </w:rPr>
        <w:t>Instruments</w:t>
      </w:r>
      <w:proofErr w:type="spellEnd"/>
      <w:r w:rsidRPr="00D24CDA">
        <w:rPr>
          <w:rFonts w:ascii="Times New Roman" w:hAnsi="Times New Roman"/>
          <w:lang w:val="pt-BR"/>
        </w:rPr>
        <w:t xml:space="preserve">, modelo 4842) com capacidade de 100 </w:t>
      </w:r>
      <w:proofErr w:type="spellStart"/>
      <w:r w:rsidRPr="00D24CDA">
        <w:rPr>
          <w:rFonts w:ascii="Times New Roman" w:hAnsi="Times New Roman"/>
          <w:lang w:val="pt-BR"/>
        </w:rPr>
        <w:t>mL</w:t>
      </w:r>
      <w:proofErr w:type="spellEnd"/>
      <w:r w:rsidRPr="00D24CDA">
        <w:rPr>
          <w:rFonts w:ascii="Times New Roman" w:hAnsi="Times New Roman"/>
          <w:lang w:val="pt-BR"/>
        </w:rPr>
        <w:t xml:space="preserve">. Em uma reação típica, utilizou-se 1% mol (com base no </w:t>
      </w:r>
      <w:proofErr w:type="spellStart"/>
      <w:r w:rsidRPr="00D24CDA">
        <w:rPr>
          <w:rFonts w:ascii="Times New Roman" w:hAnsi="Times New Roman"/>
          <w:lang w:val="pt-BR"/>
        </w:rPr>
        <w:t>epóxido</w:t>
      </w:r>
      <w:proofErr w:type="spellEnd"/>
      <w:r w:rsidRPr="00D24CDA">
        <w:rPr>
          <w:rFonts w:ascii="Times New Roman" w:hAnsi="Times New Roman"/>
          <w:lang w:val="pt-BR"/>
        </w:rPr>
        <w:t xml:space="preserve">) de catalisador e uma quantidade </w:t>
      </w:r>
      <w:r w:rsidR="003476CA" w:rsidRPr="00D24CDA">
        <w:rPr>
          <w:rFonts w:ascii="Times New Roman" w:hAnsi="Times New Roman"/>
          <w:lang w:val="pt-BR"/>
        </w:rPr>
        <w:t xml:space="preserve">de 1-2 </w:t>
      </w:r>
      <w:proofErr w:type="spellStart"/>
      <w:r w:rsidR="003476CA" w:rsidRPr="00D24CDA">
        <w:rPr>
          <w:rFonts w:ascii="Times New Roman" w:hAnsi="Times New Roman"/>
          <w:lang w:val="pt-BR"/>
        </w:rPr>
        <w:t>mL</w:t>
      </w:r>
      <w:proofErr w:type="spellEnd"/>
      <w:r w:rsidR="003476CA" w:rsidRPr="00D24CDA">
        <w:rPr>
          <w:rFonts w:ascii="Times New Roman" w:hAnsi="Times New Roman"/>
          <w:lang w:val="pt-BR"/>
        </w:rPr>
        <w:t xml:space="preserve"> </w:t>
      </w:r>
      <w:r w:rsidRPr="00D24CDA">
        <w:rPr>
          <w:rFonts w:ascii="Times New Roman" w:hAnsi="Times New Roman"/>
          <w:lang w:val="pt-BR"/>
        </w:rPr>
        <w:t>de óxido de propileno. O reator foi então pressurizado com CO</w:t>
      </w:r>
      <w:r w:rsidRPr="00D24CDA">
        <w:rPr>
          <w:rFonts w:ascii="Times New Roman" w:hAnsi="Times New Roman"/>
          <w:vertAlign w:val="subscript"/>
          <w:lang w:val="pt-BR"/>
        </w:rPr>
        <w:t>2</w:t>
      </w:r>
      <w:r w:rsidRPr="00D24CDA">
        <w:rPr>
          <w:rFonts w:ascii="Times New Roman" w:hAnsi="Times New Roman"/>
          <w:lang w:val="pt-BR"/>
        </w:rPr>
        <w:t xml:space="preserve"> (Linde, pureza &gt; 98%) a 20 bar, e a reação foi realizada sob agitação mecânica a 100 °C durante 24 h. Após a reação, o reator foi resfriado até a temperatura ambiente, despressurizado e os produtos foram separados do catalisador por meio de filtração simples. O catalisador foi lavado com acetona e a solução resultante foi separada do produto por evaporação à pressão reduzida.</w:t>
      </w:r>
    </w:p>
    <w:p w14:paraId="524154F0" w14:textId="77777777" w:rsidR="0024298C" w:rsidRDefault="0024298C" w:rsidP="005C11C9">
      <w:pPr>
        <w:spacing w:after="0" w:line="240" w:lineRule="exact"/>
        <w:jc w:val="both"/>
        <w:rPr>
          <w:rFonts w:ascii="Times New Roman" w:hAnsi="Times New Roman"/>
        </w:rPr>
      </w:pPr>
    </w:p>
    <w:p w14:paraId="7B00DCED" w14:textId="77777777" w:rsidR="00C74CD1" w:rsidRDefault="00C74CD1" w:rsidP="00C74CD1">
      <w:pPr>
        <w:pStyle w:val="TAMainText"/>
        <w:ind w:firstLine="0"/>
        <w:rPr>
          <w:rFonts w:ascii="Times New Roman" w:hAnsi="Times New Roman"/>
          <w:i/>
          <w:iCs/>
          <w:lang w:val="pt-BR"/>
        </w:rPr>
      </w:pPr>
      <w:r w:rsidRPr="00D67ED1">
        <w:rPr>
          <w:rFonts w:ascii="Times New Roman" w:hAnsi="Times New Roman"/>
          <w:i/>
          <w:iCs/>
          <w:lang w:val="pt-BR"/>
        </w:rPr>
        <w:t>Caracterizações</w:t>
      </w:r>
    </w:p>
    <w:p w14:paraId="6B2874B8" w14:textId="77777777" w:rsidR="00C74CD1" w:rsidRDefault="00C74CD1" w:rsidP="00C74CD1">
      <w:pPr>
        <w:pStyle w:val="TAMainText"/>
        <w:ind w:firstLine="0"/>
        <w:rPr>
          <w:rFonts w:ascii="Times New Roman" w:hAnsi="Times New Roman"/>
          <w:lang w:val="pt-BR"/>
        </w:rPr>
      </w:pPr>
    </w:p>
    <w:p w14:paraId="0A12A42B" w14:textId="4A6E20B9" w:rsidR="00C74CD1" w:rsidRPr="009F0463" w:rsidRDefault="00C74CD1" w:rsidP="002F6A2A">
      <w:pPr>
        <w:pStyle w:val="TAMainText"/>
        <w:rPr>
          <w:rFonts w:ascii="Times New Roman" w:hAnsi="Times New Roman"/>
          <w:lang w:val="pt-BR"/>
        </w:rPr>
      </w:pPr>
      <w:r>
        <w:rPr>
          <w:rFonts w:ascii="Times New Roman" w:hAnsi="Times New Roman"/>
          <w:lang w:val="pt-BR"/>
        </w:rPr>
        <w:t xml:space="preserve">Os sólidos foram caracterizados em um </w:t>
      </w:r>
      <w:proofErr w:type="spellStart"/>
      <w:r>
        <w:rPr>
          <w:rFonts w:ascii="Times New Roman" w:hAnsi="Times New Roman"/>
          <w:lang w:val="pt-BR"/>
        </w:rPr>
        <w:t>difratômetro</w:t>
      </w:r>
      <w:proofErr w:type="spellEnd"/>
      <w:r>
        <w:rPr>
          <w:rFonts w:ascii="Times New Roman" w:hAnsi="Times New Roman"/>
          <w:lang w:val="pt-BR"/>
        </w:rPr>
        <w:t xml:space="preserve"> de raios </w:t>
      </w:r>
      <w:r w:rsidRPr="002F6A2A">
        <w:rPr>
          <w:rFonts w:ascii="Times New Roman" w:hAnsi="Times New Roman"/>
          <w:lang w:val="pt-BR"/>
        </w:rPr>
        <w:t xml:space="preserve">X </w:t>
      </w:r>
      <w:r w:rsidR="002F6A2A" w:rsidRPr="002F6A2A">
        <w:rPr>
          <w:rFonts w:ascii="Times New Roman" w:hAnsi="Times New Roman"/>
          <w:lang w:val="pt-BR"/>
        </w:rPr>
        <w:t>Ultima IV (</w:t>
      </w:r>
      <w:proofErr w:type="spellStart"/>
      <w:r w:rsidR="002F6A2A" w:rsidRPr="002F6A2A">
        <w:rPr>
          <w:rFonts w:ascii="Times New Roman" w:hAnsi="Times New Roman"/>
          <w:lang w:val="pt-BR"/>
        </w:rPr>
        <w:t>Rigaku</w:t>
      </w:r>
      <w:proofErr w:type="spellEnd"/>
      <w:r w:rsidR="002F6A2A" w:rsidRPr="002F6A2A">
        <w:rPr>
          <w:rFonts w:ascii="Times New Roman" w:hAnsi="Times New Roman"/>
          <w:lang w:val="pt-BR"/>
        </w:rPr>
        <w:t>) utilizando radiação Cu Kα (λ = 1</w:t>
      </w:r>
      <w:r w:rsidR="002A3C85">
        <w:rPr>
          <w:rFonts w:ascii="Times New Roman" w:hAnsi="Times New Roman"/>
          <w:lang w:val="pt-BR"/>
        </w:rPr>
        <w:t>,</w:t>
      </w:r>
      <w:r w:rsidR="002F6A2A" w:rsidRPr="002F6A2A">
        <w:rPr>
          <w:rFonts w:ascii="Times New Roman" w:hAnsi="Times New Roman"/>
          <w:lang w:val="pt-BR"/>
        </w:rPr>
        <w:t>54056 Å) com passo de 0.05°</w:t>
      </w:r>
      <w:r w:rsidRPr="002F6A2A">
        <w:rPr>
          <w:rFonts w:ascii="Times New Roman" w:hAnsi="Times New Roman"/>
          <w:lang w:val="pt-BR"/>
        </w:rPr>
        <w:t xml:space="preserve">. As análises de </w:t>
      </w:r>
      <w:proofErr w:type="spellStart"/>
      <w:r w:rsidRPr="002F6A2A">
        <w:rPr>
          <w:rFonts w:ascii="Times New Roman" w:hAnsi="Times New Roman"/>
          <w:lang w:val="pt-BR"/>
        </w:rPr>
        <w:t>fisissorção</w:t>
      </w:r>
      <w:proofErr w:type="spellEnd"/>
      <w:r w:rsidRPr="002F6A2A">
        <w:rPr>
          <w:rFonts w:ascii="Times New Roman" w:hAnsi="Times New Roman"/>
          <w:lang w:val="pt-BR"/>
        </w:rPr>
        <w:t xml:space="preserve"> de N</w:t>
      </w:r>
      <w:r w:rsidRPr="002F6A2A">
        <w:rPr>
          <w:rFonts w:ascii="Times New Roman" w:hAnsi="Times New Roman"/>
          <w:vertAlign w:val="subscript"/>
          <w:lang w:val="pt-BR"/>
        </w:rPr>
        <w:t>2</w:t>
      </w:r>
      <w:r w:rsidRPr="002F6A2A">
        <w:rPr>
          <w:rFonts w:ascii="Times New Roman" w:hAnsi="Times New Roman"/>
          <w:lang w:val="pt-BR"/>
        </w:rPr>
        <w:t xml:space="preserve"> foram realizadas em equipamento </w:t>
      </w:r>
      <w:proofErr w:type="spellStart"/>
      <w:r w:rsidR="006A1982" w:rsidRPr="002F6A2A">
        <w:rPr>
          <w:rFonts w:ascii="Times New Roman" w:hAnsi="Times New Roman"/>
          <w:lang w:val="pt-BR"/>
        </w:rPr>
        <w:t>Micrometrics</w:t>
      </w:r>
      <w:proofErr w:type="spellEnd"/>
      <w:r w:rsidR="006A1982" w:rsidRPr="002F6A2A">
        <w:rPr>
          <w:rFonts w:ascii="Times New Roman" w:hAnsi="Times New Roman"/>
          <w:lang w:val="pt-BR"/>
        </w:rPr>
        <w:t xml:space="preserve"> </w:t>
      </w:r>
      <w:proofErr w:type="spellStart"/>
      <w:r w:rsidR="006A1982" w:rsidRPr="002F6A2A">
        <w:rPr>
          <w:rFonts w:ascii="Times New Roman" w:hAnsi="Times New Roman"/>
          <w:lang w:val="pt-BR"/>
        </w:rPr>
        <w:t>TriStar</w:t>
      </w:r>
      <w:proofErr w:type="spellEnd"/>
      <w:r w:rsidR="006A1982" w:rsidRPr="002F6A2A">
        <w:rPr>
          <w:rFonts w:ascii="Times New Roman" w:hAnsi="Times New Roman"/>
          <w:lang w:val="pt-BR"/>
        </w:rPr>
        <w:t xml:space="preserve"> II 3020</w:t>
      </w:r>
      <w:r w:rsidRPr="002F6A2A">
        <w:rPr>
          <w:rFonts w:ascii="Times New Roman" w:hAnsi="Times New Roman"/>
          <w:lang w:val="pt-BR"/>
        </w:rPr>
        <w:t>.</w:t>
      </w:r>
      <w:r w:rsidR="002F6A2A" w:rsidRPr="002F6A2A">
        <w:rPr>
          <w:rFonts w:ascii="Times New Roman" w:hAnsi="Times New Roman"/>
          <w:lang w:val="pt-BR"/>
        </w:rPr>
        <w:t xml:space="preserve"> </w:t>
      </w:r>
      <w:r w:rsidR="002F6A2A">
        <w:rPr>
          <w:rFonts w:ascii="Times New Roman" w:hAnsi="Times New Roman"/>
          <w:lang w:val="pt-BR"/>
        </w:rPr>
        <w:t xml:space="preserve">Os sólidos foram </w:t>
      </w:r>
      <w:proofErr w:type="spellStart"/>
      <w:r w:rsidR="002F6A2A">
        <w:rPr>
          <w:rFonts w:ascii="Times New Roman" w:hAnsi="Times New Roman"/>
          <w:lang w:val="pt-BR"/>
        </w:rPr>
        <w:t>pré-tratados</w:t>
      </w:r>
      <w:proofErr w:type="spellEnd"/>
      <w:r w:rsidR="002F6A2A">
        <w:rPr>
          <w:rFonts w:ascii="Times New Roman" w:hAnsi="Times New Roman"/>
          <w:lang w:val="pt-BR"/>
        </w:rPr>
        <w:t xml:space="preserve"> a 120 °C overnight previamente à análise.</w:t>
      </w:r>
      <w:r>
        <w:rPr>
          <w:rFonts w:ascii="Times New Roman" w:hAnsi="Times New Roman"/>
          <w:lang w:val="pt-BR"/>
        </w:rPr>
        <w:t xml:space="preserve"> As isotermas obtidas foram tratadas pelo método BET para obter a área </w:t>
      </w:r>
      <w:r w:rsidRPr="005B0AE5">
        <w:rPr>
          <w:rFonts w:ascii="Times New Roman" w:hAnsi="Times New Roman"/>
          <w:lang w:val="pt-BR"/>
        </w:rPr>
        <w:t>específica</w:t>
      </w:r>
      <w:r w:rsidR="000575BE">
        <w:rPr>
          <w:rFonts w:ascii="Times New Roman" w:hAnsi="Times New Roman"/>
          <w:lang w:val="pt-BR"/>
        </w:rPr>
        <w:t xml:space="preserve">, </w:t>
      </w:r>
      <w:r w:rsidR="000575BE" w:rsidRPr="00341158">
        <w:rPr>
          <w:rFonts w:ascii="Times New Roman" w:hAnsi="Times New Roman"/>
          <w:i/>
          <w:iCs/>
          <w:lang w:val="pt-BR"/>
        </w:rPr>
        <w:t>t-</w:t>
      </w:r>
      <w:proofErr w:type="spellStart"/>
      <w:r w:rsidR="000575BE" w:rsidRPr="00341158">
        <w:rPr>
          <w:rFonts w:ascii="Times New Roman" w:hAnsi="Times New Roman"/>
          <w:i/>
          <w:iCs/>
          <w:lang w:val="pt-BR"/>
        </w:rPr>
        <w:t>plot</w:t>
      </w:r>
      <w:proofErr w:type="spellEnd"/>
      <w:r w:rsidR="000575BE">
        <w:rPr>
          <w:rFonts w:ascii="Times New Roman" w:hAnsi="Times New Roman"/>
          <w:lang w:val="pt-BR"/>
        </w:rPr>
        <w:t xml:space="preserve"> para obtenção do volume de </w:t>
      </w:r>
      <w:proofErr w:type="spellStart"/>
      <w:r w:rsidR="000575BE">
        <w:rPr>
          <w:rFonts w:ascii="Times New Roman" w:hAnsi="Times New Roman"/>
          <w:lang w:val="pt-BR"/>
        </w:rPr>
        <w:t>microporos</w:t>
      </w:r>
      <w:proofErr w:type="spellEnd"/>
      <w:r w:rsidR="005B0AE5" w:rsidRPr="005B0AE5">
        <w:rPr>
          <w:rFonts w:ascii="Times New Roman" w:hAnsi="Times New Roman"/>
          <w:lang w:val="pt-BR"/>
        </w:rPr>
        <w:t xml:space="preserve"> e </w:t>
      </w:r>
      <w:r w:rsidRPr="005B0AE5">
        <w:rPr>
          <w:rFonts w:ascii="Times New Roman" w:hAnsi="Times New Roman"/>
          <w:lang w:val="pt-BR"/>
        </w:rPr>
        <w:t xml:space="preserve">o volume total de poros foi obtido pelo método de </w:t>
      </w:r>
      <w:proofErr w:type="spellStart"/>
      <w:r w:rsidRPr="005B0AE5">
        <w:rPr>
          <w:rFonts w:ascii="Times New Roman" w:hAnsi="Times New Roman"/>
          <w:lang w:val="pt-BR"/>
        </w:rPr>
        <w:t>Gurvich</w:t>
      </w:r>
      <w:proofErr w:type="spellEnd"/>
      <w:r w:rsidRPr="005B0AE5">
        <w:rPr>
          <w:rFonts w:ascii="Times New Roman" w:hAnsi="Times New Roman"/>
          <w:lang w:val="pt-BR"/>
        </w:rPr>
        <w:t xml:space="preserve">. </w:t>
      </w:r>
      <w:r>
        <w:rPr>
          <w:rFonts w:ascii="Times New Roman" w:hAnsi="Times New Roman"/>
          <w:lang w:val="pt-BR"/>
        </w:rPr>
        <w:t xml:space="preserve">A análise química foi realizada por análise elementar (CHN) em um equipamento </w:t>
      </w:r>
      <w:proofErr w:type="spellStart"/>
      <w:r>
        <w:rPr>
          <w:rFonts w:ascii="Times New Roman" w:hAnsi="Times New Roman"/>
          <w:lang w:val="pt-BR"/>
        </w:rPr>
        <w:t>Perkin</w:t>
      </w:r>
      <w:proofErr w:type="spellEnd"/>
      <w:r>
        <w:rPr>
          <w:rFonts w:ascii="Times New Roman" w:hAnsi="Times New Roman"/>
          <w:lang w:val="pt-BR"/>
        </w:rPr>
        <w:t xml:space="preserve"> Elmer 2400. </w:t>
      </w:r>
      <w:r w:rsidRPr="009F0463">
        <w:rPr>
          <w:rFonts w:ascii="Times New Roman" w:hAnsi="Times New Roman"/>
          <w:lang w:val="pt-BR"/>
        </w:rPr>
        <w:t xml:space="preserve">Os produtos da reação foram analisados em </w:t>
      </w:r>
      <w:r>
        <w:rPr>
          <w:rFonts w:ascii="Times New Roman" w:hAnsi="Times New Roman"/>
          <w:lang w:val="pt-BR"/>
        </w:rPr>
        <w:t xml:space="preserve">um </w:t>
      </w:r>
      <w:r w:rsidRPr="009F0463">
        <w:rPr>
          <w:rFonts w:ascii="Times New Roman" w:hAnsi="Times New Roman"/>
          <w:lang w:val="pt-BR"/>
        </w:rPr>
        <w:t xml:space="preserve">cromatógrafo </w:t>
      </w:r>
      <w:r w:rsidR="002A3C85">
        <w:rPr>
          <w:rFonts w:ascii="Times New Roman" w:hAnsi="Times New Roman"/>
          <w:lang w:val="pt-BR"/>
        </w:rPr>
        <w:t>a</w:t>
      </w:r>
      <w:r w:rsidR="002A3C85" w:rsidRPr="009F0463">
        <w:rPr>
          <w:rFonts w:ascii="Times New Roman" w:hAnsi="Times New Roman"/>
          <w:lang w:val="pt-BR"/>
        </w:rPr>
        <w:t xml:space="preserve"> </w:t>
      </w:r>
      <w:r w:rsidRPr="009F0463">
        <w:rPr>
          <w:rFonts w:ascii="Times New Roman" w:hAnsi="Times New Roman"/>
          <w:lang w:val="pt-BR"/>
        </w:rPr>
        <w:t xml:space="preserve">gás </w:t>
      </w:r>
      <w:proofErr w:type="spellStart"/>
      <w:r w:rsidRPr="009F0463">
        <w:rPr>
          <w:rFonts w:ascii="Times New Roman" w:hAnsi="Times New Roman"/>
          <w:lang w:val="pt-BR"/>
        </w:rPr>
        <w:t>Shimadzu</w:t>
      </w:r>
      <w:proofErr w:type="spellEnd"/>
      <w:r w:rsidRPr="009F0463">
        <w:rPr>
          <w:rFonts w:ascii="Times New Roman" w:hAnsi="Times New Roman"/>
          <w:lang w:val="pt-BR"/>
        </w:rPr>
        <w:t xml:space="preserve"> CG-2010 equipado com </w:t>
      </w:r>
      <w:r>
        <w:rPr>
          <w:rFonts w:ascii="Times New Roman" w:hAnsi="Times New Roman"/>
          <w:lang w:val="pt-BR"/>
        </w:rPr>
        <w:t xml:space="preserve">um </w:t>
      </w:r>
      <w:r w:rsidRPr="009F0463">
        <w:rPr>
          <w:rFonts w:ascii="Times New Roman" w:hAnsi="Times New Roman"/>
          <w:lang w:val="pt-BR"/>
        </w:rPr>
        <w:t xml:space="preserve">detector FID e </w:t>
      </w:r>
      <w:r>
        <w:rPr>
          <w:rFonts w:ascii="Times New Roman" w:hAnsi="Times New Roman"/>
          <w:lang w:val="pt-BR"/>
        </w:rPr>
        <w:t xml:space="preserve">uma </w:t>
      </w:r>
      <w:r w:rsidRPr="009F0463">
        <w:rPr>
          <w:rFonts w:ascii="Times New Roman" w:hAnsi="Times New Roman"/>
          <w:lang w:val="pt-BR"/>
        </w:rPr>
        <w:t xml:space="preserve">coluna capilar DB-5 (5% fenil, 95% dimetil </w:t>
      </w:r>
      <w:proofErr w:type="spellStart"/>
      <w:r w:rsidRPr="009F0463">
        <w:rPr>
          <w:rFonts w:ascii="Times New Roman" w:hAnsi="Times New Roman"/>
          <w:lang w:val="pt-BR"/>
        </w:rPr>
        <w:t>polisiloxano</w:t>
      </w:r>
      <w:proofErr w:type="spellEnd"/>
      <w:r>
        <w:rPr>
          <w:rFonts w:ascii="Times New Roman" w:hAnsi="Times New Roman"/>
          <w:lang w:val="pt-BR"/>
        </w:rPr>
        <w:t xml:space="preserve">), utilizando </w:t>
      </w:r>
      <w:proofErr w:type="spellStart"/>
      <w:r>
        <w:rPr>
          <w:rFonts w:ascii="Times New Roman" w:hAnsi="Times New Roman"/>
          <w:lang w:val="pt-BR"/>
        </w:rPr>
        <w:t>acetofenona</w:t>
      </w:r>
      <w:proofErr w:type="spellEnd"/>
      <w:r>
        <w:rPr>
          <w:rFonts w:ascii="Times New Roman" w:hAnsi="Times New Roman"/>
          <w:lang w:val="pt-BR"/>
        </w:rPr>
        <w:t xml:space="preserve"> como padrão interno.</w:t>
      </w:r>
    </w:p>
    <w:p w14:paraId="14220FA8" w14:textId="77777777" w:rsidR="005C11C9" w:rsidRPr="005C11C9" w:rsidRDefault="005C11C9" w:rsidP="005C11C9">
      <w:pPr>
        <w:spacing w:after="0" w:line="240" w:lineRule="exact"/>
        <w:jc w:val="both"/>
        <w:rPr>
          <w:rFonts w:ascii="Times New Roman" w:eastAsia="Times New Roman" w:hAnsi="Times New Roman" w:cs="Times New Roman"/>
          <w:sz w:val="20"/>
          <w:szCs w:val="20"/>
          <w:lang w:eastAsia="pt-BR"/>
        </w:rPr>
      </w:pPr>
    </w:p>
    <w:p w14:paraId="136BD1AC" w14:textId="16B6B442"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Resultados e Discussão</w:t>
      </w:r>
    </w:p>
    <w:p w14:paraId="14B6F11A" w14:textId="3AF6FDDB" w:rsidR="00EA4E1B" w:rsidRDefault="00EA4E1B" w:rsidP="00EA4E1B">
      <w:pPr>
        <w:pStyle w:val="TAMainText"/>
        <w:ind w:firstLine="187"/>
        <w:rPr>
          <w:lang w:val="pt-BR"/>
        </w:rPr>
      </w:pPr>
    </w:p>
    <w:p w14:paraId="44C43D43" w14:textId="30730BE9" w:rsidR="00CE5206" w:rsidRDefault="00CE5206" w:rsidP="00EA4E1B">
      <w:pPr>
        <w:pStyle w:val="TAMainText"/>
        <w:ind w:firstLine="187"/>
        <w:rPr>
          <w:lang w:val="pt-BR"/>
        </w:rPr>
      </w:pPr>
      <w:r>
        <w:rPr>
          <w:lang w:val="pt-BR"/>
        </w:rPr>
        <w:t xml:space="preserve">A </w:t>
      </w:r>
      <w:r w:rsidRPr="00CE5206">
        <w:rPr>
          <w:b/>
          <w:bCs/>
          <w:lang w:val="pt-BR"/>
        </w:rPr>
        <w:t xml:space="preserve">Figura </w:t>
      </w:r>
      <w:r>
        <w:rPr>
          <w:b/>
          <w:bCs/>
          <w:lang w:val="pt-BR"/>
        </w:rPr>
        <w:t>2</w:t>
      </w:r>
      <w:r>
        <w:rPr>
          <w:lang w:val="pt-BR"/>
        </w:rPr>
        <w:t xml:space="preserve"> mostra os resultados de difração de raios X de todos os </w:t>
      </w:r>
      <w:proofErr w:type="spellStart"/>
      <w:r>
        <w:rPr>
          <w:lang w:val="pt-BR"/>
        </w:rPr>
        <w:t>MOFs</w:t>
      </w:r>
      <w:proofErr w:type="spellEnd"/>
      <w:r>
        <w:rPr>
          <w:lang w:val="pt-BR"/>
        </w:rPr>
        <w:t xml:space="preserve"> sintetizados neste trabalho.</w:t>
      </w:r>
    </w:p>
    <w:p w14:paraId="307595D3" w14:textId="77777777" w:rsidR="00E038AF" w:rsidRDefault="00E038AF" w:rsidP="00EA4E1B">
      <w:pPr>
        <w:pStyle w:val="TAMainText"/>
        <w:ind w:firstLine="187"/>
        <w:rPr>
          <w:lang w:val="pt-BR"/>
        </w:rPr>
      </w:pPr>
    </w:p>
    <w:p w14:paraId="2AA76318" w14:textId="77777777" w:rsidR="00CE5206" w:rsidRDefault="00CE5206" w:rsidP="00EA4E1B">
      <w:pPr>
        <w:jc w:val="center"/>
      </w:pPr>
      <w:r w:rsidRPr="00CE5206">
        <w:rPr>
          <w:noProof/>
        </w:rPr>
        <w:drawing>
          <wp:inline distT="0" distB="0" distL="0" distR="0" wp14:anchorId="2B9B859F" wp14:editId="756E182A">
            <wp:extent cx="2946737" cy="4304962"/>
            <wp:effectExtent l="0" t="0" r="0" b="0"/>
            <wp:docPr id="65339922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6584" t="9606" r="7256" b="2433"/>
                    <a:stretch/>
                  </pic:blipFill>
                  <pic:spPr bwMode="auto">
                    <a:xfrm>
                      <a:off x="0" y="0"/>
                      <a:ext cx="2965224" cy="4331970"/>
                    </a:xfrm>
                    <a:prstGeom prst="rect">
                      <a:avLst/>
                    </a:prstGeom>
                    <a:noFill/>
                    <a:ln>
                      <a:noFill/>
                    </a:ln>
                    <a:extLst>
                      <a:ext uri="{53640926-AAD7-44D8-BBD7-CCE9431645EC}">
                        <a14:shadowObscured xmlns:a14="http://schemas.microsoft.com/office/drawing/2010/main"/>
                      </a:ext>
                    </a:extLst>
                  </pic:spPr>
                </pic:pic>
              </a:graphicData>
            </a:graphic>
          </wp:inline>
        </w:drawing>
      </w:r>
      <w:r w:rsidRPr="00CE5206">
        <w:t xml:space="preserve"> </w:t>
      </w:r>
    </w:p>
    <w:p w14:paraId="1AAA653E" w14:textId="77777777" w:rsidR="00CE5206" w:rsidRDefault="00CE5206" w:rsidP="00CE5206">
      <w:pPr>
        <w:pStyle w:val="VAFigureCaption"/>
        <w:spacing w:before="0"/>
        <w:rPr>
          <w:rFonts w:ascii="Times New Roman" w:hAnsi="Times New Roman"/>
          <w:lang w:val="pt-BR"/>
        </w:rPr>
      </w:pPr>
      <w:r w:rsidRPr="00E038AF">
        <w:rPr>
          <w:rFonts w:ascii="Times New Roman" w:hAnsi="Times New Roman"/>
          <w:b/>
          <w:lang w:val="pt-BR"/>
        </w:rPr>
        <w:t xml:space="preserve">Figura </w:t>
      </w:r>
      <w:r>
        <w:rPr>
          <w:rFonts w:ascii="Times New Roman" w:hAnsi="Times New Roman"/>
          <w:b/>
          <w:lang w:val="pt-BR"/>
        </w:rPr>
        <w:t>2</w:t>
      </w:r>
      <w:r w:rsidRPr="00E038AF">
        <w:rPr>
          <w:rFonts w:ascii="Times New Roman" w:hAnsi="Times New Roman"/>
          <w:b/>
          <w:lang w:val="pt-BR"/>
        </w:rPr>
        <w:t>.</w:t>
      </w:r>
      <w:r w:rsidRPr="00E038AF">
        <w:rPr>
          <w:rFonts w:ascii="Times New Roman" w:hAnsi="Times New Roman"/>
          <w:lang w:val="pt-BR"/>
        </w:rPr>
        <w:t xml:space="preserve"> </w:t>
      </w:r>
      <w:proofErr w:type="spellStart"/>
      <w:r w:rsidRPr="00CE5206">
        <w:rPr>
          <w:rFonts w:ascii="Times New Roman" w:hAnsi="Times New Roman"/>
          <w:lang w:val="pt-BR"/>
        </w:rPr>
        <w:t>Difratogramas</w:t>
      </w:r>
      <w:proofErr w:type="spellEnd"/>
      <w:r w:rsidRPr="00CE5206">
        <w:rPr>
          <w:rFonts w:ascii="Times New Roman" w:hAnsi="Times New Roman"/>
          <w:lang w:val="pt-BR"/>
        </w:rPr>
        <w:t xml:space="preserve"> de raios X dos </w:t>
      </w:r>
      <w:proofErr w:type="spellStart"/>
      <w:r w:rsidRPr="00CE5206">
        <w:rPr>
          <w:rFonts w:ascii="Times New Roman" w:hAnsi="Times New Roman"/>
          <w:lang w:val="pt-BR"/>
        </w:rPr>
        <w:t>MOFs</w:t>
      </w:r>
      <w:proofErr w:type="spellEnd"/>
      <w:r w:rsidRPr="00CE5206">
        <w:rPr>
          <w:rFonts w:ascii="Times New Roman" w:hAnsi="Times New Roman"/>
          <w:lang w:val="pt-BR"/>
        </w:rPr>
        <w:t xml:space="preserve"> sintetizados.</w:t>
      </w:r>
    </w:p>
    <w:p w14:paraId="19F706C5" w14:textId="77777777" w:rsidR="00CE5206" w:rsidRDefault="00CE5206" w:rsidP="00CE5206">
      <w:pPr>
        <w:rPr>
          <w:rFonts w:ascii="Times New Roman" w:hAnsi="Times New Roman"/>
        </w:rPr>
      </w:pPr>
    </w:p>
    <w:p w14:paraId="7F644015" w14:textId="00F8E9A6" w:rsidR="00EA4E1B" w:rsidRPr="00D24CDA" w:rsidRDefault="00CE5206" w:rsidP="003476CA">
      <w:pPr>
        <w:pStyle w:val="TAMainText"/>
        <w:rPr>
          <w:rFonts w:ascii="Times New Roman" w:hAnsi="Times New Roman"/>
          <w:lang w:val="pt-BR"/>
        </w:rPr>
      </w:pPr>
      <w:r w:rsidRPr="00D24CDA">
        <w:rPr>
          <w:rFonts w:ascii="Times New Roman" w:hAnsi="Times New Roman"/>
          <w:lang w:val="pt-BR"/>
        </w:rPr>
        <w:t xml:space="preserve">Pode-se observar que o UiO-66 de referência foi sintetizado com sucesso uma vez que seu </w:t>
      </w:r>
      <w:proofErr w:type="spellStart"/>
      <w:r w:rsidRPr="00D24CDA">
        <w:rPr>
          <w:rFonts w:ascii="Times New Roman" w:hAnsi="Times New Roman"/>
          <w:lang w:val="pt-BR"/>
        </w:rPr>
        <w:t>difratograma</w:t>
      </w:r>
      <w:proofErr w:type="spellEnd"/>
      <w:r w:rsidRPr="00D24CDA">
        <w:rPr>
          <w:rFonts w:ascii="Times New Roman" w:hAnsi="Times New Roman"/>
          <w:lang w:val="pt-BR"/>
        </w:rPr>
        <w:t xml:space="preserve"> coincide com o teórico. </w:t>
      </w:r>
      <w:r w:rsidRPr="00954906">
        <w:rPr>
          <w:rFonts w:ascii="Times New Roman" w:hAnsi="Times New Roman"/>
          <w:lang w:val="pt-BR"/>
        </w:rPr>
        <w:t xml:space="preserve">Com o aumento da quantidade de DPA na síntese, os </w:t>
      </w:r>
      <w:proofErr w:type="spellStart"/>
      <w:r w:rsidRPr="00954906">
        <w:rPr>
          <w:rFonts w:ascii="Times New Roman" w:hAnsi="Times New Roman"/>
          <w:lang w:val="pt-BR"/>
        </w:rPr>
        <w:t>MOFs</w:t>
      </w:r>
      <w:proofErr w:type="spellEnd"/>
      <w:r w:rsidRPr="00954906">
        <w:rPr>
          <w:rFonts w:ascii="Times New Roman" w:hAnsi="Times New Roman"/>
          <w:lang w:val="pt-BR"/>
        </w:rPr>
        <w:t xml:space="preserve"> perdem cristalinidade, o que pode ser observado pelo alargamento das duas primeiras reflexões entre 5-10° (2</w:t>
      </w:r>
      <w:r>
        <w:rPr>
          <w:rFonts w:ascii="Times New Roman" w:hAnsi="Times New Roman"/>
        </w:rPr>
        <w:t>θ</w:t>
      </w:r>
      <w:r w:rsidRPr="00954906">
        <w:rPr>
          <w:rFonts w:ascii="Times New Roman" w:hAnsi="Times New Roman"/>
          <w:lang w:val="pt-BR"/>
        </w:rPr>
        <w:t>) e pelo surgimento de um halo característico de materiais amorfos entre 20 e 35°, principalmente na amostra de UiO-66 dpa30.</w:t>
      </w:r>
      <w:r w:rsidR="004B2D46" w:rsidRPr="00954906">
        <w:rPr>
          <w:rFonts w:ascii="Times New Roman" w:hAnsi="Times New Roman"/>
          <w:lang w:val="pt-BR"/>
        </w:rPr>
        <w:t xml:space="preserve"> </w:t>
      </w:r>
      <w:r w:rsidR="004B2D46" w:rsidRPr="00D24CDA">
        <w:rPr>
          <w:rFonts w:ascii="Times New Roman" w:hAnsi="Times New Roman"/>
          <w:lang w:val="pt-BR"/>
        </w:rPr>
        <w:t xml:space="preserve">É possível constatar que a funcionalização com </w:t>
      </w:r>
      <w:proofErr w:type="spellStart"/>
      <w:r w:rsidR="004B2D46" w:rsidRPr="00D24CDA">
        <w:rPr>
          <w:rFonts w:ascii="Times New Roman" w:hAnsi="Times New Roman"/>
          <w:lang w:val="pt-BR"/>
        </w:rPr>
        <w:t>bromobutano</w:t>
      </w:r>
      <w:proofErr w:type="spellEnd"/>
      <w:r w:rsidR="004B2D46" w:rsidRPr="00D24CDA">
        <w:rPr>
          <w:rFonts w:ascii="Times New Roman" w:hAnsi="Times New Roman"/>
          <w:lang w:val="pt-BR"/>
        </w:rPr>
        <w:t xml:space="preserve"> não resultou em mudanças significativas nos padrões de difração dos </w:t>
      </w:r>
      <w:proofErr w:type="spellStart"/>
      <w:r w:rsidR="004B2D46" w:rsidRPr="00D24CDA">
        <w:rPr>
          <w:rFonts w:ascii="Times New Roman" w:hAnsi="Times New Roman"/>
          <w:lang w:val="pt-BR"/>
        </w:rPr>
        <w:t>MOFs</w:t>
      </w:r>
      <w:proofErr w:type="spellEnd"/>
      <w:r w:rsidR="004B2D46" w:rsidRPr="00D24CDA">
        <w:rPr>
          <w:rFonts w:ascii="Times New Roman" w:hAnsi="Times New Roman"/>
          <w:lang w:val="pt-BR"/>
        </w:rPr>
        <w:t>.</w:t>
      </w:r>
      <w:r w:rsidRPr="00D24CDA">
        <w:rPr>
          <w:rFonts w:ascii="Times New Roman" w:hAnsi="Times New Roman"/>
          <w:lang w:val="pt-BR"/>
        </w:rPr>
        <w:t xml:space="preserve"> </w:t>
      </w:r>
    </w:p>
    <w:p w14:paraId="03D4D72A" w14:textId="01CCDFF9" w:rsidR="000E2B0B" w:rsidRPr="000E2B0B" w:rsidRDefault="000E2B0B" w:rsidP="003476CA">
      <w:pPr>
        <w:pStyle w:val="TAMainText"/>
        <w:rPr>
          <w:rFonts w:ascii="Times New Roman" w:hAnsi="Times New Roman"/>
          <w:sz w:val="21"/>
          <w:szCs w:val="21"/>
          <w:lang w:val="pt-BR"/>
        </w:rPr>
      </w:pPr>
      <w:r w:rsidRPr="000E2B0B">
        <w:rPr>
          <w:rFonts w:ascii="Times New Roman" w:hAnsi="Times New Roman"/>
          <w:sz w:val="21"/>
          <w:szCs w:val="21"/>
          <w:lang w:val="pt-BR"/>
        </w:rPr>
        <w:t xml:space="preserve">A </w:t>
      </w:r>
      <w:r w:rsidRPr="000E2B0B">
        <w:rPr>
          <w:rFonts w:ascii="Times New Roman" w:hAnsi="Times New Roman"/>
          <w:b/>
          <w:bCs/>
          <w:sz w:val="21"/>
          <w:szCs w:val="21"/>
          <w:lang w:val="pt-BR"/>
        </w:rPr>
        <w:t>Figura 3</w:t>
      </w:r>
      <w:r w:rsidRPr="000E2B0B">
        <w:rPr>
          <w:rFonts w:ascii="Times New Roman" w:hAnsi="Times New Roman"/>
          <w:sz w:val="21"/>
          <w:szCs w:val="21"/>
          <w:lang w:val="pt-BR"/>
        </w:rPr>
        <w:t xml:space="preserve"> demonstra as isotermas de adsorção/dessorção de N</w:t>
      </w:r>
      <w:r w:rsidRPr="000E2B0B">
        <w:rPr>
          <w:rFonts w:ascii="Times New Roman" w:hAnsi="Times New Roman"/>
          <w:sz w:val="21"/>
          <w:szCs w:val="21"/>
          <w:vertAlign w:val="subscript"/>
          <w:lang w:val="pt-BR"/>
        </w:rPr>
        <w:t>2</w:t>
      </w:r>
      <w:r w:rsidRPr="000E2B0B">
        <w:rPr>
          <w:rFonts w:ascii="Times New Roman" w:hAnsi="Times New Roman"/>
          <w:sz w:val="21"/>
          <w:szCs w:val="21"/>
          <w:lang w:val="pt-BR"/>
        </w:rPr>
        <w:t xml:space="preserve"> do MOF de referência (UiO-66) e dos </w:t>
      </w:r>
      <w:proofErr w:type="spellStart"/>
      <w:r w:rsidRPr="000E2B0B">
        <w:rPr>
          <w:rFonts w:ascii="Times New Roman" w:hAnsi="Times New Roman"/>
          <w:sz w:val="21"/>
          <w:szCs w:val="21"/>
          <w:lang w:val="pt-BR"/>
        </w:rPr>
        <w:t>MOFs</w:t>
      </w:r>
      <w:proofErr w:type="spellEnd"/>
      <w:r w:rsidRPr="000E2B0B">
        <w:rPr>
          <w:rFonts w:ascii="Times New Roman" w:hAnsi="Times New Roman"/>
          <w:sz w:val="21"/>
          <w:szCs w:val="21"/>
          <w:lang w:val="pt-BR"/>
        </w:rPr>
        <w:t xml:space="preserve"> sintetizados com DPA.</w:t>
      </w:r>
      <w:r>
        <w:rPr>
          <w:rFonts w:ascii="Times New Roman" w:hAnsi="Times New Roman"/>
          <w:sz w:val="21"/>
          <w:szCs w:val="21"/>
          <w:lang w:val="pt-BR"/>
        </w:rPr>
        <w:t xml:space="preserve"> É possível observar que todos os materiais apresentam isotermas do tipo I, características de materiais microporosos</w:t>
      </w:r>
      <w:r w:rsidR="002C576E">
        <w:rPr>
          <w:rFonts w:ascii="Times New Roman" w:hAnsi="Times New Roman"/>
          <w:sz w:val="21"/>
          <w:szCs w:val="21"/>
          <w:lang w:val="pt-BR"/>
        </w:rPr>
        <w:t xml:space="preserve"> (7)</w:t>
      </w:r>
      <w:r>
        <w:rPr>
          <w:rFonts w:ascii="Times New Roman" w:hAnsi="Times New Roman"/>
          <w:sz w:val="21"/>
          <w:szCs w:val="21"/>
          <w:lang w:val="pt-BR"/>
        </w:rPr>
        <w:t>. É notável a diminuição da quantidade de N</w:t>
      </w:r>
      <w:r w:rsidRPr="000E2B0B">
        <w:rPr>
          <w:rFonts w:ascii="Times New Roman" w:hAnsi="Times New Roman"/>
          <w:sz w:val="21"/>
          <w:szCs w:val="21"/>
          <w:vertAlign w:val="subscript"/>
          <w:lang w:val="pt-BR"/>
        </w:rPr>
        <w:t>2</w:t>
      </w:r>
      <w:r>
        <w:rPr>
          <w:rFonts w:ascii="Times New Roman" w:hAnsi="Times New Roman"/>
          <w:sz w:val="21"/>
          <w:szCs w:val="21"/>
          <w:lang w:val="pt-BR"/>
        </w:rPr>
        <w:t xml:space="preserve"> adsorvida quando mais DPA é adicionado na síntese dos materiais, o que está de acordo com a diminuição da cristalinidade observada por difração de raios X. A área específica </w:t>
      </w:r>
      <w:r>
        <w:rPr>
          <w:rFonts w:ascii="Times New Roman" w:hAnsi="Times New Roman"/>
          <w:sz w:val="21"/>
          <w:szCs w:val="21"/>
          <w:lang w:val="pt-BR"/>
        </w:rPr>
        <w:t>(S</w:t>
      </w:r>
      <w:r w:rsidRPr="000E2B0B">
        <w:rPr>
          <w:rFonts w:ascii="Times New Roman" w:hAnsi="Times New Roman"/>
          <w:sz w:val="21"/>
          <w:szCs w:val="21"/>
          <w:vertAlign w:val="subscript"/>
          <w:lang w:val="pt-BR"/>
        </w:rPr>
        <w:t>BET</w:t>
      </w:r>
      <w:r>
        <w:rPr>
          <w:rFonts w:ascii="Times New Roman" w:hAnsi="Times New Roman"/>
          <w:sz w:val="21"/>
          <w:szCs w:val="21"/>
          <w:lang w:val="pt-BR"/>
        </w:rPr>
        <w:t>)</w:t>
      </w:r>
      <w:r w:rsidR="00457921">
        <w:rPr>
          <w:rFonts w:ascii="Times New Roman" w:hAnsi="Times New Roman"/>
          <w:sz w:val="21"/>
          <w:szCs w:val="21"/>
          <w:lang w:val="pt-BR"/>
        </w:rPr>
        <w:t xml:space="preserve">, volume de </w:t>
      </w:r>
      <w:proofErr w:type="spellStart"/>
      <w:r w:rsidR="00457921">
        <w:rPr>
          <w:rFonts w:ascii="Times New Roman" w:hAnsi="Times New Roman"/>
          <w:sz w:val="21"/>
          <w:szCs w:val="21"/>
          <w:lang w:val="pt-BR"/>
        </w:rPr>
        <w:t>microporo</w:t>
      </w:r>
      <w:proofErr w:type="spellEnd"/>
      <w:r w:rsidR="00457921">
        <w:rPr>
          <w:rFonts w:ascii="Times New Roman" w:hAnsi="Times New Roman"/>
          <w:sz w:val="21"/>
          <w:szCs w:val="21"/>
          <w:lang w:val="pt-BR"/>
        </w:rPr>
        <w:t xml:space="preserve"> (Vµ) </w:t>
      </w:r>
      <w:r>
        <w:rPr>
          <w:rFonts w:ascii="Times New Roman" w:hAnsi="Times New Roman"/>
          <w:sz w:val="21"/>
          <w:szCs w:val="21"/>
          <w:lang w:val="pt-BR"/>
        </w:rPr>
        <w:t>e o volume total de poros (V</w:t>
      </w:r>
      <w:r w:rsidR="00457921" w:rsidRPr="00457921">
        <w:rPr>
          <w:rFonts w:ascii="Times New Roman" w:hAnsi="Times New Roman"/>
          <w:sz w:val="21"/>
          <w:szCs w:val="21"/>
          <w:lang w:val="pt-BR"/>
        </w:rPr>
        <w:t>TP</w:t>
      </w:r>
      <w:r>
        <w:rPr>
          <w:rFonts w:ascii="Times New Roman" w:hAnsi="Times New Roman"/>
          <w:sz w:val="21"/>
          <w:szCs w:val="21"/>
          <w:lang w:val="pt-BR"/>
        </w:rPr>
        <w:t xml:space="preserve">) dos </w:t>
      </w:r>
      <w:proofErr w:type="spellStart"/>
      <w:r>
        <w:rPr>
          <w:rFonts w:ascii="Times New Roman" w:hAnsi="Times New Roman"/>
          <w:sz w:val="21"/>
          <w:szCs w:val="21"/>
          <w:lang w:val="pt-BR"/>
        </w:rPr>
        <w:t>MOFs</w:t>
      </w:r>
      <w:proofErr w:type="spellEnd"/>
      <w:r>
        <w:rPr>
          <w:rFonts w:ascii="Times New Roman" w:hAnsi="Times New Roman"/>
          <w:sz w:val="21"/>
          <w:szCs w:val="21"/>
          <w:lang w:val="pt-BR"/>
        </w:rPr>
        <w:t xml:space="preserve"> estão representados na </w:t>
      </w:r>
      <w:r w:rsidRPr="000E2B0B">
        <w:rPr>
          <w:rFonts w:ascii="Times New Roman" w:hAnsi="Times New Roman"/>
          <w:b/>
          <w:bCs/>
          <w:sz w:val="21"/>
          <w:szCs w:val="21"/>
          <w:lang w:val="pt-BR"/>
        </w:rPr>
        <w:t>Tabela 1</w:t>
      </w:r>
      <w:r>
        <w:rPr>
          <w:rFonts w:ascii="Times New Roman" w:hAnsi="Times New Roman"/>
          <w:sz w:val="21"/>
          <w:szCs w:val="21"/>
          <w:lang w:val="pt-BR"/>
        </w:rPr>
        <w:t>.</w:t>
      </w:r>
    </w:p>
    <w:p w14:paraId="51038565" w14:textId="77777777" w:rsidR="000E2B0B" w:rsidRDefault="000E2B0B" w:rsidP="00EA4E1B">
      <w:pPr>
        <w:pStyle w:val="TAMainText"/>
        <w:rPr>
          <w:lang w:val="pt-BR"/>
        </w:rPr>
      </w:pPr>
    </w:p>
    <w:p w14:paraId="20A54712" w14:textId="63AE92A7" w:rsidR="00001DE7" w:rsidRDefault="00042B23" w:rsidP="00001DE7">
      <w:pPr>
        <w:jc w:val="center"/>
      </w:pPr>
      <w:r w:rsidRPr="00042B23">
        <w:rPr>
          <w:noProof/>
        </w:rPr>
        <w:drawing>
          <wp:inline distT="0" distB="0" distL="0" distR="0" wp14:anchorId="42B80721" wp14:editId="4A2D25FA">
            <wp:extent cx="3031206" cy="2557083"/>
            <wp:effectExtent l="0" t="0" r="0" b="0"/>
            <wp:docPr id="50315488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219" t="8031" r="12579" b="3589"/>
                    <a:stretch/>
                  </pic:blipFill>
                  <pic:spPr bwMode="auto">
                    <a:xfrm>
                      <a:off x="0" y="0"/>
                      <a:ext cx="3045691" cy="2569303"/>
                    </a:xfrm>
                    <a:prstGeom prst="rect">
                      <a:avLst/>
                    </a:prstGeom>
                    <a:noFill/>
                    <a:ln>
                      <a:noFill/>
                    </a:ln>
                    <a:extLst>
                      <a:ext uri="{53640926-AAD7-44D8-BBD7-CCE9431645EC}">
                        <a14:shadowObscured xmlns:a14="http://schemas.microsoft.com/office/drawing/2010/main"/>
                      </a:ext>
                    </a:extLst>
                  </pic:spPr>
                </pic:pic>
              </a:graphicData>
            </a:graphic>
          </wp:inline>
        </w:drawing>
      </w:r>
      <w:r w:rsidR="00001DE7" w:rsidRPr="00CE5206">
        <w:t xml:space="preserve"> </w:t>
      </w:r>
    </w:p>
    <w:p w14:paraId="7FA435BB" w14:textId="26BEFEB3" w:rsidR="00001DE7" w:rsidRDefault="00001DE7" w:rsidP="00001DE7">
      <w:pPr>
        <w:pStyle w:val="VAFigureCaption"/>
        <w:spacing w:before="0"/>
        <w:rPr>
          <w:rFonts w:ascii="Times New Roman" w:hAnsi="Times New Roman"/>
          <w:lang w:val="pt-BR"/>
        </w:rPr>
      </w:pPr>
      <w:r w:rsidRPr="00E038AF">
        <w:rPr>
          <w:rFonts w:ascii="Times New Roman" w:hAnsi="Times New Roman"/>
          <w:b/>
          <w:lang w:val="pt-BR"/>
        </w:rPr>
        <w:t xml:space="preserve">Figura </w:t>
      </w:r>
      <w:r w:rsidR="000E2B0B">
        <w:rPr>
          <w:rFonts w:ascii="Times New Roman" w:hAnsi="Times New Roman"/>
          <w:b/>
          <w:lang w:val="pt-BR"/>
        </w:rPr>
        <w:t>3</w:t>
      </w:r>
      <w:r w:rsidRPr="00E038AF">
        <w:rPr>
          <w:rFonts w:ascii="Times New Roman" w:hAnsi="Times New Roman"/>
          <w:b/>
          <w:lang w:val="pt-BR"/>
        </w:rPr>
        <w:t>.</w:t>
      </w:r>
      <w:r w:rsidRPr="00E038AF">
        <w:rPr>
          <w:rFonts w:ascii="Times New Roman" w:hAnsi="Times New Roman"/>
          <w:lang w:val="pt-BR"/>
        </w:rPr>
        <w:t xml:space="preserve"> </w:t>
      </w:r>
      <w:r>
        <w:rPr>
          <w:rFonts w:ascii="Times New Roman" w:hAnsi="Times New Roman"/>
          <w:lang w:val="pt-BR"/>
        </w:rPr>
        <w:t>Isotermas de adsorção/dessorção de N</w:t>
      </w:r>
      <w:r w:rsidRPr="00001DE7">
        <w:rPr>
          <w:rFonts w:ascii="Times New Roman" w:hAnsi="Times New Roman"/>
          <w:vertAlign w:val="subscript"/>
          <w:lang w:val="pt-BR"/>
        </w:rPr>
        <w:t>2</w:t>
      </w:r>
      <w:r>
        <w:rPr>
          <w:rFonts w:ascii="Times New Roman" w:hAnsi="Times New Roman"/>
          <w:lang w:val="pt-BR"/>
        </w:rPr>
        <w:t xml:space="preserve"> dos </w:t>
      </w:r>
      <w:proofErr w:type="spellStart"/>
      <w:r>
        <w:rPr>
          <w:rFonts w:ascii="Times New Roman" w:hAnsi="Times New Roman"/>
          <w:lang w:val="pt-BR"/>
        </w:rPr>
        <w:t>MOFs</w:t>
      </w:r>
      <w:proofErr w:type="spellEnd"/>
      <w:r>
        <w:rPr>
          <w:rFonts w:ascii="Times New Roman" w:hAnsi="Times New Roman"/>
          <w:lang w:val="pt-BR"/>
        </w:rPr>
        <w:t xml:space="preserve"> sintetizados</w:t>
      </w:r>
      <w:r w:rsidRPr="00CE5206">
        <w:rPr>
          <w:rFonts w:ascii="Times New Roman" w:hAnsi="Times New Roman"/>
          <w:lang w:val="pt-BR"/>
        </w:rPr>
        <w:t>.</w:t>
      </w:r>
    </w:p>
    <w:p w14:paraId="14CE5870" w14:textId="77777777" w:rsidR="000E2B0B" w:rsidRDefault="000E2B0B" w:rsidP="000E2B0B">
      <w:pPr>
        <w:pStyle w:val="TAMainText"/>
        <w:ind w:firstLine="0"/>
        <w:rPr>
          <w:lang w:val="pt-BR"/>
        </w:rPr>
      </w:pPr>
    </w:p>
    <w:p w14:paraId="2B123696" w14:textId="7C1D2D48" w:rsidR="000E2B0B" w:rsidRDefault="000E2B0B" w:rsidP="003476CA">
      <w:pPr>
        <w:pStyle w:val="TAMainText"/>
        <w:rPr>
          <w:rFonts w:ascii="Times New Roman" w:hAnsi="Times New Roman"/>
          <w:sz w:val="21"/>
          <w:szCs w:val="21"/>
          <w:lang w:val="pt-BR"/>
        </w:rPr>
      </w:pPr>
      <w:r>
        <w:rPr>
          <w:rFonts w:ascii="Times New Roman" w:hAnsi="Times New Roman"/>
          <w:sz w:val="21"/>
          <w:szCs w:val="21"/>
          <w:lang w:val="pt-BR"/>
        </w:rPr>
        <w:t>Como esperado pelos resultados de quantidade de N</w:t>
      </w:r>
      <w:r w:rsidRPr="00EB50B8">
        <w:rPr>
          <w:rFonts w:ascii="Times New Roman" w:hAnsi="Times New Roman"/>
          <w:sz w:val="21"/>
          <w:szCs w:val="21"/>
          <w:vertAlign w:val="subscript"/>
          <w:lang w:val="pt-BR"/>
        </w:rPr>
        <w:t>2</w:t>
      </w:r>
      <w:r>
        <w:rPr>
          <w:rFonts w:ascii="Times New Roman" w:hAnsi="Times New Roman"/>
          <w:sz w:val="21"/>
          <w:szCs w:val="21"/>
          <w:lang w:val="pt-BR"/>
        </w:rPr>
        <w:t xml:space="preserve"> adsorvida, a área específica dos </w:t>
      </w:r>
      <w:proofErr w:type="spellStart"/>
      <w:r>
        <w:rPr>
          <w:rFonts w:ascii="Times New Roman" w:hAnsi="Times New Roman"/>
          <w:sz w:val="21"/>
          <w:szCs w:val="21"/>
          <w:lang w:val="pt-BR"/>
        </w:rPr>
        <w:t>MOFs</w:t>
      </w:r>
      <w:proofErr w:type="spellEnd"/>
      <w:r>
        <w:rPr>
          <w:rFonts w:ascii="Times New Roman" w:hAnsi="Times New Roman"/>
          <w:sz w:val="21"/>
          <w:szCs w:val="21"/>
          <w:lang w:val="pt-BR"/>
        </w:rPr>
        <w:t xml:space="preserve"> decai de 914 m</w:t>
      </w:r>
      <w:r w:rsidRPr="00EB50B8">
        <w:rPr>
          <w:rFonts w:ascii="Times New Roman" w:hAnsi="Times New Roman"/>
          <w:sz w:val="21"/>
          <w:szCs w:val="21"/>
          <w:vertAlign w:val="superscript"/>
          <w:lang w:val="pt-BR"/>
        </w:rPr>
        <w:t>2</w:t>
      </w:r>
      <w:r>
        <w:rPr>
          <w:rFonts w:ascii="Times New Roman" w:hAnsi="Times New Roman"/>
          <w:sz w:val="21"/>
          <w:szCs w:val="21"/>
          <w:lang w:val="pt-BR"/>
        </w:rPr>
        <w:t>/g no UiO-66 de referência para 312 m</w:t>
      </w:r>
      <w:r w:rsidRPr="00EB50B8">
        <w:rPr>
          <w:rFonts w:ascii="Times New Roman" w:hAnsi="Times New Roman"/>
          <w:sz w:val="21"/>
          <w:szCs w:val="21"/>
          <w:vertAlign w:val="superscript"/>
          <w:lang w:val="pt-BR"/>
        </w:rPr>
        <w:t>2</w:t>
      </w:r>
      <w:r>
        <w:rPr>
          <w:rFonts w:ascii="Times New Roman" w:hAnsi="Times New Roman"/>
          <w:sz w:val="21"/>
          <w:szCs w:val="21"/>
          <w:lang w:val="pt-BR"/>
        </w:rPr>
        <w:t>/g no MOF com maior quantidade de DPA utilizada na síntese.</w:t>
      </w:r>
      <w:r w:rsidR="00457921">
        <w:rPr>
          <w:rFonts w:ascii="Times New Roman" w:hAnsi="Times New Roman"/>
          <w:sz w:val="21"/>
          <w:szCs w:val="21"/>
          <w:lang w:val="pt-BR"/>
        </w:rPr>
        <w:t xml:space="preserve"> </w:t>
      </w:r>
      <w:r>
        <w:rPr>
          <w:rFonts w:ascii="Times New Roman" w:hAnsi="Times New Roman"/>
          <w:sz w:val="21"/>
          <w:szCs w:val="21"/>
          <w:lang w:val="pt-BR"/>
        </w:rPr>
        <w:t xml:space="preserve"> O</w:t>
      </w:r>
      <w:r w:rsidR="00457921">
        <w:rPr>
          <w:rFonts w:ascii="Times New Roman" w:hAnsi="Times New Roman"/>
          <w:sz w:val="21"/>
          <w:szCs w:val="21"/>
          <w:lang w:val="pt-BR"/>
        </w:rPr>
        <w:t>s</w:t>
      </w:r>
      <w:r>
        <w:rPr>
          <w:rFonts w:ascii="Times New Roman" w:hAnsi="Times New Roman"/>
          <w:sz w:val="21"/>
          <w:szCs w:val="21"/>
          <w:lang w:val="pt-BR"/>
        </w:rPr>
        <w:t xml:space="preserve"> volume</w:t>
      </w:r>
      <w:r w:rsidR="00457921">
        <w:rPr>
          <w:rFonts w:ascii="Times New Roman" w:hAnsi="Times New Roman"/>
          <w:sz w:val="21"/>
          <w:szCs w:val="21"/>
          <w:lang w:val="pt-BR"/>
        </w:rPr>
        <w:t>s</w:t>
      </w:r>
      <w:r>
        <w:rPr>
          <w:rFonts w:ascii="Times New Roman" w:hAnsi="Times New Roman"/>
          <w:sz w:val="21"/>
          <w:szCs w:val="21"/>
          <w:lang w:val="pt-BR"/>
        </w:rPr>
        <w:t xml:space="preserve"> </w:t>
      </w:r>
      <w:r w:rsidR="00457921">
        <w:rPr>
          <w:rFonts w:ascii="Times New Roman" w:hAnsi="Times New Roman"/>
          <w:sz w:val="21"/>
          <w:szCs w:val="21"/>
          <w:lang w:val="pt-BR"/>
        </w:rPr>
        <w:t xml:space="preserve">de </w:t>
      </w:r>
      <w:proofErr w:type="spellStart"/>
      <w:r w:rsidR="00457921">
        <w:rPr>
          <w:rFonts w:ascii="Times New Roman" w:hAnsi="Times New Roman"/>
          <w:sz w:val="21"/>
          <w:szCs w:val="21"/>
          <w:lang w:val="pt-BR"/>
        </w:rPr>
        <w:t>microporo</w:t>
      </w:r>
      <w:proofErr w:type="spellEnd"/>
      <w:r w:rsidR="00457921">
        <w:rPr>
          <w:rFonts w:ascii="Times New Roman" w:hAnsi="Times New Roman"/>
          <w:sz w:val="21"/>
          <w:szCs w:val="21"/>
          <w:lang w:val="pt-BR"/>
        </w:rPr>
        <w:t xml:space="preserve"> e </w:t>
      </w:r>
      <w:r>
        <w:rPr>
          <w:rFonts w:ascii="Times New Roman" w:hAnsi="Times New Roman"/>
          <w:sz w:val="21"/>
          <w:szCs w:val="21"/>
          <w:lang w:val="pt-BR"/>
        </w:rPr>
        <w:t xml:space="preserve">total de poros </w:t>
      </w:r>
      <w:r w:rsidR="00EB50B8">
        <w:rPr>
          <w:rFonts w:ascii="Times New Roman" w:hAnsi="Times New Roman"/>
          <w:sz w:val="21"/>
          <w:szCs w:val="21"/>
          <w:lang w:val="pt-BR"/>
        </w:rPr>
        <w:t>segue</w:t>
      </w:r>
      <w:r w:rsidR="00457921">
        <w:rPr>
          <w:rFonts w:ascii="Times New Roman" w:hAnsi="Times New Roman"/>
          <w:sz w:val="21"/>
          <w:szCs w:val="21"/>
          <w:lang w:val="pt-BR"/>
        </w:rPr>
        <w:t>m</w:t>
      </w:r>
      <w:r w:rsidR="00EB50B8">
        <w:rPr>
          <w:rFonts w:ascii="Times New Roman" w:hAnsi="Times New Roman"/>
          <w:sz w:val="21"/>
          <w:szCs w:val="21"/>
          <w:lang w:val="pt-BR"/>
        </w:rPr>
        <w:t xml:space="preserve"> a mesma tendência </w:t>
      </w:r>
      <w:r w:rsidR="00821F1F">
        <w:rPr>
          <w:rFonts w:ascii="Times New Roman" w:hAnsi="Times New Roman"/>
          <w:sz w:val="21"/>
          <w:szCs w:val="21"/>
          <w:lang w:val="pt-BR"/>
        </w:rPr>
        <w:t xml:space="preserve">de diminuição </w:t>
      </w:r>
      <w:r w:rsidR="00EB50B8">
        <w:rPr>
          <w:rFonts w:ascii="Times New Roman" w:hAnsi="Times New Roman"/>
          <w:sz w:val="21"/>
          <w:szCs w:val="21"/>
          <w:lang w:val="pt-BR"/>
        </w:rPr>
        <w:t>observada para as áreas específicas</w:t>
      </w:r>
      <w:r w:rsidR="00457921">
        <w:rPr>
          <w:rFonts w:ascii="Times New Roman" w:hAnsi="Times New Roman"/>
          <w:sz w:val="21"/>
          <w:szCs w:val="21"/>
          <w:lang w:val="pt-BR"/>
        </w:rPr>
        <w:t xml:space="preserve"> </w:t>
      </w:r>
      <w:r w:rsidR="00EB50B8">
        <w:rPr>
          <w:rFonts w:ascii="Times New Roman" w:hAnsi="Times New Roman"/>
          <w:sz w:val="21"/>
          <w:szCs w:val="21"/>
          <w:lang w:val="pt-BR"/>
        </w:rPr>
        <w:t xml:space="preserve">dos </w:t>
      </w:r>
      <w:proofErr w:type="spellStart"/>
      <w:r w:rsidR="00EB50B8">
        <w:rPr>
          <w:rFonts w:ascii="Times New Roman" w:hAnsi="Times New Roman"/>
          <w:sz w:val="21"/>
          <w:szCs w:val="21"/>
          <w:lang w:val="pt-BR"/>
        </w:rPr>
        <w:t>MOFs</w:t>
      </w:r>
      <w:proofErr w:type="spellEnd"/>
      <w:r w:rsidR="00821F1F">
        <w:rPr>
          <w:rFonts w:ascii="Times New Roman" w:hAnsi="Times New Roman"/>
          <w:sz w:val="21"/>
          <w:szCs w:val="21"/>
          <w:lang w:val="pt-BR"/>
        </w:rPr>
        <w:t xml:space="preserve"> sintetizados com DPA em relação ao UiO-66 de referência</w:t>
      </w:r>
      <w:r w:rsidR="00EB50B8">
        <w:rPr>
          <w:rFonts w:ascii="Times New Roman" w:hAnsi="Times New Roman"/>
          <w:sz w:val="21"/>
          <w:szCs w:val="21"/>
          <w:lang w:val="pt-BR"/>
        </w:rPr>
        <w:t>.</w:t>
      </w:r>
      <w:r w:rsidR="00BB22B8">
        <w:rPr>
          <w:rFonts w:ascii="Times New Roman" w:hAnsi="Times New Roman"/>
          <w:sz w:val="21"/>
          <w:szCs w:val="21"/>
          <w:lang w:val="pt-BR"/>
        </w:rPr>
        <w:t xml:space="preserve"> As isotermas de adsorção/dessorção de N</w:t>
      </w:r>
      <w:r w:rsidR="00BB22B8" w:rsidRPr="00BB22B8">
        <w:rPr>
          <w:rFonts w:ascii="Times New Roman" w:hAnsi="Times New Roman"/>
          <w:sz w:val="21"/>
          <w:szCs w:val="21"/>
          <w:vertAlign w:val="subscript"/>
          <w:lang w:val="pt-BR"/>
        </w:rPr>
        <w:t>2</w:t>
      </w:r>
      <w:r w:rsidR="00BB22B8">
        <w:rPr>
          <w:rFonts w:ascii="Times New Roman" w:hAnsi="Times New Roman"/>
          <w:sz w:val="21"/>
          <w:szCs w:val="21"/>
          <w:lang w:val="pt-BR"/>
        </w:rPr>
        <w:t xml:space="preserve"> dos materiais funcionalizados estão em andamento no momento da escrita deste trabalho. </w:t>
      </w:r>
    </w:p>
    <w:p w14:paraId="58865881" w14:textId="77777777" w:rsidR="000E2B0B" w:rsidRDefault="000E2B0B" w:rsidP="000E2B0B">
      <w:pPr>
        <w:pStyle w:val="TAMainText"/>
        <w:ind w:firstLine="0"/>
        <w:rPr>
          <w:lang w:val="pt-BR"/>
        </w:rPr>
      </w:pPr>
    </w:p>
    <w:p w14:paraId="6E5423B4" w14:textId="1D2DB740" w:rsidR="005D1A73" w:rsidRPr="00A2795B" w:rsidRDefault="005D1A73" w:rsidP="005D1A73">
      <w:pPr>
        <w:pStyle w:val="TAMainText"/>
        <w:ind w:firstLine="0"/>
        <w:rPr>
          <w:rFonts w:ascii="Times New Roman" w:hAnsi="Times New Roman"/>
          <w:bCs/>
          <w:lang w:val="pt-BR"/>
        </w:rPr>
      </w:pPr>
      <w:r w:rsidRPr="00E038AF">
        <w:rPr>
          <w:rFonts w:ascii="Times New Roman" w:hAnsi="Times New Roman"/>
          <w:b/>
          <w:lang w:val="pt-BR"/>
        </w:rPr>
        <w:t>Tabela 1.</w:t>
      </w:r>
      <w:r>
        <w:rPr>
          <w:rFonts w:ascii="Times New Roman" w:hAnsi="Times New Roman"/>
          <w:b/>
          <w:lang w:val="pt-BR"/>
        </w:rPr>
        <w:t xml:space="preserve"> </w:t>
      </w:r>
      <w:r>
        <w:rPr>
          <w:rFonts w:ascii="Times New Roman" w:hAnsi="Times New Roman"/>
          <w:bCs/>
          <w:lang w:val="pt-BR"/>
        </w:rPr>
        <w:t>Porcentagem de nitrogênio e propriedades</w:t>
      </w:r>
      <w:r w:rsidRPr="00A2795B">
        <w:rPr>
          <w:rFonts w:ascii="Times New Roman" w:hAnsi="Times New Roman"/>
          <w:bCs/>
          <w:lang w:val="pt-BR"/>
        </w:rPr>
        <w:t xml:space="preserve"> texturais das amostras</w:t>
      </w:r>
      <w:r>
        <w:rPr>
          <w:rFonts w:ascii="Times New Roman" w:hAnsi="Times New Roman"/>
          <w:bCs/>
          <w:lang w:val="pt-BR"/>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14"/>
        <w:gridCol w:w="656"/>
        <w:gridCol w:w="1052"/>
        <w:gridCol w:w="877"/>
        <w:gridCol w:w="959"/>
      </w:tblGrid>
      <w:tr w:rsidR="00D3077D" w:rsidRPr="008C16F4" w14:paraId="220FFD71" w14:textId="77777777" w:rsidTr="00D3077D">
        <w:trPr>
          <w:trHeight w:val="209"/>
          <w:jc w:val="center"/>
        </w:trPr>
        <w:tc>
          <w:tcPr>
            <w:tcW w:w="1214" w:type="dxa"/>
            <w:vAlign w:val="center"/>
          </w:tcPr>
          <w:p w14:paraId="2CEAB3D1" w14:textId="77777777" w:rsidR="00D3077D" w:rsidRPr="005D1A73" w:rsidRDefault="00D3077D" w:rsidP="009A1640">
            <w:pPr>
              <w:pStyle w:val="TCTableBody"/>
              <w:spacing w:after="0" w:line="240" w:lineRule="auto"/>
              <w:jc w:val="center"/>
              <w:rPr>
                <w:rFonts w:ascii="Times New Roman" w:hAnsi="Times New Roman"/>
                <w:lang w:val="pt-BR"/>
              </w:rPr>
            </w:pPr>
            <w:proofErr w:type="spellStart"/>
            <w:r w:rsidRPr="005D1A73">
              <w:rPr>
                <w:rFonts w:ascii="Times New Roman" w:hAnsi="Times New Roman"/>
                <w:b/>
                <w:szCs w:val="24"/>
              </w:rPr>
              <w:t>Amostra</w:t>
            </w:r>
            <w:proofErr w:type="spellEnd"/>
          </w:p>
        </w:tc>
        <w:tc>
          <w:tcPr>
            <w:tcW w:w="656" w:type="dxa"/>
            <w:vAlign w:val="center"/>
          </w:tcPr>
          <w:p w14:paraId="4301237B" w14:textId="2D669D6B" w:rsidR="00D3077D" w:rsidRPr="005D1A73" w:rsidRDefault="00D3077D" w:rsidP="005D1A73">
            <w:pPr>
              <w:pStyle w:val="TCTableBody"/>
              <w:spacing w:after="0" w:line="240" w:lineRule="auto"/>
              <w:jc w:val="center"/>
              <w:rPr>
                <w:rFonts w:ascii="Times New Roman" w:hAnsi="Times New Roman"/>
                <w:b/>
                <w:bCs/>
                <w:szCs w:val="18"/>
                <w:lang w:val="pt-BR"/>
              </w:rPr>
            </w:pPr>
            <w:r w:rsidRPr="005D1A73">
              <w:rPr>
                <w:rFonts w:ascii="Times New Roman" w:hAnsi="Times New Roman"/>
                <w:b/>
                <w:bCs/>
                <w:szCs w:val="18"/>
                <w:lang w:val="pt-BR"/>
              </w:rPr>
              <w:t>% N</w:t>
            </w:r>
          </w:p>
        </w:tc>
        <w:tc>
          <w:tcPr>
            <w:tcW w:w="1052" w:type="dxa"/>
            <w:vAlign w:val="center"/>
          </w:tcPr>
          <w:p w14:paraId="1DBAF543" w14:textId="2307F5BF" w:rsidR="00D3077D" w:rsidRPr="005D1A73" w:rsidRDefault="00D3077D" w:rsidP="009A1640">
            <w:pPr>
              <w:pStyle w:val="TCTableBody"/>
              <w:spacing w:after="0" w:line="240" w:lineRule="auto"/>
              <w:jc w:val="center"/>
              <w:rPr>
                <w:rFonts w:ascii="Times New Roman" w:hAnsi="Times New Roman"/>
                <w:b/>
                <w:bCs/>
                <w:i/>
                <w:iCs/>
                <w:color w:val="000000"/>
                <w:szCs w:val="18"/>
              </w:rPr>
            </w:pPr>
            <w:r w:rsidRPr="005D1A73">
              <w:rPr>
                <w:rFonts w:ascii="Times New Roman" w:hAnsi="Times New Roman"/>
                <w:b/>
                <w:bCs/>
                <w:i/>
                <w:iCs/>
                <w:color w:val="000000"/>
                <w:szCs w:val="18"/>
              </w:rPr>
              <w:t>S</w:t>
            </w:r>
            <w:r w:rsidRPr="005D1A73">
              <w:rPr>
                <w:rFonts w:ascii="Times New Roman" w:hAnsi="Times New Roman"/>
                <w:b/>
                <w:bCs/>
                <w:i/>
                <w:iCs/>
                <w:color w:val="000000"/>
                <w:szCs w:val="18"/>
                <w:vertAlign w:val="subscript"/>
              </w:rPr>
              <w:t>BET</w:t>
            </w:r>
            <w:r w:rsidRPr="005D1A73">
              <w:rPr>
                <w:rFonts w:ascii="Times New Roman" w:hAnsi="Times New Roman"/>
                <w:b/>
                <w:bCs/>
                <w:i/>
                <w:iCs/>
                <w:color w:val="000000"/>
                <w:szCs w:val="18"/>
              </w:rPr>
              <w:t xml:space="preserve"> (m</w:t>
            </w:r>
            <w:r w:rsidRPr="005D1A73">
              <w:rPr>
                <w:rFonts w:ascii="Times New Roman" w:hAnsi="Times New Roman"/>
                <w:b/>
                <w:bCs/>
                <w:i/>
                <w:iCs/>
                <w:color w:val="000000"/>
                <w:szCs w:val="18"/>
                <w:vertAlign w:val="superscript"/>
              </w:rPr>
              <w:t>2</w:t>
            </w:r>
            <w:r w:rsidRPr="005D1A73">
              <w:rPr>
                <w:rFonts w:ascii="Times New Roman" w:hAnsi="Times New Roman"/>
                <w:b/>
                <w:bCs/>
                <w:i/>
                <w:iCs/>
                <w:color w:val="000000"/>
                <w:szCs w:val="18"/>
              </w:rPr>
              <w:t>/g)</w:t>
            </w:r>
          </w:p>
        </w:tc>
        <w:tc>
          <w:tcPr>
            <w:tcW w:w="877" w:type="dxa"/>
          </w:tcPr>
          <w:p w14:paraId="41438296" w14:textId="662EF7BC" w:rsidR="00D3077D" w:rsidRPr="005D1A73" w:rsidRDefault="00D3077D" w:rsidP="009A1640">
            <w:pPr>
              <w:pStyle w:val="TCTableBody"/>
              <w:spacing w:after="0" w:line="240" w:lineRule="auto"/>
              <w:jc w:val="center"/>
              <w:rPr>
                <w:rFonts w:ascii="Times New Roman" w:hAnsi="Times New Roman"/>
                <w:b/>
                <w:bCs/>
                <w:i/>
                <w:iCs/>
                <w:color w:val="000000"/>
                <w:szCs w:val="18"/>
              </w:rPr>
            </w:pPr>
            <w:r w:rsidRPr="005D1A73">
              <w:rPr>
                <w:rFonts w:ascii="Times New Roman" w:hAnsi="Times New Roman"/>
                <w:b/>
                <w:bCs/>
                <w:i/>
                <w:iCs/>
                <w:color w:val="000000"/>
                <w:szCs w:val="18"/>
              </w:rPr>
              <w:t>V</w:t>
            </w:r>
            <w:r w:rsidRPr="00D3077D">
              <w:rPr>
                <w:rFonts w:ascii="Times New Roman" w:hAnsi="Times New Roman"/>
                <w:b/>
                <w:bCs/>
                <w:i/>
                <w:iCs/>
                <w:color w:val="000000"/>
                <w:szCs w:val="18"/>
              </w:rPr>
              <w:t xml:space="preserve">µ </w:t>
            </w:r>
            <w:r w:rsidRPr="005D1A73">
              <w:rPr>
                <w:rFonts w:ascii="Times New Roman" w:hAnsi="Times New Roman"/>
                <w:b/>
                <w:bCs/>
                <w:i/>
                <w:iCs/>
                <w:color w:val="000000"/>
                <w:szCs w:val="18"/>
              </w:rPr>
              <w:t>(cm</w:t>
            </w:r>
            <w:r w:rsidRPr="005D1A73">
              <w:rPr>
                <w:rFonts w:ascii="Times New Roman" w:hAnsi="Times New Roman"/>
                <w:b/>
                <w:bCs/>
                <w:i/>
                <w:iCs/>
                <w:color w:val="000000"/>
                <w:szCs w:val="18"/>
                <w:vertAlign w:val="superscript"/>
              </w:rPr>
              <w:t>3</w:t>
            </w:r>
            <w:r w:rsidRPr="005D1A73">
              <w:rPr>
                <w:rFonts w:ascii="Times New Roman" w:hAnsi="Times New Roman"/>
                <w:b/>
                <w:bCs/>
                <w:i/>
                <w:iCs/>
                <w:color w:val="000000"/>
                <w:szCs w:val="18"/>
              </w:rPr>
              <w:t>/g)</w:t>
            </w:r>
          </w:p>
        </w:tc>
        <w:tc>
          <w:tcPr>
            <w:tcW w:w="959" w:type="dxa"/>
            <w:vAlign w:val="center"/>
          </w:tcPr>
          <w:p w14:paraId="285FBB12" w14:textId="0DFA1FD6" w:rsidR="00D3077D" w:rsidRPr="005D1A73" w:rsidRDefault="00D3077D" w:rsidP="009A1640">
            <w:pPr>
              <w:pStyle w:val="TCTableBody"/>
              <w:spacing w:after="0" w:line="240" w:lineRule="auto"/>
              <w:jc w:val="center"/>
              <w:rPr>
                <w:rFonts w:ascii="Times New Roman" w:hAnsi="Times New Roman"/>
                <w:b/>
                <w:bCs/>
                <w:i/>
                <w:iCs/>
                <w:color w:val="000000"/>
                <w:szCs w:val="18"/>
              </w:rPr>
            </w:pPr>
            <w:r w:rsidRPr="005D1A73">
              <w:rPr>
                <w:rFonts w:ascii="Times New Roman" w:hAnsi="Times New Roman"/>
                <w:b/>
                <w:bCs/>
                <w:i/>
                <w:iCs/>
                <w:color w:val="000000"/>
                <w:szCs w:val="18"/>
              </w:rPr>
              <w:t>V</w:t>
            </w:r>
            <w:r>
              <w:rPr>
                <w:rFonts w:ascii="Times New Roman" w:hAnsi="Times New Roman"/>
                <w:b/>
                <w:bCs/>
                <w:i/>
                <w:iCs/>
                <w:color w:val="000000"/>
                <w:szCs w:val="18"/>
              </w:rPr>
              <w:t>TP</w:t>
            </w:r>
            <w:r w:rsidRPr="005D1A73">
              <w:rPr>
                <w:rFonts w:ascii="Times New Roman" w:hAnsi="Times New Roman"/>
                <w:b/>
                <w:bCs/>
                <w:i/>
                <w:iCs/>
                <w:color w:val="000000"/>
                <w:szCs w:val="18"/>
              </w:rPr>
              <w:t xml:space="preserve"> (cm</w:t>
            </w:r>
            <w:r w:rsidRPr="005D1A73">
              <w:rPr>
                <w:rFonts w:ascii="Times New Roman" w:hAnsi="Times New Roman"/>
                <w:b/>
                <w:bCs/>
                <w:i/>
                <w:iCs/>
                <w:color w:val="000000"/>
                <w:szCs w:val="18"/>
                <w:vertAlign w:val="superscript"/>
              </w:rPr>
              <w:t>3</w:t>
            </w:r>
            <w:r w:rsidRPr="005D1A73">
              <w:rPr>
                <w:rFonts w:ascii="Times New Roman" w:hAnsi="Times New Roman"/>
                <w:b/>
                <w:bCs/>
                <w:i/>
                <w:iCs/>
                <w:color w:val="000000"/>
                <w:szCs w:val="18"/>
              </w:rPr>
              <w:t>/g)</w:t>
            </w:r>
          </w:p>
        </w:tc>
      </w:tr>
      <w:tr w:rsidR="00D3077D" w:rsidRPr="008C16F4" w14:paraId="472C7EE1" w14:textId="77777777" w:rsidTr="00D3077D">
        <w:trPr>
          <w:trHeight w:val="187"/>
          <w:jc w:val="center"/>
        </w:trPr>
        <w:tc>
          <w:tcPr>
            <w:tcW w:w="1214" w:type="dxa"/>
            <w:vAlign w:val="center"/>
          </w:tcPr>
          <w:p w14:paraId="5A7A939E" w14:textId="4644F304" w:rsidR="00D3077D" w:rsidRPr="005D1A73" w:rsidRDefault="00D3077D" w:rsidP="005D1A73">
            <w:pPr>
              <w:pStyle w:val="TCTableBody"/>
              <w:spacing w:after="0" w:line="240" w:lineRule="auto"/>
              <w:jc w:val="center"/>
              <w:rPr>
                <w:rFonts w:ascii="Times New Roman" w:hAnsi="Times New Roman"/>
                <w:bCs/>
                <w:szCs w:val="18"/>
                <w:lang w:val="pt-BR"/>
              </w:rPr>
            </w:pPr>
            <w:r w:rsidRPr="005D1A73">
              <w:rPr>
                <w:rFonts w:ascii="Times New Roman" w:eastAsia="Arial" w:hAnsi="Times New Roman"/>
                <w:color w:val="000000"/>
                <w:szCs w:val="18"/>
              </w:rPr>
              <w:t>UiO-66</w:t>
            </w:r>
          </w:p>
        </w:tc>
        <w:tc>
          <w:tcPr>
            <w:tcW w:w="656" w:type="dxa"/>
            <w:vAlign w:val="center"/>
          </w:tcPr>
          <w:p w14:paraId="2B7DFDC0" w14:textId="14D8D0AA" w:rsidR="00D3077D" w:rsidRPr="005D1A73" w:rsidRDefault="00D3077D" w:rsidP="005D1A73">
            <w:pPr>
              <w:pStyle w:val="TCTableBody"/>
              <w:spacing w:after="0" w:line="240" w:lineRule="auto"/>
              <w:jc w:val="center"/>
              <w:rPr>
                <w:rFonts w:ascii="Times New Roman" w:hAnsi="Times New Roman"/>
                <w:szCs w:val="18"/>
                <w:lang w:val="pt-BR"/>
              </w:rPr>
            </w:pPr>
            <w:r w:rsidRPr="005D1A73">
              <w:rPr>
                <w:rFonts w:ascii="Times New Roman" w:eastAsia="Arial" w:hAnsi="Times New Roman"/>
                <w:color w:val="000000"/>
                <w:szCs w:val="18"/>
              </w:rPr>
              <w:t>2,6</w:t>
            </w:r>
          </w:p>
        </w:tc>
        <w:tc>
          <w:tcPr>
            <w:tcW w:w="1052" w:type="dxa"/>
            <w:vAlign w:val="center"/>
          </w:tcPr>
          <w:p w14:paraId="1B7C7110" w14:textId="0F23339A" w:rsidR="00D3077D" w:rsidRPr="005D1A73" w:rsidRDefault="00D3077D" w:rsidP="005D1A73">
            <w:pPr>
              <w:pStyle w:val="TCTableBody"/>
              <w:spacing w:after="0" w:line="240" w:lineRule="auto"/>
              <w:jc w:val="center"/>
              <w:rPr>
                <w:rFonts w:ascii="Times New Roman" w:hAnsi="Times New Roman"/>
                <w:szCs w:val="18"/>
                <w:lang w:val="pt-BR"/>
              </w:rPr>
            </w:pPr>
            <w:r w:rsidRPr="005D1A73">
              <w:rPr>
                <w:rFonts w:ascii="Times New Roman" w:eastAsia="Arial" w:hAnsi="Times New Roman"/>
                <w:color w:val="000000"/>
                <w:szCs w:val="18"/>
              </w:rPr>
              <w:t>914</w:t>
            </w:r>
          </w:p>
        </w:tc>
        <w:tc>
          <w:tcPr>
            <w:tcW w:w="877" w:type="dxa"/>
          </w:tcPr>
          <w:p w14:paraId="49761823" w14:textId="5568B15B" w:rsidR="00D3077D" w:rsidRPr="005D1A73" w:rsidRDefault="00D3077D" w:rsidP="005D1A73">
            <w:pPr>
              <w:pStyle w:val="TCTableBody"/>
              <w:spacing w:after="0" w:line="240" w:lineRule="auto"/>
              <w:jc w:val="center"/>
              <w:rPr>
                <w:rFonts w:ascii="Times New Roman" w:eastAsia="Arial" w:hAnsi="Times New Roman"/>
                <w:color w:val="000000"/>
                <w:szCs w:val="18"/>
              </w:rPr>
            </w:pPr>
            <w:r>
              <w:rPr>
                <w:rFonts w:ascii="Times New Roman" w:eastAsia="Arial" w:hAnsi="Times New Roman"/>
                <w:color w:val="000000"/>
                <w:szCs w:val="18"/>
              </w:rPr>
              <w:t>0,28</w:t>
            </w:r>
          </w:p>
        </w:tc>
        <w:tc>
          <w:tcPr>
            <w:tcW w:w="959" w:type="dxa"/>
            <w:vAlign w:val="center"/>
          </w:tcPr>
          <w:p w14:paraId="100A4324" w14:textId="55F59586" w:rsidR="00D3077D" w:rsidRPr="005D1A73" w:rsidRDefault="00D3077D" w:rsidP="005D1A73">
            <w:pPr>
              <w:pStyle w:val="TCTableBody"/>
              <w:spacing w:after="0" w:line="240" w:lineRule="auto"/>
              <w:jc w:val="center"/>
              <w:rPr>
                <w:rFonts w:ascii="Times New Roman" w:hAnsi="Times New Roman"/>
                <w:szCs w:val="18"/>
              </w:rPr>
            </w:pPr>
            <w:r w:rsidRPr="005D1A73">
              <w:rPr>
                <w:rFonts w:ascii="Times New Roman" w:eastAsia="Arial" w:hAnsi="Times New Roman"/>
                <w:color w:val="000000"/>
                <w:szCs w:val="18"/>
              </w:rPr>
              <w:t>0,38</w:t>
            </w:r>
          </w:p>
        </w:tc>
      </w:tr>
      <w:tr w:rsidR="00D3077D" w:rsidRPr="008C16F4" w14:paraId="0EF76705" w14:textId="77777777" w:rsidTr="00D3077D">
        <w:trPr>
          <w:trHeight w:val="262"/>
          <w:jc w:val="center"/>
        </w:trPr>
        <w:tc>
          <w:tcPr>
            <w:tcW w:w="1214" w:type="dxa"/>
            <w:vAlign w:val="center"/>
          </w:tcPr>
          <w:p w14:paraId="110C6943" w14:textId="5045CD85" w:rsidR="00D3077D" w:rsidRPr="005D1A73" w:rsidRDefault="00D3077D" w:rsidP="005D1A73">
            <w:pPr>
              <w:pStyle w:val="TCTableBody"/>
              <w:spacing w:after="0" w:line="240" w:lineRule="auto"/>
              <w:jc w:val="center"/>
              <w:rPr>
                <w:rFonts w:ascii="Times New Roman" w:hAnsi="Times New Roman"/>
                <w:bCs/>
                <w:szCs w:val="18"/>
                <w:lang w:val="pt-BR"/>
              </w:rPr>
            </w:pPr>
            <w:r w:rsidRPr="005D1A73">
              <w:rPr>
                <w:rFonts w:ascii="Times New Roman" w:eastAsia="Arial" w:hAnsi="Times New Roman"/>
                <w:color w:val="000000"/>
                <w:szCs w:val="18"/>
              </w:rPr>
              <w:t>dpa15</w:t>
            </w:r>
          </w:p>
        </w:tc>
        <w:tc>
          <w:tcPr>
            <w:tcW w:w="656" w:type="dxa"/>
            <w:vAlign w:val="center"/>
          </w:tcPr>
          <w:p w14:paraId="242EFBEB" w14:textId="18FD21C0" w:rsidR="00D3077D" w:rsidRPr="005D1A73" w:rsidRDefault="00D3077D" w:rsidP="005D1A73">
            <w:pPr>
              <w:pStyle w:val="TCTableBody"/>
              <w:spacing w:after="0" w:line="240" w:lineRule="auto"/>
              <w:jc w:val="center"/>
              <w:rPr>
                <w:rFonts w:ascii="Times New Roman" w:hAnsi="Times New Roman"/>
                <w:szCs w:val="18"/>
                <w:lang w:val="pt-BR"/>
              </w:rPr>
            </w:pPr>
            <w:r>
              <w:rPr>
                <w:rFonts w:ascii="Times New Roman" w:hAnsi="Times New Roman"/>
                <w:szCs w:val="18"/>
                <w:lang w:val="pt-BR"/>
              </w:rPr>
              <w:t>2,7</w:t>
            </w:r>
          </w:p>
        </w:tc>
        <w:tc>
          <w:tcPr>
            <w:tcW w:w="1052" w:type="dxa"/>
            <w:vAlign w:val="center"/>
          </w:tcPr>
          <w:p w14:paraId="39833246" w14:textId="1279D5D1" w:rsidR="00D3077D" w:rsidRPr="005D1A73" w:rsidRDefault="00D3077D" w:rsidP="005D1A73">
            <w:pPr>
              <w:pStyle w:val="TCTableBody"/>
              <w:spacing w:after="0" w:line="240" w:lineRule="auto"/>
              <w:jc w:val="center"/>
              <w:rPr>
                <w:rFonts w:ascii="Times New Roman" w:hAnsi="Times New Roman"/>
                <w:szCs w:val="18"/>
                <w:lang w:val="pt-BR"/>
              </w:rPr>
            </w:pPr>
            <w:r w:rsidRPr="005D1A73">
              <w:rPr>
                <w:rFonts w:ascii="Times New Roman" w:eastAsia="Arial" w:hAnsi="Times New Roman"/>
                <w:color w:val="000000"/>
                <w:szCs w:val="18"/>
              </w:rPr>
              <w:t>768</w:t>
            </w:r>
          </w:p>
        </w:tc>
        <w:tc>
          <w:tcPr>
            <w:tcW w:w="877" w:type="dxa"/>
          </w:tcPr>
          <w:p w14:paraId="63D87EB9" w14:textId="01DF8B94" w:rsidR="00D3077D" w:rsidRPr="005D1A73" w:rsidRDefault="00AB2703" w:rsidP="005D1A73">
            <w:pPr>
              <w:pStyle w:val="TCTableBody"/>
              <w:spacing w:after="0" w:line="240" w:lineRule="auto"/>
              <w:jc w:val="center"/>
              <w:rPr>
                <w:rFonts w:ascii="Times New Roman" w:eastAsia="Arial" w:hAnsi="Times New Roman"/>
                <w:color w:val="000000"/>
                <w:szCs w:val="18"/>
              </w:rPr>
            </w:pPr>
            <w:r>
              <w:rPr>
                <w:rFonts w:ascii="Times New Roman" w:eastAsia="Arial" w:hAnsi="Times New Roman"/>
                <w:color w:val="000000"/>
                <w:szCs w:val="18"/>
              </w:rPr>
              <w:t>0,24</w:t>
            </w:r>
          </w:p>
        </w:tc>
        <w:tc>
          <w:tcPr>
            <w:tcW w:w="959" w:type="dxa"/>
            <w:vAlign w:val="center"/>
          </w:tcPr>
          <w:p w14:paraId="792C8157" w14:textId="5288C41D" w:rsidR="00D3077D" w:rsidRPr="005D1A73" w:rsidRDefault="00D3077D" w:rsidP="005D1A73">
            <w:pPr>
              <w:pStyle w:val="TCTableBody"/>
              <w:spacing w:after="0" w:line="240" w:lineRule="auto"/>
              <w:jc w:val="center"/>
              <w:rPr>
                <w:rFonts w:ascii="Times New Roman" w:hAnsi="Times New Roman"/>
                <w:szCs w:val="18"/>
              </w:rPr>
            </w:pPr>
            <w:r w:rsidRPr="005D1A73">
              <w:rPr>
                <w:rFonts w:ascii="Times New Roman" w:eastAsia="Arial" w:hAnsi="Times New Roman"/>
                <w:color w:val="000000"/>
                <w:szCs w:val="18"/>
              </w:rPr>
              <w:t>0,33</w:t>
            </w:r>
          </w:p>
        </w:tc>
      </w:tr>
      <w:tr w:rsidR="00D3077D" w:rsidRPr="008C16F4" w14:paraId="0F88EEC6" w14:textId="77777777" w:rsidTr="00D3077D">
        <w:trPr>
          <w:trHeight w:val="144"/>
          <w:jc w:val="center"/>
        </w:trPr>
        <w:tc>
          <w:tcPr>
            <w:tcW w:w="1214" w:type="dxa"/>
            <w:vAlign w:val="center"/>
          </w:tcPr>
          <w:p w14:paraId="4437DA05" w14:textId="35B2ED06" w:rsidR="00D3077D" w:rsidRPr="005D1A73" w:rsidRDefault="00D3077D" w:rsidP="005D1A73">
            <w:pPr>
              <w:pStyle w:val="TCTableBody"/>
              <w:spacing w:after="0" w:line="240" w:lineRule="auto"/>
              <w:jc w:val="center"/>
              <w:rPr>
                <w:rFonts w:ascii="Times New Roman" w:hAnsi="Times New Roman"/>
                <w:bCs/>
                <w:szCs w:val="18"/>
              </w:rPr>
            </w:pPr>
            <w:r w:rsidRPr="005D1A73">
              <w:rPr>
                <w:rFonts w:ascii="Times New Roman" w:eastAsia="Arial" w:hAnsi="Times New Roman"/>
                <w:color w:val="000000"/>
                <w:szCs w:val="18"/>
              </w:rPr>
              <w:t>dpa15func</w:t>
            </w:r>
          </w:p>
        </w:tc>
        <w:tc>
          <w:tcPr>
            <w:tcW w:w="656" w:type="dxa"/>
            <w:vAlign w:val="center"/>
          </w:tcPr>
          <w:p w14:paraId="2DB3DC4A" w14:textId="63EA427D" w:rsidR="00D3077D" w:rsidRPr="005D1A73" w:rsidRDefault="00D3077D" w:rsidP="005D1A73">
            <w:pPr>
              <w:pStyle w:val="TCTableBody"/>
              <w:spacing w:after="0" w:line="240" w:lineRule="auto"/>
              <w:jc w:val="center"/>
              <w:rPr>
                <w:rFonts w:ascii="Times New Roman" w:hAnsi="Times New Roman"/>
                <w:b/>
                <w:szCs w:val="18"/>
              </w:rPr>
            </w:pPr>
            <w:r w:rsidRPr="005D1A73">
              <w:rPr>
                <w:rFonts w:ascii="Times New Roman" w:eastAsia="Arial" w:hAnsi="Times New Roman"/>
                <w:color w:val="000000"/>
                <w:szCs w:val="18"/>
              </w:rPr>
              <w:t>3,1</w:t>
            </w:r>
          </w:p>
        </w:tc>
        <w:tc>
          <w:tcPr>
            <w:tcW w:w="1052" w:type="dxa"/>
            <w:vAlign w:val="center"/>
          </w:tcPr>
          <w:p w14:paraId="6816E0FE" w14:textId="6477AA46" w:rsidR="00D3077D" w:rsidRPr="005D1A73" w:rsidRDefault="00D3077D" w:rsidP="005D1A73">
            <w:pPr>
              <w:pStyle w:val="TCTableBody"/>
              <w:spacing w:after="0" w:line="240" w:lineRule="auto"/>
              <w:jc w:val="center"/>
              <w:rPr>
                <w:rFonts w:ascii="Times New Roman" w:hAnsi="Times New Roman"/>
                <w:bCs/>
                <w:szCs w:val="24"/>
              </w:rPr>
            </w:pPr>
            <w:r w:rsidRPr="005D1A73">
              <w:rPr>
                <w:rFonts w:ascii="Times New Roman" w:hAnsi="Times New Roman"/>
                <w:bCs/>
                <w:szCs w:val="24"/>
              </w:rPr>
              <w:t>n.d.</w:t>
            </w:r>
          </w:p>
        </w:tc>
        <w:tc>
          <w:tcPr>
            <w:tcW w:w="877" w:type="dxa"/>
          </w:tcPr>
          <w:p w14:paraId="3F563CB7" w14:textId="4A2FE205" w:rsidR="00D3077D" w:rsidRPr="005D1A73" w:rsidRDefault="00272290" w:rsidP="005D1A73">
            <w:pPr>
              <w:pStyle w:val="TCTableBody"/>
              <w:spacing w:after="0" w:line="240" w:lineRule="auto"/>
              <w:jc w:val="center"/>
              <w:rPr>
                <w:rFonts w:ascii="Times New Roman" w:hAnsi="Times New Roman"/>
                <w:bCs/>
                <w:szCs w:val="24"/>
              </w:rPr>
            </w:pPr>
            <w:r>
              <w:rPr>
                <w:rFonts w:ascii="Times New Roman" w:hAnsi="Times New Roman"/>
                <w:bCs/>
                <w:szCs w:val="24"/>
              </w:rPr>
              <w:t>n.d.</w:t>
            </w:r>
          </w:p>
        </w:tc>
        <w:tc>
          <w:tcPr>
            <w:tcW w:w="959" w:type="dxa"/>
            <w:vAlign w:val="center"/>
          </w:tcPr>
          <w:p w14:paraId="50C24F82" w14:textId="03827885" w:rsidR="00D3077D" w:rsidRPr="005D1A73" w:rsidRDefault="00D3077D" w:rsidP="005D1A73">
            <w:pPr>
              <w:pStyle w:val="TCTableBody"/>
              <w:spacing w:after="0" w:line="240" w:lineRule="auto"/>
              <w:jc w:val="center"/>
              <w:rPr>
                <w:rFonts w:ascii="Times New Roman" w:hAnsi="Times New Roman"/>
                <w:bCs/>
                <w:szCs w:val="24"/>
              </w:rPr>
            </w:pPr>
            <w:r w:rsidRPr="005D1A73">
              <w:rPr>
                <w:rFonts w:ascii="Times New Roman" w:hAnsi="Times New Roman"/>
                <w:bCs/>
                <w:szCs w:val="24"/>
              </w:rPr>
              <w:t>n.d.</w:t>
            </w:r>
          </w:p>
        </w:tc>
      </w:tr>
      <w:tr w:rsidR="00D3077D" w:rsidRPr="008C16F4" w14:paraId="07246737" w14:textId="77777777" w:rsidTr="00D3077D">
        <w:trPr>
          <w:trHeight w:val="144"/>
          <w:jc w:val="center"/>
        </w:trPr>
        <w:tc>
          <w:tcPr>
            <w:tcW w:w="1214" w:type="dxa"/>
            <w:vAlign w:val="center"/>
          </w:tcPr>
          <w:p w14:paraId="5F11AFE3" w14:textId="7319C446" w:rsidR="00D3077D" w:rsidRPr="005D1A73" w:rsidRDefault="00D3077D" w:rsidP="005D1A73">
            <w:pPr>
              <w:pStyle w:val="TCTableBody"/>
              <w:spacing w:after="0" w:line="240" w:lineRule="auto"/>
              <w:jc w:val="center"/>
              <w:rPr>
                <w:rFonts w:ascii="Times New Roman" w:hAnsi="Times New Roman"/>
                <w:bCs/>
                <w:szCs w:val="18"/>
              </w:rPr>
            </w:pPr>
            <w:r w:rsidRPr="005D1A73">
              <w:rPr>
                <w:rFonts w:ascii="Times New Roman" w:eastAsia="Arial" w:hAnsi="Times New Roman"/>
                <w:color w:val="000000"/>
                <w:szCs w:val="18"/>
              </w:rPr>
              <w:t>dpa20</w:t>
            </w:r>
          </w:p>
        </w:tc>
        <w:tc>
          <w:tcPr>
            <w:tcW w:w="656" w:type="dxa"/>
            <w:vAlign w:val="center"/>
          </w:tcPr>
          <w:p w14:paraId="4495848F" w14:textId="2D05AC9F" w:rsidR="00D3077D" w:rsidRPr="005D1A73" w:rsidRDefault="00D3077D" w:rsidP="005D1A73">
            <w:pPr>
              <w:pStyle w:val="TCTableBody"/>
              <w:spacing w:after="0" w:line="240" w:lineRule="auto"/>
              <w:jc w:val="center"/>
              <w:rPr>
                <w:rFonts w:ascii="Times New Roman" w:hAnsi="Times New Roman"/>
                <w:szCs w:val="18"/>
              </w:rPr>
            </w:pPr>
            <w:r w:rsidRPr="005D1A73">
              <w:rPr>
                <w:rFonts w:ascii="Times New Roman" w:eastAsia="Arial" w:hAnsi="Times New Roman"/>
                <w:color w:val="000000"/>
                <w:szCs w:val="18"/>
              </w:rPr>
              <w:t>2,3</w:t>
            </w:r>
          </w:p>
        </w:tc>
        <w:tc>
          <w:tcPr>
            <w:tcW w:w="1052" w:type="dxa"/>
            <w:vAlign w:val="center"/>
          </w:tcPr>
          <w:p w14:paraId="370B4DC6" w14:textId="6A9C9B6B" w:rsidR="00D3077D" w:rsidRPr="005D1A73" w:rsidRDefault="00D3077D" w:rsidP="005D1A73">
            <w:pPr>
              <w:pStyle w:val="TCTableBody"/>
              <w:spacing w:after="0" w:line="240" w:lineRule="auto"/>
              <w:jc w:val="center"/>
              <w:rPr>
                <w:rFonts w:ascii="Times New Roman" w:hAnsi="Times New Roman"/>
                <w:szCs w:val="18"/>
              </w:rPr>
            </w:pPr>
            <w:r w:rsidRPr="005D1A73">
              <w:rPr>
                <w:rFonts w:ascii="Times New Roman" w:eastAsia="Arial" w:hAnsi="Times New Roman"/>
                <w:color w:val="000000"/>
                <w:szCs w:val="18"/>
              </w:rPr>
              <w:t>690</w:t>
            </w:r>
          </w:p>
        </w:tc>
        <w:tc>
          <w:tcPr>
            <w:tcW w:w="877" w:type="dxa"/>
          </w:tcPr>
          <w:p w14:paraId="1B61EE00" w14:textId="3EEF7B01" w:rsidR="00D3077D" w:rsidRPr="005D1A73" w:rsidRDefault="0056274D" w:rsidP="005D1A73">
            <w:pPr>
              <w:pStyle w:val="TCTableBody"/>
              <w:spacing w:after="0" w:line="240" w:lineRule="auto"/>
              <w:jc w:val="center"/>
              <w:rPr>
                <w:rFonts w:ascii="Times New Roman" w:eastAsia="Arial" w:hAnsi="Times New Roman"/>
                <w:color w:val="000000"/>
                <w:szCs w:val="18"/>
              </w:rPr>
            </w:pPr>
            <w:r>
              <w:rPr>
                <w:rFonts w:ascii="Times New Roman" w:eastAsia="Arial" w:hAnsi="Times New Roman"/>
                <w:color w:val="000000"/>
                <w:szCs w:val="18"/>
              </w:rPr>
              <w:t>0,23</w:t>
            </w:r>
          </w:p>
        </w:tc>
        <w:tc>
          <w:tcPr>
            <w:tcW w:w="959" w:type="dxa"/>
            <w:vAlign w:val="center"/>
          </w:tcPr>
          <w:p w14:paraId="47B36704" w14:textId="6A640D5F" w:rsidR="00D3077D" w:rsidRPr="005D1A73" w:rsidRDefault="00D3077D" w:rsidP="005D1A73">
            <w:pPr>
              <w:pStyle w:val="TCTableBody"/>
              <w:spacing w:after="0" w:line="240" w:lineRule="auto"/>
              <w:jc w:val="center"/>
              <w:rPr>
                <w:rFonts w:ascii="Times New Roman" w:hAnsi="Times New Roman"/>
                <w:szCs w:val="18"/>
              </w:rPr>
            </w:pPr>
            <w:r w:rsidRPr="005D1A73">
              <w:rPr>
                <w:rFonts w:ascii="Times New Roman" w:eastAsia="Arial" w:hAnsi="Times New Roman"/>
                <w:color w:val="000000"/>
                <w:szCs w:val="18"/>
              </w:rPr>
              <w:t>0,30</w:t>
            </w:r>
          </w:p>
        </w:tc>
      </w:tr>
      <w:tr w:rsidR="00D3077D" w:rsidRPr="008C16F4" w14:paraId="78D79B7A" w14:textId="77777777" w:rsidTr="00D3077D">
        <w:trPr>
          <w:trHeight w:val="144"/>
          <w:jc w:val="center"/>
        </w:trPr>
        <w:tc>
          <w:tcPr>
            <w:tcW w:w="1214" w:type="dxa"/>
            <w:vAlign w:val="center"/>
          </w:tcPr>
          <w:p w14:paraId="3B58287C" w14:textId="2C3BDB45" w:rsidR="00D3077D" w:rsidRPr="005D1A73" w:rsidRDefault="00D3077D" w:rsidP="005D1A73">
            <w:pPr>
              <w:pStyle w:val="TCTableBody"/>
              <w:spacing w:after="0" w:line="240" w:lineRule="auto"/>
              <w:jc w:val="center"/>
              <w:rPr>
                <w:rFonts w:ascii="Times New Roman" w:hAnsi="Times New Roman"/>
                <w:bCs/>
                <w:szCs w:val="18"/>
              </w:rPr>
            </w:pPr>
            <w:r w:rsidRPr="005D1A73">
              <w:rPr>
                <w:rFonts w:ascii="Times New Roman" w:eastAsia="Arial" w:hAnsi="Times New Roman"/>
                <w:color w:val="000000"/>
                <w:szCs w:val="18"/>
              </w:rPr>
              <w:t>dpa20func</w:t>
            </w:r>
          </w:p>
        </w:tc>
        <w:tc>
          <w:tcPr>
            <w:tcW w:w="656" w:type="dxa"/>
            <w:vAlign w:val="center"/>
          </w:tcPr>
          <w:p w14:paraId="4015E008" w14:textId="4DBC293A" w:rsidR="00D3077D" w:rsidRPr="005D1A73" w:rsidRDefault="00D3077D" w:rsidP="005D1A73">
            <w:pPr>
              <w:pStyle w:val="TCTableBody"/>
              <w:spacing w:after="0" w:line="240" w:lineRule="auto"/>
              <w:jc w:val="center"/>
              <w:rPr>
                <w:rFonts w:ascii="Times New Roman" w:hAnsi="Times New Roman"/>
                <w:szCs w:val="18"/>
              </w:rPr>
            </w:pPr>
            <w:r w:rsidRPr="005D1A73">
              <w:rPr>
                <w:rFonts w:ascii="Times New Roman" w:eastAsia="Arial" w:hAnsi="Times New Roman"/>
                <w:color w:val="000000"/>
                <w:szCs w:val="18"/>
              </w:rPr>
              <w:t>2,2</w:t>
            </w:r>
          </w:p>
        </w:tc>
        <w:tc>
          <w:tcPr>
            <w:tcW w:w="1052" w:type="dxa"/>
            <w:vAlign w:val="center"/>
          </w:tcPr>
          <w:p w14:paraId="22407B95" w14:textId="78DD588D" w:rsidR="00D3077D" w:rsidRPr="005D1A73" w:rsidRDefault="00D3077D" w:rsidP="005D1A73">
            <w:pPr>
              <w:pStyle w:val="TCTableBody"/>
              <w:spacing w:after="0" w:line="240" w:lineRule="auto"/>
              <w:jc w:val="center"/>
              <w:rPr>
                <w:rFonts w:ascii="Times New Roman" w:hAnsi="Times New Roman"/>
                <w:bCs/>
                <w:szCs w:val="24"/>
              </w:rPr>
            </w:pPr>
            <w:r w:rsidRPr="005D1A73">
              <w:rPr>
                <w:rFonts w:ascii="Times New Roman" w:hAnsi="Times New Roman"/>
                <w:bCs/>
                <w:szCs w:val="24"/>
              </w:rPr>
              <w:t>n.d.</w:t>
            </w:r>
          </w:p>
        </w:tc>
        <w:tc>
          <w:tcPr>
            <w:tcW w:w="877" w:type="dxa"/>
          </w:tcPr>
          <w:p w14:paraId="305AF9D2" w14:textId="1214C4E7" w:rsidR="00D3077D" w:rsidRPr="005D1A73" w:rsidRDefault="00272290" w:rsidP="005D1A73">
            <w:pPr>
              <w:pStyle w:val="TCTableBody"/>
              <w:spacing w:after="0" w:line="240" w:lineRule="auto"/>
              <w:jc w:val="center"/>
              <w:rPr>
                <w:rFonts w:ascii="Times New Roman" w:hAnsi="Times New Roman"/>
                <w:bCs/>
                <w:szCs w:val="24"/>
              </w:rPr>
            </w:pPr>
            <w:r>
              <w:rPr>
                <w:rFonts w:ascii="Times New Roman" w:hAnsi="Times New Roman"/>
                <w:bCs/>
                <w:szCs w:val="24"/>
              </w:rPr>
              <w:t>n.d.</w:t>
            </w:r>
          </w:p>
        </w:tc>
        <w:tc>
          <w:tcPr>
            <w:tcW w:w="959" w:type="dxa"/>
            <w:vAlign w:val="center"/>
          </w:tcPr>
          <w:p w14:paraId="1ED1D374" w14:textId="16F42C7A" w:rsidR="00D3077D" w:rsidRPr="005D1A73" w:rsidRDefault="00D3077D" w:rsidP="005D1A73">
            <w:pPr>
              <w:pStyle w:val="TCTableBody"/>
              <w:spacing w:after="0" w:line="240" w:lineRule="auto"/>
              <w:jc w:val="center"/>
              <w:rPr>
                <w:rFonts w:ascii="Times New Roman" w:hAnsi="Times New Roman"/>
                <w:bCs/>
                <w:szCs w:val="24"/>
              </w:rPr>
            </w:pPr>
            <w:r w:rsidRPr="005D1A73">
              <w:rPr>
                <w:rFonts w:ascii="Times New Roman" w:hAnsi="Times New Roman"/>
                <w:bCs/>
                <w:szCs w:val="24"/>
              </w:rPr>
              <w:t>n.d.</w:t>
            </w:r>
          </w:p>
        </w:tc>
      </w:tr>
      <w:tr w:rsidR="00D3077D" w:rsidRPr="008C16F4" w14:paraId="3372292D" w14:textId="77777777" w:rsidTr="00D3077D">
        <w:trPr>
          <w:trHeight w:val="144"/>
          <w:jc w:val="center"/>
        </w:trPr>
        <w:tc>
          <w:tcPr>
            <w:tcW w:w="1214" w:type="dxa"/>
            <w:vAlign w:val="center"/>
          </w:tcPr>
          <w:p w14:paraId="7C7855AE" w14:textId="1094C0BE" w:rsidR="00D3077D" w:rsidRPr="005D1A73" w:rsidRDefault="00D3077D" w:rsidP="005D1A73">
            <w:pPr>
              <w:pStyle w:val="TCTableBody"/>
              <w:spacing w:after="0" w:line="240" w:lineRule="auto"/>
              <w:jc w:val="center"/>
              <w:rPr>
                <w:rFonts w:ascii="Times New Roman" w:hAnsi="Times New Roman"/>
                <w:bCs/>
                <w:szCs w:val="18"/>
              </w:rPr>
            </w:pPr>
            <w:r w:rsidRPr="005D1A73">
              <w:rPr>
                <w:rFonts w:ascii="Times New Roman" w:eastAsia="Arial" w:hAnsi="Times New Roman"/>
                <w:color w:val="000000"/>
                <w:szCs w:val="18"/>
              </w:rPr>
              <w:t>dpa30</w:t>
            </w:r>
          </w:p>
        </w:tc>
        <w:tc>
          <w:tcPr>
            <w:tcW w:w="656" w:type="dxa"/>
            <w:vAlign w:val="center"/>
          </w:tcPr>
          <w:p w14:paraId="2F7BFADC" w14:textId="46866B44" w:rsidR="00D3077D" w:rsidRPr="005D1A73" w:rsidRDefault="00D3077D" w:rsidP="005D1A73">
            <w:pPr>
              <w:pStyle w:val="TCTableBody"/>
              <w:spacing w:after="0" w:line="240" w:lineRule="auto"/>
              <w:jc w:val="center"/>
              <w:rPr>
                <w:rFonts w:ascii="Times New Roman" w:hAnsi="Times New Roman"/>
                <w:szCs w:val="18"/>
              </w:rPr>
            </w:pPr>
            <w:r w:rsidRPr="005D1A73">
              <w:rPr>
                <w:rFonts w:ascii="Times New Roman" w:eastAsia="Arial" w:hAnsi="Times New Roman"/>
                <w:color w:val="000000"/>
                <w:szCs w:val="18"/>
              </w:rPr>
              <w:t>2,5</w:t>
            </w:r>
          </w:p>
        </w:tc>
        <w:tc>
          <w:tcPr>
            <w:tcW w:w="1052" w:type="dxa"/>
            <w:vAlign w:val="center"/>
          </w:tcPr>
          <w:p w14:paraId="42538D22" w14:textId="753E35AC" w:rsidR="00D3077D" w:rsidRPr="005D1A73" w:rsidRDefault="00D3077D" w:rsidP="005D1A73">
            <w:pPr>
              <w:pStyle w:val="TCTableBody"/>
              <w:spacing w:after="0" w:line="240" w:lineRule="auto"/>
              <w:jc w:val="center"/>
              <w:rPr>
                <w:rFonts w:ascii="Times New Roman" w:hAnsi="Times New Roman"/>
                <w:szCs w:val="18"/>
              </w:rPr>
            </w:pPr>
            <w:r w:rsidRPr="005D1A73">
              <w:rPr>
                <w:rFonts w:ascii="Times New Roman" w:eastAsia="Arial" w:hAnsi="Times New Roman"/>
                <w:color w:val="000000"/>
                <w:szCs w:val="18"/>
              </w:rPr>
              <w:t>312</w:t>
            </w:r>
          </w:p>
        </w:tc>
        <w:tc>
          <w:tcPr>
            <w:tcW w:w="877" w:type="dxa"/>
          </w:tcPr>
          <w:p w14:paraId="74D3E317" w14:textId="59823486" w:rsidR="00D3077D" w:rsidRPr="005D1A73" w:rsidRDefault="009B604B" w:rsidP="005D1A73">
            <w:pPr>
              <w:pStyle w:val="TCTableBody"/>
              <w:spacing w:after="0" w:line="240" w:lineRule="auto"/>
              <w:jc w:val="center"/>
              <w:rPr>
                <w:rFonts w:ascii="Times New Roman" w:eastAsia="Arial" w:hAnsi="Times New Roman"/>
                <w:color w:val="000000"/>
                <w:szCs w:val="18"/>
              </w:rPr>
            </w:pPr>
            <w:r>
              <w:rPr>
                <w:rFonts w:ascii="Times New Roman" w:eastAsia="Arial" w:hAnsi="Times New Roman"/>
                <w:color w:val="000000"/>
                <w:szCs w:val="18"/>
              </w:rPr>
              <w:t>0,09</w:t>
            </w:r>
          </w:p>
        </w:tc>
        <w:tc>
          <w:tcPr>
            <w:tcW w:w="959" w:type="dxa"/>
            <w:vAlign w:val="center"/>
          </w:tcPr>
          <w:p w14:paraId="1A5A2892" w14:textId="2D2EBB4A" w:rsidR="00D3077D" w:rsidRPr="005D1A73" w:rsidRDefault="00D3077D" w:rsidP="005D1A73">
            <w:pPr>
              <w:pStyle w:val="TCTableBody"/>
              <w:spacing w:after="0" w:line="240" w:lineRule="auto"/>
              <w:jc w:val="center"/>
              <w:rPr>
                <w:rFonts w:ascii="Times New Roman" w:hAnsi="Times New Roman"/>
                <w:szCs w:val="18"/>
              </w:rPr>
            </w:pPr>
            <w:r w:rsidRPr="005D1A73">
              <w:rPr>
                <w:rFonts w:ascii="Times New Roman" w:eastAsia="Arial" w:hAnsi="Times New Roman"/>
                <w:color w:val="000000"/>
                <w:szCs w:val="18"/>
              </w:rPr>
              <w:t>0,15</w:t>
            </w:r>
          </w:p>
        </w:tc>
      </w:tr>
    </w:tbl>
    <w:p w14:paraId="133CE4C5" w14:textId="34DB29B9" w:rsidR="005D1A73" w:rsidRDefault="005D1A73" w:rsidP="005D1A73">
      <w:pPr>
        <w:pStyle w:val="TAMainText"/>
        <w:ind w:firstLine="0"/>
        <w:rPr>
          <w:rFonts w:ascii="Times New Roman" w:hAnsi="Times New Roman"/>
          <w:sz w:val="18"/>
          <w:szCs w:val="18"/>
          <w:lang w:val="pt-BR"/>
        </w:rPr>
      </w:pPr>
      <w:r>
        <w:rPr>
          <w:rFonts w:ascii="Times New Roman" w:hAnsi="Times New Roman"/>
          <w:sz w:val="18"/>
          <w:szCs w:val="18"/>
          <w:lang w:val="pt-BR"/>
        </w:rPr>
        <w:t xml:space="preserve">       </w:t>
      </w:r>
      <w:proofErr w:type="spellStart"/>
      <w:r w:rsidRPr="005D1A73">
        <w:rPr>
          <w:rFonts w:ascii="Times New Roman" w:hAnsi="Times New Roman"/>
          <w:sz w:val="18"/>
          <w:szCs w:val="18"/>
          <w:lang w:val="pt-BR"/>
        </w:rPr>
        <w:t>n.d</w:t>
      </w:r>
      <w:proofErr w:type="spellEnd"/>
      <w:r w:rsidRPr="005D1A73">
        <w:rPr>
          <w:rFonts w:ascii="Times New Roman" w:hAnsi="Times New Roman"/>
          <w:sz w:val="18"/>
          <w:szCs w:val="18"/>
          <w:lang w:val="pt-BR"/>
        </w:rPr>
        <w:t>. = não determinado</w:t>
      </w:r>
    </w:p>
    <w:p w14:paraId="17B77161" w14:textId="77777777" w:rsidR="00FD5539" w:rsidRDefault="00FD5539" w:rsidP="005D1A73">
      <w:pPr>
        <w:pStyle w:val="TAMainText"/>
        <w:ind w:firstLine="0"/>
        <w:rPr>
          <w:rFonts w:ascii="Times New Roman" w:hAnsi="Times New Roman"/>
          <w:sz w:val="21"/>
          <w:szCs w:val="21"/>
          <w:lang w:val="pt-BR"/>
        </w:rPr>
      </w:pPr>
    </w:p>
    <w:p w14:paraId="2A6E9B9B" w14:textId="311BEF48" w:rsidR="00013919" w:rsidRDefault="00013919" w:rsidP="003476CA">
      <w:pPr>
        <w:pStyle w:val="TAMainText"/>
        <w:rPr>
          <w:rFonts w:ascii="Times New Roman" w:hAnsi="Times New Roman"/>
          <w:sz w:val="18"/>
          <w:szCs w:val="18"/>
          <w:lang w:val="pt-BR"/>
        </w:rPr>
      </w:pPr>
      <w:r>
        <w:rPr>
          <w:rFonts w:ascii="Times New Roman" w:hAnsi="Times New Roman"/>
          <w:sz w:val="21"/>
          <w:szCs w:val="21"/>
          <w:lang w:val="pt-BR"/>
        </w:rPr>
        <w:t xml:space="preserve">A </w:t>
      </w:r>
      <w:r w:rsidRPr="00013919">
        <w:rPr>
          <w:rFonts w:ascii="Times New Roman" w:hAnsi="Times New Roman"/>
          <w:b/>
          <w:bCs/>
          <w:sz w:val="21"/>
          <w:szCs w:val="21"/>
          <w:lang w:val="pt-BR"/>
        </w:rPr>
        <w:t>Tabela 1</w:t>
      </w:r>
      <w:r>
        <w:rPr>
          <w:rFonts w:ascii="Times New Roman" w:hAnsi="Times New Roman"/>
          <w:sz w:val="21"/>
          <w:szCs w:val="21"/>
          <w:lang w:val="pt-BR"/>
        </w:rPr>
        <w:t xml:space="preserve"> também apresenta os resultados de análise elementar de nitrogênio dos </w:t>
      </w:r>
      <w:proofErr w:type="spellStart"/>
      <w:r>
        <w:rPr>
          <w:rFonts w:ascii="Times New Roman" w:hAnsi="Times New Roman"/>
          <w:sz w:val="21"/>
          <w:szCs w:val="21"/>
          <w:lang w:val="pt-BR"/>
        </w:rPr>
        <w:t>MOFs</w:t>
      </w:r>
      <w:proofErr w:type="spellEnd"/>
      <w:r>
        <w:rPr>
          <w:rFonts w:ascii="Times New Roman" w:hAnsi="Times New Roman"/>
          <w:sz w:val="21"/>
          <w:szCs w:val="21"/>
          <w:lang w:val="pt-BR"/>
        </w:rPr>
        <w:t>.</w:t>
      </w:r>
      <w:r w:rsidR="00FD5539">
        <w:rPr>
          <w:rFonts w:ascii="Times New Roman" w:hAnsi="Times New Roman"/>
          <w:sz w:val="21"/>
          <w:szCs w:val="21"/>
          <w:lang w:val="pt-BR"/>
        </w:rPr>
        <w:t xml:space="preserve"> O MOF de referência UiO-66 contém somente o nitrogênio oriundo da molécula de DMF presente nos poros do material, remanescente do processo de síntese. É possível observar que a quantidade de nitrogênio não segue a tendência esperada com o aumento da quantidade de DPA. Como </w:t>
      </w:r>
      <w:r w:rsidR="00FD5539">
        <w:rPr>
          <w:rFonts w:ascii="Times New Roman" w:hAnsi="Times New Roman"/>
          <w:sz w:val="21"/>
          <w:szCs w:val="21"/>
          <w:lang w:val="pt-BR"/>
        </w:rPr>
        <w:lastRenderedPageBreak/>
        <w:t xml:space="preserve">os </w:t>
      </w:r>
      <w:proofErr w:type="spellStart"/>
      <w:r w:rsidR="00FD5539">
        <w:rPr>
          <w:rFonts w:ascii="Times New Roman" w:hAnsi="Times New Roman"/>
          <w:sz w:val="21"/>
          <w:szCs w:val="21"/>
          <w:lang w:val="pt-BR"/>
        </w:rPr>
        <w:t>MOFs</w:t>
      </w:r>
      <w:proofErr w:type="spellEnd"/>
      <w:r w:rsidR="00FD5539">
        <w:rPr>
          <w:rFonts w:ascii="Times New Roman" w:hAnsi="Times New Roman"/>
          <w:sz w:val="21"/>
          <w:szCs w:val="21"/>
          <w:lang w:val="pt-BR"/>
        </w:rPr>
        <w:t xml:space="preserve"> são inicialmente sintetizados na presença de dimetilformamida e sua funcionalização ocorre na presença de </w:t>
      </w:r>
      <w:proofErr w:type="spellStart"/>
      <w:r w:rsidR="00FD5539">
        <w:rPr>
          <w:rFonts w:ascii="Times New Roman" w:hAnsi="Times New Roman"/>
          <w:sz w:val="21"/>
          <w:szCs w:val="21"/>
          <w:lang w:val="pt-BR"/>
        </w:rPr>
        <w:t>acetonitrila</w:t>
      </w:r>
      <w:proofErr w:type="spellEnd"/>
      <w:r w:rsidR="00FD5539">
        <w:rPr>
          <w:rFonts w:ascii="Times New Roman" w:hAnsi="Times New Roman"/>
          <w:sz w:val="21"/>
          <w:szCs w:val="21"/>
          <w:lang w:val="pt-BR"/>
        </w:rPr>
        <w:t>, pode-se especular que moléculas destes solventes estejam influenciando nos resultados de % de nitrogênio.</w:t>
      </w:r>
    </w:p>
    <w:p w14:paraId="30F5887E" w14:textId="2384BE90" w:rsidR="000E42DE" w:rsidRDefault="00A04C47" w:rsidP="00A04C47">
      <w:pPr>
        <w:pStyle w:val="TAMainText"/>
        <w:rPr>
          <w:rFonts w:ascii="Times New Roman" w:hAnsi="Times New Roman"/>
          <w:lang w:val="pt-BR"/>
        </w:rPr>
      </w:pPr>
      <w:r>
        <w:rPr>
          <w:rFonts w:ascii="Times New Roman" w:hAnsi="Times New Roman"/>
          <w:lang w:val="pt-BR"/>
        </w:rPr>
        <w:t xml:space="preserve">Os catalisadores </w:t>
      </w:r>
      <w:r w:rsidR="00472312">
        <w:rPr>
          <w:rFonts w:ascii="Times New Roman" w:hAnsi="Times New Roman"/>
          <w:lang w:val="pt-BR"/>
        </w:rPr>
        <w:t xml:space="preserve">UiO-66, dpa15, </w:t>
      </w:r>
      <w:r>
        <w:rPr>
          <w:rFonts w:ascii="Times New Roman" w:hAnsi="Times New Roman"/>
          <w:lang w:val="pt-BR"/>
        </w:rPr>
        <w:t xml:space="preserve">dpa20 e dpa20f foram aplicados na </w:t>
      </w:r>
      <w:proofErr w:type="spellStart"/>
      <w:r>
        <w:rPr>
          <w:rFonts w:ascii="Times New Roman" w:hAnsi="Times New Roman"/>
          <w:lang w:val="pt-BR"/>
        </w:rPr>
        <w:t>cicloadição</w:t>
      </w:r>
      <w:proofErr w:type="spellEnd"/>
      <w:r>
        <w:rPr>
          <w:rFonts w:ascii="Times New Roman" w:hAnsi="Times New Roman"/>
          <w:lang w:val="pt-BR"/>
        </w:rPr>
        <w:t xml:space="preserve"> de</w:t>
      </w:r>
      <w:r w:rsidRPr="00A04C47">
        <w:rPr>
          <w:rFonts w:ascii="Times New Roman" w:hAnsi="Times New Roman"/>
          <w:lang w:val="pt-BR"/>
        </w:rPr>
        <w:t xml:space="preserve"> </w:t>
      </w:r>
      <w:r w:rsidRPr="00A04C47">
        <w:rPr>
          <w:rFonts w:ascii="Times New Roman" w:hAnsi="Times New Roman"/>
          <w:noProof/>
          <w:color w:val="000000"/>
          <w:lang w:val="pt-BR"/>
        </w:rPr>
        <w:t>CO</w:t>
      </w:r>
      <w:r w:rsidRPr="00A04C47">
        <w:rPr>
          <w:rFonts w:ascii="Times New Roman" w:hAnsi="Times New Roman"/>
          <w:noProof/>
          <w:color w:val="000000"/>
          <w:vertAlign w:val="subscript"/>
          <w:lang w:val="pt-BR"/>
        </w:rPr>
        <w:t>2</w:t>
      </w:r>
      <w:r>
        <w:rPr>
          <w:rFonts w:ascii="Times New Roman" w:hAnsi="Times New Roman"/>
          <w:lang w:val="pt-BR"/>
        </w:rPr>
        <w:t xml:space="preserve"> a óxido de propileno e os resultados estão representados na </w:t>
      </w:r>
      <w:r w:rsidRPr="00A04C47">
        <w:rPr>
          <w:rFonts w:ascii="Times New Roman" w:hAnsi="Times New Roman"/>
          <w:b/>
          <w:bCs/>
          <w:lang w:val="pt-BR"/>
        </w:rPr>
        <w:t>Tabela 2</w:t>
      </w:r>
      <w:r>
        <w:rPr>
          <w:rFonts w:ascii="Times New Roman" w:hAnsi="Times New Roman"/>
          <w:lang w:val="pt-BR"/>
        </w:rPr>
        <w:t>.</w:t>
      </w:r>
      <w:r w:rsidR="000D18B2">
        <w:rPr>
          <w:rFonts w:ascii="Times New Roman" w:hAnsi="Times New Roman"/>
          <w:lang w:val="pt-BR"/>
        </w:rPr>
        <w:t xml:space="preserve"> </w:t>
      </w:r>
    </w:p>
    <w:p w14:paraId="5CF5B465" w14:textId="77777777" w:rsidR="00A04C47" w:rsidRDefault="00A04C47" w:rsidP="00A04C47">
      <w:pPr>
        <w:pStyle w:val="TAMainText"/>
        <w:rPr>
          <w:rFonts w:ascii="Times New Roman" w:hAnsi="Times New Roman"/>
          <w:lang w:val="pt-BR"/>
        </w:rPr>
      </w:pPr>
    </w:p>
    <w:p w14:paraId="1FE074A5" w14:textId="758B5080" w:rsidR="00A04C47" w:rsidRPr="00A2795B" w:rsidRDefault="00A04C47" w:rsidP="00A04C47">
      <w:pPr>
        <w:pStyle w:val="TAMainText"/>
        <w:ind w:firstLine="0"/>
        <w:rPr>
          <w:rFonts w:ascii="Times New Roman" w:hAnsi="Times New Roman"/>
          <w:bCs/>
          <w:lang w:val="pt-BR"/>
        </w:rPr>
      </w:pPr>
      <w:r w:rsidRPr="00E038AF">
        <w:rPr>
          <w:rFonts w:ascii="Times New Roman" w:hAnsi="Times New Roman"/>
          <w:b/>
          <w:lang w:val="pt-BR"/>
        </w:rPr>
        <w:t xml:space="preserve">Tabela </w:t>
      </w:r>
      <w:r>
        <w:rPr>
          <w:rFonts w:ascii="Times New Roman" w:hAnsi="Times New Roman"/>
          <w:b/>
          <w:lang w:val="pt-BR"/>
        </w:rPr>
        <w:t>2</w:t>
      </w:r>
      <w:r w:rsidRPr="00E038AF">
        <w:rPr>
          <w:rFonts w:ascii="Times New Roman" w:hAnsi="Times New Roman"/>
          <w:b/>
          <w:lang w:val="pt-BR"/>
        </w:rPr>
        <w:t>.</w:t>
      </w:r>
      <w:r>
        <w:rPr>
          <w:rFonts w:ascii="Times New Roman" w:hAnsi="Times New Roman"/>
          <w:b/>
          <w:lang w:val="pt-BR"/>
        </w:rPr>
        <w:t xml:space="preserve"> </w:t>
      </w:r>
      <w:r>
        <w:rPr>
          <w:rFonts w:ascii="Times New Roman" w:hAnsi="Times New Roman"/>
          <w:bCs/>
          <w:lang w:val="pt-BR"/>
        </w:rPr>
        <w:t xml:space="preserve">Resultados catalíticos </w:t>
      </w:r>
      <w:r w:rsidR="00A8093B" w:rsidRPr="00794743">
        <w:rPr>
          <w:rFonts w:ascii="Times New Roman" w:hAnsi="Times New Roman"/>
          <w:lang w:val="pt-BR"/>
        </w:rPr>
        <w:t>(</w:t>
      </w:r>
      <w:proofErr w:type="spellStart"/>
      <w:r w:rsidR="00A8093B" w:rsidRPr="00794743">
        <w:rPr>
          <w:rFonts w:ascii="Times New Roman" w:hAnsi="Times New Roman"/>
          <w:lang w:val="pt-BR"/>
        </w:rPr>
        <w:t>seletividade-S</w:t>
      </w:r>
      <w:proofErr w:type="spellEnd"/>
      <w:r w:rsidR="00A8093B" w:rsidRPr="00794743">
        <w:rPr>
          <w:rFonts w:ascii="Times New Roman" w:hAnsi="Times New Roman"/>
          <w:lang w:val="pt-BR"/>
        </w:rPr>
        <w:t xml:space="preserve"> </w:t>
      </w:r>
      <w:r w:rsidR="00A8093B">
        <w:rPr>
          <w:rFonts w:ascii="Times New Roman" w:hAnsi="Times New Roman"/>
          <w:lang w:val="pt-BR"/>
        </w:rPr>
        <w:t xml:space="preserve">e </w:t>
      </w:r>
      <w:r w:rsidR="00A8093B" w:rsidRPr="00794743">
        <w:rPr>
          <w:rFonts w:ascii="Times New Roman" w:hAnsi="Times New Roman"/>
          <w:lang w:val="pt-BR"/>
        </w:rPr>
        <w:t>rendimento-R a carbonato de propileno)</w:t>
      </w:r>
      <w:r w:rsidR="00A8093B">
        <w:rPr>
          <w:rFonts w:ascii="Times New Roman" w:hAnsi="Times New Roman"/>
          <w:lang w:val="pt-BR"/>
        </w:rPr>
        <w:t xml:space="preserve"> </w:t>
      </w:r>
      <w:r>
        <w:rPr>
          <w:rFonts w:ascii="Times New Roman" w:hAnsi="Times New Roman"/>
          <w:bCs/>
          <w:lang w:val="pt-BR"/>
        </w:rPr>
        <w:t xml:space="preserve">dos </w:t>
      </w:r>
      <w:proofErr w:type="spellStart"/>
      <w:r>
        <w:rPr>
          <w:rFonts w:ascii="Times New Roman" w:hAnsi="Times New Roman"/>
          <w:bCs/>
          <w:lang w:val="pt-BR"/>
        </w:rPr>
        <w:t>MOFs</w:t>
      </w:r>
      <w:proofErr w:type="spellEnd"/>
      <w:r>
        <w:rPr>
          <w:rFonts w:ascii="Times New Roman" w:hAnsi="Times New Roman"/>
          <w:bCs/>
          <w:lang w:val="pt-BR"/>
        </w:rPr>
        <w:t xml:space="preserve"> </w:t>
      </w:r>
      <w:r w:rsidR="00A8093B">
        <w:rPr>
          <w:rFonts w:ascii="Times New Roman" w:hAnsi="Times New Roman"/>
          <w:bCs/>
          <w:lang w:val="pt-BR"/>
        </w:rPr>
        <w:t xml:space="preserve">na </w:t>
      </w:r>
      <w:proofErr w:type="spellStart"/>
      <w:r w:rsidR="00A8093B">
        <w:rPr>
          <w:rFonts w:ascii="Times New Roman" w:hAnsi="Times New Roman"/>
          <w:bCs/>
          <w:lang w:val="pt-BR"/>
        </w:rPr>
        <w:t>cicloadição</w:t>
      </w:r>
      <w:proofErr w:type="spellEnd"/>
      <w:r w:rsidR="00A8093B">
        <w:rPr>
          <w:rFonts w:ascii="Times New Roman" w:hAnsi="Times New Roman"/>
          <w:bCs/>
          <w:lang w:val="pt-BR"/>
        </w:rPr>
        <w:t xml:space="preserve"> </w:t>
      </w:r>
      <w:r w:rsidR="00A8093B" w:rsidRPr="00A8093B">
        <w:rPr>
          <w:rFonts w:ascii="Times New Roman" w:hAnsi="Times New Roman"/>
          <w:bCs/>
          <w:lang w:val="pt-BR"/>
        </w:rPr>
        <w:t xml:space="preserve">de </w:t>
      </w:r>
      <w:r w:rsidR="00A8093B" w:rsidRPr="00A8093B">
        <w:rPr>
          <w:rFonts w:ascii="Times New Roman" w:hAnsi="Times New Roman"/>
          <w:bCs/>
          <w:noProof/>
          <w:color w:val="000000"/>
          <w:lang w:val="pt-BR"/>
        </w:rPr>
        <w:t>CO</w:t>
      </w:r>
      <w:r w:rsidR="00A8093B" w:rsidRPr="00A8093B">
        <w:rPr>
          <w:rFonts w:ascii="Times New Roman" w:hAnsi="Times New Roman"/>
          <w:bCs/>
          <w:noProof/>
          <w:color w:val="000000"/>
          <w:vertAlign w:val="subscript"/>
          <w:lang w:val="pt-BR"/>
        </w:rPr>
        <w:t>2</w:t>
      </w:r>
      <w:r w:rsidR="00A8093B" w:rsidRPr="00A8093B">
        <w:rPr>
          <w:rFonts w:ascii="Times New Roman" w:hAnsi="Times New Roman"/>
          <w:bCs/>
          <w:lang w:val="pt-BR"/>
        </w:rPr>
        <w:t xml:space="preserve"> e</w:t>
      </w:r>
      <w:r w:rsidR="00A8093B">
        <w:rPr>
          <w:rFonts w:ascii="Times New Roman" w:hAnsi="Times New Roman"/>
          <w:bCs/>
          <w:lang w:val="pt-BR"/>
        </w:rPr>
        <w:t xml:space="preserve">m óxido de </w:t>
      </w:r>
      <w:proofErr w:type="spellStart"/>
      <w:proofErr w:type="gramStart"/>
      <w:r w:rsidR="00A8093B">
        <w:rPr>
          <w:rFonts w:ascii="Times New Roman" w:hAnsi="Times New Roman"/>
          <w:bCs/>
          <w:lang w:val="pt-BR"/>
        </w:rPr>
        <w:t>propileno</w:t>
      </w:r>
      <w:r>
        <w:rPr>
          <w:rFonts w:ascii="Times New Roman" w:hAnsi="Times New Roman"/>
          <w:bCs/>
          <w:lang w:val="pt-BR"/>
        </w:rPr>
        <w:t>.</w:t>
      </w:r>
      <w:r w:rsidR="00095F2C" w:rsidRPr="00095F2C">
        <w:rPr>
          <w:rFonts w:ascii="Times New Roman" w:hAnsi="Times New Roman"/>
          <w:bCs/>
          <w:vertAlign w:val="superscript"/>
          <w:lang w:val="pt-BR"/>
        </w:rPr>
        <w:t>a</w:t>
      </w:r>
      <w:proofErr w:type="spellEnd"/>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6"/>
        <w:gridCol w:w="1559"/>
        <w:gridCol w:w="1063"/>
        <w:gridCol w:w="1063"/>
      </w:tblGrid>
      <w:tr w:rsidR="00A04C47" w:rsidRPr="008C16F4" w14:paraId="1972A927" w14:textId="77777777" w:rsidTr="00A04C47">
        <w:trPr>
          <w:trHeight w:val="209"/>
          <w:jc w:val="center"/>
        </w:trPr>
        <w:tc>
          <w:tcPr>
            <w:tcW w:w="846" w:type="dxa"/>
            <w:vAlign w:val="center"/>
          </w:tcPr>
          <w:p w14:paraId="00E79E62" w14:textId="334BA2E0" w:rsidR="00A04C47" w:rsidRPr="005D1A73" w:rsidRDefault="00A04C47" w:rsidP="008E5E33">
            <w:pPr>
              <w:pStyle w:val="TCTableBody"/>
              <w:spacing w:after="0" w:line="240" w:lineRule="auto"/>
              <w:jc w:val="center"/>
              <w:rPr>
                <w:rFonts w:ascii="Times New Roman" w:hAnsi="Times New Roman"/>
                <w:lang w:val="pt-BR"/>
              </w:rPr>
            </w:pPr>
            <w:r>
              <w:rPr>
                <w:rFonts w:ascii="Times New Roman" w:hAnsi="Times New Roman"/>
                <w:b/>
                <w:szCs w:val="24"/>
              </w:rPr>
              <w:t>Entrada</w:t>
            </w:r>
          </w:p>
        </w:tc>
        <w:tc>
          <w:tcPr>
            <w:tcW w:w="1559" w:type="dxa"/>
            <w:vAlign w:val="center"/>
          </w:tcPr>
          <w:p w14:paraId="50B3D12B" w14:textId="4F86482A" w:rsidR="00A04C47" w:rsidRPr="005D1A73" w:rsidRDefault="00A04C47" w:rsidP="008E5E33">
            <w:pPr>
              <w:pStyle w:val="TCTableBody"/>
              <w:spacing w:after="0" w:line="240" w:lineRule="auto"/>
              <w:jc w:val="center"/>
              <w:rPr>
                <w:rFonts w:ascii="Times New Roman" w:hAnsi="Times New Roman"/>
                <w:b/>
                <w:bCs/>
                <w:szCs w:val="18"/>
                <w:lang w:val="pt-BR"/>
              </w:rPr>
            </w:pPr>
            <w:r>
              <w:rPr>
                <w:rFonts w:ascii="Times New Roman" w:hAnsi="Times New Roman"/>
                <w:b/>
                <w:bCs/>
                <w:szCs w:val="18"/>
                <w:lang w:val="pt-BR"/>
              </w:rPr>
              <w:t>Catalisador</w:t>
            </w:r>
          </w:p>
        </w:tc>
        <w:tc>
          <w:tcPr>
            <w:tcW w:w="1063" w:type="dxa"/>
            <w:vAlign w:val="center"/>
          </w:tcPr>
          <w:p w14:paraId="1D6C47F9" w14:textId="757AA3AD" w:rsidR="00A04C47" w:rsidRPr="005D1A73" w:rsidRDefault="00A04C47" w:rsidP="008E5E33">
            <w:pPr>
              <w:pStyle w:val="TCTableBody"/>
              <w:spacing w:after="0" w:line="240" w:lineRule="auto"/>
              <w:jc w:val="center"/>
              <w:rPr>
                <w:rFonts w:ascii="Times New Roman" w:hAnsi="Times New Roman"/>
                <w:b/>
                <w:bCs/>
                <w:i/>
                <w:iCs/>
                <w:color w:val="000000"/>
                <w:szCs w:val="18"/>
              </w:rPr>
            </w:pPr>
            <w:r>
              <w:rPr>
                <w:rFonts w:ascii="Times New Roman" w:hAnsi="Times New Roman"/>
                <w:b/>
                <w:bCs/>
                <w:i/>
                <w:iCs/>
                <w:color w:val="000000"/>
                <w:szCs w:val="18"/>
              </w:rPr>
              <w:t>S</w:t>
            </w:r>
            <w:r w:rsidRPr="00A04C47">
              <w:rPr>
                <w:rFonts w:ascii="Times New Roman" w:hAnsi="Times New Roman"/>
                <w:b/>
                <w:bCs/>
                <w:i/>
                <w:iCs/>
                <w:color w:val="000000"/>
                <w:szCs w:val="18"/>
                <w:vertAlign w:val="subscript"/>
              </w:rPr>
              <w:t>CP</w:t>
            </w:r>
            <w:r w:rsidRPr="00A04C47">
              <w:rPr>
                <w:rFonts w:ascii="Times New Roman" w:hAnsi="Times New Roman"/>
                <w:b/>
                <w:bCs/>
                <w:i/>
                <w:iCs/>
                <w:color w:val="000000"/>
                <w:szCs w:val="18"/>
              </w:rPr>
              <w:t xml:space="preserve"> (%)</w:t>
            </w:r>
          </w:p>
        </w:tc>
        <w:tc>
          <w:tcPr>
            <w:tcW w:w="1063" w:type="dxa"/>
          </w:tcPr>
          <w:p w14:paraId="5E11E93B" w14:textId="7CE620C0" w:rsidR="00A04C47" w:rsidRPr="005D1A73" w:rsidRDefault="00A04C47" w:rsidP="008E5E33">
            <w:pPr>
              <w:pStyle w:val="TCTableBody"/>
              <w:spacing w:after="0" w:line="240" w:lineRule="auto"/>
              <w:jc w:val="center"/>
              <w:rPr>
                <w:rFonts w:ascii="Times New Roman" w:hAnsi="Times New Roman"/>
                <w:b/>
                <w:bCs/>
                <w:i/>
                <w:iCs/>
                <w:color w:val="000000"/>
                <w:szCs w:val="18"/>
              </w:rPr>
            </w:pPr>
            <w:r>
              <w:rPr>
                <w:rFonts w:ascii="Times New Roman" w:hAnsi="Times New Roman"/>
                <w:b/>
                <w:bCs/>
                <w:i/>
                <w:iCs/>
                <w:color w:val="000000"/>
                <w:szCs w:val="18"/>
              </w:rPr>
              <w:t>R</w:t>
            </w:r>
            <w:r w:rsidRPr="00A04C47">
              <w:rPr>
                <w:rFonts w:ascii="Times New Roman" w:hAnsi="Times New Roman"/>
                <w:b/>
                <w:bCs/>
                <w:i/>
                <w:iCs/>
                <w:color w:val="000000"/>
                <w:szCs w:val="18"/>
                <w:vertAlign w:val="subscript"/>
              </w:rPr>
              <w:t>CP</w:t>
            </w:r>
            <w:r>
              <w:rPr>
                <w:rFonts w:ascii="Times New Roman" w:hAnsi="Times New Roman"/>
                <w:b/>
                <w:bCs/>
                <w:i/>
                <w:iCs/>
                <w:color w:val="000000"/>
                <w:szCs w:val="18"/>
              </w:rPr>
              <w:t xml:space="preserve"> (%)</w:t>
            </w:r>
          </w:p>
        </w:tc>
      </w:tr>
      <w:tr w:rsidR="00B06C01" w:rsidRPr="008C16F4" w14:paraId="2E609FB4" w14:textId="77777777" w:rsidTr="00A04C47">
        <w:trPr>
          <w:trHeight w:val="187"/>
          <w:jc w:val="center"/>
        </w:trPr>
        <w:tc>
          <w:tcPr>
            <w:tcW w:w="846" w:type="dxa"/>
            <w:vAlign w:val="center"/>
          </w:tcPr>
          <w:p w14:paraId="5DF3AA62" w14:textId="4BDB8692" w:rsidR="00B06C01" w:rsidRDefault="00B06C01" w:rsidP="00A04C47">
            <w:pPr>
              <w:pStyle w:val="TCTableBody"/>
              <w:spacing w:after="0" w:line="240" w:lineRule="auto"/>
              <w:jc w:val="center"/>
              <w:rPr>
                <w:rFonts w:ascii="Times New Roman" w:eastAsia="Arial" w:hAnsi="Times New Roman"/>
                <w:color w:val="000000"/>
                <w:szCs w:val="18"/>
              </w:rPr>
            </w:pPr>
            <w:r>
              <w:rPr>
                <w:rFonts w:ascii="Times New Roman" w:eastAsia="Arial" w:hAnsi="Times New Roman"/>
                <w:color w:val="000000"/>
                <w:szCs w:val="18"/>
              </w:rPr>
              <w:t>1</w:t>
            </w:r>
          </w:p>
        </w:tc>
        <w:tc>
          <w:tcPr>
            <w:tcW w:w="1559" w:type="dxa"/>
            <w:vAlign w:val="center"/>
          </w:tcPr>
          <w:p w14:paraId="67DC5E3F" w14:textId="53D7D5AC" w:rsidR="00B06C01" w:rsidRPr="005D1A73" w:rsidRDefault="00B06C01" w:rsidP="00A04C47">
            <w:pPr>
              <w:pStyle w:val="TCTableBody"/>
              <w:spacing w:after="0" w:line="240" w:lineRule="auto"/>
              <w:jc w:val="center"/>
              <w:rPr>
                <w:rFonts w:ascii="Times New Roman" w:eastAsia="Arial" w:hAnsi="Times New Roman"/>
                <w:color w:val="000000"/>
                <w:szCs w:val="18"/>
              </w:rPr>
            </w:pPr>
            <w:r>
              <w:rPr>
                <w:rFonts w:ascii="Times New Roman" w:eastAsia="Arial" w:hAnsi="Times New Roman"/>
                <w:color w:val="000000"/>
                <w:szCs w:val="18"/>
              </w:rPr>
              <w:t>UiO-66</w:t>
            </w:r>
          </w:p>
        </w:tc>
        <w:tc>
          <w:tcPr>
            <w:tcW w:w="1063" w:type="dxa"/>
            <w:vAlign w:val="center"/>
          </w:tcPr>
          <w:p w14:paraId="0C187F44" w14:textId="295D0ED1" w:rsidR="00B06C01" w:rsidRDefault="00B06C01" w:rsidP="00A04C47">
            <w:pPr>
              <w:pStyle w:val="TCTableBody"/>
              <w:spacing w:after="0" w:line="240" w:lineRule="auto"/>
              <w:jc w:val="center"/>
              <w:rPr>
                <w:rFonts w:ascii="Times New Roman" w:hAnsi="Times New Roman"/>
                <w:szCs w:val="18"/>
                <w:lang w:val="pt-BR"/>
              </w:rPr>
            </w:pPr>
            <w:r>
              <w:rPr>
                <w:rFonts w:ascii="Times New Roman" w:hAnsi="Times New Roman"/>
                <w:szCs w:val="18"/>
                <w:lang w:val="pt-BR"/>
              </w:rPr>
              <w:t>5,0</w:t>
            </w:r>
          </w:p>
        </w:tc>
        <w:tc>
          <w:tcPr>
            <w:tcW w:w="1063" w:type="dxa"/>
          </w:tcPr>
          <w:p w14:paraId="22D70828" w14:textId="21AC1CDF" w:rsidR="00B06C01" w:rsidRDefault="00B06C01" w:rsidP="00A04C47">
            <w:pPr>
              <w:pStyle w:val="TCTableBody"/>
              <w:spacing w:after="0" w:line="240" w:lineRule="auto"/>
              <w:jc w:val="center"/>
              <w:rPr>
                <w:rFonts w:ascii="Times New Roman" w:eastAsia="Arial" w:hAnsi="Times New Roman"/>
                <w:color w:val="000000"/>
                <w:szCs w:val="18"/>
              </w:rPr>
            </w:pPr>
            <w:r>
              <w:rPr>
                <w:rFonts w:ascii="Times New Roman" w:eastAsia="Arial" w:hAnsi="Times New Roman"/>
                <w:color w:val="000000"/>
                <w:szCs w:val="18"/>
              </w:rPr>
              <w:t>0,66</w:t>
            </w:r>
          </w:p>
        </w:tc>
      </w:tr>
      <w:tr w:rsidR="00B06C01" w:rsidRPr="008C16F4" w14:paraId="4569E4F9" w14:textId="77777777" w:rsidTr="00A04C47">
        <w:trPr>
          <w:trHeight w:val="187"/>
          <w:jc w:val="center"/>
        </w:trPr>
        <w:tc>
          <w:tcPr>
            <w:tcW w:w="846" w:type="dxa"/>
            <w:vAlign w:val="center"/>
          </w:tcPr>
          <w:p w14:paraId="52BCB06D" w14:textId="0A81F96E" w:rsidR="00B06C01" w:rsidRDefault="00B06C01" w:rsidP="00A04C47">
            <w:pPr>
              <w:pStyle w:val="TCTableBody"/>
              <w:spacing w:after="0" w:line="240" w:lineRule="auto"/>
              <w:jc w:val="center"/>
              <w:rPr>
                <w:rFonts w:ascii="Times New Roman" w:eastAsia="Arial" w:hAnsi="Times New Roman"/>
                <w:color w:val="000000"/>
                <w:szCs w:val="18"/>
              </w:rPr>
            </w:pPr>
            <w:r>
              <w:rPr>
                <w:rFonts w:ascii="Times New Roman" w:eastAsia="Arial" w:hAnsi="Times New Roman"/>
                <w:color w:val="000000"/>
                <w:szCs w:val="18"/>
              </w:rPr>
              <w:t>2</w:t>
            </w:r>
          </w:p>
        </w:tc>
        <w:tc>
          <w:tcPr>
            <w:tcW w:w="1559" w:type="dxa"/>
            <w:vAlign w:val="center"/>
          </w:tcPr>
          <w:p w14:paraId="2BC929DA" w14:textId="3C37E365" w:rsidR="00B06C01" w:rsidRDefault="00B06C01" w:rsidP="00A04C47">
            <w:pPr>
              <w:pStyle w:val="TCTableBody"/>
              <w:spacing w:after="0" w:line="240" w:lineRule="auto"/>
              <w:jc w:val="center"/>
              <w:rPr>
                <w:rFonts w:ascii="Times New Roman" w:eastAsia="Arial" w:hAnsi="Times New Roman"/>
                <w:color w:val="000000"/>
                <w:szCs w:val="18"/>
              </w:rPr>
            </w:pPr>
            <w:r>
              <w:rPr>
                <w:rFonts w:ascii="Times New Roman" w:eastAsia="Arial" w:hAnsi="Times New Roman"/>
                <w:color w:val="000000"/>
                <w:szCs w:val="18"/>
              </w:rPr>
              <w:t>dpa15</w:t>
            </w:r>
          </w:p>
        </w:tc>
        <w:tc>
          <w:tcPr>
            <w:tcW w:w="1063" w:type="dxa"/>
            <w:vAlign w:val="center"/>
          </w:tcPr>
          <w:p w14:paraId="5F576B62" w14:textId="3A8B94BE" w:rsidR="00B06C01" w:rsidRDefault="00B06C01" w:rsidP="00A04C47">
            <w:pPr>
              <w:pStyle w:val="TCTableBody"/>
              <w:spacing w:after="0" w:line="240" w:lineRule="auto"/>
              <w:jc w:val="center"/>
              <w:rPr>
                <w:rFonts w:ascii="Times New Roman" w:hAnsi="Times New Roman"/>
                <w:szCs w:val="18"/>
                <w:lang w:val="pt-BR"/>
              </w:rPr>
            </w:pPr>
            <w:r>
              <w:rPr>
                <w:rFonts w:ascii="Times New Roman" w:hAnsi="Times New Roman"/>
                <w:szCs w:val="18"/>
                <w:lang w:val="pt-BR"/>
              </w:rPr>
              <w:t>38,5</w:t>
            </w:r>
          </w:p>
        </w:tc>
        <w:tc>
          <w:tcPr>
            <w:tcW w:w="1063" w:type="dxa"/>
          </w:tcPr>
          <w:p w14:paraId="37BF6A9D" w14:textId="57C96F0A" w:rsidR="00B06C01" w:rsidRDefault="00B06C01" w:rsidP="00A04C47">
            <w:pPr>
              <w:pStyle w:val="TCTableBody"/>
              <w:spacing w:after="0" w:line="240" w:lineRule="auto"/>
              <w:jc w:val="center"/>
              <w:rPr>
                <w:rFonts w:ascii="Times New Roman" w:eastAsia="Arial" w:hAnsi="Times New Roman"/>
                <w:color w:val="000000"/>
                <w:szCs w:val="18"/>
              </w:rPr>
            </w:pPr>
            <w:r>
              <w:rPr>
                <w:rFonts w:ascii="Times New Roman" w:eastAsia="Arial" w:hAnsi="Times New Roman"/>
                <w:color w:val="000000"/>
                <w:szCs w:val="18"/>
              </w:rPr>
              <w:t>22,5</w:t>
            </w:r>
          </w:p>
        </w:tc>
      </w:tr>
      <w:tr w:rsidR="00A04C47" w:rsidRPr="008C16F4" w14:paraId="55940DA9" w14:textId="77777777" w:rsidTr="00A04C47">
        <w:trPr>
          <w:trHeight w:val="187"/>
          <w:jc w:val="center"/>
        </w:trPr>
        <w:tc>
          <w:tcPr>
            <w:tcW w:w="846" w:type="dxa"/>
            <w:vAlign w:val="center"/>
          </w:tcPr>
          <w:p w14:paraId="5ECFF570" w14:textId="45766FA7" w:rsidR="00A04C47" w:rsidRPr="005D1A73" w:rsidRDefault="00B06C01" w:rsidP="00A04C47">
            <w:pPr>
              <w:pStyle w:val="TCTableBody"/>
              <w:spacing w:after="0" w:line="240" w:lineRule="auto"/>
              <w:jc w:val="center"/>
              <w:rPr>
                <w:rFonts w:ascii="Times New Roman" w:hAnsi="Times New Roman"/>
                <w:bCs/>
                <w:szCs w:val="18"/>
                <w:lang w:val="pt-BR"/>
              </w:rPr>
            </w:pPr>
            <w:r>
              <w:rPr>
                <w:rFonts w:ascii="Times New Roman" w:hAnsi="Times New Roman"/>
                <w:bCs/>
                <w:szCs w:val="18"/>
              </w:rPr>
              <w:t>3</w:t>
            </w:r>
          </w:p>
        </w:tc>
        <w:tc>
          <w:tcPr>
            <w:tcW w:w="1559" w:type="dxa"/>
            <w:vAlign w:val="center"/>
          </w:tcPr>
          <w:p w14:paraId="6B07B356" w14:textId="1E9C2FFC" w:rsidR="00A04C47" w:rsidRPr="005D1A73" w:rsidRDefault="00A04C47" w:rsidP="00A04C47">
            <w:pPr>
              <w:pStyle w:val="TCTableBody"/>
              <w:spacing w:after="0" w:line="240" w:lineRule="auto"/>
              <w:jc w:val="center"/>
              <w:rPr>
                <w:rFonts w:ascii="Times New Roman" w:hAnsi="Times New Roman"/>
                <w:szCs w:val="18"/>
                <w:lang w:val="pt-BR"/>
              </w:rPr>
            </w:pPr>
            <w:r w:rsidRPr="005D1A73">
              <w:rPr>
                <w:rFonts w:ascii="Times New Roman" w:eastAsia="Arial" w:hAnsi="Times New Roman"/>
                <w:color w:val="000000"/>
                <w:szCs w:val="18"/>
              </w:rPr>
              <w:t>dpa20</w:t>
            </w:r>
          </w:p>
        </w:tc>
        <w:tc>
          <w:tcPr>
            <w:tcW w:w="1063" w:type="dxa"/>
            <w:vAlign w:val="center"/>
          </w:tcPr>
          <w:p w14:paraId="2177C86E" w14:textId="4F6884D2" w:rsidR="00A04C47" w:rsidRPr="005D1A73" w:rsidRDefault="00A04C47" w:rsidP="00A04C47">
            <w:pPr>
              <w:pStyle w:val="TCTableBody"/>
              <w:spacing w:after="0" w:line="240" w:lineRule="auto"/>
              <w:jc w:val="center"/>
              <w:rPr>
                <w:rFonts w:ascii="Times New Roman" w:hAnsi="Times New Roman"/>
                <w:szCs w:val="18"/>
                <w:lang w:val="pt-BR"/>
              </w:rPr>
            </w:pPr>
            <w:r>
              <w:rPr>
                <w:rFonts w:ascii="Times New Roman" w:hAnsi="Times New Roman"/>
                <w:szCs w:val="18"/>
                <w:lang w:val="pt-BR"/>
              </w:rPr>
              <w:t>17,4</w:t>
            </w:r>
          </w:p>
        </w:tc>
        <w:tc>
          <w:tcPr>
            <w:tcW w:w="1063" w:type="dxa"/>
          </w:tcPr>
          <w:p w14:paraId="0B50E3E1" w14:textId="201E3D9F" w:rsidR="00A04C47" w:rsidRPr="005D1A73" w:rsidRDefault="00A04C47" w:rsidP="00A04C47">
            <w:pPr>
              <w:pStyle w:val="TCTableBody"/>
              <w:spacing w:after="0" w:line="240" w:lineRule="auto"/>
              <w:jc w:val="center"/>
              <w:rPr>
                <w:rFonts w:ascii="Times New Roman" w:eastAsia="Arial" w:hAnsi="Times New Roman"/>
                <w:color w:val="000000"/>
                <w:szCs w:val="18"/>
              </w:rPr>
            </w:pPr>
            <w:r>
              <w:rPr>
                <w:rFonts w:ascii="Times New Roman" w:eastAsia="Arial" w:hAnsi="Times New Roman"/>
                <w:color w:val="000000"/>
                <w:szCs w:val="18"/>
              </w:rPr>
              <w:t>4,5</w:t>
            </w:r>
          </w:p>
        </w:tc>
      </w:tr>
      <w:tr w:rsidR="00A04C47" w:rsidRPr="008C16F4" w14:paraId="03D5C475" w14:textId="77777777" w:rsidTr="00A04C47">
        <w:trPr>
          <w:trHeight w:val="262"/>
          <w:jc w:val="center"/>
        </w:trPr>
        <w:tc>
          <w:tcPr>
            <w:tcW w:w="846" w:type="dxa"/>
            <w:vAlign w:val="center"/>
          </w:tcPr>
          <w:p w14:paraId="2BDCF273" w14:textId="626ECFC2" w:rsidR="00A04C47" w:rsidRPr="005D1A73" w:rsidRDefault="00B06C01" w:rsidP="00A04C47">
            <w:pPr>
              <w:pStyle w:val="TCTableBody"/>
              <w:spacing w:after="0" w:line="240" w:lineRule="auto"/>
              <w:jc w:val="center"/>
              <w:rPr>
                <w:rFonts w:ascii="Times New Roman" w:hAnsi="Times New Roman"/>
                <w:bCs/>
                <w:szCs w:val="18"/>
                <w:lang w:val="pt-BR"/>
              </w:rPr>
            </w:pPr>
            <w:r>
              <w:rPr>
                <w:rFonts w:ascii="Times New Roman" w:hAnsi="Times New Roman"/>
                <w:bCs/>
                <w:szCs w:val="18"/>
              </w:rPr>
              <w:t>4</w:t>
            </w:r>
          </w:p>
        </w:tc>
        <w:tc>
          <w:tcPr>
            <w:tcW w:w="1559" w:type="dxa"/>
            <w:vAlign w:val="center"/>
          </w:tcPr>
          <w:p w14:paraId="564DE863" w14:textId="6324510E" w:rsidR="00A04C47" w:rsidRPr="005D1A73" w:rsidRDefault="00A04C47" w:rsidP="00A04C47">
            <w:pPr>
              <w:pStyle w:val="TCTableBody"/>
              <w:spacing w:after="0" w:line="240" w:lineRule="auto"/>
              <w:jc w:val="center"/>
              <w:rPr>
                <w:rFonts w:ascii="Times New Roman" w:hAnsi="Times New Roman"/>
                <w:szCs w:val="18"/>
                <w:lang w:val="pt-BR"/>
              </w:rPr>
            </w:pPr>
            <w:r w:rsidRPr="005D1A73">
              <w:rPr>
                <w:rFonts w:ascii="Times New Roman" w:eastAsia="Arial" w:hAnsi="Times New Roman"/>
                <w:color w:val="000000"/>
                <w:szCs w:val="18"/>
              </w:rPr>
              <w:t>dpa20func</w:t>
            </w:r>
          </w:p>
        </w:tc>
        <w:tc>
          <w:tcPr>
            <w:tcW w:w="1063" w:type="dxa"/>
            <w:vAlign w:val="center"/>
          </w:tcPr>
          <w:p w14:paraId="05D90A2A" w14:textId="130BB983" w:rsidR="00A04C47" w:rsidRPr="005D1A73" w:rsidRDefault="00A04C47" w:rsidP="00A04C47">
            <w:pPr>
              <w:pStyle w:val="TCTableBody"/>
              <w:spacing w:after="0" w:line="240" w:lineRule="auto"/>
              <w:jc w:val="center"/>
              <w:rPr>
                <w:rFonts w:ascii="Times New Roman" w:hAnsi="Times New Roman"/>
                <w:szCs w:val="18"/>
                <w:lang w:val="pt-BR"/>
              </w:rPr>
            </w:pPr>
            <w:r>
              <w:rPr>
                <w:rFonts w:ascii="Times New Roman" w:hAnsi="Times New Roman"/>
                <w:szCs w:val="18"/>
                <w:lang w:val="pt-BR"/>
              </w:rPr>
              <w:t>10</w:t>
            </w:r>
            <w:r w:rsidR="00464D37">
              <w:rPr>
                <w:rFonts w:ascii="Times New Roman" w:hAnsi="Times New Roman"/>
                <w:szCs w:val="18"/>
                <w:lang w:val="pt-BR"/>
              </w:rPr>
              <w:t>,</w:t>
            </w:r>
            <w:r>
              <w:rPr>
                <w:rFonts w:ascii="Times New Roman" w:hAnsi="Times New Roman"/>
                <w:szCs w:val="18"/>
                <w:lang w:val="pt-BR"/>
              </w:rPr>
              <w:t>9</w:t>
            </w:r>
          </w:p>
        </w:tc>
        <w:tc>
          <w:tcPr>
            <w:tcW w:w="1063" w:type="dxa"/>
          </w:tcPr>
          <w:p w14:paraId="7267ABD2" w14:textId="5BA33CC0" w:rsidR="00A04C47" w:rsidRPr="005D1A73" w:rsidRDefault="00A04C47" w:rsidP="00A04C47">
            <w:pPr>
              <w:pStyle w:val="TCTableBody"/>
              <w:spacing w:after="0" w:line="240" w:lineRule="auto"/>
              <w:jc w:val="center"/>
              <w:rPr>
                <w:rFonts w:ascii="Times New Roman" w:eastAsia="Arial" w:hAnsi="Times New Roman"/>
                <w:color w:val="000000"/>
                <w:szCs w:val="18"/>
              </w:rPr>
            </w:pPr>
            <w:r>
              <w:rPr>
                <w:rFonts w:ascii="Times New Roman" w:eastAsia="Arial" w:hAnsi="Times New Roman"/>
                <w:color w:val="000000"/>
                <w:szCs w:val="18"/>
              </w:rPr>
              <w:t>2,0</w:t>
            </w:r>
          </w:p>
        </w:tc>
      </w:tr>
    </w:tbl>
    <w:p w14:paraId="0F708210" w14:textId="3F166A4C" w:rsidR="00A04C47" w:rsidRDefault="00A04C47" w:rsidP="00A04C47">
      <w:pPr>
        <w:pStyle w:val="TAMainText"/>
        <w:ind w:firstLine="0"/>
        <w:rPr>
          <w:rFonts w:ascii="Times New Roman" w:hAnsi="Times New Roman"/>
          <w:sz w:val="18"/>
          <w:szCs w:val="18"/>
          <w:lang w:val="pt-BR"/>
        </w:rPr>
      </w:pPr>
      <w:r>
        <w:rPr>
          <w:rFonts w:ascii="Times New Roman" w:hAnsi="Times New Roman"/>
          <w:sz w:val="18"/>
          <w:szCs w:val="18"/>
          <w:lang w:val="pt-BR"/>
        </w:rPr>
        <w:t xml:space="preserve">  </w:t>
      </w:r>
      <w:proofErr w:type="spellStart"/>
      <w:r w:rsidR="00095F2C" w:rsidRPr="00095F2C">
        <w:rPr>
          <w:rFonts w:ascii="Times New Roman" w:hAnsi="Times New Roman"/>
          <w:sz w:val="18"/>
          <w:szCs w:val="18"/>
          <w:vertAlign w:val="superscript"/>
          <w:lang w:val="pt-BR"/>
        </w:rPr>
        <w:t>a</w:t>
      </w:r>
      <w:r w:rsidR="00095F2C">
        <w:rPr>
          <w:rFonts w:ascii="Times New Roman" w:hAnsi="Times New Roman"/>
          <w:sz w:val="18"/>
          <w:szCs w:val="18"/>
          <w:lang w:val="pt-BR"/>
        </w:rPr>
        <w:t>Condições</w:t>
      </w:r>
      <w:proofErr w:type="spellEnd"/>
      <w:r w:rsidR="00095F2C">
        <w:rPr>
          <w:rFonts w:ascii="Times New Roman" w:hAnsi="Times New Roman"/>
          <w:sz w:val="18"/>
          <w:szCs w:val="18"/>
          <w:lang w:val="pt-BR"/>
        </w:rPr>
        <w:t xml:space="preserve"> reacionais: P = 20 bar, T = 100 °C, t = 24h.</w:t>
      </w:r>
    </w:p>
    <w:p w14:paraId="6BD64F39" w14:textId="77777777" w:rsidR="000D18B2" w:rsidRDefault="000D18B2" w:rsidP="00A04C47">
      <w:pPr>
        <w:pStyle w:val="TAMainText"/>
        <w:ind w:firstLine="0"/>
        <w:rPr>
          <w:rFonts w:ascii="Times New Roman" w:hAnsi="Times New Roman"/>
          <w:sz w:val="18"/>
          <w:szCs w:val="18"/>
          <w:lang w:val="pt-BR"/>
        </w:rPr>
      </w:pPr>
    </w:p>
    <w:p w14:paraId="0C868672" w14:textId="05F17F1D" w:rsidR="00A04C47" w:rsidRDefault="00A256D8" w:rsidP="00A04C47">
      <w:pPr>
        <w:pStyle w:val="TAMainText"/>
        <w:rPr>
          <w:rFonts w:ascii="Times New Roman" w:hAnsi="Times New Roman"/>
          <w:color w:val="FF0000"/>
          <w:lang w:val="pt-BR"/>
        </w:rPr>
      </w:pPr>
      <w:r>
        <w:rPr>
          <w:rFonts w:ascii="Times New Roman" w:hAnsi="Times New Roman"/>
          <w:lang w:val="pt-BR"/>
        </w:rPr>
        <w:t xml:space="preserve">Inicialmente, o MOF de referência (UiO-66) foi testado na </w:t>
      </w:r>
      <w:proofErr w:type="spellStart"/>
      <w:r>
        <w:rPr>
          <w:rFonts w:ascii="Times New Roman" w:hAnsi="Times New Roman"/>
          <w:lang w:val="pt-BR"/>
        </w:rPr>
        <w:t>cicloadição</w:t>
      </w:r>
      <w:proofErr w:type="spellEnd"/>
      <w:r>
        <w:rPr>
          <w:rFonts w:ascii="Times New Roman" w:hAnsi="Times New Roman"/>
          <w:lang w:val="pt-BR"/>
        </w:rPr>
        <w:t xml:space="preserve"> do CO</w:t>
      </w:r>
      <w:r w:rsidRPr="0003684E">
        <w:rPr>
          <w:rFonts w:ascii="Times New Roman" w:hAnsi="Times New Roman"/>
          <w:vertAlign w:val="subscript"/>
          <w:lang w:val="pt-BR"/>
        </w:rPr>
        <w:t>2</w:t>
      </w:r>
      <w:r>
        <w:rPr>
          <w:rFonts w:ascii="Times New Roman" w:hAnsi="Times New Roman"/>
          <w:lang w:val="pt-BR"/>
        </w:rPr>
        <w:t xml:space="preserve"> e obteve somente 0,66% de rendimento a carbonato de propileno com 5,0% de seletividade. Esses resultados demonstram que a modificação deste sistema se faz necessária para alcançar maior rendimento e seletividade ao produto de interesse. </w:t>
      </w:r>
      <w:r w:rsidR="000D18B2" w:rsidRPr="00A256D8">
        <w:rPr>
          <w:rFonts w:ascii="Times New Roman" w:hAnsi="Times New Roman"/>
          <w:lang w:val="pt-BR"/>
        </w:rPr>
        <w:t xml:space="preserve">Diferente do esperado, o processo de funcionalização </w:t>
      </w:r>
      <w:r w:rsidR="00464D37" w:rsidRPr="00A256D8">
        <w:rPr>
          <w:rFonts w:ascii="Times New Roman" w:hAnsi="Times New Roman"/>
          <w:lang w:val="pt-BR"/>
        </w:rPr>
        <w:t xml:space="preserve">do DPA-UiO-66 </w:t>
      </w:r>
      <w:r w:rsidR="000D18B2" w:rsidRPr="00A256D8">
        <w:rPr>
          <w:rFonts w:ascii="Times New Roman" w:hAnsi="Times New Roman"/>
          <w:lang w:val="pt-BR"/>
        </w:rPr>
        <w:t xml:space="preserve">com </w:t>
      </w:r>
      <w:proofErr w:type="spellStart"/>
      <w:r w:rsidR="000D18B2" w:rsidRPr="00A256D8">
        <w:rPr>
          <w:rFonts w:ascii="Times New Roman" w:hAnsi="Times New Roman"/>
          <w:lang w:val="pt-BR"/>
        </w:rPr>
        <w:t>bromobutano</w:t>
      </w:r>
      <w:proofErr w:type="spellEnd"/>
      <w:r w:rsidR="000D18B2" w:rsidRPr="00A256D8">
        <w:rPr>
          <w:rFonts w:ascii="Times New Roman" w:hAnsi="Times New Roman"/>
          <w:lang w:val="pt-BR"/>
        </w:rPr>
        <w:t xml:space="preserve"> n</w:t>
      </w:r>
      <w:r w:rsidR="00464D37" w:rsidRPr="00A256D8">
        <w:rPr>
          <w:rFonts w:ascii="Times New Roman" w:hAnsi="Times New Roman"/>
          <w:lang w:val="pt-BR"/>
        </w:rPr>
        <w:t>o</w:t>
      </w:r>
      <w:r w:rsidR="000D18B2" w:rsidRPr="00A256D8">
        <w:rPr>
          <w:rFonts w:ascii="Times New Roman" w:hAnsi="Times New Roman"/>
          <w:lang w:val="pt-BR"/>
        </w:rPr>
        <w:t xml:space="preserve"> dpa20func não </w:t>
      </w:r>
      <w:r w:rsidR="00464D37" w:rsidRPr="00A256D8">
        <w:rPr>
          <w:rFonts w:ascii="Times New Roman" w:hAnsi="Times New Roman"/>
          <w:lang w:val="pt-BR"/>
        </w:rPr>
        <w:t xml:space="preserve">ocasionou </w:t>
      </w:r>
      <w:r w:rsidRPr="00A256D8">
        <w:rPr>
          <w:rFonts w:ascii="Times New Roman" w:hAnsi="Times New Roman"/>
          <w:lang w:val="pt-BR"/>
        </w:rPr>
        <w:t>n</w:t>
      </w:r>
      <w:r w:rsidR="00464D37" w:rsidRPr="00A256D8">
        <w:rPr>
          <w:rFonts w:ascii="Times New Roman" w:hAnsi="Times New Roman"/>
          <w:lang w:val="pt-BR"/>
        </w:rPr>
        <w:t>uma</w:t>
      </w:r>
      <w:r w:rsidR="000D18B2" w:rsidRPr="00A256D8">
        <w:rPr>
          <w:rFonts w:ascii="Times New Roman" w:hAnsi="Times New Roman"/>
          <w:lang w:val="pt-BR"/>
        </w:rPr>
        <w:t xml:space="preserve"> melhora da atividade catalítica em relação </w:t>
      </w:r>
      <w:r w:rsidRPr="00A256D8">
        <w:rPr>
          <w:rFonts w:ascii="Times New Roman" w:hAnsi="Times New Roman"/>
          <w:lang w:val="pt-BR"/>
        </w:rPr>
        <w:t>dpa20</w:t>
      </w:r>
      <w:r w:rsidR="00464D37" w:rsidRPr="00A256D8">
        <w:rPr>
          <w:rFonts w:ascii="Times New Roman" w:hAnsi="Times New Roman"/>
          <w:lang w:val="pt-BR"/>
        </w:rPr>
        <w:t>. O MOF não funcionalizado obteve um rendimento de 4,5% a carbonato de propileno enquanto que o MOF funcionalizado obteve 2,0%</w:t>
      </w:r>
      <w:r>
        <w:rPr>
          <w:rFonts w:ascii="Times New Roman" w:hAnsi="Times New Roman"/>
          <w:lang w:val="pt-BR"/>
        </w:rPr>
        <w:t>, com 10,9 e 17,4% de seletividade a carbonato de propileno, respectivamente</w:t>
      </w:r>
      <w:r w:rsidR="00464D37" w:rsidRPr="00A256D8">
        <w:rPr>
          <w:rFonts w:ascii="Times New Roman" w:hAnsi="Times New Roman"/>
          <w:lang w:val="pt-BR"/>
        </w:rPr>
        <w:t>.</w:t>
      </w:r>
      <w:r>
        <w:rPr>
          <w:rFonts w:ascii="Times New Roman" w:hAnsi="Times New Roman"/>
          <w:lang w:val="pt-BR"/>
        </w:rPr>
        <w:t xml:space="preserve"> O melhor resultado foi obtido com o catalisador dpa15, que atingiu 22,5% de rendimento a carbonato de propileno e 38,5% de seletividade. </w:t>
      </w:r>
      <w:r w:rsidR="008608EF" w:rsidRPr="00A256D8">
        <w:rPr>
          <w:rFonts w:ascii="Times New Roman" w:hAnsi="Times New Roman"/>
          <w:lang w:val="pt-BR"/>
        </w:rPr>
        <w:t xml:space="preserve">Em relação a seletividade, análises de ressonância magnética nuclear de </w:t>
      </w:r>
      <w:r w:rsidR="008608EF" w:rsidRPr="00A256D8">
        <w:rPr>
          <w:rFonts w:ascii="Times New Roman" w:hAnsi="Times New Roman"/>
          <w:vertAlign w:val="superscript"/>
          <w:lang w:val="pt-BR"/>
        </w:rPr>
        <w:t>1</w:t>
      </w:r>
      <w:r w:rsidR="008608EF" w:rsidRPr="00A256D8">
        <w:rPr>
          <w:rFonts w:ascii="Times New Roman" w:hAnsi="Times New Roman"/>
          <w:lang w:val="pt-BR"/>
        </w:rPr>
        <w:t>H</w:t>
      </w:r>
      <w:r>
        <w:rPr>
          <w:rFonts w:ascii="Times New Roman" w:hAnsi="Times New Roman"/>
          <w:lang w:val="pt-BR"/>
        </w:rPr>
        <w:t xml:space="preserve"> </w:t>
      </w:r>
      <w:r>
        <w:rPr>
          <w:rFonts w:ascii="Times New Roman" w:hAnsi="Times New Roman"/>
          <w:lang w:val="pt-BR"/>
        </w:rPr>
        <w:t>(</w:t>
      </w:r>
      <w:r w:rsidRPr="00A256D8">
        <w:rPr>
          <w:rFonts w:ascii="Times New Roman" w:hAnsi="Times New Roman"/>
          <w:b/>
          <w:bCs/>
          <w:lang w:val="pt-BR"/>
        </w:rPr>
        <w:t>Figura 4</w:t>
      </w:r>
      <w:r>
        <w:rPr>
          <w:rFonts w:ascii="Times New Roman" w:hAnsi="Times New Roman"/>
          <w:lang w:val="pt-BR"/>
        </w:rPr>
        <w:t>)</w:t>
      </w:r>
      <w:r w:rsidR="008608EF" w:rsidRPr="00A256D8">
        <w:rPr>
          <w:rFonts w:ascii="Times New Roman" w:hAnsi="Times New Roman"/>
          <w:lang w:val="pt-BR"/>
        </w:rPr>
        <w:t xml:space="preserve"> apontaram a presença de uma mistura de subprodutos formados paralelamente ao carbonato de propileno</w:t>
      </w:r>
      <w:r>
        <w:rPr>
          <w:rFonts w:ascii="Times New Roman" w:hAnsi="Times New Roman"/>
          <w:lang w:val="pt-BR"/>
        </w:rPr>
        <w:t xml:space="preserve"> em todas as reações.</w:t>
      </w:r>
      <w:r w:rsidR="008608EF" w:rsidRPr="00A256D8">
        <w:rPr>
          <w:rFonts w:ascii="Times New Roman" w:hAnsi="Times New Roman"/>
          <w:lang w:val="pt-BR"/>
        </w:rPr>
        <w:t xml:space="preserve"> </w:t>
      </w:r>
      <w:r>
        <w:rPr>
          <w:rFonts w:ascii="Times New Roman" w:hAnsi="Times New Roman"/>
          <w:lang w:val="pt-BR"/>
        </w:rPr>
        <w:t xml:space="preserve">Análises de espectrometria de massas estão sendo realizadas para </w:t>
      </w:r>
      <w:r w:rsidR="008D448C">
        <w:rPr>
          <w:rFonts w:ascii="Times New Roman" w:hAnsi="Times New Roman"/>
          <w:lang w:val="pt-BR"/>
        </w:rPr>
        <w:t xml:space="preserve">verificar a natureza dos produtos formados. </w:t>
      </w:r>
      <w:r w:rsidR="008608EF" w:rsidRPr="00A256D8">
        <w:rPr>
          <w:rFonts w:ascii="Times New Roman" w:hAnsi="Times New Roman"/>
          <w:lang w:val="pt-BR"/>
        </w:rPr>
        <w:t xml:space="preserve">Os subprodutos da </w:t>
      </w:r>
      <w:proofErr w:type="spellStart"/>
      <w:r w:rsidR="008608EF" w:rsidRPr="00A256D8">
        <w:rPr>
          <w:rFonts w:ascii="Times New Roman" w:hAnsi="Times New Roman"/>
          <w:lang w:val="pt-BR"/>
        </w:rPr>
        <w:t>cicloadição</w:t>
      </w:r>
      <w:proofErr w:type="spellEnd"/>
      <w:r w:rsidR="008608EF" w:rsidRPr="00A256D8">
        <w:rPr>
          <w:rFonts w:ascii="Times New Roman" w:hAnsi="Times New Roman"/>
          <w:lang w:val="pt-BR"/>
        </w:rPr>
        <w:t xml:space="preserve"> de </w:t>
      </w:r>
      <w:r w:rsidR="008608EF" w:rsidRPr="00A256D8">
        <w:rPr>
          <w:rFonts w:ascii="Times New Roman" w:hAnsi="Times New Roman"/>
          <w:noProof/>
          <w:lang w:val="pt-BR"/>
        </w:rPr>
        <w:t>CO</w:t>
      </w:r>
      <w:r w:rsidR="008608EF" w:rsidRPr="00A256D8">
        <w:rPr>
          <w:rFonts w:ascii="Times New Roman" w:hAnsi="Times New Roman"/>
          <w:noProof/>
          <w:vertAlign w:val="subscript"/>
          <w:lang w:val="pt-BR"/>
        </w:rPr>
        <w:t>2</w:t>
      </w:r>
      <w:r w:rsidR="008608EF" w:rsidRPr="00A256D8">
        <w:rPr>
          <w:rFonts w:ascii="Times New Roman" w:hAnsi="Times New Roman"/>
          <w:lang w:val="pt-BR"/>
        </w:rPr>
        <w:t xml:space="preserve"> em óxido de propileno mais comumente encontrados na literatura são os dióis, os quais são formados quando o catalisador possui traços de água. Entretanto, as sínteses e etapas de funcionalização dos </w:t>
      </w:r>
      <w:proofErr w:type="spellStart"/>
      <w:r w:rsidR="008608EF" w:rsidRPr="00A256D8">
        <w:rPr>
          <w:rFonts w:ascii="Times New Roman" w:hAnsi="Times New Roman"/>
          <w:lang w:val="pt-BR"/>
        </w:rPr>
        <w:t>MOFs</w:t>
      </w:r>
      <w:proofErr w:type="spellEnd"/>
      <w:r w:rsidR="008608EF" w:rsidRPr="00A256D8">
        <w:rPr>
          <w:rFonts w:ascii="Times New Roman" w:hAnsi="Times New Roman"/>
          <w:lang w:val="pt-BR"/>
        </w:rPr>
        <w:t xml:space="preserve"> deste trabalho não contemplam moléculas de água e os materiais são </w:t>
      </w:r>
      <w:proofErr w:type="spellStart"/>
      <w:r w:rsidR="008608EF" w:rsidRPr="00A256D8">
        <w:rPr>
          <w:rFonts w:ascii="Times New Roman" w:hAnsi="Times New Roman"/>
          <w:lang w:val="pt-BR"/>
        </w:rPr>
        <w:t>pré-tratados</w:t>
      </w:r>
      <w:proofErr w:type="spellEnd"/>
      <w:r w:rsidR="008608EF" w:rsidRPr="00A256D8">
        <w:rPr>
          <w:rFonts w:ascii="Times New Roman" w:hAnsi="Times New Roman"/>
          <w:lang w:val="pt-BR"/>
        </w:rPr>
        <w:t xml:space="preserve"> </w:t>
      </w:r>
      <w:r w:rsidR="00023E10" w:rsidRPr="00A256D8">
        <w:rPr>
          <w:rFonts w:ascii="Times New Roman" w:hAnsi="Times New Roman"/>
          <w:lang w:val="pt-BR"/>
        </w:rPr>
        <w:t xml:space="preserve">termicamente </w:t>
      </w:r>
      <w:r w:rsidR="008608EF" w:rsidRPr="00A256D8">
        <w:rPr>
          <w:rFonts w:ascii="Times New Roman" w:hAnsi="Times New Roman"/>
          <w:lang w:val="pt-BR"/>
        </w:rPr>
        <w:t xml:space="preserve">antes das reações. </w:t>
      </w:r>
      <w:r w:rsidR="008A22D1" w:rsidRPr="00A256D8">
        <w:rPr>
          <w:rFonts w:ascii="Times New Roman" w:hAnsi="Times New Roman"/>
          <w:lang w:val="pt-BR"/>
        </w:rPr>
        <w:t xml:space="preserve">Levando o exposto acima </w:t>
      </w:r>
      <w:r w:rsidR="008608EF" w:rsidRPr="00A256D8">
        <w:rPr>
          <w:rFonts w:ascii="Times New Roman" w:hAnsi="Times New Roman"/>
          <w:lang w:val="pt-BR"/>
        </w:rPr>
        <w:t>em consideraç</w:t>
      </w:r>
      <w:r w:rsidR="008A22D1" w:rsidRPr="00A256D8">
        <w:rPr>
          <w:rFonts w:ascii="Times New Roman" w:hAnsi="Times New Roman"/>
          <w:lang w:val="pt-BR"/>
        </w:rPr>
        <w:t>ão</w:t>
      </w:r>
      <w:r w:rsidR="008608EF" w:rsidRPr="00A256D8">
        <w:rPr>
          <w:rFonts w:ascii="Times New Roman" w:hAnsi="Times New Roman"/>
          <w:lang w:val="pt-BR"/>
        </w:rPr>
        <w:t xml:space="preserve">, mais </w:t>
      </w:r>
      <w:r w:rsidR="005D584F" w:rsidRPr="00A256D8">
        <w:rPr>
          <w:rFonts w:ascii="Times New Roman" w:hAnsi="Times New Roman"/>
          <w:lang w:val="pt-BR"/>
        </w:rPr>
        <w:t>análises de caracterização dos catalisadores</w:t>
      </w:r>
      <w:r w:rsidR="008608EF" w:rsidRPr="00A256D8">
        <w:rPr>
          <w:rFonts w:ascii="Times New Roman" w:hAnsi="Times New Roman"/>
          <w:lang w:val="pt-BR"/>
        </w:rPr>
        <w:t xml:space="preserve"> estão sendo realizadas para explicar os resultados catalíticos atuais dos catalisadores preparados.</w:t>
      </w:r>
      <w:r w:rsidR="008A22D1" w:rsidRPr="00A256D8">
        <w:rPr>
          <w:rFonts w:ascii="Times New Roman" w:hAnsi="Times New Roman"/>
          <w:lang w:val="pt-BR"/>
        </w:rPr>
        <w:t xml:space="preserve"> Além do mais, o restante dos catalisadores está em fase de aplicação na reação de </w:t>
      </w:r>
      <w:proofErr w:type="spellStart"/>
      <w:r w:rsidR="008A22D1" w:rsidRPr="00A256D8">
        <w:rPr>
          <w:rFonts w:ascii="Times New Roman" w:hAnsi="Times New Roman"/>
          <w:lang w:val="pt-BR"/>
        </w:rPr>
        <w:t>cicloadição</w:t>
      </w:r>
      <w:proofErr w:type="spellEnd"/>
      <w:r w:rsidR="008A22D1" w:rsidRPr="00A256D8">
        <w:rPr>
          <w:rFonts w:ascii="Times New Roman" w:hAnsi="Times New Roman"/>
          <w:lang w:val="pt-BR"/>
        </w:rPr>
        <w:t xml:space="preserve"> de </w:t>
      </w:r>
      <w:r w:rsidR="008A22D1" w:rsidRPr="00A256D8">
        <w:rPr>
          <w:rFonts w:ascii="Times New Roman" w:hAnsi="Times New Roman"/>
          <w:noProof/>
          <w:lang w:val="pt-BR"/>
        </w:rPr>
        <w:t>CO</w:t>
      </w:r>
      <w:r w:rsidR="008A22D1" w:rsidRPr="00A256D8">
        <w:rPr>
          <w:rFonts w:ascii="Times New Roman" w:hAnsi="Times New Roman"/>
          <w:noProof/>
          <w:vertAlign w:val="subscript"/>
          <w:lang w:val="pt-BR"/>
        </w:rPr>
        <w:t>2</w:t>
      </w:r>
      <w:r w:rsidR="008A22D1" w:rsidRPr="00A256D8">
        <w:rPr>
          <w:rFonts w:ascii="Times New Roman" w:hAnsi="Times New Roman"/>
          <w:lang w:val="pt-BR"/>
        </w:rPr>
        <w:t xml:space="preserve"> a óxido de propileno.</w:t>
      </w:r>
    </w:p>
    <w:p w14:paraId="04A6DCE8" w14:textId="77777777" w:rsidR="00CC1FD4" w:rsidRDefault="00CC1FD4" w:rsidP="00A04C47">
      <w:pPr>
        <w:pStyle w:val="TAMainText"/>
        <w:rPr>
          <w:rFonts w:ascii="Times New Roman" w:hAnsi="Times New Roman"/>
          <w:color w:val="FF0000"/>
          <w:lang w:val="pt-BR"/>
        </w:rPr>
      </w:pPr>
    </w:p>
    <w:p w14:paraId="35C058FC" w14:textId="404A3422" w:rsidR="00CC1FD4" w:rsidRDefault="00CC1FD4" w:rsidP="00CC1FD4">
      <w:pPr>
        <w:jc w:val="center"/>
      </w:pPr>
      <w:r w:rsidRPr="00CC1FD4">
        <w:rPr>
          <w:noProof/>
        </w:rPr>
        <w:drawing>
          <wp:inline distT="0" distB="0" distL="0" distR="0" wp14:anchorId="6DECDFCE" wp14:editId="3420679F">
            <wp:extent cx="3027680" cy="2531745"/>
            <wp:effectExtent l="0" t="0" r="0" b="1905"/>
            <wp:docPr id="87907679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27680" cy="2531745"/>
                    </a:xfrm>
                    <a:prstGeom prst="rect">
                      <a:avLst/>
                    </a:prstGeom>
                    <a:noFill/>
                    <a:ln>
                      <a:noFill/>
                    </a:ln>
                  </pic:spPr>
                </pic:pic>
              </a:graphicData>
            </a:graphic>
          </wp:inline>
        </w:drawing>
      </w:r>
      <w:r w:rsidRPr="00CE5206">
        <w:t xml:space="preserve"> </w:t>
      </w:r>
    </w:p>
    <w:p w14:paraId="2F2285BA" w14:textId="4CCEA854" w:rsidR="00CC1FD4" w:rsidRDefault="00CC1FD4" w:rsidP="00CC1FD4">
      <w:pPr>
        <w:pStyle w:val="VAFigureCaption"/>
        <w:spacing w:before="0"/>
        <w:rPr>
          <w:rFonts w:ascii="Times New Roman" w:hAnsi="Times New Roman"/>
          <w:lang w:val="pt-BR"/>
        </w:rPr>
      </w:pPr>
      <w:r w:rsidRPr="00E038AF">
        <w:rPr>
          <w:rFonts w:ascii="Times New Roman" w:hAnsi="Times New Roman"/>
          <w:b/>
          <w:lang w:val="pt-BR"/>
        </w:rPr>
        <w:t xml:space="preserve">Figura </w:t>
      </w:r>
      <w:r w:rsidR="00517E67">
        <w:rPr>
          <w:rFonts w:ascii="Times New Roman" w:hAnsi="Times New Roman"/>
          <w:b/>
          <w:lang w:val="pt-BR"/>
        </w:rPr>
        <w:t>4</w:t>
      </w:r>
      <w:r w:rsidRPr="00E038AF">
        <w:rPr>
          <w:rFonts w:ascii="Times New Roman" w:hAnsi="Times New Roman"/>
          <w:b/>
          <w:lang w:val="pt-BR"/>
        </w:rPr>
        <w:t>.</w:t>
      </w:r>
      <w:r w:rsidRPr="00E038AF">
        <w:rPr>
          <w:rFonts w:ascii="Times New Roman" w:hAnsi="Times New Roman"/>
          <w:lang w:val="pt-BR"/>
        </w:rPr>
        <w:t xml:space="preserve"> </w:t>
      </w:r>
      <w:r w:rsidR="00517E67">
        <w:rPr>
          <w:rFonts w:ascii="Times New Roman" w:hAnsi="Times New Roman"/>
          <w:lang w:val="pt-BR"/>
        </w:rPr>
        <w:t xml:space="preserve">Espectros de RMN de </w:t>
      </w:r>
      <w:r w:rsidR="00517E67" w:rsidRPr="00517E67">
        <w:rPr>
          <w:rFonts w:ascii="Times New Roman" w:hAnsi="Times New Roman"/>
          <w:vertAlign w:val="superscript"/>
          <w:lang w:val="pt-BR"/>
        </w:rPr>
        <w:t>1</w:t>
      </w:r>
      <w:r w:rsidR="00517E67">
        <w:rPr>
          <w:rFonts w:ascii="Times New Roman" w:hAnsi="Times New Roman"/>
          <w:lang w:val="pt-BR"/>
        </w:rPr>
        <w:t>H dos produtos de reação.</w:t>
      </w:r>
    </w:p>
    <w:p w14:paraId="04AE8210" w14:textId="77777777" w:rsidR="00CC1FD4" w:rsidRPr="00C6391A" w:rsidRDefault="00CC1FD4" w:rsidP="00A04C47">
      <w:pPr>
        <w:pStyle w:val="TAMainText"/>
        <w:rPr>
          <w:rFonts w:ascii="Times New Roman" w:hAnsi="Times New Roman"/>
          <w:color w:val="FF0000"/>
          <w:lang w:val="pt-BR"/>
        </w:rPr>
      </w:pPr>
    </w:p>
    <w:p w14:paraId="20AA905D" w14:textId="09EB3D13"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Conclusões</w:t>
      </w:r>
    </w:p>
    <w:p w14:paraId="7235CD2B" w14:textId="402C39E0" w:rsidR="003476CA" w:rsidRPr="00D24CDA" w:rsidRDefault="003476CA" w:rsidP="003476CA">
      <w:pPr>
        <w:pStyle w:val="TAMainText"/>
        <w:rPr>
          <w:rFonts w:ascii="Times New Roman" w:hAnsi="Times New Roman"/>
          <w:color w:val="FF0000"/>
          <w:lang w:val="pt-BR"/>
        </w:rPr>
      </w:pPr>
      <w:proofErr w:type="spellStart"/>
      <w:r w:rsidRPr="00341158">
        <w:rPr>
          <w:rFonts w:ascii="Times New Roman" w:hAnsi="Times New Roman"/>
          <w:lang w:val="pt-BR"/>
        </w:rPr>
        <w:t>Bromobutano</w:t>
      </w:r>
      <w:proofErr w:type="spellEnd"/>
      <w:r w:rsidRPr="00341158">
        <w:rPr>
          <w:rFonts w:ascii="Times New Roman" w:hAnsi="Times New Roman"/>
          <w:lang w:val="pt-BR"/>
        </w:rPr>
        <w:t xml:space="preserve"> foi incorporado </w:t>
      </w:r>
      <w:r w:rsidR="00E92790" w:rsidRPr="00341158">
        <w:rPr>
          <w:rFonts w:ascii="Times New Roman" w:hAnsi="Times New Roman"/>
          <w:lang w:val="pt-BR"/>
        </w:rPr>
        <w:t xml:space="preserve">com sucesso </w:t>
      </w:r>
      <w:r w:rsidRPr="00341158">
        <w:rPr>
          <w:rFonts w:ascii="Times New Roman" w:hAnsi="Times New Roman"/>
          <w:lang w:val="pt-BR"/>
        </w:rPr>
        <w:t xml:space="preserve">ao MOF UiO-66 através de uma reação </w:t>
      </w:r>
      <w:proofErr w:type="spellStart"/>
      <w:r w:rsidRPr="00341158">
        <w:rPr>
          <w:rFonts w:ascii="Times New Roman" w:hAnsi="Times New Roman"/>
          <w:lang w:val="pt-BR"/>
        </w:rPr>
        <w:t>in-situ</w:t>
      </w:r>
      <w:proofErr w:type="spellEnd"/>
      <w:r w:rsidRPr="00341158">
        <w:rPr>
          <w:rFonts w:ascii="Times New Roman" w:hAnsi="Times New Roman"/>
          <w:lang w:val="pt-BR"/>
        </w:rPr>
        <w:t xml:space="preserve"> </w:t>
      </w:r>
      <w:proofErr w:type="spellStart"/>
      <w:r w:rsidRPr="00341158">
        <w:rPr>
          <w:rFonts w:ascii="Times New Roman" w:hAnsi="Times New Roman"/>
          <w:lang w:val="pt-BR"/>
        </w:rPr>
        <w:t>one</w:t>
      </w:r>
      <w:proofErr w:type="spellEnd"/>
      <w:r w:rsidRPr="00341158">
        <w:rPr>
          <w:rFonts w:ascii="Times New Roman" w:hAnsi="Times New Roman"/>
          <w:lang w:val="pt-BR"/>
        </w:rPr>
        <w:t xml:space="preserve"> </w:t>
      </w:r>
      <w:proofErr w:type="spellStart"/>
      <w:r w:rsidRPr="00341158">
        <w:rPr>
          <w:rFonts w:ascii="Times New Roman" w:hAnsi="Times New Roman"/>
          <w:lang w:val="pt-BR"/>
        </w:rPr>
        <w:t>pot</w:t>
      </w:r>
      <w:proofErr w:type="spellEnd"/>
      <w:r w:rsidRPr="00341158">
        <w:rPr>
          <w:rFonts w:ascii="Times New Roman" w:hAnsi="Times New Roman"/>
          <w:lang w:val="pt-BR"/>
        </w:rPr>
        <w:t>, criando um catalisador heterogêneo que contém sítios ativos semelhantes aos encontrados em líquidos iônicos (</w:t>
      </w:r>
      <w:proofErr w:type="spellStart"/>
      <w:r w:rsidRPr="00341158">
        <w:rPr>
          <w:rFonts w:ascii="Times New Roman" w:hAnsi="Times New Roman"/>
          <w:lang w:val="pt-BR"/>
        </w:rPr>
        <w:t>R</w:t>
      </w:r>
      <w:r w:rsidRPr="00341158">
        <w:rPr>
          <w:rFonts w:ascii="Times New Roman" w:hAnsi="Times New Roman"/>
          <w:vertAlign w:val="subscript"/>
          <w:lang w:val="pt-BR"/>
        </w:rPr>
        <w:t>X</w:t>
      </w:r>
      <w:r w:rsidRPr="00341158">
        <w:rPr>
          <w:rFonts w:ascii="Times New Roman" w:hAnsi="Times New Roman"/>
          <w:lang w:val="pt-BR"/>
        </w:rPr>
        <w:t>N</w:t>
      </w:r>
      <w:r w:rsidRPr="00341158">
        <w:rPr>
          <w:rFonts w:ascii="Times New Roman" w:hAnsi="Times New Roman"/>
          <w:vertAlign w:val="superscript"/>
          <w:lang w:val="pt-BR"/>
        </w:rPr>
        <w:t>+</w:t>
      </w:r>
      <w:r w:rsidRPr="00341158">
        <w:rPr>
          <w:rFonts w:ascii="Times New Roman" w:hAnsi="Times New Roman"/>
          <w:lang w:val="pt-BR"/>
        </w:rPr>
        <w:t>Br</w:t>
      </w:r>
      <w:proofErr w:type="spellEnd"/>
      <w:r w:rsidR="0077497B" w:rsidRPr="00341158">
        <w:rPr>
          <w:rFonts w:ascii="Times New Roman" w:hAnsi="Times New Roman"/>
          <w:vertAlign w:val="superscript"/>
          <w:lang w:val="pt-BR"/>
        </w:rPr>
        <w:t>-</w:t>
      </w:r>
      <w:r w:rsidRPr="00341158">
        <w:rPr>
          <w:rFonts w:ascii="Times New Roman" w:hAnsi="Times New Roman"/>
          <w:lang w:val="pt-BR"/>
        </w:rPr>
        <w:t xml:space="preserve">). </w:t>
      </w:r>
      <w:r w:rsidR="00E92790" w:rsidRPr="00341158">
        <w:rPr>
          <w:rFonts w:ascii="Times New Roman" w:hAnsi="Times New Roman"/>
          <w:lang w:val="pt-BR"/>
        </w:rPr>
        <w:t xml:space="preserve">Testes preliminares de </w:t>
      </w:r>
      <w:r w:rsidRPr="00341158">
        <w:rPr>
          <w:rFonts w:ascii="Times New Roman" w:hAnsi="Times New Roman"/>
          <w:lang w:val="pt-BR"/>
        </w:rPr>
        <w:t xml:space="preserve">desempenho catalítico do catalisador na </w:t>
      </w:r>
      <w:proofErr w:type="spellStart"/>
      <w:r w:rsidRPr="00341158">
        <w:rPr>
          <w:rFonts w:ascii="Times New Roman" w:hAnsi="Times New Roman"/>
          <w:lang w:val="pt-BR"/>
        </w:rPr>
        <w:t>cicloadição</w:t>
      </w:r>
      <w:proofErr w:type="spellEnd"/>
      <w:r w:rsidRPr="00341158">
        <w:rPr>
          <w:rFonts w:ascii="Times New Roman" w:hAnsi="Times New Roman"/>
          <w:lang w:val="pt-BR"/>
        </w:rPr>
        <w:t xml:space="preserve"> de CO</w:t>
      </w:r>
      <w:r w:rsidRPr="00341158">
        <w:rPr>
          <w:rFonts w:ascii="Times New Roman" w:hAnsi="Times New Roman"/>
          <w:vertAlign w:val="subscript"/>
          <w:lang w:val="pt-BR"/>
        </w:rPr>
        <w:t>2</w:t>
      </w:r>
      <w:r w:rsidRPr="00341158">
        <w:rPr>
          <w:rFonts w:ascii="Times New Roman" w:hAnsi="Times New Roman"/>
          <w:lang w:val="pt-BR"/>
        </w:rPr>
        <w:t xml:space="preserve"> com </w:t>
      </w:r>
      <w:r w:rsidR="00E92790" w:rsidRPr="00341158">
        <w:rPr>
          <w:rFonts w:ascii="Times New Roman" w:hAnsi="Times New Roman"/>
          <w:lang w:val="pt-BR"/>
        </w:rPr>
        <w:t xml:space="preserve">óxido </w:t>
      </w:r>
      <w:r w:rsidRPr="00341158">
        <w:rPr>
          <w:rFonts w:ascii="Times New Roman" w:hAnsi="Times New Roman"/>
          <w:lang w:val="pt-BR"/>
        </w:rPr>
        <w:t xml:space="preserve">de </w:t>
      </w:r>
      <w:r w:rsidR="00E92790" w:rsidRPr="00341158">
        <w:rPr>
          <w:rFonts w:ascii="Times New Roman" w:hAnsi="Times New Roman"/>
          <w:lang w:val="pt-BR"/>
        </w:rPr>
        <w:t>propileno</w:t>
      </w:r>
      <w:r w:rsidRPr="00341158">
        <w:rPr>
          <w:rFonts w:ascii="Times New Roman" w:hAnsi="Times New Roman"/>
          <w:lang w:val="pt-BR"/>
        </w:rPr>
        <w:t xml:space="preserve">, para sintetizar </w:t>
      </w:r>
      <w:r w:rsidR="00E92790" w:rsidRPr="00341158">
        <w:rPr>
          <w:rFonts w:ascii="Times New Roman" w:hAnsi="Times New Roman"/>
          <w:lang w:val="pt-BR"/>
        </w:rPr>
        <w:t xml:space="preserve">carbonato </w:t>
      </w:r>
      <w:r w:rsidRPr="00341158">
        <w:rPr>
          <w:rFonts w:ascii="Times New Roman" w:hAnsi="Times New Roman"/>
          <w:lang w:val="pt-BR"/>
        </w:rPr>
        <w:t xml:space="preserve">de </w:t>
      </w:r>
      <w:r w:rsidR="00E92790" w:rsidRPr="00341158">
        <w:rPr>
          <w:rFonts w:ascii="Times New Roman" w:hAnsi="Times New Roman"/>
          <w:lang w:val="pt-BR"/>
        </w:rPr>
        <w:t>propileno</w:t>
      </w:r>
      <w:r w:rsidRPr="00341158">
        <w:rPr>
          <w:rFonts w:ascii="Times New Roman" w:hAnsi="Times New Roman"/>
          <w:lang w:val="pt-BR"/>
        </w:rPr>
        <w:t xml:space="preserve">, </w:t>
      </w:r>
      <w:r w:rsidR="007336F7" w:rsidRPr="00341158">
        <w:rPr>
          <w:rFonts w:ascii="Times New Roman" w:hAnsi="Times New Roman"/>
          <w:lang w:val="pt-BR"/>
        </w:rPr>
        <w:t>indicam</w:t>
      </w:r>
      <w:r w:rsidR="00E92790" w:rsidRPr="00341158">
        <w:rPr>
          <w:rFonts w:ascii="Times New Roman" w:hAnsi="Times New Roman"/>
          <w:lang w:val="pt-BR"/>
        </w:rPr>
        <w:t xml:space="preserve"> o potencial do material</w:t>
      </w:r>
      <w:r w:rsidRPr="00341158">
        <w:rPr>
          <w:rFonts w:ascii="Times New Roman" w:hAnsi="Times New Roman"/>
          <w:lang w:val="pt-BR"/>
        </w:rPr>
        <w:t xml:space="preserve">. </w:t>
      </w:r>
      <w:r w:rsidR="00E92790" w:rsidRPr="00341158">
        <w:rPr>
          <w:rFonts w:ascii="Times New Roman" w:hAnsi="Times New Roman"/>
          <w:lang w:val="pt-BR"/>
        </w:rPr>
        <w:t xml:space="preserve">As </w:t>
      </w:r>
      <w:r w:rsidRPr="00341158">
        <w:rPr>
          <w:rFonts w:ascii="Times New Roman" w:hAnsi="Times New Roman"/>
          <w:lang w:val="pt-BR"/>
        </w:rPr>
        <w:t xml:space="preserve">caracterizações demonstraram que a incorporação de </w:t>
      </w:r>
      <w:proofErr w:type="spellStart"/>
      <w:r w:rsidRPr="00341158">
        <w:rPr>
          <w:rFonts w:ascii="Times New Roman" w:hAnsi="Times New Roman"/>
          <w:lang w:val="pt-BR"/>
        </w:rPr>
        <w:t>bromobutano</w:t>
      </w:r>
      <w:proofErr w:type="spellEnd"/>
      <w:r w:rsidRPr="00341158">
        <w:rPr>
          <w:rFonts w:ascii="Times New Roman" w:hAnsi="Times New Roman"/>
          <w:lang w:val="pt-BR"/>
        </w:rPr>
        <w:t xml:space="preserve"> não danificou a estrutura cristalina do UiO-66 nem bloqueou seus poros, mas modulou as propriedades texturais e grupos funcionais na superfície dos </w:t>
      </w:r>
      <w:proofErr w:type="spellStart"/>
      <w:r w:rsidRPr="00341158">
        <w:rPr>
          <w:rFonts w:ascii="Times New Roman" w:hAnsi="Times New Roman"/>
          <w:lang w:val="pt-BR"/>
        </w:rPr>
        <w:t>MOFs</w:t>
      </w:r>
      <w:proofErr w:type="spellEnd"/>
      <w:r w:rsidRPr="00341158">
        <w:rPr>
          <w:rFonts w:ascii="Times New Roman" w:hAnsi="Times New Roman"/>
          <w:lang w:val="pt-BR"/>
        </w:rPr>
        <w:t>. Devido à sinergia entre os sítios Zr</w:t>
      </w:r>
      <w:r w:rsidRPr="00341158">
        <w:rPr>
          <w:rFonts w:ascii="Times New Roman" w:hAnsi="Times New Roman"/>
          <w:vertAlign w:val="superscript"/>
          <w:lang w:val="pt-BR"/>
        </w:rPr>
        <w:t>4+</w:t>
      </w:r>
      <w:r w:rsidRPr="00341158">
        <w:rPr>
          <w:rFonts w:ascii="Times New Roman" w:hAnsi="Times New Roman"/>
          <w:lang w:val="pt-BR"/>
        </w:rPr>
        <w:t>, N</w:t>
      </w:r>
      <w:r w:rsidRPr="00341158">
        <w:rPr>
          <w:rFonts w:ascii="Times New Roman" w:hAnsi="Times New Roman"/>
          <w:vertAlign w:val="superscript"/>
          <w:lang w:val="pt-BR"/>
        </w:rPr>
        <w:t>+</w:t>
      </w:r>
      <w:r w:rsidRPr="00341158">
        <w:rPr>
          <w:rFonts w:ascii="Times New Roman" w:hAnsi="Times New Roman"/>
          <w:lang w:val="pt-BR"/>
        </w:rPr>
        <w:t xml:space="preserve"> e o Br</w:t>
      </w:r>
      <w:r w:rsidRPr="00341158">
        <w:rPr>
          <w:rFonts w:ascii="Times New Roman" w:hAnsi="Times New Roman"/>
          <w:vertAlign w:val="superscript"/>
          <w:lang w:val="pt-BR"/>
        </w:rPr>
        <w:t>-</w:t>
      </w:r>
      <w:r w:rsidRPr="00341158">
        <w:rPr>
          <w:rFonts w:ascii="Times New Roman" w:hAnsi="Times New Roman"/>
          <w:lang w:val="pt-BR"/>
        </w:rPr>
        <w:t xml:space="preserve">, o catalisador preparado com múltiplos sítios ácido-base de Lewis </w:t>
      </w:r>
      <w:r w:rsidR="007336F7" w:rsidRPr="00341158">
        <w:rPr>
          <w:rFonts w:ascii="Times New Roman" w:hAnsi="Times New Roman"/>
          <w:lang w:val="pt-BR"/>
        </w:rPr>
        <w:t xml:space="preserve">apresenta potencial para ser empregado </w:t>
      </w:r>
      <w:r w:rsidRPr="00341158">
        <w:rPr>
          <w:rFonts w:ascii="Times New Roman" w:hAnsi="Times New Roman"/>
          <w:lang w:val="pt-BR"/>
        </w:rPr>
        <w:t xml:space="preserve">na </w:t>
      </w:r>
      <w:proofErr w:type="spellStart"/>
      <w:r w:rsidRPr="00341158">
        <w:rPr>
          <w:rFonts w:ascii="Times New Roman" w:hAnsi="Times New Roman"/>
          <w:lang w:val="pt-BR"/>
        </w:rPr>
        <w:t>cicloadição</w:t>
      </w:r>
      <w:proofErr w:type="spellEnd"/>
      <w:r w:rsidRPr="00341158">
        <w:rPr>
          <w:rFonts w:ascii="Times New Roman" w:hAnsi="Times New Roman"/>
          <w:lang w:val="pt-BR"/>
        </w:rPr>
        <w:t xml:space="preserve"> de CO</w:t>
      </w:r>
      <w:r w:rsidRPr="00341158">
        <w:rPr>
          <w:rFonts w:ascii="Times New Roman" w:hAnsi="Times New Roman"/>
          <w:vertAlign w:val="subscript"/>
          <w:lang w:val="pt-BR"/>
        </w:rPr>
        <w:t>2</w:t>
      </w:r>
      <w:r w:rsidR="007336F7" w:rsidRPr="00341158">
        <w:rPr>
          <w:rFonts w:ascii="Times New Roman" w:hAnsi="Times New Roman"/>
          <w:lang w:val="pt-BR"/>
        </w:rPr>
        <w:t>, necessitando, a partir de agora, serem otimizadas as condições reacionais</w:t>
      </w:r>
      <w:r w:rsidRPr="00341158">
        <w:rPr>
          <w:rFonts w:ascii="Times New Roman" w:hAnsi="Times New Roman"/>
          <w:lang w:val="pt-BR"/>
        </w:rPr>
        <w:t xml:space="preserve">. Esses resultados sugerem que a estratégia de montagem </w:t>
      </w:r>
      <w:proofErr w:type="spellStart"/>
      <w:r w:rsidRPr="00341158">
        <w:rPr>
          <w:rFonts w:ascii="Times New Roman" w:hAnsi="Times New Roman"/>
          <w:lang w:val="pt-BR"/>
        </w:rPr>
        <w:t>in-situ</w:t>
      </w:r>
      <w:proofErr w:type="spellEnd"/>
      <w:r w:rsidRPr="00341158">
        <w:rPr>
          <w:rFonts w:ascii="Times New Roman" w:hAnsi="Times New Roman"/>
          <w:lang w:val="pt-BR"/>
        </w:rPr>
        <w:t xml:space="preserve"> proposta neste trabalho tem vantagens de simplicidade, flexibilidade e </w:t>
      </w:r>
      <w:proofErr w:type="spellStart"/>
      <w:r w:rsidRPr="00341158">
        <w:rPr>
          <w:rFonts w:ascii="Times New Roman" w:hAnsi="Times New Roman"/>
          <w:lang w:val="pt-BR"/>
        </w:rPr>
        <w:t>controlabilidade</w:t>
      </w:r>
      <w:proofErr w:type="spellEnd"/>
      <w:r w:rsidRPr="00341158">
        <w:rPr>
          <w:rFonts w:ascii="Times New Roman" w:hAnsi="Times New Roman"/>
          <w:lang w:val="pt-BR"/>
        </w:rPr>
        <w:t xml:space="preserve"> na construção de um MOF funcionalizado com </w:t>
      </w:r>
      <w:proofErr w:type="spellStart"/>
      <w:r w:rsidRPr="00341158">
        <w:rPr>
          <w:rFonts w:ascii="Times New Roman" w:hAnsi="Times New Roman"/>
          <w:lang w:val="pt-BR"/>
        </w:rPr>
        <w:t>bromobutano</w:t>
      </w:r>
      <w:proofErr w:type="spellEnd"/>
      <w:r w:rsidRPr="00341158">
        <w:rPr>
          <w:rFonts w:ascii="Times New Roman" w:hAnsi="Times New Roman"/>
          <w:lang w:val="pt-BR"/>
        </w:rPr>
        <w:t xml:space="preserve"> como um </w:t>
      </w:r>
      <w:r w:rsidR="007336F7" w:rsidRPr="00341158">
        <w:rPr>
          <w:rFonts w:ascii="Times New Roman" w:hAnsi="Times New Roman"/>
          <w:lang w:val="pt-BR"/>
        </w:rPr>
        <w:t xml:space="preserve">potencial </w:t>
      </w:r>
      <w:r w:rsidRPr="00341158">
        <w:rPr>
          <w:rFonts w:ascii="Times New Roman" w:hAnsi="Times New Roman"/>
          <w:lang w:val="pt-BR"/>
        </w:rPr>
        <w:t xml:space="preserve">catalisador de </w:t>
      </w:r>
      <w:proofErr w:type="spellStart"/>
      <w:r w:rsidRPr="00341158">
        <w:rPr>
          <w:rFonts w:ascii="Times New Roman" w:hAnsi="Times New Roman"/>
          <w:lang w:val="pt-BR"/>
        </w:rPr>
        <w:t>cicloadição</w:t>
      </w:r>
      <w:proofErr w:type="spellEnd"/>
      <w:r w:rsidRPr="00341158">
        <w:rPr>
          <w:rFonts w:ascii="Times New Roman" w:hAnsi="Times New Roman"/>
          <w:lang w:val="pt-BR"/>
        </w:rPr>
        <w:t xml:space="preserve"> de CO</w:t>
      </w:r>
      <w:r w:rsidRPr="00341158">
        <w:rPr>
          <w:rFonts w:ascii="Times New Roman" w:hAnsi="Times New Roman"/>
          <w:vertAlign w:val="subscript"/>
          <w:lang w:val="pt-BR"/>
        </w:rPr>
        <w:t>2</w:t>
      </w:r>
      <w:r w:rsidRPr="00341158">
        <w:rPr>
          <w:rFonts w:ascii="Times New Roman" w:hAnsi="Times New Roman"/>
          <w:lang w:val="pt-BR"/>
        </w:rPr>
        <w:t>.</w:t>
      </w:r>
    </w:p>
    <w:p w14:paraId="6BE32F7B" w14:textId="55A9E7FE"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Agradecimentos</w:t>
      </w:r>
    </w:p>
    <w:p w14:paraId="562278E5" w14:textId="23E9A65D" w:rsidR="00882925" w:rsidRPr="00637373" w:rsidRDefault="00882925" w:rsidP="003476CA">
      <w:pPr>
        <w:pStyle w:val="TAMainText"/>
        <w:rPr>
          <w:rFonts w:ascii="Times New Roman" w:hAnsi="Times New Roman"/>
          <w:lang w:val="pt-BR"/>
        </w:rPr>
      </w:pPr>
      <w:r w:rsidRPr="00637373">
        <w:rPr>
          <w:rFonts w:ascii="Times New Roman" w:hAnsi="Times New Roman"/>
          <w:lang w:val="pt-BR"/>
        </w:rPr>
        <w:t xml:space="preserve">Os autores agradecem ao </w:t>
      </w:r>
      <w:r w:rsidR="00D82993" w:rsidRPr="00637373">
        <w:rPr>
          <w:rFonts w:ascii="Times New Roman" w:hAnsi="Times New Roman"/>
          <w:lang w:val="pt-BR"/>
        </w:rPr>
        <w:t xml:space="preserve">CNPq, </w:t>
      </w:r>
      <w:r w:rsidRPr="00637373">
        <w:rPr>
          <w:rFonts w:ascii="Times New Roman" w:hAnsi="Times New Roman"/>
          <w:lang w:val="pt-BR"/>
        </w:rPr>
        <w:t>PRH 50.1 (PPGQ/UFRGS) e à Agência Nacional do Petróleo (ANP) pela</w:t>
      </w:r>
      <w:r w:rsidR="00D82993" w:rsidRPr="00637373">
        <w:rPr>
          <w:rFonts w:ascii="Times New Roman" w:hAnsi="Times New Roman"/>
          <w:lang w:val="pt-BR"/>
        </w:rPr>
        <w:t>s</w:t>
      </w:r>
      <w:r w:rsidRPr="00637373">
        <w:rPr>
          <w:rFonts w:ascii="Times New Roman" w:hAnsi="Times New Roman"/>
          <w:lang w:val="pt-BR"/>
        </w:rPr>
        <w:t xml:space="preserve"> bolsa</w:t>
      </w:r>
      <w:r w:rsidR="00D82993" w:rsidRPr="00637373">
        <w:rPr>
          <w:rFonts w:ascii="Times New Roman" w:hAnsi="Times New Roman"/>
          <w:lang w:val="pt-BR"/>
        </w:rPr>
        <w:t>s</w:t>
      </w:r>
      <w:r w:rsidRPr="00637373">
        <w:rPr>
          <w:rFonts w:ascii="Times New Roman" w:hAnsi="Times New Roman"/>
          <w:lang w:val="pt-BR"/>
        </w:rPr>
        <w:t xml:space="preserve"> de </w:t>
      </w:r>
      <w:r w:rsidR="00D82993" w:rsidRPr="00637373">
        <w:rPr>
          <w:rFonts w:ascii="Times New Roman" w:hAnsi="Times New Roman"/>
          <w:lang w:val="pt-BR"/>
        </w:rPr>
        <w:t>iniciação científica</w:t>
      </w:r>
      <w:r w:rsidR="00637373">
        <w:rPr>
          <w:rFonts w:ascii="Times New Roman" w:hAnsi="Times New Roman"/>
          <w:lang w:val="pt-BR"/>
        </w:rPr>
        <w:t xml:space="preserve">, mestrado </w:t>
      </w:r>
      <w:r w:rsidR="00D82993" w:rsidRPr="00637373">
        <w:rPr>
          <w:rFonts w:ascii="Times New Roman" w:hAnsi="Times New Roman"/>
          <w:lang w:val="pt-BR"/>
        </w:rPr>
        <w:t xml:space="preserve">e </w:t>
      </w:r>
      <w:r w:rsidRPr="00637373">
        <w:rPr>
          <w:rFonts w:ascii="Times New Roman" w:hAnsi="Times New Roman"/>
          <w:lang w:val="pt-BR"/>
        </w:rPr>
        <w:t>pesquisador visitante.</w:t>
      </w:r>
    </w:p>
    <w:p w14:paraId="1EAAA287" w14:textId="44E3117B"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Referências</w:t>
      </w:r>
    </w:p>
    <w:p w14:paraId="158D911D" w14:textId="37CE2A9C" w:rsidR="00EA4E1B" w:rsidRDefault="00EA4E1B" w:rsidP="00EA4E1B">
      <w:pPr>
        <w:pStyle w:val="TAMainText"/>
        <w:ind w:firstLine="0"/>
        <w:rPr>
          <w:lang w:val="pt-BR"/>
        </w:rPr>
      </w:pPr>
    </w:p>
    <w:p w14:paraId="7304CE4A" w14:textId="71AE28C3" w:rsidR="00EA4E1B" w:rsidRPr="00DC6502" w:rsidRDefault="00DC6502" w:rsidP="00EA4E1B">
      <w:pPr>
        <w:pStyle w:val="TAMainText"/>
        <w:numPr>
          <w:ilvl w:val="0"/>
          <w:numId w:val="1"/>
        </w:numPr>
      </w:pPr>
      <w:r>
        <w:t xml:space="preserve">P. </w:t>
      </w:r>
      <w:proofErr w:type="spellStart"/>
      <w:r>
        <w:t>Pescarmona</w:t>
      </w:r>
      <w:proofErr w:type="spellEnd"/>
      <w:r>
        <w:t xml:space="preserve">, </w:t>
      </w:r>
      <w:r w:rsidRPr="00DC6502">
        <w:rPr>
          <w:i/>
          <w:iCs/>
        </w:rPr>
        <w:t>Current Opinion in Green and Sustainable Chemistry</w:t>
      </w:r>
      <w:r w:rsidRPr="00DC6502">
        <w:t xml:space="preserve"> </w:t>
      </w:r>
      <w:r w:rsidRPr="00DC6502">
        <w:rPr>
          <w:b/>
          <w:bCs/>
        </w:rPr>
        <w:t>2021</w:t>
      </w:r>
      <w:r w:rsidRPr="00DC6502">
        <w:t>, 29</w:t>
      </w:r>
      <w:r>
        <w:t xml:space="preserve">, </w:t>
      </w:r>
      <w:r w:rsidRPr="00DC6502">
        <w:t>10045</w:t>
      </w:r>
      <w:r>
        <w:t>-10047.</w:t>
      </w:r>
      <w:r w:rsidR="00EA4E1B" w:rsidRPr="00DC6502">
        <w:rPr>
          <w:b/>
        </w:rPr>
        <w:t xml:space="preserve"> </w:t>
      </w:r>
    </w:p>
    <w:p w14:paraId="70A3DFDF" w14:textId="3FFD2744" w:rsidR="00DC6502" w:rsidRDefault="00DC6502" w:rsidP="00EA4E1B">
      <w:pPr>
        <w:pStyle w:val="TAMainText"/>
        <w:numPr>
          <w:ilvl w:val="0"/>
          <w:numId w:val="1"/>
        </w:numPr>
      </w:pPr>
      <w:r w:rsidRPr="00D24CDA">
        <w:lastRenderedPageBreak/>
        <w:t xml:space="preserve">D. Li et al., </w:t>
      </w:r>
      <w:r w:rsidRPr="00D24CDA">
        <w:rPr>
          <w:i/>
          <w:iCs/>
        </w:rPr>
        <w:t xml:space="preserve">J. Fuel Chem. </w:t>
      </w:r>
      <w:r w:rsidRPr="00DC6502">
        <w:rPr>
          <w:i/>
          <w:iCs/>
        </w:rPr>
        <w:t>Technol</w:t>
      </w:r>
      <w:r>
        <w:t>.</w:t>
      </w:r>
      <w:r w:rsidRPr="00DC6502">
        <w:t xml:space="preserve"> </w:t>
      </w:r>
      <w:r w:rsidRPr="00DC6502">
        <w:rPr>
          <w:b/>
          <w:bCs/>
        </w:rPr>
        <w:t>2022</w:t>
      </w:r>
      <w:r w:rsidRPr="00DC6502">
        <w:t>, 50(7), 824</w:t>
      </w:r>
      <w:r>
        <w:t>-</w:t>
      </w:r>
      <w:r w:rsidRPr="00DC6502">
        <w:t>831</w:t>
      </w:r>
      <w:r>
        <w:t>.</w:t>
      </w:r>
    </w:p>
    <w:p w14:paraId="1B319FAB" w14:textId="24E09A0E" w:rsidR="00DC6502" w:rsidRDefault="00DC6502" w:rsidP="00F250E9">
      <w:pPr>
        <w:pStyle w:val="TAMainText"/>
        <w:numPr>
          <w:ilvl w:val="0"/>
          <w:numId w:val="1"/>
        </w:numPr>
      </w:pPr>
      <w:r>
        <w:t>H</w:t>
      </w:r>
      <w:r w:rsidR="005E0D71">
        <w:t>.</w:t>
      </w:r>
      <w:r>
        <w:t xml:space="preserve"> Ji</w:t>
      </w:r>
      <w:r w:rsidR="005E0D71">
        <w:t xml:space="preserve"> et al. </w:t>
      </w:r>
      <w:r w:rsidRPr="005E0D71">
        <w:rPr>
          <w:i/>
          <w:iCs/>
        </w:rPr>
        <w:t>ACS Appl</w:t>
      </w:r>
      <w:r w:rsidR="005E0D71" w:rsidRPr="005E0D71">
        <w:rPr>
          <w:i/>
          <w:iCs/>
        </w:rPr>
        <w:t>.</w:t>
      </w:r>
      <w:r w:rsidRPr="005E0D71">
        <w:rPr>
          <w:i/>
          <w:iCs/>
        </w:rPr>
        <w:t xml:space="preserve"> Mater</w:t>
      </w:r>
      <w:r w:rsidR="005E0D71" w:rsidRPr="005E0D71">
        <w:rPr>
          <w:i/>
          <w:iCs/>
        </w:rPr>
        <w:t>.</w:t>
      </w:r>
      <w:r w:rsidRPr="005E0D71">
        <w:rPr>
          <w:i/>
          <w:iCs/>
        </w:rPr>
        <w:t xml:space="preserve"> Interfaces</w:t>
      </w:r>
      <w:r>
        <w:t xml:space="preserve"> </w:t>
      </w:r>
      <w:r w:rsidRPr="005E0D71">
        <w:rPr>
          <w:b/>
          <w:bCs/>
        </w:rPr>
        <w:t>2020</w:t>
      </w:r>
      <w:r w:rsidR="005E0D71">
        <w:t>,</w:t>
      </w:r>
      <w:r>
        <w:t xml:space="preserve"> 12(22), 24868-24876.</w:t>
      </w:r>
    </w:p>
    <w:p w14:paraId="5EF711AC" w14:textId="7E5665DF" w:rsidR="00DC6502" w:rsidRDefault="00DC6502" w:rsidP="00F250E9">
      <w:pPr>
        <w:pStyle w:val="TAMainText"/>
        <w:numPr>
          <w:ilvl w:val="0"/>
          <w:numId w:val="1"/>
        </w:numPr>
      </w:pPr>
      <w:r w:rsidRPr="00B440B2">
        <w:t xml:space="preserve">J. Liang et al. </w:t>
      </w:r>
      <w:r w:rsidR="005E0D71" w:rsidRPr="005E0D71">
        <w:rPr>
          <w:i/>
          <w:iCs/>
        </w:rPr>
        <w:t>Coord. Chem. Rev.</w:t>
      </w:r>
      <w:r w:rsidR="005E0D71" w:rsidRPr="005E0D71">
        <w:t xml:space="preserve"> </w:t>
      </w:r>
      <w:r w:rsidR="005E0D71" w:rsidRPr="00CE70A8">
        <w:rPr>
          <w:b/>
          <w:bCs/>
        </w:rPr>
        <w:t>2019</w:t>
      </w:r>
      <w:r w:rsidR="005E0D71">
        <w:t>,</w:t>
      </w:r>
      <w:r w:rsidRPr="00B440B2">
        <w:t xml:space="preserve"> 378</w:t>
      </w:r>
      <w:r w:rsidR="005E0D71">
        <w:t xml:space="preserve">, </w:t>
      </w:r>
      <w:r w:rsidRPr="00B440B2">
        <w:t>32–65</w:t>
      </w:r>
      <w:r w:rsidR="005E0D71">
        <w:t>.</w:t>
      </w:r>
    </w:p>
    <w:p w14:paraId="2E46BDC4" w14:textId="54448A51" w:rsidR="005E0D71" w:rsidRDefault="005E0D71" w:rsidP="00F250E9">
      <w:pPr>
        <w:pStyle w:val="TAMainText"/>
        <w:numPr>
          <w:ilvl w:val="0"/>
          <w:numId w:val="1"/>
        </w:numPr>
      </w:pPr>
      <w:r w:rsidRPr="005E0D71">
        <w:t xml:space="preserve">F.D. </w:t>
      </w:r>
      <w:proofErr w:type="spellStart"/>
      <w:r w:rsidRPr="005E0D71">
        <w:t>Bobbink</w:t>
      </w:r>
      <w:proofErr w:type="spellEnd"/>
      <w:r w:rsidR="00CE70A8">
        <w:t xml:space="preserve"> e</w:t>
      </w:r>
      <w:r w:rsidRPr="005E0D71">
        <w:t xml:space="preserve"> P.J. Dyson</w:t>
      </w:r>
      <w:r w:rsidR="00CE70A8">
        <w:t xml:space="preserve">, </w:t>
      </w:r>
      <w:r w:rsidRPr="00CE70A8">
        <w:rPr>
          <w:i/>
          <w:iCs/>
        </w:rPr>
        <w:t>J</w:t>
      </w:r>
      <w:r w:rsidR="00CE70A8" w:rsidRPr="00CE70A8">
        <w:rPr>
          <w:i/>
          <w:iCs/>
        </w:rPr>
        <w:t>.</w:t>
      </w:r>
      <w:r w:rsidRPr="00CE70A8">
        <w:rPr>
          <w:i/>
          <w:iCs/>
        </w:rPr>
        <w:t xml:space="preserve"> </w:t>
      </w:r>
      <w:proofErr w:type="spellStart"/>
      <w:r w:rsidRPr="00CE70A8">
        <w:rPr>
          <w:i/>
          <w:iCs/>
        </w:rPr>
        <w:t>Catal</w:t>
      </w:r>
      <w:proofErr w:type="spellEnd"/>
      <w:r w:rsidR="00CE70A8" w:rsidRPr="00CE70A8">
        <w:rPr>
          <w:i/>
          <w:iCs/>
        </w:rPr>
        <w:t>.</w:t>
      </w:r>
      <w:r w:rsidRPr="005E0D71">
        <w:t xml:space="preserve"> </w:t>
      </w:r>
      <w:r w:rsidR="00CE70A8" w:rsidRPr="00CE70A8">
        <w:rPr>
          <w:b/>
          <w:bCs/>
        </w:rPr>
        <w:t>2016</w:t>
      </w:r>
      <w:r w:rsidR="00CE70A8">
        <w:t xml:space="preserve">, </w:t>
      </w:r>
      <w:r w:rsidRPr="005E0D71">
        <w:t>343</w:t>
      </w:r>
      <w:r w:rsidR="00CE70A8">
        <w:t xml:space="preserve">, </w:t>
      </w:r>
      <w:r w:rsidRPr="005E0D71">
        <w:t>52–61</w:t>
      </w:r>
      <w:r w:rsidR="00CE70A8">
        <w:t>.</w:t>
      </w:r>
    </w:p>
    <w:p w14:paraId="319A7299" w14:textId="50CAE478" w:rsidR="00CF416B" w:rsidRDefault="00CF416B" w:rsidP="00F250E9">
      <w:pPr>
        <w:pStyle w:val="TAMainText"/>
        <w:numPr>
          <w:ilvl w:val="0"/>
          <w:numId w:val="1"/>
        </w:numPr>
      </w:pPr>
      <w:r>
        <w:rPr>
          <w:lang w:val="es-ES_tradnl"/>
        </w:rPr>
        <w:t xml:space="preserve">A. </w:t>
      </w:r>
      <w:r w:rsidRPr="00CF416B">
        <w:rPr>
          <w:lang w:val="es-ES_tradnl"/>
        </w:rPr>
        <w:t>Santiago-Portillo</w:t>
      </w:r>
      <w:r>
        <w:rPr>
          <w:lang w:val="es-ES_tradnl"/>
        </w:rPr>
        <w:t xml:space="preserve"> et al. </w:t>
      </w:r>
      <w:r w:rsidRPr="00CF416B">
        <w:rPr>
          <w:i/>
          <w:iCs/>
          <w:lang w:val="es-ES_tradnl"/>
        </w:rPr>
        <w:t xml:space="preserve">J. </w:t>
      </w:r>
      <w:proofErr w:type="spellStart"/>
      <w:r w:rsidRPr="00CF416B">
        <w:rPr>
          <w:i/>
          <w:iCs/>
          <w:lang w:val="es-ES_tradnl"/>
        </w:rPr>
        <w:t>Catal</w:t>
      </w:r>
      <w:proofErr w:type="spellEnd"/>
      <w:r w:rsidRPr="00CF416B">
        <w:rPr>
          <w:i/>
          <w:iCs/>
          <w:lang w:val="es-ES_tradnl"/>
        </w:rPr>
        <w:t>.</w:t>
      </w:r>
      <w:r>
        <w:rPr>
          <w:lang w:val="es-ES_tradnl"/>
        </w:rPr>
        <w:t xml:space="preserve"> </w:t>
      </w:r>
      <w:r w:rsidRPr="00CF416B">
        <w:rPr>
          <w:b/>
          <w:bCs/>
          <w:lang w:val="es-ES_tradnl"/>
        </w:rPr>
        <w:t>2018</w:t>
      </w:r>
      <w:r w:rsidRPr="00CF416B">
        <w:rPr>
          <w:lang w:val="es-ES_tradnl"/>
        </w:rPr>
        <w:t>,</w:t>
      </w:r>
      <w:r>
        <w:rPr>
          <w:lang w:val="es-ES_tradnl"/>
        </w:rPr>
        <w:t xml:space="preserve"> </w:t>
      </w:r>
      <w:r w:rsidRPr="00CF416B">
        <w:t>365, 450–463.</w:t>
      </w:r>
    </w:p>
    <w:p w14:paraId="2E17D88F" w14:textId="7A553504" w:rsidR="002C576E" w:rsidRPr="00DC6502" w:rsidRDefault="002C576E" w:rsidP="00F250E9">
      <w:pPr>
        <w:pStyle w:val="TAMainText"/>
        <w:numPr>
          <w:ilvl w:val="0"/>
          <w:numId w:val="1"/>
        </w:numPr>
      </w:pPr>
      <w:r w:rsidRPr="00D24CDA">
        <w:rPr>
          <w:rFonts w:cs="Times"/>
          <w:noProof/>
          <w:szCs w:val="24"/>
        </w:rPr>
        <w:t xml:space="preserve">M. Thommes et al. </w:t>
      </w:r>
      <w:r w:rsidRPr="00D24CDA">
        <w:rPr>
          <w:rFonts w:cs="Times"/>
          <w:i/>
          <w:iCs/>
          <w:noProof/>
          <w:szCs w:val="24"/>
        </w:rPr>
        <w:t xml:space="preserve">Pure Appl. </w:t>
      </w:r>
      <w:r w:rsidRPr="00203E95">
        <w:rPr>
          <w:rFonts w:cs="Times"/>
          <w:i/>
          <w:iCs/>
          <w:noProof/>
          <w:szCs w:val="24"/>
        </w:rPr>
        <w:t>Chem.</w:t>
      </w:r>
      <w:r w:rsidRPr="00203E95">
        <w:rPr>
          <w:rFonts w:cs="Times"/>
          <w:noProof/>
          <w:szCs w:val="24"/>
        </w:rPr>
        <w:t xml:space="preserve"> </w:t>
      </w:r>
      <w:r w:rsidRPr="00203E95">
        <w:rPr>
          <w:rFonts w:cs="Times"/>
          <w:b/>
          <w:bCs/>
          <w:noProof/>
          <w:szCs w:val="24"/>
        </w:rPr>
        <w:t>2015</w:t>
      </w:r>
      <w:r w:rsidRPr="00203E95">
        <w:rPr>
          <w:rFonts w:cs="Times"/>
          <w:noProof/>
          <w:szCs w:val="24"/>
        </w:rPr>
        <w:t xml:space="preserve">, </w:t>
      </w:r>
      <w:r w:rsidRPr="00203E95">
        <w:rPr>
          <w:rFonts w:cs="Times"/>
          <w:i/>
          <w:iCs/>
          <w:noProof/>
          <w:szCs w:val="24"/>
        </w:rPr>
        <w:t>87</w:t>
      </w:r>
      <w:r w:rsidRPr="00203E95">
        <w:rPr>
          <w:rFonts w:cs="Times"/>
          <w:noProof/>
          <w:szCs w:val="24"/>
        </w:rPr>
        <w:t>, 1051–1069.</w:t>
      </w:r>
    </w:p>
    <w:p w14:paraId="561A6099" w14:textId="77777777" w:rsidR="00DC6502" w:rsidRDefault="00DC6502" w:rsidP="00DC6502">
      <w:pPr>
        <w:pStyle w:val="TAMainText"/>
      </w:pPr>
    </w:p>
    <w:p w14:paraId="7F4E7530" w14:textId="77777777" w:rsidR="00DC6502" w:rsidRDefault="00DC6502" w:rsidP="00DC6502">
      <w:pPr>
        <w:pStyle w:val="TAMainText"/>
      </w:pPr>
    </w:p>
    <w:p w14:paraId="58716424" w14:textId="77777777" w:rsidR="007B4B2B" w:rsidRPr="00EA4E1B" w:rsidRDefault="007B4B2B" w:rsidP="00EA4E1B"/>
    <w:sectPr w:rsidR="007B4B2B" w:rsidRPr="00EA4E1B"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1A25C" w14:textId="77777777" w:rsidR="00C425F6" w:rsidRDefault="00C425F6" w:rsidP="00EA4E1B">
      <w:pPr>
        <w:spacing w:after="0" w:line="240" w:lineRule="auto"/>
      </w:pPr>
      <w:r>
        <w:separator/>
      </w:r>
    </w:p>
  </w:endnote>
  <w:endnote w:type="continuationSeparator" w:id="0">
    <w:p w14:paraId="731D885F" w14:textId="77777777" w:rsidR="00C425F6" w:rsidRDefault="00C425F6"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10410" w14:textId="77777777" w:rsidR="00C425F6" w:rsidRDefault="00C425F6" w:rsidP="00EA4E1B">
      <w:pPr>
        <w:spacing w:after="0" w:line="240" w:lineRule="auto"/>
      </w:pPr>
      <w:r>
        <w:separator/>
      </w:r>
    </w:p>
  </w:footnote>
  <w:footnote w:type="continuationSeparator" w:id="0">
    <w:p w14:paraId="4E6FC030" w14:textId="77777777" w:rsidR="00C425F6" w:rsidRDefault="00C425F6"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Cabealho"/>
      <w:jc w:val="center"/>
    </w:pPr>
    <w:r>
      <w:rPr>
        <w:noProof/>
      </w:rPr>
      <w:drawing>
        <wp:inline distT="0" distB="0" distL="0" distR="0" wp14:anchorId="128B8774" wp14:editId="6C5718AB">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num w:numId="1" w16cid:durableId="181143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rwUAk+X4QCwAAAA="/>
  </w:docVars>
  <w:rsids>
    <w:rsidRoot w:val="00EA4E1B"/>
    <w:rsid w:val="00001DE7"/>
    <w:rsid w:val="0001264A"/>
    <w:rsid w:val="00013919"/>
    <w:rsid w:val="00023E10"/>
    <w:rsid w:val="0003684E"/>
    <w:rsid w:val="00042B23"/>
    <w:rsid w:val="000575BE"/>
    <w:rsid w:val="00061A72"/>
    <w:rsid w:val="00095F2C"/>
    <w:rsid w:val="000D18B2"/>
    <w:rsid w:val="000E2B0B"/>
    <w:rsid w:val="000E42DE"/>
    <w:rsid w:val="000F1D24"/>
    <w:rsid w:val="00115FCE"/>
    <w:rsid w:val="001206DA"/>
    <w:rsid w:val="001208FD"/>
    <w:rsid w:val="00141F07"/>
    <w:rsid w:val="001517DB"/>
    <w:rsid w:val="00185976"/>
    <w:rsid w:val="001E58A9"/>
    <w:rsid w:val="001F25B2"/>
    <w:rsid w:val="00222230"/>
    <w:rsid w:val="0024298C"/>
    <w:rsid w:val="00272290"/>
    <w:rsid w:val="002A3C85"/>
    <w:rsid w:val="002B2B33"/>
    <w:rsid w:val="002C2E85"/>
    <w:rsid w:val="002C576E"/>
    <w:rsid w:val="002F6A2A"/>
    <w:rsid w:val="002F732F"/>
    <w:rsid w:val="003271D3"/>
    <w:rsid w:val="0033559E"/>
    <w:rsid w:val="00340B1E"/>
    <w:rsid w:val="00341158"/>
    <w:rsid w:val="003476CA"/>
    <w:rsid w:val="0035023F"/>
    <w:rsid w:val="00397E4E"/>
    <w:rsid w:val="003D1B6C"/>
    <w:rsid w:val="003F5EAC"/>
    <w:rsid w:val="00402F3E"/>
    <w:rsid w:val="00446005"/>
    <w:rsid w:val="00455F31"/>
    <w:rsid w:val="00457921"/>
    <w:rsid w:val="00463688"/>
    <w:rsid w:val="00464D37"/>
    <w:rsid w:val="00472312"/>
    <w:rsid w:val="00481812"/>
    <w:rsid w:val="00496BB8"/>
    <w:rsid w:val="004B2D46"/>
    <w:rsid w:val="004C0FEF"/>
    <w:rsid w:val="004F3F42"/>
    <w:rsid w:val="00503694"/>
    <w:rsid w:val="00507ACB"/>
    <w:rsid w:val="005162EA"/>
    <w:rsid w:val="00517E67"/>
    <w:rsid w:val="0052112E"/>
    <w:rsid w:val="00536CB6"/>
    <w:rsid w:val="005435DD"/>
    <w:rsid w:val="0056274D"/>
    <w:rsid w:val="00590017"/>
    <w:rsid w:val="005B0AE5"/>
    <w:rsid w:val="005C11C9"/>
    <w:rsid w:val="005C2775"/>
    <w:rsid w:val="005D1A73"/>
    <w:rsid w:val="005D584F"/>
    <w:rsid w:val="005D65EB"/>
    <w:rsid w:val="005E0D71"/>
    <w:rsid w:val="00604718"/>
    <w:rsid w:val="00630B41"/>
    <w:rsid w:val="00637373"/>
    <w:rsid w:val="00652815"/>
    <w:rsid w:val="00660C46"/>
    <w:rsid w:val="006A1982"/>
    <w:rsid w:val="006F0A79"/>
    <w:rsid w:val="006F599B"/>
    <w:rsid w:val="006F7B71"/>
    <w:rsid w:val="00700B37"/>
    <w:rsid w:val="007336F7"/>
    <w:rsid w:val="007360A0"/>
    <w:rsid w:val="007670A0"/>
    <w:rsid w:val="0077497B"/>
    <w:rsid w:val="00781685"/>
    <w:rsid w:val="007866D3"/>
    <w:rsid w:val="007B4B2B"/>
    <w:rsid w:val="00805C88"/>
    <w:rsid w:val="00821F1F"/>
    <w:rsid w:val="008257C5"/>
    <w:rsid w:val="00833169"/>
    <w:rsid w:val="008412B2"/>
    <w:rsid w:val="008608EF"/>
    <w:rsid w:val="00866388"/>
    <w:rsid w:val="00866822"/>
    <w:rsid w:val="00882925"/>
    <w:rsid w:val="008955A7"/>
    <w:rsid w:val="008955B0"/>
    <w:rsid w:val="008A22D1"/>
    <w:rsid w:val="008B1683"/>
    <w:rsid w:val="008C1B30"/>
    <w:rsid w:val="008D448C"/>
    <w:rsid w:val="008F196E"/>
    <w:rsid w:val="00904C16"/>
    <w:rsid w:val="0092318D"/>
    <w:rsid w:val="00937E89"/>
    <w:rsid w:val="00944CA1"/>
    <w:rsid w:val="00951B6D"/>
    <w:rsid w:val="00954906"/>
    <w:rsid w:val="009656D9"/>
    <w:rsid w:val="009B604B"/>
    <w:rsid w:val="009C7CB0"/>
    <w:rsid w:val="00A04C47"/>
    <w:rsid w:val="00A128F5"/>
    <w:rsid w:val="00A17D85"/>
    <w:rsid w:val="00A256D8"/>
    <w:rsid w:val="00A45E0F"/>
    <w:rsid w:val="00A5397D"/>
    <w:rsid w:val="00A67266"/>
    <w:rsid w:val="00A76F2B"/>
    <w:rsid w:val="00A8093B"/>
    <w:rsid w:val="00A84BD8"/>
    <w:rsid w:val="00A87CE8"/>
    <w:rsid w:val="00AA182E"/>
    <w:rsid w:val="00AB2703"/>
    <w:rsid w:val="00AF0400"/>
    <w:rsid w:val="00B06C01"/>
    <w:rsid w:val="00B23099"/>
    <w:rsid w:val="00B272EE"/>
    <w:rsid w:val="00B30AEB"/>
    <w:rsid w:val="00B440B2"/>
    <w:rsid w:val="00B65985"/>
    <w:rsid w:val="00BA6A6E"/>
    <w:rsid w:val="00BB22B8"/>
    <w:rsid w:val="00BF7A1E"/>
    <w:rsid w:val="00C036CB"/>
    <w:rsid w:val="00C10594"/>
    <w:rsid w:val="00C12BFC"/>
    <w:rsid w:val="00C13DC8"/>
    <w:rsid w:val="00C425F6"/>
    <w:rsid w:val="00C53D11"/>
    <w:rsid w:val="00C6391A"/>
    <w:rsid w:val="00C74CD1"/>
    <w:rsid w:val="00C76E54"/>
    <w:rsid w:val="00CC1A23"/>
    <w:rsid w:val="00CC1FD4"/>
    <w:rsid w:val="00CE5206"/>
    <w:rsid w:val="00CE70A8"/>
    <w:rsid w:val="00CF416B"/>
    <w:rsid w:val="00D24CDA"/>
    <w:rsid w:val="00D3077D"/>
    <w:rsid w:val="00D6016C"/>
    <w:rsid w:val="00D67A1D"/>
    <w:rsid w:val="00D746A1"/>
    <w:rsid w:val="00D82993"/>
    <w:rsid w:val="00D84D8A"/>
    <w:rsid w:val="00D96135"/>
    <w:rsid w:val="00DC6502"/>
    <w:rsid w:val="00DD2F45"/>
    <w:rsid w:val="00E002F7"/>
    <w:rsid w:val="00E02A21"/>
    <w:rsid w:val="00E038AF"/>
    <w:rsid w:val="00E46553"/>
    <w:rsid w:val="00E90B11"/>
    <w:rsid w:val="00E92790"/>
    <w:rsid w:val="00EA4E1B"/>
    <w:rsid w:val="00EB50B8"/>
    <w:rsid w:val="00F30661"/>
    <w:rsid w:val="00F917DA"/>
    <w:rsid w:val="00FA6FE2"/>
    <w:rsid w:val="00FB4570"/>
    <w:rsid w:val="00FC4FA6"/>
    <w:rsid w:val="00FD5539"/>
    <w:rsid w:val="00FE6FE8"/>
    <w:rsid w:val="00FF0DC5"/>
    <w:rsid w:val="00FF1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character" w:styleId="Refdecomentrio">
    <w:name w:val="annotation reference"/>
    <w:basedOn w:val="Fontepargpadro"/>
    <w:uiPriority w:val="99"/>
    <w:semiHidden/>
    <w:unhideWhenUsed/>
    <w:rsid w:val="00185976"/>
    <w:rPr>
      <w:sz w:val="16"/>
      <w:szCs w:val="16"/>
    </w:rPr>
  </w:style>
  <w:style w:type="paragraph" w:styleId="Textodecomentrio">
    <w:name w:val="annotation text"/>
    <w:basedOn w:val="Normal"/>
    <w:link w:val="TextodecomentrioChar"/>
    <w:uiPriority w:val="99"/>
    <w:unhideWhenUsed/>
    <w:rsid w:val="00185976"/>
    <w:pPr>
      <w:spacing w:line="240" w:lineRule="auto"/>
    </w:pPr>
    <w:rPr>
      <w:sz w:val="20"/>
      <w:szCs w:val="20"/>
    </w:rPr>
  </w:style>
  <w:style w:type="character" w:customStyle="1" w:styleId="TextodecomentrioChar">
    <w:name w:val="Texto de comentário Char"/>
    <w:basedOn w:val="Fontepargpadro"/>
    <w:link w:val="Textodecomentrio"/>
    <w:uiPriority w:val="99"/>
    <w:rsid w:val="00185976"/>
    <w:rPr>
      <w:sz w:val="20"/>
      <w:szCs w:val="20"/>
    </w:rPr>
  </w:style>
  <w:style w:type="paragraph" w:styleId="Assuntodocomentrio">
    <w:name w:val="annotation subject"/>
    <w:basedOn w:val="Textodecomentrio"/>
    <w:next w:val="Textodecomentrio"/>
    <w:link w:val="AssuntodocomentrioChar"/>
    <w:uiPriority w:val="99"/>
    <w:semiHidden/>
    <w:unhideWhenUsed/>
    <w:rsid w:val="00185976"/>
    <w:rPr>
      <w:b/>
      <w:bCs/>
    </w:rPr>
  </w:style>
  <w:style w:type="character" w:customStyle="1" w:styleId="AssuntodocomentrioChar">
    <w:name w:val="Assunto do comentário Char"/>
    <w:basedOn w:val="TextodecomentrioChar"/>
    <w:link w:val="Assuntodocomentrio"/>
    <w:uiPriority w:val="99"/>
    <w:semiHidden/>
    <w:rsid w:val="00185976"/>
    <w:rPr>
      <w:b/>
      <w:bCs/>
      <w:sz w:val="20"/>
      <w:szCs w:val="20"/>
    </w:rPr>
  </w:style>
  <w:style w:type="paragraph" w:styleId="Reviso">
    <w:name w:val="Revision"/>
    <w:hidden/>
    <w:uiPriority w:val="99"/>
    <w:semiHidden/>
    <w:rsid w:val="00D24C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398791">
      <w:bodyDiv w:val="1"/>
      <w:marLeft w:val="0"/>
      <w:marRight w:val="0"/>
      <w:marTop w:val="0"/>
      <w:marBottom w:val="0"/>
      <w:divBdr>
        <w:top w:val="none" w:sz="0" w:space="0" w:color="auto"/>
        <w:left w:val="none" w:sz="0" w:space="0" w:color="auto"/>
        <w:bottom w:val="none" w:sz="0" w:space="0" w:color="auto"/>
        <w:right w:val="none" w:sz="0" w:space="0" w:color="auto"/>
      </w:divBdr>
    </w:div>
    <w:div w:id="1608078933">
      <w:bodyDiv w:val="1"/>
      <w:marLeft w:val="0"/>
      <w:marRight w:val="0"/>
      <w:marTop w:val="0"/>
      <w:marBottom w:val="0"/>
      <w:divBdr>
        <w:top w:val="none" w:sz="0" w:space="0" w:color="auto"/>
        <w:left w:val="none" w:sz="0" w:space="0" w:color="auto"/>
        <w:bottom w:val="none" w:sz="0" w:space="0" w:color="auto"/>
        <w:right w:val="none" w:sz="0" w:space="0" w:color="auto"/>
      </w:divBdr>
    </w:div>
    <w:div w:id="206313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5" Type="http://schemas.openxmlformats.org/officeDocument/2006/relationships/webSettings" Target="webSettings.xml"/><Relationship Id="rId10"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3.tif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C4864-6DA6-4DBF-87D2-C1D41352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5</Pages>
  <Words>2417</Words>
  <Characters>13055</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Christian Wittee</cp:lastModifiedBy>
  <cp:revision>22</cp:revision>
  <dcterms:created xsi:type="dcterms:W3CDTF">2023-04-30T01:40:00Z</dcterms:created>
  <dcterms:modified xsi:type="dcterms:W3CDTF">2023-05-14T23:25:00Z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y fmtid="{D5CDD505-2E9C-101B-9397-08002B2CF9AE}" pid="22" name="GrammarlyDocumentId">
    <vt:lpwstr>5d3ff1566906b00c5e58a5819e6ff4751fd5d1dee1e675978740ccc67690281c</vt:lpwstr>
  </property>
</Properties>
</file>