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CCA5C" w14:textId="77777777" w:rsidR="00B830D9" w:rsidRDefault="000B7738">
      <w:pPr>
        <w:pStyle w:val="BATitle"/>
        <w:spacing w:before="0" w:after="0" w:line="240" w:lineRule="auto"/>
        <w:ind w:right="0"/>
        <w:jc w:val="both"/>
        <w:rPr>
          <w:sz w:val="32"/>
          <w:lang w:val="pt-BR"/>
        </w:rPr>
      </w:pPr>
      <w:r>
        <w:rPr>
          <w:noProof/>
          <w:sz w:val="32"/>
          <w:lang w:val="pt-BR"/>
        </w:rPr>
        <mc:AlternateContent>
          <mc:Choice Requires="wps">
            <w:drawing>
              <wp:anchor distT="0" distB="0" distL="0" distR="0" simplePos="0" relativeHeight="12" behindDoc="0" locked="0" layoutInCell="0" allowOverlap="1" wp14:anchorId="1883D9CB" wp14:editId="1546F87F">
                <wp:simplePos x="0" y="0"/>
                <wp:positionH relativeFrom="margin">
                  <wp:posOffset>0</wp:posOffset>
                </wp:positionH>
                <wp:positionV relativeFrom="paragraph">
                  <wp:posOffset>635</wp:posOffset>
                </wp:positionV>
                <wp:extent cx="6507480" cy="167640"/>
                <wp:effectExtent l="0" t="0" r="0" b="0"/>
                <wp:wrapNone/>
                <wp:docPr id="1" name="Retângulo 3"/>
                <wp:cNvGraphicFramePr/>
                <a:graphic xmlns:a="http://schemas.openxmlformats.org/drawingml/2006/main">
                  <a:graphicData uri="http://schemas.microsoft.com/office/word/2010/wordprocessingShape">
                    <wps:wsp>
                      <wps:cNvSpPr/>
                      <wps:spPr>
                        <a:xfrm>
                          <a:off x="0" y="0"/>
                          <a:ext cx="6507360" cy="16776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wps:style>
                      <wps:txbx>
                        <w:txbxContent>
                          <w:p w14:paraId="35151D57" w14:textId="77777777" w:rsidR="0007061C" w:rsidRDefault="0007061C">
                            <w:pPr>
                              <w:pStyle w:val="BDAbstract"/>
                              <w:spacing w:before="0" w:after="0" w:line="240" w:lineRule="auto"/>
                              <w:rPr>
                                <w:rFonts w:cs="Helvetica"/>
                                <w:bCs/>
                                <w:sz w:val="20"/>
                                <w:lang w:val="pt-BR"/>
                              </w:rPr>
                            </w:pPr>
                          </w:p>
                          <w:p w14:paraId="06135E83" w14:textId="77777777" w:rsidR="0007061C" w:rsidRDefault="0007061C">
                            <w:pPr>
                              <w:pStyle w:val="SemEspaamento"/>
                              <w:rPr>
                                <w:color w:val="FFFFFF"/>
                              </w:rPr>
                            </w:pPr>
                          </w:p>
                        </w:txbxContent>
                      </wps:txbx>
                      <wps:bodyPr tIns="0" bIns="0" anchor="ctr">
                        <a:prstTxWarp prst="textNoShape">
                          <a:avLst/>
                        </a:prstTxWarp>
                        <a:noAutofit/>
                      </wps:bodyPr>
                    </wps:wsp>
                  </a:graphicData>
                </a:graphic>
              </wp:anchor>
            </w:drawing>
          </mc:Choice>
          <mc:Fallback>
            <w:pict>
              <v:rect w14:anchorId="1883D9CB" id="Retângulo 3" o:spid="_x0000_s1026" style="position:absolute;left:0;text-align:left;margin-left:0;margin-top:.05pt;width:512.4pt;height:13.2pt;z-index:12;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" o:allowincell="f" fillcolor="#9a0000" stroked="f" strokeweight="1pt">
                <v:textbox inset=",0,,0">
                  <w:txbxContent>
                    <w:p w14:paraId="35151D57" w14:textId="77777777" w:rsidR="0007061C" w:rsidRDefault="0007061C">
                      <w:pPr>
                        <w:pStyle w:val="BDAbstract"/>
                        <w:spacing w:before="0" w:after="0" w:line="240" w:lineRule="auto"/>
                        <w:rPr>
                          <w:rFonts w:cs="Helvetica"/>
                          <w:bCs/>
                          <w:sz w:val="20"/>
                          <w:lang w:val="pt-BR"/>
                        </w:rPr>
                      </w:pPr>
                    </w:p>
                    <w:p w14:paraId="06135E83" w14:textId="77777777" w:rsidR="0007061C" w:rsidRDefault="0007061C">
                      <w:pPr>
                        <w:pStyle w:val="SemEspaamento"/>
                        <w:rPr>
                          <w:color w:val="FFFFFF"/>
                        </w:rPr>
                      </w:pPr>
                    </w:p>
                  </w:txbxContent>
                </v:textbox>
                <w10:wrap anchorx="margin"/>
              </v:rect>
            </w:pict>
          </mc:Fallback>
        </mc:AlternateContent>
      </w:r>
      <w:bookmarkStart w:id="0" w:name="_Hlk1324517"/>
    </w:p>
    <w:p w14:paraId="052BF1C9" w14:textId="77777777" w:rsidR="00B830D9" w:rsidRPr="000A3E73" w:rsidRDefault="000A3E73" w:rsidP="009233B3">
      <w:pPr>
        <w:pStyle w:val="BATitle"/>
        <w:spacing w:before="0" w:after="0" w:line="240" w:lineRule="auto"/>
        <w:ind w:right="0"/>
        <w:jc w:val="both"/>
        <w:rPr>
          <w:sz w:val="32"/>
        </w:rPr>
      </w:pPr>
      <w:r w:rsidRPr="000A3E73">
        <w:rPr>
          <w:sz w:val="32"/>
        </w:rPr>
        <w:t>Correlating structure and photocatalytic properties of Pr-doped Ag</w:t>
      </w:r>
      <w:r w:rsidRPr="000A3E73">
        <w:rPr>
          <w:sz w:val="32"/>
          <w:vertAlign w:val="subscript"/>
        </w:rPr>
        <w:t>3</w:t>
      </w:r>
      <w:r w:rsidRPr="000A3E73">
        <w:rPr>
          <w:sz w:val="32"/>
        </w:rPr>
        <w:t>PO</w:t>
      </w:r>
      <w:r w:rsidRPr="000A3E73">
        <w:rPr>
          <w:sz w:val="32"/>
          <w:vertAlign w:val="subscript"/>
        </w:rPr>
        <w:t>4</w:t>
      </w:r>
    </w:p>
    <w:p w14:paraId="01E74EA4" w14:textId="77777777" w:rsidR="009233B3" w:rsidRPr="000A3E73" w:rsidRDefault="009233B3" w:rsidP="009233B3">
      <w:pPr>
        <w:pStyle w:val="BBAuthorName"/>
      </w:pPr>
    </w:p>
    <w:p w14:paraId="21C099E9" w14:textId="77777777" w:rsidR="00B830D9" w:rsidRPr="009233B3" w:rsidRDefault="000A3E73">
      <w:pPr>
        <w:pStyle w:val="BBAuthorName"/>
        <w:spacing w:after="120"/>
        <w:ind w:right="0"/>
        <w:jc w:val="both"/>
        <w:rPr>
          <w:lang w:val="pt-BR"/>
        </w:rPr>
      </w:pPr>
      <w:r>
        <w:rPr>
          <w:rFonts w:ascii="Times New Roman" w:hAnsi="Times New Roman"/>
          <w:sz w:val="20"/>
          <w:lang w:val="pt-BR"/>
        </w:rPr>
        <w:t xml:space="preserve">Matheus H. </w:t>
      </w:r>
      <w:r w:rsidR="00EA4393">
        <w:rPr>
          <w:rFonts w:ascii="Times New Roman" w:hAnsi="Times New Roman"/>
          <w:sz w:val="20"/>
          <w:lang w:val="pt-BR"/>
        </w:rPr>
        <w:t>L</w:t>
      </w:r>
      <w:r>
        <w:rPr>
          <w:rFonts w:ascii="Times New Roman" w:hAnsi="Times New Roman"/>
          <w:sz w:val="20"/>
          <w:lang w:val="pt-BR"/>
        </w:rPr>
        <w:t xml:space="preserve">. </w:t>
      </w:r>
      <w:r w:rsidR="00EA4393">
        <w:rPr>
          <w:rFonts w:ascii="Times New Roman" w:hAnsi="Times New Roman"/>
          <w:sz w:val="20"/>
          <w:lang w:val="pt-BR"/>
        </w:rPr>
        <w:t>Cipriano</w:t>
      </w:r>
      <w:r>
        <w:rPr>
          <w:rFonts w:ascii="Times New Roman" w:hAnsi="Times New Roman"/>
          <w:sz w:val="20"/>
          <w:lang w:val="pt-BR"/>
        </w:rPr>
        <w:t>¹, Amanda F. Gouveia</w:t>
      </w:r>
      <w:r w:rsidRPr="000A3E73">
        <w:rPr>
          <w:rFonts w:ascii="Times New Roman" w:hAnsi="Times New Roman"/>
          <w:sz w:val="20"/>
          <w:vertAlign w:val="superscript"/>
          <w:lang w:val="pt-BR"/>
        </w:rPr>
        <w:t>2</w:t>
      </w:r>
      <w:r>
        <w:rPr>
          <w:rFonts w:ascii="Times New Roman" w:hAnsi="Times New Roman"/>
          <w:sz w:val="20"/>
          <w:lang w:val="pt-BR"/>
        </w:rPr>
        <w:t>, Lara K. Ribeiro</w:t>
      </w:r>
      <w:r w:rsidRPr="000A3E73">
        <w:rPr>
          <w:rFonts w:ascii="Times New Roman" w:hAnsi="Times New Roman"/>
          <w:sz w:val="20"/>
          <w:vertAlign w:val="superscript"/>
          <w:lang w:val="pt-BR"/>
        </w:rPr>
        <w:t>1</w:t>
      </w:r>
      <w:r w:rsidR="009233B3">
        <w:rPr>
          <w:rFonts w:ascii="Times New Roman" w:hAnsi="Times New Roman"/>
          <w:sz w:val="20"/>
          <w:lang w:val="pt-BR"/>
        </w:rPr>
        <w:t xml:space="preserve">, </w:t>
      </w:r>
      <w:r>
        <w:rPr>
          <w:rFonts w:ascii="Times New Roman" w:hAnsi="Times New Roman"/>
          <w:sz w:val="20"/>
          <w:lang w:val="pt-BR"/>
        </w:rPr>
        <w:t>Juan Andrés</w:t>
      </w:r>
      <w:r w:rsidRPr="000A3E73">
        <w:rPr>
          <w:rFonts w:ascii="Times New Roman" w:hAnsi="Times New Roman"/>
          <w:sz w:val="20"/>
          <w:vertAlign w:val="superscript"/>
          <w:lang w:val="pt-BR"/>
        </w:rPr>
        <w:t>2</w:t>
      </w:r>
      <w:r>
        <w:rPr>
          <w:rFonts w:ascii="Times New Roman" w:hAnsi="Times New Roman"/>
          <w:sz w:val="20"/>
          <w:lang w:val="pt-BR"/>
        </w:rPr>
        <w:t xml:space="preserve">, </w:t>
      </w:r>
      <w:r w:rsidR="009233B3">
        <w:rPr>
          <w:rFonts w:ascii="Times New Roman" w:hAnsi="Times New Roman"/>
          <w:sz w:val="20"/>
          <w:lang w:val="pt-BR"/>
        </w:rPr>
        <w:t>Elson Longo</w:t>
      </w:r>
      <w:r w:rsidRPr="000A3E73">
        <w:rPr>
          <w:rFonts w:ascii="Times New Roman" w:hAnsi="Times New Roman"/>
          <w:sz w:val="20"/>
          <w:vertAlign w:val="superscript"/>
          <w:lang w:val="pt-BR"/>
        </w:rPr>
        <w:t>1</w:t>
      </w:r>
      <w:r w:rsidR="009233B3">
        <w:rPr>
          <w:rFonts w:ascii="Times New Roman" w:hAnsi="Times New Roman"/>
          <w:sz w:val="20"/>
          <w:lang w:val="pt-BR"/>
        </w:rPr>
        <w:t>,</w:t>
      </w:r>
      <w:r>
        <w:rPr>
          <w:rFonts w:ascii="Times New Roman" w:hAnsi="Times New Roman"/>
          <w:sz w:val="20"/>
          <w:lang w:val="pt-BR"/>
        </w:rPr>
        <w:t xml:space="preserve"> Marcelo Assis</w:t>
      </w:r>
      <w:r>
        <w:rPr>
          <w:rFonts w:ascii="Times New Roman" w:hAnsi="Times New Roman"/>
          <w:sz w:val="20"/>
          <w:vertAlign w:val="superscript"/>
          <w:lang w:val="pt-BR"/>
        </w:rPr>
        <w:t>2</w:t>
      </w:r>
    </w:p>
    <w:bookmarkEnd w:id="0"/>
    <w:p w14:paraId="74DD3930" w14:textId="77777777" w:rsidR="009233B3" w:rsidRPr="004F5676" w:rsidRDefault="009233B3" w:rsidP="009233B3">
      <w:pPr>
        <w:pStyle w:val="BCAuthorAddress"/>
        <w:spacing w:after="0"/>
        <w:ind w:right="-103"/>
        <w:jc w:val="both"/>
        <w:rPr>
          <w:lang w:val="pt-BR"/>
        </w:rPr>
      </w:pPr>
      <w:r>
        <w:rPr>
          <w:vertAlign w:val="superscript"/>
          <w:lang w:val="pt-BR"/>
        </w:rPr>
        <w:t>1</w:t>
      </w:r>
      <w:r w:rsidRPr="004F5676">
        <w:rPr>
          <w:lang w:val="pt-BR"/>
        </w:rPr>
        <w:t>Centro de Desenvolvimento de Materiais Funcionais (CDMF), Universidade Federal de</w:t>
      </w:r>
      <w:r>
        <w:rPr>
          <w:lang w:val="pt-BR"/>
        </w:rPr>
        <w:t xml:space="preserve"> </w:t>
      </w:r>
      <w:r w:rsidRPr="004F5676">
        <w:rPr>
          <w:lang w:val="pt-BR"/>
        </w:rPr>
        <w:t xml:space="preserve">São Carlos (UFSCar), São Carlos, Brasil. </w:t>
      </w:r>
    </w:p>
    <w:p w14:paraId="65E7EA76" w14:textId="77777777" w:rsidR="009233B3" w:rsidRDefault="000A3E73" w:rsidP="009233B3">
      <w:pPr>
        <w:pStyle w:val="BCAuthorAddress"/>
        <w:spacing w:after="0"/>
        <w:ind w:right="0"/>
        <w:jc w:val="both"/>
        <w:rPr>
          <w:lang w:val="pt-BR"/>
        </w:rPr>
      </w:pPr>
      <w:r w:rsidRPr="000A3E73">
        <w:rPr>
          <w:vertAlign w:val="superscript"/>
          <w:lang w:val="pt-BR"/>
        </w:rPr>
        <w:t>2</w:t>
      </w:r>
      <w:r w:rsidR="009233B3" w:rsidRPr="004F5676">
        <w:rPr>
          <w:lang w:val="pt-BR"/>
        </w:rPr>
        <w:t xml:space="preserve">Departamento de </w:t>
      </w:r>
      <w:r w:rsidR="009233B3">
        <w:rPr>
          <w:lang w:val="pt-BR"/>
        </w:rPr>
        <w:t>Físico-química e Analítica</w:t>
      </w:r>
      <w:r w:rsidR="009233B3" w:rsidRPr="004F5676">
        <w:rPr>
          <w:lang w:val="pt-BR"/>
        </w:rPr>
        <w:t>, Universidade Jaume I</w:t>
      </w:r>
      <w:r w:rsidR="009233B3">
        <w:rPr>
          <w:lang w:val="pt-BR"/>
        </w:rPr>
        <w:t xml:space="preserve"> (UJI)</w:t>
      </w:r>
      <w:r w:rsidR="009233B3" w:rsidRPr="004F5676">
        <w:rPr>
          <w:lang w:val="pt-BR"/>
        </w:rPr>
        <w:t>, Castellón de la Plana, Espanha.</w:t>
      </w:r>
    </w:p>
    <w:p w14:paraId="0D1A8CCF" w14:textId="77777777" w:rsidR="00B830D9" w:rsidRDefault="000B7738">
      <w:pPr>
        <w:pStyle w:val="BDAbstract"/>
        <w:spacing w:before="0" w:after="0" w:line="240" w:lineRule="auto"/>
        <w:rPr>
          <w:rFonts w:ascii="Times New Roman" w:hAnsi="Times New Roman"/>
          <w:b w:val="0"/>
          <w:sz w:val="20"/>
          <w:lang w:val="pt-BR"/>
        </w:rPr>
      </w:pPr>
      <w:r>
        <w:rPr>
          <w:rFonts w:ascii="Times New Roman" w:hAnsi="Times New Roman"/>
          <w:b w:val="0"/>
          <w:noProof/>
          <w:sz w:val="20"/>
          <w:lang w:val="pt-BR"/>
        </w:rPr>
        <mc:AlternateContent>
          <mc:Choice Requires="wps">
            <w:drawing>
              <wp:anchor distT="0" distB="0" distL="0" distR="0" simplePos="0" relativeHeight="10" behindDoc="0" locked="0" layoutInCell="0" allowOverlap="1" wp14:anchorId="5EB7D901" wp14:editId="4E0CF665">
                <wp:simplePos x="0" y="0"/>
                <wp:positionH relativeFrom="margin">
                  <wp:align>right</wp:align>
                </wp:positionH>
                <wp:positionV relativeFrom="paragraph">
                  <wp:posOffset>34925</wp:posOffset>
                </wp:positionV>
                <wp:extent cx="6507480" cy="167640"/>
                <wp:effectExtent l="0" t="0" r="0" b="0"/>
                <wp:wrapNone/>
                <wp:docPr id="3" name="Retângulo 4"/>
                <wp:cNvGraphicFramePr/>
                <a:graphic xmlns:a="http://schemas.openxmlformats.org/drawingml/2006/main">
                  <a:graphicData uri="http://schemas.microsoft.com/office/word/2010/wordprocessingShape">
                    <wps:wsp>
                      <wps:cNvSpPr/>
                      <wps:spPr>
                        <a:xfrm>
                          <a:off x="0" y="0"/>
                          <a:ext cx="6507360" cy="16776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wps:style>
                      <wps:txbx>
                        <w:txbxContent>
                          <w:p w14:paraId="7609ECB7" w14:textId="77777777" w:rsidR="0007061C" w:rsidRDefault="0007061C">
                            <w:pPr>
                              <w:pStyle w:val="BDAbstract"/>
                              <w:spacing w:before="0" w:after="0" w:line="240" w:lineRule="auto"/>
                              <w:jc w:val="center"/>
                              <w:rPr>
                                <w:rFonts w:cs="Helvetica"/>
                                <w:bCs/>
                                <w:sz w:val="20"/>
                                <w:lang w:val="pt-BR"/>
                              </w:rPr>
                            </w:pPr>
                            <w:r>
                              <w:rPr>
                                <w:rFonts w:cs="Helvetica"/>
                                <w:bCs/>
                                <w:color w:val="FFFFFF"/>
                                <w:sz w:val="20"/>
                                <w:lang w:val="pt-BR"/>
                              </w:rPr>
                              <w:t>Resumo/Abstract</w:t>
                            </w:r>
                          </w:p>
                          <w:p w14:paraId="75CB241C" w14:textId="77777777" w:rsidR="0007061C" w:rsidRDefault="0007061C">
                            <w:pPr>
                              <w:pStyle w:val="SemEspaamento"/>
                              <w:rPr>
                                <w:color w:val="FFFFFF"/>
                              </w:rPr>
                            </w:pPr>
                          </w:p>
                        </w:txbxContent>
                      </wps:txbx>
                      <wps:bodyPr tIns="0" bIns="0" anchor="ctr">
                        <a:prstTxWarp prst="textNoShape">
                          <a:avLst/>
                        </a:prstTxWarp>
                        <a:noAutofit/>
                      </wps:bodyPr>
                    </wps:wsp>
                  </a:graphicData>
                </a:graphic>
              </wp:anchor>
            </w:drawing>
          </mc:Choice>
          <mc:Fallback>
            <w:pict>
              <v:rect w14:anchorId="5EB7D901" id="Retângulo 4" o:spid="_x0000_s1027" style="position:absolute;left:0;text-align:left;margin-left:461.2pt;margin-top:2.75pt;width:512.4pt;height:13.2pt;z-index:10;visibility:visible;mso-wrap-style:square;mso-wrap-distance-left:0;mso-wrap-distance-top:0;mso-wrap-distance-right:0;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" o:allowincell="f" fillcolor="#9a0000" stroked="f" strokeweight="1pt">
                <v:textbox inset=",0,,0">
                  <w:txbxContent>
                    <w:p w14:paraId="7609ECB7" w14:textId="77777777" w:rsidR="0007061C" w:rsidRDefault="0007061C">
                      <w:pPr>
                        <w:pStyle w:val="BDAbstract"/>
                        <w:spacing w:before="0" w:after="0" w:line="240" w:lineRule="auto"/>
                        <w:jc w:val="center"/>
                        <w:rPr>
                          <w:rFonts w:cs="Helvetica"/>
                          <w:bCs/>
                          <w:sz w:val="20"/>
                          <w:lang w:val="pt-BR"/>
                        </w:rPr>
                      </w:pPr>
                      <w:r>
                        <w:rPr>
                          <w:rFonts w:cs="Helvetica"/>
                          <w:bCs/>
                          <w:color w:val="FFFFFF"/>
                          <w:sz w:val="20"/>
                          <w:lang w:val="pt-BR"/>
                        </w:rPr>
                        <w:t>Resumo/Abstract</w:t>
                      </w:r>
                    </w:p>
                    <w:p w14:paraId="75CB241C" w14:textId="77777777" w:rsidR="0007061C" w:rsidRDefault="0007061C">
                      <w:pPr>
                        <w:pStyle w:val="SemEspaamento"/>
                        <w:rPr>
                          <w:color w:val="FFFFFF"/>
                        </w:rPr>
                      </w:pPr>
                    </w:p>
                  </w:txbxContent>
                </v:textbox>
                <w10:wrap anchorx="margin"/>
              </v:rect>
            </w:pict>
          </mc:Fallback>
        </mc:AlternateContent>
      </w:r>
    </w:p>
    <w:p w14:paraId="4E988FCE" w14:textId="77777777" w:rsidR="00B830D9" w:rsidRDefault="00B830D9">
      <w:pPr>
        <w:pStyle w:val="BDAbstract"/>
        <w:spacing w:before="0" w:after="0" w:line="240" w:lineRule="auto"/>
        <w:rPr>
          <w:rFonts w:ascii="Times New Roman" w:hAnsi="Times New Roman"/>
          <w:b w:val="0"/>
          <w:sz w:val="20"/>
          <w:lang w:val="pt-BR"/>
        </w:rPr>
      </w:pPr>
    </w:p>
    <w:p w14:paraId="4DD1AAED" w14:textId="77777777" w:rsidR="00B830D9" w:rsidRDefault="000B7738" w:rsidP="000A3E73">
      <w:pPr>
        <w:pStyle w:val="BDAbstract"/>
        <w:spacing w:after="0" w:line="240" w:lineRule="auto"/>
        <w:rPr>
          <w:rFonts w:ascii="Times New Roman" w:hAnsi="Times New Roman"/>
          <w:b w:val="0"/>
          <w:sz w:val="20"/>
          <w:lang w:val="pt-BR"/>
        </w:rPr>
      </w:pPr>
      <w:r>
        <w:rPr>
          <w:rFonts w:ascii="Times New Roman" w:hAnsi="Times New Roman"/>
          <w:b w:val="0"/>
          <w:sz w:val="20"/>
          <w:lang w:val="pt-BR"/>
        </w:rPr>
        <w:t xml:space="preserve">RESUMO - </w:t>
      </w:r>
      <w:r w:rsidR="000A3E73" w:rsidRPr="000A3E73">
        <w:rPr>
          <w:rFonts w:ascii="Times New Roman" w:hAnsi="Times New Roman"/>
          <w:b w:val="0"/>
          <w:sz w:val="20"/>
          <w:lang w:val="pt-BR"/>
        </w:rPr>
        <w:t>A presente pesquisa fornece uma compreensão detalhada da relação entre as propriedades estruturais e eletrônicas com a atividade fotocatalítica das amostras de Ag</w:t>
      </w:r>
      <w:r w:rsidR="000A3E73" w:rsidRPr="000A3E73">
        <w:rPr>
          <w:rFonts w:ascii="Times New Roman" w:hAnsi="Times New Roman"/>
          <w:b w:val="0"/>
          <w:sz w:val="20"/>
          <w:vertAlign w:val="subscript"/>
          <w:lang w:val="pt-BR"/>
        </w:rPr>
        <w:t>3</w:t>
      </w:r>
      <w:r w:rsidR="000A3E73" w:rsidRPr="000A3E73">
        <w:rPr>
          <w:rFonts w:ascii="Times New Roman" w:hAnsi="Times New Roman"/>
          <w:b w:val="0"/>
          <w:sz w:val="20"/>
          <w:lang w:val="pt-BR"/>
        </w:rPr>
        <w:t>PO</w:t>
      </w:r>
      <w:r w:rsidR="000A3E73" w:rsidRPr="000A3E73">
        <w:rPr>
          <w:rFonts w:ascii="Times New Roman" w:hAnsi="Times New Roman"/>
          <w:b w:val="0"/>
          <w:sz w:val="20"/>
          <w:vertAlign w:val="subscript"/>
          <w:lang w:val="pt-BR"/>
        </w:rPr>
        <w:t>4</w:t>
      </w:r>
      <w:r w:rsidR="000A3E73" w:rsidRPr="000A3E73">
        <w:rPr>
          <w:rFonts w:ascii="Times New Roman" w:hAnsi="Times New Roman"/>
          <w:b w:val="0"/>
          <w:sz w:val="20"/>
          <w:lang w:val="pt-BR"/>
        </w:rPr>
        <w:t>:Pr. Preparamos as amostras puras de Ag</w:t>
      </w:r>
      <w:r w:rsidR="000A3E73" w:rsidRPr="000A3E73">
        <w:rPr>
          <w:rFonts w:ascii="Times New Roman" w:hAnsi="Times New Roman"/>
          <w:b w:val="0"/>
          <w:sz w:val="20"/>
          <w:vertAlign w:val="subscript"/>
          <w:lang w:val="pt-BR"/>
        </w:rPr>
        <w:t>3</w:t>
      </w:r>
      <w:r w:rsidR="000A3E73" w:rsidRPr="000A3E73">
        <w:rPr>
          <w:rFonts w:ascii="Times New Roman" w:hAnsi="Times New Roman"/>
          <w:b w:val="0"/>
          <w:sz w:val="20"/>
          <w:lang w:val="pt-BR"/>
        </w:rPr>
        <w:t>PO</w:t>
      </w:r>
      <w:r w:rsidR="000A3E73" w:rsidRPr="000A3E73">
        <w:rPr>
          <w:rFonts w:ascii="Times New Roman" w:hAnsi="Times New Roman"/>
          <w:b w:val="0"/>
          <w:sz w:val="20"/>
          <w:vertAlign w:val="subscript"/>
          <w:lang w:val="pt-BR"/>
        </w:rPr>
        <w:t>4</w:t>
      </w:r>
      <w:r w:rsidR="000A3E73" w:rsidRPr="000A3E73">
        <w:rPr>
          <w:rFonts w:ascii="Times New Roman" w:hAnsi="Times New Roman"/>
          <w:b w:val="0"/>
          <w:sz w:val="20"/>
          <w:lang w:val="pt-BR"/>
        </w:rPr>
        <w:t xml:space="preserve"> e as amostras dopadas com Pr utilizando o método de precipitação química em meio aquoso. As amostras foram caracterizadas por difração de raios X, espectroscopia Raman, espectroscopia infravermelha, reflectância difusa</w:t>
      </w:r>
      <w:r w:rsidR="008C2A25">
        <w:rPr>
          <w:rFonts w:ascii="Times New Roman" w:hAnsi="Times New Roman"/>
          <w:b w:val="0"/>
          <w:sz w:val="20"/>
          <w:lang w:val="pt-BR"/>
        </w:rPr>
        <w:t xml:space="preserve"> e</w:t>
      </w:r>
      <w:r w:rsidR="000A3E73" w:rsidRPr="000A3E73">
        <w:rPr>
          <w:rFonts w:ascii="Times New Roman" w:hAnsi="Times New Roman"/>
          <w:b w:val="0"/>
          <w:sz w:val="20"/>
          <w:lang w:val="pt-BR"/>
        </w:rPr>
        <w:t xml:space="preserve"> microscopia eletrônica de varredura. A atividade fotocatalítica das amostras puras e dopadas com Pr foi testada para a degradação da Rodamina B e Azul de Metileno, sob irradiação de luz visível. Os resultados demonstraram que a amostra de Ag</w:t>
      </w:r>
      <w:r w:rsidR="000A3E73" w:rsidRPr="000A3E73">
        <w:rPr>
          <w:rFonts w:ascii="Times New Roman" w:hAnsi="Times New Roman"/>
          <w:b w:val="0"/>
          <w:sz w:val="20"/>
          <w:vertAlign w:val="subscript"/>
          <w:lang w:val="pt-BR"/>
        </w:rPr>
        <w:t>3</w:t>
      </w:r>
      <w:r w:rsidR="000A3E73" w:rsidRPr="000A3E73">
        <w:rPr>
          <w:rFonts w:ascii="Times New Roman" w:hAnsi="Times New Roman"/>
          <w:b w:val="0"/>
          <w:sz w:val="20"/>
          <w:lang w:val="pt-BR"/>
        </w:rPr>
        <w:t>PO</w:t>
      </w:r>
      <w:r w:rsidR="000A3E73" w:rsidRPr="000A3E73">
        <w:rPr>
          <w:rFonts w:ascii="Times New Roman" w:hAnsi="Times New Roman"/>
          <w:b w:val="0"/>
          <w:sz w:val="20"/>
          <w:vertAlign w:val="subscript"/>
          <w:lang w:val="pt-BR"/>
        </w:rPr>
        <w:t>4</w:t>
      </w:r>
      <w:r w:rsidR="000A3E73" w:rsidRPr="000A3E73">
        <w:rPr>
          <w:rFonts w:ascii="Times New Roman" w:hAnsi="Times New Roman"/>
          <w:b w:val="0"/>
          <w:sz w:val="20"/>
          <w:lang w:val="pt-BR"/>
        </w:rPr>
        <w:t>:Pr com concentrações de Pr de 1,00% e 0,50% apresentou as taxas de degradação mais rápidas para ambos os corantes.</w:t>
      </w:r>
      <w:r w:rsidR="000A3E73">
        <w:rPr>
          <w:rFonts w:ascii="Times New Roman" w:hAnsi="Times New Roman"/>
          <w:b w:val="0"/>
          <w:sz w:val="20"/>
          <w:lang w:val="pt-BR"/>
        </w:rPr>
        <w:t xml:space="preserve"> </w:t>
      </w:r>
      <w:r w:rsidR="000A3E73" w:rsidRPr="000A3E73">
        <w:rPr>
          <w:rFonts w:ascii="Times New Roman" w:hAnsi="Times New Roman"/>
          <w:b w:val="0"/>
          <w:sz w:val="20"/>
          <w:lang w:val="pt-BR"/>
        </w:rPr>
        <w:t xml:space="preserve">A análise da produção de espécies reativas de oxigênio pelas amostras mostrou que as principais espécies que atuam nos mecanismos de fotocatálise são os radicais </w:t>
      </w:r>
      <w:r w:rsidR="000A3E73" w:rsidRPr="000A3E73">
        <w:rPr>
          <w:rFonts w:ascii="Cambria Math" w:hAnsi="Cambria Math" w:cs="Cambria Math"/>
          <w:b w:val="0"/>
          <w:sz w:val="20"/>
          <w:lang w:val="pt-BR"/>
        </w:rPr>
        <w:t>⦁</w:t>
      </w:r>
      <w:r w:rsidR="000A3E73" w:rsidRPr="000A3E73">
        <w:rPr>
          <w:rFonts w:ascii="Times New Roman" w:hAnsi="Times New Roman"/>
          <w:b w:val="0"/>
          <w:sz w:val="20"/>
          <w:lang w:val="pt-BR"/>
        </w:rPr>
        <w:t>O</w:t>
      </w:r>
      <w:r w:rsidR="000A3E73" w:rsidRPr="000A3E73">
        <w:rPr>
          <w:rFonts w:ascii="Times New Roman" w:hAnsi="Times New Roman"/>
          <w:b w:val="0"/>
          <w:sz w:val="20"/>
          <w:vertAlign w:val="superscript"/>
          <w:lang w:val="pt-BR"/>
        </w:rPr>
        <w:t>2-</w:t>
      </w:r>
      <w:r w:rsidR="000A3E73" w:rsidRPr="000A3E73">
        <w:rPr>
          <w:rFonts w:ascii="Times New Roman" w:hAnsi="Times New Roman"/>
          <w:b w:val="0"/>
          <w:sz w:val="20"/>
          <w:lang w:val="pt-BR"/>
        </w:rPr>
        <w:t xml:space="preserve">. </w:t>
      </w:r>
    </w:p>
    <w:p w14:paraId="7F971ECF" w14:textId="77777777" w:rsidR="00B830D9" w:rsidRPr="009233B3" w:rsidRDefault="000B7738">
      <w:pPr>
        <w:pStyle w:val="BDAbstract"/>
        <w:spacing w:before="0" w:after="0" w:line="240" w:lineRule="auto"/>
        <w:rPr>
          <w:rFonts w:ascii="Times New Roman" w:hAnsi="Times New Roman"/>
          <w:b w:val="0"/>
          <w:iCs/>
          <w:sz w:val="20"/>
          <w:lang w:val="pt-BR"/>
        </w:rPr>
      </w:pPr>
      <w:r>
        <w:rPr>
          <w:rFonts w:ascii="Times New Roman" w:hAnsi="Times New Roman"/>
          <w:b w:val="0"/>
          <w:i/>
          <w:sz w:val="20"/>
          <w:lang w:val="pt-BR"/>
        </w:rPr>
        <w:t xml:space="preserve">Palavras-chave: </w:t>
      </w:r>
      <w:r w:rsidRPr="009233B3">
        <w:rPr>
          <w:rFonts w:ascii="Times New Roman" w:hAnsi="Times New Roman"/>
          <w:b w:val="0"/>
          <w:iCs/>
          <w:sz w:val="20"/>
          <w:lang w:val="pt-BR"/>
        </w:rPr>
        <w:t xml:space="preserve">Semicondutor, fotocatálise, </w:t>
      </w:r>
      <w:r w:rsidR="000A3E73">
        <w:rPr>
          <w:rFonts w:ascii="Times New Roman" w:hAnsi="Times New Roman"/>
          <w:b w:val="0"/>
          <w:iCs/>
          <w:sz w:val="20"/>
          <w:lang w:val="pt-BR"/>
        </w:rPr>
        <w:t>Ag</w:t>
      </w:r>
      <w:r w:rsidR="000A3E73" w:rsidRPr="000A3E73">
        <w:rPr>
          <w:rFonts w:ascii="Times New Roman" w:hAnsi="Times New Roman"/>
          <w:b w:val="0"/>
          <w:iCs/>
          <w:sz w:val="20"/>
          <w:vertAlign w:val="subscript"/>
          <w:lang w:val="pt-BR"/>
        </w:rPr>
        <w:t>3</w:t>
      </w:r>
      <w:r w:rsidR="000A3E73">
        <w:rPr>
          <w:rFonts w:ascii="Times New Roman" w:hAnsi="Times New Roman"/>
          <w:b w:val="0"/>
          <w:iCs/>
          <w:sz w:val="20"/>
          <w:lang w:val="pt-BR"/>
        </w:rPr>
        <w:t>PO</w:t>
      </w:r>
      <w:r w:rsidR="000A3E73" w:rsidRPr="000A3E73">
        <w:rPr>
          <w:rFonts w:ascii="Times New Roman" w:hAnsi="Times New Roman"/>
          <w:b w:val="0"/>
          <w:iCs/>
          <w:sz w:val="20"/>
          <w:vertAlign w:val="subscript"/>
          <w:lang w:val="pt-BR"/>
        </w:rPr>
        <w:t>4</w:t>
      </w:r>
      <w:r w:rsidRPr="009233B3">
        <w:rPr>
          <w:rFonts w:ascii="Times New Roman" w:hAnsi="Times New Roman"/>
          <w:b w:val="0"/>
          <w:iCs/>
          <w:sz w:val="20"/>
          <w:lang w:val="pt-BR"/>
        </w:rPr>
        <w:t xml:space="preserve">, </w:t>
      </w:r>
      <w:r w:rsidR="000A3E73">
        <w:rPr>
          <w:rFonts w:ascii="Times New Roman" w:hAnsi="Times New Roman"/>
          <w:b w:val="0"/>
          <w:iCs/>
          <w:sz w:val="20"/>
          <w:lang w:val="pt-BR"/>
        </w:rPr>
        <w:t>dopagem</w:t>
      </w:r>
      <w:r w:rsidRPr="009233B3">
        <w:rPr>
          <w:rFonts w:ascii="Times New Roman" w:hAnsi="Times New Roman"/>
          <w:b w:val="0"/>
          <w:iCs/>
          <w:sz w:val="20"/>
          <w:lang w:val="pt-BR"/>
        </w:rPr>
        <w:t>.</w:t>
      </w:r>
    </w:p>
    <w:p w14:paraId="6385EDCC" w14:textId="77777777" w:rsidR="00B830D9" w:rsidRDefault="00B830D9">
      <w:pPr>
        <w:pStyle w:val="BDAbstract"/>
        <w:spacing w:before="0" w:after="0" w:line="240" w:lineRule="auto"/>
        <w:rPr>
          <w:rFonts w:ascii="Times New Roman" w:hAnsi="Times New Roman"/>
          <w:b w:val="0"/>
          <w:sz w:val="20"/>
          <w:lang w:val="pt-BR"/>
        </w:rPr>
      </w:pPr>
    </w:p>
    <w:p w14:paraId="24009C07" w14:textId="77777777" w:rsidR="000A3E73" w:rsidRPr="000A3E73" w:rsidRDefault="000B7738" w:rsidP="000A3E73">
      <w:pPr>
        <w:pStyle w:val="BDAbstract"/>
        <w:spacing w:after="0" w:line="240" w:lineRule="auto"/>
        <w:rPr>
          <w:rFonts w:ascii="Times New Roman" w:hAnsi="Times New Roman"/>
          <w:b w:val="0"/>
          <w:sz w:val="20"/>
        </w:rPr>
      </w:pPr>
      <w:r w:rsidRPr="009233B3">
        <w:rPr>
          <w:rFonts w:ascii="Times New Roman" w:hAnsi="Times New Roman"/>
          <w:b w:val="0"/>
          <w:sz w:val="20"/>
        </w:rPr>
        <w:t xml:space="preserve">ABSTRACT - </w:t>
      </w:r>
      <w:bookmarkStart w:id="1" w:name="_Hlk1324670"/>
      <w:r w:rsidR="000A3E73" w:rsidRPr="000A3E73">
        <w:rPr>
          <w:rFonts w:ascii="Times New Roman" w:hAnsi="Times New Roman"/>
          <w:b w:val="0"/>
          <w:sz w:val="20"/>
        </w:rPr>
        <w:t>This research provides a detailed understanding of the relationship between structural and electronic properties and the photocatalytic activity of Ag</w:t>
      </w:r>
      <w:r w:rsidR="000A3E73" w:rsidRPr="000A3E73">
        <w:rPr>
          <w:rFonts w:ascii="Times New Roman" w:hAnsi="Times New Roman"/>
          <w:b w:val="0"/>
          <w:sz w:val="20"/>
          <w:vertAlign w:val="subscript"/>
        </w:rPr>
        <w:t>3</w:t>
      </w:r>
      <w:r w:rsidR="000A3E73" w:rsidRPr="000A3E73">
        <w:rPr>
          <w:rFonts w:ascii="Times New Roman" w:hAnsi="Times New Roman"/>
          <w:b w:val="0"/>
          <w:sz w:val="20"/>
        </w:rPr>
        <w:t>PO</w:t>
      </w:r>
      <w:r w:rsidR="000A3E73" w:rsidRPr="000A3E73">
        <w:rPr>
          <w:rFonts w:ascii="Times New Roman" w:hAnsi="Times New Roman"/>
          <w:b w:val="0"/>
          <w:sz w:val="20"/>
          <w:vertAlign w:val="subscript"/>
        </w:rPr>
        <w:t>4</w:t>
      </w:r>
      <w:r w:rsidR="000A3E73" w:rsidRPr="000A3E73">
        <w:rPr>
          <w:rFonts w:ascii="Times New Roman" w:hAnsi="Times New Roman"/>
          <w:b w:val="0"/>
          <w:sz w:val="20"/>
        </w:rPr>
        <w:t>:Pr samples. We prepared pure Ag</w:t>
      </w:r>
      <w:r w:rsidR="000A3E73" w:rsidRPr="000A3E73">
        <w:rPr>
          <w:rFonts w:ascii="Times New Roman" w:hAnsi="Times New Roman"/>
          <w:b w:val="0"/>
          <w:sz w:val="20"/>
          <w:vertAlign w:val="subscript"/>
        </w:rPr>
        <w:t>3</w:t>
      </w:r>
      <w:r w:rsidR="000A3E73" w:rsidRPr="000A3E73">
        <w:rPr>
          <w:rFonts w:ascii="Times New Roman" w:hAnsi="Times New Roman"/>
          <w:b w:val="0"/>
          <w:sz w:val="20"/>
        </w:rPr>
        <w:t>PO</w:t>
      </w:r>
      <w:r w:rsidR="000A3E73" w:rsidRPr="000A3E73">
        <w:rPr>
          <w:rFonts w:ascii="Times New Roman" w:hAnsi="Times New Roman"/>
          <w:b w:val="0"/>
          <w:sz w:val="20"/>
          <w:vertAlign w:val="subscript"/>
        </w:rPr>
        <w:t>4</w:t>
      </w:r>
      <w:r w:rsidR="000A3E73" w:rsidRPr="000A3E73">
        <w:rPr>
          <w:rFonts w:ascii="Times New Roman" w:hAnsi="Times New Roman"/>
          <w:b w:val="0"/>
          <w:sz w:val="20"/>
        </w:rPr>
        <w:t xml:space="preserve"> samples and Pr-doped samples using the chemical precipitation method in an aqueous medium. The samples were characterized by X-ray diffraction, Raman spectroscopy, infrared spectroscopy, diffuse reflectance,</w:t>
      </w:r>
      <w:r w:rsidR="008C2A25">
        <w:rPr>
          <w:rFonts w:ascii="Times New Roman" w:hAnsi="Times New Roman"/>
          <w:b w:val="0"/>
          <w:sz w:val="20"/>
        </w:rPr>
        <w:t xml:space="preserve"> and</w:t>
      </w:r>
      <w:r w:rsidR="000A3E73" w:rsidRPr="000A3E73">
        <w:rPr>
          <w:rFonts w:ascii="Times New Roman" w:hAnsi="Times New Roman"/>
          <w:b w:val="0"/>
          <w:sz w:val="20"/>
        </w:rPr>
        <w:t xml:space="preserve"> scanning electron microscopy. The photocatalytic activity of both the pure and Pr-doped samples was tested for the degradation of Rhodamine B and Methylene Blue under visible light irradiation. The results demonstrated that the Ag</w:t>
      </w:r>
      <w:r w:rsidR="000A3E73" w:rsidRPr="000A3E73">
        <w:rPr>
          <w:rFonts w:ascii="Times New Roman" w:hAnsi="Times New Roman"/>
          <w:b w:val="0"/>
          <w:sz w:val="20"/>
          <w:vertAlign w:val="subscript"/>
        </w:rPr>
        <w:t>3</w:t>
      </w:r>
      <w:r w:rsidR="000A3E73" w:rsidRPr="000A3E73">
        <w:rPr>
          <w:rFonts w:ascii="Times New Roman" w:hAnsi="Times New Roman"/>
          <w:b w:val="0"/>
          <w:sz w:val="20"/>
        </w:rPr>
        <w:t>PO</w:t>
      </w:r>
      <w:r w:rsidR="000A3E73" w:rsidRPr="000A3E73">
        <w:rPr>
          <w:rFonts w:ascii="Times New Roman" w:hAnsi="Times New Roman"/>
          <w:b w:val="0"/>
          <w:sz w:val="20"/>
          <w:vertAlign w:val="subscript"/>
        </w:rPr>
        <w:t>4</w:t>
      </w:r>
      <w:r w:rsidR="000A3E73" w:rsidRPr="000A3E73">
        <w:rPr>
          <w:rFonts w:ascii="Times New Roman" w:hAnsi="Times New Roman"/>
          <w:b w:val="0"/>
          <w:sz w:val="20"/>
        </w:rPr>
        <w:t xml:space="preserve">:Pr sample with Pr concentrations of 1.00% and 0.50% showed the fastest degradation rates for both dyes. Analysis of the production of reactive oxygen species from the samples showed that the main species involved in the photocatalytic mechanisms are the </w:t>
      </w:r>
      <w:r w:rsidR="000A3E73" w:rsidRPr="000A3E73">
        <w:rPr>
          <w:rFonts w:ascii="Cambria Math" w:hAnsi="Cambria Math" w:cs="Cambria Math"/>
          <w:b w:val="0"/>
          <w:sz w:val="20"/>
        </w:rPr>
        <w:t>⦁</w:t>
      </w:r>
      <w:r w:rsidR="000A3E73" w:rsidRPr="000A3E73">
        <w:rPr>
          <w:rFonts w:ascii="Times New Roman" w:hAnsi="Times New Roman"/>
          <w:b w:val="0"/>
          <w:sz w:val="20"/>
        </w:rPr>
        <w:t>O</w:t>
      </w:r>
      <w:r w:rsidR="000A3E73" w:rsidRPr="000A3E73">
        <w:rPr>
          <w:rFonts w:ascii="Times New Roman" w:hAnsi="Times New Roman"/>
          <w:b w:val="0"/>
          <w:sz w:val="20"/>
          <w:vertAlign w:val="superscript"/>
        </w:rPr>
        <w:t>2-</w:t>
      </w:r>
      <w:r w:rsidR="000A3E73" w:rsidRPr="000A3E73">
        <w:rPr>
          <w:rFonts w:ascii="Times New Roman" w:hAnsi="Times New Roman"/>
          <w:b w:val="0"/>
          <w:sz w:val="20"/>
        </w:rPr>
        <w:t xml:space="preserve"> radicals. </w:t>
      </w:r>
    </w:p>
    <w:p w14:paraId="466E881E" w14:textId="77777777" w:rsidR="00B830D9" w:rsidRPr="009233B3" w:rsidRDefault="000B7738" w:rsidP="000A3E73">
      <w:pPr>
        <w:pStyle w:val="BDAbstract"/>
        <w:spacing w:before="0" w:after="0" w:line="240" w:lineRule="auto"/>
        <w:sectPr w:rsidR="00B830D9" w:rsidRPr="009233B3">
          <w:headerReference w:type="default" r:id="rId8"/>
          <w:endnotePr>
            <w:numFmt w:val="decimal"/>
          </w:endnotePr>
          <w:pgSz w:w="11906" w:h="16838"/>
          <w:pgMar w:top="1418" w:right="1094" w:bottom="1418" w:left="567" w:header="709" w:footer="0" w:gutter="0"/>
          <w:cols w:space="720"/>
          <w:formProt w:val="0"/>
          <w:docGrid w:linePitch="360" w:charSpace="5938"/>
        </w:sectPr>
      </w:pPr>
      <w:r w:rsidRPr="009233B3">
        <w:rPr>
          <w:rFonts w:ascii="Times New Roman" w:hAnsi="Times New Roman"/>
          <w:b w:val="0"/>
          <w:i/>
          <w:sz w:val="20"/>
        </w:rPr>
        <w:t xml:space="preserve">Keywords: </w:t>
      </w:r>
      <w:bookmarkEnd w:id="1"/>
      <w:r w:rsidRPr="000A3E73">
        <w:rPr>
          <w:rFonts w:ascii="Times New Roman" w:hAnsi="Times New Roman"/>
          <w:b w:val="0"/>
          <w:iCs/>
          <w:sz w:val="20"/>
        </w:rPr>
        <w:t>Semiconductor, photocatalysis,</w:t>
      </w:r>
      <w:r w:rsidRPr="009233B3">
        <w:rPr>
          <w:rFonts w:ascii="Times New Roman" w:hAnsi="Times New Roman"/>
          <w:b w:val="0"/>
          <w:i/>
          <w:sz w:val="20"/>
        </w:rPr>
        <w:t xml:space="preserve"> </w:t>
      </w:r>
      <w:r w:rsidR="000A3E73" w:rsidRPr="000A3E73">
        <w:rPr>
          <w:rFonts w:ascii="Times New Roman" w:hAnsi="Times New Roman"/>
          <w:b w:val="0"/>
          <w:iCs/>
          <w:sz w:val="20"/>
        </w:rPr>
        <w:t>Ag</w:t>
      </w:r>
      <w:r w:rsidR="000A3E73" w:rsidRPr="000A3E73">
        <w:rPr>
          <w:rFonts w:ascii="Times New Roman" w:hAnsi="Times New Roman"/>
          <w:b w:val="0"/>
          <w:iCs/>
          <w:sz w:val="20"/>
          <w:vertAlign w:val="subscript"/>
        </w:rPr>
        <w:t>3</w:t>
      </w:r>
      <w:r w:rsidR="000A3E73" w:rsidRPr="000A3E73">
        <w:rPr>
          <w:rFonts w:ascii="Times New Roman" w:hAnsi="Times New Roman"/>
          <w:b w:val="0"/>
          <w:iCs/>
          <w:sz w:val="20"/>
        </w:rPr>
        <w:t>PO</w:t>
      </w:r>
      <w:r w:rsidR="000A3E73" w:rsidRPr="000A3E73">
        <w:rPr>
          <w:rFonts w:ascii="Times New Roman" w:hAnsi="Times New Roman"/>
          <w:b w:val="0"/>
          <w:iCs/>
          <w:sz w:val="20"/>
          <w:vertAlign w:val="subscript"/>
        </w:rPr>
        <w:t>4</w:t>
      </w:r>
      <w:r w:rsidR="000A3E73" w:rsidRPr="000A3E73">
        <w:rPr>
          <w:rFonts w:ascii="Times New Roman" w:hAnsi="Times New Roman"/>
          <w:b w:val="0"/>
          <w:iCs/>
          <w:sz w:val="20"/>
        </w:rPr>
        <w:t>, doping.</w:t>
      </w:r>
    </w:p>
    <w:p w14:paraId="1968BCFE" w14:textId="77777777" w:rsidR="00B830D9" w:rsidRPr="003A7441" w:rsidRDefault="000B7738">
      <w:pPr>
        <w:pStyle w:val="Ttulo2"/>
        <w:spacing w:before="0"/>
        <w:rPr>
          <w:rFonts w:ascii="Helvetica" w:hAnsi="Helvetica" w:cs="Helvetica"/>
          <w:sz w:val="24"/>
          <w:szCs w:val="24"/>
        </w:rPr>
      </w:pPr>
      <w:r w:rsidRPr="003A7441">
        <w:rPr>
          <w:rFonts w:ascii="Helvetica" w:hAnsi="Helvetica" w:cs="Helvetica"/>
          <w:sz w:val="24"/>
          <w:szCs w:val="24"/>
        </w:rPr>
        <w:t>Introdução</w:t>
      </w:r>
      <w:r w:rsidRPr="003A7441">
        <w:rPr>
          <w:rFonts w:ascii="Times New Roman" w:hAnsi="Times New Roman"/>
        </w:rPr>
        <w:t xml:space="preserve"> </w:t>
      </w:r>
    </w:p>
    <w:p w14:paraId="62272ACC" w14:textId="77777777" w:rsidR="004D7B23" w:rsidRDefault="004D7B23" w:rsidP="004D7B23">
      <w:pPr>
        <w:pStyle w:val="TAMainText"/>
        <w:rPr>
          <w:rFonts w:ascii="Times New Roman" w:hAnsi="Times New Roman"/>
          <w:lang w:val="pt-BR"/>
        </w:rPr>
      </w:pPr>
      <w:r w:rsidRPr="004D7B23">
        <w:rPr>
          <w:rFonts w:ascii="Times New Roman" w:hAnsi="Times New Roman"/>
          <w:lang w:val="pt-BR"/>
        </w:rPr>
        <w:t>Nos processos de fabricação e tingimento de papel, plásticos, tintas, borrachas, etc., um dos principais resíduos aquosos obtidos são corantes. Devido à baixa fixação e alta solubilidade em água, estima-se que cerca de 20% dos corantes utilizados sejam descartados, gerando uma grande quantidade de resíduos contaminados. Esses corantes comumente possuem anéis aromáticos e grupos azo em sua composição, o que pode trazer sérios problemas para a saúde humana, como mutagenicidade e carcinogenicidade. Nesse cenário, a fotocatálise se torna uma abordagem promissora para o tratamento de águas contaminadas.</w:t>
      </w:r>
      <w:r w:rsidR="008C2A25">
        <w:rPr>
          <w:rFonts w:ascii="Times New Roman" w:hAnsi="Times New Roman"/>
          <w:lang w:val="pt-BR"/>
        </w:rPr>
        <w:t>[1]</w:t>
      </w:r>
    </w:p>
    <w:p w14:paraId="13A1BBBD" w14:textId="77777777" w:rsidR="004D7B23" w:rsidRPr="004D7B23" w:rsidRDefault="004D7B23" w:rsidP="004D7B23">
      <w:pPr>
        <w:pStyle w:val="TAMainText"/>
        <w:rPr>
          <w:rFonts w:ascii="Times New Roman" w:hAnsi="Times New Roman"/>
          <w:lang w:val="pt-BR"/>
        </w:rPr>
      </w:pPr>
      <w:r w:rsidRPr="004D7B23">
        <w:rPr>
          <w:rFonts w:ascii="Times New Roman" w:hAnsi="Times New Roman"/>
          <w:lang w:val="pt-BR"/>
        </w:rPr>
        <w:t xml:space="preserve">A fotocatálise heterogênea mediada por semicondutores é utilizada para a fotodegradação de diversos resíduos orgânicos, como corantes, medicamentos, pesticidas, hormônios, esgotos, etc. Nesse processo, várias etapas são essenciais para que o processo seja eficaz: adsorção das moléculas alvo pelo catalisador, absorção de luz pelo semicondutor com geração concomitante de portadores de </w:t>
      </w:r>
      <w:r w:rsidRPr="004D7B23">
        <w:rPr>
          <w:rFonts w:ascii="Times New Roman" w:hAnsi="Times New Roman"/>
          <w:lang w:val="pt-BR"/>
        </w:rPr>
        <w:t>carga e formação de espécies que realizam as reações de oxidação e redução, como radicais hidroxila (</w:t>
      </w:r>
      <w:r w:rsidRPr="004D7B23">
        <w:rPr>
          <w:rFonts w:ascii="Cambria Math" w:hAnsi="Cambria Math" w:cs="Cambria Math"/>
          <w:lang w:val="pt-BR"/>
        </w:rPr>
        <w:t>⦁</w:t>
      </w:r>
      <w:r w:rsidRPr="004D7B23">
        <w:rPr>
          <w:rFonts w:ascii="Times New Roman" w:hAnsi="Times New Roman"/>
          <w:lang w:val="pt-BR"/>
        </w:rPr>
        <w:t>OH), hidroperóxilo (</w:t>
      </w:r>
      <w:r w:rsidRPr="004D7B23">
        <w:rPr>
          <w:rFonts w:ascii="Cambria Math" w:hAnsi="Cambria Math" w:cs="Cambria Math"/>
          <w:lang w:val="pt-BR"/>
        </w:rPr>
        <w:t>⦁</w:t>
      </w:r>
      <w:r w:rsidRPr="004D7B23">
        <w:rPr>
          <w:rFonts w:ascii="Times New Roman" w:hAnsi="Times New Roman"/>
          <w:lang w:val="pt-BR"/>
        </w:rPr>
        <w:t>O</w:t>
      </w:r>
      <w:r w:rsidRPr="004D7B23">
        <w:rPr>
          <w:rFonts w:ascii="Times New Roman" w:hAnsi="Times New Roman"/>
          <w:vertAlign w:val="subscript"/>
          <w:lang w:val="pt-BR"/>
        </w:rPr>
        <w:t>2</w:t>
      </w:r>
      <w:r w:rsidRPr="004D7B23">
        <w:rPr>
          <w:rFonts w:ascii="Times New Roman" w:hAnsi="Times New Roman"/>
          <w:lang w:val="pt-BR"/>
        </w:rPr>
        <w:t>H) e superóxido (</w:t>
      </w:r>
      <w:r w:rsidRPr="004D7B23">
        <w:rPr>
          <w:rFonts w:ascii="Cambria Math" w:hAnsi="Cambria Math" w:cs="Cambria Math"/>
          <w:lang w:val="pt-BR"/>
        </w:rPr>
        <w:t>⦁</w:t>
      </w:r>
      <w:r w:rsidRPr="004D7B23">
        <w:rPr>
          <w:rFonts w:ascii="Times New Roman" w:hAnsi="Times New Roman"/>
          <w:lang w:val="pt-BR"/>
        </w:rPr>
        <w:t>O</w:t>
      </w:r>
      <w:r w:rsidRPr="004D7B23">
        <w:rPr>
          <w:rFonts w:ascii="Times New Roman" w:hAnsi="Times New Roman"/>
          <w:vertAlign w:val="superscript"/>
          <w:lang w:val="pt-BR"/>
        </w:rPr>
        <w:t>2-</w:t>
      </w:r>
      <w:r w:rsidRPr="004D7B23">
        <w:rPr>
          <w:rFonts w:ascii="Times New Roman" w:hAnsi="Times New Roman"/>
          <w:lang w:val="pt-BR"/>
        </w:rPr>
        <w:t>).</w:t>
      </w:r>
      <w:r w:rsidR="008C2A25">
        <w:rPr>
          <w:rFonts w:ascii="Times New Roman" w:hAnsi="Times New Roman"/>
          <w:lang w:val="pt-BR"/>
        </w:rPr>
        <w:t>[2]</w:t>
      </w:r>
    </w:p>
    <w:p w14:paraId="3EABFD27" w14:textId="77777777" w:rsidR="004D7B23" w:rsidRDefault="004D7B23" w:rsidP="004D7B23">
      <w:pPr>
        <w:pStyle w:val="TAMainText"/>
        <w:rPr>
          <w:rFonts w:ascii="Times New Roman" w:hAnsi="Times New Roman"/>
          <w:lang w:val="pt-BR"/>
        </w:rPr>
      </w:pPr>
      <w:r w:rsidRPr="004D7B23">
        <w:rPr>
          <w:rFonts w:ascii="Times New Roman" w:hAnsi="Times New Roman"/>
          <w:lang w:val="pt-BR"/>
        </w:rPr>
        <w:t>Entre os materiais semicondutores comumente utilizados, o TiO</w:t>
      </w:r>
      <w:r w:rsidRPr="004D7B23">
        <w:rPr>
          <w:rFonts w:ascii="Times New Roman" w:hAnsi="Times New Roman"/>
          <w:vertAlign w:val="subscript"/>
          <w:lang w:val="pt-BR"/>
        </w:rPr>
        <w:t>2</w:t>
      </w:r>
      <w:r w:rsidRPr="004D7B23">
        <w:rPr>
          <w:rFonts w:ascii="Times New Roman" w:hAnsi="Times New Roman"/>
          <w:lang w:val="pt-BR"/>
        </w:rPr>
        <w:t xml:space="preserve"> e o ZnO se destacam. No entanto, apesar de serem os mais utilizados, eles possuem várias limitações, sendo a principal a baixa absorção de luz visível, o que acaba impedindo seu uso industrial em larga escala. Nesse sentido, o fosfato de prata (Ag</w:t>
      </w:r>
      <w:r w:rsidRPr="004D7B23">
        <w:rPr>
          <w:rFonts w:ascii="Times New Roman" w:hAnsi="Times New Roman"/>
          <w:vertAlign w:val="subscript"/>
          <w:lang w:val="pt-BR"/>
        </w:rPr>
        <w:t>3</w:t>
      </w:r>
      <w:r w:rsidRPr="004D7B23">
        <w:rPr>
          <w:rFonts w:ascii="Times New Roman" w:hAnsi="Times New Roman"/>
          <w:lang w:val="pt-BR"/>
        </w:rPr>
        <w:t>PO</w:t>
      </w:r>
      <w:r w:rsidRPr="004D7B23">
        <w:rPr>
          <w:rFonts w:ascii="Times New Roman" w:hAnsi="Times New Roman"/>
          <w:vertAlign w:val="subscript"/>
          <w:lang w:val="pt-BR"/>
        </w:rPr>
        <w:t>4</w:t>
      </w:r>
      <w:r w:rsidRPr="004D7B23">
        <w:rPr>
          <w:rFonts w:ascii="Times New Roman" w:hAnsi="Times New Roman"/>
          <w:lang w:val="pt-BR"/>
        </w:rPr>
        <w:t>) tem ganhado destaque como fotocatalisador devido à sua alta absorção de luz visível, baixa toxicidade e posição altamente positiva de sua banda de valência (VB). No entanto, o desafio de usar Ag</w:t>
      </w:r>
      <w:r w:rsidRPr="004D7B23">
        <w:rPr>
          <w:rFonts w:ascii="Times New Roman" w:hAnsi="Times New Roman"/>
          <w:vertAlign w:val="subscript"/>
          <w:lang w:val="pt-BR"/>
        </w:rPr>
        <w:t>3</w:t>
      </w:r>
      <w:r w:rsidRPr="004D7B23">
        <w:rPr>
          <w:rFonts w:ascii="Times New Roman" w:hAnsi="Times New Roman"/>
          <w:lang w:val="pt-BR"/>
        </w:rPr>
        <w:t>PO</w:t>
      </w:r>
      <w:r w:rsidRPr="004D7B23">
        <w:rPr>
          <w:rFonts w:ascii="Times New Roman" w:hAnsi="Times New Roman"/>
          <w:vertAlign w:val="subscript"/>
          <w:lang w:val="pt-BR"/>
        </w:rPr>
        <w:t>4</w:t>
      </w:r>
      <w:r w:rsidRPr="004D7B23">
        <w:rPr>
          <w:rFonts w:ascii="Times New Roman" w:hAnsi="Times New Roman"/>
          <w:lang w:val="pt-BR"/>
        </w:rPr>
        <w:t xml:space="preserve"> é a sua alta tendência à fotocorrosão (Ag</w:t>
      </w:r>
      <w:r w:rsidRPr="004D7B23">
        <w:rPr>
          <w:rFonts w:ascii="Times New Roman" w:hAnsi="Times New Roman"/>
          <w:vertAlign w:val="superscript"/>
          <w:lang w:val="pt-BR"/>
        </w:rPr>
        <w:t>+</w:t>
      </w:r>
      <w:r w:rsidRPr="004D7B23">
        <w:rPr>
          <w:rFonts w:ascii="Times New Roman" w:hAnsi="Times New Roman"/>
          <w:lang w:val="pt-BR"/>
        </w:rPr>
        <w:t xml:space="preserve"> para Ag</w:t>
      </w:r>
      <w:r w:rsidRPr="004D7B23">
        <w:rPr>
          <w:rFonts w:ascii="Times New Roman" w:hAnsi="Times New Roman"/>
          <w:vertAlign w:val="superscript"/>
          <w:lang w:val="pt-BR"/>
        </w:rPr>
        <w:t>0</w:t>
      </w:r>
      <w:r w:rsidRPr="004D7B23">
        <w:rPr>
          <w:rFonts w:ascii="Times New Roman" w:hAnsi="Times New Roman"/>
          <w:lang w:val="pt-BR"/>
        </w:rPr>
        <w:t>), o que prejudica seus processos de fotogeração de portadores de carga devido à degradação que ocorre durante o processo de fotocatálise.</w:t>
      </w:r>
      <w:r w:rsidR="008C2A25">
        <w:rPr>
          <w:rFonts w:ascii="Times New Roman" w:hAnsi="Times New Roman"/>
          <w:lang w:val="pt-BR"/>
        </w:rPr>
        <w:t>[3]</w:t>
      </w:r>
      <w:r w:rsidRPr="004D7B23">
        <w:rPr>
          <w:rFonts w:ascii="Times New Roman" w:hAnsi="Times New Roman"/>
          <w:lang w:val="pt-BR"/>
        </w:rPr>
        <w:t xml:space="preserve"> Por isso, vários estudos têm sido direcionados para reduzir os processos fotocorrosivos do Ag</w:t>
      </w:r>
      <w:r w:rsidRPr="004D7B23">
        <w:rPr>
          <w:rFonts w:ascii="Times New Roman" w:hAnsi="Times New Roman"/>
          <w:vertAlign w:val="subscript"/>
          <w:lang w:val="pt-BR"/>
        </w:rPr>
        <w:t>3</w:t>
      </w:r>
      <w:r w:rsidRPr="004D7B23">
        <w:rPr>
          <w:rFonts w:ascii="Times New Roman" w:hAnsi="Times New Roman"/>
          <w:lang w:val="pt-BR"/>
        </w:rPr>
        <w:t>PO</w:t>
      </w:r>
      <w:r w:rsidRPr="004D7B23">
        <w:rPr>
          <w:rFonts w:ascii="Times New Roman" w:hAnsi="Times New Roman"/>
          <w:vertAlign w:val="subscript"/>
          <w:lang w:val="pt-BR"/>
        </w:rPr>
        <w:t>4</w:t>
      </w:r>
      <w:r w:rsidRPr="004D7B23">
        <w:rPr>
          <w:rFonts w:ascii="Times New Roman" w:hAnsi="Times New Roman"/>
          <w:lang w:val="pt-BR"/>
        </w:rPr>
        <w:t>, destacando a formação de compósitos com carbono, rejuvenescimento, obtenção de heterojunções e dopagem.</w:t>
      </w:r>
      <w:r w:rsidR="008C2A25">
        <w:rPr>
          <w:rFonts w:ascii="Times New Roman" w:hAnsi="Times New Roman"/>
          <w:lang w:val="pt-BR"/>
        </w:rPr>
        <w:t>[4]</w:t>
      </w:r>
    </w:p>
    <w:p w14:paraId="671BA38C" w14:textId="77777777" w:rsidR="004D7B23" w:rsidRDefault="004D7B23" w:rsidP="004D7B23">
      <w:pPr>
        <w:pStyle w:val="TAMainText"/>
        <w:rPr>
          <w:rFonts w:ascii="Times New Roman" w:hAnsi="Times New Roman"/>
          <w:lang w:val="pt-BR"/>
        </w:rPr>
      </w:pPr>
      <w:r w:rsidRPr="004D7B23">
        <w:rPr>
          <w:rFonts w:ascii="Times New Roman" w:hAnsi="Times New Roman"/>
          <w:lang w:val="pt-BR"/>
        </w:rPr>
        <w:lastRenderedPageBreak/>
        <w:t>A dopagem não apenas protege o semicondutor dos efeitos fotocorrosivos, mas também aumenta a eficiência fotocatalítica, devido aos defeitos gerados que podem promover armadilhas de recombinação de portadores de carga.</w:t>
      </w:r>
      <w:r w:rsidR="008C2A25">
        <w:rPr>
          <w:rFonts w:ascii="Times New Roman" w:hAnsi="Times New Roman"/>
          <w:lang w:val="pt-BR"/>
        </w:rPr>
        <w:t>[5]</w:t>
      </w:r>
      <w:r w:rsidRPr="004D7B23">
        <w:rPr>
          <w:rFonts w:ascii="Times New Roman" w:hAnsi="Times New Roman"/>
          <w:lang w:val="pt-BR"/>
        </w:rPr>
        <w:t xml:space="preserve"> A melhoria do Ag</w:t>
      </w:r>
      <w:r w:rsidRPr="004D7B23">
        <w:rPr>
          <w:rFonts w:ascii="Times New Roman" w:hAnsi="Times New Roman"/>
          <w:vertAlign w:val="subscript"/>
          <w:lang w:val="pt-BR"/>
        </w:rPr>
        <w:t>3</w:t>
      </w:r>
      <w:r w:rsidRPr="004D7B23">
        <w:rPr>
          <w:rFonts w:ascii="Times New Roman" w:hAnsi="Times New Roman"/>
          <w:lang w:val="pt-BR"/>
        </w:rPr>
        <w:t>PO</w:t>
      </w:r>
      <w:r w:rsidRPr="004D7B23">
        <w:rPr>
          <w:rFonts w:ascii="Times New Roman" w:hAnsi="Times New Roman"/>
          <w:vertAlign w:val="subscript"/>
          <w:lang w:val="pt-BR"/>
        </w:rPr>
        <w:t>4</w:t>
      </w:r>
      <w:r w:rsidRPr="004D7B23">
        <w:rPr>
          <w:rFonts w:ascii="Times New Roman" w:hAnsi="Times New Roman"/>
          <w:lang w:val="pt-BR"/>
        </w:rPr>
        <w:t xml:space="preserve"> com dopagem já foi observada com vários não-metais (N, S), semimetais (Si), metais alcalinos (Ba), metais de transição (Cu, Ni, Mn, Mo, W) e lantanídeos (La, Gd, Dy, Er). Em particular, os lantanídeos podem fornecer características únicas devido às suas orbitais f parcialmente preenchidas.</w:t>
      </w:r>
      <w:r w:rsidR="008C2A25">
        <w:rPr>
          <w:rFonts w:ascii="Times New Roman" w:hAnsi="Times New Roman"/>
          <w:lang w:val="pt-BR"/>
        </w:rPr>
        <w:t>[6]</w:t>
      </w:r>
      <w:r w:rsidRPr="004D7B23">
        <w:rPr>
          <w:rFonts w:ascii="Times New Roman" w:hAnsi="Times New Roman"/>
          <w:lang w:val="pt-BR"/>
        </w:rPr>
        <w:t xml:space="preserve"> Em particular, íons Pr</w:t>
      </w:r>
      <w:r w:rsidRPr="004D7B23">
        <w:rPr>
          <w:rFonts w:ascii="Times New Roman" w:hAnsi="Times New Roman"/>
          <w:vertAlign w:val="superscript"/>
          <w:lang w:val="pt-BR"/>
        </w:rPr>
        <w:t>3+</w:t>
      </w:r>
      <w:r w:rsidRPr="004D7B23">
        <w:rPr>
          <w:rFonts w:ascii="Times New Roman" w:hAnsi="Times New Roman"/>
          <w:lang w:val="pt-BR"/>
        </w:rPr>
        <w:t xml:space="preserve"> podem ter características promissoras para a dopagem devido à sua alta eficiência em gerar defeitos locais, como deficiência</w:t>
      </w:r>
      <w:r>
        <w:rPr>
          <w:rFonts w:ascii="Times New Roman" w:hAnsi="Times New Roman"/>
          <w:lang w:val="pt-BR"/>
        </w:rPr>
        <w:t>s</w:t>
      </w:r>
      <w:r w:rsidRPr="004D7B23">
        <w:rPr>
          <w:rFonts w:ascii="Times New Roman" w:hAnsi="Times New Roman"/>
          <w:lang w:val="pt-BR"/>
        </w:rPr>
        <w:t xml:space="preserve"> de oxigênio. Além disso, a dopagem com íons Pr</w:t>
      </w:r>
      <w:r w:rsidRPr="004D7B23">
        <w:rPr>
          <w:rFonts w:ascii="Times New Roman" w:hAnsi="Times New Roman"/>
          <w:vertAlign w:val="superscript"/>
          <w:lang w:val="pt-BR"/>
        </w:rPr>
        <w:t>3+</w:t>
      </w:r>
      <w:r w:rsidRPr="004D7B23">
        <w:rPr>
          <w:rFonts w:ascii="Times New Roman" w:hAnsi="Times New Roman"/>
          <w:lang w:val="pt-BR"/>
        </w:rPr>
        <w:t xml:space="preserve"> pode causar uma redistribuição de carga local, alterando os fenômenos de adsorção da matriz hospedeira, o que se reflete no aumento da eficiência fotocatalítica.</w:t>
      </w:r>
      <w:r w:rsidR="008C2A25">
        <w:rPr>
          <w:rFonts w:ascii="Times New Roman" w:hAnsi="Times New Roman"/>
          <w:lang w:val="pt-BR"/>
        </w:rPr>
        <w:t>[7]</w:t>
      </w:r>
    </w:p>
    <w:p w14:paraId="2A5E1EA8" w14:textId="77777777" w:rsidR="004D7B23" w:rsidRDefault="004D7B23" w:rsidP="004D7B23">
      <w:pPr>
        <w:pStyle w:val="TAMainText"/>
        <w:ind w:firstLine="0"/>
        <w:rPr>
          <w:rFonts w:ascii="Times New Roman" w:hAnsi="Times New Roman"/>
          <w:lang w:val="pt-BR"/>
        </w:rPr>
      </w:pPr>
    </w:p>
    <w:p w14:paraId="77CAE2FA" w14:textId="77777777" w:rsidR="00B830D9" w:rsidRDefault="000B7738">
      <w:pPr>
        <w:pStyle w:val="Ttulo2"/>
        <w:rPr>
          <w:rFonts w:ascii="Helvetica" w:hAnsi="Helvetica" w:cs="Helvetica"/>
          <w:sz w:val="24"/>
          <w:szCs w:val="24"/>
        </w:rPr>
      </w:pPr>
      <w:r>
        <w:rPr>
          <w:rFonts w:ascii="Helvetica" w:hAnsi="Helvetica" w:cs="Helvetica"/>
          <w:sz w:val="24"/>
          <w:szCs w:val="24"/>
        </w:rPr>
        <w:t>Experimental</w:t>
      </w:r>
    </w:p>
    <w:p w14:paraId="3D7289C1" w14:textId="2F420AF8" w:rsidR="00B830D9" w:rsidRDefault="000B7738" w:rsidP="003F3C2C">
      <w:pPr>
        <w:pStyle w:val="TAMainText"/>
        <w:rPr>
          <w:rFonts w:ascii="Times New Roman" w:hAnsi="Times New Roman"/>
          <w:lang w:val="pt-BR"/>
        </w:rPr>
      </w:pPr>
      <w:r w:rsidRPr="003F3C2C">
        <w:rPr>
          <w:rFonts w:ascii="Times New Roman" w:hAnsi="Times New Roman"/>
          <w:i/>
          <w:lang w:val="pt-BR"/>
        </w:rPr>
        <w:t>Síntese</w:t>
      </w:r>
      <w:r w:rsidR="003F3C2C" w:rsidRPr="003F3C2C">
        <w:rPr>
          <w:rFonts w:ascii="Times New Roman" w:hAnsi="Times New Roman"/>
          <w:i/>
          <w:lang w:val="pt-BR"/>
        </w:rPr>
        <w:t>:</w:t>
      </w:r>
      <w:r w:rsidR="003F3C2C">
        <w:rPr>
          <w:rFonts w:ascii="Times New Roman" w:hAnsi="Times New Roman"/>
          <w:iCs/>
          <w:lang w:val="pt-BR"/>
        </w:rPr>
        <w:t xml:space="preserve"> </w:t>
      </w:r>
      <w:r w:rsidR="004D7B23" w:rsidRPr="004D7B23">
        <w:rPr>
          <w:rFonts w:ascii="Times New Roman" w:hAnsi="Times New Roman"/>
          <w:iCs/>
          <w:lang w:val="pt-BR"/>
        </w:rPr>
        <w:t>O Fosfato de Prata (Ag</w:t>
      </w:r>
      <w:r w:rsidR="004D7B23" w:rsidRPr="004D7B23">
        <w:rPr>
          <w:rFonts w:ascii="Times New Roman" w:hAnsi="Times New Roman"/>
          <w:iCs/>
          <w:vertAlign w:val="subscript"/>
          <w:lang w:val="pt-BR"/>
        </w:rPr>
        <w:t>3</w:t>
      </w:r>
      <w:r w:rsidR="004D7B23" w:rsidRPr="004D7B23">
        <w:rPr>
          <w:rFonts w:ascii="Times New Roman" w:hAnsi="Times New Roman"/>
          <w:iCs/>
          <w:lang w:val="pt-BR"/>
        </w:rPr>
        <w:t>PO</w:t>
      </w:r>
      <w:r w:rsidR="004D7B23" w:rsidRPr="004D7B23">
        <w:rPr>
          <w:rFonts w:ascii="Times New Roman" w:hAnsi="Times New Roman"/>
          <w:iCs/>
          <w:vertAlign w:val="subscript"/>
          <w:lang w:val="pt-BR"/>
        </w:rPr>
        <w:t>4</w:t>
      </w:r>
      <w:r w:rsidR="004D7B23" w:rsidRPr="004D7B23">
        <w:rPr>
          <w:rFonts w:ascii="Times New Roman" w:hAnsi="Times New Roman"/>
          <w:iCs/>
          <w:lang w:val="pt-BR"/>
        </w:rPr>
        <w:t>) foi sintetizado pelo método de coprecipitação em meio aquoso à temperatura ambiente. Duas soluções foram preparadas, adicionando 1x10</w:t>
      </w:r>
      <w:r w:rsidR="004D7B23" w:rsidRPr="004D7B23">
        <w:rPr>
          <w:rFonts w:ascii="Times New Roman" w:hAnsi="Times New Roman"/>
          <w:iCs/>
          <w:vertAlign w:val="superscript"/>
          <w:lang w:val="pt-BR"/>
        </w:rPr>
        <w:t>-3</w:t>
      </w:r>
      <w:r w:rsidR="004D7B23" w:rsidRPr="004D7B23">
        <w:rPr>
          <w:rFonts w:ascii="Times New Roman" w:hAnsi="Times New Roman"/>
          <w:iCs/>
          <w:lang w:val="pt-BR"/>
        </w:rPr>
        <w:t xml:space="preserve"> mol de (NH</w:t>
      </w:r>
      <w:r w:rsidR="004D7B23" w:rsidRPr="004D7B23">
        <w:rPr>
          <w:rFonts w:ascii="Times New Roman" w:hAnsi="Times New Roman"/>
          <w:iCs/>
          <w:vertAlign w:val="subscript"/>
          <w:lang w:val="pt-BR"/>
        </w:rPr>
        <w:t>4</w:t>
      </w:r>
      <w:r w:rsidR="004D7B23" w:rsidRPr="004D7B23">
        <w:rPr>
          <w:rFonts w:ascii="Times New Roman" w:hAnsi="Times New Roman"/>
          <w:iCs/>
          <w:lang w:val="pt-BR"/>
        </w:rPr>
        <w:t>)</w:t>
      </w:r>
      <w:r w:rsidR="004D7B23" w:rsidRPr="004D7B23">
        <w:rPr>
          <w:rFonts w:ascii="Times New Roman" w:hAnsi="Times New Roman"/>
          <w:iCs/>
          <w:vertAlign w:val="subscript"/>
          <w:lang w:val="pt-BR"/>
        </w:rPr>
        <w:t>2</w:t>
      </w:r>
      <w:r w:rsidR="004D7B23" w:rsidRPr="004D7B23">
        <w:rPr>
          <w:rFonts w:ascii="Times New Roman" w:hAnsi="Times New Roman"/>
          <w:iCs/>
          <w:lang w:val="pt-BR"/>
        </w:rPr>
        <w:t>HPO</w:t>
      </w:r>
      <w:r w:rsidR="004D7B23" w:rsidRPr="004D7B23">
        <w:rPr>
          <w:rFonts w:ascii="Times New Roman" w:hAnsi="Times New Roman"/>
          <w:iCs/>
          <w:vertAlign w:val="subscript"/>
          <w:lang w:val="pt-BR"/>
        </w:rPr>
        <w:t>4</w:t>
      </w:r>
      <w:r w:rsidR="004D7B23" w:rsidRPr="004D7B23">
        <w:rPr>
          <w:rFonts w:ascii="Times New Roman" w:hAnsi="Times New Roman"/>
          <w:iCs/>
          <w:lang w:val="pt-BR"/>
        </w:rPr>
        <w:t xml:space="preserve"> (Alfa-Aesar, 99,9%) a 50,0 ml de água destilada e 3x10</w:t>
      </w:r>
      <w:r w:rsidR="004D7B23" w:rsidRPr="004D7B23">
        <w:rPr>
          <w:rFonts w:ascii="Times New Roman" w:hAnsi="Times New Roman"/>
          <w:iCs/>
          <w:vertAlign w:val="superscript"/>
          <w:lang w:val="pt-BR"/>
        </w:rPr>
        <w:t>-3</w:t>
      </w:r>
      <w:r w:rsidR="004D7B23" w:rsidRPr="004D7B23">
        <w:rPr>
          <w:rFonts w:ascii="Times New Roman" w:hAnsi="Times New Roman"/>
          <w:iCs/>
          <w:lang w:val="pt-BR"/>
        </w:rPr>
        <w:t xml:space="preserve"> mol de AgNO</w:t>
      </w:r>
      <w:r w:rsidR="004D7B23" w:rsidRPr="004D7B23">
        <w:rPr>
          <w:rFonts w:ascii="Times New Roman" w:hAnsi="Times New Roman"/>
          <w:iCs/>
          <w:vertAlign w:val="subscript"/>
          <w:lang w:val="pt-BR"/>
        </w:rPr>
        <w:t>3</w:t>
      </w:r>
      <w:r w:rsidR="004D7B23" w:rsidRPr="004D7B23">
        <w:rPr>
          <w:rFonts w:ascii="Times New Roman" w:hAnsi="Times New Roman"/>
          <w:iCs/>
          <w:lang w:val="pt-BR"/>
        </w:rPr>
        <w:t xml:space="preserve"> (Cenabras, 99,8%) a 50,0 ml de água destilada. Com agitação constante, a solução de AgNO</w:t>
      </w:r>
      <w:r w:rsidR="004D7B23" w:rsidRPr="004D7B23">
        <w:rPr>
          <w:rFonts w:ascii="Times New Roman" w:hAnsi="Times New Roman"/>
          <w:iCs/>
          <w:vertAlign w:val="subscript"/>
          <w:lang w:val="pt-BR"/>
        </w:rPr>
        <w:t>3</w:t>
      </w:r>
      <w:r w:rsidR="004D7B23" w:rsidRPr="004D7B23">
        <w:rPr>
          <w:rFonts w:ascii="Times New Roman" w:hAnsi="Times New Roman"/>
          <w:iCs/>
          <w:lang w:val="pt-BR"/>
        </w:rPr>
        <w:t xml:space="preserve"> foi adicionada à solução de (NH</w:t>
      </w:r>
      <w:r w:rsidR="004D7B23" w:rsidRPr="004D7B23">
        <w:rPr>
          <w:rFonts w:ascii="Times New Roman" w:hAnsi="Times New Roman"/>
          <w:iCs/>
          <w:vertAlign w:val="subscript"/>
          <w:lang w:val="pt-BR"/>
        </w:rPr>
        <w:t>4</w:t>
      </w:r>
      <w:r w:rsidR="004D7B23" w:rsidRPr="004D7B23">
        <w:rPr>
          <w:rFonts w:ascii="Times New Roman" w:hAnsi="Times New Roman"/>
          <w:iCs/>
          <w:lang w:val="pt-BR"/>
        </w:rPr>
        <w:t>)</w:t>
      </w:r>
      <w:r w:rsidR="004D7B23" w:rsidRPr="004D7B23">
        <w:rPr>
          <w:rFonts w:ascii="Times New Roman" w:hAnsi="Times New Roman"/>
          <w:iCs/>
          <w:vertAlign w:val="subscript"/>
          <w:lang w:val="pt-BR"/>
        </w:rPr>
        <w:t>2</w:t>
      </w:r>
      <w:r w:rsidR="004D7B23" w:rsidRPr="004D7B23">
        <w:rPr>
          <w:rFonts w:ascii="Times New Roman" w:hAnsi="Times New Roman"/>
          <w:iCs/>
          <w:lang w:val="pt-BR"/>
        </w:rPr>
        <w:t>HPO</w:t>
      </w:r>
      <w:r w:rsidR="004D7B23" w:rsidRPr="004D7B23">
        <w:rPr>
          <w:rFonts w:ascii="Times New Roman" w:hAnsi="Times New Roman"/>
          <w:iCs/>
          <w:vertAlign w:val="subscript"/>
          <w:lang w:val="pt-BR"/>
        </w:rPr>
        <w:t>4</w:t>
      </w:r>
      <w:r w:rsidR="004D7B23" w:rsidRPr="004D7B23">
        <w:rPr>
          <w:rFonts w:ascii="Times New Roman" w:hAnsi="Times New Roman"/>
          <w:iCs/>
          <w:lang w:val="pt-BR"/>
        </w:rPr>
        <w:t xml:space="preserve">, resultando na formação de um precipitado amarelo. O precipitado obtido foi lavado várias vezes com água destilada e seco em um forno a 60 °C por 12 horas. A substituição por </w:t>
      </w:r>
      <w:r w:rsidR="004E6BBD">
        <w:rPr>
          <w:rFonts w:ascii="Times New Roman" w:hAnsi="Times New Roman"/>
          <w:iCs/>
          <w:lang w:val="pt-BR"/>
        </w:rPr>
        <w:t>Pr</w:t>
      </w:r>
      <w:r w:rsidR="004D7B23" w:rsidRPr="004D7B23">
        <w:rPr>
          <w:rFonts w:ascii="Times New Roman" w:hAnsi="Times New Roman"/>
          <w:iCs/>
          <w:vertAlign w:val="superscript"/>
          <w:lang w:val="pt-BR"/>
        </w:rPr>
        <w:t>3+</w:t>
      </w:r>
      <w:r w:rsidR="004D7B23" w:rsidRPr="004D7B23">
        <w:rPr>
          <w:rFonts w:ascii="Times New Roman" w:hAnsi="Times New Roman"/>
          <w:iCs/>
          <w:lang w:val="pt-BR"/>
        </w:rPr>
        <w:t xml:space="preserve"> foi realizada nas proporções de 0,25%, 0,50%, 1,00%, 2,00% e 4,00% (mol). Dessa forma, quantidades equivalentes de Ag</w:t>
      </w:r>
      <w:r w:rsidR="004D7B23" w:rsidRPr="004D7B23">
        <w:rPr>
          <w:rFonts w:ascii="Times New Roman" w:hAnsi="Times New Roman"/>
          <w:iCs/>
          <w:vertAlign w:val="superscript"/>
          <w:lang w:val="pt-BR"/>
        </w:rPr>
        <w:t>+</w:t>
      </w:r>
      <w:r w:rsidR="004D7B23" w:rsidRPr="004D7B23">
        <w:rPr>
          <w:rFonts w:ascii="Times New Roman" w:hAnsi="Times New Roman"/>
          <w:iCs/>
          <w:lang w:val="pt-BR"/>
        </w:rPr>
        <w:t xml:space="preserve"> foram removidas e adicionadas de Pr</w:t>
      </w:r>
      <w:r w:rsidR="004D7B23" w:rsidRPr="004D7B23">
        <w:rPr>
          <w:rFonts w:ascii="Times New Roman" w:hAnsi="Times New Roman"/>
          <w:iCs/>
          <w:vertAlign w:val="superscript"/>
          <w:lang w:val="pt-BR"/>
        </w:rPr>
        <w:t>3+</w:t>
      </w:r>
      <w:r w:rsidR="004D7B23" w:rsidRPr="004D7B23">
        <w:rPr>
          <w:rFonts w:ascii="Times New Roman" w:hAnsi="Times New Roman"/>
          <w:iCs/>
          <w:lang w:val="pt-BR"/>
        </w:rPr>
        <w:t xml:space="preserve"> (3Ag</w:t>
      </w:r>
      <w:r w:rsidR="004D7B23" w:rsidRPr="004D7B23">
        <w:rPr>
          <w:rFonts w:ascii="Times New Roman" w:hAnsi="Times New Roman"/>
          <w:iCs/>
          <w:vertAlign w:val="superscript"/>
          <w:lang w:val="pt-BR"/>
        </w:rPr>
        <w:t>+</w:t>
      </w:r>
      <w:r w:rsidR="004D7B23" w:rsidRPr="004D7B23">
        <w:rPr>
          <w:rFonts w:ascii="Times New Roman" w:hAnsi="Times New Roman"/>
          <w:iCs/>
          <w:lang w:val="pt-BR"/>
        </w:rPr>
        <w:t>/1Pr</w:t>
      </w:r>
      <w:r w:rsidR="004D7B23" w:rsidRPr="004D7B23">
        <w:rPr>
          <w:rFonts w:ascii="Times New Roman" w:hAnsi="Times New Roman"/>
          <w:iCs/>
          <w:vertAlign w:val="superscript"/>
          <w:lang w:val="pt-BR"/>
        </w:rPr>
        <w:t>3+</w:t>
      </w:r>
      <w:r w:rsidR="004D7B23" w:rsidRPr="004D7B23">
        <w:rPr>
          <w:rFonts w:ascii="Times New Roman" w:hAnsi="Times New Roman"/>
          <w:iCs/>
          <w:lang w:val="pt-BR"/>
        </w:rPr>
        <w:t>). Para isso, foi preparada uma solução de Pr(NO</w:t>
      </w:r>
      <w:r w:rsidR="004D7B23" w:rsidRPr="004D7B23">
        <w:rPr>
          <w:rFonts w:ascii="Times New Roman" w:hAnsi="Times New Roman"/>
          <w:iCs/>
          <w:vertAlign w:val="subscript"/>
          <w:lang w:val="pt-BR"/>
        </w:rPr>
        <w:t>3</w:t>
      </w:r>
      <w:r w:rsidR="004D7B23" w:rsidRPr="004D7B23">
        <w:rPr>
          <w:rFonts w:ascii="Times New Roman" w:hAnsi="Times New Roman"/>
          <w:iCs/>
          <w:lang w:val="pt-BR"/>
        </w:rPr>
        <w:t>)</w:t>
      </w:r>
      <w:r w:rsidR="004D7B23" w:rsidRPr="004D7B23">
        <w:rPr>
          <w:rFonts w:ascii="Times New Roman" w:hAnsi="Times New Roman"/>
          <w:iCs/>
          <w:vertAlign w:val="subscript"/>
          <w:lang w:val="pt-BR"/>
        </w:rPr>
        <w:t>3</w:t>
      </w:r>
      <w:r w:rsidR="004D7B23" w:rsidRPr="004D7B23">
        <w:rPr>
          <w:rFonts w:ascii="Times New Roman" w:hAnsi="Times New Roman"/>
          <w:iCs/>
          <w:lang w:val="pt-BR"/>
        </w:rPr>
        <w:t>.6H</w:t>
      </w:r>
      <w:r w:rsidR="004D7B23" w:rsidRPr="004D7B23">
        <w:rPr>
          <w:rFonts w:ascii="Times New Roman" w:hAnsi="Times New Roman"/>
          <w:iCs/>
          <w:vertAlign w:val="subscript"/>
          <w:lang w:val="pt-BR"/>
        </w:rPr>
        <w:t>2</w:t>
      </w:r>
      <w:r w:rsidR="004D7B23" w:rsidRPr="004D7B23">
        <w:rPr>
          <w:rFonts w:ascii="Times New Roman" w:hAnsi="Times New Roman"/>
          <w:iCs/>
          <w:lang w:val="pt-BR"/>
        </w:rPr>
        <w:t>O (99,99%, Aldrich, 1x10</w:t>
      </w:r>
      <w:r w:rsidR="004D7B23" w:rsidRPr="004D7B23">
        <w:rPr>
          <w:rFonts w:ascii="Times New Roman" w:hAnsi="Times New Roman"/>
          <w:iCs/>
          <w:vertAlign w:val="superscript"/>
          <w:lang w:val="pt-BR"/>
        </w:rPr>
        <w:t>-3</w:t>
      </w:r>
      <w:r w:rsidR="004D7B23" w:rsidRPr="004D7B23">
        <w:rPr>
          <w:rFonts w:ascii="Times New Roman" w:hAnsi="Times New Roman"/>
          <w:iCs/>
          <w:lang w:val="pt-BR"/>
        </w:rPr>
        <w:t xml:space="preserve"> M), que foi adicionada em quantidade equivalente para obter as amostras dopadas. Para facilitar o desenvolvimento do texto, as amostras foram nomeadas como APO (Ag</w:t>
      </w:r>
      <w:r w:rsidR="004D7B23" w:rsidRPr="004D7B23">
        <w:rPr>
          <w:rFonts w:ascii="Times New Roman" w:hAnsi="Times New Roman"/>
          <w:iCs/>
          <w:vertAlign w:val="subscript"/>
          <w:lang w:val="pt-BR"/>
        </w:rPr>
        <w:t>3</w:t>
      </w:r>
      <w:r w:rsidR="004D7B23" w:rsidRPr="004D7B23">
        <w:rPr>
          <w:rFonts w:ascii="Times New Roman" w:hAnsi="Times New Roman"/>
          <w:iCs/>
          <w:lang w:val="pt-BR"/>
        </w:rPr>
        <w:t>PO</w:t>
      </w:r>
      <w:r w:rsidR="004D7B23" w:rsidRPr="004D7B23">
        <w:rPr>
          <w:rFonts w:ascii="Times New Roman" w:hAnsi="Times New Roman"/>
          <w:iCs/>
          <w:vertAlign w:val="subscript"/>
          <w:lang w:val="pt-BR"/>
        </w:rPr>
        <w:t>4</w:t>
      </w:r>
      <w:r w:rsidR="004D7B23" w:rsidRPr="004D7B23">
        <w:rPr>
          <w:rFonts w:ascii="Times New Roman" w:hAnsi="Times New Roman"/>
          <w:iCs/>
          <w:lang w:val="pt-BR"/>
        </w:rPr>
        <w:t xml:space="preserve"> puro), APO025 (Ag</w:t>
      </w:r>
      <w:r w:rsidR="004D7B23" w:rsidRPr="004D7B23">
        <w:rPr>
          <w:rFonts w:ascii="Times New Roman" w:hAnsi="Times New Roman"/>
          <w:iCs/>
          <w:vertAlign w:val="subscript"/>
          <w:lang w:val="pt-BR"/>
        </w:rPr>
        <w:t>3</w:t>
      </w:r>
      <w:r w:rsidR="004D7B23" w:rsidRPr="004D7B23">
        <w:rPr>
          <w:rFonts w:ascii="Times New Roman" w:hAnsi="Times New Roman"/>
          <w:iCs/>
          <w:lang w:val="pt-BR"/>
        </w:rPr>
        <w:t>PO</w:t>
      </w:r>
      <w:r w:rsidR="004D7B23" w:rsidRPr="004D7B23">
        <w:rPr>
          <w:rFonts w:ascii="Times New Roman" w:hAnsi="Times New Roman"/>
          <w:iCs/>
          <w:vertAlign w:val="subscript"/>
          <w:lang w:val="pt-BR"/>
        </w:rPr>
        <w:t>4</w:t>
      </w:r>
      <w:r w:rsidR="004D7B23" w:rsidRPr="004D7B23">
        <w:rPr>
          <w:rFonts w:ascii="Times New Roman" w:hAnsi="Times New Roman"/>
          <w:iCs/>
          <w:lang w:val="pt-BR"/>
        </w:rPr>
        <w:t xml:space="preserve"> dopado com 0,25% de Pr), APO050 (Ag</w:t>
      </w:r>
      <w:r w:rsidR="004D7B23" w:rsidRPr="004D7B23">
        <w:rPr>
          <w:rFonts w:ascii="Times New Roman" w:hAnsi="Times New Roman"/>
          <w:iCs/>
          <w:vertAlign w:val="subscript"/>
          <w:lang w:val="pt-BR"/>
        </w:rPr>
        <w:t>3</w:t>
      </w:r>
      <w:r w:rsidR="004D7B23" w:rsidRPr="004D7B23">
        <w:rPr>
          <w:rFonts w:ascii="Times New Roman" w:hAnsi="Times New Roman"/>
          <w:iCs/>
          <w:lang w:val="pt-BR"/>
        </w:rPr>
        <w:t>PO</w:t>
      </w:r>
      <w:r w:rsidR="004D7B23" w:rsidRPr="004D7B23">
        <w:rPr>
          <w:rFonts w:ascii="Times New Roman" w:hAnsi="Times New Roman"/>
          <w:iCs/>
          <w:vertAlign w:val="subscript"/>
          <w:lang w:val="pt-BR"/>
        </w:rPr>
        <w:t>4</w:t>
      </w:r>
      <w:r w:rsidR="004D7B23" w:rsidRPr="004D7B23">
        <w:rPr>
          <w:rFonts w:ascii="Times New Roman" w:hAnsi="Times New Roman"/>
          <w:iCs/>
          <w:lang w:val="pt-BR"/>
        </w:rPr>
        <w:t xml:space="preserve"> dopado com 0,50% de Pr), APO100 (Ag</w:t>
      </w:r>
      <w:r w:rsidR="004D7B23" w:rsidRPr="004D7B23">
        <w:rPr>
          <w:rFonts w:ascii="Times New Roman" w:hAnsi="Times New Roman"/>
          <w:iCs/>
          <w:vertAlign w:val="subscript"/>
          <w:lang w:val="pt-BR"/>
        </w:rPr>
        <w:t>3</w:t>
      </w:r>
      <w:r w:rsidR="004D7B23" w:rsidRPr="004D7B23">
        <w:rPr>
          <w:rFonts w:ascii="Times New Roman" w:hAnsi="Times New Roman"/>
          <w:iCs/>
          <w:lang w:val="pt-BR"/>
        </w:rPr>
        <w:t>PO</w:t>
      </w:r>
      <w:r w:rsidR="004D7B23" w:rsidRPr="004D7B23">
        <w:rPr>
          <w:rFonts w:ascii="Times New Roman" w:hAnsi="Times New Roman"/>
          <w:iCs/>
          <w:vertAlign w:val="subscript"/>
          <w:lang w:val="pt-BR"/>
        </w:rPr>
        <w:t>4</w:t>
      </w:r>
      <w:r w:rsidR="004D7B23" w:rsidRPr="004D7B23">
        <w:rPr>
          <w:rFonts w:ascii="Times New Roman" w:hAnsi="Times New Roman"/>
          <w:iCs/>
          <w:lang w:val="pt-BR"/>
        </w:rPr>
        <w:t xml:space="preserve"> dopado com 1,00% de Pr), APO200 (Ag</w:t>
      </w:r>
      <w:r w:rsidR="004D7B23" w:rsidRPr="004D7B23">
        <w:rPr>
          <w:rFonts w:ascii="Times New Roman" w:hAnsi="Times New Roman"/>
          <w:iCs/>
          <w:vertAlign w:val="subscript"/>
          <w:lang w:val="pt-BR"/>
        </w:rPr>
        <w:t>3</w:t>
      </w:r>
      <w:r w:rsidR="004D7B23" w:rsidRPr="004D7B23">
        <w:rPr>
          <w:rFonts w:ascii="Times New Roman" w:hAnsi="Times New Roman"/>
          <w:iCs/>
          <w:lang w:val="pt-BR"/>
        </w:rPr>
        <w:t>PO</w:t>
      </w:r>
      <w:r w:rsidR="004D7B23" w:rsidRPr="004D7B23">
        <w:rPr>
          <w:rFonts w:ascii="Times New Roman" w:hAnsi="Times New Roman"/>
          <w:iCs/>
          <w:vertAlign w:val="subscript"/>
          <w:lang w:val="pt-BR"/>
        </w:rPr>
        <w:t>4</w:t>
      </w:r>
      <w:r w:rsidR="004D7B23" w:rsidRPr="004D7B23">
        <w:rPr>
          <w:rFonts w:ascii="Times New Roman" w:hAnsi="Times New Roman"/>
          <w:iCs/>
          <w:lang w:val="pt-BR"/>
        </w:rPr>
        <w:t xml:space="preserve"> dopado com 2,00% de Pr) e APO400 (Ag</w:t>
      </w:r>
      <w:r w:rsidR="004D7B23" w:rsidRPr="004D7B23">
        <w:rPr>
          <w:rFonts w:ascii="Times New Roman" w:hAnsi="Times New Roman"/>
          <w:iCs/>
          <w:vertAlign w:val="subscript"/>
          <w:lang w:val="pt-BR"/>
        </w:rPr>
        <w:t>3</w:t>
      </w:r>
      <w:r w:rsidR="004D7B23" w:rsidRPr="004D7B23">
        <w:rPr>
          <w:rFonts w:ascii="Times New Roman" w:hAnsi="Times New Roman"/>
          <w:iCs/>
          <w:lang w:val="pt-BR"/>
        </w:rPr>
        <w:t>PO</w:t>
      </w:r>
      <w:r w:rsidR="004D7B23" w:rsidRPr="004D7B23">
        <w:rPr>
          <w:rFonts w:ascii="Times New Roman" w:hAnsi="Times New Roman"/>
          <w:iCs/>
          <w:vertAlign w:val="subscript"/>
          <w:lang w:val="pt-BR"/>
        </w:rPr>
        <w:t>4</w:t>
      </w:r>
      <w:r w:rsidR="004D7B23" w:rsidRPr="004D7B23">
        <w:rPr>
          <w:rFonts w:ascii="Times New Roman" w:hAnsi="Times New Roman"/>
          <w:iCs/>
          <w:lang w:val="pt-BR"/>
        </w:rPr>
        <w:t xml:space="preserve"> dopado com 4,00% de Pr).</w:t>
      </w:r>
    </w:p>
    <w:p w14:paraId="6E1B918B" w14:textId="77777777" w:rsidR="003F3C2C" w:rsidRPr="003F3C2C" w:rsidRDefault="003F3C2C" w:rsidP="003F3C2C">
      <w:pPr>
        <w:pStyle w:val="TAMainText"/>
        <w:ind w:firstLine="187"/>
        <w:rPr>
          <w:rFonts w:cs="Arial"/>
          <w:szCs w:val="24"/>
          <w:lang w:val="pt-BR"/>
        </w:rPr>
      </w:pPr>
      <w:r w:rsidRPr="00AD61AA">
        <w:rPr>
          <w:rFonts w:ascii="Times New Roman" w:hAnsi="Times New Roman"/>
          <w:i/>
          <w:iCs/>
          <w:lang w:val="pt-BR"/>
        </w:rPr>
        <w:t>Caracterizações</w:t>
      </w:r>
      <w:r>
        <w:rPr>
          <w:rFonts w:ascii="Times New Roman" w:hAnsi="Times New Roman"/>
          <w:lang w:val="pt-BR"/>
        </w:rPr>
        <w:t>:</w:t>
      </w:r>
      <w:r w:rsidRPr="00AD61AA">
        <w:rPr>
          <w:rFonts w:cs="Arial"/>
          <w:szCs w:val="24"/>
          <w:lang w:val="pt-BR"/>
        </w:rPr>
        <w:t xml:space="preserve"> </w:t>
      </w:r>
      <w:r w:rsidR="004D7B23" w:rsidRPr="004D7B23">
        <w:rPr>
          <w:rFonts w:cs="Arial"/>
          <w:szCs w:val="24"/>
          <w:lang w:val="pt-BR"/>
        </w:rPr>
        <w:t xml:space="preserve">As amostras foram caracterizadas por difração de raios-X (XRD), utilizando um difratômetro D/Max-2500PC (Rigaku) com radiação de Cu Kα (λ = 1,5406 Å). A espectroscopia de micro-Raman foi realizada pelo espectrômetro iHR550 (Horiba Jobin-Yvon) acoplado a um detector de silício CCD e um laser de íons de argônio (Melles Griot, 514,5 nm, 200 mW). A análise de espectroscopia de absorção na região do UV-Visível foi realizada usando um espectrômetro Varian Cary modelo 5G no modo de reflectância difusa. As morfologias e texturas das amostras foram observadas por microscopia eletrônica </w:t>
      </w:r>
      <w:r w:rsidR="004D7B23" w:rsidRPr="004D7B23">
        <w:rPr>
          <w:rFonts w:cs="Arial"/>
          <w:szCs w:val="24"/>
          <w:lang w:val="pt-BR"/>
        </w:rPr>
        <w:t>de varredura por emissão de campo (FE-SEM) operada a 10 kV (Supra 35-VP, Carl Zeiss). A composição química das amostras foi estimada por espectrometria de emissão óptica de plasma acoplado indutivamente (ICP OES) utilizando um ICP OES iCAP 7000 (Thermo Fisher Scientific, EUA).</w:t>
      </w:r>
    </w:p>
    <w:p w14:paraId="32AB78EF" w14:textId="0E70577E" w:rsidR="003F3C2C" w:rsidRDefault="003F3C2C" w:rsidP="003F3C2C">
      <w:pPr>
        <w:pStyle w:val="TAMainText"/>
        <w:rPr>
          <w:rFonts w:cs="Arial"/>
          <w:szCs w:val="24"/>
          <w:lang w:val="pt-BR"/>
        </w:rPr>
      </w:pPr>
      <w:r w:rsidRPr="00852AC9">
        <w:rPr>
          <w:rFonts w:cs="Arial"/>
          <w:i/>
          <w:iCs/>
          <w:szCs w:val="24"/>
          <w:lang w:val="pt-BR"/>
        </w:rPr>
        <w:t>Fotocatalise</w:t>
      </w:r>
      <w:r>
        <w:rPr>
          <w:rFonts w:cs="Arial"/>
          <w:szCs w:val="24"/>
          <w:lang w:val="pt-BR"/>
        </w:rPr>
        <w:t xml:space="preserve">: </w:t>
      </w:r>
      <w:r w:rsidR="004D7B23" w:rsidRPr="004D7B23">
        <w:rPr>
          <w:rFonts w:cs="Arial"/>
          <w:szCs w:val="24"/>
          <w:lang w:val="pt-BR"/>
        </w:rPr>
        <w:t>Os testes de fotodegradação foram realizados com Rodamina B (RhB, Synth, 99,9%) e Azul de Metileno (MB, Synth, 99,9%). 50,0 mg da amostra foram adicionados a cada solução dos corantes (1x10</w:t>
      </w:r>
      <w:r w:rsidR="004D7B23" w:rsidRPr="004D7B23">
        <w:rPr>
          <w:rFonts w:cs="Arial"/>
          <w:szCs w:val="24"/>
          <w:vertAlign w:val="superscript"/>
          <w:lang w:val="pt-BR"/>
        </w:rPr>
        <w:t>-5</w:t>
      </w:r>
      <w:r w:rsidR="004D7B23" w:rsidRPr="004D7B23">
        <w:rPr>
          <w:rFonts w:cs="Arial"/>
          <w:szCs w:val="24"/>
          <w:lang w:val="pt-BR"/>
        </w:rPr>
        <w:t xml:space="preserve"> M, 50,0 mL). Estes foram submetidos à ultrassom para melhor dispersão do meio e, em seguida, levados à escuridão por 10 minutos para atingir o equilíbrio adsorptivo. Após isso, o sistema de lâmpadas visíveis (6x Phillips TLD-15W 75-650, 3,6 mW/cm</w:t>
      </w:r>
      <w:r w:rsidR="004D7B23" w:rsidRPr="004D7B23">
        <w:rPr>
          <w:rFonts w:cs="Arial"/>
          <w:szCs w:val="24"/>
          <w:vertAlign w:val="superscript"/>
          <w:lang w:val="pt-BR"/>
        </w:rPr>
        <w:t>2</w:t>
      </w:r>
      <w:r w:rsidR="004D7B23" w:rsidRPr="004D7B23">
        <w:rPr>
          <w:rFonts w:cs="Arial"/>
          <w:szCs w:val="24"/>
          <w:lang w:val="pt-BR"/>
        </w:rPr>
        <w:t>) foi ligado, e alíquotas foram retiradas em tempos pré-determinados</w:t>
      </w:r>
      <w:r w:rsidR="004E6BBD">
        <w:rPr>
          <w:rFonts w:cs="Arial"/>
          <w:szCs w:val="24"/>
          <w:lang w:val="pt-BR"/>
        </w:rPr>
        <w:t xml:space="preserve"> (0, 1, 2, 3, 4, 6, 8 e 10 min)</w:t>
      </w:r>
      <w:r w:rsidR="004D7B23" w:rsidRPr="004D7B23">
        <w:rPr>
          <w:rFonts w:cs="Arial"/>
          <w:szCs w:val="24"/>
          <w:lang w:val="pt-BR"/>
        </w:rPr>
        <w:t>. As alíquotas foram analisadas por espectrofotometria de absorção na região do UV-Visível. Para os testes de estabilidade fotodegradativa, o mesmo processo foi realizado mais 4 vezes utilizando o mesmo material. Quantidades equimolares de ácido L-ascórbico (AA, Aldrich, 99%), álcool isopropílico (IPA, Aldrich, 99,5%), oxalato de amônio (AO, Aldrich, 99%), nitrato de prata (ANO, Cennabras, 99,8%) e álcool tert-butilíco (TBA, Aldrich, 99,5%) foram adicionadas para os testes de sequestr</w:t>
      </w:r>
      <w:r w:rsidR="004D7B23">
        <w:rPr>
          <w:rFonts w:cs="Arial"/>
          <w:szCs w:val="24"/>
          <w:lang w:val="pt-BR"/>
        </w:rPr>
        <w:t>adores.</w:t>
      </w:r>
    </w:p>
    <w:p w14:paraId="774B30FA" w14:textId="77777777" w:rsidR="004D7B23" w:rsidRPr="003F3C2C" w:rsidRDefault="004D7B23" w:rsidP="003F3C2C">
      <w:pPr>
        <w:pStyle w:val="TAMainText"/>
        <w:rPr>
          <w:rFonts w:ascii="Times New Roman" w:hAnsi="Times New Roman"/>
          <w:i/>
          <w:lang w:val="pt-BR"/>
        </w:rPr>
      </w:pPr>
    </w:p>
    <w:p w14:paraId="1AA2E3F4" w14:textId="77777777" w:rsidR="00B830D9" w:rsidRPr="003A7441" w:rsidRDefault="000B7738">
      <w:pPr>
        <w:pStyle w:val="Ttulo2"/>
        <w:rPr>
          <w:rFonts w:ascii="Helvetica" w:hAnsi="Helvetica" w:cs="Helvetica"/>
          <w:sz w:val="24"/>
          <w:szCs w:val="24"/>
        </w:rPr>
      </w:pPr>
      <w:r w:rsidRPr="003A7441">
        <w:rPr>
          <w:rFonts w:ascii="Helvetica" w:hAnsi="Helvetica" w:cs="Helvetica"/>
          <w:sz w:val="24"/>
          <w:szCs w:val="24"/>
        </w:rPr>
        <w:t>Resultados e Discussão</w:t>
      </w:r>
    </w:p>
    <w:p w14:paraId="760FC84D" w14:textId="77777777" w:rsidR="00B830D9" w:rsidRPr="004D7B23" w:rsidRDefault="00084CD0">
      <w:pPr>
        <w:pStyle w:val="TAMainText"/>
        <w:ind w:firstLine="187"/>
        <w:rPr>
          <w:rFonts w:ascii="Times New Roman" w:hAnsi="Times New Roman"/>
          <w:lang w:val="pt-BR"/>
        </w:rPr>
      </w:pPr>
      <w:r w:rsidRPr="00084CD0">
        <w:rPr>
          <w:rFonts w:ascii="Times New Roman" w:hAnsi="Times New Roman"/>
          <w:lang w:val="pt-BR"/>
        </w:rPr>
        <w:t xml:space="preserve">É extremamente importante compreender as características estruturais e morfológicas de certos materiais, a fim de correlacionar estrutura e propriedade. Nesse sentido, analisar a ordem das amostras em curto, médio e longo alcance torna-se essencial. Nesse caso, para verificar a ordem de longa distância e o grau de ordenamento do </w:t>
      </w:r>
      <w:r w:rsidRPr="004D7B23">
        <w:rPr>
          <w:rFonts w:ascii="Times New Roman" w:hAnsi="Times New Roman"/>
          <w:iCs/>
          <w:lang w:val="pt-BR"/>
        </w:rPr>
        <w:t>Ag</w:t>
      </w:r>
      <w:r w:rsidRPr="004D7B23">
        <w:rPr>
          <w:rFonts w:ascii="Times New Roman" w:hAnsi="Times New Roman"/>
          <w:iCs/>
          <w:vertAlign w:val="subscript"/>
          <w:lang w:val="pt-BR"/>
        </w:rPr>
        <w:t>3</w:t>
      </w:r>
      <w:r w:rsidRPr="004D7B23">
        <w:rPr>
          <w:rFonts w:ascii="Times New Roman" w:hAnsi="Times New Roman"/>
          <w:iCs/>
          <w:lang w:val="pt-BR"/>
        </w:rPr>
        <w:t>PO</w:t>
      </w:r>
      <w:r w:rsidRPr="004D7B23">
        <w:rPr>
          <w:rFonts w:ascii="Times New Roman" w:hAnsi="Times New Roman"/>
          <w:iCs/>
          <w:vertAlign w:val="subscript"/>
          <w:lang w:val="pt-BR"/>
        </w:rPr>
        <w:t>4</w:t>
      </w:r>
      <w:r w:rsidRPr="00084CD0">
        <w:rPr>
          <w:rFonts w:ascii="Times New Roman" w:hAnsi="Times New Roman"/>
          <w:lang w:val="pt-BR"/>
        </w:rPr>
        <w:t xml:space="preserve"> com a adição de diferentes quantidades de íons Pr</w:t>
      </w:r>
      <w:r w:rsidRPr="00084CD0">
        <w:rPr>
          <w:rFonts w:ascii="Times New Roman" w:hAnsi="Times New Roman"/>
          <w:vertAlign w:val="superscript"/>
          <w:lang w:val="pt-BR"/>
        </w:rPr>
        <w:t>3+</w:t>
      </w:r>
      <w:r w:rsidRPr="00084CD0">
        <w:rPr>
          <w:rFonts w:ascii="Times New Roman" w:hAnsi="Times New Roman"/>
          <w:lang w:val="pt-BR"/>
        </w:rPr>
        <w:t xml:space="preserve">, foram realizadas medições de DRX, que estão mostradas na Figura </w:t>
      </w:r>
      <w:r>
        <w:rPr>
          <w:rFonts w:ascii="Times New Roman" w:hAnsi="Times New Roman"/>
          <w:lang w:val="pt-BR"/>
        </w:rPr>
        <w:t>1</w:t>
      </w:r>
      <w:r w:rsidRPr="00084CD0">
        <w:rPr>
          <w:rFonts w:ascii="Times New Roman" w:hAnsi="Times New Roman"/>
          <w:lang w:val="pt-BR"/>
        </w:rPr>
        <w:t>.</w:t>
      </w:r>
      <w:r>
        <w:rPr>
          <w:rFonts w:ascii="Times New Roman" w:hAnsi="Times New Roman"/>
          <w:lang w:val="pt-BR"/>
        </w:rPr>
        <w:t xml:space="preserve"> </w:t>
      </w:r>
      <w:r w:rsidRPr="00084CD0">
        <w:rPr>
          <w:rFonts w:ascii="Times New Roman" w:hAnsi="Times New Roman"/>
          <w:lang w:val="pt-BR"/>
        </w:rPr>
        <w:t xml:space="preserve">Para todas as amostras, picos bem definidos são observados, indicando boa cristalinidade das amostras. Todas as amostras foram identificadas como </w:t>
      </w:r>
      <w:r w:rsidRPr="004D7B23">
        <w:rPr>
          <w:rFonts w:ascii="Times New Roman" w:hAnsi="Times New Roman"/>
          <w:iCs/>
          <w:lang w:val="pt-BR"/>
        </w:rPr>
        <w:t>Ag</w:t>
      </w:r>
      <w:r w:rsidRPr="004D7B23">
        <w:rPr>
          <w:rFonts w:ascii="Times New Roman" w:hAnsi="Times New Roman"/>
          <w:iCs/>
          <w:vertAlign w:val="subscript"/>
          <w:lang w:val="pt-BR"/>
        </w:rPr>
        <w:t>3</w:t>
      </w:r>
      <w:r w:rsidRPr="004D7B23">
        <w:rPr>
          <w:rFonts w:ascii="Times New Roman" w:hAnsi="Times New Roman"/>
          <w:iCs/>
          <w:lang w:val="pt-BR"/>
        </w:rPr>
        <w:t>PO</w:t>
      </w:r>
      <w:r w:rsidRPr="004D7B23">
        <w:rPr>
          <w:rFonts w:ascii="Times New Roman" w:hAnsi="Times New Roman"/>
          <w:iCs/>
          <w:vertAlign w:val="subscript"/>
          <w:lang w:val="pt-BR"/>
        </w:rPr>
        <w:t>4</w:t>
      </w:r>
      <w:r w:rsidRPr="00084CD0">
        <w:rPr>
          <w:rFonts w:ascii="Times New Roman" w:hAnsi="Times New Roman"/>
          <w:lang w:val="pt-BR"/>
        </w:rPr>
        <w:t xml:space="preserve"> com estrutura cúbica pertencente ao grupo de pontos P43n, de acordo com o banco de dados de estruturas cristalinas inorgânicas (ICSD) cartão nº 14000.53 Essa estrutura é composta por aglomerados tetraédricos distorcidos de [PO</w:t>
      </w:r>
      <w:r w:rsidRPr="00084CD0">
        <w:rPr>
          <w:rFonts w:ascii="Times New Roman" w:hAnsi="Times New Roman"/>
          <w:vertAlign w:val="subscript"/>
          <w:lang w:val="pt-BR"/>
        </w:rPr>
        <w:t>4</w:t>
      </w:r>
      <w:r w:rsidRPr="00084CD0">
        <w:rPr>
          <w:rFonts w:ascii="Times New Roman" w:hAnsi="Times New Roman"/>
          <w:lang w:val="pt-BR"/>
        </w:rPr>
        <w:t>] e [AgO</w:t>
      </w:r>
      <w:r w:rsidRPr="00084CD0">
        <w:rPr>
          <w:rFonts w:ascii="Times New Roman" w:hAnsi="Times New Roman"/>
          <w:vertAlign w:val="subscript"/>
          <w:lang w:val="pt-BR"/>
        </w:rPr>
        <w:t>4</w:t>
      </w:r>
      <w:r w:rsidRPr="00084CD0">
        <w:rPr>
          <w:rFonts w:ascii="Times New Roman" w:hAnsi="Times New Roman"/>
          <w:lang w:val="pt-BR"/>
        </w:rPr>
        <w:t>] ligados por pontes. Não foram observados picos adicionais nas amostras, indicando uma boa substituição dos íons Ag</w:t>
      </w:r>
      <w:r w:rsidRPr="00084CD0">
        <w:rPr>
          <w:rFonts w:ascii="Times New Roman" w:hAnsi="Times New Roman"/>
          <w:vertAlign w:val="superscript"/>
          <w:lang w:val="pt-BR"/>
        </w:rPr>
        <w:t xml:space="preserve">+ </w:t>
      </w:r>
      <w:r w:rsidRPr="00084CD0">
        <w:rPr>
          <w:rFonts w:ascii="Times New Roman" w:hAnsi="Times New Roman"/>
          <w:lang w:val="pt-BR"/>
        </w:rPr>
        <w:t>por Pr</w:t>
      </w:r>
      <w:r w:rsidRPr="00084CD0">
        <w:rPr>
          <w:rFonts w:ascii="Times New Roman" w:hAnsi="Times New Roman"/>
          <w:vertAlign w:val="superscript"/>
          <w:lang w:val="pt-BR"/>
        </w:rPr>
        <w:t>3+</w:t>
      </w:r>
      <w:r w:rsidRPr="00084CD0">
        <w:rPr>
          <w:rFonts w:ascii="Times New Roman" w:hAnsi="Times New Roman"/>
          <w:lang w:val="pt-BR"/>
        </w:rPr>
        <w:t xml:space="preserve"> em longa distância. No detalhe da Figura 1A, é observado o deslocamento do pico de maior intensidade relacionado ao plano cristalino [210]. Isso indica que a adição de íons Pr</w:t>
      </w:r>
      <w:r w:rsidRPr="00084CD0">
        <w:rPr>
          <w:rFonts w:ascii="Times New Roman" w:hAnsi="Times New Roman"/>
          <w:vertAlign w:val="superscript"/>
          <w:lang w:val="pt-BR"/>
        </w:rPr>
        <w:t>3+</w:t>
      </w:r>
      <w:r w:rsidRPr="00084CD0">
        <w:rPr>
          <w:rFonts w:ascii="Times New Roman" w:hAnsi="Times New Roman"/>
          <w:lang w:val="pt-BR"/>
        </w:rPr>
        <w:t xml:space="preserve"> causa alterações em longa distância na rede cristalina do </w:t>
      </w:r>
      <w:r w:rsidRPr="004D7B23">
        <w:rPr>
          <w:rFonts w:ascii="Times New Roman" w:hAnsi="Times New Roman"/>
          <w:iCs/>
          <w:lang w:val="pt-BR"/>
        </w:rPr>
        <w:t>Ag</w:t>
      </w:r>
      <w:r w:rsidRPr="004D7B23">
        <w:rPr>
          <w:rFonts w:ascii="Times New Roman" w:hAnsi="Times New Roman"/>
          <w:iCs/>
          <w:vertAlign w:val="subscript"/>
          <w:lang w:val="pt-BR"/>
        </w:rPr>
        <w:t>3</w:t>
      </w:r>
      <w:r w:rsidRPr="004D7B23">
        <w:rPr>
          <w:rFonts w:ascii="Times New Roman" w:hAnsi="Times New Roman"/>
          <w:iCs/>
          <w:lang w:val="pt-BR"/>
        </w:rPr>
        <w:t>PO</w:t>
      </w:r>
      <w:r w:rsidRPr="004D7B23">
        <w:rPr>
          <w:rFonts w:ascii="Times New Roman" w:hAnsi="Times New Roman"/>
          <w:iCs/>
          <w:vertAlign w:val="subscript"/>
          <w:lang w:val="pt-BR"/>
        </w:rPr>
        <w:t>4</w:t>
      </w:r>
      <w:r w:rsidRPr="00084CD0">
        <w:rPr>
          <w:rFonts w:ascii="Times New Roman" w:hAnsi="Times New Roman"/>
          <w:lang w:val="pt-BR"/>
        </w:rPr>
        <w:t xml:space="preserve"> devido às distorções que as ligações Pr-O-P causam nos aglomerados delocalizados [PrO</w:t>
      </w:r>
      <w:r w:rsidRPr="00084CD0">
        <w:rPr>
          <w:rFonts w:ascii="Times New Roman" w:hAnsi="Times New Roman"/>
          <w:vertAlign w:val="subscript"/>
          <w:lang w:val="pt-BR"/>
        </w:rPr>
        <w:t>4</w:t>
      </w:r>
      <w:r w:rsidRPr="00084CD0">
        <w:rPr>
          <w:rFonts w:ascii="Times New Roman" w:hAnsi="Times New Roman"/>
          <w:lang w:val="pt-BR"/>
        </w:rPr>
        <w:t>].</w:t>
      </w:r>
    </w:p>
    <w:p w14:paraId="568428CF" w14:textId="6C1D9CAA" w:rsidR="00084CD0" w:rsidRDefault="00084CD0">
      <w:pPr>
        <w:pStyle w:val="TAMainText"/>
        <w:ind w:firstLine="187"/>
        <w:rPr>
          <w:rFonts w:ascii="Times New Roman" w:hAnsi="Times New Roman"/>
          <w:lang w:val="pt-BR"/>
        </w:rPr>
      </w:pPr>
      <w:r w:rsidRPr="00084CD0">
        <w:rPr>
          <w:rFonts w:ascii="Times New Roman" w:hAnsi="Times New Roman"/>
          <w:lang w:val="pt-BR"/>
        </w:rPr>
        <w:lastRenderedPageBreak/>
        <w:t xml:space="preserve">Uma vez que são observadas alterações em longa distância na rede cristalina do </w:t>
      </w:r>
      <w:r w:rsidRPr="004D7B23">
        <w:rPr>
          <w:rFonts w:ascii="Times New Roman" w:hAnsi="Times New Roman"/>
          <w:iCs/>
          <w:lang w:val="pt-BR"/>
        </w:rPr>
        <w:t>Ag</w:t>
      </w:r>
      <w:r w:rsidRPr="004D7B23">
        <w:rPr>
          <w:rFonts w:ascii="Times New Roman" w:hAnsi="Times New Roman"/>
          <w:iCs/>
          <w:vertAlign w:val="subscript"/>
          <w:lang w:val="pt-BR"/>
        </w:rPr>
        <w:t>3</w:t>
      </w:r>
      <w:r w:rsidRPr="004D7B23">
        <w:rPr>
          <w:rFonts w:ascii="Times New Roman" w:hAnsi="Times New Roman"/>
          <w:iCs/>
          <w:lang w:val="pt-BR"/>
        </w:rPr>
        <w:t>PO</w:t>
      </w:r>
      <w:r w:rsidRPr="004D7B23">
        <w:rPr>
          <w:rFonts w:ascii="Times New Roman" w:hAnsi="Times New Roman"/>
          <w:iCs/>
          <w:vertAlign w:val="subscript"/>
          <w:lang w:val="pt-BR"/>
        </w:rPr>
        <w:t>4</w:t>
      </w:r>
      <w:r w:rsidRPr="00084CD0">
        <w:rPr>
          <w:rFonts w:ascii="Times New Roman" w:hAnsi="Times New Roman"/>
          <w:lang w:val="pt-BR"/>
        </w:rPr>
        <w:t xml:space="preserve"> devido à inserção de íons Pr</w:t>
      </w:r>
      <w:r w:rsidRPr="00084CD0">
        <w:rPr>
          <w:rFonts w:ascii="Times New Roman" w:hAnsi="Times New Roman"/>
          <w:vertAlign w:val="superscript"/>
          <w:lang w:val="pt-BR"/>
        </w:rPr>
        <w:t>3+</w:t>
      </w:r>
      <w:r w:rsidRPr="00084CD0">
        <w:rPr>
          <w:rFonts w:ascii="Times New Roman" w:hAnsi="Times New Roman"/>
          <w:lang w:val="pt-BR"/>
        </w:rPr>
        <w:t>, alguns dados podem ser utilizados para mensurá-las, tais como a largura total à meia altura (FWHM), o tamanho do cristalito (D) e a deformação da rede (ε). A FWHM das amostras é apresentada na Figura 1B. Observa-se uma dependência direta desse parâmetro com o aumento da concentração de íons Pr</w:t>
      </w:r>
      <w:r w:rsidRPr="00084CD0">
        <w:rPr>
          <w:rFonts w:ascii="Times New Roman" w:hAnsi="Times New Roman"/>
          <w:vertAlign w:val="superscript"/>
          <w:lang w:val="pt-BR"/>
        </w:rPr>
        <w:t>3+</w:t>
      </w:r>
      <w:r w:rsidRPr="00084CD0">
        <w:rPr>
          <w:rFonts w:ascii="Times New Roman" w:hAnsi="Times New Roman"/>
          <w:lang w:val="pt-BR"/>
        </w:rPr>
        <w:t>. Portanto, quanto maior a quantidade de íons Pr</w:t>
      </w:r>
      <w:r w:rsidRPr="00084CD0">
        <w:rPr>
          <w:rFonts w:ascii="Times New Roman" w:hAnsi="Times New Roman"/>
          <w:vertAlign w:val="superscript"/>
          <w:lang w:val="pt-BR"/>
        </w:rPr>
        <w:t>3+</w:t>
      </w:r>
      <w:r w:rsidRPr="00084CD0">
        <w:rPr>
          <w:rFonts w:ascii="Times New Roman" w:hAnsi="Times New Roman"/>
          <w:lang w:val="pt-BR"/>
        </w:rPr>
        <w:t xml:space="preserve">, maior a desordem na amostra, devido ao alargamento do pico </w:t>
      </w:r>
      <w:r>
        <w:rPr>
          <w:rFonts w:ascii="Times New Roman" w:hAnsi="Times New Roman"/>
          <w:lang w:val="pt-BR"/>
        </w:rPr>
        <w:t>(</w:t>
      </w:r>
      <w:r w:rsidRPr="00084CD0">
        <w:rPr>
          <w:rFonts w:ascii="Times New Roman" w:hAnsi="Times New Roman"/>
          <w:lang w:val="pt-BR"/>
        </w:rPr>
        <w:t>210</w:t>
      </w:r>
      <w:r>
        <w:rPr>
          <w:rFonts w:ascii="Times New Roman" w:hAnsi="Times New Roman"/>
          <w:lang w:val="pt-BR"/>
        </w:rPr>
        <w:t>)</w:t>
      </w:r>
      <w:r w:rsidRPr="00084CD0">
        <w:rPr>
          <w:rFonts w:ascii="Times New Roman" w:hAnsi="Times New Roman"/>
          <w:lang w:val="pt-BR"/>
        </w:rPr>
        <w:t xml:space="preserve">. </w:t>
      </w:r>
      <w:r w:rsidR="004E6BBD">
        <w:rPr>
          <w:rFonts w:ascii="Times New Roman" w:hAnsi="Times New Roman"/>
          <w:lang w:val="pt-BR"/>
        </w:rPr>
        <w:t>O</w:t>
      </w:r>
      <w:r w:rsidRPr="00084CD0">
        <w:rPr>
          <w:rFonts w:ascii="Times New Roman" w:hAnsi="Times New Roman"/>
          <w:lang w:val="pt-BR"/>
        </w:rPr>
        <w:t>bserva-se uma redução no tamanho do cristalito (D) com o aumento dos íons Pr</w:t>
      </w:r>
      <w:r w:rsidRPr="00084CD0">
        <w:rPr>
          <w:rFonts w:ascii="Times New Roman" w:hAnsi="Times New Roman"/>
          <w:vertAlign w:val="superscript"/>
          <w:lang w:val="pt-BR"/>
        </w:rPr>
        <w:t>3+</w:t>
      </w:r>
      <w:r w:rsidRPr="00084CD0">
        <w:rPr>
          <w:rFonts w:ascii="Times New Roman" w:hAnsi="Times New Roman"/>
          <w:lang w:val="pt-BR"/>
        </w:rPr>
        <w:t xml:space="preserve"> na matriz hospedeira</w:t>
      </w:r>
      <w:r>
        <w:rPr>
          <w:rFonts w:ascii="Times New Roman" w:hAnsi="Times New Roman"/>
          <w:lang w:val="pt-BR"/>
        </w:rPr>
        <w:t xml:space="preserve"> (Figura 1C)</w:t>
      </w:r>
      <w:r w:rsidRPr="00084CD0">
        <w:rPr>
          <w:rFonts w:ascii="Times New Roman" w:hAnsi="Times New Roman"/>
          <w:lang w:val="pt-BR"/>
        </w:rPr>
        <w:t>. Isso ocorre porque, dependendo do nível de substituição por íons terras raras na matriz hospedeira, pode ocorrer uma inibição do crescimento do cristalito devido a distorções nos ângulos e tamanhos de ligação dos aglomerados formadores da rede cristalina hospedeira.</w:t>
      </w:r>
      <w:r>
        <w:rPr>
          <w:rFonts w:ascii="Times New Roman" w:hAnsi="Times New Roman"/>
          <w:lang w:val="pt-BR"/>
        </w:rPr>
        <w:t xml:space="preserve"> </w:t>
      </w:r>
      <w:r w:rsidRPr="00084CD0">
        <w:rPr>
          <w:rFonts w:ascii="Times New Roman" w:hAnsi="Times New Roman"/>
          <w:lang w:val="pt-BR"/>
        </w:rPr>
        <w:t>Os valores de ε aumentam para todas as amostras dopadas, indicando que a inserção de íons Pr</w:t>
      </w:r>
      <w:r w:rsidRPr="00084CD0">
        <w:rPr>
          <w:rFonts w:ascii="Times New Roman" w:hAnsi="Times New Roman"/>
          <w:vertAlign w:val="superscript"/>
          <w:lang w:val="pt-BR"/>
        </w:rPr>
        <w:t>3+</w:t>
      </w:r>
      <w:r w:rsidRPr="00084CD0">
        <w:rPr>
          <w:rFonts w:ascii="Times New Roman" w:hAnsi="Times New Roman"/>
          <w:lang w:val="pt-BR"/>
        </w:rPr>
        <w:t xml:space="preserve"> induz deformação na rede de </w:t>
      </w:r>
      <w:r w:rsidRPr="004D7B23">
        <w:rPr>
          <w:rFonts w:ascii="Times New Roman" w:hAnsi="Times New Roman"/>
          <w:iCs/>
          <w:lang w:val="pt-BR"/>
        </w:rPr>
        <w:t>Ag</w:t>
      </w:r>
      <w:r w:rsidRPr="004D7B23">
        <w:rPr>
          <w:rFonts w:ascii="Times New Roman" w:hAnsi="Times New Roman"/>
          <w:iCs/>
          <w:vertAlign w:val="subscript"/>
          <w:lang w:val="pt-BR"/>
        </w:rPr>
        <w:t>3</w:t>
      </w:r>
      <w:r w:rsidRPr="004D7B23">
        <w:rPr>
          <w:rFonts w:ascii="Times New Roman" w:hAnsi="Times New Roman"/>
          <w:iCs/>
          <w:lang w:val="pt-BR"/>
        </w:rPr>
        <w:t>PO</w:t>
      </w:r>
      <w:r w:rsidRPr="004D7B23">
        <w:rPr>
          <w:rFonts w:ascii="Times New Roman" w:hAnsi="Times New Roman"/>
          <w:iCs/>
          <w:vertAlign w:val="subscript"/>
          <w:lang w:val="pt-BR"/>
        </w:rPr>
        <w:t>4</w:t>
      </w:r>
      <w:r w:rsidRPr="00084CD0">
        <w:rPr>
          <w:rFonts w:ascii="Times New Roman" w:hAnsi="Times New Roman"/>
          <w:lang w:val="pt-BR"/>
        </w:rPr>
        <w:t xml:space="preserve">. De acordo com diversos estudos, esse comportamento ocorre devido à formação de defeitos no volume e na superfície devido às distorções causadas pelas ligações Pr-O-P. Esses defeitos podem gerar alterações nas morfologias e propriedades dos materiais, indicando que o controle desses defeitos pode ser fundamental para </w:t>
      </w:r>
      <w:r w:rsidR="008C2A25">
        <w:rPr>
          <w:rFonts w:ascii="Times New Roman" w:hAnsi="Times New Roman"/>
          <w:noProof/>
          <w:color w:val="000000" w:themeColor="text1"/>
          <w:sz w:val="24"/>
          <w:szCs w:val="24"/>
          <w:lang w:val="pt-BR"/>
        </w:rPr>
        <w:drawing>
          <wp:anchor distT="0" distB="0" distL="114300" distR="114300" simplePos="0" relativeHeight="251667456" behindDoc="0" locked="0" layoutInCell="1" allowOverlap="1" wp14:anchorId="613005C1" wp14:editId="0A599D7A">
            <wp:simplePos x="0" y="0"/>
            <wp:positionH relativeFrom="column">
              <wp:posOffset>0</wp:posOffset>
            </wp:positionH>
            <wp:positionV relativeFrom="paragraph">
              <wp:posOffset>3656965</wp:posOffset>
            </wp:positionV>
            <wp:extent cx="2988945" cy="2499360"/>
            <wp:effectExtent l="0" t="0" r="1905" b="0"/>
            <wp:wrapTopAndBottom/>
            <wp:docPr id="1303005340" name="Imagem 1303005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de1.EMF"/>
                    <pic:cNvPicPr/>
                  </pic:nvPicPr>
                  <pic:blipFill rotWithShape="1">
                    <a:blip r:embed="rId9" cstate="print">
                      <a:extLst>
                        <a:ext uri="{28A0092B-C50C-407E-A947-70E740481C1C}">
                          <a14:useLocalDpi xmlns:a14="http://schemas.microsoft.com/office/drawing/2010/main" val="0"/>
                        </a:ext>
                      </a:extLst>
                    </a:blip>
                    <a:srcRect b="43365"/>
                    <a:stretch/>
                  </pic:blipFill>
                  <pic:spPr bwMode="auto">
                    <a:xfrm>
                      <a:off x="0" y="0"/>
                      <a:ext cx="2988945" cy="2499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84CD0">
        <w:rPr>
          <w:rFonts w:ascii="Times New Roman" w:hAnsi="Times New Roman"/>
          <w:lang w:val="pt-BR"/>
        </w:rPr>
        <w:t>maximizar as propriedades de um semicondutor.</w:t>
      </w:r>
    </w:p>
    <w:p w14:paraId="271E6A56" w14:textId="77777777" w:rsidR="008C2A25" w:rsidRPr="00084CD0" w:rsidRDefault="008C2A25" w:rsidP="008C2A25">
      <w:pPr>
        <w:pStyle w:val="VAFigureCaption"/>
        <w:rPr>
          <w:rFonts w:ascii="Times New Roman" w:hAnsi="Times New Roman"/>
          <w:lang w:val="pt-BR"/>
        </w:rPr>
      </w:pPr>
      <w:r>
        <w:rPr>
          <w:rFonts w:ascii="Times New Roman" w:hAnsi="Times New Roman"/>
          <w:b/>
          <w:lang w:val="pt-BR"/>
        </w:rPr>
        <w:t>Figura 1.</w:t>
      </w:r>
      <w:r>
        <w:rPr>
          <w:rFonts w:ascii="Times New Roman" w:hAnsi="Times New Roman"/>
          <w:lang w:val="pt-BR"/>
        </w:rPr>
        <w:t xml:space="preserve"> </w:t>
      </w:r>
      <w:r w:rsidRPr="00084CD0">
        <w:rPr>
          <w:rFonts w:ascii="Times New Roman" w:hAnsi="Times New Roman"/>
          <w:lang w:val="pt-BR"/>
        </w:rPr>
        <w:t xml:space="preserve">A) Padrões de difração de raios-X das amostras, com foco no plano </w:t>
      </w:r>
      <w:r>
        <w:rPr>
          <w:rFonts w:ascii="Times New Roman" w:hAnsi="Times New Roman"/>
          <w:lang w:val="pt-BR"/>
        </w:rPr>
        <w:t>(</w:t>
      </w:r>
      <w:r w:rsidRPr="00084CD0">
        <w:rPr>
          <w:rFonts w:ascii="Times New Roman" w:hAnsi="Times New Roman"/>
          <w:lang w:val="pt-BR"/>
        </w:rPr>
        <w:t>210</w:t>
      </w:r>
      <w:r>
        <w:rPr>
          <w:rFonts w:ascii="Times New Roman" w:hAnsi="Times New Roman"/>
          <w:lang w:val="pt-BR"/>
        </w:rPr>
        <w:t>)</w:t>
      </w:r>
      <w:r w:rsidRPr="00084CD0">
        <w:rPr>
          <w:rFonts w:ascii="Times New Roman" w:hAnsi="Times New Roman"/>
          <w:lang w:val="pt-BR"/>
        </w:rPr>
        <w:t>;</w:t>
      </w:r>
      <w:r>
        <w:rPr>
          <w:rFonts w:ascii="Times New Roman" w:hAnsi="Times New Roman"/>
          <w:lang w:val="pt-BR"/>
        </w:rPr>
        <w:t xml:space="preserve"> </w:t>
      </w:r>
      <w:r w:rsidRPr="00084CD0">
        <w:rPr>
          <w:rFonts w:ascii="Times New Roman" w:hAnsi="Times New Roman"/>
          <w:lang w:val="pt-BR"/>
        </w:rPr>
        <w:t>B) Largura total à meia altura</w:t>
      </w:r>
      <w:r>
        <w:rPr>
          <w:rFonts w:ascii="Times New Roman" w:hAnsi="Times New Roman"/>
          <w:lang w:val="pt-BR"/>
        </w:rPr>
        <w:t xml:space="preserve">; C) </w:t>
      </w:r>
      <w:r w:rsidRPr="00084CD0">
        <w:rPr>
          <w:rFonts w:ascii="Times New Roman" w:hAnsi="Times New Roman"/>
          <w:lang w:val="pt-BR"/>
        </w:rPr>
        <w:t>Tamanho do cristalito;</w:t>
      </w:r>
      <w:r>
        <w:rPr>
          <w:rFonts w:ascii="Times New Roman" w:hAnsi="Times New Roman"/>
          <w:lang w:val="pt-BR"/>
        </w:rPr>
        <w:t xml:space="preserve"> </w:t>
      </w:r>
      <w:r w:rsidRPr="00084CD0">
        <w:rPr>
          <w:rFonts w:ascii="Times New Roman" w:hAnsi="Times New Roman"/>
          <w:lang w:val="pt-BR"/>
        </w:rPr>
        <w:t>D) Deformação da rede cristalina (ε) das amostras.</w:t>
      </w:r>
    </w:p>
    <w:p w14:paraId="54E2369D" w14:textId="77777777" w:rsidR="008C2A25" w:rsidRDefault="008C2A25">
      <w:pPr>
        <w:pStyle w:val="TAMainText"/>
        <w:ind w:firstLine="187"/>
        <w:rPr>
          <w:rFonts w:ascii="Times New Roman" w:hAnsi="Times New Roman"/>
          <w:lang w:val="pt-BR"/>
        </w:rPr>
      </w:pPr>
    </w:p>
    <w:p w14:paraId="055608EB" w14:textId="77777777" w:rsidR="00084CD0" w:rsidRDefault="0081510C">
      <w:pPr>
        <w:pStyle w:val="TAMainText"/>
        <w:ind w:firstLine="187"/>
        <w:rPr>
          <w:rFonts w:ascii="Times New Roman" w:hAnsi="Times New Roman"/>
          <w:lang w:val="pt-BR"/>
        </w:rPr>
      </w:pPr>
      <w:r w:rsidRPr="0081510C">
        <w:rPr>
          <w:rFonts w:ascii="Times New Roman" w:hAnsi="Times New Roman"/>
          <w:lang w:val="pt-BR"/>
        </w:rPr>
        <w:t xml:space="preserve">Como análise complementar ao XRD, foi realizada espectroscopia de micro Raman e FTIR, mostrada na Figura 2. Assim como o XRD fornece informações sobre o grau de ordenamento em longa distância, a espectroscopia de micro Raman (Figura 2A) nos mostra o grau de ordenamento em curta distância, ou seja, em relação às ligações atômicas dos </w:t>
      </w:r>
      <w:r w:rsidRPr="0081510C">
        <w:rPr>
          <w:rFonts w:ascii="Times New Roman" w:hAnsi="Times New Roman"/>
          <w:lang w:val="pt-BR"/>
        </w:rPr>
        <w:t xml:space="preserve">aglomerados formadores. De acordo com a teoria de grupos, o </w:t>
      </w:r>
      <w:r w:rsidRPr="004D7B23">
        <w:rPr>
          <w:rFonts w:ascii="Times New Roman" w:hAnsi="Times New Roman"/>
          <w:iCs/>
          <w:lang w:val="pt-BR"/>
        </w:rPr>
        <w:t>Ag</w:t>
      </w:r>
      <w:r w:rsidRPr="004D7B23">
        <w:rPr>
          <w:rFonts w:ascii="Times New Roman" w:hAnsi="Times New Roman"/>
          <w:iCs/>
          <w:vertAlign w:val="subscript"/>
          <w:lang w:val="pt-BR"/>
        </w:rPr>
        <w:t>3</w:t>
      </w:r>
      <w:r w:rsidRPr="004D7B23">
        <w:rPr>
          <w:rFonts w:ascii="Times New Roman" w:hAnsi="Times New Roman"/>
          <w:iCs/>
          <w:lang w:val="pt-BR"/>
        </w:rPr>
        <w:t>PO</w:t>
      </w:r>
      <w:r w:rsidRPr="004D7B23">
        <w:rPr>
          <w:rFonts w:ascii="Times New Roman" w:hAnsi="Times New Roman"/>
          <w:iCs/>
          <w:vertAlign w:val="subscript"/>
          <w:lang w:val="pt-BR"/>
        </w:rPr>
        <w:t>4</w:t>
      </w:r>
      <w:r w:rsidRPr="0081510C">
        <w:rPr>
          <w:rFonts w:ascii="Times New Roman" w:hAnsi="Times New Roman"/>
          <w:lang w:val="pt-BR"/>
        </w:rPr>
        <w:t xml:space="preserve"> possui 18 modos ativos no Raman, no entanto, devido ao alto grau de desordem do material, apenas 6 desses modos são observados, localizados em 415 (E), 448 (E), 559 (T</w:t>
      </w:r>
      <w:r w:rsidRPr="0081510C">
        <w:rPr>
          <w:rFonts w:ascii="Times New Roman" w:hAnsi="Times New Roman"/>
          <w:vertAlign w:val="subscript"/>
          <w:lang w:val="pt-BR"/>
        </w:rPr>
        <w:t>2</w:t>
      </w:r>
      <w:r w:rsidRPr="0081510C">
        <w:rPr>
          <w:rFonts w:ascii="Times New Roman" w:hAnsi="Times New Roman"/>
          <w:lang w:val="pt-BR"/>
        </w:rPr>
        <w:t>), 705 (T</w:t>
      </w:r>
      <w:r w:rsidRPr="0081510C">
        <w:rPr>
          <w:rFonts w:ascii="Times New Roman" w:hAnsi="Times New Roman"/>
          <w:vertAlign w:val="subscript"/>
          <w:lang w:val="pt-BR"/>
        </w:rPr>
        <w:t>2</w:t>
      </w:r>
      <w:r w:rsidRPr="0081510C">
        <w:rPr>
          <w:rFonts w:ascii="Times New Roman" w:hAnsi="Times New Roman"/>
          <w:lang w:val="pt-BR"/>
        </w:rPr>
        <w:t>), 908 (A</w:t>
      </w:r>
      <w:r w:rsidRPr="0081510C">
        <w:rPr>
          <w:rFonts w:ascii="Times New Roman" w:hAnsi="Times New Roman"/>
          <w:vertAlign w:val="subscript"/>
          <w:lang w:val="pt-BR"/>
        </w:rPr>
        <w:t>1</w:t>
      </w:r>
      <w:r w:rsidRPr="0081510C">
        <w:rPr>
          <w:rFonts w:ascii="Times New Roman" w:hAnsi="Times New Roman"/>
          <w:lang w:val="pt-BR"/>
        </w:rPr>
        <w:t>) e 998 (T</w:t>
      </w:r>
      <w:r w:rsidRPr="0081510C">
        <w:rPr>
          <w:rFonts w:ascii="Times New Roman" w:hAnsi="Times New Roman"/>
          <w:vertAlign w:val="subscript"/>
          <w:lang w:val="pt-BR"/>
        </w:rPr>
        <w:t>2</w:t>
      </w:r>
      <w:r w:rsidRPr="0081510C">
        <w:rPr>
          <w:rFonts w:ascii="Times New Roman" w:hAnsi="Times New Roman"/>
          <w:lang w:val="pt-BR"/>
        </w:rPr>
        <w:t>) cm</w:t>
      </w:r>
      <w:r w:rsidRPr="0081510C">
        <w:rPr>
          <w:rFonts w:ascii="Times New Roman" w:hAnsi="Times New Roman"/>
          <w:vertAlign w:val="superscript"/>
          <w:lang w:val="pt-BR"/>
        </w:rPr>
        <w:t>-1</w:t>
      </w:r>
      <w:r w:rsidRPr="0081510C">
        <w:rPr>
          <w:rFonts w:ascii="Times New Roman" w:hAnsi="Times New Roman"/>
          <w:lang w:val="pt-BR"/>
        </w:rPr>
        <w:t>. Todos esses modos estão relacionados às vibrações externas e internas dos aglomerados [PO</w:t>
      </w:r>
      <w:r w:rsidRPr="0081510C">
        <w:rPr>
          <w:rFonts w:ascii="Times New Roman" w:hAnsi="Times New Roman"/>
          <w:vertAlign w:val="subscript"/>
          <w:lang w:val="pt-BR"/>
        </w:rPr>
        <w:t>4</w:t>
      </w:r>
      <w:r w:rsidRPr="0081510C">
        <w:rPr>
          <w:rFonts w:ascii="Times New Roman" w:hAnsi="Times New Roman"/>
          <w:lang w:val="pt-BR"/>
        </w:rPr>
        <w:t>], sendo o mais intenso relacionado ao estiramento simétrico das ligações O-P-O. Além disso, para as amostras APO200 e APO400, é observado um pico localizado em 965 cm</w:t>
      </w:r>
      <w:r w:rsidRPr="0081510C">
        <w:rPr>
          <w:rFonts w:ascii="Times New Roman" w:hAnsi="Times New Roman"/>
          <w:vertAlign w:val="superscript"/>
          <w:lang w:val="pt-BR"/>
        </w:rPr>
        <w:t>-1</w:t>
      </w:r>
      <w:r w:rsidRPr="0081510C">
        <w:rPr>
          <w:rFonts w:ascii="Times New Roman" w:hAnsi="Times New Roman"/>
          <w:lang w:val="pt-BR"/>
        </w:rPr>
        <w:t>, relacionado à formação de pequenas quantidades de PrPO</w:t>
      </w:r>
      <w:r w:rsidRPr="0081510C">
        <w:rPr>
          <w:rFonts w:ascii="Times New Roman" w:hAnsi="Times New Roman"/>
          <w:vertAlign w:val="subscript"/>
          <w:lang w:val="pt-BR"/>
        </w:rPr>
        <w:t>4</w:t>
      </w:r>
      <w:r w:rsidRPr="0081510C">
        <w:rPr>
          <w:rFonts w:ascii="Times New Roman" w:hAnsi="Times New Roman"/>
          <w:lang w:val="pt-BR"/>
        </w:rPr>
        <w:t xml:space="preserve"> devido à saturação da rede cristalina de </w:t>
      </w:r>
      <w:r w:rsidRPr="004D7B23">
        <w:rPr>
          <w:rFonts w:ascii="Times New Roman" w:hAnsi="Times New Roman"/>
          <w:iCs/>
          <w:lang w:val="pt-BR"/>
        </w:rPr>
        <w:t>Ag</w:t>
      </w:r>
      <w:r w:rsidRPr="004D7B23">
        <w:rPr>
          <w:rFonts w:ascii="Times New Roman" w:hAnsi="Times New Roman"/>
          <w:iCs/>
          <w:vertAlign w:val="subscript"/>
          <w:lang w:val="pt-BR"/>
        </w:rPr>
        <w:t>3</w:t>
      </w:r>
      <w:r w:rsidRPr="004D7B23">
        <w:rPr>
          <w:rFonts w:ascii="Times New Roman" w:hAnsi="Times New Roman"/>
          <w:iCs/>
          <w:lang w:val="pt-BR"/>
        </w:rPr>
        <w:t>PO</w:t>
      </w:r>
      <w:r w:rsidRPr="004D7B23">
        <w:rPr>
          <w:rFonts w:ascii="Times New Roman" w:hAnsi="Times New Roman"/>
          <w:iCs/>
          <w:vertAlign w:val="subscript"/>
          <w:lang w:val="pt-BR"/>
        </w:rPr>
        <w:t>4</w:t>
      </w:r>
      <w:r w:rsidRPr="0081510C">
        <w:rPr>
          <w:rFonts w:ascii="Times New Roman" w:hAnsi="Times New Roman"/>
          <w:lang w:val="pt-BR"/>
        </w:rPr>
        <w:t xml:space="preserve"> na substituição de íons Ag</w:t>
      </w:r>
      <w:r w:rsidRPr="0081510C">
        <w:rPr>
          <w:rFonts w:ascii="Times New Roman" w:hAnsi="Times New Roman"/>
          <w:vertAlign w:val="superscript"/>
          <w:lang w:val="pt-BR"/>
        </w:rPr>
        <w:t>+</w:t>
      </w:r>
      <w:r w:rsidRPr="0081510C">
        <w:rPr>
          <w:rFonts w:ascii="Times New Roman" w:hAnsi="Times New Roman"/>
          <w:lang w:val="pt-BR"/>
        </w:rPr>
        <w:t xml:space="preserve"> por íons Pr</w:t>
      </w:r>
      <w:r w:rsidRPr="0081510C">
        <w:rPr>
          <w:rFonts w:ascii="Times New Roman" w:hAnsi="Times New Roman"/>
          <w:vertAlign w:val="superscript"/>
          <w:lang w:val="pt-BR"/>
        </w:rPr>
        <w:t>3+</w:t>
      </w:r>
      <w:r w:rsidRPr="0081510C">
        <w:rPr>
          <w:rFonts w:ascii="Times New Roman" w:hAnsi="Times New Roman"/>
          <w:lang w:val="pt-BR"/>
        </w:rPr>
        <w:t>. Nos espectros de FTIR (Figura 2B), as vibrações observadas em 548, 675, 861, 1023, 1390 e 1547 cm</w:t>
      </w:r>
      <w:r w:rsidRPr="0081510C">
        <w:rPr>
          <w:rFonts w:ascii="Times New Roman" w:hAnsi="Times New Roman"/>
          <w:vertAlign w:val="superscript"/>
          <w:lang w:val="pt-BR"/>
        </w:rPr>
        <w:t>-1</w:t>
      </w:r>
      <w:r w:rsidRPr="0081510C">
        <w:rPr>
          <w:rFonts w:ascii="Times New Roman" w:hAnsi="Times New Roman"/>
          <w:lang w:val="pt-BR"/>
        </w:rPr>
        <w:t xml:space="preserve"> referem-se aos grupos PO</w:t>
      </w:r>
      <w:r w:rsidRPr="0081510C">
        <w:rPr>
          <w:rFonts w:ascii="Times New Roman" w:hAnsi="Times New Roman"/>
          <w:vertAlign w:val="subscript"/>
          <w:lang w:val="pt-BR"/>
        </w:rPr>
        <w:t>4</w:t>
      </w:r>
      <w:r w:rsidRPr="0081510C">
        <w:rPr>
          <w:rFonts w:ascii="Times New Roman" w:hAnsi="Times New Roman"/>
          <w:vertAlign w:val="superscript"/>
          <w:lang w:val="pt-BR"/>
        </w:rPr>
        <w:t>3-</w:t>
      </w:r>
      <w:r w:rsidRPr="0081510C">
        <w:rPr>
          <w:rFonts w:ascii="Times New Roman" w:hAnsi="Times New Roman"/>
          <w:lang w:val="pt-BR"/>
        </w:rPr>
        <w:t xml:space="preserve"> e aos estiramentos específicos das ligações P-O e P-O-P. Além disso, há vibrações em 1703 e 3074 cm</w:t>
      </w:r>
      <w:r w:rsidRPr="0081510C">
        <w:rPr>
          <w:rFonts w:ascii="Times New Roman" w:hAnsi="Times New Roman"/>
          <w:vertAlign w:val="superscript"/>
          <w:lang w:val="pt-BR"/>
        </w:rPr>
        <w:t>-1</w:t>
      </w:r>
      <w:r w:rsidRPr="0081510C">
        <w:rPr>
          <w:rFonts w:ascii="Times New Roman" w:hAnsi="Times New Roman"/>
          <w:lang w:val="pt-BR"/>
        </w:rPr>
        <w:t xml:space="preserve"> relacionadas ao estiramento H-O-H das moléculas de água. Não são observadas bandas adicionais, indicando a ausência de resquícios de íons (NO</w:t>
      </w:r>
      <w:r w:rsidRPr="0081510C">
        <w:rPr>
          <w:rFonts w:ascii="Times New Roman" w:hAnsi="Times New Roman"/>
          <w:vertAlign w:val="subscript"/>
          <w:lang w:val="pt-BR"/>
        </w:rPr>
        <w:t>3</w:t>
      </w:r>
      <w:r w:rsidRPr="0081510C">
        <w:rPr>
          <w:rFonts w:ascii="Times New Roman" w:hAnsi="Times New Roman"/>
          <w:lang w:val="pt-BR"/>
        </w:rPr>
        <w:t>)</w:t>
      </w:r>
      <w:r w:rsidRPr="0081510C">
        <w:rPr>
          <w:rFonts w:ascii="Times New Roman" w:hAnsi="Times New Roman"/>
          <w:vertAlign w:val="superscript"/>
          <w:lang w:val="pt-BR"/>
        </w:rPr>
        <w:t>-</w:t>
      </w:r>
      <w:r w:rsidRPr="0081510C">
        <w:rPr>
          <w:rFonts w:ascii="Times New Roman" w:hAnsi="Times New Roman"/>
          <w:lang w:val="pt-BR"/>
        </w:rPr>
        <w:t xml:space="preserve"> ou (NH</w:t>
      </w:r>
      <w:r w:rsidRPr="0081510C">
        <w:rPr>
          <w:rFonts w:ascii="Times New Roman" w:hAnsi="Times New Roman"/>
          <w:vertAlign w:val="subscript"/>
          <w:lang w:val="pt-BR"/>
        </w:rPr>
        <w:t>4</w:t>
      </w:r>
      <w:r w:rsidRPr="0081510C">
        <w:rPr>
          <w:rFonts w:ascii="Times New Roman" w:hAnsi="Times New Roman"/>
          <w:lang w:val="pt-BR"/>
        </w:rPr>
        <w:t>)</w:t>
      </w:r>
      <w:r w:rsidRPr="0081510C">
        <w:rPr>
          <w:rFonts w:ascii="Times New Roman" w:hAnsi="Times New Roman"/>
          <w:vertAlign w:val="superscript"/>
          <w:lang w:val="pt-BR"/>
        </w:rPr>
        <w:t>+</w:t>
      </w:r>
      <w:r w:rsidRPr="0081510C">
        <w:rPr>
          <w:rFonts w:ascii="Times New Roman" w:hAnsi="Times New Roman"/>
          <w:lang w:val="pt-BR"/>
        </w:rPr>
        <w:t xml:space="preserve"> provenientes dos contra-íons rea</w:t>
      </w:r>
      <w:r>
        <w:rPr>
          <w:rFonts w:ascii="Times New Roman" w:hAnsi="Times New Roman"/>
          <w:lang w:val="pt-BR"/>
        </w:rPr>
        <w:t>cionais</w:t>
      </w:r>
      <w:r w:rsidRPr="0081510C">
        <w:rPr>
          <w:rFonts w:ascii="Times New Roman" w:hAnsi="Times New Roman"/>
          <w:lang w:val="pt-BR"/>
        </w:rPr>
        <w:t>.</w:t>
      </w:r>
    </w:p>
    <w:p w14:paraId="50A0D7B7" w14:textId="77777777" w:rsidR="0081510C" w:rsidRDefault="0081510C" w:rsidP="0081510C">
      <w:pPr>
        <w:pStyle w:val="TAMainText"/>
        <w:ind w:firstLine="0"/>
        <w:rPr>
          <w:rFonts w:ascii="Times New Roman" w:hAnsi="Times New Roman"/>
          <w:lang w:val="pt-BR"/>
        </w:rPr>
      </w:pPr>
      <w:r>
        <w:rPr>
          <w:rFonts w:ascii="Times New Roman" w:hAnsi="Times New Roman"/>
          <w:noProof/>
          <w:color w:val="000000" w:themeColor="text1"/>
          <w:sz w:val="24"/>
          <w:szCs w:val="24"/>
          <w:lang w:val="pt-BR"/>
        </w:rPr>
        <w:drawing>
          <wp:anchor distT="0" distB="0" distL="114300" distR="114300" simplePos="0" relativeHeight="251661312" behindDoc="0" locked="0" layoutInCell="1" allowOverlap="1" wp14:anchorId="3D9271FE" wp14:editId="362BE595">
            <wp:simplePos x="0" y="0"/>
            <wp:positionH relativeFrom="column">
              <wp:posOffset>467995</wp:posOffset>
            </wp:positionH>
            <wp:positionV relativeFrom="paragraph">
              <wp:posOffset>191770</wp:posOffset>
            </wp:positionV>
            <wp:extent cx="2074545" cy="3375660"/>
            <wp:effectExtent l="0" t="0" r="1905"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2.EMF"/>
                    <pic:cNvPicPr/>
                  </pic:nvPicPr>
                  <pic:blipFill rotWithShape="1">
                    <a:blip r:embed="rId10" cstate="print">
                      <a:extLst>
                        <a:ext uri="{28A0092B-C50C-407E-A947-70E740481C1C}">
                          <a14:useLocalDpi xmlns:a14="http://schemas.microsoft.com/office/drawing/2010/main" val="0"/>
                        </a:ext>
                      </a:extLst>
                    </a:blip>
                    <a:srcRect l="24271" t="3154" r="23518" b="39303"/>
                    <a:stretch/>
                  </pic:blipFill>
                  <pic:spPr bwMode="auto">
                    <a:xfrm>
                      <a:off x="0" y="0"/>
                      <a:ext cx="2074545" cy="3375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807819" w14:textId="77777777" w:rsidR="0081510C" w:rsidRPr="00084CD0" w:rsidRDefault="0081510C" w:rsidP="0081510C">
      <w:pPr>
        <w:pStyle w:val="VAFigureCaption"/>
        <w:rPr>
          <w:rFonts w:ascii="Times New Roman" w:hAnsi="Times New Roman"/>
          <w:lang w:val="pt-BR"/>
        </w:rPr>
      </w:pPr>
      <w:r>
        <w:rPr>
          <w:rFonts w:ascii="Times New Roman" w:hAnsi="Times New Roman"/>
          <w:b/>
          <w:lang w:val="pt-BR"/>
        </w:rPr>
        <w:t>Figura 2.</w:t>
      </w:r>
      <w:r>
        <w:rPr>
          <w:rFonts w:ascii="Times New Roman" w:hAnsi="Times New Roman"/>
          <w:lang w:val="pt-BR"/>
        </w:rPr>
        <w:t xml:space="preserve"> Espectros de A) Micro Raman e B) FTIR das amostras.</w:t>
      </w:r>
    </w:p>
    <w:p w14:paraId="6C8C3125" w14:textId="77777777" w:rsidR="00084CD0" w:rsidRDefault="00084CD0" w:rsidP="0081510C">
      <w:pPr>
        <w:pStyle w:val="TAMainText"/>
        <w:ind w:firstLine="0"/>
        <w:rPr>
          <w:rFonts w:ascii="Times New Roman" w:hAnsi="Times New Roman"/>
          <w:lang w:val="pt-BR"/>
        </w:rPr>
      </w:pPr>
    </w:p>
    <w:p w14:paraId="59463F04" w14:textId="5889A085" w:rsidR="0081510C" w:rsidRDefault="0081510C" w:rsidP="0081510C">
      <w:pPr>
        <w:pStyle w:val="TAMainText"/>
        <w:ind w:firstLine="187"/>
        <w:rPr>
          <w:rFonts w:ascii="Times New Roman" w:hAnsi="Times New Roman"/>
          <w:lang w:val="pt-BR"/>
        </w:rPr>
      </w:pPr>
      <w:r w:rsidRPr="0081510C">
        <w:rPr>
          <w:rFonts w:ascii="Times New Roman" w:hAnsi="Times New Roman"/>
          <w:lang w:val="pt-BR"/>
        </w:rPr>
        <w:t>A espectroscopia de absorção na região UV-Visível foi realizada para obter os valores de energia da banda proibida (E</w:t>
      </w:r>
      <w:r w:rsidRPr="0081510C">
        <w:rPr>
          <w:rFonts w:ascii="Times New Roman" w:hAnsi="Times New Roman"/>
          <w:vertAlign w:val="subscript"/>
          <w:lang w:val="pt-BR"/>
        </w:rPr>
        <w:t>gap</w:t>
      </w:r>
      <w:r w:rsidRPr="0081510C">
        <w:rPr>
          <w:rFonts w:ascii="Times New Roman" w:hAnsi="Times New Roman"/>
          <w:lang w:val="pt-BR"/>
        </w:rPr>
        <w:t>) das amostras. Variações desses valores de E</w:t>
      </w:r>
      <w:r w:rsidRPr="0081510C">
        <w:rPr>
          <w:rFonts w:ascii="Times New Roman" w:hAnsi="Times New Roman"/>
          <w:vertAlign w:val="subscript"/>
          <w:lang w:val="pt-BR"/>
        </w:rPr>
        <w:t>gap</w:t>
      </w:r>
      <w:r w:rsidRPr="0081510C">
        <w:rPr>
          <w:rFonts w:ascii="Times New Roman" w:hAnsi="Times New Roman"/>
          <w:lang w:val="pt-BR"/>
        </w:rPr>
        <w:t xml:space="preserve"> devido ao doping podem ajudar a melhorar a atividade fotocatalítica dos semicondutores, pois podem aumentar a absorção de radiação na região visível. Um semicondutor sem defeitos deveria apresentar uma linha vertical para transferências de carga na região da banda proibida. No entanto, é observada </w:t>
      </w:r>
      <w:r w:rsidRPr="0081510C">
        <w:rPr>
          <w:rFonts w:ascii="Times New Roman" w:hAnsi="Times New Roman"/>
          <w:lang w:val="pt-BR"/>
        </w:rPr>
        <w:lastRenderedPageBreak/>
        <w:t xml:space="preserve">uma inclinação, conhecida como cauda de Urbach, em todas as amostras. Essa cauda é causada pela presença de defeitos causados por distorções estruturais na rede cristalina de </w:t>
      </w:r>
      <w:r w:rsidR="004E6BBD">
        <w:rPr>
          <w:rFonts w:ascii="Times New Roman" w:hAnsi="Times New Roman"/>
          <w:noProof/>
          <w:color w:val="000000" w:themeColor="text1"/>
          <w:sz w:val="24"/>
          <w:szCs w:val="24"/>
          <w:lang w:val="pt-BR"/>
        </w:rPr>
        <w:drawing>
          <wp:anchor distT="0" distB="0" distL="114300" distR="114300" simplePos="0" relativeHeight="251665408" behindDoc="0" locked="0" layoutInCell="1" allowOverlap="1" wp14:anchorId="6FF1683B" wp14:editId="1154F6F2">
            <wp:simplePos x="0" y="0"/>
            <wp:positionH relativeFrom="column">
              <wp:posOffset>3656281</wp:posOffset>
            </wp:positionH>
            <wp:positionV relativeFrom="paragraph">
              <wp:posOffset>669535</wp:posOffset>
            </wp:positionV>
            <wp:extent cx="2823210" cy="4168140"/>
            <wp:effectExtent l="0" t="0" r="0" b="3810"/>
            <wp:wrapTopAndBottom/>
            <wp:docPr id="4181740" name="Imagem 418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3.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3210" cy="4168140"/>
                    </a:xfrm>
                    <a:prstGeom prst="rect">
                      <a:avLst/>
                    </a:prstGeom>
                  </pic:spPr>
                </pic:pic>
              </a:graphicData>
            </a:graphic>
            <wp14:sizeRelH relativeFrom="margin">
              <wp14:pctWidth>0</wp14:pctWidth>
            </wp14:sizeRelH>
            <wp14:sizeRelV relativeFrom="margin">
              <wp14:pctHeight>0</wp14:pctHeight>
            </wp14:sizeRelV>
          </wp:anchor>
        </w:drawing>
      </w:r>
      <w:r w:rsidRPr="0081510C">
        <w:rPr>
          <w:rFonts w:ascii="Times New Roman" w:hAnsi="Times New Roman"/>
          <w:lang w:val="pt-BR"/>
        </w:rPr>
        <w:t>Ag</w:t>
      </w:r>
      <w:r w:rsidRPr="0081510C">
        <w:rPr>
          <w:rFonts w:ascii="Times New Roman" w:hAnsi="Times New Roman"/>
          <w:vertAlign w:val="subscript"/>
          <w:lang w:val="pt-BR"/>
        </w:rPr>
        <w:t>3</w:t>
      </w:r>
      <w:r w:rsidRPr="0081510C">
        <w:rPr>
          <w:rFonts w:ascii="Times New Roman" w:hAnsi="Times New Roman"/>
          <w:lang w:val="pt-BR"/>
        </w:rPr>
        <w:t>PO</w:t>
      </w:r>
      <w:r w:rsidRPr="0081510C">
        <w:rPr>
          <w:rFonts w:ascii="Times New Roman" w:hAnsi="Times New Roman"/>
          <w:vertAlign w:val="subscript"/>
          <w:lang w:val="pt-BR"/>
        </w:rPr>
        <w:t>4</w:t>
      </w:r>
      <w:r w:rsidRPr="0081510C">
        <w:rPr>
          <w:rFonts w:ascii="Times New Roman" w:hAnsi="Times New Roman"/>
          <w:lang w:val="pt-BR"/>
        </w:rPr>
        <w:t>. Essas distorções propagam-se pela rede por meio de interações átomo-átomo e cluster-cluster em curtas e médias distâncias, criando redistribuições localizadas de carga e novos níveis intermediários entre a banda de valência (VB) e a banda de condução (CB). Ag</w:t>
      </w:r>
      <w:r w:rsidRPr="0081510C">
        <w:rPr>
          <w:rFonts w:ascii="Times New Roman" w:hAnsi="Times New Roman"/>
          <w:vertAlign w:val="subscript"/>
          <w:lang w:val="pt-BR"/>
        </w:rPr>
        <w:t>3</w:t>
      </w:r>
      <w:r w:rsidRPr="0081510C">
        <w:rPr>
          <w:rFonts w:ascii="Times New Roman" w:hAnsi="Times New Roman"/>
          <w:lang w:val="pt-BR"/>
        </w:rPr>
        <w:t>PO</w:t>
      </w:r>
      <w:r w:rsidRPr="0081510C">
        <w:rPr>
          <w:rFonts w:ascii="Times New Roman" w:hAnsi="Times New Roman"/>
          <w:vertAlign w:val="subscript"/>
          <w:lang w:val="pt-BR"/>
        </w:rPr>
        <w:t>4</w:t>
      </w:r>
      <w:r w:rsidRPr="0081510C">
        <w:rPr>
          <w:rFonts w:ascii="Times New Roman" w:hAnsi="Times New Roman"/>
          <w:lang w:val="pt-BR"/>
        </w:rPr>
        <w:t xml:space="preserve"> é um semicondutor do tipo n, com transições indiretas permitidas na região da banda proibida.</w:t>
      </w:r>
      <w:r>
        <w:rPr>
          <w:rFonts w:ascii="Times New Roman" w:hAnsi="Times New Roman"/>
          <w:lang w:val="pt-BR"/>
        </w:rPr>
        <w:t xml:space="preserve"> </w:t>
      </w:r>
      <w:r w:rsidRPr="0081510C">
        <w:rPr>
          <w:rFonts w:ascii="Times New Roman" w:hAnsi="Times New Roman"/>
          <w:lang w:val="pt-BR"/>
        </w:rPr>
        <w:t>Os valores de E</w:t>
      </w:r>
      <w:r w:rsidRPr="0081510C">
        <w:rPr>
          <w:rFonts w:ascii="Times New Roman" w:hAnsi="Times New Roman"/>
          <w:vertAlign w:val="subscript"/>
          <w:lang w:val="pt-BR"/>
        </w:rPr>
        <w:t>gap</w:t>
      </w:r>
      <w:r w:rsidRPr="0081510C">
        <w:rPr>
          <w:rFonts w:ascii="Times New Roman" w:hAnsi="Times New Roman"/>
          <w:lang w:val="pt-BR"/>
        </w:rPr>
        <w:t xml:space="preserve"> foram obtidos usando o método de Kubelka-Munk, que é uma técnica comum para determinar a banda proibida. O valor de E_gap obtido para a amostra APO foi de 2,07 eV, o que está de acordo com os valores relatados em estudos anteriores. Para as amostras dopadas, observa-se uma tendência de diminuição dos valores de E</w:t>
      </w:r>
      <w:r w:rsidRPr="0081510C">
        <w:rPr>
          <w:rFonts w:ascii="Times New Roman" w:hAnsi="Times New Roman"/>
          <w:vertAlign w:val="subscript"/>
          <w:lang w:val="pt-BR"/>
        </w:rPr>
        <w:t>gap</w:t>
      </w:r>
      <w:r w:rsidRPr="0081510C">
        <w:rPr>
          <w:rFonts w:ascii="Times New Roman" w:hAnsi="Times New Roman"/>
          <w:lang w:val="pt-BR"/>
        </w:rPr>
        <w:t>. Isso ocorre devido à transferência de carga dos orbitais 4f dos átomos de Pr para os orbitais 2p dos átomos de Ag e O localizados na banda de condução de Ag</w:t>
      </w:r>
      <w:r w:rsidRPr="0081510C">
        <w:rPr>
          <w:rFonts w:ascii="Times New Roman" w:hAnsi="Times New Roman"/>
          <w:vertAlign w:val="subscript"/>
          <w:lang w:val="pt-BR"/>
        </w:rPr>
        <w:t>3</w:t>
      </w:r>
      <w:r w:rsidRPr="0081510C">
        <w:rPr>
          <w:rFonts w:ascii="Times New Roman" w:hAnsi="Times New Roman"/>
          <w:lang w:val="pt-BR"/>
        </w:rPr>
        <w:t>PO</w:t>
      </w:r>
      <w:r w:rsidRPr="0081510C">
        <w:rPr>
          <w:rFonts w:ascii="Times New Roman" w:hAnsi="Times New Roman"/>
          <w:vertAlign w:val="subscript"/>
          <w:lang w:val="pt-BR"/>
        </w:rPr>
        <w:t>4</w:t>
      </w:r>
      <w:r w:rsidRPr="0081510C">
        <w:rPr>
          <w:rFonts w:ascii="Times New Roman" w:hAnsi="Times New Roman"/>
          <w:lang w:val="pt-BR"/>
        </w:rPr>
        <w:t>. Outro fator que pode influenciar essa diminuição é a formação de defeitos profundos no semicondutor com a inserção de íons Pr</w:t>
      </w:r>
      <w:r w:rsidRPr="0081510C">
        <w:rPr>
          <w:rFonts w:ascii="Times New Roman" w:hAnsi="Times New Roman"/>
          <w:vertAlign w:val="superscript"/>
          <w:lang w:val="pt-BR"/>
        </w:rPr>
        <w:t>3+</w:t>
      </w:r>
      <w:r w:rsidRPr="0081510C">
        <w:rPr>
          <w:rFonts w:ascii="Times New Roman" w:hAnsi="Times New Roman"/>
          <w:lang w:val="pt-BR"/>
        </w:rPr>
        <w:t xml:space="preserve"> na rede </w:t>
      </w:r>
      <w:r w:rsidR="004E6BBD">
        <w:rPr>
          <w:rFonts w:ascii="Times New Roman" w:hAnsi="Times New Roman"/>
          <w:noProof/>
          <w:sz w:val="24"/>
          <w:szCs w:val="24"/>
          <w:lang w:val="pt-BR"/>
        </w:rPr>
        <w:drawing>
          <wp:anchor distT="0" distB="0" distL="114300" distR="114300" simplePos="0" relativeHeight="251663360" behindDoc="0" locked="0" layoutInCell="1" allowOverlap="1" wp14:anchorId="65C381A0" wp14:editId="2208C884">
            <wp:simplePos x="0" y="0"/>
            <wp:positionH relativeFrom="column">
              <wp:posOffset>295910</wp:posOffset>
            </wp:positionH>
            <wp:positionV relativeFrom="paragraph">
              <wp:posOffset>3423285</wp:posOffset>
            </wp:positionV>
            <wp:extent cx="2092325" cy="1811655"/>
            <wp:effectExtent l="0" t="0" r="3175" b="0"/>
            <wp:wrapTopAndBottom/>
            <wp:docPr id="1385833775" name="Imagem 1385833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de5.EMF"/>
                    <pic:cNvPicPr/>
                  </pic:nvPicPr>
                  <pic:blipFill rotWithShape="1">
                    <a:blip r:embed="rId12" cstate="print">
                      <a:extLst>
                        <a:ext uri="{28A0092B-C50C-407E-A947-70E740481C1C}">
                          <a14:useLocalDpi xmlns:a14="http://schemas.microsoft.com/office/drawing/2010/main" val="0"/>
                        </a:ext>
                      </a:extLst>
                    </a:blip>
                    <a:srcRect l="16510" t="8365" r="20979" b="54954"/>
                    <a:stretch/>
                  </pic:blipFill>
                  <pic:spPr bwMode="auto">
                    <a:xfrm>
                      <a:off x="0" y="0"/>
                      <a:ext cx="2092325" cy="1811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1510C">
        <w:rPr>
          <w:rFonts w:ascii="Times New Roman" w:hAnsi="Times New Roman"/>
          <w:lang w:val="pt-BR"/>
        </w:rPr>
        <w:t>hospedeira.</w:t>
      </w:r>
    </w:p>
    <w:p w14:paraId="678E60B0" w14:textId="77777777" w:rsidR="0081510C" w:rsidRDefault="0081510C" w:rsidP="0081510C">
      <w:pPr>
        <w:pStyle w:val="TAMainText"/>
        <w:ind w:firstLine="0"/>
        <w:rPr>
          <w:rFonts w:ascii="Times New Roman" w:hAnsi="Times New Roman"/>
          <w:sz w:val="18"/>
          <w:szCs w:val="18"/>
          <w:lang w:val="pt-BR"/>
        </w:rPr>
      </w:pPr>
      <w:r w:rsidRPr="0081510C">
        <w:rPr>
          <w:rFonts w:ascii="Times New Roman" w:hAnsi="Times New Roman"/>
          <w:b/>
          <w:sz w:val="18"/>
          <w:szCs w:val="18"/>
          <w:lang w:val="pt-BR"/>
        </w:rPr>
        <w:t xml:space="preserve">Figura </w:t>
      </w:r>
      <w:r>
        <w:rPr>
          <w:rFonts w:ascii="Times New Roman" w:hAnsi="Times New Roman"/>
          <w:b/>
          <w:sz w:val="18"/>
          <w:szCs w:val="18"/>
          <w:lang w:val="pt-BR"/>
        </w:rPr>
        <w:t>3</w:t>
      </w:r>
      <w:r w:rsidRPr="0081510C">
        <w:rPr>
          <w:rFonts w:ascii="Times New Roman" w:hAnsi="Times New Roman"/>
          <w:b/>
          <w:sz w:val="18"/>
          <w:szCs w:val="18"/>
          <w:lang w:val="pt-BR"/>
        </w:rPr>
        <w:t>.</w:t>
      </w:r>
      <w:r w:rsidRPr="0081510C">
        <w:rPr>
          <w:rFonts w:ascii="Times New Roman" w:hAnsi="Times New Roman"/>
          <w:sz w:val="18"/>
          <w:szCs w:val="18"/>
          <w:lang w:val="pt-BR"/>
        </w:rPr>
        <w:t xml:space="preserve"> Espectros de </w:t>
      </w:r>
      <w:r>
        <w:rPr>
          <w:rFonts w:ascii="Times New Roman" w:hAnsi="Times New Roman"/>
          <w:sz w:val="18"/>
          <w:szCs w:val="18"/>
          <w:lang w:val="pt-BR"/>
        </w:rPr>
        <w:t>UV-Vis das amostras</w:t>
      </w:r>
    </w:p>
    <w:p w14:paraId="5C20235E" w14:textId="77777777" w:rsidR="0081510C" w:rsidRDefault="0081510C" w:rsidP="0081510C">
      <w:pPr>
        <w:pStyle w:val="TAMainText"/>
        <w:ind w:firstLine="0"/>
        <w:rPr>
          <w:rFonts w:ascii="Times New Roman" w:hAnsi="Times New Roman"/>
          <w:sz w:val="18"/>
          <w:szCs w:val="18"/>
          <w:lang w:val="pt-BR"/>
        </w:rPr>
      </w:pPr>
    </w:p>
    <w:p w14:paraId="57F9A869" w14:textId="77777777" w:rsidR="008C2A25" w:rsidRDefault="008C2A25" w:rsidP="008C2A25">
      <w:pPr>
        <w:pStyle w:val="TAMainText"/>
        <w:rPr>
          <w:rFonts w:ascii="Times New Roman" w:hAnsi="Times New Roman"/>
          <w:lang w:val="pt-BR"/>
        </w:rPr>
      </w:pPr>
      <w:r w:rsidRPr="008C2A25">
        <w:rPr>
          <w:rFonts w:ascii="Times New Roman" w:hAnsi="Times New Roman"/>
          <w:lang w:val="pt-BR"/>
        </w:rPr>
        <w:t>Para analisar como as distorções causadas pela inserção dos íons Pr</w:t>
      </w:r>
      <w:r w:rsidRPr="008C2A25">
        <w:rPr>
          <w:rFonts w:ascii="Times New Roman" w:hAnsi="Times New Roman"/>
          <w:vertAlign w:val="superscript"/>
          <w:lang w:val="pt-BR"/>
        </w:rPr>
        <w:t>3+</w:t>
      </w:r>
      <w:r w:rsidRPr="008C2A25">
        <w:rPr>
          <w:rFonts w:ascii="Times New Roman" w:hAnsi="Times New Roman"/>
          <w:lang w:val="pt-BR"/>
        </w:rPr>
        <w:t xml:space="preserve"> afetam a morfologia do </w:t>
      </w:r>
      <w:r w:rsidRPr="0081510C">
        <w:rPr>
          <w:rFonts w:ascii="Times New Roman" w:hAnsi="Times New Roman"/>
          <w:lang w:val="pt-BR"/>
        </w:rPr>
        <w:t>Ag</w:t>
      </w:r>
      <w:r w:rsidRPr="0081510C">
        <w:rPr>
          <w:rFonts w:ascii="Times New Roman" w:hAnsi="Times New Roman"/>
          <w:vertAlign w:val="subscript"/>
          <w:lang w:val="pt-BR"/>
        </w:rPr>
        <w:t>3</w:t>
      </w:r>
      <w:r w:rsidRPr="0081510C">
        <w:rPr>
          <w:rFonts w:ascii="Times New Roman" w:hAnsi="Times New Roman"/>
          <w:lang w:val="pt-BR"/>
        </w:rPr>
        <w:t>PO</w:t>
      </w:r>
      <w:r w:rsidRPr="0081510C">
        <w:rPr>
          <w:rFonts w:ascii="Times New Roman" w:hAnsi="Times New Roman"/>
          <w:vertAlign w:val="subscript"/>
          <w:lang w:val="pt-BR"/>
        </w:rPr>
        <w:t>4</w:t>
      </w:r>
      <w:r w:rsidRPr="008C2A25">
        <w:rPr>
          <w:rFonts w:ascii="Times New Roman" w:hAnsi="Times New Roman"/>
          <w:lang w:val="pt-BR"/>
        </w:rPr>
        <w:t xml:space="preserve">, foram realizadas micrografias de FE-SEM e estão mostradas na Figura </w:t>
      </w:r>
      <w:r>
        <w:rPr>
          <w:rFonts w:ascii="Times New Roman" w:hAnsi="Times New Roman"/>
          <w:lang w:val="pt-BR"/>
        </w:rPr>
        <w:t>4</w:t>
      </w:r>
      <w:r w:rsidRPr="008C2A25">
        <w:rPr>
          <w:rFonts w:ascii="Times New Roman" w:hAnsi="Times New Roman"/>
          <w:lang w:val="pt-BR"/>
        </w:rPr>
        <w:t>A-F. Inicialmente, há uma redução no tamanho de partícula com a inserção de Pr</w:t>
      </w:r>
      <w:r w:rsidRPr="008C2A25">
        <w:rPr>
          <w:rFonts w:ascii="Times New Roman" w:hAnsi="Times New Roman"/>
          <w:vertAlign w:val="superscript"/>
          <w:lang w:val="pt-BR"/>
        </w:rPr>
        <w:t>3+</w:t>
      </w:r>
      <w:r w:rsidRPr="008C2A25">
        <w:rPr>
          <w:rFonts w:ascii="Times New Roman" w:hAnsi="Times New Roman"/>
          <w:lang w:val="pt-BR"/>
        </w:rPr>
        <w:t xml:space="preserve"> em baixas concentrações. Dessa forma, o tamanho médio de partícula passa de 357 nm para as amostras APO025, APO050, APO100, APO200 e APO400, respectivamente, com tamanhos de 121, 138, 168, 176 e 299 nm. Isso está relacionado às ligações Pr-O-P e ao aumento da tensão de rede, como mostrado anteriormente na análise de difração de raios-X.</w:t>
      </w:r>
      <w:r>
        <w:rPr>
          <w:rFonts w:ascii="Times New Roman" w:hAnsi="Times New Roman"/>
          <w:lang w:val="pt-BR"/>
        </w:rPr>
        <w:t xml:space="preserve"> </w:t>
      </w:r>
      <w:r w:rsidRPr="008C2A25">
        <w:rPr>
          <w:rFonts w:ascii="Times New Roman" w:hAnsi="Times New Roman"/>
          <w:lang w:val="pt-BR"/>
        </w:rPr>
        <w:t>Pode-se observar uma diferença entre os resultados obtidos para o tamanho de cristalito (que diminui com o aumento da concentração de Pr</w:t>
      </w:r>
      <w:r w:rsidRPr="008C2A25">
        <w:rPr>
          <w:rFonts w:ascii="Times New Roman" w:hAnsi="Times New Roman"/>
          <w:vertAlign w:val="superscript"/>
          <w:lang w:val="pt-BR"/>
        </w:rPr>
        <w:t>3+</w:t>
      </w:r>
      <w:r w:rsidRPr="008C2A25">
        <w:rPr>
          <w:rFonts w:ascii="Times New Roman" w:hAnsi="Times New Roman"/>
          <w:lang w:val="pt-BR"/>
        </w:rPr>
        <w:t xml:space="preserve">) e os resultados de tamanho de partícula obtidos por FE-SEM. Nesse caso, alguns fatores devem ser considerados para essa comparação. Primeiro, para calcular o tamanho de cristalito por Scherrer, a tensão de rede não é considerada, o que pode ter uma grande contribuição para o resultado. </w:t>
      </w:r>
      <w:r w:rsidRPr="008C2A25">
        <w:rPr>
          <w:rFonts w:ascii="Times New Roman" w:hAnsi="Times New Roman"/>
          <w:lang w:val="pt-BR"/>
        </w:rPr>
        <w:t>Além disso, observa-se que para amostras com maior quantidade de íons Pr</w:t>
      </w:r>
      <w:r w:rsidRPr="008C2A25">
        <w:rPr>
          <w:rFonts w:ascii="Times New Roman" w:hAnsi="Times New Roman"/>
          <w:vertAlign w:val="superscript"/>
          <w:lang w:val="pt-BR"/>
        </w:rPr>
        <w:t>3+</w:t>
      </w:r>
      <w:r w:rsidRPr="008C2A25">
        <w:rPr>
          <w:rFonts w:ascii="Times New Roman" w:hAnsi="Times New Roman"/>
          <w:lang w:val="pt-BR"/>
        </w:rPr>
        <w:t>, há uma aglomeração das partículas, o que pode estar relacionado à formação de PrPO</w:t>
      </w:r>
      <w:r w:rsidRPr="008C2A25">
        <w:rPr>
          <w:rFonts w:ascii="Times New Roman" w:hAnsi="Times New Roman"/>
          <w:vertAlign w:val="subscript"/>
          <w:lang w:val="pt-BR"/>
        </w:rPr>
        <w:t>4</w:t>
      </w:r>
      <w:r w:rsidRPr="008C2A25">
        <w:rPr>
          <w:rFonts w:ascii="Times New Roman" w:hAnsi="Times New Roman"/>
          <w:lang w:val="pt-BR"/>
        </w:rPr>
        <w:t xml:space="preserve"> superficial.</w:t>
      </w:r>
    </w:p>
    <w:p w14:paraId="1FBEA721" w14:textId="77777777" w:rsidR="008C2A25" w:rsidRPr="008C2A25" w:rsidRDefault="008C2A25" w:rsidP="008C2A25">
      <w:pPr>
        <w:pStyle w:val="TAMainText"/>
        <w:rPr>
          <w:rFonts w:ascii="Times New Roman" w:hAnsi="Times New Roman"/>
          <w:lang w:val="pt-BR"/>
        </w:rPr>
      </w:pPr>
    </w:p>
    <w:p w14:paraId="701E4E70" w14:textId="59FD7959" w:rsidR="008C2A25" w:rsidRDefault="008C2A25" w:rsidP="008C2A25">
      <w:pPr>
        <w:pStyle w:val="TAMainText"/>
        <w:ind w:firstLine="0"/>
        <w:rPr>
          <w:rFonts w:ascii="Times New Roman" w:hAnsi="Times New Roman"/>
          <w:sz w:val="18"/>
          <w:szCs w:val="18"/>
          <w:lang w:val="pt-BR"/>
        </w:rPr>
      </w:pPr>
      <w:r w:rsidRPr="0081510C">
        <w:rPr>
          <w:rFonts w:ascii="Times New Roman" w:hAnsi="Times New Roman"/>
          <w:b/>
          <w:sz w:val="18"/>
          <w:szCs w:val="18"/>
          <w:lang w:val="pt-BR"/>
        </w:rPr>
        <w:t xml:space="preserve">Figura </w:t>
      </w:r>
      <w:r>
        <w:rPr>
          <w:rFonts w:ascii="Times New Roman" w:hAnsi="Times New Roman"/>
          <w:b/>
          <w:sz w:val="18"/>
          <w:szCs w:val="18"/>
          <w:lang w:val="pt-BR"/>
        </w:rPr>
        <w:t>4</w:t>
      </w:r>
      <w:r w:rsidRPr="0081510C">
        <w:rPr>
          <w:rFonts w:ascii="Times New Roman" w:hAnsi="Times New Roman"/>
          <w:b/>
          <w:sz w:val="18"/>
          <w:szCs w:val="18"/>
          <w:lang w:val="pt-BR"/>
        </w:rPr>
        <w:t>.</w:t>
      </w:r>
      <w:r w:rsidRPr="0081510C">
        <w:rPr>
          <w:rFonts w:ascii="Times New Roman" w:hAnsi="Times New Roman"/>
          <w:sz w:val="18"/>
          <w:szCs w:val="18"/>
          <w:lang w:val="pt-BR"/>
        </w:rPr>
        <w:t xml:space="preserve"> </w:t>
      </w:r>
      <w:r w:rsidRPr="008C2A25">
        <w:rPr>
          <w:rFonts w:ascii="Times New Roman" w:hAnsi="Times New Roman"/>
          <w:sz w:val="18"/>
          <w:szCs w:val="18"/>
          <w:lang w:val="pt-BR"/>
        </w:rPr>
        <w:t>Micrografias de FE-SEM das amostras: A) APO, B) APO025, C) APO050, D) APO100, E) APO200 e F) APO400. G) Evolução da morfologia experimental e morfologia teórica pela construção de Wullf.</w:t>
      </w:r>
    </w:p>
    <w:p w14:paraId="55B41A65" w14:textId="77777777" w:rsidR="008C2A25" w:rsidRPr="008C2A25" w:rsidRDefault="008C2A25" w:rsidP="008C2A25">
      <w:pPr>
        <w:pStyle w:val="TAMainText"/>
        <w:rPr>
          <w:rFonts w:ascii="Times New Roman" w:hAnsi="Times New Roman"/>
          <w:lang w:val="pt-BR"/>
        </w:rPr>
      </w:pPr>
    </w:p>
    <w:p w14:paraId="79656A55" w14:textId="77777777" w:rsidR="0081510C" w:rsidRDefault="008C2A25" w:rsidP="008C2A25">
      <w:pPr>
        <w:pStyle w:val="TAMainText"/>
        <w:ind w:firstLine="187"/>
        <w:rPr>
          <w:rFonts w:ascii="Times New Roman" w:hAnsi="Times New Roman"/>
          <w:lang w:val="pt-BR"/>
        </w:rPr>
      </w:pPr>
      <w:r w:rsidRPr="008C2A25">
        <w:rPr>
          <w:rFonts w:ascii="Times New Roman" w:hAnsi="Times New Roman"/>
          <w:lang w:val="pt-BR"/>
        </w:rPr>
        <w:t>De acordo com Botelho et al.,</w:t>
      </w:r>
      <w:r>
        <w:rPr>
          <w:rFonts w:ascii="Times New Roman" w:hAnsi="Times New Roman"/>
          <w:lang w:val="pt-BR"/>
        </w:rPr>
        <w:t>[8]</w:t>
      </w:r>
      <w:r w:rsidRPr="008C2A25">
        <w:rPr>
          <w:rFonts w:ascii="Times New Roman" w:hAnsi="Times New Roman"/>
          <w:lang w:val="pt-BR"/>
        </w:rPr>
        <w:t xml:space="preserve"> todas as morfologias do </w:t>
      </w:r>
      <w:r w:rsidRPr="0081510C">
        <w:rPr>
          <w:rFonts w:ascii="Times New Roman" w:hAnsi="Times New Roman"/>
          <w:lang w:val="pt-BR"/>
        </w:rPr>
        <w:t>Ag</w:t>
      </w:r>
      <w:r w:rsidRPr="0081510C">
        <w:rPr>
          <w:rFonts w:ascii="Times New Roman" w:hAnsi="Times New Roman"/>
          <w:vertAlign w:val="subscript"/>
          <w:lang w:val="pt-BR"/>
        </w:rPr>
        <w:t>3</w:t>
      </w:r>
      <w:r w:rsidRPr="0081510C">
        <w:rPr>
          <w:rFonts w:ascii="Times New Roman" w:hAnsi="Times New Roman"/>
          <w:lang w:val="pt-BR"/>
        </w:rPr>
        <w:t>PO</w:t>
      </w:r>
      <w:r w:rsidRPr="0081510C">
        <w:rPr>
          <w:rFonts w:ascii="Times New Roman" w:hAnsi="Times New Roman"/>
          <w:vertAlign w:val="subscript"/>
          <w:lang w:val="pt-BR"/>
        </w:rPr>
        <w:t>4</w:t>
      </w:r>
      <w:r w:rsidRPr="008C2A25">
        <w:rPr>
          <w:rFonts w:ascii="Times New Roman" w:hAnsi="Times New Roman"/>
          <w:lang w:val="pt-BR"/>
        </w:rPr>
        <w:t xml:space="preserve"> podem ser obtidas através das superfícies [100], [110] e [111] da construção de Wulff. Dessa forma, a estabilização de morfologias específicas pode ser feita por meio de alterações nas energias de superfície dessas três superfícies. Assim, pode-se observar na Figura </w:t>
      </w:r>
      <w:r>
        <w:rPr>
          <w:rFonts w:ascii="Times New Roman" w:hAnsi="Times New Roman"/>
          <w:lang w:val="pt-BR"/>
        </w:rPr>
        <w:t>4</w:t>
      </w:r>
      <w:r w:rsidRPr="008C2A25">
        <w:rPr>
          <w:rFonts w:ascii="Times New Roman" w:hAnsi="Times New Roman"/>
          <w:lang w:val="pt-BR"/>
        </w:rPr>
        <w:t>G que a amostra APO não possui sua morfologia ideal (que seria a mais termodinamicamente estável), uma vez que para chegar a uma morfologia teórica semelhante à observada experimentalmente, é necessário reduzir a energia da superfície [100] para 1,00 J/m². Com a adição de íons Pr</w:t>
      </w:r>
      <w:r w:rsidRPr="008C2A25">
        <w:rPr>
          <w:rFonts w:ascii="Times New Roman" w:hAnsi="Times New Roman"/>
          <w:vertAlign w:val="superscript"/>
          <w:lang w:val="pt-BR"/>
        </w:rPr>
        <w:t>3+</w:t>
      </w:r>
      <w:r w:rsidRPr="008C2A25">
        <w:rPr>
          <w:rFonts w:ascii="Times New Roman" w:hAnsi="Times New Roman"/>
          <w:lang w:val="pt-BR"/>
        </w:rPr>
        <w:t xml:space="preserve"> na rede de </w:t>
      </w:r>
      <w:r w:rsidRPr="0081510C">
        <w:rPr>
          <w:rFonts w:ascii="Times New Roman" w:hAnsi="Times New Roman"/>
          <w:lang w:val="pt-BR"/>
        </w:rPr>
        <w:t>Ag</w:t>
      </w:r>
      <w:r w:rsidRPr="0081510C">
        <w:rPr>
          <w:rFonts w:ascii="Times New Roman" w:hAnsi="Times New Roman"/>
          <w:vertAlign w:val="subscript"/>
          <w:lang w:val="pt-BR"/>
        </w:rPr>
        <w:t>3</w:t>
      </w:r>
      <w:r w:rsidRPr="0081510C">
        <w:rPr>
          <w:rFonts w:ascii="Times New Roman" w:hAnsi="Times New Roman"/>
          <w:lang w:val="pt-BR"/>
        </w:rPr>
        <w:t>PO</w:t>
      </w:r>
      <w:r w:rsidRPr="0081510C">
        <w:rPr>
          <w:rFonts w:ascii="Times New Roman" w:hAnsi="Times New Roman"/>
          <w:vertAlign w:val="subscript"/>
          <w:lang w:val="pt-BR"/>
        </w:rPr>
        <w:t>4</w:t>
      </w:r>
      <w:r w:rsidRPr="008C2A25">
        <w:rPr>
          <w:rFonts w:ascii="Times New Roman" w:hAnsi="Times New Roman"/>
          <w:lang w:val="pt-BR"/>
        </w:rPr>
        <w:t>, observa-se que, para a obtenção teórica da morfologia observada experimentalmente, essa energia deve ser reduzida ainda mais, para 0,70 J/m². Isso sugere que a inserção de Pr</w:t>
      </w:r>
      <w:r w:rsidRPr="008C2A25">
        <w:rPr>
          <w:rFonts w:ascii="Times New Roman" w:hAnsi="Times New Roman"/>
          <w:vertAlign w:val="superscript"/>
          <w:lang w:val="pt-BR"/>
        </w:rPr>
        <w:t>3+</w:t>
      </w:r>
      <w:r w:rsidRPr="008C2A25">
        <w:rPr>
          <w:rFonts w:ascii="Times New Roman" w:hAnsi="Times New Roman"/>
          <w:lang w:val="pt-BR"/>
        </w:rPr>
        <w:t xml:space="preserve"> causa, em particular, a estabilização da superfície [100] do </w:t>
      </w:r>
      <w:r w:rsidRPr="0081510C">
        <w:rPr>
          <w:rFonts w:ascii="Times New Roman" w:hAnsi="Times New Roman"/>
          <w:lang w:val="pt-BR"/>
        </w:rPr>
        <w:t>Ag</w:t>
      </w:r>
      <w:r w:rsidRPr="0081510C">
        <w:rPr>
          <w:rFonts w:ascii="Times New Roman" w:hAnsi="Times New Roman"/>
          <w:vertAlign w:val="subscript"/>
          <w:lang w:val="pt-BR"/>
        </w:rPr>
        <w:t>3</w:t>
      </w:r>
      <w:r w:rsidRPr="0081510C">
        <w:rPr>
          <w:rFonts w:ascii="Times New Roman" w:hAnsi="Times New Roman"/>
          <w:lang w:val="pt-BR"/>
        </w:rPr>
        <w:t>PO</w:t>
      </w:r>
      <w:r w:rsidRPr="0081510C">
        <w:rPr>
          <w:rFonts w:ascii="Times New Roman" w:hAnsi="Times New Roman"/>
          <w:vertAlign w:val="subscript"/>
          <w:lang w:val="pt-BR"/>
        </w:rPr>
        <w:t>4</w:t>
      </w:r>
      <w:r w:rsidRPr="008C2A25">
        <w:rPr>
          <w:rFonts w:ascii="Times New Roman" w:hAnsi="Times New Roman"/>
          <w:lang w:val="pt-BR"/>
        </w:rPr>
        <w:t xml:space="preserve">, diminuindo a exposição da </w:t>
      </w:r>
      <w:r w:rsidRPr="008C2A25">
        <w:rPr>
          <w:rFonts w:ascii="Times New Roman" w:hAnsi="Times New Roman"/>
          <w:lang w:val="pt-BR"/>
        </w:rPr>
        <w:lastRenderedPageBreak/>
        <w:t>superfície [110] e aumentando a exposição da superfície [100], o que foi responsável pelo aumento da atividade fotocatalítica. Para as amostras APO200 e APO400, não foi possível observar uma morfologia distinta devido à alta taxa de aglomeração.</w:t>
      </w:r>
    </w:p>
    <w:p w14:paraId="42AD3052" w14:textId="35261B6E" w:rsidR="008C2A25" w:rsidRDefault="008C2A25" w:rsidP="008C2A25">
      <w:pPr>
        <w:pStyle w:val="TAMainText"/>
        <w:ind w:firstLine="187"/>
        <w:rPr>
          <w:rFonts w:ascii="Times New Roman" w:hAnsi="Times New Roman"/>
          <w:lang w:val="pt-BR"/>
        </w:rPr>
      </w:pPr>
      <w:r w:rsidRPr="008C2A25">
        <w:rPr>
          <w:rFonts w:ascii="Times New Roman" w:hAnsi="Times New Roman"/>
          <w:lang w:val="pt-BR"/>
        </w:rPr>
        <w:t xml:space="preserve">A Figura </w:t>
      </w:r>
      <w:r>
        <w:rPr>
          <w:rFonts w:ascii="Times New Roman" w:hAnsi="Times New Roman"/>
          <w:lang w:val="pt-BR"/>
        </w:rPr>
        <w:t>5</w:t>
      </w:r>
      <w:r w:rsidRPr="008C2A25">
        <w:rPr>
          <w:rFonts w:ascii="Times New Roman" w:hAnsi="Times New Roman"/>
          <w:lang w:val="pt-BR"/>
        </w:rPr>
        <w:t>A-B mostra os resultados de fotodegradação das amostras quando o RhB e o MB são descoloridos. O processo de fotodegradação pode ser dividido em três etapas distintas: adsorção, criação de portadores de carga e formação de espécies reativas.</w:t>
      </w:r>
      <w:r w:rsidR="004E6BBD">
        <w:rPr>
          <w:rFonts w:ascii="Times New Roman" w:hAnsi="Times New Roman"/>
          <w:lang w:val="pt-BR"/>
        </w:rPr>
        <w:t xml:space="preserve"> Testes iniciais de adsorção foram realizados (até 1h no escuro), observando-se que ocorre a estabilização do processo adsortivo após 10 min.</w:t>
      </w:r>
      <w:r w:rsidRPr="008C2A25">
        <w:rPr>
          <w:rFonts w:ascii="Times New Roman" w:hAnsi="Times New Roman"/>
          <w:lang w:val="pt-BR"/>
        </w:rPr>
        <w:t xml:space="preserve"> Para a adsorção de ambos os corantes, há um aumento nas amostras dopadas em relação à amostra pura. Esse aumento ocorre devido a alterações nas propriedades físicas e químicas da superfície, que causam o surgimento de novos sítios adsorventes. Esse resultado, associado à redução do tamanho de partícula e às armadilhas de recombinação de portadores de carga, mostra que a dopagem de semicondutores com íons Pr</w:t>
      </w:r>
      <w:r w:rsidRPr="008C2A25">
        <w:rPr>
          <w:rFonts w:ascii="Times New Roman" w:hAnsi="Times New Roman"/>
          <w:vertAlign w:val="superscript"/>
          <w:lang w:val="pt-BR"/>
        </w:rPr>
        <w:t>3+</w:t>
      </w:r>
      <w:r w:rsidRPr="008C2A25">
        <w:rPr>
          <w:rFonts w:ascii="Times New Roman" w:hAnsi="Times New Roman"/>
          <w:lang w:val="pt-BR"/>
        </w:rPr>
        <w:t xml:space="preserve"> é um caminho potencial para melhorar a atividade fotocatalítica. Além disso, sabe-se que o Pr</w:t>
      </w:r>
      <w:r w:rsidRPr="008C2A25">
        <w:rPr>
          <w:rFonts w:ascii="Times New Roman" w:hAnsi="Times New Roman"/>
          <w:vertAlign w:val="superscript"/>
          <w:lang w:val="pt-BR"/>
        </w:rPr>
        <w:t>3+</w:t>
      </w:r>
      <w:r w:rsidRPr="008C2A25">
        <w:rPr>
          <w:rFonts w:ascii="Times New Roman" w:hAnsi="Times New Roman"/>
          <w:lang w:val="pt-BR"/>
        </w:rPr>
        <w:t xml:space="preserve"> pode formar complexos com grupos de nitrogênio, aumentando a interação das amostras dopadas com as moléculas dos dois corantes. Os efeitos do aumento da adsorção estão diretamente relacionados ao aumento da atividade fotocatalítica das amostras dopadas também. Dessa forma, a eficiência passa de 93% (MB) e 90% (RhB) em 10 minutos para a amostra APO para 100% (MB e RhB) em 4 minutos para as amostras dopadas.</w:t>
      </w:r>
    </w:p>
    <w:p w14:paraId="092393EE" w14:textId="77777777" w:rsidR="003A7441" w:rsidRPr="003A7441" w:rsidRDefault="003A7441" w:rsidP="003A7441">
      <w:pPr>
        <w:pStyle w:val="TAMainText"/>
        <w:ind w:firstLine="187"/>
        <w:rPr>
          <w:rFonts w:ascii="Times New Roman" w:hAnsi="Times New Roman"/>
          <w:lang w:val="pt-BR"/>
        </w:rPr>
      </w:pPr>
      <w:r w:rsidRPr="003A7441">
        <w:rPr>
          <w:rFonts w:ascii="Times New Roman" w:hAnsi="Times New Roman"/>
          <w:lang w:val="pt-BR"/>
        </w:rPr>
        <w:t xml:space="preserve">Para analisar o comportamento cinético das amostras em relação à fotodegradação dos corantes, o modelo cinético de pseudo-primeira ordem foi aplicado às amostras (Figura </w:t>
      </w:r>
      <w:r>
        <w:rPr>
          <w:rFonts w:ascii="Times New Roman" w:hAnsi="Times New Roman"/>
          <w:lang w:val="pt-BR"/>
        </w:rPr>
        <w:t>5</w:t>
      </w:r>
      <w:r w:rsidRPr="003A7441">
        <w:rPr>
          <w:rFonts w:ascii="Times New Roman" w:hAnsi="Times New Roman"/>
          <w:lang w:val="pt-BR"/>
        </w:rPr>
        <w:t>C-D). Para todas as amostras, são observados valores de R² maiores que 0,900, mostrando um bom ajuste ao modelo cinético escolhido. Para amostras com até 1% de íons Pr</w:t>
      </w:r>
      <w:r w:rsidRPr="003A7441">
        <w:rPr>
          <w:rFonts w:ascii="Times New Roman" w:hAnsi="Times New Roman"/>
          <w:vertAlign w:val="superscript"/>
          <w:lang w:val="pt-BR"/>
        </w:rPr>
        <w:t>3+</w:t>
      </w:r>
      <w:r w:rsidRPr="003A7441">
        <w:rPr>
          <w:rFonts w:ascii="Times New Roman" w:hAnsi="Times New Roman"/>
          <w:lang w:val="pt-BR"/>
        </w:rPr>
        <w:t>, observa-se um aumento nos valores de taxa de reação (k), corroborando os resultados obtidos anteriormente, sendo que as amostras APO100 e APO050 apresentam os maiores valores de k para os corantes MB e RhB, respectivamente. Para amostras com concentrações acima de 1% de substituição, é observada uma pequena redução nos valores de k obtidos. Isso ocorre devido ao fato de que grandes quantidades de substituição por íons de terras raras podem gerar centros de recombinação de portadores de carga, reduzindo a eficiência fotocatalítica.</w:t>
      </w:r>
    </w:p>
    <w:p w14:paraId="34EED8A5" w14:textId="77777777" w:rsidR="003A7441" w:rsidRDefault="003A7441" w:rsidP="003A7441">
      <w:pPr>
        <w:pStyle w:val="TAMainText"/>
        <w:ind w:firstLine="187"/>
        <w:rPr>
          <w:rFonts w:ascii="Times New Roman" w:hAnsi="Times New Roman"/>
          <w:lang w:val="pt-BR"/>
        </w:rPr>
      </w:pPr>
      <w:r w:rsidRPr="003A7441">
        <w:rPr>
          <w:rFonts w:ascii="Times New Roman" w:hAnsi="Times New Roman"/>
          <w:lang w:val="pt-BR"/>
        </w:rPr>
        <w:t xml:space="preserve">Foram realizados testes de estabilidade fotocatalítica para analisar as respostas das melhores amostras a ciclos de fotodegradação e sua resistência à fotocorrosão. Dessa forma, foram realizados 5 ciclos de fotodegradação para as amostras APO100 e APO050 com MB e RhB, respectivamente (Figuras </w:t>
      </w:r>
      <w:r>
        <w:rPr>
          <w:rFonts w:ascii="Times New Roman" w:hAnsi="Times New Roman"/>
          <w:lang w:val="pt-BR"/>
        </w:rPr>
        <w:t>5</w:t>
      </w:r>
      <w:r w:rsidRPr="003A7441">
        <w:rPr>
          <w:rFonts w:ascii="Times New Roman" w:hAnsi="Times New Roman"/>
          <w:lang w:val="pt-BR"/>
        </w:rPr>
        <w:t xml:space="preserve">E-F). Para a amostra APO100, observa-se uma redução abrupta na fotodegradação do corante a partir do quarto ciclo, reduzindo essa atividade em 54% ao final do quinto ciclo. Essa perda é devida à </w:t>
      </w:r>
      <w:r w:rsidRPr="003A7441">
        <w:rPr>
          <w:rFonts w:ascii="Times New Roman" w:hAnsi="Times New Roman"/>
          <w:lang w:val="pt-BR"/>
        </w:rPr>
        <w:t>fotocorrosão do semicondutor, que acaba causando a formação de Ag</w:t>
      </w:r>
      <w:r w:rsidRPr="003A7441">
        <w:rPr>
          <w:rFonts w:ascii="Times New Roman" w:hAnsi="Times New Roman"/>
          <w:vertAlign w:val="superscript"/>
          <w:lang w:val="pt-BR"/>
        </w:rPr>
        <w:t>0</w:t>
      </w:r>
      <w:r w:rsidRPr="003A7441">
        <w:rPr>
          <w:rFonts w:ascii="Times New Roman" w:hAnsi="Times New Roman"/>
          <w:lang w:val="pt-BR"/>
        </w:rPr>
        <w:t xml:space="preserve"> e AgO (Figura </w:t>
      </w:r>
      <w:r>
        <w:rPr>
          <w:rFonts w:ascii="Times New Roman" w:hAnsi="Times New Roman"/>
          <w:lang w:val="pt-BR"/>
        </w:rPr>
        <w:t>6</w:t>
      </w:r>
      <w:r w:rsidRPr="003A7441">
        <w:rPr>
          <w:rFonts w:ascii="Times New Roman" w:hAnsi="Times New Roman"/>
          <w:lang w:val="pt-BR"/>
        </w:rPr>
        <w:t xml:space="preserve">), que causam alterações nos sítios ativos e nas morfologias da amostra, reduzindo a eficiência da amostra. Outro fator a ser levado em consideração é que, após os ciclos de fotodegradação, há uma degradação da superfície das partículas em relação à inicial, além de sua coalescência (Figura </w:t>
      </w:r>
      <w:r>
        <w:rPr>
          <w:rFonts w:ascii="Times New Roman" w:hAnsi="Times New Roman"/>
          <w:lang w:val="pt-BR"/>
        </w:rPr>
        <w:t>7</w:t>
      </w:r>
      <w:r w:rsidRPr="003A7441">
        <w:rPr>
          <w:rFonts w:ascii="Times New Roman" w:hAnsi="Times New Roman"/>
          <w:lang w:val="pt-BR"/>
        </w:rPr>
        <w:t xml:space="preserve">). Isso faz com que a disponibilidade de sítios ativos para o processo fotocatalítico seja afetada, diminuindo a eficiência para a fotodegradação. Para a amostra APO050, observa-se boa estabilidade durante os ciclos fotocatalíticos, mostrando uma diminuição de apenas 7% na eficiência fotocatalítica ao final do quinto ciclo. Essa diferença entre os corantes se deve a diferentes interações entre as amostras e os corantes, devido à alteração na estrutura química dos corantes. Corroborando com os resultados de fotocatálise obtidos anteriormente, foram realizados testes de scavengers para propor o mecanismo de ação dos semicondutores (Figuras </w:t>
      </w:r>
      <w:r>
        <w:rPr>
          <w:rFonts w:ascii="Times New Roman" w:hAnsi="Times New Roman"/>
          <w:lang w:val="pt-BR"/>
        </w:rPr>
        <w:t>5</w:t>
      </w:r>
      <w:r w:rsidRPr="003A7441">
        <w:rPr>
          <w:rFonts w:ascii="Times New Roman" w:hAnsi="Times New Roman"/>
          <w:lang w:val="pt-BR"/>
        </w:rPr>
        <w:t>G-H).</w:t>
      </w:r>
    </w:p>
    <w:p w14:paraId="49F9FAD9" w14:textId="11F71A77" w:rsidR="003A7441" w:rsidRDefault="004E6BBD" w:rsidP="003A7441">
      <w:pPr>
        <w:pStyle w:val="TAMainText"/>
        <w:ind w:firstLine="187"/>
        <w:rPr>
          <w:rFonts w:ascii="Times New Roman" w:hAnsi="Times New Roman"/>
          <w:lang w:val="pt-BR"/>
        </w:rPr>
      </w:pPr>
      <w:r>
        <w:rPr>
          <w:rFonts w:ascii="Times New Roman" w:hAnsi="Times New Roman"/>
          <w:noProof/>
          <w:sz w:val="24"/>
          <w:szCs w:val="24"/>
          <w:lang w:val="pt-BR"/>
        </w:rPr>
        <w:drawing>
          <wp:anchor distT="0" distB="0" distL="114300" distR="114300" simplePos="0" relativeHeight="251669504" behindDoc="0" locked="0" layoutInCell="1" allowOverlap="1" wp14:anchorId="6F632C9E" wp14:editId="44D7FA41">
            <wp:simplePos x="0" y="0"/>
            <wp:positionH relativeFrom="column">
              <wp:posOffset>95396</wp:posOffset>
            </wp:positionH>
            <wp:positionV relativeFrom="paragraph">
              <wp:posOffset>117719</wp:posOffset>
            </wp:positionV>
            <wp:extent cx="2726690" cy="4026535"/>
            <wp:effectExtent l="0" t="0" r="0" b="0"/>
            <wp:wrapTopAndBottom/>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de7.E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6690" cy="4026535"/>
                    </a:xfrm>
                    <a:prstGeom prst="rect">
                      <a:avLst/>
                    </a:prstGeom>
                  </pic:spPr>
                </pic:pic>
              </a:graphicData>
            </a:graphic>
            <wp14:sizeRelH relativeFrom="margin">
              <wp14:pctWidth>0</wp14:pctWidth>
            </wp14:sizeRelH>
            <wp14:sizeRelV relativeFrom="margin">
              <wp14:pctHeight>0</wp14:pctHeight>
            </wp14:sizeRelV>
          </wp:anchor>
        </w:drawing>
      </w:r>
    </w:p>
    <w:p w14:paraId="1619268F" w14:textId="77777777" w:rsidR="003A7441" w:rsidRDefault="003A7441" w:rsidP="003A7441">
      <w:pPr>
        <w:pStyle w:val="TAMainText"/>
        <w:ind w:firstLine="0"/>
        <w:rPr>
          <w:rFonts w:ascii="Times New Roman" w:hAnsi="Times New Roman"/>
          <w:sz w:val="18"/>
          <w:szCs w:val="18"/>
          <w:lang w:val="pt-BR"/>
        </w:rPr>
      </w:pPr>
      <w:r w:rsidRPr="0081510C">
        <w:rPr>
          <w:rFonts w:ascii="Times New Roman" w:hAnsi="Times New Roman"/>
          <w:b/>
          <w:sz w:val="18"/>
          <w:szCs w:val="18"/>
          <w:lang w:val="pt-BR"/>
        </w:rPr>
        <w:t xml:space="preserve">Figura </w:t>
      </w:r>
      <w:r>
        <w:rPr>
          <w:rFonts w:ascii="Times New Roman" w:hAnsi="Times New Roman"/>
          <w:b/>
          <w:sz w:val="18"/>
          <w:szCs w:val="18"/>
          <w:lang w:val="pt-BR"/>
        </w:rPr>
        <w:t>5</w:t>
      </w:r>
      <w:r w:rsidRPr="0081510C">
        <w:rPr>
          <w:rFonts w:ascii="Times New Roman" w:hAnsi="Times New Roman"/>
          <w:b/>
          <w:sz w:val="18"/>
          <w:szCs w:val="18"/>
          <w:lang w:val="pt-BR"/>
        </w:rPr>
        <w:t>.</w:t>
      </w:r>
      <w:r w:rsidRPr="0081510C">
        <w:rPr>
          <w:rFonts w:ascii="Times New Roman" w:hAnsi="Times New Roman"/>
          <w:sz w:val="18"/>
          <w:szCs w:val="18"/>
          <w:lang w:val="pt-BR"/>
        </w:rPr>
        <w:t xml:space="preserve"> </w:t>
      </w:r>
      <w:r w:rsidRPr="003A7441">
        <w:rPr>
          <w:rFonts w:ascii="Times New Roman" w:hAnsi="Times New Roman"/>
          <w:sz w:val="18"/>
          <w:szCs w:val="18"/>
          <w:lang w:val="pt-BR"/>
        </w:rPr>
        <w:t>Concentração relativa do corante (Ct/C0) para A) MB e B) RhB; Cinética da degradação do corante −ln(Ct/C0) versus tempo (min) para C) MB e D) RhB; Ciclos de reciclagem com o melhor catalisador para E) MB e F) RhB; Eficiência de degradação (%) do corante na presença de diferentes scavengers para G) MB e H) RhB.</w:t>
      </w:r>
    </w:p>
    <w:p w14:paraId="5DE8F99D" w14:textId="77777777" w:rsidR="00B830D9" w:rsidRPr="003A7441" w:rsidRDefault="003A7441" w:rsidP="003A7441">
      <w:pPr>
        <w:pStyle w:val="TAMainText"/>
        <w:ind w:firstLine="0"/>
        <w:rPr>
          <w:rFonts w:ascii="Times New Roman" w:hAnsi="Times New Roman"/>
          <w:lang w:val="pt-BR"/>
        </w:rPr>
      </w:pPr>
      <w:r>
        <w:rPr>
          <w:rFonts w:ascii="Times New Roman" w:hAnsi="Times New Roman"/>
          <w:b/>
          <w:bCs/>
          <w:noProof/>
          <w:sz w:val="24"/>
          <w:szCs w:val="24"/>
          <w:lang w:val="pt-BR"/>
        </w:rPr>
        <w:lastRenderedPageBreak/>
        <w:drawing>
          <wp:anchor distT="0" distB="0" distL="114300" distR="114300" simplePos="0" relativeHeight="251671552" behindDoc="0" locked="0" layoutInCell="1" allowOverlap="1" wp14:anchorId="22925108" wp14:editId="623B6450">
            <wp:simplePos x="0" y="0"/>
            <wp:positionH relativeFrom="column">
              <wp:posOffset>539115</wp:posOffset>
            </wp:positionH>
            <wp:positionV relativeFrom="paragraph">
              <wp:posOffset>135890</wp:posOffset>
            </wp:positionV>
            <wp:extent cx="1836420" cy="1584960"/>
            <wp:effectExtent l="0" t="0" r="0" b="0"/>
            <wp:wrapTopAndBottom/>
            <wp:docPr id="1651544925" name="Imagem 1651544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rotWithShape="1">
                    <a:blip r:embed="rId14" cstate="print">
                      <a:extLst>
                        <a:ext uri="{28A0092B-C50C-407E-A947-70E740481C1C}">
                          <a14:useLocalDpi xmlns:a14="http://schemas.microsoft.com/office/drawing/2010/main" val="0"/>
                        </a:ext>
                      </a:extLst>
                    </a:blip>
                    <a:srcRect l="10645" t="8427" r="11612" b="3932"/>
                    <a:stretch/>
                  </pic:blipFill>
                  <pic:spPr bwMode="auto">
                    <a:xfrm>
                      <a:off x="0" y="0"/>
                      <a:ext cx="1836420" cy="1584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BCE8AE" w14:textId="77777777" w:rsidR="00B830D9" w:rsidRDefault="000B7738">
      <w:pPr>
        <w:pStyle w:val="VAFigureCaption"/>
        <w:spacing w:before="0"/>
        <w:rPr>
          <w:rFonts w:ascii="Times New Roman" w:hAnsi="Times New Roman"/>
          <w:lang w:val="pt-BR"/>
        </w:rPr>
      </w:pPr>
      <w:r>
        <w:rPr>
          <w:rFonts w:ascii="Times New Roman" w:hAnsi="Times New Roman"/>
          <w:b/>
          <w:lang w:val="pt-BR"/>
        </w:rPr>
        <w:t xml:space="preserve">Figura </w:t>
      </w:r>
      <w:r w:rsidR="003A7441">
        <w:rPr>
          <w:rFonts w:ascii="Times New Roman" w:hAnsi="Times New Roman"/>
          <w:b/>
          <w:lang w:val="pt-BR"/>
        </w:rPr>
        <w:t>6</w:t>
      </w:r>
      <w:r>
        <w:rPr>
          <w:rFonts w:ascii="Times New Roman" w:hAnsi="Times New Roman"/>
          <w:b/>
          <w:lang w:val="pt-BR"/>
        </w:rPr>
        <w:t>.</w:t>
      </w:r>
      <w:r>
        <w:rPr>
          <w:rFonts w:ascii="Times New Roman" w:hAnsi="Times New Roman"/>
          <w:lang w:val="pt-BR"/>
        </w:rPr>
        <w:t xml:space="preserve"> </w:t>
      </w:r>
      <w:r w:rsidR="003A7441" w:rsidRPr="003A7441">
        <w:rPr>
          <w:rFonts w:ascii="Times New Roman" w:hAnsi="Times New Roman"/>
          <w:lang w:val="pt-BR"/>
        </w:rPr>
        <w:t>Padrões de difração de raios-X (XRD) das amostras após o processo fotocatalítico</w:t>
      </w:r>
      <w:r>
        <w:rPr>
          <w:rFonts w:ascii="Times New Roman" w:hAnsi="Times New Roman"/>
          <w:lang w:val="pt-BR"/>
        </w:rPr>
        <w:t xml:space="preserve">. </w:t>
      </w:r>
    </w:p>
    <w:p w14:paraId="63374396" w14:textId="77777777" w:rsidR="00B830D9" w:rsidRPr="009233B3" w:rsidRDefault="003A7441">
      <w:pPr>
        <w:pStyle w:val="TAMainText"/>
        <w:ind w:firstLine="0"/>
        <w:rPr>
          <w:lang w:val="pt-BR"/>
        </w:rPr>
      </w:pPr>
      <w:r>
        <w:rPr>
          <w:rFonts w:ascii="Times New Roman" w:hAnsi="Times New Roman"/>
          <w:noProof/>
          <w:sz w:val="24"/>
          <w:szCs w:val="24"/>
          <w:lang w:val="pt-BR"/>
        </w:rPr>
        <w:drawing>
          <wp:anchor distT="0" distB="0" distL="114300" distR="114300" simplePos="0" relativeHeight="251673600" behindDoc="0" locked="0" layoutInCell="1" allowOverlap="1" wp14:anchorId="559F3A57" wp14:editId="588DF119">
            <wp:simplePos x="0" y="0"/>
            <wp:positionH relativeFrom="column">
              <wp:posOffset>28575</wp:posOffset>
            </wp:positionH>
            <wp:positionV relativeFrom="paragraph">
              <wp:posOffset>185420</wp:posOffset>
            </wp:positionV>
            <wp:extent cx="2948940" cy="1169035"/>
            <wp:effectExtent l="0" t="0" r="3810" b="0"/>
            <wp:wrapTopAndBottom/>
            <wp:docPr id="1669231098" name="Imagem 166923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rotWithShape="1">
                    <a:blip r:embed="rId15" cstate="print">
                      <a:extLst>
                        <a:ext uri="{28A0092B-C50C-407E-A947-70E740481C1C}">
                          <a14:useLocalDpi xmlns:a14="http://schemas.microsoft.com/office/drawing/2010/main" val="0"/>
                        </a:ext>
                      </a:extLst>
                    </a:blip>
                    <a:srcRect l="33020" t="14799" r="2211" b="39548"/>
                    <a:stretch/>
                  </pic:blipFill>
                  <pic:spPr bwMode="auto">
                    <a:xfrm>
                      <a:off x="0" y="0"/>
                      <a:ext cx="2948940" cy="1169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28AC4E" w14:textId="77777777" w:rsidR="00B830D9" w:rsidRDefault="00B830D9">
      <w:pPr>
        <w:pStyle w:val="TAMainText"/>
        <w:ind w:firstLine="187"/>
        <w:rPr>
          <w:lang w:val="pt-BR"/>
        </w:rPr>
      </w:pPr>
    </w:p>
    <w:p w14:paraId="65670BDE" w14:textId="77777777" w:rsidR="00B830D9" w:rsidRDefault="000B7738">
      <w:pPr>
        <w:pStyle w:val="VAFigureCaption"/>
        <w:spacing w:before="0"/>
        <w:rPr>
          <w:rFonts w:ascii="Times New Roman" w:hAnsi="Times New Roman"/>
          <w:lang w:val="pt-BR"/>
        </w:rPr>
      </w:pPr>
      <w:r>
        <w:rPr>
          <w:rFonts w:ascii="Times New Roman" w:hAnsi="Times New Roman"/>
          <w:b/>
          <w:lang w:val="pt-BR"/>
        </w:rPr>
        <w:t xml:space="preserve">Figura </w:t>
      </w:r>
      <w:r w:rsidR="003A7441">
        <w:rPr>
          <w:rFonts w:ascii="Times New Roman" w:hAnsi="Times New Roman"/>
          <w:b/>
          <w:lang w:val="pt-BR"/>
        </w:rPr>
        <w:t>7</w:t>
      </w:r>
      <w:r>
        <w:rPr>
          <w:rFonts w:ascii="Times New Roman" w:hAnsi="Times New Roman"/>
          <w:b/>
          <w:lang w:val="pt-BR"/>
        </w:rPr>
        <w:t>.</w:t>
      </w:r>
      <w:r>
        <w:rPr>
          <w:rFonts w:ascii="Times New Roman" w:hAnsi="Times New Roman"/>
          <w:lang w:val="pt-BR"/>
        </w:rPr>
        <w:t xml:space="preserve"> </w:t>
      </w:r>
      <w:r w:rsidR="003A7441" w:rsidRPr="003A7441">
        <w:rPr>
          <w:rFonts w:ascii="Times New Roman" w:hAnsi="Times New Roman"/>
          <w:lang w:val="pt-BR"/>
        </w:rPr>
        <w:t>Micrografias de FE-SEM das amostras A) APO050 e B) APO100 após o processo fotocatalítico.</w:t>
      </w:r>
      <w:r>
        <w:rPr>
          <w:rFonts w:ascii="Times New Roman" w:hAnsi="Times New Roman"/>
          <w:lang w:val="pt-BR"/>
        </w:rPr>
        <w:t xml:space="preserve"> </w:t>
      </w:r>
    </w:p>
    <w:p w14:paraId="3D3F3431" w14:textId="77777777" w:rsidR="00B830D9" w:rsidRDefault="00B830D9">
      <w:pPr>
        <w:pStyle w:val="TAMainText"/>
        <w:rPr>
          <w:lang w:val="pt-BR"/>
        </w:rPr>
      </w:pPr>
    </w:p>
    <w:p w14:paraId="3CC20EE6" w14:textId="77777777" w:rsidR="00B830D9" w:rsidRDefault="000B7738">
      <w:pPr>
        <w:pStyle w:val="Ttulo2"/>
        <w:rPr>
          <w:rFonts w:ascii="Helvetica" w:hAnsi="Helvetica" w:cs="Helvetica"/>
          <w:sz w:val="24"/>
          <w:szCs w:val="24"/>
        </w:rPr>
      </w:pPr>
      <w:r>
        <w:rPr>
          <w:rFonts w:ascii="Helvetica" w:hAnsi="Helvetica" w:cs="Helvetica"/>
          <w:sz w:val="24"/>
          <w:szCs w:val="24"/>
        </w:rPr>
        <w:t>Conclusões</w:t>
      </w:r>
    </w:p>
    <w:p w14:paraId="7BC251E3" w14:textId="77777777" w:rsidR="003A7441" w:rsidRPr="003A7441" w:rsidRDefault="003A7441" w:rsidP="003A7441">
      <w:pPr>
        <w:pStyle w:val="TAMainText"/>
        <w:rPr>
          <w:rFonts w:ascii="Times New Roman" w:hAnsi="Times New Roman"/>
          <w:lang w:val="pt-BR"/>
        </w:rPr>
      </w:pPr>
      <w:r w:rsidRPr="003A7441">
        <w:rPr>
          <w:rFonts w:ascii="Times New Roman" w:hAnsi="Times New Roman"/>
          <w:lang w:val="pt-BR"/>
        </w:rPr>
        <w:t>O desenvolvimento da multifuncionalidade de um semicondutor é extremamente importante quando se pensa no desenvolvimento de novas tecnologias. Neste trabalho, foi observado que a adição de até 1% de Pr</w:t>
      </w:r>
      <w:r w:rsidRPr="003A7441">
        <w:rPr>
          <w:rFonts w:ascii="Times New Roman" w:hAnsi="Times New Roman"/>
          <w:vertAlign w:val="superscript"/>
          <w:lang w:val="pt-BR"/>
        </w:rPr>
        <w:t>3+</w:t>
      </w:r>
      <w:r w:rsidRPr="003A7441">
        <w:rPr>
          <w:rFonts w:ascii="Times New Roman" w:hAnsi="Times New Roman"/>
          <w:lang w:val="pt-BR"/>
        </w:rPr>
        <w:t xml:space="preserve"> na rede cristalina de Ag</w:t>
      </w:r>
      <w:r w:rsidRPr="003A7441">
        <w:rPr>
          <w:rFonts w:ascii="Times New Roman" w:hAnsi="Times New Roman"/>
          <w:vertAlign w:val="subscript"/>
          <w:lang w:val="pt-BR"/>
        </w:rPr>
        <w:t>3</w:t>
      </w:r>
      <w:r w:rsidRPr="003A7441">
        <w:rPr>
          <w:rFonts w:ascii="Times New Roman" w:hAnsi="Times New Roman"/>
          <w:lang w:val="pt-BR"/>
        </w:rPr>
        <w:t>PO</w:t>
      </w:r>
      <w:r w:rsidRPr="003A7441">
        <w:rPr>
          <w:rFonts w:ascii="Times New Roman" w:hAnsi="Times New Roman"/>
          <w:vertAlign w:val="subscript"/>
          <w:lang w:val="pt-BR"/>
        </w:rPr>
        <w:t>4</w:t>
      </w:r>
      <w:r w:rsidRPr="003A7441">
        <w:rPr>
          <w:rFonts w:ascii="Times New Roman" w:hAnsi="Times New Roman"/>
          <w:lang w:val="pt-BR"/>
        </w:rPr>
        <w:t xml:space="preserve"> forma um material dopado, e acima desse valor, é observada uma heteroestrutura formada por Ag</w:t>
      </w:r>
      <w:r w:rsidRPr="003A7441">
        <w:rPr>
          <w:rFonts w:ascii="Times New Roman" w:hAnsi="Times New Roman"/>
          <w:vertAlign w:val="subscript"/>
          <w:lang w:val="pt-BR"/>
        </w:rPr>
        <w:t>3</w:t>
      </w:r>
      <w:r w:rsidRPr="003A7441">
        <w:rPr>
          <w:rFonts w:ascii="Times New Roman" w:hAnsi="Times New Roman"/>
          <w:lang w:val="pt-BR"/>
        </w:rPr>
        <w:t>PO</w:t>
      </w:r>
      <w:r w:rsidRPr="003A7441">
        <w:rPr>
          <w:rFonts w:ascii="Times New Roman" w:hAnsi="Times New Roman"/>
          <w:vertAlign w:val="subscript"/>
          <w:lang w:val="pt-BR"/>
        </w:rPr>
        <w:t>4</w:t>
      </w:r>
      <w:r w:rsidRPr="003A7441">
        <w:rPr>
          <w:rFonts w:ascii="Times New Roman" w:hAnsi="Times New Roman"/>
          <w:lang w:val="pt-BR"/>
        </w:rPr>
        <w:t>/PrPO</w:t>
      </w:r>
      <w:r w:rsidRPr="003A7441">
        <w:rPr>
          <w:rFonts w:ascii="Times New Roman" w:hAnsi="Times New Roman"/>
          <w:vertAlign w:val="subscript"/>
          <w:lang w:val="pt-BR"/>
        </w:rPr>
        <w:t>4</w:t>
      </w:r>
      <w:r w:rsidRPr="003A7441">
        <w:rPr>
          <w:rFonts w:ascii="Times New Roman" w:hAnsi="Times New Roman"/>
          <w:lang w:val="pt-BR"/>
        </w:rPr>
        <w:t>. Essas amostras dopadas com Pr foram testadas contra a fotodegradação dos corantes RhB e MB, obtendo melhores resultados para as amostras dopadas com 0,5% e 1% de Pr</w:t>
      </w:r>
      <w:r w:rsidRPr="003A7441">
        <w:rPr>
          <w:rFonts w:ascii="Times New Roman" w:hAnsi="Times New Roman"/>
          <w:vertAlign w:val="superscript"/>
          <w:lang w:val="pt-BR"/>
        </w:rPr>
        <w:t>3+</w:t>
      </w:r>
      <w:r w:rsidRPr="003A7441">
        <w:rPr>
          <w:rFonts w:ascii="Times New Roman" w:hAnsi="Times New Roman"/>
          <w:lang w:val="pt-BR"/>
        </w:rPr>
        <w:t>. Além disso, durante os ciclos fotocatalíticos, apenas uma pequena redução da atividade fotocatalítica foi observada para MB após o terceiro ciclo, de modo que íons Pr</w:t>
      </w:r>
      <w:r w:rsidRPr="003A7441">
        <w:rPr>
          <w:rFonts w:ascii="Times New Roman" w:hAnsi="Times New Roman"/>
          <w:vertAlign w:val="superscript"/>
          <w:lang w:val="pt-BR"/>
        </w:rPr>
        <w:t>3+</w:t>
      </w:r>
      <w:r w:rsidRPr="003A7441">
        <w:rPr>
          <w:rFonts w:ascii="Times New Roman" w:hAnsi="Times New Roman"/>
          <w:lang w:val="pt-BR"/>
        </w:rPr>
        <w:t xml:space="preserve"> podem melhorar a estabilidade do semicondutor, reduzindo os processos de fotocorrosão.</w:t>
      </w:r>
    </w:p>
    <w:p w14:paraId="68CC647A" w14:textId="77777777" w:rsidR="003A7441" w:rsidRPr="003A7441" w:rsidRDefault="003A7441" w:rsidP="003A7441">
      <w:pPr>
        <w:rPr>
          <w:lang w:eastAsia="pt-BR"/>
        </w:rPr>
      </w:pPr>
    </w:p>
    <w:p w14:paraId="043795A2" w14:textId="77777777" w:rsidR="00B830D9" w:rsidRDefault="000B7738" w:rsidP="003A7441">
      <w:pPr>
        <w:pStyle w:val="Ttulo2"/>
        <w:rPr>
          <w:rFonts w:ascii="Helvetica" w:hAnsi="Helvetica" w:cs="Helvetica"/>
          <w:sz w:val="24"/>
          <w:szCs w:val="24"/>
        </w:rPr>
      </w:pPr>
      <w:r>
        <w:rPr>
          <w:rFonts w:ascii="Helvetica" w:hAnsi="Helvetica" w:cs="Helvetica"/>
          <w:sz w:val="24"/>
          <w:szCs w:val="24"/>
        </w:rPr>
        <w:t>Agradecimentos</w:t>
      </w:r>
    </w:p>
    <w:p w14:paraId="63741E3F" w14:textId="77777777" w:rsidR="00EE2A38" w:rsidRDefault="00EE2A38" w:rsidP="00EE2A38">
      <w:pPr>
        <w:pStyle w:val="TAMainText"/>
        <w:rPr>
          <w:rFonts w:ascii="Times New Roman" w:hAnsi="Times New Roman"/>
          <w:lang w:val="pt-BR"/>
        </w:rPr>
      </w:pPr>
      <w:r w:rsidRPr="0067566B">
        <w:rPr>
          <w:rFonts w:ascii="Times New Roman" w:hAnsi="Times New Roman"/>
          <w:lang w:val="pt-BR"/>
        </w:rPr>
        <w:t>Este trabalho foi financiado parcialmente pela Fundação de Amparo à Pesquisa do Estado de São Paulo – FAPESP (2013/07296-2), Financiadora de Estudos e Projetos – FINEP, e pela Coordenação de Aperfeiçoamento Pessoal de Nível Superior– CAPES (001). Marcelo Assis agrade</w:t>
      </w:r>
      <w:r>
        <w:rPr>
          <w:rFonts w:ascii="Times New Roman" w:hAnsi="Times New Roman"/>
          <w:lang w:val="pt-BR"/>
        </w:rPr>
        <w:t>ce</w:t>
      </w:r>
      <w:r w:rsidRPr="0067566B">
        <w:rPr>
          <w:rFonts w:ascii="Times New Roman" w:hAnsi="Times New Roman"/>
          <w:lang w:val="pt-BR"/>
        </w:rPr>
        <w:t xml:space="preserve"> pelo apoio d</w:t>
      </w:r>
      <w:r>
        <w:rPr>
          <w:rFonts w:ascii="Times New Roman" w:hAnsi="Times New Roman"/>
          <w:lang w:val="pt-BR"/>
        </w:rPr>
        <w:t>o contrato</w:t>
      </w:r>
      <w:r w:rsidRPr="0067566B">
        <w:rPr>
          <w:rFonts w:ascii="Times New Roman" w:hAnsi="Times New Roman"/>
          <w:lang w:val="pt-BR"/>
        </w:rPr>
        <w:t xml:space="preserve"> Margarita Salas MGS/2021/21 (UP2021-021)</w:t>
      </w:r>
      <w:r>
        <w:rPr>
          <w:rFonts w:ascii="Times New Roman" w:hAnsi="Times New Roman"/>
          <w:lang w:val="pt-BR"/>
        </w:rPr>
        <w:t xml:space="preserve"> financiado pelo programa da União Européia </w:t>
      </w:r>
      <w:r w:rsidRPr="0067566B">
        <w:rPr>
          <w:rFonts w:ascii="Times New Roman" w:hAnsi="Times New Roman"/>
          <w:lang w:val="pt-BR"/>
        </w:rPr>
        <w:t>Next Generatio</w:t>
      </w:r>
      <w:r>
        <w:rPr>
          <w:rFonts w:ascii="Times New Roman" w:hAnsi="Times New Roman"/>
          <w:lang w:val="pt-BR"/>
        </w:rPr>
        <w:t>n-</w:t>
      </w:r>
      <w:r w:rsidRPr="0067566B">
        <w:rPr>
          <w:rFonts w:ascii="Times New Roman" w:hAnsi="Times New Roman"/>
          <w:lang w:val="pt-BR"/>
        </w:rPr>
        <w:t>EU</w:t>
      </w:r>
      <w:r>
        <w:rPr>
          <w:rFonts w:ascii="Times New Roman" w:hAnsi="Times New Roman"/>
          <w:lang w:val="pt-BR"/>
        </w:rPr>
        <w:t>.</w:t>
      </w:r>
    </w:p>
    <w:p w14:paraId="78B95224" w14:textId="77777777" w:rsidR="00B830D9" w:rsidRPr="00EA4393" w:rsidRDefault="000B7738">
      <w:pPr>
        <w:pStyle w:val="Ttulo2"/>
        <w:rPr>
          <w:rFonts w:ascii="Helvetica" w:hAnsi="Helvetica" w:cs="Helvetica"/>
          <w:sz w:val="24"/>
          <w:szCs w:val="24"/>
          <w:lang w:val="en-US"/>
        </w:rPr>
      </w:pPr>
      <w:r w:rsidRPr="00EA4393">
        <w:rPr>
          <w:rFonts w:ascii="Helvetica" w:hAnsi="Helvetica" w:cs="Helvetica"/>
          <w:sz w:val="24"/>
          <w:szCs w:val="24"/>
          <w:lang w:val="en-US"/>
        </w:rPr>
        <w:t>Referências</w:t>
      </w:r>
    </w:p>
    <w:p w14:paraId="7891278F" w14:textId="77777777" w:rsidR="00B830D9" w:rsidRPr="00EA4393" w:rsidRDefault="00B830D9">
      <w:pPr>
        <w:pStyle w:val="TAMainText"/>
        <w:ind w:firstLine="0"/>
      </w:pPr>
    </w:p>
    <w:p w14:paraId="73A79C25" w14:textId="52F2F26F" w:rsidR="00EA4393" w:rsidRPr="009F7E5F" w:rsidRDefault="00EA4393" w:rsidP="009F7E5F">
      <w:pPr>
        <w:pStyle w:val="PargrafodaLista"/>
        <w:numPr>
          <w:ilvl w:val="0"/>
          <w:numId w:val="3"/>
        </w:numPr>
        <w:spacing w:after="0"/>
        <w:ind w:left="357" w:hanging="357"/>
        <w:jc w:val="both"/>
        <w:rPr>
          <w:rFonts w:ascii="Times New Roman" w:eastAsia="Times New Roman" w:hAnsi="Times New Roman" w:cs="Times New Roman"/>
          <w:sz w:val="20"/>
          <w:szCs w:val="20"/>
          <w:lang w:val="es-ES_tradnl" w:eastAsia="pt-BR"/>
        </w:rPr>
      </w:pPr>
      <w:r w:rsidRPr="009F7E5F">
        <w:rPr>
          <w:rFonts w:ascii="Times New Roman" w:eastAsia="Times New Roman" w:hAnsi="Times New Roman" w:cs="Times New Roman"/>
          <w:sz w:val="20"/>
          <w:szCs w:val="20"/>
          <w:lang w:val="en-US" w:eastAsia="pt-BR"/>
        </w:rPr>
        <w:t xml:space="preserve">Vaiano, V.; Matarangolo, M.; Sacco, O.; Sannino, D. </w:t>
      </w:r>
      <w:r w:rsidRPr="00C643C4">
        <w:rPr>
          <w:rFonts w:ascii="Times New Roman" w:eastAsia="Times New Roman" w:hAnsi="Times New Roman" w:cs="Times New Roman"/>
          <w:sz w:val="20"/>
          <w:szCs w:val="20"/>
          <w:lang w:val="en-US" w:eastAsia="pt-BR"/>
        </w:rPr>
        <w:t>Photocatalytic Treatment of Aqueous Solutions at High Dye Concentration Using Praseodymium-Doped ZnO Catalysts.</w:t>
      </w:r>
      <w:r w:rsidRPr="009F7E5F">
        <w:rPr>
          <w:rFonts w:ascii="Times New Roman" w:eastAsia="Times New Roman" w:hAnsi="Times New Roman" w:cs="Times New Roman"/>
          <w:sz w:val="20"/>
          <w:szCs w:val="20"/>
          <w:lang w:val="en-US" w:eastAsia="pt-BR"/>
        </w:rPr>
        <w:t xml:space="preserve"> </w:t>
      </w:r>
      <w:r w:rsidRPr="00C643C4">
        <w:rPr>
          <w:rFonts w:ascii="Times New Roman" w:eastAsia="Times New Roman" w:hAnsi="Times New Roman" w:cs="Times New Roman"/>
          <w:i/>
          <w:sz w:val="20"/>
          <w:szCs w:val="20"/>
          <w:lang w:val="es-ES_tradnl" w:eastAsia="pt-BR"/>
        </w:rPr>
        <w:t>Appl. Catal. B Environ</w:t>
      </w:r>
      <w:r w:rsidRPr="009F7E5F">
        <w:rPr>
          <w:rFonts w:ascii="Times New Roman" w:eastAsia="Times New Roman" w:hAnsi="Times New Roman" w:cs="Times New Roman"/>
          <w:sz w:val="20"/>
          <w:szCs w:val="20"/>
          <w:lang w:val="es-ES_tradnl" w:eastAsia="pt-BR"/>
        </w:rPr>
        <w:t>. 2017, 209, 621–630. https://doi.org/https://doi.org/10.1016/j.apcatb.2017.03.015.</w:t>
      </w:r>
    </w:p>
    <w:p w14:paraId="001E39BF" w14:textId="223B8C48" w:rsidR="00B830D9" w:rsidRPr="009F7E5F" w:rsidRDefault="00EA4393" w:rsidP="009F7E5F">
      <w:pPr>
        <w:pStyle w:val="PargrafodaLista"/>
        <w:numPr>
          <w:ilvl w:val="0"/>
          <w:numId w:val="3"/>
        </w:numPr>
        <w:spacing w:after="0"/>
        <w:ind w:left="357" w:hanging="357"/>
        <w:jc w:val="both"/>
        <w:rPr>
          <w:rFonts w:ascii="Times New Roman" w:eastAsia="Times New Roman" w:hAnsi="Times New Roman" w:cs="Times New Roman"/>
          <w:sz w:val="20"/>
          <w:szCs w:val="20"/>
          <w:lang w:val="en-US" w:eastAsia="pt-BR"/>
        </w:rPr>
      </w:pPr>
      <w:r w:rsidRPr="009F7E5F">
        <w:rPr>
          <w:rFonts w:ascii="Times New Roman" w:eastAsia="Times New Roman" w:hAnsi="Times New Roman" w:cs="Times New Roman"/>
          <w:sz w:val="20"/>
          <w:szCs w:val="20"/>
          <w:lang w:val="en-US" w:eastAsia="pt-BR"/>
        </w:rPr>
        <w:t>Pal, B.; Kaur, R.; Grover, I. S</w:t>
      </w:r>
      <w:r w:rsidRPr="0007061C">
        <w:rPr>
          <w:rFonts w:ascii="Times New Roman" w:eastAsia="Times New Roman" w:hAnsi="Times New Roman" w:cs="Times New Roman"/>
          <w:i/>
          <w:sz w:val="20"/>
          <w:szCs w:val="20"/>
          <w:lang w:val="en-US" w:eastAsia="pt-BR"/>
        </w:rPr>
        <w:t xml:space="preserve">. </w:t>
      </w:r>
      <w:r w:rsidRPr="00C643C4">
        <w:rPr>
          <w:rFonts w:ascii="Times New Roman" w:eastAsia="Times New Roman" w:hAnsi="Times New Roman" w:cs="Times New Roman"/>
          <w:sz w:val="20"/>
          <w:szCs w:val="20"/>
          <w:lang w:val="en-US" w:eastAsia="pt-BR"/>
        </w:rPr>
        <w:t>Superior Adsorption and Photodegradation of Eriochrome Black-T Dye by Fe3+ and Pt4+ Impregnated TiO2 Nanostructures of Different Shapes.</w:t>
      </w:r>
      <w:r w:rsidRPr="009F7E5F">
        <w:rPr>
          <w:rFonts w:ascii="Times New Roman" w:eastAsia="Times New Roman" w:hAnsi="Times New Roman" w:cs="Times New Roman"/>
          <w:sz w:val="20"/>
          <w:szCs w:val="20"/>
          <w:lang w:val="en-US" w:eastAsia="pt-BR"/>
        </w:rPr>
        <w:t xml:space="preserve"> </w:t>
      </w:r>
      <w:r w:rsidRPr="00C643C4">
        <w:rPr>
          <w:rFonts w:ascii="Times New Roman" w:eastAsia="Times New Roman" w:hAnsi="Times New Roman" w:cs="Times New Roman"/>
          <w:i/>
          <w:sz w:val="20"/>
          <w:szCs w:val="20"/>
          <w:lang w:val="en-US" w:eastAsia="pt-BR"/>
        </w:rPr>
        <w:t>J. Ind. Eng. Chem</w:t>
      </w:r>
      <w:r w:rsidRPr="009F7E5F">
        <w:rPr>
          <w:rFonts w:ascii="Times New Roman" w:eastAsia="Times New Roman" w:hAnsi="Times New Roman" w:cs="Times New Roman"/>
          <w:sz w:val="20"/>
          <w:szCs w:val="20"/>
          <w:lang w:val="en-US" w:eastAsia="pt-BR"/>
        </w:rPr>
        <w:t xml:space="preserve">. 2016, 33, 178–184. </w:t>
      </w:r>
      <w:hyperlink r:id="rId16" w:history="1">
        <w:r w:rsidRPr="009F7E5F">
          <w:rPr>
            <w:rStyle w:val="Hyperlink"/>
            <w:rFonts w:ascii="Times New Roman" w:eastAsia="Times New Roman" w:hAnsi="Times New Roman" w:cs="Times New Roman"/>
            <w:sz w:val="20"/>
            <w:szCs w:val="20"/>
            <w:lang w:val="en-US" w:eastAsia="pt-BR"/>
          </w:rPr>
          <w:t>https://doi.org/https://doi.org/10.1016/j.jiec.2015.09.033</w:t>
        </w:r>
      </w:hyperlink>
      <w:r w:rsidRPr="009F7E5F">
        <w:rPr>
          <w:rFonts w:ascii="Times New Roman" w:eastAsia="Times New Roman" w:hAnsi="Times New Roman" w:cs="Times New Roman"/>
          <w:sz w:val="20"/>
          <w:szCs w:val="20"/>
          <w:lang w:val="en-US" w:eastAsia="pt-BR"/>
        </w:rPr>
        <w:t>.</w:t>
      </w:r>
    </w:p>
    <w:p w14:paraId="229A0312" w14:textId="736BDBB8" w:rsidR="00EA4393" w:rsidRPr="009F7E5F" w:rsidRDefault="00EA4393" w:rsidP="009F7E5F">
      <w:pPr>
        <w:pStyle w:val="PargrafodaLista"/>
        <w:numPr>
          <w:ilvl w:val="0"/>
          <w:numId w:val="3"/>
        </w:numPr>
        <w:spacing w:after="0"/>
        <w:ind w:left="357" w:hanging="357"/>
        <w:jc w:val="both"/>
        <w:rPr>
          <w:rFonts w:ascii="Times New Roman" w:hAnsi="Times New Roman" w:cs="Times New Roman"/>
          <w:sz w:val="20"/>
          <w:szCs w:val="20"/>
          <w:lang w:val="en-US"/>
        </w:rPr>
      </w:pPr>
      <w:r w:rsidRPr="009F7E5F">
        <w:rPr>
          <w:rFonts w:ascii="Times New Roman" w:hAnsi="Times New Roman" w:cs="Times New Roman"/>
          <w:sz w:val="20"/>
          <w:szCs w:val="20"/>
          <w:lang w:val="en-US"/>
        </w:rPr>
        <w:t xml:space="preserve">Li, J.; Wu, N. </w:t>
      </w:r>
      <w:r w:rsidRPr="00C643C4">
        <w:rPr>
          <w:rFonts w:ascii="Times New Roman" w:hAnsi="Times New Roman" w:cs="Times New Roman"/>
          <w:sz w:val="20"/>
          <w:szCs w:val="20"/>
          <w:lang w:val="en-US"/>
        </w:rPr>
        <w:t xml:space="preserve">Semiconductor-Based Photocatalysts and Photoelectrochemical Cells for Solar Fuel Generation: A Review. </w:t>
      </w:r>
      <w:r w:rsidRPr="00C643C4">
        <w:rPr>
          <w:rFonts w:ascii="Times New Roman" w:hAnsi="Times New Roman" w:cs="Times New Roman"/>
          <w:i/>
          <w:sz w:val="20"/>
          <w:szCs w:val="20"/>
          <w:lang w:val="en-US"/>
        </w:rPr>
        <w:t>Catal. Sci. Technol</w:t>
      </w:r>
      <w:r w:rsidRPr="00C643C4">
        <w:rPr>
          <w:rFonts w:ascii="Times New Roman" w:hAnsi="Times New Roman" w:cs="Times New Roman"/>
          <w:sz w:val="20"/>
          <w:szCs w:val="20"/>
          <w:lang w:val="en-US"/>
        </w:rPr>
        <w:t>.</w:t>
      </w:r>
      <w:r w:rsidRPr="009F7E5F">
        <w:rPr>
          <w:rFonts w:ascii="Times New Roman" w:hAnsi="Times New Roman" w:cs="Times New Roman"/>
          <w:sz w:val="20"/>
          <w:szCs w:val="20"/>
          <w:lang w:val="en-US"/>
        </w:rPr>
        <w:t xml:space="preserve"> 2015, 5 (3), 1360–1384. https://doi.org/10.1039/C4CY00974F.</w:t>
      </w:r>
    </w:p>
    <w:p w14:paraId="0974833D" w14:textId="6972F03D" w:rsidR="00EA4393" w:rsidRPr="009F7E5F" w:rsidRDefault="00EA4393" w:rsidP="009F7E5F">
      <w:pPr>
        <w:pStyle w:val="PargrafodaLista"/>
        <w:numPr>
          <w:ilvl w:val="0"/>
          <w:numId w:val="3"/>
        </w:numPr>
        <w:spacing w:after="0"/>
        <w:ind w:left="357" w:hanging="357"/>
        <w:jc w:val="both"/>
        <w:rPr>
          <w:rFonts w:ascii="Times New Roman" w:hAnsi="Times New Roman" w:cs="Times New Roman"/>
          <w:sz w:val="20"/>
          <w:szCs w:val="20"/>
          <w:lang w:val="en-US"/>
        </w:rPr>
      </w:pPr>
      <w:r w:rsidRPr="009F7E5F">
        <w:rPr>
          <w:rFonts w:ascii="Times New Roman" w:hAnsi="Times New Roman" w:cs="Times New Roman"/>
          <w:sz w:val="20"/>
          <w:szCs w:val="20"/>
          <w:lang w:val="en-US"/>
        </w:rPr>
        <w:t xml:space="preserve">Khan, M. M.; Adil, S. F.; Al-Mayouf, A. </w:t>
      </w:r>
      <w:r w:rsidRPr="00C643C4">
        <w:rPr>
          <w:rFonts w:ascii="Times New Roman" w:hAnsi="Times New Roman" w:cs="Times New Roman"/>
          <w:sz w:val="20"/>
          <w:szCs w:val="20"/>
          <w:lang w:val="en-US"/>
        </w:rPr>
        <w:t xml:space="preserve">Metal Oxides as Photocatalysts. </w:t>
      </w:r>
      <w:r w:rsidRPr="00C643C4">
        <w:rPr>
          <w:rFonts w:ascii="Times New Roman" w:hAnsi="Times New Roman" w:cs="Times New Roman"/>
          <w:i/>
          <w:sz w:val="20"/>
          <w:szCs w:val="20"/>
          <w:lang w:val="en-US"/>
        </w:rPr>
        <w:t>J. Saudi Chem. Soc</w:t>
      </w:r>
      <w:r w:rsidRPr="009F7E5F">
        <w:rPr>
          <w:rFonts w:ascii="Times New Roman" w:hAnsi="Times New Roman" w:cs="Times New Roman"/>
          <w:sz w:val="20"/>
          <w:szCs w:val="20"/>
          <w:lang w:val="en-US"/>
        </w:rPr>
        <w:t xml:space="preserve">. 2015, 19 (5), 462–464. </w:t>
      </w:r>
      <w:hyperlink r:id="rId17" w:history="1">
        <w:r w:rsidRPr="009F7E5F">
          <w:rPr>
            <w:rStyle w:val="Hyperlink"/>
            <w:rFonts w:ascii="Times New Roman" w:hAnsi="Times New Roman" w:cs="Times New Roman"/>
            <w:sz w:val="20"/>
            <w:szCs w:val="20"/>
            <w:lang w:val="en-US"/>
          </w:rPr>
          <w:t>https://doi.org/https://doi.org/10.1016/j.jscs.2015.04.003</w:t>
        </w:r>
      </w:hyperlink>
      <w:r w:rsidRPr="009F7E5F">
        <w:rPr>
          <w:rFonts w:ascii="Times New Roman" w:hAnsi="Times New Roman" w:cs="Times New Roman"/>
          <w:sz w:val="20"/>
          <w:szCs w:val="20"/>
          <w:lang w:val="en-US"/>
        </w:rPr>
        <w:t>.</w:t>
      </w:r>
    </w:p>
    <w:p w14:paraId="55DB77C7" w14:textId="63D11B0A" w:rsidR="00EA4393" w:rsidRPr="009F7E5F" w:rsidRDefault="00EA4393" w:rsidP="009F7E5F">
      <w:pPr>
        <w:pStyle w:val="PargrafodaLista"/>
        <w:numPr>
          <w:ilvl w:val="0"/>
          <w:numId w:val="3"/>
        </w:numPr>
        <w:spacing w:after="0"/>
        <w:ind w:left="357" w:hanging="357"/>
        <w:jc w:val="both"/>
        <w:rPr>
          <w:rFonts w:ascii="Times New Roman" w:hAnsi="Times New Roman" w:cs="Times New Roman"/>
          <w:sz w:val="20"/>
          <w:szCs w:val="20"/>
          <w:lang w:val="en-US"/>
        </w:rPr>
      </w:pPr>
      <w:r w:rsidRPr="0007061C">
        <w:rPr>
          <w:rFonts w:ascii="Times New Roman" w:hAnsi="Times New Roman" w:cs="Times New Roman"/>
          <w:i/>
          <w:sz w:val="20"/>
          <w:szCs w:val="20"/>
          <w:lang w:val="en-US"/>
        </w:rPr>
        <w:t xml:space="preserve">CuO </w:t>
      </w:r>
      <w:r w:rsidRPr="00BE7F93">
        <w:rPr>
          <w:rFonts w:ascii="Times New Roman" w:hAnsi="Times New Roman" w:cs="Times New Roman"/>
          <w:sz w:val="20"/>
          <w:szCs w:val="20"/>
          <w:lang w:val="en-US"/>
        </w:rPr>
        <w:t>urchin-nanostructures synthesized from a domestic hydrothermal microwave method</w:t>
      </w:r>
      <w:r w:rsidRPr="009F7E5F">
        <w:rPr>
          <w:rFonts w:ascii="Times New Roman" w:hAnsi="Times New Roman" w:cs="Times New Roman"/>
          <w:sz w:val="20"/>
          <w:szCs w:val="20"/>
          <w:lang w:val="en-US"/>
        </w:rPr>
        <w:t xml:space="preserve"> D Keyson, DP Volanti, LS Cavalcante, AZ Simões, JA Varela, E Longo </w:t>
      </w:r>
      <w:r w:rsidR="00EC5789">
        <w:rPr>
          <w:rFonts w:ascii="Times New Roman" w:hAnsi="Times New Roman" w:cs="Times New Roman"/>
          <w:i/>
          <w:sz w:val="20"/>
          <w:szCs w:val="20"/>
          <w:lang w:val="en-US"/>
        </w:rPr>
        <w:t>Materials Research B</w:t>
      </w:r>
      <w:r w:rsidRPr="00BE7F93">
        <w:rPr>
          <w:rFonts w:ascii="Times New Roman" w:hAnsi="Times New Roman" w:cs="Times New Roman"/>
          <w:i/>
          <w:sz w:val="20"/>
          <w:szCs w:val="20"/>
          <w:lang w:val="en-US"/>
        </w:rPr>
        <w:t>ulletin</w:t>
      </w:r>
      <w:r w:rsidRPr="009F7E5F">
        <w:rPr>
          <w:rFonts w:ascii="Times New Roman" w:hAnsi="Times New Roman" w:cs="Times New Roman"/>
          <w:sz w:val="20"/>
          <w:szCs w:val="20"/>
          <w:lang w:val="en-US"/>
        </w:rPr>
        <w:t xml:space="preserve"> 43 (3), 771-775,2008</w:t>
      </w:r>
    </w:p>
    <w:p w14:paraId="5F8EE51B" w14:textId="2FCC10B0" w:rsidR="00EA4393" w:rsidRPr="009F7E5F" w:rsidRDefault="00EA4393" w:rsidP="009F7E5F">
      <w:pPr>
        <w:pStyle w:val="PargrafodaLista"/>
        <w:numPr>
          <w:ilvl w:val="0"/>
          <w:numId w:val="3"/>
        </w:numPr>
        <w:spacing w:after="0"/>
        <w:ind w:left="357" w:hanging="357"/>
        <w:jc w:val="both"/>
        <w:rPr>
          <w:rFonts w:ascii="Times New Roman" w:hAnsi="Times New Roman" w:cs="Times New Roman"/>
          <w:sz w:val="20"/>
          <w:szCs w:val="20"/>
          <w:lang w:val="en-US"/>
        </w:rPr>
      </w:pPr>
      <w:r w:rsidRPr="009F7E5F">
        <w:rPr>
          <w:rFonts w:ascii="Times New Roman" w:hAnsi="Times New Roman" w:cs="Times New Roman"/>
          <w:sz w:val="20"/>
          <w:szCs w:val="20"/>
          <w:lang w:val="en-US"/>
        </w:rPr>
        <w:t xml:space="preserve">Gouvêa, C. A. K.; Wypych, F.; Moraes, S. G.; Durán, N.; Nagata, N.; Peralta-Zamora, P. </w:t>
      </w:r>
      <w:r w:rsidRPr="00BE7F93">
        <w:rPr>
          <w:rFonts w:ascii="Times New Roman" w:hAnsi="Times New Roman" w:cs="Times New Roman"/>
          <w:sz w:val="20"/>
          <w:szCs w:val="20"/>
          <w:lang w:val="en-US"/>
        </w:rPr>
        <w:t xml:space="preserve">Semiconductor-Assisted Photocatalytic Degradation of Reactive Dyes in Aqueous Solution. </w:t>
      </w:r>
      <w:r w:rsidRPr="00BE7F93">
        <w:rPr>
          <w:rFonts w:ascii="Times New Roman" w:hAnsi="Times New Roman" w:cs="Times New Roman"/>
          <w:i/>
          <w:sz w:val="20"/>
          <w:szCs w:val="20"/>
          <w:lang w:val="en-US"/>
        </w:rPr>
        <w:t>Chemosphere 2000</w:t>
      </w:r>
      <w:r w:rsidRPr="009F7E5F">
        <w:rPr>
          <w:rFonts w:ascii="Times New Roman" w:hAnsi="Times New Roman" w:cs="Times New Roman"/>
          <w:sz w:val="20"/>
          <w:szCs w:val="20"/>
          <w:lang w:val="en-US"/>
        </w:rPr>
        <w:t>, 40 (4), 433–440. https://doi.org/https://doi.org/10.1016/S0045-6535(99)00313-6.</w:t>
      </w:r>
    </w:p>
    <w:p w14:paraId="27DA7CD1" w14:textId="73D65847" w:rsidR="00D90AFF" w:rsidRPr="009F7E5F" w:rsidRDefault="00EA4393" w:rsidP="009F7E5F">
      <w:pPr>
        <w:pStyle w:val="PargrafodaLista"/>
        <w:numPr>
          <w:ilvl w:val="0"/>
          <w:numId w:val="3"/>
        </w:numPr>
        <w:spacing w:after="0"/>
        <w:ind w:left="357" w:hanging="357"/>
        <w:jc w:val="both"/>
        <w:rPr>
          <w:rFonts w:ascii="Times New Roman" w:hAnsi="Times New Roman" w:cs="Times New Roman"/>
          <w:sz w:val="20"/>
          <w:szCs w:val="20"/>
          <w:lang w:val="en-US"/>
        </w:rPr>
      </w:pPr>
      <w:r w:rsidRPr="009F7E5F">
        <w:rPr>
          <w:rFonts w:ascii="Times New Roman" w:hAnsi="Times New Roman" w:cs="Times New Roman"/>
          <w:sz w:val="20"/>
          <w:szCs w:val="20"/>
          <w:lang w:val="en-US"/>
        </w:rPr>
        <w:t xml:space="preserve">Schneider, J.; Matsuoka, M.; Takeuchi, M.; Zhang, J.; Horiuchi, Y.; Anpo, M.; Bahnemann, D. W. </w:t>
      </w:r>
      <w:r w:rsidRPr="00BE7F93">
        <w:rPr>
          <w:rFonts w:ascii="Times New Roman" w:hAnsi="Times New Roman" w:cs="Times New Roman"/>
          <w:sz w:val="20"/>
          <w:szCs w:val="20"/>
          <w:lang w:val="en-US"/>
        </w:rPr>
        <w:t>Understanding TiO2 Photocatalysis: Mechanisms and Materials</w:t>
      </w:r>
      <w:r w:rsidRPr="0007061C">
        <w:rPr>
          <w:rFonts w:ascii="Times New Roman" w:hAnsi="Times New Roman" w:cs="Times New Roman"/>
          <w:i/>
          <w:sz w:val="20"/>
          <w:szCs w:val="20"/>
          <w:lang w:val="en-US"/>
        </w:rPr>
        <w:t>.</w:t>
      </w:r>
      <w:r w:rsidRPr="009F7E5F">
        <w:rPr>
          <w:rFonts w:ascii="Times New Roman" w:hAnsi="Times New Roman" w:cs="Times New Roman"/>
          <w:sz w:val="20"/>
          <w:szCs w:val="20"/>
          <w:lang w:val="en-US"/>
        </w:rPr>
        <w:t xml:space="preserve"> </w:t>
      </w:r>
      <w:r w:rsidRPr="00BE7F93">
        <w:rPr>
          <w:rFonts w:ascii="Times New Roman" w:hAnsi="Times New Roman" w:cs="Times New Roman"/>
          <w:i/>
          <w:sz w:val="20"/>
          <w:szCs w:val="20"/>
          <w:lang w:val="en-US"/>
        </w:rPr>
        <w:t>Chem. Rev</w:t>
      </w:r>
      <w:r w:rsidRPr="009F7E5F">
        <w:rPr>
          <w:rFonts w:ascii="Times New Roman" w:hAnsi="Times New Roman" w:cs="Times New Roman"/>
          <w:sz w:val="20"/>
          <w:szCs w:val="20"/>
          <w:lang w:val="en-US"/>
        </w:rPr>
        <w:t xml:space="preserve">. 2014, 114 (19), 9919–9986. </w:t>
      </w:r>
      <w:hyperlink r:id="rId18" w:history="1">
        <w:r w:rsidRPr="009F7E5F">
          <w:rPr>
            <w:rStyle w:val="Hyperlink"/>
            <w:rFonts w:ascii="Times New Roman" w:hAnsi="Times New Roman" w:cs="Times New Roman"/>
            <w:sz w:val="20"/>
            <w:szCs w:val="20"/>
            <w:lang w:val="en-US"/>
          </w:rPr>
          <w:t>https://doi.org/10.1021/cr5001892</w:t>
        </w:r>
      </w:hyperlink>
      <w:r w:rsidRPr="009F7E5F">
        <w:rPr>
          <w:rFonts w:ascii="Times New Roman" w:hAnsi="Times New Roman" w:cs="Times New Roman"/>
          <w:sz w:val="20"/>
          <w:szCs w:val="20"/>
          <w:lang w:val="en-US"/>
        </w:rPr>
        <w:t>.</w:t>
      </w:r>
      <w:r w:rsidR="00D90AFF" w:rsidRPr="009F7E5F">
        <w:rPr>
          <w:rFonts w:ascii="Times New Roman" w:hAnsi="Times New Roman" w:cs="Times New Roman"/>
          <w:sz w:val="20"/>
          <w:szCs w:val="20"/>
          <w:lang w:val="en-US"/>
        </w:rPr>
        <w:t xml:space="preserve"> </w:t>
      </w:r>
    </w:p>
    <w:p w14:paraId="589CF585" w14:textId="4AD08AC6" w:rsidR="00EA4393" w:rsidRPr="009F7E5F" w:rsidRDefault="00EA4393" w:rsidP="009F7E5F">
      <w:pPr>
        <w:pStyle w:val="PargrafodaLista"/>
        <w:numPr>
          <w:ilvl w:val="0"/>
          <w:numId w:val="3"/>
        </w:numPr>
        <w:spacing w:after="0"/>
        <w:ind w:left="357" w:hanging="357"/>
        <w:jc w:val="both"/>
        <w:rPr>
          <w:rFonts w:ascii="Times New Roman" w:hAnsi="Times New Roman" w:cs="Times New Roman"/>
          <w:sz w:val="20"/>
          <w:szCs w:val="20"/>
          <w:lang w:val="en-US"/>
        </w:rPr>
      </w:pPr>
      <w:r w:rsidRPr="009F7E5F">
        <w:rPr>
          <w:rFonts w:ascii="Times New Roman" w:hAnsi="Times New Roman" w:cs="Times New Roman"/>
          <w:sz w:val="20"/>
          <w:szCs w:val="20"/>
          <w:lang w:val="en-US"/>
        </w:rPr>
        <w:t xml:space="preserve">Botelho, G.; Andres, J.; Gracia, L.; Matos, L. S.; Longo, </w:t>
      </w:r>
      <w:r w:rsidR="00D90AFF" w:rsidRPr="009F7E5F">
        <w:rPr>
          <w:rFonts w:ascii="Times New Roman" w:hAnsi="Times New Roman" w:cs="Times New Roman"/>
          <w:sz w:val="20"/>
          <w:szCs w:val="20"/>
          <w:lang w:val="en-US"/>
        </w:rPr>
        <w:t xml:space="preserve">   </w:t>
      </w:r>
      <w:r w:rsidRPr="009F7E5F">
        <w:rPr>
          <w:rFonts w:ascii="Times New Roman" w:hAnsi="Times New Roman" w:cs="Times New Roman"/>
          <w:sz w:val="20"/>
          <w:szCs w:val="20"/>
          <w:lang w:val="en-US"/>
        </w:rPr>
        <w:t xml:space="preserve">E. </w:t>
      </w:r>
      <w:r w:rsidRPr="00BE7F93">
        <w:rPr>
          <w:rFonts w:ascii="Times New Roman" w:hAnsi="Times New Roman" w:cs="Times New Roman"/>
          <w:sz w:val="20"/>
          <w:szCs w:val="20"/>
          <w:lang w:val="en-US"/>
        </w:rPr>
        <w:t>Photoluminescence and Photocatalytic Properties of Ag3PO4 Microcrystals: An Experimental and Theoretical Investigation.</w:t>
      </w:r>
      <w:r w:rsidRPr="009F7E5F">
        <w:rPr>
          <w:rFonts w:ascii="Times New Roman" w:hAnsi="Times New Roman" w:cs="Times New Roman"/>
          <w:sz w:val="20"/>
          <w:szCs w:val="20"/>
          <w:lang w:val="en-US"/>
        </w:rPr>
        <w:t xml:space="preserve"> </w:t>
      </w:r>
      <w:r w:rsidRPr="00BE7F93">
        <w:rPr>
          <w:rFonts w:ascii="Times New Roman" w:hAnsi="Times New Roman" w:cs="Times New Roman"/>
          <w:i/>
          <w:sz w:val="20"/>
          <w:szCs w:val="20"/>
          <w:lang w:val="en-US"/>
        </w:rPr>
        <w:t>Chempluschem</w:t>
      </w:r>
      <w:r w:rsidRPr="009F7E5F">
        <w:rPr>
          <w:rFonts w:ascii="Times New Roman" w:hAnsi="Times New Roman" w:cs="Times New Roman"/>
          <w:sz w:val="20"/>
          <w:szCs w:val="20"/>
          <w:lang w:val="en-US"/>
        </w:rPr>
        <w:t xml:space="preserve"> 2016, 81 (2), 202–212. https://doi.org/10.1002/cplu.201500485.</w:t>
      </w:r>
    </w:p>
    <w:sectPr w:rsidR="00EA4393" w:rsidRPr="009F7E5F">
      <w:endnotePr>
        <w:numFmt w:val="decimal"/>
      </w:endnotePr>
      <w:type w:val="continuous"/>
      <w:pgSz w:w="11906" w:h="16838"/>
      <w:pgMar w:top="1418" w:right="1094" w:bottom="1418" w:left="567" w:header="709" w:footer="0" w:gutter="0"/>
      <w:cols w:num="2" w:space="708"/>
      <w:formProt w:val="0"/>
      <w:docGrid w:linePitch="360" w:charSpace="59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6B81B" w14:textId="77777777" w:rsidR="005C1EBD" w:rsidRDefault="005C1EBD">
      <w:r>
        <w:separator/>
      </w:r>
    </w:p>
  </w:endnote>
  <w:endnote w:type="continuationSeparator" w:id="0">
    <w:p w14:paraId="0EB68FCD" w14:textId="77777777" w:rsidR="005C1EBD" w:rsidRDefault="005C1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9350E" w14:textId="77777777" w:rsidR="005C1EBD" w:rsidRDefault="005C1EBD">
      <w:pPr>
        <w:spacing w:after="0" w:line="240" w:lineRule="auto"/>
      </w:pPr>
      <w:r>
        <w:separator/>
      </w:r>
    </w:p>
  </w:footnote>
  <w:footnote w:type="continuationSeparator" w:id="0">
    <w:p w14:paraId="7B5F4B87" w14:textId="77777777" w:rsidR="005C1EBD" w:rsidRDefault="005C1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F3A9" w14:textId="77777777" w:rsidR="0007061C" w:rsidRDefault="0007061C">
    <w:pPr>
      <w:pStyle w:val="Cabealho"/>
      <w:jc w:val="center"/>
    </w:pPr>
    <w:r>
      <w:rPr>
        <w:noProof/>
        <w:lang w:eastAsia="pt-BR"/>
      </w:rPr>
      <w:drawing>
        <wp:inline distT="0" distB="0" distL="0" distR="0" wp14:anchorId="6F7C13AB" wp14:editId="060B71D3">
          <wp:extent cx="1524000" cy="1049655"/>
          <wp:effectExtent l="0" t="0" r="0" b="0"/>
          <wp:docPr id="5"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8"/>
                  <pic:cNvPicPr>
                    <a:picLocks noChangeAspect="1" noChangeArrowheads="1"/>
                  </pic:cNvPicPr>
                </pic:nvPicPr>
                <pic:blipFill>
                  <a:blip r:embed="rId1"/>
                  <a:srcRect l="15626" t="15706" r="28689" b="16131"/>
                  <a:stretch>
                    <a:fillRect/>
                  </a:stretch>
                </pic:blipFill>
                <pic:spPr bwMode="auto">
                  <a:xfrm>
                    <a:off x="0" y="0"/>
                    <a:ext cx="1524000" cy="1049655"/>
                  </a:xfrm>
                  <a:prstGeom prst="rect">
                    <a:avLst/>
                  </a:prstGeom>
                </pic:spPr>
              </pic:pic>
            </a:graphicData>
          </a:graphic>
        </wp:inline>
      </w:drawing>
    </w:r>
    <w:r>
      <w:t xml:space="preserve">                                                </w:t>
    </w:r>
    <w:r>
      <w:rPr>
        <w:noProof/>
        <w:lang w:eastAsia="pt-BR"/>
      </w:rPr>
      <w:drawing>
        <wp:inline distT="0" distB="0" distL="0" distR="0" wp14:anchorId="001A51F2" wp14:editId="0CC65D6D">
          <wp:extent cx="1964055" cy="695960"/>
          <wp:effectExtent l="0" t="0" r="0" b="0"/>
          <wp:docPr id="6"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9" descr="Logo do Site"/>
                  <pic:cNvPicPr>
                    <a:picLocks noChangeAspect="1" noChangeArrowheads="1"/>
                  </pic:cNvPicPr>
                </pic:nvPicPr>
                <pic:blipFill>
                  <a:blip r:embed="rId2"/>
                  <a:stretch>
                    <a:fillRect/>
                  </a:stretch>
                </pic:blipFill>
                <pic:spPr bwMode="auto">
                  <a:xfrm>
                    <a:off x="0" y="0"/>
                    <a:ext cx="1964055" cy="695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540D3"/>
    <w:multiLevelType w:val="multilevel"/>
    <w:tmpl w:val="382E8B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C2457B2"/>
    <w:multiLevelType w:val="multilevel"/>
    <w:tmpl w:val="2D0471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D4A5FB4"/>
    <w:multiLevelType w:val="hybridMultilevel"/>
    <w:tmpl w:val="8B92CA7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58575597">
    <w:abstractNumId w:val="0"/>
  </w:num>
  <w:num w:numId="2" w16cid:durableId="1126003040">
    <w:abstractNumId w:val="1"/>
  </w:num>
  <w:num w:numId="3" w16cid:durableId="1494220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efaultTabStop w:val="708"/>
  <w:autoHyphenation/>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B830D9"/>
    <w:rsid w:val="0007061C"/>
    <w:rsid w:val="00084CD0"/>
    <w:rsid w:val="000A3E73"/>
    <w:rsid w:val="000B7738"/>
    <w:rsid w:val="002D5F5A"/>
    <w:rsid w:val="00327F64"/>
    <w:rsid w:val="00371397"/>
    <w:rsid w:val="003A7441"/>
    <w:rsid w:val="003C5281"/>
    <w:rsid w:val="003F3C2C"/>
    <w:rsid w:val="004C3C42"/>
    <w:rsid w:val="004D7B23"/>
    <w:rsid w:val="004E6BBD"/>
    <w:rsid w:val="005C1EBD"/>
    <w:rsid w:val="0081510C"/>
    <w:rsid w:val="008C2A25"/>
    <w:rsid w:val="009233B3"/>
    <w:rsid w:val="00975818"/>
    <w:rsid w:val="009F7E5F"/>
    <w:rsid w:val="00A84095"/>
    <w:rsid w:val="00AF643B"/>
    <w:rsid w:val="00B830D9"/>
    <w:rsid w:val="00BE7F93"/>
    <w:rsid w:val="00C643C4"/>
    <w:rsid w:val="00D90AFF"/>
    <w:rsid w:val="00EA4393"/>
    <w:rsid w:val="00EC5789"/>
    <w:rsid w:val="00EE2A3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ACE08"/>
  <w15:docId w15:val="{96C51DDA-ED1F-4159-A623-C98DEB792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pPr>
      <w:spacing w:after="160" w:line="300" w:lineRule="auto"/>
    </w:pPr>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semiHidden/>
    <w:qFormat/>
    <w:rsid w:val="00EA4E1B"/>
    <w:rPr>
      <w:vertAlign w:val="superscript"/>
    </w:rPr>
  </w:style>
  <w:style w:type="character" w:styleId="Refdenotaderodap">
    <w:name w:val="footnote reference"/>
    <w:rPr>
      <w:vertAlign w:val="superscript"/>
    </w:rPr>
  </w:style>
  <w:style w:type="character" w:customStyle="1" w:styleId="TextodenotaderodapChar">
    <w:name w:val="Texto de nota de rodapé Char"/>
    <w:basedOn w:val="Fontepargpadro"/>
    <w:link w:val="Textodenotaderodap"/>
    <w:semiHidden/>
    <w:qFormat/>
    <w:rsid w:val="00EA4E1B"/>
    <w:rPr>
      <w:rFonts w:ascii="Times" w:eastAsia="Times New Roman" w:hAnsi="Times" w:cs="Times New Roman"/>
      <w:sz w:val="16"/>
      <w:szCs w:val="20"/>
      <w:lang w:val="en-US" w:eastAsia="pt-BR"/>
    </w:rPr>
  </w:style>
  <w:style w:type="character" w:customStyle="1" w:styleId="Ttulo2Char">
    <w:name w:val="Título 2 Char"/>
    <w:basedOn w:val="Fontepargpadro"/>
    <w:link w:val="Ttulo2"/>
    <w:uiPriority w:val="9"/>
    <w:qFormat/>
    <w:rsid w:val="001F25B2"/>
    <w:rPr>
      <w:rFonts w:asciiTheme="majorHAnsi" w:eastAsiaTheme="majorEastAsia" w:hAnsiTheme="majorHAnsi" w:cstheme="majorBidi"/>
      <w:sz w:val="32"/>
      <w:szCs w:val="32"/>
    </w:rPr>
  </w:style>
  <w:style w:type="character" w:customStyle="1" w:styleId="CabealhoChar">
    <w:name w:val="Cabeçalho Char"/>
    <w:basedOn w:val="Fontepargpadro"/>
    <w:link w:val="Cabealho"/>
    <w:uiPriority w:val="99"/>
    <w:qFormat/>
    <w:rsid w:val="00EA4E1B"/>
  </w:style>
  <w:style w:type="character" w:customStyle="1" w:styleId="RodapChar">
    <w:name w:val="Rodapé Char"/>
    <w:basedOn w:val="Fontepargpadro"/>
    <w:link w:val="Rodap"/>
    <w:uiPriority w:val="99"/>
    <w:qFormat/>
    <w:rsid w:val="00EA4E1B"/>
  </w:style>
  <w:style w:type="character" w:customStyle="1" w:styleId="TextodebaloChar">
    <w:name w:val="Texto de balão Char"/>
    <w:basedOn w:val="Fontepargpadro"/>
    <w:link w:val="Textodebalo"/>
    <w:uiPriority w:val="99"/>
    <w:semiHidden/>
    <w:qFormat/>
    <w:rsid w:val="001E58A9"/>
    <w:rPr>
      <w:rFonts w:ascii="Tahoma" w:hAnsi="Tahoma" w:cs="Tahoma"/>
      <w:sz w:val="16"/>
      <w:szCs w:val="16"/>
    </w:rPr>
  </w:style>
  <w:style w:type="character" w:customStyle="1" w:styleId="TextodenotadefimChar">
    <w:name w:val="Texto de nota de fim Char"/>
    <w:basedOn w:val="Fontepargpadro"/>
    <w:link w:val="Textodenotadefim"/>
    <w:uiPriority w:val="99"/>
    <w:semiHidden/>
    <w:qFormat/>
    <w:rsid w:val="001E58A9"/>
    <w:rPr>
      <w:sz w:val="20"/>
      <w:szCs w:val="20"/>
    </w:rPr>
  </w:style>
  <w:style w:type="character" w:customStyle="1" w:styleId="Caracteresdenotadefim">
    <w:name w:val="Caracteres de nota de fim"/>
    <w:uiPriority w:val="99"/>
    <w:semiHidden/>
    <w:unhideWhenUsed/>
    <w:qFormat/>
    <w:rsid w:val="001E58A9"/>
    <w:rPr>
      <w:vertAlign w:val="superscript"/>
    </w:rPr>
  </w:style>
  <w:style w:type="character" w:styleId="Refdenotadefim">
    <w:name w:val="endnote reference"/>
    <w:rPr>
      <w:vertAlign w:val="superscript"/>
    </w:rPr>
  </w:style>
  <w:style w:type="character" w:customStyle="1" w:styleId="Ttulo1Char">
    <w:name w:val="Título 1 Char"/>
    <w:basedOn w:val="Fontepargpadro"/>
    <w:link w:val="Ttulo1"/>
    <w:uiPriority w:val="9"/>
    <w:qFormat/>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qFormat/>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qFormat/>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qFormat/>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qFormat/>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qFormat/>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qFormat/>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qFormat/>
    <w:rsid w:val="001F25B2"/>
    <w:rPr>
      <w:b/>
      <w:bCs/>
      <w:i/>
      <w:iCs/>
    </w:rPr>
  </w:style>
  <w:style w:type="character" w:customStyle="1" w:styleId="TtuloChar">
    <w:name w:val="Título Char"/>
    <w:basedOn w:val="Fontepargpadro"/>
    <w:link w:val="Ttulo"/>
    <w:uiPriority w:val="10"/>
    <w:qFormat/>
    <w:rsid w:val="001F25B2"/>
    <w:rPr>
      <w:rFonts w:asciiTheme="majorHAnsi" w:eastAsiaTheme="majorEastAsia" w:hAnsiTheme="majorHAnsi" w:cstheme="majorBidi"/>
      <w:caps/>
      <w:color w:val="44546A" w:themeColor="text2"/>
      <w:spacing w:val="30"/>
      <w:sz w:val="72"/>
      <w:szCs w:val="72"/>
    </w:rPr>
  </w:style>
  <w:style w:type="character" w:customStyle="1" w:styleId="SubttuloChar">
    <w:name w:val="Subtítulo Char"/>
    <w:basedOn w:val="Fontepargpadro"/>
    <w:link w:val="Subttulo"/>
    <w:uiPriority w:val="11"/>
    <w:qFormat/>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character" w:customStyle="1" w:styleId="CitaoChar">
    <w:name w:val="Citação Char"/>
    <w:basedOn w:val="Fontepargpadro"/>
    <w:link w:val="Citao"/>
    <w:uiPriority w:val="29"/>
    <w:qFormat/>
    <w:rsid w:val="001F25B2"/>
    <w:rPr>
      <w:i/>
      <w:iCs/>
      <w:color w:val="7B7B7B" w:themeColor="accent3" w:themeShade="BF"/>
      <w:sz w:val="24"/>
      <w:szCs w:val="24"/>
    </w:rPr>
  </w:style>
  <w:style w:type="character" w:customStyle="1" w:styleId="CitaoIntensaChar">
    <w:name w:val="Citação Intensa Char"/>
    <w:basedOn w:val="Fontepargpadro"/>
    <w:link w:val="CitaoIntensa"/>
    <w:uiPriority w:val="30"/>
    <w:qFormat/>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smallCaps/>
      <w:color w:val="404040" w:themeColor="text1" w:themeTint="BF"/>
      <w:spacing w:val="0"/>
      <w:u w:val="single" w:color="7F7F7F"/>
    </w:rPr>
  </w:style>
  <w:style w:type="character" w:styleId="RefernciaIntensa">
    <w:name w:val="Intense Reference"/>
    <w:basedOn w:val="Fontepargpadro"/>
    <w:uiPriority w:val="32"/>
    <w:qFormat/>
    <w:rsid w:val="001F25B2"/>
    <w:rPr>
      <w:b/>
      <w:bCs/>
      <w:smallCaps/>
      <w:color w:val="auto"/>
      <w:spacing w:val="0"/>
      <w:u w:val="single"/>
    </w:rPr>
  </w:style>
  <w:style w:type="character" w:styleId="TtulodoLivro">
    <w:name w:val="Book Title"/>
    <w:basedOn w:val="Fontepargpadro"/>
    <w:uiPriority w:val="33"/>
    <w:qFormat/>
    <w:rsid w:val="001F25B2"/>
    <w:rPr>
      <w:b/>
      <w:bCs/>
      <w:smallCaps/>
      <w:spacing w:val="0"/>
    </w:rPr>
  </w:style>
  <w:style w:type="paragraph" w:styleId="Ttulo">
    <w:name w:val="Title"/>
    <w:basedOn w:val="Normal"/>
    <w:next w:val="Corpodetexto"/>
    <w:link w:val="TtuloChar"/>
    <w:uiPriority w:val="10"/>
    <w:qFormat/>
    <w:rsid w:val="001F25B2"/>
    <w:pPr>
      <w:pBdr>
        <w:top w:val="single" w:sz="6" w:space="8" w:color="A5A5A5"/>
        <w:bottom w:val="single" w:sz="6" w:space="8" w:color="A5A5A5"/>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customStyle="1" w:styleId="ndice">
    <w:name w:val="Índice"/>
    <w:basedOn w:val="Normal"/>
    <w:qFormat/>
    <w:pPr>
      <w:suppressLineNumbers/>
    </w:pPr>
    <w:rPr>
      <w:rFonts w:cs="Arial"/>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BATitle">
    <w:name w:val="BA_Title"/>
    <w:basedOn w:val="Normal"/>
    <w:next w:val="BBAuthorName"/>
    <w:qFormat/>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qFormat/>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qFormat/>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qFormat/>
    <w:rsid w:val="00EA4E1B"/>
    <w:pPr>
      <w:pBdr>
        <w:top w:val="single" w:sz="6" w:space="0" w:color="800000"/>
        <w:left w:val="single" w:sz="6" w:space="4" w:color="800000"/>
        <w:bottom w:val="single" w:sz="6" w:space="0" w:color="800000"/>
        <w:right w:val="single" w:sz="6" w:space="4" w:color="800000"/>
      </w:pBdr>
      <w:shd w:val="solid" w:color="800000" w:fill="800000"/>
      <w:spacing w:before="0" w:after="320"/>
      <w:ind w:left="86" w:right="130"/>
      <w:jc w:val="center"/>
    </w:pPr>
    <w:rPr>
      <w:color w:val="FFFFFF"/>
      <w:sz w:val="20"/>
    </w:rPr>
  </w:style>
  <w:style w:type="paragraph" w:customStyle="1" w:styleId="BDAbstract">
    <w:name w:val="BD_Abstract"/>
    <w:qFormat/>
    <w:rsid w:val="00EA4E1B"/>
    <w:pPr>
      <w:pBdr>
        <w:bottom w:val="single" w:sz="6" w:space="12" w:color="000000"/>
      </w:pBdr>
      <w:spacing w:before="200" w:after="200" w:line="220" w:lineRule="exact"/>
      <w:jc w:val="both"/>
    </w:pPr>
    <w:rPr>
      <w:rFonts w:ascii="Helvetica" w:eastAsia="Times New Roman" w:hAnsi="Helvetica" w:cs="Times New Roman"/>
      <w:b/>
      <w:sz w:val="18"/>
      <w:szCs w:val="20"/>
      <w:lang w:val="en-US" w:eastAsia="pt-BR"/>
    </w:rPr>
  </w:style>
  <w:style w:type="paragraph" w:customStyle="1" w:styleId="TFReferencesSection">
    <w:name w:val="TF_References_Section"/>
    <w:basedOn w:val="Normal"/>
    <w:qFormat/>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qFormat/>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qFormat/>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qFormat/>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qFormat/>
    <w:rsid w:val="00EA4E1B"/>
    <w:pPr>
      <w:jc w:val="both"/>
    </w:pPr>
  </w:style>
  <w:style w:type="paragraph" w:customStyle="1" w:styleId="CabealhoeRodap">
    <w:name w:val="Cabeçalho e Rodapé"/>
    <w:basedOn w:val="Normal"/>
    <w:qFormat/>
  </w:style>
  <w:style w:type="paragraph" w:styleId="Cabealho">
    <w:name w:val="header"/>
    <w:basedOn w:val="Normal"/>
    <w:link w:val="CabealhoChar"/>
    <w:unhideWhenUsed/>
    <w:rsid w:val="00EA4E1B"/>
    <w:pPr>
      <w:tabs>
        <w:tab w:val="center" w:pos="4252"/>
        <w:tab w:val="right" w:pos="8504"/>
      </w:tabs>
      <w:spacing w:after="0" w:line="240" w:lineRule="auto"/>
    </w:pPr>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1E58A9"/>
    <w:pPr>
      <w:spacing w:after="0" w:line="240" w:lineRule="auto"/>
    </w:pPr>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paragraph" w:styleId="Subttulo">
    <w:name w:val="Subtitle"/>
    <w:basedOn w:val="Normal"/>
    <w:next w:val="Normal"/>
    <w:link w:val="SubttuloChar"/>
    <w:uiPriority w:val="11"/>
    <w:qFormat/>
    <w:rsid w:val="001F25B2"/>
    <w:pPr>
      <w:jc w:val="center"/>
    </w:pPr>
    <w:rPr>
      <w:color w:val="44546A" w:themeColor="text2"/>
      <w:sz w:val="28"/>
      <w:szCs w:val="28"/>
    </w:rPr>
  </w:style>
  <w:style w:type="paragraph" w:styleId="SemEspaamento">
    <w:name w:val="No Spacing"/>
    <w:uiPriority w:val="1"/>
    <w:qFormat/>
    <w:rsid w:val="001F25B2"/>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paragraph" w:styleId="Ttulodendiceremissivo">
    <w:name w:val="index heading"/>
    <w:basedOn w:val="Ttulo"/>
  </w:style>
  <w:style w:type="paragraph" w:styleId="CabealhodoSumrio">
    <w:name w:val="TOC Heading"/>
    <w:basedOn w:val="Ttulo1"/>
    <w:next w:val="Normal"/>
    <w:uiPriority w:val="39"/>
    <w:semiHidden/>
    <w:unhideWhenUsed/>
    <w:qFormat/>
    <w:rsid w:val="001F25B2"/>
    <w:pPr>
      <w:outlineLvl w:val="9"/>
    </w:pPr>
  </w:style>
  <w:style w:type="paragraph" w:customStyle="1" w:styleId="Contedodoquadro">
    <w:name w:val="Conteúdo do quadro"/>
    <w:basedOn w:val="Normal"/>
    <w:qFormat/>
  </w:style>
  <w:style w:type="character" w:styleId="Hyperlink">
    <w:name w:val="Hyperlink"/>
    <w:basedOn w:val="Fontepargpadro"/>
    <w:uiPriority w:val="99"/>
    <w:unhideWhenUsed/>
    <w:rsid w:val="00EA4393"/>
    <w:rPr>
      <w:color w:val="0563C1" w:themeColor="hyperlink"/>
      <w:u w:val="single"/>
    </w:rPr>
  </w:style>
  <w:style w:type="character" w:customStyle="1" w:styleId="MenoPendente1">
    <w:name w:val="Menção Pendente1"/>
    <w:basedOn w:val="Fontepargpadro"/>
    <w:uiPriority w:val="99"/>
    <w:semiHidden/>
    <w:unhideWhenUsed/>
    <w:rsid w:val="00EA4393"/>
    <w:rPr>
      <w:color w:val="605E5C"/>
      <w:shd w:val="clear" w:color="auto" w:fill="E1DFDD"/>
    </w:rPr>
  </w:style>
  <w:style w:type="character" w:styleId="Refdecomentrio">
    <w:name w:val="annotation reference"/>
    <w:basedOn w:val="Fontepargpadro"/>
    <w:uiPriority w:val="99"/>
    <w:semiHidden/>
    <w:unhideWhenUsed/>
    <w:rsid w:val="00EA4393"/>
    <w:rPr>
      <w:sz w:val="16"/>
      <w:szCs w:val="16"/>
    </w:rPr>
  </w:style>
  <w:style w:type="paragraph" w:styleId="Textodecomentrio">
    <w:name w:val="annotation text"/>
    <w:basedOn w:val="Normal"/>
    <w:link w:val="TextodecomentrioChar"/>
    <w:uiPriority w:val="99"/>
    <w:semiHidden/>
    <w:unhideWhenUsed/>
    <w:rsid w:val="00EA439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A4393"/>
    <w:rPr>
      <w:sz w:val="20"/>
      <w:szCs w:val="20"/>
    </w:rPr>
  </w:style>
  <w:style w:type="paragraph" w:styleId="Assuntodocomentrio">
    <w:name w:val="annotation subject"/>
    <w:basedOn w:val="Textodecomentrio"/>
    <w:next w:val="Textodecomentrio"/>
    <w:link w:val="AssuntodocomentrioChar"/>
    <w:uiPriority w:val="99"/>
    <w:semiHidden/>
    <w:unhideWhenUsed/>
    <w:rsid w:val="00EA4393"/>
    <w:rPr>
      <w:b/>
      <w:bCs/>
    </w:rPr>
  </w:style>
  <w:style w:type="character" w:customStyle="1" w:styleId="AssuntodocomentrioChar">
    <w:name w:val="Assunto do comentário Char"/>
    <w:basedOn w:val="TextodecomentrioChar"/>
    <w:link w:val="Assuntodocomentrio"/>
    <w:uiPriority w:val="99"/>
    <w:semiHidden/>
    <w:rsid w:val="00EA4393"/>
    <w:rPr>
      <w:b/>
      <w:bCs/>
      <w:sz w:val="20"/>
      <w:szCs w:val="20"/>
    </w:rPr>
  </w:style>
  <w:style w:type="paragraph" w:styleId="PargrafodaLista">
    <w:name w:val="List Paragraph"/>
    <w:basedOn w:val="Normal"/>
    <w:uiPriority w:val="34"/>
    <w:qFormat/>
    <w:rsid w:val="009F7E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1255">
      <w:bodyDiv w:val="1"/>
      <w:marLeft w:val="0"/>
      <w:marRight w:val="0"/>
      <w:marTop w:val="0"/>
      <w:marBottom w:val="0"/>
      <w:divBdr>
        <w:top w:val="none" w:sz="0" w:space="0" w:color="auto"/>
        <w:left w:val="none" w:sz="0" w:space="0" w:color="auto"/>
        <w:bottom w:val="none" w:sz="0" w:space="0" w:color="auto"/>
        <w:right w:val="none" w:sz="0" w:space="0" w:color="auto"/>
      </w:divBdr>
    </w:div>
    <w:div w:id="456945908">
      <w:bodyDiv w:val="1"/>
      <w:marLeft w:val="0"/>
      <w:marRight w:val="0"/>
      <w:marTop w:val="0"/>
      <w:marBottom w:val="0"/>
      <w:divBdr>
        <w:top w:val="none" w:sz="0" w:space="0" w:color="auto"/>
        <w:left w:val="none" w:sz="0" w:space="0" w:color="auto"/>
        <w:bottom w:val="none" w:sz="0" w:space="0" w:color="auto"/>
        <w:right w:val="none" w:sz="0" w:space="0" w:color="auto"/>
      </w:divBdr>
    </w:div>
    <w:div w:id="929776569">
      <w:bodyDiv w:val="1"/>
      <w:marLeft w:val="0"/>
      <w:marRight w:val="0"/>
      <w:marTop w:val="0"/>
      <w:marBottom w:val="0"/>
      <w:divBdr>
        <w:top w:val="none" w:sz="0" w:space="0" w:color="auto"/>
        <w:left w:val="none" w:sz="0" w:space="0" w:color="auto"/>
        <w:bottom w:val="none" w:sz="0" w:space="0" w:color="auto"/>
        <w:right w:val="none" w:sz="0" w:space="0" w:color="auto"/>
      </w:divBdr>
      <w:divsChild>
        <w:div w:id="1859393389">
          <w:marLeft w:val="0"/>
          <w:marRight w:val="0"/>
          <w:marTop w:val="0"/>
          <w:marBottom w:val="0"/>
          <w:divBdr>
            <w:top w:val="single" w:sz="2" w:space="0" w:color="D9D9E3"/>
            <w:left w:val="single" w:sz="2" w:space="0" w:color="D9D9E3"/>
            <w:bottom w:val="single" w:sz="2" w:space="0" w:color="D9D9E3"/>
            <w:right w:val="single" w:sz="2" w:space="0" w:color="D9D9E3"/>
          </w:divBdr>
          <w:divsChild>
            <w:div w:id="56249032">
              <w:marLeft w:val="0"/>
              <w:marRight w:val="0"/>
              <w:marTop w:val="0"/>
              <w:marBottom w:val="0"/>
              <w:divBdr>
                <w:top w:val="single" w:sz="2" w:space="0" w:color="D9D9E3"/>
                <w:left w:val="single" w:sz="2" w:space="0" w:color="D9D9E3"/>
                <w:bottom w:val="single" w:sz="2" w:space="0" w:color="D9D9E3"/>
                <w:right w:val="single" w:sz="2" w:space="0" w:color="D9D9E3"/>
              </w:divBdr>
              <w:divsChild>
                <w:div w:id="1554852967">
                  <w:marLeft w:val="0"/>
                  <w:marRight w:val="0"/>
                  <w:marTop w:val="0"/>
                  <w:marBottom w:val="0"/>
                  <w:divBdr>
                    <w:top w:val="single" w:sz="2" w:space="0" w:color="D9D9E3"/>
                    <w:left w:val="single" w:sz="2" w:space="0" w:color="D9D9E3"/>
                    <w:bottom w:val="single" w:sz="2" w:space="0" w:color="D9D9E3"/>
                    <w:right w:val="single" w:sz="2" w:space="0" w:color="D9D9E3"/>
                  </w:divBdr>
                  <w:divsChild>
                    <w:div w:id="1046838109">
                      <w:marLeft w:val="0"/>
                      <w:marRight w:val="0"/>
                      <w:marTop w:val="0"/>
                      <w:marBottom w:val="0"/>
                      <w:divBdr>
                        <w:top w:val="single" w:sz="2" w:space="0" w:color="D9D9E3"/>
                        <w:left w:val="single" w:sz="2" w:space="0" w:color="D9D9E3"/>
                        <w:bottom w:val="single" w:sz="2" w:space="0" w:color="D9D9E3"/>
                        <w:right w:val="single" w:sz="2" w:space="0" w:color="D9D9E3"/>
                      </w:divBdr>
                      <w:divsChild>
                        <w:div w:id="288167135">
                          <w:marLeft w:val="0"/>
                          <w:marRight w:val="0"/>
                          <w:marTop w:val="0"/>
                          <w:marBottom w:val="0"/>
                          <w:divBdr>
                            <w:top w:val="single" w:sz="2" w:space="0" w:color="auto"/>
                            <w:left w:val="single" w:sz="2" w:space="0" w:color="auto"/>
                            <w:bottom w:val="single" w:sz="6" w:space="0" w:color="auto"/>
                            <w:right w:val="single" w:sz="2" w:space="0" w:color="auto"/>
                          </w:divBdr>
                          <w:divsChild>
                            <w:div w:id="862936474">
                              <w:marLeft w:val="0"/>
                              <w:marRight w:val="0"/>
                              <w:marTop w:val="100"/>
                              <w:marBottom w:val="100"/>
                              <w:divBdr>
                                <w:top w:val="single" w:sz="2" w:space="0" w:color="D9D9E3"/>
                                <w:left w:val="single" w:sz="2" w:space="0" w:color="D9D9E3"/>
                                <w:bottom w:val="single" w:sz="2" w:space="0" w:color="D9D9E3"/>
                                <w:right w:val="single" w:sz="2" w:space="0" w:color="D9D9E3"/>
                              </w:divBdr>
                              <w:divsChild>
                                <w:div w:id="1923175821">
                                  <w:marLeft w:val="0"/>
                                  <w:marRight w:val="0"/>
                                  <w:marTop w:val="0"/>
                                  <w:marBottom w:val="0"/>
                                  <w:divBdr>
                                    <w:top w:val="single" w:sz="2" w:space="0" w:color="D9D9E3"/>
                                    <w:left w:val="single" w:sz="2" w:space="0" w:color="D9D9E3"/>
                                    <w:bottom w:val="single" w:sz="2" w:space="0" w:color="D9D9E3"/>
                                    <w:right w:val="single" w:sz="2" w:space="0" w:color="D9D9E3"/>
                                  </w:divBdr>
                                  <w:divsChild>
                                    <w:div w:id="921573941">
                                      <w:marLeft w:val="0"/>
                                      <w:marRight w:val="0"/>
                                      <w:marTop w:val="0"/>
                                      <w:marBottom w:val="0"/>
                                      <w:divBdr>
                                        <w:top w:val="single" w:sz="2" w:space="0" w:color="D9D9E3"/>
                                        <w:left w:val="single" w:sz="2" w:space="0" w:color="D9D9E3"/>
                                        <w:bottom w:val="single" w:sz="2" w:space="0" w:color="D9D9E3"/>
                                        <w:right w:val="single" w:sz="2" w:space="0" w:color="D9D9E3"/>
                                      </w:divBdr>
                                      <w:divsChild>
                                        <w:div w:id="195435109">
                                          <w:marLeft w:val="0"/>
                                          <w:marRight w:val="0"/>
                                          <w:marTop w:val="0"/>
                                          <w:marBottom w:val="0"/>
                                          <w:divBdr>
                                            <w:top w:val="single" w:sz="2" w:space="0" w:color="D9D9E3"/>
                                            <w:left w:val="single" w:sz="2" w:space="0" w:color="D9D9E3"/>
                                            <w:bottom w:val="single" w:sz="2" w:space="0" w:color="D9D9E3"/>
                                            <w:right w:val="single" w:sz="2" w:space="0" w:color="D9D9E3"/>
                                          </w:divBdr>
                                          <w:divsChild>
                                            <w:div w:id="15762807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19682708">
          <w:marLeft w:val="0"/>
          <w:marRight w:val="0"/>
          <w:marTop w:val="0"/>
          <w:marBottom w:val="0"/>
          <w:divBdr>
            <w:top w:val="none" w:sz="0" w:space="0" w:color="auto"/>
            <w:left w:val="none" w:sz="0" w:space="0" w:color="auto"/>
            <w:bottom w:val="none" w:sz="0" w:space="0" w:color="auto"/>
            <w:right w:val="none" w:sz="0" w:space="0" w:color="auto"/>
          </w:divBdr>
        </w:div>
      </w:divsChild>
    </w:div>
    <w:div w:id="1266381811">
      <w:bodyDiv w:val="1"/>
      <w:marLeft w:val="0"/>
      <w:marRight w:val="0"/>
      <w:marTop w:val="0"/>
      <w:marBottom w:val="0"/>
      <w:divBdr>
        <w:top w:val="none" w:sz="0" w:space="0" w:color="auto"/>
        <w:left w:val="none" w:sz="0" w:space="0" w:color="auto"/>
        <w:bottom w:val="none" w:sz="0" w:space="0" w:color="auto"/>
        <w:right w:val="none" w:sz="0" w:space="0" w:color="auto"/>
      </w:divBdr>
    </w:div>
    <w:div w:id="1610963418">
      <w:bodyDiv w:val="1"/>
      <w:marLeft w:val="0"/>
      <w:marRight w:val="0"/>
      <w:marTop w:val="0"/>
      <w:marBottom w:val="0"/>
      <w:divBdr>
        <w:top w:val="none" w:sz="0" w:space="0" w:color="auto"/>
        <w:left w:val="none" w:sz="0" w:space="0" w:color="auto"/>
        <w:bottom w:val="none" w:sz="0" w:space="0" w:color="auto"/>
        <w:right w:val="none" w:sz="0" w:space="0" w:color="auto"/>
      </w:divBdr>
      <w:divsChild>
        <w:div w:id="535889736">
          <w:marLeft w:val="0"/>
          <w:marRight w:val="0"/>
          <w:marTop w:val="0"/>
          <w:marBottom w:val="0"/>
          <w:divBdr>
            <w:top w:val="single" w:sz="2" w:space="0" w:color="D9D9E3"/>
            <w:left w:val="single" w:sz="2" w:space="0" w:color="D9D9E3"/>
            <w:bottom w:val="single" w:sz="2" w:space="0" w:color="D9D9E3"/>
            <w:right w:val="single" w:sz="2" w:space="0" w:color="D9D9E3"/>
          </w:divBdr>
          <w:divsChild>
            <w:div w:id="1015811544">
              <w:marLeft w:val="0"/>
              <w:marRight w:val="0"/>
              <w:marTop w:val="0"/>
              <w:marBottom w:val="0"/>
              <w:divBdr>
                <w:top w:val="single" w:sz="2" w:space="0" w:color="D9D9E3"/>
                <w:left w:val="single" w:sz="2" w:space="0" w:color="D9D9E3"/>
                <w:bottom w:val="single" w:sz="2" w:space="0" w:color="D9D9E3"/>
                <w:right w:val="single" w:sz="2" w:space="0" w:color="D9D9E3"/>
              </w:divBdr>
              <w:divsChild>
                <w:div w:id="95833121">
                  <w:marLeft w:val="0"/>
                  <w:marRight w:val="0"/>
                  <w:marTop w:val="0"/>
                  <w:marBottom w:val="0"/>
                  <w:divBdr>
                    <w:top w:val="single" w:sz="2" w:space="0" w:color="D9D9E3"/>
                    <w:left w:val="single" w:sz="2" w:space="0" w:color="D9D9E3"/>
                    <w:bottom w:val="single" w:sz="2" w:space="0" w:color="D9D9E3"/>
                    <w:right w:val="single" w:sz="2" w:space="0" w:color="D9D9E3"/>
                  </w:divBdr>
                  <w:divsChild>
                    <w:div w:id="2111464675">
                      <w:marLeft w:val="0"/>
                      <w:marRight w:val="0"/>
                      <w:marTop w:val="0"/>
                      <w:marBottom w:val="0"/>
                      <w:divBdr>
                        <w:top w:val="single" w:sz="2" w:space="0" w:color="D9D9E3"/>
                        <w:left w:val="single" w:sz="2" w:space="0" w:color="D9D9E3"/>
                        <w:bottom w:val="single" w:sz="2" w:space="0" w:color="D9D9E3"/>
                        <w:right w:val="single" w:sz="2" w:space="0" w:color="D9D9E3"/>
                      </w:divBdr>
                      <w:divsChild>
                        <w:div w:id="256910188">
                          <w:marLeft w:val="0"/>
                          <w:marRight w:val="0"/>
                          <w:marTop w:val="0"/>
                          <w:marBottom w:val="0"/>
                          <w:divBdr>
                            <w:top w:val="single" w:sz="2" w:space="0" w:color="auto"/>
                            <w:left w:val="single" w:sz="2" w:space="0" w:color="auto"/>
                            <w:bottom w:val="single" w:sz="6" w:space="0" w:color="auto"/>
                            <w:right w:val="single" w:sz="2" w:space="0" w:color="auto"/>
                          </w:divBdr>
                          <w:divsChild>
                            <w:div w:id="2045668330">
                              <w:marLeft w:val="0"/>
                              <w:marRight w:val="0"/>
                              <w:marTop w:val="100"/>
                              <w:marBottom w:val="100"/>
                              <w:divBdr>
                                <w:top w:val="single" w:sz="2" w:space="0" w:color="D9D9E3"/>
                                <w:left w:val="single" w:sz="2" w:space="0" w:color="D9D9E3"/>
                                <w:bottom w:val="single" w:sz="2" w:space="0" w:color="D9D9E3"/>
                                <w:right w:val="single" w:sz="2" w:space="0" w:color="D9D9E3"/>
                              </w:divBdr>
                              <w:divsChild>
                                <w:div w:id="1701200593">
                                  <w:marLeft w:val="0"/>
                                  <w:marRight w:val="0"/>
                                  <w:marTop w:val="0"/>
                                  <w:marBottom w:val="0"/>
                                  <w:divBdr>
                                    <w:top w:val="single" w:sz="2" w:space="0" w:color="D9D9E3"/>
                                    <w:left w:val="single" w:sz="2" w:space="0" w:color="D9D9E3"/>
                                    <w:bottom w:val="single" w:sz="2" w:space="0" w:color="D9D9E3"/>
                                    <w:right w:val="single" w:sz="2" w:space="0" w:color="D9D9E3"/>
                                  </w:divBdr>
                                  <w:divsChild>
                                    <w:div w:id="1878274284">
                                      <w:marLeft w:val="0"/>
                                      <w:marRight w:val="0"/>
                                      <w:marTop w:val="0"/>
                                      <w:marBottom w:val="0"/>
                                      <w:divBdr>
                                        <w:top w:val="single" w:sz="2" w:space="0" w:color="D9D9E3"/>
                                        <w:left w:val="single" w:sz="2" w:space="0" w:color="D9D9E3"/>
                                        <w:bottom w:val="single" w:sz="2" w:space="0" w:color="D9D9E3"/>
                                        <w:right w:val="single" w:sz="2" w:space="0" w:color="D9D9E3"/>
                                      </w:divBdr>
                                      <w:divsChild>
                                        <w:div w:id="486671673">
                                          <w:marLeft w:val="0"/>
                                          <w:marRight w:val="0"/>
                                          <w:marTop w:val="0"/>
                                          <w:marBottom w:val="0"/>
                                          <w:divBdr>
                                            <w:top w:val="single" w:sz="2" w:space="0" w:color="D9D9E3"/>
                                            <w:left w:val="single" w:sz="2" w:space="0" w:color="D9D9E3"/>
                                            <w:bottom w:val="single" w:sz="2" w:space="0" w:color="D9D9E3"/>
                                            <w:right w:val="single" w:sz="2" w:space="0" w:color="D9D9E3"/>
                                          </w:divBdr>
                                          <w:divsChild>
                                            <w:div w:id="9300889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31940759">
          <w:marLeft w:val="0"/>
          <w:marRight w:val="0"/>
          <w:marTop w:val="0"/>
          <w:marBottom w:val="0"/>
          <w:divBdr>
            <w:top w:val="none" w:sz="0" w:space="0" w:color="auto"/>
            <w:left w:val="none" w:sz="0" w:space="0" w:color="auto"/>
            <w:bottom w:val="none" w:sz="0" w:space="0" w:color="auto"/>
            <w:right w:val="none" w:sz="0" w:space="0" w:color="auto"/>
          </w:divBdr>
          <w:divsChild>
            <w:div w:id="1181238283">
              <w:marLeft w:val="0"/>
              <w:marRight w:val="0"/>
              <w:marTop w:val="0"/>
              <w:marBottom w:val="0"/>
              <w:divBdr>
                <w:top w:val="single" w:sz="2" w:space="0" w:color="D9D9E3"/>
                <w:left w:val="single" w:sz="2" w:space="0" w:color="D9D9E3"/>
                <w:bottom w:val="single" w:sz="2" w:space="0" w:color="D9D9E3"/>
                <w:right w:val="single" w:sz="2" w:space="0" w:color="D9D9E3"/>
              </w:divBdr>
              <w:divsChild>
                <w:div w:id="1739476866">
                  <w:marLeft w:val="0"/>
                  <w:marRight w:val="0"/>
                  <w:marTop w:val="0"/>
                  <w:marBottom w:val="0"/>
                  <w:divBdr>
                    <w:top w:val="single" w:sz="2" w:space="0" w:color="D9D9E3"/>
                    <w:left w:val="single" w:sz="2" w:space="0" w:color="D9D9E3"/>
                    <w:bottom w:val="single" w:sz="2" w:space="0" w:color="D9D9E3"/>
                    <w:right w:val="single" w:sz="2" w:space="0" w:color="D9D9E3"/>
                  </w:divBdr>
                  <w:divsChild>
                    <w:div w:id="904149065">
                      <w:marLeft w:val="0"/>
                      <w:marRight w:val="0"/>
                      <w:marTop w:val="0"/>
                      <w:marBottom w:val="0"/>
                      <w:divBdr>
                        <w:top w:val="single" w:sz="2" w:space="0" w:color="D9D9E3"/>
                        <w:left w:val="single" w:sz="2" w:space="0" w:color="D9D9E3"/>
                        <w:bottom w:val="single" w:sz="2" w:space="0" w:color="D9D9E3"/>
                        <w:right w:val="single" w:sz="2" w:space="0" w:color="D9D9E3"/>
                      </w:divBdr>
                      <w:divsChild>
                        <w:div w:id="13490639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64114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EMF"/><Relationship Id="rId18" Type="http://schemas.openxmlformats.org/officeDocument/2006/relationships/hyperlink" Target="https://doi.org/10.1021/cr50018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hyperlink" Target="https://doi.org/https://doi.org/10.1016/j.jscs.2015.04.003" TargetMode="External"/><Relationship Id="rId2" Type="http://schemas.openxmlformats.org/officeDocument/2006/relationships/numbering" Target="numbering.xml"/><Relationship Id="rId16" Type="http://schemas.openxmlformats.org/officeDocument/2006/relationships/hyperlink" Target="https://doi.org/https://doi.org/10.1016/j.jiec.2015.09.03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51F89-D753-4D67-A3C2-2A1A55285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3862</Words>
  <Characters>20858</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dc:description/>
  <cp:lastModifiedBy>José Gregório</cp:lastModifiedBy>
  <cp:revision>2</cp:revision>
  <dcterms:created xsi:type="dcterms:W3CDTF">2023-06-30T22:05:00Z</dcterms:created>
  <dcterms:modified xsi:type="dcterms:W3CDTF">2023-06-30T22:05:00Z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Id 1_1">
    <vt:lpwstr>http://www.zotero.org/styles/angewandte-chemie</vt:lpwstr>
  </property>
  <property fmtid="{D5CDD505-2E9C-101B-9397-08002B2CF9AE}" pid="4" name="Mendeley Recent Style Id 2_1">
    <vt:lpwstr>http://www.zotero.org/styles/applied-catalysis-a-general</vt:lpwstr>
  </property>
  <property fmtid="{D5CDD505-2E9C-101B-9397-08002B2CF9AE}" pid="5" name="Mendeley Recent Style Id 3_1">
    <vt:lpwstr>http://www.zotero.org/styles/chicago-author-date</vt:lpwstr>
  </property>
  <property fmtid="{D5CDD505-2E9C-101B-9397-08002B2CF9AE}" pid="6" name="Mendeley Recent Style Id 4_1">
    <vt:lpwstr>http://www.zotero.org/styles/harvard-cite-them-right</vt:lpwstr>
  </property>
  <property fmtid="{D5CDD505-2E9C-101B-9397-08002B2CF9AE}" pid="7" name="Mendeley Recent Style Id 5_1">
    <vt:lpwstr>http://www.zotero.org/styles/fuel</vt:lpwstr>
  </property>
  <property fmtid="{D5CDD505-2E9C-101B-9397-08002B2CF9AE}" pid="8" name="Mendeley Recent Style Id 6_1">
    <vt:lpwstr>http://www.zotero.org/styles/ieee</vt:lpwstr>
  </property>
  <property fmtid="{D5CDD505-2E9C-101B-9397-08002B2CF9AE}" pid="9" name="Mendeley Recent Style Id 7_1">
    <vt:lpwstr>http://www.zotero.org/styles/microporous-and-mesoporous-materials</vt:lpwstr>
  </property>
  <property fmtid="{D5CDD505-2E9C-101B-9397-08002B2CF9AE}" pid="10" name="Mendeley Recent Style Id 8_1">
    <vt:lpwstr>http://www.zotero.org/styles/modern-humanities-research-association</vt:lpwstr>
  </property>
  <property fmtid="{D5CDD505-2E9C-101B-9397-08002B2CF9AE}" pid="11" name="Mendeley Recent Style Id 9_1">
    <vt:lpwstr>http://www.zotero.org/styles/modern-language-association</vt:lpwstr>
  </property>
  <property fmtid="{D5CDD505-2E9C-101B-9397-08002B2CF9AE}" pid="12" name="Mendeley Recent Style Name 0_1">
    <vt:lpwstr>American Sociological Association</vt:lpwstr>
  </property>
  <property fmtid="{D5CDD505-2E9C-101B-9397-08002B2CF9AE}" pid="13" name="Mendeley Recent Style Name 1_1">
    <vt:lpwstr>Angewandte Chemie International Edition</vt:lpwstr>
  </property>
  <property fmtid="{D5CDD505-2E9C-101B-9397-08002B2CF9AE}" pid="14" name="Mendeley Recent Style Name 2_1">
    <vt:lpwstr>Applied Catalysis A, General</vt:lpwstr>
  </property>
  <property fmtid="{D5CDD505-2E9C-101B-9397-08002B2CF9AE}" pid="15" name="Mendeley Recent Style Name 3_1">
    <vt:lpwstr>Chicago Manual of Style 17th edition (author-date)</vt:lpwstr>
  </property>
  <property fmtid="{D5CDD505-2E9C-101B-9397-08002B2CF9AE}" pid="16" name="Mendeley Recent Style Name 4_1">
    <vt:lpwstr>Cite Them Right 10th edition - Harvard</vt:lpwstr>
  </property>
  <property fmtid="{D5CDD505-2E9C-101B-9397-08002B2CF9AE}" pid="17" name="Mendeley Recent Style Name 5_1">
    <vt:lpwstr>Fuel</vt:lpwstr>
  </property>
  <property fmtid="{D5CDD505-2E9C-101B-9397-08002B2CF9AE}" pid="18" name="Mendeley Recent Style Name 6_1">
    <vt:lpwstr>IEEE</vt:lpwstr>
  </property>
  <property fmtid="{D5CDD505-2E9C-101B-9397-08002B2CF9AE}" pid="19" name="Mendeley Recent Style Name 7_1">
    <vt:lpwstr>Microporous and Mesoporous Materials</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Name 9_1">
    <vt:lpwstr>Modern Language Association 7th edition</vt:lpwstr>
  </property>
  <property fmtid="{D5CDD505-2E9C-101B-9397-08002B2CF9AE}" pid="22" name="GrammarlyDocumentId">
    <vt:lpwstr>96732281b6992ae435e1bb4e256a576cc4cdfc5f2d821ade889454598892852e</vt:lpwstr>
  </property>
</Properties>
</file>