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74B9B83" w:rsidR="00EA4E1B" w:rsidRDefault="008C052D" w:rsidP="00EA4E1B">
      <w:pPr>
        <w:pStyle w:val="BATitle"/>
        <w:spacing w:before="0" w:after="0" w:line="240" w:lineRule="auto"/>
        <w:ind w:right="0"/>
        <w:jc w:val="both"/>
        <w:rPr>
          <w:sz w:val="32"/>
          <w:lang w:val="pt-BR"/>
        </w:rPr>
      </w:pPr>
      <w:r>
        <w:rPr>
          <w:sz w:val="32"/>
          <w:lang w:val="pt-BR"/>
        </w:rPr>
        <w:t xml:space="preserve">Desenvolvimento de catalisadores </w:t>
      </w:r>
      <w:r w:rsidR="007D4010" w:rsidRPr="007D4010">
        <w:rPr>
          <w:sz w:val="32"/>
          <w:lang w:val="pt-BR"/>
        </w:rPr>
        <w:t>SnO</w:t>
      </w:r>
      <w:r w:rsidR="007D4010" w:rsidRPr="007D4010">
        <w:rPr>
          <w:sz w:val="32"/>
          <w:vertAlign w:val="subscript"/>
          <w:lang w:val="pt-BR"/>
        </w:rPr>
        <w:t>2</w:t>
      </w:r>
      <w:r>
        <w:rPr>
          <w:sz w:val="32"/>
          <w:lang w:val="pt-BR"/>
        </w:rPr>
        <w:t>-</w:t>
      </w:r>
      <w:r w:rsidR="007D4010" w:rsidRPr="007D4010">
        <w:rPr>
          <w:sz w:val="32"/>
          <w:lang w:val="pt-BR"/>
        </w:rPr>
        <w:t>TiO</w:t>
      </w:r>
      <w:r w:rsidR="007D4010" w:rsidRPr="007D4010">
        <w:rPr>
          <w:sz w:val="32"/>
          <w:vertAlign w:val="subscript"/>
          <w:lang w:val="pt-BR"/>
        </w:rPr>
        <w:t>2</w:t>
      </w:r>
      <w:r w:rsidR="007D4010" w:rsidRPr="007D4010">
        <w:rPr>
          <w:sz w:val="32"/>
          <w:lang w:val="pt-BR"/>
        </w:rPr>
        <w:t xml:space="preserve"> para aplicação em processo fotodegradativo</w:t>
      </w:r>
    </w:p>
    <w:p w14:paraId="4FE65918" w14:textId="77777777" w:rsidR="007D4010" w:rsidRDefault="007D4010" w:rsidP="00EA4E1B">
      <w:pPr>
        <w:pStyle w:val="BBAuthorName"/>
        <w:spacing w:after="120"/>
        <w:ind w:right="0"/>
        <w:jc w:val="both"/>
        <w:rPr>
          <w:rFonts w:ascii="Times New Roman" w:hAnsi="Times New Roman"/>
          <w:sz w:val="20"/>
          <w:lang w:val="pt-BR"/>
        </w:rPr>
      </w:pPr>
    </w:p>
    <w:p w14:paraId="18735493" w14:textId="4F976323" w:rsidR="00EA4E1B" w:rsidRPr="001F25B2" w:rsidRDefault="007D4010" w:rsidP="00EA4E1B">
      <w:pPr>
        <w:pStyle w:val="BBAuthorName"/>
        <w:spacing w:after="120"/>
        <w:ind w:right="0"/>
        <w:jc w:val="both"/>
        <w:rPr>
          <w:rFonts w:ascii="Times New Roman" w:hAnsi="Times New Roman"/>
          <w:sz w:val="20"/>
          <w:lang w:val="pt-BR"/>
        </w:rPr>
      </w:pPr>
      <w:r w:rsidRPr="007D4010">
        <w:rPr>
          <w:rFonts w:ascii="Times New Roman" w:hAnsi="Times New Roman"/>
          <w:sz w:val="20"/>
          <w:lang w:val="pt-BR"/>
        </w:rPr>
        <w:t>Lourdes Akaho Etshindo</w:t>
      </w:r>
      <w:r w:rsidRPr="007D4010">
        <w:rPr>
          <w:rFonts w:ascii="Times New Roman" w:hAnsi="Times New Roman"/>
          <w:sz w:val="20"/>
          <w:vertAlign w:val="superscript"/>
          <w:lang w:val="pt-BR"/>
        </w:rPr>
        <w:t>1</w:t>
      </w:r>
      <w:r w:rsidR="00FC47A1">
        <w:rPr>
          <w:rFonts w:ascii="Times New Roman" w:hAnsi="Times New Roman"/>
          <w:sz w:val="20"/>
          <w:vertAlign w:val="superscript"/>
          <w:lang w:val="pt-BR"/>
        </w:rPr>
        <w:t>*</w:t>
      </w:r>
      <w:r w:rsidRPr="007D4010">
        <w:rPr>
          <w:rFonts w:ascii="Times New Roman" w:hAnsi="Times New Roman"/>
          <w:sz w:val="20"/>
          <w:lang w:val="pt-BR"/>
        </w:rPr>
        <w:t>, Angela Sanches Rocha</w:t>
      </w:r>
      <w:r w:rsidRPr="007D4010">
        <w:rPr>
          <w:rFonts w:ascii="Times New Roman" w:hAnsi="Times New Roman"/>
          <w:sz w:val="20"/>
          <w:vertAlign w:val="superscript"/>
          <w:lang w:val="pt-BR"/>
        </w:rPr>
        <w:t>1</w:t>
      </w:r>
      <w:r w:rsidR="00655BB6">
        <w:rPr>
          <w:rFonts w:ascii="Times New Roman" w:hAnsi="Times New Roman"/>
          <w:sz w:val="20"/>
          <w:vertAlign w:val="superscript"/>
          <w:lang w:val="pt-BR"/>
        </w:rPr>
        <w:t>*</w:t>
      </w:r>
      <w:r w:rsidRPr="007D4010">
        <w:rPr>
          <w:rFonts w:ascii="Times New Roman" w:hAnsi="Times New Roman"/>
          <w:sz w:val="20"/>
          <w:lang w:val="pt-BR"/>
        </w:rPr>
        <w:t>, Priscila Tamiasso-Martinhon</w:t>
      </w:r>
      <w:r w:rsidRPr="007D4010">
        <w:rPr>
          <w:rFonts w:ascii="Times New Roman" w:hAnsi="Times New Roman"/>
          <w:sz w:val="20"/>
          <w:vertAlign w:val="superscript"/>
          <w:lang w:val="pt-BR"/>
        </w:rPr>
        <w:t>2</w:t>
      </w:r>
      <w:r w:rsidRPr="007D4010">
        <w:rPr>
          <w:rFonts w:ascii="Times New Roman" w:hAnsi="Times New Roman"/>
          <w:sz w:val="20"/>
          <w:lang w:val="pt-BR"/>
        </w:rPr>
        <w:t>, Célia Sousa</w:t>
      </w:r>
      <w:r w:rsidRPr="007D4010">
        <w:rPr>
          <w:rFonts w:ascii="Times New Roman" w:hAnsi="Times New Roman"/>
          <w:sz w:val="20"/>
          <w:vertAlign w:val="superscript"/>
          <w:lang w:val="pt-BR"/>
        </w:rPr>
        <w:t>2</w:t>
      </w:r>
      <w:r w:rsidRPr="007D4010">
        <w:rPr>
          <w:rFonts w:ascii="Times New Roman" w:hAnsi="Times New Roman"/>
          <w:sz w:val="20"/>
          <w:lang w:val="pt-BR"/>
        </w:rPr>
        <w:t xml:space="preserve"> </w:t>
      </w:r>
    </w:p>
    <w:bookmarkEnd w:id="0"/>
    <w:p w14:paraId="118FE4B8" w14:textId="61B8B750" w:rsidR="00FC47A1" w:rsidRPr="00FC47A1" w:rsidRDefault="00FC47A1" w:rsidP="00655BB6">
      <w:pPr>
        <w:pStyle w:val="BBAuthorName"/>
        <w:spacing w:after="120"/>
        <w:ind w:right="0"/>
        <w:jc w:val="both"/>
        <w:rPr>
          <w:rFonts w:ascii="Times New Roman" w:hAnsi="Times New Roman"/>
          <w:b w:val="0"/>
          <w:i/>
          <w:sz w:val="20"/>
          <w:lang w:val="pt-BR"/>
        </w:rPr>
      </w:pPr>
      <w:r w:rsidRPr="00FC47A1">
        <w:rPr>
          <w:rFonts w:ascii="Times New Roman" w:hAnsi="Times New Roman"/>
          <w:b w:val="0"/>
          <w:i/>
          <w:sz w:val="20"/>
          <w:vertAlign w:val="superscript"/>
          <w:lang w:val="pt-BR"/>
        </w:rPr>
        <w:t>1</w:t>
      </w:r>
      <w:r w:rsidRPr="00FC47A1">
        <w:rPr>
          <w:rFonts w:ascii="Times New Roman" w:hAnsi="Times New Roman"/>
          <w:b w:val="0"/>
          <w:i/>
          <w:sz w:val="20"/>
          <w:lang w:val="pt-BR"/>
        </w:rPr>
        <w:t>Programa de Pós-graduação em Química, Instituto de Química, Universidade do Estado</w:t>
      </w:r>
      <w:r w:rsidR="00655BB6">
        <w:rPr>
          <w:rFonts w:ascii="Times New Roman" w:hAnsi="Times New Roman"/>
          <w:b w:val="0"/>
          <w:i/>
          <w:sz w:val="20"/>
          <w:lang w:val="pt-BR"/>
        </w:rPr>
        <w:t xml:space="preserve"> </w:t>
      </w:r>
      <w:r w:rsidRPr="00FC47A1">
        <w:rPr>
          <w:rFonts w:ascii="Times New Roman" w:hAnsi="Times New Roman"/>
          <w:b w:val="0"/>
          <w:i/>
          <w:sz w:val="20"/>
          <w:lang w:val="pt-BR"/>
        </w:rPr>
        <w:t>do Rio de Janeiro.</w:t>
      </w:r>
    </w:p>
    <w:p w14:paraId="5846269B" w14:textId="77A81E94" w:rsidR="00FC47A1" w:rsidRDefault="00FC47A1" w:rsidP="00655BB6">
      <w:pPr>
        <w:pStyle w:val="BBAuthorName"/>
        <w:spacing w:after="120"/>
        <w:ind w:right="0"/>
        <w:jc w:val="both"/>
        <w:rPr>
          <w:rFonts w:ascii="Times New Roman" w:hAnsi="Times New Roman"/>
          <w:b w:val="0"/>
          <w:i/>
          <w:sz w:val="20"/>
          <w:lang w:val="pt-BR"/>
        </w:rPr>
      </w:pPr>
      <w:r w:rsidRPr="00FC47A1">
        <w:rPr>
          <w:rFonts w:ascii="Times New Roman" w:hAnsi="Times New Roman"/>
          <w:b w:val="0"/>
          <w:i/>
          <w:sz w:val="20"/>
          <w:vertAlign w:val="superscript"/>
          <w:lang w:val="pt-BR"/>
        </w:rPr>
        <w:t>2</w:t>
      </w:r>
      <w:r w:rsidRPr="00FC47A1">
        <w:rPr>
          <w:rFonts w:ascii="Times New Roman" w:hAnsi="Times New Roman"/>
          <w:b w:val="0"/>
          <w:i/>
          <w:sz w:val="20"/>
          <w:lang w:val="pt-BR"/>
        </w:rPr>
        <w:t>Departamento de Físico-Química, Instituto de Química, Universidade Federal do Rio de</w:t>
      </w:r>
      <w:r w:rsidR="006D473E">
        <w:rPr>
          <w:rFonts w:ascii="Times New Roman" w:hAnsi="Times New Roman"/>
          <w:b w:val="0"/>
          <w:i/>
          <w:sz w:val="20"/>
          <w:lang w:val="pt-BR"/>
        </w:rPr>
        <w:t xml:space="preserve"> </w:t>
      </w:r>
      <w:r w:rsidRPr="00FC47A1">
        <w:rPr>
          <w:rFonts w:ascii="Times New Roman" w:hAnsi="Times New Roman"/>
          <w:b w:val="0"/>
          <w:i/>
          <w:sz w:val="20"/>
          <w:lang w:val="pt-BR"/>
        </w:rPr>
        <w:t>Janeiro.</w:t>
      </w:r>
    </w:p>
    <w:p w14:paraId="3690A771" w14:textId="1BB79693" w:rsidR="008C052D" w:rsidRPr="008C052D" w:rsidRDefault="008C052D" w:rsidP="008C052D">
      <w:pPr>
        <w:pStyle w:val="BCAuthorAddress"/>
        <w:rPr>
          <w:lang w:val="pt-BR"/>
        </w:rPr>
      </w:pPr>
      <w:r w:rsidRPr="008C052D">
        <w:rPr>
          <w:lang w:val="pt-BR"/>
        </w:rPr>
        <w:t>*lourdes.etshindo@gmail.com; angel</w:t>
      </w:r>
      <w:r>
        <w:rPr>
          <w:lang w:val="pt-BR"/>
        </w:rPr>
        <w:t>a.sanches.rocha@gmail.com</w:t>
      </w:r>
    </w:p>
    <w:p w14:paraId="238E7EC1" w14:textId="7670CA21" w:rsidR="00AF0400" w:rsidRDefault="00655BB6" w:rsidP="00FC47A1">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564682B5">
                <wp:simplePos x="0" y="0"/>
                <wp:positionH relativeFrom="margin">
                  <wp:align>right</wp:align>
                </wp:positionH>
                <wp:positionV relativeFrom="paragraph">
                  <wp:posOffset>138292</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C18C85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10.9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" fillcolor="#9a0000" stroked="f" strokeweight="1pt">
                <v:textbox inset=",0,,0">
                  <w:txbxContent>
                    <w:p w14:paraId="3D0F07B3" w14:textId="7C18C85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6F3B62D1" w:rsidR="00AF0400" w:rsidRDefault="00AF0400" w:rsidP="00EA4E1B">
      <w:pPr>
        <w:pStyle w:val="BDAbstract"/>
        <w:spacing w:before="0" w:after="0" w:line="240" w:lineRule="auto"/>
        <w:rPr>
          <w:rFonts w:ascii="Times New Roman" w:hAnsi="Times New Roman"/>
          <w:b w:val="0"/>
          <w:sz w:val="20"/>
          <w:lang w:val="pt-BR"/>
        </w:rPr>
      </w:pPr>
    </w:p>
    <w:p w14:paraId="23BB562A" w14:textId="5D5630E0" w:rsidR="00F0290C" w:rsidRDefault="00F0290C" w:rsidP="00EA4E1B">
      <w:pPr>
        <w:pStyle w:val="BDAbstract"/>
        <w:spacing w:before="0" w:after="0" w:line="240" w:lineRule="auto"/>
        <w:rPr>
          <w:rFonts w:ascii="Times New Roman" w:hAnsi="Times New Roman"/>
          <w:b w:val="0"/>
          <w:sz w:val="20"/>
          <w:lang w:val="pt-BR"/>
        </w:rPr>
      </w:pPr>
      <w:r w:rsidRPr="00F0290C">
        <w:rPr>
          <w:rFonts w:ascii="Times New Roman" w:hAnsi="Times New Roman"/>
          <w:b w:val="0"/>
          <w:sz w:val="20"/>
          <w:lang w:val="pt-BR"/>
        </w:rPr>
        <w:t>A titânia (TiO</w:t>
      </w:r>
      <w:r w:rsidRPr="001D4CD4">
        <w:rPr>
          <w:rFonts w:ascii="Times New Roman" w:hAnsi="Times New Roman"/>
          <w:b w:val="0"/>
          <w:sz w:val="20"/>
          <w:vertAlign w:val="subscript"/>
          <w:lang w:val="pt-BR"/>
        </w:rPr>
        <w:t>2</w:t>
      </w:r>
      <w:r w:rsidRPr="00F0290C">
        <w:rPr>
          <w:rFonts w:ascii="Times New Roman" w:hAnsi="Times New Roman"/>
          <w:b w:val="0"/>
          <w:sz w:val="20"/>
          <w:lang w:val="pt-BR"/>
        </w:rPr>
        <w:t xml:space="preserve">) é </w:t>
      </w:r>
      <w:r w:rsidR="00F5319C">
        <w:rPr>
          <w:rFonts w:ascii="Times New Roman" w:hAnsi="Times New Roman"/>
          <w:b w:val="0"/>
          <w:sz w:val="20"/>
          <w:lang w:val="pt-BR"/>
        </w:rPr>
        <w:t>o</w:t>
      </w:r>
      <w:r w:rsidRPr="00F0290C">
        <w:rPr>
          <w:rFonts w:ascii="Times New Roman" w:hAnsi="Times New Roman"/>
          <w:b w:val="0"/>
          <w:sz w:val="20"/>
          <w:lang w:val="pt-BR"/>
        </w:rPr>
        <w:t xml:space="preserve"> semicondutor mais estudado nos processos de fotodegradação, contudo, a </w:t>
      </w:r>
      <w:r w:rsidR="00F5319C">
        <w:rPr>
          <w:rFonts w:ascii="Times New Roman" w:hAnsi="Times New Roman"/>
          <w:b w:val="0"/>
          <w:sz w:val="20"/>
          <w:lang w:val="pt-BR"/>
        </w:rPr>
        <w:t xml:space="preserve">elevada </w:t>
      </w:r>
      <w:r w:rsidRPr="00F0290C">
        <w:rPr>
          <w:rFonts w:ascii="Times New Roman" w:hAnsi="Times New Roman"/>
          <w:b w:val="0"/>
          <w:sz w:val="20"/>
          <w:lang w:val="pt-BR"/>
        </w:rPr>
        <w:t xml:space="preserve">recombinação das cargas reduz sua aplicabilidade. </w:t>
      </w:r>
      <w:r w:rsidR="00CE5384">
        <w:rPr>
          <w:rFonts w:ascii="Times New Roman" w:hAnsi="Times New Roman"/>
          <w:b w:val="0"/>
          <w:sz w:val="20"/>
          <w:lang w:val="pt-BR"/>
        </w:rPr>
        <w:t>Por outro lado, o uso de</w:t>
      </w:r>
      <w:r w:rsidRPr="00F0290C">
        <w:rPr>
          <w:rFonts w:ascii="Times New Roman" w:hAnsi="Times New Roman"/>
          <w:b w:val="0"/>
          <w:sz w:val="20"/>
          <w:lang w:val="pt-BR"/>
        </w:rPr>
        <w:t xml:space="preserve"> </w:t>
      </w:r>
      <w:r w:rsidR="00CE5384">
        <w:rPr>
          <w:rFonts w:ascii="Times New Roman" w:hAnsi="Times New Roman"/>
          <w:b w:val="0"/>
          <w:sz w:val="20"/>
          <w:lang w:val="pt-BR"/>
        </w:rPr>
        <w:t>sólidos</w:t>
      </w:r>
      <w:r w:rsidRPr="00F0290C">
        <w:rPr>
          <w:rFonts w:ascii="Times New Roman" w:hAnsi="Times New Roman"/>
          <w:b w:val="0"/>
          <w:sz w:val="20"/>
          <w:lang w:val="pt-BR"/>
        </w:rPr>
        <w:t xml:space="preserve"> na forma de filmes abre </w:t>
      </w:r>
      <w:r w:rsidR="00CE5384">
        <w:rPr>
          <w:rFonts w:ascii="Times New Roman" w:hAnsi="Times New Roman"/>
          <w:b w:val="0"/>
          <w:sz w:val="20"/>
          <w:lang w:val="pt-BR"/>
        </w:rPr>
        <w:t>per</w:t>
      </w:r>
      <w:r w:rsidRPr="00F0290C">
        <w:rPr>
          <w:rFonts w:ascii="Times New Roman" w:hAnsi="Times New Roman"/>
          <w:b w:val="0"/>
          <w:sz w:val="20"/>
          <w:lang w:val="pt-BR"/>
        </w:rPr>
        <w:t>spectivas para imobiliza</w:t>
      </w:r>
      <w:r w:rsidR="00CE5384">
        <w:rPr>
          <w:rFonts w:ascii="Times New Roman" w:hAnsi="Times New Roman"/>
          <w:b w:val="0"/>
          <w:sz w:val="20"/>
          <w:lang w:val="pt-BR"/>
        </w:rPr>
        <w:t>ção e</w:t>
      </w:r>
      <w:r w:rsidR="00F5319C">
        <w:rPr>
          <w:rFonts w:ascii="Times New Roman" w:hAnsi="Times New Roman"/>
          <w:b w:val="0"/>
          <w:sz w:val="20"/>
          <w:lang w:val="pt-BR"/>
        </w:rPr>
        <w:t xml:space="preserve"> </w:t>
      </w:r>
      <w:r w:rsidRPr="00F0290C">
        <w:rPr>
          <w:rFonts w:ascii="Times New Roman" w:hAnsi="Times New Roman"/>
          <w:b w:val="0"/>
          <w:sz w:val="20"/>
          <w:lang w:val="pt-BR"/>
        </w:rPr>
        <w:t xml:space="preserve">permite a aplicação de uma corrente em um processo </w:t>
      </w:r>
      <w:proofErr w:type="spellStart"/>
      <w:r w:rsidRPr="00F0290C">
        <w:rPr>
          <w:rFonts w:ascii="Times New Roman" w:hAnsi="Times New Roman"/>
          <w:b w:val="0"/>
          <w:sz w:val="20"/>
          <w:lang w:val="pt-BR"/>
        </w:rPr>
        <w:t>fotoeletrocatalítico</w:t>
      </w:r>
      <w:proofErr w:type="spellEnd"/>
      <w:r w:rsidRPr="00F0290C">
        <w:rPr>
          <w:rFonts w:ascii="Times New Roman" w:hAnsi="Times New Roman"/>
          <w:b w:val="0"/>
          <w:sz w:val="20"/>
          <w:lang w:val="pt-BR"/>
        </w:rPr>
        <w:t xml:space="preserve">, minimizando a </w:t>
      </w:r>
      <w:proofErr w:type="spellStart"/>
      <w:r w:rsidRPr="00F0290C">
        <w:rPr>
          <w:rFonts w:ascii="Times New Roman" w:hAnsi="Times New Roman"/>
          <w:b w:val="0"/>
          <w:sz w:val="20"/>
          <w:lang w:val="pt-BR"/>
        </w:rPr>
        <w:t>recombinação</w:t>
      </w:r>
      <w:proofErr w:type="spellEnd"/>
      <w:r w:rsidRPr="00F0290C">
        <w:rPr>
          <w:rFonts w:ascii="Times New Roman" w:hAnsi="Times New Roman"/>
          <w:b w:val="0"/>
          <w:sz w:val="20"/>
          <w:lang w:val="pt-BR"/>
        </w:rPr>
        <w:t xml:space="preserve"> do éxciton</w:t>
      </w:r>
      <w:r w:rsidR="00F5319C">
        <w:rPr>
          <w:rFonts w:ascii="Times New Roman" w:hAnsi="Times New Roman"/>
          <w:b w:val="0"/>
          <w:sz w:val="20"/>
          <w:lang w:val="pt-BR"/>
        </w:rPr>
        <w:t xml:space="preserve">. </w:t>
      </w:r>
      <w:r w:rsidR="00CE5384">
        <w:rPr>
          <w:rFonts w:ascii="Times New Roman" w:hAnsi="Times New Roman"/>
          <w:b w:val="0"/>
          <w:sz w:val="20"/>
          <w:lang w:val="pt-BR"/>
        </w:rPr>
        <w:t xml:space="preserve">Neste sentido pode-se usar filmes compósitos de </w:t>
      </w:r>
      <w:r w:rsidRPr="00F0290C">
        <w:rPr>
          <w:rFonts w:ascii="Times New Roman" w:hAnsi="Times New Roman"/>
          <w:b w:val="0"/>
          <w:sz w:val="20"/>
          <w:lang w:val="pt-BR"/>
        </w:rPr>
        <w:t>quitosana</w:t>
      </w:r>
      <w:r w:rsidR="00A32B22">
        <w:rPr>
          <w:rFonts w:ascii="Times New Roman" w:hAnsi="Times New Roman"/>
          <w:b w:val="0"/>
          <w:sz w:val="20"/>
          <w:lang w:val="pt-BR"/>
        </w:rPr>
        <w:t xml:space="preserve">, </w:t>
      </w:r>
      <w:r w:rsidR="00CE5384">
        <w:rPr>
          <w:rFonts w:ascii="Times New Roman" w:hAnsi="Times New Roman"/>
          <w:b w:val="0"/>
          <w:sz w:val="20"/>
          <w:lang w:val="pt-BR"/>
        </w:rPr>
        <w:t>que é um</w:t>
      </w:r>
      <w:r w:rsidR="00A32B22">
        <w:rPr>
          <w:rFonts w:ascii="Times New Roman" w:hAnsi="Times New Roman"/>
          <w:b w:val="0"/>
          <w:sz w:val="20"/>
          <w:lang w:val="pt-BR"/>
        </w:rPr>
        <w:t xml:space="preserve"> </w:t>
      </w:r>
      <w:proofErr w:type="spellStart"/>
      <w:r w:rsidR="00A32B22">
        <w:rPr>
          <w:rFonts w:ascii="Times New Roman" w:hAnsi="Times New Roman"/>
          <w:b w:val="0"/>
          <w:sz w:val="20"/>
          <w:lang w:val="pt-BR"/>
        </w:rPr>
        <w:t>biopolímero</w:t>
      </w:r>
      <w:proofErr w:type="spellEnd"/>
      <w:r w:rsidR="00A32B22">
        <w:rPr>
          <w:rFonts w:ascii="Times New Roman" w:hAnsi="Times New Roman"/>
          <w:b w:val="0"/>
          <w:sz w:val="20"/>
          <w:lang w:val="pt-BR"/>
        </w:rPr>
        <w:t>,</w:t>
      </w:r>
      <w:r w:rsidRPr="00F0290C">
        <w:rPr>
          <w:rFonts w:ascii="Times New Roman" w:hAnsi="Times New Roman"/>
          <w:b w:val="0"/>
          <w:sz w:val="20"/>
          <w:lang w:val="pt-BR"/>
        </w:rPr>
        <w:t xml:space="preserve"> o que agrega interesse ambiental e </w:t>
      </w:r>
      <w:r w:rsidR="00CE5384">
        <w:rPr>
          <w:rFonts w:ascii="Times New Roman" w:hAnsi="Times New Roman"/>
          <w:b w:val="0"/>
          <w:sz w:val="20"/>
          <w:lang w:val="pt-BR"/>
        </w:rPr>
        <w:t>de</w:t>
      </w:r>
      <w:r w:rsidRPr="00F0290C">
        <w:rPr>
          <w:rFonts w:ascii="Times New Roman" w:hAnsi="Times New Roman"/>
          <w:b w:val="0"/>
          <w:sz w:val="20"/>
          <w:lang w:val="pt-BR"/>
        </w:rPr>
        <w:t xml:space="preserve"> custo</w:t>
      </w:r>
      <w:r w:rsidR="002815F5">
        <w:rPr>
          <w:rFonts w:ascii="Times New Roman" w:hAnsi="Times New Roman"/>
          <w:b w:val="0"/>
          <w:sz w:val="20"/>
          <w:lang w:val="pt-BR"/>
        </w:rPr>
        <w:t xml:space="preserve">, além de </w:t>
      </w:r>
      <w:r w:rsidRPr="00F0290C">
        <w:rPr>
          <w:rFonts w:ascii="Times New Roman" w:hAnsi="Times New Roman"/>
          <w:b w:val="0"/>
          <w:sz w:val="20"/>
          <w:lang w:val="pt-BR"/>
        </w:rPr>
        <w:t>incorpor</w:t>
      </w:r>
      <w:r w:rsidR="00CE5384">
        <w:rPr>
          <w:rFonts w:ascii="Times New Roman" w:hAnsi="Times New Roman"/>
          <w:b w:val="0"/>
          <w:sz w:val="20"/>
          <w:lang w:val="pt-BR"/>
        </w:rPr>
        <w:t>ar</w:t>
      </w:r>
      <w:r w:rsidRPr="00F0290C">
        <w:rPr>
          <w:rFonts w:ascii="Times New Roman" w:hAnsi="Times New Roman"/>
          <w:b w:val="0"/>
          <w:sz w:val="20"/>
          <w:lang w:val="pt-BR"/>
        </w:rPr>
        <w:t xml:space="preserve"> outros óxidos</w:t>
      </w:r>
      <w:r w:rsidR="00CE5384">
        <w:rPr>
          <w:rFonts w:ascii="Times New Roman" w:hAnsi="Times New Roman"/>
          <w:b w:val="0"/>
          <w:sz w:val="20"/>
          <w:lang w:val="pt-BR"/>
        </w:rPr>
        <w:t xml:space="preserve"> à titânia</w:t>
      </w:r>
      <w:r w:rsidRPr="00F0290C">
        <w:rPr>
          <w:rFonts w:ascii="Times New Roman" w:hAnsi="Times New Roman"/>
          <w:b w:val="0"/>
          <w:sz w:val="20"/>
          <w:lang w:val="pt-BR"/>
        </w:rPr>
        <w:t xml:space="preserve">, como </w:t>
      </w:r>
      <w:r w:rsidR="00624EC0">
        <w:rPr>
          <w:rFonts w:ascii="Times New Roman" w:hAnsi="Times New Roman"/>
          <w:b w:val="0"/>
          <w:sz w:val="20"/>
          <w:lang w:val="pt-BR"/>
        </w:rPr>
        <w:t>dióxido de estanho</w:t>
      </w:r>
      <w:r w:rsidR="002815F5">
        <w:rPr>
          <w:rFonts w:ascii="Times New Roman" w:hAnsi="Times New Roman"/>
          <w:b w:val="0"/>
          <w:sz w:val="20"/>
          <w:lang w:val="pt-BR"/>
        </w:rPr>
        <w:t xml:space="preserve">. </w:t>
      </w:r>
      <w:r w:rsidRPr="00F0290C">
        <w:rPr>
          <w:rFonts w:ascii="Times New Roman" w:hAnsi="Times New Roman"/>
          <w:b w:val="0"/>
          <w:sz w:val="20"/>
          <w:lang w:val="pt-BR"/>
        </w:rPr>
        <w:t xml:space="preserve">Desta forma, o objetivo deste trabalho é sintetizar, caracterizar e avaliar a atividade fotocatalítica de óxidos </w:t>
      </w:r>
      <w:r w:rsidR="002815F5">
        <w:rPr>
          <w:rFonts w:ascii="Times New Roman" w:hAnsi="Times New Roman"/>
          <w:b w:val="0"/>
          <w:sz w:val="20"/>
          <w:lang w:val="pt-BR"/>
        </w:rPr>
        <w:t>c</w:t>
      </w:r>
      <w:r w:rsidR="002815F5" w:rsidRPr="00F0290C">
        <w:rPr>
          <w:rFonts w:ascii="Times New Roman" w:hAnsi="Times New Roman"/>
          <w:b w:val="0"/>
          <w:sz w:val="20"/>
          <w:lang w:val="pt-BR"/>
        </w:rPr>
        <w:t xml:space="preserve">om teor nominal de 1 e 10% </w:t>
      </w:r>
      <w:r w:rsidR="002815F5">
        <w:rPr>
          <w:rFonts w:ascii="Times New Roman" w:hAnsi="Times New Roman"/>
          <w:b w:val="0"/>
          <w:sz w:val="20"/>
          <w:lang w:val="pt-BR"/>
        </w:rPr>
        <w:t xml:space="preserve">em massa </w:t>
      </w:r>
      <w:r w:rsidRPr="00F0290C">
        <w:rPr>
          <w:rFonts w:ascii="Times New Roman" w:hAnsi="Times New Roman"/>
          <w:b w:val="0"/>
          <w:sz w:val="20"/>
          <w:lang w:val="pt-BR"/>
        </w:rPr>
        <w:t>de SnO</w:t>
      </w:r>
      <w:r w:rsidRPr="00505EFC">
        <w:rPr>
          <w:rFonts w:ascii="Times New Roman" w:hAnsi="Times New Roman"/>
          <w:b w:val="0"/>
          <w:sz w:val="20"/>
          <w:vertAlign w:val="subscript"/>
          <w:lang w:val="pt-BR"/>
        </w:rPr>
        <w:t>2</w:t>
      </w:r>
      <w:r w:rsidR="002815F5">
        <w:rPr>
          <w:rFonts w:ascii="Times New Roman" w:hAnsi="Times New Roman"/>
          <w:b w:val="0"/>
          <w:sz w:val="20"/>
          <w:lang w:val="pt-BR"/>
        </w:rPr>
        <w:t xml:space="preserve"> em </w:t>
      </w:r>
      <w:r w:rsidRPr="00F0290C">
        <w:rPr>
          <w:rFonts w:ascii="Times New Roman" w:hAnsi="Times New Roman"/>
          <w:b w:val="0"/>
          <w:sz w:val="20"/>
          <w:lang w:val="pt-BR"/>
        </w:rPr>
        <w:t>TiO</w:t>
      </w:r>
      <w:r w:rsidRPr="00505EFC">
        <w:rPr>
          <w:rFonts w:ascii="Times New Roman" w:hAnsi="Times New Roman"/>
          <w:b w:val="0"/>
          <w:sz w:val="20"/>
          <w:vertAlign w:val="subscript"/>
          <w:lang w:val="pt-BR"/>
        </w:rPr>
        <w:t>2</w:t>
      </w:r>
      <w:r w:rsidR="002815F5">
        <w:rPr>
          <w:rFonts w:ascii="Times New Roman" w:hAnsi="Times New Roman"/>
          <w:b w:val="0"/>
          <w:sz w:val="20"/>
          <w:lang w:val="pt-BR"/>
        </w:rPr>
        <w:t xml:space="preserve">, </w:t>
      </w:r>
      <w:r w:rsidRPr="00F0290C">
        <w:rPr>
          <w:rFonts w:ascii="Times New Roman" w:hAnsi="Times New Roman"/>
          <w:b w:val="0"/>
          <w:sz w:val="20"/>
          <w:lang w:val="pt-BR"/>
        </w:rPr>
        <w:t xml:space="preserve">para obtenção de filmes compósitos com </w:t>
      </w:r>
      <w:r w:rsidR="00505EFC">
        <w:rPr>
          <w:rFonts w:ascii="Times New Roman" w:hAnsi="Times New Roman"/>
          <w:b w:val="0"/>
          <w:sz w:val="20"/>
          <w:lang w:val="pt-BR"/>
        </w:rPr>
        <w:t>q</w:t>
      </w:r>
      <w:r w:rsidRPr="00F0290C">
        <w:rPr>
          <w:rFonts w:ascii="Times New Roman" w:hAnsi="Times New Roman"/>
          <w:b w:val="0"/>
          <w:sz w:val="20"/>
          <w:lang w:val="pt-BR"/>
        </w:rPr>
        <w:t>uitosana</w:t>
      </w:r>
      <w:r w:rsidR="00CE5384">
        <w:rPr>
          <w:rFonts w:ascii="Times New Roman" w:hAnsi="Times New Roman"/>
          <w:b w:val="0"/>
          <w:sz w:val="20"/>
          <w:lang w:val="pt-BR"/>
        </w:rPr>
        <w:t xml:space="preserve">. </w:t>
      </w:r>
      <w:r w:rsidRPr="00F0290C">
        <w:rPr>
          <w:rFonts w:ascii="Times New Roman" w:hAnsi="Times New Roman"/>
          <w:b w:val="0"/>
          <w:sz w:val="20"/>
          <w:lang w:val="pt-BR"/>
        </w:rPr>
        <w:t xml:space="preserve">Os óxidos </w:t>
      </w:r>
      <w:r w:rsidR="002815F5">
        <w:rPr>
          <w:rFonts w:ascii="Times New Roman" w:hAnsi="Times New Roman"/>
          <w:b w:val="0"/>
          <w:sz w:val="20"/>
          <w:lang w:val="pt-BR"/>
        </w:rPr>
        <w:t xml:space="preserve">sintetizados por rota sol-gel </w:t>
      </w:r>
      <w:r w:rsidRPr="00F0290C">
        <w:rPr>
          <w:rFonts w:ascii="Times New Roman" w:hAnsi="Times New Roman"/>
          <w:b w:val="0"/>
          <w:sz w:val="20"/>
          <w:lang w:val="pt-BR"/>
        </w:rPr>
        <w:t xml:space="preserve">foram caracterizados por </w:t>
      </w:r>
      <w:r w:rsidR="002815F5">
        <w:rPr>
          <w:rFonts w:ascii="Times New Roman" w:hAnsi="Times New Roman"/>
          <w:b w:val="0"/>
          <w:sz w:val="20"/>
          <w:lang w:val="pt-BR"/>
        </w:rPr>
        <w:t xml:space="preserve">DRX, MEV </w:t>
      </w:r>
      <w:r w:rsidR="00680E0D">
        <w:rPr>
          <w:rFonts w:ascii="Times New Roman" w:hAnsi="Times New Roman"/>
          <w:b w:val="0"/>
          <w:sz w:val="20"/>
          <w:lang w:val="pt-BR"/>
        </w:rPr>
        <w:t>e</w:t>
      </w:r>
      <w:r w:rsidR="00680E0D" w:rsidRPr="00F0290C">
        <w:rPr>
          <w:rFonts w:ascii="Times New Roman" w:hAnsi="Times New Roman"/>
          <w:b w:val="0"/>
          <w:sz w:val="20"/>
          <w:lang w:val="pt-BR"/>
        </w:rPr>
        <w:t xml:space="preserve"> </w:t>
      </w:r>
      <w:r w:rsidRPr="00F0290C">
        <w:rPr>
          <w:rFonts w:ascii="Times New Roman" w:hAnsi="Times New Roman"/>
          <w:b w:val="0"/>
          <w:sz w:val="20"/>
          <w:lang w:val="pt-BR"/>
        </w:rPr>
        <w:t xml:space="preserve">análise textural, </w:t>
      </w:r>
      <w:r w:rsidR="00F5319C">
        <w:rPr>
          <w:rFonts w:ascii="Times New Roman" w:hAnsi="Times New Roman"/>
          <w:b w:val="0"/>
          <w:sz w:val="20"/>
          <w:lang w:val="pt-BR"/>
        </w:rPr>
        <w:t>e o</w:t>
      </w:r>
      <w:r w:rsidRPr="00F0290C">
        <w:rPr>
          <w:rFonts w:ascii="Times New Roman" w:hAnsi="Times New Roman"/>
          <w:b w:val="0"/>
          <w:sz w:val="20"/>
          <w:lang w:val="pt-BR"/>
        </w:rPr>
        <w:t xml:space="preserve">s ensaios fotocatalíticos </w:t>
      </w:r>
      <w:r w:rsidR="00F5319C">
        <w:rPr>
          <w:rFonts w:ascii="Times New Roman" w:hAnsi="Times New Roman"/>
          <w:b w:val="0"/>
          <w:sz w:val="20"/>
          <w:lang w:val="pt-BR"/>
        </w:rPr>
        <w:t xml:space="preserve">foram realizados na presença de radiação UV e visível para descoloração do azul de metileno. </w:t>
      </w:r>
      <w:r w:rsidRPr="00F0290C">
        <w:rPr>
          <w:rFonts w:ascii="Times New Roman" w:hAnsi="Times New Roman"/>
          <w:b w:val="0"/>
          <w:sz w:val="20"/>
          <w:lang w:val="pt-BR"/>
        </w:rPr>
        <w:t>O óxido 1% SnO</w:t>
      </w:r>
      <w:r w:rsidRPr="00505EFC">
        <w:rPr>
          <w:rFonts w:ascii="Times New Roman" w:hAnsi="Times New Roman"/>
          <w:b w:val="0"/>
          <w:sz w:val="20"/>
          <w:vertAlign w:val="subscript"/>
          <w:lang w:val="pt-BR"/>
        </w:rPr>
        <w:t>2</w:t>
      </w:r>
      <w:r w:rsidRPr="00F0290C">
        <w:rPr>
          <w:rFonts w:ascii="Times New Roman" w:hAnsi="Times New Roman"/>
          <w:b w:val="0"/>
          <w:sz w:val="20"/>
          <w:lang w:val="pt-BR"/>
        </w:rPr>
        <w:t>-TiO</w:t>
      </w:r>
      <w:r w:rsidRPr="00505EFC">
        <w:rPr>
          <w:rFonts w:ascii="Times New Roman" w:hAnsi="Times New Roman"/>
          <w:b w:val="0"/>
          <w:sz w:val="20"/>
          <w:vertAlign w:val="subscript"/>
          <w:lang w:val="pt-BR"/>
        </w:rPr>
        <w:t>2</w:t>
      </w:r>
      <w:r w:rsidRPr="00F0290C">
        <w:rPr>
          <w:rFonts w:ascii="Times New Roman" w:hAnsi="Times New Roman"/>
          <w:b w:val="0"/>
          <w:sz w:val="20"/>
          <w:lang w:val="pt-BR"/>
        </w:rPr>
        <w:t xml:space="preserve"> em suspensão apresentou o m</w:t>
      </w:r>
      <w:r w:rsidR="00FD09E8">
        <w:rPr>
          <w:rFonts w:ascii="Times New Roman" w:hAnsi="Times New Roman"/>
          <w:b w:val="0"/>
          <w:sz w:val="20"/>
          <w:lang w:val="pt-BR"/>
        </w:rPr>
        <w:t>aior</w:t>
      </w:r>
      <w:r w:rsidRPr="00F0290C">
        <w:rPr>
          <w:rFonts w:ascii="Times New Roman" w:hAnsi="Times New Roman"/>
          <w:b w:val="0"/>
          <w:sz w:val="20"/>
          <w:lang w:val="pt-BR"/>
        </w:rPr>
        <w:t xml:space="preserve"> resultado, com 9</w:t>
      </w:r>
      <w:r w:rsidR="003B667B">
        <w:rPr>
          <w:rFonts w:ascii="Times New Roman" w:hAnsi="Times New Roman"/>
          <w:b w:val="0"/>
          <w:sz w:val="20"/>
          <w:lang w:val="pt-BR"/>
        </w:rPr>
        <w:t>9</w:t>
      </w:r>
      <w:r w:rsidRPr="00F0290C">
        <w:rPr>
          <w:rFonts w:ascii="Times New Roman" w:hAnsi="Times New Roman"/>
          <w:b w:val="0"/>
          <w:sz w:val="20"/>
          <w:lang w:val="pt-BR"/>
        </w:rPr>
        <w:t xml:space="preserve">% de remoção de cor </w:t>
      </w:r>
      <w:r w:rsidR="002815F5">
        <w:rPr>
          <w:rFonts w:ascii="Times New Roman" w:hAnsi="Times New Roman"/>
          <w:b w:val="0"/>
          <w:sz w:val="20"/>
          <w:lang w:val="pt-BR"/>
        </w:rPr>
        <w:t>após</w:t>
      </w:r>
      <w:r w:rsidRPr="00F0290C">
        <w:rPr>
          <w:rFonts w:ascii="Times New Roman" w:hAnsi="Times New Roman"/>
          <w:b w:val="0"/>
          <w:sz w:val="20"/>
          <w:lang w:val="pt-BR"/>
        </w:rPr>
        <w:t xml:space="preserve"> 2 h de ensaio com radiação UV. </w:t>
      </w:r>
      <w:r w:rsidR="002815F5">
        <w:rPr>
          <w:rFonts w:ascii="Times New Roman" w:hAnsi="Times New Roman"/>
          <w:b w:val="0"/>
          <w:sz w:val="20"/>
          <w:lang w:val="pt-BR"/>
        </w:rPr>
        <w:t xml:space="preserve">Os </w:t>
      </w:r>
      <w:r w:rsidRPr="00F0290C">
        <w:rPr>
          <w:rFonts w:ascii="Times New Roman" w:hAnsi="Times New Roman"/>
          <w:b w:val="0"/>
          <w:sz w:val="20"/>
          <w:lang w:val="pt-BR"/>
        </w:rPr>
        <w:t>filmes permaneceram aderidos após 2 h de ensaio fotocatalítico</w:t>
      </w:r>
      <w:r w:rsidR="002815F5">
        <w:rPr>
          <w:rFonts w:ascii="Times New Roman" w:hAnsi="Times New Roman"/>
          <w:b w:val="0"/>
          <w:sz w:val="20"/>
          <w:lang w:val="pt-BR"/>
        </w:rPr>
        <w:t>, o que é promissor</w:t>
      </w:r>
      <w:r w:rsidRPr="00F0290C">
        <w:rPr>
          <w:rFonts w:ascii="Times New Roman" w:hAnsi="Times New Roman"/>
          <w:b w:val="0"/>
          <w:sz w:val="20"/>
          <w:lang w:val="pt-BR"/>
        </w:rPr>
        <w:t>.</w:t>
      </w:r>
    </w:p>
    <w:p w14:paraId="3FE5020A" w14:textId="77777777" w:rsidR="005E27EF" w:rsidRDefault="005E27EF" w:rsidP="00EA4E1B">
      <w:pPr>
        <w:pStyle w:val="BDAbstract"/>
        <w:spacing w:before="0" w:after="0" w:line="240" w:lineRule="auto"/>
        <w:rPr>
          <w:rFonts w:ascii="Times New Roman" w:hAnsi="Times New Roman"/>
          <w:b w:val="0"/>
          <w:sz w:val="20"/>
          <w:lang w:val="pt-BR"/>
        </w:rPr>
      </w:pPr>
    </w:p>
    <w:p w14:paraId="5D8D4445" w14:textId="2A0F39B6" w:rsidR="00EA4E1B"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Palavras-chave: </w:t>
      </w:r>
      <w:r w:rsidR="00F0290C">
        <w:rPr>
          <w:rFonts w:ascii="Times New Roman" w:hAnsi="Times New Roman"/>
          <w:b w:val="0"/>
          <w:i/>
          <w:sz w:val="20"/>
          <w:lang w:val="pt-BR"/>
        </w:rPr>
        <w:t>d</w:t>
      </w:r>
      <w:r w:rsidR="00F0290C" w:rsidRPr="00F0290C">
        <w:rPr>
          <w:rFonts w:ascii="Times New Roman" w:hAnsi="Times New Roman"/>
          <w:b w:val="0"/>
          <w:i/>
          <w:sz w:val="20"/>
          <w:lang w:val="pt-BR"/>
        </w:rPr>
        <w:t>e</w:t>
      </w:r>
      <w:r w:rsidR="006F11D1">
        <w:rPr>
          <w:rFonts w:ascii="Times New Roman" w:hAnsi="Times New Roman"/>
          <w:b w:val="0"/>
          <w:i/>
          <w:sz w:val="20"/>
          <w:lang w:val="pt-BR"/>
        </w:rPr>
        <w:t>gradação</w:t>
      </w:r>
      <w:r w:rsidR="00F0290C" w:rsidRPr="00F0290C">
        <w:rPr>
          <w:rFonts w:ascii="Times New Roman" w:hAnsi="Times New Roman"/>
          <w:b w:val="0"/>
          <w:i/>
          <w:sz w:val="20"/>
          <w:lang w:val="pt-BR"/>
        </w:rPr>
        <w:t xml:space="preserve"> fotocatalític</w:t>
      </w:r>
      <w:r w:rsidR="006F11D1">
        <w:rPr>
          <w:rFonts w:ascii="Times New Roman" w:hAnsi="Times New Roman"/>
          <w:b w:val="0"/>
          <w:i/>
          <w:sz w:val="20"/>
          <w:lang w:val="pt-BR"/>
        </w:rPr>
        <w:t>a</w:t>
      </w:r>
      <w:r w:rsidR="00F0290C">
        <w:rPr>
          <w:rFonts w:ascii="Times New Roman" w:hAnsi="Times New Roman"/>
          <w:b w:val="0"/>
          <w:i/>
          <w:sz w:val="20"/>
          <w:lang w:val="pt-BR"/>
        </w:rPr>
        <w:t>, f</w:t>
      </w:r>
      <w:r w:rsidR="00F0290C" w:rsidRPr="00F0290C">
        <w:rPr>
          <w:rFonts w:ascii="Times New Roman" w:hAnsi="Times New Roman"/>
          <w:b w:val="0"/>
          <w:i/>
          <w:sz w:val="20"/>
          <w:lang w:val="pt-BR"/>
        </w:rPr>
        <w:t>ilmes finos</w:t>
      </w:r>
      <w:r w:rsidR="00F0290C">
        <w:rPr>
          <w:rFonts w:ascii="Times New Roman" w:hAnsi="Times New Roman"/>
          <w:b w:val="0"/>
          <w:i/>
          <w:sz w:val="20"/>
          <w:lang w:val="pt-BR"/>
        </w:rPr>
        <w:t>, ó</w:t>
      </w:r>
      <w:r w:rsidR="00F0290C" w:rsidRPr="00F0290C">
        <w:rPr>
          <w:rFonts w:ascii="Times New Roman" w:hAnsi="Times New Roman"/>
          <w:b w:val="0"/>
          <w:i/>
          <w:sz w:val="20"/>
          <w:lang w:val="pt-BR"/>
        </w:rPr>
        <w:t>xido misto</w:t>
      </w:r>
      <w:r w:rsidR="00F0290C">
        <w:rPr>
          <w:rFonts w:ascii="Times New Roman" w:hAnsi="Times New Roman"/>
          <w:b w:val="0"/>
          <w:i/>
          <w:sz w:val="20"/>
          <w:lang w:val="pt-BR"/>
        </w:rPr>
        <w:t>, h</w:t>
      </w:r>
      <w:r w:rsidR="00F0290C" w:rsidRPr="00F0290C">
        <w:rPr>
          <w:rFonts w:ascii="Times New Roman" w:hAnsi="Times New Roman"/>
          <w:b w:val="0"/>
          <w:i/>
          <w:sz w:val="20"/>
          <w:lang w:val="pt-BR"/>
        </w:rPr>
        <w:t>eteroestrutura</w:t>
      </w:r>
      <w:r w:rsidR="00F0290C">
        <w:rPr>
          <w:rFonts w:ascii="Times New Roman" w:hAnsi="Times New Roman"/>
          <w:b w:val="0"/>
          <w:i/>
          <w:sz w:val="20"/>
          <w:lang w:val="pt-BR"/>
        </w:rPr>
        <w:t>.</w:t>
      </w:r>
    </w:p>
    <w:p w14:paraId="209AC4FA" w14:textId="77777777" w:rsidR="00F0290C" w:rsidRPr="00DA4DFC" w:rsidRDefault="00F0290C" w:rsidP="00EA4E1B">
      <w:pPr>
        <w:pStyle w:val="BDAbstract"/>
        <w:spacing w:before="0" w:after="0" w:line="240" w:lineRule="auto"/>
        <w:rPr>
          <w:rFonts w:ascii="Times New Roman" w:hAnsi="Times New Roman"/>
          <w:b w:val="0"/>
          <w:sz w:val="20"/>
          <w:lang w:val="pt-BR"/>
        </w:rPr>
      </w:pPr>
    </w:p>
    <w:p w14:paraId="575B9908" w14:textId="05DC659E" w:rsidR="005E27EF" w:rsidRDefault="007F52D2" w:rsidP="00EA4E1B">
      <w:pPr>
        <w:pStyle w:val="BDAbstract"/>
        <w:spacing w:before="0" w:after="0" w:line="240" w:lineRule="auto"/>
        <w:rPr>
          <w:rFonts w:ascii="Times New Roman" w:hAnsi="Times New Roman"/>
          <w:b w:val="0"/>
          <w:sz w:val="20"/>
        </w:rPr>
      </w:pPr>
      <w:r w:rsidRPr="007F52D2">
        <w:rPr>
          <w:rFonts w:ascii="Times New Roman" w:hAnsi="Times New Roman"/>
          <w:b w:val="0"/>
          <w:sz w:val="20"/>
        </w:rPr>
        <w:t>Titania (TiO</w:t>
      </w:r>
      <w:r w:rsidRPr="007F52D2">
        <w:rPr>
          <w:rFonts w:ascii="Times New Roman" w:hAnsi="Times New Roman"/>
          <w:b w:val="0"/>
          <w:sz w:val="20"/>
          <w:vertAlign w:val="subscript"/>
        </w:rPr>
        <w:t>2</w:t>
      </w:r>
      <w:r w:rsidRPr="007F52D2">
        <w:rPr>
          <w:rFonts w:ascii="Times New Roman" w:hAnsi="Times New Roman"/>
          <w:b w:val="0"/>
          <w:sz w:val="20"/>
        </w:rPr>
        <w:t xml:space="preserve">) is the most studied semiconductor in photodegradation </w:t>
      </w:r>
      <w:r w:rsidR="00FD09E8" w:rsidRPr="007F52D2">
        <w:rPr>
          <w:rFonts w:ascii="Times New Roman" w:hAnsi="Times New Roman"/>
          <w:b w:val="0"/>
          <w:sz w:val="20"/>
        </w:rPr>
        <w:t>processes;</w:t>
      </w:r>
      <w:r w:rsidRPr="007F52D2">
        <w:rPr>
          <w:rFonts w:ascii="Times New Roman" w:hAnsi="Times New Roman"/>
          <w:b w:val="0"/>
          <w:sz w:val="20"/>
        </w:rPr>
        <w:t xml:space="preserve"> however, the high recombination of charges reduces its applicability. On the other hand, the use of solids in the form of films opens perspectives for immobilization and allows the application of a current in a </w:t>
      </w:r>
      <w:proofErr w:type="spellStart"/>
      <w:r w:rsidRPr="007F52D2">
        <w:rPr>
          <w:rFonts w:ascii="Times New Roman" w:hAnsi="Times New Roman"/>
          <w:b w:val="0"/>
          <w:sz w:val="20"/>
        </w:rPr>
        <w:t>photoelectrocatalytic</w:t>
      </w:r>
      <w:proofErr w:type="spellEnd"/>
      <w:r w:rsidRPr="007F52D2">
        <w:rPr>
          <w:rFonts w:ascii="Times New Roman" w:hAnsi="Times New Roman"/>
          <w:b w:val="0"/>
          <w:sz w:val="20"/>
        </w:rPr>
        <w:t xml:space="preserve"> process, minimizing exciton recombination. In this sense, composite chitosan films can be used, which is a biopolymer, which adds environmental and cost interest, in addition to incorporating other oxides to titania, such as tin. Thus, the objective of this work is to synthesize, characterize and evaluate the photocatalytic activity of oxides with a nominal content of 1 and 10% by mass of SnO</w:t>
      </w:r>
      <w:r w:rsidRPr="007F52D2">
        <w:rPr>
          <w:rFonts w:ascii="Times New Roman" w:hAnsi="Times New Roman"/>
          <w:b w:val="0"/>
          <w:sz w:val="20"/>
          <w:vertAlign w:val="subscript"/>
        </w:rPr>
        <w:t>2</w:t>
      </w:r>
      <w:r w:rsidRPr="007F52D2">
        <w:rPr>
          <w:rFonts w:ascii="Times New Roman" w:hAnsi="Times New Roman"/>
          <w:b w:val="0"/>
          <w:sz w:val="20"/>
        </w:rPr>
        <w:t xml:space="preserve"> in TiO</w:t>
      </w:r>
      <w:r w:rsidRPr="007F52D2">
        <w:rPr>
          <w:rFonts w:ascii="Times New Roman" w:hAnsi="Times New Roman"/>
          <w:b w:val="0"/>
          <w:sz w:val="20"/>
          <w:vertAlign w:val="subscript"/>
        </w:rPr>
        <w:t>2</w:t>
      </w:r>
      <w:r w:rsidRPr="007F52D2">
        <w:rPr>
          <w:rFonts w:ascii="Times New Roman" w:hAnsi="Times New Roman"/>
          <w:b w:val="0"/>
          <w:sz w:val="20"/>
        </w:rPr>
        <w:t>, to obtain composite films with chitosan. The oxides synthesized by sol-gel route were characterized by XRD, SEM and textural analysis, and photocatalytic assays were performed in the presence of UV and visible radiation for methylene blue decolorization. The 1% SnO</w:t>
      </w:r>
      <w:r w:rsidRPr="007F52D2">
        <w:rPr>
          <w:rFonts w:ascii="Times New Roman" w:hAnsi="Times New Roman"/>
          <w:b w:val="0"/>
          <w:sz w:val="20"/>
          <w:vertAlign w:val="subscript"/>
        </w:rPr>
        <w:t>2</w:t>
      </w:r>
      <w:r w:rsidRPr="007F52D2">
        <w:rPr>
          <w:rFonts w:ascii="Times New Roman" w:hAnsi="Times New Roman"/>
          <w:b w:val="0"/>
          <w:sz w:val="20"/>
        </w:rPr>
        <w:t>-TiO</w:t>
      </w:r>
      <w:r w:rsidRPr="007F52D2">
        <w:rPr>
          <w:rFonts w:ascii="Times New Roman" w:hAnsi="Times New Roman"/>
          <w:b w:val="0"/>
          <w:sz w:val="20"/>
          <w:vertAlign w:val="subscript"/>
        </w:rPr>
        <w:t>2</w:t>
      </w:r>
      <w:r w:rsidRPr="007F52D2">
        <w:rPr>
          <w:rFonts w:ascii="Times New Roman" w:hAnsi="Times New Roman"/>
          <w:b w:val="0"/>
          <w:sz w:val="20"/>
        </w:rPr>
        <w:t xml:space="preserve"> oxide in suspension showed the </w:t>
      </w:r>
      <w:r w:rsidR="00FD09E8">
        <w:rPr>
          <w:rFonts w:ascii="Times New Roman" w:hAnsi="Times New Roman"/>
          <w:b w:val="0"/>
          <w:sz w:val="20"/>
        </w:rPr>
        <w:t>higher</w:t>
      </w:r>
      <w:r w:rsidRPr="007F52D2">
        <w:rPr>
          <w:rFonts w:ascii="Times New Roman" w:hAnsi="Times New Roman"/>
          <w:b w:val="0"/>
          <w:sz w:val="20"/>
        </w:rPr>
        <w:t xml:space="preserve"> result, with 99% color removal after 2 h of UV radiation testing. The films remained adhered after 2 h of photocatalytic testing, which is promising.</w:t>
      </w:r>
    </w:p>
    <w:p w14:paraId="56893204" w14:textId="77777777" w:rsidR="00773424" w:rsidRPr="001D4CD4" w:rsidRDefault="00773424" w:rsidP="00EA4E1B">
      <w:pPr>
        <w:pStyle w:val="BDAbstract"/>
        <w:spacing w:before="0" w:after="0" w:line="240" w:lineRule="auto"/>
        <w:rPr>
          <w:rFonts w:ascii="Times New Roman" w:hAnsi="Times New Roman"/>
          <w:b w:val="0"/>
          <w:sz w:val="20"/>
        </w:rPr>
      </w:pPr>
    </w:p>
    <w:p w14:paraId="48D9B0C4" w14:textId="53FBC8E4" w:rsidR="00EA4E1B" w:rsidRPr="006F11D1" w:rsidRDefault="00EA4E1B" w:rsidP="006F11D1">
      <w:pPr>
        <w:pStyle w:val="BDAbstract"/>
        <w:spacing w:before="0" w:after="120" w:line="240" w:lineRule="auto"/>
        <w:sectPr w:rsidR="00EA4E1B" w:rsidRPr="006F11D1" w:rsidSect="00EA4E1B">
          <w:headerReference w:type="default" r:id="rId8"/>
          <w:endnotePr>
            <w:numFmt w:val="decimal"/>
          </w:endnotePr>
          <w:pgSz w:w="11906" w:h="16838"/>
          <w:pgMar w:top="1418" w:right="1094" w:bottom="1418" w:left="567" w:header="709" w:footer="709" w:gutter="0"/>
          <w:cols w:space="708"/>
          <w:docGrid w:linePitch="360"/>
        </w:sectPr>
      </w:pPr>
      <w:r w:rsidRPr="006F11D1">
        <w:rPr>
          <w:rFonts w:ascii="Times New Roman" w:hAnsi="Times New Roman"/>
          <w:b w:val="0"/>
          <w:i/>
          <w:sz w:val="20"/>
        </w:rPr>
        <w:t xml:space="preserve">Keywords: </w:t>
      </w:r>
      <w:bookmarkEnd w:id="1"/>
      <w:r w:rsidR="006F11D1" w:rsidRPr="006F11D1">
        <w:rPr>
          <w:rFonts w:ascii="Times New Roman" w:hAnsi="Times New Roman"/>
          <w:b w:val="0"/>
          <w:i/>
          <w:sz w:val="20"/>
        </w:rPr>
        <w:t>photocatalytic degradation, thin films, mixed oxide, heterostructure.</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5F5B8AC7" w14:textId="3408131C" w:rsidR="00D01E7D" w:rsidRDefault="00F50A47" w:rsidP="00EA4E1B">
      <w:pPr>
        <w:pStyle w:val="TAMainText"/>
        <w:rPr>
          <w:rFonts w:ascii="Times New Roman" w:hAnsi="Times New Roman"/>
          <w:lang w:val="pt-BR"/>
        </w:rPr>
      </w:pPr>
      <w:r>
        <w:rPr>
          <w:rFonts w:ascii="Times New Roman" w:hAnsi="Times New Roman"/>
          <w:lang w:val="pt-BR"/>
        </w:rPr>
        <w:t xml:space="preserve">Sintetizar </w:t>
      </w:r>
      <w:r w:rsidR="008C052D">
        <w:rPr>
          <w:rFonts w:ascii="Times New Roman" w:hAnsi="Times New Roman"/>
          <w:lang w:val="pt-BR"/>
        </w:rPr>
        <w:t>catalisadores</w:t>
      </w:r>
      <w:r>
        <w:rPr>
          <w:rFonts w:ascii="Times New Roman" w:hAnsi="Times New Roman"/>
          <w:lang w:val="pt-BR"/>
        </w:rPr>
        <w:t xml:space="preserve"> a partir de rotas que</w:t>
      </w:r>
      <w:r w:rsidR="008C052D">
        <w:rPr>
          <w:rFonts w:ascii="Times New Roman" w:hAnsi="Times New Roman"/>
          <w:lang w:val="pt-BR"/>
        </w:rPr>
        <w:t xml:space="preserve"> </w:t>
      </w:r>
      <w:r w:rsidR="008C052D" w:rsidRPr="00D01E7D">
        <w:rPr>
          <w:rFonts w:ascii="Times New Roman" w:hAnsi="Times New Roman"/>
          <w:lang w:val="pt-BR"/>
        </w:rPr>
        <w:t>dispens</w:t>
      </w:r>
      <w:r>
        <w:rPr>
          <w:rFonts w:ascii="Times New Roman" w:hAnsi="Times New Roman"/>
          <w:lang w:val="pt-BR"/>
        </w:rPr>
        <w:t>em</w:t>
      </w:r>
      <w:r w:rsidR="008C052D" w:rsidRPr="00D01E7D">
        <w:rPr>
          <w:rFonts w:ascii="Times New Roman" w:hAnsi="Times New Roman"/>
          <w:lang w:val="pt-BR"/>
        </w:rPr>
        <w:t xml:space="preserve"> grandes quantidades de reagentes, solventes</w:t>
      </w:r>
      <w:r w:rsidR="008C052D">
        <w:rPr>
          <w:rFonts w:ascii="Times New Roman" w:hAnsi="Times New Roman"/>
          <w:lang w:val="pt-BR"/>
        </w:rPr>
        <w:t xml:space="preserve">, </w:t>
      </w:r>
      <w:r w:rsidR="008C052D" w:rsidRPr="00D01E7D">
        <w:rPr>
          <w:rFonts w:ascii="Times New Roman" w:hAnsi="Times New Roman"/>
          <w:lang w:val="pt-BR"/>
        </w:rPr>
        <w:t>que envolvam condições mais brandas e redução de custo</w:t>
      </w:r>
      <w:r w:rsidR="008C052D">
        <w:rPr>
          <w:rFonts w:ascii="Times New Roman" w:hAnsi="Times New Roman"/>
          <w:lang w:val="pt-BR"/>
        </w:rPr>
        <w:t>,</w:t>
      </w:r>
      <w:r>
        <w:rPr>
          <w:rFonts w:ascii="Times New Roman" w:hAnsi="Times New Roman"/>
          <w:lang w:val="pt-BR"/>
        </w:rPr>
        <w:t xml:space="preserve"> além de incorporar materiais oriundos de rejeitos, pode ser considerado uma prática de produção mais limpa, sendo</w:t>
      </w:r>
      <w:r w:rsidR="008C052D">
        <w:rPr>
          <w:rFonts w:ascii="Times New Roman" w:hAnsi="Times New Roman"/>
          <w:lang w:val="pt-BR"/>
        </w:rPr>
        <w:t xml:space="preserve"> desenvolvid</w:t>
      </w:r>
      <w:r>
        <w:rPr>
          <w:rFonts w:ascii="Times New Roman" w:hAnsi="Times New Roman"/>
          <w:lang w:val="pt-BR"/>
        </w:rPr>
        <w:t>a</w:t>
      </w:r>
      <w:r w:rsidR="008C052D">
        <w:rPr>
          <w:rFonts w:ascii="Times New Roman" w:hAnsi="Times New Roman"/>
          <w:lang w:val="pt-BR"/>
        </w:rPr>
        <w:t xml:space="preserve"> por grupos de pesquisa em todo mundo</w:t>
      </w:r>
      <w:r w:rsidR="00044EFB">
        <w:rPr>
          <w:rFonts w:ascii="Times New Roman" w:hAnsi="Times New Roman"/>
          <w:lang w:val="pt-BR"/>
        </w:rPr>
        <w:t xml:space="preserve"> (1)</w:t>
      </w:r>
      <w:r w:rsidR="008C052D">
        <w:rPr>
          <w:rFonts w:ascii="Times New Roman" w:hAnsi="Times New Roman"/>
          <w:lang w:val="pt-BR"/>
        </w:rPr>
        <w:t xml:space="preserve">. Neste sentido, é importante </w:t>
      </w:r>
      <w:r w:rsidR="00E531E5">
        <w:rPr>
          <w:rFonts w:ascii="Times New Roman" w:hAnsi="Times New Roman"/>
          <w:lang w:val="pt-BR"/>
        </w:rPr>
        <w:t>relacionar as propriedades físico-químicas dos materiais e as rotas utilizadas</w:t>
      </w:r>
      <w:r w:rsidR="00566547">
        <w:rPr>
          <w:rFonts w:ascii="Times New Roman" w:hAnsi="Times New Roman"/>
          <w:lang w:val="pt-BR"/>
        </w:rPr>
        <w:t>.</w:t>
      </w:r>
    </w:p>
    <w:p w14:paraId="7E5B58B0" w14:textId="1CA2FF33" w:rsidR="00DA0708" w:rsidRDefault="00E531E5" w:rsidP="00DA0708">
      <w:pPr>
        <w:pStyle w:val="TAMainText"/>
        <w:rPr>
          <w:rFonts w:ascii="Times New Roman" w:hAnsi="Times New Roman"/>
          <w:lang w:val="pt-BR"/>
        </w:rPr>
      </w:pPr>
      <w:r>
        <w:rPr>
          <w:rFonts w:ascii="Times New Roman" w:hAnsi="Times New Roman"/>
          <w:lang w:val="pt-BR"/>
        </w:rPr>
        <w:t xml:space="preserve">Tratando-se especificamente de </w:t>
      </w:r>
      <w:proofErr w:type="spellStart"/>
      <w:r>
        <w:rPr>
          <w:rFonts w:ascii="Times New Roman" w:hAnsi="Times New Roman"/>
          <w:lang w:val="pt-BR"/>
        </w:rPr>
        <w:t>fotocatalisadores</w:t>
      </w:r>
      <w:proofErr w:type="spellEnd"/>
      <w:r>
        <w:rPr>
          <w:rFonts w:ascii="Times New Roman" w:hAnsi="Times New Roman"/>
          <w:lang w:val="pt-BR"/>
        </w:rPr>
        <w:t>, a titânia</w:t>
      </w:r>
      <w:r w:rsidR="00751592">
        <w:rPr>
          <w:rFonts w:ascii="Times New Roman" w:hAnsi="Times New Roman"/>
          <w:lang w:val="pt-BR"/>
        </w:rPr>
        <w:t xml:space="preserve"> é</w:t>
      </w:r>
      <w:r w:rsidR="00566547" w:rsidRPr="00566547">
        <w:rPr>
          <w:rFonts w:ascii="Times New Roman" w:hAnsi="Times New Roman"/>
          <w:lang w:val="pt-BR"/>
        </w:rPr>
        <w:t xml:space="preserve"> um catalisador </w:t>
      </w:r>
      <w:r>
        <w:rPr>
          <w:rFonts w:ascii="Times New Roman" w:hAnsi="Times New Roman"/>
          <w:lang w:val="pt-BR"/>
        </w:rPr>
        <w:t xml:space="preserve">que apresenta </w:t>
      </w:r>
      <w:r w:rsidR="00566547" w:rsidRPr="00566547">
        <w:rPr>
          <w:rFonts w:ascii="Times New Roman" w:hAnsi="Times New Roman"/>
          <w:lang w:val="pt-BR"/>
        </w:rPr>
        <w:t>boa atividade fotocatalítica</w:t>
      </w:r>
      <w:r>
        <w:rPr>
          <w:rFonts w:ascii="Times New Roman" w:hAnsi="Times New Roman"/>
          <w:lang w:val="pt-BR"/>
        </w:rPr>
        <w:t xml:space="preserve"> para uma vasta gama de reações</w:t>
      </w:r>
      <w:r w:rsidR="006B7B72">
        <w:rPr>
          <w:rFonts w:ascii="Times New Roman" w:hAnsi="Times New Roman"/>
          <w:lang w:val="pt-BR"/>
        </w:rPr>
        <w:t xml:space="preserve"> (2-6)</w:t>
      </w:r>
      <w:r w:rsidR="00751592">
        <w:rPr>
          <w:rFonts w:ascii="Times New Roman" w:hAnsi="Times New Roman"/>
          <w:lang w:val="pt-BR"/>
        </w:rPr>
        <w:t xml:space="preserve">. </w:t>
      </w:r>
      <w:r w:rsidR="00DA0708">
        <w:rPr>
          <w:rFonts w:ascii="Times New Roman" w:hAnsi="Times New Roman"/>
          <w:lang w:val="pt-BR"/>
        </w:rPr>
        <w:t>Sua r</w:t>
      </w:r>
      <w:r w:rsidR="00DA0708" w:rsidRPr="00A32656">
        <w:rPr>
          <w:rFonts w:ascii="Times New Roman" w:hAnsi="Times New Roman"/>
          <w:lang w:val="pt-BR"/>
        </w:rPr>
        <w:t xml:space="preserve">esistência à </w:t>
      </w:r>
      <w:proofErr w:type="spellStart"/>
      <w:r w:rsidR="00DA0708" w:rsidRPr="00A32656">
        <w:rPr>
          <w:rFonts w:ascii="Times New Roman" w:hAnsi="Times New Roman"/>
          <w:lang w:val="pt-BR"/>
        </w:rPr>
        <w:t>fotocorrosão</w:t>
      </w:r>
      <w:proofErr w:type="spellEnd"/>
      <w:r w:rsidR="00DA0708">
        <w:rPr>
          <w:rFonts w:ascii="Times New Roman" w:hAnsi="Times New Roman"/>
          <w:lang w:val="pt-BR"/>
        </w:rPr>
        <w:t xml:space="preserve">, </w:t>
      </w:r>
      <w:r w:rsidR="00DA0708" w:rsidRPr="00A32656">
        <w:rPr>
          <w:rFonts w:ascii="Times New Roman" w:hAnsi="Times New Roman"/>
          <w:lang w:val="pt-BR"/>
        </w:rPr>
        <w:t>compatibilidade ambiental</w:t>
      </w:r>
      <w:r w:rsidR="00DA0E5E">
        <w:rPr>
          <w:rFonts w:ascii="Times New Roman" w:hAnsi="Times New Roman"/>
          <w:lang w:val="pt-BR"/>
        </w:rPr>
        <w:t xml:space="preserve"> </w:t>
      </w:r>
      <w:r w:rsidR="00DA0708">
        <w:rPr>
          <w:rFonts w:ascii="Times New Roman" w:hAnsi="Times New Roman"/>
          <w:lang w:val="pt-BR"/>
        </w:rPr>
        <w:t>e</w:t>
      </w:r>
      <w:r w:rsidR="00DA0708" w:rsidRPr="00A32656">
        <w:rPr>
          <w:rFonts w:ascii="Times New Roman" w:hAnsi="Times New Roman"/>
          <w:lang w:val="pt-BR"/>
        </w:rPr>
        <w:t xml:space="preserve"> </w:t>
      </w:r>
      <w:r w:rsidR="00DA0708" w:rsidRPr="00A32656">
        <w:rPr>
          <w:rFonts w:ascii="Times New Roman" w:hAnsi="Times New Roman"/>
          <w:lang w:val="pt-BR"/>
        </w:rPr>
        <w:t xml:space="preserve">largo </w:t>
      </w:r>
      <w:r w:rsidR="00DA0708" w:rsidRPr="009A0674">
        <w:rPr>
          <w:rFonts w:ascii="Times New Roman" w:hAnsi="Times New Roman"/>
          <w:i/>
          <w:iCs/>
          <w:lang w:val="pt-BR"/>
        </w:rPr>
        <w:t>band gap</w:t>
      </w:r>
      <w:r w:rsidR="00DA0708" w:rsidRPr="00A32656">
        <w:rPr>
          <w:rFonts w:ascii="Times New Roman" w:hAnsi="Times New Roman"/>
          <w:lang w:val="pt-BR"/>
        </w:rPr>
        <w:t xml:space="preserve"> de energia (3,0−3,5 </w:t>
      </w:r>
      <w:proofErr w:type="spellStart"/>
      <w:r w:rsidR="00DA0708" w:rsidRPr="00A32656">
        <w:rPr>
          <w:rFonts w:ascii="Times New Roman" w:hAnsi="Times New Roman"/>
          <w:lang w:val="pt-BR"/>
        </w:rPr>
        <w:t>eV</w:t>
      </w:r>
      <w:proofErr w:type="spellEnd"/>
      <w:r w:rsidR="00DA0708" w:rsidRPr="00A32656">
        <w:rPr>
          <w:rFonts w:ascii="Times New Roman" w:hAnsi="Times New Roman"/>
          <w:lang w:val="pt-BR"/>
        </w:rPr>
        <w:t xml:space="preserve">) são excelentes vantagens </w:t>
      </w:r>
      <w:r w:rsidR="00DA0708">
        <w:rPr>
          <w:rFonts w:ascii="Times New Roman" w:hAnsi="Times New Roman"/>
          <w:lang w:val="pt-BR"/>
        </w:rPr>
        <w:t>para aplicação na</w:t>
      </w:r>
      <w:r w:rsidR="00DA0708" w:rsidRPr="00A32656">
        <w:rPr>
          <w:rFonts w:ascii="Times New Roman" w:hAnsi="Times New Roman"/>
          <w:lang w:val="pt-BR"/>
        </w:rPr>
        <w:t xml:space="preserve"> fotodegradação</w:t>
      </w:r>
      <w:r w:rsidR="00A20C9D">
        <w:rPr>
          <w:rFonts w:ascii="Times New Roman" w:hAnsi="Times New Roman"/>
          <w:lang w:val="pt-BR"/>
        </w:rPr>
        <w:t xml:space="preserve"> (7)</w:t>
      </w:r>
      <w:r w:rsidR="002A5E72">
        <w:rPr>
          <w:rFonts w:ascii="Times New Roman" w:hAnsi="Times New Roman"/>
          <w:lang w:val="pt-BR"/>
        </w:rPr>
        <w:t>.</w:t>
      </w:r>
    </w:p>
    <w:p w14:paraId="5C52FDA5" w14:textId="5D6C6183" w:rsidR="00566547" w:rsidRDefault="00DA0708" w:rsidP="00DA0708">
      <w:pPr>
        <w:pStyle w:val="TAMainText"/>
        <w:rPr>
          <w:rFonts w:ascii="Times New Roman" w:hAnsi="Times New Roman"/>
          <w:lang w:val="pt-BR"/>
        </w:rPr>
      </w:pPr>
      <w:r>
        <w:rPr>
          <w:rFonts w:ascii="Times New Roman" w:hAnsi="Times New Roman"/>
          <w:lang w:val="pt-BR"/>
        </w:rPr>
        <w:t>Além d</w:t>
      </w:r>
      <w:r w:rsidR="002A5E72">
        <w:rPr>
          <w:rFonts w:ascii="Times New Roman" w:hAnsi="Times New Roman"/>
          <w:lang w:val="pt-BR"/>
        </w:rPr>
        <w:t>a possibilidade de</w:t>
      </w:r>
      <w:r>
        <w:rPr>
          <w:rFonts w:ascii="Times New Roman" w:hAnsi="Times New Roman"/>
          <w:lang w:val="pt-BR"/>
        </w:rPr>
        <w:t xml:space="preserve"> a</w:t>
      </w:r>
      <w:r w:rsidR="00566547" w:rsidRPr="00566547">
        <w:rPr>
          <w:rFonts w:ascii="Times New Roman" w:hAnsi="Times New Roman"/>
          <w:lang w:val="pt-BR"/>
        </w:rPr>
        <w:t>presenta</w:t>
      </w:r>
      <w:r>
        <w:rPr>
          <w:rFonts w:ascii="Times New Roman" w:hAnsi="Times New Roman"/>
          <w:lang w:val="pt-BR"/>
        </w:rPr>
        <w:t>r</w:t>
      </w:r>
      <w:r w:rsidR="00566547" w:rsidRPr="00566547">
        <w:rPr>
          <w:rFonts w:ascii="Times New Roman" w:hAnsi="Times New Roman"/>
          <w:lang w:val="pt-BR"/>
        </w:rPr>
        <w:t xml:space="preserve"> uma heteroestrutura formada </w:t>
      </w:r>
      <w:r w:rsidR="001B2023">
        <w:rPr>
          <w:rFonts w:ascii="Times New Roman" w:hAnsi="Times New Roman"/>
          <w:lang w:val="pt-BR"/>
        </w:rPr>
        <w:t>pelas</w:t>
      </w:r>
      <w:r w:rsidR="00566547" w:rsidRPr="00566547">
        <w:rPr>
          <w:rFonts w:ascii="Times New Roman" w:hAnsi="Times New Roman"/>
          <w:lang w:val="pt-BR"/>
        </w:rPr>
        <w:t xml:space="preserve"> fases cristalinas anatase e rutilo, </w:t>
      </w:r>
      <w:r w:rsidR="00751592">
        <w:rPr>
          <w:rFonts w:ascii="Times New Roman" w:hAnsi="Times New Roman"/>
          <w:lang w:val="pt-BR"/>
        </w:rPr>
        <w:t xml:space="preserve">estudos científicos </w:t>
      </w:r>
      <w:r w:rsidR="00751592" w:rsidRPr="00566547">
        <w:rPr>
          <w:rFonts w:ascii="Times New Roman" w:hAnsi="Times New Roman"/>
          <w:lang w:val="pt-BR"/>
        </w:rPr>
        <w:t>têm</w:t>
      </w:r>
      <w:r w:rsidR="00566547" w:rsidRPr="00566547">
        <w:rPr>
          <w:rFonts w:ascii="Times New Roman" w:hAnsi="Times New Roman"/>
          <w:lang w:val="pt-BR"/>
        </w:rPr>
        <w:t xml:space="preserve"> demonstrado que</w:t>
      </w:r>
      <w:r w:rsidR="00566547">
        <w:rPr>
          <w:rFonts w:ascii="Times New Roman" w:hAnsi="Times New Roman"/>
          <w:lang w:val="pt-BR"/>
        </w:rPr>
        <w:t xml:space="preserve"> </w:t>
      </w:r>
      <w:r w:rsidR="001B2023">
        <w:rPr>
          <w:rFonts w:ascii="Times New Roman" w:hAnsi="Times New Roman"/>
          <w:lang w:val="pt-BR"/>
        </w:rPr>
        <w:t>a titânia</w:t>
      </w:r>
      <w:r w:rsidR="00566547" w:rsidRPr="00566547">
        <w:rPr>
          <w:rFonts w:ascii="Times New Roman" w:hAnsi="Times New Roman"/>
          <w:lang w:val="pt-BR"/>
        </w:rPr>
        <w:t xml:space="preserve"> pode ser combinad</w:t>
      </w:r>
      <w:r w:rsidR="001B2023">
        <w:rPr>
          <w:rFonts w:ascii="Times New Roman" w:hAnsi="Times New Roman"/>
          <w:lang w:val="pt-BR"/>
        </w:rPr>
        <w:t>a</w:t>
      </w:r>
      <w:r w:rsidR="00566547" w:rsidRPr="00566547">
        <w:rPr>
          <w:rFonts w:ascii="Times New Roman" w:hAnsi="Times New Roman"/>
          <w:lang w:val="pt-BR"/>
        </w:rPr>
        <w:t xml:space="preserve"> com outros materiais, </w:t>
      </w:r>
      <w:r w:rsidR="001B2023">
        <w:rPr>
          <w:rFonts w:ascii="Times New Roman" w:hAnsi="Times New Roman"/>
          <w:lang w:val="pt-BR"/>
        </w:rPr>
        <w:t xml:space="preserve">apresentando diferentes propriedades que podem ser </w:t>
      </w:r>
      <w:proofErr w:type="spellStart"/>
      <w:r w:rsidR="001B2023">
        <w:rPr>
          <w:rFonts w:ascii="Times New Roman" w:hAnsi="Times New Roman"/>
          <w:lang w:val="pt-BR"/>
        </w:rPr>
        <w:t>cataliticamente</w:t>
      </w:r>
      <w:proofErr w:type="spellEnd"/>
      <w:r w:rsidR="001B2023">
        <w:rPr>
          <w:rFonts w:ascii="Times New Roman" w:hAnsi="Times New Roman"/>
          <w:lang w:val="pt-BR"/>
        </w:rPr>
        <w:t xml:space="preserve"> vantajosas</w:t>
      </w:r>
      <w:r w:rsidR="00044EFB">
        <w:rPr>
          <w:rFonts w:ascii="Times New Roman" w:hAnsi="Times New Roman"/>
          <w:lang w:val="pt-BR"/>
        </w:rPr>
        <w:t xml:space="preserve"> (7-8)</w:t>
      </w:r>
      <w:r w:rsidR="001B2023">
        <w:rPr>
          <w:rFonts w:ascii="Times New Roman" w:hAnsi="Times New Roman"/>
          <w:lang w:val="pt-BR"/>
        </w:rPr>
        <w:t>. O TiO</w:t>
      </w:r>
      <w:r w:rsidR="001B2023" w:rsidRPr="001B2023">
        <w:rPr>
          <w:rFonts w:ascii="Times New Roman" w:hAnsi="Times New Roman"/>
          <w:vertAlign w:val="subscript"/>
          <w:lang w:val="pt-BR"/>
        </w:rPr>
        <w:t>2</w:t>
      </w:r>
      <w:r w:rsidR="001B2023">
        <w:rPr>
          <w:rFonts w:ascii="Times New Roman" w:hAnsi="Times New Roman"/>
          <w:lang w:val="pt-BR"/>
        </w:rPr>
        <w:t xml:space="preserve"> também pode ter </w:t>
      </w:r>
      <w:r w:rsidR="00566547" w:rsidRPr="00566547">
        <w:rPr>
          <w:rFonts w:ascii="Times New Roman" w:hAnsi="Times New Roman"/>
          <w:lang w:val="pt-BR"/>
        </w:rPr>
        <w:t xml:space="preserve">propriedades </w:t>
      </w:r>
      <w:r w:rsidR="001B2023">
        <w:rPr>
          <w:rFonts w:ascii="Times New Roman" w:hAnsi="Times New Roman"/>
          <w:lang w:val="pt-BR"/>
        </w:rPr>
        <w:t xml:space="preserve">interessantes dependendo do método de síntese e de como se apresenta, </w:t>
      </w:r>
      <w:r w:rsidR="00566547" w:rsidRPr="00566547">
        <w:rPr>
          <w:rFonts w:ascii="Times New Roman" w:hAnsi="Times New Roman"/>
          <w:lang w:val="pt-BR"/>
        </w:rPr>
        <w:t xml:space="preserve">como tamanho de partícula, área </w:t>
      </w:r>
      <w:r w:rsidR="001B2023">
        <w:rPr>
          <w:rFonts w:ascii="Times New Roman" w:hAnsi="Times New Roman"/>
          <w:lang w:val="pt-BR"/>
        </w:rPr>
        <w:t>específica</w:t>
      </w:r>
      <w:r w:rsidR="00566547" w:rsidRPr="00566547">
        <w:rPr>
          <w:rFonts w:ascii="Times New Roman" w:hAnsi="Times New Roman"/>
          <w:lang w:val="pt-BR"/>
        </w:rPr>
        <w:t>, volume de poros, morfologia, pH</w:t>
      </w:r>
      <w:r w:rsidR="00B968CD">
        <w:rPr>
          <w:rFonts w:ascii="Times New Roman" w:hAnsi="Times New Roman"/>
          <w:lang w:val="pt-BR"/>
        </w:rPr>
        <w:t>,</w:t>
      </w:r>
      <w:r w:rsidR="00566547" w:rsidRPr="00566547">
        <w:rPr>
          <w:rFonts w:ascii="Times New Roman" w:hAnsi="Times New Roman"/>
          <w:lang w:val="pt-BR"/>
        </w:rPr>
        <w:t xml:space="preserve"> </w:t>
      </w:r>
      <w:r w:rsidR="00566547" w:rsidRPr="00566547">
        <w:rPr>
          <w:rFonts w:ascii="Times New Roman" w:hAnsi="Times New Roman"/>
          <w:i/>
          <w:iCs/>
          <w:lang w:val="pt-BR"/>
        </w:rPr>
        <w:t>band gap</w:t>
      </w:r>
      <w:r w:rsidR="00566547" w:rsidRPr="00566547">
        <w:rPr>
          <w:rFonts w:ascii="Times New Roman" w:hAnsi="Times New Roman"/>
          <w:lang w:val="pt-BR"/>
        </w:rPr>
        <w:t xml:space="preserve">, fase cristalina, entre outras. </w:t>
      </w:r>
    </w:p>
    <w:p w14:paraId="28F17950" w14:textId="5D50B723" w:rsidR="00DA0708" w:rsidRDefault="001B2023" w:rsidP="00DA0708">
      <w:pPr>
        <w:pStyle w:val="TAMainText"/>
        <w:rPr>
          <w:rFonts w:ascii="Times New Roman" w:hAnsi="Times New Roman"/>
          <w:lang w:val="pt-BR"/>
        </w:rPr>
      </w:pPr>
      <w:r>
        <w:rPr>
          <w:rFonts w:ascii="Times New Roman" w:hAnsi="Times New Roman"/>
          <w:lang w:val="pt-BR"/>
        </w:rPr>
        <w:t>A</w:t>
      </w:r>
      <w:r w:rsidR="00DA0708" w:rsidRPr="00DA0708">
        <w:rPr>
          <w:rFonts w:ascii="Times New Roman" w:hAnsi="Times New Roman"/>
          <w:lang w:val="pt-BR"/>
        </w:rPr>
        <w:t xml:space="preserve"> incorporação de </w:t>
      </w:r>
      <w:r>
        <w:rPr>
          <w:rFonts w:ascii="Times New Roman" w:hAnsi="Times New Roman"/>
          <w:lang w:val="pt-BR"/>
        </w:rPr>
        <w:t xml:space="preserve">elementos </w:t>
      </w:r>
      <w:r w:rsidR="00DA0708">
        <w:rPr>
          <w:rFonts w:ascii="Times New Roman" w:hAnsi="Times New Roman"/>
          <w:lang w:val="pt-BR"/>
        </w:rPr>
        <w:t>na titânia</w:t>
      </w:r>
      <w:r w:rsidR="00DA0708" w:rsidRPr="00DA0708">
        <w:rPr>
          <w:rFonts w:ascii="Times New Roman" w:hAnsi="Times New Roman"/>
          <w:lang w:val="pt-BR"/>
        </w:rPr>
        <w:t xml:space="preserve">, </w:t>
      </w:r>
      <w:r>
        <w:rPr>
          <w:rFonts w:ascii="Times New Roman" w:hAnsi="Times New Roman"/>
          <w:lang w:val="pt-BR"/>
        </w:rPr>
        <w:t xml:space="preserve">quer seja na forma de óxidos ou não, pode melhorar sua atividade </w:t>
      </w:r>
      <w:r>
        <w:rPr>
          <w:rFonts w:ascii="Times New Roman" w:hAnsi="Times New Roman"/>
          <w:lang w:val="pt-BR"/>
        </w:rPr>
        <w:lastRenderedPageBreak/>
        <w:t xml:space="preserve">fotocatalítica, bem como seletividade e, neste sentido, </w:t>
      </w:r>
      <w:r w:rsidR="00624EC0">
        <w:rPr>
          <w:rFonts w:ascii="Times New Roman" w:hAnsi="Times New Roman"/>
          <w:lang w:val="pt-BR"/>
        </w:rPr>
        <w:t>dióxido de estanho</w:t>
      </w:r>
      <w:r w:rsidR="00DA0708" w:rsidRPr="00DA0708">
        <w:rPr>
          <w:rFonts w:ascii="Times New Roman" w:hAnsi="Times New Roman"/>
          <w:lang w:val="pt-BR"/>
        </w:rPr>
        <w:t xml:space="preserve"> (SnO</w:t>
      </w:r>
      <w:r w:rsidR="00DA0708" w:rsidRPr="00DA0708">
        <w:rPr>
          <w:rFonts w:ascii="Times New Roman" w:hAnsi="Times New Roman"/>
          <w:vertAlign w:val="subscript"/>
          <w:lang w:val="pt-BR"/>
        </w:rPr>
        <w:t>2</w:t>
      </w:r>
      <w:r w:rsidR="00DA0708" w:rsidRPr="00DA0708">
        <w:rPr>
          <w:rFonts w:ascii="Times New Roman" w:hAnsi="Times New Roman"/>
          <w:lang w:val="pt-BR"/>
        </w:rPr>
        <w:t>)</w:t>
      </w:r>
      <w:r>
        <w:rPr>
          <w:rFonts w:ascii="Times New Roman" w:hAnsi="Times New Roman"/>
          <w:lang w:val="pt-BR"/>
        </w:rPr>
        <w:t xml:space="preserve"> aparece como uma possibilidade</w:t>
      </w:r>
      <w:r w:rsidR="00044EFB">
        <w:rPr>
          <w:rFonts w:ascii="Times New Roman" w:hAnsi="Times New Roman"/>
          <w:lang w:val="pt-BR"/>
        </w:rPr>
        <w:t xml:space="preserve"> (9-13)</w:t>
      </w:r>
      <w:r w:rsidR="006E262F">
        <w:rPr>
          <w:rFonts w:ascii="Times New Roman" w:hAnsi="Times New Roman"/>
          <w:lang w:val="pt-BR"/>
        </w:rPr>
        <w:t>.</w:t>
      </w:r>
    </w:p>
    <w:p w14:paraId="5755DF8C" w14:textId="5880CDDB" w:rsidR="00EC643C" w:rsidRDefault="00EC643C" w:rsidP="00DA0708">
      <w:pPr>
        <w:pStyle w:val="TAMainText"/>
        <w:rPr>
          <w:rFonts w:ascii="Times New Roman" w:hAnsi="Times New Roman"/>
          <w:lang w:val="pt-BR"/>
        </w:rPr>
      </w:pPr>
      <w:r>
        <w:rPr>
          <w:rFonts w:ascii="Times New Roman" w:hAnsi="Times New Roman"/>
          <w:lang w:val="pt-BR"/>
        </w:rPr>
        <w:t>A</w:t>
      </w:r>
      <w:r w:rsidR="006F640D" w:rsidRPr="006F640D">
        <w:rPr>
          <w:rFonts w:ascii="Times New Roman" w:hAnsi="Times New Roman"/>
          <w:lang w:val="pt-BR"/>
        </w:rPr>
        <w:t xml:space="preserve"> maioria dos estudos sobre </w:t>
      </w:r>
      <w:r>
        <w:rPr>
          <w:rFonts w:ascii="Times New Roman" w:hAnsi="Times New Roman"/>
          <w:lang w:val="pt-BR"/>
        </w:rPr>
        <w:t xml:space="preserve">catalisadores compostos por </w:t>
      </w:r>
      <w:r w:rsidR="006F640D" w:rsidRPr="006F640D">
        <w:rPr>
          <w:rFonts w:ascii="Times New Roman" w:hAnsi="Times New Roman"/>
          <w:lang w:val="pt-BR"/>
        </w:rPr>
        <w:t>TiO</w:t>
      </w:r>
      <w:r w:rsidR="006F640D" w:rsidRPr="006F640D">
        <w:rPr>
          <w:rFonts w:ascii="Times New Roman" w:hAnsi="Times New Roman"/>
          <w:vertAlign w:val="subscript"/>
          <w:lang w:val="pt-BR"/>
        </w:rPr>
        <w:t>2</w:t>
      </w:r>
      <w:r>
        <w:rPr>
          <w:rFonts w:ascii="Times New Roman" w:hAnsi="Times New Roman"/>
          <w:lang w:val="pt-BR"/>
        </w:rPr>
        <w:t xml:space="preserve"> e </w:t>
      </w:r>
      <w:r w:rsidR="006F640D" w:rsidRPr="006F640D">
        <w:rPr>
          <w:rFonts w:ascii="Times New Roman" w:hAnsi="Times New Roman"/>
          <w:lang w:val="pt-BR"/>
        </w:rPr>
        <w:t>SnO</w:t>
      </w:r>
      <w:r w:rsidR="006F640D" w:rsidRPr="006F640D">
        <w:rPr>
          <w:rFonts w:ascii="Times New Roman" w:hAnsi="Times New Roman"/>
          <w:vertAlign w:val="subscript"/>
          <w:lang w:val="pt-BR"/>
        </w:rPr>
        <w:t>2</w:t>
      </w:r>
      <w:r w:rsidR="006F640D" w:rsidRPr="006F640D">
        <w:rPr>
          <w:rFonts w:ascii="Times New Roman" w:hAnsi="Times New Roman"/>
          <w:lang w:val="pt-BR"/>
        </w:rPr>
        <w:t xml:space="preserve"> </w:t>
      </w:r>
      <w:r>
        <w:rPr>
          <w:rFonts w:ascii="Times New Roman" w:hAnsi="Times New Roman"/>
          <w:lang w:val="pt-BR"/>
        </w:rPr>
        <w:t xml:space="preserve">indicam que estes materiais </w:t>
      </w:r>
      <w:r w:rsidR="006F640D" w:rsidRPr="006F640D">
        <w:rPr>
          <w:rFonts w:ascii="Times New Roman" w:hAnsi="Times New Roman"/>
          <w:lang w:val="pt-BR"/>
        </w:rPr>
        <w:t>apresenta</w:t>
      </w:r>
      <w:r>
        <w:rPr>
          <w:rFonts w:ascii="Times New Roman" w:hAnsi="Times New Roman"/>
          <w:lang w:val="pt-BR"/>
        </w:rPr>
        <w:t>m</w:t>
      </w:r>
      <w:r w:rsidR="006F640D" w:rsidRPr="006F640D">
        <w:rPr>
          <w:rFonts w:ascii="Times New Roman" w:hAnsi="Times New Roman"/>
          <w:lang w:val="pt-BR"/>
        </w:rPr>
        <w:t xml:space="preserve"> limitações em aplicações fotocatalíticas devido à </w:t>
      </w:r>
      <w:r>
        <w:rPr>
          <w:rFonts w:ascii="Times New Roman" w:hAnsi="Times New Roman"/>
          <w:lang w:val="pt-BR"/>
        </w:rPr>
        <w:t xml:space="preserve">diferentes motivos, como </w:t>
      </w:r>
      <w:r w:rsidR="006F640D" w:rsidRPr="006F640D">
        <w:rPr>
          <w:rFonts w:ascii="Times New Roman" w:hAnsi="Times New Roman"/>
          <w:lang w:val="pt-BR"/>
        </w:rPr>
        <w:t>dificuldade das etapas de síntese, morfologia irregular</w:t>
      </w:r>
      <w:r>
        <w:rPr>
          <w:rFonts w:ascii="Times New Roman" w:hAnsi="Times New Roman"/>
          <w:lang w:val="pt-BR"/>
        </w:rPr>
        <w:t xml:space="preserve"> dos sólidos</w:t>
      </w:r>
      <w:r w:rsidR="006F640D" w:rsidRPr="006F640D">
        <w:rPr>
          <w:rFonts w:ascii="Times New Roman" w:hAnsi="Times New Roman"/>
          <w:lang w:val="pt-BR"/>
        </w:rPr>
        <w:t xml:space="preserve"> e agregação de elétrons </w:t>
      </w:r>
      <w:proofErr w:type="spellStart"/>
      <w:r w:rsidR="006F640D" w:rsidRPr="006F640D">
        <w:rPr>
          <w:rFonts w:ascii="Times New Roman" w:hAnsi="Times New Roman"/>
          <w:lang w:val="pt-BR"/>
        </w:rPr>
        <w:t>fotogerados</w:t>
      </w:r>
      <w:proofErr w:type="spellEnd"/>
      <w:r>
        <w:rPr>
          <w:rFonts w:ascii="Times New Roman" w:hAnsi="Times New Roman"/>
          <w:lang w:val="pt-BR"/>
        </w:rPr>
        <w:t>, entre outros</w:t>
      </w:r>
      <w:r w:rsidR="00FB6607">
        <w:rPr>
          <w:rFonts w:ascii="Times New Roman" w:hAnsi="Times New Roman"/>
          <w:lang w:val="pt-BR"/>
        </w:rPr>
        <w:t>, o que abre a possibilidade para investigação</w:t>
      </w:r>
      <w:r w:rsidR="00044EFB">
        <w:rPr>
          <w:rFonts w:ascii="Times New Roman" w:hAnsi="Times New Roman"/>
          <w:lang w:val="pt-BR"/>
        </w:rPr>
        <w:t xml:space="preserve"> (14)</w:t>
      </w:r>
      <w:r w:rsidR="006F640D" w:rsidRPr="006F640D">
        <w:rPr>
          <w:rFonts w:ascii="Times New Roman" w:hAnsi="Times New Roman"/>
          <w:lang w:val="pt-BR"/>
        </w:rPr>
        <w:t xml:space="preserve">. </w:t>
      </w:r>
    </w:p>
    <w:p w14:paraId="553F7617" w14:textId="50FA2E4C" w:rsidR="00DA0708" w:rsidRDefault="00FB6607" w:rsidP="00DA0708">
      <w:pPr>
        <w:pStyle w:val="TAMainText"/>
        <w:rPr>
          <w:rFonts w:ascii="Times New Roman" w:hAnsi="Times New Roman"/>
          <w:lang w:val="pt-BR"/>
        </w:rPr>
      </w:pPr>
      <w:r>
        <w:rPr>
          <w:rFonts w:ascii="Times New Roman" w:hAnsi="Times New Roman"/>
          <w:lang w:val="pt-BR"/>
        </w:rPr>
        <w:t>Tratando-se especificamente d</w:t>
      </w:r>
      <w:r w:rsidR="00EC643C">
        <w:rPr>
          <w:rFonts w:ascii="Times New Roman" w:hAnsi="Times New Roman"/>
          <w:lang w:val="pt-BR"/>
        </w:rPr>
        <w:t>os métodos de síntese, pode-se destacar o s</w:t>
      </w:r>
      <w:r w:rsidR="006F640D" w:rsidRPr="006F640D">
        <w:rPr>
          <w:rFonts w:ascii="Times New Roman" w:hAnsi="Times New Roman"/>
          <w:lang w:val="pt-BR"/>
        </w:rPr>
        <w:t>ol-</w:t>
      </w:r>
      <w:r w:rsidR="006F640D">
        <w:rPr>
          <w:rFonts w:ascii="Times New Roman" w:hAnsi="Times New Roman"/>
          <w:lang w:val="pt-BR"/>
        </w:rPr>
        <w:t>g</w:t>
      </w:r>
      <w:r w:rsidR="006F640D" w:rsidRPr="006F640D">
        <w:rPr>
          <w:rFonts w:ascii="Times New Roman" w:hAnsi="Times New Roman"/>
          <w:lang w:val="pt-BR"/>
        </w:rPr>
        <w:t>el</w:t>
      </w:r>
      <w:r>
        <w:rPr>
          <w:rFonts w:ascii="Times New Roman" w:hAnsi="Times New Roman"/>
          <w:lang w:val="pt-BR"/>
        </w:rPr>
        <w:t>, que</w:t>
      </w:r>
      <w:r w:rsidR="006F640D" w:rsidRPr="006F640D">
        <w:rPr>
          <w:rFonts w:ascii="Times New Roman" w:hAnsi="Times New Roman"/>
          <w:lang w:val="pt-BR"/>
        </w:rPr>
        <w:t xml:space="preserve"> é um método bem-sucedido que envolve a </w:t>
      </w:r>
      <w:r>
        <w:rPr>
          <w:rFonts w:ascii="Times New Roman" w:hAnsi="Times New Roman"/>
          <w:lang w:val="pt-BR"/>
        </w:rPr>
        <w:t>formação de</w:t>
      </w:r>
      <w:r w:rsidR="006F640D" w:rsidRPr="006F640D">
        <w:rPr>
          <w:rFonts w:ascii="Times New Roman" w:hAnsi="Times New Roman"/>
          <w:lang w:val="pt-BR"/>
        </w:rPr>
        <w:t xml:space="preserve"> um sol coloidal pela hidrólise de precursores de </w:t>
      </w:r>
      <w:r w:rsidR="006F640D">
        <w:rPr>
          <w:rFonts w:ascii="Times New Roman" w:hAnsi="Times New Roman"/>
          <w:lang w:val="pt-BR"/>
        </w:rPr>
        <w:t>t</w:t>
      </w:r>
      <w:r w:rsidR="006F640D" w:rsidRPr="006F640D">
        <w:rPr>
          <w:rFonts w:ascii="Times New Roman" w:hAnsi="Times New Roman"/>
          <w:lang w:val="pt-BR"/>
        </w:rPr>
        <w:t>itâni</w:t>
      </w:r>
      <w:r w:rsidR="006F640D">
        <w:rPr>
          <w:rFonts w:ascii="Times New Roman" w:hAnsi="Times New Roman"/>
          <w:lang w:val="pt-BR"/>
        </w:rPr>
        <w:t>a</w:t>
      </w:r>
      <w:r w:rsidR="006F640D" w:rsidRPr="006F640D">
        <w:rPr>
          <w:rFonts w:ascii="Times New Roman" w:hAnsi="Times New Roman"/>
          <w:lang w:val="pt-BR"/>
        </w:rPr>
        <w:t xml:space="preserve"> e </w:t>
      </w:r>
      <w:r w:rsidR="00A542C2">
        <w:rPr>
          <w:rFonts w:ascii="Times New Roman" w:hAnsi="Times New Roman"/>
          <w:lang w:val="pt-BR"/>
        </w:rPr>
        <w:t xml:space="preserve">dióxido de </w:t>
      </w:r>
      <w:r w:rsidR="006F640D">
        <w:rPr>
          <w:rFonts w:ascii="Times New Roman" w:hAnsi="Times New Roman"/>
          <w:lang w:val="pt-BR"/>
        </w:rPr>
        <w:t>e</w:t>
      </w:r>
      <w:r w:rsidR="006F640D" w:rsidRPr="006F640D">
        <w:rPr>
          <w:rFonts w:ascii="Times New Roman" w:hAnsi="Times New Roman"/>
          <w:lang w:val="pt-BR"/>
        </w:rPr>
        <w:t>stanh</w:t>
      </w:r>
      <w:r w:rsidR="00A542C2">
        <w:rPr>
          <w:rFonts w:ascii="Times New Roman" w:hAnsi="Times New Roman"/>
          <w:lang w:val="pt-BR"/>
        </w:rPr>
        <w:t>o</w:t>
      </w:r>
      <w:r w:rsidR="006F640D" w:rsidRPr="006F640D">
        <w:rPr>
          <w:rFonts w:ascii="Times New Roman" w:hAnsi="Times New Roman"/>
          <w:lang w:val="pt-BR"/>
        </w:rPr>
        <w:t>, seguid</w:t>
      </w:r>
      <w:r>
        <w:rPr>
          <w:rFonts w:ascii="Times New Roman" w:hAnsi="Times New Roman"/>
          <w:lang w:val="pt-BR"/>
        </w:rPr>
        <w:t>a</w:t>
      </w:r>
      <w:r w:rsidR="006F640D" w:rsidRPr="006F640D">
        <w:rPr>
          <w:rFonts w:ascii="Times New Roman" w:hAnsi="Times New Roman"/>
          <w:lang w:val="pt-BR"/>
        </w:rPr>
        <w:t xml:space="preserve"> </w:t>
      </w:r>
      <w:r>
        <w:rPr>
          <w:rFonts w:ascii="Times New Roman" w:hAnsi="Times New Roman"/>
          <w:lang w:val="pt-BR"/>
        </w:rPr>
        <w:t>da</w:t>
      </w:r>
      <w:r w:rsidR="006F640D" w:rsidRPr="006F640D">
        <w:rPr>
          <w:rFonts w:ascii="Times New Roman" w:hAnsi="Times New Roman"/>
          <w:lang w:val="pt-BR"/>
        </w:rPr>
        <w:t xml:space="preserve"> transformação em partículas sólidas </w:t>
      </w:r>
      <w:r>
        <w:rPr>
          <w:rFonts w:ascii="Times New Roman" w:hAnsi="Times New Roman"/>
          <w:lang w:val="pt-BR"/>
        </w:rPr>
        <w:t>formando o</w:t>
      </w:r>
      <w:r w:rsidR="006F640D" w:rsidRPr="006F640D">
        <w:rPr>
          <w:rFonts w:ascii="Times New Roman" w:hAnsi="Times New Roman"/>
          <w:lang w:val="pt-BR"/>
        </w:rPr>
        <w:t xml:space="preserve"> gel</w:t>
      </w:r>
      <w:r w:rsidR="00044EFB">
        <w:rPr>
          <w:rFonts w:ascii="Times New Roman" w:hAnsi="Times New Roman"/>
          <w:lang w:val="pt-BR"/>
        </w:rPr>
        <w:t xml:space="preserve"> (15)</w:t>
      </w:r>
      <w:r w:rsidR="00AD3614">
        <w:rPr>
          <w:rFonts w:ascii="Times New Roman" w:hAnsi="Times New Roman"/>
          <w:lang w:val="pt-BR"/>
        </w:rPr>
        <w:t>.</w:t>
      </w:r>
    </w:p>
    <w:p w14:paraId="51F74E6D" w14:textId="2B225923" w:rsidR="006F640D" w:rsidRDefault="006F640D" w:rsidP="006F640D">
      <w:pPr>
        <w:pStyle w:val="TAMainText"/>
        <w:rPr>
          <w:rFonts w:ascii="Times New Roman" w:hAnsi="Times New Roman"/>
          <w:lang w:val="pt-BR"/>
        </w:rPr>
      </w:pPr>
      <w:r w:rsidRPr="006F640D">
        <w:rPr>
          <w:rFonts w:ascii="Times New Roman" w:hAnsi="Times New Roman"/>
          <w:lang w:val="pt-BR"/>
        </w:rPr>
        <w:t>Por outro lado, a</w:t>
      </w:r>
      <w:r w:rsidR="00535AC9">
        <w:rPr>
          <w:rFonts w:ascii="Times New Roman" w:hAnsi="Times New Roman"/>
          <w:lang w:val="pt-BR"/>
        </w:rPr>
        <w:t>parece a</w:t>
      </w:r>
      <w:r w:rsidRPr="006F640D">
        <w:rPr>
          <w:rFonts w:ascii="Times New Roman" w:hAnsi="Times New Roman"/>
          <w:lang w:val="pt-BR"/>
        </w:rPr>
        <w:t xml:space="preserve"> quitosana </w:t>
      </w:r>
      <w:r w:rsidR="00535AC9">
        <w:rPr>
          <w:rFonts w:ascii="Times New Roman" w:hAnsi="Times New Roman"/>
          <w:lang w:val="pt-BR"/>
        </w:rPr>
        <w:t xml:space="preserve">como material que pode compor </w:t>
      </w:r>
      <w:r w:rsidRPr="006F640D">
        <w:rPr>
          <w:rFonts w:ascii="Times New Roman" w:hAnsi="Times New Roman"/>
          <w:lang w:val="pt-BR"/>
        </w:rPr>
        <w:t>filme</w:t>
      </w:r>
      <w:r w:rsidR="00535AC9">
        <w:rPr>
          <w:rFonts w:ascii="Times New Roman" w:hAnsi="Times New Roman"/>
          <w:lang w:val="pt-BR"/>
        </w:rPr>
        <w:t>s e imobilizar óxidos, devido à</w:t>
      </w:r>
      <w:r>
        <w:rPr>
          <w:rFonts w:ascii="Times New Roman" w:hAnsi="Times New Roman"/>
          <w:lang w:val="pt-BR"/>
        </w:rPr>
        <w:t xml:space="preserve"> sua</w:t>
      </w:r>
      <w:r w:rsidRPr="006F640D">
        <w:rPr>
          <w:rFonts w:ascii="Times New Roman" w:hAnsi="Times New Roman"/>
          <w:lang w:val="pt-BR"/>
        </w:rPr>
        <w:t xml:space="preserve"> capacidade de aderência a superfícies </w:t>
      </w:r>
      <w:r w:rsidR="00535AC9">
        <w:rPr>
          <w:rFonts w:ascii="Times New Roman" w:hAnsi="Times New Roman"/>
          <w:lang w:val="pt-BR"/>
        </w:rPr>
        <w:t>e</w:t>
      </w:r>
      <w:r>
        <w:rPr>
          <w:rFonts w:ascii="Times New Roman" w:hAnsi="Times New Roman"/>
          <w:lang w:val="pt-BR"/>
        </w:rPr>
        <w:t xml:space="preserve"> n</w:t>
      </w:r>
      <w:r w:rsidRPr="006F640D">
        <w:rPr>
          <w:rFonts w:ascii="Times New Roman" w:hAnsi="Times New Roman"/>
          <w:lang w:val="pt-BR"/>
        </w:rPr>
        <w:t>a possibilidade de interação com outras substâncias</w:t>
      </w:r>
      <w:r w:rsidR="00535AC9">
        <w:rPr>
          <w:rFonts w:ascii="Times New Roman" w:hAnsi="Times New Roman"/>
          <w:lang w:val="pt-BR"/>
        </w:rPr>
        <w:t>. As</w:t>
      </w:r>
      <w:r w:rsidRPr="006F640D">
        <w:rPr>
          <w:rFonts w:ascii="Times New Roman" w:hAnsi="Times New Roman"/>
          <w:lang w:val="pt-BR"/>
        </w:rPr>
        <w:t xml:space="preserve"> interações </w:t>
      </w:r>
      <w:r w:rsidR="00535AC9">
        <w:rPr>
          <w:rFonts w:ascii="Times New Roman" w:hAnsi="Times New Roman"/>
          <w:lang w:val="pt-BR"/>
        </w:rPr>
        <w:t>deste composto estão relacionadas ao</w:t>
      </w:r>
      <w:r w:rsidRPr="006F640D">
        <w:rPr>
          <w:rFonts w:ascii="Times New Roman" w:hAnsi="Times New Roman"/>
          <w:lang w:val="pt-BR"/>
        </w:rPr>
        <w:t xml:space="preserve"> grupo metil da função </w:t>
      </w:r>
      <w:proofErr w:type="spellStart"/>
      <w:r w:rsidRPr="006F640D">
        <w:rPr>
          <w:rFonts w:ascii="Times New Roman" w:hAnsi="Times New Roman"/>
          <w:lang w:val="pt-BR"/>
        </w:rPr>
        <w:t>acetamida</w:t>
      </w:r>
      <w:proofErr w:type="spellEnd"/>
      <w:r w:rsidRPr="006F640D">
        <w:rPr>
          <w:rFonts w:ascii="Times New Roman" w:hAnsi="Times New Roman"/>
          <w:lang w:val="pt-BR"/>
        </w:rPr>
        <w:t xml:space="preserve"> e aos grupos -CH e -CH</w:t>
      </w:r>
      <w:r w:rsidRPr="006F640D">
        <w:rPr>
          <w:rFonts w:ascii="Times New Roman" w:hAnsi="Times New Roman"/>
          <w:vertAlign w:val="subscript"/>
          <w:lang w:val="pt-BR"/>
        </w:rPr>
        <w:t>2</w:t>
      </w:r>
      <w:r w:rsidRPr="006F640D">
        <w:rPr>
          <w:rFonts w:ascii="Times New Roman" w:hAnsi="Times New Roman"/>
          <w:lang w:val="pt-BR"/>
        </w:rPr>
        <w:t xml:space="preserve"> do anel de glicose, ou associação por meio de ligações de hidrogênio, geralmente decorrentes da presença das funções de álcool, amina, amida e éter na cadeia de quitosana</w:t>
      </w:r>
      <w:r>
        <w:rPr>
          <w:rFonts w:ascii="Times New Roman" w:hAnsi="Times New Roman"/>
          <w:lang w:val="pt-BR"/>
        </w:rPr>
        <w:t>,</w:t>
      </w:r>
      <w:r w:rsidRPr="006F640D">
        <w:rPr>
          <w:rFonts w:ascii="Times New Roman" w:hAnsi="Times New Roman"/>
          <w:lang w:val="pt-BR"/>
        </w:rPr>
        <w:t xml:space="preserve"> por ser um polissacarídeo natural, derivado do processo de desacetilação da quitina</w:t>
      </w:r>
      <w:r w:rsidR="00044EFB">
        <w:rPr>
          <w:rFonts w:ascii="Times New Roman" w:hAnsi="Times New Roman"/>
          <w:lang w:val="pt-BR"/>
        </w:rPr>
        <w:t xml:space="preserve"> (16-17)</w:t>
      </w:r>
      <w:r w:rsidR="00535AC9">
        <w:rPr>
          <w:rFonts w:ascii="Times New Roman" w:hAnsi="Times New Roman"/>
          <w:lang w:val="pt-BR"/>
        </w:rPr>
        <w:t xml:space="preserve">. A Quitina é </w:t>
      </w:r>
      <w:r w:rsidRPr="006F640D">
        <w:rPr>
          <w:rFonts w:ascii="Times New Roman" w:hAnsi="Times New Roman"/>
          <w:lang w:val="pt-BR"/>
        </w:rPr>
        <w:t>encontrad</w:t>
      </w:r>
      <w:r w:rsidR="00535AC9">
        <w:rPr>
          <w:rFonts w:ascii="Times New Roman" w:hAnsi="Times New Roman"/>
          <w:lang w:val="pt-BR"/>
        </w:rPr>
        <w:t>a</w:t>
      </w:r>
      <w:r w:rsidRPr="006F640D">
        <w:rPr>
          <w:rFonts w:ascii="Times New Roman" w:hAnsi="Times New Roman"/>
          <w:lang w:val="pt-BR"/>
        </w:rPr>
        <w:t xml:space="preserve"> principalmente em </w:t>
      </w:r>
      <w:r w:rsidR="00535AC9">
        <w:rPr>
          <w:rFonts w:ascii="Times New Roman" w:hAnsi="Times New Roman"/>
          <w:lang w:val="pt-BR"/>
        </w:rPr>
        <w:t>cascas</w:t>
      </w:r>
      <w:r w:rsidRPr="006F640D">
        <w:rPr>
          <w:rFonts w:ascii="Times New Roman" w:hAnsi="Times New Roman"/>
          <w:lang w:val="pt-BR"/>
        </w:rPr>
        <w:t xml:space="preserve"> de crustáceos, </w:t>
      </w:r>
      <w:r w:rsidR="00535AC9">
        <w:rPr>
          <w:rFonts w:ascii="Times New Roman" w:hAnsi="Times New Roman"/>
          <w:lang w:val="pt-BR"/>
        </w:rPr>
        <w:t xml:space="preserve">que são </w:t>
      </w:r>
      <w:r w:rsidRPr="006F640D">
        <w:rPr>
          <w:rFonts w:ascii="Times New Roman" w:hAnsi="Times New Roman"/>
          <w:lang w:val="pt-BR"/>
        </w:rPr>
        <w:t>resíduos rejeitados pela indústria pesqueira</w:t>
      </w:r>
      <w:r>
        <w:rPr>
          <w:rFonts w:ascii="Times New Roman" w:hAnsi="Times New Roman"/>
          <w:lang w:val="pt-BR"/>
        </w:rPr>
        <w:t xml:space="preserve"> e pela possibilidade de ser um </w:t>
      </w:r>
      <w:r w:rsidRPr="006F640D">
        <w:rPr>
          <w:rFonts w:ascii="Times New Roman" w:hAnsi="Times New Roman"/>
          <w:lang w:val="pt-BR"/>
        </w:rPr>
        <w:t>agente de imobilização para aplicação em catálise heterogênea imobilizada, podendo ser fabricados na forma de filmes, membranas, fibras, esponjas, géis, grânulos e nanopartículas, ou suportada em materiais inertes</w:t>
      </w:r>
      <w:r w:rsidR="00044EFB">
        <w:rPr>
          <w:rFonts w:ascii="Times New Roman" w:hAnsi="Times New Roman"/>
          <w:lang w:val="pt-BR"/>
        </w:rPr>
        <w:t xml:space="preserve"> (18)</w:t>
      </w:r>
      <w:r w:rsidR="00AD3614">
        <w:rPr>
          <w:rFonts w:ascii="Times New Roman" w:hAnsi="Times New Roman"/>
          <w:lang w:val="pt-BR"/>
        </w:rPr>
        <w:t>.</w:t>
      </w:r>
    </w:p>
    <w:p w14:paraId="60631608" w14:textId="05B72250" w:rsidR="00751592" w:rsidRDefault="006F640D" w:rsidP="00B968CD">
      <w:pPr>
        <w:pStyle w:val="TAMainText"/>
        <w:rPr>
          <w:rFonts w:ascii="Times New Roman" w:hAnsi="Times New Roman"/>
          <w:lang w:val="pt-BR"/>
        </w:rPr>
      </w:pPr>
      <w:r>
        <w:rPr>
          <w:rFonts w:ascii="Times New Roman" w:hAnsi="Times New Roman"/>
          <w:lang w:val="pt-BR"/>
        </w:rPr>
        <w:t>Assim, n</w:t>
      </w:r>
      <w:r w:rsidR="00751592" w:rsidRPr="00751592">
        <w:rPr>
          <w:rFonts w:ascii="Times New Roman" w:hAnsi="Times New Roman"/>
          <w:lang w:val="pt-BR"/>
        </w:rPr>
        <w:t>ovos questionamentos</w:t>
      </w:r>
      <w:r w:rsidR="00751592">
        <w:rPr>
          <w:rFonts w:ascii="Times New Roman" w:hAnsi="Times New Roman"/>
          <w:lang w:val="pt-BR"/>
        </w:rPr>
        <w:t xml:space="preserve"> </w:t>
      </w:r>
      <w:r w:rsidR="00E75239">
        <w:rPr>
          <w:rFonts w:ascii="Times New Roman" w:hAnsi="Times New Roman"/>
          <w:lang w:val="pt-BR"/>
        </w:rPr>
        <w:t xml:space="preserve">e </w:t>
      </w:r>
      <w:r w:rsidR="00751592" w:rsidRPr="00751592">
        <w:rPr>
          <w:rFonts w:ascii="Times New Roman" w:hAnsi="Times New Roman"/>
          <w:lang w:val="pt-BR"/>
        </w:rPr>
        <w:t>novas perspectivas</w:t>
      </w:r>
      <w:r w:rsidR="00E75239">
        <w:rPr>
          <w:rFonts w:ascii="Times New Roman" w:hAnsi="Times New Roman"/>
          <w:lang w:val="pt-BR"/>
        </w:rPr>
        <w:t xml:space="preserve"> surgem,</w:t>
      </w:r>
      <w:r w:rsidR="00751592" w:rsidRPr="00751592">
        <w:rPr>
          <w:rFonts w:ascii="Times New Roman" w:hAnsi="Times New Roman"/>
          <w:lang w:val="pt-BR"/>
        </w:rPr>
        <w:t xml:space="preserve"> </w:t>
      </w:r>
      <w:r w:rsidR="00E75239">
        <w:rPr>
          <w:rFonts w:ascii="Times New Roman" w:hAnsi="Times New Roman"/>
          <w:lang w:val="pt-BR"/>
        </w:rPr>
        <w:t xml:space="preserve">sendo </w:t>
      </w:r>
      <w:r w:rsidR="00751592" w:rsidRPr="00751592">
        <w:rPr>
          <w:rFonts w:ascii="Times New Roman" w:hAnsi="Times New Roman"/>
          <w:lang w:val="pt-BR"/>
        </w:rPr>
        <w:t>possível inferir que óxidos semicondutores a base de TiO</w:t>
      </w:r>
      <w:r w:rsidR="00751592" w:rsidRPr="00E75239">
        <w:rPr>
          <w:rFonts w:ascii="Times New Roman" w:hAnsi="Times New Roman"/>
          <w:vertAlign w:val="subscript"/>
          <w:lang w:val="pt-BR"/>
        </w:rPr>
        <w:t>2</w:t>
      </w:r>
      <w:r w:rsidR="00751592" w:rsidRPr="00751592">
        <w:rPr>
          <w:rFonts w:ascii="Times New Roman" w:hAnsi="Times New Roman"/>
          <w:lang w:val="pt-BR"/>
        </w:rPr>
        <w:t xml:space="preserve"> </w:t>
      </w:r>
      <w:r>
        <w:rPr>
          <w:rFonts w:ascii="Times New Roman" w:hAnsi="Times New Roman"/>
          <w:lang w:val="pt-BR"/>
        </w:rPr>
        <w:t>modificados com SnO</w:t>
      </w:r>
      <w:r w:rsidRPr="006F640D">
        <w:rPr>
          <w:rFonts w:ascii="Times New Roman" w:hAnsi="Times New Roman"/>
          <w:vertAlign w:val="subscript"/>
          <w:lang w:val="pt-BR"/>
        </w:rPr>
        <w:t>2</w:t>
      </w:r>
      <w:r>
        <w:rPr>
          <w:rFonts w:ascii="Times New Roman" w:hAnsi="Times New Roman"/>
          <w:lang w:val="pt-BR"/>
        </w:rPr>
        <w:t xml:space="preserve"> </w:t>
      </w:r>
      <w:r w:rsidR="00751592" w:rsidRPr="00751592">
        <w:rPr>
          <w:rFonts w:ascii="Times New Roman" w:hAnsi="Times New Roman"/>
          <w:lang w:val="pt-BR"/>
        </w:rPr>
        <w:t xml:space="preserve">e </w:t>
      </w:r>
      <w:r>
        <w:rPr>
          <w:rFonts w:ascii="Times New Roman" w:hAnsi="Times New Roman"/>
          <w:lang w:val="pt-BR"/>
        </w:rPr>
        <w:t xml:space="preserve">imobilizados em quitosana, </w:t>
      </w:r>
      <w:r w:rsidR="00751592" w:rsidRPr="00751592">
        <w:rPr>
          <w:rFonts w:ascii="Times New Roman" w:hAnsi="Times New Roman"/>
          <w:lang w:val="pt-BR"/>
        </w:rPr>
        <w:t xml:space="preserve">com propriedades melhoradas podem ser desenvolvidos. </w:t>
      </w:r>
      <w:r>
        <w:rPr>
          <w:rFonts w:ascii="Times New Roman" w:hAnsi="Times New Roman"/>
          <w:lang w:val="pt-BR"/>
        </w:rPr>
        <w:t xml:space="preserve">Logo, objetivou-se com esse trabalho sintetizar óxidos </w:t>
      </w:r>
      <w:r w:rsidR="00535AC9">
        <w:rPr>
          <w:rFonts w:ascii="Times New Roman" w:hAnsi="Times New Roman"/>
          <w:lang w:val="pt-BR"/>
        </w:rPr>
        <w:t xml:space="preserve">de </w:t>
      </w:r>
      <w:r w:rsidR="00535AC9" w:rsidRPr="00751592">
        <w:rPr>
          <w:rFonts w:ascii="Times New Roman" w:hAnsi="Times New Roman"/>
          <w:lang w:val="pt-BR"/>
        </w:rPr>
        <w:t>TiO</w:t>
      </w:r>
      <w:r w:rsidR="00535AC9" w:rsidRPr="00E75239">
        <w:rPr>
          <w:rFonts w:ascii="Times New Roman" w:hAnsi="Times New Roman"/>
          <w:vertAlign w:val="subscript"/>
          <w:lang w:val="pt-BR"/>
        </w:rPr>
        <w:t>2</w:t>
      </w:r>
      <w:r w:rsidR="00535AC9" w:rsidRPr="00751592">
        <w:rPr>
          <w:rFonts w:ascii="Times New Roman" w:hAnsi="Times New Roman"/>
          <w:lang w:val="pt-BR"/>
        </w:rPr>
        <w:t xml:space="preserve"> </w:t>
      </w:r>
      <w:r w:rsidR="00535AC9">
        <w:rPr>
          <w:rFonts w:ascii="Times New Roman" w:hAnsi="Times New Roman"/>
          <w:lang w:val="pt-BR"/>
        </w:rPr>
        <w:t>e SnO</w:t>
      </w:r>
      <w:r w:rsidR="00535AC9" w:rsidRPr="006F640D">
        <w:rPr>
          <w:rFonts w:ascii="Times New Roman" w:hAnsi="Times New Roman"/>
          <w:vertAlign w:val="subscript"/>
          <w:lang w:val="pt-BR"/>
        </w:rPr>
        <w:t>2</w:t>
      </w:r>
      <w:r w:rsidR="00535AC9">
        <w:rPr>
          <w:rFonts w:ascii="Times New Roman" w:hAnsi="Times New Roman"/>
          <w:lang w:val="pt-BR"/>
        </w:rPr>
        <w:t xml:space="preserve">, realizar a caracterização destes e </w:t>
      </w:r>
      <w:r w:rsidR="00E52DBD">
        <w:rPr>
          <w:rFonts w:ascii="Times New Roman" w:hAnsi="Times New Roman"/>
          <w:lang w:val="pt-BR"/>
        </w:rPr>
        <w:t xml:space="preserve">testes de descoramento do azul de metileno </w:t>
      </w:r>
      <w:r>
        <w:rPr>
          <w:rFonts w:ascii="Times New Roman" w:hAnsi="Times New Roman"/>
          <w:lang w:val="pt-BR"/>
        </w:rPr>
        <w:t xml:space="preserve">para posterior produção de filmes </w:t>
      </w:r>
      <w:r w:rsidR="00E52DBD">
        <w:rPr>
          <w:rFonts w:ascii="Times New Roman" w:hAnsi="Times New Roman"/>
          <w:lang w:val="pt-BR"/>
        </w:rPr>
        <w:t xml:space="preserve">compósitos </w:t>
      </w:r>
      <w:r>
        <w:rPr>
          <w:rFonts w:ascii="Times New Roman" w:hAnsi="Times New Roman"/>
          <w:lang w:val="pt-BR"/>
        </w:rPr>
        <w:t>com</w:t>
      </w:r>
      <w:r w:rsidR="00265AD4">
        <w:rPr>
          <w:rFonts w:ascii="Times New Roman" w:hAnsi="Times New Roman"/>
          <w:lang w:val="pt-BR"/>
        </w:rPr>
        <w:t xml:space="preserve"> esses óxidos.</w:t>
      </w:r>
    </w:p>
    <w:p w14:paraId="12A44B03" w14:textId="77777777" w:rsidR="00826B4B" w:rsidRDefault="00826B4B" w:rsidP="00B968CD">
      <w:pPr>
        <w:pStyle w:val="TAMainText"/>
        <w:rPr>
          <w:rFonts w:ascii="Times New Roman" w:hAnsi="Times New Roman"/>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FE0782E" w14:textId="674BA801" w:rsidR="00A46446" w:rsidRPr="001F25B2" w:rsidRDefault="00A46446" w:rsidP="00A46446">
      <w:pPr>
        <w:pStyle w:val="TAMainText"/>
        <w:ind w:firstLine="0"/>
        <w:rPr>
          <w:rFonts w:ascii="Times New Roman" w:hAnsi="Times New Roman"/>
          <w:i/>
          <w:lang w:val="pt-BR"/>
        </w:rPr>
      </w:pPr>
      <w:r>
        <w:rPr>
          <w:rFonts w:ascii="Times New Roman" w:hAnsi="Times New Roman"/>
          <w:i/>
          <w:lang w:val="pt-BR"/>
        </w:rPr>
        <w:t>Materiais</w:t>
      </w:r>
    </w:p>
    <w:p w14:paraId="04DC0F33" w14:textId="628CD85B" w:rsidR="00A46446" w:rsidRPr="00A46446" w:rsidRDefault="00A46446" w:rsidP="00A46446">
      <w:pPr>
        <w:pStyle w:val="TAMainText"/>
        <w:rPr>
          <w:rFonts w:ascii="Times New Roman" w:hAnsi="Times New Roman"/>
          <w:lang w:val="pt-BR"/>
        </w:rPr>
      </w:pPr>
      <w:r w:rsidRPr="00A46446">
        <w:rPr>
          <w:rFonts w:ascii="Times New Roman" w:hAnsi="Times New Roman"/>
          <w:lang w:val="pt-BR"/>
        </w:rPr>
        <w:t>Isopropóxido de titânio IV 97%</w:t>
      </w:r>
      <w:r>
        <w:rPr>
          <w:rFonts w:ascii="Times New Roman" w:hAnsi="Times New Roman"/>
          <w:lang w:val="pt-BR"/>
        </w:rPr>
        <w:t xml:space="preserve"> (</w:t>
      </w:r>
      <w:r w:rsidR="00825019">
        <w:rPr>
          <w:rFonts w:ascii="Times New Roman" w:hAnsi="Times New Roman"/>
          <w:lang w:val="pt-BR"/>
        </w:rPr>
        <w:t xml:space="preserve">TTIP; </w:t>
      </w:r>
      <w:r>
        <w:rPr>
          <w:rFonts w:ascii="Times New Roman" w:hAnsi="Times New Roman"/>
          <w:lang w:val="pt-BR"/>
        </w:rPr>
        <w:t>S</w:t>
      </w:r>
      <w:r w:rsidRPr="00A46446">
        <w:rPr>
          <w:rFonts w:ascii="Times New Roman" w:hAnsi="Times New Roman"/>
          <w:lang w:val="pt-BR"/>
        </w:rPr>
        <w:t>igma</w:t>
      </w:r>
      <w:r>
        <w:rPr>
          <w:rFonts w:ascii="Times New Roman" w:hAnsi="Times New Roman"/>
          <w:lang w:val="pt-BR"/>
        </w:rPr>
        <w:t xml:space="preserve"> A</w:t>
      </w:r>
      <w:r w:rsidRPr="00A46446">
        <w:rPr>
          <w:rFonts w:ascii="Times New Roman" w:hAnsi="Times New Roman"/>
          <w:lang w:val="pt-BR"/>
        </w:rPr>
        <w:t>ldrich</w:t>
      </w:r>
      <w:r>
        <w:rPr>
          <w:rFonts w:ascii="Times New Roman" w:hAnsi="Times New Roman"/>
          <w:lang w:val="pt-BR"/>
        </w:rPr>
        <w:t>),</w:t>
      </w:r>
      <w:r w:rsidR="009272F1">
        <w:rPr>
          <w:rFonts w:ascii="Times New Roman" w:hAnsi="Times New Roman"/>
          <w:lang w:val="pt-BR"/>
        </w:rPr>
        <w:t xml:space="preserve"> tetracloreto de estanho penta hidratado (S</w:t>
      </w:r>
      <w:r w:rsidR="009272F1" w:rsidRPr="00A46446">
        <w:rPr>
          <w:rFonts w:ascii="Times New Roman" w:hAnsi="Times New Roman"/>
          <w:lang w:val="pt-BR"/>
        </w:rPr>
        <w:t>igma</w:t>
      </w:r>
      <w:r w:rsidR="009272F1">
        <w:rPr>
          <w:rFonts w:ascii="Times New Roman" w:hAnsi="Times New Roman"/>
          <w:lang w:val="pt-BR"/>
        </w:rPr>
        <w:t xml:space="preserve"> A</w:t>
      </w:r>
      <w:r w:rsidR="009272F1" w:rsidRPr="00A46446">
        <w:rPr>
          <w:rFonts w:ascii="Times New Roman" w:hAnsi="Times New Roman"/>
          <w:lang w:val="pt-BR"/>
        </w:rPr>
        <w:t>ldrich</w:t>
      </w:r>
      <w:r w:rsidR="009272F1">
        <w:rPr>
          <w:rFonts w:ascii="Times New Roman" w:hAnsi="Times New Roman"/>
          <w:lang w:val="pt-BR"/>
        </w:rPr>
        <w:t>), á</w:t>
      </w:r>
      <w:r w:rsidR="009272F1" w:rsidRPr="009272F1">
        <w:rPr>
          <w:rFonts w:ascii="Times New Roman" w:hAnsi="Times New Roman"/>
          <w:lang w:val="pt-BR"/>
        </w:rPr>
        <w:t>lcool isopropílico</w:t>
      </w:r>
      <w:r w:rsidR="009272F1">
        <w:rPr>
          <w:rFonts w:ascii="Times New Roman" w:hAnsi="Times New Roman"/>
          <w:lang w:val="pt-BR"/>
        </w:rPr>
        <w:t xml:space="preserve"> (</w:t>
      </w:r>
      <w:proofErr w:type="spellStart"/>
      <w:r w:rsidR="009272F1">
        <w:rPr>
          <w:rFonts w:ascii="Times New Roman" w:hAnsi="Times New Roman"/>
          <w:lang w:val="pt-BR"/>
        </w:rPr>
        <w:t>Merk</w:t>
      </w:r>
      <w:proofErr w:type="spellEnd"/>
      <w:r w:rsidR="009272F1">
        <w:rPr>
          <w:rFonts w:ascii="Times New Roman" w:hAnsi="Times New Roman"/>
          <w:lang w:val="pt-BR"/>
        </w:rPr>
        <w:t xml:space="preserve">), </w:t>
      </w:r>
      <w:r w:rsidR="002415AD">
        <w:rPr>
          <w:rFonts w:ascii="Times New Roman" w:hAnsi="Times New Roman"/>
          <w:lang w:val="pt-BR"/>
        </w:rPr>
        <w:t xml:space="preserve">ácido clorídrico </w:t>
      </w:r>
      <w:r w:rsidR="002415AD" w:rsidRPr="002415AD">
        <w:rPr>
          <w:rFonts w:ascii="Times New Roman" w:hAnsi="Times New Roman"/>
          <w:lang w:val="pt-BR"/>
        </w:rPr>
        <w:t>37% v/v</w:t>
      </w:r>
      <w:r w:rsidR="002415AD">
        <w:rPr>
          <w:rFonts w:ascii="Times New Roman" w:hAnsi="Times New Roman"/>
          <w:lang w:val="pt-BR"/>
        </w:rPr>
        <w:t>, hidróxido de amônio, acetato de amônio, glutaraldeído, quitosana comercial (</w:t>
      </w:r>
      <w:proofErr w:type="spellStart"/>
      <w:r w:rsidR="002415AD">
        <w:rPr>
          <w:rFonts w:ascii="Times New Roman" w:hAnsi="Times New Roman"/>
          <w:lang w:val="pt-BR"/>
        </w:rPr>
        <w:t>Polymar</w:t>
      </w:r>
      <w:proofErr w:type="spellEnd"/>
      <w:r w:rsidR="002415AD">
        <w:rPr>
          <w:rFonts w:ascii="Times New Roman" w:hAnsi="Times New Roman"/>
          <w:lang w:val="pt-BR"/>
        </w:rPr>
        <w:t>; grau de desacetilação: 87,4%) e azul de metileno.</w:t>
      </w:r>
    </w:p>
    <w:p w14:paraId="6D0B91AC" w14:textId="77777777" w:rsidR="00A46446" w:rsidRPr="00A46446" w:rsidRDefault="00A46446" w:rsidP="00EA4E1B">
      <w:pPr>
        <w:pStyle w:val="TAMainText"/>
        <w:ind w:firstLine="0"/>
        <w:rPr>
          <w:rFonts w:ascii="Times New Roman" w:hAnsi="Times New Roman"/>
          <w:lang w:val="pt-BR"/>
        </w:rPr>
      </w:pPr>
    </w:p>
    <w:p w14:paraId="35887134" w14:textId="093FBB92" w:rsidR="00EA4E1B" w:rsidRPr="001F25B2" w:rsidRDefault="009D6FE2" w:rsidP="00EA4E1B">
      <w:pPr>
        <w:pStyle w:val="TAMainText"/>
        <w:ind w:firstLine="0"/>
        <w:rPr>
          <w:rFonts w:ascii="Times New Roman" w:hAnsi="Times New Roman"/>
          <w:i/>
          <w:lang w:val="pt-BR"/>
        </w:rPr>
      </w:pPr>
      <w:r>
        <w:rPr>
          <w:rFonts w:ascii="Times New Roman" w:hAnsi="Times New Roman"/>
          <w:i/>
          <w:lang w:val="pt-BR"/>
        </w:rPr>
        <w:t>Síntese dos catalisadores</w:t>
      </w:r>
    </w:p>
    <w:p w14:paraId="73305B74" w14:textId="7C3807EC" w:rsidR="00904BCB" w:rsidRDefault="009D6FE2" w:rsidP="00904BCB">
      <w:pPr>
        <w:pStyle w:val="TAMainText"/>
        <w:rPr>
          <w:lang w:val="pt-BR"/>
        </w:rPr>
      </w:pPr>
      <w:r w:rsidRPr="009D6FE2">
        <w:rPr>
          <w:rFonts w:ascii="Times New Roman" w:hAnsi="Times New Roman"/>
          <w:lang w:val="pt-BR"/>
        </w:rPr>
        <w:t>Foram sintetizados</w:t>
      </w:r>
      <w:r w:rsidR="00DD2DE5">
        <w:rPr>
          <w:rFonts w:ascii="Times New Roman" w:hAnsi="Times New Roman"/>
          <w:lang w:val="pt-BR"/>
        </w:rPr>
        <w:t xml:space="preserve"> quatro </w:t>
      </w:r>
      <w:r w:rsidR="00A47095">
        <w:rPr>
          <w:rFonts w:ascii="Times New Roman" w:hAnsi="Times New Roman"/>
          <w:lang w:val="pt-BR"/>
        </w:rPr>
        <w:t>catalisadores</w:t>
      </w:r>
      <w:r w:rsidR="00DD2DE5" w:rsidRPr="00DD2DE5">
        <w:rPr>
          <w:rFonts w:ascii="Times New Roman" w:hAnsi="Times New Roman"/>
          <w:lang w:val="pt-BR"/>
        </w:rPr>
        <w:t xml:space="preserve"> </w:t>
      </w:r>
      <w:r w:rsidR="00DD2DE5">
        <w:rPr>
          <w:rFonts w:ascii="Times New Roman" w:hAnsi="Times New Roman"/>
          <w:lang w:val="pt-BR"/>
        </w:rPr>
        <w:t>de</w:t>
      </w:r>
      <w:r w:rsidR="00DD2DE5" w:rsidRPr="009D6FE2">
        <w:rPr>
          <w:rFonts w:ascii="Times New Roman" w:hAnsi="Times New Roman"/>
          <w:lang w:val="pt-BR"/>
        </w:rPr>
        <w:t xml:space="preserve"> </w:t>
      </w:r>
      <w:r w:rsidR="00A542C2">
        <w:rPr>
          <w:rFonts w:ascii="Times New Roman" w:hAnsi="Times New Roman"/>
          <w:lang w:val="pt-BR"/>
        </w:rPr>
        <w:t xml:space="preserve">dióxido de </w:t>
      </w:r>
      <w:r w:rsidR="00DD2DE5" w:rsidRPr="009D6FE2">
        <w:rPr>
          <w:rFonts w:ascii="Times New Roman" w:hAnsi="Times New Roman"/>
          <w:lang w:val="pt-BR"/>
        </w:rPr>
        <w:t>titâni</w:t>
      </w:r>
      <w:r w:rsidR="00A542C2">
        <w:rPr>
          <w:rFonts w:ascii="Times New Roman" w:hAnsi="Times New Roman"/>
          <w:lang w:val="pt-BR"/>
        </w:rPr>
        <w:t>o</w:t>
      </w:r>
      <w:r w:rsidR="00DD2DE5" w:rsidRPr="009D6FE2">
        <w:rPr>
          <w:rFonts w:ascii="Times New Roman" w:hAnsi="Times New Roman"/>
          <w:lang w:val="pt-BR"/>
        </w:rPr>
        <w:t xml:space="preserve"> </w:t>
      </w:r>
      <w:r w:rsidR="00E52DBD">
        <w:rPr>
          <w:rFonts w:ascii="Times New Roman" w:hAnsi="Times New Roman"/>
          <w:lang w:val="pt-BR"/>
        </w:rPr>
        <w:t>e</w:t>
      </w:r>
      <w:r w:rsidR="00DD2DE5" w:rsidRPr="009D6FE2">
        <w:rPr>
          <w:rFonts w:ascii="Times New Roman" w:hAnsi="Times New Roman"/>
          <w:lang w:val="pt-BR"/>
        </w:rPr>
        <w:t xml:space="preserve"> estanh</w:t>
      </w:r>
      <w:r w:rsidR="00A542C2">
        <w:rPr>
          <w:rFonts w:ascii="Times New Roman" w:hAnsi="Times New Roman"/>
          <w:lang w:val="pt-BR"/>
        </w:rPr>
        <w:t>o</w:t>
      </w:r>
      <w:r w:rsidR="00DD2DE5">
        <w:rPr>
          <w:rFonts w:ascii="Times New Roman" w:hAnsi="Times New Roman"/>
          <w:lang w:val="pt-BR"/>
        </w:rPr>
        <w:t xml:space="preserve"> pelo método sol-gel com</w:t>
      </w:r>
      <w:r w:rsidRPr="009D6FE2">
        <w:rPr>
          <w:rFonts w:ascii="Times New Roman" w:hAnsi="Times New Roman"/>
          <w:lang w:val="pt-BR"/>
        </w:rPr>
        <w:t xml:space="preserve"> </w:t>
      </w:r>
      <w:r w:rsidR="002C1A20" w:rsidRPr="002C1A20">
        <w:rPr>
          <w:rFonts w:ascii="Times New Roman" w:hAnsi="Times New Roman"/>
          <w:lang w:val="pt-BR"/>
        </w:rPr>
        <w:t>teor</w:t>
      </w:r>
      <w:r w:rsidR="00E52DBD">
        <w:rPr>
          <w:rFonts w:ascii="Times New Roman" w:hAnsi="Times New Roman"/>
          <w:lang w:val="pt-BR"/>
        </w:rPr>
        <w:t>es</w:t>
      </w:r>
      <w:r w:rsidR="002C1A20" w:rsidRPr="002C1A20">
        <w:rPr>
          <w:rFonts w:ascii="Times New Roman" w:hAnsi="Times New Roman"/>
          <w:lang w:val="pt-BR"/>
        </w:rPr>
        <w:t xml:space="preserve"> nomina</w:t>
      </w:r>
      <w:r w:rsidR="00E52DBD">
        <w:rPr>
          <w:rFonts w:ascii="Times New Roman" w:hAnsi="Times New Roman"/>
          <w:lang w:val="pt-BR"/>
        </w:rPr>
        <w:t>is</w:t>
      </w:r>
      <w:r w:rsidR="002C1A20" w:rsidRPr="002C1A20">
        <w:rPr>
          <w:rFonts w:ascii="Times New Roman" w:hAnsi="Times New Roman"/>
          <w:lang w:val="pt-BR"/>
        </w:rPr>
        <w:t xml:space="preserve"> </w:t>
      </w:r>
      <w:r w:rsidR="002C1A20" w:rsidRPr="002C1A20">
        <w:rPr>
          <w:rFonts w:ascii="Times New Roman" w:hAnsi="Times New Roman"/>
          <w:lang w:val="pt-BR"/>
        </w:rPr>
        <w:t>de 1 e 10% em massa de SnO</w:t>
      </w:r>
      <w:r w:rsidR="002C1A20" w:rsidRPr="002C1A20">
        <w:rPr>
          <w:rFonts w:ascii="Times New Roman" w:hAnsi="Times New Roman"/>
          <w:vertAlign w:val="subscript"/>
          <w:lang w:val="pt-BR"/>
        </w:rPr>
        <w:t>2</w:t>
      </w:r>
      <w:r w:rsidR="002C1A20" w:rsidRPr="002C1A20">
        <w:rPr>
          <w:rFonts w:ascii="Times New Roman" w:hAnsi="Times New Roman"/>
          <w:lang w:val="pt-BR"/>
        </w:rPr>
        <w:t xml:space="preserve"> em relação ao TiO</w:t>
      </w:r>
      <w:r w:rsidR="002C1A20" w:rsidRPr="002C1A20">
        <w:rPr>
          <w:rFonts w:ascii="Times New Roman" w:hAnsi="Times New Roman"/>
          <w:vertAlign w:val="subscript"/>
          <w:lang w:val="pt-BR"/>
        </w:rPr>
        <w:t>2</w:t>
      </w:r>
      <w:r w:rsidR="00A47095">
        <w:rPr>
          <w:rFonts w:ascii="Times New Roman" w:hAnsi="Times New Roman"/>
          <w:lang w:val="pt-BR"/>
        </w:rPr>
        <w:t xml:space="preserve">, através de duas rotas distintas: a </w:t>
      </w:r>
      <w:r>
        <w:rPr>
          <w:rFonts w:ascii="Times New Roman" w:hAnsi="Times New Roman"/>
          <w:lang w:val="pt-BR"/>
        </w:rPr>
        <w:t xml:space="preserve">primeira na ausência de </w:t>
      </w:r>
      <w:proofErr w:type="spellStart"/>
      <w:r>
        <w:rPr>
          <w:rFonts w:ascii="Times New Roman" w:hAnsi="Times New Roman"/>
          <w:lang w:val="pt-BR"/>
        </w:rPr>
        <w:t>HCl</w:t>
      </w:r>
      <w:proofErr w:type="spellEnd"/>
      <w:r>
        <w:rPr>
          <w:rFonts w:ascii="Times New Roman" w:hAnsi="Times New Roman"/>
          <w:lang w:val="pt-BR"/>
        </w:rPr>
        <w:t xml:space="preserve"> na etapa de hidrólise </w:t>
      </w:r>
      <w:r w:rsidR="00904BCB">
        <w:rPr>
          <w:rFonts w:ascii="Times New Roman" w:hAnsi="Times New Roman"/>
          <w:lang w:val="pt-BR"/>
        </w:rPr>
        <w:t xml:space="preserve">(Rota 1) </w:t>
      </w:r>
      <w:r>
        <w:rPr>
          <w:rFonts w:ascii="Times New Roman" w:hAnsi="Times New Roman"/>
          <w:lang w:val="pt-BR"/>
        </w:rPr>
        <w:t xml:space="preserve">e a segunda com adição de </w:t>
      </w:r>
      <w:proofErr w:type="spellStart"/>
      <w:r>
        <w:rPr>
          <w:rFonts w:ascii="Times New Roman" w:hAnsi="Times New Roman"/>
          <w:lang w:val="pt-BR"/>
        </w:rPr>
        <w:t>HCl</w:t>
      </w:r>
      <w:proofErr w:type="spellEnd"/>
      <w:r w:rsidR="00A46446">
        <w:rPr>
          <w:rFonts w:ascii="Times New Roman" w:hAnsi="Times New Roman"/>
          <w:lang w:val="pt-BR"/>
        </w:rPr>
        <w:t xml:space="preserve"> 37% v/v n</w:t>
      </w:r>
      <w:r w:rsidR="00A47095">
        <w:rPr>
          <w:rFonts w:ascii="Times New Roman" w:hAnsi="Times New Roman"/>
          <w:lang w:val="pt-BR"/>
        </w:rPr>
        <w:t>a hidrólise</w:t>
      </w:r>
      <w:r w:rsidR="00904BCB">
        <w:rPr>
          <w:rFonts w:ascii="Times New Roman" w:hAnsi="Times New Roman"/>
          <w:lang w:val="pt-BR"/>
        </w:rPr>
        <w:t xml:space="preserve"> (Rota 2).</w:t>
      </w:r>
      <w:r w:rsidR="00904BCB" w:rsidRPr="00904BCB">
        <w:rPr>
          <w:lang w:val="pt-BR"/>
        </w:rPr>
        <w:t xml:space="preserve"> </w:t>
      </w:r>
    </w:p>
    <w:p w14:paraId="4419E36E" w14:textId="42224FC8" w:rsidR="00904BCB" w:rsidRPr="00904BCB" w:rsidRDefault="00904BCB" w:rsidP="00904BCB">
      <w:pPr>
        <w:pStyle w:val="TAMainText"/>
        <w:rPr>
          <w:rFonts w:ascii="Times New Roman" w:hAnsi="Times New Roman"/>
          <w:lang w:val="pt-BR"/>
        </w:rPr>
      </w:pPr>
      <w:r>
        <w:rPr>
          <w:rFonts w:ascii="Times New Roman" w:hAnsi="Times New Roman"/>
          <w:lang w:val="pt-BR"/>
        </w:rPr>
        <w:t>Rota 1: p</w:t>
      </w:r>
      <w:r w:rsidRPr="00904BCB">
        <w:rPr>
          <w:rFonts w:ascii="Times New Roman" w:hAnsi="Times New Roman"/>
          <w:lang w:val="pt-BR"/>
        </w:rPr>
        <w:t>reparou-se uma solução contendo os precursores, adicionando 219 mL de álcool isopropílico, 18 mL de TTIP e 0,12 g de SnCl</w:t>
      </w:r>
      <w:r w:rsidR="00A47095" w:rsidRPr="00A47095">
        <w:rPr>
          <w:rFonts w:ascii="Times New Roman" w:hAnsi="Times New Roman"/>
          <w:vertAlign w:val="subscript"/>
          <w:lang w:val="pt-BR"/>
        </w:rPr>
        <w:t>4</w:t>
      </w:r>
      <w:r w:rsidRPr="00904BCB">
        <w:rPr>
          <w:rFonts w:ascii="Times New Roman" w:hAnsi="Times New Roman"/>
          <w:lang w:val="pt-BR"/>
        </w:rPr>
        <w:t>.5H</w:t>
      </w:r>
      <w:r w:rsidRPr="00E52DBD">
        <w:rPr>
          <w:rFonts w:ascii="Times New Roman" w:hAnsi="Times New Roman"/>
          <w:vertAlign w:val="subscript"/>
          <w:lang w:val="pt-BR"/>
        </w:rPr>
        <w:t>2</w:t>
      </w:r>
      <w:r w:rsidRPr="00904BCB">
        <w:rPr>
          <w:rFonts w:ascii="Times New Roman" w:hAnsi="Times New Roman"/>
          <w:lang w:val="pt-BR"/>
        </w:rPr>
        <w:t>O dissolvido em água. Posteriormente adicionou-se gota a gota e com agitação, aproximadamente 5 mL de NH</w:t>
      </w:r>
      <w:r w:rsidRPr="00A47095">
        <w:rPr>
          <w:rFonts w:ascii="Times New Roman" w:hAnsi="Times New Roman"/>
          <w:vertAlign w:val="subscript"/>
          <w:lang w:val="pt-BR"/>
        </w:rPr>
        <w:t>4</w:t>
      </w:r>
      <w:r w:rsidRPr="00904BCB">
        <w:rPr>
          <w:rFonts w:ascii="Times New Roman" w:hAnsi="Times New Roman"/>
          <w:lang w:val="pt-BR"/>
        </w:rPr>
        <w:t xml:space="preserve">OH, quando o gel branco leitoso foi formado. O seu pH foi ajustado com </w:t>
      </w:r>
      <w:proofErr w:type="spellStart"/>
      <w:r w:rsidRPr="00904BCB">
        <w:rPr>
          <w:rFonts w:ascii="Times New Roman" w:hAnsi="Times New Roman"/>
          <w:lang w:val="pt-BR"/>
        </w:rPr>
        <w:t>HCl</w:t>
      </w:r>
      <w:proofErr w:type="spellEnd"/>
      <w:r w:rsidR="00A47095">
        <w:rPr>
          <w:rFonts w:ascii="Times New Roman" w:hAnsi="Times New Roman"/>
          <w:lang w:val="pt-BR"/>
        </w:rPr>
        <w:t xml:space="preserve"> 37% v/v</w:t>
      </w:r>
      <w:r w:rsidRPr="00904BCB">
        <w:rPr>
          <w:rFonts w:ascii="Times New Roman" w:hAnsi="Times New Roman"/>
          <w:lang w:val="pt-BR"/>
        </w:rPr>
        <w:t>, ficando em torno de 8. O gel formado foi lavado com solução de acetato de amônio 4% m/m para remoção do cloreto, filtrado à</w:t>
      </w:r>
      <w:r w:rsidR="00A47095">
        <w:rPr>
          <w:rFonts w:ascii="Times New Roman" w:hAnsi="Times New Roman"/>
          <w:lang w:val="pt-BR"/>
        </w:rPr>
        <w:t xml:space="preserve"> </w:t>
      </w:r>
      <w:r w:rsidRPr="00904BCB">
        <w:rPr>
          <w:rFonts w:ascii="Times New Roman" w:hAnsi="Times New Roman"/>
          <w:lang w:val="pt-BR"/>
        </w:rPr>
        <w:t>vácuo e submetido à secagem a 100 °C na estufa. O produto foi calcinado em mufla seguindo uma rampa de aquecimento de 100 °C a 10 °C/min por 1 h, seguido de 500 °C a 10 °C/min por 5 h. Este óxido foi denominado 1% SnO</w:t>
      </w:r>
      <w:r w:rsidRPr="00A47095">
        <w:rPr>
          <w:rFonts w:ascii="Times New Roman" w:hAnsi="Times New Roman"/>
          <w:vertAlign w:val="subscript"/>
          <w:lang w:val="pt-BR"/>
        </w:rPr>
        <w:t>2</w:t>
      </w:r>
      <w:r w:rsidRPr="00904BCB">
        <w:rPr>
          <w:rFonts w:ascii="Times New Roman" w:hAnsi="Times New Roman"/>
          <w:lang w:val="pt-BR"/>
        </w:rPr>
        <w:t>-TiO</w:t>
      </w:r>
      <w:r w:rsidRPr="00A47095">
        <w:rPr>
          <w:rFonts w:ascii="Times New Roman" w:hAnsi="Times New Roman"/>
          <w:vertAlign w:val="subscript"/>
          <w:lang w:val="pt-BR"/>
        </w:rPr>
        <w:t>2</w:t>
      </w:r>
      <w:r w:rsidRPr="00904BCB">
        <w:rPr>
          <w:rFonts w:ascii="Times New Roman" w:hAnsi="Times New Roman"/>
          <w:lang w:val="pt-BR"/>
        </w:rPr>
        <w:t>.</w:t>
      </w:r>
    </w:p>
    <w:p w14:paraId="4E6BAA29" w14:textId="0460595E" w:rsidR="00EA4E1B" w:rsidRDefault="00904BCB" w:rsidP="00904BCB">
      <w:pPr>
        <w:pStyle w:val="TAMainText"/>
        <w:rPr>
          <w:rFonts w:ascii="Times New Roman" w:hAnsi="Times New Roman"/>
          <w:lang w:val="pt-BR"/>
        </w:rPr>
      </w:pPr>
      <w:r w:rsidRPr="00904BCB">
        <w:rPr>
          <w:rFonts w:ascii="Times New Roman" w:hAnsi="Times New Roman"/>
          <w:lang w:val="pt-BR"/>
        </w:rPr>
        <w:t>Para o óxido 10% SnO</w:t>
      </w:r>
      <w:r w:rsidRPr="00A47095">
        <w:rPr>
          <w:rFonts w:ascii="Times New Roman" w:hAnsi="Times New Roman"/>
          <w:vertAlign w:val="subscript"/>
          <w:lang w:val="pt-BR"/>
        </w:rPr>
        <w:t>2</w:t>
      </w:r>
      <w:r w:rsidRPr="00904BCB">
        <w:rPr>
          <w:rFonts w:ascii="Times New Roman" w:hAnsi="Times New Roman"/>
          <w:lang w:val="pt-BR"/>
        </w:rPr>
        <w:t>-TiO</w:t>
      </w:r>
      <w:r w:rsidRPr="00A47095">
        <w:rPr>
          <w:rFonts w:ascii="Times New Roman" w:hAnsi="Times New Roman"/>
          <w:vertAlign w:val="subscript"/>
          <w:lang w:val="pt-BR"/>
        </w:rPr>
        <w:t>2</w:t>
      </w:r>
      <w:r w:rsidRPr="00904BCB">
        <w:rPr>
          <w:rFonts w:ascii="Times New Roman" w:hAnsi="Times New Roman"/>
          <w:lang w:val="pt-BR"/>
        </w:rPr>
        <w:t xml:space="preserve"> adicionou-se 209 mL de álcool isopropílico, 17,2 mL de TTIP e 1,2 g de SnCl</w:t>
      </w:r>
      <w:r w:rsidR="00A47095" w:rsidRPr="00A47095">
        <w:rPr>
          <w:rFonts w:ascii="Times New Roman" w:hAnsi="Times New Roman"/>
          <w:vertAlign w:val="subscript"/>
          <w:lang w:val="pt-BR"/>
        </w:rPr>
        <w:t>4</w:t>
      </w:r>
      <w:r w:rsidRPr="00904BCB">
        <w:rPr>
          <w:rFonts w:ascii="Times New Roman" w:hAnsi="Times New Roman"/>
          <w:lang w:val="pt-BR"/>
        </w:rPr>
        <w:t>.5H</w:t>
      </w:r>
      <w:r w:rsidRPr="00E52DBD">
        <w:rPr>
          <w:rFonts w:ascii="Times New Roman" w:hAnsi="Times New Roman"/>
          <w:vertAlign w:val="subscript"/>
          <w:lang w:val="pt-BR"/>
        </w:rPr>
        <w:t>2</w:t>
      </w:r>
      <w:r w:rsidRPr="00904BCB">
        <w:rPr>
          <w:rFonts w:ascii="Times New Roman" w:hAnsi="Times New Roman"/>
          <w:lang w:val="pt-BR"/>
        </w:rPr>
        <w:t>O dissolvido em água. Seguindo as mesmas etapas posteriores de precipitação, lavagem, separação, secagem e calcinação.</w:t>
      </w:r>
    </w:p>
    <w:p w14:paraId="77DB0FBF" w14:textId="6A1642C3" w:rsidR="00904BCB" w:rsidRPr="00904BCB" w:rsidRDefault="00904BCB" w:rsidP="00904BCB">
      <w:pPr>
        <w:pStyle w:val="TAMainText"/>
        <w:rPr>
          <w:rFonts w:ascii="Times New Roman" w:hAnsi="Times New Roman"/>
          <w:lang w:val="pt-BR"/>
        </w:rPr>
      </w:pPr>
      <w:r>
        <w:rPr>
          <w:rFonts w:ascii="Times New Roman" w:hAnsi="Times New Roman"/>
          <w:lang w:val="pt-BR"/>
        </w:rPr>
        <w:t xml:space="preserve">Rota 2: </w:t>
      </w:r>
      <w:r w:rsidRPr="00904BCB">
        <w:rPr>
          <w:rFonts w:ascii="Times New Roman" w:hAnsi="Times New Roman"/>
          <w:lang w:val="pt-BR"/>
        </w:rPr>
        <w:t xml:space="preserve">além do ajuste de pH com </w:t>
      </w:r>
      <w:proofErr w:type="spellStart"/>
      <w:r w:rsidRPr="00904BCB">
        <w:rPr>
          <w:rFonts w:ascii="Times New Roman" w:hAnsi="Times New Roman"/>
          <w:lang w:val="pt-BR"/>
        </w:rPr>
        <w:t>HCl</w:t>
      </w:r>
      <w:proofErr w:type="spellEnd"/>
      <w:r w:rsidRPr="00904BCB">
        <w:rPr>
          <w:rFonts w:ascii="Times New Roman" w:hAnsi="Times New Roman"/>
          <w:lang w:val="pt-BR"/>
        </w:rPr>
        <w:t>, o ácido também foi adicionado no início da síntese, na etapa de hidrólise, na mesma quantidade de TTIP. Com isso, o volume de NH</w:t>
      </w:r>
      <w:r w:rsidRPr="002C1A20">
        <w:rPr>
          <w:rFonts w:ascii="Times New Roman" w:hAnsi="Times New Roman"/>
          <w:vertAlign w:val="subscript"/>
          <w:lang w:val="pt-BR"/>
        </w:rPr>
        <w:t>4</w:t>
      </w:r>
      <w:r w:rsidRPr="00904BCB">
        <w:rPr>
          <w:rFonts w:ascii="Times New Roman" w:hAnsi="Times New Roman"/>
          <w:lang w:val="pt-BR"/>
        </w:rPr>
        <w:t>OH adicionado para a precipitação também foi maior, para que um pH mais alcalino do gel fosse alcançado, ficando em torno de 8. As outras etapas foram semelhantes.</w:t>
      </w:r>
    </w:p>
    <w:p w14:paraId="2495A1E9" w14:textId="29F818E2" w:rsidR="00904BCB" w:rsidRDefault="00904BCB" w:rsidP="00904BCB">
      <w:pPr>
        <w:pStyle w:val="TAMainText"/>
        <w:rPr>
          <w:rFonts w:ascii="Times New Roman" w:hAnsi="Times New Roman"/>
          <w:lang w:val="pt-BR"/>
        </w:rPr>
      </w:pPr>
      <w:r w:rsidRPr="00904BCB">
        <w:rPr>
          <w:rFonts w:ascii="Times New Roman" w:hAnsi="Times New Roman"/>
          <w:lang w:val="pt-BR"/>
        </w:rPr>
        <w:t>Os óxidos por essa rota foram denominados 1% SnO</w:t>
      </w:r>
      <w:r w:rsidRPr="002C1A20">
        <w:rPr>
          <w:rFonts w:ascii="Times New Roman" w:hAnsi="Times New Roman"/>
          <w:vertAlign w:val="subscript"/>
          <w:lang w:val="pt-BR"/>
        </w:rPr>
        <w:t>2</w:t>
      </w:r>
      <w:r w:rsidRPr="00904BCB">
        <w:rPr>
          <w:rFonts w:ascii="Times New Roman" w:hAnsi="Times New Roman"/>
          <w:lang w:val="pt-BR"/>
        </w:rPr>
        <w:t>-TiO</w:t>
      </w:r>
      <w:r w:rsidRPr="002C1A20">
        <w:rPr>
          <w:rFonts w:ascii="Times New Roman" w:hAnsi="Times New Roman"/>
          <w:vertAlign w:val="subscript"/>
          <w:lang w:val="pt-BR"/>
        </w:rPr>
        <w:t>2</w:t>
      </w:r>
      <w:r w:rsidRPr="00904BCB">
        <w:rPr>
          <w:rFonts w:ascii="Times New Roman" w:hAnsi="Times New Roman"/>
          <w:lang w:val="pt-BR"/>
        </w:rPr>
        <w:t xml:space="preserve"> </w:t>
      </w:r>
      <w:proofErr w:type="spellStart"/>
      <w:r w:rsidRPr="00904BCB">
        <w:rPr>
          <w:rFonts w:ascii="Times New Roman" w:hAnsi="Times New Roman"/>
          <w:lang w:val="pt-BR"/>
        </w:rPr>
        <w:t>HCl</w:t>
      </w:r>
      <w:proofErr w:type="spellEnd"/>
      <w:r w:rsidRPr="00904BCB">
        <w:rPr>
          <w:rFonts w:ascii="Times New Roman" w:hAnsi="Times New Roman"/>
          <w:lang w:val="pt-BR"/>
        </w:rPr>
        <w:t xml:space="preserve"> e 10% SnO</w:t>
      </w:r>
      <w:r w:rsidRPr="002C1A20">
        <w:rPr>
          <w:rFonts w:ascii="Times New Roman" w:hAnsi="Times New Roman"/>
          <w:vertAlign w:val="subscript"/>
          <w:lang w:val="pt-BR"/>
        </w:rPr>
        <w:t>2</w:t>
      </w:r>
      <w:r w:rsidRPr="00904BCB">
        <w:rPr>
          <w:rFonts w:ascii="Times New Roman" w:hAnsi="Times New Roman"/>
          <w:lang w:val="pt-BR"/>
        </w:rPr>
        <w:t>-TiO</w:t>
      </w:r>
      <w:r w:rsidRPr="002C1A20">
        <w:rPr>
          <w:rFonts w:ascii="Times New Roman" w:hAnsi="Times New Roman"/>
          <w:vertAlign w:val="subscript"/>
          <w:lang w:val="pt-BR"/>
        </w:rPr>
        <w:t>2</w:t>
      </w:r>
      <w:r w:rsidRPr="00904BCB">
        <w:rPr>
          <w:rFonts w:ascii="Times New Roman" w:hAnsi="Times New Roman"/>
          <w:lang w:val="pt-BR"/>
        </w:rPr>
        <w:t xml:space="preserve"> </w:t>
      </w:r>
      <w:proofErr w:type="spellStart"/>
      <w:r w:rsidRPr="00904BCB">
        <w:rPr>
          <w:rFonts w:ascii="Times New Roman" w:hAnsi="Times New Roman"/>
          <w:lang w:val="pt-BR"/>
        </w:rPr>
        <w:t>HCl</w:t>
      </w:r>
      <w:proofErr w:type="spellEnd"/>
      <w:r w:rsidRPr="00904BCB">
        <w:rPr>
          <w:rFonts w:ascii="Times New Roman" w:hAnsi="Times New Roman"/>
          <w:lang w:val="pt-BR"/>
        </w:rPr>
        <w:t>.</w:t>
      </w:r>
    </w:p>
    <w:p w14:paraId="73CB25E8" w14:textId="77777777" w:rsidR="00CF3F61" w:rsidRDefault="00CF3F61" w:rsidP="00904BCB">
      <w:pPr>
        <w:pStyle w:val="TAMainText"/>
        <w:rPr>
          <w:rFonts w:ascii="Times New Roman" w:hAnsi="Times New Roman"/>
          <w:lang w:val="pt-BR"/>
        </w:rPr>
      </w:pPr>
    </w:p>
    <w:p w14:paraId="3BBA10E0" w14:textId="26E0909D" w:rsidR="00CF3F61" w:rsidRPr="001F25B2" w:rsidRDefault="00CF3F61" w:rsidP="00CF3F61">
      <w:pPr>
        <w:pStyle w:val="TAMainText"/>
        <w:ind w:firstLine="0"/>
        <w:rPr>
          <w:rFonts w:ascii="Times New Roman" w:hAnsi="Times New Roman"/>
          <w:i/>
          <w:lang w:val="pt-BR"/>
        </w:rPr>
      </w:pPr>
      <w:r>
        <w:rPr>
          <w:rFonts w:ascii="Times New Roman" w:hAnsi="Times New Roman"/>
          <w:i/>
          <w:lang w:val="pt-BR"/>
        </w:rPr>
        <w:t>Preparo dos filmes compósitos com quitosana</w:t>
      </w:r>
    </w:p>
    <w:p w14:paraId="109C7C3B" w14:textId="23ECB1D4" w:rsidR="00CF3F61" w:rsidRDefault="00D65173" w:rsidP="00904BCB">
      <w:pPr>
        <w:pStyle w:val="TAMainText"/>
        <w:rPr>
          <w:rFonts w:ascii="Times New Roman" w:hAnsi="Times New Roman"/>
          <w:lang w:val="pt-BR"/>
        </w:rPr>
      </w:pPr>
      <w:r w:rsidRPr="00D65173">
        <w:rPr>
          <w:rFonts w:ascii="Times New Roman" w:hAnsi="Times New Roman"/>
          <w:lang w:val="pt-BR"/>
        </w:rPr>
        <w:t>Preparou-se uma solução de quitosana comercial (QT) por dissolução de 15 mg de QT em 1 mL de solução de ácido acético 5% v/v (HAc), sob agitação magnética por 24 h. Esta solução foi filtrada, obtendo-se uma suspensão amarelada e mais límpida que a inicial</w:t>
      </w:r>
      <w:r>
        <w:rPr>
          <w:rFonts w:ascii="Times New Roman" w:hAnsi="Times New Roman"/>
          <w:lang w:val="pt-BR"/>
        </w:rPr>
        <w:t xml:space="preserve">. </w:t>
      </w:r>
      <w:r w:rsidRPr="00D65173">
        <w:rPr>
          <w:rFonts w:ascii="Times New Roman" w:hAnsi="Times New Roman"/>
          <w:lang w:val="pt-BR"/>
        </w:rPr>
        <w:t>Para reticulação da quitosana purificada, utilizou-se uma solução de glutaraldeído 2,5 % v/v (GLU) na proporção 0,5 mL GLU para 1 g de QT.</w:t>
      </w:r>
    </w:p>
    <w:p w14:paraId="3D7BCA49" w14:textId="366D686C" w:rsidR="00D65173" w:rsidRDefault="00D65173" w:rsidP="00904BCB">
      <w:pPr>
        <w:pStyle w:val="TAMainText"/>
        <w:rPr>
          <w:rFonts w:ascii="Times New Roman" w:hAnsi="Times New Roman"/>
          <w:lang w:val="pt-BR"/>
        </w:rPr>
      </w:pPr>
      <w:r w:rsidRPr="00D65173">
        <w:rPr>
          <w:rFonts w:ascii="Times New Roman" w:hAnsi="Times New Roman"/>
          <w:lang w:val="pt-BR"/>
        </w:rPr>
        <w:t xml:space="preserve">Adicionou-se uma massa de óxido no produto quitosana-glutaraldeído (QT-GLU) na proporção mássica 3 mg de óxido para 1 mg de quitosana. Agitou-se por 2 h formando uma suspensão leitosa. </w:t>
      </w:r>
      <w:r>
        <w:rPr>
          <w:rFonts w:ascii="Times New Roman" w:hAnsi="Times New Roman"/>
          <w:lang w:val="pt-BR"/>
        </w:rPr>
        <w:t>E</w:t>
      </w:r>
      <w:r w:rsidRPr="00D65173">
        <w:rPr>
          <w:rFonts w:ascii="Times New Roman" w:hAnsi="Times New Roman"/>
          <w:lang w:val="pt-BR"/>
        </w:rPr>
        <w:t xml:space="preserve">m seguida, 15 gotas da suspensão foram adicionadas no centro do substrato </w:t>
      </w:r>
      <w:r>
        <w:rPr>
          <w:rFonts w:ascii="Times New Roman" w:hAnsi="Times New Roman"/>
          <w:lang w:val="pt-BR"/>
        </w:rPr>
        <w:t xml:space="preserve">de vidro, </w:t>
      </w:r>
      <w:r w:rsidRPr="00D65173">
        <w:rPr>
          <w:rFonts w:ascii="Times New Roman" w:hAnsi="Times New Roman"/>
          <w:lang w:val="pt-BR"/>
        </w:rPr>
        <w:t>previamente limpo</w:t>
      </w:r>
      <w:r>
        <w:rPr>
          <w:rFonts w:ascii="Times New Roman" w:hAnsi="Times New Roman"/>
          <w:lang w:val="pt-BR"/>
        </w:rPr>
        <w:t xml:space="preserve"> </w:t>
      </w:r>
      <w:r w:rsidRPr="00D65173">
        <w:rPr>
          <w:rFonts w:ascii="Times New Roman" w:hAnsi="Times New Roman"/>
          <w:lang w:val="pt-BR"/>
        </w:rPr>
        <w:t xml:space="preserve">e moldado de forma a ocupar toda a sua área. O substrato moldado foi deixado em uma superfície plana e aberta para evaporação do solvente à temperatura ambiente. Após três dias, todo o solvente foi evaporado, formando-se o filme. </w:t>
      </w:r>
    </w:p>
    <w:p w14:paraId="07FB97DA" w14:textId="77777777" w:rsidR="00825019" w:rsidRDefault="00825019" w:rsidP="00904BCB">
      <w:pPr>
        <w:pStyle w:val="TAMainText"/>
        <w:rPr>
          <w:rFonts w:ascii="Times New Roman" w:hAnsi="Times New Roman"/>
          <w:lang w:val="pt-BR"/>
        </w:rPr>
      </w:pPr>
    </w:p>
    <w:p w14:paraId="3D853021" w14:textId="793AA984" w:rsidR="00825019" w:rsidRPr="001F25B2" w:rsidRDefault="00825019" w:rsidP="00825019">
      <w:pPr>
        <w:pStyle w:val="TAMainText"/>
        <w:ind w:firstLine="0"/>
        <w:rPr>
          <w:rFonts w:ascii="Times New Roman" w:hAnsi="Times New Roman"/>
          <w:i/>
          <w:lang w:val="pt-BR"/>
        </w:rPr>
      </w:pPr>
      <w:r>
        <w:rPr>
          <w:rFonts w:ascii="Times New Roman" w:hAnsi="Times New Roman"/>
          <w:i/>
          <w:lang w:val="pt-BR"/>
        </w:rPr>
        <w:t>Caracterização</w:t>
      </w:r>
      <w:r w:rsidR="003B667B">
        <w:rPr>
          <w:rFonts w:ascii="Times New Roman" w:hAnsi="Times New Roman"/>
          <w:i/>
          <w:lang w:val="pt-BR"/>
        </w:rPr>
        <w:t xml:space="preserve"> dos óxidos</w:t>
      </w:r>
    </w:p>
    <w:p w14:paraId="6015C075" w14:textId="03AB35F5" w:rsidR="00825019" w:rsidRDefault="00825019" w:rsidP="00904BCB">
      <w:pPr>
        <w:pStyle w:val="TAMainText"/>
        <w:rPr>
          <w:rFonts w:ascii="Times New Roman" w:hAnsi="Times New Roman"/>
          <w:lang w:val="pt-BR"/>
        </w:rPr>
      </w:pPr>
      <w:r w:rsidRPr="00825019">
        <w:rPr>
          <w:rFonts w:ascii="Times New Roman" w:hAnsi="Times New Roman"/>
          <w:lang w:val="pt-BR"/>
        </w:rPr>
        <w:t xml:space="preserve">Espectroscopia de absorção de infravermelho com transformada de Fourier foi realizada com a finalidade de caracterizar os grupos funcionais presentes na superfície dos pós, preparando as pastilhas de KBr. Os espectros foram </w:t>
      </w:r>
      <w:r w:rsidRPr="00825019">
        <w:rPr>
          <w:rFonts w:ascii="Times New Roman" w:hAnsi="Times New Roman"/>
          <w:lang w:val="pt-BR"/>
        </w:rPr>
        <w:lastRenderedPageBreak/>
        <w:t>obtidos na faixa de números de onda de 4000 a 500 cm</w:t>
      </w:r>
      <w:r w:rsidRPr="0035503C">
        <w:rPr>
          <w:rFonts w:ascii="Times New Roman" w:hAnsi="Times New Roman"/>
          <w:vertAlign w:val="superscript"/>
          <w:lang w:val="pt-BR"/>
        </w:rPr>
        <w:t>-1</w:t>
      </w:r>
      <w:r w:rsidRPr="00825019">
        <w:rPr>
          <w:rFonts w:ascii="Times New Roman" w:hAnsi="Times New Roman"/>
          <w:lang w:val="pt-BR"/>
        </w:rPr>
        <w:t xml:space="preserve"> durante 16 varreduras (</w:t>
      </w:r>
      <w:proofErr w:type="spellStart"/>
      <w:r w:rsidRPr="00825019">
        <w:rPr>
          <w:rFonts w:ascii="Times New Roman" w:hAnsi="Times New Roman"/>
          <w:lang w:val="pt-BR"/>
        </w:rPr>
        <w:t>Nicolet</w:t>
      </w:r>
      <w:proofErr w:type="spellEnd"/>
      <w:r w:rsidRPr="00825019">
        <w:rPr>
          <w:rFonts w:ascii="Times New Roman" w:hAnsi="Times New Roman"/>
          <w:lang w:val="pt-BR"/>
        </w:rPr>
        <w:t xml:space="preserve"> 6700- FTIR).</w:t>
      </w:r>
      <w:r w:rsidR="0035503C">
        <w:rPr>
          <w:rFonts w:ascii="Times New Roman" w:hAnsi="Times New Roman"/>
          <w:lang w:val="pt-BR"/>
        </w:rPr>
        <w:t xml:space="preserve"> Para determinação das fases cristalinas dos catalisadores calcinados, foi realizado a</w:t>
      </w:r>
      <w:r w:rsidR="0035503C" w:rsidRPr="0035503C">
        <w:rPr>
          <w:rFonts w:ascii="Times New Roman" w:hAnsi="Times New Roman"/>
          <w:lang w:val="pt-BR"/>
        </w:rPr>
        <w:t xml:space="preserve"> </w:t>
      </w:r>
      <w:r w:rsidR="0035503C">
        <w:rPr>
          <w:rFonts w:ascii="Times New Roman" w:hAnsi="Times New Roman"/>
          <w:lang w:val="pt-BR"/>
        </w:rPr>
        <w:t>d</w:t>
      </w:r>
      <w:r w:rsidR="0035503C" w:rsidRPr="0035503C">
        <w:rPr>
          <w:rFonts w:ascii="Times New Roman" w:hAnsi="Times New Roman"/>
          <w:lang w:val="pt-BR"/>
        </w:rPr>
        <w:t>ifração de Raios X</w:t>
      </w:r>
      <w:r w:rsidR="00D302AF">
        <w:rPr>
          <w:rFonts w:ascii="Times New Roman" w:hAnsi="Times New Roman"/>
          <w:lang w:val="pt-BR"/>
        </w:rPr>
        <w:t xml:space="preserve"> (</w:t>
      </w:r>
      <w:bookmarkStart w:id="2" w:name="_Hlk134362874"/>
      <w:proofErr w:type="spellStart"/>
      <w:r w:rsidR="00D302AF">
        <w:rPr>
          <w:rFonts w:ascii="Times New Roman" w:hAnsi="Times New Roman"/>
          <w:lang w:val="pt-BR"/>
        </w:rPr>
        <w:t>E</w:t>
      </w:r>
      <w:r w:rsidR="00D302AF" w:rsidRPr="00D302AF">
        <w:rPr>
          <w:rFonts w:ascii="Times New Roman" w:hAnsi="Times New Roman"/>
          <w:lang w:val="pt-BR"/>
        </w:rPr>
        <w:t>mpyrean</w:t>
      </w:r>
      <w:proofErr w:type="spellEnd"/>
      <w:r w:rsidR="00D302AF" w:rsidRPr="00D302AF">
        <w:rPr>
          <w:rFonts w:ascii="Times New Roman" w:hAnsi="Times New Roman"/>
          <w:lang w:val="pt-BR"/>
        </w:rPr>
        <w:t xml:space="preserve"> </w:t>
      </w:r>
      <w:proofErr w:type="spellStart"/>
      <w:r w:rsidR="00D302AF">
        <w:rPr>
          <w:rFonts w:ascii="Times New Roman" w:hAnsi="Times New Roman"/>
          <w:lang w:val="pt-BR"/>
        </w:rPr>
        <w:t>M</w:t>
      </w:r>
      <w:r w:rsidR="00D302AF" w:rsidRPr="00D302AF">
        <w:rPr>
          <w:rFonts w:ascii="Times New Roman" w:hAnsi="Times New Roman"/>
          <w:lang w:val="pt-BR"/>
        </w:rPr>
        <w:t>alvern</w:t>
      </w:r>
      <w:proofErr w:type="spellEnd"/>
      <w:r w:rsidR="00D302AF" w:rsidRPr="00D302AF">
        <w:rPr>
          <w:rFonts w:ascii="Times New Roman" w:hAnsi="Times New Roman"/>
          <w:lang w:val="pt-BR"/>
        </w:rPr>
        <w:t xml:space="preserve"> </w:t>
      </w:r>
      <w:proofErr w:type="spellStart"/>
      <w:r w:rsidR="00D302AF">
        <w:rPr>
          <w:rFonts w:ascii="Times New Roman" w:hAnsi="Times New Roman"/>
          <w:lang w:val="pt-BR"/>
        </w:rPr>
        <w:t>P</w:t>
      </w:r>
      <w:r w:rsidR="00D302AF" w:rsidRPr="00D302AF">
        <w:rPr>
          <w:rFonts w:ascii="Times New Roman" w:hAnsi="Times New Roman"/>
          <w:lang w:val="pt-BR"/>
        </w:rPr>
        <w:t>analytical</w:t>
      </w:r>
      <w:bookmarkEnd w:id="2"/>
      <w:proofErr w:type="spellEnd"/>
      <w:r w:rsidR="00D302AF">
        <w:rPr>
          <w:rFonts w:ascii="Times New Roman" w:hAnsi="Times New Roman"/>
          <w:lang w:val="pt-BR"/>
        </w:rPr>
        <w:t xml:space="preserve">) </w:t>
      </w:r>
      <w:r w:rsidR="00D302AF" w:rsidRPr="00D302AF">
        <w:rPr>
          <w:rFonts w:ascii="Times New Roman" w:hAnsi="Times New Roman"/>
          <w:lang w:val="pt-BR"/>
        </w:rPr>
        <w:t>operando com radiação Cu-Ka (</w:t>
      </w:r>
      <w:r w:rsidR="009C2F45">
        <w:rPr>
          <w:rFonts w:ascii="Times New Roman" w:hAnsi="Times New Roman"/>
          <w:lang w:val="pt-BR"/>
        </w:rPr>
        <w:sym w:font="Symbol" w:char="F06C"/>
      </w:r>
      <w:r w:rsidR="00D302AF" w:rsidRPr="00D302AF">
        <w:rPr>
          <w:rFonts w:ascii="Times New Roman" w:hAnsi="Times New Roman"/>
          <w:lang w:val="pt-BR"/>
        </w:rPr>
        <w:t xml:space="preserve">= 1,5418 Å) </w:t>
      </w:r>
      <w:r w:rsidR="008D721A">
        <w:rPr>
          <w:rFonts w:ascii="Times New Roman" w:hAnsi="Times New Roman"/>
          <w:lang w:val="pt-BR"/>
        </w:rPr>
        <w:t>a</w:t>
      </w:r>
      <w:r w:rsidR="00D302AF" w:rsidRPr="00D302AF">
        <w:rPr>
          <w:rFonts w:ascii="Times New Roman" w:hAnsi="Times New Roman"/>
          <w:lang w:val="pt-BR"/>
        </w:rPr>
        <w:t xml:space="preserve"> 40 kV e 40 </w:t>
      </w:r>
      <w:proofErr w:type="spellStart"/>
      <w:r w:rsidR="00D302AF" w:rsidRPr="00D302AF">
        <w:rPr>
          <w:rFonts w:ascii="Times New Roman" w:hAnsi="Times New Roman"/>
          <w:lang w:val="pt-BR"/>
        </w:rPr>
        <w:t>mA</w:t>
      </w:r>
      <w:r w:rsidR="008D721A">
        <w:rPr>
          <w:rFonts w:ascii="Times New Roman" w:hAnsi="Times New Roman"/>
          <w:lang w:val="pt-BR"/>
        </w:rPr>
        <w:t>.</w:t>
      </w:r>
      <w:proofErr w:type="spellEnd"/>
      <w:r w:rsidR="008D721A">
        <w:rPr>
          <w:rFonts w:ascii="Times New Roman" w:hAnsi="Times New Roman"/>
          <w:lang w:val="pt-BR"/>
        </w:rPr>
        <w:t xml:space="preserve"> O </w:t>
      </w:r>
      <w:r w:rsidR="008D721A" w:rsidRPr="008D721A">
        <w:rPr>
          <w:rFonts w:ascii="Times New Roman" w:hAnsi="Times New Roman"/>
          <w:lang w:val="pt-BR"/>
        </w:rPr>
        <w:t xml:space="preserve">tamanho dos cristalitos (D) </w:t>
      </w:r>
      <w:r w:rsidR="008D721A">
        <w:rPr>
          <w:rFonts w:ascii="Times New Roman" w:hAnsi="Times New Roman"/>
          <w:lang w:val="pt-BR"/>
        </w:rPr>
        <w:t>foi estimado</w:t>
      </w:r>
      <w:r w:rsidR="008D721A" w:rsidRPr="008D721A">
        <w:rPr>
          <w:rFonts w:ascii="Times New Roman" w:hAnsi="Times New Roman"/>
          <w:lang w:val="pt-BR"/>
        </w:rPr>
        <w:t xml:space="preserve"> usando a equação </w:t>
      </w:r>
      <w:r w:rsidR="008D721A" w:rsidRPr="009A0674">
        <w:rPr>
          <w:rFonts w:ascii="Times New Roman" w:hAnsi="Times New Roman"/>
          <w:i/>
          <w:iCs/>
          <w:lang w:val="pt-BR"/>
        </w:rPr>
        <w:t>Debye–</w:t>
      </w:r>
      <w:proofErr w:type="spellStart"/>
      <w:r w:rsidR="008D721A" w:rsidRPr="009A0674">
        <w:rPr>
          <w:rFonts w:ascii="Times New Roman" w:hAnsi="Times New Roman"/>
          <w:i/>
          <w:iCs/>
          <w:lang w:val="pt-BR"/>
        </w:rPr>
        <w:t>Scherrer</w:t>
      </w:r>
      <w:proofErr w:type="spellEnd"/>
      <w:r w:rsidR="008D721A">
        <w:rPr>
          <w:rFonts w:ascii="Times New Roman" w:hAnsi="Times New Roman"/>
          <w:lang w:val="pt-BR"/>
        </w:rPr>
        <w:t>, com o fator de forma aproximado para 1.</w:t>
      </w:r>
      <w:r w:rsidR="00102578">
        <w:rPr>
          <w:rFonts w:ascii="Times New Roman" w:hAnsi="Times New Roman"/>
          <w:lang w:val="pt-BR"/>
        </w:rPr>
        <w:t xml:space="preserve"> </w:t>
      </w:r>
      <w:r w:rsidR="00102578" w:rsidRPr="00102578">
        <w:rPr>
          <w:rFonts w:ascii="Times New Roman" w:hAnsi="Times New Roman"/>
          <w:lang w:val="pt-BR"/>
        </w:rPr>
        <w:t>A morfologia das amostras foi avaliada por</w:t>
      </w:r>
      <w:r w:rsidR="00102578">
        <w:rPr>
          <w:rFonts w:ascii="Times New Roman" w:hAnsi="Times New Roman"/>
          <w:lang w:val="pt-BR"/>
        </w:rPr>
        <w:t xml:space="preserve"> M</w:t>
      </w:r>
      <w:r w:rsidR="00102578" w:rsidRPr="00102578">
        <w:rPr>
          <w:rFonts w:ascii="Times New Roman" w:hAnsi="Times New Roman"/>
          <w:lang w:val="pt-BR"/>
        </w:rPr>
        <w:t>icroscopia eletrônica de varredura de alta resolução (MEV-FEG</w:t>
      </w:r>
      <w:r w:rsidR="00102578">
        <w:rPr>
          <w:rFonts w:ascii="Times New Roman" w:hAnsi="Times New Roman"/>
          <w:lang w:val="pt-BR"/>
        </w:rPr>
        <w:t xml:space="preserve">; </w:t>
      </w:r>
      <w:r w:rsidR="00102578" w:rsidRPr="00102578">
        <w:rPr>
          <w:rFonts w:ascii="Times New Roman" w:hAnsi="Times New Roman"/>
          <w:lang w:val="pt-BR"/>
        </w:rPr>
        <w:t>microscópio JEOL modelo JSM-7100F</w:t>
      </w:r>
      <w:r w:rsidR="001E443B">
        <w:rPr>
          <w:rFonts w:ascii="Times New Roman" w:hAnsi="Times New Roman"/>
          <w:lang w:val="pt-BR"/>
        </w:rPr>
        <w:t xml:space="preserve">) e </w:t>
      </w:r>
      <w:r w:rsidR="001E443B" w:rsidRPr="001E443B">
        <w:rPr>
          <w:rFonts w:ascii="Times New Roman" w:hAnsi="Times New Roman"/>
          <w:lang w:val="pt-BR"/>
        </w:rPr>
        <w:t>Microscopia eletrônica de varredura acoplado a um espectrômetro de fluorescência de Raios X por energia dispersiva (MEV-EDS</w:t>
      </w:r>
      <w:r w:rsidR="001E443B">
        <w:rPr>
          <w:rFonts w:ascii="Times New Roman" w:hAnsi="Times New Roman"/>
          <w:lang w:val="pt-BR"/>
        </w:rPr>
        <w:t xml:space="preserve">; </w:t>
      </w:r>
      <w:r w:rsidR="001E443B" w:rsidRPr="001E443B">
        <w:rPr>
          <w:rFonts w:ascii="Times New Roman" w:hAnsi="Times New Roman"/>
          <w:lang w:val="pt-BR"/>
        </w:rPr>
        <w:t>microscópio JEOL modelo JSM-6510LV)</w:t>
      </w:r>
      <w:r w:rsidR="006B0AC3">
        <w:rPr>
          <w:rFonts w:ascii="Times New Roman" w:hAnsi="Times New Roman"/>
          <w:lang w:val="pt-BR"/>
        </w:rPr>
        <w:t xml:space="preserve"> </w:t>
      </w:r>
      <w:r w:rsidR="001E443B">
        <w:rPr>
          <w:rFonts w:ascii="Times New Roman" w:hAnsi="Times New Roman"/>
          <w:lang w:val="pt-BR"/>
        </w:rPr>
        <w:t>para</w:t>
      </w:r>
      <w:r w:rsidR="006B0AC3">
        <w:rPr>
          <w:rFonts w:ascii="Times New Roman" w:hAnsi="Times New Roman"/>
          <w:lang w:val="pt-BR"/>
        </w:rPr>
        <w:t xml:space="preserve"> </w:t>
      </w:r>
      <w:r w:rsidR="006B0AC3" w:rsidRPr="006B0AC3">
        <w:rPr>
          <w:rFonts w:ascii="Times New Roman" w:hAnsi="Times New Roman"/>
          <w:lang w:val="pt-BR"/>
        </w:rPr>
        <w:t>realizar um mapeamento superficial da composição dos óxidos sintetizados, uma vez que esta técnica permite detectar elementos químicos na superfície da amostra</w:t>
      </w:r>
      <w:r w:rsidR="006B0AC3">
        <w:rPr>
          <w:rFonts w:ascii="Times New Roman" w:hAnsi="Times New Roman"/>
          <w:lang w:val="pt-BR"/>
        </w:rPr>
        <w:t>. A</w:t>
      </w:r>
      <w:r w:rsidR="006B0AC3" w:rsidRPr="006B0AC3">
        <w:rPr>
          <w:rFonts w:ascii="Times New Roman" w:hAnsi="Times New Roman"/>
          <w:lang w:val="pt-BR"/>
        </w:rPr>
        <w:t>nálise textural fo</w:t>
      </w:r>
      <w:r w:rsidR="006B0AC3">
        <w:rPr>
          <w:rFonts w:ascii="Times New Roman" w:hAnsi="Times New Roman"/>
          <w:lang w:val="pt-BR"/>
        </w:rPr>
        <w:t>i</w:t>
      </w:r>
      <w:r w:rsidR="006B0AC3" w:rsidRPr="006B0AC3">
        <w:rPr>
          <w:rFonts w:ascii="Times New Roman" w:hAnsi="Times New Roman"/>
          <w:lang w:val="pt-BR"/>
        </w:rPr>
        <w:t xml:space="preserve"> realizada por adsorção/dessorção de nitrogênio à temperatura de 77 K</w:t>
      </w:r>
      <w:r w:rsidR="006B0AC3">
        <w:rPr>
          <w:rFonts w:ascii="Times New Roman" w:hAnsi="Times New Roman"/>
          <w:lang w:val="pt-BR"/>
        </w:rPr>
        <w:t xml:space="preserve"> (</w:t>
      </w:r>
      <w:r w:rsidR="006B0AC3" w:rsidRPr="006B0AC3">
        <w:rPr>
          <w:rFonts w:ascii="Times New Roman" w:hAnsi="Times New Roman"/>
          <w:lang w:val="pt-BR"/>
        </w:rPr>
        <w:t>ASAP 2020</w:t>
      </w:r>
      <w:r w:rsidR="006B0AC3">
        <w:rPr>
          <w:rFonts w:ascii="Times New Roman" w:hAnsi="Times New Roman"/>
          <w:lang w:val="pt-BR"/>
        </w:rPr>
        <w:t xml:space="preserve">, </w:t>
      </w:r>
      <w:proofErr w:type="spellStart"/>
      <w:r w:rsidR="006B0AC3" w:rsidRPr="006B0AC3">
        <w:rPr>
          <w:rFonts w:ascii="Times New Roman" w:hAnsi="Times New Roman"/>
          <w:lang w:val="pt-BR"/>
        </w:rPr>
        <w:t>Micromeritics</w:t>
      </w:r>
      <w:proofErr w:type="spellEnd"/>
      <w:r w:rsidR="006B0AC3">
        <w:rPr>
          <w:rFonts w:ascii="Times New Roman" w:hAnsi="Times New Roman"/>
          <w:lang w:val="pt-BR"/>
        </w:rPr>
        <w:t xml:space="preserve">). </w:t>
      </w:r>
      <w:r w:rsidR="006B0AC3" w:rsidRPr="006B0AC3">
        <w:rPr>
          <w:rFonts w:ascii="Times New Roman" w:hAnsi="Times New Roman"/>
          <w:lang w:val="pt-BR"/>
        </w:rPr>
        <w:t xml:space="preserve">As áreas específicas foram obtidas pelo método BET e o volume de poros e o diâmetro médio dos poros foram calculados a partir da medida na pressão relativa próxima da pressão de saturação, 760 mmHg. Foram obtidas as isotermas de adsorção/dessorção e a distribuição do volume de poros foi calculada a partir da isoterma de dessorção, empregando o modelo matemático proposto por Barret, </w:t>
      </w:r>
      <w:proofErr w:type="spellStart"/>
      <w:r w:rsidR="006B0AC3" w:rsidRPr="006B0AC3">
        <w:rPr>
          <w:rFonts w:ascii="Times New Roman" w:hAnsi="Times New Roman"/>
          <w:lang w:val="pt-BR"/>
        </w:rPr>
        <w:t>Joyner</w:t>
      </w:r>
      <w:proofErr w:type="spellEnd"/>
      <w:r w:rsidR="006B0AC3" w:rsidRPr="006B0AC3">
        <w:rPr>
          <w:rFonts w:ascii="Times New Roman" w:hAnsi="Times New Roman"/>
          <w:lang w:val="pt-BR"/>
        </w:rPr>
        <w:t xml:space="preserve"> e </w:t>
      </w:r>
      <w:proofErr w:type="spellStart"/>
      <w:r w:rsidR="006B0AC3" w:rsidRPr="006B0AC3">
        <w:rPr>
          <w:rFonts w:ascii="Times New Roman" w:hAnsi="Times New Roman"/>
          <w:lang w:val="pt-BR"/>
        </w:rPr>
        <w:t>Halenda</w:t>
      </w:r>
      <w:proofErr w:type="spellEnd"/>
      <w:r w:rsidR="006B0AC3" w:rsidRPr="006B0AC3">
        <w:rPr>
          <w:rFonts w:ascii="Times New Roman" w:hAnsi="Times New Roman"/>
          <w:lang w:val="pt-BR"/>
        </w:rPr>
        <w:t xml:space="preserve"> (método BJH). Antes das análises cerca de 200 mg de cada amostra foi submetida a um pré-tratamento sob vácuo a </w:t>
      </w:r>
      <w:r w:rsidR="009C2F45">
        <w:rPr>
          <w:rFonts w:ascii="Times New Roman" w:hAnsi="Times New Roman"/>
          <w:lang w:val="pt-BR"/>
        </w:rPr>
        <w:t>400 °C</w:t>
      </w:r>
      <w:r w:rsidR="006B0AC3" w:rsidRPr="006B0AC3">
        <w:rPr>
          <w:rFonts w:ascii="Times New Roman" w:hAnsi="Times New Roman"/>
          <w:lang w:val="pt-BR"/>
        </w:rPr>
        <w:t xml:space="preserve">, para secagem e </w:t>
      </w:r>
      <w:proofErr w:type="spellStart"/>
      <w:r w:rsidR="006B0AC3" w:rsidRPr="006B0AC3">
        <w:rPr>
          <w:rFonts w:ascii="Times New Roman" w:hAnsi="Times New Roman"/>
          <w:lang w:val="pt-BR"/>
        </w:rPr>
        <w:t>degasagem</w:t>
      </w:r>
      <w:proofErr w:type="spellEnd"/>
      <w:r w:rsidR="006B0AC3" w:rsidRPr="006B0AC3">
        <w:rPr>
          <w:rFonts w:ascii="Times New Roman" w:hAnsi="Times New Roman"/>
          <w:lang w:val="pt-BR"/>
        </w:rPr>
        <w:t>.</w:t>
      </w:r>
    </w:p>
    <w:p w14:paraId="301259DA" w14:textId="77777777" w:rsidR="00CF55EB" w:rsidRDefault="00CF55EB" w:rsidP="00904BCB">
      <w:pPr>
        <w:pStyle w:val="TAMainText"/>
        <w:rPr>
          <w:rFonts w:ascii="Times New Roman" w:hAnsi="Times New Roman"/>
          <w:lang w:val="pt-BR"/>
        </w:rPr>
      </w:pPr>
    </w:p>
    <w:p w14:paraId="05720972" w14:textId="5B96CA13" w:rsidR="00CF55EB" w:rsidRPr="001F25B2" w:rsidRDefault="00CF55EB" w:rsidP="00CF55EB">
      <w:pPr>
        <w:pStyle w:val="TAMainText"/>
        <w:ind w:firstLine="0"/>
        <w:rPr>
          <w:rFonts w:ascii="Times New Roman" w:hAnsi="Times New Roman"/>
          <w:i/>
          <w:lang w:val="pt-BR"/>
        </w:rPr>
      </w:pPr>
      <w:r>
        <w:rPr>
          <w:rFonts w:ascii="Times New Roman" w:hAnsi="Times New Roman"/>
          <w:i/>
          <w:lang w:val="pt-BR"/>
        </w:rPr>
        <w:t>Teste catalítico</w:t>
      </w:r>
    </w:p>
    <w:p w14:paraId="2795F7F6" w14:textId="64C92355" w:rsidR="005E7D88" w:rsidRDefault="00CF55EB" w:rsidP="00904BCB">
      <w:pPr>
        <w:pStyle w:val="TAMainText"/>
        <w:rPr>
          <w:rFonts w:ascii="Times New Roman" w:hAnsi="Times New Roman"/>
          <w:lang w:val="pt-BR"/>
        </w:rPr>
      </w:pPr>
      <w:r w:rsidRPr="00CF55EB">
        <w:rPr>
          <w:rFonts w:ascii="Times New Roman" w:hAnsi="Times New Roman"/>
          <w:lang w:val="pt-BR"/>
        </w:rPr>
        <w:t>As reações de fotocatálise</w:t>
      </w:r>
      <w:r w:rsidR="005E7D88">
        <w:rPr>
          <w:rFonts w:ascii="Times New Roman" w:hAnsi="Times New Roman"/>
          <w:lang w:val="pt-BR"/>
        </w:rPr>
        <w:t xml:space="preserve">/UV </w:t>
      </w:r>
      <w:r w:rsidR="00AA14E8">
        <w:rPr>
          <w:rFonts w:ascii="Times New Roman" w:hAnsi="Times New Roman"/>
          <w:lang w:val="pt-BR"/>
        </w:rPr>
        <w:t xml:space="preserve">e fotocatálise/Visível </w:t>
      </w:r>
      <w:r w:rsidRPr="00CF55EB">
        <w:rPr>
          <w:rFonts w:ascii="Times New Roman" w:hAnsi="Times New Roman"/>
          <w:lang w:val="pt-BR"/>
        </w:rPr>
        <w:t xml:space="preserve">foram realizadas em uma câmara, empregando-se uma lâmpada de vapor de mercúrio de 125 W </w:t>
      </w:r>
      <w:r w:rsidR="003E0E9C">
        <w:rPr>
          <w:rFonts w:ascii="Times New Roman" w:hAnsi="Times New Roman"/>
          <w:lang w:val="pt-BR"/>
        </w:rPr>
        <w:t>sem o bulbo</w:t>
      </w:r>
      <w:r w:rsidR="00AA14E8">
        <w:rPr>
          <w:rFonts w:ascii="Times New Roman" w:hAnsi="Times New Roman"/>
          <w:lang w:val="pt-BR"/>
        </w:rPr>
        <w:t xml:space="preserve"> e com o bulbo para emissão da radiação UV e visível, respectivamente,</w:t>
      </w:r>
      <w:r w:rsidR="003E0E9C">
        <w:rPr>
          <w:rFonts w:ascii="Times New Roman" w:hAnsi="Times New Roman"/>
          <w:lang w:val="pt-BR"/>
        </w:rPr>
        <w:t xml:space="preserve"> </w:t>
      </w:r>
      <w:r w:rsidRPr="00CF55EB">
        <w:rPr>
          <w:rFonts w:ascii="Times New Roman" w:hAnsi="Times New Roman"/>
          <w:lang w:val="pt-BR"/>
        </w:rPr>
        <w:t>e um agitador magnético em uma solução aerada contendo 50 mL (10 mg L</w:t>
      </w:r>
      <w:r w:rsidRPr="005E7D88">
        <w:rPr>
          <w:rFonts w:ascii="Times New Roman" w:hAnsi="Times New Roman"/>
          <w:vertAlign w:val="superscript"/>
          <w:lang w:val="pt-BR"/>
        </w:rPr>
        <w:t>-1</w:t>
      </w:r>
      <w:r w:rsidRPr="00CF55EB">
        <w:rPr>
          <w:rFonts w:ascii="Times New Roman" w:hAnsi="Times New Roman"/>
          <w:lang w:val="pt-BR"/>
        </w:rPr>
        <w:t>) da solução de azul de metileno. A</w:t>
      </w:r>
      <w:r w:rsidR="005E7D88">
        <w:rPr>
          <w:rFonts w:ascii="Times New Roman" w:hAnsi="Times New Roman"/>
          <w:lang w:val="pt-BR"/>
        </w:rPr>
        <w:t>líquotas</w:t>
      </w:r>
      <w:r w:rsidRPr="00CF55EB">
        <w:rPr>
          <w:rFonts w:ascii="Times New Roman" w:hAnsi="Times New Roman"/>
          <w:lang w:val="pt-BR"/>
        </w:rPr>
        <w:t xml:space="preserve"> retiradas a</w:t>
      </w:r>
      <w:r w:rsidR="005E7D88">
        <w:rPr>
          <w:rFonts w:ascii="Times New Roman" w:hAnsi="Times New Roman"/>
          <w:lang w:val="pt-BR"/>
        </w:rPr>
        <w:t>ntes do início da reação e após</w:t>
      </w:r>
      <w:r w:rsidRPr="00CF55EB">
        <w:rPr>
          <w:rFonts w:ascii="Times New Roman" w:hAnsi="Times New Roman"/>
          <w:lang w:val="pt-BR"/>
        </w:rPr>
        <w:t xml:space="preserve"> 2 horas de </w:t>
      </w:r>
      <w:r w:rsidR="005E7D88">
        <w:rPr>
          <w:rFonts w:ascii="Times New Roman" w:hAnsi="Times New Roman"/>
          <w:lang w:val="pt-BR"/>
        </w:rPr>
        <w:t>teste</w:t>
      </w:r>
      <w:r w:rsidRPr="00CF55EB">
        <w:rPr>
          <w:rFonts w:ascii="Times New Roman" w:hAnsi="Times New Roman"/>
          <w:lang w:val="pt-BR"/>
        </w:rPr>
        <w:t xml:space="preserve"> foram analisadas empregando-se um espectrofotômetro UV-VIS da marca </w:t>
      </w:r>
      <w:proofErr w:type="spellStart"/>
      <w:r w:rsidRPr="00CF55EB">
        <w:rPr>
          <w:rFonts w:ascii="Times New Roman" w:hAnsi="Times New Roman"/>
          <w:lang w:val="pt-BR"/>
        </w:rPr>
        <w:t>Shimadzu</w:t>
      </w:r>
      <w:proofErr w:type="spellEnd"/>
      <w:r w:rsidRPr="00CF55EB">
        <w:rPr>
          <w:rFonts w:ascii="Times New Roman" w:hAnsi="Times New Roman"/>
          <w:lang w:val="pt-BR"/>
        </w:rPr>
        <w:t xml:space="preserve"> (modelo </w:t>
      </w:r>
      <w:proofErr w:type="spellStart"/>
      <w:r w:rsidRPr="00CF55EB">
        <w:rPr>
          <w:rFonts w:ascii="Times New Roman" w:hAnsi="Times New Roman"/>
          <w:lang w:val="pt-BR"/>
        </w:rPr>
        <w:t>Hach</w:t>
      </w:r>
      <w:proofErr w:type="spellEnd"/>
      <w:r w:rsidRPr="00CF55EB">
        <w:rPr>
          <w:rFonts w:ascii="Times New Roman" w:hAnsi="Times New Roman"/>
          <w:lang w:val="pt-BR"/>
        </w:rPr>
        <w:t xml:space="preserve"> DR 5000)</w:t>
      </w:r>
      <w:r w:rsidR="005E7D88">
        <w:rPr>
          <w:rFonts w:ascii="Times New Roman" w:hAnsi="Times New Roman"/>
          <w:lang w:val="pt-BR"/>
        </w:rPr>
        <w:t xml:space="preserve"> para leitura da absorbância</w:t>
      </w:r>
      <w:r w:rsidR="003E0E9C">
        <w:rPr>
          <w:rFonts w:ascii="Times New Roman" w:hAnsi="Times New Roman"/>
          <w:lang w:val="pt-BR"/>
        </w:rPr>
        <w:t xml:space="preserve"> máxima do pico (664 nm)</w:t>
      </w:r>
      <w:r w:rsidR="005E7D88">
        <w:rPr>
          <w:rFonts w:ascii="Times New Roman" w:hAnsi="Times New Roman"/>
          <w:lang w:val="pt-BR"/>
        </w:rPr>
        <w:t xml:space="preserve"> antes (</w:t>
      </w:r>
      <w:r w:rsidR="005E7D88" w:rsidRPr="005E7D88">
        <w:rPr>
          <w:rFonts w:ascii="Times New Roman" w:hAnsi="Times New Roman"/>
          <w:lang w:val="pt-BR"/>
        </w:rPr>
        <w:t>Abs</w:t>
      </w:r>
      <w:r w:rsidR="005E7D88" w:rsidRPr="005E7D88">
        <w:rPr>
          <w:rFonts w:ascii="Times New Roman" w:hAnsi="Times New Roman"/>
          <w:vertAlign w:val="subscript"/>
          <w:lang w:val="pt-BR"/>
        </w:rPr>
        <w:t>0</w:t>
      </w:r>
      <w:r w:rsidR="005E7D88" w:rsidRPr="005E7D88">
        <w:rPr>
          <w:rFonts w:ascii="Times New Roman" w:hAnsi="Times New Roman"/>
          <w:lang w:val="pt-BR"/>
        </w:rPr>
        <w:t>)</w:t>
      </w:r>
      <w:r w:rsidR="005E7D88">
        <w:rPr>
          <w:rFonts w:ascii="Times New Roman" w:hAnsi="Times New Roman"/>
          <w:lang w:val="pt-BR"/>
        </w:rPr>
        <w:t xml:space="preserve"> e após (</w:t>
      </w:r>
      <w:proofErr w:type="spellStart"/>
      <w:r w:rsidR="005E7D88" w:rsidRPr="005E7D88">
        <w:rPr>
          <w:rFonts w:ascii="Times New Roman" w:hAnsi="Times New Roman"/>
          <w:lang w:val="pt-BR"/>
        </w:rPr>
        <w:t>Abs</w:t>
      </w:r>
      <w:r w:rsidR="005E7D88" w:rsidRPr="005E7D88">
        <w:rPr>
          <w:rFonts w:ascii="Times New Roman" w:hAnsi="Times New Roman"/>
          <w:vertAlign w:val="subscript"/>
          <w:lang w:val="pt-BR"/>
        </w:rPr>
        <w:t>t</w:t>
      </w:r>
      <w:proofErr w:type="spellEnd"/>
      <w:r w:rsidR="005E7D88" w:rsidRPr="005E7D88">
        <w:rPr>
          <w:rFonts w:ascii="Times New Roman" w:hAnsi="Times New Roman"/>
          <w:lang w:val="pt-BR"/>
        </w:rPr>
        <w:t>)</w:t>
      </w:r>
      <w:r w:rsidR="005E7D88">
        <w:rPr>
          <w:rFonts w:ascii="Times New Roman" w:hAnsi="Times New Roman"/>
          <w:lang w:val="pt-BR"/>
        </w:rPr>
        <w:t xml:space="preserve"> reação</w:t>
      </w:r>
      <w:r w:rsidRPr="00CF55EB">
        <w:rPr>
          <w:rFonts w:ascii="Times New Roman" w:hAnsi="Times New Roman"/>
          <w:lang w:val="pt-BR"/>
        </w:rPr>
        <w:t>.</w:t>
      </w:r>
      <w:r w:rsidR="005E7D88">
        <w:rPr>
          <w:rFonts w:ascii="Times New Roman" w:hAnsi="Times New Roman"/>
          <w:lang w:val="pt-BR"/>
        </w:rPr>
        <w:t xml:space="preserve"> Reações de adsorção foram realizadas nas mesmas condições, mas no escuro. A eficiência de cada teste foi dada pela </w:t>
      </w:r>
      <w:r w:rsidR="005E7D88" w:rsidRPr="005E7D88">
        <w:rPr>
          <w:rFonts w:ascii="Times New Roman" w:hAnsi="Times New Roman"/>
          <w:lang w:val="pt-BR"/>
        </w:rPr>
        <w:t>porcentagem de descoloração (%D)</w:t>
      </w:r>
      <w:r w:rsidR="005E7D88">
        <w:rPr>
          <w:rFonts w:ascii="Times New Roman" w:hAnsi="Times New Roman"/>
          <w:lang w:val="pt-BR"/>
        </w:rPr>
        <w:t xml:space="preserve"> determinada pela equação:</w:t>
      </w:r>
    </w:p>
    <w:p w14:paraId="124D33CF" w14:textId="70BDB2A4" w:rsidR="005E7D88" w:rsidRPr="003B667B" w:rsidRDefault="005E7D88" w:rsidP="009C2F45">
      <w:pPr>
        <w:pStyle w:val="TAMainText"/>
        <w:ind w:firstLine="0"/>
        <w:jc w:val="center"/>
        <w:rPr>
          <w:rFonts w:ascii="Times New Roman" w:hAnsi="Times New Roman"/>
          <w:lang w:val="pt-BR"/>
        </w:rPr>
      </w:pPr>
      <w:r w:rsidRPr="003B667B">
        <w:rPr>
          <w:rFonts w:ascii="Times New Roman" w:hAnsi="Times New Roman"/>
          <w:lang w:val="pt-BR"/>
        </w:rPr>
        <w:t xml:space="preserve">%D = </w:t>
      </w:r>
      <w:r w:rsidR="00372D22" w:rsidRPr="003B667B">
        <w:rPr>
          <w:rFonts w:ascii="Times New Roman" w:hAnsi="Times New Roman"/>
          <w:lang w:val="pt-BR"/>
        </w:rPr>
        <w:t>[</w:t>
      </w:r>
      <w:r w:rsidRPr="003B667B">
        <w:rPr>
          <w:rFonts w:ascii="Times New Roman" w:hAnsi="Times New Roman"/>
          <w:lang w:val="pt-BR"/>
        </w:rPr>
        <w:t>(Abs</w:t>
      </w:r>
      <w:r w:rsidRPr="003B667B">
        <w:rPr>
          <w:rFonts w:ascii="Times New Roman" w:hAnsi="Times New Roman"/>
          <w:vertAlign w:val="subscript"/>
          <w:lang w:val="pt-BR"/>
        </w:rPr>
        <w:t>0</w:t>
      </w:r>
      <w:r w:rsidRPr="003B667B">
        <w:rPr>
          <w:rFonts w:ascii="Times New Roman" w:hAnsi="Times New Roman"/>
          <w:lang w:val="pt-BR"/>
        </w:rPr>
        <w:t>-</w:t>
      </w:r>
      <w:proofErr w:type="gramStart"/>
      <w:r w:rsidRPr="003B667B">
        <w:rPr>
          <w:rFonts w:ascii="Times New Roman" w:hAnsi="Times New Roman"/>
          <w:lang w:val="pt-BR"/>
        </w:rPr>
        <w:t>Abs</w:t>
      </w:r>
      <w:r w:rsidRPr="003B667B">
        <w:rPr>
          <w:rFonts w:ascii="Times New Roman" w:hAnsi="Times New Roman"/>
          <w:vertAlign w:val="subscript"/>
          <w:lang w:val="pt-BR"/>
        </w:rPr>
        <w:t>t</w:t>
      </w:r>
      <w:r w:rsidRPr="003B667B">
        <w:rPr>
          <w:rFonts w:ascii="Times New Roman" w:hAnsi="Times New Roman"/>
          <w:lang w:val="pt-BR"/>
        </w:rPr>
        <w:t>)/</w:t>
      </w:r>
      <w:proofErr w:type="gramEnd"/>
      <w:r w:rsidRPr="003B667B">
        <w:rPr>
          <w:rFonts w:ascii="Times New Roman" w:hAnsi="Times New Roman"/>
          <w:lang w:val="pt-BR"/>
        </w:rPr>
        <w:t>Abs</w:t>
      </w:r>
      <w:r w:rsidRPr="003B667B">
        <w:rPr>
          <w:rFonts w:ascii="Times New Roman" w:hAnsi="Times New Roman"/>
          <w:vertAlign w:val="subscript"/>
          <w:lang w:val="pt-BR"/>
        </w:rPr>
        <w:t>0</w:t>
      </w:r>
      <w:r w:rsidR="00372D22" w:rsidRPr="003B667B">
        <w:rPr>
          <w:rFonts w:ascii="Times New Roman" w:hAnsi="Times New Roman"/>
          <w:lang w:val="pt-BR"/>
        </w:rPr>
        <w:t>]</w:t>
      </w:r>
      <w:r w:rsidRPr="003B667B">
        <w:rPr>
          <w:rFonts w:ascii="Times New Roman" w:hAnsi="Times New Roman"/>
          <w:lang w:val="pt-BR"/>
        </w:rPr>
        <w:t xml:space="preserve"> ×100</w:t>
      </w:r>
    </w:p>
    <w:p w14:paraId="68E07193" w14:textId="70E4587C" w:rsidR="00CF55EB" w:rsidRPr="003B667B" w:rsidRDefault="00CF55EB" w:rsidP="00826B4B">
      <w:pPr>
        <w:pStyle w:val="TAMainText"/>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BEDABA1" w14:textId="77777777" w:rsidR="00C110C0" w:rsidRDefault="00C110C0" w:rsidP="00EA4E1B">
      <w:pPr>
        <w:pStyle w:val="TAMainText"/>
        <w:ind w:firstLine="187"/>
        <w:rPr>
          <w:rFonts w:ascii="Times New Roman" w:hAnsi="Times New Roman"/>
          <w:lang w:val="pt-BR"/>
        </w:rPr>
      </w:pPr>
    </w:p>
    <w:p w14:paraId="2E83AC14" w14:textId="0C6C4372" w:rsidR="002C2FC4" w:rsidRPr="001F25B2" w:rsidRDefault="002C2FC4" w:rsidP="002C2FC4">
      <w:pPr>
        <w:pStyle w:val="TAMainText"/>
        <w:ind w:firstLine="0"/>
        <w:rPr>
          <w:rFonts w:ascii="Times New Roman" w:hAnsi="Times New Roman"/>
          <w:i/>
          <w:lang w:val="pt-BR"/>
        </w:rPr>
      </w:pPr>
      <w:r>
        <w:rPr>
          <w:rFonts w:ascii="Times New Roman" w:hAnsi="Times New Roman"/>
          <w:i/>
          <w:lang w:val="pt-BR"/>
        </w:rPr>
        <w:t>Caracterização</w:t>
      </w:r>
      <w:r w:rsidR="003B667B">
        <w:rPr>
          <w:rFonts w:ascii="Times New Roman" w:hAnsi="Times New Roman"/>
          <w:i/>
          <w:lang w:val="pt-BR"/>
        </w:rPr>
        <w:t xml:space="preserve"> dos óxidos</w:t>
      </w:r>
    </w:p>
    <w:p w14:paraId="14B6F11A" w14:textId="79F8E3BA" w:rsidR="00EA4E1B" w:rsidRDefault="002C2FC4" w:rsidP="00EA4E1B">
      <w:pPr>
        <w:pStyle w:val="TAMainText"/>
        <w:ind w:firstLine="187"/>
        <w:rPr>
          <w:lang w:val="pt-BR"/>
        </w:rPr>
      </w:pPr>
      <w:r>
        <w:rPr>
          <w:lang w:val="pt-BR"/>
        </w:rPr>
        <w:t>Os óxidos</w:t>
      </w:r>
      <w:r w:rsidRPr="002C2FC4">
        <w:rPr>
          <w:lang w:val="pt-BR"/>
        </w:rPr>
        <w:t xml:space="preserve"> foram sintetizad</w:t>
      </w:r>
      <w:r w:rsidR="00A86091">
        <w:rPr>
          <w:lang w:val="pt-BR"/>
        </w:rPr>
        <w:t>o</w:t>
      </w:r>
      <w:r w:rsidRPr="002C2FC4">
        <w:rPr>
          <w:lang w:val="pt-BR"/>
        </w:rPr>
        <w:t>s com êxito</w:t>
      </w:r>
      <w:r w:rsidR="00A86091">
        <w:rPr>
          <w:lang w:val="pt-BR"/>
        </w:rPr>
        <w:t xml:space="preserve">, todos com rendimento acima de 80%, </w:t>
      </w:r>
      <w:r w:rsidR="00826B4B">
        <w:rPr>
          <w:lang w:val="pt-BR"/>
        </w:rPr>
        <w:t xml:space="preserve">coloração amarelada e </w:t>
      </w:r>
      <w:r w:rsidR="00A86091">
        <w:rPr>
          <w:lang w:val="pt-BR"/>
        </w:rPr>
        <w:t>apresentando uma aparência de pó fino e floculado pela rota 1 e 2, respectivamente</w:t>
      </w:r>
      <w:r w:rsidR="00826B4B">
        <w:rPr>
          <w:lang w:val="pt-BR"/>
        </w:rPr>
        <w:t>.</w:t>
      </w:r>
    </w:p>
    <w:p w14:paraId="4A94F5F3" w14:textId="065CE738" w:rsidR="00A86091" w:rsidRDefault="00A86091" w:rsidP="00F874FD">
      <w:pPr>
        <w:pStyle w:val="TAMainText"/>
        <w:ind w:firstLine="187"/>
        <w:rPr>
          <w:lang w:val="pt-BR"/>
        </w:rPr>
      </w:pPr>
      <w:r>
        <w:rPr>
          <w:lang w:val="pt-BR"/>
        </w:rPr>
        <w:t>Os espectros de FTIR</w:t>
      </w:r>
      <w:r w:rsidR="00826B4B">
        <w:rPr>
          <w:lang w:val="pt-BR"/>
        </w:rPr>
        <w:t xml:space="preserve"> (Figura 1)</w:t>
      </w:r>
      <w:r>
        <w:rPr>
          <w:lang w:val="pt-BR"/>
        </w:rPr>
        <w:t xml:space="preserve"> </w:t>
      </w:r>
      <w:r w:rsidR="00F874FD">
        <w:rPr>
          <w:lang w:val="pt-BR"/>
        </w:rPr>
        <w:t xml:space="preserve">apresentaram uma </w:t>
      </w:r>
      <w:r w:rsidR="00F874FD" w:rsidRPr="00F874FD">
        <w:rPr>
          <w:lang w:val="pt-BR"/>
        </w:rPr>
        <w:t xml:space="preserve">banda </w:t>
      </w:r>
      <w:r w:rsidR="00F874FD">
        <w:rPr>
          <w:lang w:val="pt-BR"/>
        </w:rPr>
        <w:t xml:space="preserve">entre </w:t>
      </w:r>
      <w:r w:rsidR="00F874FD" w:rsidRPr="00F874FD">
        <w:rPr>
          <w:lang w:val="pt-BR"/>
        </w:rPr>
        <w:t>3400</w:t>
      </w:r>
      <w:r w:rsidR="00F874FD">
        <w:rPr>
          <w:lang w:val="pt-BR"/>
        </w:rPr>
        <w:t xml:space="preserve"> e 3200</w:t>
      </w:r>
      <w:r w:rsidR="00F874FD" w:rsidRPr="00F874FD">
        <w:rPr>
          <w:lang w:val="pt-BR"/>
        </w:rPr>
        <w:t xml:space="preserve"> cm</w:t>
      </w:r>
      <w:r w:rsidR="00F874FD" w:rsidRPr="00F874FD">
        <w:rPr>
          <w:vertAlign w:val="superscript"/>
          <w:lang w:val="pt-BR"/>
        </w:rPr>
        <w:t>-1</w:t>
      </w:r>
      <w:r w:rsidR="00F874FD" w:rsidRPr="00F874FD">
        <w:rPr>
          <w:lang w:val="pt-BR"/>
        </w:rPr>
        <w:t xml:space="preserve"> e 1630 cm</w:t>
      </w:r>
      <w:r w:rsidR="00F874FD" w:rsidRPr="00F874FD">
        <w:rPr>
          <w:vertAlign w:val="superscript"/>
          <w:lang w:val="pt-BR"/>
        </w:rPr>
        <w:t>-1</w:t>
      </w:r>
      <w:r w:rsidR="00F874FD" w:rsidRPr="00F874FD">
        <w:rPr>
          <w:lang w:val="pt-BR"/>
        </w:rPr>
        <w:t xml:space="preserve"> atribuídos às vibrações de alongamento e flexão, respectivamente, do grupo hidroxila das moléculas de água</w:t>
      </w:r>
      <w:r w:rsidR="00826B4B">
        <w:rPr>
          <w:lang w:val="pt-BR"/>
        </w:rPr>
        <w:t xml:space="preserve">. </w:t>
      </w:r>
      <w:r w:rsidR="00F874FD" w:rsidRPr="00F874FD">
        <w:rPr>
          <w:lang w:val="pt-BR"/>
        </w:rPr>
        <w:t xml:space="preserve">Bandas largas também são observadas </w:t>
      </w:r>
      <w:r w:rsidR="00F874FD">
        <w:rPr>
          <w:lang w:val="pt-BR"/>
        </w:rPr>
        <w:t>entre 660 e 500</w:t>
      </w:r>
      <w:r w:rsidR="00F874FD" w:rsidRPr="00F874FD">
        <w:rPr>
          <w:lang w:val="pt-BR"/>
        </w:rPr>
        <w:t xml:space="preserve"> cm</w:t>
      </w:r>
      <w:r w:rsidR="00F874FD" w:rsidRPr="00F874FD">
        <w:rPr>
          <w:vertAlign w:val="superscript"/>
          <w:lang w:val="pt-BR"/>
        </w:rPr>
        <w:t>-1</w:t>
      </w:r>
      <w:r w:rsidR="00F874FD" w:rsidRPr="00F874FD">
        <w:rPr>
          <w:lang w:val="pt-BR"/>
        </w:rPr>
        <w:t xml:space="preserve"> </w:t>
      </w:r>
      <w:r w:rsidR="00F874FD">
        <w:rPr>
          <w:lang w:val="pt-BR"/>
        </w:rPr>
        <w:t>que podem ser</w:t>
      </w:r>
      <w:r w:rsidR="00F874FD" w:rsidRPr="00F874FD">
        <w:rPr>
          <w:lang w:val="pt-BR"/>
        </w:rPr>
        <w:t xml:space="preserve"> referente</w:t>
      </w:r>
      <w:r w:rsidR="00F874FD">
        <w:rPr>
          <w:lang w:val="pt-BR"/>
        </w:rPr>
        <w:t>s</w:t>
      </w:r>
      <w:r w:rsidR="00F874FD" w:rsidRPr="00F874FD">
        <w:rPr>
          <w:lang w:val="pt-BR"/>
        </w:rPr>
        <w:t xml:space="preserve"> à</w:t>
      </w:r>
      <w:r w:rsidR="00826B4B">
        <w:rPr>
          <w:lang w:val="pt-BR"/>
        </w:rPr>
        <w:t>s</w:t>
      </w:r>
      <w:r w:rsidR="00F874FD" w:rsidRPr="00F874FD">
        <w:rPr>
          <w:lang w:val="pt-BR"/>
        </w:rPr>
        <w:t xml:space="preserve"> vibrações de estiramento Sn-OH, Sn-O-Sn</w:t>
      </w:r>
      <w:r w:rsidR="00F874FD">
        <w:rPr>
          <w:lang w:val="pt-BR"/>
        </w:rPr>
        <w:t xml:space="preserve"> e </w:t>
      </w:r>
      <w:r w:rsidR="00F874FD" w:rsidRPr="00F874FD">
        <w:rPr>
          <w:lang w:val="pt-BR"/>
        </w:rPr>
        <w:t>Ti-O-Ti</w:t>
      </w:r>
      <w:r w:rsidR="00044EFB">
        <w:rPr>
          <w:lang w:val="pt-BR"/>
        </w:rPr>
        <w:t xml:space="preserve"> (19)</w:t>
      </w:r>
      <w:r w:rsidR="001214CA">
        <w:rPr>
          <w:lang w:val="pt-BR"/>
        </w:rPr>
        <w:t>.</w:t>
      </w:r>
    </w:p>
    <w:p w14:paraId="307595D3" w14:textId="77777777" w:rsidR="00E038AF" w:rsidRDefault="00E038AF" w:rsidP="00EA4E1B">
      <w:pPr>
        <w:pStyle w:val="TAMainText"/>
        <w:ind w:firstLine="187"/>
        <w:rPr>
          <w:lang w:val="pt-BR"/>
        </w:rPr>
      </w:pPr>
    </w:p>
    <w:p w14:paraId="540CA07D" w14:textId="4C7C91BC" w:rsidR="00DB769C" w:rsidRDefault="00400189" w:rsidP="00DB769C">
      <w:pPr>
        <w:jc w:val="center"/>
        <w:rPr>
          <w:rFonts w:ascii="Times New Roman" w:hAnsi="Times New Roman"/>
          <w:b/>
          <w:sz w:val="18"/>
          <w:szCs w:val="18"/>
        </w:rPr>
      </w:pPr>
      <w:r>
        <w:object w:dxaOrig="24765" w:dyaOrig="18082" w14:anchorId="0A016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4pt;height:178.8pt" o:ole="">
            <v:imagedata r:id="rId9" o:title="" cropbottom="13424f" cropright="14052f"/>
          </v:shape>
          <o:OLEObject Type="Embed" ProgID="Origin50.Graph" ShapeID="_x0000_i1025" DrawAspect="Content" ObjectID="_1749206576" r:id="rId10"/>
        </w:object>
      </w:r>
    </w:p>
    <w:p w14:paraId="540E7515" w14:textId="6FD15E80" w:rsidR="00EA4E1B" w:rsidRDefault="00EA4E1B" w:rsidP="00826B4B">
      <w:pPr>
        <w:jc w:val="both"/>
        <w:rPr>
          <w:rFonts w:ascii="Times New Roman" w:hAnsi="Times New Roman"/>
        </w:rPr>
      </w:pPr>
      <w:r w:rsidRPr="0065559C">
        <w:rPr>
          <w:rFonts w:ascii="Times New Roman" w:hAnsi="Times New Roman"/>
          <w:b/>
          <w:sz w:val="18"/>
          <w:szCs w:val="18"/>
        </w:rPr>
        <w:t>Figura 1.</w:t>
      </w:r>
      <w:r w:rsidRPr="0065559C">
        <w:rPr>
          <w:rFonts w:ascii="Times New Roman" w:hAnsi="Times New Roman"/>
          <w:sz w:val="18"/>
          <w:szCs w:val="18"/>
        </w:rPr>
        <w:t xml:space="preserve"> </w:t>
      </w:r>
      <w:r w:rsidR="003A7355" w:rsidRPr="0065559C">
        <w:rPr>
          <w:rFonts w:ascii="Times New Roman" w:hAnsi="Times New Roman"/>
          <w:sz w:val="18"/>
          <w:szCs w:val="18"/>
        </w:rPr>
        <w:t>Espectros de FTIR dos óxidos sintetizados.</w:t>
      </w:r>
    </w:p>
    <w:p w14:paraId="59577023" w14:textId="6B0CB575" w:rsidR="003A7355" w:rsidRDefault="00DB769C" w:rsidP="00826B4B">
      <w:pPr>
        <w:spacing w:after="0" w:line="240" w:lineRule="exact"/>
        <w:ind w:firstLine="187"/>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Os difratogramas de Raios X</w:t>
      </w:r>
      <w:r w:rsidR="00950D1B">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apresentados na Figura 2</w:t>
      </w:r>
      <w:r w:rsidR="00950D1B">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indicam </w:t>
      </w:r>
      <w:r w:rsidR="00950D1B">
        <w:rPr>
          <w:rFonts w:ascii="Times New Roman" w:eastAsia="Times New Roman" w:hAnsi="Times New Roman" w:cs="Times New Roman"/>
          <w:sz w:val="20"/>
          <w:szCs w:val="20"/>
          <w:lang w:eastAsia="pt-BR"/>
        </w:rPr>
        <w:t xml:space="preserve">que </w:t>
      </w:r>
      <w:r w:rsidR="00826B4B" w:rsidRPr="00826B4B">
        <w:rPr>
          <w:rFonts w:ascii="Times New Roman" w:eastAsia="Times New Roman" w:hAnsi="Times New Roman" w:cs="Times New Roman"/>
          <w:sz w:val="20"/>
          <w:szCs w:val="20"/>
          <w:lang w:eastAsia="pt-BR"/>
        </w:rPr>
        <w:t xml:space="preserve">a calcinação à 500 °C </w:t>
      </w:r>
      <w:r w:rsidR="00950D1B">
        <w:rPr>
          <w:rFonts w:ascii="Times New Roman" w:eastAsia="Times New Roman" w:hAnsi="Times New Roman" w:cs="Times New Roman"/>
          <w:sz w:val="20"/>
          <w:szCs w:val="20"/>
          <w:lang w:eastAsia="pt-BR"/>
        </w:rPr>
        <w:t xml:space="preserve">causou a </w:t>
      </w:r>
      <w:r w:rsidR="00826B4B" w:rsidRPr="00826B4B">
        <w:rPr>
          <w:rFonts w:ascii="Times New Roman" w:eastAsia="Times New Roman" w:hAnsi="Times New Roman" w:cs="Times New Roman"/>
          <w:sz w:val="20"/>
          <w:szCs w:val="20"/>
          <w:lang w:eastAsia="pt-BR"/>
        </w:rPr>
        <w:t>cristaliz</w:t>
      </w:r>
      <w:r w:rsidR="00950D1B">
        <w:rPr>
          <w:rFonts w:ascii="Times New Roman" w:eastAsia="Times New Roman" w:hAnsi="Times New Roman" w:cs="Times New Roman"/>
          <w:sz w:val="20"/>
          <w:szCs w:val="20"/>
          <w:lang w:eastAsia="pt-BR"/>
        </w:rPr>
        <w:t>ação do gel precursor de todas as amostras. É possível identificar as fa</w:t>
      </w:r>
      <w:r w:rsidR="00826B4B" w:rsidRPr="00826B4B">
        <w:rPr>
          <w:rFonts w:ascii="Times New Roman" w:eastAsia="Times New Roman" w:hAnsi="Times New Roman" w:cs="Times New Roman"/>
          <w:sz w:val="20"/>
          <w:szCs w:val="20"/>
          <w:lang w:eastAsia="pt-BR"/>
        </w:rPr>
        <w:t>ses cristalinas anatase e rutilo</w:t>
      </w:r>
      <w:r w:rsidR="00950D1B">
        <w:rPr>
          <w:rFonts w:ascii="Times New Roman" w:eastAsia="Times New Roman" w:hAnsi="Times New Roman" w:cs="Times New Roman"/>
          <w:sz w:val="20"/>
          <w:szCs w:val="20"/>
          <w:lang w:eastAsia="pt-BR"/>
        </w:rPr>
        <w:t xml:space="preserve"> típicas da titânia</w:t>
      </w:r>
      <w:r w:rsidR="00826B4B" w:rsidRPr="00826B4B">
        <w:rPr>
          <w:rFonts w:ascii="Times New Roman" w:eastAsia="Times New Roman" w:hAnsi="Times New Roman" w:cs="Times New Roman"/>
          <w:sz w:val="20"/>
          <w:szCs w:val="20"/>
          <w:lang w:eastAsia="pt-BR"/>
        </w:rPr>
        <w:t>, conforme indicado no difratograma</w:t>
      </w:r>
      <w:r w:rsidR="00826B4B">
        <w:rPr>
          <w:rFonts w:ascii="Times New Roman" w:eastAsia="Times New Roman" w:hAnsi="Times New Roman" w:cs="Times New Roman"/>
          <w:sz w:val="20"/>
          <w:szCs w:val="20"/>
          <w:lang w:eastAsia="pt-BR"/>
        </w:rPr>
        <w:t xml:space="preserve"> (Figura 2)</w:t>
      </w:r>
      <w:r w:rsidR="0046318F">
        <w:rPr>
          <w:rFonts w:ascii="Times New Roman" w:eastAsia="Times New Roman" w:hAnsi="Times New Roman" w:cs="Times New Roman"/>
          <w:sz w:val="20"/>
          <w:szCs w:val="20"/>
          <w:lang w:eastAsia="pt-BR"/>
        </w:rPr>
        <w:t>.</w:t>
      </w:r>
    </w:p>
    <w:p w14:paraId="0B94E7EA" w14:textId="7B74CBE2" w:rsidR="00826B4B" w:rsidRDefault="004B30FF" w:rsidP="00826B4B">
      <w:pPr>
        <w:spacing w:after="0" w:line="240" w:lineRule="exact"/>
        <w:ind w:firstLine="187"/>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Apesar</w:t>
      </w:r>
      <w:r w:rsidR="00826B4B" w:rsidRPr="00826B4B">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d</w:t>
      </w:r>
      <w:r w:rsidR="00826B4B" w:rsidRPr="00826B4B">
        <w:rPr>
          <w:rFonts w:ascii="Times New Roman" w:eastAsia="Times New Roman" w:hAnsi="Times New Roman" w:cs="Times New Roman"/>
          <w:sz w:val="20"/>
          <w:szCs w:val="20"/>
          <w:lang w:eastAsia="pt-BR"/>
        </w:rPr>
        <w:t>o</w:t>
      </w:r>
      <w:r w:rsidR="0046318F">
        <w:rPr>
          <w:rFonts w:ascii="Times New Roman" w:eastAsia="Times New Roman" w:hAnsi="Times New Roman" w:cs="Times New Roman"/>
          <w:sz w:val="20"/>
          <w:szCs w:val="20"/>
          <w:lang w:eastAsia="pt-BR"/>
        </w:rPr>
        <w:t>s</w:t>
      </w:r>
      <w:r w:rsidR="00826B4B" w:rsidRPr="00826B4B">
        <w:rPr>
          <w:rFonts w:ascii="Times New Roman" w:eastAsia="Times New Roman" w:hAnsi="Times New Roman" w:cs="Times New Roman"/>
          <w:sz w:val="20"/>
          <w:szCs w:val="20"/>
          <w:lang w:eastAsia="pt-BR"/>
        </w:rPr>
        <w:t xml:space="preserve"> perfi</w:t>
      </w:r>
      <w:r w:rsidR="0046318F">
        <w:rPr>
          <w:rFonts w:ascii="Times New Roman" w:eastAsia="Times New Roman" w:hAnsi="Times New Roman" w:cs="Times New Roman"/>
          <w:sz w:val="20"/>
          <w:szCs w:val="20"/>
          <w:lang w:eastAsia="pt-BR"/>
        </w:rPr>
        <w:t>s de DRX de todos os catalisadores serem</w:t>
      </w:r>
      <w:r>
        <w:rPr>
          <w:rFonts w:ascii="Times New Roman" w:eastAsia="Times New Roman" w:hAnsi="Times New Roman" w:cs="Times New Roman"/>
          <w:sz w:val="20"/>
          <w:szCs w:val="20"/>
          <w:lang w:eastAsia="pt-BR"/>
        </w:rPr>
        <w:t xml:space="preserve"> </w:t>
      </w:r>
      <w:r w:rsidR="00826B4B" w:rsidRPr="00826B4B">
        <w:rPr>
          <w:rFonts w:ascii="Times New Roman" w:eastAsia="Times New Roman" w:hAnsi="Times New Roman" w:cs="Times New Roman"/>
          <w:sz w:val="20"/>
          <w:szCs w:val="20"/>
          <w:lang w:eastAsia="pt-BR"/>
        </w:rPr>
        <w:t>semelhante</w:t>
      </w:r>
      <w:r w:rsidR="0046318F">
        <w:rPr>
          <w:rFonts w:ascii="Times New Roman" w:eastAsia="Times New Roman" w:hAnsi="Times New Roman" w:cs="Times New Roman"/>
          <w:sz w:val="20"/>
          <w:szCs w:val="20"/>
          <w:lang w:eastAsia="pt-BR"/>
        </w:rPr>
        <w:t>s</w:t>
      </w:r>
      <w:r w:rsidR="00826B4B" w:rsidRPr="00826B4B">
        <w:rPr>
          <w:rFonts w:ascii="Times New Roman" w:eastAsia="Times New Roman" w:hAnsi="Times New Roman" w:cs="Times New Roman"/>
          <w:sz w:val="20"/>
          <w:szCs w:val="20"/>
          <w:lang w:eastAsia="pt-BR"/>
        </w:rPr>
        <w:t>, a modificação na rota promoveu mudanças estruturais que causaram influência na estrutura cristalina e no tamanho dos seus cristalitos</w:t>
      </w:r>
      <w:r>
        <w:rPr>
          <w:rFonts w:ascii="Times New Roman" w:eastAsia="Times New Roman" w:hAnsi="Times New Roman" w:cs="Times New Roman"/>
          <w:sz w:val="20"/>
          <w:szCs w:val="20"/>
          <w:lang w:eastAsia="pt-BR"/>
        </w:rPr>
        <w:t xml:space="preserve"> (Tabela 1). Óxidos sintetizados na ausência de </w:t>
      </w:r>
      <w:proofErr w:type="spellStart"/>
      <w:r>
        <w:rPr>
          <w:rFonts w:ascii="Times New Roman" w:eastAsia="Times New Roman" w:hAnsi="Times New Roman" w:cs="Times New Roman"/>
          <w:sz w:val="20"/>
          <w:szCs w:val="20"/>
          <w:lang w:eastAsia="pt-BR"/>
        </w:rPr>
        <w:t>HCl</w:t>
      </w:r>
      <w:proofErr w:type="spellEnd"/>
      <w:r>
        <w:rPr>
          <w:rFonts w:ascii="Times New Roman" w:eastAsia="Times New Roman" w:hAnsi="Times New Roman" w:cs="Times New Roman"/>
          <w:sz w:val="20"/>
          <w:szCs w:val="20"/>
          <w:lang w:eastAsia="pt-BR"/>
        </w:rPr>
        <w:t xml:space="preserve"> na etapa de hidrólise (Rota 1) apresentaram cristalitos maiores.</w:t>
      </w:r>
    </w:p>
    <w:p w14:paraId="33CB7BCF" w14:textId="3D2F5A9C" w:rsidR="00B04B08" w:rsidRDefault="00B04B08" w:rsidP="00826B4B">
      <w:pPr>
        <w:spacing w:after="0" w:line="240" w:lineRule="exact"/>
        <w:ind w:firstLine="187"/>
        <w:jc w:val="both"/>
        <w:rPr>
          <w:rFonts w:ascii="Times New Roman" w:eastAsia="Times New Roman" w:hAnsi="Times New Roman" w:cs="Times New Roman"/>
          <w:sz w:val="20"/>
          <w:szCs w:val="20"/>
          <w:lang w:eastAsia="pt-BR"/>
        </w:rPr>
      </w:pPr>
      <w:r w:rsidRPr="00B04B08">
        <w:rPr>
          <w:rFonts w:ascii="Times New Roman" w:eastAsia="Times New Roman" w:hAnsi="Times New Roman" w:cs="Times New Roman"/>
          <w:sz w:val="20"/>
          <w:szCs w:val="20"/>
          <w:lang w:eastAsia="pt-BR"/>
        </w:rPr>
        <w:t>A adição de Sn</w:t>
      </w:r>
      <w:r w:rsidRPr="00B04B08">
        <w:rPr>
          <w:rFonts w:ascii="Times New Roman" w:eastAsia="Times New Roman" w:hAnsi="Times New Roman" w:cs="Times New Roman"/>
          <w:sz w:val="20"/>
          <w:szCs w:val="20"/>
          <w:vertAlign w:val="superscript"/>
          <w:lang w:eastAsia="pt-BR"/>
        </w:rPr>
        <w:t>4+</w:t>
      </w:r>
      <w:r>
        <w:rPr>
          <w:rFonts w:ascii="Times New Roman" w:eastAsia="Times New Roman" w:hAnsi="Times New Roman" w:cs="Times New Roman"/>
          <w:sz w:val="20"/>
          <w:szCs w:val="20"/>
          <w:lang w:eastAsia="pt-BR"/>
        </w:rPr>
        <w:t xml:space="preserve"> também influencia a estrutura cristalina dos óxidos. </w:t>
      </w:r>
      <w:r w:rsidRPr="00DC6DB6">
        <w:rPr>
          <w:rFonts w:ascii="Times New Roman" w:eastAsia="Times New Roman" w:hAnsi="Times New Roman" w:cs="Times New Roman"/>
          <w:sz w:val="20"/>
          <w:szCs w:val="20"/>
          <w:lang w:eastAsia="pt-BR"/>
        </w:rPr>
        <w:t>Wang e colaboradores</w:t>
      </w:r>
      <w:r w:rsidRPr="00B04B08">
        <w:rPr>
          <w:rFonts w:ascii="Times New Roman" w:eastAsia="Times New Roman" w:hAnsi="Times New Roman" w:cs="Times New Roman"/>
          <w:sz w:val="20"/>
          <w:szCs w:val="20"/>
          <w:lang w:eastAsia="pt-BR"/>
        </w:rPr>
        <w:t xml:space="preserve"> (2022)</w:t>
      </w:r>
      <w:r>
        <w:rPr>
          <w:rFonts w:ascii="Times New Roman" w:eastAsia="Times New Roman" w:hAnsi="Times New Roman" w:cs="Times New Roman"/>
          <w:sz w:val="20"/>
          <w:szCs w:val="20"/>
          <w:lang w:eastAsia="pt-BR"/>
        </w:rPr>
        <w:t xml:space="preserve"> produziram fotocatalisador de </w:t>
      </w:r>
      <w:r w:rsidRPr="00B04B08">
        <w:rPr>
          <w:rFonts w:ascii="Times New Roman" w:eastAsia="Times New Roman" w:hAnsi="Times New Roman" w:cs="Times New Roman"/>
          <w:sz w:val="20"/>
          <w:szCs w:val="20"/>
          <w:lang w:eastAsia="pt-BR"/>
        </w:rPr>
        <w:t>TiO</w:t>
      </w:r>
      <w:r w:rsidRPr="00B04B08">
        <w:rPr>
          <w:rFonts w:ascii="Times New Roman" w:eastAsia="Times New Roman" w:hAnsi="Times New Roman" w:cs="Times New Roman"/>
          <w:sz w:val="20"/>
          <w:szCs w:val="20"/>
          <w:vertAlign w:val="subscript"/>
          <w:lang w:eastAsia="pt-BR"/>
        </w:rPr>
        <w:t>2</w:t>
      </w:r>
      <w:r w:rsidRPr="00B04B08">
        <w:rPr>
          <w:rFonts w:ascii="Times New Roman" w:eastAsia="Times New Roman" w:hAnsi="Times New Roman" w:cs="Times New Roman"/>
          <w:sz w:val="20"/>
          <w:szCs w:val="20"/>
          <w:lang w:eastAsia="pt-BR"/>
        </w:rPr>
        <w:t xml:space="preserve"> dopado com estanho</w:t>
      </w:r>
      <w:r w:rsidRPr="00B04B08">
        <w:t xml:space="preserve"> </w:t>
      </w:r>
      <w:r>
        <w:t xml:space="preserve">e </w:t>
      </w:r>
      <w:r w:rsidRPr="00B04B08">
        <w:rPr>
          <w:rFonts w:ascii="Times New Roman" w:eastAsia="Times New Roman" w:hAnsi="Times New Roman" w:cs="Times New Roman"/>
          <w:sz w:val="20"/>
          <w:szCs w:val="20"/>
          <w:lang w:eastAsia="pt-BR"/>
        </w:rPr>
        <w:t>deduziram que a dopagem com Sn</w:t>
      </w:r>
      <w:r w:rsidRPr="00B04B08">
        <w:rPr>
          <w:rFonts w:ascii="Times New Roman" w:eastAsia="Times New Roman" w:hAnsi="Times New Roman" w:cs="Times New Roman"/>
          <w:sz w:val="20"/>
          <w:szCs w:val="20"/>
          <w:vertAlign w:val="superscript"/>
          <w:lang w:eastAsia="pt-BR"/>
        </w:rPr>
        <w:t>4+</w:t>
      </w:r>
      <w:r w:rsidRPr="00B04B08">
        <w:rPr>
          <w:rFonts w:ascii="Times New Roman" w:eastAsia="Times New Roman" w:hAnsi="Times New Roman" w:cs="Times New Roman"/>
          <w:sz w:val="20"/>
          <w:szCs w:val="20"/>
          <w:lang w:eastAsia="pt-BR"/>
        </w:rPr>
        <w:t xml:space="preserve"> favorece a transformação do cristal de anatase em rutilo e diminui o tamanho das partículas</w:t>
      </w:r>
      <w:r w:rsidR="00DD1CC8">
        <w:rPr>
          <w:rFonts w:ascii="Times New Roman" w:eastAsia="Times New Roman" w:hAnsi="Times New Roman" w:cs="Times New Roman"/>
          <w:sz w:val="20"/>
          <w:szCs w:val="20"/>
          <w:lang w:eastAsia="pt-BR"/>
        </w:rPr>
        <w:t xml:space="preserve"> (20)</w:t>
      </w:r>
      <w:r w:rsidR="00DC6DB6">
        <w:rPr>
          <w:rFonts w:ascii="Times New Roman" w:eastAsia="Times New Roman" w:hAnsi="Times New Roman" w:cs="Times New Roman"/>
          <w:sz w:val="20"/>
          <w:szCs w:val="20"/>
          <w:lang w:eastAsia="pt-BR"/>
        </w:rPr>
        <w:t>.</w:t>
      </w:r>
    </w:p>
    <w:p w14:paraId="2BAB434E" w14:textId="673D1FA3" w:rsidR="00942609" w:rsidRPr="00826B4B" w:rsidRDefault="00942609" w:rsidP="00826B4B">
      <w:pPr>
        <w:spacing w:after="0" w:line="240" w:lineRule="exact"/>
        <w:ind w:firstLine="187"/>
        <w:jc w:val="both"/>
        <w:rPr>
          <w:rFonts w:ascii="Times New Roman" w:eastAsia="Times New Roman" w:hAnsi="Times New Roman" w:cs="Times New Roman"/>
          <w:sz w:val="20"/>
          <w:szCs w:val="20"/>
          <w:lang w:eastAsia="pt-BR"/>
        </w:rPr>
      </w:pPr>
      <w:r w:rsidRPr="00942609">
        <w:rPr>
          <w:rFonts w:ascii="Times New Roman" w:eastAsia="Times New Roman" w:hAnsi="Times New Roman" w:cs="Times New Roman"/>
          <w:sz w:val="20"/>
          <w:szCs w:val="20"/>
          <w:lang w:eastAsia="pt-BR"/>
        </w:rPr>
        <w:t>O SnO</w:t>
      </w:r>
      <w:r w:rsidRPr="00942609">
        <w:rPr>
          <w:rFonts w:ascii="Times New Roman" w:eastAsia="Times New Roman" w:hAnsi="Times New Roman" w:cs="Times New Roman"/>
          <w:sz w:val="20"/>
          <w:szCs w:val="20"/>
          <w:vertAlign w:val="subscript"/>
          <w:lang w:eastAsia="pt-BR"/>
        </w:rPr>
        <w:t>2</w:t>
      </w:r>
      <w:r w:rsidRPr="00942609">
        <w:rPr>
          <w:rFonts w:ascii="Times New Roman" w:eastAsia="Times New Roman" w:hAnsi="Times New Roman" w:cs="Times New Roman"/>
          <w:sz w:val="20"/>
          <w:szCs w:val="20"/>
          <w:lang w:eastAsia="pt-BR"/>
        </w:rPr>
        <w:t>, com a mesma estrutura de rutilo e parâmetros de rede semelhantes ao rutilo TiO</w:t>
      </w:r>
      <w:r w:rsidRPr="00942609">
        <w:rPr>
          <w:rFonts w:ascii="Times New Roman" w:eastAsia="Times New Roman" w:hAnsi="Times New Roman" w:cs="Times New Roman"/>
          <w:sz w:val="20"/>
          <w:szCs w:val="20"/>
          <w:vertAlign w:val="subscript"/>
          <w:lang w:eastAsia="pt-BR"/>
        </w:rPr>
        <w:t>2</w:t>
      </w:r>
      <w:r w:rsidRPr="00942609">
        <w:rPr>
          <w:rFonts w:ascii="Times New Roman" w:eastAsia="Times New Roman" w:hAnsi="Times New Roman" w:cs="Times New Roman"/>
          <w:sz w:val="20"/>
          <w:szCs w:val="20"/>
          <w:lang w:eastAsia="pt-BR"/>
        </w:rPr>
        <w:t>, tem tempo de nucleação menor que o TiO</w:t>
      </w:r>
      <w:r w:rsidRPr="00942609">
        <w:rPr>
          <w:rFonts w:ascii="Times New Roman" w:eastAsia="Times New Roman" w:hAnsi="Times New Roman" w:cs="Times New Roman"/>
          <w:sz w:val="20"/>
          <w:szCs w:val="20"/>
          <w:vertAlign w:val="subscript"/>
          <w:lang w:eastAsia="pt-BR"/>
        </w:rPr>
        <w:t>2</w:t>
      </w:r>
      <w:r w:rsidRPr="00942609">
        <w:rPr>
          <w:rFonts w:ascii="Times New Roman" w:eastAsia="Times New Roman" w:hAnsi="Times New Roman" w:cs="Times New Roman"/>
          <w:sz w:val="20"/>
          <w:szCs w:val="20"/>
          <w:lang w:eastAsia="pt-BR"/>
        </w:rPr>
        <w:t>, atua como agente de nucleação e promove a formação de nanopartículas de rutilo TiO</w:t>
      </w:r>
      <w:r w:rsidRPr="00942609">
        <w:rPr>
          <w:rFonts w:ascii="Times New Roman" w:eastAsia="Times New Roman" w:hAnsi="Times New Roman" w:cs="Times New Roman"/>
          <w:sz w:val="20"/>
          <w:szCs w:val="20"/>
          <w:vertAlign w:val="subscript"/>
          <w:lang w:eastAsia="pt-BR"/>
        </w:rPr>
        <w:t>2</w:t>
      </w:r>
      <w:r>
        <w:rPr>
          <w:rFonts w:ascii="Times New Roman" w:eastAsia="Times New Roman" w:hAnsi="Times New Roman" w:cs="Times New Roman"/>
          <w:sz w:val="20"/>
          <w:szCs w:val="20"/>
          <w:vertAlign w:val="subscript"/>
          <w:lang w:eastAsia="pt-BR"/>
        </w:rPr>
        <w:t xml:space="preserve">. </w:t>
      </w:r>
      <w:r>
        <w:rPr>
          <w:rFonts w:ascii="Times New Roman" w:eastAsia="Times New Roman" w:hAnsi="Times New Roman" w:cs="Times New Roman"/>
          <w:sz w:val="20"/>
          <w:szCs w:val="20"/>
          <w:lang w:eastAsia="pt-BR"/>
        </w:rPr>
        <w:t xml:space="preserve">Assim, para esses óxidos sintetizados existe a possibilidade da atuação do </w:t>
      </w:r>
      <w:r w:rsidRPr="00B04B08">
        <w:rPr>
          <w:rFonts w:ascii="Times New Roman" w:eastAsia="Times New Roman" w:hAnsi="Times New Roman" w:cs="Times New Roman"/>
          <w:sz w:val="20"/>
          <w:szCs w:val="20"/>
          <w:lang w:eastAsia="pt-BR"/>
        </w:rPr>
        <w:t>Sn</w:t>
      </w:r>
      <w:r w:rsidRPr="00B04B08">
        <w:rPr>
          <w:rFonts w:ascii="Times New Roman" w:eastAsia="Times New Roman" w:hAnsi="Times New Roman" w:cs="Times New Roman"/>
          <w:sz w:val="20"/>
          <w:szCs w:val="20"/>
          <w:vertAlign w:val="superscript"/>
          <w:lang w:eastAsia="pt-BR"/>
        </w:rPr>
        <w:t>4+</w:t>
      </w:r>
      <w:r w:rsidRPr="00942609">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como dopante ou uma heteroestrutura</w:t>
      </w:r>
      <w:r w:rsidR="00044EFB">
        <w:rPr>
          <w:rFonts w:ascii="Times New Roman" w:eastAsia="Times New Roman" w:hAnsi="Times New Roman" w:cs="Times New Roman"/>
          <w:sz w:val="20"/>
          <w:szCs w:val="20"/>
          <w:lang w:eastAsia="pt-BR"/>
        </w:rPr>
        <w:t xml:space="preserve"> </w:t>
      </w:r>
      <w:r w:rsidR="00A20C9D">
        <w:rPr>
          <w:rFonts w:ascii="Times New Roman" w:eastAsia="Times New Roman" w:hAnsi="Times New Roman" w:cs="Times New Roman"/>
          <w:sz w:val="20"/>
          <w:szCs w:val="20"/>
          <w:lang w:eastAsia="pt-BR"/>
        </w:rPr>
        <w:t>(</w:t>
      </w:r>
      <w:r w:rsidR="00044EFB">
        <w:rPr>
          <w:rFonts w:ascii="Times New Roman" w:eastAsia="Times New Roman" w:hAnsi="Times New Roman" w:cs="Times New Roman"/>
          <w:sz w:val="20"/>
          <w:szCs w:val="20"/>
          <w:lang w:eastAsia="pt-BR"/>
        </w:rPr>
        <w:t>20).</w:t>
      </w:r>
      <w:r w:rsidR="00044EFB" w:rsidRPr="00826B4B">
        <w:rPr>
          <w:rFonts w:ascii="Times New Roman" w:eastAsia="Times New Roman" w:hAnsi="Times New Roman" w:cs="Times New Roman"/>
          <w:sz w:val="20"/>
          <w:szCs w:val="20"/>
          <w:lang w:eastAsia="pt-BR"/>
        </w:rPr>
        <w:t xml:space="preserve"> </w:t>
      </w:r>
    </w:p>
    <w:p w14:paraId="7B534974" w14:textId="77777777" w:rsidR="00786549" w:rsidRDefault="00786549" w:rsidP="0065559C">
      <w:pPr>
        <w:jc w:val="center"/>
      </w:pPr>
    </w:p>
    <w:p w14:paraId="09F679C0" w14:textId="38A98158" w:rsidR="0065559C" w:rsidRDefault="0065559C" w:rsidP="0065559C">
      <w:pPr>
        <w:jc w:val="center"/>
      </w:pPr>
    </w:p>
    <w:p w14:paraId="3D442BF5" w14:textId="369E8C95" w:rsidR="00786549" w:rsidRDefault="004035C0" w:rsidP="00400189">
      <w:pPr>
        <w:jc w:val="center"/>
        <w:rPr>
          <w:lang w:eastAsia="pt-BR"/>
        </w:rPr>
      </w:pPr>
      <w:r>
        <w:object w:dxaOrig="3720" w:dyaOrig="2985" w14:anchorId="5BC66DE4">
          <v:shape id="_x0000_i1026" type="#_x0000_t75" style="width:243pt;height:198pt" o:ole="">
            <v:imagedata r:id="rId11" o:title="" croptop="6242f" cropbottom="2837f" cropleft="7774f" cropright="7443f"/>
          </v:shape>
          <o:OLEObject Type="Embed" ProgID="Origin50.Graph" ShapeID="_x0000_i1026" DrawAspect="Content" ObjectID="_1749206577" r:id="rId12"/>
        </w:object>
      </w:r>
    </w:p>
    <w:p w14:paraId="4FA97A24" w14:textId="5F4244CF" w:rsidR="0065559C" w:rsidRDefault="0065559C" w:rsidP="0065559C">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691877">
        <w:rPr>
          <w:rFonts w:ascii="Times New Roman" w:hAnsi="Times New Roman"/>
          <w:lang w:val="pt-BR"/>
        </w:rPr>
        <w:t>Difratograma</w:t>
      </w:r>
      <w:r w:rsidR="00F3025C">
        <w:rPr>
          <w:rFonts w:ascii="Times New Roman" w:hAnsi="Times New Roman"/>
          <w:lang w:val="pt-BR"/>
        </w:rPr>
        <w:t>s</w:t>
      </w:r>
      <w:r w:rsidRPr="00691877">
        <w:rPr>
          <w:rFonts w:ascii="Times New Roman" w:hAnsi="Times New Roman"/>
          <w:lang w:val="pt-BR"/>
        </w:rPr>
        <w:t xml:space="preserve"> de Raios X dos óxidos sintetizados</w:t>
      </w:r>
      <w:r>
        <w:rPr>
          <w:rFonts w:ascii="Times New Roman" w:hAnsi="Times New Roman"/>
          <w:lang w:val="pt-BR"/>
        </w:rPr>
        <w:t>.</w:t>
      </w:r>
    </w:p>
    <w:p w14:paraId="37257E2A" w14:textId="77777777" w:rsidR="00691877" w:rsidRPr="003A7355" w:rsidRDefault="00691877" w:rsidP="003A7355">
      <w:pPr>
        <w:rPr>
          <w:lang w:eastAsia="pt-BR"/>
        </w:rPr>
      </w:pPr>
    </w:p>
    <w:p w14:paraId="49AE8C02" w14:textId="05FCC0B9" w:rsidR="00EA4E1B" w:rsidRDefault="004B30FF" w:rsidP="00EA4E1B">
      <w:pPr>
        <w:pStyle w:val="TAMainText"/>
        <w:rPr>
          <w:lang w:val="pt-BR"/>
        </w:rPr>
      </w:pPr>
      <w:r w:rsidRPr="004B30FF">
        <w:rPr>
          <w:lang w:val="pt-BR"/>
        </w:rPr>
        <w:t xml:space="preserve">Também vale a pena destacar que não se observou pico relativo </w:t>
      </w:r>
      <w:r w:rsidR="009A0674">
        <w:rPr>
          <w:lang w:val="pt-BR"/>
        </w:rPr>
        <w:t>ao SnO</w:t>
      </w:r>
      <w:r w:rsidR="009A0674" w:rsidRPr="009A0674">
        <w:rPr>
          <w:vertAlign w:val="subscript"/>
          <w:lang w:val="pt-BR"/>
        </w:rPr>
        <w:t>2</w:t>
      </w:r>
      <w:r w:rsidRPr="004B30FF">
        <w:rPr>
          <w:lang w:val="pt-BR"/>
        </w:rPr>
        <w:t xml:space="preserve"> cristalin</w:t>
      </w:r>
      <w:r w:rsidR="009A0674">
        <w:rPr>
          <w:lang w:val="pt-BR"/>
        </w:rPr>
        <w:t>o</w:t>
      </w:r>
      <w:r w:rsidRPr="004B30FF">
        <w:rPr>
          <w:lang w:val="pt-BR"/>
        </w:rPr>
        <w:t xml:space="preserve"> com a fase comum </w:t>
      </w:r>
      <w:r w:rsidR="0046318F" w:rsidRPr="0046318F">
        <w:rPr>
          <w:rFonts w:ascii="Times New Roman" w:hAnsi="Times New Roman"/>
          <w:lang w:val="pt-BR"/>
        </w:rPr>
        <w:t>calcinada nesta temperatura</w:t>
      </w:r>
      <w:r w:rsidR="0046318F">
        <w:rPr>
          <w:rFonts w:ascii="Times New Roman" w:hAnsi="Times New Roman"/>
          <w:lang w:val="pt-BR"/>
        </w:rPr>
        <w:t>, a</w:t>
      </w:r>
      <w:r w:rsidR="0046318F" w:rsidRPr="004B30FF">
        <w:rPr>
          <w:lang w:val="pt-BR"/>
        </w:rPr>
        <w:t xml:space="preserve"> </w:t>
      </w:r>
      <w:r w:rsidRPr="004B30FF">
        <w:rPr>
          <w:lang w:val="pt-BR"/>
        </w:rPr>
        <w:t>cassiterita (JCPDS No. 41-1445), cujos picos de difração aparecem em 2</w:t>
      </w:r>
      <w:r w:rsidR="0046318F">
        <w:rPr>
          <w:lang w:val="pt-BR"/>
        </w:rPr>
        <w:sym w:font="Symbol" w:char="F071"/>
      </w:r>
      <w:r w:rsidRPr="004B30FF">
        <w:rPr>
          <w:lang w:val="pt-BR"/>
        </w:rPr>
        <w:t xml:space="preserve"> = 26,5, 33,8 e 51,8°.</w:t>
      </w:r>
      <w:r w:rsidR="0046318F">
        <w:rPr>
          <w:lang w:val="pt-BR"/>
        </w:rPr>
        <w:t xml:space="preserve"> </w:t>
      </w:r>
      <w:r w:rsidR="0046318F" w:rsidRPr="0046318F">
        <w:rPr>
          <w:rFonts w:ascii="Times New Roman" w:hAnsi="Times New Roman"/>
          <w:lang w:val="pt-BR"/>
        </w:rPr>
        <w:t xml:space="preserve">Este resultado indica que </w:t>
      </w:r>
      <w:r w:rsidR="00624EC0">
        <w:rPr>
          <w:rFonts w:ascii="Times New Roman" w:hAnsi="Times New Roman"/>
          <w:lang w:val="pt-BR"/>
        </w:rPr>
        <w:t>dióxido de estanho</w:t>
      </w:r>
      <w:r w:rsidR="0046318F" w:rsidRPr="0046318F">
        <w:rPr>
          <w:rFonts w:ascii="Times New Roman" w:hAnsi="Times New Roman"/>
          <w:lang w:val="pt-BR"/>
        </w:rPr>
        <w:t xml:space="preserve"> pode estar na forma amorfa, na forma de pequenas partículas indetectáveis por DRX ou incorporada à rede da titânia, caracterizando um óxido misto. </w:t>
      </w:r>
      <w:r w:rsidR="0046318F" w:rsidRPr="002E18F1">
        <w:rPr>
          <w:rFonts w:ascii="Times New Roman" w:hAnsi="Times New Roman"/>
          <w:lang w:val="pt-BR"/>
        </w:rPr>
        <w:t>Análises adicionais são necessárias para concluir esta identificação.</w:t>
      </w:r>
    </w:p>
    <w:p w14:paraId="19618E5D" w14:textId="77777777" w:rsidR="004B30FF" w:rsidRDefault="004B30FF" w:rsidP="00EA4E1B">
      <w:pPr>
        <w:pStyle w:val="TAMainText"/>
        <w:rPr>
          <w:lang w:val="pt-BR"/>
        </w:rPr>
      </w:pPr>
    </w:p>
    <w:p w14:paraId="483DF959" w14:textId="6AEBFFFB" w:rsidR="00EA4E1B" w:rsidRPr="00E038AF"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F06952" w:rsidRPr="00F06952">
        <w:rPr>
          <w:rFonts w:ascii="Times New Roman" w:hAnsi="Times New Roman"/>
          <w:lang w:val="pt-BR"/>
        </w:rPr>
        <w:t>Parâmetros estruturais derivados de padrões DRX e tamanho de cristalito para os óxidos sintetizados</w:t>
      </w:r>
      <w:r w:rsidR="00F06952">
        <w:rPr>
          <w:rFonts w:ascii="Times New Roman" w:hAnsi="Times New Roman"/>
          <w:lang w:val="pt-BR"/>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79"/>
        <w:gridCol w:w="1195"/>
        <w:gridCol w:w="545"/>
        <w:gridCol w:w="887"/>
        <w:gridCol w:w="1152"/>
      </w:tblGrid>
      <w:tr w:rsidR="00197AA3" w:rsidRPr="00942609" w14:paraId="0F12ABC1" w14:textId="46655900" w:rsidTr="00B3142A">
        <w:trPr>
          <w:trHeight w:val="826"/>
        </w:trPr>
        <w:tc>
          <w:tcPr>
            <w:tcW w:w="0" w:type="auto"/>
            <w:vAlign w:val="center"/>
          </w:tcPr>
          <w:p w14:paraId="0C93B642" w14:textId="1624D9AF" w:rsidR="00197AA3" w:rsidRPr="00B3142A" w:rsidRDefault="00197AA3" w:rsidP="007A6687">
            <w:pPr>
              <w:pStyle w:val="TCTableBody"/>
              <w:jc w:val="center"/>
              <w:rPr>
                <w:b/>
                <w:bCs/>
                <w:lang w:val="pt-BR"/>
              </w:rPr>
            </w:pPr>
            <w:r w:rsidRPr="00B3142A">
              <w:rPr>
                <w:b/>
                <w:bCs/>
                <w:lang w:val="pt-BR"/>
              </w:rPr>
              <w:t>Óxido</w:t>
            </w:r>
          </w:p>
        </w:tc>
        <w:tc>
          <w:tcPr>
            <w:tcW w:w="0" w:type="auto"/>
            <w:vAlign w:val="center"/>
          </w:tcPr>
          <w:p w14:paraId="19C3BD2C" w14:textId="78C70F24" w:rsidR="00197AA3" w:rsidRPr="00B3142A" w:rsidRDefault="00197AA3" w:rsidP="007A6687">
            <w:pPr>
              <w:pStyle w:val="TCTableBody"/>
              <w:jc w:val="center"/>
              <w:rPr>
                <w:b/>
                <w:bCs/>
                <w:lang w:val="pt-BR"/>
              </w:rPr>
            </w:pPr>
            <w:r w:rsidRPr="00B3142A">
              <w:rPr>
                <w:b/>
                <w:bCs/>
                <w:lang w:val="pt-BR"/>
              </w:rPr>
              <w:t>Fase cristalina (plano)</w:t>
            </w:r>
          </w:p>
        </w:tc>
        <w:tc>
          <w:tcPr>
            <w:tcW w:w="0" w:type="auto"/>
            <w:vAlign w:val="center"/>
          </w:tcPr>
          <w:p w14:paraId="053D077F" w14:textId="58DEB186" w:rsidR="00197AA3" w:rsidRPr="00B3142A" w:rsidRDefault="00197AA3" w:rsidP="007A6687">
            <w:pPr>
              <w:pStyle w:val="TCTableBody"/>
              <w:jc w:val="center"/>
              <w:rPr>
                <w:b/>
                <w:bCs/>
                <w:lang w:val="pt-BR"/>
              </w:rPr>
            </w:pPr>
            <w:r w:rsidRPr="00B3142A">
              <w:rPr>
                <w:b/>
                <w:bCs/>
                <w:lang w:val="pt-BR"/>
              </w:rPr>
              <w:t>2θ</w:t>
            </w:r>
          </w:p>
        </w:tc>
        <w:tc>
          <w:tcPr>
            <w:tcW w:w="0" w:type="auto"/>
            <w:vAlign w:val="center"/>
          </w:tcPr>
          <w:p w14:paraId="115543B2" w14:textId="1EA7B7F0" w:rsidR="00197AA3" w:rsidRPr="00B3142A" w:rsidRDefault="00197AA3" w:rsidP="007A6687">
            <w:pPr>
              <w:pStyle w:val="TCTableBody"/>
              <w:jc w:val="center"/>
              <w:rPr>
                <w:b/>
                <w:bCs/>
                <w:lang w:val="pt-BR"/>
              </w:rPr>
            </w:pPr>
            <w:r w:rsidRPr="00B3142A">
              <w:rPr>
                <w:b/>
                <w:bCs/>
                <w:lang w:val="pt-BR"/>
              </w:rPr>
              <w:t>FWHM (</w:t>
            </w:r>
            <w:proofErr w:type="spellStart"/>
            <w:r w:rsidRPr="00B3142A">
              <w:rPr>
                <w:b/>
                <w:bCs/>
                <w:lang w:val="pt-BR"/>
              </w:rPr>
              <w:t>rad</w:t>
            </w:r>
            <w:proofErr w:type="spellEnd"/>
            <w:r w:rsidRPr="00B3142A">
              <w:rPr>
                <w:b/>
                <w:bCs/>
                <w:lang w:val="pt-BR"/>
              </w:rPr>
              <w:t>)</w:t>
            </w:r>
          </w:p>
        </w:tc>
        <w:tc>
          <w:tcPr>
            <w:tcW w:w="1152" w:type="dxa"/>
          </w:tcPr>
          <w:p w14:paraId="3914252D" w14:textId="715419A6" w:rsidR="00197AA3" w:rsidRPr="00B3142A" w:rsidRDefault="00B3142A" w:rsidP="007A6687">
            <w:pPr>
              <w:pStyle w:val="TCTableBody"/>
              <w:jc w:val="center"/>
              <w:rPr>
                <w:b/>
                <w:bCs/>
                <w:lang w:val="pt-BR"/>
              </w:rPr>
            </w:pPr>
            <w:r w:rsidRPr="00B3142A">
              <w:rPr>
                <w:b/>
                <w:bCs/>
                <w:lang w:val="pt-BR"/>
              </w:rPr>
              <w:t>T</w:t>
            </w:r>
            <w:r w:rsidR="00197AA3" w:rsidRPr="00B3142A">
              <w:rPr>
                <w:b/>
                <w:bCs/>
                <w:lang w:val="pt-BR"/>
              </w:rPr>
              <w:t>amanho do cristalito (nm)</w:t>
            </w:r>
          </w:p>
        </w:tc>
      </w:tr>
      <w:tr w:rsidR="00B3142A" w:rsidRPr="00072C7A" w14:paraId="31EE37A1" w14:textId="54E2F076" w:rsidTr="00B3142A">
        <w:trPr>
          <w:trHeight w:val="394"/>
        </w:trPr>
        <w:tc>
          <w:tcPr>
            <w:tcW w:w="0" w:type="auto"/>
            <w:vMerge w:val="restart"/>
            <w:vAlign w:val="center"/>
          </w:tcPr>
          <w:p w14:paraId="5A53C568" w14:textId="4AD4867B" w:rsidR="00B3142A" w:rsidRDefault="00B3142A" w:rsidP="007A6687">
            <w:pPr>
              <w:pStyle w:val="TCTableBody"/>
              <w:jc w:val="center"/>
              <w:rPr>
                <w:lang w:val="pt-BR"/>
              </w:rPr>
            </w:pPr>
            <w:r w:rsidRPr="00197AA3">
              <w:rPr>
                <w:lang w:val="pt-BR"/>
              </w:rPr>
              <w:t>1% SnO</w:t>
            </w:r>
            <w:r w:rsidRPr="00B3142A">
              <w:rPr>
                <w:vertAlign w:val="subscript"/>
                <w:lang w:val="pt-BR"/>
              </w:rPr>
              <w:t>2</w:t>
            </w:r>
            <w:r w:rsidRPr="00197AA3">
              <w:rPr>
                <w:lang w:val="pt-BR"/>
              </w:rPr>
              <w:t>-TiO</w:t>
            </w:r>
            <w:r w:rsidRPr="00B3142A">
              <w:rPr>
                <w:vertAlign w:val="subscript"/>
                <w:lang w:val="pt-BR"/>
              </w:rPr>
              <w:t>2</w:t>
            </w:r>
          </w:p>
        </w:tc>
        <w:tc>
          <w:tcPr>
            <w:tcW w:w="0" w:type="auto"/>
            <w:tcBorders>
              <w:bottom w:val="single" w:sz="6" w:space="0" w:color="auto"/>
            </w:tcBorders>
            <w:vAlign w:val="center"/>
          </w:tcPr>
          <w:p w14:paraId="5AC90CC2" w14:textId="7B0AC467" w:rsidR="00B3142A" w:rsidRDefault="00B3142A" w:rsidP="007A6687">
            <w:pPr>
              <w:pStyle w:val="TCTableBody"/>
              <w:jc w:val="center"/>
              <w:rPr>
                <w:lang w:val="pt-BR"/>
              </w:rPr>
            </w:pPr>
            <w:r w:rsidRPr="00197AA3">
              <w:rPr>
                <w:lang w:val="pt-BR"/>
              </w:rPr>
              <w:t>anatase (101)</w:t>
            </w:r>
          </w:p>
        </w:tc>
        <w:tc>
          <w:tcPr>
            <w:tcW w:w="0" w:type="auto"/>
            <w:tcBorders>
              <w:bottom w:val="single" w:sz="6" w:space="0" w:color="auto"/>
            </w:tcBorders>
            <w:vAlign w:val="center"/>
          </w:tcPr>
          <w:p w14:paraId="6DFB507B" w14:textId="3B61B5E1" w:rsidR="00B3142A" w:rsidRDefault="00B3142A" w:rsidP="007A6687">
            <w:pPr>
              <w:pStyle w:val="TCTableBody"/>
              <w:jc w:val="center"/>
              <w:rPr>
                <w:lang w:val="pt-BR"/>
              </w:rPr>
            </w:pPr>
            <w:r>
              <w:rPr>
                <w:lang w:val="pt-BR"/>
              </w:rPr>
              <w:t>25,38</w:t>
            </w:r>
          </w:p>
        </w:tc>
        <w:tc>
          <w:tcPr>
            <w:tcW w:w="0" w:type="auto"/>
            <w:tcBorders>
              <w:bottom w:val="single" w:sz="6" w:space="0" w:color="auto"/>
            </w:tcBorders>
            <w:vAlign w:val="center"/>
          </w:tcPr>
          <w:p w14:paraId="5D4B6F00" w14:textId="1F60DFC7" w:rsidR="00B3142A" w:rsidRDefault="00B3142A" w:rsidP="007A6687">
            <w:pPr>
              <w:pStyle w:val="TCTableBody"/>
              <w:jc w:val="center"/>
              <w:rPr>
                <w:lang w:val="pt-BR"/>
              </w:rPr>
            </w:pPr>
            <w:r w:rsidRPr="00197AA3">
              <w:rPr>
                <w:lang w:val="pt-BR"/>
              </w:rPr>
              <w:t>0,0069</w:t>
            </w:r>
          </w:p>
        </w:tc>
        <w:tc>
          <w:tcPr>
            <w:tcW w:w="1152" w:type="dxa"/>
            <w:tcBorders>
              <w:bottom w:val="single" w:sz="6" w:space="0" w:color="auto"/>
            </w:tcBorders>
          </w:tcPr>
          <w:p w14:paraId="212FB2CA" w14:textId="4ABE94D6" w:rsidR="00B3142A" w:rsidRDefault="00B3142A" w:rsidP="007A6687">
            <w:pPr>
              <w:pStyle w:val="TCTableBody"/>
              <w:jc w:val="center"/>
              <w:rPr>
                <w:lang w:val="pt-BR"/>
              </w:rPr>
            </w:pPr>
            <w:r w:rsidRPr="00B3142A">
              <w:rPr>
                <w:lang w:val="pt-BR"/>
              </w:rPr>
              <w:t>22,5</w:t>
            </w:r>
          </w:p>
        </w:tc>
      </w:tr>
      <w:tr w:rsidR="00B3142A" w:rsidRPr="00072C7A" w14:paraId="16CA367D" w14:textId="77777777" w:rsidTr="00B3142A">
        <w:trPr>
          <w:trHeight w:val="230"/>
        </w:trPr>
        <w:tc>
          <w:tcPr>
            <w:tcW w:w="0" w:type="auto"/>
            <w:vMerge/>
            <w:tcBorders>
              <w:bottom w:val="single" w:sz="6" w:space="0" w:color="auto"/>
            </w:tcBorders>
            <w:vAlign w:val="center"/>
          </w:tcPr>
          <w:p w14:paraId="32056161" w14:textId="77777777" w:rsidR="00B3142A" w:rsidRPr="00197AA3" w:rsidRDefault="00B3142A" w:rsidP="007A6687">
            <w:pPr>
              <w:pStyle w:val="TCTableBody"/>
              <w:jc w:val="center"/>
              <w:rPr>
                <w:lang w:val="pt-BR"/>
              </w:rPr>
            </w:pPr>
          </w:p>
        </w:tc>
        <w:tc>
          <w:tcPr>
            <w:tcW w:w="0" w:type="auto"/>
            <w:tcBorders>
              <w:bottom w:val="single" w:sz="6" w:space="0" w:color="auto"/>
            </w:tcBorders>
            <w:vAlign w:val="center"/>
          </w:tcPr>
          <w:p w14:paraId="137586FB" w14:textId="18A1BA7C" w:rsidR="00B3142A" w:rsidRPr="00197AA3" w:rsidRDefault="00B3142A" w:rsidP="007A6687">
            <w:pPr>
              <w:pStyle w:val="TCTableBody"/>
              <w:jc w:val="center"/>
              <w:rPr>
                <w:lang w:val="pt-BR"/>
              </w:rPr>
            </w:pPr>
            <w:r w:rsidRPr="00197AA3">
              <w:rPr>
                <w:lang w:val="pt-BR"/>
              </w:rPr>
              <w:t>rutilo (110)</w:t>
            </w:r>
          </w:p>
        </w:tc>
        <w:tc>
          <w:tcPr>
            <w:tcW w:w="0" w:type="auto"/>
            <w:tcBorders>
              <w:bottom w:val="single" w:sz="6" w:space="0" w:color="auto"/>
            </w:tcBorders>
            <w:vAlign w:val="center"/>
          </w:tcPr>
          <w:p w14:paraId="1EC7FC44" w14:textId="2FCDE44F" w:rsidR="00B3142A" w:rsidRDefault="00B3142A" w:rsidP="007A6687">
            <w:pPr>
              <w:pStyle w:val="TCTableBody"/>
              <w:jc w:val="center"/>
              <w:rPr>
                <w:lang w:val="pt-BR"/>
              </w:rPr>
            </w:pPr>
            <w:r>
              <w:rPr>
                <w:lang w:val="pt-BR"/>
              </w:rPr>
              <w:t>27,44</w:t>
            </w:r>
          </w:p>
        </w:tc>
        <w:tc>
          <w:tcPr>
            <w:tcW w:w="0" w:type="auto"/>
            <w:tcBorders>
              <w:bottom w:val="single" w:sz="6" w:space="0" w:color="auto"/>
            </w:tcBorders>
            <w:vAlign w:val="center"/>
          </w:tcPr>
          <w:p w14:paraId="79256F34" w14:textId="6275A6F7" w:rsidR="00B3142A" w:rsidRDefault="00B3142A" w:rsidP="007A6687">
            <w:pPr>
              <w:pStyle w:val="TCTableBody"/>
              <w:jc w:val="center"/>
              <w:rPr>
                <w:lang w:val="pt-BR"/>
              </w:rPr>
            </w:pPr>
            <w:r w:rsidRPr="00197AA3">
              <w:rPr>
                <w:lang w:val="pt-BR"/>
              </w:rPr>
              <w:t>0,0220</w:t>
            </w:r>
          </w:p>
        </w:tc>
        <w:tc>
          <w:tcPr>
            <w:tcW w:w="1152" w:type="dxa"/>
            <w:tcBorders>
              <w:bottom w:val="single" w:sz="6" w:space="0" w:color="auto"/>
            </w:tcBorders>
          </w:tcPr>
          <w:p w14:paraId="2C280811" w14:textId="6DF2AAFD" w:rsidR="00B3142A" w:rsidRDefault="00B3142A" w:rsidP="007A6687">
            <w:pPr>
              <w:pStyle w:val="TCTableBody"/>
              <w:jc w:val="center"/>
              <w:rPr>
                <w:lang w:val="pt-BR"/>
              </w:rPr>
            </w:pPr>
            <w:r w:rsidRPr="00B3142A">
              <w:rPr>
                <w:lang w:val="pt-BR"/>
              </w:rPr>
              <w:t>17,</w:t>
            </w:r>
            <w:r w:rsidR="0046318F">
              <w:rPr>
                <w:lang w:val="pt-BR"/>
              </w:rPr>
              <w:t>3</w:t>
            </w:r>
          </w:p>
        </w:tc>
      </w:tr>
      <w:tr w:rsidR="004B30FF" w:rsidRPr="00072C7A" w14:paraId="33C9C3BB" w14:textId="77777777" w:rsidTr="006B7182">
        <w:trPr>
          <w:trHeight w:val="454"/>
        </w:trPr>
        <w:tc>
          <w:tcPr>
            <w:tcW w:w="0" w:type="auto"/>
            <w:vMerge w:val="restart"/>
            <w:vAlign w:val="center"/>
          </w:tcPr>
          <w:p w14:paraId="13981FD7" w14:textId="3987FE0E" w:rsidR="004B30FF" w:rsidRDefault="004B30FF" w:rsidP="007A6687">
            <w:pPr>
              <w:pStyle w:val="TCTableBody"/>
              <w:jc w:val="center"/>
              <w:rPr>
                <w:lang w:val="pt-BR"/>
              </w:rPr>
            </w:pPr>
            <w:r w:rsidRPr="00197AA3">
              <w:rPr>
                <w:lang w:val="pt-BR"/>
              </w:rPr>
              <w:t>10% SnO</w:t>
            </w:r>
            <w:r w:rsidRPr="00B3142A">
              <w:rPr>
                <w:vertAlign w:val="subscript"/>
                <w:lang w:val="pt-BR"/>
              </w:rPr>
              <w:t>2</w:t>
            </w:r>
            <w:r w:rsidRPr="00197AA3">
              <w:rPr>
                <w:lang w:val="pt-BR"/>
              </w:rPr>
              <w:t>-TiO</w:t>
            </w:r>
            <w:r w:rsidRPr="00B3142A">
              <w:rPr>
                <w:vertAlign w:val="subscript"/>
                <w:lang w:val="pt-BR"/>
              </w:rPr>
              <w:t>2</w:t>
            </w:r>
          </w:p>
        </w:tc>
        <w:tc>
          <w:tcPr>
            <w:tcW w:w="0" w:type="auto"/>
            <w:tcBorders>
              <w:bottom w:val="single" w:sz="6" w:space="0" w:color="auto"/>
            </w:tcBorders>
            <w:vAlign w:val="center"/>
          </w:tcPr>
          <w:p w14:paraId="4E0A37CC" w14:textId="4DCAC2FA" w:rsidR="004B30FF" w:rsidRDefault="004B30FF" w:rsidP="007A6687">
            <w:pPr>
              <w:pStyle w:val="TCTableBody"/>
              <w:jc w:val="center"/>
              <w:rPr>
                <w:lang w:val="pt-BR"/>
              </w:rPr>
            </w:pPr>
            <w:r>
              <w:rPr>
                <w:lang w:val="pt-BR"/>
              </w:rPr>
              <w:t>anatase (101)</w:t>
            </w:r>
          </w:p>
        </w:tc>
        <w:tc>
          <w:tcPr>
            <w:tcW w:w="0" w:type="auto"/>
            <w:tcBorders>
              <w:bottom w:val="single" w:sz="6" w:space="0" w:color="auto"/>
            </w:tcBorders>
            <w:vAlign w:val="center"/>
          </w:tcPr>
          <w:p w14:paraId="790B6BE4" w14:textId="05354CF2" w:rsidR="004B30FF" w:rsidRDefault="004B30FF" w:rsidP="007A6687">
            <w:pPr>
              <w:pStyle w:val="TCTableBody"/>
              <w:jc w:val="center"/>
              <w:rPr>
                <w:lang w:val="pt-BR"/>
              </w:rPr>
            </w:pPr>
            <w:r>
              <w:rPr>
                <w:lang w:val="pt-BR"/>
              </w:rPr>
              <w:t>25,27</w:t>
            </w:r>
          </w:p>
        </w:tc>
        <w:tc>
          <w:tcPr>
            <w:tcW w:w="0" w:type="auto"/>
            <w:tcBorders>
              <w:bottom w:val="single" w:sz="6" w:space="0" w:color="auto"/>
            </w:tcBorders>
            <w:vAlign w:val="center"/>
          </w:tcPr>
          <w:p w14:paraId="4637016A" w14:textId="6A731A65" w:rsidR="004B30FF" w:rsidRDefault="004B30FF" w:rsidP="007A6687">
            <w:pPr>
              <w:pStyle w:val="TCTableBody"/>
              <w:jc w:val="center"/>
              <w:rPr>
                <w:lang w:val="pt-BR"/>
              </w:rPr>
            </w:pPr>
            <w:r w:rsidRPr="00197AA3">
              <w:rPr>
                <w:lang w:val="pt-BR"/>
              </w:rPr>
              <w:t>0,0101</w:t>
            </w:r>
          </w:p>
        </w:tc>
        <w:tc>
          <w:tcPr>
            <w:tcW w:w="1152" w:type="dxa"/>
            <w:tcBorders>
              <w:bottom w:val="single" w:sz="6" w:space="0" w:color="auto"/>
            </w:tcBorders>
          </w:tcPr>
          <w:p w14:paraId="473E1573" w14:textId="1196AD2A" w:rsidR="004B30FF" w:rsidRDefault="004B30FF" w:rsidP="007A6687">
            <w:pPr>
              <w:pStyle w:val="TCTableBody"/>
              <w:jc w:val="center"/>
              <w:rPr>
                <w:lang w:val="pt-BR"/>
              </w:rPr>
            </w:pPr>
            <w:r w:rsidRPr="00B3142A">
              <w:rPr>
                <w:lang w:val="pt-BR"/>
              </w:rPr>
              <w:t>15,3</w:t>
            </w:r>
          </w:p>
        </w:tc>
      </w:tr>
      <w:tr w:rsidR="004B30FF" w:rsidRPr="00072C7A" w14:paraId="56F5C75F" w14:textId="77777777" w:rsidTr="004B30FF">
        <w:trPr>
          <w:trHeight w:val="210"/>
        </w:trPr>
        <w:tc>
          <w:tcPr>
            <w:tcW w:w="0" w:type="auto"/>
            <w:vMerge/>
            <w:tcBorders>
              <w:bottom w:val="single" w:sz="6" w:space="0" w:color="auto"/>
            </w:tcBorders>
            <w:vAlign w:val="center"/>
          </w:tcPr>
          <w:p w14:paraId="51404D5A" w14:textId="77777777" w:rsidR="004B30FF" w:rsidRPr="00197AA3" w:rsidRDefault="004B30FF" w:rsidP="007A6687">
            <w:pPr>
              <w:pStyle w:val="TCTableBody"/>
              <w:jc w:val="center"/>
              <w:rPr>
                <w:lang w:val="pt-BR"/>
              </w:rPr>
            </w:pPr>
          </w:p>
        </w:tc>
        <w:tc>
          <w:tcPr>
            <w:tcW w:w="0" w:type="auto"/>
            <w:tcBorders>
              <w:bottom w:val="single" w:sz="6" w:space="0" w:color="auto"/>
            </w:tcBorders>
            <w:vAlign w:val="center"/>
          </w:tcPr>
          <w:p w14:paraId="2AE4632B" w14:textId="7A968616" w:rsidR="004B30FF" w:rsidRDefault="004B30FF" w:rsidP="007A6687">
            <w:pPr>
              <w:pStyle w:val="TCTableBody"/>
              <w:jc w:val="center"/>
              <w:rPr>
                <w:lang w:val="pt-BR"/>
              </w:rPr>
            </w:pPr>
            <w:r>
              <w:rPr>
                <w:lang w:val="pt-BR"/>
              </w:rPr>
              <w:t>rutilo (110)</w:t>
            </w:r>
          </w:p>
        </w:tc>
        <w:tc>
          <w:tcPr>
            <w:tcW w:w="0" w:type="auto"/>
            <w:tcBorders>
              <w:bottom w:val="single" w:sz="6" w:space="0" w:color="auto"/>
            </w:tcBorders>
            <w:vAlign w:val="center"/>
          </w:tcPr>
          <w:p w14:paraId="16BD2A90" w14:textId="5A6B1FBA" w:rsidR="004B30FF" w:rsidRDefault="004B30FF" w:rsidP="007A6687">
            <w:pPr>
              <w:pStyle w:val="TCTableBody"/>
              <w:jc w:val="center"/>
              <w:rPr>
                <w:lang w:val="pt-BR"/>
              </w:rPr>
            </w:pPr>
            <w:r>
              <w:rPr>
                <w:lang w:val="pt-BR"/>
              </w:rPr>
              <w:t>27,32</w:t>
            </w:r>
          </w:p>
        </w:tc>
        <w:tc>
          <w:tcPr>
            <w:tcW w:w="0" w:type="auto"/>
            <w:tcBorders>
              <w:bottom w:val="single" w:sz="6" w:space="0" w:color="auto"/>
            </w:tcBorders>
            <w:vAlign w:val="center"/>
          </w:tcPr>
          <w:p w14:paraId="721683CB" w14:textId="5CC88D06" w:rsidR="004B30FF" w:rsidRDefault="004B30FF" w:rsidP="007A6687">
            <w:pPr>
              <w:pStyle w:val="TCTableBody"/>
              <w:jc w:val="center"/>
              <w:rPr>
                <w:lang w:val="pt-BR"/>
              </w:rPr>
            </w:pPr>
            <w:r w:rsidRPr="00197AA3">
              <w:rPr>
                <w:lang w:val="pt-BR"/>
              </w:rPr>
              <w:t>0,0223</w:t>
            </w:r>
          </w:p>
        </w:tc>
        <w:tc>
          <w:tcPr>
            <w:tcW w:w="1152" w:type="dxa"/>
            <w:tcBorders>
              <w:bottom w:val="single" w:sz="6" w:space="0" w:color="auto"/>
            </w:tcBorders>
          </w:tcPr>
          <w:p w14:paraId="64CAE666" w14:textId="5C7DE478" w:rsidR="004B30FF" w:rsidRDefault="004B30FF" w:rsidP="007A6687">
            <w:pPr>
              <w:pStyle w:val="TCTableBody"/>
              <w:jc w:val="center"/>
              <w:rPr>
                <w:lang w:val="pt-BR"/>
              </w:rPr>
            </w:pPr>
            <w:r w:rsidRPr="00B3142A">
              <w:rPr>
                <w:lang w:val="pt-BR"/>
              </w:rPr>
              <w:t>15,1</w:t>
            </w:r>
          </w:p>
        </w:tc>
      </w:tr>
      <w:tr w:rsidR="00B3142A" w:rsidRPr="00072C7A" w14:paraId="78C4926C" w14:textId="77777777" w:rsidTr="00B3142A">
        <w:trPr>
          <w:trHeight w:val="410"/>
        </w:trPr>
        <w:tc>
          <w:tcPr>
            <w:tcW w:w="0" w:type="auto"/>
            <w:vMerge w:val="restart"/>
            <w:vAlign w:val="center"/>
          </w:tcPr>
          <w:p w14:paraId="219C4958" w14:textId="57BA2453" w:rsidR="00B3142A" w:rsidRDefault="00B3142A" w:rsidP="007A6687">
            <w:pPr>
              <w:pStyle w:val="TCTableBody"/>
              <w:jc w:val="center"/>
              <w:rPr>
                <w:lang w:val="pt-BR"/>
              </w:rPr>
            </w:pPr>
            <w:r w:rsidRPr="00197AA3">
              <w:rPr>
                <w:lang w:val="pt-BR"/>
              </w:rPr>
              <w:t>1% SnO</w:t>
            </w:r>
            <w:r w:rsidRPr="00B3142A">
              <w:rPr>
                <w:vertAlign w:val="subscript"/>
                <w:lang w:val="pt-BR"/>
              </w:rPr>
              <w:t>2</w:t>
            </w:r>
            <w:r w:rsidRPr="00197AA3">
              <w:rPr>
                <w:lang w:val="pt-BR"/>
              </w:rPr>
              <w:t>-TiO</w:t>
            </w:r>
            <w:r w:rsidRPr="00B3142A">
              <w:rPr>
                <w:vertAlign w:val="subscript"/>
                <w:lang w:val="pt-BR"/>
              </w:rPr>
              <w:t>2</w:t>
            </w:r>
            <w:r w:rsidRPr="00197AA3">
              <w:rPr>
                <w:lang w:val="pt-BR"/>
              </w:rPr>
              <w:t xml:space="preserve">, </w:t>
            </w:r>
            <w:proofErr w:type="spellStart"/>
            <w:r w:rsidRPr="00197AA3">
              <w:rPr>
                <w:lang w:val="pt-BR"/>
              </w:rPr>
              <w:t>HCl</w:t>
            </w:r>
            <w:proofErr w:type="spellEnd"/>
          </w:p>
        </w:tc>
        <w:tc>
          <w:tcPr>
            <w:tcW w:w="0" w:type="auto"/>
            <w:tcBorders>
              <w:bottom w:val="single" w:sz="6" w:space="0" w:color="auto"/>
            </w:tcBorders>
            <w:vAlign w:val="center"/>
          </w:tcPr>
          <w:p w14:paraId="03B66B39" w14:textId="3414FC8E" w:rsidR="00B3142A" w:rsidRDefault="00B3142A" w:rsidP="007A6687">
            <w:pPr>
              <w:pStyle w:val="TCTableBody"/>
              <w:jc w:val="center"/>
              <w:rPr>
                <w:lang w:val="pt-BR"/>
              </w:rPr>
            </w:pPr>
            <w:r>
              <w:rPr>
                <w:lang w:val="pt-BR"/>
              </w:rPr>
              <w:t>anatase (101)</w:t>
            </w:r>
          </w:p>
        </w:tc>
        <w:tc>
          <w:tcPr>
            <w:tcW w:w="0" w:type="auto"/>
            <w:tcBorders>
              <w:bottom w:val="single" w:sz="6" w:space="0" w:color="auto"/>
            </w:tcBorders>
            <w:vAlign w:val="center"/>
          </w:tcPr>
          <w:p w14:paraId="083C0A4E" w14:textId="00F7E1E4" w:rsidR="00B3142A" w:rsidRDefault="00B3142A" w:rsidP="007A6687">
            <w:pPr>
              <w:pStyle w:val="TCTableBody"/>
              <w:jc w:val="center"/>
              <w:rPr>
                <w:lang w:val="pt-BR"/>
              </w:rPr>
            </w:pPr>
            <w:r>
              <w:rPr>
                <w:lang w:val="pt-BR"/>
              </w:rPr>
              <w:t>25,38</w:t>
            </w:r>
          </w:p>
        </w:tc>
        <w:tc>
          <w:tcPr>
            <w:tcW w:w="0" w:type="auto"/>
            <w:tcBorders>
              <w:bottom w:val="single" w:sz="6" w:space="0" w:color="auto"/>
            </w:tcBorders>
            <w:vAlign w:val="center"/>
          </w:tcPr>
          <w:p w14:paraId="02640657" w14:textId="67F2BFEE" w:rsidR="00B3142A" w:rsidRDefault="00B3142A" w:rsidP="007A6687">
            <w:pPr>
              <w:pStyle w:val="TCTableBody"/>
              <w:jc w:val="center"/>
              <w:rPr>
                <w:lang w:val="pt-BR"/>
              </w:rPr>
            </w:pPr>
            <w:r w:rsidRPr="00197AA3">
              <w:rPr>
                <w:lang w:val="pt-BR"/>
              </w:rPr>
              <w:t>0,0159</w:t>
            </w:r>
          </w:p>
        </w:tc>
        <w:tc>
          <w:tcPr>
            <w:tcW w:w="1152" w:type="dxa"/>
            <w:tcBorders>
              <w:bottom w:val="single" w:sz="6" w:space="0" w:color="auto"/>
            </w:tcBorders>
          </w:tcPr>
          <w:p w14:paraId="5253ED54" w14:textId="45CE94BE" w:rsidR="00B3142A" w:rsidRDefault="00B3142A" w:rsidP="007A6687">
            <w:pPr>
              <w:pStyle w:val="TCTableBody"/>
              <w:jc w:val="center"/>
              <w:rPr>
                <w:lang w:val="pt-BR"/>
              </w:rPr>
            </w:pPr>
            <w:r w:rsidRPr="00B3142A">
              <w:rPr>
                <w:lang w:val="pt-BR"/>
              </w:rPr>
              <w:t>9,</w:t>
            </w:r>
            <w:r w:rsidR="0046318F">
              <w:rPr>
                <w:lang w:val="pt-BR"/>
              </w:rPr>
              <w:t>8</w:t>
            </w:r>
          </w:p>
        </w:tc>
      </w:tr>
      <w:tr w:rsidR="00B3142A" w:rsidRPr="00072C7A" w14:paraId="1BF12925" w14:textId="77777777" w:rsidTr="00B3142A">
        <w:trPr>
          <w:trHeight w:val="218"/>
        </w:trPr>
        <w:tc>
          <w:tcPr>
            <w:tcW w:w="0" w:type="auto"/>
            <w:vMerge/>
            <w:tcBorders>
              <w:bottom w:val="single" w:sz="6" w:space="0" w:color="auto"/>
            </w:tcBorders>
            <w:vAlign w:val="center"/>
          </w:tcPr>
          <w:p w14:paraId="26E5A842" w14:textId="77777777" w:rsidR="00B3142A" w:rsidRPr="00197AA3" w:rsidRDefault="00B3142A" w:rsidP="007A6687">
            <w:pPr>
              <w:pStyle w:val="TCTableBody"/>
              <w:jc w:val="center"/>
              <w:rPr>
                <w:lang w:val="pt-BR"/>
              </w:rPr>
            </w:pPr>
          </w:p>
        </w:tc>
        <w:tc>
          <w:tcPr>
            <w:tcW w:w="0" w:type="auto"/>
            <w:tcBorders>
              <w:bottom w:val="single" w:sz="6" w:space="0" w:color="auto"/>
            </w:tcBorders>
            <w:vAlign w:val="center"/>
          </w:tcPr>
          <w:p w14:paraId="5374AD9D" w14:textId="69E9EE91" w:rsidR="00B3142A" w:rsidRDefault="00B3142A" w:rsidP="007A6687">
            <w:pPr>
              <w:pStyle w:val="TCTableBody"/>
              <w:jc w:val="center"/>
              <w:rPr>
                <w:lang w:val="pt-BR"/>
              </w:rPr>
            </w:pPr>
            <w:r>
              <w:rPr>
                <w:lang w:val="pt-BR"/>
              </w:rPr>
              <w:t>rutilo (110)</w:t>
            </w:r>
          </w:p>
        </w:tc>
        <w:tc>
          <w:tcPr>
            <w:tcW w:w="0" w:type="auto"/>
            <w:tcBorders>
              <w:bottom w:val="single" w:sz="6" w:space="0" w:color="auto"/>
            </w:tcBorders>
            <w:vAlign w:val="center"/>
          </w:tcPr>
          <w:p w14:paraId="3E353E5F" w14:textId="500F098B" w:rsidR="00B3142A" w:rsidRDefault="004B30FF" w:rsidP="007A6687">
            <w:pPr>
              <w:pStyle w:val="TCTableBody"/>
              <w:jc w:val="center"/>
              <w:rPr>
                <w:lang w:val="pt-BR"/>
              </w:rPr>
            </w:pPr>
            <w:r>
              <w:rPr>
                <w:lang w:val="pt-BR"/>
              </w:rPr>
              <w:t>-</w:t>
            </w:r>
          </w:p>
        </w:tc>
        <w:tc>
          <w:tcPr>
            <w:tcW w:w="0" w:type="auto"/>
            <w:tcBorders>
              <w:bottom w:val="single" w:sz="6" w:space="0" w:color="auto"/>
            </w:tcBorders>
            <w:vAlign w:val="center"/>
          </w:tcPr>
          <w:p w14:paraId="1BA6904A" w14:textId="6BEDF4AE" w:rsidR="00B3142A" w:rsidRDefault="004B30FF" w:rsidP="007A6687">
            <w:pPr>
              <w:pStyle w:val="TCTableBody"/>
              <w:jc w:val="center"/>
              <w:rPr>
                <w:lang w:val="pt-BR"/>
              </w:rPr>
            </w:pPr>
            <w:r>
              <w:rPr>
                <w:lang w:val="pt-BR"/>
              </w:rPr>
              <w:t>-</w:t>
            </w:r>
          </w:p>
        </w:tc>
        <w:tc>
          <w:tcPr>
            <w:tcW w:w="1152" w:type="dxa"/>
            <w:tcBorders>
              <w:bottom w:val="single" w:sz="6" w:space="0" w:color="auto"/>
            </w:tcBorders>
          </w:tcPr>
          <w:p w14:paraId="5FFA2F30" w14:textId="22D0B997" w:rsidR="00B3142A" w:rsidRDefault="004B30FF" w:rsidP="007A6687">
            <w:pPr>
              <w:pStyle w:val="TCTableBody"/>
              <w:jc w:val="center"/>
              <w:rPr>
                <w:lang w:val="pt-BR"/>
              </w:rPr>
            </w:pPr>
            <w:r>
              <w:rPr>
                <w:lang w:val="pt-BR"/>
              </w:rPr>
              <w:t>-</w:t>
            </w:r>
          </w:p>
        </w:tc>
      </w:tr>
      <w:tr w:rsidR="00B3142A" w:rsidRPr="00072C7A" w14:paraId="5353C268" w14:textId="77777777" w:rsidTr="00B3142A">
        <w:trPr>
          <w:trHeight w:val="352"/>
        </w:trPr>
        <w:tc>
          <w:tcPr>
            <w:tcW w:w="0" w:type="auto"/>
            <w:vMerge w:val="restart"/>
            <w:vAlign w:val="center"/>
          </w:tcPr>
          <w:p w14:paraId="237D27DD" w14:textId="0FEBADBE" w:rsidR="00B3142A" w:rsidRDefault="00B3142A" w:rsidP="007A6687">
            <w:pPr>
              <w:pStyle w:val="TCTableBody"/>
              <w:jc w:val="center"/>
              <w:rPr>
                <w:lang w:val="pt-BR"/>
              </w:rPr>
            </w:pPr>
            <w:r w:rsidRPr="00197AA3">
              <w:rPr>
                <w:lang w:val="pt-BR"/>
              </w:rPr>
              <w:t>10% SnO</w:t>
            </w:r>
            <w:r w:rsidRPr="00B3142A">
              <w:rPr>
                <w:vertAlign w:val="subscript"/>
                <w:lang w:val="pt-BR"/>
              </w:rPr>
              <w:t>2</w:t>
            </w:r>
            <w:r w:rsidRPr="00197AA3">
              <w:rPr>
                <w:lang w:val="pt-BR"/>
              </w:rPr>
              <w:t>-TiO</w:t>
            </w:r>
            <w:r w:rsidRPr="00B3142A">
              <w:rPr>
                <w:vertAlign w:val="subscript"/>
                <w:lang w:val="pt-BR"/>
              </w:rPr>
              <w:t>2</w:t>
            </w:r>
            <w:r w:rsidRPr="00B3142A">
              <w:rPr>
                <w:lang w:val="pt-BR"/>
              </w:rPr>
              <w:t>,</w:t>
            </w:r>
            <w:r w:rsidRPr="00197AA3">
              <w:rPr>
                <w:lang w:val="pt-BR"/>
              </w:rPr>
              <w:t xml:space="preserve"> </w:t>
            </w:r>
            <w:proofErr w:type="spellStart"/>
            <w:r w:rsidRPr="00197AA3">
              <w:rPr>
                <w:lang w:val="pt-BR"/>
              </w:rPr>
              <w:t>HCl</w:t>
            </w:r>
            <w:proofErr w:type="spellEnd"/>
          </w:p>
        </w:tc>
        <w:tc>
          <w:tcPr>
            <w:tcW w:w="0" w:type="auto"/>
            <w:tcBorders>
              <w:bottom w:val="single" w:sz="6" w:space="0" w:color="auto"/>
            </w:tcBorders>
            <w:vAlign w:val="center"/>
          </w:tcPr>
          <w:p w14:paraId="136F0F59" w14:textId="0A999E24" w:rsidR="00B3142A" w:rsidRDefault="00B3142A" w:rsidP="007A6687">
            <w:pPr>
              <w:pStyle w:val="TCTableBody"/>
              <w:jc w:val="center"/>
              <w:rPr>
                <w:lang w:val="pt-BR"/>
              </w:rPr>
            </w:pPr>
            <w:r>
              <w:rPr>
                <w:lang w:val="pt-BR"/>
              </w:rPr>
              <w:t>anatase (101)</w:t>
            </w:r>
          </w:p>
        </w:tc>
        <w:tc>
          <w:tcPr>
            <w:tcW w:w="0" w:type="auto"/>
            <w:tcBorders>
              <w:bottom w:val="single" w:sz="6" w:space="0" w:color="auto"/>
            </w:tcBorders>
            <w:vAlign w:val="center"/>
          </w:tcPr>
          <w:p w14:paraId="26AC7671" w14:textId="4B091E23" w:rsidR="00B3142A" w:rsidRDefault="00B3142A" w:rsidP="007A6687">
            <w:pPr>
              <w:pStyle w:val="TCTableBody"/>
              <w:jc w:val="center"/>
              <w:rPr>
                <w:lang w:val="pt-BR"/>
              </w:rPr>
            </w:pPr>
            <w:r>
              <w:rPr>
                <w:lang w:val="pt-BR"/>
              </w:rPr>
              <w:t>25,32</w:t>
            </w:r>
          </w:p>
        </w:tc>
        <w:tc>
          <w:tcPr>
            <w:tcW w:w="0" w:type="auto"/>
            <w:tcBorders>
              <w:bottom w:val="single" w:sz="6" w:space="0" w:color="auto"/>
            </w:tcBorders>
            <w:vAlign w:val="center"/>
          </w:tcPr>
          <w:p w14:paraId="41488DDD" w14:textId="6E7BFE39" w:rsidR="00B3142A" w:rsidRDefault="00B3142A" w:rsidP="007A6687">
            <w:pPr>
              <w:pStyle w:val="TCTableBody"/>
              <w:jc w:val="center"/>
              <w:rPr>
                <w:lang w:val="pt-BR"/>
              </w:rPr>
            </w:pPr>
            <w:r w:rsidRPr="00197AA3">
              <w:rPr>
                <w:lang w:val="pt-BR"/>
              </w:rPr>
              <w:t>0,0127</w:t>
            </w:r>
          </w:p>
        </w:tc>
        <w:tc>
          <w:tcPr>
            <w:tcW w:w="1152" w:type="dxa"/>
            <w:tcBorders>
              <w:bottom w:val="single" w:sz="6" w:space="0" w:color="auto"/>
            </w:tcBorders>
          </w:tcPr>
          <w:p w14:paraId="177735B3" w14:textId="212D17EA" w:rsidR="00B3142A" w:rsidRDefault="00B3142A" w:rsidP="007A6687">
            <w:pPr>
              <w:pStyle w:val="TCTableBody"/>
              <w:jc w:val="center"/>
              <w:rPr>
                <w:lang w:val="pt-BR"/>
              </w:rPr>
            </w:pPr>
            <w:r>
              <w:rPr>
                <w:lang w:val="pt-BR"/>
              </w:rPr>
              <w:t>12,2</w:t>
            </w:r>
          </w:p>
        </w:tc>
      </w:tr>
      <w:tr w:rsidR="00B3142A" w:rsidRPr="00072C7A" w14:paraId="3732FAF0" w14:textId="77777777" w:rsidTr="00B3142A">
        <w:trPr>
          <w:trHeight w:val="330"/>
        </w:trPr>
        <w:tc>
          <w:tcPr>
            <w:tcW w:w="0" w:type="auto"/>
            <w:vMerge/>
            <w:tcBorders>
              <w:bottom w:val="single" w:sz="6" w:space="0" w:color="auto"/>
            </w:tcBorders>
            <w:vAlign w:val="center"/>
          </w:tcPr>
          <w:p w14:paraId="32EAD30A" w14:textId="77777777" w:rsidR="00B3142A" w:rsidRPr="00197AA3" w:rsidRDefault="00B3142A" w:rsidP="007A6687">
            <w:pPr>
              <w:pStyle w:val="TCTableBody"/>
              <w:jc w:val="center"/>
              <w:rPr>
                <w:lang w:val="pt-BR"/>
              </w:rPr>
            </w:pPr>
          </w:p>
        </w:tc>
        <w:tc>
          <w:tcPr>
            <w:tcW w:w="0" w:type="auto"/>
            <w:tcBorders>
              <w:bottom w:val="single" w:sz="6" w:space="0" w:color="auto"/>
            </w:tcBorders>
            <w:vAlign w:val="center"/>
          </w:tcPr>
          <w:p w14:paraId="75AEF814" w14:textId="4161FE69" w:rsidR="00B3142A" w:rsidRDefault="00B3142A" w:rsidP="007A6687">
            <w:pPr>
              <w:pStyle w:val="TCTableBody"/>
              <w:jc w:val="center"/>
              <w:rPr>
                <w:lang w:val="pt-BR"/>
              </w:rPr>
            </w:pPr>
            <w:r>
              <w:rPr>
                <w:lang w:val="pt-BR"/>
              </w:rPr>
              <w:t>rutilo (110)</w:t>
            </w:r>
          </w:p>
        </w:tc>
        <w:tc>
          <w:tcPr>
            <w:tcW w:w="0" w:type="auto"/>
            <w:tcBorders>
              <w:bottom w:val="single" w:sz="6" w:space="0" w:color="auto"/>
            </w:tcBorders>
            <w:vAlign w:val="center"/>
          </w:tcPr>
          <w:p w14:paraId="5470021D" w14:textId="4B3531EE" w:rsidR="00B3142A" w:rsidRDefault="00B3142A" w:rsidP="007A6687">
            <w:pPr>
              <w:pStyle w:val="TCTableBody"/>
              <w:jc w:val="center"/>
              <w:rPr>
                <w:lang w:val="pt-BR"/>
              </w:rPr>
            </w:pPr>
            <w:r>
              <w:rPr>
                <w:lang w:val="pt-BR"/>
              </w:rPr>
              <w:t>26,64</w:t>
            </w:r>
          </w:p>
        </w:tc>
        <w:tc>
          <w:tcPr>
            <w:tcW w:w="0" w:type="auto"/>
            <w:tcBorders>
              <w:bottom w:val="single" w:sz="6" w:space="0" w:color="auto"/>
            </w:tcBorders>
            <w:vAlign w:val="center"/>
          </w:tcPr>
          <w:p w14:paraId="680DED45" w14:textId="25D4CD9D" w:rsidR="00B3142A" w:rsidRDefault="00B3142A" w:rsidP="007A6687">
            <w:pPr>
              <w:pStyle w:val="TCTableBody"/>
              <w:jc w:val="center"/>
              <w:rPr>
                <w:lang w:val="pt-BR"/>
              </w:rPr>
            </w:pPr>
            <w:r w:rsidRPr="00197AA3">
              <w:rPr>
                <w:lang w:val="pt-BR"/>
              </w:rPr>
              <w:t>0,1000</w:t>
            </w:r>
          </w:p>
        </w:tc>
        <w:tc>
          <w:tcPr>
            <w:tcW w:w="1152" w:type="dxa"/>
            <w:tcBorders>
              <w:bottom w:val="single" w:sz="6" w:space="0" w:color="auto"/>
            </w:tcBorders>
          </w:tcPr>
          <w:p w14:paraId="79546EFE" w14:textId="59FB2C25" w:rsidR="00B3142A" w:rsidRDefault="00B3142A" w:rsidP="007A6687">
            <w:pPr>
              <w:pStyle w:val="TCTableBody"/>
              <w:jc w:val="center"/>
              <w:rPr>
                <w:lang w:val="pt-BR"/>
              </w:rPr>
            </w:pPr>
            <w:r>
              <w:rPr>
                <w:lang w:val="pt-BR"/>
              </w:rPr>
              <w:t>2,1</w:t>
            </w:r>
          </w:p>
        </w:tc>
      </w:tr>
      <w:tr w:rsidR="00197AA3" w:rsidRPr="00197AA3" w14:paraId="0FF50CF1" w14:textId="3DEAB3A5" w:rsidTr="00B3142A">
        <w:tc>
          <w:tcPr>
            <w:tcW w:w="0" w:type="auto"/>
            <w:gridSpan w:val="4"/>
            <w:tcBorders>
              <w:top w:val="single" w:sz="6" w:space="0" w:color="auto"/>
              <w:left w:val="nil"/>
              <w:bottom w:val="nil"/>
              <w:right w:val="nil"/>
            </w:tcBorders>
            <w:vAlign w:val="center"/>
          </w:tcPr>
          <w:p w14:paraId="1AD8F328" w14:textId="59D3357B" w:rsidR="00197AA3" w:rsidRPr="00E038AF" w:rsidRDefault="00F06952" w:rsidP="00197AA3">
            <w:pPr>
              <w:pStyle w:val="TCTableBody"/>
              <w:spacing w:after="0" w:line="240" w:lineRule="auto"/>
              <w:rPr>
                <w:rFonts w:ascii="Times New Roman" w:hAnsi="Times New Roman"/>
                <w:lang w:val="pt-BR"/>
              </w:rPr>
            </w:pPr>
            <w:r w:rsidRPr="00F06952">
              <w:rPr>
                <w:rFonts w:ascii="Times New Roman" w:hAnsi="Times New Roman"/>
                <w:lang w:val="pt-BR"/>
              </w:rPr>
              <w:t>Legenda: FWHM é a altura meia altura dos picos</w:t>
            </w:r>
          </w:p>
        </w:tc>
        <w:tc>
          <w:tcPr>
            <w:tcW w:w="1152" w:type="dxa"/>
            <w:tcBorders>
              <w:top w:val="single" w:sz="6" w:space="0" w:color="auto"/>
              <w:left w:val="nil"/>
              <w:bottom w:val="nil"/>
              <w:right w:val="nil"/>
            </w:tcBorders>
          </w:tcPr>
          <w:p w14:paraId="6FFA869F" w14:textId="77777777" w:rsidR="00197AA3" w:rsidRPr="00E038AF" w:rsidRDefault="00197AA3" w:rsidP="00197AA3">
            <w:pPr>
              <w:pStyle w:val="TCTableBody"/>
              <w:spacing w:after="0" w:line="240" w:lineRule="auto"/>
              <w:rPr>
                <w:rFonts w:ascii="Times New Roman" w:hAnsi="Times New Roman"/>
                <w:lang w:val="pt-BR"/>
              </w:rPr>
            </w:pPr>
          </w:p>
        </w:tc>
      </w:tr>
    </w:tbl>
    <w:p w14:paraId="46FE30FF" w14:textId="77777777" w:rsidR="00EA4E1B" w:rsidRDefault="00EA4E1B" w:rsidP="00EA4E1B"/>
    <w:p w14:paraId="52C38837" w14:textId="61E4A37E" w:rsidR="00D95D62" w:rsidRPr="00A71E24" w:rsidRDefault="00A71E24" w:rsidP="00D95D62">
      <w:pPr>
        <w:spacing w:line="240" w:lineRule="exact"/>
        <w:ind w:firstLine="187"/>
        <w:jc w:val="both"/>
        <w:rPr>
          <w:rFonts w:ascii="Times New Roman" w:eastAsia="Times New Roman" w:hAnsi="Times New Roman" w:cs="Times New Roman"/>
          <w:sz w:val="20"/>
          <w:szCs w:val="20"/>
          <w:lang w:eastAsia="pt-BR"/>
        </w:rPr>
      </w:pPr>
      <w:r w:rsidRPr="00A71E24">
        <w:rPr>
          <w:rFonts w:ascii="Times New Roman" w:eastAsia="Times New Roman" w:hAnsi="Times New Roman" w:cs="Times New Roman"/>
          <w:sz w:val="20"/>
          <w:szCs w:val="20"/>
          <w:lang w:eastAsia="pt-BR"/>
        </w:rPr>
        <w:t xml:space="preserve">As micrografias (Figura </w:t>
      </w:r>
      <w:r w:rsidR="005B349B">
        <w:rPr>
          <w:rFonts w:ascii="Times New Roman" w:eastAsia="Times New Roman" w:hAnsi="Times New Roman" w:cs="Times New Roman"/>
          <w:sz w:val="20"/>
          <w:szCs w:val="20"/>
          <w:lang w:eastAsia="pt-BR"/>
        </w:rPr>
        <w:t>3</w:t>
      </w:r>
      <w:r w:rsidRPr="00A71E24">
        <w:rPr>
          <w:rFonts w:ascii="Times New Roman" w:eastAsia="Times New Roman" w:hAnsi="Times New Roman" w:cs="Times New Roman"/>
          <w:sz w:val="20"/>
          <w:szCs w:val="20"/>
          <w:lang w:eastAsia="pt-BR"/>
        </w:rPr>
        <w:t xml:space="preserve">) mostram nanopartículas aglomeradas, </w:t>
      </w:r>
      <w:r w:rsidR="009A0674">
        <w:rPr>
          <w:rFonts w:ascii="Times New Roman" w:eastAsia="Times New Roman" w:hAnsi="Times New Roman" w:cs="Times New Roman"/>
          <w:sz w:val="20"/>
          <w:szCs w:val="20"/>
          <w:lang w:eastAsia="pt-BR"/>
        </w:rPr>
        <w:t xml:space="preserve">alguns </w:t>
      </w:r>
      <w:r w:rsidRPr="00A71E24">
        <w:rPr>
          <w:rFonts w:ascii="Times New Roman" w:eastAsia="Times New Roman" w:hAnsi="Times New Roman" w:cs="Times New Roman"/>
          <w:sz w:val="20"/>
          <w:szCs w:val="20"/>
          <w:lang w:eastAsia="pt-BR"/>
        </w:rPr>
        <w:t xml:space="preserve">de contorno </w:t>
      </w:r>
      <w:r w:rsidR="009824E4">
        <w:rPr>
          <w:rFonts w:ascii="Times New Roman" w:eastAsia="Times New Roman" w:hAnsi="Times New Roman" w:cs="Times New Roman"/>
          <w:sz w:val="20"/>
          <w:szCs w:val="20"/>
          <w:lang w:eastAsia="pt-BR"/>
        </w:rPr>
        <w:t xml:space="preserve">mais </w:t>
      </w:r>
      <w:r w:rsidRPr="00A71E24">
        <w:rPr>
          <w:rFonts w:ascii="Times New Roman" w:eastAsia="Times New Roman" w:hAnsi="Times New Roman" w:cs="Times New Roman"/>
          <w:sz w:val="20"/>
          <w:szCs w:val="20"/>
          <w:lang w:eastAsia="pt-BR"/>
        </w:rPr>
        <w:t>arredondado</w:t>
      </w:r>
      <w:r w:rsidR="009824E4">
        <w:rPr>
          <w:rFonts w:ascii="Times New Roman" w:eastAsia="Times New Roman" w:hAnsi="Times New Roman" w:cs="Times New Roman"/>
          <w:sz w:val="20"/>
          <w:szCs w:val="20"/>
          <w:lang w:eastAsia="pt-BR"/>
        </w:rPr>
        <w:t>s (rota 2)</w:t>
      </w:r>
      <w:r w:rsidR="009A0674">
        <w:rPr>
          <w:rFonts w:ascii="Times New Roman" w:eastAsia="Times New Roman" w:hAnsi="Times New Roman" w:cs="Times New Roman"/>
          <w:sz w:val="20"/>
          <w:szCs w:val="20"/>
          <w:lang w:eastAsia="pt-BR"/>
        </w:rPr>
        <w:t xml:space="preserve"> e outros mais alongados</w:t>
      </w:r>
      <w:r w:rsidR="009824E4">
        <w:rPr>
          <w:rFonts w:ascii="Times New Roman" w:eastAsia="Times New Roman" w:hAnsi="Times New Roman" w:cs="Times New Roman"/>
          <w:sz w:val="20"/>
          <w:szCs w:val="20"/>
          <w:lang w:eastAsia="pt-BR"/>
        </w:rPr>
        <w:t xml:space="preserve"> (rota 1)</w:t>
      </w:r>
      <w:r w:rsidRPr="00A71E24">
        <w:rPr>
          <w:rFonts w:ascii="Times New Roman" w:eastAsia="Times New Roman" w:hAnsi="Times New Roman" w:cs="Times New Roman"/>
          <w:sz w:val="20"/>
          <w:szCs w:val="20"/>
          <w:lang w:eastAsia="pt-BR"/>
        </w:rPr>
        <w:t xml:space="preserve"> </w:t>
      </w:r>
      <w:r w:rsidR="009A0674">
        <w:rPr>
          <w:rFonts w:ascii="Times New Roman" w:eastAsia="Times New Roman" w:hAnsi="Times New Roman" w:cs="Times New Roman"/>
          <w:sz w:val="20"/>
          <w:szCs w:val="20"/>
          <w:lang w:eastAsia="pt-BR"/>
        </w:rPr>
        <w:t>para</w:t>
      </w:r>
      <w:r w:rsidRPr="00A71E24">
        <w:rPr>
          <w:rFonts w:ascii="Times New Roman" w:eastAsia="Times New Roman" w:hAnsi="Times New Roman" w:cs="Times New Roman"/>
          <w:sz w:val="20"/>
          <w:szCs w:val="20"/>
          <w:lang w:eastAsia="pt-BR"/>
        </w:rPr>
        <w:t xml:space="preserve"> as amostras preparadas pelo método </w:t>
      </w:r>
      <w:r w:rsidR="005B349B">
        <w:rPr>
          <w:rFonts w:ascii="Times New Roman" w:eastAsia="Times New Roman" w:hAnsi="Times New Roman" w:cs="Times New Roman"/>
          <w:sz w:val="20"/>
          <w:szCs w:val="20"/>
          <w:lang w:eastAsia="pt-BR"/>
        </w:rPr>
        <w:t>s</w:t>
      </w:r>
      <w:r w:rsidRPr="00A71E24">
        <w:rPr>
          <w:rFonts w:ascii="Times New Roman" w:eastAsia="Times New Roman" w:hAnsi="Times New Roman" w:cs="Times New Roman"/>
          <w:sz w:val="20"/>
          <w:szCs w:val="20"/>
          <w:lang w:eastAsia="pt-BR"/>
        </w:rPr>
        <w:t>ol-</w:t>
      </w:r>
      <w:r w:rsidR="005B349B">
        <w:rPr>
          <w:rFonts w:ascii="Times New Roman" w:eastAsia="Times New Roman" w:hAnsi="Times New Roman" w:cs="Times New Roman"/>
          <w:sz w:val="20"/>
          <w:szCs w:val="20"/>
          <w:lang w:eastAsia="pt-BR"/>
        </w:rPr>
        <w:t>g</w:t>
      </w:r>
      <w:r w:rsidRPr="00A71E24">
        <w:rPr>
          <w:rFonts w:ascii="Times New Roman" w:eastAsia="Times New Roman" w:hAnsi="Times New Roman" w:cs="Times New Roman"/>
          <w:sz w:val="20"/>
          <w:szCs w:val="20"/>
          <w:lang w:eastAsia="pt-BR"/>
        </w:rPr>
        <w:t>el.</w:t>
      </w:r>
      <w:r w:rsidR="00DE303B">
        <w:rPr>
          <w:rFonts w:ascii="Times New Roman" w:eastAsia="Times New Roman" w:hAnsi="Times New Roman" w:cs="Times New Roman"/>
          <w:sz w:val="20"/>
          <w:szCs w:val="20"/>
          <w:lang w:eastAsia="pt-BR"/>
        </w:rPr>
        <w:t xml:space="preserve"> </w:t>
      </w:r>
    </w:p>
    <w:p w14:paraId="675AE5CE" w14:textId="03F79306" w:rsidR="002F79D0" w:rsidRDefault="00D95D62" w:rsidP="00400189">
      <w:pPr>
        <w:jc w:val="center"/>
      </w:pPr>
      <w:r>
        <w:rPr>
          <w:rFonts w:ascii="Times New Roman" w:eastAsia="Times New Roman" w:hAnsi="Times New Roman" w:cs="Times New Roman"/>
          <w:noProof/>
          <w:sz w:val="20"/>
          <w:szCs w:val="20"/>
          <w:lang w:eastAsia="pt-BR"/>
        </w:rPr>
        <w:drawing>
          <wp:inline distT="0" distB="0" distL="0" distR="0" wp14:anchorId="4BD000A8" wp14:editId="0E353839">
            <wp:extent cx="3043660" cy="3070860"/>
            <wp:effectExtent l="0" t="0" r="4445" b="0"/>
            <wp:docPr id="15" name="Imagem 15" descr="Linha do tempo, Calend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Linha do tempo, Calendário&#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1946" cy="3099399"/>
                    </a:xfrm>
                    <a:prstGeom prst="rect">
                      <a:avLst/>
                    </a:prstGeom>
                    <a:noFill/>
                  </pic:spPr>
                </pic:pic>
              </a:graphicData>
            </a:graphic>
          </wp:inline>
        </w:drawing>
      </w:r>
    </w:p>
    <w:p w14:paraId="6BE4DD02" w14:textId="60AA9CCD" w:rsidR="002F79D0" w:rsidRDefault="002F79D0" w:rsidP="002F79D0">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Micrografia</w:t>
      </w:r>
      <w:r w:rsidR="00E05D32">
        <w:rPr>
          <w:rFonts w:ascii="Times New Roman" w:hAnsi="Times New Roman"/>
          <w:lang w:val="pt-BR"/>
        </w:rPr>
        <w:t>s</w:t>
      </w:r>
      <w:r>
        <w:rPr>
          <w:rFonts w:ascii="Times New Roman" w:hAnsi="Times New Roman"/>
          <w:lang w:val="pt-BR"/>
        </w:rPr>
        <w:t xml:space="preserve"> e </w:t>
      </w:r>
      <w:r w:rsidRPr="002F79D0">
        <w:rPr>
          <w:rFonts w:ascii="Times New Roman" w:hAnsi="Times New Roman"/>
          <w:lang w:val="pt-BR"/>
        </w:rPr>
        <w:t>Mapa</w:t>
      </w:r>
      <w:r w:rsidR="00E05D32">
        <w:rPr>
          <w:rFonts w:ascii="Times New Roman" w:hAnsi="Times New Roman"/>
          <w:lang w:val="pt-BR"/>
        </w:rPr>
        <w:t>s</w:t>
      </w:r>
      <w:r w:rsidRPr="002F79D0">
        <w:rPr>
          <w:rFonts w:ascii="Times New Roman" w:hAnsi="Times New Roman"/>
          <w:lang w:val="pt-BR"/>
        </w:rPr>
        <w:t xml:space="preserve"> da superfície dos óxidos sintetizados</w:t>
      </w:r>
      <w:r>
        <w:rPr>
          <w:rFonts w:ascii="Times New Roman" w:hAnsi="Times New Roman"/>
          <w:lang w:val="pt-BR"/>
        </w:rPr>
        <w:t>.</w:t>
      </w:r>
    </w:p>
    <w:p w14:paraId="4D11EF6E" w14:textId="77777777" w:rsidR="002F79D0" w:rsidRDefault="002F79D0" w:rsidP="002F79D0">
      <w:pPr>
        <w:rPr>
          <w:lang w:eastAsia="pt-BR"/>
        </w:rPr>
      </w:pPr>
    </w:p>
    <w:p w14:paraId="52A0ECEA" w14:textId="44583994" w:rsidR="00DE303B" w:rsidRDefault="00DE303B" w:rsidP="00DE303B">
      <w:pPr>
        <w:pStyle w:val="TAMainText"/>
        <w:rPr>
          <w:lang w:val="pt-BR"/>
        </w:rPr>
      </w:pPr>
      <w:r w:rsidRPr="00DE303B">
        <w:rPr>
          <w:lang w:val="pt-BR"/>
        </w:rPr>
        <w:t>Com base nos mapas</w:t>
      </w:r>
      <w:r w:rsidR="002E18F1">
        <w:rPr>
          <w:lang w:val="pt-BR"/>
        </w:rPr>
        <w:t xml:space="preserve"> de composição</w:t>
      </w:r>
      <w:r w:rsidRPr="00DE303B">
        <w:rPr>
          <w:lang w:val="pt-BR"/>
        </w:rPr>
        <w:t>, observa-se uma distribuição uniforme de</w:t>
      </w:r>
      <w:r w:rsidR="00DD07EE">
        <w:rPr>
          <w:lang w:val="pt-BR"/>
        </w:rPr>
        <w:t xml:space="preserve"> </w:t>
      </w:r>
      <w:r w:rsidRPr="00DE303B">
        <w:rPr>
          <w:lang w:val="pt-BR"/>
        </w:rPr>
        <w:t>Ti</w:t>
      </w:r>
      <w:r w:rsidR="002E18F1">
        <w:rPr>
          <w:lang w:val="pt-BR"/>
        </w:rPr>
        <w:t>tânio</w:t>
      </w:r>
      <w:r>
        <w:rPr>
          <w:lang w:val="pt-BR"/>
        </w:rPr>
        <w:t xml:space="preserve"> </w:t>
      </w:r>
      <w:r w:rsidRPr="00DE303B">
        <w:rPr>
          <w:lang w:val="pt-BR"/>
        </w:rPr>
        <w:t xml:space="preserve">representada pelos pontos vermelhos intensos, uniformes e bem distribuídos sobre toda a superfície de cada amostra. </w:t>
      </w:r>
      <w:r w:rsidR="002E18F1">
        <w:rPr>
          <w:lang w:val="pt-BR"/>
        </w:rPr>
        <w:t>Também se observa uma</w:t>
      </w:r>
      <w:r w:rsidR="00DD07EE">
        <w:rPr>
          <w:lang w:val="pt-BR"/>
        </w:rPr>
        <w:t xml:space="preserve"> baixa, porém presente, distribuição do</w:t>
      </w:r>
      <w:r w:rsidRPr="00DE303B">
        <w:rPr>
          <w:lang w:val="pt-BR"/>
        </w:rPr>
        <w:t xml:space="preserve"> elemento </w:t>
      </w:r>
      <w:r w:rsidR="002E18F1">
        <w:rPr>
          <w:lang w:val="pt-BR"/>
        </w:rPr>
        <w:t>Estanho</w:t>
      </w:r>
      <w:r w:rsidRPr="00DE303B">
        <w:rPr>
          <w:lang w:val="pt-BR"/>
        </w:rPr>
        <w:t xml:space="preserve"> </w:t>
      </w:r>
      <w:r>
        <w:rPr>
          <w:lang w:val="pt-BR"/>
        </w:rPr>
        <w:t>representado pelos</w:t>
      </w:r>
      <w:r w:rsidRPr="00DE303B">
        <w:rPr>
          <w:lang w:val="pt-BR"/>
        </w:rPr>
        <w:t xml:space="preserve"> pontos </w:t>
      </w:r>
      <w:r w:rsidR="002E18F1">
        <w:rPr>
          <w:lang w:val="pt-BR"/>
        </w:rPr>
        <w:t>vermelho claros, f</w:t>
      </w:r>
      <w:r w:rsidRPr="00DE303B">
        <w:rPr>
          <w:lang w:val="pt-BR"/>
        </w:rPr>
        <w:t>ato esperado, pelo</w:t>
      </w:r>
      <w:r>
        <w:rPr>
          <w:lang w:val="pt-BR"/>
        </w:rPr>
        <w:t>s baixos</w:t>
      </w:r>
      <w:r w:rsidRPr="00DE303B">
        <w:rPr>
          <w:lang w:val="pt-BR"/>
        </w:rPr>
        <w:t xml:space="preserve"> teor</w:t>
      </w:r>
      <w:r>
        <w:rPr>
          <w:lang w:val="pt-BR"/>
        </w:rPr>
        <w:t>es</w:t>
      </w:r>
      <w:r w:rsidRPr="00DE303B">
        <w:rPr>
          <w:lang w:val="pt-BR"/>
        </w:rPr>
        <w:t xml:space="preserve"> nomina</w:t>
      </w:r>
      <w:r>
        <w:rPr>
          <w:lang w:val="pt-BR"/>
        </w:rPr>
        <w:t xml:space="preserve">is </w:t>
      </w:r>
      <w:r w:rsidRPr="00DE303B">
        <w:rPr>
          <w:lang w:val="pt-BR"/>
        </w:rPr>
        <w:t>de SnO</w:t>
      </w:r>
      <w:r w:rsidRPr="00DE303B">
        <w:rPr>
          <w:vertAlign w:val="subscript"/>
          <w:lang w:val="pt-BR"/>
        </w:rPr>
        <w:t>2</w:t>
      </w:r>
      <w:r w:rsidRPr="00DE303B">
        <w:rPr>
          <w:lang w:val="pt-BR"/>
        </w:rPr>
        <w:t xml:space="preserve">. </w:t>
      </w:r>
      <w:r w:rsidR="00D95D62">
        <w:rPr>
          <w:lang w:val="pt-BR"/>
        </w:rPr>
        <w:t>Es</w:t>
      </w:r>
      <w:r w:rsidR="00987A98">
        <w:rPr>
          <w:lang w:val="pt-BR"/>
        </w:rPr>
        <w:t xml:space="preserve">se resultado corrobora com as outras caracterizações, indicando que as duas rotas possibilitaram a formação de uma possível heteroestrutura através da titânia modificada com </w:t>
      </w:r>
      <w:r w:rsidR="00A542C2">
        <w:rPr>
          <w:lang w:val="pt-BR"/>
        </w:rPr>
        <w:t>dióxido de estanho</w:t>
      </w:r>
      <w:r w:rsidR="00987A98">
        <w:rPr>
          <w:lang w:val="pt-BR"/>
        </w:rPr>
        <w:t>.</w:t>
      </w:r>
    </w:p>
    <w:p w14:paraId="5968756E" w14:textId="5173F1F5" w:rsidR="008B067E" w:rsidRPr="00DE303B" w:rsidRDefault="00161131" w:rsidP="00DE303B">
      <w:pPr>
        <w:pStyle w:val="TAMainText"/>
        <w:rPr>
          <w:lang w:val="pt-BR"/>
        </w:rPr>
      </w:pPr>
      <w:r>
        <w:rPr>
          <w:lang w:val="pt-BR"/>
        </w:rPr>
        <w:t>A partir dos</w:t>
      </w:r>
      <w:r w:rsidR="008B067E" w:rsidRPr="008B067E">
        <w:rPr>
          <w:lang w:val="pt-BR"/>
        </w:rPr>
        <w:t xml:space="preserve"> resultados de análise textural </w:t>
      </w:r>
      <w:r w:rsidR="008B067E">
        <w:rPr>
          <w:lang w:val="pt-BR"/>
        </w:rPr>
        <w:t>(Tabela 2)</w:t>
      </w:r>
      <w:r>
        <w:rPr>
          <w:lang w:val="pt-BR"/>
        </w:rPr>
        <w:t>, n</w:t>
      </w:r>
      <w:r w:rsidR="008B067E" w:rsidRPr="008B067E">
        <w:rPr>
          <w:lang w:val="pt-BR"/>
        </w:rPr>
        <w:t xml:space="preserve">ota-se que </w:t>
      </w:r>
      <w:r>
        <w:rPr>
          <w:lang w:val="pt-BR"/>
        </w:rPr>
        <w:t>o óxido</w:t>
      </w:r>
      <w:r w:rsidR="008B067E" w:rsidRPr="008B067E">
        <w:rPr>
          <w:lang w:val="pt-BR"/>
        </w:rPr>
        <w:t xml:space="preserve"> com o maior teor nominal de </w:t>
      </w:r>
      <w:r w:rsidR="00A542C2">
        <w:rPr>
          <w:lang w:val="pt-BR"/>
        </w:rPr>
        <w:t xml:space="preserve">dióxido de </w:t>
      </w:r>
      <w:r w:rsidR="008B067E" w:rsidRPr="008B067E">
        <w:rPr>
          <w:lang w:val="pt-BR"/>
        </w:rPr>
        <w:t>estanh</w:t>
      </w:r>
      <w:r w:rsidR="00A542C2">
        <w:rPr>
          <w:lang w:val="pt-BR"/>
        </w:rPr>
        <w:t>o</w:t>
      </w:r>
      <w:r>
        <w:rPr>
          <w:lang w:val="pt-BR"/>
        </w:rPr>
        <w:t xml:space="preserve"> na rota 2</w:t>
      </w:r>
      <w:r w:rsidR="008B067E" w:rsidRPr="008B067E">
        <w:rPr>
          <w:lang w:val="pt-BR"/>
        </w:rPr>
        <w:t xml:space="preserve"> (10%</w:t>
      </w:r>
      <w:r>
        <w:rPr>
          <w:lang w:val="pt-BR"/>
        </w:rPr>
        <w:t xml:space="preserve"> </w:t>
      </w:r>
      <w:r w:rsidR="008B067E" w:rsidRPr="008B067E">
        <w:rPr>
          <w:lang w:val="pt-BR"/>
        </w:rPr>
        <w:t>SnO</w:t>
      </w:r>
      <w:r w:rsidR="008B067E" w:rsidRPr="00161131">
        <w:rPr>
          <w:vertAlign w:val="subscript"/>
          <w:lang w:val="pt-BR"/>
        </w:rPr>
        <w:t>2</w:t>
      </w:r>
      <w:r w:rsidR="008B067E" w:rsidRPr="008B067E">
        <w:rPr>
          <w:lang w:val="pt-BR"/>
        </w:rPr>
        <w:t>-TiO</w:t>
      </w:r>
      <w:r w:rsidR="008B067E" w:rsidRPr="00161131">
        <w:rPr>
          <w:vertAlign w:val="subscript"/>
          <w:lang w:val="pt-BR"/>
        </w:rPr>
        <w:t>2</w:t>
      </w:r>
      <w:r>
        <w:rPr>
          <w:lang w:val="pt-BR"/>
        </w:rPr>
        <w:t xml:space="preserve"> </w:t>
      </w:r>
      <w:proofErr w:type="spellStart"/>
      <w:r w:rsidR="008B067E" w:rsidRPr="008B067E">
        <w:rPr>
          <w:lang w:val="pt-BR"/>
        </w:rPr>
        <w:t>HCl</w:t>
      </w:r>
      <w:proofErr w:type="spellEnd"/>
      <w:r w:rsidR="008B067E" w:rsidRPr="008B067E">
        <w:rPr>
          <w:lang w:val="pt-BR"/>
        </w:rPr>
        <w:t xml:space="preserve">) </w:t>
      </w:r>
      <w:r>
        <w:rPr>
          <w:lang w:val="pt-BR"/>
        </w:rPr>
        <w:t xml:space="preserve">apresenta uma maior área específica e volume de poros comparado à </w:t>
      </w:r>
      <w:r w:rsidR="008B067E" w:rsidRPr="008B067E">
        <w:rPr>
          <w:lang w:val="pt-BR"/>
        </w:rPr>
        <w:t>titânia comercia</w:t>
      </w:r>
      <w:r>
        <w:rPr>
          <w:lang w:val="pt-BR"/>
        </w:rPr>
        <w:t>l</w:t>
      </w:r>
      <w:r w:rsidR="008B067E" w:rsidRPr="008B067E">
        <w:rPr>
          <w:lang w:val="pt-BR"/>
        </w:rPr>
        <w:t xml:space="preserve"> TiO</w:t>
      </w:r>
      <w:r w:rsidR="008B067E" w:rsidRPr="00161131">
        <w:rPr>
          <w:vertAlign w:val="subscript"/>
          <w:lang w:val="pt-BR"/>
        </w:rPr>
        <w:t>2</w:t>
      </w:r>
      <w:r w:rsidR="008B067E" w:rsidRPr="008B067E">
        <w:rPr>
          <w:lang w:val="pt-BR"/>
        </w:rPr>
        <w:t xml:space="preserve"> P25 e </w:t>
      </w:r>
      <w:r>
        <w:rPr>
          <w:lang w:val="pt-BR"/>
        </w:rPr>
        <w:t xml:space="preserve">ao </w:t>
      </w:r>
      <w:r w:rsidR="008B067E" w:rsidRPr="008B067E">
        <w:rPr>
          <w:lang w:val="pt-BR"/>
        </w:rPr>
        <w:t>1%</w:t>
      </w:r>
      <w:r>
        <w:rPr>
          <w:lang w:val="pt-BR"/>
        </w:rPr>
        <w:t xml:space="preserve"> </w:t>
      </w:r>
      <w:r w:rsidR="008B067E" w:rsidRPr="008B067E">
        <w:rPr>
          <w:lang w:val="pt-BR"/>
        </w:rPr>
        <w:t>SnO</w:t>
      </w:r>
      <w:r w:rsidR="008B067E" w:rsidRPr="00161131">
        <w:rPr>
          <w:vertAlign w:val="subscript"/>
          <w:lang w:val="pt-BR"/>
        </w:rPr>
        <w:t>2</w:t>
      </w:r>
      <w:r w:rsidR="008B067E" w:rsidRPr="008B067E">
        <w:rPr>
          <w:lang w:val="pt-BR"/>
        </w:rPr>
        <w:t>-TiO</w:t>
      </w:r>
      <w:r w:rsidR="008B067E" w:rsidRPr="00161131">
        <w:rPr>
          <w:vertAlign w:val="subscript"/>
          <w:lang w:val="pt-BR"/>
        </w:rPr>
        <w:t>2</w:t>
      </w:r>
      <w:r>
        <w:rPr>
          <w:lang w:val="pt-BR"/>
        </w:rPr>
        <w:t>.</w:t>
      </w:r>
      <w:r w:rsidR="002E18F1">
        <w:rPr>
          <w:lang w:val="pt-BR"/>
        </w:rPr>
        <w:t xml:space="preserve"> Outro ponto importante é que o uso do </w:t>
      </w:r>
      <w:proofErr w:type="spellStart"/>
      <w:r w:rsidR="002E18F1">
        <w:rPr>
          <w:lang w:val="pt-BR"/>
        </w:rPr>
        <w:t>HCl</w:t>
      </w:r>
      <w:proofErr w:type="spellEnd"/>
      <w:r w:rsidR="002E18F1">
        <w:rPr>
          <w:lang w:val="pt-BR"/>
        </w:rPr>
        <w:t xml:space="preserve"> durante a síntese leva a materiais com maior área e volume de poros, o que </w:t>
      </w:r>
      <w:proofErr w:type="spellStart"/>
      <w:r w:rsidR="002E18F1">
        <w:rPr>
          <w:lang w:val="pt-BR"/>
        </w:rPr>
        <w:t>cataliticamente</w:t>
      </w:r>
      <w:proofErr w:type="spellEnd"/>
      <w:r w:rsidR="002E18F1">
        <w:rPr>
          <w:lang w:val="pt-BR"/>
        </w:rPr>
        <w:t xml:space="preserve"> é interessante, uma vez que a reação ocorre na superfície dos sólidos.</w:t>
      </w:r>
    </w:p>
    <w:p w14:paraId="338B6B99" w14:textId="77777777" w:rsidR="002F79D0" w:rsidRDefault="002F79D0" w:rsidP="00EA4E1B"/>
    <w:p w14:paraId="755F6D63" w14:textId="77777777" w:rsidR="00846C30" w:rsidRDefault="00846C30" w:rsidP="002F79D0">
      <w:pPr>
        <w:pStyle w:val="VDTableTitle"/>
        <w:spacing w:after="120"/>
        <w:jc w:val="both"/>
        <w:rPr>
          <w:rFonts w:ascii="Times New Roman" w:hAnsi="Times New Roman"/>
          <w:b/>
          <w:lang w:val="pt-BR"/>
        </w:rPr>
      </w:pPr>
    </w:p>
    <w:p w14:paraId="01DE5307" w14:textId="77777777" w:rsidR="00846C30" w:rsidRDefault="00846C30" w:rsidP="002F79D0">
      <w:pPr>
        <w:pStyle w:val="VDTableTitle"/>
        <w:spacing w:after="120"/>
        <w:jc w:val="both"/>
        <w:rPr>
          <w:rFonts w:ascii="Times New Roman" w:hAnsi="Times New Roman"/>
          <w:b/>
          <w:lang w:val="pt-BR"/>
        </w:rPr>
      </w:pPr>
    </w:p>
    <w:p w14:paraId="277E34F7" w14:textId="19AF8AA3" w:rsidR="002F79D0" w:rsidRPr="00E038AF" w:rsidRDefault="002F79D0" w:rsidP="002F79D0">
      <w:pPr>
        <w:pStyle w:val="VDTableTitle"/>
        <w:spacing w:after="120"/>
        <w:jc w:val="both"/>
        <w:rPr>
          <w:rFonts w:ascii="Times New Roman" w:hAnsi="Times New Roman"/>
          <w:lang w:val="pt-BR"/>
        </w:rPr>
      </w:pPr>
      <w:r w:rsidRPr="00E038AF">
        <w:rPr>
          <w:rFonts w:ascii="Times New Roman" w:hAnsi="Times New Roman"/>
          <w:b/>
          <w:lang w:val="pt-BR"/>
        </w:rPr>
        <w:lastRenderedPageBreak/>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853EEB" w:rsidRPr="00853EEB">
        <w:rPr>
          <w:rFonts w:ascii="Times New Roman" w:hAnsi="Times New Roman"/>
          <w:lang w:val="pt-BR"/>
        </w:rPr>
        <w:t>Resultado d</w:t>
      </w:r>
      <w:r w:rsidR="00E61E52">
        <w:rPr>
          <w:rFonts w:ascii="Times New Roman" w:hAnsi="Times New Roman"/>
          <w:lang w:val="pt-BR"/>
        </w:rPr>
        <w:t>a</w:t>
      </w:r>
      <w:r w:rsidR="00853EEB" w:rsidRPr="00853EEB">
        <w:rPr>
          <w:rFonts w:ascii="Times New Roman" w:hAnsi="Times New Roman"/>
          <w:lang w:val="pt-BR"/>
        </w:rPr>
        <w:t xml:space="preserve"> análise textural</w:t>
      </w:r>
      <w:r>
        <w:rPr>
          <w:rFonts w:ascii="Times New Roman" w:hAnsi="Times New Roman"/>
          <w:lang w:val="pt-BR"/>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88"/>
        <w:gridCol w:w="1218"/>
        <w:gridCol w:w="1239"/>
        <w:gridCol w:w="1313"/>
      </w:tblGrid>
      <w:tr w:rsidR="007A6687" w:rsidRPr="00B3142A" w14:paraId="2247FF67" w14:textId="77777777" w:rsidTr="00E05D32">
        <w:trPr>
          <w:trHeight w:val="626"/>
        </w:trPr>
        <w:tc>
          <w:tcPr>
            <w:tcW w:w="988" w:type="dxa"/>
            <w:vAlign w:val="center"/>
          </w:tcPr>
          <w:p w14:paraId="2FC2A15A" w14:textId="77777777" w:rsidR="007A6687" w:rsidRPr="00B3142A" w:rsidRDefault="007A6687" w:rsidP="007A6687">
            <w:pPr>
              <w:pStyle w:val="TCTableBody"/>
              <w:jc w:val="center"/>
              <w:rPr>
                <w:b/>
                <w:bCs/>
                <w:lang w:val="pt-BR"/>
              </w:rPr>
            </w:pPr>
            <w:r w:rsidRPr="00B3142A">
              <w:rPr>
                <w:b/>
                <w:bCs/>
                <w:lang w:val="pt-BR"/>
              </w:rPr>
              <w:t>Óxido</w:t>
            </w:r>
          </w:p>
        </w:tc>
        <w:tc>
          <w:tcPr>
            <w:tcW w:w="1218" w:type="dxa"/>
            <w:vAlign w:val="center"/>
          </w:tcPr>
          <w:p w14:paraId="58B4C752" w14:textId="26E3F817" w:rsidR="007A6687" w:rsidRPr="00B3142A" w:rsidRDefault="007A6687" w:rsidP="007A6687">
            <w:pPr>
              <w:pStyle w:val="TCTableBody"/>
              <w:jc w:val="center"/>
              <w:rPr>
                <w:b/>
                <w:bCs/>
                <w:lang w:val="pt-BR"/>
              </w:rPr>
            </w:pPr>
            <w:r w:rsidRPr="002F79D0">
              <w:rPr>
                <w:b/>
                <w:bCs/>
                <w:lang w:val="pt-BR"/>
              </w:rPr>
              <w:t xml:space="preserve">Área </w:t>
            </w:r>
            <w:proofErr w:type="gramStart"/>
            <w:r w:rsidRPr="002F79D0">
              <w:rPr>
                <w:b/>
                <w:bCs/>
                <w:lang w:val="pt-BR"/>
              </w:rPr>
              <w:t>específica</w:t>
            </w:r>
            <w:r w:rsidRPr="002F79D0">
              <w:rPr>
                <w:b/>
                <w:bCs/>
                <w:vertAlign w:val="superscript"/>
                <w:lang w:val="pt-BR"/>
              </w:rPr>
              <w:t>(</w:t>
            </w:r>
            <w:proofErr w:type="gramEnd"/>
            <w:r w:rsidRPr="002F79D0">
              <w:rPr>
                <w:b/>
                <w:bCs/>
                <w:vertAlign w:val="superscript"/>
                <w:lang w:val="pt-BR"/>
              </w:rPr>
              <w:t xml:space="preserve">1) </w:t>
            </w:r>
            <w:r w:rsidRPr="002F79D0">
              <w:rPr>
                <w:b/>
                <w:bCs/>
                <w:lang w:val="pt-BR"/>
              </w:rPr>
              <w:t>(m</w:t>
            </w:r>
            <w:r w:rsidRPr="002E18F1">
              <w:rPr>
                <w:b/>
                <w:bCs/>
                <w:vertAlign w:val="superscript"/>
                <w:lang w:val="pt-BR"/>
              </w:rPr>
              <w:t>2</w:t>
            </w:r>
            <w:r w:rsidRPr="002F79D0">
              <w:rPr>
                <w:b/>
                <w:bCs/>
                <w:lang w:val="pt-BR"/>
              </w:rPr>
              <w:t xml:space="preserve"> g-1)</w:t>
            </w:r>
          </w:p>
        </w:tc>
        <w:tc>
          <w:tcPr>
            <w:tcW w:w="0" w:type="auto"/>
            <w:vAlign w:val="center"/>
          </w:tcPr>
          <w:p w14:paraId="2A4F7586" w14:textId="6615755E" w:rsidR="007A6687" w:rsidRPr="00B3142A" w:rsidRDefault="007A6687" w:rsidP="007A6687">
            <w:pPr>
              <w:pStyle w:val="TCTableBody"/>
              <w:jc w:val="center"/>
              <w:rPr>
                <w:b/>
                <w:bCs/>
                <w:lang w:val="pt-BR"/>
              </w:rPr>
            </w:pPr>
            <w:r w:rsidRPr="008033E3">
              <w:rPr>
                <w:b/>
                <w:bCs/>
                <w:lang w:val="pt-BR"/>
              </w:rPr>
              <w:t xml:space="preserve">Volume de </w:t>
            </w:r>
            <w:proofErr w:type="gramStart"/>
            <w:r w:rsidRPr="008033E3">
              <w:rPr>
                <w:b/>
                <w:bCs/>
                <w:lang w:val="pt-BR"/>
              </w:rPr>
              <w:t>poros</w:t>
            </w:r>
            <w:r w:rsidRPr="007A6687">
              <w:rPr>
                <w:b/>
                <w:bCs/>
                <w:vertAlign w:val="superscript"/>
                <w:lang w:val="pt-BR"/>
              </w:rPr>
              <w:t>(</w:t>
            </w:r>
            <w:proofErr w:type="gramEnd"/>
            <w:r w:rsidRPr="007A6687">
              <w:rPr>
                <w:b/>
                <w:bCs/>
                <w:vertAlign w:val="superscript"/>
                <w:lang w:val="pt-BR"/>
              </w:rPr>
              <w:t>2)</w:t>
            </w:r>
            <w:r w:rsidRPr="008033E3">
              <w:rPr>
                <w:b/>
                <w:bCs/>
                <w:lang w:val="pt-BR"/>
              </w:rPr>
              <w:t xml:space="preserve"> (10</w:t>
            </w:r>
            <w:r w:rsidRPr="007A6687">
              <w:rPr>
                <w:b/>
                <w:bCs/>
                <w:vertAlign w:val="superscript"/>
                <w:lang w:val="pt-BR"/>
              </w:rPr>
              <w:t>-2</w:t>
            </w:r>
            <w:r w:rsidRPr="008033E3">
              <w:rPr>
                <w:b/>
                <w:bCs/>
                <w:lang w:val="pt-BR"/>
              </w:rPr>
              <w:t xml:space="preserve"> cm</w:t>
            </w:r>
            <w:r w:rsidRPr="007A6687">
              <w:rPr>
                <w:b/>
                <w:bCs/>
                <w:vertAlign w:val="superscript"/>
                <w:lang w:val="pt-BR"/>
              </w:rPr>
              <w:t>3</w:t>
            </w:r>
            <w:r w:rsidRPr="008033E3">
              <w:rPr>
                <w:b/>
                <w:bCs/>
                <w:lang w:val="pt-BR"/>
              </w:rPr>
              <w:t xml:space="preserve"> g</w:t>
            </w:r>
            <w:r w:rsidRPr="007A6687">
              <w:rPr>
                <w:b/>
                <w:bCs/>
                <w:vertAlign w:val="superscript"/>
                <w:lang w:val="pt-BR"/>
              </w:rPr>
              <w:t>-1</w:t>
            </w:r>
            <w:r w:rsidRPr="008033E3">
              <w:rPr>
                <w:b/>
                <w:bCs/>
                <w:lang w:val="pt-BR"/>
              </w:rPr>
              <w:t>)</w:t>
            </w:r>
          </w:p>
        </w:tc>
        <w:tc>
          <w:tcPr>
            <w:tcW w:w="0" w:type="auto"/>
            <w:vAlign w:val="center"/>
          </w:tcPr>
          <w:p w14:paraId="455C5C43" w14:textId="6A000CC6" w:rsidR="007A6687" w:rsidRPr="00B3142A" w:rsidRDefault="007A6687" w:rsidP="007A6687">
            <w:pPr>
              <w:pStyle w:val="TCTableBody"/>
              <w:jc w:val="center"/>
              <w:rPr>
                <w:b/>
                <w:bCs/>
                <w:lang w:val="pt-BR"/>
              </w:rPr>
            </w:pPr>
            <w:r w:rsidRPr="007A6687">
              <w:rPr>
                <w:b/>
                <w:bCs/>
                <w:lang w:val="pt-BR"/>
              </w:rPr>
              <w:t xml:space="preserve">Diâmetro médio de </w:t>
            </w:r>
            <w:proofErr w:type="gramStart"/>
            <w:r w:rsidRPr="007A6687">
              <w:rPr>
                <w:b/>
                <w:bCs/>
                <w:lang w:val="pt-BR"/>
              </w:rPr>
              <w:t>poros</w:t>
            </w:r>
            <w:r w:rsidRPr="007A6687">
              <w:rPr>
                <w:b/>
                <w:bCs/>
                <w:vertAlign w:val="superscript"/>
                <w:lang w:val="pt-BR"/>
              </w:rPr>
              <w:t>(</w:t>
            </w:r>
            <w:proofErr w:type="gramEnd"/>
            <w:r w:rsidRPr="007A6687">
              <w:rPr>
                <w:b/>
                <w:bCs/>
                <w:vertAlign w:val="superscript"/>
                <w:lang w:val="pt-BR"/>
              </w:rPr>
              <w:t>3)</w:t>
            </w:r>
            <w:r w:rsidRPr="007A6687">
              <w:rPr>
                <w:b/>
                <w:bCs/>
                <w:lang w:val="pt-BR"/>
              </w:rPr>
              <w:t xml:space="preserve"> (Å)</w:t>
            </w:r>
          </w:p>
        </w:tc>
      </w:tr>
      <w:tr w:rsidR="007A6687" w:rsidRPr="00072C7A" w14:paraId="6921B34E" w14:textId="77777777" w:rsidTr="00E05D32">
        <w:trPr>
          <w:trHeight w:val="394"/>
        </w:trPr>
        <w:tc>
          <w:tcPr>
            <w:tcW w:w="988" w:type="dxa"/>
            <w:vAlign w:val="center"/>
          </w:tcPr>
          <w:p w14:paraId="3F1DCD17" w14:textId="18D753BB" w:rsidR="007A6687" w:rsidRDefault="007A6687" w:rsidP="007A6687">
            <w:pPr>
              <w:pStyle w:val="TCTableBody"/>
              <w:jc w:val="center"/>
              <w:rPr>
                <w:lang w:val="pt-BR"/>
              </w:rPr>
            </w:pPr>
            <w:r w:rsidRPr="007A6687">
              <w:rPr>
                <w:lang w:val="pt-BR"/>
              </w:rPr>
              <w:t>10% SnO</w:t>
            </w:r>
            <w:r w:rsidRPr="007A6687">
              <w:rPr>
                <w:vertAlign w:val="subscript"/>
                <w:lang w:val="pt-BR"/>
              </w:rPr>
              <w:t>2</w:t>
            </w:r>
            <w:r w:rsidRPr="007A6687">
              <w:rPr>
                <w:lang w:val="pt-BR"/>
              </w:rPr>
              <w:t>-TiO</w:t>
            </w:r>
            <w:r w:rsidRPr="007A6687">
              <w:rPr>
                <w:vertAlign w:val="subscript"/>
                <w:lang w:val="pt-BR"/>
              </w:rPr>
              <w:t>2</w:t>
            </w:r>
            <w:r w:rsidRPr="007A6687">
              <w:rPr>
                <w:lang w:val="pt-BR"/>
              </w:rPr>
              <w:t xml:space="preserve"> </w:t>
            </w:r>
            <w:proofErr w:type="spellStart"/>
            <w:r w:rsidRPr="007A6687">
              <w:rPr>
                <w:lang w:val="pt-BR"/>
              </w:rPr>
              <w:t>HCl</w:t>
            </w:r>
            <w:proofErr w:type="spellEnd"/>
          </w:p>
        </w:tc>
        <w:tc>
          <w:tcPr>
            <w:tcW w:w="1218" w:type="dxa"/>
            <w:tcBorders>
              <w:bottom w:val="single" w:sz="6" w:space="0" w:color="auto"/>
            </w:tcBorders>
            <w:vAlign w:val="center"/>
          </w:tcPr>
          <w:p w14:paraId="7551BE73" w14:textId="52035210" w:rsidR="007A6687" w:rsidRDefault="007A6687" w:rsidP="007A6687">
            <w:pPr>
              <w:pStyle w:val="TCTableBody"/>
              <w:jc w:val="center"/>
              <w:rPr>
                <w:lang w:val="pt-BR"/>
              </w:rPr>
            </w:pPr>
            <w:r>
              <w:rPr>
                <w:lang w:val="pt-BR"/>
              </w:rPr>
              <w:t>101</w:t>
            </w:r>
          </w:p>
        </w:tc>
        <w:tc>
          <w:tcPr>
            <w:tcW w:w="0" w:type="auto"/>
            <w:tcBorders>
              <w:bottom w:val="single" w:sz="6" w:space="0" w:color="auto"/>
            </w:tcBorders>
            <w:vAlign w:val="center"/>
          </w:tcPr>
          <w:p w14:paraId="5C042C79" w14:textId="3C0C1C5D" w:rsidR="007A6687" w:rsidRDefault="007A6687" w:rsidP="007A6687">
            <w:pPr>
              <w:pStyle w:val="TCTableBody"/>
              <w:jc w:val="center"/>
              <w:rPr>
                <w:lang w:val="pt-BR"/>
              </w:rPr>
            </w:pPr>
            <w:r>
              <w:rPr>
                <w:lang w:val="pt-BR"/>
              </w:rPr>
              <w:t>34</w:t>
            </w:r>
          </w:p>
        </w:tc>
        <w:tc>
          <w:tcPr>
            <w:tcW w:w="0" w:type="auto"/>
            <w:tcBorders>
              <w:bottom w:val="single" w:sz="6" w:space="0" w:color="auto"/>
            </w:tcBorders>
            <w:vAlign w:val="center"/>
          </w:tcPr>
          <w:p w14:paraId="272B10F9" w14:textId="503830A7" w:rsidR="007A6687" w:rsidRDefault="007A6687" w:rsidP="007A6687">
            <w:pPr>
              <w:pStyle w:val="TCTableBody"/>
              <w:jc w:val="center"/>
              <w:rPr>
                <w:lang w:val="pt-BR"/>
              </w:rPr>
            </w:pPr>
            <w:r>
              <w:rPr>
                <w:lang w:val="pt-BR"/>
              </w:rPr>
              <w:t>96</w:t>
            </w:r>
          </w:p>
        </w:tc>
      </w:tr>
      <w:tr w:rsidR="007A6687" w:rsidRPr="00072C7A" w14:paraId="250137AA" w14:textId="77777777" w:rsidTr="00E05D32">
        <w:trPr>
          <w:trHeight w:val="230"/>
        </w:trPr>
        <w:tc>
          <w:tcPr>
            <w:tcW w:w="988" w:type="dxa"/>
            <w:vAlign w:val="center"/>
          </w:tcPr>
          <w:p w14:paraId="4CE8B6B7" w14:textId="05978E2A" w:rsidR="007A6687" w:rsidRPr="00197AA3" w:rsidRDefault="007A6687" w:rsidP="007A6687">
            <w:pPr>
              <w:pStyle w:val="TCTableBody"/>
              <w:jc w:val="center"/>
              <w:rPr>
                <w:lang w:val="pt-BR"/>
              </w:rPr>
            </w:pPr>
            <w:r w:rsidRPr="007A6687">
              <w:rPr>
                <w:lang w:val="pt-BR"/>
              </w:rPr>
              <w:t>1% SnO</w:t>
            </w:r>
            <w:r w:rsidRPr="007A6687">
              <w:rPr>
                <w:vertAlign w:val="subscript"/>
                <w:lang w:val="pt-BR"/>
              </w:rPr>
              <w:t>2</w:t>
            </w:r>
            <w:r w:rsidRPr="007A6687">
              <w:rPr>
                <w:lang w:val="pt-BR"/>
              </w:rPr>
              <w:t>-TiO</w:t>
            </w:r>
            <w:r w:rsidRPr="007A6687">
              <w:rPr>
                <w:vertAlign w:val="subscript"/>
                <w:lang w:val="pt-BR"/>
              </w:rPr>
              <w:t>2</w:t>
            </w:r>
            <w:r w:rsidR="00E05D32" w:rsidRPr="007A6687">
              <w:rPr>
                <w:lang w:val="pt-BR"/>
              </w:rPr>
              <w:t xml:space="preserve"> </w:t>
            </w:r>
            <w:proofErr w:type="spellStart"/>
            <w:r w:rsidR="00E05D32" w:rsidRPr="007A6687">
              <w:rPr>
                <w:lang w:val="pt-BR"/>
              </w:rPr>
              <w:t>HCl</w:t>
            </w:r>
            <w:proofErr w:type="spellEnd"/>
          </w:p>
        </w:tc>
        <w:tc>
          <w:tcPr>
            <w:tcW w:w="1218" w:type="dxa"/>
            <w:vAlign w:val="center"/>
          </w:tcPr>
          <w:p w14:paraId="16B65C3B" w14:textId="61C7CE27" w:rsidR="007A6687" w:rsidRPr="00197AA3" w:rsidRDefault="001B3366" w:rsidP="007A6687">
            <w:pPr>
              <w:pStyle w:val="TCTableBody"/>
              <w:jc w:val="center"/>
              <w:rPr>
                <w:lang w:val="pt-BR"/>
              </w:rPr>
            </w:pPr>
            <w:r>
              <w:rPr>
                <w:lang w:val="pt-BR"/>
              </w:rPr>
              <w:t>112</w:t>
            </w:r>
          </w:p>
        </w:tc>
        <w:tc>
          <w:tcPr>
            <w:tcW w:w="0" w:type="auto"/>
            <w:vAlign w:val="center"/>
          </w:tcPr>
          <w:p w14:paraId="6CFCFD6D" w14:textId="31F2A9A2" w:rsidR="007A6687" w:rsidRDefault="001B3366" w:rsidP="007A6687">
            <w:pPr>
              <w:pStyle w:val="TCTableBody"/>
              <w:jc w:val="center"/>
              <w:rPr>
                <w:lang w:val="pt-BR"/>
              </w:rPr>
            </w:pPr>
            <w:r>
              <w:rPr>
                <w:lang w:val="pt-BR"/>
              </w:rPr>
              <w:t>32</w:t>
            </w:r>
          </w:p>
        </w:tc>
        <w:tc>
          <w:tcPr>
            <w:tcW w:w="0" w:type="auto"/>
            <w:vAlign w:val="center"/>
          </w:tcPr>
          <w:p w14:paraId="40932F11" w14:textId="6DCF9E91" w:rsidR="007A6687" w:rsidRDefault="001B3366" w:rsidP="007A6687">
            <w:pPr>
              <w:pStyle w:val="TCTableBody"/>
              <w:jc w:val="center"/>
              <w:rPr>
                <w:lang w:val="pt-BR"/>
              </w:rPr>
            </w:pPr>
            <w:r>
              <w:rPr>
                <w:lang w:val="pt-BR"/>
              </w:rPr>
              <w:t>81</w:t>
            </w:r>
          </w:p>
        </w:tc>
      </w:tr>
      <w:tr w:rsidR="00E05D32" w:rsidRPr="00072C7A" w14:paraId="27C1A0B7" w14:textId="77777777" w:rsidTr="00E05D32">
        <w:trPr>
          <w:trHeight w:val="230"/>
        </w:trPr>
        <w:tc>
          <w:tcPr>
            <w:tcW w:w="988" w:type="dxa"/>
            <w:tcBorders>
              <w:bottom w:val="single" w:sz="6" w:space="0" w:color="auto"/>
            </w:tcBorders>
            <w:vAlign w:val="center"/>
          </w:tcPr>
          <w:p w14:paraId="52E4BBED" w14:textId="09793F25" w:rsidR="00E05D32" w:rsidRPr="007A6687" w:rsidRDefault="00E05D32" w:rsidP="00E05D32">
            <w:pPr>
              <w:pStyle w:val="TCTableBody"/>
              <w:jc w:val="center"/>
              <w:rPr>
                <w:lang w:val="pt-BR"/>
              </w:rPr>
            </w:pPr>
            <w:r w:rsidRPr="007A6687">
              <w:rPr>
                <w:lang w:val="pt-BR"/>
              </w:rPr>
              <w:t>10% SnO</w:t>
            </w:r>
            <w:r w:rsidRPr="007A6687">
              <w:rPr>
                <w:vertAlign w:val="subscript"/>
                <w:lang w:val="pt-BR"/>
              </w:rPr>
              <w:t>2</w:t>
            </w:r>
            <w:r w:rsidRPr="007A6687">
              <w:rPr>
                <w:lang w:val="pt-BR"/>
              </w:rPr>
              <w:t>-TiO</w:t>
            </w:r>
            <w:r w:rsidRPr="007A6687">
              <w:rPr>
                <w:vertAlign w:val="subscript"/>
                <w:lang w:val="pt-BR"/>
              </w:rPr>
              <w:t>2</w:t>
            </w:r>
          </w:p>
        </w:tc>
        <w:tc>
          <w:tcPr>
            <w:tcW w:w="1218" w:type="dxa"/>
            <w:tcBorders>
              <w:bottom w:val="single" w:sz="6" w:space="0" w:color="auto"/>
            </w:tcBorders>
            <w:vAlign w:val="center"/>
          </w:tcPr>
          <w:p w14:paraId="2C0A42BF" w14:textId="7FA6CE57" w:rsidR="00E05D32" w:rsidRDefault="001B3366" w:rsidP="00E05D32">
            <w:pPr>
              <w:pStyle w:val="TCTableBody"/>
              <w:jc w:val="center"/>
              <w:rPr>
                <w:lang w:val="pt-BR"/>
              </w:rPr>
            </w:pPr>
            <w:r>
              <w:rPr>
                <w:lang w:val="pt-BR"/>
              </w:rPr>
              <w:t>71</w:t>
            </w:r>
          </w:p>
        </w:tc>
        <w:tc>
          <w:tcPr>
            <w:tcW w:w="0" w:type="auto"/>
            <w:tcBorders>
              <w:bottom w:val="single" w:sz="6" w:space="0" w:color="auto"/>
            </w:tcBorders>
            <w:vAlign w:val="center"/>
          </w:tcPr>
          <w:p w14:paraId="20AF7673" w14:textId="64E4E46C" w:rsidR="00E05D32" w:rsidRDefault="001B3366" w:rsidP="00E05D32">
            <w:pPr>
              <w:pStyle w:val="TCTableBody"/>
              <w:jc w:val="center"/>
              <w:rPr>
                <w:lang w:val="pt-BR"/>
              </w:rPr>
            </w:pPr>
            <w:r>
              <w:rPr>
                <w:lang w:val="pt-BR"/>
              </w:rPr>
              <w:t>25</w:t>
            </w:r>
          </w:p>
        </w:tc>
        <w:tc>
          <w:tcPr>
            <w:tcW w:w="0" w:type="auto"/>
            <w:tcBorders>
              <w:bottom w:val="single" w:sz="6" w:space="0" w:color="auto"/>
            </w:tcBorders>
            <w:vAlign w:val="center"/>
          </w:tcPr>
          <w:p w14:paraId="065FE42F" w14:textId="4E226EB9" w:rsidR="00E05D32" w:rsidRDefault="001B3366" w:rsidP="00E05D32">
            <w:pPr>
              <w:pStyle w:val="TCTableBody"/>
              <w:jc w:val="center"/>
              <w:rPr>
                <w:lang w:val="pt-BR"/>
              </w:rPr>
            </w:pPr>
            <w:r>
              <w:rPr>
                <w:lang w:val="pt-BR"/>
              </w:rPr>
              <w:t>101</w:t>
            </w:r>
          </w:p>
        </w:tc>
      </w:tr>
      <w:tr w:rsidR="00E05D32" w:rsidRPr="00072C7A" w14:paraId="7069D0C5" w14:textId="77777777" w:rsidTr="00E05D32">
        <w:trPr>
          <w:trHeight w:val="230"/>
        </w:trPr>
        <w:tc>
          <w:tcPr>
            <w:tcW w:w="988" w:type="dxa"/>
            <w:tcBorders>
              <w:bottom w:val="single" w:sz="6" w:space="0" w:color="auto"/>
            </w:tcBorders>
            <w:vAlign w:val="center"/>
          </w:tcPr>
          <w:p w14:paraId="00CCDABD" w14:textId="6B03E598" w:rsidR="00E05D32" w:rsidRPr="007A6687" w:rsidRDefault="00E05D32" w:rsidP="00E05D32">
            <w:pPr>
              <w:pStyle w:val="TCTableBody"/>
              <w:jc w:val="center"/>
              <w:rPr>
                <w:lang w:val="pt-BR"/>
              </w:rPr>
            </w:pPr>
            <w:r w:rsidRPr="007A6687">
              <w:rPr>
                <w:lang w:val="pt-BR"/>
              </w:rPr>
              <w:t>1% SnO</w:t>
            </w:r>
            <w:r w:rsidRPr="007A6687">
              <w:rPr>
                <w:vertAlign w:val="subscript"/>
                <w:lang w:val="pt-BR"/>
              </w:rPr>
              <w:t>2</w:t>
            </w:r>
            <w:r w:rsidRPr="007A6687">
              <w:rPr>
                <w:lang w:val="pt-BR"/>
              </w:rPr>
              <w:t>-TiO</w:t>
            </w:r>
            <w:r w:rsidRPr="007A6687">
              <w:rPr>
                <w:vertAlign w:val="subscript"/>
                <w:lang w:val="pt-BR"/>
              </w:rPr>
              <w:t>2</w:t>
            </w:r>
          </w:p>
        </w:tc>
        <w:tc>
          <w:tcPr>
            <w:tcW w:w="1218" w:type="dxa"/>
            <w:tcBorders>
              <w:bottom w:val="single" w:sz="6" w:space="0" w:color="auto"/>
            </w:tcBorders>
            <w:vAlign w:val="center"/>
          </w:tcPr>
          <w:p w14:paraId="4DF02F5E" w14:textId="4A09E6B3" w:rsidR="00E05D32" w:rsidRDefault="00E05D32" w:rsidP="00E05D32">
            <w:pPr>
              <w:pStyle w:val="TCTableBody"/>
              <w:jc w:val="center"/>
              <w:rPr>
                <w:lang w:val="pt-BR"/>
              </w:rPr>
            </w:pPr>
            <w:r>
              <w:rPr>
                <w:lang w:val="pt-BR"/>
              </w:rPr>
              <w:t>42</w:t>
            </w:r>
          </w:p>
        </w:tc>
        <w:tc>
          <w:tcPr>
            <w:tcW w:w="0" w:type="auto"/>
            <w:tcBorders>
              <w:bottom w:val="single" w:sz="6" w:space="0" w:color="auto"/>
            </w:tcBorders>
            <w:vAlign w:val="center"/>
          </w:tcPr>
          <w:p w14:paraId="12561786" w14:textId="78E43804" w:rsidR="00E05D32" w:rsidRDefault="00E05D32" w:rsidP="00E05D32">
            <w:pPr>
              <w:pStyle w:val="TCTableBody"/>
              <w:jc w:val="center"/>
              <w:rPr>
                <w:lang w:val="pt-BR"/>
              </w:rPr>
            </w:pPr>
            <w:r>
              <w:rPr>
                <w:lang w:val="pt-BR"/>
              </w:rPr>
              <w:t>16</w:t>
            </w:r>
          </w:p>
        </w:tc>
        <w:tc>
          <w:tcPr>
            <w:tcW w:w="0" w:type="auto"/>
            <w:tcBorders>
              <w:bottom w:val="single" w:sz="6" w:space="0" w:color="auto"/>
            </w:tcBorders>
            <w:vAlign w:val="center"/>
          </w:tcPr>
          <w:p w14:paraId="0BD11D9D" w14:textId="6645ED3C" w:rsidR="00E05D32" w:rsidRDefault="00E05D32" w:rsidP="00E05D32">
            <w:pPr>
              <w:pStyle w:val="TCTableBody"/>
              <w:jc w:val="center"/>
              <w:rPr>
                <w:lang w:val="pt-BR"/>
              </w:rPr>
            </w:pPr>
            <w:r>
              <w:rPr>
                <w:lang w:val="pt-BR"/>
              </w:rPr>
              <w:t>157</w:t>
            </w:r>
          </w:p>
        </w:tc>
      </w:tr>
      <w:tr w:rsidR="00E05D32" w:rsidRPr="00072C7A" w14:paraId="7CCF5D03" w14:textId="77777777" w:rsidTr="00E05D32">
        <w:trPr>
          <w:trHeight w:val="230"/>
        </w:trPr>
        <w:tc>
          <w:tcPr>
            <w:tcW w:w="988" w:type="dxa"/>
            <w:tcBorders>
              <w:bottom w:val="single" w:sz="6" w:space="0" w:color="auto"/>
            </w:tcBorders>
            <w:vAlign w:val="center"/>
          </w:tcPr>
          <w:p w14:paraId="47A53D0B" w14:textId="38EE4D0E" w:rsidR="00E05D32" w:rsidRPr="007A6687" w:rsidRDefault="00E05D32" w:rsidP="00E05D32">
            <w:pPr>
              <w:pStyle w:val="TCTableBody"/>
              <w:jc w:val="center"/>
              <w:rPr>
                <w:lang w:val="pt-BR"/>
              </w:rPr>
            </w:pPr>
            <w:r w:rsidRPr="007A6687">
              <w:rPr>
                <w:lang w:val="pt-BR"/>
              </w:rPr>
              <w:t>TiO</w:t>
            </w:r>
            <w:r w:rsidRPr="007A6687">
              <w:rPr>
                <w:vertAlign w:val="subscript"/>
                <w:lang w:val="pt-BR"/>
              </w:rPr>
              <w:t>2</w:t>
            </w:r>
            <w:r>
              <w:rPr>
                <w:vertAlign w:val="subscript"/>
                <w:lang w:val="pt-BR"/>
              </w:rPr>
              <w:t xml:space="preserve"> </w:t>
            </w:r>
            <w:r>
              <w:rPr>
                <w:lang w:val="pt-BR"/>
              </w:rPr>
              <w:t>P25</w:t>
            </w:r>
          </w:p>
        </w:tc>
        <w:tc>
          <w:tcPr>
            <w:tcW w:w="1218" w:type="dxa"/>
            <w:tcBorders>
              <w:bottom w:val="single" w:sz="6" w:space="0" w:color="auto"/>
            </w:tcBorders>
            <w:vAlign w:val="center"/>
          </w:tcPr>
          <w:p w14:paraId="29239EF2" w14:textId="6615EB8B" w:rsidR="00E05D32" w:rsidRDefault="00E05D32" w:rsidP="00E05D32">
            <w:pPr>
              <w:pStyle w:val="TCTableBody"/>
              <w:jc w:val="center"/>
              <w:rPr>
                <w:lang w:val="pt-BR"/>
              </w:rPr>
            </w:pPr>
            <w:r>
              <w:rPr>
                <w:lang w:val="pt-BR"/>
              </w:rPr>
              <w:t>44</w:t>
            </w:r>
          </w:p>
        </w:tc>
        <w:tc>
          <w:tcPr>
            <w:tcW w:w="0" w:type="auto"/>
            <w:tcBorders>
              <w:bottom w:val="single" w:sz="6" w:space="0" w:color="auto"/>
            </w:tcBorders>
            <w:vAlign w:val="center"/>
          </w:tcPr>
          <w:p w14:paraId="56957C7C" w14:textId="26285101" w:rsidR="00E05D32" w:rsidRDefault="00E05D32" w:rsidP="00E05D32">
            <w:pPr>
              <w:pStyle w:val="TCTableBody"/>
              <w:jc w:val="center"/>
              <w:rPr>
                <w:lang w:val="pt-BR"/>
              </w:rPr>
            </w:pPr>
            <w:r>
              <w:rPr>
                <w:lang w:val="pt-BR"/>
              </w:rPr>
              <w:t>21</w:t>
            </w:r>
          </w:p>
        </w:tc>
        <w:tc>
          <w:tcPr>
            <w:tcW w:w="0" w:type="auto"/>
            <w:tcBorders>
              <w:bottom w:val="single" w:sz="6" w:space="0" w:color="auto"/>
            </w:tcBorders>
            <w:vAlign w:val="center"/>
          </w:tcPr>
          <w:p w14:paraId="3FD58154" w14:textId="4EC97499" w:rsidR="00E05D32" w:rsidRDefault="00E05D32" w:rsidP="00E05D32">
            <w:pPr>
              <w:pStyle w:val="TCTableBody"/>
              <w:jc w:val="center"/>
              <w:rPr>
                <w:lang w:val="pt-BR"/>
              </w:rPr>
            </w:pPr>
            <w:r>
              <w:rPr>
                <w:lang w:val="pt-BR"/>
              </w:rPr>
              <w:t>190</w:t>
            </w:r>
          </w:p>
        </w:tc>
      </w:tr>
    </w:tbl>
    <w:p w14:paraId="13446CAF" w14:textId="77777777" w:rsidR="007A6687" w:rsidRDefault="007A6687" w:rsidP="007A6687">
      <w:pPr>
        <w:rPr>
          <w:rFonts w:ascii="Times New Roman" w:eastAsia="Times New Roman" w:hAnsi="Times New Roman" w:cs="Times New Roman"/>
          <w:sz w:val="18"/>
          <w:szCs w:val="20"/>
          <w:lang w:eastAsia="pt-BR"/>
        </w:rPr>
      </w:pPr>
      <w:r w:rsidRPr="00E61E52">
        <w:rPr>
          <w:rFonts w:ascii="Times New Roman" w:eastAsia="Times New Roman" w:hAnsi="Times New Roman" w:cs="Times New Roman"/>
          <w:sz w:val="18"/>
          <w:szCs w:val="20"/>
          <w:vertAlign w:val="superscript"/>
          <w:lang w:eastAsia="pt-BR"/>
        </w:rPr>
        <w:t>1</w:t>
      </w:r>
      <w:r w:rsidRPr="007A6687">
        <w:rPr>
          <w:rFonts w:ascii="Times New Roman" w:eastAsia="Times New Roman" w:hAnsi="Times New Roman" w:cs="Times New Roman"/>
          <w:sz w:val="18"/>
          <w:szCs w:val="20"/>
          <w:lang w:eastAsia="pt-BR"/>
        </w:rPr>
        <w:t xml:space="preserve">Área específica pelo método BET; </w:t>
      </w:r>
      <w:r w:rsidRPr="00E61E52">
        <w:rPr>
          <w:rFonts w:ascii="Times New Roman" w:eastAsia="Times New Roman" w:hAnsi="Times New Roman" w:cs="Times New Roman"/>
          <w:sz w:val="18"/>
          <w:szCs w:val="20"/>
          <w:vertAlign w:val="superscript"/>
          <w:lang w:eastAsia="pt-BR"/>
        </w:rPr>
        <w:t>2</w:t>
      </w:r>
      <w:r w:rsidRPr="007A6687">
        <w:rPr>
          <w:rFonts w:ascii="Times New Roman" w:eastAsia="Times New Roman" w:hAnsi="Times New Roman" w:cs="Times New Roman"/>
          <w:sz w:val="18"/>
          <w:szCs w:val="20"/>
          <w:lang w:eastAsia="pt-BR"/>
        </w:rPr>
        <w:t xml:space="preserve">Volume específico de poros determinado a p/p0 próximo da pressão de saturação; </w:t>
      </w:r>
      <w:r w:rsidRPr="00E61E52">
        <w:rPr>
          <w:rFonts w:ascii="Times New Roman" w:eastAsia="Times New Roman" w:hAnsi="Times New Roman" w:cs="Times New Roman"/>
          <w:sz w:val="18"/>
          <w:szCs w:val="20"/>
          <w:vertAlign w:val="superscript"/>
          <w:lang w:eastAsia="pt-BR"/>
        </w:rPr>
        <w:t>3</w:t>
      </w:r>
      <w:r w:rsidRPr="007A6687">
        <w:rPr>
          <w:rFonts w:ascii="Times New Roman" w:eastAsia="Times New Roman" w:hAnsi="Times New Roman" w:cs="Times New Roman"/>
          <w:sz w:val="18"/>
          <w:szCs w:val="20"/>
          <w:lang w:eastAsia="pt-BR"/>
        </w:rPr>
        <w:t>Diâmetro médio de poros da curva de dessorção pelo método BJH (4V/A).</w:t>
      </w:r>
    </w:p>
    <w:p w14:paraId="1541325C" w14:textId="6A4607FB" w:rsidR="00161131" w:rsidRPr="00161131" w:rsidRDefault="00161131" w:rsidP="00161131">
      <w:pPr>
        <w:spacing w:line="240" w:lineRule="exact"/>
        <w:ind w:firstLine="187"/>
        <w:jc w:val="both"/>
        <w:rPr>
          <w:rFonts w:ascii="Times" w:eastAsia="Times New Roman" w:hAnsi="Times" w:cs="Times New Roman"/>
          <w:sz w:val="20"/>
          <w:szCs w:val="20"/>
          <w:lang w:eastAsia="pt-BR"/>
        </w:rPr>
      </w:pPr>
      <w:r w:rsidRPr="00161131">
        <w:rPr>
          <w:rFonts w:ascii="Times" w:eastAsia="Times New Roman" w:hAnsi="Times" w:cs="Times New Roman"/>
          <w:sz w:val="20"/>
          <w:szCs w:val="20"/>
          <w:lang w:eastAsia="pt-BR"/>
        </w:rPr>
        <w:t>As isotermas d</w:t>
      </w:r>
      <w:r>
        <w:rPr>
          <w:rFonts w:ascii="Times" w:eastAsia="Times New Roman" w:hAnsi="Times" w:cs="Times New Roman"/>
          <w:sz w:val="20"/>
          <w:szCs w:val="20"/>
          <w:lang w:eastAsia="pt-BR"/>
        </w:rPr>
        <w:t>e</w:t>
      </w:r>
      <w:r w:rsidRPr="00161131">
        <w:rPr>
          <w:rFonts w:ascii="Times" w:eastAsia="Times New Roman" w:hAnsi="Times" w:cs="Times New Roman"/>
          <w:sz w:val="20"/>
          <w:szCs w:val="20"/>
          <w:lang w:eastAsia="pt-BR"/>
        </w:rPr>
        <w:t xml:space="preserve"> duas amostras sintetizadas e da P25</w:t>
      </w:r>
      <w:r w:rsidR="00E05D32">
        <w:rPr>
          <w:rFonts w:ascii="Times" w:eastAsia="Times New Roman" w:hAnsi="Times" w:cs="Times New Roman"/>
          <w:sz w:val="20"/>
          <w:szCs w:val="20"/>
          <w:lang w:eastAsia="pt-BR"/>
        </w:rPr>
        <w:t>, usada como referência,</w:t>
      </w:r>
      <w:r w:rsidRPr="00161131">
        <w:rPr>
          <w:rFonts w:ascii="Times" w:eastAsia="Times New Roman" w:hAnsi="Times" w:cs="Times New Roman"/>
          <w:sz w:val="20"/>
          <w:szCs w:val="20"/>
          <w:lang w:eastAsia="pt-BR"/>
        </w:rPr>
        <w:t xml:space="preserve"> </w:t>
      </w:r>
      <w:r>
        <w:rPr>
          <w:rFonts w:ascii="Times" w:eastAsia="Times New Roman" w:hAnsi="Times" w:cs="Times New Roman"/>
          <w:sz w:val="20"/>
          <w:szCs w:val="20"/>
          <w:lang w:eastAsia="pt-BR"/>
        </w:rPr>
        <w:t>(</w:t>
      </w:r>
      <w:r w:rsidRPr="00161131">
        <w:rPr>
          <w:rFonts w:ascii="Times" w:eastAsia="Times New Roman" w:hAnsi="Times" w:cs="Times New Roman"/>
          <w:sz w:val="20"/>
          <w:szCs w:val="20"/>
          <w:lang w:eastAsia="pt-BR"/>
        </w:rPr>
        <w:t xml:space="preserve">Figura </w:t>
      </w:r>
      <w:r>
        <w:rPr>
          <w:rFonts w:ascii="Times" w:eastAsia="Times New Roman" w:hAnsi="Times" w:cs="Times New Roman"/>
          <w:sz w:val="20"/>
          <w:szCs w:val="20"/>
          <w:lang w:eastAsia="pt-BR"/>
        </w:rPr>
        <w:t>4) revela</w:t>
      </w:r>
      <w:r w:rsidR="00E05D32">
        <w:rPr>
          <w:rFonts w:ascii="Times" w:eastAsia="Times New Roman" w:hAnsi="Times" w:cs="Times New Roman"/>
          <w:sz w:val="20"/>
          <w:szCs w:val="20"/>
          <w:lang w:eastAsia="pt-BR"/>
        </w:rPr>
        <w:t>m</w:t>
      </w:r>
      <w:r w:rsidRPr="00161131">
        <w:rPr>
          <w:rFonts w:ascii="Times" w:eastAsia="Times New Roman" w:hAnsi="Times" w:cs="Times New Roman"/>
          <w:sz w:val="20"/>
          <w:szCs w:val="20"/>
          <w:lang w:eastAsia="pt-BR"/>
        </w:rPr>
        <w:t xml:space="preserve"> um loop de histerese em todas as amostras, indicando a presença de mesoporos, com formatos semelhantes aos do tipo H3</w:t>
      </w:r>
      <w:r>
        <w:rPr>
          <w:rFonts w:ascii="Times" w:eastAsia="Times New Roman" w:hAnsi="Times" w:cs="Times New Roman"/>
          <w:sz w:val="20"/>
          <w:szCs w:val="20"/>
          <w:lang w:eastAsia="pt-BR"/>
        </w:rPr>
        <w:t>,</w:t>
      </w:r>
      <w:r w:rsidRPr="00161131">
        <w:rPr>
          <w:rFonts w:ascii="Times" w:eastAsia="Times New Roman" w:hAnsi="Times" w:cs="Times New Roman"/>
          <w:sz w:val="20"/>
          <w:szCs w:val="20"/>
          <w:lang w:eastAsia="pt-BR"/>
        </w:rPr>
        <w:t xml:space="preserve"> segundo classificação da IUPAC</w:t>
      </w:r>
      <w:r>
        <w:rPr>
          <w:rFonts w:ascii="Times" w:eastAsia="Times New Roman" w:hAnsi="Times" w:cs="Times New Roman"/>
          <w:sz w:val="20"/>
          <w:szCs w:val="20"/>
          <w:lang w:eastAsia="pt-BR"/>
        </w:rPr>
        <w:t xml:space="preserve">, </w:t>
      </w:r>
      <w:r w:rsidRPr="00161131">
        <w:rPr>
          <w:rFonts w:ascii="Times" w:eastAsia="Times New Roman" w:hAnsi="Times" w:cs="Times New Roman"/>
          <w:sz w:val="20"/>
          <w:szCs w:val="20"/>
          <w:lang w:eastAsia="pt-BR"/>
        </w:rPr>
        <w:t>atribuído a poros com forma de fenda.</w:t>
      </w:r>
      <w:r w:rsidR="002E18F1">
        <w:rPr>
          <w:rFonts w:ascii="Times" w:eastAsia="Times New Roman" w:hAnsi="Times" w:cs="Times New Roman"/>
          <w:sz w:val="20"/>
          <w:szCs w:val="20"/>
          <w:lang w:eastAsia="pt-BR"/>
        </w:rPr>
        <w:t xml:space="preserve"> Esta característica é importante na degradação de corantes, por serem em sua maioria moléculas grandes, que só acessam sítios catalíticos dentro dos poros se esses tiverem dimensões adequadas, ou seja, </w:t>
      </w:r>
      <w:proofErr w:type="spellStart"/>
      <w:r w:rsidR="002E18F1">
        <w:rPr>
          <w:rFonts w:ascii="Times" w:eastAsia="Times New Roman" w:hAnsi="Times" w:cs="Times New Roman"/>
          <w:sz w:val="20"/>
          <w:szCs w:val="20"/>
          <w:lang w:eastAsia="pt-BR"/>
        </w:rPr>
        <w:t>meso</w:t>
      </w:r>
      <w:proofErr w:type="spellEnd"/>
      <w:r w:rsidR="002E18F1">
        <w:rPr>
          <w:rFonts w:ascii="Times" w:eastAsia="Times New Roman" w:hAnsi="Times" w:cs="Times New Roman"/>
          <w:sz w:val="20"/>
          <w:szCs w:val="20"/>
          <w:lang w:eastAsia="pt-BR"/>
        </w:rPr>
        <w:t xml:space="preserve"> ou </w:t>
      </w:r>
      <w:proofErr w:type="spellStart"/>
      <w:r w:rsidR="002E18F1">
        <w:rPr>
          <w:rFonts w:ascii="Times" w:eastAsia="Times New Roman" w:hAnsi="Times" w:cs="Times New Roman"/>
          <w:sz w:val="20"/>
          <w:szCs w:val="20"/>
          <w:lang w:eastAsia="pt-BR"/>
        </w:rPr>
        <w:t>macroporos</w:t>
      </w:r>
      <w:proofErr w:type="spellEnd"/>
      <w:r w:rsidR="002E18F1">
        <w:rPr>
          <w:rFonts w:ascii="Times" w:eastAsia="Times New Roman" w:hAnsi="Times" w:cs="Times New Roman"/>
          <w:sz w:val="20"/>
          <w:szCs w:val="20"/>
          <w:lang w:eastAsia="pt-BR"/>
        </w:rPr>
        <w:t>.</w:t>
      </w:r>
    </w:p>
    <w:p w14:paraId="37114F40" w14:textId="77777777" w:rsidR="00161131" w:rsidRDefault="00161131" w:rsidP="00161131">
      <w:r>
        <w:rPr>
          <w:rFonts w:ascii="Times New Roman" w:hAnsi="Times New Roman" w:cs="Times New Roman"/>
          <w:noProof/>
        </w:rPr>
        <w:drawing>
          <wp:inline distT="0" distB="0" distL="0" distR="0" wp14:anchorId="398E930F" wp14:editId="2DAC6AC9">
            <wp:extent cx="3027680" cy="2322923"/>
            <wp:effectExtent l="0" t="0" r="0" b="1270"/>
            <wp:docPr id="14" name="Imagem 14" descr="Tela de computador com luz azul&#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Tela de computador com luz azul&#10;&#10;Descrição gerada automaticamente com confiança mé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680" cy="2322923"/>
                    </a:xfrm>
                    <a:prstGeom prst="rect">
                      <a:avLst/>
                    </a:prstGeom>
                    <a:noFill/>
                  </pic:spPr>
                </pic:pic>
              </a:graphicData>
            </a:graphic>
          </wp:inline>
        </w:drawing>
      </w:r>
    </w:p>
    <w:p w14:paraId="2E1A146E" w14:textId="59E41721" w:rsidR="00161131" w:rsidRDefault="00161131" w:rsidP="00161131">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Pr="002F79D0">
        <w:rPr>
          <w:rFonts w:ascii="Times New Roman" w:hAnsi="Times New Roman"/>
          <w:lang w:val="pt-BR"/>
        </w:rPr>
        <w:t>Isotermas de adsorção/dessorção de nitrogênio d</w:t>
      </w:r>
      <w:r w:rsidR="00E05D32">
        <w:rPr>
          <w:rFonts w:ascii="Times New Roman" w:hAnsi="Times New Roman"/>
          <w:lang w:val="pt-BR"/>
        </w:rPr>
        <w:t xml:space="preserve">os </w:t>
      </w:r>
      <w:r w:rsidRPr="002F79D0">
        <w:rPr>
          <w:rFonts w:ascii="Times New Roman" w:hAnsi="Times New Roman"/>
          <w:lang w:val="pt-BR"/>
        </w:rPr>
        <w:t>catalisadores estudados</w:t>
      </w:r>
      <w:r>
        <w:rPr>
          <w:rFonts w:ascii="Times New Roman" w:hAnsi="Times New Roman"/>
          <w:lang w:val="pt-BR"/>
        </w:rPr>
        <w:t>.</w:t>
      </w:r>
    </w:p>
    <w:p w14:paraId="263DECEE" w14:textId="77777777" w:rsidR="00846C30" w:rsidRDefault="00846C30" w:rsidP="00E61E52">
      <w:pPr>
        <w:pStyle w:val="TAMainText"/>
        <w:ind w:firstLine="0"/>
        <w:rPr>
          <w:rFonts w:ascii="Times New Roman" w:hAnsi="Times New Roman"/>
          <w:i/>
          <w:lang w:val="pt-BR"/>
        </w:rPr>
      </w:pPr>
    </w:p>
    <w:p w14:paraId="0CC83D51" w14:textId="30BEE402" w:rsidR="00E61E52" w:rsidRPr="001F25B2" w:rsidRDefault="00E61E52" w:rsidP="00E61E52">
      <w:pPr>
        <w:pStyle w:val="TAMainText"/>
        <w:ind w:firstLine="0"/>
        <w:rPr>
          <w:rFonts w:ascii="Times New Roman" w:hAnsi="Times New Roman"/>
          <w:i/>
          <w:lang w:val="pt-BR"/>
        </w:rPr>
      </w:pPr>
      <w:r>
        <w:rPr>
          <w:rFonts w:ascii="Times New Roman" w:hAnsi="Times New Roman"/>
          <w:i/>
          <w:lang w:val="pt-BR"/>
        </w:rPr>
        <w:t>Teste catalítico</w:t>
      </w:r>
    </w:p>
    <w:p w14:paraId="38E6E411" w14:textId="247A9084" w:rsidR="00E61E52" w:rsidRPr="00D63ACE" w:rsidRDefault="00D63ACE" w:rsidP="00D63ACE">
      <w:pPr>
        <w:spacing w:line="240" w:lineRule="exact"/>
        <w:ind w:firstLine="187"/>
        <w:jc w:val="both"/>
        <w:rPr>
          <w:rFonts w:ascii="Times New Roman" w:eastAsia="Times New Roman" w:hAnsi="Times New Roman" w:cs="Times New Roman"/>
          <w:sz w:val="20"/>
          <w:szCs w:val="22"/>
          <w:lang w:eastAsia="pt-BR"/>
        </w:rPr>
      </w:pPr>
      <w:r w:rsidRPr="00D63ACE">
        <w:rPr>
          <w:rFonts w:ascii="Times New Roman" w:eastAsia="Times New Roman" w:hAnsi="Times New Roman" w:cs="Times New Roman"/>
          <w:sz w:val="20"/>
          <w:szCs w:val="22"/>
          <w:lang w:eastAsia="pt-BR"/>
        </w:rPr>
        <w:t xml:space="preserve">Os testes catalíticos foram realizados para avaliar a eficiência fotocatalítica dos óxidos sintetizados, frente aos </w:t>
      </w:r>
      <w:r w:rsidRPr="00D63ACE">
        <w:rPr>
          <w:rFonts w:ascii="Times New Roman" w:eastAsia="Times New Roman" w:hAnsi="Times New Roman" w:cs="Times New Roman"/>
          <w:sz w:val="20"/>
          <w:szCs w:val="22"/>
          <w:lang w:eastAsia="pt-BR"/>
        </w:rPr>
        <w:t xml:space="preserve">efeitos </w:t>
      </w:r>
      <w:r>
        <w:rPr>
          <w:rFonts w:ascii="Times New Roman" w:eastAsia="Times New Roman" w:hAnsi="Times New Roman" w:cs="Times New Roman"/>
          <w:sz w:val="20"/>
          <w:szCs w:val="22"/>
          <w:lang w:eastAsia="pt-BR"/>
        </w:rPr>
        <w:t xml:space="preserve">sinérgicos de adsorção e fotocatálise, no </w:t>
      </w:r>
      <w:r w:rsidRPr="00D63ACE">
        <w:rPr>
          <w:rFonts w:ascii="Times New Roman" w:eastAsia="Times New Roman" w:hAnsi="Times New Roman" w:cs="Times New Roman"/>
          <w:sz w:val="20"/>
          <w:szCs w:val="22"/>
          <w:lang w:eastAsia="pt-BR"/>
        </w:rPr>
        <w:t xml:space="preserve">pH natural </w:t>
      </w:r>
      <w:r>
        <w:rPr>
          <w:rFonts w:ascii="Times New Roman" w:eastAsia="Times New Roman" w:hAnsi="Times New Roman" w:cs="Times New Roman"/>
          <w:sz w:val="20"/>
          <w:szCs w:val="22"/>
          <w:lang w:eastAsia="pt-BR"/>
        </w:rPr>
        <w:t>do azul de metileno</w:t>
      </w:r>
      <w:r w:rsidRPr="00D63ACE">
        <w:rPr>
          <w:rFonts w:ascii="Times New Roman" w:eastAsia="Times New Roman" w:hAnsi="Times New Roman" w:cs="Times New Roman"/>
          <w:sz w:val="20"/>
          <w:szCs w:val="22"/>
          <w:lang w:eastAsia="pt-BR"/>
        </w:rPr>
        <w:t xml:space="preserve"> (pH = 6,56)</w:t>
      </w:r>
      <w:r>
        <w:rPr>
          <w:rFonts w:ascii="Times New Roman" w:eastAsia="Times New Roman" w:hAnsi="Times New Roman" w:cs="Times New Roman"/>
          <w:sz w:val="20"/>
          <w:szCs w:val="22"/>
          <w:lang w:eastAsia="pt-BR"/>
        </w:rPr>
        <w:t xml:space="preserve">. </w:t>
      </w:r>
      <w:r w:rsidRPr="00D63ACE">
        <w:rPr>
          <w:rFonts w:ascii="Times New Roman" w:eastAsia="Times New Roman" w:hAnsi="Times New Roman" w:cs="Times New Roman"/>
          <w:sz w:val="20"/>
          <w:szCs w:val="22"/>
          <w:lang w:eastAsia="pt-BR"/>
        </w:rPr>
        <w:t>Cerca de 65 mg de óxido foi suspenso e testado por 2 h em solução no escuro ou ativados pela radiação UV e pela Luz visível</w:t>
      </w:r>
      <w:r w:rsidR="00BA3538">
        <w:rPr>
          <w:rFonts w:ascii="Times New Roman" w:eastAsia="Times New Roman" w:hAnsi="Times New Roman" w:cs="Times New Roman"/>
          <w:sz w:val="20"/>
          <w:szCs w:val="22"/>
          <w:lang w:eastAsia="pt-BR"/>
        </w:rPr>
        <w:t>. A Tabela 3 apresenta as porcentagens de descoloração nessas condições.</w:t>
      </w:r>
      <w:r w:rsidRPr="00D63ACE">
        <w:rPr>
          <w:rFonts w:ascii="Times New Roman" w:eastAsia="Times New Roman" w:hAnsi="Times New Roman" w:cs="Times New Roman"/>
          <w:sz w:val="20"/>
          <w:szCs w:val="22"/>
          <w:lang w:eastAsia="pt-BR"/>
        </w:rPr>
        <w:t xml:space="preserve">  </w:t>
      </w:r>
    </w:p>
    <w:p w14:paraId="65A140F1" w14:textId="60955FCA" w:rsidR="00AA14E8" w:rsidRPr="00E038AF" w:rsidRDefault="00AA14E8" w:rsidP="00AA14E8">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Porcentagem de desco</w:t>
      </w:r>
      <w:r w:rsidR="002C2FC4">
        <w:rPr>
          <w:rFonts w:ascii="Times New Roman" w:hAnsi="Times New Roman"/>
          <w:lang w:val="pt-BR"/>
        </w:rPr>
        <w:t>loração</w:t>
      </w:r>
      <w:r>
        <w:rPr>
          <w:rFonts w:ascii="Times New Roman" w:hAnsi="Times New Roman"/>
          <w:lang w:val="pt-BR"/>
        </w:rPr>
        <w:t xml:space="preserve"> </w:t>
      </w:r>
      <w:r w:rsidR="002E18F1">
        <w:rPr>
          <w:rFonts w:ascii="Times New Roman" w:hAnsi="Times New Roman"/>
          <w:lang w:val="pt-BR"/>
        </w:rPr>
        <w:t xml:space="preserve">após 2 h a 25 °C sob </w:t>
      </w:r>
      <w:r>
        <w:rPr>
          <w:rFonts w:ascii="Times New Roman" w:hAnsi="Times New Roman"/>
          <w:lang w:val="pt-BR"/>
        </w:rPr>
        <w:t>diferentes condições</w:t>
      </w:r>
      <w:r w:rsidR="002E18F1">
        <w:rPr>
          <w:rFonts w:ascii="Times New Roman" w:hAnsi="Times New Roman"/>
          <w:lang w:val="pt-BR"/>
        </w:rPr>
        <w:t xml:space="preserve"> de irradiação</w:t>
      </w:r>
      <w:r>
        <w:rPr>
          <w:rFonts w:ascii="Times New Roman" w:hAnsi="Times New Roman"/>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78"/>
        <w:gridCol w:w="838"/>
        <w:gridCol w:w="882"/>
        <w:gridCol w:w="1008"/>
        <w:gridCol w:w="1052"/>
      </w:tblGrid>
      <w:tr w:rsidR="00D63ACE" w:rsidRPr="00AA14E8" w14:paraId="3ED56CE2" w14:textId="77777777" w:rsidTr="001C7892">
        <w:trPr>
          <w:trHeight w:val="896"/>
          <w:jc w:val="center"/>
        </w:trPr>
        <w:tc>
          <w:tcPr>
            <w:tcW w:w="0" w:type="auto"/>
            <w:tcBorders>
              <w:top w:val="single" w:sz="4" w:space="0" w:color="auto"/>
              <w:bottom w:val="single" w:sz="6" w:space="0" w:color="auto"/>
              <w:tl2br w:val="single" w:sz="4" w:space="0" w:color="auto"/>
            </w:tcBorders>
            <w:vAlign w:val="center"/>
          </w:tcPr>
          <w:p w14:paraId="37B787B0" w14:textId="2AD6CCFE" w:rsidR="00B34421" w:rsidRDefault="00B34421" w:rsidP="007C7532">
            <w:pPr>
              <w:pStyle w:val="TCTableBody"/>
              <w:jc w:val="right"/>
              <w:rPr>
                <w:b/>
                <w:bCs/>
                <w:sz w:val="16"/>
                <w:szCs w:val="18"/>
                <w:lang w:val="pt-BR"/>
              </w:rPr>
            </w:pPr>
          </w:p>
          <w:p w14:paraId="6EADF9DE" w14:textId="07367A96" w:rsidR="007C7532" w:rsidRPr="007C7532" w:rsidRDefault="00426DD0" w:rsidP="007C7532">
            <w:pPr>
              <w:pStyle w:val="TCTableBody"/>
              <w:jc w:val="right"/>
              <w:rPr>
                <w:b/>
                <w:bCs/>
                <w:sz w:val="16"/>
                <w:szCs w:val="18"/>
                <w:lang w:val="pt-BR"/>
              </w:rPr>
            </w:pPr>
            <w:r>
              <w:rPr>
                <w:b/>
                <w:bCs/>
                <w:sz w:val="16"/>
                <w:szCs w:val="18"/>
                <w:lang w:val="pt-BR"/>
              </w:rPr>
              <w:t>Óxido</w:t>
            </w:r>
          </w:p>
          <w:p w14:paraId="7D7C29BD" w14:textId="77777777" w:rsidR="00B34421" w:rsidRPr="00B3142A" w:rsidRDefault="00B34421" w:rsidP="00B34421">
            <w:pPr>
              <w:pStyle w:val="TCTableBody"/>
              <w:jc w:val="left"/>
              <w:rPr>
                <w:b/>
                <w:bCs/>
                <w:lang w:val="pt-BR"/>
              </w:rPr>
            </w:pPr>
            <w:r w:rsidRPr="007C7532">
              <w:rPr>
                <w:b/>
                <w:bCs/>
                <w:sz w:val="16"/>
                <w:szCs w:val="18"/>
                <w:lang w:val="pt-BR"/>
              </w:rPr>
              <w:t>Condição</w:t>
            </w:r>
          </w:p>
        </w:tc>
        <w:tc>
          <w:tcPr>
            <w:tcW w:w="0" w:type="auto"/>
          </w:tcPr>
          <w:p w14:paraId="4210D4A2" w14:textId="77777777" w:rsidR="007C7532" w:rsidRDefault="007C7532" w:rsidP="006B7182">
            <w:pPr>
              <w:pStyle w:val="TCTableBody"/>
              <w:jc w:val="center"/>
              <w:rPr>
                <w:sz w:val="16"/>
                <w:szCs w:val="18"/>
                <w:lang w:val="pt-BR"/>
              </w:rPr>
            </w:pPr>
          </w:p>
          <w:p w14:paraId="225A1F76" w14:textId="596CE818" w:rsidR="00B34421" w:rsidRPr="007C7532" w:rsidRDefault="00B34421" w:rsidP="006B7182">
            <w:pPr>
              <w:pStyle w:val="TCTableBody"/>
              <w:jc w:val="center"/>
              <w:rPr>
                <w:b/>
                <w:bCs/>
                <w:sz w:val="16"/>
                <w:szCs w:val="18"/>
                <w:lang w:val="pt-BR"/>
              </w:rPr>
            </w:pPr>
            <w:r w:rsidRPr="007C7532">
              <w:rPr>
                <w:sz w:val="16"/>
                <w:szCs w:val="18"/>
                <w:lang w:val="pt-BR"/>
              </w:rPr>
              <w:t>1% SnO</w:t>
            </w:r>
            <w:r w:rsidRPr="007C7532">
              <w:rPr>
                <w:sz w:val="16"/>
                <w:szCs w:val="18"/>
                <w:vertAlign w:val="subscript"/>
                <w:lang w:val="pt-BR"/>
              </w:rPr>
              <w:t>2</w:t>
            </w:r>
            <w:r w:rsidRPr="007C7532">
              <w:rPr>
                <w:sz w:val="16"/>
                <w:szCs w:val="18"/>
                <w:lang w:val="pt-BR"/>
              </w:rPr>
              <w:t>-TiO</w:t>
            </w:r>
            <w:r w:rsidRPr="007C7532">
              <w:rPr>
                <w:sz w:val="16"/>
                <w:szCs w:val="18"/>
                <w:vertAlign w:val="subscript"/>
                <w:lang w:val="pt-BR"/>
              </w:rPr>
              <w:t>2</w:t>
            </w:r>
          </w:p>
        </w:tc>
        <w:tc>
          <w:tcPr>
            <w:tcW w:w="0" w:type="auto"/>
            <w:vAlign w:val="center"/>
          </w:tcPr>
          <w:p w14:paraId="1F5A2F06" w14:textId="72CA165B" w:rsidR="00B34421" w:rsidRPr="007C7532" w:rsidRDefault="00B34421" w:rsidP="006B7182">
            <w:pPr>
              <w:pStyle w:val="TCTableBody"/>
              <w:jc w:val="center"/>
              <w:rPr>
                <w:b/>
                <w:bCs/>
                <w:sz w:val="16"/>
                <w:szCs w:val="18"/>
                <w:lang w:val="pt-BR"/>
              </w:rPr>
            </w:pPr>
            <w:r w:rsidRPr="007C7532">
              <w:rPr>
                <w:sz w:val="16"/>
                <w:szCs w:val="18"/>
                <w:lang w:val="pt-BR"/>
              </w:rPr>
              <w:t>10% SnO</w:t>
            </w:r>
            <w:r w:rsidRPr="007C7532">
              <w:rPr>
                <w:sz w:val="16"/>
                <w:szCs w:val="18"/>
                <w:vertAlign w:val="subscript"/>
                <w:lang w:val="pt-BR"/>
              </w:rPr>
              <w:t>2</w:t>
            </w:r>
            <w:r w:rsidRPr="007C7532">
              <w:rPr>
                <w:sz w:val="16"/>
                <w:szCs w:val="18"/>
                <w:lang w:val="pt-BR"/>
              </w:rPr>
              <w:t>-TiO</w:t>
            </w:r>
            <w:r w:rsidRPr="007C7532">
              <w:rPr>
                <w:sz w:val="16"/>
                <w:szCs w:val="18"/>
                <w:vertAlign w:val="subscript"/>
                <w:lang w:val="pt-BR"/>
              </w:rPr>
              <w:t>2</w:t>
            </w:r>
          </w:p>
        </w:tc>
        <w:tc>
          <w:tcPr>
            <w:tcW w:w="0" w:type="auto"/>
            <w:vAlign w:val="center"/>
          </w:tcPr>
          <w:p w14:paraId="61CABA4A" w14:textId="4DC8A48F" w:rsidR="00B34421" w:rsidRPr="007C7532" w:rsidRDefault="00B34421" w:rsidP="006B7182">
            <w:pPr>
              <w:pStyle w:val="TCTableBody"/>
              <w:jc w:val="center"/>
              <w:rPr>
                <w:b/>
                <w:bCs/>
                <w:sz w:val="16"/>
                <w:szCs w:val="18"/>
                <w:lang w:val="pt-BR"/>
              </w:rPr>
            </w:pPr>
            <w:r w:rsidRPr="007C7532">
              <w:rPr>
                <w:sz w:val="16"/>
                <w:szCs w:val="18"/>
                <w:lang w:val="pt-BR"/>
              </w:rPr>
              <w:t>1% SnO</w:t>
            </w:r>
            <w:r w:rsidRPr="007C7532">
              <w:rPr>
                <w:sz w:val="16"/>
                <w:szCs w:val="18"/>
                <w:vertAlign w:val="subscript"/>
                <w:lang w:val="pt-BR"/>
              </w:rPr>
              <w:t>2</w:t>
            </w:r>
            <w:r w:rsidRPr="007C7532">
              <w:rPr>
                <w:sz w:val="16"/>
                <w:szCs w:val="18"/>
                <w:lang w:val="pt-BR"/>
              </w:rPr>
              <w:t>-TiO</w:t>
            </w:r>
            <w:r w:rsidRPr="007C7532">
              <w:rPr>
                <w:sz w:val="16"/>
                <w:szCs w:val="18"/>
                <w:vertAlign w:val="subscript"/>
                <w:lang w:val="pt-BR"/>
              </w:rPr>
              <w:t>2</w:t>
            </w:r>
            <w:r w:rsidRPr="007C7532">
              <w:rPr>
                <w:sz w:val="16"/>
                <w:szCs w:val="18"/>
                <w:lang w:val="pt-BR"/>
              </w:rPr>
              <w:t xml:space="preserve"> </w:t>
            </w:r>
            <w:proofErr w:type="spellStart"/>
            <w:r w:rsidRPr="007C7532">
              <w:rPr>
                <w:sz w:val="16"/>
                <w:szCs w:val="18"/>
                <w:lang w:val="pt-BR"/>
              </w:rPr>
              <w:t>HCl</w:t>
            </w:r>
            <w:proofErr w:type="spellEnd"/>
          </w:p>
        </w:tc>
        <w:tc>
          <w:tcPr>
            <w:tcW w:w="0" w:type="auto"/>
            <w:vAlign w:val="center"/>
          </w:tcPr>
          <w:p w14:paraId="3959A32B" w14:textId="35E6A6AA" w:rsidR="00B34421" w:rsidRPr="007C7532" w:rsidRDefault="00B34421" w:rsidP="006B7182">
            <w:pPr>
              <w:pStyle w:val="TCTableBody"/>
              <w:jc w:val="center"/>
              <w:rPr>
                <w:b/>
                <w:bCs/>
                <w:sz w:val="16"/>
                <w:szCs w:val="18"/>
                <w:lang w:val="pt-BR"/>
              </w:rPr>
            </w:pPr>
            <w:r w:rsidRPr="007C7532">
              <w:rPr>
                <w:sz w:val="16"/>
                <w:szCs w:val="18"/>
                <w:lang w:val="pt-BR"/>
              </w:rPr>
              <w:t>10% SnO</w:t>
            </w:r>
            <w:r w:rsidRPr="007C7532">
              <w:rPr>
                <w:sz w:val="16"/>
                <w:szCs w:val="18"/>
                <w:vertAlign w:val="subscript"/>
                <w:lang w:val="pt-BR"/>
              </w:rPr>
              <w:t>2</w:t>
            </w:r>
            <w:r w:rsidRPr="007C7532">
              <w:rPr>
                <w:sz w:val="16"/>
                <w:szCs w:val="18"/>
                <w:lang w:val="pt-BR"/>
              </w:rPr>
              <w:t>-TiO</w:t>
            </w:r>
            <w:r w:rsidRPr="007C7532">
              <w:rPr>
                <w:sz w:val="16"/>
                <w:szCs w:val="18"/>
                <w:vertAlign w:val="subscript"/>
                <w:lang w:val="pt-BR"/>
              </w:rPr>
              <w:t>2</w:t>
            </w:r>
            <w:r w:rsidRPr="007C7532">
              <w:rPr>
                <w:sz w:val="16"/>
                <w:szCs w:val="18"/>
                <w:lang w:val="pt-BR"/>
              </w:rPr>
              <w:t xml:space="preserve"> </w:t>
            </w:r>
            <w:proofErr w:type="spellStart"/>
            <w:r w:rsidRPr="007C7532">
              <w:rPr>
                <w:sz w:val="16"/>
                <w:szCs w:val="18"/>
                <w:lang w:val="pt-BR"/>
              </w:rPr>
              <w:t>HCl</w:t>
            </w:r>
            <w:proofErr w:type="spellEnd"/>
          </w:p>
        </w:tc>
      </w:tr>
      <w:tr w:rsidR="00D63ACE" w:rsidRPr="00072C7A" w14:paraId="03FD1F32" w14:textId="77777777" w:rsidTr="001C7892">
        <w:trPr>
          <w:trHeight w:val="394"/>
          <w:jc w:val="center"/>
        </w:trPr>
        <w:tc>
          <w:tcPr>
            <w:tcW w:w="0" w:type="auto"/>
            <w:tcBorders>
              <w:top w:val="single" w:sz="6" w:space="0" w:color="auto"/>
            </w:tcBorders>
            <w:vAlign w:val="center"/>
          </w:tcPr>
          <w:p w14:paraId="1CBEDFCA" w14:textId="061F8677" w:rsidR="00B34421" w:rsidRDefault="007C7532" w:rsidP="00426DD0">
            <w:pPr>
              <w:pStyle w:val="TCTableBody"/>
              <w:jc w:val="center"/>
              <w:rPr>
                <w:lang w:val="pt-BR"/>
              </w:rPr>
            </w:pPr>
            <w:r>
              <w:rPr>
                <w:lang w:val="pt-BR"/>
              </w:rPr>
              <w:t>Escuro</w:t>
            </w:r>
          </w:p>
        </w:tc>
        <w:tc>
          <w:tcPr>
            <w:tcW w:w="0" w:type="auto"/>
            <w:vAlign w:val="center"/>
          </w:tcPr>
          <w:p w14:paraId="1C8E1909" w14:textId="3A753D05" w:rsidR="00B34421" w:rsidRDefault="007C7532" w:rsidP="006B7182">
            <w:pPr>
              <w:pStyle w:val="TCTableBody"/>
              <w:jc w:val="center"/>
              <w:rPr>
                <w:lang w:val="pt-BR"/>
              </w:rPr>
            </w:pPr>
            <w:r>
              <w:rPr>
                <w:lang w:val="pt-BR"/>
              </w:rPr>
              <w:t>5</w:t>
            </w:r>
            <w:r w:rsidR="001D1601">
              <w:rPr>
                <w:lang w:val="pt-BR"/>
              </w:rPr>
              <w:t>4</w:t>
            </w:r>
          </w:p>
        </w:tc>
        <w:tc>
          <w:tcPr>
            <w:tcW w:w="0" w:type="auto"/>
            <w:tcBorders>
              <w:bottom w:val="single" w:sz="6" w:space="0" w:color="auto"/>
            </w:tcBorders>
            <w:vAlign w:val="center"/>
          </w:tcPr>
          <w:p w14:paraId="619BF902" w14:textId="18522594" w:rsidR="00B34421" w:rsidRDefault="007C7532" w:rsidP="006B7182">
            <w:pPr>
              <w:pStyle w:val="TCTableBody"/>
              <w:jc w:val="center"/>
              <w:rPr>
                <w:lang w:val="pt-BR"/>
              </w:rPr>
            </w:pPr>
            <w:r>
              <w:rPr>
                <w:lang w:val="pt-BR"/>
              </w:rPr>
              <w:t>6</w:t>
            </w:r>
            <w:r w:rsidR="001D1601">
              <w:rPr>
                <w:lang w:val="pt-BR"/>
              </w:rPr>
              <w:t>1</w:t>
            </w:r>
          </w:p>
        </w:tc>
        <w:tc>
          <w:tcPr>
            <w:tcW w:w="0" w:type="auto"/>
            <w:tcBorders>
              <w:bottom w:val="single" w:sz="6" w:space="0" w:color="auto"/>
            </w:tcBorders>
            <w:vAlign w:val="center"/>
          </w:tcPr>
          <w:p w14:paraId="37ACBD82" w14:textId="1298FCA8" w:rsidR="00B34421" w:rsidRDefault="00A906B5" w:rsidP="006B7182">
            <w:pPr>
              <w:pStyle w:val="TCTableBody"/>
              <w:jc w:val="center"/>
              <w:rPr>
                <w:lang w:val="pt-BR"/>
              </w:rPr>
            </w:pPr>
            <w:r>
              <w:rPr>
                <w:lang w:val="pt-BR"/>
              </w:rPr>
              <w:t>1</w:t>
            </w:r>
          </w:p>
        </w:tc>
        <w:tc>
          <w:tcPr>
            <w:tcW w:w="0" w:type="auto"/>
            <w:tcBorders>
              <w:bottom w:val="single" w:sz="6" w:space="0" w:color="auto"/>
            </w:tcBorders>
            <w:vAlign w:val="center"/>
          </w:tcPr>
          <w:p w14:paraId="78EF00C3" w14:textId="5BA38898" w:rsidR="00B34421" w:rsidRDefault="001D1601" w:rsidP="006B7182">
            <w:pPr>
              <w:pStyle w:val="TCTableBody"/>
              <w:jc w:val="center"/>
              <w:rPr>
                <w:lang w:val="pt-BR"/>
              </w:rPr>
            </w:pPr>
            <w:r>
              <w:rPr>
                <w:lang w:val="pt-BR"/>
              </w:rPr>
              <w:t>4</w:t>
            </w:r>
          </w:p>
        </w:tc>
      </w:tr>
      <w:tr w:rsidR="00D63ACE" w:rsidRPr="00072C7A" w14:paraId="10995C35" w14:textId="77777777" w:rsidTr="001C7892">
        <w:trPr>
          <w:trHeight w:val="230"/>
          <w:jc w:val="center"/>
        </w:trPr>
        <w:tc>
          <w:tcPr>
            <w:tcW w:w="0" w:type="auto"/>
            <w:vAlign w:val="center"/>
          </w:tcPr>
          <w:p w14:paraId="20A27970" w14:textId="7C7C59DD" w:rsidR="00B34421" w:rsidRPr="00197AA3" w:rsidRDefault="007C7532" w:rsidP="00426DD0">
            <w:pPr>
              <w:pStyle w:val="TCTableBody"/>
              <w:jc w:val="center"/>
              <w:rPr>
                <w:lang w:val="pt-BR"/>
              </w:rPr>
            </w:pPr>
            <w:r>
              <w:rPr>
                <w:lang w:val="pt-BR"/>
              </w:rPr>
              <w:t>Radiação UV</w:t>
            </w:r>
          </w:p>
        </w:tc>
        <w:tc>
          <w:tcPr>
            <w:tcW w:w="0" w:type="auto"/>
            <w:vAlign w:val="center"/>
          </w:tcPr>
          <w:p w14:paraId="04343E78" w14:textId="6AB75AA4" w:rsidR="00B34421" w:rsidRDefault="007C7532" w:rsidP="006B7182">
            <w:pPr>
              <w:pStyle w:val="TCTableBody"/>
              <w:jc w:val="center"/>
              <w:rPr>
                <w:lang w:val="pt-BR"/>
              </w:rPr>
            </w:pPr>
            <w:r>
              <w:rPr>
                <w:lang w:val="pt-BR"/>
              </w:rPr>
              <w:t>98</w:t>
            </w:r>
          </w:p>
        </w:tc>
        <w:tc>
          <w:tcPr>
            <w:tcW w:w="0" w:type="auto"/>
            <w:vAlign w:val="center"/>
          </w:tcPr>
          <w:p w14:paraId="141980FA" w14:textId="7F6D69DF" w:rsidR="00B34421" w:rsidRPr="00197AA3" w:rsidRDefault="007C7532" w:rsidP="006B7182">
            <w:pPr>
              <w:pStyle w:val="TCTableBody"/>
              <w:jc w:val="center"/>
              <w:rPr>
                <w:lang w:val="pt-BR"/>
              </w:rPr>
            </w:pPr>
            <w:r>
              <w:rPr>
                <w:lang w:val="pt-BR"/>
              </w:rPr>
              <w:t>86</w:t>
            </w:r>
          </w:p>
        </w:tc>
        <w:tc>
          <w:tcPr>
            <w:tcW w:w="0" w:type="auto"/>
            <w:vAlign w:val="center"/>
          </w:tcPr>
          <w:p w14:paraId="3175AEA5" w14:textId="25E53911" w:rsidR="00B34421" w:rsidRDefault="00A906B5" w:rsidP="006B7182">
            <w:pPr>
              <w:pStyle w:val="TCTableBody"/>
              <w:jc w:val="center"/>
              <w:rPr>
                <w:lang w:val="pt-BR"/>
              </w:rPr>
            </w:pPr>
            <w:r>
              <w:rPr>
                <w:lang w:val="pt-BR"/>
              </w:rPr>
              <w:t>92</w:t>
            </w:r>
          </w:p>
        </w:tc>
        <w:tc>
          <w:tcPr>
            <w:tcW w:w="0" w:type="auto"/>
            <w:vAlign w:val="center"/>
          </w:tcPr>
          <w:p w14:paraId="0AB9AFC9" w14:textId="6C1563AE" w:rsidR="00B34421" w:rsidRDefault="00A906B5" w:rsidP="006B7182">
            <w:pPr>
              <w:pStyle w:val="TCTableBody"/>
              <w:jc w:val="center"/>
              <w:rPr>
                <w:lang w:val="pt-BR"/>
              </w:rPr>
            </w:pPr>
            <w:r>
              <w:rPr>
                <w:lang w:val="pt-BR"/>
              </w:rPr>
              <w:t>83</w:t>
            </w:r>
          </w:p>
        </w:tc>
      </w:tr>
      <w:tr w:rsidR="00D63ACE" w:rsidRPr="00072C7A" w14:paraId="0BB1C730" w14:textId="77777777" w:rsidTr="001C7892">
        <w:trPr>
          <w:trHeight w:val="230"/>
          <w:jc w:val="center"/>
        </w:trPr>
        <w:tc>
          <w:tcPr>
            <w:tcW w:w="0" w:type="auto"/>
            <w:tcBorders>
              <w:bottom w:val="single" w:sz="6" w:space="0" w:color="auto"/>
            </w:tcBorders>
            <w:vAlign w:val="center"/>
          </w:tcPr>
          <w:p w14:paraId="66731AD8" w14:textId="22CE4507" w:rsidR="00B34421" w:rsidRPr="007A6687" w:rsidRDefault="00D63ACE" w:rsidP="00426DD0">
            <w:pPr>
              <w:pStyle w:val="TCTableBody"/>
              <w:jc w:val="center"/>
              <w:rPr>
                <w:lang w:val="pt-BR"/>
              </w:rPr>
            </w:pPr>
            <w:r>
              <w:rPr>
                <w:lang w:val="pt-BR"/>
              </w:rPr>
              <w:t>L</w:t>
            </w:r>
            <w:r w:rsidR="007C7532">
              <w:rPr>
                <w:lang w:val="pt-BR"/>
              </w:rPr>
              <w:t>uz visível</w:t>
            </w:r>
          </w:p>
        </w:tc>
        <w:tc>
          <w:tcPr>
            <w:tcW w:w="0" w:type="auto"/>
            <w:tcBorders>
              <w:bottom w:val="single" w:sz="6" w:space="0" w:color="auto"/>
            </w:tcBorders>
            <w:vAlign w:val="center"/>
          </w:tcPr>
          <w:p w14:paraId="269A66F3" w14:textId="67FF9EF0" w:rsidR="00B34421" w:rsidRDefault="007C7532" w:rsidP="006B7182">
            <w:pPr>
              <w:pStyle w:val="TCTableBody"/>
              <w:jc w:val="center"/>
              <w:rPr>
                <w:lang w:val="pt-BR"/>
              </w:rPr>
            </w:pPr>
            <w:r>
              <w:rPr>
                <w:lang w:val="pt-BR"/>
              </w:rPr>
              <w:t>9</w:t>
            </w:r>
            <w:r w:rsidR="001D1601">
              <w:rPr>
                <w:lang w:val="pt-BR"/>
              </w:rPr>
              <w:t>9</w:t>
            </w:r>
          </w:p>
        </w:tc>
        <w:tc>
          <w:tcPr>
            <w:tcW w:w="0" w:type="auto"/>
            <w:tcBorders>
              <w:bottom w:val="single" w:sz="6" w:space="0" w:color="auto"/>
            </w:tcBorders>
            <w:vAlign w:val="center"/>
          </w:tcPr>
          <w:p w14:paraId="68D9B625" w14:textId="36C4DCEA" w:rsidR="00B34421" w:rsidRDefault="007C7532" w:rsidP="006B7182">
            <w:pPr>
              <w:pStyle w:val="TCTableBody"/>
              <w:jc w:val="center"/>
              <w:rPr>
                <w:lang w:val="pt-BR"/>
              </w:rPr>
            </w:pPr>
            <w:r>
              <w:rPr>
                <w:lang w:val="pt-BR"/>
              </w:rPr>
              <w:t>8</w:t>
            </w:r>
            <w:r w:rsidR="001D1601">
              <w:rPr>
                <w:lang w:val="pt-BR"/>
              </w:rPr>
              <w:t>2</w:t>
            </w:r>
          </w:p>
        </w:tc>
        <w:tc>
          <w:tcPr>
            <w:tcW w:w="0" w:type="auto"/>
            <w:tcBorders>
              <w:bottom w:val="single" w:sz="6" w:space="0" w:color="auto"/>
            </w:tcBorders>
            <w:vAlign w:val="center"/>
          </w:tcPr>
          <w:p w14:paraId="032D95F1" w14:textId="387CC0CB" w:rsidR="00B34421" w:rsidRDefault="00A906B5" w:rsidP="006B7182">
            <w:pPr>
              <w:pStyle w:val="TCTableBody"/>
              <w:jc w:val="center"/>
              <w:rPr>
                <w:lang w:val="pt-BR"/>
              </w:rPr>
            </w:pPr>
            <w:r>
              <w:rPr>
                <w:lang w:val="pt-BR"/>
              </w:rPr>
              <w:t>52</w:t>
            </w:r>
          </w:p>
        </w:tc>
        <w:tc>
          <w:tcPr>
            <w:tcW w:w="0" w:type="auto"/>
            <w:tcBorders>
              <w:bottom w:val="single" w:sz="6" w:space="0" w:color="auto"/>
            </w:tcBorders>
            <w:vAlign w:val="center"/>
          </w:tcPr>
          <w:p w14:paraId="06DDF2A1" w14:textId="498C500C" w:rsidR="00B34421" w:rsidRDefault="00A906B5" w:rsidP="006B7182">
            <w:pPr>
              <w:pStyle w:val="TCTableBody"/>
              <w:jc w:val="center"/>
              <w:rPr>
                <w:lang w:val="pt-BR"/>
              </w:rPr>
            </w:pPr>
            <w:r>
              <w:rPr>
                <w:lang w:val="pt-BR"/>
              </w:rPr>
              <w:t>88</w:t>
            </w:r>
          </w:p>
        </w:tc>
      </w:tr>
    </w:tbl>
    <w:p w14:paraId="25C6D5BE" w14:textId="77777777" w:rsidR="00AA14E8" w:rsidRDefault="00AA14E8" w:rsidP="007A6687">
      <w:pPr>
        <w:rPr>
          <w:rFonts w:ascii="Times New Roman" w:eastAsia="Times New Roman" w:hAnsi="Times New Roman" w:cs="Times New Roman"/>
          <w:sz w:val="18"/>
          <w:szCs w:val="20"/>
          <w:lang w:eastAsia="pt-BR"/>
        </w:rPr>
      </w:pPr>
    </w:p>
    <w:p w14:paraId="7A139ACD" w14:textId="767959B2" w:rsidR="000C4225" w:rsidRDefault="000C4225" w:rsidP="000C4225">
      <w:pPr>
        <w:spacing w:line="240" w:lineRule="exact"/>
        <w:ind w:firstLine="187"/>
        <w:jc w:val="both"/>
        <w:rPr>
          <w:rFonts w:ascii="Times New Roman" w:hAnsi="Times New Roman" w:cs="Times New Roman"/>
          <w:sz w:val="20"/>
          <w:szCs w:val="20"/>
        </w:rPr>
      </w:pPr>
      <w:r w:rsidRPr="000C4225">
        <w:rPr>
          <w:rFonts w:ascii="Times" w:eastAsia="Times New Roman" w:hAnsi="Times" w:cs="Times New Roman"/>
          <w:sz w:val="20"/>
          <w:szCs w:val="20"/>
          <w:lang w:eastAsia="pt-BR"/>
        </w:rPr>
        <w:t>Apesar de apresentar uma área</w:t>
      </w:r>
      <w:r>
        <w:rPr>
          <w:rFonts w:ascii="Times" w:eastAsia="Times New Roman" w:hAnsi="Times" w:cs="Times New Roman"/>
          <w:sz w:val="20"/>
          <w:szCs w:val="20"/>
          <w:lang w:eastAsia="pt-BR"/>
        </w:rPr>
        <w:t xml:space="preserve"> específica</w:t>
      </w:r>
      <w:r w:rsidRPr="000C4225">
        <w:rPr>
          <w:rFonts w:ascii="Times" w:eastAsia="Times New Roman" w:hAnsi="Times" w:cs="Times New Roman"/>
          <w:sz w:val="20"/>
          <w:szCs w:val="20"/>
          <w:lang w:eastAsia="pt-BR"/>
        </w:rPr>
        <w:t xml:space="preserve"> menor</w:t>
      </w:r>
      <w:r w:rsidR="0027003E">
        <w:rPr>
          <w:rFonts w:ascii="Times" w:eastAsia="Times New Roman" w:hAnsi="Times" w:cs="Times New Roman"/>
          <w:sz w:val="20"/>
          <w:szCs w:val="20"/>
          <w:lang w:eastAsia="pt-BR"/>
        </w:rPr>
        <w:t xml:space="preserve"> (Tabela 2)</w:t>
      </w:r>
      <w:r>
        <w:rPr>
          <w:rFonts w:ascii="Times" w:eastAsia="Times New Roman" w:hAnsi="Times" w:cs="Times New Roman"/>
          <w:sz w:val="20"/>
          <w:szCs w:val="20"/>
          <w:lang w:eastAsia="pt-BR"/>
        </w:rPr>
        <w:t xml:space="preserve">, o </w:t>
      </w:r>
      <w:r w:rsidRPr="000C4225">
        <w:rPr>
          <w:rFonts w:ascii="Times New Roman" w:eastAsia="Times New Roman" w:hAnsi="Times New Roman" w:cs="Times New Roman"/>
          <w:sz w:val="20"/>
          <w:szCs w:val="20"/>
          <w:lang w:eastAsia="pt-BR"/>
        </w:rPr>
        <w:t xml:space="preserve">catalisador </w:t>
      </w:r>
      <w:r w:rsidRPr="000C4225">
        <w:rPr>
          <w:rFonts w:ascii="Times New Roman" w:hAnsi="Times New Roman" w:cs="Times New Roman"/>
          <w:sz w:val="20"/>
          <w:szCs w:val="20"/>
        </w:rPr>
        <w:t>1% SnO</w:t>
      </w:r>
      <w:r w:rsidRPr="000C4225">
        <w:rPr>
          <w:rFonts w:ascii="Times New Roman" w:hAnsi="Times New Roman" w:cs="Times New Roman"/>
          <w:sz w:val="20"/>
          <w:szCs w:val="20"/>
          <w:vertAlign w:val="subscript"/>
        </w:rPr>
        <w:t>2</w:t>
      </w:r>
      <w:r w:rsidRPr="000C4225">
        <w:rPr>
          <w:rFonts w:ascii="Times New Roman" w:hAnsi="Times New Roman" w:cs="Times New Roman"/>
          <w:sz w:val="20"/>
          <w:szCs w:val="20"/>
        </w:rPr>
        <w:t>-TiO</w:t>
      </w:r>
      <w:r w:rsidRPr="000C4225">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r>
        <w:rPr>
          <w:rFonts w:ascii="Times New Roman" w:hAnsi="Times New Roman" w:cs="Times New Roman"/>
          <w:sz w:val="20"/>
          <w:szCs w:val="20"/>
        </w:rPr>
        <w:t>obteve uma eficiência de descoramento maior</w:t>
      </w:r>
      <w:r w:rsidR="0027003E">
        <w:rPr>
          <w:rFonts w:ascii="Times New Roman" w:hAnsi="Times New Roman" w:cs="Times New Roman"/>
          <w:sz w:val="20"/>
          <w:szCs w:val="20"/>
        </w:rPr>
        <w:t xml:space="preserve"> (Tabela 3)</w:t>
      </w:r>
      <w:r>
        <w:rPr>
          <w:rFonts w:ascii="Times New Roman" w:hAnsi="Times New Roman" w:cs="Times New Roman"/>
          <w:sz w:val="20"/>
          <w:szCs w:val="20"/>
        </w:rPr>
        <w:t>, dado possivelmente pelo efeito sinérgico adsorção-fotocatálise</w:t>
      </w:r>
      <w:r w:rsidR="0027003E">
        <w:rPr>
          <w:rFonts w:ascii="Times New Roman" w:hAnsi="Times New Roman" w:cs="Times New Roman"/>
          <w:sz w:val="20"/>
          <w:szCs w:val="20"/>
        </w:rPr>
        <w:t>, uma vez que mesmo no escuro, quando a ação de descoramento se dá unicamente pela adsorção, 54% da solução de azul de metileno foi descorada</w:t>
      </w:r>
      <w:r w:rsidR="002E18F1">
        <w:rPr>
          <w:rFonts w:ascii="Times New Roman" w:hAnsi="Times New Roman" w:cs="Times New Roman"/>
          <w:sz w:val="20"/>
          <w:szCs w:val="20"/>
        </w:rPr>
        <w:t>, a</w:t>
      </w:r>
      <w:r w:rsidR="0027003E">
        <w:rPr>
          <w:rFonts w:ascii="Times New Roman" w:hAnsi="Times New Roman" w:cs="Times New Roman"/>
          <w:sz w:val="20"/>
          <w:szCs w:val="20"/>
        </w:rPr>
        <w:t>lcançando quase um descoramento total na presença da radiação UV e luz visível.</w:t>
      </w:r>
      <w:r w:rsidR="005464F5">
        <w:rPr>
          <w:rFonts w:ascii="Times New Roman" w:hAnsi="Times New Roman" w:cs="Times New Roman"/>
          <w:sz w:val="20"/>
          <w:szCs w:val="20"/>
        </w:rPr>
        <w:t xml:space="preserve"> Sinergismo semelhante é observado no catalisador </w:t>
      </w:r>
      <w:r w:rsidR="005464F5" w:rsidRPr="000C4225">
        <w:rPr>
          <w:rFonts w:ascii="Times New Roman" w:hAnsi="Times New Roman" w:cs="Times New Roman"/>
          <w:sz w:val="20"/>
          <w:szCs w:val="20"/>
        </w:rPr>
        <w:t>1</w:t>
      </w:r>
      <w:r w:rsidR="005464F5">
        <w:rPr>
          <w:rFonts w:ascii="Times New Roman" w:hAnsi="Times New Roman" w:cs="Times New Roman"/>
          <w:sz w:val="20"/>
          <w:szCs w:val="20"/>
        </w:rPr>
        <w:t>0</w:t>
      </w:r>
      <w:r w:rsidR="005464F5" w:rsidRPr="000C4225">
        <w:rPr>
          <w:rFonts w:ascii="Times New Roman" w:hAnsi="Times New Roman" w:cs="Times New Roman"/>
          <w:sz w:val="20"/>
          <w:szCs w:val="20"/>
        </w:rPr>
        <w:t>% SnO</w:t>
      </w:r>
      <w:r w:rsidR="005464F5" w:rsidRPr="000C4225">
        <w:rPr>
          <w:rFonts w:ascii="Times New Roman" w:hAnsi="Times New Roman" w:cs="Times New Roman"/>
          <w:sz w:val="20"/>
          <w:szCs w:val="20"/>
          <w:vertAlign w:val="subscript"/>
        </w:rPr>
        <w:t>2</w:t>
      </w:r>
      <w:r w:rsidR="005464F5" w:rsidRPr="000C4225">
        <w:rPr>
          <w:rFonts w:ascii="Times New Roman" w:hAnsi="Times New Roman" w:cs="Times New Roman"/>
          <w:sz w:val="20"/>
          <w:szCs w:val="20"/>
        </w:rPr>
        <w:t>-TiO</w:t>
      </w:r>
      <w:r w:rsidR="005464F5" w:rsidRPr="000C4225">
        <w:rPr>
          <w:rFonts w:ascii="Times New Roman" w:hAnsi="Times New Roman" w:cs="Times New Roman"/>
          <w:sz w:val="20"/>
          <w:szCs w:val="20"/>
          <w:vertAlign w:val="subscript"/>
        </w:rPr>
        <w:t>2</w:t>
      </w:r>
      <w:r w:rsidR="005464F5">
        <w:rPr>
          <w:rFonts w:ascii="Times New Roman" w:hAnsi="Times New Roman" w:cs="Times New Roman"/>
          <w:sz w:val="20"/>
          <w:szCs w:val="20"/>
          <w:vertAlign w:val="subscript"/>
        </w:rPr>
        <w:t>.</w:t>
      </w:r>
    </w:p>
    <w:p w14:paraId="130BCF9E" w14:textId="3150E1E7" w:rsidR="001C7892" w:rsidRDefault="0027003E" w:rsidP="001C7892">
      <w:pPr>
        <w:spacing w:line="240" w:lineRule="exact"/>
        <w:ind w:firstLine="187"/>
        <w:jc w:val="both"/>
        <w:rPr>
          <w:rFonts w:ascii="Times New Roman" w:hAnsi="Times New Roman" w:cs="Times New Roman"/>
          <w:sz w:val="20"/>
          <w:szCs w:val="20"/>
        </w:rPr>
      </w:pPr>
      <w:r>
        <w:rPr>
          <w:rFonts w:ascii="Times New Roman" w:hAnsi="Times New Roman" w:cs="Times New Roman"/>
          <w:sz w:val="20"/>
          <w:szCs w:val="20"/>
        </w:rPr>
        <w:t xml:space="preserve">Ao adicionar </w:t>
      </w:r>
      <w:proofErr w:type="spellStart"/>
      <w:r>
        <w:rPr>
          <w:rFonts w:ascii="Times New Roman" w:hAnsi="Times New Roman" w:cs="Times New Roman"/>
          <w:sz w:val="20"/>
          <w:szCs w:val="20"/>
        </w:rPr>
        <w:t>HCl</w:t>
      </w:r>
      <w:proofErr w:type="spellEnd"/>
      <w:r>
        <w:rPr>
          <w:rFonts w:ascii="Times New Roman" w:hAnsi="Times New Roman" w:cs="Times New Roman"/>
          <w:sz w:val="20"/>
          <w:szCs w:val="20"/>
        </w:rPr>
        <w:t xml:space="preserve"> na síntese</w:t>
      </w:r>
      <w:r w:rsidR="005464F5">
        <w:rPr>
          <w:rFonts w:ascii="Times New Roman" w:hAnsi="Times New Roman" w:cs="Times New Roman"/>
          <w:sz w:val="20"/>
          <w:szCs w:val="20"/>
        </w:rPr>
        <w:t>,</w:t>
      </w:r>
      <w:r>
        <w:rPr>
          <w:rFonts w:ascii="Times New Roman" w:hAnsi="Times New Roman" w:cs="Times New Roman"/>
          <w:sz w:val="20"/>
          <w:szCs w:val="20"/>
        </w:rPr>
        <w:t xml:space="preserve"> formando o</w:t>
      </w:r>
      <w:r w:rsidR="005464F5">
        <w:rPr>
          <w:rFonts w:ascii="Times New Roman" w:hAnsi="Times New Roman" w:cs="Times New Roman"/>
          <w:sz w:val="20"/>
          <w:szCs w:val="20"/>
        </w:rPr>
        <w:t>s</w:t>
      </w:r>
      <w:r>
        <w:rPr>
          <w:rFonts w:ascii="Times New Roman" w:hAnsi="Times New Roman" w:cs="Times New Roman"/>
          <w:sz w:val="20"/>
          <w:szCs w:val="20"/>
        </w:rPr>
        <w:t xml:space="preserve"> óxido</w:t>
      </w:r>
      <w:r w:rsidR="005464F5">
        <w:rPr>
          <w:rFonts w:ascii="Times New Roman" w:hAnsi="Times New Roman" w:cs="Times New Roman"/>
          <w:sz w:val="20"/>
          <w:szCs w:val="20"/>
        </w:rPr>
        <w:t>s</w:t>
      </w:r>
      <w:r>
        <w:rPr>
          <w:rFonts w:ascii="Times New Roman" w:hAnsi="Times New Roman" w:cs="Times New Roman"/>
          <w:sz w:val="20"/>
          <w:szCs w:val="20"/>
        </w:rPr>
        <w:t xml:space="preserve"> </w:t>
      </w:r>
      <w:r w:rsidRPr="000C4225">
        <w:rPr>
          <w:rFonts w:ascii="Times New Roman" w:hAnsi="Times New Roman" w:cs="Times New Roman"/>
          <w:sz w:val="20"/>
          <w:szCs w:val="20"/>
        </w:rPr>
        <w:t>1</w:t>
      </w:r>
      <w:r w:rsidR="005464F5">
        <w:rPr>
          <w:rFonts w:ascii="Times New Roman" w:hAnsi="Times New Roman" w:cs="Times New Roman"/>
          <w:sz w:val="20"/>
          <w:szCs w:val="20"/>
        </w:rPr>
        <w:t xml:space="preserve"> e 10</w:t>
      </w:r>
      <w:r w:rsidRPr="000C4225">
        <w:rPr>
          <w:rFonts w:ascii="Times New Roman" w:hAnsi="Times New Roman" w:cs="Times New Roman"/>
          <w:sz w:val="20"/>
          <w:szCs w:val="20"/>
        </w:rPr>
        <w:t>% SnO</w:t>
      </w:r>
      <w:r w:rsidRPr="000C4225">
        <w:rPr>
          <w:rFonts w:ascii="Times New Roman" w:hAnsi="Times New Roman" w:cs="Times New Roman"/>
          <w:sz w:val="20"/>
          <w:szCs w:val="20"/>
          <w:vertAlign w:val="subscript"/>
        </w:rPr>
        <w:t>2</w:t>
      </w:r>
      <w:r w:rsidRPr="000C4225">
        <w:rPr>
          <w:rFonts w:ascii="Times New Roman" w:hAnsi="Times New Roman" w:cs="Times New Roman"/>
          <w:sz w:val="20"/>
          <w:szCs w:val="20"/>
        </w:rPr>
        <w:t>-TiO</w:t>
      </w:r>
      <w:r w:rsidRPr="000C4225">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rPr>
        <w:t>HCl</w:t>
      </w:r>
      <w:proofErr w:type="spellEnd"/>
      <w:r>
        <w:rPr>
          <w:rFonts w:ascii="Times New Roman" w:hAnsi="Times New Roman" w:cs="Times New Roman"/>
          <w:sz w:val="20"/>
          <w:szCs w:val="20"/>
        </w:rPr>
        <w:t>, o</w:t>
      </w:r>
      <w:r w:rsidR="005464F5">
        <w:rPr>
          <w:rFonts w:ascii="Times New Roman" w:hAnsi="Times New Roman" w:cs="Times New Roman"/>
          <w:sz w:val="20"/>
          <w:szCs w:val="20"/>
        </w:rPr>
        <w:t>s</w:t>
      </w:r>
      <w:r>
        <w:rPr>
          <w:rFonts w:ascii="Times New Roman" w:hAnsi="Times New Roman" w:cs="Times New Roman"/>
          <w:sz w:val="20"/>
          <w:szCs w:val="20"/>
        </w:rPr>
        <w:t xml:space="preserve"> catalisador</w:t>
      </w:r>
      <w:r w:rsidR="005464F5">
        <w:rPr>
          <w:rFonts w:ascii="Times New Roman" w:hAnsi="Times New Roman" w:cs="Times New Roman"/>
          <w:sz w:val="20"/>
          <w:szCs w:val="20"/>
        </w:rPr>
        <w:t>es</w:t>
      </w:r>
      <w:r>
        <w:rPr>
          <w:rFonts w:ascii="Times New Roman" w:hAnsi="Times New Roman" w:cs="Times New Roman"/>
          <w:sz w:val="20"/>
          <w:szCs w:val="20"/>
        </w:rPr>
        <w:t xml:space="preserve"> perde</w:t>
      </w:r>
      <w:r w:rsidR="005464F5">
        <w:rPr>
          <w:rFonts w:ascii="Times New Roman" w:hAnsi="Times New Roman" w:cs="Times New Roman"/>
          <w:sz w:val="20"/>
          <w:szCs w:val="20"/>
        </w:rPr>
        <w:t>m</w:t>
      </w:r>
      <w:r>
        <w:rPr>
          <w:rFonts w:ascii="Times New Roman" w:hAnsi="Times New Roman" w:cs="Times New Roman"/>
          <w:sz w:val="20"/>
          <w:szCs w:val="20"/>
        </w:rPr>
        <w:t xml:space="preserve"> a capacidade de </w:t>
      </w:r>
      <w:r w:rsidR="005464F5">
        <w:rPr>
          <w:rFonts w:ascii="Times New Roman" w:hAnsi="Times New Roman" w:cs="Times New Roman"/>
          <w:sz w:val="20"/>
          <w:szCs w:val="20"/>
        </w:rPr>
        <w:t xml:space="preserve">degradar pela ação da </w:t>
      </w:r>
      <w:r>
        <w:rPr>
          <w:rFonts w:ascii="Times New Roman" w:hAnsi="Times New Roman" w:cs="Times New Roman"/>
          <w:sz w:val="20"/>
          <w:szCs w:val="20"/>
        </w:rPr>
        <w:t>adsorção</w:t>
      </w:r>
      <w:r w:rsidR="005464F5">
        <w:rPr>
          <w:rFonts w:ascii="Times New Roman" w:hAnsi="Times New Roman" w:cs="Times New Roman"/>
          <w:sz w:val="20"/>
          <w:szCs w:val="20"/>
        </w:rPr>
        <w:t xml:space="preserve"> com</w:t>
      </w:r>
      <w:r w:rsidR="007D2307">
        <w:rPr>
          <w:rFonts w:ascii="Times New Roman" w:hAnsi="Times New Roman" w:cs="Times New Roman"/>
          <w:sz w:val="20"/>
          <w:szCs w:val="20"/>
        </w:rPr>
        <w:t xml:space="preserve"> descoramento praticamente nulo de</w:t>
      </w:r>
      <w:r w:rsidR="005464F5">
        <w:rPr>
          <w:rFonts w:ascii="Times New Roman" w:hAnsi="Times New Roman" w:cs="Times New Roman"/>
          <w:sz w:val="20"/>
          <w:szCs w:val="20"/>
        </w:rPr>
        <w:t xml:space="preserve"> </w:t>
      </w:r>
      <w:r>
        <w:rPr>
          <w:rFonts w:ascii="Times New Roman" w:hAnsi="Times New Roman" w:cs="Times New Roman"/>
          <w:sz w:val="20"/>
          <w:szCs w:val="20"/>
        </w:rPr>
        <w:t>1</w:t>
      </w:r>
      <w:r w:rsidR="005464F5">
        <w:rPr>
          <w:rFonts w:ascii="Times New Roman" w:hAnsi="Times New Roman" w:cs="Times New Roman"/>
          <w:sz w:val="20"/>
          <w:szCs w:val="20"/>
        </w:rPr>
        <w:t xml:space="preserve"> e 4</w:t>
      </w:r>
      <w:r>
        <w:rPr>
          <w:rFonts w:ascii="Times New Roman" w:hAnsi="Times New Roman" w:cs="Times New Roman"/>
          <w:sz w:val="20"/>
          <w:szCs w:val="20"/>
        </w:rPr>
        <w:t>% no escuro</w:t>
      </w:r>
      <w:r w:rsidR="005464F5">
        <w:rPr>
          <w:rFonts w:ascii="Times New Roman" w:hAnsi="Times New Roman" w:cs="Times New Roman"/>
          <w:sz w:val="20"/>
          <w:szCs w:val="20"/>
        </w:rPr>
        <w:t xml:space="preserve">, respectivamente. </w:t>
      </w:r>
      <w:r w:rsidR="001C7892">
        <w:rPr>
          <w:rFonts w:ascii="Times New Roman" w:hAnsi="Times New Roman" w:cs="Times New Roman"/>
          <w:sz w:val="20"/>
          <w:szCs w:val="20"/>
        </w:rPr>
        <w:t xml:space="preserve">Esse resultado indica que o uso do </w:t>
      </w:r>
      <w:proofErr w:type="spellStart"/>
      <w:r w:rsidR="001C7892">
        <w:rPr>
          <w:rFonts w:ascii="Times New Roman" w:hAnsi="Times New Roman" w:cs="Times New Roman"/>
          <w:sz w:val="20"/>
          <w:szCs w:val="20"/>
        </w:rPr>
        <w:t>HCl</w:t>
      </w:r>
      <w:proofErr w:type="spellEnd"/>
      <w:r w:rsidR="001C7892">
        <w:rPr>
          <w:rFonts w:ascii="Times New Roman" w:hAnsi="Times New Roman" w:cs="Times New Roman"/>
          <w:sz w:val="20"/>
          <w:szCs w:val="20"/>
        </w:rPr>
        <w:t xml:space="preserve"> gera uma modificação da carga da superfície do óxido gerado, favorecendo ou não a adsorção do azul de metileno. E</w:t>
      </w:r>
      <w:r w:rsidR="00D55D5B">
        <w:rPr>
          <w:rFonts w:ascii="Times New Roman" w:hAnsi="Times New Roman" w:cs="Times New Roman"/>
          <w:sz w:val="20"/>
          <w:szCs w:val="20"/>
        </w:rPr>
        <w:t>m</w:t>
      </w:r>
      <w:r w:rsidR="001C7892">
        <w:rPr>
          <w:rFonts w:ascii="Times New Roman" w:hAnsi="Times New Roman" w:cs="Times New Roman"/>
          <w:sz w:val="20"/>
          <w:szCs w:val="20"/>
        </w:rPr>
        <w:t xml:space="preserve"> geral espera-se que quando a adsorção for favorável, mais ativo é o catalisador, mas, mesmo não adsorvendo muito, os catalisadores obtidos na presença de </w:t>
      </w:r>
      <w:proofErr w:type="spellStart"/>
      <w:r w:rsidR="001C7892">
        <w:rPr>
          <w:rFonts w:ascii="Times New Roman" w:hAnsi="Times New Roman" w:cs="Times New Roman"/>
          <w:sz w:val="20"/>
          <w:szCs w:val="20"/>
        </w:rPr>
        <w:t>HCl</w:t>
      </w:r>
      <w:proofErr w:type="spellEnd"/>
      <w:r w:rsidR="001C7892">
        <w:rPr>
          <w:rFonts w:ascii="Times New Roman" w:hAnsi="Times New Roman" w:cs="Times New Roman"/>
          <w:sz w:val="20"/>
          <w:szCs w:val="20"/>
        </w:rPr>
        <w:t xml:space="preserve"> tiveram um bom desempenho, devido à</w:t>
      </w:r>
      <w:r w:rsidR="003B667B">
        <w:rPr>
          <w:rFonts w:ascii="Times New Roman" w:hAnsi="Times New Roman" w:cs="Times New Roman"/>
          <w:sz w:val="20"/>
          <w:szCs w:val="20"/>
        </w:rPr>
        <w:t xml:space="preserve"> fotocatálise. </w:t>
      </w:r>
    </w:p>
    <w:p w14:paraId="31E7F99E" w14:textId="15647E32" w:rsidR="003B667B" w:rsidRDefault="003B667B" w:rsidP="003B667B">
      <w:pPr>
        <w:spacing w:line="240" w:lineRule="exact"/>
        <w:ind w:firstLine="187"/>
        <w:jc w:val="both"/>
        <w:rPr>
          <w:rFonts w:ascii="Times New Roman" w:hAnsi="Times New Roman" w:cs="Times New Roman"/>
          <w:sz w:val="20"/>
          <w:szCs w:val="20"/>
        </w:rPr>
      </w:pPr>
      <w:r>
        <w:rPr>
          <w:rFonts w:ascii="Times New Roman" w:hAnsi="Times New Roman" w:cs="Times New Roman"/>
          <w:sz w:val="20"/>
          <w:szCs w:val="20"/>
        </w:rPr>
        <w:t>Por esta razão, o catalisador 10</w:t>
      </w:r>
      <w:r w:rsidRPr="000C4225">
        <w:rPr>
          <w:rFonts w:ascii="Times New Roman" w:hAnsi="Times New Roman" w:cs="Times New Roman"/>
          <w:sz w:val="20"/>
          <w:szCs w:val="20"/>
        </w:rPr>
        <w:t>% SnO</w:t>
      </w:r>
      <w:r w:rsidRPr="000C4225">
        <w:rPr>
          <w:rFonts w:ascii="Times New Roman" w:hAnsi="Times New Roman" w:cs="Times New Roman"/>
          <w:sz w:val="20"/>
          <w:szCs w:val="20"/>
          <w:vertAlign w:val="subscript"/>
        </w:rPr>
        <w:t>2</w:t>
      </w:r>
      <w:r w:rsidRPr="000C4225">
        <w:rPr>
          <w:rFonts w:ascii="Times New Roman" w:hAnsi="Times New Roman" w:cs="Times New Roman"/>
          <w:sz w:val="20"/>
          <w:szCs w:val="20"/>
        </w:rPr>
        <w:t>-TiO</w:t>
      </w:r>
      <w:r w:rsidRPr="000C4225">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rPr>
        <w:t>HCl</w:t>
      </w:r>
      <w:proofErr w:type="spellEnd"/>
      <w:r>
        <w:rPr>
          <w:rFonts w:ascii="Times New Roman" w:hAnsi="Times New Roman" w:cs="Times New Roman"/>
          <w:sz w:val="20"/>
          <w:szCs w:val="20"/>
        </w:rPr>
        <w:t xml:space="preserve"> foi selecionado para a produção do filme</w:t>
      </w:r>
      <w:r w:rsidR="002E18F1">
        <w:rPr>
          <w:rFonts w:ascii="Times New Roman" w:hAnsi="Times New Roman" w:cs="Times New Roman"/>
          <w:sz w:val="20"/>
          <w:szCs w:val="20"/>
        </w:rPr>
        <w:t>.</w:t>
      </w:r>
      <w:r w:rsidR="001C7892">
        <w:rPr>
          <w:rFonts w:ascii="Times New Roman" w:hAnsi="Times New Roman" w:cs="Times New Roman"/>
          <w:sz w:val="20"/>
          <w:szCs w:val="20"/>
        </w:rPr>
        <w:t xml:space="preserve"> </w:t>
      </w:r>
      <w:r w:rsidR="002E18F1">
        <w:rPr>
          <w:rFonts w:ascii="Times New Roman" w:hAnsi="Times New Roman" w:cs="Times New Roman"/>
          <w:sz w:val="20"/>
          <w:szCs w:val="20"/>
        </w:rPr>
        <w:t xml:space="preserve">O experimento de descoramento realizado com radiação UV na presença de um filme contendo proporção mássica de </w:t>
      </w:r>
      <w:r w:rsidR="00B03288">
        <w:rPr>
          <w:rFonts w:ascii="Times New Roman" w:hAnsi="Times New Roman" w:cs="Times New Roman"/>
          <w:sz w:val="20"/>
          <w:szCs w:val="20"/>
        </w:rPr>
        <w:t>3</w:t>
      </w:r>
      <w:r w:rsidR="002E18F1">
        <w:rPr>
          <w:rFonts w:ascii="Times New Roman" w:hAnsi="Times New Roman" w:cs="Times New Roman"/>
          <w:sz w:val="20"/>
          <w:szCs w:val="20"/>
        </w:rPr>
        <w:t xml:space="preserve">:1 de </w:t>
      </w:r>
      <w:proofErr w:type="spellStart"/>
      <w:r w:rsidR="002E18F1">
        <w:rPr>
          <w:rFonts w:ascii="Times New Roman" w:hAnsi="Times New Roman" w:cs="Times New Roman"/>
          <w:sz w:val="20"/>
          <w:szCs w:val="20"/>
        </w:rPr>
        <w:t>catalisador:quitosana</w:t>
      </w:r>
      <w:proofErr w:type="spellEnd"/>
      <w:r w:rsidR="002E18F1">
        <w:rPr>
          <w:rFonts w:ascii="Times New Roman" w:hAnsi="Times New Roman" w:cs="Times New Roman"/>
          <w:sz w:val="20"/>
          <w:szCs w:val="20"/>
        </w:rPr>
        <w:t xml:space="preserve"> apresentou uma capacidade de descoramento de </w:t>
      </w:r>
      <w:r>
        <w:rPr>
          <w:rFonts w:ascii="Times New Roman" w:hAnsi="Times New Roman" w:cs="Times New Roman"/>
          <w:sz w:val="20"/>
          <w:szCs w:val="20"/>
        </w:rPr>
        <w:t>45% do corante</w:t>
      </w:r>
      <w:r w:rsidR="007512F7">
        <w:rPr>
          <w:rFonts w:ascii="Times New Roman" w:hAnsi="Times New Roman" w:cs="Times New Roman"/>
          <w:sz w:val="20"/>
          <w:szCs w:val="20"/>
        </w:rPr>
        <w:t>.</w:t>
      </w:r>
      <w:r>
        <w:rPr>
          <w:rFonts w:ascii="Times New Roman" w:hAnsi="Times New Roman" w:cs="Times New Roman"/>
          <w:sz w:val="20"/>
          <w:szCs w:val="20"/>
        </w:rPr>
        <w:t xml:space="preserve"> </w:t>
      </w:r>
      <w:r w:rsidR="002E18F1">
        <w:rPr>
          <w:rFonts w:ascii="Times New Roman" w:hAnsi="Times New Roman" w:cs="Times New Roman"/>
          <w:sz w:val="20"/>
          <w:szCs w:val="20"/>
        </w:rPr>
        <w:t>Este resultado é interessante</w:t>
      </w:r>
      <w:r w:rsidR="00B03288">
        <w:rPr>
          <w:rFonts w:ascii="Times New Roman" w:hAnsi="Times New Roman" w:cs="Times New Roman"/>
          <w:sz w:val="20"/>
          <w:szCs w:val="20"/>
        </w:rPr>
        <w:t xml:space="preserve">, tendo em vista que o filme tinha apenas </w:t>
      </w:r>
      <w:r w:rsidR="00F5309B">
        <w:rPr>
          <w:rFonts w:ascii="Times New Roman" w:hAnsi="Times New Roman" w:cs="Times New Roman"/>
          <w:sz w:val="20"/>
          <w:szCs w:val="20"/>
        </w:rPr>
        <w:t>0,3 g</w:t>
      </w:r>
      <w:r w:rsidR="00B03288">
        <w:rPr>
          <w:rFonts w:ascii="Times New Roman" w:hAnsi="Times New Roman" w:cs="Times New Roman"/>
          <w:sz w:val="20"/>
          <w:szCs w:val="20"/>
        </w:rPr>
        <w:t xml:space="preserve"> de catalisador, indicando uma elevada capacidade de remoção da cor.</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4A70FE93" w14:textId="18DA3A0A" w:rsidR="00EA4E1B" w:rsidRDefault="00372D22" w:rsidP="00EA4E1B">
      <w:pPr>
        <w:pStyle w:val="TAMainText"/>
        <w:ind w:firstLine="187"/>
        <w:rPr>
          <w:rFonts w:ascii="Times New Roman" w:hAnsi="Times New Roman"/>
          <w:lang w:val="pt-BR"/>
        </w:rPr>
      </w:pPr>
      <w:r>
        <w:rPr>
          <w:rFonts w:ascii="Times New Roman" w:hAnsi="Times New Roman"/>
          <w:lang w:val="pt-BR"/>
        </w:rPr>
        <w:t>A partir desse estudo</w:t>
      </w:r>
      <w:r w:rsidR="001C7892">
        <w:rPr>
          <w:rFonts w:ascii="Times New Roman" w:hAnsi="Times New Roman"/>
          <w:lang w:val="pt-BR"/>
        </w:rPr>
        <w:t>,</w:t>
      </w:r>
      <w:r>
        <w:rPr>
          <w:rFonts w:ascii="Times New Roman" w:hAnsi="Times New Roman"/>
          <w:lang w:val="pt-BR"/>
        </w:rPr>
        <w:t xml:space="preserve"> óx</w:t>
      </w:r>
      <w:r w:rsidR="007D2307">
        <w:rPr>
          <w:rFonts w:ascii="Times New Roman" w:hAnsi="Times New Roman"/>
          <w:lang w:val="pt-BR"/>
        </w:rPr>
        <w:t xml:space="preserve">idos de </w:t>
      </w:r>
      <w:r w:rsidR="007D2307" w:rsidRPr="007D2307">
        <w:rPr>
          <w:rFonts w:ascii="Times New Roman" w:hAnsi="Times New Roman"/>
          <w:lang w:val="pt-BR"/>
        </w:rPr>
        <w:t>TiO</w:t>
      </w:r>
      <w:r w:rsidR="007D2307" w:rsidRPr="007D2307">
        <w:rPr>
          <w:rFonts w:ascii="Times New Roman" w:hAnsi="Times New Roman"/>
          <w:vertAlign w:val="subscript"/>
          <w:lang w:val="pt-BR"/>
        </w:rPr>
        <w:t>2</w:t>
      </w:r>
      <w:r w:rsidR="007D2307">
        <w:rPr>
          <w:rFonts w:ascii="Times New Roman" w:hAnsi="Times New Roman"/>
          <w:lang w:val="pt-BR"/>
        </w:rPr>
        <w:t xml:space="preserve"> modificados com SnO</w:t>
      </w:r>
      <w:r w:rsidR="007D2307" w:rsidRPr="007D2307">
        <w:rPr>
          <w:rFonts w:ascii="Times New Roman" w:hAnsi="Times New Roman"/>
          <w:vertAlign w:val="subscript"/>
          <w:lang w:val="pt-BR"/>
        </w:rPr>
        <w:t>2</w:t>
      </w:r>
      <w:r w:rsidR="007D2307" w:rsidRPr="007D2307">
        <w:rPr>
          <w:rFonts w:ascii="Times New Roman" w:hAnsi="Times New Roman"/>
          <w:lang w:val="pt-BR"/>
        </w:rPr>
        <w:t xml:space="preserve"> </w:t>
      </w:r>
      <w:r w:rsidR="007D2307">
        <w:rPr>
          <w:rFonts w:ascii="Times New Roman" w:hAnsi="Times New Roman"/>
          <w:lang w:val="pt-BR"/>
        </w:rPr>
        <w:t>f</w:t>
      </w:r>
      <w:r w:rsidR="007D2307" w:rsidRPr="007D2307">
        <w:rPr>
          <w:rFonts w:ascii="Times New Roman" w:hAnsi="Times New Roman"/>
          <w:lang w:val="pt-BR"/>
        </w:rPr>
        <w:t>oram sintetizados</w:t>
      </w:r>
      <w:r>
        <w:rPr>
          <w:rFonts w:ascii="Times New Roman" w:hAnsi="Times New Roman"/>
          <w:lang w:val="pt-BR"/>
        </w:rPr>
        <w:t>, com bom rendimento,</w:t>
      </w:r>
      <w:r w:rsidR="007D2307" w:rsidRPr="007D2307">
        <w:rPr>
          <w:rFonts w:ascii="Times New Roman" w:hAnsi="Times New Roman"/>
          <w:lang w:val="pt-BR"/>
        </w:rPr>
        <w:t xml:space="preserve"> pelo método </w:t>
      </w:r>
      <w:r w:rsidR="007D2307">
        <w:rPr>
          <w:rFonts w:ascii="Times New Roman" w:hAnsi="Times New Roman"/>
          <w:lang w:val="pt-BR"/>
        </w:rPr>
        <w:t>s</w:t>
      </w:r>
      <w:r w:rsidR="007D2307" w:rsidRPr="007D2307">
        <w:rPr>
          <w:rFonts w:ascii="Times New Roman" w:hAnsi="Times New Roman"/>
          <w:lang w:val="pt-BR"/>
        </w:rPr>
        <w:t>ol-</w:t>
      </w:r>
      <w:r w:rsidR="007D2307">
        <w:rPr>
          <w:rFonts w:ascii="Times New Roman" w:hAnsi="Times New Roman"/>
          <w:lang w:val="pt-BR"/>
        </w:rPr>
        <w:t>g</w:t>
      </w:r>
      <w:r w:rsidR="007D2307" w:rsidRPr="007D2307">
        <w:rPr>
          <w:rFonts w:ascii="Times New Roman" w:hAnsi="Times New Roman"/>
          <w:lang w:val="pt-BR"/>
        </w:rPr>
        <w:t xml:space="preserve">el utilizando duas rotas, uma sem </w:t>
      </w:r>
      <w:r>
        <w:rPr>
          <w:rFonts w:ascii="Times New Roman" w:hAnsi="Times New Roman"/>
          <w:lang w:val="pt-BR"/>
        </w:rPr>
        <w:t xml:space="preserve">a adição de </w:t>
      </w:r>
      <w:proofErr w:type="spellStart"/>
      <w:r w:rsidR="007D2307" w:rsidRPr="007D2307">
        <w:rPr>
          <w:rFonts w:ascii="Times New Roman" w:hAnsi="Times New Roman"/>
          <w:lang w:val="pt-BR"/>
        </w:rPr>
        <w:t>HCl</w:t>
      </w:r>
      <w:proofErr w:type="spellEnd"/>
      <w:r w:rsidR="007D2307" w:rsidRPr="007D2307">
        <w:rPr>
          <w:rFonts w:ascii="Times New Roman" w:hAnsi="Times New Roman"/>
          <w:lang w:val="pt-BR"/>
        </w:rPr>
        <w:t xml:space="preserve"> na etapa de hidrólise e outra com </w:t>
      </w:r>
      <w:proofErr w:type="spellStart"/>
      <w:r w:rsidR="007D2307" w:rsidRPr="007D2307">
        <w:rPr>
          <w:rFonts w:ascii="Times New Roman" w:hAnsi="Times New Roman"/>
          <w:lang w:val="pt-BR"/>
        </w:rPr>
        <w:t>HCl</w:t>
      </w:r>
      <w:proofErr w:type="spellEnd"/>
      <w:r w:rsidR="007D2307" w:rsidRPr="007D2307">
        <w:rPr>
          <w:rFonts w:ascii="Times New Roman" w:hAnsi="Times New Roman"/>
          <w:lang w:val="pt-BR"/>
        </w:rPr>
        <w:t>. Essa alteração de rota trouxe mudanças</w:t>
      </w:r>
      <w:r>
        <w:rPr>
          <w:rFonts w:ascii="Times New Roman" w:hAnsi="Times New Roman"/>
          <w:lang w:val="pt-BR"/>
        </w:rPr>
        <w:t xml:space="preserve"> significativas </w:t>
      </w:r>
      <w:r w:rsidR="00FD09E8" w:rsidRPr="007D2307">
        <w:rPr>
          <w:rFonts w:ascii="Times New Roman" w:hAnsi="Times New Roman"/>
          <w:lang w:val="pt-BR"/>
        </w:rPr>
        <w:t>na estrutura cristalina</w:t>
      </w:r>
      <w:r w:rsidR="00FD09E8">
        <w:rPr>
          <w:rFonts w:ascii="Times New Roman" w:hAnsi="Times New Roman"/>
          <w:lang w:val="pt-BR"/>
        </w:rPr>
        <w:t xml:space="preserve"> dos materiais e nas propriedades</w:t>
      </w:r>
      <w:r w:rsidR="007D2307" w:rsidRPr="007D2307">
        <w:rPr>
          <w:rFonts w:ascii="Times New Roman" w:hAnsi="Times New Roman"/>
          <w:lang w:val="pt-BR"/>
        </w:rPr>
        <w:t xml:space="preserve"> texturais</w:t>
      </w:r>
      <w:r w:rsidR="00FD09E8">
        <w:rPr>
          <w:rFonts w:ascii="Times New Roman" w:hAnsi="Times New Roman"/>
          <w:lang w:val="pt-BR"/>
        </w:rPr>
        <w:t>.</w:t>
      </w:r>
    </w:p>
    <w:p w14:paraId="4CAF9981" w14:textId="6BD249CC" w:rsidR="00C36F40" w:rsidRDefault="00172ECC" w:rsidP="00EA4E1B">
      <w:pPr>
        <w:pStyle w:val="TAMainText"/>
        <w:ind w:firstLine="187"/>
        <w:rPr>
          <w:rFonts w:ascii="Times New Roman" w:hAnsi="Times New Roman"/>
          <w:lang w:val="pt-BR"/>
        </w:rPr>
      </w:pPr>
      <w:r>
        <w:rPr>
          <w:rFonts w:ascii="Times New Roman" w:hAnsi="Times New Roman"/>
          <w:lang w:val="pt-BR"/>
        </w:rPr>
        <w:t>Os óxidos foram testados em suspensão na degradação</w:t>
      </w:r>
      <w:r w:rsidR="00372D22">
        <w:rPr>
          <w:rFonts w:ascii="Times New Roman" w:hAnsi="Times New Roman"/>
          <w:lang w:val="pt-BR"/>
        </w:rPr>
        <w:t xml:space="preserve"> fotocatalítica</w:t>
      </w:r>
      <w:r>
        <w:rPr>
          <w:rFonts w:ascii="Times New Roman" w:hAnsi="Times New Roman"/>
          <w:lang w:val="pt-BR"/>
        </w:rPr>
        <w:t xml:space="preserve"> do corante azul de metileno</w:t>
      </w:r>
      <w:r w:rsidR="00C36F40">
        <w:rPr>
          <w:rFonts w:ascii="Times New Roman" w:hAnsi="Times New Roman"/>
          <w:lang w:val="pt-BR"/>
        </w:rPr>
        <w:t xml:space="preserve"> </w:t>
      </w:r>
      <w:r>
        <w:rPr>
          <w:rFonts w:ascii="Times New Roman" w:hAnsi="Times New Roman"/>
          <w:lang w:val="pt-BR"/>
        </w:rPr>
        <w:t>e todos tiveram um bom desempenho nas condições estudadas.</w:t>
      </w:r>
    </w:p>
    <w:p w14:paraId="11AD050A" w14:textId="2CBE260A" w:rsidR="00FD09E8" w:rsidRDefault="007512F7" w:rsidP="00EA4E1B">
      <w:pPr>
        <w:pStyle w:val="TAMainText"/>
        <w:ind w:firstLine="187"/>
        <w:rPr>
          <w:rFonts w:ascii="Times New Roman" w:hAnsi="Times New Roman"/>
          <w:lang w:val="pt-BR"/>
        </w:rPr>
      </w:pPr>
      <w:r w:rsidRPr="007512F7">
        <w:rPr>
          <w:rFonts w:ascii="Times New Roman" w:hAnsi="Times New Roman"/>
          <w:lang w:val="pt-BR"/>
        </w:rPr>
        <w:t>O catalisador</w:t>
      </w:r>
      <w:r w:rsidR="00FD09E8">
        <w:rPr>
          <w:rFonts w:ascii="Times New Roman" w:hAnsi="Times New Roman"/>
          <w:lang w:val="pt-BR"/>
        </w:rPr>
        <w:t xml:space="preserve"> </w:t>
      </w:r>
      <w:r w:rsidR="00FD09E8" w:rsidRPr="007512F7">
        <w:rPr>
          <w:rFonts w:ascii="Times New Roman" w:hAnsi="Times New Roman"/>
          <w:lang w:val="pt-BR"/>
        </w:rPr>
        <w:t>1</w:t>
      </w:r>
      <w:r w:rsidR="00FD09E8" w:rsidRPr="000C4225">
        <w:rPr>
          <w:rFonts w:ascii="Times New Roman" w:hAnsi="Times New Roman"/>
          <w:lang w:val="pt-BR"/>
        </w:rPr>
        <w:t>% SnO</w:t>
      </w:r>
      <w:r w:rsidR="00FD09E8" w:rsidRPr="000C4225">
        <w:rPr>
          <w:rFonts w:ascii="Times New Roman" w:hAnsi="Times New Roman"/>
          <w:vertAlign w:val="subscript"/>
          <w:lang w:val="pt-BR"/>
        </w:rPr>
        <w:t>2</w:t>
      </w:r>
      <w:r w:rsidR="00FD09E8" w:rsidRPr="000C4225">
        <w:rPr>
          <w:rFonts w:ascii="Times New Roman" w:hAnsi="Times New Roman"/>
          <w:lang w:val="pt-BR"/>
        </w:rPr>
        <w:t>-TiO</w:t>
      </w:r>
      <w:r w:rsidR="00FD09E8" w:rsidRPr="000C4225">
        <w:rPr>
          <w:rFonts w:ascii="Times New Roman" w:hAnsi="Times New Roman"/>
          <w:vertAlign w:val="subscript"/>
          <w:lang w:val="pt-BR"/>
        </w:rPr>
        <w:t>2</w:t>
      </w:r>
      <w:r w:rsidR="00FD09E8" w:rsidRPr="00FD09E8">
        <w:rPr>
          <w:rFonts w:ascii="Times New Roman" w:hAnsi="Times New Roman"/>
          <w:lang w:val="pt-BR"/>
        </w:rPr>
        <w:t>, rota 1, apresentou o m</w:t>
      </w:r>
      <w:r w:rsidR="00FD09E8">
        <w:rPr>
          <w:rFonts w:ascii="Times New Roman" w:hAnsi="Times New Roman"/>
          <w:lang w:val="pt-BR"/>
        </w:rPr>
        <w:t>aior</w:t>
      </w:r>
      <w:r w:rsidR="00FD09E8" w:rsidRPr="00FD09E8">
        <w:rPr>
          <w:rFonts w:ascii="Times New Roman" w:hAnsi="Times New Roman"/>
          <w:lang w:val="pt-BR"/>
        </w:rPr>
        <w:t xml:space="preserve"> resultado, com 99% de remoção</w:t>
      </w:r>
      <w:r w:rsidR="00FD09E8">
        <w:rPr>
          <w:rFonts w:ascii="Times New Roman" w:hAnsi="Times New Roman"/>
          <w:lang w:val="pt-BR"/>
        </w:rPr>
        <w:t xml:space="preserve"> de corante pelo efeito sinérgico adsorção-fotocatálise.</w:t>
      </w:r>
    </w:p>
    <w:p w14:paraId="5994A776" w14:textId="63925D46" w:rsidR="007512F7" w:rsidRPr="001F25B2" w:rsidRDefault="007512F7" w:rsidP="00EA4E1B">
      <w:pPr>
        <w:pStyle w:val="TAMainText"/>
        <w:ind w:firstLine="187"/>
        <w:rPr>
          <w:rFonts w:ascii="Times New Roman" w:hAnsi="Times New Roman"/>
          <w:lang w:val="pt-BR"/>
        </w:rPr>
      </w:pPr>
      <w:r w:rsidRPr="007512F7">
        <w:rPr>
          <w:rFonts w:ascii="Times New Roman" w:hAnsi="Times New Roman"/>
          <w:lang w:val="pt-BR"/>
        </w:rPr>
        <w:t>10</w:t>
      </w:r>
      <w:r w:rsidRPr="000C4225">
        <w:rPr>
          <w:rFonts w:ascii="Times New Roman" w:hAnsi="Times New Roman"/>
          <w:lang w:val="pt-BR"/>
        </w:rPr>
        <w:t>% SnO</w:t>
      </w:r>
      <w:r w:rsidRPr="000C4225">
        <w:rPr>
          <w:rFonts w:ascii="Times New Roman" w:hAnsi="Times New Roman"/>
          <w:vertAlign w:val="subscript"/>
          <w:lang w:val="pt-BR"/>
        </w:rPr>
        <w:t>2</w:t>
      </w:r>
      <w:r w:rsidRPr="000C4225">
        <w:rPr>
          <w:rFonts w:ascii="Times New Roman" w:hAnsi="Times New Roman"/>
          <w:lang w:val="pt-BR"/>
        </w:rPr>
        <w:t>-TiO</w:t>
      </w:r>
      <w:r w:rsidRPr="000C4225">
        <w:rPr>
          <w:rFonts w:ascii="Times New Roman" w:hAnsi="Times New Roman"/>
          <w:vertAlign w:val="subscript"/>
          <w:lang w:val="pt-BR"/>
        </w:rPr>
        <w:t>2</w:t>
      </w:r>
      <w:r w:rsidRPr="007512F7">
        <w:rPr>
          <w:rFonts w:ascii="Times New Roman" w:hAnsi="Times New Roman"/>
          <w:vertAlign w:val="subscript"/>
          <w:lang w:val="pt-BR"/>
        </w:rPr>
        <w:t xml:space="preserve"> </w:t>
      </w:r>
      <w:proofErr w:type="spellStart"/>
      <w:r w:rsidRPr="007512F7">
        <w:rPr>
          <w:rFonts w:ascii="Times New Roman" w:hAnsi="Times New Roman"/>
          <w:lang w:val="pt-BR"/>
        </w:rPr>
        <w:t>HCl</w:t>
      </w:r>
      <w:proofErr w:type="spellEnd"/>
      <w:r w:rsidRPr="007512F7">
        <w:rPr>
          <w:rFonts w:ascii="Times New Roman" w:hAnsi="Times New Roman"/>
          <w:lang w:val="pt-BR"/>
        </w:rPr>
        <w:t>, rota 2, a</w:t>
      </w:r>
      <w:r w:rsidR="00D31433">
        <w:rPr>
          <w:rFonts w:ascii="Times New Roman" w:hAnsi="Times New Roman"/>
          <w:lang w:val="pt-BR"/>
        </w:rPr>
        <w:t>presentou</w:t>
      </w:r>
      <w:r w:rsidRPr="007512F7">
        <w:rPr>
          <w:rFonts w:ascii="Times New Roman" w:hAnsi="Times New Roman"/>
          <w:lang w:val="pt-BR"/>
        </w:rPr>
        <w:t xml:space="preserve"> um bom resultado de descoramento em suspensão</w:t>
      </w:r>
      <w:r w:rsidR="00D31433">
        <w:rPr>
          <w:rFonts w:ascii="Times New Roman" w:hAnsi="Times New Roman"/>
          <w:lang w:val="pt-BR"/>
        </w:rPr>
        <w:t xml:space="preserve"> pela ação majoritária da radiação e</w:t>
      </w:r>
      <w:r w:rsidRPr="007512F7">
        <w:rPr>
          <w:rFonts w:ascii="Times New Roman" w:hAnsi="Times New Roman"/>
          <w:lang w:val="pt-BR"/>
        </w:rPr>
        <w:t xml:space="preserve"> apresenta características promissoras para continuar sendo estudado</w:t>
      </w:r>
      <w:r w:rsidR="00D31433">
        <w:rPr>
          <w:rFonts w:ascii="Times New Roman" w:hAnsi="Times New Roman"/>
          <w:lang w:val="pt-BR"/>
        </w:rPr>
        <w:t xml:space="preserve"> na forma imobilizada como filme.</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2ADC4A50" w14:textId="77777777" w:rsidR="002A568C" w:rsidRDefault="002A568C" w:rsidP="00EA4E1B">
      <w:pPr>
        <w:pStyle w:val="TAMainText"/>
        <w:rPr>
          <w:rFonts w:ascii="Times New Roman" w:hAnsi="Times New Roman"/>
          <w:lang w:val="pt-BR"/>
        </w:rPr>
      </w:pPr>
      <w:r w:rsidRPr="007412BD">
        <w:rPr>
          <w:rFonts w:ascii="Times New Roman" w:hAnsi="Times New Roman"/>
          <w:lang w:val="pt-BR"/>
        </w:rPr>
        <w:t>O presente trabalho foi realizado com apoio da Coordenação de Aperfeiçoamento de Pessoal de Nível Superior – Brasil (CAPES) – Código de Financiamento 001</w:t>
      </w:r>
      <w:r>
        <w:rPr>
          <w:rFonts w:ascii="Times New Roman" w:hAnsi="Times New Roman"/>
          <w:lang w:val="pt-BR"/>
        </w:rPr>
        <w:t xml:space="preserve">. Os autores agradecem à CAPES e UERJ pelo suporte financeiro e pela bolsa de </w:t>
      </w:r>
      <w:proofErr w:type="spellStart"/>
      <w:r>
        <w:rPr>
          <w:rFonts w:ascii="Times New Roman" w:hAnsi="Times New Roman"/>
          <w:lang w:val="pt-BR"/>
        </w:rPr>
        <w:t>DSc</w:t>
      </w:r>
      <w:proofErr w:type="spellEnd"/>
      <w:r>
        <w:rPr>
          <w:rFonts w:ascii="Times New Roman" w:hAnsi="Times New Roman"/>
          <w:lang w:val="pt-BR"/>
        </w:rPr>
        <w:t xml:space="preserve"> de </w:t>
      </w:r>
      <w:r w:rsidRPr="00472775">
        <w:rPr>
          <w:rFonts w:ascii="Times New Roman" w:hAnsi="Times New Roman"/>
          <w:lang w:val="pt-BR"/>
        </w:rPr>
        <w:t>L</w:t>
      </w:r>
      <w:r>
        <w:rPr>
          <w:rFonts w:ascii="Times New Roman" w:hAnsi="Times New Roman"/>
          <w:lang w:val="pt-BR"/>
        </w:rPr>
        <w:t>.</w:t>
      </w:r>
      <w:r w:rsidRPr="00472775">
        <w:rPr>
          <w:rFonts w:ascii="Times New Roman" w:hAnsi="Times New Roman"/>
          <w:lang w:val="pt-BR"/>
        </w:rPr>
        <w:t xml:space="preserve"> A</w:t>
      </w:r>
      <w:r>
        <w:rPr>
          <w:rFonts w:ascii="Times New Roman" w:hAnsi="Times New Roman"/>
          <w:lang w:val="pt-BR"/>
        </w:rPr>
        <w:t xml:space="preserve">. </w:t>
      </w:r>
      <w:r w:rsidR="00472775" w:rsidRPr="00472775">
        <w:rPr>
          <w:rFonts w:ascii="Times New Roman" w:hAnsi="Times New Roman"/>
          <w:lang w:val="pt-BR"/>
        </w:rPr>
        <w:t xml:space="preserve">Os autores </w:t>
      </w:r>
      <w:r>
        <w:rPr>
          <w:rFonts w:ascii="Times New Roman" w:hAnsi="Times New Roman"/>
          <w:lang w:val="pt-BR"/>
        </w:rPr>
        <w:t xml:space="preserve">também </w:t>
      </w:r>
      <w:r w:rsidR="00472775" w:rsidRPr="00472775">
        <w:rPr>
          <w:rFonts w:ascii="Times New Roman" w:hAnsi="Times New Roman"/>
          <w:lang w:val="pt-BR"/>
        </w:rPr>
        <w:t xml:space="preserve">agradecem a </w:t>
      </w:r>
      <w:r>
        <w:rPr>
          <w:rFonts w:ascii="Times New Roman" w:hAnsi="Times New Roman"/>
          <w:lang w:val="pt-BR"/>
        </w:rPr>
        <w:t>FAPERJ pelo apoio financeiro.</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58800603" w14:textId="429ECD04"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rPr>
        <w:fldChar w:fldCharType="begin" w:fldLock="1"/>
      </w:r>
      <w:r w:rsidRPr="00697D19">
        <w:rPr>
          <w:rFonts w:ascii="Times New Roman" w:hAnsi="Times New Roman" w:cs="Times New Roman"/>
        </w:rPr>
        <w:instrText xml:space="preserve">ADDIN Mendeley Bibliography CSL_BIBLIOGRAPHY </w:instrText>
      </w:r>
      <w:r w:rsidRPr="00697D19">
        <w:rPr>
          <w:rFonts w:ascii="Times New Roman" w:hAnsi="Times New Roman" w:cs="Times New Roman"/>
        </w:rPr>
        <w:fldChar w:fldCharType="separate"/>
      </w:r>
      <w:r w:rsidRPr="00697D19">
        <w:rPr>
          <w:rFonts w:ascii="Times New Roman" w:hAnsi="Times New Roman" w:cs="Times New Roman"/>
          <w:noProof/>
          <w:sz w:val="20"/>
          <w:szCs w:val="24"/>
        </w:rPr>
        <w:t xml:space="preserve"> P. C. Silva; G. C. Oliveira Neto; J. M. F. Correia; H. N. P. Tucci, </w:t>
      </w:r>
      <w:r w:rsidR="00327B4A" w:rsidRPr="00697D19">
        <w:rPr>
          <w:rFonts w:ascii="Times New Roman" w:hAnsi="Times New Roman" w:cs="Times New Roman"/>
          <w:i/>
          <w:iCs/>
          <w:noProof/>
          <w:sz w:val="20"/>
          <w:szCs w:val="24"/>
        </w:rPr>
        <w:t xml:space="preserve">J. Clean. Prod. </w:t>
      </w:r>
      <w:r w:rsidRPr="00697D19">
        <w:rPr>
          <w:rFonts w:ascii="Times New Roman" w:hAnsi="Times New Roman" w:cs="Times New Roman"/>
          <w:b/>
          <w:bCs/>
          <w:noProof/>
          <w:sz w:val="20"/>
          <w:szCs w:val="24"/>
        </w:rPr>
        <w:t>2021</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278</w:t>
      </w:r>
      <w:r w:rsidRPr="00697D19">
        <w:rPr>
          <w:rFonts w:ascii="Times New Roman" w:hAnsi="Times New Roman" w:cs="Times New Roman"/>
          <w:noProof/>
          <w:sz w:val="20"/>
          <w:szCs w:val="24"/>
        </w:rPr>
        <w:t xml:space="preserve"> </w:t>
      </w:r>
    </w:p>
    <w:p w14:paraId="42738472" w14:textId="5F6F5796"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J. J.</w:t>
      </w:r>
      <w:r w:rsidR="001F5686" w:rsidRPr="00697D19">
        <w:rPr>
          <w:rFonts w:ascii="Times New Roman" w:hAnsi="Times New Roman" w:cs="Times New Roman"/>
          <w:noProof/>
          <w:sz w:val="20"/>
          <w:szCs w:val="24"/>
        </w:rPr>
        <w:t xml:space="preserve"> R. Marquez</w:t>
      </w:r>
      <w:r w:rsidRPr="00697D19">
        <w:rPr>
          <w:rFonts w:ascii="Times New Roman" w:hAnsi="Times New Roman" w:cs="Times New Roman"/>
          <w:noProof/>
          <w:sz w:val="20"/>
          <w:szCs w:val="24"/>
        </w:rPr>
        <w:t xml:space="preserve">; </w:t>
      </w:r>
      <w:r w:rsidR="001F5686" w:rsidRPr="00697D19">
        <w:rPr>
          <w:rFonts w:ascii="Times New Roman" w:hAnsi="Times New Roman" w:cs="Times New Roman"/>
          <w:noProof/>
          <w:sz w:val="20"/>
          <w:szCs w:val="24"/>
        </w:rPr>
        <w:t xml:space="preserve">I. </w:t>
      </w:r>
      <w:r w:rsidRPr="00697D19">
        <w:rPr>
          <w:rFonts w:ascii="Times New Roman" w:hAnsi="Times New Roman" w:cs="Times New Roman"/>
          <w:noProof/>
          <w:sz w:val="20"/>
          <w:szCs w:val="24"/>
        </w:rPr>
        <w:t>Levchuk;</w:t>
      </w:r>
      <w:r w:rsidR="001F5686" w:rsidRPr="00697D19">
        <w:rPr>
          <w:rFonts w:ascii="Times New Roman" w:hAnsi="Times New Roman" w:cs="Times New Roman"/>
          <w:noProof/>
          <w:sz w:val="20"/>
          <w:szCs w:val="24"/>
        </w:rPr>
        <w:t xml:space="preserve"> P.</w:t>
      </w:r>
      <w:r w:rsidRPr="00697D19">
        <w:rPr>
          <w:rFonts w:ascii="Times New Roman" w:hAnsi="Times New Roman" w:cs="Times New Roman"/>
          <w:noProof/>
          <w:sz w:val="20"/>
          <w:szCs w:val="24"/>
        </w:rPr>
        <w:t xml:space="preserve"> F</w:t>
      </w:r>
      <w:r w:rsidR="001F5686" w:rsidRPr="00697D19">
        <w:rPr>
          <w:rFonts w:ascii="Times New Roman" w:hAnsi="Times New Roman" w:cs="Times New Roman"/>
          <w:noProof/>
          <w:sz w:val="20"/>
          <w:szCs w:val="24"/>
        </w:rPr>
        <w:t>.</w:t>
      </w:r>
      <w:r w:rsidRPr="00697D19">
        <w:rPr>
          <w:rFonts w:ascii="Times New Roman" w:hAnsi="Times New Roman" w:cs="Times New Roman"/>
          <w:noProof/>
          <w:sz w:val="20"/>
          <w:szCs w:val="24"/>
        </w:rPr>
        <w:t xml:space="preserve"> Ibañez;</w:t>
      </w:r>
      <w:r w:rsidR="001F5686" w:rsidRPr="00697D19">
        <w:rPr>
          <w:rFonts w:ascii="Times New Roman" w:hAnsi="Times New Roman" w:cs="Times New Roman"/>
          <w:noProof/>
          <w:sz w:val="20"/>
          <w:szCs w:val="24"/>
        </w:rPr>
        <w:t xml:space="preserve"> M.</w:t>
      </w:r>
      <w:r w:rsidRPr="00697D19">
        <w:rPr>
          <w:rFonts w:ascii="Times New Roman" w:hAnsi="Times New Roman" w:cs="Times New Roman"/>
          <w:noProof/>
          <w:sz w:val="20"/>
          <w:szCs w:val="24"/>
        </w:rPr>
        <w:t xml:space="preserve"> Sillanpää, </w:t>
      </w:r>
      <w:r w:rsidR="00327B4A" w:rsidRPr="00697D19">
        <w:rPr>
          <w:rFonts w:ascii="Times New Roman" w:hAnsi="Times New Roman" w:cs="Times New Roman"/>
          <w:i/>
          <w:iCs/>
          <w:noProof/>
          <w:sz w:val="20"/>
          <w:szCs w:val="24"/>
        </w:rPr>
        <w:t xml:space="preserve">J. Clean. Prod. </w:t>
      </w:r>
      <w:r w:rsidRPr="00697D19">
        <w:rPr>
          <w:rFonts w:ascii="Times New Roman" w:hAnsi="Times New Roman" w:cs="Times New Roman"/>
          <w:b/>
          <w:bCs/>
          <w:noProof/>
          <w:sz w:val="20"/>
          <w:szCs w:val="24"/>
        </w:rPr>
        <w:t>2020</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258</w:t>
      </w:r>
      <w:r w:rsidRPr="00697D19">
        <w:rPr>
          <w:rFonts w:ascii="Times New Roman" w:hAnsi="Times New Roman" w:cs="Times New Roman"/>
          <w:noProof/>
          <w:sz w:val="20"/>
          <w:szCs w:val="24"/>
        </w:rPr>
        <w:t>, https://doi.org/10.1016/j.jclepro.2020.120694.</w:t>
      </w:r>
    </w:p>
    <w:p w14:paraId="64ACDDB5" w14:textId="499100FD" w:rsidR="001F3740" w:rsidRPr="0078654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lang w:val="en-US"/>
        </w:rPr>
      </w:pPr>
      <w:r w:rsidRPr="00697D19">
        <w:rPr>
          <w:rFonts w:ascii="Times New Roman" w:hAnsi="Times New Roman" w:cs="Times New Roman"/>
          <w:noProof/>
          <w:sz w:val="20"/>
          <w:szCs w:val="24"/>
        </w:rPr>
        <w:t xml:space="preserve">M. </w:t>
      </w:r>
      <w:r w:rsidR="001F3740" w:rsidRPr="00697D19">
        <w:rPr>
          <w:rFonts w:ascii="Times New Roman" w:hAnsi="Times New Roman" w:cs="Times New Roman"/>
          <w:noProof/>
          <w:sz w:val="20"/>
          <w:szCs w:val="24"/>
        </w:rPr>
        <w:t xml:space="preserve">Ahmadi; </w:t>
      </w:r>
      <w:r w:rsidRPr="00697D19">
        <w:rPr>
          <w:rFonts w:ascii="Times New Roman" w:hAnsi="Times New Roman" w:cs="Times New Roman"/>
          <w:noProof/>
          <w:sz w:val="20"/>
          <w:szCs w:val="24"/>
        </w:rPr>
        <w:t xml:space="preserve">S. </w:t>
      </w:r>
      <w:r w:rsidR="001F3740" w:rsidRPr="00697D19">
        <w:rPr>
          <w:rFonts w:ascii="Times New Roman" w:hAnsi="Times New Roman" w:cs="Times New Roman"/>
          <w:noProof/>
          <w:sz w:val="20"/>
          <w:szCs w:val="24"/>
        </w:rPr>
        <w:t xml:space="preserve">Mehdi; </w:t>
      </w:r>
      <w:r w:rsidRPr="00697D19">
        <w:rPr>
          <w:rFonts w:ascii="Times New Roman" w:hAnsi="Times New Roman" w:cs="Times New Roman"/>
          <w:noProof/>
          <w:sz w:val="20"/>
          <w:szCs w:val="24"/>
        </w:rPr>
        <w:t xml:space="preserve">A. </w:t>
      </w:r>
      <w:r w:rsidR="001F3740" w:rsidRPr="00697D19">
        <w:rPr>
          <w:rFonts w:ascii="Times New Roman" w:hAnsi="Times New Roman" w:cs="Times New Roman"/>
          <w:noProof/>
          <w:sz w:val="20"/>
          <w:szCs w:val="24"/>
        </w:rPr>
        <w:t xml:space="preserve">Larimi, </w:t>
      </w:r>
      <w:r w:rsidR="00327B4A" w:rsidRPr="00697D19">
        <w:rPr>
          <w:rFonts w:ascii="Times New Roman" w:hAnsi="Times New Roman" w:cs="Times New Roman"/>
          <w:i/>
          <w:iCs/>
          <w:noProof/>
          <w:sz w:val="20"/>
          <w:szCs w:val="24"/>
        </w:rPr>
        <w:t xml:space="preserve">Catal. </w:t>
      </w:r>
      <w:r w:rsidR="00327B4A" w:rsidRPr="00786549">
        <w:rPr>
          <w:rFonts w:ascii="Times New Roman" w:hAnsi="Times New Roman" w:cs="Times New Roman"/>
          <w:i/>
          <w:iCs/>
          <w:noProof/>
          <w:sz w:val="20"/>
          <w:szCs w:val="24"/>
          <w:lang w:val="en-US"/>
        </w:rPr>
        <w:t>Commun.</w:t>
      </w:r>
      <w:r w:rsidR="001F3740" w:rsidRPr="00786549">
        <w:rPr>
          <w:rFonts w:ascii="Times New Roman" w:hAnsi="Times New Roman" w:cs="Times New Roman"/>
          <w:noProof/>
          <w:sz w:val="20"/>
          <w:szCs w:val="24"/>
          <w:lang w:val="en-US"/>
        </w:rPr>
        <w:t xml:space="preserve"> </w:t>
      </w:r>
      <w:r w:rsidR="001F3740" w:rsidRPr="00786549">
        <w:rPr>
          <w:rFonts w:ascii="Times New Roman" w:hAnsi="Times New Roman" w:cs="Times New Roman"/>
          <w:b/>
          <w:bCs/>
          <w:noProof/>
          <w:sz w:val="20"/>
          <w:szCs w:val="24"/>
          <w:lang w:val="en-US"/>
        </w:rPr>
        <w:t>2023</w:t>
      </w:r>
      <w:r w:rsidR="001F3740" w:rsidRPr="00786549">
        <w:rPr>
          <w:rFonts w:ascii="Times New Roman" w:hAnsi="Times New Roman" w:cs="Times New Roman"/>
          <w:noProof/>
          <w:sz w:val="20"/>
          <w:szCs w:val="24"/>
          <w:lang w:val="en-US"/>
        </w:rPr>
        <w:t xml:space="preserve">, </w:t>
      </w:r>
      <w:r w:rsidR="001F3740" w:rsidRPr="00786549">
        <w:rPr>
          <w:rFonts w:ascii="Times New Roman" w:hAnsi="Times New Roman" w:cs="Times New Roman"/>
          <w:i/>
          <w:iCs/>
          <w:noProof/>
          <w:sz w:val="20"/>
          <w:szCs w:val="24"/>
          <w:lang w:val="en-US"/>
        </w:rPr>
        <w:t>179</w:t>
      </w:r>
      <w:r w:rsidR="001F3740" w:rsidRPr="00786549">
        <w:rPr>
          <w:rFonts w:ascii="Times New Roman" w:hAnsi="Times New Roman" w:cs="Times New Roman"/>
          <w:noProof/>
          <w:sz w:val="20"/>
          <w:szCs w:val="24"/>
          <w:lang w:val="en-US"/>
        </w:rPr>
        <w:t>, 106681. https://doi.org/10.1016/j.catcom.2023.106681.</w:t>
      </w:r>
    </w:p>
    <w:p w14:paraId="56C24FDB" w14:textId="19F13D8D" w:rsidR="001F3740" w:rsidRPr="00697D1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D. </w:t>
      </w:r>
      <w:r w:rsidR="001F3740" w:rsidRPr="00697D19">
        <w:rPr>
          <w:rFonts w:ascii="Times New Roman" w:hAnsi="Times New Roman" w:cs="Times New Roman"/>
          <w:noProof/>
          <w:sz w:val="20"/>
          <w:szCs w:val="24"/>
        </w:rPr>
        <w:t xml:space="preserve">Montalvo; </w:t>
      </w:r>
      <w:r w:rsidRPr="00697D19">
        <w:rPr>
          <w:rFonts w:ascii="Times New Roman" w:hAnsi="Times New Roman" w:cs="Times New Roman"/>
          <w:noProof/>
          <w:sz w:val="20"/>
          <w:szCs w:val="24"/>
        </w:rPr>
        <w:t xml:space="preserve">G. </w:t>
      </w:r>
      <w:r w:rsidR="001F3740" w:rsidRPr="00697D19">
        <w:rPr>
          <w:rFonts w:ascii="Times New Roman" w:hAnsi="Times New Roman" w:cs="Times New Roman"/>
          <w:noProof/>
          <w:sz w:val="20"/>
          <w:szCs w:val="24"/>
        </w:rPr>
        <w:t xml:space="preserve">Corro; </w:t>
      </w:r>
      <w:r w:rsidRPr="00697D19">
        <w:rPr>
          <w:rFonts w:ascii="Times New Roman" w:hAnsi="Times New Roman" w:cs="Times New Roman"/>
          <w:noProof/>
          <w:sz w:val="20"/>
          <w:szCs w:val="24"/>
        </w:rPr>
        <w:t xml:space="preserve">F. </w:t>
      </w:r>
      <w:r w:rsidR="001F3740" w:rsidRPr="00697D19">
        <w:rPr>
          <w:rFonts w:ascii="Times New Roman" w:hAnsi="Times New Roman" w:cs="Times New Roman"/>
          <w:noProof/>
          <w:sz w:val="20"/>
          <w:szCs w:val="24"/>
        </w:rPr>
        <w:t xml:space="preserve">Bañuelos; </w:t>
      </w:r>
      <w:r w:rsidRPr="00697D19">
        <w:rPr>
          <w:rFonts w:ascii="Times New Roman" w:hAnsi="Times New Roman" w:cs="Times New Roman"/>
          <w:noProof/>
          <w:sz w:val="20"/>
          <w:szCs w:val="24"/>
        </w:rPr>
        <w:t xml:space="preserve">O. </w:t>
      </w:r>
      <w:r w:rsidR="001F3740" w:rsidRPr="00697D19">
        <w:rPr>
          <w:rFonts w:ascii="Times New Roman" w:hAnsi="Times New Roman" w:cs="Times New Roman"/>
          <w:noProof/>
          <w:sz w:val="20"/>
          <w:szCs w:val="24"/>
        </w:rPr>
        <w:t xml:space="preserve">Olivares-Xometl; </w:t>
      </w:r>
      <w:r w:rsidRPr="00697D19">
        <w:rPr>
          <w:rFonts w:ascii="Times New Roman" w:hAnsi="Times New Roman" w:cs="Times New Roman"/>
          <w:noProof/>
          <w:sz w:val="20"/>
          <w:szCs w:val="24"/>
        </w:rPr>
        <w:t xml:space="preserve">P. </w:t>
      </w:r>
      <w:r w:rsidR="001F3740" w:rsidRPr="00697D19">
        <w:rPr>
          <w:rFonts w:ascii="Times New Roman" w:hAnsi="Times New Roman" w:cs="Times New Roman"/>
          <w:noProof/>
          <w:sz w:val="20"/>
          <w:szCs w:val="24"/>
        </w:rPr>
        <w:t>Arellanes;</w:t>
      </w:r>
      <w:r w:rsidRPr="00697D19">
        <w:rPr>
          <w:rFonts w:ascii="Times New Roman" w:hAnsi="Times New Roman" w:cs="Times New Roman"/>
          <w:noProof/>
          <w:sz w:val="20"/>
          <w:szCs w:val="24"/>
        </w:rPr>
        <w:t>U.</w:t>
      </w:r>
      <w:r w:rsidR="001F3740" w:rsidRPr="00697D19">
        <w:rPr>
          <w:rFonts w:ascii="Times New Roman" w:hAnsi="Times New Roman" w:cs="Times New Roman"/>
          <w:noProof/>
          <w:sz w:val="20"/>
          <w:szCs w:val="24"/>
        </w:rPr>
        <w:t xml:space="preserve"> Pal</w:t>
      </w:r>
      <w:r w:rsidRPr="00697D19">
        <w:rPr>
          <w:rFonts w:ascii="Times New Roman" w:hAnsi="Times New Roman" w:cs="Times New Roman"/>
          <w:noProof/>
          <w:sz w:val="20"/>
          <w:szCs w:val="24"/>
        </w:rPr>
        <w:t>,</w:t>
      </w:r>
      <w:r w:rsidR="001F3740" w:rsidRPr="00697D19">
        <w:rPr>
          <w:rFonts w:ascii="Times New Roman" w:hAnsi="Times New Roman" w:cs="Times New Roman"/>
          <w:noProof/>
          <w:sz w:val="20"/>
          <w:szCs w:val="24"/>
        </w:rPr>
        <w:t xml:space="preserve"> </w:t>
      </w:r>
      <w:r w:rsidR="00327B4A" w:rsidRPr="00697D19">
        <w:rPr>
          <w:rFonts w:ascii="Times New Roman" w:hAnsi="Times New Roman" w:cs="Times New Roman"/>
          <w:i/>
          <w:iCs/>
          <w:noProof/>
          <w:sz w:val="20"/>
          <w:szCs w:val="24"/>
        </w:rPr>
        <w:t>Appl. Catal. B .</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b/>
          <w:bCs/>
          <w:noProof/>
          <w:sz w:val="20"/>
          <w:szCs w:val="24"/>
        </w:rPr>
        <w:t>2023</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i/>
          <w:iCs/>
          <w:noProof/>
          <w:sz w:val="20"/>
          <w:szCs w:val="24"/>
        </w:rPr>
        <w:t>330</w:t>
      </w:r>
      <w:r w:rsidR="001F3740" w:rsidRPr="00697D19">
        <w:rPr>
          <w:rFonts w:ascii="Times New Roman" w:hAnsi="Times New Roman" w:cs="Times New Roman"/>
          <w:noProof/>
          <w:sz w:val="20"/>
          <w:szCs w:val="24"/>
        </w:rPr>
        <w:t>, 122652. https://doi.org/10.1016/j.apcatb.2023.122652.</w:t>
      </w:r>
    </w:p>
    <w:p w14:paraId="777E5BFF" w14:textId="7960F66B" w:rsidR="001F3740" w:rsidRPr="00697D1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786549">
        <w:rPr>
          <w:rFonts w:ascii="Times New Roman" w:hAnsi="Times New Roman" w:cs="Times New Roman"/>
          <w:noProof/>
          <w:sz w:val="20"/>
          <w:szCs w:val="24"/>
          <w:lang w:val="en-US"/>
        </w:rPr>
        <w:t xml:space="preserve">W. </w:t>
      </w:r>
      <w:r w:rsidR="001F3740" w:rsidRPr="00786549">
        <w:rPr>
          <w:rFonts w:ascii="Times New Roman" w:hAnsi="Times New Roman" w:cs="Times New Roman"/>
          <w:noProof/>
          <w:sz w:val="20"/>
          <w:szCs w:val="24"/>
          <w:lang w:val="en-US"/>
        </w:rPr>
        <w:t xml:space="preserve">Qu; </w:t>
      </w:r>
      <w:r w:rsidRPr="00786549">
        <w:rPr>
          <w:rFonts w:ascii="Times New Roman" w:hAnsi="Times New Roman" w:cs="Times New Roman"/>
          <w:noProof/>
          <w:sz w:val="20"/>
          <w:szCs w:val="24"/>
          <w:lang w:val="en-US"/>
        </w:rPr>
        <w:t xml:space="preserve">P. </w:t>
      </w:r>
      <w:r w:rsidR="001F3740" w:rsidRPr="00786549">
        <w:rPr>
          <w:rFonts w:ascii="Times New Roman" w:hAnsi="Times New Roman" w:cs="Times New Roman"/>
          <w:noProof/>
          <w:sz w:val="20"/>
          <w:szCs w:val="24"/>
          <w:lang w:val="en-US"/>
        </w:rPr>
        <w:t xml:space="preserve">Wang; </w:t>
      </w:r>
      <w:r w:rsidRPr="00786549">
        <w:rPr>
          <w:rFonts w:ascii="Times New Roman" w:hAnsi="Times New Roman" w:cs="Times New Roman"/>
          <w:noProof/>
          <w:sz w:val="20"/>
          <w:szCs w:val="24"/>
          <w:lang w:val="en-US"/>
        </w:rPr>
        <w:t xml:space="preserve">X. </w:t>
      </w:r>
      <w:r w:rsidR="001F3740" w:rsidRPr="00786549">
        <w:rPr>
          <w:rFonts w:ascii="Times New Roman" w:hAnsi="Times New Roman" w:cs="Times New Roman"/>
          <w:noProof/>
          <w:sz w:val="20"/>
          <w:szCs w:val="24"/>
          <w:lang w:val="en-US"/>
        </w:rPr>
        <w:t xml:space="preserve">Chen; </w:t>
      </w:r>
      <w:r w:rsidRPr="00786549">
        <w:rPr>
          <w:rFonts w:ascii="Times New Roman" w:hAnsi="Times New Roman" w:cs="Times New Roman"/>
          <w:noProof/>
          <w:sz w:val="20"/>
          <w:szCs w:val="24"/>
          <w:lang w:val="en-US"/>
        </w:rPr>
        <w:t xml:space="preserve">D. </w:t>
      </w:r>
      <w:r w:rsidR="001F3740" w:rsidRPr="00786549">
        <w:rPr>
          <w:rFonts w:ascii="Times New Roman" w:hAnsi="Times New Roman" w:cs="Times New Roman"/>
          <w:noProof/>
          <w:sz w:val="20"/>
          <w:szCs w:val="24"/>
          <w:lang w:val="en-US"/>
        </w:rPr>
        <w:t>Zhang</w:t>
      </w:r>
      <w:r w:rsidRPr="00786549">
        <w:rPr>
          <w:rFonts w:ascii="Times New Roman" w:hAnsi="Times New Roman" w:cs="Times New Roman"/>
          <w:noProof/>
          <w:sz w:val="20"/>
          <w:szCs w:val="24"/>
          <w:lang w:val="en-US"/>
        </w:rPr>
        <w:t>,</w:t>
      </w:r>
      <w:r w:rsidR="001F3740" w:rsidRPr="00786549">
        <w:rPr>
          <w:rFonts w:ascii="Times New Roman" w:hAnsi="Times New Roman" w:cs="Times New Roman"/>
          <w:noProof/>
          <w:sz w:val="20"/>
          <w:szCs w:val="24"/>
          <w:lang w:val="en-US"/>
        </w:rPr>
        <w:t xml:space="preserve"> </w:t>
      </w:r>
      <w:r w:rsidR="00327B4A" w:rsidRPr="00786549">
        <w:rPr>
          <w:rFonts w:ascii="Times New Roman" w:hAnsi="Times New Roman" w:cs="Times New Roman"/>
          <w:i/>
          <w:iCs/>
          <w:noProof/>
          <w:sz w:val="20"/>
          <w:szCs w:val="24"/>
          <w:lang w:val="en-US"/>
        </w:rPr>
        <w:t xml:space="preserve">Appl. </w:t>
      </w:r>
      <w:r w:rsidR="00327B4A" w:rsidRPr="00697D19">
        <w:rPr>
          <w:rFonts w:ascii="Times New Roman" w:hAnsi="Times New Roman" w:cs="Times New Roman"/>
          <w:i/>
          <w:iCs/>
          <w:noProof/>
          <w:sz w:val="20"/>
          <w:szCs w:val="24"/>
        </w:rPr>
        <w:t>Catal. B .</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b/>
          <w:bCs/>
          <w:noProof/>
          <w:sz w:val="20"/>
          <w:szCs w:val="24"/>
        </w:rPr>
        <w:t>2023</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i/>
          <w:iCs/>
          <w:noProof/>
          <w:sz w:val="20"/>
          <w:szCs w:val="24"/>
        </w:rPr>
        <w:t>321</w:t>
      </w:r>
      <w:r w:rsidR="001F3740" w:rsidRPr="00697D19">
        <w:rPr>
          <w:rFonts w:ascii="Times New Roman" w:hAnsi="Times New Roman" w:cs="Times New Roman"/>
          <w:noProof/>
          <w:sz w:val="20"/>
          <w:szCs w:val="24"/>
        </w:rPr>
        <w:t>, 122036. https://doi.org/10.1016/j.apcatb.2022.122036.</w:t>
      </w:r>
    </w:p>
    <w:p w14:paraId="459C44DD" w14:textId="2EB16CAC" w:rsidR="001F3740" w:rsidRPr="00697D1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786549">
        <w:rPr>
          <w:rFonts w:ascii="Times New Roman" w:hAnsi="Times New Roman" w:cs="Times New Roman"/>
          <w:noProof/>
          <w:sz w:val="20"/>
          <w:szCs w:val="24"/>
          <w:lang w:val="en-US"/>
        </w:rPr>
        <w:t xml:space="preserve">H. V. </w:t>
      </w:r>
      <w:r w:rsidR="001F3740" w:rsidRPr="00786549">
        <w:rPr>
          <w:rFonts w:ascii="Times New Roman" w:hAnsi="Times New Roman" w:cs="Times New Roman"/>
          <w:noProof/>
          <w:sz w:val="20"/>
          <w:szCs w:val="24"/>
          <w:lang w:val="en-US"/>
        </w:rPr>
        <w:t xml:space="preserve">Dang; </w:t>
      </w:r>
      <w:r w:rsidRPr="00786549">
        <w:rPr>
          <w:rFonts w:ascii="Times New Roman" w:hAnsi="Times New Roman" w:cs="Times New Roman"/>
          <w:noProof/>
          <w:sz w:val="20"/>
          <w:szCs w:val="24"/>
          <w:lang w:val="en-US"/>
        </w:rPr>
        <w:t xml:space="preserve">Y. H. </w:t>
      </w:r>
      <w:r w:rsidR="001F3740" w:rsidRPr="00786549">
        <w:rPr>
          <w:rFonts w:ascii="Times New Roman" w:hAnsi="Times New Roman" w:cs="Times New Roman"/>
          <w:noProof/>
          <w:sz w:val="20"/>
          <w:szCs w:val="24"/>
          <w:lang w:val="en-US"/>
        </w:rPr>
        <w:t xml:space="preserve">Wang; </w:t>
      </w:r>
      <w:r w:rsidRPr="00786549">
        <w:rPr>
          <w:rFonts w:ascii="Times New Roman" w:hAnsi="Times New Roman" w:cs="Times New Roman"/>
          <w:noProof/>
          <w:sz w:val="20"/>
          <w:szCs w:val="24"/>
          <w:lang w:val="en-US"/>
        </w:rPr>
        <w:t xml:space="preserve">J. C. S. </w:t>
      </w:r>
      <w:r w:rsidR="001F3740" w:rsidRPr="00786549">
        <w:rPr>
          <w:rFonts w:ascii="Times New Roman" w:hAnsi="Times New Roman" w:cs="Times New Roman"/>
          <w:noProof/>
          <w:sz w:val="20"/>
          <w:szCs w:val="24"/>
          <w:lang w:val="en-US"/>
        </w:rPr>
        <w:t>Wu</w:t>
      </w:r>
      <w:r w:rsidRPr="00786549">
        <w:rPr>
          <w:rFonts w:ascii="Times New Roman" w:hAnsi="Times New Roman" w:cs="Times New Roman"/>
          <w:noProof/>
          <w:sz w:val="20"/>
          <w:szCs w:val="24"/>
          <w:lang w:val="en-US"/>
        </w:rPr>
        <w:t xml:space="preserve">, </w:t>
      </w:r>
      <w:r w:rsidR="00327B4A" w:rsidRPr="00786549">
        <w:rPr>
          <w:rFonts w:ascii="Times New Roman" w:hAnsi="Times New Roman" w:cs="Times New Roman"/>
          <w:i/>
          <w:iCs/>
          <w:noProof/>
          <w:sz w:val="20"/>
          <w:szCs w:val="24"/>
          <w:lang w:val="en-US"/>
        </w:rPr>
        <w:t xml:space="preserve">Appl. </w:t>
      </w:r>
      <w:r w:rsidR="00327B4A" w:rsidRPr="00697D19">
        <w:rPr>
          <w:rFonts w:ascii="Times New Roman" w:hAnsi="Times New Roman" w:cs="Times New Roman"/>
          <w:i/>
          <w:iCs/>
          <w:noProof/>
          <w:sz w:val="20"/>
          <w:szCs w:val="24"/>
        </w:rPr>
        <w:t>Catal. B .</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b/>
          <w:bCs/>
          <w:noProof/>
          <w:sz w:val="20"/>
          <w:szCs w:val="24"/>
        </w:rPr>
        <w:t>2021</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i/>
          <w:iCs/>
          <w:noProof/>
          <w:sz w:val="20"/>
          <w:szCs w:val="24"/>
        </w:rPr>
        <w:t>296</w:t>
      </w:r>
      <w:r w:rsidR="001F3740" w:rsidRPr="00697D19">
        <w:rPr>
          <w:rFonts w:ascii="Times New Roman" w:hAnsi="Times New Roman" w:cs="Times New Roman"/>
          <w:noProof/>
          <w:sz w:val="20"/>
          <w:szCs w:val="24"/>
        </w:rPr>
        <w:t>, https://doi.org/10.1016/j.apcatb.2021.120339.</w:t>
      </w:r>
    </w:p>
    <w:p w14:paraId="170ABC9C" w14:textId="67AFA79D"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 </w:t>
      </w:r>
      <w:r w:rsidR="001F5686" w:rsidRPr="00786549">
        <w:rPr>
          <w:rFonts w:ascii="Times New Roman" w:hAnsi="Times New Roman" w:cs="Times New Roman"/>
          <w:noProof/>
          <w:sz w:val="20"/>
          <w:szCs w:val="24"/>
          <w:lang w:val="en-US"/>
        </w:rPr>
        <w:t xml:space="preserve">M. R. </w:t>
      </w:r>
      <w:r w:rsidRPr="00786549">
        <w:rPr>
          <w:rFonts w:ascii="Times New Roman" w:hAnsi="Times New Roman" w:cs="Times New Roman"/>
          <w:noProof/>
          <w:sz w:val="20"/>
          <w:szCs w:val="24"/>
          <w:lang w:val="en-US"/>
        </w:rPr>
        <w:t xml:space="preserve">Al-Mamun; </w:t>
      </w:r>
      <w:r w:rsidR="001F5686" w:rsidRPr="00786549">
        <w:rPr>
          <w:rFonts w:ascii="Times New Roman" w:hAnsi="Times New Roman" w:cs="Times New Roman"/>
          <w:noProof/>
          <w:sz w:val="20"/>
          <w:szCs w:val="24"/>
          <w:lang w:val="en-US"/>
        </w:rPr>
        <w:t xml:space="preserve">S. </w:t>
      </w:r>
      <w:r w:rsidRPr="00786549">
        <w:rPr>
          <w:rFonts w:ascii="Times New Roman" w:hAnsi="Times New Roman" w:cs="Times New Roman"/>
          <w:noProof/>
          <w:sz w:val="20"/>
          <w:szCs w:val="24"/>
          <w:lang w:val="en-US"/>
        </w:rPr>
        <w:t xml:space="preserve">Kader; </w:t>
      </w:r>
      <w:r w:rsidR="001F5686" w:rsidRPr="00786549">
        <w:rPr>
          <w:rFonts w:ascii="Times New Roman" w:hAnsi="Times New Roman" w:cs="Times New Roman"/>
          <w:noProof/>
          <w:sz w:val="20"/>
          <w:szCs w:val="24"/>
          <w:lang w:val="en-US"/>
        </w:rPr>
        <w:t xml:space="preserve">M. S. </w:t>
      </w:r>
      <w:r w:rsidRPr="00786549">
        <w:rPr>
          <w:rFonts w:ascii="Times New Roman" w:hAnsi="Times New Roman" w:cs="Times New Roman"/>
          <w:noProof/>
          <w:sz w:val="20"/>
          <w:szCs w:val="24"/>
          <w:lang w:val="en-US"/>
        </w:rPr>
        <w:t xml:space="preserve">Islam; </w:t>
      </w:r>
      <w:r w:rsidR="001F5686" w:rsidRPr="00786549">
        <w:rPr>
          <w:rFonts w:ascii="Times New Roman" w:hAnsi="Times New Roman" w:cs="Times New Roman"/>
          <w:noProof/>
          <w:sz w:val="20"/>
          <w:szCs w:val="24"/>
          <w:lang w:val="en-US"/>
        </w:rPr>
        <w:t xml:space="preserve">M. Z. H. </w:t>
      </w:r>
      <w:r w:rsidRPr="00786549">
        <w:rPr>
          <w:rFonts w:ascii="Times New Roman" w:hAnsi="Times New Roman" w:cs="Times New Roman"/>
          <w:noProof/>
          <w:sz w:val="20"/>
          <w:szCs w:val="24"/>
          <w:lang w:val="en-US"/>
        </w:rPr>
        <w:t>Khan</w:t>
      </w:r>
      <w:r w:rsidR="001F5686" w:rsidRPr="00786549">
        <w:rPr>
          <w:rFonts w:ascii="Times New Roman" w:hAnsi="Times New Roman" w:cs="Times New Roman"/>
          <w:noProof/>
          <w:sz w:val="20"/>
          <w:szCs w:val="24"/>
          <w:lang w:val="en-US"/>
        </w:rPr>
        <w:t>,</w:t>
      </w:r>
      <w:r w:rsidRPr="00786549">
        <w:rPr>
          <w:rFonts w:ascii="Times New Roman" w:hAnsi="Times New Roman" w:cs="Times New Roman"/>
          <w:noProof/>
          <w:sz w:val="20"/>
          <w:szCs w:val="24"/>
          <w:lang w:val="en-US"/>
        </w:rPr>
        <w:t xml:space="preserve"> </w:t>
      </w:r>
      <w:r w:rsidR="00327B4A" w:rsidRPr="00786549">
        <w:rPr>
          <w:rFonts w:ascii="Times New Roman" w:hAnsi="Times New Roman" w:cs="Times New Roman"/>
          <w:i/>
          <w:iCs/>
          <w:noProof/>
          <w:sz w:val="20"/>
          <w:szCs w:val="24"/>
          <w:lang w:val="en-US"/>
        </w:rPr>
        <w:t xml:space="preserve">J. Environ. </w:t>
      </w:r>
      <w:r w:rsidR="00327B4A" w:rsidRPr="00697D19">
        <w:rPr>
          <w:rFonts w:ascii="Times New Roman" w:hAnsi="Times New Roman" w:cs="Times New Roman"/>
          <w:i/>
          <w:iCs/>
          <w:noProof/>
          <w:sz w:val="20"/>
          <w:szCs w:val="24"/>
        </w:rPr>
        <w:t>Chem. Eng.</w:t>
      </w:r>
      <w:r w:rsidRPr="00697D19">
        <w:rPr>
          <w:rFonts w:ascii="Times New Roman" w:hAnsi="Times New Roman" w:cs="Times New Roman"/>
          <w:noProof/>
          <w:sz w:val="20"/>
          <w:szCs w:val="24"/>
        </w:rPr>
        <w:t xml:space="preserve"> </w:t>
      </w:r>
      <w:r w:rsidRPr="00697D19">
        <w:rPr>
          <w:rFonts w:ascii="Times New Roman" w:hAnsi="Times New Roman" w:cs="Times New Roman"/>
          <w:b/>
          <w:bCs/>
          <w:noProof/>
          <w:sz w:val="20"/>
          <w:szCs w:val="24"/>
        </w:rPr>
        <w:t>2019</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7</w:t>
      </w:r>
      <w:r w:rsidRPr="00697D19">
        <w:rPr>
          <w:rFonts w:ascii="Times New Roman" w:hAnsi="Times New Roman" w:cs="Times New Roman"/>
          <w:noProof/>
          <w:sz w:val="20"/>
          <w:szCs w:val="24"/>
        </w:rPr>
        <w:t>, https://doi.org/10.1016/j.jece.2019.103248.</w:t>
      </w:r>
    </w:p>
    <w:p w14:paraId="11F27CD9" w14:textId="135802CF" w:rsidR="001F3740" w:rsidRPr="00697D1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786549">
        <w:rPr>
          <w:rFonts w:ascii="Times New Roman" w:hAnsi="Times New Roman" w:cs="Times New Roman"/>
          <w:noProof/>
          <w:sz w:val="20"/>
          <w:szCs w:val="24"/>
          <w:lang w:val="en-US"/>
        </w:rPr>
        <w:t xml:space="preserve">Y. </w:t>
      </w:r>
      <w:r w:rsidR="001F3740" w:rsidRPr="00786549">
        <w:rPr>
          <w:rFonts w:ascii="Times New Roman" w:hAnsi="Times New Roman" w:cs="Times New Roman"/>
          <w:noProof/>
          <w:sz w:val="20"/>
          <w:szCs w:val="24"/>
          <w:lang w:val="en-US"/>
        </w:rPr>
        <w:t xml:space="preserve">Zhao; </w:t>
      </w:r>
      <w:r w:rsidRPr="00786549">
        <w:rPr>
          <w:rFonts w:ascii="Times New Roman" w:hAnsi="Times New Roman" w:cs="Times New Roman"/>
          <w:noProof/>
          <w:sz w:val="20"/>
          <w:szCs w:val="24"/>
          <w:lang w:val="en-US"/>
        </w:rPr>
        <w:t xml:space="preserve">X. </w:t>
      </w:r>
      <w:r w:rsidR="001F3740" w:rsidRPr="00786549">
        <w:rPr>
          <w:rFonts w:ascii="Times New Roman" w:hAnsi="Times New Roman" w:cs="Times New Roman"/>
          <w:noProof/>
          <w:sz w:val="20"/>
          <w:szCs w:val="24"/>
          <w:lang w:val="en-US"/>
        </w:rPr>
        <w:t xml:space="preserve">Linghu; </w:t>
      </w:r>
      <w:r w:rsidRPr="00786549">
        <w:rPr>
          <w:rFonts w:ascii="Times New Roman" w:hAnsi="Times New Roman" w:cs="Times New Roman"/>
          <w:noProof/>
          <w:sz w:val="20"/>
          <w:szCs w:val="24"/>
          <w:lang w:val="en-US"/>
        </w:rPr>
        <w:t xml:space="preserve">Y. </w:t>
      </w:r>
      <w:r w:rsidR="001F3740" w:rsidRPr="00786549">
        <w:rPr>
          <w:rFonts w:ascii="Times New Roman" w:hAnsi="Times New Roman" w:cs="Times New Roman"/>
          <w:noProof/>
          <w:sz w:val="20"/>
          <w:szCs w:val="24"/>
          <w:lang w:val="en-US"/>
        </w:rPr>
        <w:t xml:space="preserve">Shu; </w:t>
      </w:r>
      <w:r w:rsidRPr="00786549">
        <w:rPr>
          <w:rFonts w:ascii="Times New Roman" w:hAnsi="Times New Roman" w:cs="Times New Roman"/>
          <w:noProof/>
          <w:sz w:val="20"/>
          <w:szCs w:val="24"/>
          <w:lang w:val="en-US"/>
        </w:rPr>
        <w:t xml:space="preserve">J. </w:t>
      </w:r>
      <w:r w:rsidR="001F3740" w:rsidRPr="00786549">
        <w:rPr>
          <w:rFonts w:ascii="Times New Roman" w:hAnsi="Times New Roman" w:cs="Times New Roman"/>
          <w:noProof/>
          <w:sz w:val="20"/>
          <w:szCs w:val="24"/>
          <w:lang w:val="en-US"/>
        </w:rPr>
        <w:t xml:space="preserve">Zhang; </w:t>
      </w:r>
      <w:r w:rsidRPr="00786549">
        <w:rPr>
          <w:rFonts w:ascii="Times New Roman" w:hAnsi="Times New Roman" w:cs="Times New Roman"/>
          <w:noProof/>
          <w:sz w:val="20"/>
          <w:szCs w:val="24"/>
          <w:lang w:val="en-US"/>
        </w:rPr>
        <w:t xml:space="preserve">Z. </w:t>
      </w:r>
      <w:r w:rsidR="001F3740" w:rsidRPr="00786549">
        <w:rPr>
          <w:rFonts w:ascii="Times New Roman" w:hAnsi="Times New Roman" w:cs="Times New Roman"/>
          <w:noProof/>
          <w:sz w:val="20"/>
          <w:szCs w:val="24"/>
          <w:lang w:val="en-US"/>
        </w:rPr>
        <w:t xml:space="preserve">Chen; </w:t>
      </w:r>
      <w:r w:rsidRPr="00786549">
        <w:rPr>
          <w:rFonts w:ascii="Times New Roman" w:hAnsi="Times New Roman" w:cs="Times New Roman"/>
          <w:noProof/>
          <w:sz w:val="20"/>
          <w:szCs w:val="24"/>
          <w:lang w:val="en-US"/>
        </w:rPr>
        <w:t xml:space="preserve">Y. </w:t>
      </w:r>
      <w:r w:rsidR="001F3740" w:rsidRPr="00786549">
        <w:rPr>
          <w:rFonts w:ascii="Times New Roman" w:hAnsi="Times New Roman" w:cs="Times New Roman"/>
          <w:noProof/>
          <w:sz w:val="20"/>
          <w:szCs w:val="24"/>
          <w:lang w:val="en-US"/>
        </w:rPr>
        <w:t xml:space="preserve">Wu; </w:t>
      </w:r>
      <w:r w:rsidRPr="00786549">
        <w:rPr>
          <w:rFonts w:ascii="Times New Roman" w:hAnsi="Times New Roman" w:cs="Times New Roman"/>
          <w:noProof/>
          <w:sz w:val="20"/>
          <w:szCs w:val="24"/>
          <w:lang w:val="en-US"/>
        </w:rPr>
        <w:t xml:space="preserve">D. </w:t>
      </w:r>
      <w:r w:rsidR="001F3740" w:rsidRPr="00786549">
        <w:rPr>
          <w:rFonts w:ascii="Times New Roman" w:hAnsi="Times New Roman" w:cs="Times New Roman"/>
          <w:noProof/>
          <w:sz w:val="20"/>
          <w:szCs w:val="24"/>
          <w:lang w:val="en-US"/>
        </w:rPr>
        <w:t xml:space="preserve">Shan; </w:t>
      </w:r>
      <w:r w:rsidRPr="00786549">
        <w:rPr>
          <w:rFonts w:ascii="Times New Roman" w:hAnsi="Times New Roman" w:cs="Times New Roman"/>
          <w:noProof/>
          <w:sz w:val="20"/>
          <w:szCs w:val="24"/>
          <w:lang w:val="en-US"/>
        </w:rPr>
        <w:t xml:space="preserve">B. </w:t>
      </w:r>
      <w:r w:rsidR="001F3740" w:rsidRPr="00786549">
        <w:rPr>
          <w:rFonts w:ascii="Times New Roman" w:hAnsi="Times New Roman" w:cs="Times New Roman"/>
          <w:noProof/>
          <w:sz w:val="20"/>
          <w:szCs w:val="24"/>
          <w:lang w:val="en-US"/>
        </w:rPr>
        <w:t>Wang</w:t>
      </w:r>
      <w:r w:rsidRPr="00786549">
        <w:rPr>
          <w:rFonts w:ascii="Times New Roman" w:hAnsi="Times New Roman" w:cs="Times New Roman"/>
          <w:noProof/>
          <w:sz w:val="20"/>
          <w:szCs w:val="24"/>
          <w:lang w:val="en-US"/>
        </w:rPr>
        <w:t>,</w:t>
      </w:r>
      <w:r w:rsidR="001F3740" w:rsidRPr="00786549">
        <w:rPr>
          <w:rFonts w:ascii="Times New Roman" w:hAnsi="Times New Roman" w:cs="Times New Roman"/>
          <w:noProof/>
          <w:sz w:val="20"/>
          <w:szCs w:val="24"/>
          <w:lang w:val="en-US"/>
        </w:rPr>
        <w:t xml:space="preserve"> </w:t>
      </w:r>
      <w:r w:rsidRPr="00786549">
        <w:rPr>
          <w:rFonts w:ascii="Times New Roman" w:hAnsi="Times New Roman" w:cs="Times New Roman"/>
          <w:noProof/>
          <w:sz w:val="20"/>
          <w:szCs w:val="24"/>
          <w:lang w:val="en-US"/>
        </w:rPr>
        <w:t>,</w:t>
      </w:r>
      <w:r w:rsidR="001F3740" w:rsidRPr="00786549">
        <w:rPr>
          <w:rFonts w:ascii="Times New Roman" w:hAnsi="Times New Roman" w:cs="Times New Roman"/>
          <w:noProof/>
          <w:sz w:val="20"/>
          <w:szCs w:val="24"/>
          <w:lang w:val="en-US"/>
        </w:rPr>
        <w:t xml:space="preserve"> </w:t>
      </w:r>
      <w:r w:rsidR="00327B4A" w:rsidRPr="00786549">
        <w:rPr>
          <w:rFonts w:ascii="Times New Roman" w:hAnsi="Times New Roman" w:cs="Times New Roman"/>
          <w:i/>
          <w:iCs/>
          <w:noProof/>
          <w:sz w:val="20"/>
          <w:szCs w:val="24"/>
          <w:lang w:val="en-US"/>
        </w:rPr>
        <w:t xml:space="preserve">J. Environ. </w:t>
      </w:r>
      <w:r w:rsidR="00327B4A" w:rsidRPr="00697D19">
        <w:rPr>
          <w:rFonts w:ascii="Times New Roman" w:hAnsi="Times New Roman" w:cs="Times New Roman"/>
          <w:i/>
          <w:iCs/>
          <w:noProof/>
          <w:sz w:val="20"/>
          <w:szCs w:val="24"/>
        </w:rPr>
        <w:t>Chem. Eng.</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b/>
          <w:bCs/>
          <w:noProof/>
          <w:sz w:val="20"/>
          <w:szCs w:val="24"/>
        </w:rPr>
        <w:t>2022</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i/>
          <w:iCs/>
          <w:noProof/>
          <w:sz w:val="20"/>
          <w:szCs w:val="24"/>
        </w:rPr>
        <w:t>10</w:t>
      </w:r>
      <w:r w:rsidR="001F3740" w:rsidRPr="00697D19">
        <w:rPr>
          <w:rFonts w:ascii="Times New Roman" w:hAnsi="Times New Roman" w:cs="Times New Roman"/>
          <w:noProof/>
          <w:sz w:val="20"/>
          <w:szCs w:val="24"/>
        </w:rPr>
        <w:t>, 108077. https://doi.org/10.1016/j.jece.2022.108077.</w:t>
      </w:r>
    </w:p>
    <w:p w14:paraId="1EAC51F2" w14:textId="539B40A1" w:rsidR="001F3740" w:rsidRPr="00697D19" w:rsidRDefault="001F5686"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V. </w:t>
      </w:r>
      <w:r w:rsidR="001F3740" w:rsidRPr="00697D19">
        <w:rPr>
          <w:rFonts w:ascii="Times New Roman" w:hAnsi="Times New Roman" w:cs="Times New Roman"/>
          <w:noProof/>
          <w:sz w:val="20"/>
          <w:szCs w:val="24"/>
        </w:rPr>
        <w:t xml:space="preserve">Bagga; </w:t>
      </w:r>
      <w:r w:rsidRPr="00697D19">
        <w:rPr>
          <w:rFonts w:ascii="Times New Roman" w:hAnsi="Times New Roman" w:cs="Times New Roman"/>
          <w:noProof/>
          <w:sz w:val="20"/>
          <w:szCs w:val="24"/>
        </w:rPr>
        <w:t xml:space="preserve">N. </w:t>
      </w:r>
      <w:r w:rsidR="001F3740" w:rsidRPr="00697D19">
        <w:rPr>
          <w:rFonts w:ascii="Times New Roman" w:hAnsi="Times New Roman" w:cs="Times New Roman"/>
          <w:noProof/>
          <w:sz w:val="20"/>
          <w:szCs w:val="24"/>
        </w:rPr>
        <w:t xml:space="preserve">Singh; </w:t>
      </w:r>
      <w:r w:rsidRPr="00697D19">
        <w:rPr>
          <w:rFonts w:ascii="Times New Roman" w:hAnsi="Times New Roman" w:cs="Times New Roman"/>
          <w:noProof/>
          <w:sz w:val="20"/>
          <w:szCs w:val="24"/>
        </w:rPr>
        <w:t xml:space="preserve">M. </w:t>
      </w:r>
      <w:r w:rsidR="001F3740" w:rsidRPr="00697D19">
        <w:rPr>
          <w:rFonts w:ascii="Times New Roman" w:hAnsi="Times New Roman" w:cs="Times New Roman"/>
          <w:noProof/>
          <w:sz w:val="20"/>
          <w:szCs w:val="24"/>
        </w:rPr>
        <w:t xml:space="preserve">Khanuja; </w:t>
      </w:r>
      <w:r w:rsidRPr="00697D19">
        <w:rPr>
          <w:rFonts w:ascii="Times New Roman" w:hAnsi="Times New Roman" w:cs="Times New Roman"/>
          <w:noProof/>
          <w:sz w:val="20"/>
          <w:szCs w:val="24"/>
        </w:rPr>
        <w:t xml:space="preserve">M. </w:t>
      </w:r>
      <w:r w:rsidR="001F3740" w:rsidRPr="00697D19">
        <w:rPr>
          <w:rFonts w:ascii="Times New Roman" w:hAnsi="Times New Roman" w:cs="Times New Roman"/>
          <w:noProof/>
          <w:sz w:val="20"/>
          <w:szCs w:val="24"/>
        </w:rPr>
        <w:t xml:space="preserve">Rani; </w:t>
      </w:r>
      <w:r w:rsidRPr="00697D19">
        <w:rPr>
          <w:rFonts w:ascii="Times New Roman" w:hAnsi="Times New Roman" w:cs="Times New Roman"/>
          <w:noProof/>
          <w:sz w:val="20"/>
          <w:szCs w:val="24"/>
        </w:rPr>
        <w:t xml:space="preserve">D. </w:t>
      </w:r>
      <w:r w:rsidR="001F3740" w:rsidRPr="00697D19">
        <w:rPr>
          <w:rFonts w:ascii="Times New Roman" w:hAnsi="Times New Roman" w:cs="Times New Roman"/>
          <w:noProof/>
          <w:sz w:val="20"/>
          <w:szCs w:val="24"/>
        </w:rPr>
        <w:t>Kaur</w:t>
      </w:r>
      <w:r w:rsidRPr="00697D19">
        <w:rPr>
          <w:rFonts w:ascii="Times New Roman" w:hAnsi="Times New Roman" w:cs="Times New Roman"/>
          <w:noProof/>
          <w:sz w:val="20"/>
          <w:szCs w:val="24"/>
        </w:rPr>
        <w:t>,</w:t>
      </w:r>
      <w:r w:rsidR="001F3740" w:rsidRPr="00697D19">
        <w:rPr>
          <w:rFonts w:ascii="Times New Roman" w:hAnsi="Times New Roman" w:cs="Times New Roman"/>
          <w:noProof/>
          <w:sz w:val="20"/>
          <w:szCs w:val="24"/>
        </w:rPr>
        <w:t xml:space="preserve"> </w:t>
      </w:r>
      <w:r w:rsidR="00327B4A" w:rsidRPr="00697D19">
        <w:rPr>
          <w:rFonts w:ascii="Times New Roman" w:hAnsi="Times New Roman" w:cs="Times New Roman"/>
          <w:i/>
          <w:iCs/>
          <w:noProof/>
          <w:sz w:val="20"/>
          <w:szCs w:val="24"/>
        </w:rPr>
        <w:t>Mater. Res. Bull.</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b/>
          <w:bCs/>
          <w:noProof/>
          <w:sz w:val="20"/>
          <w:szCs w:val="24"/>
        </w:rPr>
        <w:t>2023</w:t>
      </w:r>
      <w:r w:rsidR="001F3740" w:rsidRPr="00697D19">
        <w:rPr>
          <w:rFonts w:ascii="Times New Roman" w:hAnsi="Times New Roman" w:cs="Times New Roman"/>
          <w:noProof/>
          <w:sz w:val="20"/>
          <w:szCs w:val="24"/>
        </w:rPr>
        <w:t xml:space="preserve">, </w:t>
      </w:r>
      <w:r w:rsidR="001F3740" w:rsidRPr="00697D19">
        <w:rPr>
          <w:rFonts w:ascii="Times New Roman" w:hAnsi="Times New Roman" w:cs="Times New Roman"/>
          <w:i/>
          <w:iCs/>
          <w:noProof/>
          <w:sz w:val="20"/>
          <w:szCs w:val="24"/>
        </w:rPr>
        <w:t>159</w:t>
      </w:r>
      <w:r w:rsidR="001F3740" w:rsidRPr="00697D19">
        <w:rPr>
          <w:rFonts w:ascii="Times New Roman" w:hAnsi="Times New Roman" w:cs="Times New Roman"/>
          <w:noProof/>
          <w:sz w:val="20"/>
          <w:szCs w:val="24"/>
        </w:rPr>
        <w:t>, 112109. https://doi.org/10.1016/j.materresbull.2022.112109.</w:t>
      </w:r>
    </w:p>
    <w:p w14:paraId="53D084D5" w14:textId="2370B587"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 </w:t>
      </w:r>
      <w:r w:rsidR="001F5686" w:rsidRPr="00697D19">
        <w:rPr>
          <w:rFonts w:ascii="Times New Roman" w:hAnsi="Times New Roman" w:cs="Times New Roman"/>
          <w:noProof/>
          <w:sz w:val="20"/>
          <w:szCs w:val="24"/>
        </w:rPr>
        <w:t xml:space="preserve">I. </w:t>
      </w:r>
      <w:r w:rsidRPr="00697D19">
        <w:rPr>
          <w:rFonts w:ascii="Times New Roman" w:hAnsi="Times New Roman" w:cs="Times New Roman"/>
          <w:noProof/>
          <w:sz w:val="20"/>
          <w:szCs w:val="24"/>
        </w:rPr>
        <w:t xml:space="preserve">Rangel-Vázquez; </w:t>
      </w:r>
      <w:r w:rsidR="001F5686" w:rsidRPr="00697D19">
        <w:rPr>
          <w:rFonts w:ascii="Times New Roman" w:hAnsi="Times New Roman" w:cs="Times New Roman"/>
          <w:noProof/>
          <w:sz w:val="20"/>
          <w:szCs w:val="24"/>
        </w:rPr>
        <w:t xml:space="preserve">G. </w:t>
      </w:r>
      <w:r w:rsidRPr="00697D19">
        <w:rPr>
          <w:rFonts w:ascii="Times New Roman" w:hAnsi="Times New Roman" w:cs="Times New Roman"/>
          <w:noProof/>
          <w:sz w:val="20"/>
          <w:szCs w:val="24"/>
        </w:rPr>
        <w:t xml:space="preserve">Del Angel; </w:t>
      </w:r>
      <w:r w:rsidR="001F5686" w:rsidRPr="00697D19">
        <w:rPr>
          <w:rFonts w:ascii="Times New Roman" w:hAnsi="Times New Roman" w:cs="Times New Roman"/>
          <w:noProof/>
          <w:sz w:val="20"/>
          <w:szCs w:val="24"/>
        </w:rPr>
        <w:t xml:space="preserve">V. </w:t>
      </w:r>
      <w:r w:rsidRPr="00697D19">
        <w:rPr>
          <w:rFonts w:ascii="Times New Roman" w:hAnsi="Times New Roman" w:cs="Times New Roman"/>
          <w:noProof/>
          <w:sz w:val="20"/>
          <w:szCs w:val="24"/>
        </w:rPr>
        <w:t xml:space="preserve">Bertin; </w:t>
      </w:r>
      <w:r w:rsidR="001F5686" w:rsidRPr="00697D19">
        <w:rPr>
          <w:rFonts w:ascii="Times New Roman" w:hAnsi="Times New Roman" w:cs="Times New Roman"/>
          <w:noProof/>
          <w:sz w:val="20"/>
          <w:szCs w:val="24"/>
        </w:rPr>
        <w:t xml:space="preserve">F. </w:t>
      </w:r>
      <w:r w:rsidRPr="00697D19">
        <w:rPr>
          <w:rFonts w:ascii="Times New Roman" w:hAnsi="Times New Roman" w:cs="Times New Roman"/>
          <w:noProof/>
          <w:sz w:val="20"/>
          <w:szCs w:val="24"/>
        </w:rPr>
        <w:t xml:space="preserve">González; </w:t>
      </w:r>
      <w:r w:rsidR="001F5686" w:rsidRPr="00697D19">
        <w:rPr>
          <w:rFonts w:ascii="Times New Roman" w:hAnsi="Times New Roman" w:cs="Times New Roman"/>
          <w:noProof/>
          <w:sz w:val="20"/>
          <w:szCs w:val="24"/>
        </w:rPr>
        <w:t xml:space="preserve">A. </w:t>
      </w:r>
      <w:r w:rsidRPr="00697D19">
        <w:rPr>
          <w:rFonts w:ascii="Times New Roman" w:hAnsi="Times New Roman" w:cs="Times New Roman"/>
          <w:noProof/>
          <w:sz w:val="20"/>
          <w:szCs w:val="24"/>
        </w:rPr>
        <w:t xml:space="preserve">Vázquez-Zavala; </w:t>
      </w:r>
      <w:r w:rsidR="003A73EF" w:rsidRPr="00697D19">
        <w:rPr>
          <w:rFonts w:ascii="Times New Roman" w:hAnsi="Times New Roman" w:cs="Times New Roman"/>
          <w:noProof/>
          <w:sz w:val="20"/>
          <w:szCs w:val="24"/>
        </w:rPr>
        <w:t xml:space="preserve">A. </w:t>
      </w:r>
      <w:r w:rsidRPr="00697D19">
        <w:rPr>
          <w:rFonts w:ascii="Times New Roman" w:hAnsi="Times New Roman" w:cs="Times New Roman"/>
          <w:noProof/>
          <w:sz w:val="20"/>
          <w:szCs w:val="24"/>
        </w:rPr>
        <w:t xml:space="preserve">Arrieta; </w:t>
      </w:r>
      <w:r w:rsidR="003A73EF" w:rsidRPr="00697D19">
        <w:rPr>
          <w:rFonts w:ascii="Times New Roman" w:hAnsi="Times New Roman" w:cs="Times New Roman"/>
          <w:noProof/>
          <w:sz w:val="20"/>
          <w:szCs w:val="24"/>
        </w:rPr>
        <w:t xml:space="preserve">J. M. </w:t>
      </w:r>
      <w:r w:rsidRPr="00697D19">
        <w:rPr>
          <w:rFonts w:ascii="Times New Roman" w:hAnsi="Times New Roman" w:cs="Times New Roman"/>
          <w:noProof/>
          <w:sz w:val="20"/>
          <w:szCs w:val="24"/>
        </w:rPr>
        <w:t xml:space="preserve">Padilla; </w:t>
      </w:r>
      <w:r w:rsidR="003A73EF" w:rsidRPr="00697D19">
        <w:rPr>
          <w:rFonts w:ascii="Times New Roman" w:hAnsi="Times New Roman" w:cs="Times New Roman"/>
          <w:noProof/>
          <w:sz w:val="20"/>
          <w:szCs w:val="24"/>
        </w:rPr>
        <w:t xml:space="preserve">A. </w:t>
      </w:r>
      <w:r w:rsidRPr="00697D19">
        <w:rPr>
          <w:rFonts w:ascii="Times New Roman" w:hAnsi="Times New Roman" w:cs="Times New Roman"/>
          <w:noProof/>
          <w:sz w:val="20"/>
          <w:szCs w:val="24"/>
        </w:rPr>
        <w:t xml:space="preserve">Barrera; </w:t>
      </w:r>
      <w:r w:rsidR="003A73EF" w:rsidRPr="00697D19">
        <w:rPr>
          <w:rFonts w:ascii="Times New Roman" w:hAnsi="Times New Roman" w:cs="Times New Roman"/>
          <w:noProof/>
          <w:sz w:val="20"/>
          <w:szCs w:val="24"/>
        </w:rPr>
        <w:t xml:space="preserve">E. </w:t>
      </w:r>
      <w:r w:rsidRPr="00697D19">
        <w:rPr>
          <w:rFonts w:ascii="Times New Roman" w:hAnsi="Times New Roman" w:cs="Times New Roman"/>
          <w:noProof/>
          <w:sz w:val="20"/>
          <w:szCs w:val="24"/>
        </w:rPr>
        <w:t xml:space="preserve">Ramos-Ramirez, </w:t>
      </w:r>
      <w:r w:rsidR="00327B4A" w:rsidRPr="00697D19">
        <w:rPr>
          <w:rFonts w:ascii="Times New Roman" w:hAnsi="Times New Roman" w:cs="Times New Roman"/>
          <w:i/>
          <w:iCs/>
          <w:noProof/>
          <w:sz w:val="20"/>
          <w:szCs w:val="24"/>
        </w:rPr>
        <w:t xml:space="preserve">J. Alloys Compd. </w:t>
      </w:r>
      <w:r w:rsidRPr="00697D19">
        <w:rPr>
          <w:rFonts w:ascii="Times New Roman" w:hAnsi="Times New Roman" w:cs="Times New Roman"/>
          <w:b/>
          <w:bCs/>
          <w:noProof/>
          <w:sz w:val="20"/>
          <w:szCs w:val="24"/>
        </w:rPr>
        <w:t>2015</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643</w:t>
      </w:r>
      <w:r w:rsidRPr="00697D19">
        <w:rPr>
          <w:rFonts w:ascii="Times New Roman" w:hAnsi="Times New Roman" w:cs="Times New Roman"/>
          <w:noProof/>
          <w:sz w:val="20"/>
          <w:szCs w:val="24"/>
        </w:rPr>
        <w:t>, S144. https://doi.org/10.1016/j.jallcom.2014.12.065.</w:t>
      </w:r>
    </w:p>
    <w:p w14:paraId="0184CA02" w14:textId="1875726F" w:rsidR="001F3740" w:rsidRPr="0078654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lang w:val="en-US"/>
        </w:rPr>
      </w:pPr>
      <w:r w:rsidRPr="00786549">
        <w:rPr>
          <w:rFonts w:ascii="Times New Roman" w:hAnsi="Times New Roman" w:cs="Times New Roman"/>
          <w:noProof/>
          <w:sz w:val="20"/>
          <w:szCs w:val="24"/>
          <w:lang w:val="en-US"/>
        </w:rPr>
        <w:t xml:space="preserve"> </w:t>
      </w:r>
      <w:r w:rsidR="003A73EF" w:rsidRPr="00786549">
        <w:rPr>
          <w:rFonts w:ascii="Times New Roman" w:hAnsi="Times New Roman" w:cs="Times New Roman"/>
          <w:noProof/>
          <w:sz w:val="20"/>
          <w:szCs w:val="24"/>
          <w:lang w:val="en-US"/>
        </w:rPr>
        <w:t xml:space="preserve">P. V. </w:t>
      </w:r>
      <w:r w:rsidRPr="00786549">
        <w:rPr>
          <w:rFonts w:ascii="Times New Roman" w:hAnsi="Times New Roman" w:cs="Times New Roman"/>
          <w:noProof/>
          <w:sz w:val="20"/>
          <w:szCs w:val="24"/>
          <w:lang w:val="en-US"/>
        </w:rPr>
        <w:t xml:space="preserve">Kumar; </w:t>
      </w:r>
      <w:r w:rsidR="003A73EF" w:rsidRPr="00786549">
        <w:rPr>
          <w:rFonts w:ascii="Times New Roman" w:hAnsi="Times New Roman" w:cs="Times New Roman"/>
          <w:noProof/>
          <w:sz w:val="20"/>
          <w:szCs w:val="24"/>
          <w:lang w:val="en-US"/>
        </w:rPr>
        <w:t xml:space="preserve">C. K. </w:t>
      </w:r>
      <w:r w:rsidRPr="00786549">
        <w:rPr>
          <w:rFonts w:ascii="Times New Roman" w:hAnsi="Times New Roman" w:cs="Times New Roman"/>
          <w:noProof/>
          <w:sz w:val="20"/>
          <w:szCs w:val="24"/>
          <w:lang w:val="en-US"/>
        </w:rPr>
        <w:t xml:space="preserve">Dixit; </w:t>
      </w:r>
      <w:r w:rsidR="003A73EF" w:rsidRPr="00786549">
        <w:rPr>
          <w:rFonts w:ascii="Times New Roman" w:hAnsi="Times New Roman" w:cs="Times New Roman"/>
          <w:noProof/>
          <w:sz w:val="20"/>
          <w:szCs w:val="24"/>
          <w:lang w:val="en-US"/>
        </w:rPr>
        <w:t xml:space="preserve">G. P. </w:t>
      </w:r>
      <w:r w:rsidRPr="00786549">
        <w:rPr>
          <w:rFonts w:ascii="Times New Roman" w:hAnsi="Times New Roman" w:cs="Times New Roman"/>
          <w:noProof/>
          <w:sz w:val="20"/>
          <w:szCs w:val="24"/>
          <w:lang w:val="en-US"/>
        </w:rPr>
        <w:t xml:space="preserve">Shukla; </w:t>
      </w:r>
      <w:r w:rsidR="003A73EF" w:rsidRPr="00786549">
        <w:rPr>
          <w:rFonts w:ascii="Times New Roman" w:hAnsi="Times New Roman" w:cs="Times New Roman"/>
          <w:noProof/>
          <w:sz w:val="20"/>
          <w:szCs w:val="24"/>
          <w:lang w:val="en-US"/>
        </w:rPr>
        <w:t xml:space="preserve">C. K. </w:t>
      </w:r>
      <w:r w:rsidRPr="00786549">
        <w:rPr>
          <w:rFonts w:ascii="Times New Roman" w:hAnsi="Times New Roman" w:cs="Times New Roman"/>
          <w:noProof/>
          <w:sz w:val="20"/>
          <w:szCs w:val="24"/>
          <w:lang w:val="en-US"/>
        </w:rPr>
        <w:t>Pandey</w:t>
      </w:r>
      <w:r w:rsidR="003A73EF" w:rsidRPr="00786549">
        <w:rPr>
          <w:rFonts w:ascii="Times New Roman" w:hAnsi="Times New Roman" w:cs="Times New Roman"/>
          <w:noProof/>
          <w:sz w:val="20"/>
          <w:szCs w:val="24"/>
          <w:lang w:val="en-US"/>
        </w:rPr>
        <w:t>,</w:t>
      </w:r>
      <w:r w:rsidRPr="00786549">
        <w:rPr>
          <w:rFonts w:ascii="Times New Roman" w:hAnsi="Times New Roman" w:cs="Times New Roman"/>
          <w:noProof/>
          <w:sz w:val="20"/>
          <w:szCs w:val="24"/>
          <w:lang w:val="en-US"/>
        </w:rPr>
        <w:t xml:space="preserve"> </w:t>
      </w:r>
      <w:r w:rsidR="00327B4A" w:rsidRPr="00786549">
        <w:rPr>
          <w:rFonts w:ascii="Times New Roman" w:hAnsi="Times New Roman" w:cs="Times New Roman"/>
          <w:i/>
          <w:iCs/>
          <w:noProof/>
          <w:sz w:val="20"/>
          <w:szCs w:val="24"/>
          <w:lang w:val="en-US"/>
        </w:rPr>
        <w:t>Mater Today</w:t>
      </w:r>
      <w:r w:rsidRPr="00786549">
        <w:rPr>
          <w:rFonts w:ascii="Times New Roman" w:hAnsi="Times New Roman" w:cs="Times New Roman"/>
          <w:noProof/>
          <w:sz w:val="20"/>
          <w:szCs w:val="24"/>
          <w:lang w:val="en-US"/>
        </w:rPr>
        <w:t xml:space="preserve"> </w:t>
      </w:r>
      <w:r w:rsidRPr="00786549">
        <w:rPr>
          <w:rFonts w:ascii="Times New Roman" w:hAnsi="Times New Roman" w:cs="Times New Roman"/>
          <w:b/>
          <w:bCs/>
          <w:noProof/>
          <w:sz w:val="20"/>
          <w:szCs w:val="24"/>
          <w:lang w:val="en-US"/>
        </w:rPr>
        <w:t>2020</w:t>
      </w:r>
      <w:r w:rsidRPr="00786549">
        <w:rPr>
          <w:rFonts w:ascii="Times New Roman" w:hAnsi="Times New Roman" w:cs="Times New Roman"/>
          <w:noProof/>
          <w:sz w:val="20"/>
          <w:szCs w:val="24"/>
          <w:lang w:val="en-US"/>
        </w:rPr>
        <w:t xml:space="preserve">, </w:t>
      </w:r>
      <w:r w:rsidRPr="00786549">
        <w:rPr>
          <w:rFonts w:ascii="Times New Roman" w:hAnsi="Times New Roman" w:cs="Times New Roman"/>
          <w:i/>
          <w:iCs/>
          <w:noProof/>
          <w:sz w:val="20"/>
          <w:szCs w:val="24"/>
          <w:lang w:val="en-US"/>
        </w:rPr>
        <w:t>24</w:t>
      </w:r>
      <w:r w:rsidRPr="00786549">
        <w:rPr>
          <w:rFonts w:ascii="Times New Roman" w:hAnsi="Times New Roman" w:cs="Times New Roman"/>
          <w:noProof/>
          <w:sz w:val="20"/>
          <w:szCs w:val="24"/>
          <w:lang w:val="en-US"/>
        </w:rPr>
        <w:t>, 960. https://doi.org/10.1016/j.matpr.2020.04.408.</w:t>
      </w:r>
    </w:p>
    <w:p w14:paraId="5E464E0C" w14:textId="2B57C414"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786549">
        <w:rPr>
          <w:rFonts w:ascii="Times New Roman" w:hAnsi="Times New Roman" w:cs="Times New Roman"/>
          <w:noProof/>
          <w:sz w:val="20"/>
          <w:szCs w:val="24"/>
          <w:lang w:val="en-US"/>
        </w:rPr>
        <w:t xml:space="preserve"> </w:t>
      </w:r>
      <w:r w:rsidR="003A73EF" w:rsidRPr="00697D19">
        <w:rPr>
          <w:rFonts w:ascii="Times New Roman" w:hAnsi="Times New Roman" w:cs="Times New Roman"/>
          <w:noProof/>
          <w:sz w:val="20"/>
          <w:szCs w:val="24"/>
        </w:rPr>
        <w:t xml:space="preserve">V. R. </w:t>
      </w:r>
      <w:r w:rsidRPr="00697D19">
        <w:rPr>
          <w:rFonts w:ascii="Times New Roman" w:hAnsi="Times New Roman" w:cs="Times New Roman"/>
          <w:noProof/>
          <w:sz w:val="20"/>
          <w:szCs w:val="24"/>
        </w:rPr>
        <w:t xml:space="preserve">Mendonça; </w:t>
      </w:r>
      <w:r w:rsidR="003A73EF" w:rsidRPr="00697D19">
        <w:rPr>
          <w:rFonts w:ascii="Times New Roman" w:hAnsi="Times New Roman" w:cs="Times New Roman"/>
          <w:noProof/>
          <w:sz w:val="20"/>
          <w:szCs w:val="24"/>
        </w:rPr>
        <w:t xml:space="preserve">W. </w:t>
      </w:r>
      <w:r w:rsidRPr="00697D19">
        <w:rPr>
          <w:rFonts w:ascii="Times New Roman" w:hAnsi="Times New Roman" w:cs="Times New Roman"/>
          <w:noProof/>
          <w:sz w:val="20"/>
          <w:szCs w:val="24"/>
        </w:rPr>
        <w:t xml:space="preserve">Avansi; </w:t>
      </w:r>
      <w:r w:rsidR="003A73EF" w:rsidRPr="00697D19">
        <w:rPr>
          <w:rFonts w:ascii="Times New Roman" w:hAnsi="Times New Roman" w:cs="Times New Roman"/>
          <w:noProof/>
          <w:sz w:val="20"/>
          <w:szCs w:val="24"/>
        </w:rPr>
        <w:t xml:space="preserve">R. </w:t>
      </w:r>
      <w:r w:rsidRPr="00697D19">
        <w:rPr>
          <w:rFonts w:ascii="Times New Roman" w:hAnsi="Times New Roman" w:cs="Times New Roman"/>
          <w:noProof/>
          <w:sz w:val="20"/>
          <w:szCs w:val="24"/>
        </w:rPr>
        <w:t>Arenal;</w:t>
      </w:r>
      <w:r w:rsidR="003A73EF" w:rsidRPr="00697D19">
        <w:rPr>
          <w:rFonts w:ascii="Times New Roman" w:hAnsi="Times New Roman" w:cs="Times New Roman"/>
          <w:noProof/>
          <w:sz w:val="20"/>
          <w:szCs w:val="24"/>
        </w:rPr>
        <w:t xml:space="preserve"> C.</w:t>
      </w:r>
      <w:r w:rsidRPr="00697D19">
        <w:rPr>
          <w:rFonts w:ascii="Times New Roman" w:hAnsi="Times New Roman" w:cs="Times New Roman"/>
          <w:noProof/>
          <w:sz w:val="20"/>
          <w:szCs w:val="24"/>
        </w:rPr>
        <w:t xml:space="preserve"> Ribeiro</w:t>
      </w:r>
      <w:r w:rsidR="003A73EF" w:rsidRPr="00697D19">
        <w:rPr>
          <w:rFonts w:ascii="Times New Roman" w:hAnsi="Times New Roman" w:cs="Times New Roman"/>
          <w:noProof/>
          <w:sz w:val="20"/>
          <w:szCs w:val="24"/>
        </w:rPr>
        <w:t>,</w:t>
      </w:r>
      <w:r w:rsidRPr="00697D19">
        <w:rPr>
          <w:rFonts w:ascii="Times New Roman" w:hAnsi="Times New Roman" w:cs="Times New Roman"/>
          <w:noProof/>
          <w:sz w:val="20"/>
          <w:szCs w:val="24"/>
        </w:rPr>
        <w:t xml:space="preserve"> </w:t>
      </w:r>
      <w:r w:rsidR="00327B4A" w:rsidRPr="00697D19">
        <w:rPr>
          <w:rFonts w:ascii="Times New Roman" w:hAnsi="Times New Roman" w:cs="Times New Roman"/>
          <w:i/>
          <w:iCs/>
          <w:noProof/>
          <w:sz w:val="20"/>
          <w:szCs w:val="24"/>
        </w:rPr>
        <w:t>J. Colloid Interface Sci.</w:t>
      </w:r>
      <w:r w:rsidRPr="00697D19">
        <w:rPr>
          <w:rFonts w:ascii="Times New Roman" w:hAnsi="Times New Roman" w:cs="Times New Roman"/>
          <w:b/>
          <w:bCs/>
          <w:noProof/>
          <w:sz w:val="20"/>
          <w:szCs w:val="24"/>
        </w:rPr>
        <w:t>2017</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505</w:t>
      </w:r>
      <w:r w:rsidRPr="00697D19">
        <w:rPr>
          <w:rFonts w:ascii="Times New Roman" w:hAnsi="Times New Roman" w:cs="Times New Roman"/>
          <w:noProof/>
          <w:sz w:val="20"/>
          <w:szCs w:val="24"/>
        </w:rPr>
        <w:t>, 454. https://doi.org/10.1016/j.jcis.2017.06.024 http://www.ncbi.nlm.nih.gov/pubmed/28628874.</w:t>
      </w:r>
    </w:p>
    <w:p w14:paraId="4A2CF95A" w14:textId="7210BEDE"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 </w:t>
      </w:r>
      <w:r w:rsidRPr="00786549">
        <w:rPr>
          <w:rFonts w:ascii="Times New Roman" w:hAnsi="Times New Roman" w:cs="Times New Roman"/>
          <w:noProof/>
          <w:sz w:val="20"/>
          <w:szCs w:val="24"/>
          <w:lang w:val="en-US"/>
        </w:rPr>
        <w:t xml:space="preserve">Li, J.; Xu, X.; Liu, X.; Yu, C.; Yan, D.; Sun, Z.; Pan, L.; Sn doped TiO2 nanotube with oxygen vacancy for highly efficient visible light photocatalysis. </w:t>
      </w:r>
      <w:r w:rsidR="00327B4A" w:rsidRPr="00697D19">
        <w:rPr>
          <w:rFonts w:ascii="Times New Roman" w:hAnsi="Times New Roman" w:cs="Times New Roman"/>
          <w:i/>
          <w:iCs/>
          <w:noProof/>
          <w:sz w:val="20"/>
          <w:szCs w:val="24"/>
        </w:rPr>
        <w:t xml:space="preserve">J. Alloys Compd. </w:t>
      </w:r>
      <w:r w:rsidRPr="00697D19">
        <w:rPr>
          <w:rFonts w:ascii="Times New Roman" w:hAnsi="Times New Roman" w:cs="Times New Roman"/>
          <w:b/>
          <w:bCs/>
          <w:noProof/>
          <w:sz w:val="20"/>
          <w:szCs w:val="24"/>
        </w:rPr>
        <w:t>2016</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679</w:t>
      </w:r>
      <w:r w:rsidRPr="00697D19">
        <w:rPr>
          <w:rFonts w:ascii="Times New Roman" w:hAnsi="Times New Roman" w:cs="Times New Roman"/>
          <w:noProof/>
          <w:sz w:val="20"/>
          <w:szCs w:val="24"/>
        </w:rPr>
        <w:t>, 454. https://doi.org/10.1016/j.jallcom.2016.04.080.</w:t>
      </w:r>
    </w:p>
    <w:p w14:paraId="3A66D294" w14:textId="6F6C7996" w:rsidR="001F3740" w:rsidRPr="0078654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lang w:val="en-US"/>
        </w:rPr>
      </w:pPr>
      <w:r w:rsidRPr="00697D19">
        <w:rPr>
          <w:rFonts w:ascii="Times New Roman" w:hAnsi="Times New Roman" w:cs="Times New Roman"/>
          <w:noProof/>
          <w:sz w:val="20"/>
          <w:szCs w:val="24"/>
        </w:rPr>
        <w:t xml:space="preserve"> </w:t>
      </w:r>
      <w:r w:rsidR="003A73EF" w:rsidRPr="00697D19">
        <w:rPr>
          <w:rFonts w:ascii="Times New Roman" w:hAnsi="Times New Roman" w:cs="Times New Roman"/>
          <w:noProof/>
          <w:sz w:val="20"/>
          <w:szCs w:val="24"/>
        </w:rPr>
        <w:t xml:space="preserve">H. </w:t>
      </w:r>
      <w:r w:rsidRPr="00697D19">
        <w:rPr>
          <w:rFonts w:ascii="Times New Roman" w:hAnsi="Times New Roman" w:cs="Times New Roman"/>
          <w:noProof/>
          <w:sz w:val="20"/>
          <w:szCs w:val="24"/>
        </w:rPr>
        <w:t xml:space="preserve">Chenaina; </w:t>
      </w:r>
      <w:r w:rsidR="003A73EF" w:rsidRPr="00697D19">
        <w:rPr>
          <w:rFonts w:ascii="Times New Roman" w:hAnsi="Times New Roman" w:cs="Times New Roman"/>
          <w:noProof/>
          <w:sz w:val="20"/>
          <w:szCs w:val="24"/>
        </w:rPr>
        <w:t xml:space="preserve">C. </w:t>
      </w:r>
      <w:r w:rsidRPr="00697D19">
        <w:rPr>
          <w:rFonts w:ascii="Times New Roman" w:hAnsi="Times New Roman" w:cs="Times New Roman"/>
          <w:noProof/>
          <w:sz w:val="20"/>
          <w:szCs w:val="24"/>
        </w:rPr>
        <w:t xml:space="preserve">Messaadi; </w:t>
      </w:r>
      <w:r w:rsidR="003A73EF" w:rsidRPr="00697D19">
        <w:rPr>
          <w:rFonts w:ascii="Times New Roman" w:hAnsi="Times New Roman" w:cs="Times New Roman"/>
          <w:noProof/>
          <w:sz w:val="20"/>
          <w:szCs w:val="24"/>
        </w:rPr>
        <w:t xml:space="preserve">J. </w:t>
      </w:r>
      <w:r w:rsidRPr="00697D19">
        <w:rPr>
          <w:rFonts w:ascii="Times New Roman" w:hAnsi="Times New Roman" w:cs="Times New Roman"/>
          <w:noProof/>
          <w:sz w:val="20"/>
          <w:szCs w:val="24"/>
        </w:rPr>
        <w:t xml:space="preserve">Jalali; </w:t>
      </w:r>
      <w:r w:rsidR="003A73EF" w:rsidRPr="00697D19">
        <w:rPr>
          <w:rFonts w:ascii="Times New Roman" w:hAnsi="Times New Roman" w:cs="Times New Roman"/>
          <w:noProof/>
          <w:sz w:val="20"/>
          <w:szCs w:val="24"/>
        </w:rPr>
        <w:t xml:space="preserve">H. </w:t>
      </w:r>
      <w:r w:rsidRPr="00697D19">
        <w:rPr>
          <w:rFonts w:ascii="Times New Roman" w:hAnsi="Times New Roman" w:cs="Times New Roman"/>
          <w:noProof/>
          <w:sz w:val="20"/>
          <w:szCs w:val="24"/>
        </w:rPr>
        <w:t>Ezzaouia</w:t>
      </w:r>
      <w:r w:rsidR="003A73EF" w:rsidRPr="00697D19">
        <w:rPr>
          <w:rFonts w:ascii="Times New Roman" w:hAnsi="Times New Roman" w:cs="Times New Roman"/>
          <w:noProof/>
          <w:sz w:val="20"/>
          <w:szCs w:val="24"/>
        </w:rPr>
        <w:t xml:space="preserve">, </w:t>
      </w:r>
      <w:r w:rsidR="00327B4A" w:rsidRPr="00697D19">
        <w:rPr>
          <w:rFonts w:ascii="Times New Roman" w:hAnsi="Times New Roman" w:cs="Times New Roman"/>
          <w:i/>
          <w:iCs/>
          <w:noProof/>
          <w:sz w:val="20"/>
          <w:szCs w:val="24"/>
        </w:rPr>
        <w:t xml:space="preserve">Inorg. </w:t>
      </w:r>
      <w:r w:rsidR="00327B4A" w:rsidRPr="00786549">
        <w:rPr>
          <w:rFonts w:ascii="Times New Roman" w:hAnsi="Times New Roman" w:cs="Times New Roman"/>
          <w:i/>
          <w:iCs/>
          <w:noProof/>
          <w:sz w:val="20"/>
          <w:szCs w:val="24"/>
          <w:lang w:val="en-US"/>
        </w:rPr>
        <w:t>Chem. Commun.</w:t>
      </w:r>
      <w:r w:rsidRPr="00786549">
        <w:rPr>
          <w:rFonts w:ascii="Times New Roman" w:hAnsi="Times New Roman" w:cs="Times New Roman"/>
          <w:noProof/>
          <w:sz w:val="20"/>
          <w:szCs w:val="24"/>
          <w:lang w:val="en-US"/>
        </w:rPr>
        <w:t xml:space="preserve"> </w:t>
      </w:r>
      <w:r w:rsidRPr="00786549">
        <w:rPr>
          <w:rFonts w:ascii="Times New Roman" w:hAnsi="Times New Roman" w:cs="Times New Roman"/>
          <w:b/>
          <w:bCs/>
          <w:noProof/>
          <w:sz w:val="20"/>
          <w:szCs w:val="24"/>
          <w:lang w:val="en-US"/>
        </w:rPr>
        <w:t>2021</w:t>
      </w:r>
      <w:r w:rsidRPr="00786549">
        <w:rPr>
          <w:rFonts w:ascii="Times New Roman" w:hAnsi="Times New Roman" w:cs="Times New Roman"/>
          <w:noProof/>
          <w:sz w:val="20"/>
          <w:szCs w:val="24"/>
          <w:lang w:val="en-US"/>
        </w:rPr>
        <w:t xml:space="preserve">, </w:t>
      </w:r>
      <w:r w:rsidRPr="00786549">
        <w:rPr>
          <w:rFonts w:ascii="Times New Roman" w:hAnsi="Times New Roman" w:cs="Times New Roman"/>
          <w:i/>
          <w:iCs/>
          <w:noProof/>
          <w:sz w:val="20"/>
          <w:szCs w:val="24"/>
          <w:lang w:val="en-US"/>
        </w:rPr>
        <w:t>124</w:t>
      </w:r>
      <w:r w:rsidRPr="00786549">
        <w:rPr>
          <w:rFonts w:ascii="Times New Roman" w:hAnsi="Times New Roman" w:cs="Times New Roman"/>
          <w:noProof/>
          <w:sz w:val="20"/>
          <w:szCs w:val="24"/>
          <w:lang w:val="en-US"/>
        </w:rPr>
        <w:t>, 108401. https://doi.org/10.1016/j.inoche.2020.108401.</w:t>
      </w:r>
    </w:p>
    <w:p w14:paraId="15A94C4A" w14:textId="742D2547" w:rsidR="001F3740" w:rsidRPr="0078654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lang w:val="en-US"/>
        </w:rPr>
      </w:pPr>
      <w:r w:rsidRPr="00786549">
        <w:rPr>
          <w:rFonts w:ascii="Times New Roman" w:hAnsi="Times New Roman" w:cs="Times New Roman"/>
          <w:noProof/>
          <w:sz w:val="20"/>
          <w:szCs w:val="24"/>
          <w:lang w:val="en-US"/>
        </w:rPr>
        <w:t xml:space="preserve"> </w:t>
      </w:r>
      <w:r w:rsidR="003A73EF" w:rsidRPr="00786549">
        <w:rPr>
          <w:rFonts w:ascii="Times New Roman" w:hAnsi="Times New Roman" w:cs="Times New Roman"/>
          <w:noProof/>
          <w:sz w:val="20"/>
          <w:szCs w:val="24"/>
          <w:lang w:val="en-US"/>
        </w:rPr>
        <w:t xml:space="preserve">M. </w:t>
      </w:r>
      <w:r w:rsidRPr="00786549">
        <w:rPr>
          <w:rFonts w:ascii="Times New Roman" w:hAnsi="Times New Roman" w:cs="Times New Roman"/>
          <w:noProof/>
          <w:sz w:val="20"/>
          <w:szCs w:val="24"/>
          <w:lang w:val="en-US"/>
        </w:rPr>
        <w:t xml:space="preserve">Borlaf; </w:t>
      </w:r>
      <w:r w:rsidR="003A73EF" w:rsidRPr="00786549">
        <w:rPr>
          <w:rFonts w:ascii="Times New Roman" w:hAnsi="Times New Roman" w:cs="Times New Roman"/>
          <w:noProof/>
          <w:sz w:val="20"/>
          <w:szCs w:val="24"/>
          <w:lang w:val="en-US"/>
        </w:rPr>
        <w:t xml:space="preserve">R. </w:t>
      </w:r>
      <w:r w:rsidRPr="00786549">
        <w:rPr>
          <w:rFonts w:ascii="Times New Roman" w:hAnsi="Times New Roman" w:cs="Times New Roman"/>
          <w:noProof/>
          <w:sz w:val="20"/>
          <w:szCs w:val="24"/>
          <w:lang w:val="en-US"/>
        </w:rPr>
        <w:t>Moreno</w:t>
      </w:r>
      <w:r w:rsidR="003A73EF" w:rsidRPr="00786549">
        <w:rPr>
          <w:rFonts w:ascii="Times New Roman" w:hAnsi="Times New Roman" w:cs="Times New Roman"/>
          <w:noProof/>
          <w:sz w:val="20"/>
          <w:szCs w:val="24"/>
          <w:lang w:val="en-US"/>
        </w:rPr>
        <w:t>,</w:t>
      </w:r>
      <w:r w:rsidRPr="00786549">
        <w:rPr>
          <w:rFonts w:ascii="Times New Roman" w:hAnsi="Times New Roman" w:cs="Times New Roman"/>
          <w:noProof/>
          <w:sz w:val="20"/>
          <w:szCs w:val="24"/>
          <w:lang w:val="en-US"/>
        </w:rPr>
        <w:t xml:space="preserve"> </w:t>
      </w:r>
      <w:r w:rsidRPr="00786549">
        <w:rPr>
          <w:rFonts w:ascii="Times New Roman" w:hAnsi="Times New Roman" w:cs="Times New Roman"/>
          <w:i/>
          <w:iCs/>
          <w:noProof/>
          <w:sz w:val="20"/>
          <w:szCs w:val="24"/>
          <w:lang w:val="en-US"/>
        </w:rPr>
        <w:t>Open Ceramics</w:t>
      </w:r>
      <w:r w:rsidRPr="00786549">
        <w:rPr>
          <w:rFonts w:ascii="Times New Roman" w:hAnsi="Times New Roman" w:cs="Times New Roman"/>
          <w:noProof/>
          <w:sz w:val="20"/>
          <w:szCs w:val="24"/>
          <w:lang w:val="en-US"/>
        </w:rPr>
        <w:t xml:space="preserve"> </w:t>
      </w:r>
      <w:r w:rsidRPr="00786549">
        <w:rPr>
          <w:rFonts w:ascii="Times New Roman" w:hAnsi="Times New Roman" w:cs="Times New Roman"/>
          <w:b/>
          <w:bCs/>
          <w:noProof/>
          <w:sz w:val="20"/>
          <w:szCs w:val="24"/>
          <w:lang w:val="en-US"/>
        </w:rPr>
        <w:t>2021</w:t>
      </w:r>
      <w:r w:rsidRPr="00786549">
        <w:rPr>
          <w:rFonts w:ascii="Times New Roman" w:hAnsi="Times New Roman" w:cs="Times New Roman"/>
          <w:noProof/>
          <w:sz w:val="20"/>
          <w:szCs w:val="24"/>
          <w:lang w:val="en-US"/>
        </w:rPr>
        <w:t xml:space="preserve">, </w:t>
      </w:r>
      <w:r w:rsidRPr="00786549">
        <w:rPr>
          <w:rFonts w:ascii="Times New Roman" w:hAnsi="Times New Roman" w:cs="Times New Roman"/>
          <w:i/>
          <w:iCs/>
          <w:noProof/>
          <w:sz w:val="20"/>
          <w:szCs w:val="24"/>
          <w:lang w:val="en-US"/>
        </w:rPr>
        <w:t>8</w:t>
      </w:r>
      <w:r w:rsidRPr="00786549">
        <w:rPr>
          <w:rFonts w:ascii="Times New Roman" w:hAnsi="Times New Roman" w:cs="Times New Roman"/>
          <w:noProof/>
          <w:sz w:val="20"/>
          <w:szCs w:val="24"/>
          <w:lang w:val="en-US"/>
        </w:rPr>
        <w:t>, 100200. https://doi.org/10.1016/j.oceram.2021.100200.</w:t>
      </w:r>
    </w:p>
    <w:p w14:paraId="1AE0622A" w14:textId="2BEDDBD2" w:rsidR="001F3740" w:rsidRPr="00786549" w:rsidRDefault="003A73EF"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lang w:val="en-US"/>
        </w:rPr>
      </w:pPr>
      <w:r w:rsidRPr="00697D19">
        <w:rPr>
          <w:rFonts w:ascii="Times New Roman" w:hAnsi="Times New Roman" w:cs="Times New Roman"/>
          <w:noProof/>
          <w:sz w:val="20"/>
          <w:szCs w:val="24"/>
        </w:rPr>
        <w:t xml:space="preserve">A. </w:t>
      </w:r>
      <w:r w:rsidR="001F3740" w:rsidRPr="00697D19">
        <w:rPr>
          <w:rFonts w:ascii="Times New Roman" w:hAnsi="Times New Roman" w:cs="Times New Roman"/>
          <w:noProof/>
          <w:sz w:val="20"/>
          <w:szCs w:val="24"/>
        </w:rPr>
        <w:t xml:space="preserve">Szyguła; </w:t>
      </w:r>
      <w:r w:rsidRPr="00697D19">
        <w:rPr>
          <w:rFonts w:ascii="Times New Roman" w:hAnsi="Times New Roman" w:cs="Times New Roman"/>
          <w:noProof/>
          <w:sz w:val="20"/>
          <w:szCs w:val="24"/>
        </w:rPr>
        <w:t xml:space="preserve">E. </w:t>
      </w:r>
      <w:r w:rsidR="001F3740" w:rsidRPr="00697D19">
        <w:rPr>
          <w:rFonts w:ascii="Times New Roman" w:hAnsi="Times New Roman" w:cs="Times New Roman"/>
          <w:noProof/>
          <w:sz w:val="20"/>
          <w:szCs w:val="24"/>
        </w:rPr>
        <w:t xml:space="preserve">Guibal; </w:t>
      </w:r>
      <w:r w:rsidRPr="00697D19">
        <w:rPr>
          <w:rFonts w:ascii="Times New Roman" w:hAnsi="Times New Roman" w:cs="Times New Roman"/>
          <w:noProof/>
          <w:sz w:val="20"/>
          <w:szCs w:val="24"/>
        </w:rPr>
        <w:t xml:space="preserve">M. A. </w:t>
      </w:r>
      <w:r w:rsidR="001F3740" w:rsidRPr="00697D19">
        <w:rPr>
          <w:rFonts w:ascii="Times New Roman" w:hAnsi="Times New Roman" w:cs="Times New Roman"/>
          <w:noProof/>
          <w:sz w:val="20"/>
          <w:szCs w:val="24"/>
        </w:rPr>
        <w:t xml:space="preserve">Palacín; </w:t>
      </w:r>
      <w:r w:rsidRPr="00697D19">
        <w:rPr>
          <w:rFonts w:ascii="Times New Roman" w:hAnsi="Times New Roman" w:cs="Times New Roman"/>
          <w:noProof/>
          <w:sz w:val="20"/>
          <w:szCs w:val="24"/>
        </w:rPr>
        <w:t xml:space="preserve">M. </w:t>
      </w:r>
      <w:r w:rsidR="001F3740" w:rsidRPr="00697D19">
        <w:rPr>
          <w:rFonts w:ascii="Times New Roman" w:hAnsi="Times New Roman" w:cs="Times New Roman"/>
          <w:noProof/>
          <w:sz w:val="20"/>
          <w:szCs w:val="24"/>
        </w:rPr>
        <w:t xml:space="preserve">Ruiz; </w:t>
      </w:r>
      <w:r w:rsidRPr="00697D19">
        <w:rPr>
          <w:rFonts w:ascii="Times New Roman" w:hAnsi="Times New Roman" w:cs="Times New Roman"/>
          <w:noProof/>
          <w:sz w:val="20"/>
          <w:szCs w:val="24"/>
        </w:rPr>
        <w:t xml:space="preserve">A. M. </w:t>
      </w:r>
      <w:r w:rsidR="001F3740" w:rsidRPr="00697D19">
        <w:rPr>
          <w:rFonts w:ascii="Times New Roman" w:hAnsi="Times New Roman" w:cs="Times New Roman"/>
          <w:noProof/>
          <w:sz w:val="20"/>
          <w:szCs w:val="24"/>
        </w:rPr>
        <w:t xml:space="preserve">Sastre, </w:t>
      </w:r>
      <w:r w:rsidR="00327B4A" w:rsidRPr="00697D19">
        <w:rPr>
          <w:rFonts w:ascii="Times New Roman" w:hAnsi="Times New Roman" w:cs="Times New Roman"/>
          <w:i/>
          <w:iCs/>
          <w:noProof/>
          <w:sz w:val="20"/>
          <w:szCs w:val="24"/>
        </w:rPr>
        <w:t xml:space="preserve">J. Environ. </w:t>
      </w:r>
      <w:r w:rsidR="00327B4A" w:rsidRPr="00786549">
        <w:rPr>
          <w:rFonts w:ascii="Times New Roman" w:hAnsi="Times New Roman" w:cs="Times New Roman"/>
          <w:i/>
          <w:iCs/>
          <w:noProof/>
          <w:sz w:val="20"/>
          <w:szCs w:val="24"/>
          <w:lang w:val="en-US"/>
        </w:rPr>
        <w:t>Manage.</w:t>
      </w:r>
      <w:r w:rsidR="001F3740" w:rsidRPr="00786549">
        <w:rPr>
          <w:rFonts w:ascii="Times New Roman" w:hAnsi="Times New Roman" w:cs="Times New Roman"/>
          <w:b/>
          <w:bCs/>
          <w:noProof/>
          <w:sz w:val="20"/>
          <w:szCs w:val="24"/>
          <w:lang w:val="en-US"/>
        </w:rPr>
        <w:t>2009</w:t>
      </w:r>
      <w:r w:rsidR="001F3740" w:rsidRPr="00786549">
        <w:rPr>
          <w:rFonts w:ascii="Times New Roman" w:hAnsi="Times New Roman" w:cs="Times New Roman"/>
          <w:noProof/>
          <w:sz w:val="20"/>
          <w:szCs w:val="24"/>
          <w:lang w:val="en-US"/>
        </w:rPr>
        <w:t xml:space="preserve">, </w:t>
      </w:r>
      <w:r w:rsidR="001F3740" w:rsidRPr="00786549">
        <w:rPr>
          <w:rFonts w:ascii="Times New Roman" w:hAnsi="Times New Roman" w:cs="Times New Roman"/>
          <w:i/>
          <w:iCs/>
          <w:noProof/>
          <w:sz w:val="20"/>
          <w:szCs w:val="24"/>
          <w:lang w:val="en-US"/>
        </w:rPr>
        <w:t>90</w:t>
      </w:r>
      <w:r w:rsidR="001F3740" w:rsidRPr="00786549">
        <w:rPr>
          <w:rFonts w:ascii="Times New Roman" w:hAnsi="Times New Roman" w:cs="Times New Roman"/>
          <w:noProof/>
          <w:sz w:val="20"/>
          <w:szCs w:val="24"/>
          <w:lang w:val="en-US"/>
        </w:rPr>
        <w:t>, 2979. https://doi.org/10.1016/j.jenvman.2009.04.002 http://www.ncbi.nlm.nih.gov/pubmed/19467769.</w:t>
      </w:r>
    </w:p>
    <w:p w14:paraId="2D22B056" w14:textId="78FB4662"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lang w:val="en-US"/>
        </w:rPr>
        <w:t xml:space="preserve"> </w:t>
      </w:r>
      <w:r w:rsidR="003A73EF" w:rsidRPr="00697D19">
        <w:rPr>
          <w:rFonts w:ascii="Times New Roman" w:hAnsi="Times New Roman" w:cs="Times New Roman"/>
          <w:noProof/>
          <w:sz w:val="20"/>
          <w:szCs w:val="24"/>
          <w:lang w:val="en-US"/>
        </w:rPr>
        <w:t xml:space="preserve">M. </w:t>
      </w:r>
      <w:r w:rsidRPr="00697D19">
        <w:rPr>
          <w:rFonts w:ascii="Times New Roman" w:hAnsi="Times New Roman" w:cs="Times New Roman"/>
          <w:noProof/>
          <w:sz w:val="20"/>
          <w:szCs w:val="24"/>
          <w:lang w:val="en-US"/>
        </w:rPr>
        <w:t xml:space="preserve">Sajid, </w:t>
      </w:r>
      <w:r w:rsidR="00327B4A" w:rsidRPr="00786549">
        <w:rPr>
          <w:rFonts w:ascii="Times New Roman" w:hAnsi="Times New Roman" w:cs="Times New Roman"/>
          <w:i/>
          <w:iCs/>
          <w:noProof/>
          <w:sz w:val="20"/>
          <w:szCs w:val="24"/>
          <w:lang w:val="en-US"/>
        </w:rPr>
        <w:t xml:space="preserve">Trends Environ. Anal. </w:t>
      </w:r>
      <w:r w:rsidR="00327B4A" w:rsidRPr="00697D19">
        <w:rPr>
          <w:rFonts w:ascii="Times New Roman" w:hAnsi="Times New Roman" w:cs="Times New Roman"/>
          <w:i/>
          <w:iCs/>
          <w:noProof/>
          <w:sz w:val="20"/>
          <w:szCs w:val="24"/>
        </w:rPr>
        <w:t>Chem</w:t>
      </w:r>
      <w:r w:rsidRPr="00697D19">
        <w:rPr>
          <w:rFonts w:ascii="Times New Roman" w:hAnsi="Times New Roman" w:cs="Times New Roman"/>
          <w:b/>
          <w:bCs/>
          <w:noProof/>
          <w:sz w:val="20"/>
          <w:szCs w:val="24"/>
        </w:rPr>
        <w:t>2022</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36</w:t>
      </w:r>
      <w:r w:rsidRPr="00697D19">
        <w:rPr>
          <w:rFonts w:ascii="Times New Roman" w:hAnsi="Times New Roman" w:cs="Times New Roman"/>
          <w:noProof/>
          <w:sz w:val="20"/>
          <w:szCs w:val="24"/>
        </w:rPr>
        <w:t>, e00185. https://doi.org/10.1016/j.teac.2022.e00185.</w:t>
      </w:r>
    </w:p>
    <w:p w14:paraId="26D3AD3C" w14:textId="4DE26A39"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 </w:t>
      </w:r>
      <w:r w:rsidR="003A73EF" w:rsidRPr="00697D19">
        <w:rPr>
          <w:rFonts w:ascii="Times New Roman" w:hAnsi="Times New Roman" w:cs="Times New Roman"/>
          <w:noProof/>
          <w:sz w:val="20"/>
          <w:szCs w:val="24"/>
        </w:rPr>
        <w:t xml:space="preserve">L. </w:t>
      </w:r>
      <w:r w:rsidRPr="00697D19">
        <w:rPr>
          <w:rFonts w:ascii="Times New Roman" w:hAnsi="Times New Roman" w:cs="Times New Roman"/>
          <w:noProof/>
          <w:sz w:val="20"/>
          <w:szCs w:val="24"/>
        </w:rPr>
        <w:t xml:space="preserve">Etshindo; </w:t>
      </w:r>
      <w:r w:rsidR="003A73EF" w:rsidRPr="00697D19">
        <w:rPr>
          <w:rFonts w:ascii="Times New Roman" w:hAnsi="Times New Roman" w:cs="Times New Roman"/>
          <w:noProof/>
          <w:sz w:val="20"/>
          <w:szCs w:val="24"/>
        </w:rPr>
        <w:t xml:space="preserve">P. </w:t>
      </w:r>
      <w:r w:rsidRPr="00697D19">
        <w:rPr>
          <w:rFonts w:ascii="Times New Roman" w:hAnsi="Times New Roman" w:cs="Times New Roman"/>
          <w:noProof/>
          <w:sz w:val="20"/>
          <w:szCs w:val="24"/>
        </w:rPr>
        <w:t xml:space="preserve">Tamiasso-Martinhon; </w:t>
      </w:r>
      <w:r w:rsidR="003A73EF" w:rsidRPr="00697D19">
        <w:rPr>
          <w:rFonts w:ascii="Times New Roman" w:hAnsi="Times New Roman" w:cs="Times New Roman"/>
          <w:noProof/>
          <w:sz w:val="20"/>
          <w:szCs w:val="24"/>
        </w:rPr>
        <w:t xml:space="preserve">A. S. </w:t>
      </w:r>
      <w:r w:rsidRPr="00697D19">
        <w:rPr>
          <w:rFonts w:ascii="Times New Roman" w:hAnsi="Times New Roman" w:cs="Times New Roman"/>
          <w:noProof/>
          <w:sz w:val="20"/>
          <w:szCs w:val="24"/>
        </w:rPr>
        <w:t xml:space="preserve">Rocha; </w:t>
      </w:r>
      <w:r w:rsidR="003A73EF" w:rsidRPr="00697D19">
        <w:rPr>
          <w:rFonts w:ascii="Times New Roman" w:hAnsi="Times New Roman" w:cs="Times New Roman"/>
          <w:noProof/>
          <w:sz w:val="20"/>
          <w:szCs w:val="24"/>
        </w:rPr>
        <w:t xml:space="preserve">L. R. R. </w:t>
      </w:r>
      <w:r w:rsidRPr="00697D19">
        <w:rPr>
          <w:rFonts w:ascii="Times New Roman" w:hAnsi="Times New Roman" w:cs="Times New Roman"/>
          <w:noProof/>
          <w:sz w:val="20"/>
          <w:szCs w:val="24"/>
        </w:rPr>
        <w:t>Araujo</w:t>
      </w:r>
      <w:r w:rsidR="003A73EF" w:rsidRPr="00697D19">
        <w:rPr>
          <w:rFonts w:ascii="Times New Roman" w:hAnsi="Times New Roman" w:cs="Times New Roman"/>
          <w:noProof/>
          <w:sz w:val="20"/>
          <w:szCs w:val="24"/>
        </w:rPr>
        <w:t>; C.</w:t>
      </w:r>
      <w:r w:rsidRPr="00697D19">
        <w:rPr>
          <w:rFonts w:ascii="Times New Roman" w:hAnsi="Times New Roman" w:cs="Times New Roman"/>
          <w:noProof/>
          <w:sz w:val="20"/>
          <w:szCs w:val="24"/>
        </w:rPr>
        <w:t xml:space="preserve"> </w:t>
      </w:r>
      <w:r w:rsidRPr="00697D19">
        <w:rPr>
          <w:rFonts w:ascii="Times New Roman" w:hAnsi="Times New Roman" w:cs="Times New Roman"/>
          <w:noProof/>
          <w:sz w:val="20"/>
          <w:szCs w:val="24"/>
          <w:lang w:val="en-US"/>
        </w:rPr>
        <w:t xml:space="preserve">Sousa, </w:t>
      </w:r>
      <w:r w:rsidRPr="00697D19">
        <w:rPr>
          <w:rFonts w:ascii="Times New Roman" w:hAnsi="Times New Roman" w:cs="Times New Roman"/>
          <w:i/>
          <w:iCs/>
          <w:noProof/>
          <w:sz w:val="20"/>
          <w:szCs w:val="24"/>
        </w:rPr>
        <w:t>Brazilian Applied Science Review</w:t>
      </w:r>
      <w:r w:rsidRPr="00697D19">
        <w:rPr>
          <w:rFonts w:ascii="Times New Roman" w:hAnsi="Times New Roman" w:cs="Times New Roman"/>
          <w:noProof/>
          <w:sz w:val="20"/>
          <w:szCs w:val="24"/>
        </w:rPr>
        <w:t xml:space="preserve"> </w:t>
      </w:r>
      <w:r w:rsidRPr="00697D19">
        <w:rPr>
          <w:rFonts w:ascii="Times New Roman" w:hAnsi="Times New Roman" w:cs="Times New Roman"/>
          <w:b/>
          <w:bCs/>
          <w:noProof/>
          <w:sz w:val="20"/>
          <w:szCs w:val="24"/>
        </w:rPr>
        <w:t>2018</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2</w:t>
      </w:r>
      <w:r w:rsidRPr="00697D19">
        <w:rPr>
          <w:rFonts w:ascii="Times New Roman" w:hAnsi="Times New Roman" w:cs="Times New Roman"/>
          <w:noProof/>
          <w:sz w:val="20"/>
          <w:szCs w:val="24"/>
        </w:rPr>
        <w:t>, 2010.</w:t>
      </w:r>
    </w:p>
    <w:p w14:paraId="21A9900B" w14:textId="3932F83E"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szCs w:val="24"/>
        </w:rPr>
      </w:pPr>
      <w:r w:rsidRPr="00697D19">
        <w:rPr>
          <w:rFonts w:ascii="Times New Roman" w:hAnsi="Times New Roman" w:cs="Times New Roman"/>
          <w:noProof/>
          <w:sz w:val="20"/>
          <w:szCs w:val="24"/>
        </w:rPr>
        <w:t xml:space="preserve"> </w:t>
      </w:r>
      <w:r w:rsidR="003A73EF" w:rsidRPr="00697D19">
        <w:rPr>
          <w:rFonts w:ascii="Times New Roman" w:hAnsi="Times New Roman" w:cs="Times New Roman"/>
          <w:noProof/>
          <w:sz w:val="20"/>
          <w:szCs w:val="24"/>
        </w:rPr>
        <w:t xml:space="preserve">R. C. </w:t>
      </w:r>
      <w:r w:rsidRPr="00697D19">
        <w:rPr>
          <w:rFonts w:ascii="Times New Roman" w:hAnsi="Times New Roman" w:cs="Times New Roman"/>
          <w:noProof/>
          <w:sz w:val="20"/>
          <w:szCs w:val="24"/>
        </w:rPr>
        <w:t xml:space="preserve">Abruzzi; </w:t>
      </w:r>
      <w:r w:rsidR="003A73EF" w:rsidRPr="00697D19">
        <w:rPr>
          <w:rFonts w:ascii="Times New Roman" w:hAnsi="Times New Roman" w:cs="Times New Roman"/>
          <w:noProof/>
          <w:sz w:val="20"/>
          <w:szCs w:val="24"/>
        </w:rPr>
        <w:t xml:space="preserve">B. A. </w:t>
      </w:r>
      <w:r w:rsidRPr="00697D19">
        <w:rPr>
          <w:rFonts w:ascii="Times New Roman" w:hAnsi="Times New Roman" w:cs="Times New Roman"/>
          <w:noProof/>
          <w:sz w:val="20"/>
          <w:szCs w:val="24"/>
        </w:rPr>
        <w:t xml:space="preserve">Dedavid; </w:t>
      </w:r>
      <w:r w:rsidR="003A73EF" w:rsidRPr="00697D19">
        <w:rPr>
          <w:rFonts w:ascii="Times New Roman" w:hAnsi="Times New Roman" w:cs="Times New Roman"/>
          <w:noProof/>
          <w:sz w:val="20"/>
          <w:szCs w:val="24"/>
        </w:rPr>
        <w:t xml:space="preserve">M. J. R. </w:t>
      </w:r>
      <w:r w:rsidRPr="00697D19">
        <w:rPr>
          <w:rFonts w:ascii="Times New Roman" w:hAnsi="Times New Roman" w:cs="Times New Roman"/>
          <w:noProof/>
          <w:sz w:val="20"/>
          <w:szCs w:val="24"/>
        </w:rPr>
        <w:t>Pires</w:t>
      </w:r>
      <w:r w:rsidR="003A73EF"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Ceramica</w:t>
      </w:r>
      <w:r w:rsidRPr="00697D19">
        <w:rPr>
          <w:rFonts w:ascii="Times New Roman" w:hAnsi="Times New Roman" w:cs="Times New Roman"/>
          <w:noProof/>
          <w:sz w:val="20"/>
          <w:szCs w:val="24"/>
        </w:rPr>
        <w:t xml:space="preserve"> </w:t>
      </w:r>
      <w:r w:rsidRPr="00697D19">
        <w:rPr>
          <w:rFonts w:ascii="Times New Roman" w:hAnsi="Times New Roman" w:cs="Times New Roman"/>
          <w:b/>
          <w:bCs/>
          <w:noProof/>
          <w:sz w:val="20"/>
          <w:szCs w:val="24"/>
        </w:rPr>
        <w:t>2015</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61</w:t>
      </w:r>
      <w:r w:rsidRPr="00697D19">
        <w:rPr>
          <w:rFonts w:ascii="Times New Roman" w:hAnsi="Times New Roman" w:cs="Times New Roman"/>
          <w:noProof/>
          <w:sz w:val="20"/>
          <w:szCs w:val="24"/>
        </w:rPr>
        <w:t>, 328. https://doi.org/10.1590/0366-69132015613591919.</w:t>
      </w:r>
    </w:p>
    <w:p w14:paraId="0107C726" w14:textId="52630B99" w:rsidR="001F3740" w:rsidRPr="00697D19" w:rsidRDefault="001F3740" w:rsidP="00400189">
      <w:pPr>
        <w:pStyle w:val="PargrafodaLista"/>
        <w:widowControl w:val="0"/>
        <w:numPr>
          <w:ilvl w:val="0"/>
          <w:numId w:val="1"/>
        </w:numPr>
        <w:autoSpaceDE w:val="0"/>
        <w:autoSpaceDN w:val="0"/>
        <w:adjustRightInd w:val="0"/>
        <w:spacing w:after="0" w:line="240" w:lineRule="exact"/>
        <w:ind w:left="426" w:hanging="426"/>
        <w:jc w:val="both"/>
        <w:rPr>
          <w:rFonts w:ascii="Times New Roman" w:hAnsi="Times New Roman" w:cs="Times New Roman"/>
          <w:noProof/>
          <w:sz w:val="20"/>
        </w:rPr>
      </w:pPr>
      <w:r w:rsidRPr="00697D19">
        <w:rPr>
          <w:rFonts w:ascii="Times New Roman" w:hAnsi="Times New Roman" w:cs="Times New Roman"/>
          <w:noProof/>
          <w:sz w:val="20"/>
          <w:szCs w:val="24"/>
        </w:rPr>
        <w:t xml:space="preserve"> </w:t>
      </w:r>
      <w:r w:rsidR="003A73EF" w:rsidRPr="00786549">
        <w:rPr>
          <w:rFonts w:ascii="Times New Roman" w:hAnsi="Times New Roman" w:cs="Times New Roman"/>
          <w:noProof/>
          <w:sz w:val="20"/>
          <w:szCs w:val="24"/>
          <w:lang w:val="en-US"/>
        </w:rPr>
        <w:t xml:space="preserve">H. </w:t>
      </w:r>
      <w:r w:rsidRPr="00786549">
        <w:rPr>
          <w:rFonts w:ascii="Times New Roman" w:hAnsi="Times New Roman" w:cs="Times New Roman"/>
          <w:noProof/>
          <w:sz w:val="20"/>
          <w:szCs w:val="24"/>
          <w:lang w:val="en-US"/>
        </w:rPr>
        <w:t xml:space="preserve">Wang; </w:t>
      </w:r>
      <w:r w:rsidR="003A73EF" w:rsidRPr="00786549">
        <w:rPr>
          <w:rFonts w:ascii="Times New Roman" w:hAnsi="Times New Roman" w:cs="Times New Roman"/>
          <w:noProof/>
          <w:sz w:val="20"/>
          <w:szCs w:val="24"/>
          <w:lang w:val="en-US"/>
        </w:rPr>
        <w:t xml:space="preserve">L. </w:t>
      </w:r>
      <w:r w:rsidRPr="00786549">
        <w:rPr>
          <w:rFonts w:ascii="Times New Roman" w:hAnsi="Times New Roman" w:cs="Times New Roman"/>
          <w:noProof/>
          <w:sz w:val="20"/>
          <w:szCs w:val="24"/>
          <w:lang w:val="en-US"/>
        </w:rPr>
        <w:t>Song;</w:t>
      </w:r>
      <w:r w:rsidR="003A73EF" w:rsidRPr="00786549">
        <w:rPr>
          <w:rFonts w:ascii="Times New Roman" w:hAnsi="Times New Roman" w:cs="Times New Roman"/>
          <w:noProof/>
          <w:sz w:val="20"/>
          <w:szCs w:val="24"/>
          <w:lang w:val="en-US"/>
        </w:rPr>
        <w:t xml:space="preserve"> L. </w:t>
      </w:r>
      <w:r w:rsidRPr="00786549">
        <w:rPr>
          <w:rFonts w:ascii="Times New Roman" w:hAnsi="Times New Roman" w:cs="Times New Roman"/>
          <w:noProof/>
          <w:sz w:val="20"/>
          <w:szCs w:val="24"/>
          <w:lang w:val="en-US"/>
        </w:rPr>
        <w:t xml:space="preserve">Yu; </w:t>
      </w:r>
      <w:r w:rsidR="003A73EF" w:rsidRPr="00786549">
        <w:rPr>
          <w:rFonts w:ascii="Times New Roman" w:hAnsi="Times New Roman" w:cs="Times New Roman"/>
          <w:noProof/>
          <w:sz w:val="20"/>
          <w:szCs w:val="24"/>
          <w:lang w:val="en-US"/>
        </w:rPr>
        <w:t xml:space="preserve">X. </w:t>
      </w:r>
      <w:r w:rsidRPr="00786549">
        <w:rPr>
          <w:rFonts w:ascii="Times New Roman" w:hAnsi="Times New Roman" w:cs="Times New Roman"/>
          <w:noProof/>
          <w:sz w:val="20"/>
          <w:szCs w:val="24"/>
          <w:lang w:val="en-US"/>
        </w:rPr>
        <w:t xml:space="preserve">Xia; </w:t>
      </w:r>
      <w:r w:rsidR="003A73EF" w:rsidRPr="00786549">
        <w:rPr>
          <w:rFonts w:ascii="Times New Roman" w:hAnsi="Times New Roman" w:cs="Times New Roman"/>
          <w:noProof/>
          <w:sz w:val="20"/>
          <w:szCs w:val="24"/>
          <w:lang w:val="en-US"/>
        </w:rPr>
        <w:t xml:space="preserve">Y. </w:t>
      </w:r>
      <w:r w:rsidRPr="00786549">
        <w:rPr>
          <w:rFonts w:ascii="Times New Roman" w:hAnsi="Times New Roman" w:cs="Times New Roman"/>
          <w:noProof/>
          <w:sz w:val="20"/>
          <w:szCs w:val="24"/>
          <w:lang w:val="en-US"/>
        </w:rPr>
        <w:t xml:space="preserve">Bao; </w:t>
      </w:r>
      <w:r w:rsidR="003A73EF" w:rsidRPr="00786549">
        <w:rPr>
          <w:rFonts w:ascii="Times New Roman" w:hAnsi="Times New Roman" w:cs="Times New Roman"/>
          <w:noProof/>
          <w:sz w:val="20"/>
          <w:szCs w:val="24"/>
          <w:lang w:val="en-US"/>
        </w:rPr>
        <w:t xml:space="preserve">M. </w:t>
      </w:r>
      <w:r w:rsidRPr="00786549">
        <w:rPr>
          <w:rFonts w:ascii="Times New Roman" w:hAnsi="Times New Roman" w:cs="Times New Roman"/>
          <w:noProof/>
          <w:sz w:val="20"/>
          <w:szCs w:val="24"/>
          <w:lang w:val="en-US"/>
        </w:rPr>
        <w:t xml:space="preserve">Lourenco, </w:t>
      </w:r>
      <w:r w:rsidR="003A73EF" w:rsidRPr="00786549">
        <w:rPr>
          <w:rFonts w:ascii="Times New Roman" w:hAnsi="Times New Roman" w:cs="Times New Roman"/>
          <w:noProof/>
          <w:sz w:val="20"/>
          <w:szCs w:val="24"/>
          <w:lang w:val="en-US"/>
        </w:rPr>
        <w:t xml:space="preserve">K. </w:t>
      </w:r>
      <w:r w:rsidRPr="00786549">
        <w:rPr>
          <w:rFonts w:ascii="Times New Roman" w:hAnsi="Times New Roman" w:cs="Times New Roman"/>
          <w:noProof/>
          <w:sz w:val="20"/>
          <w:szCs w:val="24"/>
          <w:lang w:val="en-US"/>
        </w:rPr>
        <w:t>Homewood;</w:t>
      </w:r>
      <w:r w:rsidR="003A73EF" w:rsidRPr="00786549">
        <w:rPr>
          <w:rFonts w:ascii="Times New Roman" w:hAnsi="Times New Roman" w:cs="Times New Roman"/>
          <w:noProof/>
          <w:sz w:val="20"/>
          <w:szCs w:val="24"/>
          <w:lang w:val="en-US"/>
        </w:rPr>
        <w:t xml:space="preserve"> Y.</w:t>
      </w:r>
      <w:r w:rsidRPr="00786549">
        <w:rPr>
          <w:rFonts w:ascii="Times New Roman" w:hAnsi="Times New Roman" w:cs="Times New Roman"/>
          <w:noProof/>
          <w:sz w:val="20"/>
          <w:szCs w:val="24"/>
          <w:lang w:val="en-US"/>
        </w:rPr>
        <w:t xml:space="preserve"> Gao</w:t>
      </w:r>
      <w:r w:rsidR="003A73EF" w:rsidRPr="00786549">
        <w:rPr>
          <w:rFonts w:ascii="Times New Roman" w:hAnsi="Times New Roman" w:cs="Times New Roman"/>
          <w:noProof/>
          <w:sz w:val="20"/>
          <w:szCs w:val="24"/>
          <w:lang w:val="en-US"/>
        </w:rPr>
        <w:t>,</w:t>
      </w:r>
      <w:r w:rsidRPr="00786549">
        <w:rPr>
          <w:rFonts w:ascii="Times New Roman" w:hAnsi="Times New Roman" w:cs="Times New Roman"/>
          <w:noProof/>
          <w:sz w:val="20"/>
          <w:szCs w:val="24"/>
          <w:lang w:val="en-US"/>
        </w:rPr>
        <w:t xml:space="preserve"> </w:t>
      </w:r>
      <w:r w:rsidR="000A1858" w:rsidRPr="00786549">
        <w:rPr>
          <w:rFonts w:ascii="Times New Roman" w:hAnsi="Times New Roman" w:cs="Times New Roman"/>
          <w:i/>
          <w:iCs/>
          <w:noProof/>
          <w:sz w:val="20"/>
          <w:szCs w:val="24"/>
          <w:lang w:val="en-US"/>
        </w:rPr>
        <w:t xml:space="preserve">Appl. </w:t>
      </w:r>
      <w:r w:rsidR="000A1858" w:rsidRPr="00697D19">
        <w:rPr>
          <w:rFonts w:ascii="Times New Roman" w:hAnsi="Times New Roman" w:cs="Times New Roman"/>
          <w:i/>
          <w:iCs/>
          <w:noProof/>
          <w:sz w:val="20"/>
          <w:szCs w:val="24"/>
        </w:rPr>
        <w:t>Surf. Sci.</w:t>
      </w:r>
      <w:r w:rsidRPr="00697D19">
        <w:rPr>
          <w:rFonts w:ascii="Times New Roman" w:hAnsi="Times New Roman" w:cs="Times New Roman"/>
          <w:noProof/>
          <w:sz w:val="20"/>
          <w:szCs w:val="24"/>
        </w:rPr>
        <w:t xml:space="preserve"> </w:t>
      </w:r>
      <w:r w:rsidRPr="00697D19">
        <w:rPr>
          <w:rFonts w:ascii="Times New Roman" w:hAnsi="Times New Roman" w:cs="Times New Roman"/>
          <w:b/>
          <w:bCs/>
          <w:noProof/>
          <w:sz w:val="20"/>
          <w:szCs w:val="24"/>
        </w:rPr>
        <w:t>2022</w:t>
      </w:r>
      <w:r w:rsidRPr="00697D19">
        <w:rPr>
          <w:rFonts w:ascii="Times New Roman" w:hAnsi="Times New Roman" w:cs="Times New Roman"/>
          <w:noProof/>
          <w:sz w:val="20"/>
          <w:szCs w:val="24"/>
        </w:rPr>
        <w:t xml:space="preserve">, </w:t>
      </w:r>
      <w:r w:rsidRPr="00697D19">
        <w:rPr>
          <w:rFonts w:ascii="Times New Roman" w:hAnsi="Times New Roman" w:cs="Times New Roman"/>
          <w:i/>
          <w:iCs/>
          <w:noProof/>
          <w:sz w:val="20"/>
          <w:szCs w:val="24"/>
        </w:rPr>
        <w:t>581</w:t>
      </w:r>
      <w:r w:rsidRPr="00697D19">
        <w:rPr>
          <w:rFonts w:ascii="Times New Roman" w:hAnsi="Times New Roman" w:cs="Times New Roman"/>
          <w:noProof/>
          <w:sz w:val="20"/>
          <w:szCs w:val="24"/>
        </w:rPr>
        <w:t>, 152202. https://doi.org/10.1016/j.apsusc.2021.152202.</w:t>
      </w:r>
    </w:p>
    <w:p w14:paraId="0C9D91D8" w14:textId="5853881B" w:rsidR="00A00339" w:rsidRPr="00EA4E1B" w:rsidRDefault="001F3740" w:rsidP="00400189">
      <w:pPr>
        <w:spacing w:after="0" w:line="240" w:lineRule="exact"/>
        <w:ind w:left="426" w:hanging="426"/>
        <w:jc w:val="both"/>
      </w:pPr>
      <w:r w:rsidRPr="00697D19">
        <w:rPr>
          <w:rFonts w:ascii="Times New Roman" w:hAnsi="Times New Roman" w:cs="Times New Roman"/>
        </w:rPr>
        <w:fldChar w:fldCharType="end"/>
      </w:r>
    </w:p>
    <w:sectPr w:rsidR="00A00339"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1F45" w14:textId="77777777" w:rsidR="007C6E5B" w:rsidRDefault="007C6E5B" w:rsidP="00EA4E1B">
      <w:pPr>
        <w:spacing w:after="0" w:line="240" w:lineRule="auto"/>
      </w:pPr>
      <w:r>
        <w:separator/>
      </w:r>
    </w:p>
  </w:endnote>
  <w:endnote w:type="continuationSeparator" w:id="0">
    <w:p w14:paraId="69D76E8A" w14:textId="77777777" w:rsidR="007C6E5B" w:rsidRDefault="007C6E5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6D80" w14:textId="77777777" w:rsidR="007C6E5B" w:rsidRDefault="007C6E5B" w:rsidP="00EA4E1B">
      <w:pPr>
        <w:spacing w:after="0" w:line="240" w:lineRule="auto"/>
      </w:pPr>
      <w:r>
        <w:separator/>
      </w:r>
    </w:p>
  </w:footnote>
  <w:footnote w:type="continuationSeparator" w:id="0">
    <w:p w14:paraId="2F62B297" w14:textId="77777777" w:rsidR="007C6E5B" w:rsidRDefault="007C6E5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31A5"/>
    <w:multiLevelType w:val="hybridMultilevel"/>
    <w:tmpl w:val="291EC864"/>
    <w:lvl w:ilvl="0" w:tplc="C5C6EF90">
      <w:numFmt w:val="bullet"/>
      <w:lvlText w:val="•"/>
      <w:lvlJc w:val="left"/>
      <w:pPr>
        <w:ind w:left="1065" w:hanging="705"/>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2A6D52"/>
    <w:multiLevelType w:val="hybridMultilevel"/>
    <w:tmpl w:val="5672BE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8F1197"/>
    <w:multiLevelType w:val="singleLevel"/>
    <w:tmpl w:val="0416000F"/>
    <w:lvl w:ilvl="0">
      <w:start w:val="1"/>
      <w:numFmt w:val="decimal"/>
      <w:lvlText w:val="%1."/>
      <w:lvlJc w:val="left"/>
      <w:pPr>
        <w:ind w:left="720" w:hanging="360"/>
      </w:pPr>
    </w:lvl>
  </w:abstractNum>
  <w:num w:numId="1" w16cid:durableId="1811439884">
    <w:abstractNumId w:val="2"/>
  </w:num>
  <w:num w:numId="2" w16cid:durableId="1154875902">
    <w:abstractNumId w:val="1"/>
  </w:num>
  <w:num w:numId="3" w16cid:durableId="71932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4EFB"/>
    <w:rsid w:val="00061A72"/>
    <w:rsid w:val="000A1858"/>
    <w:rsid w:val="000A18A2"/>
    <w:rsid w:val="000C4225"/>
    <w:rsid w:val="000D4D18"/>
    <w:rsid w:val="000E7CCF"/>
    <w:rsid w:val="000F1D24"/>
    <w:rsid w:val="00102578"/>
    <w:rsid w:val="001214CA"/>
    <w:rsid w:val="0016061F"/>
    <w:rsid w:val="00161131"/>
    <w:rsid w:val="00172ECC"/>
    <w:rsid w:val="0019358E"/>
    <w:rsid w:val="00197AA3"/>
    <w:rsid w:val="001B2023"/>
    <w:rsid w:val="001B3366"/>
    <w:rsid w:val="001C7892"/>
    <w:rsid w:val="001D1601"/>
    <w:rsid w:val="001D4CD4"/>
    <w:rsid w:val="001E443B"/>
    <w:rsid w:val="001E58A9"/>
    <w:rsid w:val="001F25B2"/>
    <w:rsid w:val="001F3740"/>
    <w:rsid w:val="001F5686"/>
    <w:rsid w:val="00213389"/>
    <w:rsid w:val="00222230"/>
    <w:rsid w:val="002415AD"/>
    <w:rsid w:val="00265AD4"/>
    <w:rsid w:val="0027003E"/>
    <w:rsid w:val="0027799F"/>
    <w:rsid w:val="002815F5"/>
    <w:rsid w:val="002A568C"/>
    <w:rsid w:val="002A5E72"/>
    <w:rsid w:val="002C1A20"/>
    <w:rsid w:val="002C2FC4"/>
    <w:rsid w:val="002E18F1"/>
    <w:rsid w:val="002F79D0"/>
    <w:rsid w:val="003263AC"/>
    <w:rsid w:val="00327B4A"/>
    <w:rsid w:val="00340B1E"/>
    <w:rsid w:val="0035503C"/>
    <w:rsid w:val="00372D22"/>
    <w:rsid w:val="003A7355"/>
    <w:rsid w:val="003A73EF"/>
    <w:rsid w:val="003B667B"/>
    <w:rsid w:val="003B7494"/>
    <w:rsid w:val="003D124C"/>
    <w:rsid w:val="003E0E9C"/>
    <w:rsid w:val="00400189"/>
    <w:rsid w:val="00402F3E"/>
    <w:rsid w:val="004035C0"/>
    <w:rsid w:val="00403A12"/>
    <w:rsid w:val="00426DD0"/>
    <w:rsid w:val="004353AD"/>
    <w:rsid w:val="00441D16"/>
    <w:rsid w:val="0044425E"/>
    <w:rsid w:val="0046318F"/>
    <w:rsid w:val="00472775"/>
    <w:rsid w:val="00480982"/>
    <w:rsid w:val="004B30FF"/>
    <w:rsid w:val="004D3EE4"/>
    <w:rsid w:val="004F3F42"/>
    <w:rsid w:val="00505EFC"/>
    <w:rsid w:val="0052112E"/>
    <w:rsid w:val="00535AC9"/>
    <w:rsid w:val="0054483F"/>
    <w:rsid w:val="005464F5"/>
    <w:rsid w:val="00566547"/>
    <w:rsid w:val="00592A9E"/>
    <w:rsid w:val="005B349B"/>
    <w:rsid w:val="005C21AE"/>
    <w:rsid w:val="005C2775"/>
    <w:rsid w:val="005D65EB"/>
    <w:rsid w:val="005E27EF"/>
    <w:rsid w:val="005E7D88"/>
    <w:rsid w:val="00604718"/>
    <w:rsid w:val="00620C80"/>
    <w:rsid w:val="00624EC0"/>
    <w:rsid w:val="00652815"/>
    <w:rsid w:val="0065559C"/>
    <w:rsid w:val="00655BB6"/>
    <w:rsid w:val="00680E0D"/>
    <w:rsid w:val="00691877"/>
    <w:rsid w:val="00697D19"/>
    <w:rsid w:val="006B0AC3"/>
    <w:rsid w:val="006B7182"/>
    <w:rsid w:val="006B7B72"/>
    <w:rsid w:val="006D473E"/>
    <w:rsid w:val="006E262F"/>
    <w:rsid w:val="006F11D1"/>
    <w:rsid w:val="006F599B"/>
    <w:rsid w:val="006F640D"/>
    <w:rsid w:val="00730445"/>
    <w:rsid w:val="007512F7"/>
    <w:rsid w:val="00751592"/>
    <w:rsid w:val="007670A0"/>
    <w:rsid w:val="00773424"/>
    <w:rsid w:val="00781685"/>
    <w:rsid w:val="00786549"/>
    <w:rsid w:val="007A6687"/>
    <w:rsid w:val="007B4B2B"/>
    <w:rsid w:val="007C6E5B"/>
    <w:rsid w:val="007C7532"/>
    <w:rsid w:val="007D2307"/>
    <w:rsid w:val="007D4010"/>
    <w:rsid w:val="007F52D2"/>
    <w:rsid w:val="008033E3"/>
    <w:rsid w:val="00825019"/>
    <w:rsid w:val="00826B4B"/>
    <w:rsid w:val="00846C30"/>
    <w:rsid w:val="00853EEB"/>
    <w:rsid w:val="00866822"/>
    <w:rsid w:val="008B067E"/>
    <w:rsid w:val="008B1683"/>
    <w:rsid w:val="008C0019"/>
    <w:rsid w:val="008C052D"/>
    <w:rsid w:val="008C1B30"/>
    <w:rsid w:val="008D721A"/>
    <w:rsid w:val="00904BCB"/>
    <w:rsid w:val="009272F1"/>
    <w:rsid w:val="00942609"/>
    <w:rsid w:val="00950D1B"/>
    <w:rsid w:val="0095378F"/>
    <w:rsid w:val="009656D9"/>
    <w:rsid w:val="00980AF2"/>
    <w:rsid w:val="009824E4"/>
    <w:rsid w:val="00987A98"/>
    <w:rsid w:val="009A0674"/>
    <w:rsid w:val="009C2F45"/>
    <w:rsid w:val="009C7CB0"/>
    <w:rsid w:val="009D6FE2"/>
    <w:rsid w:val="00A00339"/>
    <w:rsid w:val="00A17D85"/>
    <w:rsid w:val="00A20C9D"/>
    <w:rsid w:val="00A2176E"/>
    <w:rsid w:val="00A32656"/>
    <w:rsid w:val="00A32B22"/>
    <w:rsid w:val="00A46446"/>
    <w:rsid w:val="00A47095"/>
    <w:rsid w:val="00A542C2"/>
    <w:rsid w:val="00A71E24"/>
    <w:rsid w:val="00A86091"/>
    <w:rsid w:val="00A87CE8"/>
    <w:rsid w:val="00A906B5"/>
    <w:rsid w:val="00A95E16"/>
    <w:rsid w:val="00AA14E8"/>
    <w:rsid w:val="00AA182E"/>
    <w:rsid w:val="00AD3614"/>
    <w:rsid w:val="00AF0400"/>
    <w:rsid w:val="00B03288"/>
    <w:rsid w:val="00B04B08"/>
    <w:rsid w:val="00B240A0"/>
    <w:rsid w:val="00B30AEB"/>
    <w:rsid w:val="00B3142A"/>
    <w:rsid w:val="00B34421"/>
    <w:rsid w:val="00B968CD"/>
    <w:rsid w:val="00BA3538"/>
    <w:rsid w:val="00BA6A6E"/>
    <w:rsid w:val="00BF5EFC"/>
    <w:rsid w:val="00C110C0"/>
    <w:rsid w:val="00C30BE8"/>
    <w:rsid w:val="00C36F40"/>
    <w:rsid w:val="00C74D5E"/>
    <w:rsid w:val="00C76E54"/>
    <w:rsid w:val="00CE5384"/>
    <w:rsid w:val="00CF3F61"/>
    <w:rsid w:val="00CF55EB"/>
    <w:rsid w:val="00D01E7D"/>
    <w:rsid w:val="00D302AF"/>
    <w:rsid w:val="00D31433"/>
    <w:rsid w:val="00D55D5B"/>
    <w:rsid w:val="00D63ACE"/>
    <w:rsid w:val="00D65173"/>
    <w:rsid w:val="00D95D62"/>
    <w:rsid w:val="00D96135"/>
    <w:rsid w:val="00DA0708"/>
    <w:rsid w:val="00DA0E5E"/>
    <w:rsid w:val="00DB769C"/>
    <w:rsid w:val="00DC6DB6"/>
    <w:rsid w:val="00DD07EE"/>
    <w:rsid w:val="00DD1CC8"/>
    <w:rsid w:val="00DD2DE5"/>
    <w:rsid w:val="00DE303B"/>
    <w:rsid w:val="00E02A21"/>
    <w:rsid w:val="00E038AF"/>
    <w:rsid w:val="00E05D32"/>
    <w:rsid w:val="00E52DBD"/>
    <w:rsid w:val="00E531E5"/>
    <w:rsid w:val="00E559CB"/>
    <w:rsid w:val="00E61E52"/>
    <w:rsid w:val="00E75239"/>
    <w:rsid w:val="00EA4E1B"/>
    <w:rsid w:val="00EC643C"/>
    <w:rsid w:val="00F0290C"/>
    <w:rsid w:val="00F06952"/>
    <w:rsid w:val="00F3025C"/>
    <w:rsid w:val="00F30661"/>
    <w:rsid w:val="00F50A47"/>
    <w:rsid w:val="00F5309B"/>
    <w:rsid w:val="00F5319C"/>
    <w:rsid w:val="00F874FD"/>
    <w:rsid w:val="00F917DA"/>
    <w:rsid w:val="00FB6607"/>
    <w:rsid w:val="00FC47A1"/>
    <w:rsid w:val="00FD09E8"/>
    <w:rsid w:val="00FD4DF8"/>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13676C33-0660-4880-8D27-9D9CB6A1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655BB6"/>
    <w:rPr>
      <w:color w:val="0563C1" w:themeColor="hyperlink"/>
      <w:u w:val="single"/>
    </w:rPr>
  </w:style>
  <w:style w:type="character" w:styleId="MenoPendente">
    <w:name w:val="Unresolved Mention"/>
    <w:basedOn w:val="Fontepargpadro"/>
    <w:uiPriority w:val="99"/>
    <w:semiHidden/>
    <w:unhideWhenUsed/>
    <w:rsid w:val="00655BB6"/>
    <w:rPr>
      <w:color w:val="605E5C"/>
      <w:shd w:val="clear" w:color="auto" w:fill="E1DFDD"/>
    </w:rPr>
  </w:style>
  <w:style w:type="paragraph" w:styleId="PargrafodaLista">
    <w:name w:val="List Paragraph"/>
    <w:basedOn w:val="Normal"/>
    <w:uiPriority w:val="34"/>
    <w:qFormat/>
    <w:rsid w:val="006B7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3692</Words>
  <Characters>19939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Angela Sanches Rocha</cp:lastModifiedBy>
  <cp:revision>4</cp:revision>
  <dcterms:created xsi:type="dcterms:W3CDTF">2023-06-25T16:46:00Z</dcterms:created>
  <dcterms:modified xsi:type="dcterms:W3CDTF">2023-06-25T16:53:00Z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http://www.zotero.org/styles/applied-catalysis-b-environmental</vt:lpwstr>
  </property>
  <property fmtid="{D5CDD505-2E9C-101B-9397-08002B2CF9AE}" pid="9" name="Mendeley Recent Style Name 3_1">
    <vt:lpwstr>Applied Catalysis B: Environmental</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http://csl.mendeley.com/styles/471115691/revista-virtual-de-quimica</vt:lpwstr>
  </property>
  <property fmtid="{D5CDD505-2E9C-101B-9397-08002B2CF9AE}" pid="21" name="Mendeley Recent Style Name 9_1">
    <vt:lpwstr>Revista Virtual de Química</vt:lpwstr>
  </property>
  <property fmtid="{D5CDD505-2E9C-101B-9397-08002B2CF9AE}" pid="22" name="Mendeley Document_1">
    <vt:lpwstr>True</vt:lpwstr>
  </property>
  <property fmtid="{D5CDD505-2E9C-101B-9397-08002B2CF9AE}" pid="23" name="Mendeley Unique User Id_1">
    <vt:lpwstr>f66191d1-ca5d-35bf-9804-f1ebbe5a4e71</vt:lpwstr>
  </property>
  <property fmtid="{D5CDD505-2E9C-101B-9397-08002B2CF9AE}" pid="24" name="Mendeley Citation Style_1">
    <vt:lpwstr>http://csl.mendeley.com/styles/471115691/revista-virtual-de-quimica</vt:lpwstr>
  </property>
</Properties>
</file>