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Pr="00F00465" w:rsidRDefault="00866822" w:rsidP="00EA4E1B">
      <w:pPr>
        <w:pStyle w:val="BATitle"/>
        <w:spacing w:before="0" w:after="0" w:line="240" w:lineRule="auto"/>
        <w:ind w:right="0"/>
        <w:jc w:val="both"/>
        <w:rPr>
          <w:sz w:val="32"/>
        </w:rPr>
      </w:pPr>
      <w:bookmarkStart w:id="0" w:name="_Hlk134672026"/>
      <w:bookmarkStart w:id="1" w:name="_Hlk1324517"/>
      <w:bookmarkStart w:id="2" w:name="_Hlk1324670"/>
      <w:bookmarkEnd w:id="0"/>
      <w:r w:rsidRPr="00F00465">
        <w:rPr>
          <w:noProof/>
          <w:sz w:val="32"/>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4723256" w14:textId="27AB513A" w:rsidR="00DF4BB5" w:rsidRDefault="00924C63" w:rsidP="0079019F">
      <w:pPr>
        <w:pStyle w:val="BATitle"/>
        <w:spacing w:before="0" w:after="0" w:line="240" w:lineRule="auto"/>
        <w:ind w:right="0"/>
        <w:jc w:val="both"/>
        <w:rPr>
          <w:sz w:val="32"/>
        </w:rPr>
      </w:pPr>
      <w:r>
        <w:rPr>
          <w:sz w:val="32"/>
        </w:rPr>
        <w:t>Bio</w:t>
      </w:r>
      <w:r w:rsidR="002D4105">
        <w:rPr>
          <w:sz w:val="32"/>
        </w:rPr>
        <w:t>s</w:t>
      </w:r>
      <w:r>
        <w:rPr>
          <w:sz w:val="32"/>
        </w:rPr>
        <w:t xml:space="preserve">ynthesis </w:t>
      </w:r>
      <w:r w:rsidR="002D4105">
        <w:rPr>
          <w:sz w:val="32"/>
        </w:rPr>
        <w:t xml:space="preserve">and characterization </w:t>
      </w:r>
      <w:r>
        <w:rPr>
          <w:sz w:val="32"/>
        </w:rPr>
        <w:t>of</w:t>
      </w:r>
      <w:r w:rsidR="002D4105">
        <w:rPr>
          <w:sz w:val="32"/>
        </w:rPr>
        <w:t xml:space="preserve"> a novel </w:t>
      </w:r>
      <w:r w:rsidR="00B45ED7">
        <w:rPr>
          <w:sz w:val="32"/>
        </w:rPr>
        <w:t xml:space="preserve">supported </w:t>
      </w:r>
      <w:r w:rsidR="002D4105">
        <w:rPr>
          <w:sz w:val="32"/>
        </w:rPr>
        <w:t>nanocatalyst for the m</w:t>
      </w:r>
      <w:r w:rsidR="00B45ED7">
        <w:rPr>
          <w:sz w:val="32"/>
        </w:rPr>
        <w:t xml:space="preserve">ethylene </w:t>
      </w:r>
      <w:r w:rsidR="002D4105">
        <w:rPr>
          <w:sz w:val="32"/>
        </w:rPr>
        <w:t>b</w:t>
      </w:r>
      <w:r w:rsidR="00B45ED7">
        <w:rPr>
          <w:sz w:val="32"/>
        </w:rPr>
        <w:t xml:space="preserve">lue </w:t>
      </w:r>
      <w:r w:rsidR="002D4105">
        <w:rPr>
          <w:sz w:val="32"/>
        </w:rPr>
        <w:t>dye photodegradation</w:t>
      </w:r>
      <w:r w:rsidR="00AD6232">
        <w:rPr>
          <w:sz w:val="32"/>
        </w:rPr>
        <w:t xml:space="preserve">: </w:t>
      </w:r>
      <w:r w:rsidR="00AD6232" w:rsidRPr="00AD6232">
        <w:rPr>
          <w:sz w:val="32"/>
        </w:rPr>
        <w:t>Machine learning modeling and</w:t>
      </w:r>
      <w:r w:rsidR="00AD6232">
        <w:rPr>
          <w:sz w:val="32"/>
        </w:rPr>
        <w:t xml:space="preserve"> </w:t>
      </w:r>
      <w:r w:rsidR="00AD6232" w:rsidRPr="00AD6232">
        <w:rPr>
          <w:sz w:val="32"/>
        </w:rPr>
        <w:t>photocatalytic activity</w:t>
      </w:r>
    </w:p>
    <w:p w14:paraId="5D0D5120" w14:textId="77777777" w:rsidR="0079019F" w:rsidRPr="0079019F" w:rsidRDefault="0079019F" w:rsidP="0079019F">
      <w:pPr>
        <w:pStyle w:val="SemEspaamento"/>
      </w:pPr>
    </w:p>
    <w:p w14:paraId="18735493" w14:textId="2F7FAC77" w:rsidR="00EA4E1B" w:rsidRPr="00F00465" w:rsidRDefault="00B64022" w:rsidP="00A643C3">
      <w:pPr>
        <w:pStyle w:val="BBAuthorName"/>
        <w:spacing w:after="120"/>
        <w:ind w:right="0"/>
        <w:jc w:val="both"/>
        <w:rPr>
          <w:rFonts w:ascii="Times New Roman" w:hAnsi="Times New Roman"/>
          <w:sz w:val="20"/>
        </w:rPr>
      </w:pPr>
      <w:r>
        <w:rPr>
          <w:rFonts w:ascii="Times New Roman" w:hAnsi="Times New Roman"/>
          <w:sz w:val="20"/>
        </w:rPr>
        <w:t>Leandro R. Oviedo</w:t>
      </w:r>
      <w:r w:rsidR="00EA4E1B" w:rsidRPr="00F00465">
        <w:rPr>
          <w:rFonts w:ascii="Times New Roman" w:hAnsi="Times New Roman"/>
          <w:sz w:val="20"/>
          <w:vertAlign w:val="superscript"/>
        </w:rPr>
        <w:t>1</w:t>
      </w:r>
      <w:r w:rsidR="000435A1" w:rsidRPr="00E91C0A">
        <w:rPr>
          <w:rFonts w:ascii="Times New Roman" w:hAnsi="Times New Roman"/>
          <w:sz w:val="20"/>
          <w:vertAlign w:val="superscript"/>
          <w:lang w:val="pt-BR"/>
        </w:rPr>
        <w:t>*</w:t>
      </w:r>
      <w:r>
        <w:rPr>
          <w:rFonts w:ascii="Times New Roman" w:hAnsi="Times New Roman"/>
          <w:sz w:val="20"/>
        </w:rPr>
        <w:t xml:space="preserve">, </w:t>
      </w:r>
      <w:r w:rsidR="00C307E8">
        <w:rPr>
          <w:rFonts w:ascii="Times New Roman" w:hAnsi="Times New Roman"/>
          <w:sz w:val="20"/>
        </w:rPr>
        <w:t>Daniel M</w:t>
      </w:r>
      <w:r w:rsidR="00F32980">
        <w:rPr>
          <w:rFonts w:ascii="Times New Roman" w:hAnsi="Times New Roman"/>
          <w:sz w:val="20"/>
        </w:rPr>
        <w:t xml:space="preserve">oro </w:t>
      </w:r>
      <w:r w:rsidR="00C307E8">
        <w:rPr>
          <w:rFonts w:ascii="Times New Roman" w:hAnsi="Times New Roman"/>
          <w:sz w:val="20"/>
        </w:rPr>
        <w:t>Druzian</w:t>
      </w:r>
      <w:r w:rsidR="00A54C0F" w:rsidRPr="00A54C0F">
        <w:rPr>
          <w:rFonts w:ascii="Times New Roman" w:hAnsi="Times New Roman"/>
          <w:sz w:val="20"/>
          <w:vertAlign w:val="superscript"/>
        </w:rPr>
        <w:t>1</w:t>
      </w:r>
      <w:r w:rsidR="00C307E8">
        <w:rPr>
          <w:rFonts w:ascii="Times New Roman" w:hAnsi="Times New Roman"/>
          <w:sz w:val="20"/>
        </w:rPr>
        <w:t xml:space="preserve">, </w:t>
      </w:r>
      <w:r w:rsidR="00023659">
        <w:rPr>
          <w:rFonts w:ascii="Times New Roman" w:hAnsi="Times New Roman"/>
          <w:sz w:val="20"/>
        </w:rPr>
        <w:t xml:space="preserve">Lissandro </w:t>
      </w:r>
      <w:r w:rsidR="00F32980" w:rsidRPr="00F32980">
        <w:rPr>
          <w:rFonts w:ascii="Times New Roman" w:hAnsi="Times New Roman"/>
          <w:sz w:val="20"/>
        </w:rPr>
        <w:t>Dorneles Dalla Nora</w:t>
      </w:r>
      <w:r w:rsidR="00023659" w:rsidRPr="00023659">
        <w:rPr>
          <w:rFonts w:ascii="Times New Roman" w:hAnsi="Times New Roman"/>
          <w:sz w:val="20"/>
          <w:vertAlign w:val="superscript"/>
        </w:rPr>
        <w:t>1</w:t>
      </w:r>
      <w:r w:rsidR="00023659">
        <w:rPr>
          <w:rFonts w:ascii="Times New Roman" w:hAnsi="Times New Roman"/>
          <w:sz w:val="20"/>
        </w:rPr>
        <w:t xml:space="preserve">, </w:t>
      </w:r>
      <w:r>
        <w:rPr>
          <w:rFonts w:ascii="Times New Roman" w:hAnsi="Times New Roman"/>
          <w:sz w:val="20"/>
        </w:rPr>
        <w:t xml:space="preserve">William L. </w:t>
      </w:r>
      <w:r w:rsidR="000435A1">
        <w:rPr>
          <w:rFonts w:ascii="Times New Roman" w:hAnsi="Times New Roman"/>
          <w:sz w:val="20"/>
        </w:rPr>
        <w:t>d</w:t>
      </w:r>
      <w:r>
        <w:rPr>
          <w:rFonts w:ascii="Times New Roman" w:hAnsi="Times New Roman"/>
          <w:sz w:val="20"/>
        </w:rPr>
        <w:t>a Silva</w:t>
      </w:r>
      <w:r w:rsidR="00023659" w:rsidRPr="00023659">
        <w:rPr>
          <w:rFonts w:ascii="Times New Roman" w:hAnsi="Times New Roman"/>
          <w:sz w:val="20"/>
          <w:vertAlign w:val="superscript"/>
        </w:rPr>
        <w:t>1</w:t>
      </w:r>
      <w:r>
        <w:rPr>
          <w:rFonts w:ascii="Times New Roman" w:hAnsi="Times New Roman"/>
          <w:sz w:val="20"/>
        </w:rPr>
        <w:t xml:space="preserve"> </w:t>
      </w:r>
    </w:p>
    <w:p w14:paraId="56C0D87A" w14:textId="3A441764" w:rsidR="000435A1" w:rsidRDefault="00EA4E1B" w:rsidP="00AD6232">
      <w:pPr>
        <w:pStyle w:val="BCAuthorAddress"/>
        <w:spacing w:after="0"/>
        <w:ind w:right="0"/>
        <w:jc w:val="both"/>
      </w:pPr>
      <w:r w:rsidRPr="00F00465">
        <w:rPr>
          <w:vertAlign w:val="superscript"/>
        </w:rPr>
        <w:t>1</w:t>
      </w:r>
      <w:r w:rsidR="0017788B">
        <w:t>Franciscan University</w:t>
      </w:r>
      <w:r w:rsidR="00814D46">
        <w:t>,</w:t>
      </w:r>
      <w:r w:rsidR="0017788B">
        <w:t xml:space="preserve"> </w:t>
      </w:r>
      <w:r w:rsidR="00A643C3" w:rsidRPr="00A643C3">
        <w:t>Applied Nanomaterials Research Group (GPNAp),</w:t>
      </w:r>
      <w:r w:rsidR="00814D46" w:rsidRPr="00814D46">
        <w:t xml:space="preserve"> </w:t>
      </w:r>
      <w:r w:rsidR="000435A1">
        <w:t>Campus II, Building #11, Room 100C, ZIP: 97010492, Santa Maria - RS, Brazil</w:t>
      </w:r>
    </w:p>
    <w:p w14:paraId="5C972C02" w14:textId="487CB4D7" w:rsidR="005A65AF" w:rsidRPr="0079019F" w:rsidRDefault="000435A1" w:rsidP="00AD6232">
      <w:pPr>
        <w:pStyle w:val="BDAbstract"/>
        <w:spacing w:before="0" w:after="0" w:line="240" w:lineRule="exact"/>
        <w:rPr>
          <w:rFonts w:ascii="Times" w:hAnsi="Times"/>
          <w:b w:val="0"/>
          <w:bCs/>
          <w:i/>
          <w:sz w:val="20"/>
        </w:rPr>
      </w:pPr>
      <w:r w:rsidRPr="00E91C0A">
        <w:rPr>
          <w:rFonts w:ascii="Times New Roman" w:hAnsi="Times New Roman"/>
          <w:sz w:val="20"/>
          <w:vertAlign w:val="superscript"/>
        </w:rPr>
        <w:t>*</w:t>
      </w:r>
      <w:r w:rsidRPr="00A643C3">
        <w:rPr>
          <w:rFonts w:ascii="Times" w:hAnsi="Times"/>
          <w:i/>
          <w:sz w:val="20"/>
        </w:rPr>
        <w:t xml:space="preserve">Corresponding author. </w:t>
      </w:r>
      <w:r w:rsidR="0017788B" w:rsidRPr="005A65AF">
        <w:rPr>
          <w:rFonts w:ascii="Times" w:hAnsi="Times"/>
          <w:b w:val="0"/>
          <w:bCs/>
          <w:i/>
          <w:sz w:val="20"/>
        </w:rPr>
        <w:t>leandro.oviedo@ufn.edu.br</w:t>
      </w:r>
      <w:bookmarkEnd w:id="1"/>
    </w:p>
    <w:p w14:paraId="4A5DDA03" w14:textId="6419AAC7" w:rsidR="00AF0400" w:rsidRPr="00F00465" w:rsidRDefault="00A54C0F" w:rsidP="00EA4E1B">
      <w:pPr>
        <w:pStyle w:val="BDAbstract"/>
        <w:spacing w:before="0" w:after="0" w:line="240" w:lineRule="auto"/>
        <w:rPr>
          <w:rFonts w:ascii="Times New Roman" w:hAnsi="Times New Roman"/>
          <w:b w:val="0"/>
          <w:sz w:val="20"/>
        </w:rPr>
      </w:pPr>
      <w:r w:rsidRPr="00F00465">
        <w:rPr>
          <w:noProof/>
          <w:sz w:val="32"/>
        </w:rPr>
        <mc:AlternateContent>
          <mc:Choice Requires="wps">
            <w:drawing>
              <wp:inline distT="0" distB="0" distL="0" distR="0" wp14:anchorId="7596F111" wp14:editId="1BDF2AC8">
                <wp:extent cx="6507480" cy="167640"/>
                <wp:effectExtent l="0" t="0" r="7620" b="3810"/>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1383" w14:textId="4AA60AB2" w:rsidR="000435A1" w:rsidRPr="008C1B30" w:rsidRDefault="000435A1" w:rsidP="000435A1">
                            <w:pPr>
                              <w:pStyle w:val="BDAbstract"/>
                              <w:spacing w:before="0" w:after="0" w:line="240" w:lineRule="auto"/>
                              <w:jc w:val="center"/>
                              <w:rPr>
                                <w:rFonts w:cs="Helvetica"/>
                                <w:bCs/>
                                <w:sz w:val="20"/>
                                <w:lang w:val="pt-BR"/>
                              </w:rPr>
                            </w:pPr>
                            <w:r w:rsidRPr="008C1B30">
                              <w:rPr>
                                <w:rFonts w:cs="Helvetica"/>
                                <w:bCs/>
                                <w:sz w:val="20"/>
                                <w:lang w:val="pt-BR"/>
                              </w:rPr>
                              <w:t>Abstract</w:t>
                            </w:r>
                            <w:r w:rsidR="00C05D62">
                              <w:rPr>
                                <w:rFonts w:cs="Helvetica"/>
                                <w:bCs/>
                                <w:sz w:val="20"/>
                                <w:lang w:val="pt-BR"/>
                              </w:rPr>
                              <w:t>/Resumo</w:t>
                            </w:r>
                            <w:r w:rsidRPr="008C1B30">
                              <w:rPr>
                                <w:rFonts w:cs="Helvetica"/>
                                <w:bCs/>
                                <w:sz w:val="20"/>
                                <w:lang w:val="pt-BR"/>
                              </w:rPr>
                              <w:t xml:space="preserve"> </w:t>
                            </w:r>
                          </w:p>
                          <w:p w14:paraId="7638102C" w14:textId="04A73240" w:rsidR="00AF0400" w:rsidRPr="008C1B30" w:rsidRDefault="00AF0400" w:rsidP="00F307A5">
                            <w:pPr>
                              <w:pStyle w:val="SemEspaamento"/>
                              <w:jc w:val="cente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ect w14:anchorId="7596F111" id="Retângulo 4" o:spid="_x0000_s1027" style="width:512.4pt;height:1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" fillcolor="#9a0000" stroked="f" strokeweight="1pt">
                <v:textbox inset=",0,,0">
                  <w:txbxContent>
                    <w:p w14:paraId="7AF61383" w14:textId="4AA60AB2" w:rsidR="000435A1" w:rsidRPr="008C1B30" w:rsidRDefault="000435A1" w:rsidP="000435A1">
                      <w:pPr>
                        <w:pStyle w:val="BDAbstract"/>
                        <w:spacing w:before="0" w:after="0" w:line="240" w:lineRule="auto"/>
                        <w:jc w:val="center"/>
                        <w:rPr>
                          <w:rFonts w:cs="Helvetica"/>
                          <w:bCs/>
                          <w:sz w:val="20"/>
                          <w:lang w:val="pt-BR"/>
                        </w:rPr>
                      </w:pPr>
                      <w:r w:rsidRPr="008C1B30">
                        <w:rPr>
                          <w:rFonts w:cs="Helvetica"/>
                          <w:bCs/>
                          <w:sz w:val="20"/>
                          <w:lang w:val="pt-BR"/>
                        </w:rPr>
                        <w:t>Abstract</w:t>
                      </w:r>
                      <w:r w:rsidR="00C05D62">
                        <w:rPr>
                          <w:rFonts w:cs="Helvetica"/>
                          <w:bCs/>
                          <w:sz w:val="20"/>
                          <w:lang w:val="pt-BR"/>
                        </w:rPr>
                        <w:t>/Resumo</w:t>
                      </w:r>
                      <w:r w:rsidRPr="008C1B30">
                        <w:rPr>
                          <w:rFonts w:cs="Helvetica"/>
                          <w:bCs/>
                          <w:sz w:val="20"/>
                          <w:lang w:val="pt-BR"/>
                        </w:rPr>
                        <w:t xml:space="preserve"> </w:t>
                      </w:r>
                    </w:p>
                    <w:p w14:paraId="7638102C" w14:textId="04A73240" w:rsidR="00AF0400" w:rsidRPr="008C1B30" w:rsidRDefault="00AF0400" w:rsidP="00F307A5">
                      <w:pPr>
                        <w:pStyle w:val="SemEspaamento"/>
                        <w:jc w:val="center"/>
                      </w:pPr>
                    </w:p>
                  </w:txbxContent>
                </v:textbox>
                <w10:anchorlock/>
              </v:rect>
            </w:pict>
          </mc:Fallback>
        </mc:AlternateContent>
      </w:r>
    </w:p>
    <w:p w14:paraId="4DDDABC6" w14:textId="77777777" w:rsidR="00A54C0F" w:rsidRDefault="00A54C0F" w:rsidP="00EA4E1B">
      <w:pPr>
        <w:pStyle w:val="BDAbstract"/>
        <w:spacing w:before="0" w:after="0" w:line="240" w:lineRule="auto"/>
        <w:rPr>
          <w:rFonts w:ascii="Times New Roman" w:hAnsi="Times New Roman"/>
          <w:b w:val="0"/>
          <w:sz w:val="20"/>
        </w:rPr>
      </w:pPr>
    </w:p>
    <w:p w14:paraId="5DD72F8D" w14:textId="06CAB48E" w:rsidR="005346AD" w:rsidRPr="00FA1B7D" w:rsidRDefault="007F275F" w:rsidP="00EA4E1B">
      <w:pPr>
        <w:pStyle w:val="BDAbstract"/>
        <w:spacing w:before="0" w:after="0" w:line="240" w:lineRule="auto"/>
        <w:rPr>
          <w:rFonts w:ascii="Times New Roman" w:hAnsi="Times New Roman"/>
          <w:b w:val="0"/>
          <w:sz w:val="20"/>
        </w:rPr>
      </w:pPr>
      <w:r w:rsidRPr="00FA1B7D">
        <w:rPr>
          <w:rFonts w:ascii="Times New Roman" w:hAnsi="Times New Roman"/>
          <w:b w:val="0"/>
          <w:sz w:val="20"/>
        </w:rPr>
        <w:t>ABSTRACT</w:t>
      </w:r>
      <w:r w:rsidR="00EA4E1B" w:rsidRPr="00FA1B7D">
        <w:rPr>
          <w:rFonts w:ascii="Times New Roman" w:hAnsi="Times New Roman"/>
          <w:b w:val="0"/>
          <w:sz w:val="20"/>
        </w:rPr>
        <w:t xml:space="preserve"> </w:t>
      </w:r>
      <w:r w:rsidRPr="00FA1B7D">
        <w:rPr>
          <w:rFonts w:ascii="Times New Roman" w:hAnsi="Times New Roman"/>
          <w:b w:val="0"/>
          <w:sz w:val="20"/>
        </w:rPr>
        <w:t>–</w:t>
      </w:r>
      <w:r w:rsidR="00EA4E1B" w:rsidRPr="00FA1B7D">
        <w:rPr>
          <w:rFonts w:ascii="Times New Roman" w:hAnsi="Times New Roman"/>
          <w:b w:val="0"/>
          <w:sz w:val="20"/>
        </w:rPr>
        <w:t xml:space="preserve"> </w:t>
      </w:r>
      <w:r w:rsidR="0089383E" w:rsidRPr="00FA1B7D">
        <w:t xml:space="preserve"> </w:t>
      </w:r>
      <w:r w:rsidR="00AD6232">
        <w:t>T</w:t>
      </w:r>
      <w:r w:rsidR="0089383E" w:rsidRPr="00FA1B7D">
        <w:rPr>
          <w:rFonts w:ascii="Times New Roman" w:hAnsi="Times New Roman"/>
          <w:b w:val="0"/>
          <w:sz w:val="20"/>
        </w:rPr>
        <w:t>he present work aims</w:t>
      </w:r>
      <w:r w:rsidR="00B30588" w:rsidRPr="00FA1B7D">
        <w:rPr>
          <w:rFonts w:ascii="Times New Roman" w:hAnsi="Times New Roman"/>
          <w:b w:val="0"/>
          <w:sz w:val="20"/>
        </w:rPr>
        <w:t xml:space="preserve"> to evaluate the photocatalytic activity of a</w:t>
      </w:r>
      <w:r w:rsidR="004204D5" w:rsidRPr="00FA1B7D">
        <w:rPr>
          <w:rFonts w:ascii="Times New Roman" w:hAnsi="Times New Roman"/>
          <w:b w:val="0"/>
          <w:sz w:val="20"/>
        </w:rPr>
        <w:t>n</w:t>
      </w:r>
      <w:r w:rsidR="00B30588" w:rsidRPr="00FA1B7D">
        <w:rPr>
          <w:rFonts w:ascii="Times New Roman" w:hAnsi="Times New Roman"/>
          <w:b w:val="0"/>
          <w:sz w:val="20"/>
        </w:rPr>
        <w:t xml:space="preserve"> </w:t>
      </w:r>
      <w:r w:rsidR="00A57585" w:rsidRPr="00FA1B7D">
        <w:rPr>
          <w:rFonts w:ascii="Times New Roman" w:hAnsi="Times New Roman"/>
          <w:b w:val="0"/>
          <w:sz w:val="20"/>
        </w:rPr>
        <w:t>alternative</w:t>
      </w:r>
      <w:r w:rsidR="00B30588" w:rsidRPr="00FA1B7D">
        <w:rPr>
          <w:rFonts w:ascii="Times New Roman" w:hAnsi="Times New Roman"/>
          <w:b w:val="0"/>
          <w:sz w:val="20"/>
        </w:rPr>
        <w:t xml:space="preserve"> </w:t>
      </w:r>
      <w:r w:rsidR="00AD6232">
        <w:rPr>
          <w:rFonts w:ascii="Times New Roman" w:hAnsi="Times New Roman"/>
          <w:b w:val="0"/>
          <w:sz w:val="20"/>
        </w:rPr>
        <w:t>supported</w:t>
      </w:r>
      <w:r w:rsidR="00B30588" w:rsidRPr="00FA1B7D">
        <w:rPr>
          <w:rFonts w:ascii="Times New Roman" w:hAnsi="Times New Roman"/>
          <w:b w:val="0"/>
          <w:sz w:val="20"/>
        </w:rPr>
        <w:t xml:space="preserve"> nanocatalyst (CuO-NPs@nANA) and</w:t>
      </w:r>
      <w:r w:rsidR="0089383E" w:rsidRPr="00FA1B7D">
        <w:rPr>
          <w:rFonts w:ascii="Times New Roman" w:hAnsi="Times New Roman"/>
          <w:b w:val="0"/>
          <w:sz w:val="20"/>
        </w:rPr>
        <w:t xml:space="preserve"> to carry out a Machine Learning (ML) study to </w:t>
      </w:r>
      <w:r w:rsidR="00B30588" w:rsidRPr="00FA1B7D">
        <w:rPr>
          <w:rFonts w:ascii="Times New Roman" w:hAnsi="Times New Roman"/>
          <w:b w:val="0"/>
          <w:sz w:val="20"/>
        </w:rPr>
        <w:t xml:space="preserve">propose a reaction </w:t>
      </w:r>
      <w:r w:rsidR="00CD5FB0">
        <w:rPr>
          <w:rFonts w:ascii="Times New Roman" w:hAnsi="Times New Roman"/>
          <w:b w:val="0"/>
          <w:sz w:val="20"/>
        </w:rPr>
        <w:t>pathway</w:t>
      </w:r>
      <w:r w:rsidR="00B30588" w:rsidRPr="00FA1B7D">
        <w:rPr>
          <w:rFonts w:ascii="Times New Roman" w:hAnsi="Times New Roman"/>
          <w:b w:val="0"/>
          <w:sz w:val="20"/>
        </w:rPr>
        <w:t xml:space="preserve"> for the MB dye degradation</w:t>
      </w:r>
      <w:r w:rsidR="004204D5" w:rsidRPr="00FA1B7D">
        <w:rPr>
          <w:rFonts w:ascii="Times New Roman" w:hAnsi="Times New Roman"/>
          <w:b w:val="0"/>
          <w:sz w:val="20"/>
        </w:rPr>
        <w:t xml:space="preserve"> under visible light</w:t>
      </w:r>
      <w:r w:rsidR="0089383E" w:rsidRPr="00FA1B7D">
        <w:rPr>
          <w:rFonts w:ascii="Times New Roman" w:hAnsi="Times New Roman"/>
          <w:b w:val="0"/>
          <w:sz w:val="20"/>
        </w:rPr>
        <w:t xml:space="preserve">. </w:t>
      </w:r>
      <w:r w:rsidR="00B30588" w:rsidRPr="00FA1B7D">
        <w:rPr>
          <w:rFonts w:ascii="Times New Roman" w:hAnsi="Times New Roman"/>
          <w:b w:val="0"/>
          <w:sz w:val="20"/>
        </w:rPr>
        <w:t>Two</w:t>
      </w:r>
      <w:r w:rsidR="0089383E" w:rsidRPr="00FA1B7D">
        <w:rPr>
          <w:rFonts w:ascii="Times New Roman" w:hAnsi="Times New Roman"/>
          <w:b w:val="0"/>
          <w:sz w:val="20"/>
        </w:rPr>
        <w:t xml:space="preserve"> machine learning algorithms</w:t>
      </w:r>
      <w:r w:rsidR="00AD6232">
        <w:rPr>
          <w:rFonts w:ascii="Times New Roman" w:hAnsi="Times New Roman"/>
          <w:b w:val="0"/>
          <w:sz w:val="20"/>
        </w:rPr>
        <w:t xml:space="preserve"> (</w:t>
      </w:r>
      <w:r w:rsidR="007C6D98">
        <w:rPr>
          <w:rFonts w:ascii="Times New Roman" w:hAnsi="Times New Roman"/>
          <w:b w:val="0"/>
          <w:sz w:val="20"/>
        </w:rPr>
        <w:t>RF</w:t>
      </w:r>
      <w:r w:rsidR="00AD6232">
        <w:rPr>
          <w:rFonts w:ascii="Times New Roman" w:hAnsi="Times New Roman"/>
          <w:b w:val="0"/>
          <w:sz w:val="20"/>
        </w:rPr>
        <w:t xml:space="preserve"> </w:t>
      </w:r>
      <w:r w:rsidR="0089383E" w:rsidRPr="00FA1B7D">
        <w:rPr>
          <w:rFonts w:ascii="Times New Roman" w:hAnsi="Times New Roman"/>
          <w:b w:val="0"/>
          <w:sz w:val="20"/>
        </w:rPr>
        <w:t xml:space="preserve">and </w:t>
      </w:r>
      <w:r w:rsidR="007C6D98">
        <w:rPr>
          <w:rFonts w:ascii="Times New Roman" w:hAnsi="Times New Roman"/>
          <w:b w:val="0"/>
          <w:sz w:val="20"/>
        </w:rPr>
        <w:t>XGB</w:t>
      </w:r>
      <w:r w:rsidR="0089383E" w:rsidRPr="00FA1B7D">
        <w:rPr>
          <w:rFonts w:ascii="Times New Roman" w:hAnsi="Times New Roman"/>
          <w:b w:val="0"/>
          <w:sz w:val="20"/>
        </w:rPr>
        <w:t>)</w:t>
      </w:r>
      <w:r w:rsidR="00AD6232">
        <w:rPr>
          <w:rFonts w:ascii="Times New Roman" w:hAnsi="Times New Roman"/>
          <w:b w:val="0"/>
          <w:sz w:val="20"/>
        </w:rPr>
        <w:t xml:space="preserve"> </w:t>
      </w:r>
      <w:r w:rsidR="0089383E" w:rsidRPr="00FA1B7D">
        <w:rPr>
          <w:rFonts w:ascii="Times New Roman" w:hAnsi="Times New Roman"/>
          <w:b w:val="0"/>
          <w:sz w:val="20"/>
        </w:rPr>
        <w:t>were used in the regression model development</w:t>
      </w:r>
      <w:r w:rsidR="00B30588" w:rsidRPr="00FA1B7D">
        <w:rPr>
          <w:rFonts w:ascii="Times New Roman" w:hAnsi="Times New Roman"/>
          <w:b w:val="0"/>
          <w:sz w:val="20"/>
        </w:rPr>
        <w:t xml:space="preserve"> from scientific papers concerning MB degradation </w:t>
      </w:r>
      <w:r w:rsidR="00AD6232">
        <w:rPr>
          <w:rFonts w:ascii="Times New Roman" w:hAnsi="Times New Roman"/>
          <w:b w:val="0"/>
          <w:sz w:val="20"/>
        </w:rPr>
        <w:t xml:space="preserve">(by </w:t>
      </w:r>
      <w:r w:rsidR="00B30588" w:rsidRPr="00FA1B7D">
        <w:rPr>
          <w:rFonts w:ascii="Times New Roman" w:hAnsi="Times New Roman"/>
          <w:b w:val="0"/>
          <w:sz w:val="20"/>
        </w:rPr>
        <w:t>GC-MS</w:t>
      </w:r>
      <w:r w:rsidR="00AD6232">
        <w:rPr>
          <w:rFonts w:ascii="Times New Roman" w:hAnsi="Times New Roman"/>
          <w:b w:val="0"/>
          <w:sz w:val="20"/>
        </w:rPr>
        <w:t xml:space="preserve">) </w:t>
      </w:r>
      <w:r w:rsidR="00B30588" w:rsidRPr="00FA1B7D">
        <w:rPr>
          <w:rFonts w:ascii="Times New Roman" w:hAnsi="Times New Roman"/>
          <w:b w:val="0"/>
          <w:sz w:val="20"/>
        </w:rPr>
        <w:t>to identify the degradation products of the reaction. XGB</w:t>
      </w:r>
      <w:r w:rsidR="0089383E" w:rsidRPr="00FA1B7D">
        <w:rPr>
          <w:rFonts w:ascii="Times New Roman" w:hAnsi="Times New Roman"/>
          <w:b w:val="0"/>
          <w:sz w:val="20"/>
        </w:rPr>
        <w:t xml:space="preserve"> </w:t>
      </w:r>
      <w:r w:rsidR="00B30588" w:rsidRPr="00FA1B7D">
        <w:rPr>
          <w:rFonts w:ascii="Times New Roman" w:hAnsi="Times New Roman"/>
          <w:b w:val="0"/>
          <w:sz w:val="20"/>
        </w:rPr>
        <w:t>algorithm resulted in</w:t>
      </w:r>
      <w:r w:rsidR="0089383E" w:rsidRPr="00FA1B7D">
        <w:rPr>
          <w:rFonts w:ascii="Times New Roman" w:hAnsi="Times New Roman"/>
          <w:b w:val="0"/>
          <w:sz w:val="20"/>
        </w:rPr>
        <w:t xml:space="preserve"> the best predictive model (R² </w:t>
      </w:r>
      <w:r w:rsidR="00B30588" w:rsidRPr="00FA1B7D">
        <w:rPr>
          <w:rFonts w:ascii="Times New Roman" w:hAnsi="Times New Roman"/>
          <w:b w:val="0"/>
          <w:sz w:val="20"/>
        </w:rPr>
        <w:t>equals</w:t>
      </w:r>
      <w:r w:rsidR="0089383E" w:rsidRPr="00FA1B7D">
        <w:rPr>
          <w:rFonts w:ascii="Times New Roman" w:hAnsi="Times New Roman"/>
          <w:b w:val="0"/>
          <w:sz w:val="20"/>
        </w:rPr>
        <w:t xml:space="preserve"> 0.9</w:t>
      </w:r>
      <w:r w:rsidR="00B30588" w:rsidRPr="00FA1B7D">
        <w:rPr>
          <w:rFonts w:ascii="Times New Roman" w:hAnsi="Times New Roman"/>
          <w:b w:val="0"/>
          <w:sz w:val="20"/>
        </w:rPr>
        <w:t>1</w:t>
      </w:r>
      <w:r w:rsidR="0089383E" w:rsidRPr="00FA1B7D">
        <w:rPr>
          <w:rFonts w:ascii="Times New Roman" w:hAnsi="Times New Roman"/>
          <w:b w:val="0"/>
          <w:sz w:val="20"/>
        </w:rPr>
        <w:t xml:space="preserve"> and 0.9</w:t>
      </w:r>
      <w:r w:rsidR="00B30588" w:rsidRPr="00FA1B7D">
        <w:rPr>
          <w:rFonts w:ascii="Times New Roman" w:hAnsi="Times New Roman"/>
          <w:b w:val="0"/>
          <w:sz w:val="20"/>
        </w:rPr>
        <w:t>7</w:t>
      </w:r>
      <w:r w:rsidR="0089383E" w:rsidRPr="00FA1B7D">
        <w:rPr>
          <w:rFonts w:ascii="Times New Roman" w:hAnsi="Times New Roman"/>
          <w:b w:val="0"/>
          <w:sz w:val="20"/>
        </w:rPr>
        <w:t xml:space="preserve"> for training and testing, RMSE &lt; 5.0), </w:t>
      </w:r>
      <w:r w:rsidR="00B30588" w:rsidRPr="00FA1B7D">
        <w:rPr>
          <w:rFonts w:ascii="Times New Roman" w:hAnsi="Times New Roman"/>
          <w:b w:val="0"/>
          <w:sz w:val="20"/>
        </w:rPr>
        <w:t xml:space="preserve">confirming the obtention of carbon dioxide (m/z =44), water (m/z = 18) and </w:t>
      </w:r>
      <w:r w:rsidR="000C15C4" w:rsidRPr="00FA1B7D">
        <w:rPr>
          <w:rFonts w:ascii="Times New Roman" w:hAnsi="Times New Roman"/>
          <w:b w:val="0"/>
          <w:sz w:val="20"/>
        </w:rPr>
        <w:t xml:space="preserve">low-molar mass </w:t>
      </w:r>
      <w:r w:rsidR="00B30588" w:rsidRPr="00FA1B7D">
        <w:rPr>
          <w:rFonts w:ascii="Times New Roman" w:hAnsi="Times New Roman"/>
          <w:b w:val="0"/>
          <w:sz w:val="20"/>
        </w:rPr>
        <w:t>compounds at the final of MB degradation reaction.</w:t>
      </w:r>
      <w:r w:rsidR="0089383E" w:rsidRPr="00FA1B7D">
        <w:rPr>
          <w:rFonts w:ascii="Times New Roman" w:hAnsi="Times New Roman"/>
          <w:b w:val="0"/>
          <w:sz w:val="20"/>
        </w:rPr>
        <w:t xml:space="preserve"> </w:t>
      </w:r>
      <w:r w:rsidR="008B35C8" w:rsidRPr="00FA1B7D">
        <w:rPr>
          <w:rFonts w:ascii="Times New Roman" w:hAnsi="Times New Roman"/>
          <w:b w:val="0"/>
          <w:sz w:val="20"/>
        </w:rPr>
        <w:t>Moreover, 76.93</w:t>
      </w:r>
      <w:r w:rsidR="0089383E" w:rsidRPr="00FA1B7D">
        <w:rPr>
          <w:rFonts w:ascii="Times New Roman" w:hAnsi="Times New Roman"/>
          <w:b w:val="0"/>
          <w:sz w:val="20"/>
        </w:rPr>
        <w:t xml:space="preserve">% </w:t>
      </w:r>
      <w:r w:rsidR="008B35C8" w:rsidRPr="00FA1B7D">
        <w:rPr>
          <w:rFonts w:ascii="Times New Roman" w:hAnsi="Times New Roman"/>
          <w:b w:val="0"/>
          <w:sz w:val="20"/>
        </w:rPr>
        <w:t>M</w:t>
      </w:r>
      <w:r w:rsidR="0089383E" w:rsidRPr="00FA1B7D">
        <w:rPr>
          <w:rFonts w:ascii="Times New Roman" w:hAnsi="Times New Roman"/>
          <w:b w:val="0"/>
          <w:sz w:val="20"/>
        </w:rPr>
        <w:t>B removal</w:t>
      </w:r>
      <w:r w:rsidR="008B35C8" w:rsidRPr="00FA1B7D">
        <w:rPr>
          <w:rFonts w:ascii="Times New Roman" w:hAnsi="Times New Roman"/>
          <w:b w:val="0"/>
          <w:sz w:val="20"/>
        </w:rPr>
        <w:t xml:space="preserve"> was reported</w:t>
      </w:r>
      <w:r w:rsidR="0089383E" w:rsidRPr="00FA1B7D">
        <w:rPr>
          <w:rFonts w:ascii="Times New Roman" w:hAnsi="Times New Roman"/>
          <w:b w:val="0"/>
          <w:sz w:val="20"/>
        </w:rPr>
        <w:t xml:space="preserve"> at pH </w:t>
      </w:r>
      <w:r w:rsidR="008B35C8" w:rsidRPr="00FA1B7D">
        <w:rPr>
          <w:rFonts w:ascii="Times New Roman" w:hAnsi="Times New Roman"/>
          <w:b w:val="0"/>
          <w:sz w:val="20"/>
        </w:rPr>
        <w:t>10</w:t>
      </w:r>
      <w:r w:rsidR="0089383E" w:rsidRPr="00FA1B7D">
        <w:rPr>
          <w:rFonts w:ascii="Times New Roman" w:hAnsi="Times New Roman"/>
          <w:b w:val="0"/>
          <w:sz w:val="20"/>
        </w:rPr>
        <w:t>, [</w:t>
      </w:r>
      <w:r w:rsidR="008B35C8" w:rsidRPr="00FA1B7D">
        <w:rPr>
          <w:rFonts w:ascii="Times New Roman" w:hAnsi="Times New Roman"/>
          <w:b w:val="0"/>
          <w:sz w:val="20"/>
        </w:rPr>
        <w:t>M</w:t>
      </w:r>
      <w:r w:rsidR="0089383E" w:rsidRPr="00FA1B7D">
        <w:rPr>
          <w:rFonts w:ascii="Times New Roman" w:hAnsi="Times New Roman"/>
          <w:b w:val="0"/>
          <w:sz w:val="20"/>
        </w:rPr>
        <w:t>B] = 200 mg L</w:t>
      </w:r>
      <w:r w:rsidR="0089383E" w:rsidRPr="00FA1B7D">
        <w:rPr>
          <w:rFonts w:ascii="Times New Roman" w:hAnsi="Times New Roman"/>
          <w:b w:val="0"/>
          <w:sz w:val="20"/>
          <w:vertAlign w:val="superscript"/>
        </w:rPr>
        <w:t>-1</w:t>
      </w:r>
      <w:r w:rsidR="0089383E" w:rsidRPr="00FA1B7D">
        <w:rPr>
          <w:rFonts w:ascii="Times New Roman" w:hAnsi="Times New Roman"/>
          <w:b w:val="0"/>
          <w:sz w:val="20"/>
        </w:rPr>
        <w:t xml:space="preserve"> and [</w:t>
      </w:r>
      <w:r w:rsidR="008B35C8" w:rsidRPr="00FA1B7D">
        <w:rPr>
          <w:rFonts w:ascii="Times New Roman" w:hAnsi="Times New Roman"/>
          <w:b w:val="0"/>
          <w:sz w:val="20"/>
        </w:rPr>
        <w:t>CuO-NPs@</w:t>
      </w:r>
      <w:r w:rsidR="0089383E" w:rsidRPr="00FA1B7D">
        <w:rPr>
          <w:rFonts w:ascii="Times New Roman" w:hAnsi="Times New Roman"/>
          <w:b w:val="0"/>
          <w:sz w:val="20"/>
        </w:rPr>
        <w:t xml:space="preserve">nANA] = </w:t>
      </w:r>
      <w:r w:rsidR="008B35C8" w:rsidRPr="00FA1B7D">
        <w:rPr>
          <w:rFonts w:ascii="Times New Roman" w:hAnsi="Times New Roman"/>
          <w:b w:val="0"/>
          <w:sz w:val="20"/>
        </w:rPr>
        <w:t>0.</w:t>
      </w:r>
      <w:r w:rsidR="0089383E" w:rsidRPr="00FA1B7D">
        <w:rPr>
          <w:rFonts w:ascii="Times New Roman" w:hAnsi="Times New Roman"/>
          <w:b w:val="0"/>
          <w:sz w:val="20"/>
        </w:rPr>
        <w:t>5 g L</w:t>
      </w:r>
      <w:r w:rsidR="0089383E" w:rsidRPr="00FA1B7D">
        <w:rPr>
          <w:rFonts w:ascii="Times New Roman" w:hAnsi="Times New Roman"/>
          <w:b w:val="0"/>
          <w:sz w:val="20"/>
          <w:vertAlign w:val="superscript"/>
        </w:rPr>
        <w:t>-1</w:t>
      </w:r>
      <w:r w:rsidR="0089383E" w:rsidRPr="00FA1B7D">
        <w:rPr>
          <w:rFonts w:ascii="Times New Roman" w:hAnsi="Times New Roman"/>
          <w:b w:val="0"/>
          <w:sz w:val="20"/>
        </w:rPr>
        <w:t xml:space="preserve"> after 180 min under visible light</w:t>
      </w:r>
      <w:r w:rsidR="008B35C8" w:rsidRPr="00FA1B7D">
        <w:rPr>
          <w:rFonts w:ascii="Times New Roman" w:hAnsi="Times New Roman"/>
          <w:b w:val="0"/>
          <w:sz w:val="20"/>
        </w:rPr>
        <w:t xml:space="preserve">, with </w:t>
      </w:r>
      <w:r w:rsidR="008B35C8" w:rsidRPr="00575839">
        <w:rPr>
          <w:rFonts w:ascii="Times New Roman" w:hAnsi="Times New Roman"/>
          <w:b w:val="0"/>
          <w:i/>
          <w:iCs/>
          <w:sz w:val="20"/>
        </w:rPr>
        <w:t>k</w:t>
      </w:r>
      <w:r w:rsidR="008B35C8" w:rsidRPr="00FA1B7D">
        <w:rPr>
          <w:rFonts w:ascii="Times New Roman" w:hAnsi="Times New Roman"/>
          <w:b w:val="0"/>
          <w:sz w:val="20"/>
        </w:rPr>
        <w:t xml:space="preserve"> = 0.0088 min</w:t>
      </w:r>
      <w:r w:rsidR="008B35C8" w:rsidRPr="00FA1B7D">
        <w:rPr>
          <w:rFonts w:ascii="Times New Roman" w:hAnsi="Times New Roman"/>
          <w:b w:val="0"/>
          <w:sz w:val="20"/>
          <w:vertAlign w:val="superscript"/>
        </w:rPr>
        <w:t>-1</w:t>
      </w:r>
      <w:r w:rsidR="008B35C8" w:rsidRPr="00FA1B7D">
        <w:rPr>
          <w:rFonts w:ascii="Times New Roman" w:hAnsi="Times New Roman"/>
          <w:b w:val="0"/>
          <w:sz w:val="20"/>
        </w:rPr>
        <w:t xml:space="preserve">. </w:t>
      </w:r>
      <w:r w:rsidR="0089383E" w:rsidRPr="00FA1B7D">
        <w:rPr>
          <w:rFonts w:ascii="Times New Roman" w:hAnsi="Times New Roman"/>
          <w:b w:val="0"/>
          <w:sz w:val="20"/>
        </w:rPr>
        <w:t xml:space="preserve">Feature importance </w:t>
      </w:r>
      <w:r w:rsidR="000C15C4" w:rsidRPr="00FA1B7D">
        <w:rPr>
          <w:rFonts w:ascii="Times New Roman" w:hAnsi="Times New Roman"/>
          <w:b w:val="0"/>
          <w:sz w:val="20"/>
        </w:rPr>
        <w:t>study r</w:t>
      </w:r>
      <w:r w:rsidR="0089383E" w:rsidRPr="00FA1B7D">
        <w:rPr>
          <w:rFonts w:ascii="Times New Roman" w:hAnsi="Times New Roman"/>
          <w:b w:val="0"/>
          <w:sz w:val="20"/>
        </w:rPr>
        <w:t>evealed that</w:t>
      </w:r>
      <w:r w:rsidR="008B35C8" w:rsidRPr="00FA1B7D">
        <w:rPr>
          <w:rFonts w:ascii="Times New Roman" w:hAnsi="Times New Roman"/>
          <w:b w:val="0"/>
          <w:sz w:val="20"/>
        </w:rPr>
        <w:t xml:space="preserve"> the response m/w was strong</w:t>
      </w:r>
      <w:r w:rsidR="00575839">
        <w:rPr>
          <w:rFonts w:ascii="Times New Roman" w:hAnsi="Times New Roman"/>
          <w:b w:val="0"/>
          <w:sz w:val="20"/>
        </w:rPr>
        <w:t>ly</w:t>
      </w:r>
      <w:r w:rsidR="008B35C8" w:rsidRPr="00FA1B7D">
        <w:rPr>
          <w:rFonts w:ascii="Times New Roman" w:hAnsi="Times New Roman"/>
          <w:b w:val="0"/>
          <w:sz w:val="20"/>
        </w:rPr>
        <w:t xml:space="preserve"> dependent on</w:t>
      </w:r>
      <w:r w:rsidR="0089383E" w:rsidRPr="00FA1B7D">
        <w:rPr>
          <w:rFonts w:ascii="Times New Roman" w:hAnsi="Times New Roman"/>
          <w:b w:val="0"/>
          <w:sz w:val="20"/>
        </w:rPr>
        <w:t xml:space="preserve"> </w:t>
      </w:r>
      <w:r w:rsidR="008B35C8" w:rsidRPr="00FA1B7D">
        <w:rPr>
          <w:rFonts w:ascii="Times New Roman" w:hAnsi="Times New Roman"/>
          <w:b w:val="0"/>
          <w:sz w:val="20"/>
        </w:rPr>
        <w:t>pH and reaction time</w:t>
      </w:r>
      <w:r w:rsidR="0089383E" w:rsidRPr="00FA1B7D">
        <w:rPr>
          <w:rFonts w:ascii="Times New Roman" w:hAnsi="Times New Roman"/>
          <w:b w:val="0"/>
          <w:sz w:val="20"/>
        </w:rPr>
        <w:t xml:space="preserve">. Therefore, this work confirms the potentiality of machine learning algorithms to develop predictive models </w:t>
      </w:r>
      <w:r w:rsidR="008B35C8" w:rsidRPr="00FA1B7D">
        <w:rPr>
          <w:rFonts w:ascii="Times New Roman" w:hAnsi="Times New Roman"/>
          <w:b w:val="0"/>
          <w:sz w:val="20"/>
        </w:rPr>
        <w:t xml:space="preserve">for the elucidation </w:t>
      </w:r>
      <w:r w:rsidR="00575839">
        <w:rPr>
          <w:rFonts w:ascii="Times New Roman" w:hAnsi="Times New Roman"/>
          <w:b w:val="0"/>
          <w:sz w:val="20"/>
        </w:rPr>
        <w:t xml:space="preserve">of </w:t>
      </w:r>
      <w:r w:rsidR="008B35C8" w:rsidRPr="00FA1B7D">
        <w:rPr>
          <w:rFonts w:ascii="Times New Roman" w:hAnsi="Times New Roman"/>
          <w:b w:val="0"/>
          <w:sz w:val="20"/>
        </w:rPr>
        <w:t xml:space="preserve">the degradation </w:t>
      </w:r>
      <w:r w:rsidR="00CD5FB0">
        <w:rPr>
          <w:rFonts w:ascii="Times New Roman" w:hAnsi="Times New Roman"/>
          <w:b w:val="0"/>
          <w:sz w:val="20"/>
        </w:rPr>
        <w:t>reaction pathway</w:t>
      </w:r>
      <w:r w:rsidR="008B35C8" w:rsidRPr="00FA1B7D">
        <w:rPr>
          <w:rFonts w:ascii="Times New Roman" w:hAnsi="Times New Roman"/>
          <w:b w:val="0"/>
          <w:sz w:val="20"/>
        </w:rPr>
        <w:t xml:space="preserve"> of organic dye</w:t>
      </w:r>
      <w:r w:rsidR="000C15C4" w:rsidRPr="00FA1B7D">
        <w:rPr>
          <w:rFonts w:ascii="Times New Roman" w:hAnsi="Times New Roman"/>
          <w:b w:val="0"/>
          <w:sz w:val="20"/>
        </w:rPr>
        <w:t>s</w:t>
      </w:r>
      <w:r w:rsidR="008B35C8" w:rsidRPr="00FA1B7D">
        <w:rPr>
          <w:rFonts w:ascii="Times New Roman" w:hAnsi="Times New Roman"/>
          <w:b w:val="0"/>
          <w:sz w:val="20"/>
        </w:rPr>
        <w:t xml:space="preserve"> through heterogeneous photocatalysis</w:t>
      </w:r>
      <w:r w:rsidR="00575839">
        <w:rPr>
          <w:rFonts w:ascii="Times New Roman" w:hAnsi="Times New Roman"/>
          <w:b w:val="0"/>
          <w:sz w:val="20"/>
        </w:rPr>
        <w:t>.</w:t>
      </w:r>
    </w:p>
    <w:p w14:paraId="09B41B70" w14:textId="158E01A2" w:rsidR="00EA4E1B" w:rsidRPr="00FA1B7D" w:rsidRDefault="007F275F" w:rsidP="00EA4E1B">
      <w:pPr>
        <w:pStyle w:val="BDAbstract"/>
        <w:spacing w:before="0" w:after="0" w:line="240" w:lineRule="auto"/>
        <w:rPr>
          <w:rFonts w:ascii="Times New Roman" w:hAnsi="Times New Roman"/>
          <w:b w:val="0"/>
          <w:sz w:val="20"/>
        </w:rPr>
      </w:pPr>
      <w:r w:rsidRPr="00FA1B7D">
        <w:rPr>
          <w:rFonts w:ascii="Times New Roman" w:hAnsi="Times New Roman"/>
          <w:b w:val="0"/>
          <w:i/>
          <w:sz w:val="20"/>
        </w:rPr>
        <w:t>Keywords</w:t>
      </w:r>
      <w:r w:rsidR="00EA4E1B" w:rsidRPr="00FA1B7D">
        <w:rPr>
          <w:rFonts w:ascii="Times New Roman" w:hAnsi="Times New Roman"/>
          <w:b w:val="0"/>
          <w:i/>
          <w:sz w:val="20"/>
        </w:rPr>
        <w:t xml:space="preserve">: </w:t>
      </w:r>
      <w:r w:rsidRPr="00FA1B7D">
        <w:rPr>
          <w:rFonts w:ascii="Times New Roman" w:hAnsi="Times New Roman"/>
          <w:b w:val="0"/>
          <w:i/>
          <w:sz w:val="20"/>
        </w:rPr>
        <w:t>nanozeolite,</w:t>
      </w:r>
      <w:r w:rsidR="000A481C" w:rsidRPr="00FA1B7D">
        <w:rPr>
          <w:rFonts w:ascii="Times New Roman" w:hAnsi="Times New Roman"/>
          <w:b w:val="0"/>
          <w:i/>
          <w:sz w:val="20"/>
        </w:rPr>
        <w:t xml:space="preserve"> copper oxide nanoparticles,</w:t>
      </w:r>
      <w:r w:rsidRPr="00FA1B7D">
        <w:rPr>
          <w:rFonts w:ascii="Times New Roman" w:hAnsi="Times New Roman"/>
          <w:b w:val="0"/>
          <w:i/>
          <w:sz w:val="20"/>
        </w:rPr>
        <w:t xml:space="preserve"> </w:t>
      </w:r>
      <w:r w:rsidR="000A481C" w:rsidRPr="00FA1B7D">
        <w:rPr>
          <w:rFonts w:ascii="Times New Roman" w:hAnsi="Times New Roman"/>
          <w:b w:val="0"/>
          <w:i/>
          <w:sz w:val="20"/>
        </w:rPr>
        <w:t>Methylene</w:t>
      </w:r>
      <w:r w:rsidRPr="00FA1B7D">
        <w:rPr>
          <w:rFonts w:ascii="Times New Roman" w:hAnsi="Times New Roman"/>
          <w:b w:val="0"/>
          <w:i/>
          <w:sz w:val="20"/>
        </w:rPr>
        <w:t xml:space="preserve"> B</w:t>
      </w:r>
      <w:r w:rsidR="007231D8">
        <w:rPr>
          <w:rFonts w:ascii="Times New Roman" w:hAnsi="Times New Roman"/>
          <w:b w:val="0"/>
          <w:i/>
          <w:sz w:val="20"/>
        </w:rPr>
        <w:t>lue</w:t>
      </w:r>
      <w:r w:rsidRPr="00FA1B7D">
        <w:rPr>
          <w:rFonts w:ascii="Times New Roman" w:hAnsi="Times New Roman"/>
          <w:b w:val="0"/>
          <w:i/>
          <w:sz w:val="20"/>
        </w:rPr>
        <w:t xml:space="preserve">, </w:t>
      </w:r>
      <w:r w:rsidR="0089383E" w:rsidRPr="00FA1B7D">
        <w:rPr>
          <w:rFonts w:ascii="Times New Roman" w:hAnsi="Times New Roman"/>
          <w:b w:val="0"/>
          <w:i/>
          <w:sz w:val="20"/>
        </w:rPr>
        <w:t>M</w:t>
      </w:r>
      <w:r w:rsidRPr="00FA1B7D">
        <w:rPr>
          <w:rFonts w:ascii="Times New Roman" w:hAnsi="Times New Roman"/>
          <w:b w:val="0"/>
          <w:i/>
          <w:sz w:val="20"/>
        </w:rPr>
        <w:t xml:space="preserve">achine </w:t>
      </w:r>
      <w:r w:rsidR="0089383E" w:rsidRPr="00FA1B7D">
        <w:rPr>
          <w:rFonts w:ascii="Times New Roman" w:hAnsi="Times New Roman"/>
          <w:b w:val="0"/>
          <w:i/>
          <w:sz w:val="20"/>
        </w:rPr>
        <w:t>L</w:t>
      </w:r>
      <w:r w:rsidRPr="00FA1B7D">
        <w:rPr>
          <w:rFonts w:ascii="Times New Roman" w:hAnsi="Times New Roman"/>
          <w:b w:val="0"/>
          <w:i/>
          <w:sz w:val="20"/>
        </w:rPr>
        <w:t>earning, heterogeneous photocatalysis</w:t>
      </w:r>
      <w:r w:rsidR="00575839">
        <w:rPr>
          <w:rFonts w:ascii="Times New Roman" w:hAnsi="Times New Roman"/>
          <w:b w:val="0"/>
          <w:i/>
          <w:sz w:val="20"/>
        </w:rPr>
        <w:t>.</w:t>
      </w:r>
    </w:p>
    <w:p w14:paraId="5D8D4445" w14:textId="11D77547" w:rsidR="00EA4E1B" w:rsidRPr="00FA1B7D" w:rsidRDefault="00EA4E1B" w:rsidP="00EA4E1B">
      <w:pPr>
        <w:pStyle w:val="BDAbstract"/>
        <w:spacing w:before="0" w:after="0" w:line="240" w:lineRule="auto"/>
        <w:rPr>
          <w:rFonts w:ascii="Times New Roman" w:hAnsi="Times New Roman"/>
          <w:b w:val="0"/>
          <w:sz w:val="20"/>
        </w:rPr>
      </w:pPr>
    </w:p>
    <w:p w14:paraId="0F80E7D5" w14:textId="0543140A" w:rsidR="00EA4E1B" w:rsidRPr="00FA1B7D" w:rsidRDefault="007F275F" w:rsidP="00EA4E1B">
      <w:pPr>
        <w:pStyle w:val="BDAbstract"/>
        <w:spacing w:before="0" w:after="0" w:line="240" w:lineRule="auto"/>
        <w:rPr>
          <w:rFonts w:ascii="Times New Roman" w:hAnsi="Times New Roman"/>
          <w:b w:val="0"/>
          <w:sz w:val="20"/>
          <w:lang w:val="pt-BR"/>
        </w:rPr>
      </w:pPr>
      <w:r w:rsidRPr="00FA1B7D">
        <w:rPr>
          <w:rFonts w:ascii="Times New Roman" w:hAnsi="Times New Roman"/>
          <w:b w:val="0"/>
          <w:sz w:val="20"/>
          <w:lang w:val="pt-BR"/>
        </w:rPr>
        <w:t>RESUMO</w:t>
      </w:r>
      <w:r w:rsidR="00EA4E1B" w:rsidRPr="00FA1B7D">
        <w:rPr>
          <w:rFonts w:ascii="Times New Roman" w:hAnsi="Times New Roman"/>
          <w:b w:val="0"/>
          <w:sz w:val="20"/>
          <w:lang w:val="pt-BR"/>
        </w:rPr>
        <w:t xml:space="preserve"> - </w:t>
      </w:r>
      <w:r w:rsidR="00AD6232">
        <w:t>O</w:t>
      </w:r>
      <w:r w:rsidR="00A57585" w:rsidRPr="00FA1B7D">
        <w:rPr>
          <w:rFonts w:ascii="Times New Roman" w:hAnsi="Times New Roman"/>
          <w:b w:val="0"/>
          <w:sz w:val="20"/>
          <w:lang w:val="pt-BR"/>
        </w:rPr>
        <w:t xml:space="preserve"> presente trabalho visa avaliar a atividade fotocatalítica de um nanocatalisador </w:t>
      </w:r>
      <w:r w:rsidR="00AD6232">
        <w:rPr>
          <w:rFonts w:ascii="Times New Roman" w:hAnsi="Times New Roman"/>
          <w:b w:val="0"/>
          <w:sz w:val="20"/>
          <w:lang w:val="pt-BR"/>
        </w:rPr>
        <w:t>suportado</w:t>
      </w:r>
      <w:r w:rsidR="00A57585" w:rsidRPr="00FA1B7D">
        <w:rPr>
          <w:rFonts w:ascii="Times New Roman" w:hAnsi="Times New Roman"/>
          <w:b w:val="0"/>
          <w:sz w:val="20"/>
          <w:lang w:val="pt-BR"/>
        </w:rPr>
        <w:t xml:space="preserve"> alternativo (CuO-NPs@nANA) e realizar um estudo de </w:t>
      </w:r>
      <w:r w:rsidR="004204D5" w:rsidRPr="00FA1B7D">
        <w:rPr>
          <w:rFonts w:ascii="Times New Roman" w:hAnsi="Times New Roman"/>
          <w:b w:val="0"/>
          <w:sz w:val="20"/>
          <w:lang w:val="pt-BR"/>
        </w:rPr>
        <w:t>Aprendizado de Máquina</w:t>
      </w:r>
      <w:r w:rsidR="00A57585" w:rsidRPr="00FA1B7D">
        <w:rPr>
          <w:rFonts w:ascii="Times New Roman" w:hAnsi="Times New Roman"/>
          <w:b w:val="0"/>
          <w:sz w:val="20"/>
          <w:lang w:val="pt-BR"/>
        </w:rPr>
        <w:t xml:space="preserve"> (</w:t>
      </w:r>
      <w:r w:rsidR="004204D5" w:rsidRPr="00FA1B7D">
        <w:rPr>
          <w:rFonts w:ascii="Times New Roman" w:hAnsi="Times New Roman"/>
          <w:b w:val="0"/>
          <w:sz w:val="20"/>
          <w:lang w:val="pt-BR"/>
        </w:rPr>
        <w:t>AM</w:t>
      </w:r>
      <w:r w:rsidR="00A57585" w:rsidRPr="00FA1B7D">
        <w:rPr>
          <w:rFonts w:ascii="Times New Roman" w:hAnsi="Times New Roman"/>
          <w:b w:val="0"/>
          <w:sz w:val="20"/>
          <w:lang w:val="pt-BR"/>
        </w:rPr>
        <w:t>) para propor um</w:t>
      </w:r>
      <w:r w:rsidR="00CD5FB0">
        <w:rPr>
          <w:rFonts w:ascii="Times New Roman" w:hAnsi="Times New Roman"/>
          <w:b w:val="0"/>
          <w:sz w:val="20"/>
          <w:lang w:val="pt-BR"/>
        </w:rPr>
        <w:t xml:space="preserve">a rota </w:t>
      </w:r>
      <w:r w:rsidR="00A57585" w:rsidRPr="00FA1B7D">
        <w:rPr>
          <w:rFonts w:ascii="Times New Roman" w:hAnsi="Times New Roman"/>
          <w:b w:val="0"/>
          <w:sz w:val="20"/>
          <w:lang w:val="pt-BR"/>
        </w:rPr>
        <w:t>de reação para a degradação do corante MB</w:t>
      </w:r>
      <w:r w:rsidR="004204D5" w:rsidRPr="00FA1B7D">
        <w:rPr>
          <w:rFonts w:ascii="Times New Roman" w:hAnsi="Times New Roman"/>
          <w:b w:val="0"/>
          <w:sz w:val="20"/>
          <w:lang w:val="pt-BR"/>
        </w:rPr>
        <w:t xml:space="preserve"> sob luz visível</w:t>
      </w:r>
      <w:r w:rsidR="00A57585" w:rsidRPr="00FA1B7D">
        <w:rPr>
          <w:rFonts w:ascii="Times New Roman" w:hAnsi="Times New Roman"/>
          <w:b w:val="0"/>
          <w:sz w:val="20"/>
          <w:lang w:val="pt-BR"/>
        </w:rPr>
        <w:t>. Dois algoritmos de aprendizado de máquina</w:t>
      </w:r>
      <w:r w:rsidR="00AD6232">
        <w:rPr>
          <w:rFonts w:ascii="Times New Roman" w:hAnsi="Times New Roman"/>
          <w:b w:val="0"/>
          <w:sz w:val="20"/>
          <w:lang w:val="pt-BR"/>
        </w:rPr>
        <w:t xml:space="preserve"> (</w:t>
      </w:r>
      <w:r w:rsidR="007C6D98">
        <w:rPr>
          <w:rFonts w:ascii="Times New Roman" w:hAnsi="Times New Roman"/>
          <w:b w:val="0"/>
          <w:sz w:val="20"/>
          <w:lang w:val="pt-BR"/>
        </w:rPr>
        <w:t>RF</w:t>
      </w:r>
      <w:r w:rsidR="00AD6232">
        <w:rPr>
          <w:rFonts w:ascii="Times New Roman" w:hAnsi="Times New Roman"/>
          <w:b w:val="0"/>
          <w:sz w:val="20"/>
          <w:lang w:val="pt-BR"/>
        </w:rPr>
        <w:t xml:space="preserve"> </w:t>
      </w:r>
      <w:r w:rsidR="00A57585" w:rsidRPr="00FA1B7D">
        <w:rPr>
          <w:rFonts w:ascii="Times New Roman" w:hAnsi="Times New Roman"/>
          <w:b w:val="0"/>
          <w:sz w:val="20"/>
          <w:lang w:val="pt-BR"/>
        </w:rPr>
        <w:t xml:space="preserve">e </w:t>
      </w:r>
      <w:r w:rsidR="007C6D98">
        <w:rPr>
          <w:rFonts w:ascii="Times New Roman" w:hAnsi="Times New Roman"/>
          <w:b w:val="0"/>
          <w:sz w:val="20"/>
          <w:lang w:val="pt-BR"/>
        </w:rPr>
        <w:t>XGB</w:t>
      </w:r>
      <w:r w:rsidR="00A57585" w:rsidRPr="00FA1B7D">
        <w:rPr>
          <w:rFonts w:ascii="Times New Roman" w:hAnsi="Times New Roman"/>
          <w:b w:val="0"/>
          <w:sz w:val="20"/>
          <w:lang w:val="pt-BR"/>
        </w:rPr>
        <w:t>)</w:t>
      </w:r>
      <w:r w:rsidR="00AD6232">
        <w:rPr>
          <w:rFonts w:ascii="Times New Roman" w:hAnsi="Times New Roman"/>
          <w:b w:val="0"/>
          <w:sz w:val="20"/>
          <w:lang w:val="pt-BR"/>
        </w:rPr>
        <w:t xml:space="preserve"> </w:t>
      </w:r>
      <w:r w:rsidR="00A57585" w:rsidRPr="00FA1B7D">
        <w:rPr>
          <w:rFonts w:ascii="Times New Roman" w:hAnsi="Times New Roman"/>
          <w:b w:val="0"/>
          <w:sz w:val="20"/>
          <w:lang w:val="pt-BR"/>
        </w:rPr>
        <w:t xml:space="preserve">foram </w:t>
      </w:r>
      <w:r w:rsidR="004204D5" w:rsidRPr="00FA1B7D">
        <w:rPr>
          <w:rFonts w:ascii="Times New Roman" w:hAnsi="Times New Roman"/>
          <w:b w:val="0"/>
          <w:sz w:val="20"/>
          <w:lang w:val="pt-BR"/>
        </w:rPr>
        <w:t>utilizado</w:t>
      </w:r>
      <w:r w:rsidR="007C6D98">
        <w:rPr>
          <w:rFonts w:ascii="Times New Roman" w:hAnsi="Times New Roman"/>
          <w:b w:val="0"/>
          <w:sz w:val="20"/>
          <w:lang w:val="pt-BR"/>
        </w:rPr>
        <w:t>s</w:t>
      </w:r>
      <w:r w:rsidR="00A57585" w:rsidRPr="00FA1B7D">
        <w:rPr>
          <w:rFonts w:ascii="Times New Roman" w:hAnsi="Times New Roman"/>
          <w:b w:val="0"/>
          <w:sz w:val="20"/>
          <w:lang w:val="pt-BR"/>
        </w:rPr>
        <w:t xml:space="preserve"> no desenvolvimento do modelo de regressão</w:t>
      </w:r>
      <w:r w:rsidR="00AD6232">
        <w:rPr>
          <w:rFonts w:ascii="Times New Roman" w:hAnsi="Times New Roman"/>
          <w:b w:val="0"/>
          <w:sz w:val="20"/>
          <w:lang w:val="pt-BR"/>
        </w:rPr>
        <w:t xml:space="preserve"> a partir</w:t>
      </w:r>
      <w:r w:rsidR="00A57585" w:rsidRPr="00FA1B7D">
        <w:rPr>
          <w:rFonts w:ascii="Times New Roman" w:hAnsi="Times New Roman"/>
          <w:b w:val="0"/>
          <w:sz w:val="20"/>
          <w:lang w:val="pt-BR"/>
        </w:rPr>
        <w:t xml:space="preserve"> de artigos científicos sobre degradação de MB</w:t>
      </w:r>
      <w:r w:rsidR="00575839">
        <w:rPr>
          <w:rFonts w:ascii="Times New Roman" w:hAnsi="Times New Roman"/>
          <w:b w:val="0"/>
          <w:sz w:val="20"/>
          <w:lang w:val="pt-BR"/>
        </w:rPr>
        <w:t xml:space="preserve"> (por </w:t>
      </w:r>
      <w:r w:rsidR="00A57585" w:rsidRPr="00FA1B7D">
        <w:rPr>
          <w:rFonts w:ascii="Times New Roman" w:hAnsi="Times New Roman"/>
          <w:b w:val="0"/>
          <w:sz w:val="20"/>
          <w:lang w:val="pt-BR"/>
        </w:rPr>
        <w:t>GC-MS</w:t>
      </w:r>
      <w:r w:rsidR="00575839">
        <w:rPr>
          <w:rFonts w:ascii="Times New Roman" w:hAnsi="Times New Roman"/>
          <w:b w:val="0"/>
          <w:sz w:val="20"/>
          <w:lang w:val="pt-BR"/>
        </w:rPr>
        <w:t>)</w:t>
      </w:r>
      <w:r w:rsidR="00A57585" w:rsidRPr="00FA1B7D">
        <w:rPr>
          <w:rFonts w:ascii="Times New Roman" w:hAnsi="Times New Roman"/>
          <w:b w:val="0"/>
          <w:sz w:val="20"/>
          <w:lang w:val="pt-BR"/>
        </w:rPr>
        <w:t xml:space="preserve"> para identificar os produtos de degradação da reação. </w:t>
      </w:r>
      <w:r w:rsidR="004204D5" w:rsidRPr="00FA1B7D">
        <w:rPr>
          <w:rFonts w:ascii="Times New Roman" w:hAnsi="Times New Roman"/>
          <w:b w:val="0"/>
          <w:sz w:val="20"/>
          <w:lang w:val="pt-BR"/>
        </w:rPr>
        <w:t>O a</w:t>
      </w:r>
      <w:r w:rsidR="00A57585" w:rsidRPr="00FA1B7D">
        <w:rPr>
          <w:rFonts w:ascii="Times New Roman" w:hAnsi="Times New Roman"/>
          <w:b w:val="0"/>
          <w:sz w:val="20"/>
          <w:lang w:val="pt-BR"/>
        </w:rPr>
        <w:t>lgoritmo XGB resultou no melhor modelo</w:t>
      </w:r>
      <w:r w:rsidR="000C15C4" w:rsidRPr="00FA1B7D">
        <w:rPr>
          <w:rFonts w:ascii="Times New Roman" w:hAnsi="Times New Roman"/>
          <w:b w:val="0"/>
          <w:sz w:val="20"/>
          <w:lang w:val="pt-BR"/>
        </w:rPr>
        <w:t xml:space="preserve"> de</w:t>
      </w:r>
      <w:r w:rsidR="00A57585" w:rsidRPr="00FA1B7D">
        <w:rPr>
          <w:rFonts w:ascii="Times New Roman" w:hAnsi="Times New Roman"/>
          <w:b w:val="0"/>
          <w:sz w:val="20"/>
          <w:lang w:val="pt-BR"/>
        </w:rPr>
        <w:t xml:space="preserve"> </w:t>
      </w:r>
      <w:r w:rsidR="000C15C4" w:rsidRPr="00FA1B7D">
        <w:rPr>
          <w:rFonts w:ascii="Times New Roman" w:hAnsi="Times New Roman"/>
          <w:b w:val="0"/>
          <w:sz w:val="20"/>
          <w:lang w:val="pt-BR"/>
        </w:rPr>
        <w:t>predição</w:t>
      </w:r>
      <w:r w:rsidR="00A57585" w:rsidRPr="00FA1B7D">
        <w:rPr>
          <w:rFonts w:ascii="Times New Roman" w:hAnsi="Times New Roman"/>
          <w:b w:val="0"/>
          <w:sz w:val="20"/>
          <w:lang w:val="pt-BR"/>
        </w:rPr>
        <w:t xml:space="preserve"> (R² igual a 0,91 e 0,97 para </w:t>
      </w:r>
      <w:r w:rsidR="000C15C4" w:rsidRPr="00FA1B7D">
        <w:rPr>
          <w:rFonts w:ascii="Times New Roman" w:hAnsi="Times New Roman"/>
          <w:b w:val="0"/>
          <w:sz w:val="20"/>
          <w:lang w:val="pt-BR"/>
        </w:rPr>
        <w:t xml:space="preserve">dados de </w:t>
      </w:r>
      <w:r w:rsidR="00A57585" w:rsidRPr="00FA1B7D">
        <w:rPr>
          <w:rFonts w:ascii="Times New Roman" w:hAnsi="Times New Roman"/>
          <w:b w:val="0"/>
          <w:sz w:val="20"/>
          <w:lang w:val="pt-BR"/>
        </w:rPr>
        <w:t xml:space="preserve">treino e teste, RMSE &lt; 5,0), confirmando a obtenção de dióxido de carbono (m/z =44), água (m/z = 18) e compostos </w:t>
      </w:r>
      <w:r w:rsidR="000C15C4" w:rsidRPr="00FA1B7D">
        <w:rPr>
          <w:rFonts w:ascii="Times New Roman" w:hAnsi="Times New Roman"/>
          <w:b w:val="0"/>
          <w:sz w:val="20"/>
          <w:lang w:val="pt-BR"/>
        </w:rPr>
        <w:t>de baixa massa molar a</w:t>
      </w:r>
      <w:r w:rsidR="00A57585" w:rsidRPr="00FA1B7D">
        <w:rPr>
          <w:rFonts w:ascii="Times New Roman" w:hAnsi="Times New Roman"/>
          <w:b w:val="0"/>
          <w:sz w:val="20"/>
          <w:lang w:val="pt-BR"/>
        </w:rPr>
        <w:t>o final da reação de degradação do MB. Além disso, 76,93% de remoção de MB foi relatada em pH 10, [MB] = 200 mg L</w:t>
      </w:r>
      <w:r w:rsidR="00A57585" w:rsidRPr="00FA1B7D">
        <w:rPr>
          <w:rFonts w:ascii="Times New Roman" w:hAnsi="Times New Roman"/>
          <w:b w:val="0"/>
          <w:sz w:val="20"/>
          <w:vertAlign w:val="superscript"/>
          <w:lang w:val="pt-BR"/>
        </w:rPr>
        <w:t>-1</w:t>
      </w:r>
      <w:r w:rsidR="00A57585" w:rsidRPr="00FA1B7D">
        <w:rPr>
          <w:rFonts w:ascii="Times New Roman" w:hAnsi="Times New Roman"/>
          <w:b w:val="0"/>
          <w:sz w:val="20"/>
          <w:lang w:val="pt-BR"/>
        </w:rPr>
        <w:t xml:space="preserve"> e [CuO-NPs@nANA] = 0,5 g L</w:t>
      </w:r>
      <w:r w:rsidR="00A57585" w:rsidRPr="00FA1B7D">
        <w:rPr>
          <w:rFonts w:ascii="Times New Roman" w:hAnsi="Times New Roman"/>
          <w:b w:val="0"/>
          <w:sz w:val="20"/>
          <w:vertAlign w:val="superscript"/>
          <w:lang w:val="pt-BR"/>
        </w:rPr>
        <w:t>-1</w:t>
      </w:r>
      <w:r w:rsidR="00A57585" w:rsidRPr="00FA1B7D">
        <w:rPr>
          <w:rFonts w:ascii="Times New Roman" w:hAnsi="Times New Roman"/>
          <w:b w:val="0"/>
          <w:sz w:val="20"/>
          <w:lang w:val="pt-BR"/>
        </w:rPr>
        <w:t xml:space="preserve"> após 180 min sob luz visível, com</w:t>
      </w:r>
      <w:r w:rsidR="00A57585" w:rsidRPr="00FA1B7D">
        <w:rPr>
          <w:rFonts w:ascii="Times New Roman" w:hAnsi="Times New Roman"/>
          <w:b w:val="0"/>
          <w:i/>
          <w:iCs/>
          <w:sz w:val="20"/>
          <w:lang w:val="pt-BR"/>
        </w:rPr>
        <w:t xml:space="preserve"> k</w:t>
      </w:r>
      <w:r w:rsidR="00A57585" w:rsidRPr="00FA1B7D">
        <w:rPr>
          <w:rFonts w:ascii="Times New Roman" w:hAnsi="Times New Roman"/>
          <w:b w:val="0"/>
          <w:sz w:val="20"/>
          <w:lang w:val="pt-BR"/>
        </w:rPr>
        <w:t xml:space="preserve"> =</w:t>
      </w:r>
      <w:r w:rsidR="00900FDE">
        <w:rPr>
          <w:rFonts w:ascii="Times New Roman" w:hAnsi="Times New Roman"/>
          <w:b w:val="0"/>
          <w:sz w:val="20"/>
          <w:lang w:val="pt-BR"/>
        </w:rPr>
        <w:t xml:space="preserve"> </w:t>
      </w:r>
      <w:r w:rsidR="00A57585" w:rsidRPr="00FA1B7D">
        <w:rPr>
          <w:rFonts w:ascii="Times New Roman" w:hAnsi="Times New Roman"/>
          <w:b w:val="0"/>
          <w:sz w:val="20"/>
          <w:lang w:val="pt-BR"/>
        </w:rPr>
        <w:t>0,0088 min</w:t>
      </w:r>
      <w:r w:rsidR="00A57585" w:rsidRPr="00FA1B7D">
        <w:rPr>
          <w:rFonts w:ascii="Times New Roman" w:hAnsi="Times New Roman"/>
          <w:b w:val="0"/>
          <w:sz w:val="20"/>
          <w:vertAlign w:val="superscript"/>
          <w:lang w:val="pt-BR"/>
        </w:rPr>
        <w:t>-1</w:t>
      </w:r>
      <w:r w:rsidR="00A57585" w:rsidRPr="00FA1B7D">
        <w:rPr>
          <w:rFonts w:ascii="Times New Roman" w:hAnsi="Times New Roman"/>
          <w:b w:val="0"/>
          <w:sz w:val="20"/>
          <w:lang w:val="pt-BR"/>
        </w:rPr>
        <w:t xml:space="preserve">. </w:t>
      </w:r>
      <w:r w:rsidR="000C15C4" w:rsidRPr="00FA1B7D">
        <w:rPr>
          <w:rFonts w:ascii="Times New Roman" w:hAnsi="Times New Roman"/>
          <w:b w:val="0"/>
          <w:sz w:val="20"/>
          <w:lang w:val="pt-BR"/>
        </w:rPr>
        <w:t>O estudo de</w:t>
      </w:r>
      <w:r w:rsidR="00A57585" w:rsidRPr="00FA1B7D">
        <w:rPr>
          <w:rFonts w:ascii="Times New Roman" w:hAnsi="Times New Roman"/>
          <w:b w:val="0"/>
          <w:sz w:val="20"/>
          <w:lang w:val="pt-BR"/>
        </w:rPr>
        <w:t xml:space="preserve"> importância característica revelou que a resposta m/w foi fortemente dependente do pH e do tempo de reação. Portanto, este trabalho confirma a potencialidade de algoritmos de aprendizado de máquina para desenvolver modelos preditivos para a elucidação d</w:t>
      </w:r>
      <w:r w:rsidR="000C15C4" w:rsidRPr="00FA1B7D">
        <w:rPr>
          <w:rFonts w:ascii="Times New Roman" w:hAnsi="Times New Roman"/>
          <w:b w:val="0"/>
          <w:sz w:val="20"/>
          <w:lang w:val="pt-BR"/>
        </w:rPr>
        <w:t>o mecanismo</w:t>
      </w:r>
      <w:r w:rsidR="00A57585" w:rsidRPr="00FA1B7D">
        <w:rPr>
          <w:rFonts w:ascii="Times New Roman" w:hAnsi="Times New Roman"/>
          <w:b w:val="0"/>
          <w:sz w:val="20"/>
          <w:lang w:val="pt-BR"/>
        </w:rPr>
        <w:t xml:space="preserve"> de reação de degradação de corante</w:t>
      </w:r>
      <w:r w:rsidR="000C15C4" w:rsidRPr="00FA1B7D">
        <w:rPr>
          <w:rFonts w:ascii="Times New Roman" w:hAnsi="Times New Roman"/>
          <w:b w:val="0"/>
          <w:sz w:val="20"/>
          <w:lang w:val="pt-BR"/>
        </w:rPr>
        <w:t>s</w:t>
      </w:r>
      <w:r w:rsidR="00A57585" w:rsidRPr="00FA1B7D">
        <w:rPr>
          <w:rFonts w:ascii="Times New Roman" w:hAnsi="Times New Roman"/>
          <w:b w:val="0"/>
          <w:sz w:val="20"/>
          <w:lang w:val="pt-BR"/>
        </w:rPr>
        <w:t xml:space="preserve"> orgânico</w:t>
      </w:r>
      <w:r w:rsidR="000C15C4" w:rsidRPr="00FA1B7D">
        <w:rPr>
          <w:rFonts w:ascii="Times New Roman" w:hAnsi="Times New Roman"/>
          <w:b w:val="0"/>
          <w:sz w:val="20"/>
          <w:lang w:val="pt-BR"/>
        </w:rPr>
        <w:t>s</w:t>
      </w:r>
      <w:r w:rsidR="00A57585" w:rsidRPr="00FA1B7D">
        <w:rPr>
          <w:rFonts w:ascii="Times New Roman" w:hAnsi="Times New Roman"/>
          <w:b w:val="0"/>
          <w:sz w:val="20"/>
          <w:lang w:val="pt-BR"/>
        </w:rPr>
        <w:t xml:space="preserve"> por fotocatálise heterogêne</w:t>
      </w:r>
      <w:r w:rsidR="00575839">
        <w:rPr>
          <w:rFonts w:ascii="Times New Roman" w:hAnsi="Times New Roman"/>
          <w:b w:val="0"/>
          <w:sz w:val="20"/>
          <w:lang w:val="pt-BR"/>
        </w:rPr>
        <w:t>a.</w:t>
      </w:r>
    </w:p>
    <w:p w14:paraId="5F4A84E8" w14:textId="76086CE2" w:rsidR="00EA4E1B" w:rsidRPr="00FA1B7D" w:rsidRDefault="007F275F" w:rsidP="00EA4E1B">
      <w:pPr>
        <w:pStyle w:val="BDAbstract"/>
        <w:spacing w:before="0" w:after="120" w:line="240" w:lineRule="auto"/>
        <w:rPr>
          <w:rFonts w:ascii="Times New Roman" w:hAnsi="Times New Roman"/>
          <w:b w:val="0"/>
          <w:i/>
          <w:sz w:val="20"/>
          <w:lang w:val="pt-BR"/>
        </w:rPr>
      </w:pPr>
      <w:r w:rsidRPr="00FA1B7D">
        <w:rPr>
          <w:rFonts w:ascii="Times New Roman" w:hAnsi="Times New Roman"/>
          <w:b w:val="0"/>
          <w:i/>
          <w:sz w:val="20"/>
          <w:lang w:val="pt-BR"/>
        </w:rPr>
        <w:t>Palavras-chave</w:t>
      </w:r>
      <w:r w:rsidR="00EA4E1B" w:rsidRPr="00FA1B7D">
        <w:rPr>
          <w:rFonts w:ascii="Times New Roman" w:hAnsi="Times New Roman"/>
          <w:b w:val="0"/>
          <w:i/>
          <w:sz w:val="20"/>
          <w:lang w:val="pt-BR"/>
        </w:rPr>
        <w:t>:</w:t>
      </w:r>
      <w:r w:rsidR="000A481C" w:rsidRPr="00FA1B7D">
        <w:rPr>
          <w:rFonts w:ascii="Times New Roman" w:hAnsi="Times New Roman"/>
          <w:b w:val="0"/>
          <w:i/>
          <w:sz w:val="20"/>
          <w:lang w:val="pt-BR"/>
        </w:rPr>
        <w:t xml:space="preserve"> nanopartículas de óxido de cobre</w:t>
      </w:r>
      <w:r w:rsidR="00EA4E1B" w:rsidRPr="00FA1B7D">
        <w:rPr>
          <w:rFonts w:ascii="Times New Roman" w:hAnsi="Times New Roman"/>
          <w:b w:val="0"/>
          <w:i/>
          <w:sz w:val="20"/>
          <w:lang w:val="pt-BR"/>
        </w:rPr>
        <w:t xml:space="preserve"> </w:t>
      </w:r>
      <w:r w:rsidRPr="00FA1B7D">
        <w:rPr>
          <w:rFonts w:ascii="Times New Roman" w:hAnsi="Times New Roman"/>
          <w:b w:val="0"/>
          <w:i/>
          <w:sz w:val="20"/>
          <w:lang w:val="pt-BR"/>
        </w:rPr>
        <w:t xml:space="preserve">nanozeólita, </w:t>
      </w:r>
      <w:r w:rsidR="000A481C" w:rsidRPr="00FA1B7D">
        <w:rPr>
          <w:rFonts w:ascii="Times New Roman" w:hAnsi="Times New Roman"/>
          <w:b w:val="0"/>
          <w:i/>
          <w:sz w:val="20"/>
          <w:lang w:val="pt-BR"/>
        </w:rPr>
        <w:t>azul de metileno</w:t>
      </w:r>
      <w:r w:rsidRPr="00FA1B7D">
        <w:rPr>
          <w:rFonts w:ascii="Times New Roman" w:hAnsi="Times New Roman"/>
          <w:b w:val="0"/>
          <w:i/>
          <w:sz w:val="20"/>
          <w:lang w:val="pt-BR"/>
        </w:rPr>
        <w:t>, aprendizado de máquina, fotocatálise heterogênea</w:t>
      </w:r>
      <w:r w:rsidR="000A481C" w:rsidRPr="00FA1B7D">
        <w:rPr>
          <w:rFonts w:ascii="Times New Roman" w:hAnsi="Times New Roman"/>
          <w:b w:val="0"/>
          <w:i/>
          <w:sz w:val="20"/>
          <w:lang w:val="pt-BR"/>
        </w:rPr>
        <w:t>.</w:t>
      </w:r>
    </w:p>
    <w:bookmarkEnd w:id="2"/>
    <w:p w14:paraId="48D9B0C4" w14:textId="5BFC60D7" w:rsidR="00EA4E1B" w:rsidRPr="00F00465" w:rsidRDefault="00EA4E1B" w:rsidP="00EA4E1B">
      <w:pPr>
        <w:rPr>
          <w:lang w:val="en-US"/>
        </w:rPr>
        <w:sectPr w:rsidR="00EA4E1B" w:rsidRPr="00F00465"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12C19BC3" w:rsidR="00EA4E1B" w:rsidRPr="00F00465" w:rsidRDefault="00B40001" w:rsidP="00F307A5">
      <w:pPr>
        <w:pStyle w:val="Ttulo2"/>
        <w:rPr>
          <w:rFonts w:ascii="Helvetica" w:hAnsi="Helvetica" w:cs="Helvetica"/>
          <w:sz w:val="24"/>
          <w:szCs w:val="24"/>
          <w:lang w:val="en-US"/>
        </w:rPr>
      </w:pPr>
      <w:r>
        <w:rPr>
          <w:rFonts w:ascii="Helvetica" w:hAnsi="Helvetica" w:cs="Helvetica"/>
          <w:sz w:val="24"/>
          <w:szCs w:val="24"/>
          <w:lang w:val="en-US"/>
        </w:rPr>
        <w:t>Introduction</w:t>
      </w:r>
    </w:p>
    <w:p w14:paraId="065FAE30" w14:textId="71995FEE" w:rsidR="00FC7258" w:rsidRPr="004240EC" w:rsidRDefault="003170EA" w:rsidP="00F307A5">
      <w:pPr>
        <w:pStyle w:val="TAMainText"/>
        <w:ind w:firstLine="204"/>
        <w:rPr>
          <w:rFonts w:ascii="Times New Roman" w:hAnsi="Times New Roman"/>
        </w:rPr>
      </w:pPr>
      <w:r w:rsidRPr="004240EC">
        <w:rPr>
          <w:rFonts w:ascii="Times New Roman" w:hAnsi="Times New Roman"/>
        </w:rPr>
        <w:t xml:space="preserve">Worldwide, </w:t>
      </w:r>
      <w:r w:rsidR="00F32980">
        <w:rPr>
          <w:rFonts w:ascii="Times New Roman" w:hAnsi="Times New Roman"/>
        </w:rPr>
        <w:t xml:space="preserve">the </w:t>
      </w:r>
      <w:r w:rsidRPr="004240EC">
        <w:rPr>
          <w:rFonts w:ascii="Times New Roman" w:hAnsi="Times New Roman"/>
        </w:rPr>
        <w:t>textile industry is considered one of the major pollution sources of wastewater, once large amount</w:t>
      </w:r>
      <w:r w:rsidR="00F32980">
        <w:rPr>
          <w:rFonts w:ascii="Times New Roman" w:hAnsi="Times New Roman"/>
        </w:rPr>
        <w:t>s</w:t>
      </w:r>
      <w:r w:rsidRPr="004240EC">
        <w:rPr>
          <w:rFonts w:ascii="Times New Roman" w:hAnsi="Times New Roman"/>
        </w:rPr>
        <w:t xml:space="preserve"> of water and synthetic organic dyes are used in dyeing and finishing processes </w:t>
      </w:r>
      <w:r w:rsidR="00BC61C6" w:rsidRPr="004240EC">
        <w:rPr>
          <w:rFonts w:ascii="Times New Roman" w:hAnsi="Times New Roman"/>
        </w:rPr>
        <w:t>(</w:t>
      </w:r>
      <w:r w:rsidR="00093056" w:rsidRPr="004240EC">
        <w:rPr>
          <w:rFonts w:ascii="Times New Roman" w:hAnsi="Times New Roman"/>
        </w:rPr>
        <w:t>1</w:t>
      </w:r>
      <w:r w:rsidR="00BC61C6" w:rsidRPr="004240EC">
        <w:rPr>
          <w:rFonts w:ascii="Times New Roman" w:hAnsi="Times New Roman"/>
        </w:rPr>
        <w:t xml:space="preserve">). </w:t>
      </w:r>
      <w:r w:rsidRPr="004240EC">
        <w:rPr>
          <w:rFonts w:ascii="Times New Roman" w:hAnsi="Times New Roman"/>
        </w:rPr>
        <w:t xml:space="preserve">Annually, about 50,000 tons of the synthetic organic dyes produced </w:t>
      </w:r>
      <w:r w:rsidR="00F32980">
        <w:rPr>
          <w:rFonts w:ascii="Times New Roman" w:hAnsi="Times New Roman"/>
        </w:rPr>
        <w:t>are</w:t>
      </w:r>
      <w:r w:rsidRPr="004240EC">
        <w:rPr>
          <w:rFonts w:ascii="Times New Roman" w:hAnsi="Times New Roman"/>
        </w:rPr>
        <w:t xml:space="preserve"> found in wastewater, being responsible </w:t>
      </w:r>
      <w:r w:rsidR="004B64E6">
        <w:rPr>
          <w:rFonts w:ascii="Times New Roman" w:hAnsi="Times New Roman"/>
        </w:rPr>
        <w:t>for</w:t>
      </w:r>
      <w:r w:rsidRPr="004240EC">
        <w:rPr>
          <w:rFonts w:ascii="Times New Roman" w:hAnsi="Times New Roman"/>
        </w:rPr>
        <w:t xml:space="preserve"> deleterious effects to biota and aquatic life (2). Organic dyes are toxic, chemically stable and resistant to conventional physio-chemical/biological wastewater treatments due to the low biodegradability of these contaminants (3). </w:t>
      </w:r>
      <w:r w:rsidR="00BC61C6" w:rsidRPr="004240EC">
        <w:rPr>
          <w:rFonts w:ascii="Times New Roman" w:hAnsi="Times New Roman"/>
        </w:rPr>
        <w:t xml:space="preserve">For example, </w:t>
      </w:r>
      <w:r w:rsidR="00EB4F97" w:rsidRPr="004240EC">
        <w:rPr>
          <w:rFonts w:ascii="Times New Roman" w:hAnsi="Times New Roman"/>
        </w:rPr>
        <w:t>Methylene Blue (MB)</w:t>
      </w:r>
      <w:r w:rsidR="00F32980">
        <w:rPr>
          <w:rFonts w:ascii="Times New Roman" w:hAnsi="Times New Roman"/>
        </w:rPr>
        <w:t xml:space="preserve"> dye</w:t>
      </w:r>
      <w:r w:rsidR="00DD586B" w:rsidRPr="004240EC">
        <w:rPr>
          <w:rFonts w:ascii="Times New Roman" w:hAnsi="Times New Roman"/>
        </w:rPr>
        <w:t xml:space="preserve"> is thiazine cationic extensively used in textile industries as a colorant, being toxic to aquatic animals and extremely resistant to photo and biodegradation (4-5).</w:t>
      </w:r>
    </w:p>
    <w:p w14:paraId="3ECFE843" w14:textId="1307AC78" w:rsidR="00381F7D" w:rsidRPr="004240EC" w:rsidRDefault="00BC61C6" w:rsidP="00AD28EA">
      <w:pPr>
        <w:pStyle w:val="TAMainText"/>
        <w:ind w:firstLine="204"/>
        <w:rPr>
          <w:rFonts w:ascii="Times New Roman" w:hAnsi="Times New Roman"/>
        </w:rPr>
      </w:pPr>
      <w:r w:rsidRPr="004240EC">
        <w:rPr>
          <w:rFonts w:ascii="Times New Roman" w:hAnsi="Times New Roman"/>
        </w:rPr>
        <w:t xml:space="preserve">Thus, advanced </w:t>
      </w:r>
      <w:r w:rsidR="00705FA5" w:rsidRPr="004240EC">
        <w:rPr>
          <w:rFonts w:ascii="Times New Roman" w:hAnsi="Times New Roman"/>
        </w:rPr>
        <w:t xml:space="preserve">wastewater </w:t>
      </w:r>
      <w:r w:rsidRPr="004240EC">
        <w:rPr>
          <w:rFonts w:ascii="Times New Roman" w:hAnsi="Times New Roman"/>
        </w:rPr>
        <w:t>treatment</w:t>
      </w:r>
      <w:r w:rsidR="00705FA5" w:rsidRPr="004240EC">
        <w:rPr>
          <w:rFonts w:ascii="Times New Roman" w:hAnsi="Times New Roman"/>
        </w:rPr>
        <w:t xml:space="preserve">s, such as Advanced Oxidation Processes (AOPs) are required to mitigate </w:t>
      </w:r>
      <w:r w:rsidR="00F32980">
        <w:rPr>
          <w:rFonts w:ascii="Times New Roman" w:hAnsi="Times New Roman"/>
        </w:rPr>
        <w:t xml:space="preserve">the </w:t>
      </w:r>
      <w:r w:rsidR="00705FA5" w:rsidRPr="004240EC">
        <w:rPr>
          <w:rFonts w:ascii="Times New Roman" w:hAnsi="Times New Roman"/>
        </w:rPr>
        <w:t>environmental problems. Among AOPs,</w:t>
      </w:r>
      <w:r w:rsidRPr="004240EC">
        <w:rPr>
          <w:rFonts w:ascii="Times New Roman" w:hAnsi="Times New Roman"/>
        </w:rPr>
        <w:t xml:space="preserve"> heterogeneous photocatalysis</w:t>
      </w:r>
      <w:r w:rsidR="00705FA5" w:rsidRPr="004240EC">
        <w:rPr>
          <w:rFonts w:ascii="Times New Roman" w:hAnsi="Times New Roman"/>
        </w:rPr>
        <w:t xml:space="preserve"> ha</w:t>
      </w:r>
      <w:r w:rsidR="00F32980">
        <w:rPr>
          <w:rFonts w:ascii="Times New Roman" w:hAnsi="Times New Roman"/>
        </w:rPr>
        <w:t>s</w:t>
      </w:r>
      <w:r w:rsidR="00705FA5" w:rsidRPr="004240EC">
        <w:rPr>
          <w:rFonts w:ascii="Times New Roman" w:hAnsi="Times New Roman"/>
        </w:rPr>
        <w:t xml:space="preserve"> been attractive for organic pollutant degradation, mainly</w:t>
      </w:r>
      <w:r w:rsidRPr="004240EC">
        <w:rPr>
          <w:rFonts w:ascii="Times New Roman" w:hAnsi="Times New Roman"/>
        </w:rPr>
        <w:t xml:space="preserve"> due to the </w:t>
      </w:r>
      <w:r w:rsidR="00705FA5" w:rsidRPr="004240EC">
        <w:rPr>
          <w:rFonts w:ascii="Times New Roman" w:hAnsi="Times New Roman"/>
        </w:rPr>
        <w:t>simple</w:t>
      </w:r>
      <w:r w:rsidRPr="004240EC">
        <w:rPr>
          <w:rFonts w:ascii="Times New Roman" w:hAnsi="Times New Roman"/>
        </w:rPr>
        <w:t xml:space="preserve"> operation, versatility and high efficiency in the removal of organic </w:t>
      </w:r>
      <w:r w:rsidR="00705FA5" w:rsidRPr="004240EC">
        <w:rPr>
          <w:rFonts w:ascii="Times New Roman" w:hAnsi="Times New Roman"/>
        </w:rPr>
        <w:t>dyes</w:t>
      </w:r>
      <w:r w:rsidRPr="004240EC">
        <w:rPr>
          <w:rFonts w:ascii="Times New Roman" w:hAnsi="Times New Roman"/>
        </w:rPr>
        <w:t xml:space="preserve"> from aqueous solutions (</w:t>
      </w:r>
      <w:r w:rsidR="00705FA5" w:rsidRPr="004240EC">
        <w:rPr>
          <w:rFonts w:ascii="Times New Roman" w:hAnsi="Times New Roman"/>
        </w:rPr>
        <w:t>6</w:t>
      </w:r>
      <w:r w:rsidRPr="004240EC">
        <w:rPr>
          <w:rFonts w:ascii="Times New Roman" w:hAnsi="Times New Roman"/>
        </w:rPr>
        <w:t>)</w:t>
      </w:r>
      <w:r w:rsidR="00705FA5" w:rsidRPr="004240EC">
        <w:rPr>
          <w:rFonts w:ascii="Times New Roman" w:hAnsi="Times New Roman"/>
        </w:rPr>
        <w:t xml:space="preserve">. Heterogeneous photocatalysis involves the reaction between the organic pollutant (e.g., MB dye) and reactive species of oxygen (ROS) generated in the process, mainly the hydroxyl radical (●OH), in the presence of a catalyst under UV or visible radiation (7). </w:t>
      </w:r>
      <w:r w:rsidR="007E49C2" w:rsidRPr="004240EC">
        <w:rPr>
          <w:rFonts w:ascii="Times New Roman" w:hAnsi="Times New Roman"/>
        </w:rPr>
        <w:t xml:space="preserve">Alternative nanocatalysts have </w:t>
      </w:r>
      <w:r w:rsidR="00705FA5" w:rsidRPr="004240EC">
        <w:rPr>
          <w:rFonts w:ascii="Times New Roman" w:hAnsi="Times New Roman"/>
        </w:rPr>
        <w:t>been encouraging new research o</w:t>
      </w:r>
      <w:r w:rsidR="00F32980">
        <w:rPr>
          <w:rFonts w:ascii="Times New Roman" w:hAnsi="Times New Roman"/>
        </w:rPr>
        <w:t xml:space="preserve">n the </w:t>
      </w:r>
      <w:r w:rsidR="00705FA5" w:rsidRPr="004240EC">
        <w:rPr>
          <w:rFonts w:ascii="Times New Roman" w:hAnsi="Times New Roman"/>
        </w:rPr>
        <w:t>photocatalytic degradation of dyes, especially</w:t>
      </w:r>
      <w:r w:rsidR="007E49C2" w:rsidRPr="004240EC">
        <w:rPr>
          <w:rFonts w:ascii="Times New Roman" w:hAnsi="Times New Roman"/>
        </w:rPr>
        <w:t xml:space="preserve"> due to their special properties (</w:t>
      </w:r>
      <w:r w:rsidR="00F307A5" w:rsidRPr="004240EC">
        <w:rPr>
          <w:rFonts w:ascii="Times New Roman" w:hAnsi="Times New Roman"/>
        </w:rPr>
        <w:t>e.g.,</w:t>
      </w:r>
      <w:r w:rsidR="007E49C2" w:rsidRPr="004240EC">
        <w:rPr>
          <w:rFonts w:ascii="Times New Roman" w:hAnsi="Times New Roman"/>
        </w:rPr>
        <w:t xml:space="preserve"> high surface </w:t>
      </w:r>
      <w:r w:rsidR="007E49C2" w:rsidRPr="004240EC">
        <w:rPr>
          <w:rFonts w:ascii="Times New Roman" w:hAnsi="Times New Roman"/>
        </w:rPr>
        <w:lastRenderedPageBreak/>
        <w:t>area and porosity)</w:t>
      </w:r>
      <w:r w:rsidR="00F32980">
        <w:rPr>
          <w:rFonts w:ascii="Times New Roman" w:hAnsi="Times New Roman"/>
        </w:rPr>
        <w:t xml:space="preserve"> </w:t>
      </w:r>
      <w:r w:rsidR="00705FA5" w:rsidRPr="004240EC">
        <w:rPr>
          <w:rFonts w:ascii="Times New Roman" w:hAnsi="Times New Roman"/>
        </w:rPr>
        <w:t>and relative</w:t>
      </w:r>
      <w:r w:rsidR="00F32980">
        <w:rPr>
          <w:rFonts w:ascii="Times New Roman" w:hAnsi="Times New Roman"/>
        </w:rPr>
        <w:t>ly</w:t>
      </w:r>
      <w:r w:rsidR="00705FA5" w:rsidRPr="004240EC">
        <w:rPr>
          <w:rFonts w:ascii="Times New Roman" w:hAnsi="Times New Roman"/>
        </w:rPr>
        <w:t xml:space="preserve"> low-cost of production </w:t>
      </w:r>
      <w:r w:rsidR="007E49C2" w:rsidRPr="004240EC">
        <w:rPr>
          <w:rFonts w:ascii="Times New Roman" w:hAnsi="Times New Roman"/>
        </w:rPr>
        <w:t>(</w:t>
      </w:r>
      <w:r w:rsidR="000E38E8" w:rsidRPr="004240EC">
        <w:rPr>
          <w:rFonts w:ascii="Times New Roman" w:hAnsi="Times New Roman"/>
        </w:rPr>
        <w:t>8</w:t>
      </w:r>
      <w:r w:rsidR="007E49C2" w:rsidRPr="004240EC">
        <w:rPr>
          <w:rFonts w:ascii="Times New Roman" w:hAnsi="Times New Roman"/>
        </w:rPr>
        <w:t xml:space="preserve">). For example, </w:t>
      </w:r>
      <w:r w:rsidR="00532131" w:rsidRPr="004240EC">
        <w:rPr>
          <w:rFonts w:ascii="Times New Roman" w:hAnsi="Times New Roman"/>
        </w:rPr>
        <w:t xml:space="preserve">copper oxide nanoparticles (CuO-NPs) supported onto </w:t>
      </w:r>
      <w:r w:rsidR="007E49C2" w:rsidRPr="004240EC">
        <w:rPr>
          <w:rFonts w:ascii="Times New Roman" w:hAnsi="Times New Roman"/>
        </w:rPr>
        <w:t>low</w:t>
      </w:r>
      <w:r w:rsidR="00532131" w:rsidRPr="004240EC">
        <w:rPr>
          <w:rFonts w:ascii="Times New Roman" w:hAnsi="Times New Roman"/>
        </w:rPr>
        <w:t>-</w:t>
      </w:r>
      <w:r w:rsidR="007E49C2" w:rsidRPr="004240EC">
        <w:rPr>
          <w:rFonts w:ascii="Times New Roman" w:hAnsi="Times New Roman"/>
        </w:rPr>
        <w:t>silica nanozeolites</w:t>
      </w:r>
      <w:r w:rsidR="00532131" w:rsidRPr="004240EC">
        <w:rPr>
          <w:rFonts w:ascii="Times New Roman" w:hAnsi="Times New Roman"/>
        </w:rPr>
        <w:t xml:space="preserve"> </w:t>
      </w:r>
      <w:r w:rsidR="007E49C2" w:rsidRPr="004240EC">
        <w:rPr>
          <w:rFonts w:ascii="Times New Roman" w:hAnsi="Times New Roman"/>
        </w:rPr>
        <w:t>have been used for the cationic dye photodegradation (</w:t>
      </w:r>
      <w:r w:rsidR="00532131" w:rsidRPr="004240EC">
        <w:rPr>
          <w:rFonts w:ascii="Times New Roman" w:hAnsi="Times New Roman"/>
        </w:rPr>
        <w:t>9</w:t>
      </w:r>
      <w:r w:rsidR="007E49C2" w:rsidRPr="004240EC">
        <w:rPr>
          <w:rFonts w:ascii="Times New Roman" w:hAnsi="Times New Roman"/>
        </w:rPr>
        <w:t>).</w:t>
      </w:r>
      <w:r w:rsidR="000E38E8" w:rsidRPr="004240EC">
        <w:rPr>
          <w:rFonts w:ascii="Times New Roman" w:hAnsi="Times New Roman"/>
        </w:rPr>
        <w:t xml:space="preserve"> Studies reported CuO-NPs as a p-type semiconductor with narrow band</w:t>
      </w:r>
      <w:r w:rsidR="00F32980">
        <w:rPr>
          <w:rFonts w:ascii="Times New Roman" w:hAnsi="Times New Roman"/>
        </w:rPr>
        <w:t xml:space="preserve"> </w:t>
      </w:r>
      <w:r w:rsidR="000E38E8" w:rsidRPr="004240EC">
        <w:rPr>
          <w:rFonts w:ascii="Times New Roman" w:hAnsi="Times New Roman"/>
        </w:rPr>
        <w:t>gap energy (E</w:t>
      </w:r>
      <w:r w:rsidR="000E38E8" w:rsidRPr="004240EC">
        <w:rPr>
          <w:rFonts w:ascii="Times New Roman" w:hAnsi="Times New Roman"/>
          <w:vertAlign w:val="subscript"/>
        </w:rPr>
        <w:t>g</w:t>
      </w:r>
      <w:r w:rsidR="000E38E8" w:rsidRPr="004240EC">
        <w:rPr>
          <w:rFonts w:ascii="Times New Roman" w:hAnsi="Times New Roman"/>
        </w:rPr>
        <w:t xml:space="preserve"> ~ 1.2-1.7 eV), low toxicity and cost-effective when obtained by biogenic synthesis (</w:t>
      </w:r>
      <w:r w:rsidR="00532131" w:rsidRPr="004240EC">
        <w:rPr>
          <w:rFonts w:ascii="Times New Roman" w:hAnsi="Times New Roman"/>
        </w:rPr>
        <w:t>10-11</w:t>
      </w:r>
      <w:r w:rsidR="000E38E8" w:rsidRPr="004240EC">
        <w:rPr>
          <w:rFonts w:ascii="Times New Roman" w:hAnsi="Times New Roman"/>
        </w:rPr>
        <w:t xml:space="preserve">). Moreover, about 94% of MB removal was </w:t>
      </w:r>
      <w:r w:rsidR="00381F7D" w:rsidRPr="004240EC">
        <w:rPr>
          <w:rFonts w:ascii="Times New Roman" w:hAnsi="Times New Roman"/>
        </w:rPr>
        <w:t xml:space="preserve">reported in the literature, in which CuO-NPs supported onto nanozeolite X </w:t>
      </w:r>
      <w:r w:rsidR="00F32980">
        <w:rPr>
          <w:rFonts w:ascii="Times New Roman" w:hAnsi="Times New Roman"/>
        </w:rPr>
        <w:t>was</w:t>
      </w:r>
      <w:r w:rsidR="00381F7D" w:rsidRPr="004240EC">
        <w:rPr>
          <w:rFonts w:ascii="Times New Roman" w:hAnsi="Times New Roman"/>
        </w:rPr>
        <w:t xml:space="preserve"> used as </w:t>
      </w:r>
      <w:r w:rsidR="00F32980">
        <w:rPr>
          <w:rFonts w:ascii="Times New Roman" w:hAnsi="Times New Roman"/>
        </w:rPr>
        <w:t xml:space="preserve">a </w:t>
      </w:r>
      <w:r w:rsidR="00381F7D" w:rsidRPr="004240EC">
        <w:rPr>
          <w:rFonts w:ascii="Times New Roman" w:hAnsi="Times New Roman"/>
        </w:rPr>
        <w:t>photocatalyst</w:t>
      </w:r>
      <w:r w:rsidR="00B26CF4" w:rsidRPr="004240EC">
        <w:rPr>
          <w:rFonts w:ascii="Times New Roman" w:hAnsi="Times New Roman"/>
        </w:rPr>
        <w:t xml:space="preserve"> (12)</w:t>
      </w:r>
      <w:r w:rsidR="00381F7D" w:rsidRPr="004240EC">
        <w:rPr>
          <w:rFonts w:ascii="Times New Roman" w:hAnsi="Times New Roman"/>
        </w:rPr>
        <w:t>. Other studies confirmed that CuO-NPs supported onto nanozeolite X was able to retain 95% of the initial photocatalytic activity after 4 cycles of heterogenous photocatalysis under solar radiation for the removal of MB in the presence of another cationic dye, rhodamine B (RhB)</w:t>
      </w:r>
      <w:r w:rsidR="00B26CF4" w:rsidRPr="004240EC">
        <w:rPr>
          <w:rFonts w:ascii="Times New Roman" w:hAnsi="Times New Roman"/>
        </w:rPr>
        <w:t xml:space="preserve"> (13)</w:t>
      </w:r>
      <w:r w:rsidR="00381F7D" w:rsidRPr="004240EC">
        <w:rPr>
          <w:rFonts w:ascii="Times New Roman" w:hAnsi="Times New Roman"/>
        </w:rPr>
        <w:t xml:space="preserve">. </w:t>
      </w:r>
    </w:p>
    <w:p w14:paraId="3268835B" w14:textId="49785D33" w:rsidR="007E49C2" w:rsidRPr="004240EC" w:rsidRDefault="00381F7D" w:rsidP="00AD28EA">
      <w:pPr>
        <w:pStyle w:val="TAMainText"/>
        <w:ind w:firstLine="204"/>
        <w:rPr>
          <w:rFonts w:ascii="Times New Roman" w:hAnsi="Times New Roman"/>
        </w:rPr>
      </w:pPr>
      <w:r w:rsidRPr="004240EC">
        <w:rPr>
          <w:rFonts w:ascii="Times New Roman" w:hAnsi="Times New Roman"/>
        </w:rPr>
        <w:t xml:space="preserve">Despite the high efficiency informed in the mentioned works, few studies involving an eco-friendly CuO-NPs@nanozeolite nanocatalyst were found in the literature. Also, the elucidation of the </w:t>
      </w:r>
      <w:r w:rsidR="00F32980" w:rsidRPr="00F32980">
        <w:rPr>
          <w:rFonts w:ascii="Times New Roman" w:hAnsi="Times New Roman"/>
        </w:rPr>
        <w:t>degradation mechanism</w:t>
      </w:r>
      <w:r w:rsidRPr="004240EC">
        <w:rPr>
          <w:rFonts w:ascii="Times New Roman" w:hAnsi="Times New Roman"/>
        </w:rPr>
        <w:t xml:space="preserve"> of MB dye in heterogenous photocatalysis is required </w:t>
      </w:r>
      <w:r w:rsidR="00AF0B43">
        <w:rPr>
          <w:rFonts w:ascii="Times New Roman" w:hAnsi="Times New Roman"/>
        </w:rPr>
        <w:t xml:space="preserve">before </w:t>
      </w:r>
      <w:r w:rsidRPr="004240EC">
        <w:rPr>
          <w:rFonts w:ascii="Times New Roman" w:hAnsi="Times New Roman"/>
        </w:rPr>
        <w:t>scale-up. However</w:t>
      </w:r>
      <w:r w:rsidR="007E49C2" w:rsidRPr="004240EC">
        <w:rPr>
          <w:rFonts w:ascii="Times New Roman" w:hAnsi="Times New Roman"/>
        </w:rPr>
        <w:t xml:space="preserve"> experimental procedures </w:t>
      </w:r>
      <w:r w:rsidRPr="004240EC">
        <w:rPr>
          <w:rFonts w:ascii="Times New Roman" w:hAnsi="Times New Roman"/>
        </w:rPr>
        <w:t xml:space="preserve">to define a generic </w:t>
      </w:r>
      <w:r w:rsidR="00CD5FB0">
        <w:rPr>
          <w:rFonts w:ascii="Times New Roman" w:hAnsi="Times New Roman"/>
        </w:rPr>
        <w:t>reaction pathway</w:t>
      </w:r>
      <w:r w:rsidRPr="004240EC">
        <w:rPr>
          <w:rFonts w:ascii="Times New Roman" w:hAnsi="Times New Roman"/>
        </w:rPr>
        <w:t xml:space="preserve"> </w:t>
      </w:r>
      <w:r w:rsidR="007E49C2" w:rsidRPr="004240EC">
        <w:rPr>
          <w:rFonts w:ascii="Times New Roman" w:hAnsi="Times New Roman"/>
        </w:rPr>
        <w:t>can be time and cost-consuming, requiring the use of alternative tools, such as computational tools</w:t>
      </w:r>
      <w:r w:rsidRPr="004240EC">
        <w:rPr>
          <w:rFonts w:ascii="Times New Roman" w:hAnsi="Times New Roman"/>
        </w:rPr>
        <w:t xml:space="preserve"> </w:t>
      </w:r>
      <w:r w:rsidR="00C102CF">
        <w:rPr>
          <w:rFonts w:ascii="Times New Roman" w:hAnsi="Times New Roman"/>
        </w:rPr>
        <w:t xml:space="preserve">based on decision trees </w:t>
      </w:r>
      <w:r w:rsidRPr="004240EC">
        <w:rPr>
          <w:rFonts w:ascii="Times New Roman" w:hAnsi="Times New Roman"/>
        </w:rPr>
        <w:t xml:space="preserve">(e.g., </w:t>
      </w:r>
      <w:r w:rsidR="005005F9" w:rsidRPr="004240EC">
        <w:rPr>
          <w:rFonts w:ascii="Times New Roman" w:hAnsi="Times New Roman"/>
        </w:rPr>
        <w:t xml:space="preserve">Xtreme </w:t>
      </w:r>
      <w:r w:rsidRPr="004240EC">
        <w:rPr>
          <w:rFonts w:ascii="Times New Roman" w:hAnsi="Times New Roman"/>
        </w:rPr>
        <w:t>Gradient Boosting – XGB, and</w:t>
      </w:r>
      <w:r w:rsidR="000F688C">
        <w:rPr>
          <w:rFonts w:ascii="Times New Roman" w:hAnsi="Times New Roman"/>
        </w:rPr>
        <w:t xml:space="preserve"> Random Forest </w:t>
      </w:r>
      <w:r w:rsidRPr="004240EC">
        <w:rPr>
          <w:rFonts w:ascii="Times New Roman" w:hAnsi="Times New Roman"/>
        </w:rPr>
        <w:t xml:space="preserve">– </w:t>
      </w:r>
      <w:r w:rsidR="000F688C">
        <w:rPr>
          <w:rFonts w:ascii="Times New Roman" w:hAnsi="Times New Roman"/>
        </w:rPr>
        <w:t>RF</w:t>
      </w:r>
      <w:r w:rsidRPr="004240EC">
        <w:rPr>
          <w:rFonts w:ascii="Times New Roman" w:hAnsi="Times New Roman"/>
        </w:rPr>
        <w:t xml:space="preserve"> algorithms)</w:t>
      </w:r>
      <w:r w:rsidR="00B26CF4" w:rsidRPr="004240EC">
        <w:rPr>
          <w:rFonts w:ascii="Times New Roman" w:hAnsi="Times New Roman"/>
        </w:rPr>
        <w:t xml:space="preserve"> (14</w:t>
      </w:r>
      <w:r w:rsidR="0013548F" w:rsidRPr="004240EC">
        <w:rPr>
          <w:rFonts w:ascii="Times New Roman" w:hAnsi="Times New Roman"/>
        </w:rPr>
        <w:t>-15</w:t>
      </w:r>
      <w:r w:rsidR="00B26CF4" w:rsidRPr="004240EC">
        <w:rPr>
          <w:rFonts w:ascii="Times New Roman" w:hAnsi="Times New Roman"/>
        </w:rPr>
        <w:t>)</w:t>
      </w:r>
      <w:r w:rsidR="007E49C2" w:rsidRPr="004240EC">
        <w:rPr>
          <w:rFonts w:ascii="Times New Roman" w:hAnsi="Times New Roman"/>
        </w:rPr>
        <w:t>.</w:t>
      </w:r>
    </w:p>
    <w:p w14:paraId="6A944257" w14:textId="6CD202A7" w:rsidR="00FC7258" w:rsidRPr="004240EC" w:rsidRDefault="00CE31CC" w:rsidP="00F307A5">
      <w:pPr>
        <w:pStyle w:val="TAMainText"/>
        <w:ind w:firstLine="204"/>
        <w:rPr>
          <w:rFonts w:ascii="Times New Roman" w:hAnsi="Times New Roman"/>
          <w:b/>
        </w:rPr>
      </w:pPr>
      <w:r w:rsidRPr="004240EC">
        <w:rPr>
          <w:rFonts w:ascii="Times New Roman" w:hAnsi="Times New Roman"/>
        </w:rPr>
        <w:t xml:space="preserve">In </w:t>
      </w:r>
      <w:r w:rsidR="00EE3392" w:rsidRPr="004240EC">
        <w:rPr>
          <w:rFonts w:ascii="Times New Roman" w:hAnsi="Times New Roman"/>
        </w:rPr>
        <w:t xml:space="preserve">this </w:t>
      </w:r>
      <w:r w:rsidR="00DF4BB5" w:rsidRPr="004240EC">
        <w:rPr>
          <w:rFonts w:ascii="Times New Roman" w:hAnsi="Times New Roman"/>
        </w:rPr>
        <w:t>context</w:t>
      </w:r>
      <w:r w:rsidR="00EE3392" w:rsidRPr="004240EC">
        <w:rPr>
          <w:rFonts w:ascii="Times New Roman" w:hAnsi="Times New Roman"/>
        </w:rPr>
        <w:t xml:space="preserve">, the present work aims to </w:t>
      </w:r>
      <w:r w:rsidR="00856130" w:rsidRPr="004240EC">
        <w:rPr>
          <w:rFonts w:ascii="Times New Roman" w:hAnsi="Times New Roman"/>
        </w:rPr>
        <w:t xml:space="preserve">verify the photocatalytic activity of a novel and eco-friendly CuO-NPs@nanozeolite photocatalyst and to propose a </w:t>
      </w:r>
      <w:r w:rsidR="00CD5FB0">
        <w:rPr>
          <w:rFonts w:ascii="Times New Roman" w:hAnsi="Times New Roman"/>
        </w:rPr>
        <w:t>reaction pathway</w:t>
      </w:r>
      <w:r w:rsidR="00856130" w:rsidRPr="004240EC">
        <w:rPr>
          <w:rFonts w:ascii="Times New Roman" w:hAnsi="Times New Roman"/>
        </w:rPr>
        <w:t xml:space="preserve"> of MB degradation through</w:t>
      </w:r>
      <w:r w:rsidR="00EE3392" w:rsidRPr="004240EC">
        <w:rPr>
          <w:rFonts w:ascii="Times New Roman" w:hAnsi="Times New Roman"/>
        </w:rPr>
        <w:t xml:space="preserve"> </w:t>
      </w:r>
      <w:r w:rsidR="00856130" w:rsidRPr="004240EC">
        <w:rPr>
          <w:rFonts w:ascii="Times New Roman" w:hAnsi="Times New Roman"/>
        </w:rPr>
        <w:t xml:space="preserve">a </w:t>
      </w:r>
      <w:r w:rsidR="00EE3392" w:rsidRPr="004240EC">
        <w:rPr>
          <w:rFonts w:ascii="Times New Roman" w:hAnsi="Times New Roman"/>
        </w:rPr>
        <w:t>generalized predictive model</w:t>
      </w:r>
      <w:r w:rsidR="00856130" w:rsidRPr="004240EC">
        <w:rPr>
          <w:rFonts w:ascii="Times New Roman" w:hAnsi="Times New Roman"/>
        </w:rPr>
        <w:t xml:space="preserve"> obtained from machine learning algorithms.</w:t>
      </w:r>
    </w:p>
    <w:p w14:paraId="52FFAC79" w14:textId="6A8F2893" w:rsidR="00EA4E1B" w:rsidRPr="004240EC" w:rsidRDefault="00B40001" w:rsidP="004459F9">
      <w:pPr>
        <w:pStyle w:val="Ttulo2"/>
        <w:rPr>
          <w:rFonts w:ascii="Helvetica" w:hAnsi="Helvetica" w:cs="Helvetica"/>
          <w:sz w:val="24"/>
          <w:szCs w:val="24"/>
          <w:lang w:val="en-US"/>
        </w:rPr>
      </w:pPr>
      <w:r w:rsidRPr="004240EC">
        <w:rPr>
          <w:rFonts w:ascii="Helvetica" w:hAnsi="Helvetica" w:cs="Helvetica"/>
          <w:sz w:val="24"/>
          <w:szCs w:val="24"/>
          <w:lang w:val="en-US"/>
        </w:rPr>
        <w:t>Experimental section</w:t>
      </w:r>
    </w:p>
    <w:p w14:paraId="1A441A02" w14:textId="34D7E586" w:rsidR="00EA6BE6" w:rsidRPr="004240EC" w:rsidRDefault="00F2570C" w:rsidP="00AD28EA">
      <w:pPr>
        <w:pStyle w:val="TAMainText"/>
        <w:ind w:firstLine="0"/>
        <w:rPr>
          <w:rFonts w:ascii="Times New Roman" w:hAnsi="Times New Roman"/>
          <w:i/>
        </w:rPr>
      </w:pPr>
      <w:r w:rsidRPr="004240EC">
        <w:rPr>
          <w:rFonts w:ascii="Times New Roman" w:hAnsi="Times New Roman"/>
          <w:i/>
        </w:rPr>
        <w:t>Synthesis and characterization of the nanocatalyst</w:t>
      </w:r>
    </w:p>
    <w:p w14:paraId="074A5391" w14:textId="075A8543" w:rsidR="00B85442" w:rsidRPr="004240EC" w:rsidRDefault="003142FD" w:rsidP="003142FD">
      <w:pPr>
        <w:pStyle w:val="TAMainText"/>
        <w:ind w:firstLine="204"/>
        <w:rPr>
          <w:rFonts w:ascii="Times New Roman" w:hAnsi="Times New Roman"/>
          <w:i/>
        </w:rPr>
      </w:pPr>
      <w:r w:rsidRPr="004240EC">
        <w:rPr>
          <w:rFonts w:ascii="Times New Roman" w:hAnsi="Times New Roman"/>
        </w:rPr>
        <w:t>The supported heterogeneous nanocatalyst (</w:t>
      </w:r>
      <w:r w:rsidR="00B85442" w:rsidRPr="004240EC">
        <w:rPr>
          <w:rFonts w:ascii="Times New Roman" w:hAnsi="Times New Roman"/>
        </w:rPr>
        <w:t>CuO-NPs@nANA</w:t>
      </w:r>
      <w:r w:rsidRPr="004240EC">
        <w:rPr>
          <w:rFonts w:ascii="Times New Roman" w:hAnsi="Times New Roman"/>
        </w:rPr>
        <w:t>)</w:t>
      </w:r>
      <w:r w:rsidR="00B85442" w:rsidRPr="004240EC">
        <w:rPr>
          <w:rFonts w:ascii="Times New Roman" w:hAnsi="Times New Roman"/>
        </w:rPr>
        <w:t xml:space="preserve"> was synthesized by </w:t>
      </w:r>
      <w:r w:rsidR="00AF0B43">
        <w:rPr>
          <w:rFonts w:ascii="Times New Roman" w:hAnsi="Times New Roman"/>
        </w:rPr>
        <w:t xml:space="preserve">the </w:t>
      </w:r>
      <w:r w:rsidR="00B85442" w:rsidRPr="004240EC">
        <w:rPr>
          <w:rFonts w:ascii="Times New Roman" w:hAnsi="Times New Roman"/>
        </w:rPr>
        <w:t>impregnation method</w:t>
      </w:r>
      <w:r w:rsidR="00AF0B43">
        <w:rPr>
          <w:rFonts w:ascii="Times New Roman" w:hAnsi="Times New Roman"/>
        </w:rPr>
        <w:t>,</w:t>
      </w:r>
      <w:r w:rsidR="00B85442" w:rsidRPr="004240EC">
        <w:rPr>
          <w:rFonts w:ascii="Times New Roman" w:hAnsi="Times New Roman"/>
        </w:rPr>
        <w:t xml:space="preserve"> according to the literature</w:t>
      </w:r>
      <w:r w:rsidR="00AB1426" w:rsidRPr="004240EC">
        <w:rPr>
          <w:rFonts w:ascii="Times New Roman" w:hAnsi="Times New Roman"/>
        </w:rPr>
        <w:t xml:space="preserve"> (</w:t>
      </w:r>
      <w:r w:rsidR="0099783B" w:rsidRPr="004240EC">
        <w:rPr>
          <w:rFonts w:ascii="Times New Roman" w:hAnsi="Times New Roman"/>
        </w:rPr>
        <w:t>16</w:t>
      </w:r>
      <w:r w:rsidR="001D2441" w:rsidRPr="004240EC">
        <w:rPr>
          <w:rFonts w:ascii="Times New Roman" w:hAnsi="Times New Roman"/>
        </w:rPr>
        <w:t xml:space="preserve">), where the CuO-NPs were used as nanocharges and analcime nanozeolite (nANA) as </w:t>
      </w:r>
      <w:r w:rsidR="00AF0B43">
        <w:rPr>
          <w:rFonts w:ascii="Times New Roman" w:hAnsi="Times New Roman"/>
        </w:rPr>
        <w:t xml:space="preserve">the </w:t>
      </w:r>
      <w:r w:rsidR="001D2441" w:rsidRPr="004240EC">
        <w:rPr>
          <w:rFonts w:ascii="Times New Roman" w:hAnsi="Times New Roman"/>
        </w:rPr>
        <w:t xml:space="preserve">matrix or catalytic support. </w:t>
      </w:r>
    </w:p>
    <w:p w14:paraId="6E84BDC0" w14:textId="13C172C2" w:rsidR="00A155BE" w:rsidRPr="004240EC" w:rsidRDefault="001D2441" w:rsidP="00A155BE">
      <w:pPr>
        <w:pStyle w:val="TAMainText"/>
        <w:ind w:firstLine="204"/>
        <w:rPr>
          <w:rFonts w:ascii="Times New Roman" w:hAnsi="Times New Roman"/>
        </w:rPr>
      </w:pPr>
      <w:r w:rsidRPr="004240EC">
        <w:rPr>
          <w:rFonts w:ascii="Times New Roman" w:hAnsi="Times New Roman"/>
        </w:rPr>
        <w:t xml:space="preserve">CuONPs were obtained by biogenic synthesis using </w:t>
      </w:r>
      <w:r w:rsidR="00371A3A" w:rsidRPr="004240EC">
        <w:rPr>
          <w:rFonts w:ascii="Times New Roman" w:hAnsi="Times New Roman"/>
          <w:i/>
          <w:iCs/>
        </w:rPr>
        <w:t>C</w:t>
      </w:r>
      <w:r w:rsidRPr="004240EC">
        <w:rPr>
          <w:rFonts w:ascii="Times New Roman" w:hAnsi="Times New Roman"/>
          <w:i/>
          <w:iCs/>
        </w:rPr>
        <w:t>amelia sinensis</w:t>
      </w:r>
      <w:r w:rsidRPr="004240EC">
        <w:rPr>
          <w:rFonts w:ascii="Times New Roman" w:hAnsi="Times New Roman"/>
        </w:rPr>
        <w:t xml:space="preserve"> extract </w:t>
      </w:r>
      <w:r w:rsidR="00C0232C">
        <w:rPr>
          <w:rFonts w:ascii="Times New Roman" w:hAnsi="Times New Roman"/>
        </w:rPr>
        <w:t xml:space="preserve">was used </w:t>
      </w:r>
      <w:r w:rsidRPr="004240EC">
        <w:rPr>
          <w:rFonts w:ascii="Times New Roman" w:hAnsi="Times New Roman"/>
        </w:rPr>
        <w:t xml:space="preserve">as </w:t>
      </w:r>
      <w:r w:rsidR="00AF0B43">
        <w:rPr>
          <w:rFonts w:ascii="Times New Roman" w:hAnsi="Times New Roman"/>
        </w:rPr>
        <w:t xml:space="preserve">a </w:t>
      </w:r>
      <w:r w:rsidRPr="004240EC">
        <w:rPr>
          <w:rFonts w:ascii="Times New Roman" w:hAnsi="Times New Roman"/>
        </w:rPr>
        <w:t xml:space="preserve">reducing/stabilizing agent of </w:t>
      </w:r>
      <w:r w:rsidR="00AF0B43">
        <w:rPr>
          <w:rFonts w:ascii="Times New Roman" w:hAnsi="Times New Roman"/>
        </w:rPr>
        <w:t>c</w:t>
      </w:r>
      <w:r w:rsidR="00AF0B43" w:rsidRPr="00AF0B43">
        <w:rPr>
          <w:rFonts w:ascii="Times New Roman" w:hAnsi="Times New Roman"/>
        </w:rPr>
        <w:t xml:space="preserve">opper(II) chloride dihydrate </w:t>
      </w:r>
      <w:r w:rsidR="00AF0B43">
        <w:rPr>
          <w:rFonts w:ascii="Times New Roman" w:hAnsi="Times New Roman"/>
        </w:rPr>
        <w:t>(</w:t>
      </w:r>
      <w:r w:rsidRPr="004240EC">
        <w:rPr>
          <w:rFonts w:ascii="Times New Roman" w:hAnsi="Times New Roman"/>
        </w:rPr>
        <w:t>CuCl</w:t>
      </w:r>
      <w:r w:rsidRPr="004240EC">
        <w:rPr>
          <w:rFonts w:ascii="Times New Roman" w:hAnsi="Times New Roman"/>
          <w:vertAlign w:val="subscript"/>
        </w:rPr>
        <w:t>2</w:t>
      </w:r>
      <w:r w:rsidRPr="004240EC">
        <w:rPr>
          <w:rFonts w:ascii="Arial" w:hAnsi="Arial" w:cs="Arial"/>
        </w:rPr>
        <w:t>∙</w:t>
      </w:r>
      <w:r w:rsidRPr="004240EC">
        <w:rPr>
          <w:rFonts w:ascii="Times New Roman" w:hAnsi="Times New Roman"/>
        </w:rPr>
        <w:t>2H</w:t>
      </w:r>
      <w:r w:rsidRPr="004240EC">
        <w:rPr>
          <w:rFonts w:ascii="Times New Roman" w:hAnsi="Times New Roman"/>
          <w:vertAlign w:val="subscript"/>
        </w:rPr>
        <w:t>2</w:t>
      </w:r>
      <w:r w:rsidRPr="004240EC">
        <w:rPr>
          <w:rFonts w:ascii="Times New Roman" w:hAnsi="Times New Roman"/>
        </w:rPr>
        <w:t>O</w:t>
      </w:r>
      <w:r w:rsidR="00AF0B43">
        <w:rPr>
          <w:rFonts w:ascii="Times New Roman" w:hAnsi="Times New Roman"/>
        </w:rPr>
        <w:t xml:space="preserve">, </w:t>
      </w:r>
      <w:r w:rsidR="00AF0B43" w:rsidRPr="00AF0B43">
        <w:rPr>
          <w:rFonts w:ascii="Times New Roman" w:hAnsi="Times New Roman"/>
        </w:rPr>
        <w:tab/>
        <w:t>ACS reagent, ≥99.0%</w:t>
      </w:r>
      <w:r w:rsidR="00AF0B43">
        <w:rPr>
          <w:rFonts w:ascii="Times New Roman" w:hAnsi="Times New Roman"/>
        </w:rPr>
        <w:t>, Sigma-Aldrich</w:t>
      </w:r>
      <w:r w:rsidR="00AF0B43" w:rsidRPr="00AF0B43">
        <w:rPr>
          <w:rFonts w:ascii="Times New Roman" w:hAnsi="Times New Roman"/>
          <w:vertAlign w:val="superscript"/>
        </w:rPr>
        <w:t>®</w:t>
      </w:r>
      <w:r w:rsidRPr="004240EC">
        <w:rPr>
          <w:rFonts w:ascii="Times New Roman" w:hAnsi="Times New Roman"/>
        </w:rPr>
        <w:t xml:space="preserve">) in </w:t>
      </w:r>
      <w:r w:rsidR="00AF0B43">
        <w:rPr>
          <w:rFonts w:ascii="Times New Roman" w:hAnsi="Times New Roman"/>
        </w:rPr>
        <w:t xml:space="preserve">an </w:t>
      </w:r>
      <w:r w:rsidRPr="004240EC">
        <w:rPr>
          <w:rFonts w:ascii="Times New Roman" w:hAnsi="Times New Roman"/>
        </w:rPr>
        <w:t>aqueous solution</w:t>
      </w:r>
      <w:r w:rsidR="00A155BE" w:rsidRPr="004240EC">
        <w:rPr>
          <w:rFonts w:ascii="Times New Roman" w:hAnsi="Times New Roman"/>
        </w:rPr>
        <w:t xml:space="preserve"> </w:t>
      </w:r>
      <w:r w:rsidR="00C0232C">
        <w:rPr>
          <w:rFonts w:ascii="Times New Roman" w:hAnsi="Times New Roman"/>
        </w:rPr>
        <w:t>(</w:t>
      </w:r>
      <w:r w:rsidR="00C0232C" w:rsidRPr="004240EC">
        <w:rPr>
          <w:rFonts w:ascii="Times New Roman" w:hAnsi="Times New Roman"/>
        </w:rPr>
        <w:t>1 mol L</w:t>
      </w:r>
      <w:r w:rsidR="00C0232C" w:rsidRPr="004240EC">
        <w:rPr>
          <w:rFonts w:ascii="Times New Roman" w:hAnsi="Times New Roman"/>
          <w:vertAlign w:val="superscript"/>
        </w:rPr>
        <w:t>-1</w:t>
      </w:r>
      <w:r w:rsidR="00C0232C" w:rsidRPr="00C0232C">
        <w:rPr>
          <w:rFonts w:ascii="Times New Roman" w:hAnsi="Times New Roman"/>
        </w:rPr>
        <w:t>)</w:t>
      </w:r>
      <w:r w:rsidR="00C0232C" w:rsidRPr="004240EC">
        <w:rPr>
          <w:rFonts w:ascii="Times New Roman" w:hAnsi="Times New Roman"/>
        </w:rPr>
        <w:t xml:space="preserve"> </w:t>
      </w:r>
      <w:r w:rsidR="00A155BE" w:rsidRPr="004240EC">
        <w:rPr>
          <w:rFonts w:ascii="Times New Roman" w:hAnsi="Times New Roman"/>
        </w:rPr>
        <w:t>(</w:t>
      </w:r>
      <w:r w:rsidR="0099783B" w:rsidRPr="004240EC">
        <w:rPr>
          <w:rFonts w:ascii="Times New Roman" w:hAnsi="Times New Roman"/>
        </w:rPr>
        <w:t>17</w:t>
      </w:r>
      <w:r w:rsidR="00A155BE" w:rsidRPr="004240EC">
        <w:rPr>
          <w:rFonts w:ascii="Times New Roman" w:hAnsi="Times New Roman"/>
        </w:rPr>
        <w:t>)</w:t>
      </w:r>
      <w:r w:rsidRPr="004240EC">
        <w:rPr>
          <w:rFonts w:ascii="Times New Roman" w:hAnsi="Times New Roman"/>
        </w:rPr>
        <w:t xml:space="preserve">. </w:t>
      </w:r>
      <w:r w:rsidR="00C0232C">
        <w:rPr>
          <w:rFonts w:ascii="Times New Roman" w:hAnsi="Times New Roman"/>
        </w:rPr>
        <w:t>T</w:t>
      </w:r>
      <w:r w:rsidR="00C0232C" w:rsidRPr="00C0232C">
        <w:rPr>
          <w:rFonts w:ascii="Times New Roman" w:hAnsi="Times New Roman"/>
        </w:rPr>
        <w:t xml:space="preserve">he metallic precursor solution and the extract </w:t>
      </w:r>
      <w:r w:rsidR="00C0232C">
        <w:rPr>
          <w:rFonts w:ascii="Times New Roman" w:hAnsi="Times New Roman"/>
        </w:rPr>
        <w:t xml:space="preserve">(1:1 w/w) </w:t>
      </w:r>
      <w:r w:rsidR="00C0232C" w:rsidRPr="00C0232C">
        <w:rPr>
          <w:rFonts w:ascii="Times New Roman" w:hAnsi="Times New Roman"/>
        </w:rPr>
        <w:t>were placed under magnetic stirring</w:t>
      </w:r>
      <w:r w:rsidR="00AF0B43">
        <w:rPr>
          <w:rFonts w:ascii="Times New Roman" w:hAnsi="Times New Roman"/>
        </w:rPr>
        <w:t xml:space="preserve"> (150 rpm / 90 min)</w:t>
      </w:r>
      <w:r w:rsidR="003142FD" w:rsidRPr="004240EC">
        <w:rPr>
          <w:rFonts w:ascii="Times New Roman" w:hAnsi="Times New Roman"/>
        </w:rPr>
        <w:t xml:space="preserve"> at 50-70 °C for 1.5 h </w:t>
      </w:r>
      <w:r w:rsidR="00AF0B43">
        <w:rPr>
          <w:rFonts w:ascii="Times New Roman" w:hAnsi="Times New Roman"/>
        </w:rPr>
        <w:t>(</w:t>
      </w:r>
      <w:r w:rsidR="003142FD" w:rsidRPr="004240EC">
        <w:rPr>
          <w:rFonts w:ascii="Times New Roman" w:hAnsi="Times New Roman"/>
        </w:rPr>
        <w:t xml:space="preserve">pH </w:t>
      </w:r>
      <w:r w:rsidR="00AF0B43">
        <w:rPr>
          <w:rFonts w:ascii="Times New Roman" w:hAnsi="Times New Roman"/>
        </w:rPr>
        <w:t xml:space="preserve">≈ </w:t>
      </w:r>
      <w:r w:rsidR="003142FD" w:rsidRPr="004240EC">
        <w:rPr>
          <w:rFonts w:ascii="Times New Roman" w:hAnsi="Times New Roman"/>
        </w:rPr>
        <w:t>6</w:t>
      </w:r>
      <w:r w:rsidR="00AF0B43">
        <w:rPr>
          <w:rFonts w:ascii="Times New Roman" w:hAnsi="Times New Roman"/>
        </w:rPr>
        <w:t>)</w:t>
      </w:r>
      <w:r w:rsidR="003142FD" w:rsidRPr="004240EC">
        <w:rPr>
          <w:rFonts w:ascii="Times New Roman" w:hAnsi="Times New Roman"/>
        </w:rPr>
        <w:t>.</w:t>
      </w:r>
      <w:r w:rsidR="00AF0B43">
        <w:rPr>
          <w:rFonts w:ascii="Times New Roman" w:hAnsi="Times New Roman"/>
        </w:rPr>
        <w:t xml:space="preserve"> </w:t>
      </w:r>
      <w:r w:rsidR="003142FD" w:rsidRPr="004240EC">
        <w:rPr>
          <w:rFonts w:ascii="Times New Roman" w:hAnsi="Times New Roman"/>
        </w:rPr>
        <w:t>The precipitation product formed was centrifuged at 4500 rpm for 15 minutes, with the settled material being dried in an oven operating at 80 °C for 12 h.</w:t>
      </w:r>
    </w:p>
    <w:p w14:paraId="56DE67D7" w14:textId="1190D73C" w:rsidR="00EA6BE6" w:rsidRPr="004240EC" w:rsidRDefault="001D2441" w:rsidP="00F307A5">
      <w:pPr>
        <w:pStyle w:val="TAMainText"/>
        <w:ind w:firstLine="204"/>
        <w:rPr>
          <w:rFonts w:ascii="Times New Roman" w:hAnsi="Times New Roman"/>
        </w:rPr>
      </w:pPr>
      <w:r w:rsidRPr="004240EC">
        <w:rPr>
          <w:rFonts w:ascii="Times New Roman" w:hAnsi="Times New Roman"/>
        </w:rPr>
        <w:t>nANA</w:t>
      </w:r>
      <w:r w:rsidR="002D4105" w:rsidRPr="004240EC">
        <w:rPr>
          <w:rFonts w:ascii="Times New Roman" w:hAnsi="Times New Roman"/>
        </w:rPr>
        <w:t xml:space="preserve"> </w:t>
      </w:r>
      <w:r w:rsidR="00DF4BB5" w:rsidRPr="004240EC">
        <w:rPr>
          <w:rFonts w:ascii="Times New Roman" w:hAnsi="Times New Roman"/>
        </w:rPr>
        <w:t xml:space="preserve">was </w:t>
      </w:r>
      <w:r w:rsidR="00EA6BE6" w:rsidRPr="004240EC">
        <w:rPr>
          <w:rFonts w:ascii="Times New Roman" w:hAnsi="Times New Roman"/>
        </w:rPr>
        <w:t>synthesized by hydrothermal method</w:t>
      </w:r>
      <w:r w:rsidR="00DF4BB5" w:rsidRPr="004240EC">
        <w:rPr>
          <w:rFonts w:ascii="Times New Roman" w:hAnsi="Times New Roman"/>
        </w:rPr>
        <w:t>, according to the literature</w:t>
      </w:r>
      <w:r w:rsidR="00483616" w:rsidRPr="004240EC">
        <w:rPr>
          <w:rFonts w:ascii="Times New Roman" w:hAnsi="Times New Roman"/>
        </w:rPr>
        <w:t xml:space="preserve"> </w:t>
      </w:r>
      <w:r w:rsidR="00DF4BB5" w:rsidRPr="004240EC">
        <w:rPr>
          <w:rFonts w:ascii="Times New Roman" w:hAnsi="Times New Roman"/>
        </w:rPr>
        <w:t>(</w:t>
      </w:r>
      <w:r w:rsidR="0099783B" w:rsidRPr="004240EC">
        <w:rPr>
          <w:rFonts w:ascii="Times New Roman" w:hAnsi="Times New Roman"/>
        </w:rPr>
        <w:t>18</w:t>
      </w:r>
      <w:r w:rsidR="00DF4BB5" w:rsidRPr="004240EC">
        <w:rPr>
          <w:rFonts w:ascii="Times New Roman" w:hAnsi="Times New Roman"/>
        </w:rPr>
        <w:t>)</w:t>
      </w:r>
      <w:r w:rsidR="00EA6BE6" w:rsidRPr="004240EC">
        <w:rPr>
          <w:rFonts w:ascii="Times New Roman" w:hAnsi="Times New Roman"/>
        </w:rPr>
        <w:t xml:space="preserve">. </w:t>
      </w:r>
      <w:r w:rsidR="00F371C2" w:rsidRPr="004240EC">
        <w:rPr>
          <w:rFonts w:ascii="Times New Roman" w:hAnsi="Times New Roman"/>
        </w:rPr>
        <w:t xml:space="preserve">After, </w:t>
      </w:r>
      <w:r w:rsidR="00EA6BE6" w:rsidRPr="004240EC">
        <w:rPr>
          <w:rFonts w:ascii="Times New Roman" w:hAnsi="Times New Roman"/>
        </w:rPr>
        <w:t xml:space="preserve">the nANA was filtered </w:t>
      </w:r>
      <w:r w:rsidR="00F371C2" w:rsidRPr="004240EC">
        <w:rPr>
          <w:rFonts w:ascii="Times New Roman" w:hAnsi="Times New Roman"/>
        </w:rPr>
        <w:t xml:space="preserve">(ϕ = 0.45 µm) </w:t>
      </w:r>
      <w:r w:rsidR="00EA6BE6" w:rsidRPr="004240EC">
        <w:rPr>
          <w:rFonts w:ascii="Times New Roman" w:hAnsi="Times New Roman"/>
        </w:rPr>
        <w:t>and washed with distilled water and ethanol 70%</w:t>
      </w:r>
      <w:r w:rsidR="00F371C2" w:rsidRPr="004240EC">
        <w:rPr>
          <w:rFonts w:ascii="Times New Roman" w:hAnsi="Times New Roman"/>
        </w:rPr>
        <w:t xml:space="preserve"> (pH ≈ </w:t>
      </w:r>
      <w:r w:rsidR="00F307A5" w:rsidRPr="004240EC">
        <w:rPr>
          <w:rFonts w:ascii="Times New Roman" w:hAnsi="Times New Roman"/>
        </w:rPr>
        <w:t>7</w:t>
      </w:r>
      <w:r w:rsidR="00F371C2" w:rsidRPr="004240EC">
        <w:rPr>
          <w:rFonts w:ascii="Times New Roman" w:hAnsi="Times New Roman"/>
        </w:rPr>
        <w:t>)</w:t>
      </w:r>
      <w:r w:rsidR="0003368F" w:rsidRPr="004240EC">
        <w:rPr>
          <w:rFonts w:ascii="Times New Roman" w:hAnsi="Times New Roman"/>
        </w:rPr>
        <w:t>. The nANA was dried in an oven at 80°C for 12 h</w:t>
      </w:r>
      <w:r w:rsidR="00F371C2" w:rsidRPr="004240EC">
        <w:rPr>
          <w:rFonts w:ascii="Times New Roman" w:hAnsi="Times New Roman"/>
        </w:rPr>
        <w:t>.</w:t>
      </w:r>
    </w:p>
    <w:p w14:paraId="1F1CB95C" w14:textId="5EC6B0D0" w:rsidR="003142FD" w:rsidRPr="004240EC" w:rsidRDefault="003142FD" w:rsidP="00F307A5">
      <w:pPr>
        <w:pStyle w:val="TAMainText"/>
        <w:ind w:firstLine="204"/>
        <w:rPr>
          <w:rFonts w:ascii="Times New Roman" w:hAnsi="Times New Roman"/>
          <w:i/>
        </w:rPr>
      </w:pPr>
      <w:r w:rsidRPr="004240EC">
        <w:rPr>
          <w:rFonts w:ascii="Times New Roman" w:hAnsi="Times New Roman"/>
        </w:rPr>
        <w:t xml:space="preserve">Then, the CuO-NPs@nANA nanocatalyst was prepared by mixing CuO-NPs and @nANA in beaker containing 100 mL of distilled water and </w:t>
      </w:r>
      <w:r w:rsidR="00C0232C">
        <w:rPr>
          <w:rFonts w:ascii="Times New Roman" w:hAnsi="Times New Roman"/>
        </w:rPr>
        <w:t>calcinated (</w:t>
      </w:r>
      <w:r w:rsidRPr="004240EC">
        <w:rPr>
          <w:rFonts w:ascii="Times New Roman" w:hAnsi="Times New Roman"/>
        </w:rPr>
        <w:t>450 °C for 4 h</w:t>
      </w:r>
      <w:r w:rsidR="00C0232C">
        <w:rPr>
          <w:rFonts w:ascii="Times New Roman" w:hAnsi="Times New Roman"/>
        </w:rPr>
        <w:t xml:space="preserve"> with 10 ºC min</w:t>
      </w:r>
      <w:r w:rsidR="00C0232C" w:rsidRPr="00C0232C">
        <w:rPr>
          <w:rFonts w:ascii="Times New Roman" w:hAnsi="Times New Roman"/>
          <w:vertAlign w:val="superscript"/>
        </w:rPr>
        <w:t>-1</w:t>
      </w:r>
      <w:r w:rsidR="00C0232C">
        <w:rPr>
          <w:rFonts w:ascii="Times New Roman" w:hAnsi="Times New Roman"/>
        </w:rPr>
        <w:t>)</w:t>
      </w:r>
      <w:r w:rsidRPr="004240EC">
        <w:rPr>
          <w:rFonts w:ascii="Times New Roman" w:hAnsi="Times New Roman"/>
        </w:rPr>
        <w:t>.</w:t>
      </w:r>
    </w:p>
    <w:p w14:paraId="7591ED50" w14:textId="77777777" w:rsidR="00A155BE" w:rsidRDefault="00A155BE" w:rsidP="00AD28EA">
      <w:pPr>
        <w:pStyle w:val="TAMainText"/>
        <w:ind w:firstLine="0"/>
        <w:rPr>
          <w:rFonts w:ascii="Times New Roman" w:hAnsi="Times New Roman"/>
          <w:i/>
        </w:rPr>
      </w:pPr>
    </w:p>
    <w:p w14:paraId="1CA68483" w14:textId="77777777" w:rsidR="00002215" w:rsidRPr="004240EC" w:rsidRDefault="00002215" w:rsidP="00002215">
      <w:pPr>
        <w:pStyle w:val="TAMainText"/>
        <w:ind w:firstLine="0"/>
        <w:rPr>
          <w:rFonts w:ascii="Times New Roman" w:hAnsi="Times New Roman"/>
          <w:i/>
        </w:rPr>
      </w:pPr>
      <w:r w:rsidRPr="004240EC">
        <w:rPr>
          <w:rFonts w:ascii="Times New Roman" w:hAnsi="Times New Roman"/>
          <w:i/>
        </w:rPr>
        <w:t>Characterization</w:t>
      </w:r>
    </w:p>
    <w:p w14:paraId="78B1AB5A" w14:textId="1FBBDD5E" w:rsidR="00002215" w:rsidRPr="004240EC" w:rsidRDefault="00002215" w:rsidP="00BB7A25">
      <w:pPr>
        <w:pStyle w:val="TAMainText"/>
        <w:ind w:firstLine="204"/>
        <w:rPr>
          <w:rFonts w:ascii="Times New Roman" w:hAnsi="Times New Roman"/>
        </w:rPr>
      </w:pPr>
      <w:r w:rsidRPr="00002215">
        <w:rPr>
          <w:rFonts w:ascii="Times New Roman" w:hAnsi="Times New Roman"/>
        </w:rPr>
        <w:t>X-ray diffraction</w:t>
      </w:r>
      <w:r>
        <w:rPr>
          <w:rFonts w:ascii="Times New Roman" w:hAnsi="Times New Roman"/>
        </w:rPr>
        <w:t xml:space="preserve"> (</w:t>
      </w:r>
      <w:r w:rsidRPr="004240EC">
        <w:rPr>
          <w:rFonts w:ascii="Times New Roman" w:hAnsi="Times New Roman"/>
        </w:rPr>
        <w:t>XRD</w:t>
      </w:r>
      <w:r>
        <w:rPr>
          <w:rFonts w:ascii="Times New Roman" w:hAnsi="Times New Roman"/>
        </w:rPr>
        <w:t>)</w:t>
      </w:r>
      <w:r w:rsidRPr="004240EC">
        <w:rPr>
          <w:rFonts w:ascii="Times New Roman" w:hAnsi="Times New Roman"/>
        </w:rPr>
        <w:t xml:space="preserve"> analysis was performed in a Bruker diffractometer, model D2 Advanced</w:t>
      </w:r>
      <w:r>
        <w:rPr>
          <w:rFonts w:ascii="Times New Roman" w:hAnsi="Times New Roman"/>
        </w:rPr>
        <w:t xml:space="preserve"> </w:t>
      </w:r>
      <w:r w:rsidRPr="004240EC">
        <w:rPr>
          <w:rFonts w:ascii="Times New Roman" w:hAnsi="Times New Roman"/>
        </w:rPr>
        <w:t>with copper tube (</w:t>
      </w:r>
      <w:r>
        <w:rPr>
          <w:rFonts w:ascii="Times New Roman" w:hAnsi="Times New Roman"/>
        </w:rPr>
        <w:t>λ</w:t>
      </w:r>
      <w:r w:rsidRPr="00002215">
        <w:rPr>
          <w:rFonts w:ascii="Times New Roman" w:hAnsi="Times New Roman"/>
          <w:vertAlign w:val="subscript"/>
        </w:rPr>
        <w:t>Cu-α</w:t>
      </w:r>
      <w:r w:rsidRPr="004240EC">
        <w:rPr>
          <w:rFonts w:ascii="Times New Roman" w:hAnsi="Times New Roman"/>
        </w:rPr>
        <w:t xml:space="preserve"> = 1.5418 Ǻ) rang</w:t>
      </w:r>
      <w:r>
        <w:rPr>
          <w:rFonts w:ascii="Times New Roman" w:hAnsi="Times New Roman"/>
        </w:rPr>
        <w:t>ing</w:t>
      </w:r>
      <w:r w:rsidRPr="004240EC">
        <w:rPr>
          <w:rFonts w:ascii="Times New Roman" w:hAnsi="Times New Roman"/>
        </w:rPr>
        <w:t xml:space="preserve"> from 10º to 70º. ASAP 2020 equipment (USA) by Micromeritics® was used</w:t>
      </w:r>
      <w:r>
        <w:rPr>
          <w:rFonts w:ascii="Times New Roman" w:hAnsi="Times New Roman"/>
        </w:rPr>
        <w:t xml:space="preserve"> </w:t>
      </w:r>
      <w:r w:rsidRPr="00002215">
        <w:rPr>
          <w:rFonts w:ascii="Times New Roman" w:hAnsi="Times New Roman"/>
        </w:rPr>
        <w:t xml:space="preserve">to determine </w:t>
      </w:r>
      <w:r w:rsidR="00BB7A25">
        <w:rPr>
          <w:rFonts w:ascii="Times New Roman" w:hAnsi="Times New Roman"/>
        </w:rPr>
        <w:t xml:space="preserve">the </w:t>
      </w:r>
      <w:r w:rsidRPr="00002215">
        <w:rPr>
          <w:rFonts w:ascii="Times New Roman" w:hAnsi="Times New Roman"/>
        </w:rPr>
        <w:t xml:space="preserve">surface area </w:t>
      </w:r>
      <w:r>
        <w:rPr>
          <w:rFonts w:ascii="Times New Roman" w:hAnsi="Times New Roman"/>
        </w:rPr>
        <w:t>(S</w:t>
      </w:r>
      <w:r w:rsidRPr="00002215">
        <w:rPr>
          <w:rFonts w:ascii="Times New Roman" w:hAnsi="Times New Roman"/>
          <w:vertAlign w:val="subscript"/>
        </w:rPr>
        <w:t>BET</w:t>
      </w:r>
      <w:r>
        <w:rPr>
          <w:rFonts w:ascii="Times New Roman" w:hAnsi="Times New Roman"/>
        </w:rPr>
        <w:t xml:space="preserve">) </w:t>
      </w:r>
      <w:r w:rsidRPr="00002215">
        <w:rPr>
          <w:rFonts w:ascii="Times New Roman" w:hAnsi="Times New Roman"/>
        </w:rPr>
        <w:t xml:space="preserve">and porosity </w:t>
      </w:r>
      <w:r>
        <w:rPr>
          <w:rFonts w:ascii="Times New Roman" w:hAnsi="Times New Roman"/>
        </w:rPr>
        <w:t xml:space="preserve">(Dp and Vp) </w:t>
      </w:r>
      <w:r w:rsidRPr="00002215">
        <w:rPr>
          <w:rFonts w:ascii="Times New Roman" w:hAnsi="Times New Roman"/>
        </w:rPr>
        <w:t>by N</w:t>
      </w:r>
      <w:r w:rsidRPr="00002215">
        <w:rPr>
          <w:rFonts w:ascii="Times New Roman" w:hAnsi="Times New Roman"/>
          <w:vertAlign w:val="subscript"/>
        </w:rPr>
        <w:t>2</w:t>
      </w:r>
      <w:r w:rsidRPr="00002215">
        <w:rPr>
          <w:rFonts w:ascii="Times New Roman" w:hAnsi="Times New Roman"/>
        </w:rPr>
        <w:t xml:space="preserve"> po</w:t>
      </w:r>
      <w:r w:rsidR="00BB7A25">
        <w:rPr>
          <w:rFonts w:ascii="Times New Roman" w:hAnsi="Times New Roman"/>
        </w:rPr>
        <w:t>rosimetry</w:t>
      </w:r>
      <w:r w:rsidRPr="00002215">
        <w:rPr>
          <w:rFonts w:ascii="Times New Roman" w:hAnsi="Times New Roman"/>
        </w:rPr>
        <w:t xml:space="preserve"> using the BET/BJH method</w:t>
      </w:r>
      <w:r>
        <w:rPr>
          <w:rFonts w:ascii="Times New Roman" w:hAnsi="Times New Roman"/>
        </w:rPr>
        <w:t xml:space="preserve">. </w:t>
      </w:r>
      <w:r w:rsidRPr="009F1726">
        <w:rPr>
          <w:rFonts w:ascii="Times New Roman" w:hAnsi="Times New Roman"/>
        </w:rPr>
        <w:t>The band</w:t>
      </w:r>
      <w:r>
        <w:rPr>
          <w:rFonts w:ascii="Times New Roman" w:hAnsi="Times New Roman"/>
        </w:rPr>
        <w:t xml:space="preserve"> </w:t>
      </w:r>
      <w:r w:rsidRPr="009F1726">
        <w:rPr>
          <w:rFonts w:ascii="Times New Roman" w:hAnsi="Times New Roman"/>
        </w:rPr>
        <w:t>gap energy</w:t>
      </w:r>
      <w:r w:rsidR="00BB7A25">
        <w:rPr>
          <w:rFonts w:ascii="Times New Roman" w:hAnsi="Times New Roman"/>
        </w:rPr>
        <w:t xml:space="preserve"> (Eg)</w:t>
      </w:r>
      <w:r w:rsidRPr="009F1726">
        <w:rPr>
          <w:rFonts w:ascii="Times New Roman" w:hAnsi="Times New Roman"/>
        </w:rPr>
        <w:t xml:space="preserve"> was determined by UV-Vis Diffuse Reflectance Spectroscopy (DRS) using JASCOV-670 equipment, with wavelength ranging from 200 to 800 nm</w:t>
      </w:r>
      <w:r w:rsidR="00BB7A25">
        <w:rPr>
          <w:rFonts w:ascii="Times New Roman" w:hAnsi="Times New Roman"/>
        </w:rPr>
        <w:t xml:space="preserve">. </w:t>
      </w:r>
      <w:r w:rsidRPr="004240EC">
        <w:rPr>
          <w:rFonts w:ascii="Times New Roman" w:hAnsi="Times New Roman"/>
        </w:rPr>
        <w:t>Zero Charge Point (</w:t>
      </w:r>
      <w:r w:rsidR="00BB7A25">
        <w:rPr>
          <w:rFonts w:ascii="Times New Roman" w:hAnsi="Times New Roman"/>
        </w:rPr>
        <w:t>p</w:t>
      </w:r>
      <w:r w:rsidRPr="004240EC">
        <w:rPr>
          <w:rFonts w:ascii="Times New Roman" w:hAnsi="Times New Roman"/>
        </w:rPr>
        <w:t>H</w:t>
      </w:r>
      <w:r w:rsidRPr="004240EC">
        <w:rPr>
          <w:rFonts w:ascii="Times New Roman" w:hAnsi="Times New Roman"/>
          <w:vertAlign w:val="subscript"/>
        </w:rPr>
        <w:t>Z</w:t>
      </w:r>
      <w:r w:rsidR="00BB7A25">
        <w:rPr>
          <w:rFonts w:ascii="Times New Roman" w:hAnsi="Times New Roman"/>
          <w:vertAlign w:val="subscript"/>
        </w:rPr>
        <w:t>CP</w:t>
      </w:r>
      <w:r w:rsidRPr="004240EC">
        <w:rPr>
          <w:rFonts w:ascii="Times New Roman" w:hAnsi="Times New Roman"/>
        </w:rPr>
        <w:t>) w</w:t>
      </w:r>
      <w:r w:rsidR="00BB7A25">
        <w:rPr>
          <w:rFonts w:ascii="Times New Roman" w:hAnsi="Times New Roman"/>
        </w:rPr>
        <w:t>as</w:t>
      </w:r>
      <w:r w:rsidRPr="004240EC">
        <w:rPr>
          <w:rFonts w:ascii="Times New Roman" w:hAnsi="Times New Roman"/>
        </w:rPr>
        <w:t xml:space="preserve"> evaluated by 11-point assays, using NaOH 0.1 mol L</w:t>
      </w:r>
      <w:r w:rsidRPr="004240EC">
        <w:rPr>
          <w:rFonts w:ascii="Times New Roman" w:hAnsi="Times New Roman"/>
          <w:vertAlign w:val="superscript"/>
        </w:rPr>
        <w:t>-1</w:t>
      </w:r>
      <w:r w:rsidRPr="004240EC">
        <w:rPr>
          <w:rFonts w:ascii="Times New Roman" w:hAnsi="Times New Roman"/>
        </w:rPr>
        <w:t xml:space="preserve"> and HCl 0.1 mol L</w:t>
      </w:r>
      <w:r w:rsidRPr="004240EC">
        <w:rPr>
          <w:rFonts w:ascii="Times New Roman" w:hAnsi="Times New Roman"/>
          <w:vertAlign w:val="superscript"/>
        </w:rPr>
        <w:t>-1</w:t>
      </w:r>
      <w:r w:rsidRPr="004240EC">
        <w:rPr>
          <w:rFonts w:ascii="Times New Roman" w:hAnsi="Times New Roman"/>
        </w:rPr>
        <w:t xml:space="preserve"> for pH adjustments (</w:t>
      </w:r>
      <w:r w:rsidR="00BB7A25">
        <w:rPr>
          <w:rFonts w:ascii="Times New Roman" w:hAnsi="Times New Roman"/>
        </w:rPr>
        <w:t>19</w:t>
      </w:r>
      <w:r w:rsidRPr="004240EC">
        <w:rPr>
          <w:rFonts w:ascii="Times New Roman" w:hAnsi="Times New Roman"/>
        </w:rPr>
        <w:t xml:space="preserve">). Then, a plot of initial pH </w:t>
      </w:r>
      <w:r w:rsidRPr="004240EC">
        <w:rPr>
          <w:rFonts w:ascii="Times New Roman" w:hAnsi="Times New Roman"/>
          <w:i/>
          <w:iCs/>
        </w:rPr>
        <w:t>versus</w:t>
      </w:r>
      <w:r w:rsidRPr="004240EC">
        <w:rPr>
          <w:rFonts w:ascii="Times New Roman" w:hAnsi="Times New Roman"/>
        </w:rPr>
        <w:t xml:space="preserve"> final pH was performed to find the region in which no significant changes in pH </w:t>
      </w:r>
      <w:r w:rsidR="00BB7A25">
        <w:rPr>
          <w:rFonts w:ascii="Times New Roman" w:hAnsi="Times New Roman"/>
        </w:rPr>
        <w:t>were</w:t>
      </w:r>
      <w:r w:rsidRPr="004240EC">
        <w:rPr>
          <w:rFonts w:ascii="Times New Roman" w:hAnsi="Times New Roman"/>
        </w:rPr>
        <w:t xml:space="preserve"> observed.</w:t>
      </w:r>
      <w:r w:rsidR="00430E6A" w:rsidRPr="00430E6A">
        <w:t xml:space="preserve"> </w:t>
      </w:r>
      <w:r w:rsidR="00430E6A" w:rsidRPr="00430E6A">
        <w:rPr>
          <w:rFonts w:ascii="Times New Roman" w:hAnsi="Times New Roman"/>
        </w:rPr>
        <w:t>The surface charge was obtained by zeta potential (ZP) in an Electrophoretic Light Scattering method (PALS) (NANOBROOK OMNI) using an electrode (BI-SREL or BI-ZEL) under a scattering angle of 15° at room temperature (293.15 K).</w:t>
      </w:r>
    </w:p>
    <w:p w14:paraId="5DCD00DA" w14:textId="77777777" w:rsidR="00002215" w:rsidRPr="004240EC" w:rsidRDefault="00002215" w:rsidP="00AD28EA">
      <w:pPr>
        <w:pStyle w:val="TAMainText"/>
        <w:ind w:firstLine="0"/>
        <w:rPr>
          <w:rFonts w:ascii="Times New Roman" w:hAnsi="Times New Roman"/>
          <w:i/>
        </w:rPr>
      </w:pPr>
    </w:p>
    <w:p w14:paraId="5A83026C" w14:textId="019EA6B1" w:rsidR="00002215" w:rsidRPr="004240EC" w:rsidRDefault="00F2570C" w:rsidP="00002215">
      <w:pPr>
        <w:pStyle w:val="TAMainText"/>
        <w:ind w:firstLine="0"/>
        <w:rPr>
          <w:rFonts w:ascii="Times New Roman" w:hAnsi="Times New Roman"/>
          <w:i/>
        </w:rPr>
      </w:pPr>
      <w:r w:rsidRPr="004240EC">
        <w:rPr>
          <w:rFonts w:ascii="Times New Roman" w:hAnsi="Times New Roman"/>
          <w:i/>
        </w:rPr>
        <w:t xml:space="preserve">Photocatalytic </w:t>
      </w:r>
      <w:r w:rsidR="00C0232C">
        <w:rPr>
          <w:rFonts w:ascii="Times New Roman" w:hAnsi="Times New Roman"/>
          <w:i/>
        </w:rPr>
        <w:t>test</w:t>
      </w:r>
      <w:r w:rsidR="00002215">
        <w:rPr>
          <w:rFonts w:ascii="Times New Roman" w:hAnsi="Times New Roman"/>
          <w:i/>
        </w:rPr>
        <w:t xml:space="preserve"> and k</w:t>
      </w:r>
      <w:r w:rsidR="00002215" w:rsidRPr="004240EC">
        <w:rPr>
          <w:rFonts w:ascii="Times New Roman" w:hAnsi="Times New Roman"/>
          <w:i/>
        </w:rPr>
        <w:t>inetic of degradation</w:t>
      </w:r>
    </w:p>
    <w:p w14:paraId="0D464B9E" w14:textId="120A1E2E" w:rsidR="00445B08" w:rsidRPr="004240EC" w:rsidRDefault="00871083" w:rsidP="00445B08">
      <w:pPr>
        <w:pStyle w:val="TAMainText"/>
        <w:ind w:firstLine="204"/>
        <w:rPr>
          <w:rFonts w:ascii="Times New Roman" w:hAnsi="Times New Roman"/>
          <w:iCs/>
        </w:rPr>
      </w:pPr>
      <w:r w:rsidRPr="004240EC">
        <w:rPr>
          <w:rFonts w:ascii="Times New Roman" w:hAnsi="Times New Roman"/>
          <w:iCs/>
        </w:rPr>
        <w:t xml:space="preserve">The </w:t>
      </w:r>
      <w:r w:rsidR="007D6175" w:rsidRPr="004240EC">
        <w:rPr>
          <w:rFonts w:ascii="Times New Roman" w:hAnsi="Times New Roman"/>
          <w:iCs/>
        </w:rPr>
        <w:t>photocatalytic degradation of MB</w:t>
      </w:r>
      <w:r w:rsidRPr="004240EC">
        <w:rPr>
          <w:rFonts w:ascii="Times New Roman" w:hAnsi="Times New Roman"/>
          <w:iCs/>
        </w:rPr>
        <w:t xml:space="preserve"> was carried out in </w:t>
      </w:r>
      <w:r w:rsidR="00C75A6B" w:rsidRPr="004240EC">
        <w:rPr>
          <w:rFonts w:ascii="Times New Roman" w:hAnsi="Times New Roman"/>
          <w:iCs/>
        </w:rPr>
        <w:t xml:space="preserve">a </w:t>
      </w:r>
      <w:r w:rsidRPr="004240EC">
        <w:rPr>
          <w:rFonts w:ascii="Times New Roman" w:hAnsi="Times New Roman"/>
          <w:iCs/>
        </w:rPr>
        <w:t xml:space="preserve">slurry reactor </w:t>
      </w:r>
      <w:r w:rsidR="007D6175" w:rsidRPr="004240EC">
        <w:rPr>
          <w:rFonts w:ascii="Times New Roman" w:hAnsi="Times New Roman"/>
          <w:iCs/>
        </w:rPr>
        <w:t>at</w:t>
      </w:r>
      <w:r w:rsidRPr="004240EC">
        <w:rPr>
          <w:rFonts w:ascii="Times New Roman" w:hAnsi="Times New Roman"/>
          <w:iCs/>
        </w:rPr>
        <w:t xml:space="preserve"> 25 ± 2 °C under visible light (202 W m</w:t>
      </w:r>
      <w:r w:rsidRPr="004240EC">
        <w:rPr>
          <w:rFonts w:ascii="Times New Roman" w:hAnsi="Times New Roman"/>
          <w:iCs/>
          <w:vertAlign w:val="superscript"/>
        </w:rPr>
        <w:t>-2</w:t>
      </w:r>
      <w:r w:rsidRPr="004240EC">
        <w:rPr>
          <w:rFonts w:ascii="Times New Roman" w:hAnsi="Times New Roman"/>
          <w:iCs/>
        </w:rPr>
        <w:t xml:space="preserve">). The volume used was </w:t>
      </w:r>
      <w:r w:rsidR="007D6175" w:rsidRPr="004240EC">
        <w:rPr>
          <w:rFonts w:ascii="Times New Roman" w:hAnsi="Times New Roman"/>
          <w:iCs/>
        </w:rPr>
        <w:t>10</w:t>
      </w:r>
      <w:r w:rsidRPr="004240EC">
        <w:rPr>
          <w:rFonts w:ascii="Times New Roman" w:hAnsi="Times New Roman"/>
          <w:iCs/>
        </w:rPr>
        <w:t xml:space="preserve">0 mL in all experimental </w:t>
      </w:r>
      <w:r w:rsidR="002D4105" w:rsidRPr="004240EC">
        <w:rPr>
          <w:rFonts w:ascii="Times New Roman" w:hAnsi="Times New Roman"/>
          <w:iCs/>
        </w:rPr>
        <w:t xml:space="preserve">were carried out </w:t>
      </w:r>
      <w:r w:rsidR="00445B08" w:rsidRPr="004240EC">
        <w:rPr>
          <w:rFonts w:ascii="Times New Roman" w:hAnsi="Times New Roman"/>
          <w:iCs/>
        </w:rPr>
        <w:t xml:space="preserve">in duplicate with the following </w:t>
      </w:r>
      <w:r w:rsidR="00002215">
        <w:rPr>
          <w:rFonts w:ascii="Times New Roman" w:hAnsi="Times New Roman"/>
          <w:iCs/>
        </w:rPr>
        <w:t>conditions</w:t>
      </w:r>
      <w:r w:rsidR="00445B08" w:rsidRPr="004240EC">
        <w:rPr>
          <w:rFonts w:ascii="Times New Roman" w:hAnsi="Times New Roman"/>
          <w:iCs/>
        </w:rPr>
        <w:t>: [MB] = 200 mg L</w:t>
      </w:r>
      <w:r w:rsidR="00445B08" w:rsidRPr="004240EC">
        <w:rPr>
          <w:rFonts w:ascii="Times New Roman" w:hAnsi="Times New Roman"/>
          <w:iCs/>
          <w:vertAlign w:val="superscript"/>
        </w:rPr>
        <w:t>-1</w:t>
      </w:r>
      <w:r w:rsidR="00445B08" w:rsidRPr="004240EC">
        <w:rPr>
          <w:rFonts w:ascii="Times New Roman" w:hAnsi="Times New Roman"/>
          <w:iCs/>
        </w:rPr>
        <w:t>, [CuO-NPs@nANA]</w:t>
      </w:r>
      <w:r w:rsidR="00002215">
        <w:rPr>
          <w:rFonts w:ascii="Times New Roman" w:hAnsi="Times New Roman"/>
          <w:iCs/>
        </w:rPr>
        <w:t xml:space="preserve"> </w:t>
      </w:r>
      <w:r w:rsidR="00445B08" w:rsidRPr="004240EC">
        <w:rPr>
          <w:rFonts w:ascii="Times New Roman" w:hAnsi="Times New Roman"/>
          <w:iCs/>
        </w:rPr>
        <w:t>and pH 10</w:t>
      </w:r>
      <w:r w:rsidR="00910D03" w:rsidRPr="004240EC">
        <w:rPr>
          <w:rFonts w:ascii="Times New Roman" w:hAnsi="Times New Roman"/>
          <w:iCs/>
        </w:rPr>
        <w:t>.</w:t>
      </w:r>
    </w:p>
    <w:p w14:paraId="34879116" w14:textId="2D0CE05A" w:rsidR="00F2570C" w:rsidRPr="004240EC" w:rsidRDefault="00D974A0" w:rsidP="00F307A5">
      <w:pPr>
        <w:pStyle w:val="TAMainText"/>
        <w:ind w:firstLine="204"/>
        <w:rPr>
          <w:rFonts w:ascii="Times New Roman" w:hAnsi="Times New Roman"/>
          <w:iCs/>
        </w:rPr>
      </w:pPr>
      <w:r w:rsidRPr="004240EC">
        <w:rPr>
          <w:rFonts w:ascii="Times New Roman" w:hAnsi="Times New Roman"/>
          <w:iCs/>
        </w:rPr>
        <w:t>The experimental</w:t>
      </w:r>
      <w:r w:rsidR="00702C22" w:rsidRPr="004240EC">
        <w:rPr>
          <w:rFonts w:ascii="Times New Roman" w:hAnsi="Times New Roman"/>
          <w:iCs/>
        </w:rPr>
        <w:t xml:space="preserve"> </w:t>
      </w:r>
      <w:r w:rsidR="00483616" w:rsidRPr="004240EC">
        <w:rPr>
          <w:rFonts w:ascii="Times New Roman" w:hAnsi="Times New Roman"/>
          <w:iCs/>
        </w:rPr>
        <w:t>data of MB photocatalytic degradation</w:t>
      </w:r>
      <w:r w:rsidR="00702C22" w:rsidRPr="004240EC">
        <w:rPr>
          <w:rFonts w:ascii="Times New Roman" w:hAnsi="Times New Roman"/>
          <w:iCs/>
        </w:rPr>
        <w:t xml:space="preserve"> were adjusted to the Langmuir-Hinshelwood model</w:t>
      </w:r>
      <w:r w:rsidR="00002215">
        <w:rPr>
          <w:rFonts w:ascii="Times New Roman" w:hAnsi="Times New Roman"/>
          <w:iCs/>
        </w:rPr>
        <w:t xml:space="preserve"> (L-H)</w:t>
      </w:r>
      <w:r w:rsidR="00C75A6B" w:rsidRPr="004240EC">
        <w:rPr>
          <w:rFonts w:ascii="Times New Roman" w:hAnsi="Times New Roman"/>
          <w:iCs/>
        </w:rPr>
        <w:t xml:space="preserve">, according to the </w:t>
      </w:r>
      <w:r w:rsidR="00702C22" w:rsidRPr="004240EC">
        <w:rPr>
          <w:rFonts w:ascii="Times New Roman" w:hAnsi="Times New Roman"/>
          <w:iCs/>
        </w:rPr>
        <w:t xml:space="preserve">Eq. </w:t>
      </w:r>
      <w:r w:rsidR="00C75A6B" w:rsidRPr="004240EC">
        <w:rPr>
          <w:rFonts w:ascii="Times New Roman" w:hAnsi="Times New Roman"/>
          <w:iCs/>
        </w:rPr>
        <w:t>(</w:t>
      </w:r>
      <w:r w:rsidR="00702C22" w:rsidRPr="004240EC">
        <w:rPr>
          <w:rFonts w:ascii="Times New Roman" w:hAnsi="Times New Roman"/>
          <w:iCs/>
        </w:rPr>
        <w:t>1</w:t>
      </w:r>
      <w:r w:rsidR="00C75A6B" w:rsidRPr="004240EC">
        <w:rPr>
          <w:rFonts w:ascii="Times New Roman" w:hAnsi="Times New Roman"/>
          <w:iCs/>
        </w:rPr>
        <w:t>) (</w:t>
      </w:r>
      <w:r w:rsidR="00BB7A25">
        <w:rPr>
          <w:rFonts w:ascii="Times New Roman" w:hAnsi="Times New Roman"/>
          <w:iCs/>
        </w:rPr>
        <w:t>20</w:t>
      </w:r>
      <w:r w:rsidR="00C75A6B" w:rsidRPr="004240EC">
        <w:rPr>
          <w:rFonts w:ascii="Times New Roman" w:hAnsi="Times New Roman"/>
          <w:iCs/>
        </w:rPr>
        <w:t>)</w:t>
      </w:r>
      <w:r w:rsidR="00702C22" w:rsidRPr="004240EC">
        <w:rPr>
          <w:rFonts w:ascii="Times New Roman" w:hAnsi="Times New Roman"/>
          <w:iCs/>
        </w:rPr>
        <w:t>:</w:t>
      </w:r>
    </w:p>
    <w:p w14:paraId="2641B9FD" w14:textId="77777777" w:rsidR="00C75A6B" w:rsidRPr="004240EC" w:rsidRDefault="00C75A6B" w:rsidP="00493067">
      <w:pPr>
        <w:pStyle w:val="TAMainText"/>
        <w:ind w:firstLine="0"/>
        <w:rPr>
          <w:rFonts w:ascii="Times New Roman" w:hAnsi="Times New Roman"/>
          <w:iCs/>
          <w:lang w:val="pt-BR"/>
        </w:rPr>
      </w:pPr>
    </w:p>
    <w:tbl>
      <w:tblPr>
        <w:tblStyle w:val="Tabelacomgrade"/>
        <w:tblW w:w="4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50"/>
      </w:tblGrid>
      <w:tr w:rsidR="00C75A6B" w:rsidRPr="004240EC" w14:paraId="4FA26751" w14:textId="77777777" w:rsidTr="00493067">
        <w:tc>
          <w:tcPr>
            <w:tcW w:w="4531" w:type="dxa"/>
          </w:tcPr>
          <w:p w14:paraId="4288E724" w14:textId="54186317" w:rsidR="00C75A6B" w:rsidRPr="004240EC" w:rsidRDefault="00000000" w:rsidP="00352143">
            <w:pPr>
              <w:pStyle w:val="TAMainText"/>
              <w:ind w:firstLine="0"/>
              <w:rPr>
                <w:rFonts w:ascii="Times New Roman" w:hAnsi="Times New Roman"/>
                <w:iCs/>
                <w:lang w:val="pt-BR"/>
              </w:rPr>
            </w:pPr>
            <m:oMathPara>
              <m:oMath>
                <m:func>
                  <m:funcPr>
                    <m:ctrlPr>
                      <w:rPr>
                        <w:rFonts w:ascii="Cambria Math" w:hAnsi="Cambria Math"/>
                        <w:iCs/>
                        <w:lang w:val="pt-BR"/>
                      </w:rPr>
                    </m:ctrlPr>
                  </m:funcPr>
                  <m:fName>
                    <m:r>
                      <m:rPr>
                        <m:sty m:val="p"/>
                      </m:rPr>
                      <w:rPr>
                        <w:rFonts w:ascii="Cambria Math" w:hAnsi="Cambria Math"/>
                        <w:lang w:val="pt-BR"/>
                      </w:rPr>
                      <m:t>ln</m:t>
                    </m:r>
                  </m:fName>
                  <m:e>
                    <m:d>
                      <m:dPr>
                        <m:ctrlPr>
                          <w:rPr>
                            <w:rFonts w:ascii="Cambria Math" w:hAnsi="Cambria Math"/>
                            <w:i/>
                            <w:iCs/>
                            <w:lang w:val="pt-BR"/>
                          </w:rPr>
                        </m:ctrlPr>
                      </m:dPr>
                      <m:e>
                        <m:sSub>
                          <m:sSubPr>
                            <m:ctrlPr>
                              <w:rPr>
                                <w:rFonts w:ascii="Cambria Math" w:hAnsi="Cambria Math"/>
                                <w:i/>
                                <w:iCs/>
                                <w:lang w:val="pt-BR"/>
                              </w:rPr>
                            </m:ctrlPr>
                          </m:sSubPr>
                          <m:e>
                            <m:r>
                              <w:rPr>
                                <w:rFonts w:ascii="Cambria Math" w:hAnsi="Cambria Math"/>
                                <w:lang w:val="pt-BR"/>
                              </w:rPr>
                              <m:t>C</m:t>
                            </m:r>
                          </m:e>
                          <m:sub>
                            <m:r>
                              <w:rPr>
                                <w:rFonts w:ascii="Cambria Math" w:hAnsi="Cambria Math"/>
                                <w:lang w:val="pt-BR"/>
                              </w:rPr>
                              <m:t>io</m:t>
                            </m:r>
                          </m:sub>
                        </m:sSub>
                        <m:r>
                          <w:rPr>
                            <w:rFonts w:ascii="Cambria Math" w:hAnsi="Cambria Math"/>
                            <w:lang w:val="pt-BR"/>
                          </w:rPr>
                          <m:t xml:space="preserve"> </m:t>
                        </m:r>
                        <m:sSubSup>
                          <m:sSubSupPr>
                            <m:ctrlPr>
                              <w:rPr>
                                <w:rFonts w:ascii="Cambria Math" w:hAnsi="Cambria Math"/>
                                <w:i/>
                                <w:lang w:val="pt-BR"/>
                              </w:rPr>
                            </m:ctrlPr>
                          </m:sSubSupPr>
                          <m:e>
                            <m:r>
                              <w:rPr>
                                <w:rFonts w:ascii="Cambria Math" w:hAnsi="Cambria Math"/>
                                <w:lang w:val="pt-BR"/>
                              </w:rPr>
                              <m:t>C</m:t>
                            </m:r>
                          </m:e>
                          <m:sub>
                            <m:r>
                              <w:rPr>
                                <w:rFonts w:ascii="Cambria Math" w:hAnsi="Cambria Math"/>
                                <w:lang w:val="pt-BR"/>
                              </w:rPr>
                              <m:t>i</m:t>
                            </m:r>
                          </m:sub>
                          <m:sup>
                            <m:r>
                              <w:rPr>
                                <w:rFonts w:ascii="Cambria Math" w:hAnsi="Cambria Math"/>
                                <w:lang w:val="pt-BR"/>
                              </w:rPr>
                              <m:t>-1</m:t>
                            </m:r>
                          </m:sup>
                        </m:sSubSup>
                        <m:ctrlPr>
                          <w:rPr>
                            <w:rFonts w:ascii="Cambria Math" w:hAnsi="Cambria Math"/>
                            <w:i/>
                            <w:lang w:val="pt-BR"/>
                          </w:rPr>
                        </m:ctrlPr>
                      </m:e>
                    </m:d>
                  </m:e>
                </m:func>
                <m:r>
                  <w:rPr>
                    <w:rFonts w:ascii="Cambria Math" w:hAnsi="Cambria Math"/>
                    <w:lang w:val="pt-BR"/>
                  </w:rPr>
                  <m:t>=k.t</m:t>
                </m:r>
              </m:oMath>
            </m:oMathPara>
          </w:p>
        </w:tc>
        <w:tc>
          <w:tcPr>
            <w:tcW w:w="236" w:type="dxa"/>
            <w:vAlign w:val="center"/>
          </w:tcPr>
          <w:p w14:paraId="19182DD1" w14:textId="2C2E3090" w:rsidR="00C75A6B" w:rsidRPr="004240EC" w:rsidRDefault="00C75A6B" w:rsidP="00493067">
            <w:pPr>
              <w:pStyle w:val="TAMainText"/>
              <w:ind w:firstLine="0"/>
              <w:jc w:val="center"/>
              <w:rPr>
                <w:rFonts w:ascii="Times New Roman" w:hAnsi="Times New Roman"/>
                <w:iCs/>
                <w:lang w:val="pt-BR"/>
              </w:rPr>
            </w:pPr>
            <w:r w:rsidRPr="004240EC">
              <w:rPr>
                <w:rFonts w:ascii="Times New Roman" w:hAnsi="Times New Roman"/>
                <w:iCs/>
                <w:lang w:val="pt-BR"/>
              </w:rPr>
              <w:t>(1)</w:t>
            </w:r>
          </w:p>
        </w:tc>
      </w:tr>
    </w:tbl>
    <w:p w14:paraId="181FEB15" w14:textId="77777777" w:rsidR="00C75A6B" w:rsidRPr="004240EC" w:rsidRDefault="00C75A6B" w:rsidP="00F307A5">
      <w:pPr>
        <w:pStyle w:val="TAMainText"/>
        <w:ind w:firstLine="0"/>
        <w:rPr>
          <w:rFonts w:ascii="Times New Roman" w:hAnsi="Times New Roman"/>
          <w:iCs/>
        </w:rPr>
      </w:pPr>
    </w:p>
    <w:p w14:paraId="5671326D" w14:textId="6D46818F" w:rsidR="00B526B1" w:rsidRDefault="00702C22" w:rsidP="00B526B1">
      <w:pPr>
        <w:pStyle w:val="TAMainText"/>
        <w:ind w:firstLine="0"/>
        <w:rPr>
          <w:rFonts w:ascii="Times New Roman" w:hAnsi="Times New Roman"/>
          <w:iCs/>
        </w:rPr>
      </w:pPr>
      <w:r w:rsidRPr="004240EC">
        <w:rPr>
          <w:rFonts w:ascii="Times New Roman" w:hAnsi="Times New Roman"/>
          <w:iCs/>
        </w:rPr>
        <w:t xml:space="preserve">Where </w:t>
      </w:r>
      <w:r w:rsidRPr="004240EC">
        <w:rPr>
          <w:rFonts w:ascii="Times New Roman" w:hAnsi="Times New Roman"/>
          <w:i/>
        </w:rPr>
        <w:t>C</w:t>
      </w:r>
      <w:r w:rsidR="00C75A6B" w:rsidRPr="004240EC">
        <w:rPr>
          <w:rFonts w:ascii="Times New Roman" w:hAnsi="Times New Roman"/>
          <w:i/>
          <w:vertAlign w:val="subscript"/>
        </w:rPr>
        <w:t>i</w:t>
      </w:r>
      <w:r w:rsidRPr="004240EC">
        <w:rPr>
          <w:rFonts w:ascii="Times New Roman" w:hAnsi="Times New Roman"/>
          <w:i/>
          <w:vertAlign w:val="subscript"/>
        </w:rPr>
        <w:t>0</w:t>
      </w:r>
      <w:r w:rsidRPr="004240EC">
        <w:rPr>
          <w:rFonts w:ascii="Times New Roman" w:hAnsi="Times New Roman"/>
          <w:iCs/>
        </w:rPr>
        <w:t xml:space="preserve"> and </w:t>
      </w:r>
      <w:r w:rsidRPr="004240EC">
        <w:rPr>
          <w:rFonts w:ascii="Times New Roman" w:hAnsi="Times New Roman"/>
          <w:i/>
        </w:rPr>
        <w:t>C</w:t>
      </w:r>
      <w:r w:rsidR="00C75A6B" w:rsidRPr="004240EC">
        <w:rPr>
          <w:rFonts w:ascii="Times New Roman" w:hAnsi="Times New Roman"/>
          <w:i/>
          <w:vertAlign w:val="subscript"/>
        </w:rPr>
        <w:t>i</w:t>
      </w:r>
      <w:r w:rsidRPr="004240EC">
        <w:rPr>
          <w:rFonts w:ascii="Times New Roman" w:hAnsi="Times New Roman"/>
          <w:iCs/>
        </w:rPr>
        <w:t xml:space="preserve"> are the initial concentration and concentration at time t, in mg L</w:t>
      </w:r>
      <w:r w:rsidRPr="004240EC">
        <w:rPr>
          <w:rFonts w:ascii="Times New Roman" w:hAnsi="Times New Roman"/>
          <w:iCs/>
          <w:vertAlign w:val="superscript"/>
        </w:rPr>
        <w:t>-1</w:t>
      </w:r>
      <w:r w:rsidRPr="004240EC">
        <w:rPr>
          <w:rFonts w:ascii="Times New Roman" w:hAnsi="Times New Roman"/>
          <w:iCs/>
        </w:rPr>
        <w:t xml:space="preserve">; </w:t>
      </w:r>
      <w:r w:rsidRPr="004240EC">
        <w:rPr>
          <w:rFonts w:ascii="Times New Roman" w:hAnsi="Times New Roman"/>
          <w:i/>
        </w:rPr>
        <w:t>k</w:t>
      </w:r>
      <w:r w:rsidRPr="004240EC">
        <w:rPr>
          <w:rFonts w:ascii="Times New Roman" w:hAnsi="Times New Roman"/>
          <w:iCs/>
        </w:rPr>
        <w:t xml:space="preserve"> is the</w:t>
      </w:r>
      <w:r w:rsidR="00C75A6B" w:rsidRPr="004240EC">
        <w:rPr>
          <w:rFonts w:ascii="Times New Roman" w:hAnsi="Times New Roman"/>
          <w:iCs/>
        </w:rPr>
        <w:t xml:space="preserve"> apparent rate of the pseudo first-order reaction </w:t>
      </w:r>
      <w:r w:rsidRPr="004240EC">
        <w:rPr>
          <w:rFonts w:ascii="Times New Roman" w:hAnsi="Times New Roman"/>
          <w:iCs/>
        </w:rPr>
        <w:t>(min</w:t>
      </w:r>
      <w:r w:rsidRPr="004240EC">
        <w:rPr>
          <w:rFonts w:ascii="Times New Roman" w:hAnsi="Times New Roman"/>
          <w:iCs/>
          <w:vertAlign w:val="superscript"/>
        </w:rPr>
        <w:t>-1</w:t>
      </w:r>
      <w:r w:rsidRPr="004240EC">
        <w:rPr>
          <w:rFonts w:ascii="Times New Roman" w:hAnsi="Times New Roman"/>
          <w:iCs/>
        </w:rPr>
        <w:t>);</w:t>
      </w:r>
      <w:r w:rsidR="00C75A6B" w:rsidRPr="004240EC">
        <w:rPr>
          <w:rFonts w:ascii="Times New Roman" w:hAnsi="Times New Roman"/>
          <w:iCs/>
        </w:rPr>
        <w:t xml:space="preserve"> and</w:t>
      </w:r>
      <w:r w:rsidRPr="004240EC">
        <w:rPr>
          <w:rFonts w:ascii="Times New Roman" w:hAnsi="Times New Roman"/>
          <w:iCs/>
        </w:rPr>
        <w:t xml:space="preserve"> </w:t>
      </w:r>
      <w:r w:rsidRPr="004240EC">
        <w:rPr>
          <w:rFonts w:ascii="Times New Roman" w:hAnsi="Times New Roman"/>
          <w:i/>
        </w:rPr>
        <w:t>t</w:t>
      </w:r>
      <w:r w:rsidRPr="004240EC">
        <w:rPr>
          <w:rFonts w:ascii="Times New Roman" w:hAnsi="Times New Roman"/>
          <w:iCs/>
        </w:rPr>
        <w:t xml:space="preserve"> is </w:t>
      </w:r>
      <w:r w:rsidR="00C75A6B" w:rsidRPr="004240EC">
        <w:rPr>
          <w:rFonts w:ascii="Times New Roman" w:hAnsi="Times New Roman"/>
          <w:iCs/>
        </w:rPr>
        <w:t>reaction time (</w:t>
      </w:r>
      <w:r w:rsidRPr="004240EC">
        <w:rPr>
          <w:rFonts w:ascii="Times New Roman" w:hAnsi="Times New Roman"/>
          <w:iCs/>
        </w:rPr>
        <w:t>min</w:t>
      </w:r>
      <w:r w:rsidR="00C75A6B" w:rsidRPr="004240EC">
        <w:rPr>
          <w:rFonts w:ascii="Times New Roman" w:hAnsi="Times New Roman"/>
          <w:iCs/>
        </w:rPr>
        <w:t>)</w:t>
      </w:r>
      <w:r w:rsidRPr="004240EC">
        <w:rPr>
          <w:rFonts w:ascii="Times New Roman" w:hAnsi="Times New Roman"/>
          <w:iCs/>
        </w:rPr>
        <w:t>.</w:t>
      </w:r>
    </w:p>
    <w:p w14:paraId="4B40FEC6" w14:textId="77777777" w:rsidR="00302382" w:rsidRPr="00302382" w:rsidRDefault="00302382" w:rsidP="00B526B1">
      <w:pPr>
        <w:pStyle w:val="TAMainText"/>
        <w:ind w:firstLine="0"/>
        <w:rPr>
          <w:rFonts w:ascii="Times New Roman" w:hAnsi="Times New Roman"/>
          <w:iCs/>
        </w:rPr>
      </w:pPr>
    </w:p>
    <w:p w14:paraId="34A46E7A" w14:textId="14B939EF" w:rsidR="00C23751" w:rsidRPr="004240EC" w:rsidRDefault="00C23751" w:rsidP="00C23751">
      <w:pPr>
        <w:pStyle w:val="TAMainText"/>
        <w:ind w:firstLine="0"/>
        <w:rPr>
          <w:rFonts w:ascii="Times New Roman" w:hAnsi="Times New Roman"/>
          <w:i/>
        </w:rPr>
      </w:pPr>
      <w:r w:rsidRPr="004240EC">
        <w:rPr>
          <w:rFonts w:ascii="Times New Roman" w:hAnsi="Times New Roman"/>
          <w:i/>
        </w:rPr>
        <w:t xml:space="preserve">Degradation </w:t>
      </w:r>
      <w:r w:rsidR="00CD5FB0">
        <w:rPr>
          <w:rFonts w:ascii="Times New Roman" w:hAnsi="Times New Roman"/>
          <w:i/>
        </w:rPr>
        <w:t>reaction pathway</w:t>
      </w:r>
    </w:p>
    <w:p w14:paraId="1F994CD7" w14:textId="659111C3" w:rsidR="008B69F3" w:rsidRDefault="008D1FF7" w:rsidP="00BB7A25">
      <w:pPr>
        <w:pStyle w:val="TAMainText"/>
        <w:ind w:firstLine="204"/>
        <w:rPr>
          <w:rFonts w:ascii="Times New Roman" w:hAnsi="Times New Roman"/>
        </w:rPr>
      </w:pPr>
      <w:bookmarkStart w:id="3" w:name="_Hlk134907547"/>
      <w:r w:rsidRPr="004240EC">
        <w:rPr>
          <w:rFonts w:ascii="Times New Roman" w:hAnsi="Times New Roman"/>
        </w:rPr>
        <w:t xml:space="preserve">To investigate a possible </w:t>
      </w:r>
      <w:r w:rsidR="00CD5FB0">
        <w:rPr>
          <w:rFonts w:ascii="Times New Roman" w:hAnsi="Times New Roman"/>
        </w:rPr>
        <w:t>reaction pathway</w:t>
      </w:r>
      <w:r w:rsidR="00BB7A25" w:rsidRPr="00BB7A25">
        <w:rPr>
          <w:rFonts w:ascii="Times New Roman" w:hAnsi="Times New Roman"/>
        </w:rPr>
        <w:t xml:space="preserve"> </w:t>
      </w:r>
      <w:r w:rsidRPr="004240EC">
        <w:rPr>
          <w:rFonts w:ascii="Times New Roman" w:hAnsi="Times New Roman"/>
        </w:rPr>
        <w:t xml:space="preserve">for the </w:t>
      </w:r>
      <w:r w:rsidR="002D4105" w:rsidRPr="004240EC">
        <w:rPr>
          <w:rFonts w:ascii="Times New Roman" w:hAnsi="Times New Roman"/>
        </w:rPr>
        <w:t xml:space="preserve">MB </w:t>
      </w:r>
      <w:r w:rsidRPr="004240EC">
        <w:rPr>
          <w:rFonts w:ascii="Times New Roman" w:hAnsi="Times New Roman"/>
        </w:rPr>
        <w:t xml:space="preserve">degradation, a </w:t>
      </w:r>
      <w:r w:rsidR="00BB7A25">
        <w:rPr>
          <w:rFonts w:ascii="Times New Roman" w:hAnsi="Times New Roman"/>
        </w:rPr>
        <w:t>ML</w:t>
      </w:r>
      <w:r w:rsidRPr="004240EC">
        <w:rPr>
          <w:rFonts w:ascii="Times New Roman" w:hAnsi="Times New Roman"/>
        </w:rPr>
        <w:t xml:space="preserve"> algorithm was used to propose a generalist equation for the </w:t>
      </w:r>
      <w:r w:rsidR="00CD5FB0">
        <w:rPr>
          <w:rFonts w:ascii="Times New Roman" w:hAnsi="Times New Roman"/>
        </w:rPr>
        <w:t>reaction pathway</w:t>
      </w:r>
      <w:r w:rsidRPr="004240EC">
        <w:rPr>
          <w:rFonts w:ascii="Times New Roman" w:hAnsi="Times New Roman"/>
        </w:rPr>
        <w:t xml:space="preserve"> taking place in 180 min under visible light. </w:t>
      </w:r>
      <w:r w:rsidR="00BB7A25">
        <w:rPr>
          <w:rFonts w:ascii="Times New Roman" w:hAnsi="Times New Roman"/>
        </w:rPr>
        <w:t>Thus</w:t>
      </w:r>
      <w:r w:rsidRPr="004240EC">
        <w:rPr>
          <w:rFonts w:ascii="Times New Roman" w:hAnsi="Times New Roman"/>
        </w:rPr>
        <w:t xml:space="preserve">, </w:t>
      </w:r>
      <w:r w:rsidR="00A0546A">
        <w:rPr>
          <w:rFonts w:ascii="Times New Roman" w:hAnsi="Times New Roman"/>
        </w:rPr>
        <w:t xml:space="preserve">two </w:t>
      </w:r>
      <w:r w:rsidRPr="004240EC">
        <w:rPr>
          <w:rFonts w:ascii="Times New Roman" w:hAnsi="Times New Roman"/>
        </w:rPr>
        <w:t>decision tree-based model</w:t>
      </w:r>
      <w:r w:rsidR="00BB7A25">
        <w:rPr>
          <w:rFonts w:ascii="Times New Roman" w:hAnsi="Times New Roman"/>
        </w:rPr>
        <w:t>s</w:t>
      </w:r>
      <w:r w:rsidRPr="004240EC">
        <w:rPr>
          <w:rFonts w:ascii="Times New Roman" w:hAnsi="Times New Roman"/>
        </w:rPr>
        <w:t xml:space="preserve"> (XGB </w:t>
      </w:r>
      <w:r w:rsidR="00A0546A">
        <w:rPr>
          <w:rFonts w:ascii="Times New Roman" w:hAnsi="Times New Roman"/>
        </w:rPr>
        <w:t xml:space="preserve">and RF </w:t>
      </w:r>
      <w:r w:rsidRPr="004240EC">
        <w:rPr>
          <w:rFonts w:ascii="Times New Roman" w:hAnsi="Times New Roman"/>
        </w:rPr>
        <w:t>algorithm)</w:t>
      </w:r>
      <w:r w:rsidR="00950C60" w:rsidRPr="004240EC">
        <w:rPr>
          <w:rFonts w:ascii="Times New Roman" w:hAnsi="Times New Roman"/>
        </w:rPr>
        <w:t xml:space="preserve"> </w:t>
      </w:r>
      <w:r w:rsidRPr="004240EC">
        <w:rPr>
          <w:rFonts w:ascii="Times New Roman" w:hAnsi="Times New Roman"/>
        </w:rPr>
        <w:t>w</w:t>
      </w:r>
      <w:r w:rsidR="00950C60" w:rsidRPr="004240EC">
        <w:rPr>
          <w:rFonts w:ascii="Times New Roman" w:hAnsi="Times New Roman"/>
        </w:rPr>
        <w:t>ere</w:t>
      </w:r>
      <w:r w:rsidRPr="004240EC">
        <w:rPr>
          <w:rFonts w:ascii="Times New Roman" w:hAnsi="Times New Roman"/>
        </w:rPr>
        <w:t xml:space="preserve"> used to predict the products and byproducts which appear with high frequency during and after the process. </w:t>
      </w:r>
      <w:r w:rsidR="00FF000D" w:rsidRPr="004240EC">
        <w:rPr>
          <w:rFonts w:ascii="Times New Roman" w:hAnsi="Times New Roman"/>
        </w:rPr>
        <w:t xml:space="preserve">7-fold cross validation (cv = 7) was used for all algorithms. The input variables (pH, nanocatalyst and dye concentration) and the response (mass-charge ratio) of the </w:t>
      </w:r>
      <w:r w:rsidR="00BB7A25">
        <w:rPr>
          <w:rFonts w:ascii="Times New Roman" w:hAnsi="Times New Roman"/>
        </w:rPr>
        <w:t>ML</w:t>
      </w:r>
      <w:r w:rsidR="00FF000D" w:rsidRPr="004240EC">
        <w:rPr>
          <w:rFonts w:ascii="Times New Roman" w:hAnsi="Times New Roman"/>
        </w:rPr>
        <w:t xml:space="preserve"> algorithm</w:t>
      </w:r>
      <w:r w:rsidRPr="004240EC">
        <w:rPr>
          <w:rFonts w:ascii="Times New Roman" w:hAnsi="Times New Roman"/>
        </w:rPr>
        <w:t xml:space="preserve"> </w:t>
      </w:r>
      <w:r w:rsidR="00FF000D" w:rsidRPr="004240EC">
        <w:rPr>
          <w:rFonts w:ascii="Times New Roman" w:hAnsi="Times New Roman"/>
        </w:rPr>
        <w:t>were data</w:t>
      </w:r>
      <w:r w:rsidRPr="004240EC">
        <w:rPr>
          <w:rFonts w:ascii="Times New Roman" w:hAnsi="Times New Roman"/>
        </w:rPr>
        <w:t xml:space="preserve"> reported </w:t>
      </w:r>
      <w:r w:rsidR="00BB7A25">
        <w:rPr>
          <w:rFonts w:ascii="Times New Roman" w:hAnsi="Times New Roman"/>
        </w:rPr>
        <w:t>by</w:t>
      </w:r>
      <w:r w:rsidRPr="004240EC">
        <w:rPr>
          <w:rFonts w:ascii="Times New Roman" w:hAnsi="Times New Roman"/>
        </w:rPr>
        <w:t xml:space="preserve"> GC-MS of scientific works that used heterogeneous </w:t>
      </w:r>
      <w:r w:rsidRPr="004240EC">
        <w:rPr>
          <w:rFonts w:ascii="Times New Roman" w:hAnsi="Times New Roman"/>
        </w:rPr>
        <w:lastRenderedPageBreak/>
        <w:t xml:space="preserve">photocatalysis </w:t>
      </w:r>
      <w:r w:rsidR="00BB7A25">
        <w:rPr>
          <w:rFonts w:ascii="Times New Roman" w:hAnsi="Times New Roman"/>
        </w:rPr>
        <w:t>in</w:t>
      </w:r>
      <w:r w:rsidRPr="004240EC">
        <w:rPr>
          <w:rFonts w:ascii="Times New Roman" w:hAnsi="Times New Roman"/>
        </w:rPr>
        <w:t xml:space="preserve"> </w:t>
      </w:r>
      <w:r w:rsidR="00BB7A25">
        <w:rPr>
          <w:rFonts w:ascii="Times New Roman" w:hAnsi="Times New Roman"/>
        </w:rPr>
        <w:t xml:space="preserve">the </w:t>
      </w:r>
      <w:r w:rsidR="00950C60" w:rsidRPr="004240EC">
        <w:rPr>
          <w:rFonts w:ascii="Times New Roman" w:hAnsi="Times New Roman"/>
        </w:rPr>
        <w:t>MB</w:t>
      </w:r>
      <w:r w:rsidRPr="004240EC">
        <w:rPr>
          <w:rFonts w:ascii="Times New Roman" w:hAnsi="Times New Roman"/>
        </w:rPr>
        <w:t xml:space="preserve"> </w:t>
      </w:r>
      <w:r w:rsidR="00BB7A25">
        <w:rPr>
          <w:rFonts w:ascii="Times New Roman" w:hAnsi="Times New Roman"/>
        </w:rPr>
        <w:t>degradation u</w:t>
      </w:r>
      <w:r w:rsidRPr="004240EC">
        <w:rPr>
          <w:rFonts w:ascii="Times New Roman" w:hAnsi="Times New Roman"/>
        </w:rPr>
        <w:t>nder visible light</w:t>
      </w:r>
      <w:r w:rsidR="00950C60" w:rsidRPr="004240EC">
        <w:rPr>
          <w:rFonts w:ascii="Times New Roman" w:hAnsi="Times New Roman"/>
        </w:rPr>
        <w:t>, using metallic</w:t>
      </w:r>
      <w:r w:rsidR="004D11B0" w:rsidRPr="004240EC">
        <w:rPr>
          <w:rFonts w:ascii="Times New Roman" w:hAnsi="Times New Roman"/>
        </w:rPr>
        <w:t xml:space="preserve"> heterogeneous supported nanocatalysts</w:t>
      </w:r>
      <w:r w:rsidRPr="004240EC">
        <w:rPr>
          <w:rFonts w:ascii="Times New Roman" w:hAnsi="Times New Roman"/>
        </w:rPr>
        <w:t>.</w:t>
      </w:r>
      <w:r w:rsidR="008B69F3" w:rsidRPr="004240EC">
        <w:rPr>
          <w:rFonts w:ascii="Times New Roman" w:hAnsi="Times New Roman"/>
        </w:rPr>
        <w:t xml:space="preserve"> Table 1 shows the configurations of each </w:t>
      </w:r>
      <w:r w:rsidR="00BB7A25">
        <w:rPr>
          <w:rFonts w:ascii="Times New Roman" w:hAnsi="Times New Roman"/>
        </w:rPr>
        <w:t>ML</w:t>
      </w:r>
      <w:r w:rsidR="008B69F3" w:rsidRPr="004240EC">
        <w:rPr>
          <w:rFonts w:ascii="Times New Roman" w:hAnsi="Times New Roman"/>
        </w:rPr>
        <w:t xml:space="preserve"> algorithm used in this work.</w:t>
      </w:r>
    </w:p>
    <w:bookmarkEnd w:id="3"/>
    <w:p w14:paraId="2B0BDE15" w14:textId="77777777" w:rsidR="00BB7A25" w:rsidRPr="004240EC" w:rsidRDefault="00BB7A25" w:rsidP="00BB7A25">
      <w:pPr>
        <w:pStyle w:val="TAMainText"/>
        <w:ind w:firstLine="204"/>
        <w:rPr>
          <w:rFonts w:ascii="Times New Roman" w:hAnsi="Times New Roman"/>
        </w:rPr>
      </w:pPr>
    </w:p>
    <w:p w14:paraId="57259C69" w14:textId="1ECF702E" w:rsidR="008B69F3" w:rsidRPr="004240EC" w:rsidRDefault="008B69F3" w:rsidP="00430E6A">
      <w:pPr>
        <w:pStyle w:val="VDTableTitle"/>
        <w:spacing w:after="120"/>
        <w:jc w:val="both"/>
        <w:rPr>
          <w:rFonts w:ascii="Times New Roman" w:hAnsi="Times New Roman"/>
          <w:iCs/>
        </w:rPr>
      </w:pPr>
      <w:r w:rsidRPr="004240EC">
        <w:rPr>
          <w:rFonts w:ascii="Times New Roman" w:hAnsi="Times New Roman"/>
          <w:b/>
        </w:rPr>
        <w:t xml:space="preserve">Table </w:t>
      </w:r>
      <w:r w:rsidR="002D4105" w:rsidRPr="004240EC">
        <w:rPr>
          <w:rFonts w:ascii="Times New Roman" w:hAnsi="Times New Roman"/>
          <w:b/>
        </w:rPr>
        <w:t>1</w:t>
      </w:r>
      <w:r w:rsidRPr="004240EC">
        <w:rPr>
          <w:rFonts w:ascii="Times New Roman" w:hAnsi="Times New Roman"/>
          <w:b/>
        </w:rPr>
        <w:t>.</w:t>
      </w:r>
      <w:r w:rsidRPr="004240EC">
        <w:rPr>
          <w:rFonts w:ascii="Times New Roman" w:hAnsi="Times New Roman"/>
        </w:rPr>
        <w:t xml:space="preserve"> </w:t>
      </w:r>
      <w:r w:rsidRPr="004240EC">
        <w:rPr>
          <w:rFonts w:ascii="Times New Roman" w:hAnsi="Times New Roman"/>
          <w:iCs/>
        </w:rPr>
        <w:t>Machine learning model configurations.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30"/>
        <w:gridCol w:w="3673"/>
        <w:gridCol w:w="455"/>
      </w:tblGrid>
      <w:tr w:rsidR="004240EC" w:rsidRPr="004240EC" w14:paraId="4A6DB51A" w14:textId="77777777" w:rsidTr="00F36C41">
        <w:trPr>
          <w:trHeight w:val="403"/>
          <w:jc w:val="center"/>
        </w:trPr>
        <w:tc>
          <w:tcPr>
            <w:tcW w:w="0" w:type="auto"/>
            <w:vAlign w:val="center"/>
          </w:tcPr>
          <w:p w14:paraId="58EE5859" w14:textId="77777777" w:rsidR="008B69F3" w:rsidRPr="004240EC" w:rsidRDefault="008B69F3" w:rsidP="00F36C41">
            <w:pPr>
              <w:pStyle w:val="SemEspaamento"/>
              <w:jc w:val="center"/>
              <w:rPr>
                <w:rFonts w:ascii="Times New Roman" w:hAnsi="Times New Roman" w:cs="Times New Roman"/>
                <w:b/>
                <w:bCs/>
                <w:sz w:val="18"/>
                <w:szCs w:val="18"/>
                <w:lang w:val="en-US"/>
              </w:rPr>
            </w:pPr>
            <w:r w:rsidRPr="004240EC">
              <w:rPr>
                <w:rFonts w:ascii="Times New Roman" w:hAnsi="Times New Roman" w:cs="Times New Roman"/>
                <w:b/>
                <w:bCs/>
                <w:sz w:val="18"/>
                <w:szCs w:val="18"/>
                <w:lang w:val="en-US"/>
              </w:rPr>
              <w:t>Model</w:t>
            </w:r>
          </w:p>
        </w:tc>
        <w:tc>
          <w:tcPr>
            <w:tcW w:w="0" w:type="auto"/>
            <w:vAlign w:val="center"/>
          </w:tcPr>
          <w:p w14:paraId="4AC03B94" w14:textId="77777777" w:rsidR="008B69F3" w:rsidRPr="004240EC" w:rsidRDefault="008B69F3" w:rsidP="00F36C41">
            <w:pPr>
              <w:pStyle w:val="SemEspaamento"/>
              <w:jc w:val="center"/>
              <w:rPr>
                <w:rFonts w:ascii="Times New Roman" w:hAnsi="Times New Roman" w:cs="Times New Roman"/>
                <w:b/>
                <w:bCs/>
                <w:sz w:val="18"/>
                <w:szCs w:val="18"/>
                <w:lang w:val="en-US"/>
              </w:rPr>
            </w:pPr>
            <w:r w:rsidRPr="004240EC">
              <w:rPr>
                <w:rFonts w:ascii="Times New Roman" w:hAnsi="Times New Roman" w:cs="Times New Roman"/>
                <w:b/>
                <w:bCs/>
                <w:sz w:val="18"/>
                <w:szCs w:val="18"/>
                <w:lang w:val="en-US"/>
              </w:rPr>
              <w:t>Configuration</w:t>
            </w:r>
          </w:p>
        </w:tc>
        <w:tc>
          <w:tcPr>
            <w:tcW w:w="0" w:type="auto"/>
            <w:vAlign w:val="center"/>
          </w:tcPr>
          <w:p w14:paraId="4BBA7029" w14:textId="77777777" w:rsidR="008B69F3" w:rsidRPr="004240EC" w:rsidRDefault="008B69F3" w:rsidP="00F36C41">
            <w:pPr>
              <w:pStyle w:val="SemEspaamento"/>
              <w:jc w:val="center"/>
              <w:rPr>
                <w:rFonts w:ascii="Times New Roman" w:hAnsi="Times New Roman" w:cs="Times New Roman"/>
                <w:b/>
                <w:bCs/>
                <w:sz w:val="18"/>
                <w:szCs w:val="18"/>
              </w:rPr>
            </w:pPr>
            <w:r w:rsidRPr="004240EC">
              <w:rPr>
                <w:rFonts w:ascii="Times New Roman" w:hAnsi="Times New Roman" w:cs="Times New Roman"/>
                <w:b/>
                <w:bCs/>
                <w:sz w:val="18"/>
                <w:szCs w:val="18"/>
              </w:rPr>
              <w:t>Ref.</w:t>
            </w:r>
          </w:p>
        </w:tc>
      </w:tr>
      <w:tr w:rsidR="004240EC" w:rsidRPr="004240EC" w14:paraId="77673407" w14:textId="77777777" w:rsidTr="0079019F">
        <w:trPr>
          <w:trHeight w:val="607"/>
          <w:jc w:val="center"/>
        </w:trPr>
        <w:tc>
          <w:tcPr>
            <w:tcW w:w="0" w:type="auto"/>
            <w:vAlign w:val="center"/>
          </w:tcPr>
          <w:p w14:paraId="0AAA4625" w14:textId="4DEE66A0" w:rsidR="008B69F3" w:rsidRPr="004240EC" w:rsidRDefault="00E06F2B" w:rsidP="00F36C41">
            <w:pPr>
              <w:pStyle w:val="TCTableBody"/>
              <w:spacing w:line="240" w:lineRule="auto"/>
              <w:jc w:val="center"/>
            </w:pPr>
            <w:r>
              <w:t>RF</w:t>
            </w:r>
          </w:p>
        </w:tc>
        <w:tc>
          <w:tcPr>
            <w:tcW w:w="0" w:type="auto"/>
            <w:vAlign w:val="center"/>
          </w:tcPr>
          <w:p w14:paraId="411F1648" w14:textId="1277FEC0" w:rsidR="00510300" w:rsidRPr="00510300" w:rsidRDefault="00510300" w:rsidP="00510300">
            <w:pPr>
              <w:pStyle w:val="SemEspaamento"/>
              <w:jc w:val="center"/>
              <w:rPr>
                <w:rFonts w:ascii="Times New Roman" w:hAnsi="Times New Roman" w:cs="Times New Roman"/>
                <w:sz w:val="18"/>
                <w:szCs w:val="18"/>
                <w:lang w:val="en-US"/>
              </w:rPr>
            </w:pPr>
            <w:r w:rsidRPr="00510300">
              <w:rPr>
                <w:rFonts w:ascii="Times New Roman" w:hAnsi="Times New Roman" w:cs="Times New Roman"/>
                <w:sz w:val="18"/>
                <w:szCs w:val="18"/>
                <w:lang w:val="en-US"/>
              </w:rPr>
              <w:t>Maximum depth trees: 1, 2, 3, 5, 7, 10, 15 m</w:t>
            </w:r>
          </w:p>
          <w:p w14:paraId="6EA4AB30" w14:textId="60A6A657" w:rsidR="00C23751" w:rsidRPr="004240EC" w:rsidRDefault="00510300" w:rsidP="00510300">
            <w:pPr>
              <w:pStyle w:val="SemEspaamento"/>
              <w:jc w:val="center"/>
              <w:rPr>
                <w:rFonts w:ascii="Times New Roman" w:hAnsi="Times New Roman" w:cs="Times New Roman"/>
                <w:sz w:val="18"/>
                <w:szCs w:val="18"/>
                <w:lang w:val="en-US"/>
              </w:rPr>
            </w:pPr>
            <w:r w:rsidRPr="00510300">
              <w:rPr>
                <w:rFonts w:ascii="Times New Roman" w:hAnsi="Times New Roman" w:cs="Times New Roman"/>
                <w:sz w:val="18"/>
                <w:szCs w:val="18"/>
                <w:lang w:val="en-US"/>
              </w:rPr>
              <w:t>Number of decision trees: 25, 50, 75, 100, 150</w:t>
            </w:r>
          </w:p>
        </w:tc>
        <w:tc>
          <w:tcPr>
            <w:tcW w:w="0" w:type="auto"/>
            <w:vAlign w:val="center"/>
          </w:tcPr>
          <w:p w14:paraId="3E485164" w14:textId="3C913186" w:rsidR="008B69F3" w:rsidRPr="004240EC" w:rsidRDefault="00A81C06" w:rsidP="00F36C41">
            <w:pPr>
              <w:pStyle w:val="TCTableBody"/>
              <w:spacing w:line="240" w:lineRule="auto"/>
              <w:jc w:val="center"/>
            </w:pPr>
            <w:r w:rsidRPr="004240EC">
              <w:t>(</w:t>
            </w:r>
            <w:r w:rsidR="00DF03A3" w:rsidRPr="004240EC">
              <w:t>2</w:t>
            </w:r>
            <w:r w:rsidR="006F0D13" w:rsidRPr="004240EC">
              <w:t>1</w:t>
            </w:r>
            <w:r w:rsidRPr="004240EC">
              <w:t>)</w:t>
            </w:r>
          </w:p>
        </w:tc>
      </w:tr>
      <w:tr w:rsidR="004240EC" w:rsidRPr="004240EC" w14:paraId="2ED1ECB7" w14:textId="77777777" w:rsidTr="00F36C41">
        <w:trPr>
          <w:trHeight w:val="837"/>
          <w:jc w:val="center"/>
        </w:trPr>
        <w:tc>
          <w:tcPr>
            <w:tcW w:w="0" w:type="auto"/>
            <w:tcBorders>
              <w:bottom w:val="single" w:sz="6" w:space="0" w:color="auto"/>
            </w:tcBorders>
            <w:vAlign w:val="center"/>
          </w:tcPr>
          <w:p w14:paraId="4D43F46B" w14:textId="77777777" w:rsidR="008B69F3" w:rsidRPr="004240EC" w:rsidRDefault="008B69F3" w:rsidP="00F36C41">
            <w:pPr>
              <w:pStyle w:val="TCTableBody"/>
              <w:spacing w:line="240" w:lineRule="auto"/>
              <w:jc w:val="center"/>
            </w:pPr>
            <w:r w:rsidRPr="004240EC">
              <w:t>XGB</w:t>
            </w:r>
          </w:p>
        </w:tc>
        <w:tc>
          <w:tcPr>
            <w:tcW w:w="0" w:type="auto"/>
            <w:tcBorders>
              <w:bottom w:val="single" w:sz="6" w:space="0" w:color="auto"/>
            </w:tcBorders>
            <w:vAlign w:val="center"/>
          </w:tcPr>
          <w:p w14:paraId="43047AB9" w14:textId="11591606" w:rsidR="008B69F3" w:rsidRPr="004240EC" w:rsidRDefault="008B69F3" w:rsidP="00F36C41">
            <w:pPr>
              <w:pStyle w:val="SemEspaamento"/>
              <w:jc w:val="center"/>
              <w:rPr>
                <w:rFonts w:ascii="Times New Roman" w:hAnsi="Times New Roman" w:cs="Times New Roman"/>
                <w:sz w:val="18"/>
                <w:szCs w:val="18"/>
                <w:lang w:val="en-US"/>
              </w:rPr>
            </w:pPr>
            <w:r w:rsidRPr="004240EC">
              <w:rPr>
                <w:rFonts w:ascii="Times New Roman" w:hAnsi="Times New Roman" w:cs="Times New Roman"/>
                <w:sz w:val="18"/>
                <w:szCs w:val="18"/>
                <w:lang w:val="en-US"/>
              </w:rPr>
              <w:t>Maximum depth</w:t>
            </w:r>
            <w:r w:rsidR="00C23751" w:rsidRPr="004240EC">
              <w:rPr>
                <w:rFonts w:ascii="Times New Roman" w:hAnsi="Times New Roman" w:cs="Times New Roman"/>
                <w:sz w:val="18"/>
                <w:szCs w:val="18"/>
                <w:lang w:val="en-US"/>
              </w:rPr>
              <w:t xml:space="preserve"> of the</w:t>
            </w:r>
            <w:r w:rsidRPr="004240EC">
              <w:rPr>
                <w:rFonts w:ascii="Times New Roman" w:hAnsi="Times New Roman" w:cs="Times New Roman"/>
                <w:sz w:val="18"/>
                <w:szCs w:val="18"/>
                <w:lang w:val="en-US"/>
              </w:rPr>
              <w:t xml:space="preserve"> trees: </w:t>
            </w:r>
            <w:r w:rsidR="00C23751" w:rsidRPr="004240EC">
              <w:rPr>
                <w:rFonts w:ascii="Times New Roman" w:hAnsi="Times New Roman" w:cs="Times New Roman"/>
                <w:sz w:val="18"/>
                <w:szCs w:val="18"/>
                <w:lang w:val="en-US"/>
              </w:rPr>
              <w:t>10, 20, 30, 50, 100, 200</w:t>
            </w:r>
            <w:r w:rsidRPr="004240EC">
              <w:rPr>
                <w:rFonts w:ascii="Times New Roman" w:hAnsi="Times New Roman" w:cs="Times New Roman"/>
                <w:sz w:val="18"/>
                <w:szCs w:val="18"/>
                <w:lang w:val="en-US"/>
              </w:rPr>
              <w:t xml:space="preserve"> m</w:t>
            </w:r>
          </w:p>
          <w:p w14:paraId="1DE4DA7C" w14:textId="77777777" w:rsidR="008B69F3" w:rsidRPr="004240EC" w:rsidRDefault="008B69F3" w:rsidP="00F36C41">
            <w:pPr>
              <w:pStyle w:val="SemEspaamento"/>
              <w:jc w:val="center"/>
              <w:rPr>
                <w:lang w:val="en-US"/>
              </w:rPr>
            </w:pPr>
            <w:r w:rsidRPr="004240EC">
              <w:rPr>
                <w:rFonts w:ascii="Times New Roman" w:hAnsi="Times New Roman" w:cs="Times New Roman"/>
                <w:sz w:val="18"/>
                <w:szCs w:val="18"/>
                <w:lang w:val="en-US"/>
              </w:rPr>
              <w:t>Sampling: bootstrapping</w:t>
            </w:r>
          </w:p>
        </w:tc>
        <w:tc>
          <w:tcPr>
            <w:tcW w:w="0" w:type="auto"/>
            <w:tcBorders>
              <w:bottom w:val="single" w:sz="6" w:space="0" w:color="auto"/>
            </w:tcBorders>
            <w:vAlign w:val="center"/>
          </w:tcPr>
          <w:p w14:paraId="6F9E8143" w14:textId="366CD8BC" w:rsidR="008B69F3" w:rsidRPr="004240EC" w:rsidRDefault="00A81C06" w:rsidP="00F36C41">
            <w:pPr>
              <w:pStyle w:val="TCTableBody"/>
              <w:spacing w:line="240" w:lineRule="auto"/>
              <w:jc w:val="center"/>
            </w:pPr>
            <w:r w:rsidRPr="004240EC">
              <w:t>(</w:t>
            </w:r>
            <w:r w:rsidR="00DF03A3" w:rsidRPr="004240EC">
              <w:t>22</w:t>
            </w:r>
            <w:r w:rsidRPr="004240EC">
              <w:t>)</w:t>
            </w:r>
          </w:p>
        </w:tc>
      </w:tr>
    </w:tbl>
    <w:p w14:paraId="72B5F008" w14:textId="77777777" w:rsidR="00BB7A25" w:rsidRDefault="00BB7A25" w:rsidP="00F2570C">
      <w:pPr>
        <w:pStyle w:val="TAMainText"/>
        <w:rPr>
          <w:rFonts w:ascii="Times New Roman" w:hAnsi="Times New Roman"/>
        </w:rPr>
      </w:pPr>
    </w:p>
    <w:p w14:paraId="121AA1EE" w14:textId="59444B4A" w:rsidR="00C23751" w:rsidRDefault="00C23751" w:rsidP="00F2570C">
      <w:pPr>
        <w:pStyle w:val="TAMainText"/>
        <w:rPr>
          <w:rFonts w:ascii="Times New Roman" w:hAnsi="Times New Roman"/>
        </w:rPr>
      </w:pPr>
      <w:r w:rsidRPr="004240EC">
        <w:rPr>
          <w:rFonts w:ascii="Times New Roman" w:hAnsi="Times New Roman"/>
        </w:rPr>
        <w:t xml:space="preserve">According to Table </w:t>
      </w:r>
      <w:r w:rsidR="002D4105" w:rsidRPr="004240EC">
        <w:rPr>
          <w:rFonts w:ascii="Times New Roman" w:hAnsi="Times New Roman"/>
        </w:rPr>
        <w:t>1</w:t>
      </w:r>
      <w:r w:rsidRPr="004240EC">
        <w:rPr>
          <w:rFonts w:ascii="Times New Roman" w:hAnsi="Times New Roman"/>
        </w:rPr>
        <w:t xml:space="preserve">, </w:t>
      </w:r>
      <w:r w:rsidR="00BB7A25">
        <w:rPr>
          <w:rFonts w:ascii="Times New Roman" w:hAnsi="Times New Roman"/>
        </w:rPr>
        <w:t>RF was i</w:t>
      </w:r>
      <w:r w:rsidRPr="004240EC">
        <w:rPr>
          <w:rFonts w:ascii="Times New Roman" w:hAnsi="Times New Roman"/>
        </w:rPr>
        <w:t xml:space="preserve">nvestigated in terms of </w:t>
      </w:r>
      <w:r w:rsidR="00C65B00">
        <w:rPr>
          <w:rFonts w:ascii="Times New Roman" w:hAnsi="Times New Roman"/>
        </w:rPr>
        <w:t>number of decision trees and their maximum depth</w:t>
      </w:r>
      <w:r w:rsidRPr="004240EC">
        <w:rPr>
          <w:rFonts w:ascii="Times New Roman" w:hAnsi="Times New Roman"/>
        </w:rPr>
        <w:t xml:space="preserve">. Regarding XGB, the maximum depth of the trees of the model was varied to find the increase </w:t>
      </w:r>
      <w:r w:rsidR="00BB7A25">
        <w:rPr>
          <w:rFonts w:ascii="Times New Roman" w:hAnsi="Times New Roman"/>
        </w:rPr>
        <w:t xml:space="preserve">in </w:t>
      </w:r>
      <w:r w:rsidRPr="004240EC">
        <w:rPr>
          <w:rFonts w:ascii="Times New Roman" w:hAnsi="Times New Roman"/>
        </w:rPr>
        <w:t xml:space="preserve">the computational and learning power of the regression model. The </w:t>
      </w:r>
      <w:r w:rsidR="00062A2E" w:rsidRPr="004240EC">
        <w:rPr>
          <w:rFonts w:ascii="Times New Roman" w:hAnsi="Times New Roman"/>
        </w:rPr>
        <w:t xml:space="preserve">criteria </w:t>
      </w:r>
      <w:r w:rsidR="00327929" w:rsidRPr="004240EC">
        <w:rPr>
          <w:rFonts w:ascii="Times New Roman" w:hAnsi="Times New Roman"/>
        </w:rPr>
        <w:t>adopted</w:t>
      </w:r>
      <w:r w:rsidR="00062A2E" w:rsidRPr="004240EC">
        <w:rPr>
          <w:rFonts w:ascii="Times New Roman" w:hAnsi="Times New Roman"/>
        </w:rPr>
        <w:t xml:space="preserve"> for the </w:t>
      </w:r>
      <w:r w:rsidRPr="004240EC">
        <w:rPr>
          <w:rFonts w:ascii="Times New Roman" w:hAnsi="Times New Roman"/>
        </w:rPr>
        <w:t>select</w:t>
      </w:r>
      <w:r w:rsidR="00062A2E" w:rsidRPr="004240EC">
        <w:rPr>
          <w:rFonts w:ascii="Times New Roman" w:hAnsi="Times New Roman"/>
        </w:rPr>
        <w:t xml:space="preserve">ion of the </w:t>
      </w:r>
      <w:r w:rsidR="00327929" w:rsidRPr="004240EC">
        <w:rPr>
          <w:rFonts w:ascii="Times New Roman" w:hAnsi="Times New Roman"/>
        </w:rPr>
        <w:t>model</w:t>
      </w:r>
      <w:r w:rsidRPr="004240EC">
        <w:rPr>
          <w:rFonts w:ascii="Times New Roman" w:hAnsi="Times New Roman"/>
        </w:rPr>
        <w:t xml:space="preserve"> </w:t>
      </w:r>
      <w:r w:rsidR="00327929" w:rsidRPr="004240EC">
        <w:rPr>
          <w:rFonts w:ascii="Times New Roman" w:hAnsi="Times New Roman"/>
        </w:rPr>
        <w:t>used to</w:t>
      </w:r>
      <w:r w:rsidR="00062A2E" w:rsidRPr="004240EC">
        <w:rPr>
          <w:rFonts w:ascii="Times New Roman" w:hAnsi="Times New Roman"/>
        </w:rPr>
        <w:t xml:space="preserve"> propos</w:t>
      </w:r>
      <w:r w:rsidR="00327929" w:rsidRPr="004240EC">
        <w:rPr>
          <w:rFonts w:ascii="Times New Roman" w:hAnsi="Times New Roman"/>
        </w:rPr>
        <w:t>e</w:t>
      </w:r>
      <w:r w:rsidR="00062A2E" w:rsidRPr="004240EC">
        <w:rPr>
          <w:rFonts w:ascii="Times New Roman" w:hAnsi="Times New Roman"/>
        </w:rPr>
        <w:t xml:space="preserve"> the </w:t>
      </w:r>
      <w:r w:rsidR="00CD5FB0">
        <w:rPr>
          <w:rFonts w:ascii="Times New Roman" w:hAnsi="Times New Roman"/>
        </w:rPr>
        <w:t>reaction pathway</w:t>
      </w:r>
      <w:r w:rsidR="00BB7A25">
        <w:rPr>
          <w:rFonts w:ascii="Times New Roman" w:hAnsi="Times New Roman"/>
        </w:rPr>
        <w:t xml:space="preserve"> </w:t>
      </w:r>
      <w:r w:rsidR="00062A2E" w:rsidRPr="004240EC">
        <w:rPr>
          <w:rFonts w:ascii="Times New Roman" w:hAnsi="Times New Roman"/>
        </w:rPr>
        <w:t>of the MB degradation</w:t>
      </w:r>
      <w:r w:rsidR="00327929" w:rsidRPr="004240EC">
        <w:rPr>
          <w:rFonts w:ascii="Times New Roman" w:hAnsi="Times New Roman"/>
        </w:rPr>
        <w:t xml:space="preserve"> were the algorithm with </w:t>
      </w:r>
      <w:r w:rsidR="00BB7A25">
        <w:rPr>
          <w:rFonts w:ascii="Times New Roman" w:hAnsi="Times New Roman"/>
        </w:rPr>
        <w:t xml:space="preserve">the </w:t>
      </w:r>
      <w:r w:rsidR="00327929" w:rsidRPr="004240EC">
        <w:rPr>
          <w:rFonts w:ascii="Times New Roman" w:hAnsi="Times New Roman"/>
        </w:rPr>
        <w:t>highest determination coefficient (R²</w:t>
      </w:r>
      <w:r w:rsidR="00493067">
        <w:rPr>
          <w:rFonts w:ascii="Times New Roman" w:hAnsi="Times New Roman"/>
        </w:rPr>
        <w:t xml:space="preserve"> - Eq. 2</w:t>
      </w:r>
      <w:r w:rsidR="00327929" w:rsidRPr="004240EC">
        <w:rPr>
          <w:rFonts w:ascii="Times New Roman" w:hAnsi="Times New Roman"/>
        </w:rPr>
        <w:t xml:space="preserve">) and </w:t>
      </w:r>
      <w:r w:rsidR="00493067" w:rsidRPr="00493067">
        <w:rPr>
          <w:rFonts w:ascii="Times New Roman" w:hAnsi="Times New Roman"/>
        </w:rPr>
        <w:t xml:space="preserve">the root mean squared error </w:t>
      </w:r>
      <w:r w:rsidR="00327929" w:rsidRPr="004240EC">
        <w:rPr>
          <w:rFonts w:ascii="Times New Roman" w:hAnsi="Times New Roman"/>
        </w:rPr>
        <w:t>(RMSE</w:t>
      </w:r>
      <w:r w:rsidR="00493067">
        <w:rPr>
          <w:rFonts w:ascii="Times New Roman" w:hAnsi="Times New Roman"/>
        </w:rPr>
        <w:t xml:space="preserve"> – Eq. 3</w:t>
      </w:r>
      <w:r w:rsidR="00327929" w:rsidRPr="004240EC">
        <w:rPr>
          <w:rFonts w:ascii="Times New Roman" w:hAnsi="Times New Roman"/>
        </w:rPr>
        <w:t>) for training and testing dataset.</w:t>
      </w:r>
    </w:p>
    <w:p w14:paraId="7394F8B2" w14:textId="77777777" w:rsidR="00493067" w:rsidRPr="004240EC" w:rsidRDefault="00493067" w:rsidP="00493067">
      <w:pPr>
        <w:pStyle w:val="TAMainText"/>
        <w:ind w:firstLine="0"/>
        <w:rPr>
          <w:rFonts w:ascii="Times New Roman" w:hAnsi="Times New Roman"/>
          <w:iCs/>
          <w:lang w:val="pt-BR"/>
        </w:rPr>
      </w:pPr>
    </w:p>
    <w:tbl>
      <w:tblPr>
        <w:tblStyle w:val="Tabelacomgrade"/>
        <w:tblW w:w="4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50"/>
      </w:tblGrid>
      <w:tr w:rsidR="00493067" w:rsidRPr="004240EC" w14:paraId="290B4932" w14:textId="77777777" w:rsidTr="00493067">
        <w:tc>
          <w:tcPr>
            <w:tcW w:w="4531" w:type="dxa"/>
          </w:tcPr>
          <w:p w14:paraId="3515AED7" w14:textId="5598A239" w:rsidR="00493067" w:rsidRPr="004240EC" w:rsidRDefault="00000000" w:rsidP="00493067">
            <w:pPr>
              <w:pStyle w:val="SemEspaamento"/>
              <w:rPr>
                <w:rFonts w:ascii="Times New Roman" w:hAnsi="Times New Roman"/>
                <w:iCs/>
              </w:rPr>
            </w:pPr>
            <m:oMathPara>
              <m:oMath>
                <m:sSup>
                  <m:sSupPr>
                    <m:ctrlPr>
                      <w:rPr>
                        <w:rFonts w:ascii="Cambria Math" w:eastAsia="Cambria Math" w:hAnsi="Cambria Math"/>
                        <w:iCs/>
                      </w:rPr>
                    </m:ctrlPr>
                  </m:sSupPr>
                  <m:e>
                    <m:r>
                      <w:rPr>
                        <w:rFonts w:ascii="Cambria Math" w:eastAsia="Cambria Math" w:hAnsi="Cambria Math"/>
                      </w:rPr>
                      <m:t>R</m:t>
                    </m:r>
                  </m:e>
                  <m:sup>
                    <m:r>
                      <m:rPr>
                        <m:sty m:val="p"/>
                      </m:rPr>
                      <w:rPr>
                        <w:rFonts w:ascii="Cambria Math" w:eastAsia="Cambria Math" w:hAnsi="Cambria Math"/>
                      </w:rPr>
                      <m:t>2</m:t>
                    </m:r>
                  </m:sup>
                </m:sSup>
                <m:r>
                  <m:rPr>
                    <m:sty m:val="p"/>
                  </m:rPr>
                  <w:rPr>
                    <w:rFonts w:ascii="Cambria Math" w:eastAsia="Cambria Math" w:hAnsi="Cambria Math"/>
                  </w:rPr>
                  <m:t>=1-</m:t>
                </m:r>
                <m:f>
                  <m:fPr>
                    <m:ctrlPr>
                      <w:rPr>
                        <w:rFonts w:ascii="Cambria Math" w:eastAsia="Cambria Math" w:hAnsi="Cambria Math"/>
                        <w:iCs/>
                      </w:rPr>
                    </m:ctrlPr>
                  </m:fPr>
                  <m:num>
                    <m:nary>
                      <m:naryPr>
                        <m:chr m:val="∑"/>
                        <m:limLoc m:val="undOvr"/>
                        <m:ctrlPr>
                          <w:rPr>
                            <w:rFonts w:ascii="Cambria Math" w:eastAsia="Cambria Math" w:hAnsi="Cambria Math"/>
                            <w:iCs/>
                          </w:rPr>
                        </m:ctrlPr>
                      </m:naryPr>
                      <m:sub>
                        <m:r>
                          <w:rPr>
                            <w:rFonts w:ascii="Cambria Math" w:eastAsia="Cambria Math" w:hAnsi="Cambria Math"/>
                          </w:rPr>
                          <m:t>i</m:t>
                        </m:r>
                        <m:r>
                          <m:rPr>
                            <m:sty m:val="p"/>
                          </m:rPr>
                          <w:rPr>
                            <w:rFonts w:ascii="Cambria Math" w:eastAsia="Cambria Math" w:hAnsi="Cambria Math"/>
                          </w:rPr>
                          <m:t>=1</m:t>
                        </m:r>
                      </m:sub>
                      <m:sup>
                        <m:r>
                          <w:rPr>
                            <w:rFonts w:ascii="Cambria Math" w:eastAsia="Cambria Math" w:hAnsi="Cambria Math"/>
                          </w:rPr>
                          <m:t>N</m:t>
                        </m:r>
                      </m:sup>
                      <m:e>
                        <m:sSup>
                          <m:sSupPr>
                            <m:ctrlPr>
                              <w:rPr>
                                <w:rFonts w:ascii="Cambria Math" w:eastAsia="Cambria Math" w:hAnsi="Cambria Math"/>
                                <w:iCs/>
                              </w:rPr>
                            </m:ctrlPr>
                          </m:sSupPr>
                          <m:e>
                            <m:r>
                              <m:rPr>
                                <m:sty m:val="p"/>
                              </m:rPr>
                              <w:rPr>
                                <w:rFonts w:ascii="Cambria Math" w:eastAsia="Cambria Math" w:hAnsi="Cambria Math"/>
                              </w:rPr>
                              <m:t>(</m:t>
                            </m:r>
                            <m:sSub>
                              <m:sSubPr>
                                <m:ctrlPr>
                                  <w:rPr>
                                    <w:rFonts w:ascii="Cambria Math" w:eastAsia="Cambria Math" w:hAnsi="Cambria Math"/>
                                    <w:iCs/>
                                  </w:rPr>
                                </m:ctrlPr>
                              </m:sSubPr>
                              <m:e>
                                <m:r>
                                  <w:rPr>
                                    <w:rFonts w:ascii="Cambria Math" w:eastAsia="Cambria Math" w:hAnsi="Cambria Math"/>
                                  </w:rPr>
                                  <m:t>y</m:t>
                                </m:r>
                              </m:e>
                              <m:sub>
                                <m:r>
                                  <w:rPr>
                                    <w:rFonts w:ascii="Cambria Math" w:eastAsia="Cambria Math" w:hAnsi="Cambria Math"/>
                                  </w:rPr>
                                  <m:t>i</m:t>
                                </m:r>
                                <m:r>
                                  <m:rPr>
                                    <m:sty m:val="p"/>
                                  </m:rPr>
                                  <w:rPr>
                                    <w:rFonts w:ascii="Cambria Math" w:eastAsia="Cambria Math" w:hAnsi="Cambria Math"/>
                                  </w:rPr>
                                  <m:t>,</m:t>
                                </m:r>
                                <m:r>
                                  <w:rPr>
                                    <w:rFonts w:ascii="Cambria Math" w:eastAsia="Cambria Math" w:hAnsi="Cambria Math"/>
                                  </w:rPr>
                                  <m:t>exp</m:t>
                                </m:r>
                              </m:sub>
                            </m:sSub>
                            <m:r>
                              <m:rPr>
                                <m:sty m:val="p"/>
                              </m:rPr>
                              <w:rPr>
                                <w:rFonts w:ascii="Cambria Math" w:eastAsia="Cambria Math" w:hAnsi="Cambria Math"/>
                              </w:rPr>
                              <m:t>-</m:t>
                            </m:r>
                            <m:sSub>
                              <m:sSubPr>
                                <m:ctrlPr>
                                  <w:rPr>
                                    <w:rFonts w:ascii="Cambria Math" w:eastAsia="Cambria Math" w:hAnsi="Cambria Math"/>
                                    <w:iCs/>
                                  </w:rPr>
                                </m:ctrlPr>
                              </m:sSubPr>
                              <m:e>
                                <m:r>
                                  <w:rPr>
                                    <w:rFonts w:ascii="Cambria Math" w:eastAsia="Cambria Math" w:hAnsi="Cambria Math"/>
                                  </w:rPr>
                                  <m:t>y</m:t>
                                </m:r>
                              </m:e>
                              <m:sub>
                                <m:r>
                                  <w:rPr>
                                    <w:rFonts w:ascii="Cambria Math" w:eastAsia="Cambria Math" w:hAnsi="Cambria Math"/>
                                  </w:rPr>
                                  <m:t>i</m:t>
                                </m:r>
                                <m:r>
                                  <m:rPr>
                                    <m:sty m:val="p"/>
                                  </m:rPr>
                                  <w:rPr>
                                    <w:rFonts w:ascii="Cambria Math" w:eastAsia="Cambria Math" w:hAnsi="Cambria Math"/>
                                  </w:rPr>
                                  <m:t>,</m:t>
                                </m:r>
                                <m:r>
                                  <w:rPr>
                                    <w:rFonts w:ascii="Cambria Math" w:eastAsia="Cambria Math" w:hAnsi="Cambria Math"/>
                                  </w:rPr>
                                  <m:t>pred</m:t>
                                </m:r>
                              </m:sub>
                            </m:sSub>
                            <m:r>
                              <m:rPr>
                                <m:sty m:val="p"/>
                              </m:rPr>
                              <w:rPr>
                                <w:rFonts w:ascii="Cambria Math" w:eastAsia="Cambria Math" w:hAnsi="Cambria Math"/>
                              </w:rPr>
                              <m:t>)</m:t>
                            </m:r>
                          </m:e>
                          <m:sup>
                            <m:r>
                              <m:rPr>
                                <m:sty m:val="p"/>
                              </m:rPr>
                              <w:rPr>
                                <w:rFonts w:ascii="Cambria Math" w:eastAsia="Cambria Math" w:hAnsi="Cambria Math"/>
                              </w:rPr>
                              <m:t>2</m:t>
                            </m:r>
                          </m:sup>
                        </m:sSup>
                      </m:e>
                    </m:nary>
                  </m:num>
                  <m:den>
                    <m:nary>
                      <m:naryPr>
                        <m:chr m:val="∑"/>
                        <m:limLoc m:val="undOvr"/>
                        <m:ctrlPr>
                          <w:rPr>
                            <w:rFonts w:ascii="Cambria Math" w:eastAsia="Cambria Math" w:hAnsi="Cambria Math"/>
                            <w:iCs/>
                          </w:rPr>
                        </m:ctrlPr>
                      </m:naryPr>
                      <m:sub>
                        <m:r>
                          <w:rPr>
                            <w:rFonts w:ascii="Cambria Math" w:eastAsia="Cambria Math" w:hAnsi="Cambria Math"/>
                          </w:rPr>
                          <m:t>i</m:t>
                        </m:r>
                        <m:r>
                          <m:rPr>
                            <m:sty m:val="p"/>
                          </m:rPr>
                          <w:rPr>
                            <w:rFonts w:ascii="Cambria Math" w:eastAsia="Cambria Math" w:hAnsi="Cambria Math"/>
                          </w:rPr>
                          <m:t>=1</m:t>
                        </m:r>
                      </m:sub>
                      <m:sup>
                        <m:r>
                          <w:rPr>
                            <w:rFonts w:ascii="Cambria Math" w:eastAsia="Cambria Math" w:hAnsi="Cambria Math"/>
                          </w:rPr>
                          <m:t>N</m:t>
                        </m:r>
                      </m:sup>
                      <m:e>
                        <m:sSup>
                          <m:sSupPr>
                            <m:ctrlPr>
                              <w:rPr>
                                <w:rFonts w:ascii="Cambria Math" w:eastAsia="Cambria Math" w:hAnsi="Cambria Math"/>
                                <w:iCs/>
                              </w:rPr>
                            </m:ctrlPr>
                          </m:sSupPr>
                          <m:e>
                            <m:r>
                              <m:rPr>
                                <m:sty m:val="p"/>
                              </m:rPr>
                              <w:rPr>
                                <w:rFonts w:ascii="Cambria Math" w:eastAsia="Cambria Math" w:hAnsi="Cambria Math"/>
                              </w:rPr>
                              <m:t>(</m:t>
                            </m:r>
                            <m:sSub>
                              <m:sSubPr>
                                <m:ctrlPr>
                                  <w:rPr>
                                    <w:rFonts w:ascii="Cambria Math" w:eastAsia="Cambria Math" w:hAnsi="Cambria Math"/>
                                    <w:iCs/>
                                  </w:rPr>
                                </m:ctrlPr>
                              </m:sSubPr>
                              <m:e>
                                <m:r>
                                  <w:rPr>
                                    <w:rFonts w:ascii="Cambria Math" w:eastAsia="Cambria Math" w:hAnsi="Cambria Math"/>
                                  </w:rPr>
                                  <m:t>y</m:t>
                                </m:r>
                              </m:e>
                              <m:sub>
                                <m:r>
                                  <w:rPr>
                                    <w:rFonts w:ascii="Cambria Math" w:eastAsia="Cambria Math" w:hAnsi="Cambria Math"/>
                                  </w:rPr>
                                  <m:t>i</m:t>
                                </m:r>
                                <m:r>
                                  <m:rPr>
                                    <m:sty m:val="p"/>
                                  </m:rPr>
                                  <w:rPr>
                                    <w:rFonts w:ascii="Cambria Math" w:eastAsia="Cambria Math" w:hAnsi="Cambria Math"/>
                                  </w:rPr>
                                  <m:t>,</m:t>
                                </m:r>
                                <m:r>
                                  <w:rPr>
                                    <w:rFonts w:ascii="Cambria Math" w:eastAsia="Cambria Math" w:hAnsi="Cambria Math"/>
                                  </w:rPr>
                                  <m:t>exp</m:t>
                                </m:r>
                              </m:sub>
                            </m:sSub>
                            <m:r>
                              <m:rPr>
                                <m:sty m:val="p"/>
                              </m:rPr>
                              <w:rPr>
                                <w:rFonts w:ascii="Cambria Math" w:eastAsia="Cambria Math" w:hAnsi="Cambria Math"/>
                              </w:rPr>
                              <m:t>-</m:t>
                            </m:r>
                            <m:sSub>
                              <m:sSubPr>
                                <m:ctrlPr>
                                  <w:rPr>
                                    <w:rFonts w:ascii="Cambria Math" w:eastAsia="Cambria Math" w:hAnsi="Cambria Math"/>
                                    <w:iCs/>
                                  </w:rPr>
                                </m:ctrlPr>
                              </m:sSubPr>
                              <m:e>
                                <m:acc>
                                  <m:accPr>
                                    <m:ctrlPr>
                                      <w:rPr>
                                        <w:rFonts w:ascii="Cambria Math" w:eastAsia="Cambria Math" w:hAnsi="Cambria Math"/>
                                        <w:iCs/>
                                      </w:rPr>
                                    </m:ctrlPr>
                                  </m:accPr>
                                  <m:e>
                                    <m:r>
                                      <w:rPr>
                                        <w:rFonts w:ascii="Cambria Math" w:eastAsia="Cambria Math" w:hAnsi="Cambria Math"/>
                                      </w:rPr>
                                      <m:t>y</m:t>
                                    </m:r>
                                  </m:e>
                                </m:acc>
                              </m:e>
                              <m:sub>
                                <m:r>
                                  <w:rPr>
                                    <w:rFonts w:ascii="Cambria Math" w:eastAsia="Cambria Math" w:hAnsi="Cambria Math"/>
                                  </w:rPr>
                                  <m:t>i</m:t>
                                </m:r>
                                <m:r>
                                  <m:rPr>
                                    <m:sty m:val="p"/>
                                  </m:rPr>
                                  <w:rPr>
                                    <w:rFonts w:ascii="Cambria Math" w:eastAsia="Cambria Math" w:hAnsi="Cambria Math"/>
                                  </w:rPr>
                                  <m:t>,</m:t>
                                </m:r>
                                <m:r>
                                  <w:rPr>
                                    <w:rFonts w:ascii="Cambria Math" w:eastAsia="Cambria Math" w:hAnsi="Cambria Math"/>
                                  </w:rPr>
                                  <m:t>pred</m:t>
                                </m:r>
                              </m:sub>
                            </m:sSub>
                            <m:r>
                              <m:rPr>
                                <m:sty m:val="p"/>
                              </m:rPr>
                              <w:rPr>
                                <w:rFonts w:ascii="Cambria Math" w:eastAsia="Cambria Math" w:hAnsi="Cambria Math"/>
                              </w:rPr>
                              <m:t>)</m:t>
                            </m:r>
                          </m:e>
                          <m:sup>
                            <m:r>
                              <m:rPr>
                                <m:sty m:val="p"/>
                              </m:rPr>
                              <w:rPr>
                                <w:rFonts w:ascii="Cambria Math" w:eastAsia="Cambria Math" w:hAnsi="Cambria Math"/>
                              </w:rPr>
                              <m:t>2</m:t>
                            </m:r>
                          </m:sup>
                        </m:sSup>
                      </m:e>
                    </m:nary>
                  </m:den>
                </m:f>
              </m:oMath>
            </m:oMathPara>
          </w:p>
        </w:tc>
        <w:tc>
          <w:tcPr>
            <w:tcW w:w="236" w:type="dxa"/>
            <w:vAlign w:val="center"/>
          </w:tcPr>
          <w:p w14:paraId="1BE1306B" w14:textId="07C42FEF" w:rsidR="00493067" w:rsidRPr="004240EC" w:rsidRDefault="00493067" w:rsidP="00493067">
            <w:pPr>
              <w:pStyle w:val="TAMainText"/>
              <w:ind w:firstLine="0"/>
              <w:jc w:val="center"/>
              <w:rPr>
                <w:rFonts w:ascii="Times New Roman" w:hAnsi="Times New Roman"/>
                <w:iCs/>
                <w:lang w:val="pt-BR"/>
              </w:rPr>
            </w:pPr>
            <w:r w:rsidRPr="004240EC">
              <w:rPr>
                <w:rFonts w:ascii="Times New Roman" w:hAnsi="Times New Roman"/>
                <w:iCs/>
                <w:lang w:val="pt-BR"/>
              </w:rPr>
              <w:t>(</w:t>
            </w:r>
            <w:r>
              <w:rPr>
                <w:rFonts w:ascii="Times New Roman" w:hAnsi="Times New Roman"/>
                <w:iCs/>
                <w:lang w:val="pt-BR"/>
              </w:rPr>
              <w:t>2</w:t>
            </w:r>
            <w:r w:rsidRPr="004240EC">
              <w:rPr>
                <w:rFonts w:ascii="Times New Roman" w:hAnsi="Times New Roman"/>
                <w:iCs/>
                <w:lang w:val="pt-BR"/>
              </w:rPr>
              <w:t>)</w:t>
            </w:r>
          </w:p>
        </w:tc>
      </w:tr>
    </w:tbl>
    <w:p w14:paraId="3103D237" w14:textId="77777777" w:rsidR="00493067" w:rsidRPr="004240EC" w:rsidRDefault="00493067" w:rsidP="00493067">
      <w:pPr>
        <w:pStyle w:val="TAMainText"/>
        <w:ind w:firstLine="0"/>
        <w:rPr>
          <w:rFonts w:ascii="Times New Roman" w:hAnsi="Times New Roman"/>
          <w:iCs/>
        </w:rPr>
      </w:pPr>
    </w:p>
    <w:tbl>
      <w:tblPr>
        <w:tblStyle w:val="Tabelacomgrade"/>
        <w:tblW w:w="4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50"/>
      </w:tblGrid>
      <w:tr w:rsidR="00493067" w:rsidRPr="004240EC" w14:paraId="3090DE40" w14:textId="77777777" w:rsidTr="00493067">
        <w:tc>
          <w:tcPr>
            <w:tcW w:w="4317" w:type="dxa"/>
          </w:tcPr>
          <w:p w14:paraId="0D2A3F68" w14:textId="7CD336C4" w:rsidR="00493067" w:rsidRPr="004240EC" w:rsidRDefault="00493067" w:rsidP="00493067">
            <w:pPr>
              <w:pStyle w:val="SemEspaamento"/>
              <w:rPr>
                <w:rFonts w:ascii="Times New Roman" w:hAnsi="Times New Roman"/>
                <w:iCs/>
              </w:rPr>
            </w:pPr>
            <m:oMathPara>
              <m:oMath>
                <m:r>
                  <w:rPr>
                    <w:rFonts w:ascii="Cambria Math" w:eastAsia="Cambria Math" w:hAnsi="Cambria Math"/>
                  </w:rPr>
                  <m:t>RMSE</m:t>
                </m:r>
                <m:r>
                  <m:rPr>
                    <m:sty m:val="p"/>
                  </m:rPr>
                  <w:rPr>
                    <w:rFonts w:ascii="Cambria Math" w:eastAsia="Cambria Math" w:hAnsi="Cambria Math"/>
                  </w:rPr>
                  <m:t>=1-</m:t>
                </m:r>
                <m:rad>
                  <m:radPr>
                    <m:degHide m:val="1"/>
                    <m:ctrlPr>
                      <w:rPr>
                        <w:rFonts w:ascii="Cambria Math" w:eastAsia="Cambria Math" w:hAnsi="Cambria Math"/>
                        <w:iCs/>
                      </w:rPr>
                    </m:ctrlPr>
                  </m:radPr>
                  <m:deg/>
                  <m:e>
                    <m:r>
                      <m:rPr>
                        <m:sty m:val="p"/>
                      </m:rPr>
                      <w:rPr>
                        <w:rFonts w:ascii="Cambria Math" w:eastAsia="Cambria Math" w:hAnsi="Cambria Math"/>
                      </w:rPr>
                      <m:t xml:space="preserve"> </m:t>
                    </m:r>
                    <m:f>
                      <m:fPr>
                        <m:ctrlPr>
                          <w:rPr>
                            <w:rFonts w:ascii="Cambria Math" w:eastAsia="Cambria Math" w:hAnsi="Cambria Math"/>
                            <w:iCs/>
                          </w:rPr>
                        </m:ctrlPr>
                      </m:fPr>
                      <m:num>
                        <m:nary>
                          <m:naryPr>
                            <m:chr m:val="∑"/>
                            <m:limLoc m:val="undOvr"/>
                            <m:ctrlPr>
                              <w:rPr>
                                <w:rFonts w:ascii="Cambria Math" w:eastAsia="Cambria Math" w:hAnsi="Cambria Math"/>
                                <w:iCs/>
                              </w:rPr>
                            </m:ctrlPr>
                          </m:naryPr>
                          <m:sub>
                            <m:r>
                              <w:rPr>
                                <w:rFonts w:ascii="Cambria Math" w:eastAsia="Cambria Math" w:hAnsi="Cambria Math"/>
                              </w:rPr>
                              <m:t>i</m:t>
                            </m:r>
                            <m:r>
                              <m:rPr>
                                <m:sty m:val="p"/>
                              </m:rPr>
                              <w:rPr>
                                <w:rFonts w:ascii="Cambria Math" w:eastAsia="Cambria Math" w:hAnsi="Cambria Math"/>
                              </w:rPr>
                              <m:t>=1</m:t>
                            </m:r>
                          </m:sub>
                          <m:sup>
                            <m:r>
                              <w:rPr>
                                <w:rFonts w:ascii="Cambria Math" w:eastAsia="Cambria Math" w:hAnsi="Cambria Math"/>
                              </w:rPr>
                              <m:t>N</m:t>
                            </m:r>
                          </m:sup>
                          <m:e>
                            <m:sSup>
                              <m:sSupPr>
                                <m:ctrlPr>
                                  <w:rPr>
                                    <w:rFonts w:ascii="Cambria Math" w:eastAsia="Cambria Math" w:hAnsi="Cambria Math"/>
                                    <w:iCs/>
                                  </w:rPr>
                                </m:ctrlPr>
                              </m:sSupPr>
                              <m:e>
                                <m:r>
                                  <m:rPr>
                                    <m:sty m:val="p"/>
                                  </m:rPr>
                                  <w:rPr>
                                    <w:rFonts w:ascii="Cambria Math" w:eastAsia="Cambria Math" w:hAnsi="Cambria Math"/>
                                  </w:rPr>
                                  <m:t>(</m:t>
                                </m:r>
                                <m:sSub>
                                  <m:sSubPr>
                                    <m:ctrlPr>
                                      <w:rPr>
                                        <w:rFonts w:ascii="Cambria Math" w:eastAsia="Cambria Math" w:hAnsi="Cambria Math"/>
                                        <w:iCs/>
                                      </w:rPr>
                                    </m:ctrlPr>
                                  </m:sSubPr>
                                  <m:e>
                                    <m:r>
                                      <w:rPr>
                                        <w:rFonts w:ascii="Cambria Math" w:eastAsia="Cambria Math" w:hAnsi="Cambria Math"/>
                                      </w:rPr>
                                      <m:t>y</m:t>
                                    </m:r>
                                  </m:e>
                                  <m:sub>
                                    <m:r>
                                      <w:rPr>
                                        <w:rFonts w:ascii="Cambria Math" w:eastAsia="Cambria Math" w:hAnsi="Cambria Math"/>
                                      </w:rPr>
                                      <m:t>i</m:t>
                                    </m:r>
                                    <m:r>
                                      <m:rPr>
                                        <m:sty m:val="p"/>
                                      </m:rPr>
                                      <w:rPr>
                                        <w:rFonts w:ascii="Cambria Math" w:eastAsia="Cambria Math" w:hAnsi="Cambria Math"/>
                                      </w:rPr>
                                      <m:t>,</m:t>
                                    </m:r>
                                    <m:r>
                                      <w:rPr>
                                        <w:rFonts w:ascii="Cambria Math" w:eastAsia="Cambria Math" w:hAnsi="Cambria Math"/>
                                      </w:rPr>
                                      <m:t>exp</m:t>
                                    </m:r>
                                  </m:sub>
                                </m:sSub>
                                <m:r>
                                  <m:rPr>
                                    <m:sty m:val="p"/>
                                  </m:rPr>
                                  <w:rPr>
                                    <w:rFonts w:ascii="Cambria Math" w:eastAsia="Cambria Math" w:hAnsi="Cambria Math"/>
                                  </w:rPr>
                                  <m:t>-</m:t>
                                </m:r>
                                <m:sSub>
                                  <m:sSubPr>
                                    <m:ctrlPr>
                                      <w:rPr>
                                        <w:rFonts w:ascii="Cambria Math" w:eastAsia="Cambria Math" w:hAnsi="Cambria Math"/>
                                        <w:iCs/>
                                      </w:rPr>
                                    </m:ctrlPr>
                                  </m:sSubPr>
                                  <m:e>
                                    <m:acc>
                                      <m:accPr>
                                        <m:ctrlPr>
                                          <w:rPr>
                                            <w:rFonts w:ascii="Cambria Math" w:eastAsia="Cambria Math" w:hAnsi="Cambria Math"/>
                                            <w:iCs/>
                                          </w:rPr>
                                        </m:ctrlPr>
                                      </m:accPr>
                                      <m:e>
                                        <m:r>
                                          <w:rPr>
                                            <w:rFonts w:ascii="Cambria Math" w:eastAsia="Cambria Math" w:hAnsi="Cambria Math"/>
                                          </w:rPr>
                                          <m:t>y</m:t>
                                        </m:r>
                                      </m:e>
                                    </m:acc>
                                  </m:e>
                                  <m:sub>
                                    <m:r>
                                      <w:rPr>
                                        <w:rFonts w:ascii="Cambria Math" w:eastAsia="Cambria Math" w:hAnsi="Cambria Math"/>
                                      </w:rPr>
                                      <m:t>i</m:t>
                                    </m:r>
                                    <m:r>
                                      <m:rPr>
                                        <m:sty m:val="p"/>
                                      </m:rPr>
                                      <w:rPr>
                                        <w:rFonts w:ascii="Cambria Math" w:eastAsia="Cambria Math" w:hAnsi="Cambria Math"/>
                                      </w:rPr>
                                      <m:t>,</m:t>
                                    </m:r>
                                    <m:r>
                                      <w:rPr>
                                        <w:rFonts w:ascii="Cambria Math" w:eastAsia="Cambria Math" w:hAnsi="Cambria Math"/>
                                      </w:rPr>
                                      <m:t>pred</m:t>
                                    </m:r>
                                  </m:sub>
                                </m:sSub>
                                <m:r>
                                  <m:rPr>
                                    <m:sty m:val="p"/>
                                  </m:rPr>
                                  <w:rPr>
                                    <w:rFonts w:ascii="Cambria Math" w:eastAsia="Cambria Math" w:hAnsi="Cambria Math"/>
                                  </w:rPr>
                                  <m:t>)</m:t>
                                </m:r>
                              </m:e>
                              <m:sup>
                                <m:r>
                                  <m:rPr>
                                    <m:sty m:val="p"/>
                                  </m:rPr>
                                  <w:rPr>
                                    <w:rFonts w:ascii="Cambria Math" w:eastAsia="Cambria Math" w:hAnsi="Cambria Math"/>
                                  </w:rPr>
                                  <m:t>2</m:t>
                                </m:r>
                              </m:sup>
                            </m:sSup>
                          </m:e>
                        </m:nary>
                      </m:num>
                      <m:den>
                        <m:r>
                          <w:rPr>
                            <w:rFonts w:ascii="Cambria Math" w:eastAsia="Cambria Math" w:hAnsi="Cambria Math"/>
                          </w:rPr>
                          <m:t>N</m:t>
                        </m:r>
                      </m:den>
                    </m:f>
                  </m:e>
                </m:rad>
              </m:oMath>
            </m:oMathPara>
          </w:p>
        </w:tc>
        <w:tc>
          <w:tcPr>
            <w:tcW w:w="450" w:type="dxa"/>
            <w:vAlign w:val="center"/>
          </w:tcPr>
          <w:p w14:paraId="28CF377F" w14:textId="307971BB" w:rsidR="00493067" w:rsidRPr="004240EC" w:rsidRDefault="00493067" w:rsidP="00493067">
            <w:pPr>
              <w:pStyle w:val="TAMainText"/>
              <w:ind w:firstLine="0"/>
              <w:jc w:val="center"/>
              <w:rPr>
                <w:rFonts w:ascii="Times New Roman" w:hAnsi="Times New Roman"/>
                <w:iCs/>
                <w:lang w:val="pt-BR"/>
              </w:rPr>
            </w:pPr>
            <w:r w:rsidRPr="004240EC">
              <w:rPr>
                <w:rFonts w:ascii="Times New Roman" w:hAnsi="Times New Roman"/>
                <w:iCs/>
                <w:lang w:val="pt-BR"/>
              </w:rPr>
              <w:t>(</w:t>
            </w:r>
            <w:r>
              <w:rPr>
                <w:rFonts w:ascii="Times New Roman" w:hAnsi="Times New Roman"/>
                <w:iCs/>
                <w:lang w:val="pt-BR"/>
              </w:rPr>
              <w:t>3</w:t>
            </w:r>
            <w:r w:rsidRPr="004240EC">
              <w:rPr>
                <w:rFonts w:ascii="Times New Roman" w:hAnsi="Times New Roman"/>
                <w:iCs/>
                <w:lang w:val="pt-BR"/>
              </w:rPr>
              <w:t>)</w:t>
            </w:r>
          </w:p>
        </w:tc>
      </w:tr>
    </w:tbl>
    <w:p w14:paraId="40AB124B" w14:textId="77777777" w:rsidR="00493067" w:rsidRPr="004240EC" w:rsidRDefault="00493067" w:rsidP="00493067">
      <w:pPr>
        <w:pStyle w:val="TAMainText"/>
        <w:ind w:firstLine="0"/>
        <w:rPr>
          <w:rFonts w:ascii="Times New Roman" w:hAnsi="Times New Roman"/>
          <w:iCs/>
        </w:rPr>
      </w:pPr>
    </w:p>
    <w:p w14:paraId="46F657D9" w14:textId="0EB4AE96" w:rsidR="00493067" w:rsidRPr="004240EC" w:rsidRDefault="00493067" w:rsidP="00493067">
      <w:pPr>
        <w:pStyle w:val="TAMainText"/>
        <w:ind w:firstLine="0"/>
        <w:rPr>
          <w:rFonts w:ascii="Times New Roman" w:hAnsi="Times New Roman"/>
        </w:rPr>
      </w:pPr>
      <w:r w:rsidRPr="00493067">
        <w:rPr>
          <w:rFonts w:ascii="Times New Roman" w:hAnsi="Times New Roman"/>
        </w:rPr>
        <w:t xml:space="preserve">Where: </w:t>
      </w:r>
      <w:r w:rsidRPr="00493067">
        <w:rPr>
          <w:rFonts w:ascii="Times New Roman" w:hAnsi="Times New Roman"/>
          <w:i/>
          <w:iCs/>
        </w:rPr>
        <w:t>y</w:t>
      </w:r>
      <w:r w:rsidRPr="00493067">
        <w:rPr>
          <w:rFonts w:ascii="Times New Roman" w:hAnsi="Times New Roman"/>
          <w:i/>
          <w:iCs/>
          <w:vertAlign w:val="subscript"/>
        </w:rPr>
        <w:t>i,exp</w:t>
      </w:r>
      <w:r w:rsidRPr="00493067">
        <w:rPr>
          <w:rFonts w:ascii="Times New Roman" w:hAnsi="Times New Roman"/>
        </w:rPr>
        <w:t xml:space="preserve"> and </w:t>
      </w:r>
      <w:r w:rsidRPr="00493067">
        <w:rPr>
          <w:rFonts w:ascii="Times New Roman" w:hAnsi="Times New Roman"/>
          <w:i/>
          <w:iCs/>
        </w:rPr>
        <w:t>ŷ</w:t>
      </w:r>
      <w:r w:rsidRPr="00493067">
        <w:rPr>
          <w:rFonts w:ascii="Times New Roman" w:hAnsi="Times New Roman"/>
          <w:i/>
          <w:iCs/>
          <w:vertAlign w:val="subscript"/>
        </w:rPr>
        <w:t>i,pred</w:t>
      </w:r>
      <w:r w:rsidRPr="00493067">
        <w:rPr>
          <w:rFonts w:ascii="Times New Roman" w:hAnsi="Times New Roman"/>
          <w:vertAlign w:val="subscript"/>
        </w:rPr>
        <w:t xml:space="preserve"> </w:t>
      </w:r>
      <w:r w:rsidRPr="00493067">
        <w:rPr>
          <w:rFonts w:ascii="Times New Roman" w:hAnsi="Times New Roman"/>
        </w:rPr>
        <w:t xml:space="preserve">are the actual and the predicted value of the response </w:t>
      </w:r>
      <w:r>
        <w:rPr>
          <w:rFonts w:ascii="Times New Roman" w:hAnsi="Times New Roman"/>
        </w:rPr>
        <w:t xml:space="preserve">and </w:t>
      </w:r>
      <w:r w:rsidRPr="00493067">
        <w:rPr>
          <w:rFonts w:ascii="Times New Roman" w:hAnsi="Times New Roman"/>
          <w:i/>
          <w:iCs/>
        </w:rPr>
        <w:t>N</w:t>
      </w:r>
      <w:r w:rsidRPr="00493067">
        <w:rPr>
          <w:rFonts w:ascii="Times New Roman" w:hAnsi="Times New Roman"/>
        </w:rPr>
        <w:t xml:space="preserve"> is the data size.</w:t>
      </w:r>
    </w:p>
    <w:p w14:paraId="29683B6F" w14:textId="77777777" w:rsidR="00EB1486" w:rsidRDefault="00EB1486" w:rsidP="002D7F61">
      <w:pPr>
        <w:pStyle w:val="TAMainText"/>
        <w:ind w:firstLine="0"/>
        <w:rPr>
          <w:rFonts w:ascii="Times New Roman" w:hAnsi="Times New Roman"/>
          <w:i/>
        </w:rPr>
      </w:pPr>
    </w:p>
    <w:p w14:paraId="74A970CC" w14:textId="11EC182D" w:rsidR="002D7F61" w:rsidRPr="004240EC" w:rsidRDefault="002D7F61" w:rsidP="002D7F61">
      <w:pPr>
        <w:pStyle w:val="TAMainText"/>
        <w:ind w:firstLine="0"/>
        <w:rPr>
          <w:rFonts w:ascii="Times New Roman" w:hAnsi="Times New Roman"/>
          <w:i/>
        </w:rPr>
      </w:pPr>
      <w:r w:rsidRPr="004240EC">
        <w:rPr>
          <w:rFonts w:ascii="Times New Roman" w:hAnsi="Times New Roman"/>
          <w:i/>
        </w:rPr>
        <w:t>Feature importance</w:t>
      </w:r>
    </w:p>
    <w:p w14:paraId="23EA5F39" w14:textId="0C65C4AE" w:rsidR="00151AAE" w:rsidRPr="004240EC" w:rsidRDefault="002D7F61" w:rsidP="00BB7A25">
      <w:pPr>
        <w:pStyle w:val="TAMainText"/>
        <w:ind w:firstLine="204"/>
        <w:rPr>
          <w:rFonts w:ascii="Times New Roman" w:hAnsi="Times New Roman"/>
        </w:rPr>
      </w:pPr>
      <w:r w:rsidRPr="004240EC">
        <w:rPr>
          <w:rFonts w:ascii="Times New Roman" w:hAnsi="Times New Roman"/>
        </w:rPr>
        <w:t xml:space="preserve">To evaluate the contribution of each parameter of the dataset used in the </w:t>
      </w:r>
      <w:r w:rsidR="00BB7A25">
        <w:rPr>
          <w:rFonts w:ascii="Times New Roman" w:hAnsi="Times New Roman"/>
        </w:rPr>
        <w:t xml:space="preserve">ML </w:t>
      </w:r>
      <w:r w:rsidRPr="004240EC">
        <w:rPr>
          <w:rFonts w:ascii="Times New Roman" w:hAnsi="Times New Roman"/>
        </w:rPr>
        <w:t>study, a feature importance study was carried out. The influence of each variable (input data) was measured by permutation score value was carried out (</w:t>
      </w:r>
      <w:r w:rsidR="00785977" w:rsidRPr="004240EC">
        <w:rPr>
          <w:rFonts w:ascii="Times New Roman" w:hAnsi="Times New Roman"/>
        </w:rPr>
        <w:t>23</w:t>
      </w:r>
      <w:r w:rsidRPr="004240EC">
        <w:rPr>
          <w:rFonts w:ascii="Times New Roman" w:hAnsi="Times New Roman"/>
        </w:rPr>
        <w:t xml:space="preserve">). All permutation score above 0.50 was considered </w:t>
      </w:r>
      <w:r w:rsidR="00BD3465" w:rsidRPr="004240EC">
        <w:rPr>
          <w:rFonts w:ascii="Times New Roman" w:hAnsi="Times New Roman"/>
        </w:rPr>
        <w:t xml:space="preserve">to significantly influence </w:t>
      </w:r>
      <w:r w:rsidRPr="004240EC">
        <w:rPr>
          <w:rFonts w:ascii="Times New Roman" w:hAnsi="Times New Roman"/>
        </w:rPr>
        <w:t>the response of the machine learning predictive model, m/z ratio</w:t>
      </w:r>
      <w:r w:rsidR="00BD3465" w:rsidRPr="004240EC">
        <w:rPr>
          <w:rFonts w:ascii="Times New Roman" w:hAnsi="Times New Roman"/>
        </w:rPr>
        <w:t>, and then, the products and byproducts generated during the photocatalytic degradation of MB</w:t>
      </w:r>
      <w:r w:rsidRPr="004240EC">
        <w:rPr>
          <w:rFonts w:ascii="Times New Roman" w:hAnsi="Times New Roman"/>
        </w:rPr>
        <w:t>.</w:t>
      </w:r>
    </w:p>
    <w:p w14:paraId="136BD1AC" w14:textId="20913342" w:rsidR="00EA4E1B" w:rsidRPr="004240EC" w:rsidRDefault="00EA4E1B" w:rsidP="004459F9">
      <w:pPr>
        <w:pStyle w:val="Ttulo2"/>
        <w:rPr>
          <w:rFonts w:ascii="Helvetica" w:hAnsi="Helvetica" w:cs="Helvetica"/>
          <w:sz w:val="24"/>
          <w:szCs w:val="24"/>
          <w:lang w:val="en-US"/>
        </w:rPr>
      </w:pPr>
      <w:r w:rsidRPr="004240EC">
        <w:rPr>
          <w:rFonts w:ascii="Helvetica" w:hAnsi="Helvetica" w:cs="Helvetica"/>
          <w:sz w:val="24"/>
          <w:szCs w:val="24"/>
          <w:lang w:val="en-US"/>
        </w:rPr>
        <w:t>Result</w:t>
      </w:r>
      <w:r w:rsidR="001004F5" w:rsidRPr="004240EC">
        <w:rPr>
          <w:rFonts w:ascii="Helvetica" w:hAnsi="Helvetica" w:cs="Helvetica"/>
          <w:sz w:val="24"/>
          <w:szCs w:val="24"/>
          <w:lang w:val="en-US"/>
        </w:rPr>
        <w:t>s</w:t>
      </w:r>
      <w:r w:rsidRPr="004240EC">
        <w:rPr>
          <w:rFonts w:ascii="Helvetica" w:hAnsi="Helvetica" w:cs="Helvetica"/>
          <w:sz w:val="24"/>
          <w:szCs w:val="24"/>
          <w:lang w:val="en-US"/>
        </w:rPr>
        <w:t xml:space="preserve"> </w:t>
      </w:r>
      <w:r w:rsidR="001004F5" w:rsidRPr="004240EC">
        <w:rPr>
          <w:rFonts w:ascii="Helvetica" w:hAnsi="Helvetica" w:cs="Helvetica"/>
          <w:sz w:val="24"/>
          <w:szCs w:val="24"/>
          <w:lang w:val="en-US"/>
        </w:rPr>
        <w:t>and</w:t>
      </w:r>
      <w:r w:rsidRPr="004240EC">
        <w:rPr>
          <w:rFonts w:ascii="Helvetica" w:hAnsi="Helvetica" w:cs="Helvetica"/>
          <w:sz w:val="24"/>
          <w:szCs w:val="24"/>
          <w:lang w:val="en-US"/>
        </w:rPr>
        <w:t xml:space="preserve"> Discus</w:t>
      </w:r>
      <w:r w:rsidR="001004F5" w:rsidRPr="004240EC">
        <w:rPr>
          <w:rFonts w:ascii="Helvetica" w:hAnsi="Helvetica" w:cs="Helvetica"/>
          <w:sz w:val="24"/>
          <w:szCs w:val="24"/>
          <w:lang w:val="en-US"/>
        </w:rPr>
        <w:t>sion</w:t>
      </w:r>
    </w:p>
    <w:p w14:paraId="5EC04E90" w14:textId="6625ECEA" w:rsidR="001004F5" w:rsidRPr="004240EC" w:rsidRDefault="001004F5" w:rsidP="00AD28EA">
      <w:pPr>
        <w:pStyle w:val="TAMainText"/>
        <w:ind w:firstLine="0"/>
        <w:rPr>
          <w:rFonts w:ascii="Times New Roman" w:hAnsi="Times New Roman"/>
          <w:i/>
        </w:rPr>
      </w:pPr>
      <w:r w:rsidRPr="004240EC">
        <w:rPr>
          <w:rFonts w:ascii="Times New Roman" w:hAnsi="Times New Roman"/>
          <w:i/>
        </w:rPr>
        <w:t>Machine learning model selection</w:t>
      </w:r>
    </w:p>
    <w:p w14:paraId="4EB7980B" w14:textId="253CD922" w:rsidR="009B18CE" w:rsidRDefault="00C74A4B" w:rsidP="00302382">
      <w:pPr>
        <w:pStyle w:val="TAMainText"/>
        <w:ind w:firstLine="204"/>
        <w:rPr>
          <w:vertAlign w:val="subscript"/>
        </w:rPr>
      </w:pPr>
      <w:r w:rsidRPr="004240EC">
        <w:t xml:space="preserve">Figure 1 shows the </w:t>
      </w:r>
      <w:r w:rsidR="00F0487B">
        <w:t xml:space="preserve">XRD </w:t>
      </w:r>
      <w:r w:rsidRPr="004240EC">
        <w:t>diffractogram</w:t>
      </w:r>
      <w:r w:rsidR="00F0487B">
        <w:t>s</w:t>
      </w:r>
      <w:r w:rsidRPr="004240EC">
        <w:t xml:space="preserve"> of the CuO-NPs, nANA and CuO</w:t>
      </w:r>
      <w:r w:rsidR="00BD7B6A" w:rsidRPr="004240EC">
        <w:t>-NPs</w:t>
      </w:r>
      <w:r w:rsidRPr="004240EC">
        <w:t>@nANA</w:t>
      </w:r>
      <w:r w:rsidR="00F0487B">
        <w:t xml:space="preserve">, where </w:t>
      </w:r>
      <w:r w:rsidR="00F0487B" w:rsidRPr="004240EC">
        <w:t xml:space="preserve">CuO-NPs@nANA showed the phases analcime associated </w:t>
      </w:r>
      <w:r w:rsidR="00F0487B">
        <w:t>with</w:t>
      </w:r>
      <w:r w:rsidR="00F0487B" w:rsidRPr="004240EC">
        <w:t xml:space="preserve"> nanozeolite (COD 9008387) and tenorite (COD 1011148), associated to </w:t>
      </w:r>
      <w:r w:rsidR="00F0487B" w:rsidRPr="004240EC">
        <w:t>copper oxide, which confirms the impregnation of copper oxide in the nanozeolite during the synthesis. Moreover, the average crystallite diameter of CuO-NPs@nANA was lesser than analcime and tenorite (50.54 nm and 29.09 nm) indicating that good electrostatic interaction between the nanocatalyst and the catalytic support, resulting in high values of S</w:t>
      </w:r>
      <w:r w:rsidR="00F0487B" w:rsidRPr="00F0487B">
        <w:rPr>
          <w:vertAlign w:val="subscript"/>
        </w:rPr>
        <w:t>BET</w:t>
      </w:r>
      <w:r w:rsidR="00F0487B">
        <w:rPr>
          <w:vertAlign w:val="subscript"/>
        </w:rPr>
        <w:t>.</w:t>
      </w:r>
    </w:p>
    <w:p w14:paraId="58A65308" w14:textId="29AFCF57" w:rsidR="009B18CE" w:rsidRPr="004240EC" w:rsidRDefault="009B18CE" w:rsidP="009B18CE">
      <w:pPr>
        <w:pStyle w:val="SemEspaamento"/>
        <w:jc w:val="center"/>
      </w:pPr>
      <w:r w:rsidRPr="004240EC">
        <w:rPr>
          <w:noProof/>
        </w:rPr>
        <w:drawing>
          <wp:inline distT="0" distB="0" distL="0" distR="0" wp14:anchorId="0BC7328C" wp14:editId="005F8D56">
            <wp:extent cx="3035354" cy="2484000"/>
            <wp:effectExtent l="0" t="0" r="0" b="0"/>
            <wp:docPr id="15036793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2818" t="8918" r="13372" b="5469"/>
                    <a:stretch/>
                  </pic:blipFill>
                  <pic:spPr bwMode="auto">
                    <a:xfrm>
                      <a:off x="0" y="0"/>
                      <a:ext cx="3035354" cy="2484000"/>
                    </a:xfrm>
                    <a:prstGeom prst="rect">
                      <a:avLst/>
                    </a:prstGeom>
                    <a:noFill/>
                    <a:ln>
                      <a:noFill/>
                    </a:ln>
                    <a:extLst>
                      <a:ext uri="{53640926-AAD7-44D8-BBD7-CCE9431645EC}">
                        <a14:shadowObscured xmlns:a14="http://schemas.microsoft.com/office/drawing/2010/main"/>
                      </a:ext>
                    </a:extLst>
                  </pic:spPr>
                </pic:pic>
              </a:graphicData>
            </a:graphic>
          </wp:inline>
        </w:drawing>
      </w:r>
    </w:p>
    <w:p w14:paraId="07F29F40" w14:textId="08AF9E8B" w:rsidR="000C3643" w:rsidRPr="0079019F" w:rsidRDefault="000C3643" w:rsidP="00430E6A">
      <w:pPr>
        <w:pStyle w:val="TAMainText"/>
        <w:spacing w:line="200" w:lineRule="exact"/>
        <w:ind w:firstLine="0"/>
        <w:rPr>
          <w:rFonts w:ascii="Times New Roman" w:hAnsi="Times New Roman"/>
          <w:sz w:val="18"/>
          <w:szCs w:val="18"/>
        </w:rPr>
      </w:pPr>
      <w:r w:rsidRPr="004240EC">
        <w:rPr>
          <w:rFonts w:ascii="Times New Roman" w:hAnsi="Times New Roman"/>
          <w:b/>
          <w:bCs/>
          <w:sz w:val="18"/>
          <w:szCs w:val="18"/>
        </w:rPr>
        <w:t xml:space="preserve">Figure 1. </w:t>
      </w:r>
      <w:r w:rsidRPr="004240EC">
        <w:rPr>
          <w:rFonts w:ascii="Times New Roman" w:hAnsi="Times New Roman"/>
          <w:sz w:val="18"/>
          <w:szCs w:val="18"/>
        </w:rPr>
        <w:t xml:space="preserve">XRD </w:t>
      </w:r>
      <w:r w:rsidR="00F0487B" w:rsidRPr="00F0487B">
        <w:rPr>
          <w:rFonts w:ascii="Times New Roman" w:hAnsi="Times New Roman"/>
          <w:sz w:val="18"/>
          <w:szCs w:val="18"/>
        </w:rPr>
        <w:t xml:space="preserve">diffractograms </w:t>
      </w:r>
      <w:r w:rsidR="00F0487B">
        <w:rPr>
          <w:rFonts w:ascii="Times New Roman" w:hAnsi="Times New Roman"/>
          <w:sz w:val="18"/>
          <w:szCs w:val="18"/>
        </w:rPr>
        <w:t xml:space="preserve">of </w:t>
      </w:r>
      <w:r w:rsidRPr="004240EC">
        <w:rPr>
          <w:rFonts w:ascii="Times New Roman" w:hAnsi="Times New Roman"/>
          <w:sz w:val="18"/>
          <w:szCs w:val="18"/>
        </w:rPr>
        <w:t xml:space="preserve">the </w:t>
      </w:r>
      <w:r w:rsidR="00F0487B" w:rsidRPr="00F0487B">
        <w:rPr>
          <w:rFonts w:ascii="Times New Roman" w:hAnsi="Times New Roman"/>
          <w:sz w:val="18"/>
          <w:szCs w:val="18"/>
        </w:rPr>
        <w:t>CuO-NPs, nANA and CuO-NPs@nANA</w:t>
      </w:r>
      <w:r w:rsidR="00430E6A">
        <w:rPr>
          <w:rFonts w:ascii="Times New Roman" w:hAnsi="Times New Roman"/>
          <w:sz w:val="18"/>
          <w:szCs w:val="18"/>
        </w:rPr>
        <w:t>.</w:t>
      </w:r>
    </w:p>
    <w:p w14:paraId="21D96109" w14:textId="163F6E98" w:rsidR="00C74A4B" w:rsidRPr="004240EC" w:rsidRDefault="00C74A4B" w:rsidP="00F0487B">
      <w:pPr>
        <w:pStyle w:val="TAMainText"/>
        <w:ind w:firstLine="0"/>
      </w:pPr>
    </w:p>
    <w:p w14:paraId="23288319" w14:textId="1701BE0D" w:rsidR="00430E6A" w:rsidRPr="004240EC" w:rsidRDefault="001004F5" w:rsidP="00430E6A">
      <w:pPr>
        <w:pStyle w:val="TAMainText"/>
        <w:ind w:firstLine="204"/>
      </w:pPr>
      <w:r w:rsidRPr="004240EC">
        <w:t xml:space="preserve">Table </w:t>
      </w:r>
      <w:r w:rsidR="00340700" w:rsidRPr="004240EC">
        <w:t>2</w:t>
      </w:r>
      <w:r w:rsidRPr="004240EC">
        <w:t xml:space="preserve"> </w:t>
      </w:r>
      <w:r w:rsidR="00BD3465" w:rsidRPr="004240EC">
        <w:t>show</w:t>
      </w:r>
      <w:r w:rsidR="00086DD3" w:rsidRPr="004240EC">
        <w:t>s</w:t>
      </w:r>
      <w:r w:rsidR="00BD3465" w:rsidRPr="004240EC">
        <w:t xml:space="preserve"> the textural properties of the nanocatalyst (CuO</w:t>
      </w:r>
      <w:r w:rsidR="00B93597" w:rsidRPr="004240EC">
        <w:t>NPs-</w:t>
      </w:r>
      <w:r w:rsidR="00BD3465" w:rsidRPr="004240EC">
        <w:t>@nANA) and its counterparts (CuO</w:t>
      </w:r>
      <w:r w:rsidR="00B93597" w:rsidRPr="004240EC">
        <w:t>-NPs</w:t>
      </w:r>
      <w:r w:rsidR="00BD3465" w:rsidRPr="004240EC">
        <w:t xml:space="preserve"> and nANA).</w:t>
      </w:r>
      <w:r w:rsidR="00430E6A">
        <w:t xml:space="preserve"> </w:t>
      </w:r>
      <w:r w:rsidR="00430E6A" w:rsidRPr="004240EC">
        <w:t>CuO-NPs, nANA and CuO-NPs@nANA were characterized as mesoporous nanomateria</w:t>
      </w:r>
      <w:r w:rsidR="00430E6A">
        <w:t>ls</w:t>
      </w:r>
      <w:r w:rsidR="00430E6A" w:rsidRPr="004240EC">
        <w:t>, once Dp ranged from 2 to 50 nm (24). It was noticeable that nANA show</w:t>
      </w:r>
      <w:r w:rsidR="00430E6A">
        <w:t>ed</w:t>
      </w:r>
      <w:r w:rsidR="00430E6A" w:rsidRPr="004240EC">
        <w:t xml:space="preserve"> </w:t>
      </w:r>
      <w:r w:rsidR="00430E6A">
        <w:t xml:space="preserve">a </w:t>
      </w:r>
      <w:r w:rsidR="00430E6A" w:rsidRPr="004240EC">
        <w:t>higher surface area than CuO</w:t>
      </w:r>
      <w:r w:rsidR="00430E6A">
        <w:t>-</w:t>
      </w:r>
      <w:r w:rsidR="00430E6A" w:rsidRPr="004240EC">
        <w:t>NPs due to defects (e.g., vacancy) of the chemical structure of the nanozeolite analcime, which contains atoms (Al, Si, O) with different size</w:t>
      </w:r>
      <w:r w:rsidR="00430E6A">
        <w:t>s</w:t>
      </w:r>
      <w:r w:rsidR="00430E6A" w:rsidRPr="004240EC">
        <w:t xml:space="preserve"> in its composition (25). The surface area of CuO-NPs@nANA slightly reduced compared to nANA (from ~18 to ~14 m</w:t>
      </w:r>
      <w:r w:rsidR="00430E6A" w:rsidRPr="004240EC">
        <w:rPr>
          <w:vertAlign w:val="superscript"/>
        </w:rPr>
        <w:t>2</w:t>
      </w:r>
      <w:r w:rsidR="00430E6A" w:rsidRPr="004240EC">
        <w:t xml:space="preserve"> g</w:t>
      </w:r>
      <w:r w:rsidR="00430E6A" w:rsidRPr="004240EC">
        <w:rPr>
          <w:vertAlign w:val="superscript"/>
        </w:rPr>
        <w:t>-1</w:t>
      </w:r>
      <w:r w:rsidR="00430E6A" w:rsidRPr="004240EC">
        <w:t>). It was due to the incorporation of the CuO-NPs in the nanozeolite structure, reducing the vacant sites and interstices of the mesoporous nANA, which agreed with the behavior found for nanocomposites (26). However, CuO-NPs@nANA showed higher pore volume than its counterparts, which is positive for photocatalytic activity. Thus, high pore volumes and surface area tend to increase the photocatalytic activity of nanocomposites, hence increasing the MB dye degradation (27)</w:t>
      </w:r>
      <w:r w:rsidR="00430E6A">
        <w:t>.</w:t>
      </w:r>
    </w:p>
    <w:p w14:paraId="1C00540D" w14:textId="38E4C5E6" w:rsidR="00430E6A" w:rsidRDefault="00430E6A">
      <w:pPr>
        <w:rPr>
          <w:rFonts w:ascii="Times New Roman" w:eastAsia="Times New Roman" w:hAnsi="Times New Roman" w:cs="Times New Roman"/>
          <w:b/>
          <w:sz w:val="20"/>
          <w:szCs w:val="20"/>
          <w:lang w:val="en-US" w:eastAsia="pt-BR"/>
        </w:rPr>
      </w:pPr>
      <w:r>
        <w:rPr>
          <w:rFonts w:ascii="Times New Roman" w:hAnsi="Times New Roman"/>
          <w:b/>
        </w:rPr>
        <w:br w:type="page"/>
      </w:r>
    </w:p>
    <w:p w14:paraId="3D0C5593" w14:textId="77777777" w:rsidR="00430E6A" w:rsidRPr="00430E6A" w:rsidRDefault="00BD3465" w:rsidP="00430E6A">
      <w:pPr>
        <w:pStyle w:val="TAMainText"/>
        <w:spacing w:after="120" w:line="200" w:lineRule="exact"/>
        <w:ind w:firstLine="0"/>
        <w:rPr>
          <w:rFonts w:ascii="Times New Roman" w:hAnsi="Times New Roman"/>
          <w:sz w:val="18"/>
          <w:szCs w:val="18"/>
        </w:rPr>
      </w:pPr>
      <w:r w:rsidRPr="00430E6A">
        <w:rPr>
          <w:rFonts w:ascii="Times New Roman" w:hAnsi="Times New Roman"/>
          <w:b/>
          <w:sz w:val="18"/>
          <w:szCs w:val="18"/>
        </w:rPr>
        <w:lastRenderedPageBreak/>
        <w:t xml:space="preserve">Table </w:t>
      </w:r>
      <w:r w:rsidR="00340700" w:rsidRPr="00430E6A">
        <w:rPr>
          <w:rFonts w:ascii="Times New Roman" w:hAnsi="Times New Roman"/>
          <w:b/>
          <w:sz w:val="18"/>
          <w:szCs w:val="18"/>
        </w:rPr>
        <w:t>2</w:t>
      </w:r>
      <w:r w:rsidRPr="00430E6A">
        <w:rPr>
          <w:rFonts w:ascii="Times New Roman" w:hAnsi="Times New Roman"/>
          <w:b/>
          <w:sz w:val="18"/>
          <w:szCs w:val="18"/>
        </w:rPr>
        <w:t>.</w:t>
      </w:r>
      <w:r w:rsidRPr="00430E6A">
        <w:rPr>
          <w:rFonts w:ascii="Times New Roman" w:hAnsi="Times New Roman"/>
          <w:sz w:val="18"/>
          <w:szCs w:val="18"/>
        </w:rPr>
        <w:t xml:space="preserve"> </w:t>
      </w:r>
      <w:r w:rsidR="00430E6A" w:rsidRPr="00430E6A">
        <w:rPr>
          <w:rFonts w:ascii="Times New Roman" w:hAnsi="Times New Roman"/>
          <w:sz w:val="18"/>
          <w:szCs w:val="18"/>
        </w:rPr>
        <w:t>Surface area (S</w:t>
      </w:r>
      <w:r w:rsidR="00430E6A" w:rsidRPr="00430E6A">
        <w:rPr>
          <w:rFonts w:ascii="Times New Roman" w:hAnsi="Times New Roman"/>
          <w:sz w:val="18"/>
          <w:szCs w:val="18"/>
          <w:vertAlign w:val="subscript"/>
        </w:rPr>
        <w:t>BET</w:t>
      </w:r>
      <w:r w:rsidR="00430E6A" w:rsidRPr="00430E6A">
        <w:rPr>
          <w:rFonts w:ascii="Times New Roman" w:hAnsi="Times New Roman"/>
          <w:sz w:val="18"/>
          <w:szCs w:val="18"/>
        </w:rPr>
        <w:t>), pore volume (Vp), pore diameter (Dp) and zeta potential (PZ) of the CuO-NPs, nANA and CuO-NPs@nANA.</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86"/>
        <w:gridCol w:w="752"/>
        <w:gridCol w:w="1076"/>
        <w:gridCol w:w="1027"/>
      </w:tblGrid>
      <w:tr w:rsidR="004240EC" w:rsidRPr="004240EC" w14:paraId="5F770046" w14:textId="77777777" w:rsidTr="00430E6A">
        <w:trPr>
          <w:trHeight w:val="313"/>
          <w:jc w:val="center"/>
        </w:trPr>
        <w:tc>
          <w:tcPr>
            <w:tcW w:w="0" w:type="auto"/>
            <w:vAlign w:val="center"/>
          </w:tcPr>
          <w:p w14:paraId="72EA8392" w14:textId="28DE5511" w:rsidR="00BD3465" w:rsidRPr="004240EC" w:rsidRDefault="00BD3465" w:rsidP="00430E6A">
            <w:pPr>
              <w:pStyle w:val="TCTableBody"/>
              <w:spacing w:line="240" w:lineRule="auto"/>
              <w:jc w:val="center"/>
              <w:rPr>
                <w:b/>
                <w:bCs/>
              </w:rPr>
            </w:pPr>
            <w:r w:rsidRPr="004240EC">
              <w:rPr>
                <w:b/>
                <w:bCs/>
              </w:rPr>
              <w:t>Sample</w:t>
            </w:r>
          </w:p>
        </w:tc>
        <w:tc>
          <w:tcPr>
            <w:tcW w:w="0" w:type="auto"/>
            <w:vAlign w:val="center"/>
          </w:tcPr>
          <w:p w14:paraId="3D613B38" w14:textId="60A69D39" w:rsidR="00BD3465" w:rsidRPr="004240EC" w:rsidRDefault="00BD3465" w:rsidP="00430E6A">
            <w:pPr>
              <w:pStyle w:val="TCTableBody"/>
              <w:spacing w:line="240" w:lineRule="auto"/>
              <w:jc w:val="center"/>
              <w:rPr>
                <w:b/>
                <w:bCs/>
              </w:rPr>
            </w:pPr>
            <w:r w:rsidRPr="004240EC">
              <w:rPr>
                <w:b/>
                <w:bCs/>
              </w:rPr>
              <w:t>D</w:t>
            </w:r>
            <w:r w:rsidRPr="004240EC">
              <w:rPr>
                <w:b/>
                <w:bCs/>
                <w:vertAlign w:val="subscript"/>
              </w:rPr>
              <w:t>p</w:t>
            </w:r>
            <w:r w:rsidRPr="004240EC">
              <w:rPr>
                <w:b/>
                <w:bCs/>
              </w:rPr>
              <w:t xml:space="preserve"> (nm)</w:t>
            </w:r>
          </w:p>
        </w:tc>
        <w:tc>
          <w:tcPr>
            <w:tcW w:w="0" w:type="auto"/>
            <w:vAlign w:val="center"/>
          </w:tcPr>
          <w:p w14:paraId="5629A5EA" w14:textId="7A244A93" w:rsidR="00BD3465" w:rsidRPr="004240EC" w:rsidRDefault="00BD3465" w:rsidP="00430E6A">
            <w:pPr>
              <w:pStyle w:val="TCTableBody"/>
              <w:spacing w:line="240" w:lineRule="auto"/>
              <w:jc w:val="center"/>
              <w:rPr>
                <w:b/>
                <w:bCs/>
              </w:rPr>
            </w:pPr>
            <w:r w:rsidRPr="004240EC">
              <w:rPr>
                <w:b/>
                <w:bCs/>
              </w:rPr>
              <w:t>S</w:t>
            </w:r>
            <w:r w:rsidRPr="004240EC">
              <w:rPr>
                <w:b/>
                <w:bCs/>
                <w:vertAlign w:val="subscript"/>
              </w:rPr>
              <w:t xml:space="preserve">BET </w:t>
            </w:r>
            <w:r w:rsidRPr="004240EC">
              <w:rPr>
                <w:b/>
                <w:bCs/>
              </w:rPr>
              <w:t>(m</w:t>
            </w:r>
            <w:r w:rsidRPr="004240EC">
              <w:rPr>
                <w:b/>
                <w:bCs/>
                <w:vertAlign w:val="superscript"/>
              </w:rPr>
              <w:t>2</w:t>
            </w:r>
            <w:r w:rsidRPr="004240EC">
              <w:rPr>
                <w:b/>
                <w:bCs/>
              </w:rPr>
              <w:t xml:space="preserve"> g</w:t>
            </w:r>
            <w:r w:rsidRPr="004240EC">
              <w:rPr>
                <w:b/>
                <w:bCs/>
                <w:vertAlign w:val="superscript"/>
              </w:rPr>
              <w:t>-1</w:t>
            </w:r>
            <w:r w:rsidRPr="004240EC">
              <w:rPr>
                <w:b/>
                <w:bCs/>
              </w:rPr>
              <w:t>)</w:t>
            </w:r>
          </w:p>
        </w:tc>
        <w:tc>
          <w:tcPr>
            <w:tcW w:w="0" w:type="auto"/>
            <w:vAlign w:val="center"/>
          </w:tcPr>
          <w:p w14:paraId="16CEE24B" w14:textId="07FD8536" w:rsidR="00BD3465" w:rsidRPr="004240EC" w:rsidRDefault="00BD3465" w:rsidP="00430E6A">
            <w:pPr>
              <w:pStyle w:val="TCTableBody"/>
              <w:spacing w:line="240" w:lineRule="auto"/>
              <w:jc w:val="center"/>
              <w:rPr>
                <w:b/>
                <w:bCs/>
              </w:rPr>
            </w:pPr>
            <w:r w:rsidRPr="004240EC">
              <w:rPr>
                <w:b/>
                <w:bCs/>
              </w:rPr>
              <w:t>V</w:t>
            </w:r>
            <w:r w:rsidRPr="004240EC">
              <w:rPr>
                <w:b/>
                <w:bCs/>
                <w:vertAlign w:val="subscript"/>
              </w:rPr>
              <w:t>p</w:t>
            </w:r>
            <w:r w:rsidRPr="004240EC">
              <w:rPr>
                <w:b/>
                <w:bCs/>
              </w:rPr>
              <w:t xml:space="preserve"> (cm</w:t>
            </w:r>
            <w:r w:rsidRPr="004240EC">
              <w:rPr>
                <w:b/>
                <w:bCs/>
                <w:vertAlign w:val="superscript"/>
              </w:rPr>
              <w:t>3</w:t>
            </w:r>
            <w:r w:rsidRPr="004240EC">
              <w:rPr>
                <w:b/>
                <w:bCs/>
              </w:rPr>
              <w:t xml:space="preserve"> g</w:t>
            </w:r>
            <w:r w:rsidRPr="004240EC">
              <w:rPr>
                <w:b/>
                <w:bCs/>
                <w:vertAlign w:val="superscript"/>
              </w:rPr>
              <w:t>-1</w:t>
            </w:r>
            <w:r w:rsidRPr="004240EC">
              <w:rPr>
                <w:b/>
                <w:bCs/>
              </w:rPr>
              <w:t>)</w:t>
            </w:r>
          </w:p>
        </w:tc>
      </w:tr>
      <w:tr w:rsidR="004240EC" w:rsidRPr="004240EC" w14:paraId="5597F655" w14:textId="77777777" w:rsidTr="00430E6A">
        <w:trPr>
          <w:trHeight w:val="88"/>
          <w:jc w:val="center"/>
        </w:trPr>
        <w:tc>
          <w:tcPr>
            <w:tcW w:w="0" w:type="auto"/>
            <w:vAlign w:val="center"/>
          </w:tcPr>
          <w:p w14:paraId="3F1687A7" w14:textId="414747F6" w:rsidR="00BD3465" w:rsidRPr="004240EC" w:rsidRDefault="00BD3465" w:rsidP="00430E6A">
            <w:pPr>
              <w:pStyle w:val="TCTableBody"/>
              <w:spacing w:line="240" w:lineRule="auto"/>
              <w:jc w:val="center"/>
            </w:pPr>
            <w:r w:rsidRPr="004240EC">
              <w:t>CuO-NPs</w:t>
            </w:r>
          </w:p>
        </w:tc>
        <w:tc>
          <w:tcPr>
            <w:tcW w:w="0" w:type="auto"/>
            <w:vAlign w:val="center"/>
          </w:tcPr>
          <w:p w14:paraId="73527397" w14:textId="5FF8293F" w:rsidR="00BD3465" w:rsidRPr="004240EC" w:rsidRDefault="00E13BA0" w:rsidP="00430E6A">
            <w:pPr>
              <w:pStyle w:val="TCTableBody"/>
              <w:spacing w:line="240" w:lineRule="auto"/>
              <w:jc w:val="center"/>
            </w:pPr>
            <w:r w:rsidRPr="004240EC">
              <w:t>9.11</w:t>
            </w:r>
          </w:p>
        </w:tc>
        <w:tc>
          <w:tcPr>
            <w:tcW w:w="0" w:type="auto"/>
            <w:vAlign w:val="center"/>
          </w:tcPr>
          <w:p w14:paraId="3D2952DB" w14:textId="4E532D1A" w:rsidR="00BD3465" w:rsidRPr="004240EC" w:rsidRDefault="00BD3465" w:rsidP="00430E6A">
            <w:pPr>
              <w:pStyle w:val="TCTableBody"/>
              <w:spacing w:line="240" w:lineRule="auto"/>
              <w:jc w:val="center"/>
            </w:pPr>
            <w:r w:rsidRPr="004240EC">
              <w:t>13.01</w:t>
            </w:r>
          </w:p>
        </w:tc>
        <w:tc>
          <w:tcPr>
            <w:tcW w:w="0" w:type="auto"/>
            <w:vAlign w:val="center"/>
          </w:tcPr>
          <w:p w14:paraId="755C5DB8" w14:textId="425BE19B" w:rsidR="00BD3465" w:rsidRPr="004240EC" w:rsidRDefault="00111C91" w:rsidP="00430E6A">
            <w:pPr>
              <w:pStyle w:val="TCTableBody"/>
              <w:spacing w:line="240" w:lineRule="auto"/>
              <w:jc w:val="center"/>
            </w:pPr>
            <w:r w:rsidRPr="004240EC">
              <w:t>0.028</w:t>
            </w:r>
            <w:r w:rsidR="008C5342" w:rsidRPr="004240EC">
              <w:t>00</w:t>
            </w:r>
          </w:p>
        </w:tc>
      </w:tr>
      <w:tr w:rsidR="004240EC" w:rsidRPr="004240EC" w14:paraId="283B19D5" w14:textId="77777777" w:rsidTr="00430E6A">
        <w:trPr>
          <w:trHeight w:val="380"/>
          <w:jc w:val="center"/>
        </w:trPr>
        <w:tc>
          <w:tcPr>
            <w:tcW w:w="0" w:type="auto"/>
            <w:vAlign w:val="center"/>
          </w:tcPr>
          <w:p w14:paraId="7FB4C679" w14:textId="27B1F6B5" w:rsidR="00BD3465" w:rsidRPr="004240EC" w:rsidRDefault="00BD3465" w:rsidP="00430E6A">
            <w:pPr>
              <w:pStyle w:val="TCTableBody"/>
              <w:spacing w:line="240" w:lineRule="auto"/>
              <w:jc w:val="center"/>
            </w:pPr>
            <w:r w:rsidRPr="004240EC">
              <w:t>nANA</w:t>
            </w:r>
          </w:p>
        </w:tc>
        <w:tc>
          <w:tcPr>
            <w:tcW w:w="0" w:type="auto"/>
            <w:vAlign w:val="center"/>
          </w:tcPr>
          <w:p w14:paraId="552F0E83" w14:textId="44A56D49" w:rsidR="00BD3465" w:rsidRPr="004240EC" w:rsidRDefault="008C5342" w:rsidP="00430E6A">
            <w:pPr>
              <w:pStyle w:val="TCTableBody"/>
              <w:spacing w:line="240" w:lineRule="auto"/>
              <w:jc w:val="center"/>
            </w:pPr>
            <w:r w:rsidRPr="004240EC">
              <w:t>12.07</w:t>
            </w:r>
          </w:p>
        </w:tc>
        <w:tc>
          <w:tcPr>
            <w:tcW w:w="0" w:type="auto"/>
            <w:vAlign w:val="center"/>
          </w:tcPr>
          <w:p w14:paraId="094C897D" w14:textId="0D32468A" w:rsidR="00BD3465" w:rsidRPr="004240EC" w:rsidRDefault="008C5342" w:rsidP="00430E6A">
            <w:pPr>
              <w:pStyle w:val="TCTableBody"/>
              <w:spacing w:line="240" w:lineRule="auto"/>
              <w:jc w:val="center"/>
            </w:pPr>
            <w:r w:rsidRPr="004240EC">
              <w:t>18.48</w:t>
            </w:r>
          </w:p>
        </w:tc>
        <w:tc>
          <w:tcPr>
            <w:tcW w:w="0" w:type="auto"/>
            <w:vAlign w:val="center"/>
          </w:tcPr>
          <w:p w14:paraId="58434857" w14:textId="4867E3EE" w:rsidR="00BD3465" w:rsidRPr="004240EC" w:rsidRDefault="00642C5B" w:rsidP="00430E6A">
            <w:pPr>
              <w:pStyle w:val="TCTableBody"/>
              <w:spacing w:line="240" w:lineRule="auto"/>
              <w:jc w:val="center"/>
            </w:pPr>
            <w:r w:rsidRPr="004240EC">
              <w:t>0.034</w:t>
            </w:r>
            <w:r w:rsidR="008C5342" w:rsidRPr="004240EC">
              <w:t>40</w:t>
            </w:r>
          </w:p>
        </w:tc>
      </w:tr>
      <w:tr w:rsidR="004240EC" w:rsidRPr="004240EC" w14:paraId="5F24AFA3" w14:textId="77777777" w:rsidTr="00430E6A">
        <w:trPr>
          <w:trHeight w:val="119"/>
          <w:jc w:val="center"/>
        </w:trPr>
        <w:tc>
          <w:tcPr>
            <w:tcW w:w="0" w:type="auto"/>
            <w:tcBorders>
              <w:bottom w:val="single" w:sz="6" w:space="0" w:color="auto"/>
            </w:tcBorders>
            <w:vAlign w:val="center"/>
          </w:tcPr>
          <w:p w14:paraId="6CE4BD57" w14:textId="5166DA4A" w:rsidR="00BD3465" w:rsidRPr="004240EC" w:rsidRDefault="00BD3465" w:rsidP="00430E6A">
            <w:pPr>
              <w:pStyle w:val="TCTableBody"/>
              <w:spacing w:line="240" w:lineRule="auto"/>
              <w:jc w:val="center"/>
            </w:pPr>
            <w:r w:rsidRPr="004240EC">
              <w:t>CuO</w:t>
            </w:r>
            <w:r w:rsidR="00B93597" w:rsidRPr="004240EC">
              <w:t>-NPs</w:t>
            </w:r>
            <w:r w:rsidRPr="004240EC">
              <w:t>@nANA</w:t>
            </w:r>
          </w:p>
        </w:tc>
        <w:tc>
          <w:tcPr>
            <w:tcW w:w="0" w:type="auto"/>
            <w:tcBorders>
              <w:bottom w:val="single" w:sz="6" w:space="0" w:color="auto"/>
            </w:tcBorders>
            <w:vAlign w:val="center"/>
          </w:tcPr>
          <w:p w14:paraId="1E40A9A2" w14:textId="35018375" w:rsidR="00BD3465" w:rsidRPr="004240EC" w:rsidRDefault="00E13BA0" w:rsidP="00430E6A">
            <w:pPr>
              <w:pStyle w:val="TCTableBody"/>
              <w:spacing w:line="240" w:lineRule="auto"/>
              <w:jc w:val="center"/>
            </w:pPr>
            <w:r w:rsidRPr="004240EC">
              <w:t>16.61</w:t>
            </w:r>
          </w:p>
        </w:tc>
        <w:tc>
          <w:tcPr>
            <w:tcW w:w="0" w:type="auto"/>
            <w:tcBorders>
              <w:bottom w:val="single" w:sz="6" w:space="0" w:color="auto"/>
            </w:tcBorders>
            <w:vAlign w:val="center"/>
          </w:tcPr>
          <w:p w14:paraId="31B860D4" w14:textId="1D02F9BD" w:rsidR="00BD3465" w:rsidRPr="004240EC" w:rsidRDefault="00E13BA0" w:rsidP="00430E6A">
            <w:pPr>
              <w:pStyle w:val="TCTableBody"/>
              <w:spacing w:line="240" w:lineRule="auto"/>
              <w:jc w:val="center"/>
            </w:pPr>
            <w:r w:rsidRPr="004240EC">
              <w:t>14.78</w:t>
            </w:r>
          </w:p>
        </w:tc>
        <w:tc>
          <w:tcPr>
            <w:tcW w:w="0" w:type="auto"/>
            <w:tcBorders>
              <w:bottom w:val="single" w:sz="6" w:space="0" w:color="auto"/>
            </w:tcBorders>
            <w:vAlign w:val="center"/>
          </w:tcPr>
          <w:p w14:paraId="0967689B" w14:textId="69971D25" w:rsidR="00BD3465" w:rsidRPr="004240EC" w:rsidRDefault="00807F8E" w:rsidP="00430E6A">
            <w:pPr>
              <w:pStyle w:val="TCTableBody"/>
              <w:spacing w:line="240" w:lineRule="auto"/>
              <w:jc w:val="center"/>
            </w:pPr>
            <w:r w:rsidRPr="004240EC">
              <w:t>0.3750</w:t>
            </w:r>
          </w:p>
        </w:tc>
      </w:tr>
    </w:tbl>
    <w:p w14:paraId="59F80166" w14:textId="77777777" w:rsidR="00F0487B" w:rsidRDefault="00F0487B" w:rsidP="0079019F">
      <w:pPr>
        <w:pStyle w:val="TAMainText"/>
        <w:ind w:firstLine="204"/>
      </w:pPr>
    </w:p>
    <w:p w14:paraId="6CD70B86" w14:textId="10D52DA3" w:rsidR="00C74A4B" w:rsidRPr="004240EC" w:rsidRDefault="00C74A4B" w:rsidP="00AB5BC4">
      <w:pPr>
        <w:pStyle w:val="TAMainText"/>
        <w:ind w:firstLine="204"/>
      </w:pPr>
      <w:r w:rsidRPr="004240EC">
        <w:t>The pH</w:t>
      </w:r>
      <w:r w:rsidRPr="004240EC">
        <w:rPr>
          <w:vertAlign w:val="subscript"/>
        </w:rPr>
        <w:t xml:space="preserve">ZCP </w:t>
      </w:r>
      <w:r w:rsidRPr="004240EC">
        <w:t>for nANA, CuO-NPs and CuO</w:t>
      </w:r>
      <w:r w:rsidR="00B93597" w:rsidRPr="004240EC">
        <w:t>-NPs</w:t>
      </w:r>
      <w:r w:rsidRPr="004240EC">
        <w:t xml:space="preserve">@nANA were 8.18, </w:t>
      </w:r>
      <w:r w:rsidR="005770CF" w:rsidRPr="004240EC">
        <w:t>7.73</w:t>
      </w:r>
      <w:r w:rsidRPr="004240EC">
        <w:t xml:space="preserve">, and </w:t>
      </w:r>
      <w:r w:rsidR="005770CF" w:rsidRPr="004240EC">
        <w:t>7.49</w:t>
      </w:r>
      <w:r w:rsidRPr="004240EC">
        <w:t>, respectively.</w:t>
      </w:r>
      <w:r w:rsidR="00AB5BC4" w:rsidRPr="004240EC">
        <w:t xml:space="preserve"> Moreover, DRS analysis revealed </w:t>
      </w:r>
      <w:r w:rsidR="00430E6A">
        <w:t>the E</w:t>
      </w:r>
      <w:r w:rsidR="00430E6A" w:rsidRPr="00CD5FB0">
        <w:rPr>
          <w:vertAlign w:val="subscript"/>
        </w:rPr>
        <w:t>g</w:t>
      </w:r>
      <w:r w:rsidR="00430E6A">
        <w:t xml:space="preserve"> = </w:t>
      </w:r>
      <w:r w:rsidR="00AB5BC4" w:rsidRPr="004240EC">
        <w:t xml:space="preserve"> </w:t>
      </w:r>
      <w:r w:rsidR="00CD5FB0">
        <w:t>1,28</w:t>
      </w:r>
      <w:r w:rsidR="00AB5BC4" w:rsidRPr="004240EC">
        <w:t xml:space="preserve"> eV for CuO-NPs</w:t>
      </w:r>
      <w:r w:rsidR="00CD5FB0">
        <w:t>@nANA</w:t>
      </w:r>
      <w:r w:rsidR="00AB5BC4" w:rsidRPr="004240EC">
        <w:t xml:space="preserve">, which is comparable to values of other versatile and promising </w:t>
      </w:r>
      <w:r w:rsidR="00D16309">
        <w:t>p</w:t>
      </w:r>
      <w:r w:rsidR="00AB5BC4" w:rsidRPr="004240EC">
        <w:t>hotocatalyst reported in the literature (</w:t>
      </w:r>
      <w:r w:rsidR="00785977" w:rsidRPr="004240EC">
        <w:t>28</w:t>
      </w:r>
      <w:r w:rsidR="00AB5BC4" w:rsidRPr="004240EC">
        <w:t>). The ZP of all samples ranged from -29.23 to -51.23 mV, suggesting physio-chemical stability due to electrostatic factors for the nanocatalyst and its counterparts (</w:t>
      </w:r>
      <w:r w:rsidR="00785977" w:rsidRPr="004240EC">
        <w:t>29</w:t>
      </w:r>
      <w:r w:rsidR="00AB5BC4" w:rsidRPr="004240EC">
        <w:t>).</w:t>
      </w:r>
      <w:r w:rsidRPr="004240EC">
        <w:t xml:space="preserve"> </w:t>
      </w:r>
    </w:p>
    <w:p w14:paraId="4D17C741" w14:textId="2E4FDDE1" w:rsidR="005F41F8" w:rsidRPr="004240EC" w:rsidRDefault="005F41F8" w:rsidP="00AB5BC4">
      <w:pPr>
        <w:pStyle w:val="TAMainText"/>
        <w:ind w:firstLine="204"/>
      </w:pPr>
    </w:p>
    <w:p w14:paraId="756DB805" w14:textId="2EDF7090" w:rsidR="00C74A4B" w:rsidRPr="004240EC" w:rsidRDefault="005F41F8" w:rsidP="005F41F8">
      <w:pPr>
        <w:pStyle w:val="TAMainText"/>
        <w:ind w:firstLine="0"/>
        <w:rPr>
          <w:i/>
          <w:iCs/>
        </w:rPr>
      </w:pPr>
      <w:r w:rsidRPr="004240EC">
        <w:rPr>
          <w:i/>
          <w:iCs/>
        </w:rPr>
        <w:t xml:space="preserve">Photocatalytic degradation </w:t>
      </w:r>
    </w:p>
    <w:p w14:paraId="47697410" w14:textId="7A97AD88" w:rsidR="00DE3F28" w:rsidRDefault="005F41F8" w:rsidP="00E90EF0">
      <w:pPr>
        <w:spacing w:after="0" w:line="240" w:lineRule="exact"/>
        <w:ind w:firstLine="204"/>
        <w:jc w:val="both"/>
        <w:rPr>
          <w:rFonts w:ascii="Times New Roman" w:eastAsia="Times New Roman" w:hAnsi="Times New Roman" w:cs="Times New Roman"/>
          <w:sz w:val="20"/>
          <w:szCs w:val="20"/>
          <w:lang w:val="en-US" w:eastAsia="pt-BR"/>
        </w:rPr>
      </w:pPr>
      <w:r w:rsidRPr="004240EC">
        <w:rPr>
          <w:rFonts w:ascii="Times New Roman" w:eastAsia="Times New Roman" w:hAnsi="Times New Roman" w:cs="Times New Roman"/>
          <w:sz w:val="20"/>
          <w:szCs w:val="20"/>
          <w:lang w:val="en-US" w:eastAsia="pt-BR"/>
        </w:rPr>
        <w:t xml:space="preserve">The heterogeneous photocatalysis </w:t>
      </w:r>
      <w:r w:rsidR="008C1855" w:rsidRPr="004240EC">
        <w:rPr>
          <w:rFonts w:ascii="Times New Roman" w:eastAsia="Times New Roman" w:hAnsi="Times New Roman" w:cs="Times New Roman"/>
          <w:sz w:val="20"/>
          <w:szCs w:val="20"/>
          <w:lang w:val="en-US" w:eastAsia="pt-BR"/>
        </w:rPr>
        <w:t>parameters</w:t>
      </w:r>
      <w:r w:rsidRPr="004240EC">
        <w:rPr>
          <w:rFonts w:ascii="Times New Roman" w:eastAsia="Times New Roman" w:hAnsi="Times New Roman" w:cs="Times New Roman"/>
          <w:sz w:val="20"/>
          <w:szCs w:val="20"/>
          <w:lang w:val="en-US" w:eastAsia="pt-BR"/>
        </w:rPr>
        <w:t xml:space="preserve"> set to this work </w:t>
      </w:r>
      <w:r w:rsidR="008C1855" w:rsidRPr="004240EC">
        <w:rPr>
          <w:rFonts w:ascii="Times New Roman" w:eastAsia="Times New Roman" w:hAnsi="Times New Roman" w:cs="Times New Roman"/>
          <w:sz w:val="20"/>
          <w:szCs w:val="20"/>
          <w:lang w:val="en-US" w:eastAsia="pt-BR"/>
        </w:rPr>
        <w:t>were</w:t>
      </w:r>
      <w:r w:rsidRPr="004240EC">
        <w:rPr>
          <w:rFonts w:ascii="Times New Roman" w:eastAsia="Times New Roman" w:hAnsi="Times New Roman" w:cs="Times New Roman"/>
          <w:sz w:val="20"/>
          <w:szCs w:val="20"/>
          <w:lang w:val="en-US" w:eastAsia="pt-BR"/>
        </w:rPr>
        <w:t xml:space="preserve"> [MB] = 200 mg L</w:t>
      </w:r>
      <w:r w:rsidRPr="004240EC">
        <w:rPr>
          <w:rFonts w:ascii="Times New Roman" w:eastAsia="Times New Roman" w:hAnsi="Times New Roman" w:cs="Times New Roman"/>
          <w:sz w:val="20"/>
          <w:szCs w:val="20"/>
          <w:vertAlign w:val="superscript"/>
          <w:lang w:val="en-US" w:eastAsia="pt-BR"/>
        </w:rPr>
        <w:t>-1</w:t>
      </w:r>
      <w:r w:rsidRPr="004240EC">
        <w:rPr>
          <w:rFonts w:ascii="Times New Roman" w:eastAsia="Times New Roman" w:hAnsi="Times New Roman" w:cs="Times New Roman"/>
          <w:sz w:val="20"/>
          <w:szCs w:val="20"/>
          <w:lang w:val="en-US" w:eastAsia="pt-BR"/>
        </w:rPr>
        <w:t>, [CuO</w:t>
      </w:r>
      <w:r w:rsidR="00B93597" w:rsidRPr="004240EC">
        <w:rPr>
          <w:rFonts w:ascii="Times New Roman" w:eastAsia="Times New Roman" w:hAnsi="Times New Roman" w:cs="Times New Roman"/>
          <w:sz w:val="20"/>
          <w:szCs w:val="20"/>
          <w:lang w:val="en-US" w:eastAsia="pt-BR"/>
        </w:rPr>
        <w:t>-NPs</w:t>
      </w:r>
      <w:r w:rsidRPr="004240EC">
        <w:rPr>
          <w:rFonts w:ascii="Times New Roman" w:eastAsia="Times New Roman" w:hAnsi="Times New Roman" w:cs="Times New Roman"/>
          <w:sz w:val="20"/>
          <w:szCs w:val="20"/>
          <w:lang w:val="en-US" w:eastAsia="pt-BR"/>
        </w:rPr>
        <w:t>@nANA] = 0.5 g L</w:t>
      </w:r>
      <w:r w:rsidRPr="004240EC">
        <w:rPr>
          <w:rFonts w:ascii="Times New Roman" w:eastAsia="Times New Roman" w:hAnsi="Times New Roman" w:cs="Times New Roman"/>
          <w:sz w:val="20"/>
          <w:szCs w:val="20"/>
          <w:vertAlign w:val="superscript"/>
          <w:lang w:val="en-US" w:eastAsia="pt-BR"/>
        </w:rPr>
        <w:t>-1</w:t>
      </w:r>
      <w:r w:rsidRPr="004240EC">
        <w:rPr>
          <w:rFonts w:ascii="Times New Roman" w:eastAsia="Times New Roman" w:hAnsi="Times New Roman" w:cs="Times New Roman"/>
          <w:sz w:val="20"/>
          <w:szCs w:val="20"/>
          <w:lang w:val="en-US" w:eastAsia="pt-BR"/>
        </w:rPr>
        <w:t xml:space="preserve"> and pH 5.9 carried out under magnetic stirring at 25°C, </w:t>
      </w:r>
      <w:r w:rsidR="008C1855" w:rsidRPr="004240EC">
        <w:rPr>
          <w:rFonts w:ascii="Times New Roman" w:eastAsia="Times New Roman" w:hAnsi="Times New Roman" w:cs="Times New Roman"/>
          <w:sz w:val="20"/>
          <w:szCs w:val="20"/>
          <w:lang w:val="en-US" w:eastAsia="pt-BR"/>
        </w:rPr>
        <w:t>in which 74.91</w:t>
      </w:r>
      <w:r w:rsidRPr="004240EC">
        <w:rPr>
          <w:rFonts w:ascii="Times New Roman" w:eastAsia="Times New Roman" w:hAnsi="Times New Roman" w:cs="Times New Roman"/>
          <w:sz w:val="20"/>
          <w:szCs w:val="20"/>
          <w:lang w:val="en-US" w:eastAsia="pt-BR"/>
        </w:rPr>
        <w:t>% dye removal from aqueous solution</w:t>
      </w:r>
      <w:r w:rsidR="008C1855" w:rsidRPr="004240EC">
        <w:rPr>
          <w:rFonts w:ascii="Times New Roman" w:eastAsia="Times New Roman" w:hAnsi="Times New Roman" w:cs="Times New Roman"/>
          <w:sz w:val="20"/>
          <w:szCs w:val="20"/>
          <w:lang w:val="en-US" w:eastAsia="pt-BR"/>
        </w:rPr>
        <w:t xml:space="preserve"> was achieved</w:t>
      </w:r>
      <w:r w:rsidR="00430E6A">
        <w:rPr>
          <w:rFonts w:ascii="Times New Roman" w:eastAsia="Times New Roman" w:hAnsi="Times New Roman" w:cs="Times New Roman"/>
          <w:sz w:val="20"/>
          <w:szCs w:val="20"/>
          <w:lang w:val="en-US" w:eastAsia="pt-BR"/>
        </w:rPr>
        <w:t xml:space="preserve"> (Figure 2</w:t>
      </w:r>
      <w:r w:rsidRPr="004240EC">
        <w:rPr>
          <w:rFonts w:ascii="Times New Roman" w:eastAsia="Times New Roman" w:hAnsi="Times New Roman" w:cs="Times New Roman"/>
          <w:sz w:val="20"/>
          <w:szCs w:val="20"/>
          <w:lang w:val="en-US" w:eastAsia="pt-BR"/>
        </w:rPr>
        <w:t>.</w:t>
      </w:r>
    </w:p>
    <w:p w14:paraId="367AC6E0" w14:textId="77777777" w:rsidR="00430E6A" w:rsidRPr="004240EC" w:rsidRDefault="00430E6A" w:rsidP="00430E6A">
      <w:pPr>
        <w:spacing w:after="0" w:line="240" w:lineRule="exact"/>
        <w:jc w:val="both"/>
        <w:rPr>
          <w:rFonts w:ascii="Times New Roman" w:eastAsia="Times New Roman" w:hAnsi="Times New Roman" w:cs="Times New Roman"/>
          <w:sz w:val="20"/>
          <w:szCs w:val="20"/>
          <w:lang w:val="en-US" w:eastAsia="pt-BR"/>
        </w:rPr>
      </w:pPr>
    </w:p>
    <w:p w14:paraId="1A588240" w14:textId="4415C4B0" w:rsidR="00DE3F28" w:rsidRPr="004240EC" w:rsidRDefault="00AF273A" w:rsidP="00D16309">
      <w:pPr>
        <w:pStyle w:val="SemEspaamento"/>
        <w:jc w:val="center"/>
        <w:rPr>
          <w:rFonts w:ascii="Times New Roman" w:eastAsia="Times New Roman" w:hAnsi="Times New Roman" w:cs="Times New Roman"/>
          <w:b/>
          <w:bCs/>
          <w:sz w:val="18"/>
          <w:szCs w:val="18"/>
          <w:lang w:val="en-US" w:eastAsia="pt-BR"/>
        </w:rPr>
      </w:pPr>
      <w:r w:rsidRPr="004240EC">
        <w:rPr>
          <w:noProof/>
        </w:rPr>
        <w:drawing>
          <wp:inline distT="0" distB="0" distL="0" distR="0" wp14:anchorId="3CDF63D1" wp14:editId="76C0DC9F">
            <wp:extent cx="2578620" cy="2088000"/>
            <wp:effectExtent l="0" t="0" r="0" b="7620"/>
            <wp:docPr id="168316966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7645" t="9884" r="13486" b="6508"/>
                    <a:stretch/>
                  </pic:blipFill>
                  <pic:spPr bwMode="auto">
                    <a:xfrm>
                      <a:off x="0" y="0"/>
                      <a:ext cx="2578620" cy="2088000"/>
                    </a:xfrm>
                    <a:prstGeom prst="rect">
                      <a:avLst/>
                    </a:prstGeom>
                    <a:noFill/>
                    <a:ln>
                      <a:noFill/>
                    </a:ln>
                    <a:extLst>
                      <a:ext uri="{53640926-AAD7-44D8-BBD7-CCE9431645EC}">
                        <a14:shadowObscured xmlns:a14="http://schemas.microsoft.com/office/drawing/2010/main"/>
                      </a:ext>
                    </a:extLst>
                  </pic:spPr>
                </pic:pic>
              </a:graphicData>
            </a:graphic>
          </wp:inline>
        </w:drawing>
      </w:r>
    </w:p>
    <w:p w14:paraId="41821D40" w14:textId="4F7777E4" w:rsidR="0079019F" w:rsidRPr="0079019F" w:rsidRDefault="005F41F8" w:rsidP="005F41F8">
      <w:pPr>
        <w:spacing w:after="0" w:line="200" w:lineRule="exact"/>
        <w:jc w:val="both"/>
        <w:rPr>
          <w:rFonts w:ascii="Times New Roman" w:eastAsia="Times New Roman" w:hAnsi="Times New Roman" w:cs="Times New Roman"/>
          <w:sz w:val="18"/>
          <w:szCs w:val="18"/>
          <w:lang w:val="en-US" w:eastAsia="pt-BR"/>
        </w:rPr>
      </w:pPr>
      <w:r w:rsidRPr="004240EC">
        <w:rPr>
          <w:rFonts w:ascii="Times New Roman" w:eastAsia="Times New Roman" w:hAnsi="Times New Roman" w:cs="Times New Roman"/>
          <w:b/>
          <w:bCs/>
          <w:sz w:val="18"/>
          <w:szCs w:val="18"/>
          <w:lang w:val="en-US" w:eastAsia="pt-BR"/>
        </w:rPr>
        <w:t xml:space="preserve">Figure </w:t>
      </w:r>
      <w:r w:rsidR="006771BA" w:rsidRPr="004240EC">
        <w:rPr>
          <w:rFonts w:ascii="Times New Roman" w:eastAsia="Times New Roman" w:hAnsi="Times New Roman" w:cs="Times New Roman"/>
          <w:b/>
          <w:bCs/>
          <w:sz w:val="18"/>
          <w:szCs w:val="18"/>
          <w:lang w:val="en-US" w:eastAsia="pt-BR"/>
        </w:rPr>
        <w:t>2</w:t>
      </w:r>
      <w:r w:rsidRPr="004240EC">
        <w:rPr>
          <w:rFonts w:ascii="Times New Roman" w:eastAsia="Times New Roman" w:hAnsi="Times New Roman" w:cs="Times New Roman"/>
          <w:sz w:val="18"/>
          <w:szCs w:val="18"/>
          <w:lang w:val="en-US" w:eastAsia="pt-BR"/>
        </w:rPr>
        <w:t xml:space="preserve">. Kinetic </w:t>
      </w:r>
      <w:r w:rsidR="00430E6A">
        <w:rPr>
          <w:rFonts w:ascii="Times New Roman" w:eastAsia="Times New Roman" w:hAnsi="Times New Roman" w:cs="Times New Roman"/>
          <w:sz w:val="18"/>
          <w:szCs w:val="18"/>
          <w:lang w:val="en-US" w:eastAsia="pt-BR"/>
        </w:rPr>
        <w:t xml:space="preserve">curve </w:t>
      </w:r>
      <w:r w:rsidRPr="004240EC">
        <w:rPr>
          <w:rFonts w:ascii="Times New Roman" w:eastAsia="Times New Roman" w:hAnsi="Times New Roman" w:cs="Times New Roman"/>
          <w:sz w:val="18"/>
          <w:szCs w:val="18"/>
          <w:lang w:val="en-US" w:eastAsia="pt-BR"/>
        </w:rPr>
        <w:t xml:space="preserve">of </w:t>
      </w:r>
      <w:r w:rsidR="003152D9" w:rsidRPr="004240EC">
        <w:rPr>
          <w:rFonts w:ascii="Times New Roman" w:eastAsia="Times New Roman" w:hAnsi="Times New Roman" w:cs="Times New Roman"/>
          <w:sz w:val="18"/>
          <w:szCs w:val="18"/>
          <w:lang w:val="en-US" w:eastAsia="pt-BR"/>
        </w:rPr>
        <w:t>MB</w:t>
      </w:r>
      <w:r w:rsidRPr="004240EC">
        <w:rPr>
          <w:rFonts w:ascii="Times New Roman" w:eastAsia="Times New Roman" w:hAnsi="Times New Roman" w:cs="Times New Roman"/>
          <w:sz w:val="18"/>
          <w:szCs w:val="18"/>
          <w:lang w:val="en-US" w:eastAsia="pt-BR"/>
        </w:rPr>
        <w:t xml:space="preserve"> photocatalytic degradation.</w:t>
      </w:r>
      <w:r w:rsidR="00E90EF0" w:rsidRPr="004240EC">
        <w:rPr>
          <w:rFonts w:ascii="Times New Roman" w:eastAsia="Times New Roman" w:hAnsi="Times New Roman" w:cs="Times New Roman"/>
          <w:sz w:val="18"/>
          <w:szCs w:val="18"/>
          <w:lang w:val="en-US" w:eastAsia="pt-BR"/>
        </w:rPr>
        <w:t xml:space="preserve"> </w:t>
      </w:r>
    </w:p>
    <w:p w14:paraId="285600B2" w14:textId="77777777" w:rsidR="00430E6A" w:rsidRDefault="00430E6A" w:rsidP="0079019F">
      <w:pPr>
        <w:spacing w:after="0" w:line="240" w:lineRule="exact"/>
        <w:ind w:firstLine="204"/>
        <w:jc w:val="both"/>
        <w:rPr>
          <w:rFonts w:ascii="Times New Roman" w:eastAsia="Times New Roman" w:hAnsi="Times New Roman" w:cs="Times New Roman"/>
          <w:sz w:val="20"/>
          <w:szCs w:val="20"/>
          <w:lang w:val="en-US" w:eastAsia="pt-BR"/>
        </w:rPr>
      </w:pPr>
    </w:p>
    <w:p w14:paraId="339F28C2" w14:textId="3032564C" w:rsidR="00D167E4" w:rsidRDefault="005F41F8" w:rsidP="0079019F">
      <w:pPr>
        <w:spacing w:after="0" w:line="240" w:lineRule="exact"/>
        <w:ind w:firstLine="204"/>
        <w:jc w:val="both"/>
        <w:rPr>
          <w:rFonts w:ascii="Times New Roman" w:eastAsia="Times New Roman" w:hAnsi="Times New Roman" w:cs="Times New Roman"/>
          <w:sz w:val="20"/>
          <w:szCs w:val="20"/>
          <w:lang w:val="en-US" w:eastAsia="pt-BR"/>
        </w:rPr>
      </w:pPr>
      <w:r w:rsidRPr="004240EC">
        <w:rPr>
          <w:rFonts w:ascii="Times New Roman" w:eastAsia="Times New Roman" w:hAnsi="Times New Roman" w:cs="Times New Roman"/>
          <w:sz w:val="20"/>
          <w:szCs w:val="20"/>
          <w:lang w:val="en-US" w:eastAsia="pt-BR"/>
        </w:rPr>
        <w:t xml:space="preserve">According to Figure </w:t>
      </w:r>
      <w:r w:rsidR="00430E6A">
        <w:rPr>
          <w:rFonts w:ascii="Times New Roman" w:eastAsia="Times New Roman" w:hAnsi="Times New Roman" w:cs="Times New Roman"/>
          <w:sz w:val="20"/>
          <w:szCs w:val="20"/>
          <w:lang w:val="en-US" w:eastAsia="pt-BR"/>
        </w:rPr>
        <w:t>2</w:t>
      </w:r>
      <w:r w:rsidRPr="004240EC">
        <w:rPr>
          <w:rFonts w:ascii="Times New Roman" w:eastAsia="Times New Roman" w:hAnsi="Times New Roman" w:cs="Times New Roman"/>
          <w:sz w:val="20"/>
          <w:szCs w:val="20"/>
          <w:lang w:val="en-US" w:eastAsia="pt-BR"/>
        </w:rPr>
        <w:t xml:space="preserve">, the Langmuir-Hinshelwood </w:t>
      </w:r>
      <w:r w:rsidR="003152D9" w:rsidRPr="004240EC">
        <w:rPr>
          <w:rFonts w:ascii="Times New Roman" w:eastAsia="Times New Roman" w:hAnsi="Times New Roman" w:cs="Times New Roman"/>
          <w:sz w:val="20"/>
          <w:szCs w:val="20"/>
          <w:lang w:val="en-US" w:eastAsia="pt-BR"/>
        </w:rPr>
        <w:t xml:space="preserve">fitted the </w:t>
      </w:r>
      <w:r w:rsidRPr="004240EC">
        <w:rPr>
          <w:rFonts w:ascii="Times New Roman" w:eastAsia="Times New Roman" w:hAnsi="Times New Roman" w:cs="Times New Roman"/>
          <w:sz w:val="20"/>
          <w:szCs w:val="20"/>
          <w:lang w:val="en-US" w:eastAsia="pt-BR"/>
        </w:rPr>
        <w:t xml:space="preserve">experimental data, </w:t>
      </w:r>
      <w:r w:rsidR="003152D9" w:rsidRPr="004240EC">
        <w:rPr>
          <w:rFonts w:ascii="Times New Roman" w:eastAsia="Times New Roman" w:hAnsi="Times New Roman" w:cs="Times New Roman"/>
          <w:sz w:val="20"/>
          <w:szCs w:val="20"/>
          <w:lang w:val="en-US" w:eastAsia="pt-BR"/>
        </w:rPr>
        <w:t>being confirmed from</w:t>
      </w:r>
      <w:r w:rsidRPr="004240EC">
        <w:rPr>
          <w:rFonts w:ascii="Times New Roman" w:eastAsia="Times New Roman" w:hAnsi="Times New Roman" w:cs="Times New Roman"/>
          <w:sz w:val="20"/>
          <w:szCs w:val="20"/>
          <w:lang w:val="en-US" w:eastAsia="pt-BR"/>
        </w:rPr>
        <w:t xml:space="preserve"> R</w:t>
      </w:r>
      <w:r w:rsidRPr="004240EC">
        <w:rPr>
          <w:rFonts w:ascii="Times New Roman" w:eastAsia="Times New Roman" w:hAnsi="Times New Roman" w:cs="Times New Roman"/>
          <w:sz w:val="20"/>
          <w:szCs w:val="20"/>
          <w:vertAlign w:val="superscript"/>
          <w:lang w:val="en-US" w:eastAsia="pt-BR"/>
        </w:rPr>
        <w:t>2</w:t>
      </w:r>
      <w:r w:rsidRPr="004240EC">
        <w:rPr>
          <w:rFonts w:ascii="Times New Roman" w:eastAsia="Times New Roman" w:hAnsi="Times New Roman" w:cs="Times New Roman"/>
          <w:sz w:val="20"/>
          <w:szCs w:val="20"/>
          <w:lang w:val="en-US" w:eastAsia="pt-BR"/>
        </w:rPr>
        <w:t xml:space="preserve"> and R</w:t>
      </w:r>
      <w:r w:rsidRPr="004240EC">
        <w:rPr>
          <w:rFonts w:ascii="Times New Roman" w:eastAsia="Times New Roman" w:hAnsi="Times New Roman" w:cs="Times New Roman"/>
          <w:sz w:val="20"/>
          <w:szCs w:val="20"/>
          <w:vertAlign w:val="superscript"/>
          <w:lang w:val="en-US" w:eastAsia="pt-BR"/>
        </w:rPr>
        <w:t>2</w:t>
      </w:r>
      <w:r w:rsidRPr="004240EC">
        <w:rPr>
          <w:rFonts w:ascii="Times New Roman" w:eastAsia="Times New Roman" w:hAnsi="Times New Roman" w:cs="Times New Roman"/>
          <w:sz w:val="20"/>
          <w:szCs w:val="20"/>
          <w:vertAlign w:val="subscript"/>
          <w:lang w:val="en-US" w:eastAsia="pt-BR"/>
        </w:rPr>
        <w:t>adj</w:t>
      </w:r>
      <w:r w:rsidRPr="004240EC">
        <w:rPr>
          <w:rFonts w:ascii="Times New Roman" w:eastAsia="Times New Roman" w:hAnsi="Times New Roman" w:cs="Times New Roman"/>
          <w:sz w:val="20"/>
          <w:szCs w:val="20"/>
          <w:lang w:val="en-US" w:eastAsia="pt-BR"/>
        </w:rPr>
        <w:t xml:space="preserve"> value</w:t>
      </w:r>
      <w:r w:rsidR="003152D9" w:rsidRPr="004240EC">
        <w:rPr>
          <w:rFonts w:ascii="Times New Roman" w:eastAsia="Times New Roman" w:hAnsi="Times New Roman" w:cs="Times New Roman"/>
          <w:sz w:val="20"/>
          <w:szCs w:val="20"/>
          <w:lang w:val="en-US" w:eastAsia="pt-BR"/>
        </w:rPr>
        <w:t>s, which are close to unity</w:t>
      </w:r>
      <w:r w:rsidRPr="004240EC">
        <w:rPr>
          <w:rFonts w:ascii="Times New Roman" w:eastAsia="Times New Roman" w:hAnsi="Times New Roman" w:cs="Times New Roman"/>
          <w:sz w:val="20"/>
          <w:szCs w:val="20"/>
          <w:lang w:val="en-US" w:eastAsia="pt-BR"/>
        </w:rPr>
        <w:t xml:space="preserve">. Moreover, </w:t>
      </w:r>
      <w:r w:rsidR="003152D9" w:rsidRPr="004240EC">
        <w:rPr>
          <w:rFonts w:ascii="Times New Roman" w:eastAsia="Times New Roman" w:hAnsi="Times New Roman" w:cs="Times New Roman"/>
          <w:sz w:val="20"/>
          <w:szCs w:val="20"/>
          <w:lang w:val="en-US" w:eastAsia="pt-BR"/>
        </w:rPr>
        <w:t>the accuracy of the linear</w:t>
      </w:r>
      <w:r w:rsidR="00861D07" w:rsidRPr="004240EC">
        <w:rPr>
          <w:rFonts w:ascii="Times New Roman" w:eastAsia="Times New Roman" w:hAnsi="Times New Roman" w:cs="Times New Roman"/>
          <w:sz w:val="20"/>
          <w:szCs w:val="20"/>
          <w:lang w:val="en-US" w:eastAsia="pt-BR"/>
        </w:rPr>
        <w:t>ized Langmuir-Hinshelwood</w:t>
      </w:r>
      <w:r w:rsidR="003152D9" w:rsidRPr="004240EC">
        <w:rPr>
          <w:rFonts w:ascii="Times New Roman" w:eastAsia="Times New Roman" w:hAnsi="Times New Roman" w:cs="Times New Roman"/>
          <w:sz w:val="20"/>
          <w:szCs w:val="20"/>
          <w:lang w:val="en-US" w:eastAsia="pt-BR"/>
        </w:rPr>
        <w:t xml:space="preserve"> model can be confirmed with the values of the</w:t>
      </w:r>
      <w:r w:rsidRPr="004240EC">
        <w:rPr>
          <w:rFonts w:ascii="Times New Roman" w:eastAsia="Times New Roman" w:hAnsi="Times New Roman" w:cs="Times New Roman"/>
          <w:sz w:val="20"/>
          <w:szCs w:val="20"/>
          <w:lang w:val="en-US" w:eastAsia="pt-BR"/>
        </w:rPr>
        <w:t xml:space="preserve"> error functions </w:t>
      </w:r>
      <w:r w:rsidR="003152D9" w:rsidRPr="004240EC">
        <w:rPr>
          <w:rFonts w:ascii="Times New Roman" w:eastAsia="Times New Roman" w:hAnsi="Times New Roman" w:cs="Times New Roman"/>
          <w:sz w:val="20"/>
          <w:szCs w:val="20"/>
          <w:lang w:val="en-US" w:eastAsia="pt-BR"/>
        </w:rPr>
        <w:t>(</w:t>
      </w:r>
      <w:r w:rsidRPr="004240EC">
        <w:rPr>
          <w:rFonts w:ascii="Times New Roman" w:eastAsia="Times New Roman" w:hAnsi="Times New Roman" w:cs="Times New Roman"/>
          <w:sz w:val="20"/>
          <w:szCs w:val="20"/>
          <w:lang w:val="en-US" w:eastAsia="pt-BR"/>
        </w:rPr>
        <w:t>SAE, SSE</w:t>
      </w:r>
      <w:r w:rsidR="003152D9" w:rsidRPr="004240EC">
        <w:rPr>
          <w:rFonts w:ascii="Times New Roman" w:eastAsia="Times New Roman" w:hAnsi="Times New Roman" w:cs="Times New Roman"/>
          <w:sz w:val="20"/>
          <w:szCs w:val="20"/>
          <w:lang w:val="en-US" w:eastAsia="pt-BR"/>
        </w:rPr>
        <w:t>,</w:t>
      </w:r>
      <w:r w:rsidRPr="004240EC">
        <w:rPr>
          <w:rFonts w:ascii="Times New Roman" w:eastAsia="Times New Roman" w:hAnsi="Times New Roman" w:cs="Times New Roman"/>
          <w:sz w:val="20"/>
          <w:szCs w:val="20"/>
          <w:lang w:val="en-US" w:eastAsia="pt-BR"/>
        </w:rPr>
        <w:t xml:space="preserve"> ARE</w:t>
      </w:r>
      <w:r w:rsidR="003152D9" w:rsidRPr="004240EC">
        <w:rPr>
          <w:rFonts w:ascii="Times New Roman" w:eastAsia="Times New Roman" w:hAnsi="Times New Roman" w:cs="Times New Roman"/>
          <w:sz w:val="20"/>
          <w:szCs w:val="20"/>
          <w:lang w:val="en-US" w:eastAsia="pt-BR"/>
        </w:rPr>
        <w:t>). Furthermore</w:t>
      </w:r>
      <w:r w:rsidRPr="004240EC">
        <w:rPr>
          <w:rFonts w:ascii="Times New Roman" w:eastAsia="Times New Roman" w:hAnsi="Times New Roman" w:cs="Times New Roman"/>
          <w:sz w:val="20"/>
          <w:szCs w:val="20"/>
          <w:lang w:val="en-US" w:eastAsia="pt-BR"/>
        </w:rPr>
        <w:t xml:space="preserve">, </w:t>
      </w:r>
      <w:r w:rsidR="003152D9" w:rsidRPr="004240EC">
        <w:rPr>
          <w:rFonts w:ascii="Times New Roman" w:eastAsia="Times New Roman" w:hAnsi="Times New Roman" w:cs="Times New Roman"/>
          <w:sz w:val="20"/>
          <w:szCs w:val="20"/>
          <w:lang w:val="en-US" w:eastAsia="pt-BR"/>
        </w:rPr>
        <w:t xml:space="preserve">a MB removal of about 75% was observed in Figure </w:t>
      </w:r>
      <w:r w:rsidR="00D16309">
        <w:rPr>
          <w:rFonts w:ascii="Times New Roman" w:eastAsia="Times New Roman" w:hAnsi="Times New Roman" w:cs="Times New Roman"/>
          <w:sz w:val="20"/>
          <w:szCs w:val="20"/>
          <w:lang w:val="en-US" w:eastAsia="pt-BR"/>
        </w:rPr>
        <w:t>2</w:t>
      </w:r>
      <w:r w:rsidRPr="004240EC">
        <w:rPr>
          <w:rFonts w:ascii="Times New Roman" w:eastAsia="Times New Roman" w:hAnsi="Times New Roman" w:cs="Times New Roman"/>
          <w:sz w:val="20"/>
          <w:szCs w:val="20"/>
          <w:lang w:val="en-US" w:eastAsia="pt-BR"/>
        </w:rPr>
        <w:t xml:space="preserve"> (C C</w:t>
      </w:r>
      <w:r w:rsidRPr="004240EC">
        <w:rPr>
          <w:rFonts w:ascii="Times New Roman" w:eastAsia="Times New Roman" w:hAnsi="Times New Roman" w:cs="Times New Roman"/>
          <w:sz w:val="20"/>
          <w:szCs w:val="20"/>
          <w:vertAlign w:val="subscript"/>
          <w:lang w:val="en-US" w:eastAsia="pt-BR"/>
        </w:rPr>
        <w:t>0</w:t>
      </w:r>
      <w:r w:rsidRPr="004240EC">
        <w:rPr>
          <w:rFonts w:ascii="Times New Roman" w:eastAsia="Times New Roman" w:hAnsi="Times New Roman" w:cs="Times New Roman"/>
          <w:sz w:val="20"/>
          <w:szCs w:val="20"/>
          <w:vertAlign w:val="superscript"/>
          <w:lang w:val="en-US" w:eastAsia="pt-BR"/>
        </w:rPr>
        <w:t>-1</w:t>
      </w:r>
      <w:r w:rsidRPr="004240EC">
        <w:rPr>
          <w:rFonts w:ascii="Times New Roman" w:eastAsia="Times New Roman" w:hAnsi="Times New Roman" w:cs="Times New Roman"/>
          <w:sz w:val="20"/>
          <w:szCs w:val="20"/>
          <w:lang w:val="en-US" w:eastAsia="pt-BR"/>
        </w:rPr>
        <w:t xml:space="preserve"> ~ 0.</w:t>
      </w:r>
      <w:r w:rsidR="003152D9" w:rsidRPr="004240EC">
        <w:rPr>
          <w:rFonts w:ascii="Times New Roman" w:eastAsia="Times New Roman" w:hAnsi="Times New Roman" w:cs="Times New Roman"/>
          <w:sz w:val="20"/>
          <w:szCs w:val="20"/>
          <w:lang w:val="en-US" w:eastAsia="pt-BR"/>
        </w:rPr>
        <w:t>7</w:t>
      </w:r>
      <w:r w:rsidRPr="004240EC">
        <w:rPr>
          <w:rFonts w:ascii="Times New Roman" w:eastAsia="Times New Roman" w:hAnsi="Times New Roman" w:cs="Times New Roman"/>
          <w:sz w:val="20"/>
          <w:szCs w:val="20"/>
          <w:lang w:val="en-US" w:eastAsia="pt-BR"/>
        </w:rPr>
        <w:t>5) after 1</w:t>
      </w:r>
      <w:r w:rsidR="003152D9" w:rsidRPr="004240EC">
        <w:rPr>
          <w:rFonts w:ascii="Times New Roman" w:eastAsia="Times New Roman" w:hAnsi="Times New Roman" w:cs="Times New Roman"/>
          <w:sz w:val="20"/>
          <w:szCs w:val="20"/>
          <w:lang w:val="en-US" w:eastAsia="pt-BR"/>
        </w:rPr>
        <w:t>80</w:t>
      </w:r>
      <w:r w:rsidRPr="004240EC">
        <w:rPr>
          <w:rFonts w:ascii="Times New Roman" w:eastAsia="Times New Roman" w:hAnsi="Times New Roman" w:cs="Times New Roman"/>
          <w:sz w:val="20"/>
          <w:szCs w:val="20"/>
          <w:lang w:val="en-US" w:eastAsia="pt-BR"/>
        </w:rPr>
        <w:t xml:space="preserve"> min of </w:t>
      </w:r>
      <w:r w:rsidR="003152D9" w:rsidRPr="004240EC">
        <w:rPr>
          <w:rFonts w:ascii="Times New Roman" w:eastAsia="Times New Roman" w:hAnsi="Times New Roman" w:cs="Times New Roman"/>
          <w:sz w:val="20"/>
          <w:szCs w:val="20"/>
          <w:lang w:val="en-US" w:eastAsia="pt-BR"/>
        </w:rPr>
        <w:t>the photocatalytic degradation process under visible light</w:t>
      </w:r>
      <w:r w:rsidRPr="004240EC">
        <w:rPr>
          <w:rFonts w:ascii="Times New Roman" w:eastAsia="Times New Roman" w:hAnsi="Times New Roman" w:cs="Times New Roman"/>
          <w:sz w:val="20"/>
          <w:szCs w:val="20"/>
          <w:lang w:val="en-US" w:eastAsia="pt-BR"/>
        </w:rPr>
        <w:t xml:space="preserve">. The apparent rate constant </w:t>
      </w:r>
      <w:r w:rsidR="003152D9" w:rsidRPr="004240EC">
        <w:rPr>
          <w:rFonts w:ascii="Times New Roman" w:eastAsia="Times New Roman" w:hAnsi="Times New Roman" w:cs="Times New Roman"/>
          <w:sz w:val="20"/>
          <w:szCs w:val="20"/>
          <w:lang w:val="en-US" w:eastAsia="pt-BR"/>
        </w:rPr>
        <w:t>evaluated was</w:t>
      </w:r>
      <w:r w:rsidRPr="004240EC">
        <w:rPr>
          <w:rFonts w:ascii="Times New Roman" w:eastAsia="Times New Roman" w:hAnsi="Times New Roman" w:cs="Times New Roman"/>
          <w:sz w:val="20"/>
          <w:szCs w:val="20"/>
          <w:lang w:val="en-US" w:eastAsia="pt-BR"/>
        </w:rPr>
        <w:t xml:space="preserve"> 0.00</w:t>
      </w:r>
      <w:r w:rsidR="003D7C11" w:rsidRPr="004240EC">
        <w:rPr>
          <w:rFonts w:ascii="Times New Roman" w:eastAsia="Times New Roman" w:hAnsi="Times New Roman" w:cs="Times New Roman"/>
          <w:sz w:val="20"/>
          <w:szCs w:val="20"/>
          <w:lang w:val="en-US" w:eastAsia="pt-BR"/>
        </w:rPr>
        <w:t>88</w:t>
      </w:r>
      <w:r w:rsidRPr="004240EC">
        <w:rPr>
          <w:rFonts w:ascii="Times New Roman" w:eastAsia="Times New Roman" w:hAnsi="Times New Roman" w:cs="Times New Roman"/>
          <w:sz w:val="20"/>
          <w:szCs w:val="20"/>
          <w:lang w:val="en-US" w:eastAsia="pt-BR"/>
        </w:rPr>
        <w:t xml:space="preserve"> min</w:t>
      </w:r>
      <w:r w:rsidRPr="004240EC">
        <w:rPr>
          <w:rFonts w:ascii="Times New Roman" w:eastAsia="Times New Roman" w:hAnsi="Times New Roman" w:cs="Times New Roman"/>
          <w:sz w:val="20"/>
          <w:szCs w:val="20"/>
          <w:vertAlign w:val="superscript"/>
          <w:lang w:val="en-US" w:eastAsia="pt-BR"/>
        </w:rPr>
        <w:t>-1</w:t>
      </w:r>
      <w:r w:rsidRPr="004240EC">
        <w:rPr>
          <w:rFonts w:ascii="Times New Roman" w:eastAsia="Times New Roman" w:hAnsi="Times New Roman" w:cs="Times New Roman"/>
          <w:sz w:val="20"/>
          <w:szCs w:val="20"/>
          <w:lang w:val="en-US" w:eastAsia="pt-BR"/>
        </w:rPr>
        <w:t>, suggesting that about 0.</w:t>
      </w:r>
      <w:r w:rsidR="003D7C11" w:rsidRPr="004240EC">
        <w:rPr>
          <w:rFonts w:ascii="Times New Roman" w:eastAsia="Times New Roman" w:hAnsi="Times New Roman" w:cs="Times New Roman"/>
          <w:sz w:val="20"/>
          <w:szCs w:val="20"/>
          <w:lang w:val="en-US" w:eastAsia="pt-BR"/>
        </w:rPr>
        <w:t>88</w:t>
      </w:r>
      <w:r w:rsidRPr="004240EC">
        <w:rPr>
          <w:rFonts w:ascii="Times New Roman" w:eastAsia="Times New Roman" w:hAnsi="Times New Roman" w:cs="Times New Roman"/>
          <w:sz w:val="20"/>
          <w:szCs w:val="20"/>
          <w:lang w:val="en-US" w:eastAsia="pt-BR"/>
        </w:rPr>
        <w:t>% of the dye molecules in solution are degraded after each minute (</w:t>
      </w:r>
      <w:r w:rsidR="00785977" w:rsidRPr="004240EC">
        <w:rPr>
          <w:rFonts w:ascii="Times New Roman" w:eastAsia="Times New Roman" w:hAnsi="Times New Roman" w:cs="Times New Roman"/>
          <w:sz w:val="20"/>
          <w:szCs w:val="20"/>
          <w:lang w:val="en-US" w:eastAsia="pt-BR"/>
        </w:rPr>
        <w:t>30</w:t>
      </w:r>
      <w:r w:rsidRPr="004240EC">
        <w:rPr>
          <w:rFonts w:ascii="Times New Roman" w:eastAsia="Times New Roman" w:hAnsi="Times New Roman" w:cs="Times New Roman"/>
          <w:sz w:val="20"/>
          <w:szCs w:val="20"/>
          <w:lang w:val="en-US" w:eastAsia="pt-BR"/>
        </w:rPr>
        <w:t xml:space="preserve">). </w:t>
      </w:r>
      <w:r w:rsidR="003152D9" w:rsidRPr="004240EC">
        <w:rPr>
          <w:rFonts w:ascii="Times New Roman" w:eastAsia="Times New Roman" w:hAnsi="Times New Roman" w:cs="Times New Roman"/>
          <w:sz w:val="20"/>
          <w:szCs w:val="20"/>
          <w:lang w:val="en-US" w:eastAsia="pt-BR"/>
        </w:rPr>
        <w:t>Therefore</w:t>
      </w:r>
      <w:r w:rsidRPr="004240EC">
        <w:rPr>
          <w:rFonts w:ascii="Times New Roman" w:eastAsia="Times New Roman" w:hAnsi="Times New Roman" w:cs="Times New Roman"/>
          <w:sz w:val="20"/>
          <w:szCs w:val="20"/>
          <w:lang w:val="en-US" w:eastAsia="pt-BR"/>
        </w:rPr>
        <w:t xml:space="preserve">, </w:t>
      </w:r>
      <w:r w:rsidR="003152D9" w:rsidRPr="004240EC">
        <w:rPr>
          <w:rFonts w:ascii="Times New Roman" w:eastAsia="Times New Roman" w:hAnsi="Times New Roman" w:cs="Times New Roman"/>
          <w:sz w:val="20"/>
          <w:szCs w:val="20"/>
          <w:lang w:val="en-US" w:eastAsia="pt-BR"/>
        </w:rPr>
        <w:t>considering</w:t>
      </w:r>
      <w:r w:rsidRPr="004240EC">
        <w:rPr>
          <w:rFonts w:ascii="Times New Roman" w:eastAsia="Times New Roman" w:hAnsi="Times New Roman" w:cs="Times New Roman"/>
          <w:sz w:val="20"/>
          <w:szCs w:val="20"/>
          <w:lang w:val="en-US" w:eastAsia="pt-BR"/>
        </w:rPr>
        <w:t xml:space="preserve"> </w:t>
      </w:r>
      <w:r w:rsidRPr="004240EC">
        <w:rPr>
          <w:rFonts w:ascii="Times New Roman" w:eastAsia="Times New Roman" w:hAnsi="Times New Roman" w:cs="Times New Roman"/>
          <w:sz w:val="20"/>
          <w:szCs w:val="20"/>
          <w:lang w:val="en-US" w:eastAsia="pt-BR"/>
        </w:rPr>
        <w:t>this pattern, it is expected 7</w:t>
      </w:r>
      <w:r w:rsidR="00190531" w:rsidRPr="004240EC">
        <w:rPr>
          <w:rFonts w:ascii="Times New Roman" w:eastAsia="Times New Roman" w:hAnsi="Times New Roman" w:cs="Times New Roman"/>
          <w:sz w:val="20"/>
          <w:szCs w:val="20"/>
          <w:lang w:val="en-US" w:eastAsia="pt-BR"/>
        </w:rPr>
        <w:t>9.2</w:t>
      </w:r>
      <w:r w:rsidRPr="004240EC">
        <w:rPr>
          <w:rFonts w:ascii="Times New Roman" w:eastAsia="Times New Roman" w:hAnsi="Times New Roman" w:cs="Times New Roman"/>
          <w:sz w:val="20"/>
          <w:szCs w:val="20"/>
          <w:lang w:val="en-US" w:eastAsia="pt-BR"/>
        </w:rPr>
        <w:t xml:space="preserve">% </w:t>
      </w:r>
      <w:r w:rsidR="003152D9" w:rsidRPr="004240EC">
        <w:rPr>
          <w:rFonts w:ascii="Times New Roman" w:eastAsia="Times New Roman" w:hAnsi="Times New Roman" w:cs="Times New Roman"/>
          <w:sz w:val="20"/>
          <w:szCs w:val="20"/>
          <w:lang w:val="en-US" w:eastAsia="pt-BR"/>
        </w:rPr>
        <w:t>degradation of MB</w:t>
      </w:r>
      <w:r w:rsidRPr="004240EC">
        <w:rPr>
          <w:rFonts w:ascii="Times New Roman" w:eastAsia="Times New Roman" w:hAnsi="Times New Roman" w:cs="Times New Roman"/>
          <w:sz w:val="20"/>
          <w:szCs w:val="20"/>
          <w:lang w:val="en-US" w:eastAsia="pt-BR"/>
        </w:rPr>
        <w:t xml:space="preserve"> </w:t>
      </w:r>
      <w:r w:rsidR="003152D9" w:rsidRPr="004240EC">
        <w:rPr>
          <w:rFonts w:ascii="Times New Roman" w:eastAsia="Times New Roman" w:hAnsi="Times New Roman" w:cs="Times New Roman"/>
          <w:sz w:val="20"/>
          <w:szCs w:val="20"/>
          <w:lang w:val="en-US" w:eastAsia="pt-BR"/>
        </w:rPr>
        <w:t>in the aqueous solution</w:t>
      </w:r>
      <w:r w:rsidRPr="004240EC">
        <w:rPr>
          <w:rFonts w:ascii="Times New Roman" w:eastAsia="Times New Roman" w:hAnsi="Times New Roman" w:cs="Times New Roman"/>
          <w:sz w:val="20"/>
          <w:szCs w:val="20"/>
          <w:lang w:val="en-US" w:eastAsia="pt-BR"/>
        </w:rPr>
        <w:t xml:space="preserve"> after</w:t>
      </w:r>
      <w:r w:rsidR="00077A8C" w:rsidRPr="004240EC">
        <w:rPr>
          <w:rFonts w:ascii="Times New Roman" w:eastAsia="Times New Roman" w:hAnsi="Times New Roman" w:cs="Times New Roman"/>
          <w:sz w:val="20"/>
          <w:szCs w:val="20"/>
          <w:lang w:val="en-US" w:eastAsia="pt-BR"/>
        </w:rPr>
        <w:t xml:space="preserve"> </w:t>
      </w:r>
      <w:r w:rsidR="008A2FAB" w:rsidRPr="004240EC">
        <w:rPr>
          <w:rFonts w:ascii="Times New Roman" w:eastAsia="Times New Roman" w:hAnsi="Times New Roman" w:cs="Times New Roman"/>
          <w:sz w:val="20"/>
          <w:szCs w:val="20"/>
          <w:lang w:val="en-US" w:eastAsia="pt-BR"/>
        </w:rPr>
        <w:t>9</w:t>
      </w:r>
      <w:r w:rsidRPr="004240EC">
        <w:rPr>
          <w:rFonts w:ascii="Times New Roman" w:eastAsia="Times New Roman" w:hAnsi="Times New Roman" w:cs="Times New Roman"/>
          <w:sz w:val="20"/>
          <w:szCs w:val="20"/>
          <w:lang w:val="en-US" w:eastAsia="pt-BR"/>
        </w:rPr>
        <w:t xml:space="preserve">0 min. However, the actual observed value was </w:t>
      </w:r>
      <w:r w:rsidR="001B16B1" w:rsidRPr="004240EC">
        <w:rPr>
          <w:rFonts w:ascii="Times New Roman" w:eastAsia="Times New Roman" w:hAnsi="Times New Roman" w:cs="Times New Roman"/>
          <w:sz w:val="20"/>
          <w:szCs w:val="20"/>
          <w:lang w:val="en-US" w:eastAsia="pt-BR"/>
        </w:rPr>
        <w:t>76.93</w:t>
      </w:r>
      <w:r w:rsidRPr="004240EC">
        <w:rPr>
          <w:rFonts w:ascii="Times New Roman" w:eastAsia="Times New Roman" w:hAnsi="Times New Roman" w:cs="Times New Roman"/>
          <w:sz w:val="20"/>
          <w:szCs w:val="20"/>
          <w:lang w:val="en-US" w:eastAsia="pt-BR"/>
        </w:rPr>
        <w:t xml:space="preserve">%, which is </w:t>
      </w:r>
      <w:r w:rsidR="00190531" w:rsidRPr="004240EC">
        <w:rPr>
          <w:rFonts w:ascii="Times New Roman" w:eastAsia="Times New Roman" w:hAnsi="Times New Roman" w:cs="Times New Roman"/>
          <w:sz w:val="20"/>
          <w:szCs w:val="20"/>
          <w:lang w:val="en-US" w:eastAsia="pt-BR"/>
        </w:rPr>
        <w:t>slightly</w:t>
      </w:r>
      <w:r w:rsidRPr="004240EC">
        <w:rPr>
          <w:rFonts w:ascii="Times New Roman" w:eastAsia="Times New Roman" w:hAnsi="Times New Roman" w:cs="Times New Roman"/>
          <w:sz w:val="20"/>
          <w:szCs w:val="20"/>
          <w:lang w:val="en-US" w:eastAsia="pt-BR"/>
        </w:rPr>
        <w:t xml:space="preserve"> lower </w:t>
      </w:r>
      <w:r w:rsidR="00190531" w:rsidRPr="004240EC">
        <w:rPr>
          <w:rFonts w:ascii="Times New Roman" w:eastAsia="Times New Roman" w:hAnsi="Times New Roman" w:cs="Times New Roman"/>
          <w:sz w:val="20"/>
          <w:szCs w:val="20"/>
          <w:lang w:val="en-US" w:eastAsia="pt-BR"/>
        </w:rPr>
        <w:t xml:space="preserve">the predicted value due to side reactions such as the generation  of intermediate products (parallel reactions) and the </w:t>
      </w:r>
      <w:r w:rsidR="00D167E4" w:rsidRPr="004240EC">
        <w:rPr>
          <w:rFonts w:ascii="Times New Roman" w:eastAsia="Times New Roman" w:hAnsi="Times New Roman" w:cs="Times New Roman"/>
          <w:sz w:val="20"/>
          <w:szCs w:val="20"/>
          <w:lang w:val="en-US" w:eastAsia="pt-BR"/>
        </w:rPr>
        <w:t xml:space="preserve"> </w:t>
      </w:r>
      <w:r w:rsidR="00190531" w:rsidRPr="004240EC">
        <w:rPr>
          <w:rFonts w:ascii="Times New Roman" w:eastAsia="Times New Roman" w:hAnsi="Times New Roman" w:cs="Times New Roman"/>
          <w:sz w:val="20"/>
          <w:szCs w:val="20"/>
          <w:lang w:val="en-US" w:eastAsia="pt-BR"/>
        </w:rPr>
        <w:t>uncontrollable and undesirable recombination between the electron (e</w:t>
      </w:r>
      <w:r w:rsidR="00190531" w:rsidRPr="004240EC">
        <w:rPr>
          <w:rFonts w:ascii="Times New Roman" w:eastAsia="Times New Roman" w:hAnsi="Times New Roman" w:cs="Times New Roman"/>
          <w:sz w:val="20"/>
          <w:szCs w:val="20"/>
          <w:vertAlign w:val="superscript"/>
          <w:lang w:val="en-US" w:eastAsia="pt-BR"/>
        </w:rPr>
        <w:t>-</w:t>
      </w:r>
      <w:r w:rsidR="00190531" w:rsidRPr="004240EC">
        <w:rPr>
          <w:rFonts w:ascii="Times New Roman" w:eastAsia="Times New Roman" w:hAnsi="Times New Roman" w:cs="Times New Roman"/>
          <w:sz w:val="20"/>
          <w:szCs w:val="20"/>
          <w:lang w:val="en-US" w:eastAsia="pt-BR"/>
        </w:rPr>
        <w:t>) and hole (h</w:t>
      </w:r>
      <w:r w:rsidR="00190531" w:rsidRPr="004240EC">
        <w:rPr>
          <w:rFonts w:ascii="Times New Roman" w:eastAsia="Times New Roman" w:hAnsi="Times New Roman" w:cs="Times New Roman"/>
          <w:sz w:val="20"/>
          <w:szCs w:val="20"/>
          <w:vertAlign w:val="superscript"/>
          <w:lang w:val="en-US" w:eastAsia="pt-BR"/>
        </w:rPr>
        <w:t>+</w:t>
      </w:r>
      <w:r w:rsidR="00190531" w:rsidRPr="004240EC">
        <w:rPr>
          <w:rFonts w:ascii="Times New Roman" w:eastAsia="Times New Roman" w:hAnsi="Times New Roman" w:cs="Times New Roman"/>
          <w:sz w:val="20"/>
          <w:szCs w:val="20"/>
          <w:lang w:val="en-US" w:eastAsia="pt-BR"/>
        </w:rPr>
        <w:t>) pair</w:t>
      </w:r>
      <w:r w:rsidR="001A18B1" w:rsidRPr="004240EC">
        <w:rPr>
          <w:rFonts w:ascii="Times New Roman" w:eastAsia="Times New Roman" w:hAnsi="Times New Roman" w:cs="Times New Roman"/>
          <w:sz w:val="20"/>
          <w:szCs w:val="20"/>
          <w:lang w:val="en-US" w:eastAsia="pt-BR"/>
        </w:rPr>
        <w:t xml:space="preserve"> and regeneration of H</w:t>
      </w:r>
      <w:r w:rsidR="001A18B1" w:rsidRPr="004240EC">
        <w:rPr>
          <w:rFonts w:ascii="Times New Roman" w:eastAsia="Times New Roman" w:hAnsi="Times New Roman" w:cs="Times New Roman"/>
          <w:sz w:val="20"/>
          <w:szCs w:val="20"/>
          <w:vertAlign w:val="subscript"/>
          <w:lang w:val="en-US" w:eastAsia="pt-BR"/>
        </w:rPr>
        <w:t>2</w:t>
      </w:r>
      <w:r w:rsidR="001A18B1" w:rsidRPr="004240EC">
        <w:rPr>
          <w:rFonts w:ascii="Times New Roman" w:eastAsia="Times New Roman" w:hAnsi="Times New Roman" w:cs="Times New Roman"/>
          <w:sz w:val="20"/>
          <w:szCs w:val="20"/>
          <w:lang w:val="en-US" w:eastAsia="pt-BR"/>
        </w:rPr>
        <w:t>O from H</w:t>
      </w:r>
      <w:r w:rsidR="001A18B1" w:rsidRPr="004240EC">
        <w:rPr>
          <w:rFonts w:ascii="Times New Roman" w:eastAsia="Times New Roman" w:hAnsi="Times New Roman" w:cs="Times New Roman"/>
          <w:sz w:val="20"/>
          <w:szCs w:val="20"/>
          <w:vertAlign w:val="superscript"/>
          <w:lang w:val="en-US" w:eastAsia="pt-BR"/>
        </w:rPr>
        <w:t>+</w:t>
      </w:r>
      <w:r w:rsidR="001A18B1" w:rsidRPr="004240EC">
        <w:rPr>
          <w:rFonts w:ascii="Times New Roman" w:eastAsia="Times New Roman" w:hAnsi="Times New Roman" w:cs="Times New Roman"/>
          <w:sz w:val="20"/>
          <w:szCs w:val="20"/>
          <w:vertAlign w:val="subscript"/>
          <w:lang w:val="en-US" w:eastAsia="pt-BR"/>
        </w:rPr>
        <w:t>(aq)</w:t>
      </w:r>
      <w:r w:rsidR="001A18B1" w:rsidRPr="004240EC">
        <w:rPr>
          <w:rFonts w:ascii="Times New Roman" w:eastAsia="Times New Roman" w:hAnsi="Times New Roman" w:cs="Times New Roman"/>
          <w:sz w:val="20"/>
          <w:szCs w:val="20"/>
          <w:lang w:val="en-US" w:eastAsia="pt-BR"/>
        </w:rPr>
        <w:t xml:space="preserve"> and •OH</w:t>
      </w:r>
      <w:r w:rsidR="001A18B1" w:rsidRPr="004240EC">
        <w:rPr>
          <w:rFonts w:ascii="Times New Roman" w:eastAsia="Times New Roman" w:hAnsi="Times New Roman" w:cs="Times New Roman"/>
          <w:sz w:val="20"/>
          <w:szCs w:val="20"/>
          <w:vertAlign w:val="subscript"/>
          <w:lang w:val="en-US" w:eastAsia="pt-BR"/>
        </w:rPr>
        <w:t>(aq)</w:t>
      </w:r>
      <w:r w:rsidR="00785977" w:rsidRPr="004240EC">
        <w:rPr>
          <w:rFonts w:ascii="Times New Roman" w:eastAsia="Times New Roman" w:hAnsi="Times New Roman" w:cs="Times New Roman"/>
          <w:sz w:val="20"/>
          <w:szCs w:val="20"/>
          <w:lang w:val="en-US" w:eastAsia="pt-BR"/>
        </w:rPr>
        <w:t xml:space="preserve"> (31). </w:t>
      </w:r>
      <w:r w:rsidR="00190531" w:rsidRPr="004240EC">
        <w:rPr>
          <w:rFonts w:ascii="Times New Roman" w:eastAsia="Times New Roman" w:hAnsi="Times New Roman" w:cs="Times New Roman"/>
          <w:sz w:val="20"/>
          <w:szCs w:val="20"/>
          <w:lang w:val="en-US" w:eastAsia="pt-BR"/>
        </w:rPr>
        <w:t xml:space="preserve">To further investigate the explain former assumption, a theoretical study obtained from supervised machine learning algorithm is described in the following section. </w:t>
      </w:r>
    </w:p>
    <w:p w14:paraId="153A8362" w14:textId="77777777" w:rsidR="0079019F" w:rsidRPr="0079019F" w:rsidRDefault="0079019F" w:rsidP="00D16309">
      <w:pPr>
        <w:spacing w:after="0" w:line="240" w:lineRule="exact"/>
        <w:jc w:val="both"/>
        <w:rPr>
          <w:rFonts w:ascii="Times New Roman" w:eastAsia="Times New Roman" w:hAnsi="Times New Roman" w:cs="Times New Roman"/>
          <w:sz w:val="20"/>
          <w:szCs w:val="20"/>
          <w:lang w:val="en-US" w:eastAsia="pt-BR"/>
        </w:rPr>
      </w:pPr>
    </w:p>
    <w:p w14:paraId="09A1CB6C" w14:textId="3A4FAAC4" w:rsidR="00340700" w:rsidRPr="004240EC" w:rsidRDefault="00D167E4" w:rsidP="00E23EC8">
      <w:pPr>
        <w:pStyle w:val="TAMainText"/>
        <w:ind w:firstLine="0"/>
        <w:rPr>
          <w:rFonts w:ascii="Times New Roman" w:hAnsi="Times New Roman"/>
          <w:i/>
        </w:rPr>
      </w:pPr>
      <w:r w:rsidRPr="004240EC">
        <w:rPr>
          <w:rFonts w:ascii="Times New Roman" w:hAnsi="Times New Roman"/>
          <w:i/>
        </w:rPr>
        <w:t>Machine learning</w:t>
      </w:r>
      <w:r w:rsidR="00E23EC8" w:rsidRPr="004240EC">
        <w:rPr>
          <w:rFonts w:ascii="Times New Roman" w:hAnsi="Times New Roman"/>
          <w:i/>
        </w:rPr>
        <w:t xml:space="preserve"> for MB  degradation reaction pathway</w:t>
      </w:r>
    </w:p>
    <w:p w14:paraId="5BE460BF" w14:textId="77E5D8F6" w:rsidR="0079019F" w:rsidRDefault="00D16309" w:rsidP="00D16309">
      <w:pPr>
        <w:pStyle w:val="TAMainText"/>
        <w:ind w:firstLine="204"/>
      </w:pPr>
      <w:r>
        <w:t>T</w:t>
      </w:r>
      <w:r w:rsidR="00E23EC8" w:rsidRPr="004240EC">
        <w:t xml:space="preserve">wo </w:t>
      </w:r>
      <w:r>
        <w:t xml:space="preserve">ML </w:t>
      </w:r>
      <w:r w:rsidR="00E23EC8" w:rsidRPr="004240EC">
        <w:t xml:space="preserve">algorithm was used to propose a generic </w:t>
      </w:r>
      <w:r w:rsidR="00CD5FB0">
        <w:t>reaction pathway</w:t>
      </w:r>
      <w:r w:rsidR="00E23EC8" w:rsidRPr="004240EC">
        <w:t xml:space="preserve"> for MB degradation. </w:t>
      </w:r>
      <w:r w:rsidR="00BD3465" w:rsidRPr="004240EC">
        <w:t xml:space="preserve">Table </w:t>
      </w:r>
      <w:r w:rsidR="00340700" w:rsidRPr="004240EC">
        <w:t>3</w:t>
      </w:r>
      <w:r w:rsidR="00BD3465" w:rsidRPr="004240EC">
        <w:t xml:space="preserve"> informs the performance of each machine learning algorithm </w:t>
      </w:r>
      <w:r w:rsidR="00E23EC8" w:rsidRPr="004240EC">
        <w:t>tested.</w:t>
      </w:r>
    </w:p>
    <w:p w14:paraId="2B3CEB61" w14:textId="77777777" w:rsidR="00D16309" w:rsidRPr="0079019F" w:rsidRDefault="00D16309" w:rsidP="00D16309">
      <w:pPr>
        <w:pStyle w:val="TAMainText"/>
        <w:ind w:firstLine="0"/>
      </w:pPr>
    </w:p>
    <w:p w14:paraId="483DF959" w14:textId="74B75A58" w:rsidR="00EA4E1B" w:rsidRPr="004240EC" w:rsidRDefault="00EA4E1B" w:rsidP="00F307A5">
      <w:pPr>
        <w:pStyle w:val="VDTableTitle"/>
        <w:spacing w:after="120"/>
        <w:rPr>
          <w:rFonts w:ascii="Times New Roman" w:hAnsi="Times New Roman"/>
        </w:rPr>
      </w:pPr>
      <w:r w:rsidRPr="004240EC">
        <w:rPr>
          <w:rFonts w:ascii="Times New Roman" w:hAnsi="Times New Roman"/>
          <w:b/>
        </w:rPr>
        <w:t>Tab</w:t>
      </w:r>
      <w:r w:rsidR="00FF22E4" w:rsidRPr="004240EC">
        <w:rPr>
          <w:rFonts w:ascii="Times New Roman" w:hAnsi="Times New Roman"/>
          <w:b/>
        </w:rPr>
        <w:t>le</w:t>
      </w:r>
      <w:r w:rsidRPr="004240EC">
        <w:rPr>
          <w:rFonts w:ascii="Times New Roman" w:hAnsi="Times New Roman"/>
          <w:b/>
        </w:rPr>
        <w:t xml:space="preserve"> </w:t>
      </w:r>
      <w:r w:rsidR="00340700" w:rsidRPr="004240EC">
        <w:rPr>
          <w:rFonts w:ascii="Times New Roman" w:hAnsi="Times New Roman"/>
          <w:b/>
        </w:rPr>
        <w:t>3</w:t>
      </w:r>
      <w:r w:rsidRPr="004240EC">
        <w:rPr>
          <w:rFonts w:ascii="Times New Roman" w:hAnsi="Times New Roman"/>
          <w:b/>
        </w:rPr>
        <w:t>.</w:t>
      </w:r>
      <w:r w:rsidRPr="004240EC">
        <w:rPr>
          <w:rFonts w:ascii="Times New Roman" w:hAnsi="Times New Roman"/>
        </w:rPr>
        <w:t xml:space="preserve"> </w:t>
      </w:r>
      <w:r w:rsidR="00FF2D60" w:rsidRPr="004240EC">
        <w:rPr>
          <w:rFonts w:ascii="Times New Roman" w:hAnsi="Times New Roman"/>
        </w:rPr>
        <w:t>Performance of</w:t>
      </w:r>
      <w:r w:rsidR="00FF22E4" w:rsidRPr="004240EC">
        <w:rPr>
          <w:rFonts w:ascii="Times New Roman" w:hAnsi="Times New Roman"/>
        </w:rPr>
        <w:t xml:space="preserve"> the machine learning </w:t>
      </w:r>
      <w:r w:rsidR="00FF2D60" w:rsidRPr="004240EC">
        <w:rPr>
          <w:rFonts w:ascii="Times New Roman" w:hAnsi="Times New Roman"/>
        </w:rPr>
        <w:t>algorithms tested</w:t>
      </w:r>
      <w:r w:rsidR="00FF22E4" w:rsidRPr="004240EC">
        <w:rPr>
          <w:rFonts w:ascii="Times New Roman" w:hAnsi="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30"/>
        <w:gridCol w:w="635"/>
        <w:gridCol w:w="914"/>
        <w:gridCol w:w="635"/>
        <w:gridCol w:w="840"/>
      </w:tblGrid>
      <w:tr w:rsidR="004240EC" w:rsidRPr="004240EC" w14:paraId="0F12ABC1" w14:textId="3EDFFB5D" w:rsidTr="002E715E">
        <w:trPr>
          <w:trHeight w:val="507"/>
          <w:jc w:val="center"/>
        </w:trPr>
        <w:tc>
          <w:tcPr>
            <w:tcW w:w="0" w:type="auto"/>
            <w:vAlign w:val="center"/>
          </w:tcPr>
          <w:p w14:paraId="0C93B642" w14:textId="32676398" w:rsidR="00201C2E" w:rsidRPr="004240EC" w:rsidRDefault="00201C2E" w:rsidP="002E715E">
            <w:pPr>
              <w:pStyle w:val="TCTableBody"/>
              <w:spacing w:line="240" w:lineRule="auto"/>
              <w:jc w:val="center"/>
              <w:rPr>
                <w:b/>
                <w:bCs/>
              </w:rPr>
            </w:pPr>
            <w:r w:rsidRPr="004240EC">
              <w:rPr>
                <w:b/>
                <w:bCs/>
              </w:rPr>
              <w:t>Model</w:t>
            </w:r>
          </w:p>
        </w:tc>
        <w:tc>
          <w:tcPr>
            <w:tcW w:w="0" w:type="auto"/>
            <w:vAlign w:val="center"/>
          </w:tcPr>
          <w:p w14:paraId="19C3BD2C" w14:textId="40C9D4DD" w:rsidR="00201C2E" w:rsidRPr="004240EC" w:rsidRDefault="00201C2E" w:rsidP="002E715E">
            <w:pPr>
              <w:pStyle w:val="TCTableBody"/>
              <w:spacing w:line="240" w:lineRule="auto"/>
              <w:jc w:val="center"/>
              <w:rPr>
                <w:b/>
                <w:bCs/>
              </w:rPr>
            </w:pPr>
            <w:r w:rsidRPr="004240EC">
              <w:rPr>
                <w:b/>
                <w:bCs/>
              </w:rPr>
              <w:t>R</w:t>
            </w:r>
            <w:r w:rsidRPr="004240EC">
              <w:rPr>
                <w:b/>
                <w:bCs/>
                <w:vertAlign w:val="superscript"/>
              </w:rPr>
              <w:t>2</w:t>
            </w:r>
            <w:r w:rsidR="00560232" w:rsidRPr="004240EC">
              <w:rPr>
                <w:b/>
                <w:bCs/>
                <w:vertAlign w:val="subscript"/>
              </w:rPr>
              <w:t>train</w:t>
            </w:r>
          </w:p>
        </w:tc>
        <w:tc>
          <w:tcPr>
            <w:tcW w:w="0" w:type="auto"/>
            <w:vAlign w:val="center"/>
          </w:tcPr>
          <w:p w14:paraId="053D077F" w14:textId="62D92E15" w:rsidR="00201C2E" w:rsidRPr="004240EC" w:rsidRDefault="00201C2E" w:rsidP="002E715E">
            <w:pPr>
              <w:pStyle w:val="TCTableBody"/>
              <w:spacing w:line="240" w:lineRule="auto"/>
              <w:jc w:val="center"/>
              <w:rPr>
                <w:b/>
                <w:bCs/>
              </w:rPr>
            </w:pPr>
            <w:r w:rsidRPr="004240EC">
              <w:rPr>
                <w:b/>
                <w:bCs/>
              </w:rPr>
              <w:t>RMSE</w:t>
            </w:r>
            <w:r w:rsidR="00560232" w:rsidRPr="004240EC">
              <w:rPr>
                <w:b/>
                <w:bCs/>
                <w:vertAlign w:val="subscript"/>
              </w:rPr>
              <w:t>train</w:t>
            </w:r>
          </w:p>
        </w:tc>
        <w:tc>
          <w:tcPr>
            <w:tcW w:w="0" w:type="auto"/>
            <w:vAlign w:val="center"/>
          </w:tcPr>
          <w:p w14:paraId="115543B2" w14:textId="5CC7422F" w:rsidR="00201C2E" w:rsidRPr="004240EC" w:rsidRDefault="00560232" w:rsidP="002E715E">
            <w:pPr>
              <w:pStyle w:val="TCTableBody"/>
              <w:spacing w:line="240" w:lineRule="auto"/>
              <w:jc w:val="center"/>
              <w:rPr>
                <w:b/>
                <w:bCs/>
              </w:rPr>
            </w:pPr>
            <w:r w:rsidRPr="004240EC">
              <w:rPr>
                <w:b/>
                <w:bCs/>
              </w:rPr>
              <w:t>R</w:t>
            </w:r>
            <w:r w:rsidRPr="004240EC">
              <w:rPr>
                <w:b/>
                <w:bCs/>
                <w:vertAlign w:val="superscript"/>
              </w:rPr>
              <w:t>2</w:t>
            </w:r>
            <w:r w:rsidRPr="004240EC">
              <w:rPr>
                <w:b/>
                <w:bCs/>
                <w:vertAlign w:val="subscript"/>
              </w:rPr>
              <w:t>test</w:t>
            </w:r>
          </w:p>
        </w:tc>
        <w:tc>
          <w:tcPr>
            <w:tcW w:w="0" w:type="auto"/>
            <w:vAlign w:val="center"/>
          </w:tcPr>
          <w:p w14:paraId="31BAE538" w14:textId="13659A24" w:rsidR="00201C2E" w:rsidRPr="004240EC" w:rsidRDefault="00560232" w:rsidP="002E715E">
            <w:pPr>
              <w:pStyle w:val="TCTableBody"/>
              <w:spacing w:line="240" w:lineRule="auto"/>
              <w:jc w:val="center"/>
              <w:rPr>
                <w:b/>
                <w:bCs/>
              </w:rPr>
            </w:pPr>
            <w:r w:rsidRPr="004240EC">
              <w:rPr>
                <w:b/>
                <w:bCs/>
              </w:rPr>
              <w:t>RMSE</w:t>
            </w:r>
            <w:r w:rsidRPr="004240EC">
              <w:rPr>
                <w:b/>
                <w:bCs/>
                <w:vertAlign w:val="subscript"/>
              </w:rPr>
              <w:t>test</w:t>
            </w:r>
          </w:p>
        </w:tc>
      </w:tr>
      <w:tr w:rsidR="004240EC" w:rsidRPr="004240EC" w14:paraId="26DC0FAE" w14:textId="76BBF235" w:rsidTr="00510300">
        <w:trPr>
          <w:trHeight w:val="528"/>
          <w:jc w:val="center"/>
        </w:trPr>
        <w:tc>
          <w:tcPr>
            <w:tcW w:w="0" w:type="auto"/>
            <w:tcBorders>
              <w:bottom w:val="single" w:sz="6" w:space="0" w:color="auto"/>
            </w:tcBorders>
            <w:vAlign w:val="center"/>
          </w:tcPr>
          <w:p w14:paraId="36C8B1DE" w14:textId="6C414D3D" w:rsidR="0090237B" w:rsidRPr="004240EC" w:rsidRDefault="00E06F2B" w:rsidP="002E715E">
            <w:pPr>
              <w:pStyle w:val="TCTableBody"/>
              <w:spacing w:line="240" w:lineRule="auto"/>
              <w:jc w:val="center"/>
            </w:pPr>
            <w:r>
              <w:t>RF</w:t>
            </w:r>
          </w:p>
        </w:tc>
        <w:tc>
          <w:tcPr>
            <w:tcW w:w="0" w:type="auto"/>
            <w:tcBorders>
              <w:bottom w:val="single" w:sz="6" w:space="0" w:color="auto"/>
            </w:tcBorders>
            <w:vAlign w:val="center"/>
          </w:tcPr>
          <w:p w14:paraId="4C5C6C76" w14:textId="7F386BC0" w:rsidR="0090237B" w:rsidRPr="004240EC" w:rsidRDefault="00E06F2B" w:rsidP="002E715E">
            <w:pPr>
              <w:pStyle w:val="TCTableBody"/>
              <w:spacing w:line="240" w:lineRule="auto"/>
              <w:jc w:val="center"/>
            </w:pPr>
            <w:r w:rsidRPr="00E06F2B">
              <w:t>0.8532</w:t>
            </w:r>
          </w:p>
        </w:tc>
        <w:tc>
          <w:tcPr>
            <w:tcW w:w="0" w:type="auto"/>
            <w:tcBorders>
              <w:bottom w:val="single" w:sz="6" w:space="0" w:color="auto"/>
            </w:tcBorders>
            <w:vAlign w:val="center"/>
          </w:tcPr>
          <w:p w14:paraId="10B9CA67" w14:textId="72CBF24C" w:rsidR="0090237B" w:rsidRPr="004240EC" w:rsidRDefault="00E06F2B" w:rsidP="002E715E">
            <w:pPr>
              <w:pStyle w:val="TCTableBody"/>
              <w:spacing w:line="240" w:lineRule="auto"/>
              <w:jc w:val="center"/>
            </w:pPr>
            <w:r w:rsidRPr="00E06F2B">
              <w:t>4.695</w:t>
            </w:r>
            <w:r>
              <w:t>6</w:t>
            </w:r>
          </w:p>
        </w:tc>
        <w:tc>
          <w:tcPr>
            <w:tcW w:w="0" w:type="auto"/>
            <w:tcBorders>
              <w:bottom w:val="single" w:sz="6" w:space="0" w:color="auto"/>
            </w:tcBorders>
            <w:vAlign w:val="center"/>
          </w:tcPr>
          <w:p w14:paraId="42969B99" w14:textId="7FF51E37" w:rsidR="0090237B" w:rsidRPr="004240EC" w:rsidRDefault="00E06F2B" w:rsidP="002E715E">
            <w:pPr>
              <w:pStyle w:val="TCTableBody"/>
              <w:spacing w:line="240" w:lineRule="auto"/>
              <w:jc w:val="center"/>
            </w:pPr>
            <w:r w:rsidRPr="00E06F2B">
              <w:t>0.8030</w:t>
            </w:r>
          </w:p>
        </w:tc>
        <w:tc>
          <w:tcPr>
            <w:tcW w:w="0" w:type="auto"/>
            <w:tcBorders>
              <w:bottom w:val="single" w:sz="6" w:space="0" w:color="auto"/>
            </w:tcBorders>
            <w:vAlign w:val="center"/>
          </w:tcPr>
          <w:p w14:paraId="2347C4D4" w14:textId="2B6046FF" w:rsidR="0090237B" w:rsidRPr="004240EC" w:rsidRDefault="00E06F2B" w:rsidP="00510300">
            <w:pPr>
              <w:pStyle w:val="TCTableBody"/>
              <w:spacing w:line="240" w:lineRule="auto"/>
              <w:jc w:val="center"/>
            </w:pPr>
            <w:r w:rsidRPr="00E06F2B">
              <w:t>5.2625</w:t>
            </w:r>
          </w:p>
        </w:tc>
      </w:tr>
      <w:tr w:rsidR="004240EC" w:rsidRPr="004240EC" w14:paraId="59F7A2C8" w14:textId="1356D04F" w:rsidTr="002E715E">
        <w:trPr>
          <w:trHeight w:val="528"/>
          <w:jc w:val="center"/>
        </w:trPr>
        <w:tc>
          <w:tcPr>
            <w:tcW w:w="0" w:type="auto"/>
            <w:tcBorders>
              <w:bottom w:val="single" w:sz="6" w:space="0" w:color="auto"/>
            </w:tcBorders>
            <w:vAlign w:val="center"/>
          </w:tcPr>
          <w:p w14:paraId="299D85EB" w14:textId="23D7A5BD" w:rsidR="0090237B" w:rsidRPr="004240EC" w:rsidRDefault="00322812" w:rsidP="002E715E">
            <w:pPr>
              <w:pStyle w:val="TCTableBody"/>
              <w:spacing w:line="240" w:lineRule="auto"/>
              <w:jc w:val="center"/>
            </w:pPr>
            <w:r w:rsidRPr="004240EC">
              <w:t>XGB</w:t>
            </w:r>
          </w:p>
        </w:tc>
        <w:tc>
          <w:tcPr>
            <w:tcW w:w="0" w:type="auto"/>
            <w:tcBorders>
              <w:bottom w:val="single" w:sz="6" w:space="0" w:color="auto"/>
            </w:tcBorders>
            <w:vAlign w:val="center"/>
          </w:tcPr>
          <w:p w14:paraId="1B275ADF" w14:textId="320F6B7B" w:rsidR="0090237B" w:rsidRPr="004240EC" w:rsidRDefault="00F60E8B" w:rsidP="002E715E">
            <w:pPr>
              <w:pStyle w:val="TCTableBody"/>
              <w:spacing w:line="240" w:lineRule="auto"/>
              <w:jc w:val="center"/>
            </w:pPr>
            <w:r w:rsidRPr="004240EC">
              <w:t>0.</w:t>
            </w:r>
            <w:r w:rsidR="00322812" w:rsidRPr="004240EC">
              <w:t>9125</w:t>
            </w:r>
          </w:p>
        </w:tc>
        <w:tc>
          <w:tcPr>
            <w:tcW w:w="0" w:type="auto"/>
            <w:tcBorders>
              <w:bottom w:val="single" w:sz="6" w:space="0" w:color="auto"/>
            </w:tcBorders>
            <w:vAlign w:val="center"/>
          </w:tcPr>
          <w:p w14:paraId="4FD5CFF6" w14:textId="24F157EF" w:rsidR="0090237B" w:rsidRPr="004240EC" w:rsidRDefault="00322812" w:rsidP="002E715E">
            <w:pPr>
              <w:pStyle w:val="TCTableBody"/>
              <w:spacing w:line="240" w:lineRule="auto"/>
              <w:jc w:val="center"/>
            </w:pPr>
            <w:r w:rsidRPr="004240EC">
              <w:t>3.830</w:t>
            </w:r>
          </w:p>
        </w:tc>
        <w:tc>
          <w:tcPr>
            <w:tcW w:w="0" w:type="auto"/>
            <w:tcBorders>
              <w:bottom w:val="single" w:sz="6" w:space="0" w:color="auto"/>
            </w:tcBorders>
            <w:vAlign w:val="center"/>
          </w:tcPr>
          <w:p w14:paraId="5897FDFC" w14:textId="0F28B0DC" w:rsidR="0090237B" w:rsidRPr="004240EC" w:rsidRDefault="00322812" w:rsidP="002E715E">
            <w:pPr>
              <w:pStyle w:val="TCTableBody"/>
              <w:spacing w:line="240" w:lineRule="auto"/>
              <w:jc w:val="center"/>
            </w:pPr>
            <w:r w:rsidRPr="004240EC">
              <w:t>0.9769</w:t>
            </w:r>
          </w:p>
        </w:tc>
        <w:tc>
          <w:tcPr>
            <w:tcW w:w="0" w:type="auto"/>
            <w:tcBorders>
              <w:bottom w:val="single" w:sz="6" w:space="0" w:color="auto"/>
            </w:tcBorders>
            <w:vAlign w:val="center"/>
          </w:tcPr>
          <w:p w14:paraId="048231A2" w14:textId="7B1D7C27" w:rsidR="0090237B" w:rsidRPr="004240EC" w:rsidRDefault="00322812" w:rsidP="002E715E">
            <w:pPr>
              <w:pStyle w:val="TCTableBody"/>
              <w:spacing w:line="240" w:lineRule="auto"/>
              <w:jc w:val="center"/>
            </w:pPr>
            <w:r w:rsidRPr="004240EC">
              <w:t>2</w:t>
            </w:r>
            <w:r w:rsidR="00E322F8" w:rsidRPr="004240EC">
              <w:t>.</w:t>
            </w:r>
            <w:r w:rsidRPr="004240EC">
              <w:t>310</w:t>
            </w:r>
          </w:p>
        </w:tc>
      </w:tr>
    </w:tbl>
    <w:p w14:paraId="43286C0C" w14:textId="77777777" w:rsidR="00D16309" w:rsidRDefault="00D16309" w:rsidP="00D16309">
      <w:pPr>
        <w:spacing w:after="0" w:line="240" w:lineRule="exact"/>
        <w:jc w:val="both"/>
        <w:rPr>
          <w:rFonts w:ascii="Times New Roman" w:eastAsia="Times New Roman" w:hAnsi="Times New Roman" w:cs="Times New Roman"/>
          <w:sz w:val="20"/>
          <w:szCs w:val="20"/>
          <w:lang w:val="en-US" w:eastAsia="pt-BR"/>
        </w:rPr>
      </w:pPr>
    </w:p>
    <w:p w14:paraId="206CC186" w14:textId="5B1EAEE5" w:rsidR="00340700" w:rsidRDefault="00402363" w:rsidP="00D16309">
      <w:pPr>
        <w:pStyle w:val="TAMainText"/>
        <w:ind w:firstLine="204"/>
        <w:rPr>
          <w:rFonts w:ascii="Times New Roman" w:hAnsi="Times New Roman"/>
          <w:b/>
          <w:bCs/>
          <w:sz w:val="18"/>
          <w:szCs w:val="18"/>
        </w:rPr>
      </w:pPr>
      <w:r w:rsidRPr="004240EC">
        <w:rPr>
          <w:rFonts w:ascii="Times New Roman" w:hAnsi="Times New Roman"/>
        </w:rPr>
        <w:t xml:space="preserve">According to Table 3, the </w:t>
      </w:r>
      <w:r w:rsidR="00236979" w:rsidRPr="004240EC">
        <w:rPr>
          <w:rFonts w:ascii="Times New Roman" w:hAnsi="Times New Roman"/>
        </w:rPr>
        <w:t>XGB model</w:t>
      </w:r>
      <w:r w:rsidRPr="004240EC">
        <w:rPr>
          <w:rFonts w:ascii="Times New Roman" w:hAnsi="Times New Roman"/>
        </w:rPr>
        <w:t xml:space="preserve"> showed the best performance in the prediction of </w:t>
      </w:r>
      <w:r w:rsidR="00236979" w:rsidRPr="004240EC">
        <w:rPr>
          <w:rFonts w:ascii="Times New Roman" w:hAnsi="Times New Roman"/>
        </w:rPr>
        <w:t xml:space="preserve">the intermediates and products of the MB dye degradation under visible </w:t>
      </w:r>
      <w:r w:rsidRPr="004240EC">
        <w:rPr>
          <w:rFonts w:ascii="Times New Roman" w:hAnsi="Times New Roman"/>
        </w:rPr>
        <w:t>light</w:t>
      </w:r>
      <w:r w:rsidR="00236979" w:rsidRPr="004240EC">
        <w:rPr>
          <w:rFonts w:ascii="Times New Roman" w:hAnsi="Times New Roman"/>
        </w:rPr>
        <w:t xml:space="preserve">, once </w:t>
      </w:r>
      <w:r w:rsidRPr="004240EC">
        <w:rPr>
          <w:rFonts w:ascii="Times New Roman" w:hAnsi="Times New Roman"/>
        </w:rPr>
        <w:t>R</w:t>
      </w:r>
      <w:r w:rsidRPr="004240EC">
        <w:rPr>
          <w:rFonts w:ascii="Times New Roman" w:hAnsi="Times New Roman"/>
          <w:vertAlign w:val="superscript"/>
        </w:rPr>
        <w:t>2</w:t>
      </w:r>
      <w:r w:rsidRPr="004240EC">
        <w:rPr>
          <w:rFonts w:ascii="Times New Roman" w:hAnsi="Times New Roman"/>
        </w:rPr>
        <w:t xml:space="preserve"> for training and testing were </w:t>
      </w:r>
      <w:r w:rsidR="00236979" w:rsidRPr="004240EC">
        <w:rPr>
          <w:rFonts w:ascii="Times New Roman" w:hAnsi="Times New Roman"/>
        </w:rPr>
        <w:t>greater than 0.90.</w:t>
      </w:r>
      <w:r w:rsidRPr="004240EC">
        <w:rPr>
          <w:rFonts w:ascii="Times New Roman" w:hAnsi="Times New Roman"/>
        </w:rPr>
        <w:t xml:space="preserve"> Moreover, the RMSE </w:t>
      </w:r>
      <w:r w:rsidR="00236979" w:rsidRPr="004240EC">
        <w:rPr>
          <w:rFonts w:ascii="Times New Roman" w:hAnsi="Times New Roman"/>
        </w:rPr>
        <w:t>for training and testing dataset were</w:t>
      </w:r>
      <w:r w:rsidRPr="004240EC">
        <w:rPr>
          <w:rFonts w:ascii="Times New Roman" w:hAnsi="Times New Roman"/>
        </w:rPr>
        <w:t xml:space="preserve"> </w:t>
      </w:r>
      <w:r w:rsidR="00236979" w:rsidRPr="004240EC">
        <w:rPr>
          <w:rFonts w:ascii="Times New Roman" w:hAnsi="Times New Roman"/>
        </w:rPr>
        <w:t>close (|RMSE</w:t>
      </w:r>
      <w:r w:rsidR="00236979" w:rsidRPr="004240EC">
        <w:rPr>
          <w:rFonts w:ascii="Times New Roman" w:hAnsi="Times New Roman"/>
          <w:vertAlign w:val="subscript"/>
        </w:rPr>
        <w:t>train</w:t>
      </w:r>
      <w:r w:rsidR="00560232" w:rsidRPr="004240EC">
        <w:rPr>
          <w:rFonts w:ascii="Times New Roman" w:hAnsi="Times New Roman"/>
        </w:rPr>
        <w:t xml:space="preserve"> </w:t>
      </w:r>
      <w:r w:rsidR="00236979" w:rsidRPr="004240EC">
        <w:rPr>
          <w:rFonts w:ascii="Times New Roman" w:hAnsi="Times New Roman"/>
        </w:rPr>
        <w:t>-</w:t>
      </w:r>
      <w:r w:rsidR="00560232" w:rsidRPr="004240EC">
        <w:rPr>
          <w:rFonts w:ascii="Times New Roman" w:hAnsi="Times New Roman"/>
        </w:rPr>
        <w:t xml:space="preserve"> </w:t>
      </w:r>
      <w:r w:rsidR="00236979" w:rsidRPr="004240EC">
        <w:rPr>
          <w:rFonts w:ascii="Times New Roman" w:hAnsi="Times New Roman"/>
        </w:rPr>
        <w:t>RSME</w:t>
      </w:r>
      <w:r w:rsidR="00236979" w:rsidRPr="004240EC">
        <w:rPr>
          <w:rFonts w:ascii="Times New Roman" w:hAnsi="Times New Roman"/>
          <w:vertAlign w:val="subscript"/>
        </w:rPr>
        <w:t>test</w:t>
      </w:r>
      <w:r w:rsidR="00236979" w:rsidRPr="004240EC">
        <w:rPr>
          <w:rFonts w:ascii="Times New Roman" w:hAnsi="Times New Roman"/>
        </w:rPr>
        <w:t xml:space="preserve">| = </w:t>
      </w:r>
      <w:r w:rsidR="00560232" w:rsidRPr="004240EC">
        <w:rPr>
          <w:rFonts w:ascii="Times New Roman" w:hAnsi="Times New Roman"/>
        </w:rPr>
        <w:t>1.52</w:t>
      </w:r>
      <w:r w:rsidR="00236979" w:rsidRPr="004240EC">
        <w:rPr>
          <w:rFonts w:ascii="Times New Roman" w:hAnsi="Times New Roman"/>
        </w:rPr>
        <w:t>)</w:t>
      </w:r>
      <w:r w:rsidR="00560232" w:rsidRPr="004240EC">
        <w:rPr>
          <w:rFonts w:ascii="Times New Roman" w:hAnsi="Times New Roman"/>
        </w:rPr>
        <w:t xml:space="preserve">, indicating low probability of overfitting </w:t>
      </w:r>
      <w:r w:rsidR="0047164D" w:rsidRPr="004240EC">
        <w:rPr>
          <w:rFonts w:ascii="Times New Roman" w:hAnsi="Times New Roman"/>
        </w:rPr>
        <w:t>(</w:t>
      </w:r>
      <w:r w:rsidR="00B832BA" w:rsidRPr="004240EC">
        <w:rPr>
          <w:rFonts w:ascii="Times New Roman" w:hAnsi="Times New Roman"/>
        </w:rPr>
        <w:t>32</w:t>
      </w:r>
      <w:r w:rsidR="0047164D" w:rsidRPr="004240EC">
        <w:rPr>
          <w:rFonts w:ascii="Times New Roman" w:hAnsi="Times New Roman"/>
        </w:rPr>
        <w:t>)</w:t>
      </w:r>
      <w:r w:rsidRPr="004240EC">
        <w:rPr>
          <w:rFonts w:ascii="Times New Roman" w:hAnsi="Times New Roman"/>
        </w:rPr>
        <w:t>.</w:t>
      </w:r>
      <w:r w:rsidR="00481C41" w:rsidRPr="004240EC">
        <w:rPr>
          <w:rFonts w:ascii="Times New Roman" w:hAnsi="Times New Roman"/>
        </w:rPr>
        <w:t xml:space="preserve"> </w:t>
      </w:r>
      <w:r w:rsidR="000F05C8" w:rsidRPr="004240EC">
        <w:rPr>
          <w:rFonts w:ascii="Times New Roman" w:hAnsi="Times New Roman"/>
        </w:rPr>
        <w:t xml:space="preserve">Furthermore, </w:t>
      </w:r>
      <w:r w:rsidR="00560232" w:rsidRPr="004240EC">
        <w:rPr>
          <w:rFonts w:ascii="Times New Roman" w:hAnsi="Times New Roman"/>
        </w:rPr>
        <w:t>the value observed for R</w:t>
      </w:r>
      <w:r w:rsidR="00560232" w:rsidRPr="004240EC">
        <w:rPr>
          <w:rFonts w:ascii="Times New Roman" w:hAnsi="Times New Roman"/>
          <w:vertAlign w:val="superscript"/>
        </w:rPr>
        <w:t>2</w:t>
      </w:r>
      <w:r w:rsidR="00560232" w:rsidRPr="004240EC">
        <w:rPr>
          <w:rFonts w:ascii="Times New Roman" w:hAnsi="Times New Roman"/>
          <w:vertAlign w:val="subscript"/>
        </w:rPr>
        <w:t>test</w:t>
      </w:r>
      <w:r w:rsidR="00560232" w:rsidRPr="004240EC">
        <w:rPr>
          <w:rFonts w:ascii="Times New Roman" w:hAnsi="Times New Roman"/>
        </w:rPr>
        <w:t xml:space="preserve"> </w:t>
      </w:r>
      <w:r w:rsidR="0047164D" w:rsidRPr="004240EC">
        <w:rPr>
          <w:rFonts w:ascii="Times New Roman" w:hAnsi="Times New Roman"/>
        </w:rPr>
        <w:t>higher than R</w:t>
      </w:r>
      <w:r w:rsidR="0047164D" w:rsidRPr="004240EC">
        <w:rPr>
          <w:rFonts w:ascii="Times New Roman" w:hAnsi="Times New Roman"/>
          <w:vertAlign w:val="superscript"/>
        </w:rPr>
        <w:t>2</w:t>
      </w:r>
      <w:r w:rsidR="0047164D" w:rsidRPr="004240EC">
        <w:rPr>
          <w:rFonts w:ascii="Times New Roman" w:hAnsi="Times New Roman"/>
          <w:vertAlign w:val="subscript"/>
        </w:rPr>
        <w:t>train</w:t>
      </w:r>
      <w:r w:rsidR="0047164D" w:rsidRPr="004240EC">
        <w:rPr>
          <w:rFonts w:ascii="Times New Roman" w:hAnsi="Times New Roman"/>
        </w:rPr>
        <w:t xml:space="preserve"> suggested that the XGB algorithm tested performed very well new data, being characterized as a suitable generalized model</w:t>
      </w:r>
      <w:r w:rsidR="009E6FFC" w:rsidRPr="004240EC">
        <w:rPr>
          <w:rFonts w:ascii="Times New Roman" w:hAnsi="Times New Roman"/>
        </w:rPr>
        <w:t xml:space="preserve">. </w:t>
      </w:r>
      <w:r w:rsidR="0047164D" w:rsidRPr="004240EC">
        <w:rPr>
          <w:rFonts w:ascii="Times New Roman" w:hAnsi="Times New Roman"/>
        </w:rPr>
        <w:t>The run time of the pattern recognition (machine learning processing time) was less than 5 seconds, requiring low computational power in this case.</w:t>
      </w:r>
    </w:p>
    <w:p w14:paraId="46F2B915" w14:textId="77777777" w:rsidR="0056652D" w:rsidRPr="0056652D" w:rsidRDefault="0056652D" w:rsidP="0056652D">
      <w:pPr>
        <w:spacing w:after="0" w:line="240" w:lineRule="exact"/>
        <w:ind w:firstLine="204"/>
        <w:jc w:val="both"/>
        <w:rPr>
          <w:rFonts w:ascii="Times New Roman" w:eastAsia="Times New Roman" w:hAnsi="Times New Roman" w:cs="Times New Roman"/>
          <w:b/>
          <w:bCs/>
          <w:sz w:val="18"/>
          <w:szCs w:val="18"/>
          <w:lang w:val="en-US" w:eastAsia="pt-BR"/>
        </w:rPr>
      </w:pPr>
    </w:p>
    <w:p w14:paraId="53B7D071" w14:textId="77777777" w:rsidR="00302382" w:rsidRPr="00302382" w:rsidRDefault="00256670" w:rsidP="00302382">
      <w:pPr>
        <w:pStyle w:val="SemEspaamento"/>
        <w:rPr>
          <w:rFonts w:ascii="Times New Roman" w:eastAsia="Times New Roman" w:hAnsi="Times New Roman" w:cs="Times New Roman"/>
          <w:i/>
          <w:iCs/>
          <w:sz w:val="18"/>
          <w:szCs w:val="18"/>
          <w:lang w:val="en-US" w:eastAsia="pt-BR"/>
        </w:rPr>
      </w:pPr>
      <w:r w:rsidRPr="00302382">
        <w:rPr>
          <w:rFonts w:ascii="Times New Roman" w:hAnsi="Times New Roman" w:cs="Times New Roman"/>
          <w:i/>
          <w:iCs/>
          <w:sz w:val="20"/>
          <w:szCs w:val="20"/>
        </w:rPr>
        <w:t>XGB</w:t>
      </w:r>
      <w:r w:rsidR="00C55FB8" w:rsidRPr="00302382">
        <w:rPr>
          <w:rFonts w:ascii="Times New Roman" w:hAnsi="Times New Roman" w:cs="Times New Roman"/>
          <w:i/>
          <w:iCs/>
          <w:sz w:val="20"/>
          <w:szCs w:val="20"/>
        </w:rPr>
        <w:t xml:space="preserve"> model: </w:t>
      </w:r>
      <w:r w:rsidR="00C55FB8" w:rsidRPr="00302382">
        <w:rPr>
          <w:rFonts w:ascii="Times New Roman" w:hAnsi="Times New Roman" w:cs="Times New Roman"/>
          <w:i/>
          <w:iCs/>
          <w:sz w:val="20"/>
          <w:szCs w:val="20"/>
          <w:lang w:val="en-US"/>
        </w:rPr>
        <w:t>f</w:t>
      </w:r>
      <w:r w:rsidR="00025279" w:rsidRPr="00302382">
        <w:rPr>
          <w:rFonts w:ascii="Times New Roman" w:hAnsi="Times New Roman" w:cs="Times New Roman"/>
          <w:i/>
          <w:iCs/>
          <w:sz w:val="20"/>
          <w:szCs w:val="20"/>
          <w:lang w:val="en-US"/>
        </w:rPr>
        <w:t>eature importance</w:t>
      </w:r>
      <w:r w:rsidR="00C55FB8" w:rsidRPr="00302382">
        <w:rPr>
          <w:rFonts w:ascii="Times New Roman" w:hAnsi="Times New Roman" w:cs="Times New Roman"/>
          <w:i/>
          <w:iCs/>
          <w:sz w:val="20"/>
          <w:szCs w:val="20"/>
          <w:lang w:val="en-US"/>
        </w:rPr>
        <w:t xml:space="preserve"> evaluation</w:t>
      </w:r>
    </w:p>
    <w:p w14:paraId="474E569F" w14:textId="5E7299FE" w:rsidR="009E4303" w:rsidRPr="007C2298" w:rsidRDefault="00FF222F" w:rsidP="007C2298">
      <w:pPr>
        <w:pStyle w:val="TAMainText"/>
        <w:ind w:firstLine="204"/>
        <w:rPr>
          <w:rFonts w:ascii="Times New Roman" w:hAnsi="Times New Roman"/>
          <w:iCs/>
        </w:rPr>
      </w:pPr>
      <w:r w:rsidRPr="00302382">
        <w:rPr>
          <w:rFonts w:ascii="Times New Roman" w:hAnsi="Times New Roman"/>
        </w:rPr>
        <w:t xml:space="preserve">Figure </w:t>
      </w:r>
      <w:r w:rsidR="006771BA" w:rsidRPr="00302382">
        <w:rPr>
          <w:rFonts w:ascii="Times New Roman" w:hAnsi="Times New Roman"/>
        </w:rPr>
        <w:t>3</w:t>
      </w:r>
      <w:r w:rsidRPr="00302382">
        <w:rPr>
          <w:rFonts w:ascii="Times New Roman" w:hAnsi="Times New Roman"/>
        </w:rPr>
        <w:t xml:space="preserve"> shows the feature importance study, in which</w:t>
      </w:r>
      <w:r w:rsidR="00FE2333" w:rsidRPr="00302382">
        <w:rPr>
          <w:rFonts w:ascii="Times New Roman" w:hAnsi="Times New Roman"/>
        </w:rPr>
        <w:t xml:space="preserve"> the permutation score for each input parameter used in the </w:t>
      </w:r>
      <w:r w:rsidR="00256670" w:rsidRPr="00302382">
        <w:rPr>
          <w:rFonts w:ascii="Times New Roman" w:hAnsi="Times New Roman"/>
        </w:rPr>
        <w:t>XGB</w:t>
      </w:r>
      <w:r w:rsidR="00FE2333" w:rsidRPr="00302382">
        <w:rPr>
          <w:rFonts w:ascii="Times New Roman" w:hAnsi="Times New Roman"/>
        </w:rPr>
        <w:t xml:space="preserve"> model is informed.</w:t>
      </w:r>
      <w:r w:rsidR="00D16309">
        <w:rPr>
          <w:rFonts w:ascii="Times New Roman" w:hAnsi="Times New Roman"/>
        </w:rPr>
        <w:t xml:space="preserve"> Thus, </w:t>
      </w:r>
      <w:r w:rsidR="00D16309" w:rsidRPr="004240EC">
        <w:rPr>
          <w:rFonts w:ascii="Times New Roman" w:hAnsi="Times New Roman"/>
          <w:iCs/>
        </w:rPr>
        <w:t xml:space="preserve">the reaction time and pH were significant to the XGB generalized model, once </w:t>
      </w:r>
      <w:r w:rsidR="00D16309">
        <w:rPr>
          <w:rFonts w:ascii="Times New Roman" w:hAnsi="Times New Roman"/>
          <w:iCs/>
        </w:rPr>
        <w:t xml:space="preserve">the </w:t>
      </w:r>
      <w:r w:rsidR="00D16309" w:rsidRPr="004240EC">
        <w:rPr>
          <w:rFonts w:ascii="Times New Roman" w:hAnsi="Times New Roman"/>
          <w:iCs/>
        </w:rPr>
        <w:t>permutation score</w:t>
      </w:r>
      <w:r w:rsidR="00D16309">
        <w:rPr>
          <w:rFonts w:ascii="Times New Roman" w:hAnsi="Times New Roman"/>
          <w:iCs/>
        </w:rPr>
        <w:t xml:space="preserve"> </w:t>
      </w:r>
      <w:r w:rsidR="00D16309" w:rsidRPr="004240EC">
        <w:rPr>
          <w:rFonts w:ascii="Times New Roman" w:hAnsi="Times New Roman"/>
          <w:iCs/>
        </w:rPr>
        <w:t xml:space="preserve">was greater than 0.50. </w:t>
      </w:r>
      <w:r w:rsidR="00D16309">
        <w:rPr>
          <w:rFonts w:ascii="Times New Roman" w:hAnsi="Times New Roman"/>
          <w:iCs/>
        </w:rPr>
        <w:t>The g</w:t>
      </w:r>
      <w:r w:rsidR="00D16309" w:rsidRPr="004240EC">
        <w:rPr>
          <w:rFonts w:ascii="Times New Roman" w:hAnsi="Times New Roman"/>
          <w:iCs/>
        </w:rPr>
        <w:t xml:space="preserve">reater the permutation scores greater the influence of the feature (input variable) on the response. Catalyst and dye concentration showed to not be important in the </w:t>
      </w:r>
      <w:r w:rsidR="00CD5FB0">
        <w:rPr>
          <w:rFonts w:ascii="Times New Roman" w:hAnsi="Times New Roman"/>
          <w:iCs/>
        </w:rPr>
        <w:t>reaction pathway</w:t>
      </w:r>
      <w:r w:rsidR="00D16309" w:rsidRPr="004240EC">
        <w:rPr>
          <w:rFonts w:ascii="Times New Roman" w:hAnsi="Times New Roman"/>
          <w:iCs/>
        </w:rPr>
        <w:t xml:space="preserve"> of the MB degradation. Thus, depending on the reaction time observed in the process, specific species are generated as intermediate or (by)products. According to experimental results, </w:t>
      </w:r>
      <w:r w:rsidR="00D16309">
        <w:rPr>
          <w:rFonts w:ascii="Times New Roman" w:hAnsi="Times New Roman"/>
          <w:iCs/>
        </w:rPr>
        <w:t xml:space="preserve">the </w:t>
      </w:r>
      <w:r w:rsidR="00D16309" w:rsidRPr="004240EC">
        <w:rPr>
          <w:rFonts w:ascii="Times New Roman" w:hAnsi="Times New Roman"/>
          <w:iCs/>
        </w:rPr>
        <w:t xml:space="preserve">higher the time higher the amount of low-mass chemical species observed (33). Moreover, Figure 3 also </w:t>
      </w:r>
      <w:r w:rsidR="00D16309" w:rsidRPr="004240EC">
        <w:rPr>
          <w:rFonts w:ascii="Times New Roman" w:hAnsi="Times New Roman"/>
          <w:iCs/>
        </w:rPr>
        <w:lastRenderedPageBreak/>
        <w:t xml:space="preserve">suggests that alterations </w:t>
      </w:r>
      <w:r w:rsidR="00D16309">
        <w:rPr>
          <w:rFonts w:ascii="Times New Roman" w:hAnsi="Times New Roman"/>
          <w:iCs/>
        </w:rPr>
        <w:t xml:space="preserve">in </w:t>
      </w:r>
      <w:r w:rsidR="00D16309" w:rsidRPr="004240EC">
        <w:rPr>
          <w:rFonts w:ascii="Times New Roman" w:hAnsi="Times New Roman"/>
          <w:iCs/>
        </w:rPr>
        <w:t>pH can significantly affect the intermediates and products formed during the degradation reaction, which was confirmed in experimental runs found in the literature (34).</w:t>
      </w:r>
    </w:p>
    <w:p w14:paraId="28632FB9" w14:textId="0C8A2B1A" w:rsidR="00AF0B43" w:rsidRPr="004240EC" w:rsidRDefault="00AF0B43" w:rsidP="00302382">
      <w:pPr>
        <w:pStyle w:val="SemEspaamento"/>
        <w:jc w:val="center"/>
        <w:rPr>
          <w:rFonts w:ascii="Times New Roman" w:eastAsia="Times New Roman" w:hAnsi="Times New Roman" w:cs="Times New Roman"/>
          <w:i/>
          <w:sz w:val="20"/>
          <w:szCs w:val="20"/>
          <w:lang w:val="en-US" w:eastAsia="pt-BR"/>
        </w:rPr>
      </w:pPr>
      <w:r w:rsidRPr="00AF0B43">
        <w:rPr>
          <w:noProof/>
        </w:rPr>
        <w:drawing>
          <wp:inline distT="0" distB="0" distL="0" distR="0" wp14:anchorId="168ECBA0" wp14:editId="4B967777">
            <wp:extent cx="2505075" cy="1747681"/>
            <wp:effectExtent l="0" t="0" r="0" b="0"/>
            <wp:docPr id="12563560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630" t="10463" r="13336" b="3517"/>
                    <a:stretch/>
                  </pic:blipFill>
                  <pic:spPr bwMode="auto">
                    <a:xfrm>
                      <a:off x="0" y="0"/>
                      <a:ext cx="2505075" cy="1747681"/>
                    </a:xfrm>
                    <a:prstGeom prst="rect">
                      <a:avLst/>
                    </a:prstGeom>
                    <a:noFill/>
                    <a:ln>
                      <a:noFill/>
                    </a:ln>
                    <a:extLst>
                      <a:ext uri="{53640926-AAD7-44D8-BBD7-CCE9431645EC}">
                        <a14:shadowObscured xmlns:a14="http://schemas.microsoft.com/office/drawing/2010/main"/>
                      </a:ext>
                    </a:extLst>
                  </pic:spPr>
                </pic:pic>
              </a:graphicData>
            </a:graphic>
          </wp:inline>
        </w:drawing>
      </w:r>
    </w:p>
    <w:p w14:paraId="7F0E0407" w14:textId="0DD797C1" w:rsidR="007C2298" w:rsidRPr="007C2298" w:rsidRDefault="004459F9" w:rsidP="007C2298">
      <w:pPr>
        <w:spacing w:after="0" w:line="200" w:lineRule="exact"/>
        <w:jc w:val="center"/>
        <w:rPr>
          <w:rFonts w:ascii="Times New Roman" w:eastAsia="Times New Roman" w:hAnsi="Times New Roman" w:cs="Times New Roman"/>
          <w:sz w:val="18"/>
          <w:szCs w:val="18"/>
          <w:lang w:val="en-US" w:eastAsia="pt-BR"/>
        </w:rPr>
      </w:pPr>
      <w:r w:rsidRPr="004240EC">
        <w:rPr>
          <w:rFonts w:ascii="Times New Roman" w:eastAsia="Times New Roman" w:hAnsi="Times New Roman" w:cs="Times New Roman"/>
          <w:b/>
          <w:bCs/>
          <w:sz w:val="18"/>
          <w:szCs w:val="18"/>
          <w:lang w:val="en-US" w:eastAsia="pt-BR"/>
        </w:rPr>
        <w:t xml:space="preserve">Figure </w:t>
      </w:r>
      <w:r w:rsidR="006771BA" w:rsidRPr="004240EC">
        <w:rPr>
          <w:rFonts w:ascii="Times New Roman" w:eastAsia="Times New Roman" w:hAnsi="Times New Roman" w:cs="Times New Roman"/>
          <w:b/>
          <w:bCs/>
          <w:sz w:val="18"/>
          <w:szCs w:val="18"/>
          <w:lang w:val="en-US" w:eastAsia="pt-BR"/>
        </w:rPr>
        <w:t>3</w:t>
      </w:r>
      <w:r w:rsidRPr="004240EC">
        <w:rPr>
          <w:rFonts w:ascii="Times New Roman" w:eastAsia="Times New Roman" w:hAnsi="Times New Roman" w:cs="Times New Roman"/>
          <w:b/>
          <w:bCs/>
          <w:sz w:val="18"/>
          <w:szCs w:val="18"/>
          <w:lang w:val="en-US" w:eastAsia="pt-BR"/>
        </w:rPr>
        <w:t>.</w:t>
      </w:r>
      <w:r w:rsidRPr="004240EC">
        <w:rPr>
          <w:rFonts w:ascii="Times New Roman" w:eastAsia="Times New Roman" w:hAnsi="Times New Roman" w:cs="Times New Roman"/>
          <w:sz w:val="18"/>
          <w:szCs w:val="18"/>
          <w:lang w:val="en-US" w:eastAsia="pt-BR"/>
        </w:rPr>
        <w:t xml:space="preserve"> Feature importance study generated from </w:t>
      </w:r>
      <w:r w:rsidR="00256670" w:rsidRPr="004240EC">
        <w:rPr>
          <w:rFonts w:ascii="Times New Roman" w:eastAsia="Times New Roman" w:hAnsi="Times New Roman" w:cs="Times New Roman"/>
          <w:sz w:val="18"/>
          <w:szCs w:val="18"/>
          <w:lang w:val="en-US" w:eastAsia="pt-BR"/>
        </w:rPr>
        <w:t>XGB</w:t>
      </w:r>
      <w:r w:rsidRPr="004240EC">
        <w:rPr>
          <w:rFonts w:ascii="Times New Roman" w:eastAsia="Times New Roman" w:hAnsi="Times New Roman" w:cs="Times New Roman"/>
          <w:sz w:val="18"/>
          <w:szCs w:val="18"/>
          <w:lang w:val="en-US" w:eastAsia="pt-BR"/>
        </w:rPr>
        <w:t xml:space="preserve"> model.</w:t>
      </w:r>
    </w:p>
    <w:p w14:paraId="1C6708A2" w14:textId="77777777" w:rsidR="007C2298" w:rsidRPr="007C2298" w:rsidRDefault="007C2298" w:rsidP="007C2298">
      <w:pPr>
        <w:pStyle w:val="SemEspaamento"/>
        <w:rPr>
          <w:rFonts w:eastAsia="Times New Roman"/>
          <w:sz w:val="8"/>
          <w:szCs w:val="8"/>
          <w:lang w:val="en-US" w:eastAsia="pt-BR"/>
        </w:rPr>
      </w:pPr>
    </w:p>
    <w:p w14:paraId="0BF2F092" w14:textId="771B579B" w:rsidR="004B64E6" w:rsidRPr="004B64E6" w:rsidRDefault="004E409E" w:rsidP="004B64E6">
      <w:pPr>
        <w:spacing w:after="0" w:line="240" w:lineRule="exact"/>
        <w:ind w:firstLine="204"/>
        <w:jc w:val="both"/>
        <w:rPr>
          <w:rFonts w:ascii="Times New Roman" w:eastAsia="Times New Roman" w:hAnsi="Times New Roman" w:cs="Times New Roman"/>
          <w:iCs/>
          <w:sz w:val="20"/>
          <w:szCs w:val="20"/>
          <w:lang w:val="en-US" w:eastAsia="pt-BR"/>
        </w:rPr>
      </w:pPr>
      <w:r w:rsidRPr="004240EC">
        <w:rPr>
          <w:rFonts w:ascii="Times New Roman" w:eastAsia="Times New Roman" w:hAnsi="Times New Roman" w:cs="Times New Roman"/>
          <w:iCs/>
          <w:sz w:val="20"/>
          <w:szCs w:val="20"/>
          <w:lang w:val="en-US" w:eastAsia="pt-BR"/>
        </w:rPr>
        <w:t xml:space="preserve">Figure </w:t>
      </w:r>
      <w:r w:rsidR="006771BA" w:rsidRPr="004240EC">
        <w:rPr>
          <w:rFonts w:ascii="Times New Roman" w:eastAsia="Times New Roman" w:hAnsi="Times New Roman" w:cs="Times New Roman"/>
          <w:iCs/>
          <w:sz w:val="20"/>
          <w:szCs w:val="20"/>
          <w:lang w:val="en-US" w:eastAsia="pt-BR"/>
        </w:rPr>
        <w:t>4</w:t>
      </w:r>
      <w:r w:rsidRPr="004240EC">
        <w:rPr>
          <w:rFonts w:ascii="Times New Roman" w:eastAsia="Times New Roman" w:hAnsi="Times New Roman" w:cs="Times New Roman"/>
          <w:iCs/>
          <w:sz w:val="20"/>
          <w:szCs w:val="20"/>
          <w:lang w:val="en-US" w:eastAsia="pt-BR"/>
        </w:rPr>
        <w:t xml:space="preserve"> shows the generalized </w:t>
      </w:r>
      <w:r w:rsidR="00CD5FB0">
        <w:rPr>
          <w:rFonts w:ascii="Times New Roman" w:eastAsia="Times New Roman" w:hAnsi="Times New Roman" w:cs="Times New Roman"/>
          <w:iCs/>
          <w:sz w:val="20"/>
          <w:szCs w:val="20"/>
          <w:lang w:val="en-US" w:eastAsia="pt-BR"/>
        </w:rPr>
        <w:t>reaction pathway</w:t>
      </w:r>
      <w:r w:rsidRPr="004240EC">
        <w:rPr>
          <w:rFonts w:ascii="Times New Roman" w:eastAsia="Times New Roman" w:hAnsi="Times New Roman" w:cs="Times New Roman"/>
          <w:iCs/>
          <w:sz w:val="20"/>
          <w:szCs w:val="20"/>
          <w:lang w:val="en-US" w:eastAsia="pt-BR"/>
        </w:rPr>
        <w:t xml:space="preserve"> proposed for MB dye degradation observed for the experimental procedure of this work.</w:t>
      </w:r>
    </w:p>
    <w:p w14:paraId="29BC5485" w14:textId="09186B0A" w:rsidR="00D16309" w:rsidRPr="00DA637A" w:rsidRDefault="004F57C4" w:rsidP="00D16309">
      <w:pPr>
        <w:pStyle w:val="SemEspaamento"/>
        <w:jc w:val="center"/>
        <w:rPr>
          <w:rFonts w:eastAsia="Times New Roman"/>
          <w:lang w:val="en-US" w:eastAsia="pt-BR"/>
        </w:rPr>
      </w:pPr>
      <w:r w:rsidRPr="004F57C4">
        <w:rPr>
          <w:noProof/>
        </w:rPr>
        <w:drawing>
          <wp:inline distT="0" distB="0" distL="0" distR="0" wp14:anchorId="7F4880E0" wp14:editId="4EB15CBF">
            <wp:extent cx="3052445" cy="4848225"/>
            <wp:effectExtent l="0" t="0" r="0" b="9525"/>
            <wp:docPr id="62466597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31" b="1049"/>
                    <a:stretch/>
                  </pic:blipFill>
                  <pic:spPr bwMode="auto">
                    <a:xfrm>
                      <a:off x="0" y="0"/>
                      <a:ext cx="3056578" cy="4854789"/>
                    </a:xfrm>
                    <a:prstGeom prst="rect">
                      <a:avLst/>
                    </a:prstGeom>
                    <a:noFill/>
                    <a:ln>
                      <a:noFill/>
                    </a:ln>
                    <a:extLst>
                      <a:ext uri="{53640926-AAD7-44D8-BBD7-CCE9431645EC}">
                        <a14:shadowObscured xmlns:a14="http://schemas.microsoft.com/office/drawing/2010/main"/>
                      </a:ext>
                    </a:extLst>
                  </pic:spPr>
                </pic:pic>
              </a:graphicData>
            </a:graphic>
          </wp:inline>
        </w:drawing>
      </w:r>
    </w:p>
    <w:p w14:paraId="17D7E45A" w14:textId="22FFF3A9" w:rsidR="00777967" w:rsidRDefault="00576539" w:rsidP="00576539">
      <w:pPr>
        <w:spacing w:after="0" w:line="240" w:lineRule="exact"/>
        <w:jc w:val="both"/>
        <w:rPr>
          <w:rFonts w:ascii="Times New Roman" w:eastAsia="Times New Roman" w:hAnsi="Times New Roman" w:cs="Times New Roman"/>
          <w:sz w:val="18"/>
          <w:szCs w:val="18"/>
          <w:lang w:val="en-US" w:eastAsia="pt-BR"/>
        </w:rPr>
      </w:pPr>
      <w:r w:rsidRPr="004240EC">
        <w:rPr>
          <w:rFonts w:ascii="Times New Roman" w:eastAsia="Times New Roman" w:hAnsi="Times New Roman" w:cs="Times New Roman"/>
          <w:b/>
          <w:bCs/>
          <w:sz w:val="18"/>
          <w:szCs w:val="18"/>
          <w:lang w:val="en-US" w:eastAsia="pt-BR"/>
        </w:rPr>
        <w:t>Figure 4.</w:t>
      </w:r>
      <w:r w:rsidRPr="004240EC">
        <w:rPr>
          <w:rFonts w:ascii="Times New Roman" w:eastAsia="Times New Roman" w:hAnsi="Times New Roman" w:cs="Times New Roman"/>
          <w:sz w:val="18"/>
          <w:szCs w:val="18"/>
          <w:lang w:val="en-US" w:eastAsia="pt-BR"/>
        </w:rPr>
        <w:t xml:space="preserve"> General </w:t>
      </w:r>
      <w:r w:rsidR="00CD5FB0">
        <w:rPr>
          <w:rFonts w:ascii="Times New Roman" w:eastAsia="Times New Roman" w:hAnsi="Times New Roman" w:cs="Times New Roman"/>
          <w:sz w:val="18"/>
          <w:szCs w:val="18"/>
          <w:lang w:val="en-US" w:eastAsia="pt-BR"/>
        </w:rPr>
        <w:t>reaction pathway</w:t>
      </w:r>
      <w:r w:rsidR="00044AE1" w:rsidRPr="00044AE1">
        <w:rPr>
          <w:rFonts w:ascii="Times New Roman" w:eastAsia="Times New Roman" w:hAnsi="Times New Roman" w:cs="Times New Roman"/>
          <w:sz w:val="18"/>
          <w:szCs w:val="18"/>
          <w:lang w:val="en-US" w:eastAsia="pt-BR"/>
        </w:rPr>
        <w:t xml:space="preserve"> </w:t>
      </w:r>
      <w:r w:rsidRPr="004240EC">
        <w:rPr>
          <w:rFonts w:ascii="Times New Roman" w:eastAsia="Times New Roman" w:hAnsi="Times New Roman" w:cs="Times New Roman"/>
          <w:sz w:val="18"/>
          <w:szCs w:val="18"/>
          <w:lang w:val="en-US" w:eastAsia="pt-BR"/>
        </w:rPr>
        <w:t>for MB</w:t>
      </w:r>
      <w:r w:rsidR="00354C36">
        <w:rPr>
          <w:rFonts w:ascii="Times New Roman" w:eastAsia="Times New Roman" w:hAnsi="Times New Roman" w:cs="Times New Roman"/>
          <w:sz w:val="18"/>
          <w:szCs w:val="18"/>
          <w:lang w:val="en-US" w:eastAsia="pt-BR"/>
        </w:rPr>
        <w:t xml:space="preserve"> degradation</w:t>
      </w:r>
      <w:r w:rsidRPr="004240EC">
        <w:rPr>
          <w:rFonts w:ascii="Times New Roman" w:eastAsia="Times New Roman" w:hAnsi="Times New Roman" w:cs="Times New Roman"/>
          <w:sz w:val="18"/>
          <w:szCs w:val="18"/>
          <w:lang w:val="en-US" w:eastAsia="pt-BR"/>
        </w:rPr>
        <w:t xml:space="preserve"> under visible light.</w:t>
      </w:r>
    </w:p>
    <w:p w14:paraId="574B0E5E" w14:textId="6CC61CD2" w:rsidR="00C65B00" w:rsidRDefault="00576539" w:rsidP="00C65B00">
      <w:pPr>
        <w:pStyle w:val="TAMainText"/>
        <w:ind w:firstLine="204"/>
        <w:rPr>
          <w:rFonts w:ascii="Times New Roman" w:hAnsi="Times New Roman"/>
          <w:iCs/>
        </w:rPr>
      </w:pPr>
      <w:r w:rsidRPr="00C65B00">
        <w:rPr>
          <w:rFonts w:ascii="Times New Roman" w:hAnsi="Times New Roman"/>
        </w:rPr>
        <w:t>According</w:t>
      </w:r>
      <w:r w:rsidRPr="00C65B00">
        <w:rPr>
          <w:rFonts w:ascii="Times New Roman" w:hAnsi="Times New Roman"/>
          <w:iCs/>
        </w:rPr>
        <w:t xml:space="preserve"> to Figure 4, the final products of the photocatalytic degradation of MB dye </w:t>
      </w:r>
      <w:r w:rsidR="002D4F04" w:rsidRPr="00C65B00">
        <w:rPr>
          <w:rFonts w:ascii="Times New Roman" w:hAnsi="Times New Roman"/>
          <w:iCs/>
        </w:rPr>
        <w:t>were</w:t>
      </w:r>
      <w:r w:rsidRPr="00C65B00">
        <w:rPr>
          <w:rFonts w:ascii="Times New Roman" w:hAnsi="Times New Roman"/>
          <w:iCs/>
        </w:rPr>
        <w:t xml:space="preserve"> carbon dioxide (CO</w:t>
      </w:r>
      <w:r w:rsidRPr="00C65B00">
        <w:rPr>
          <w:rFonts w:ascii="Times New Roman" w:hAnsi="Times New Roman"/>
          <w:iCs/>
          <w:vertAlign w:val="subscript"/>
        </w:rPr>
        <w:t>2</w:t>
      </w:r>
      <w:r w:rsidRPr="00C65B00">
        <w:rPr>
          <w:rFonts w:ascii="Times New Roman" w:hAnsi="Times New Roman"/>
          <w:iCs/>
        </w:rPr>
        <w:t>, m/z = 44), water (H</w:t>
      </w:r>
      <w:r w:rsidRPr="00C65B00">
        <w:rPr>
          <w:rFonts w:ascii="Times New Roman" w:hAnsi="Times New Roman"/>
          <w:iCs/>
          <w:vertAlign w:val="subscript"/>
        </w:rPr>
        <w:t>2</w:t>
      </w:r>
      <w:r w:rsidRPr="00C65B00">
        <w:rPr>
          <w:rFonts w:ascii="Times New Roman" w:hAnsi="Times New Roman"/>
          <w:iCs/>
        </w:rPr>
        <w:t>O, m/z = 18), aniline (C</w:t>
      </w:r>
      <w:r w:rsidRPr="00C65B00">
        <w:rPr>
          <w:rFonts w:ascii="Times New Roman" w:hAnsi="Times New Roman"/>
          <w:iCs/>
          <w:vertAlign w:val="subscript"/>
        </w:rPr>
        <w:t>6</w:t>
      </w:r>
      <w:r w:rsidRPr="00C65B00">
        <w:rPr>
          <w:rFonts w:ascii="Times New Roman" w:hAnsi="Times New Roman"/>
          <w:iCs/>
        </w:rPr>
        <w:t>H</w:t>
      </w:r>
      <w:r w:rsidRPr="00C65B00">
        <w:rPr>
          <w:rFonts w:ascii="Times New Roman" w:hAnsi="Times New Roman"/>
          <w:iCs/>
          <w:vertAlign w:val="subscript"/>
        </w:rPr>
        <w:t>5</w:t>
      </w:r>
      <w:r w:rsidRPr="00C65B00">
        <w:rPr>
          <w:rFonts w:ascii="Times New Roman" w:hAnsi="Times New Roman"/>
          <w:iCs/>
        </w:rPr>
        <w:t>NH</w:t>
      </w:r>
      <w:r w:rsidRPr="00C65B00">
        <w:rPr>
          <w:rFonts w:ascii="Times New Roman" w:hAnsi="Times New Roman"/>
          <w:iCs/>
          <w:vertAlign w:val="subscript"/>
        </w:rPr>
        <w:t>2</w:t>
      </w:r>
      <w:r w:rsidRPr="00C65B00">
        <w:rPr>
          <w:rFonts w:ascii="Times New Roman" w:hAnsi="Times New Roman"/>
          <w:iCs/>
        </w:rPr>
        <w:t xml:space="preserve">, m/z = 93), respectively. </w:t>
      </w:r>
      <w:r w:rsidR="00054C8F" w:rsidRPr="00C65B00">
        <w:rPr>
          <w:rFonts w:ascii="Times New Roman" w:hAnsi="Times New Roman"/>
          <w:iCs/>
        </w:rPr>
        <w:t xml:space="preserve">MB degradation achieved in the experimental run was 76.93%, </w:t>
      </w:r>
      <w:r w:rsidR="00C65B00" w:rsidRPr="00C65B00">
        <w:rPr>
          <w:rFonts w:ascii="Times New Roman" w:hAnsi="Times New Roman"/>
          <w:iCs/>
        </w:rPr>
        <w:t>suggesting</w:t>
      </w:r>
      <w:r w:rsidR="00054C8F" w:rsidRPr="00C65B00">
        <w:rPr>
          <w:rFonts w:ascii="Times New Roman" w:hAnsi="Times New Roman"/>
          <w:iCs/>
        </w:rPr>
        <w:t xml:space="preserve"> that the remaining (23.07%) corresponded to</w:t>
      </w:r>
      <w:r w:rsidR="00C65B00" w:rsidRPr="00C65B00">
        <w:rPr>
          <w:rFonts w:ascii="Times New Roman" w:hAnsi="Times New Roman"/>
          <w:iCs/>
        </w:rPr>
        <w:t xml:space="preserve"> unreacted MB. Also, the </w:t>
      </w:r>
      <w:r w:rsidRPr="00C65B00">
        <w:rPr>
          <w:rFonts w:ascii="Times New Roman" w:hAnsi="Times New Roman"/>
          <w:iCs/>
        </w:rPr>
        <w:t xml:space="preserve">presence of aniline </w:t>
      </w:r>
      <w:r w:rsidR="00054C8F" w:rsidRPr="00C65B00">
        <w:rPr>
          <w:rFonts w:ascii="Times New Roman" w:hAnsi="Times New Roman"/>
          <w:iCs/>
        </w:rPr>
        <w:t>in the aqueous solution and trace amounts of chloride and sulfate ions</w:t>
      </w:r>
      <w:r w:rsidR="00C65B00" w:rsidRPr="00C65B00">
        <w:rPr>
          <w:rFonts w:ascii="Times New Roman" w:hAnsi="Times New Roman"/>
          <w:iCs/>
        </w:rPr>
        <w:t xml:space="preserve"> should be analyzed to check </w:t>
      </w:r>
      <w:r w:rsidR="00725259">
        <w:rPr>
          <w:rFonts w:ascii="Times New Roman" w:hAnsi="Times New Roman"/>
          <w:iCs/>
        </w:rPr>
        <w:t xml:space="preserve">the </w:t>
      </w:r>
      <w:r w:rsidR="00C65B00" w:rsidRPr="00C65B00">
        <w:rPr>
          <w:rFonts w:ascii="Times New Roman" w:hAnsi="Times New Roman"/>
          <w:iCs/>
        </w:rPr>
        <w:t>water quality.</w:t>
      </w:r>
      <w:r w:rsidR="00C65B00">
        <w:rPr>
          <w:rFonts w:ascii="Times New Roman" w:hAnsi="Times New Roman"/>
          <w:iCs/>
        </w:rPr>
        <w:t xml:space="preserve"> These ions are naturally found in surface water and wastewater composition, being not damaging to humans and aquatic life dependent on their concentration. </w:t>
      </w:r>
      <w:r w:rsidR="00C65B00" w:rsidRPr="00C65B00">
        <w:rPr>
          <w:rFonts w:ascii="Times New Roman" w:hAnsi="Times New Roman"/>
          <w:iCs/>
        </w:rPr>
        <w:t xml:space="preserve">Moreover, the </w:t>
      </w:r>
      <w:r w:rsidR="00725259">
        <w:rPr>
          <w:rFonts w:ascii="Times New Roman" w:hAnsi="Times New Roman"/>
          <w:iCs/>
        </w:rPr>
        <w:t xml:space="preserve">proposed </w:t>
      </w:r>
      <w:r w:rsidR="00054C8F" w:rsidRPr="00C65B00">
        <w:rPr>
          <w:rFonts w:ascii="Times New Roman" w:hAnsi="Times New Roman"/>
          <w:iCs/>
        </w:rPr>
        <w:t>photocatalytic process was considered promising</w:t>
      </w:r>
      <w:r w:rsidR="00725259">
        <w:rPr>
          <w:rFonts w:ascii="Times New Roman" w:hAnsi="Times New Roman"/>
          <w:iCs/>
        </w:rPr>
        <w:t>,</w:t>
      </w:r>
      <w:r w:rsidR="00054C8F" w:rsidRPr="00C65B00">
        <w:rPr>
          <w:rFonts w:ascii="Times New Roman" w:hAnsi="Times New Roman"/>
          <w:iCs/>
        </w:rPr>
        <w:t xml:space="preserve"> once</w:t>
      </w:r>
      <w:r w:rsidR="00725259">
        <w:rPr>
          <w:rFonts w:ascii="Times New Roman" w:hAnsi="Times New Roman"/>
          <w:iCs/>
        </w:rPr>
        <w:t xml:space="preserve"> methylene blue is converted to</w:t>
      </w:r>
      <w:r w:rsidR="00054C8F" w:rsidRPr="00C65B00">
        <w:rPr>
          <w:rFonts w:ascii="Times New Roman" w:hAnsi="Times New Roman"/>
          <w:iCs/>
        </w:rPr>
        <w:t xml:space="preserve"> </w:t>
      </w:r>
      <w:r w:rsidR="00725259">
        <w:rPr>
          <w:rFonts w:ascii="Times New Roman" w:hAnsi="Times New Roman"/>
          <w:iCs/>
        </w:rPr>
        <w:t>low-mass and less toxic compounds</w:t>
      </w:r>
      <w:r w:rsidR="00725259" w:rsidRPr="00C65B00">
        <w:rPr>
          <w:rFonts w:ascii="Times New Roman" w:hAnsi="Times New Roman"/>
          <w:iCs/>
        </w:rPr>
        <w:t xml:space="preserve"> </w:t>
      </w:r>
      <w:r w:rsidR="00725259">
        <w:rPr>
          <w:rFonts w:ascii="Times New Roman" w:hAnsi="Times New Roman"/>
          <w:iCs/>
        </w:rPr>
        <w:t xml:space="preserve"> and </w:t>
      </w:r>
      <w:r w:rsidR="00054C8F" w:rsidRPr="00C65B00">
        <w:rPr>
          <w:rFonts w:ascii="Times New Roman" w:hAnsi="Times New Roman"/>
          <w:iCs/>
        </w:rPr>
        <w:t xml:space="preserve">aniline, which can be easily removed from water by </w:t>
      </w:r>
      <w:r w:rsidR="002D4F04" w:rsidRPr="00C65B00">
        <w:rPr>
          <w:rFonts w:ascii="Times New Roman" w:hAnsi="Times New Roman"/>
          <w:iCs/>
        </w:rPr>
        <w:t xml:space="preserve">the </w:t>
      </w:r>
      <w:r w:rsidR="00054C8F" w:rsidRPr="00C65B00">
        <w:rPr>
          <w:rFonts w:ascii="Times New Roman" w:hAnsi="Times New Roman"/>
          <w:iCs/>
        </w:rPr>
        <w:t>next cycle of heterogeneous photocatalysis or other processes such as adsorption onto a low-cost nanoadsorbent (e.g., nanozeolites synthesized from agro-industrial waste).</w:t>
      </w:r>
    </w:p>
    <w:p w14:paraId="02CE738F" w14:textId="77777777" w:rsidR="00C65B00" w:rsidRDefault="00C65B00" w:rsidP="00C65B00">
      <w:pPr>
        <w:pStyle w:val="TAMainText"/>
        <w:ind w:firstLine="204"/>
        <w:rPr>
          <w:rFonts w:ascii="Times New Roman" w:hAnsi="Times New Roman"/>
          <w:iCs/>
        </w:rPr>
      </w:pPr>
    </w:p>
    <w:p w14:paraId="20AA905D" w14:textId="13A19CDA" w:rsidR="00EA4E1B" w:rsidRPr="0079019F" w:rsidRDefault="00415104" w:rsidP="0079019F">
      <w:pPr>
        <w:spacing w:after="0" w:line="240" w:lineRule="exact"/>
        <w:ind w:firstLine="142"/>
        <w:jc w:val="center"/>
        <w:rPr>
          <w:rFonts w:ascii="Times New Roman" w:eastAsia="Times New Roman" w:hAnsi="Times New Roman" w:cs="Times New Roman"/>
          <w:iCs/>
          <w:color w:val="000066"/>
          <w:sz w:val="20"/>
          <w:szCs w:val="20"/>
          <w:lang w:val="en-US" w:eastAsia="pt-BR"/>
        </w:rPr>
      </w:pPr>
      <w:r>
        <w:rPr>
          <w:rFonts w:ascii="Helvetica" w:hAnsi="Helvetica" w:cs="Helvetica"/>
          <w:sz w:val="24"/>
          <w:szCs w:val="24"/>
          <w:lang w:val="en-US"/>
        </w:rPr>
        <w:t>Conclusions</w:t>
      </w:r>
    </w:p>
    <w:p w14:paraId="536D88A6" w14:textId="6AEE2E44" w:rsidR="005F29D0" w:rsidRDefault="00FF1E09" w:rsidP="00F4248E">
      <w:pPr>
        <w:pStyle w:val="TAMainText"/>
        <w:ind w:firstLine="204"/>
        <w:rPr>
          <w:rFonts w:ascii="Times New Roman" w:hAnsi="Times New Roman"/>
        </w:rPr>
      </w:pPr>
      <w:r w:rsidRPr="006A6EEE">
        <w:rPr>
          <w:rFonts w:ascii="Times New Roman" w:hAnsi="Times New Roman"/>
        </w:rPr>
        <w:t xml:space="preserve">The present study proposed the use of an alternative </w:t>
      </w:r>
      <w:r w:rsidR="006A6EEE" w:rsidRPr="006A6EEE">
        <w:rPr>
          <w:rFonts w:ascii="Times New Roman" w:hAnsi="Times New Roman"/>
        </w:rPr>
        <w:t>nanocataly</w:t>
      </w:r>
      <w:r w:rsidR="004C6078">
        <w:rPr>
          <w:rFonts w:ascii="Times New Roman" w:hAnsi="Times New Roman"/>
        </w:rPr>
        <w:t>st</w:t>
      </w:r>
      <w:r w:rsidR="006A6EEE" w:rsidRPr="006A6EEE">
        <w:rPr>
          <w:rFonts w:ascii="Times New Roman" w:hAnsi="Times New Roman"/>
        </w:rPr>
        <w:t xml:space="preserve"> for </w:t>
      </w:r>
      <w:r w:rsidR="002D4F04">
        <w:rPr>
          <w:rFonts w:ascii="Times New Roman" w:hAnsi="Times New Roman"/>
        </w:rPr>
        <w:t xml:space="preserve">the </w:t>
      </w:r>
      <w:r w:rsidR="006A6EEE" w:rsidRPr="006A6EEE">
        <w:rPr>
          <w:rFonts w:ascii="Times New Roman" w:hAnsi="Times New Roman"/>
        </w:rPr>
        <w:t xml:space="preserve">photocatalytic degradation of MB dye in </w:t>
      </w:r>
      <w:r w:rsidR="002D4F04">
        <w:rPr>
          <w:rFonts w:ascii="Times New Roman" w:hAnsi="Times New Roman"/>
        </w:rPr>
        <w:t xml:space="preserve">an </w:t>
      </w:r>
      <w:r w:rsidR="006A6EEE" w:rsidRPr="006A6EEE">
        <w:rPr>
          <w:rFonts w:ascii="Times New Roman" w:hAnsi="Times New Roman"/>
        </w:rPr>
        <w:t>aqueous solution</w:t>
      </w:r>
      <w:r w:rsidR="00B452A1">
        <w:rPr>
          <w:rFonts w:ascii="Times New Roman" w:hAnsi="Times New Roman"/>
        </w:rPr>
        <w:t xml:space="preserve"> under visible light</w:t>
      </w:r>
      <w:r w:rsidR="006A6EEE" w:rsidRPr="006A6EEE">
        <w:rPr>
          <w:rFonts w:ascii="Times New Roman" w:hAnsi="Times New Roman"/>
        </w:rPr>
        <w:t>.</w:t>
      </w:r>
      <w:r w:rsidRPr="006A6EEE">
        <w:rPr>
          <w:rFonts w:ascii="Times New Roman" w:hAnsi="Times New Roman"/>
        </w:rPr>
        <w:t xml:space="preserve"> </w:t>
      </w:r>
      <w:r w:rsidR="00B452A1">
        <w:rPr>
          <w:rFonts w:ascii="Times New Roman" w:hAnsi="Times New Roman"/>
        </w:rPr>
        <w:t xml:space="preserve">The obtention of CuO-NPs@nANA nanocatalyst with high purity, once analcime and tenorite phases are found in XRD for CuO-NPs and nANA, respectively. </w:t>
      </w:r>
      <w:r w:rsidRPr="00B452A1">
        <w:rPr>
          <w:rFonts w:ascii="Times New Roman" w:hAnsi="Times New Roman"/>
        </w:rPr>
        <w:t xml:space="preserve">Additionally, the development of a generalist model obtained from </w:t>
      </w:r>
      <w:r w:rsidR="004459F9" w:rsidRPr="00B452A1">
        <w:rPr>
          <w:rFonts w:ascii="Times New Roman" w:hAnsi="Times New Roman"/>
        </w:rPr>
        <w:t xml:space="preserve">a </w:t>
      </w:r>
      <w:r w:rsidR="002D4F04">
        <w:rPr>
          <w:rFonts w:ascii="Times New Roman" w:hAnsi="Times New Roman"/>
        </w:rPr>
        <w:t xml:space="preserve">ML </w:t>
      </w:r>
      <w:r w:rsidRPr="00B452A1">
        <w:rPr>
          <w:rFonts w:ascii="Times New Roman" w:hAnsi="Times New Roman"/>
        </w:rPr>
        <w:t xml:space="preserve">study was proposed to predict </w:t>
      </w:r>
      <w:r w:rsidR="00B452A1" w:rsidRPr="00B452A1">
        <w:rPr>
          <w:rFonts w:ascii="Times New Roman" w:hAnsi="Times New Roman"/>
        </w:rPr>
        <w:t>the intermediates and degradation products of heterogeneous photocatalysis</w:t>
      </w:r>
      <w:r w:rsidRPr="00B452A1">
        <w:rPr>
          <w:rFonts w:ascii="Times New Roman" w:hAnsi="Times New Roman"/>
        </w:rPr>
        <w:t>. Thus,</w:t>
      </w:r>
      <w:r w:rsidR="00B452A1" w:rsidRPr="00B452A1">
        <w:rPr>
          <w:rFonts w:ascii="Times New Roman" w:hAnsi="Times New Roman"/>
        </w:rPr>
        <w:t xml:space="preserve"> a </w:t>
      </w:r>
      <w:r w:rsidR="00CD5FB0">
        <w:rPr>
          <w:rFonts w:ascii="Times New Roman" w:hAnsi="Times New Roman"/>
        </w:rPr>
        <w:t>reaction pathway</w:t>
      </w:r>
      <w:r w:rsidR="00B452A1" w:rsidRPr="00B452A1">
        <w:rPr>
          <w:rFonts w:ascii="Times New Roman" w:hAnsi="Times New Roman"/>
        </w:rPr>
        <w:t xml:space="preserve"> for MB photocatalytic degradation was proposed, in which </w:t>
      </w:r>
      <w:r w:rsidR="002D4F04">
        <w:rPr>
          <w:rFonts w:ascii="Times New Roman" w:hAnsi="Times New Roman"/>
        </w:rPr>
        <w:t xml:space="preserve">the </w:t>
      </w:r>
      <w:r w:rsidR="00B452A1" w:rsidRPr="00B452A1">
        <w:rPr>
          <w:rFonts w:ascii="Times New Roman" w:hAnsi="Times New Roman"/>
        </w:rPr>
        <w:t>XGB algorithm</w:t>
      </w:r>
      <w:r w:rsidR="005E3D19">
        <w:rPr>
          <w:rFonts w:ascii="Times New Roman" w:hAnsi="Times New Roman"/>
        </w:rPr>
        <w:t xml:space="preserve"> (max. tree depth: 50 m)</w:t>
      </w:r>
      <w:r w:rsidR="00B452A1" w:rsidRPr="00B452A1">
        <w:rPr>
          <w:rFonts w:ascii="Times New Roman" w:hAnsi="Times New Roman"/>
        </w:rPr>
        <w:t xml:space="preserve"> generated a good</w:t>
      </w:r>
      <w:r w:rsidRPr="00B452A1">
        <w:rPr>
          <w:rFonts w:ascii="Times New Roman" w:hAnsi="Times New Roman"/>
        </w:rPr>
        <w:t xml:space="preserve"> predictive model</w:t>
      </w:r>
      <w:r w:rsidR="00B452A1" w:rsidRPr="00B452A1">
        <w:rPr>
          <w:rFonts w:ascii="Times New Roman" w:hAnsi="Times New Roman"/>
        </w:rPr>
        <w:t xml:space="preserve">. XGB </w:t>
      </w:r>
      <w:r w:rsidR="005E3D19">
        <w:rPr>
          <w:rFonts w:ascii="Times New Roman" w:hAnsi="Times New Roman"/>
        </w:rPr>
        <w:t>show</w:t>
      </w:r>
      <w:r w:rsidR="002D4F04">
        <w:rPr>
          <w:rFonts w:ascii="Times New Roman" w:hAnsi="Times New Roman"/>
        </w:rPr>
        <w:t>ed</w:t>
      </w:r>
      <w:r w:rsidR="005E3D19">
        <w:rPr>
          <w:rFonts w:ascii="Times New Roman" w:hAnsi="Times New Roman"/>
        </w:rPr>
        <w:t xml:space="preserve"> </w:t>
      </w:r>
      <w:r w:rsidR="002D4F04">
        <w:rPr>
          <w:rFonts w:ascii="Times New Roman" w:hAnsi="Times New Roman"/>
        </w:rPr>
        <w:t xml:space="preserve">a </w:t>
      </w:r>
      <w:r w:rsidR="005E3D19">
        <w:rPr>
          <w:rFonts w:ascii="Times New Roman" w:hAnsi="Times New Roman"/>
        </w:rPr>
        <w:t xml:space="preserve">good </w:t>
      </w:r>
      <w:r w:rsidR="00764110">
        <w:rPr>
          <w:rFonts w:ascii="Times New Roman" w:hAnsi="Times New Roman"/>
        </w:rPr>
        <w:t>accuracy</w:t>
      </w:r>
      <w:r w:rsidR="005E3D19">
        <w:rPr>
          <w:rFonts w:ascii="Times New Roman" w:hAnsi="Times New Roman"/>
        </w:rPr>
        <w:t xml:space="preserve"> (R</w:t>
      </w:r>
      <w:r w:rsidR="005E3D19" w:rsidRPr="005E3D19">
        <w:rPr>
          <w:rFonts w:ascii="Times New Roman" w:hAnsi="Times New Roman"/>
          <w:vertAlign w:val="superscript"/>
        </w:rPr>
        <w:t>2</w:t>
      </w:r>
      <w:r w:rsidR="005E3D19" w:rsidRPr="005E3D19">
        <w:rPr>
          <w:rFonts w:ascii="Times New Roman" w:hAnsi="Times New Roman"/>
          <w:vertAlign w:val="subscript"/>
        </w:rPr>
        <w:t>train</w:t>
      </w:r>
      <w:r w:rsidR="005E3D19">
        <w:rPr>
          <w:rFonts w:ascii="Times New Roman" w:hAnsi="Times New Roman"/>
        </w:rPr>
        <w:t xml:space="preserve"> = </w:t>
      </w:r>
      <w:r w:rsidR="00B452A1" w:rsidRPr="00B452A1">
        <w:rPr>
          <w:rFonts w:ascii="Times New Roman" w:hAnsi="Times New Roman"/>
        </w:rPr>
        <w:t>0.9125</w:t>
      </w:r>
      <w:r w:rsidR="005E3D19">
        <w:rPr>
          <w:rFonts w:ascii="Times New Roman" w:hAnsi="Times New Roman"/>
        </w:rPr>
        <w:t xml:space="preserve"> and</w:t>
      </w:r>
      <w:r w:rsidR="00B452A1" w:rsidRPr="00B452A1">
        <w:rPr>
          <w:rFonts w:ascii="Times New Roman" w:hAnsi="Times New Roman"/>
        </w:rPr>
        <w:t xml:space="preserve"> </w:t>
      </w:r>
      <w:r w:rsidR="005E3D19">
        <w:rPr>
          <w:rFonts w:ascii="Times New Roman" w:hAnsi="Times New Roman"/>
        </w:rPr>
        <w:t>R</w:t>
      </w:r>
      <w:r w:rsidR="005E3D19" w:rsidRPr="005E3D19">
        <w:rPr>
          <w:rFonts w:ascii="Times New Roman" w:hAnsi="Times New Roman"/>
          <w:vertAlign w:val="superscript"/>
        </w:rPr>
        <w:t>2</w:t>
      </w:r>
      <w:r w:rsidR="005E3D19" w:rsidRPr="005E3D19">
        <w:rPr>
          <w:rFonts w:ascii="Times New Roman" w:hAnsi="Times New Roman"/>
          <w:vertAlign w:val="subscript"/>
        </w:rPr>
        <w:t>test</w:t>
      </w:r>
      <w:r w:rsidR="005E3D19">
        <w:rPr>
          <w:rFonts w:ascii="Times New Roman" w:hAnsi="Times New Roman"/>
        </w:rPr>
        <w:t xml:space="preserve"> = </w:t>
      </w:r>
      <w:r w:rsidR="00B452A1" w:rsidRPr="00B452A1">
        <w:rPr>
          <w:rFonts w:ascii="Times New Roman" w:hAnsi="Times New Roman"/>
        </w:rPr>
        <w:t>0.9769</w:t>
      </w:r>
      <w:r w:rsidR="005E3D19">
        <w:rPr>
          <w:rFonts w:ascii="Times New Roman" w:hAnsi="Times New Roman"/>
        </w:rPr>
        <w:t>)</w:t>
      </w:r>
      <w:r w:rsidR="00B452A1" w:rsidRPr="00B452A1">
        <w:rPr>
          <w:rFonts w:ascii="Times New Roman" w:hAnsi="Times New Roman"/>
        </w:rPr>
        <w:t xml:space="preserve">, </w:t>
      </w:r>
      <w:r w:rsidR="005E3D19">
        <w:rPr>
          <w:rFonts w:ascii="Times New Roman" w:hAnsi="Times New Roman"/>
        </w:rPr>
        <w:t>with RMSE less than 4 g mol</w:t>
      </w:r>
      <w:r w:rsidR="005E3D19" w:rsidRPr="005E3D19">
        <w:rPr>
          <w:rFonts w:ascii="Times New Roman" w:hAnsi="Times New Roman"/>
          <w:vertAlign w:val="superscript"/>
        </w:rPr>
        <w:t>-1</w:t>
      </w:r>
      <w:r w:rsidR="005E3D19">
        <w:rPr>
          <w:rFonts w:ascii="Times New Roman" w:hAnsi="Times New Roman"/>
        </w:rPr>
        <w:t xml:space="preserve"> for training and testing dataset</w:t>
      </w:r>
      <w:r w:rsidR="002D4F04">
        <w:rPr>
          <w:rFonts w:ascii="Times New Roman" w:hAnsi="Times New Roman"/>
        </w:rPr>
        <w:t>s</w:t>
      </w:r>
      <w:r w:rsidR="005E3D19">
        <w:rPr>
          <w:rFonts w:ascii="Times New Roman" w:hAnsi="Times New Roman"/>
        </w:rPr>
        <w:t xml:space="preserve">, suggesting </w:t>
      </w:r>
      <w:r w:rsidR="002D4F04">
        <w:rPr>
          <w:rFonts w:ascii="Times New Roman" w:hAnsi="Times New Roman"/>
        </w:rPr>
        <w:t xml:space="preserve">a </w:t>
      </w:r>
      <w:r w:rsidR="005E3D19">
        <w:rPr>
          <w:rFonts w:ascii="Times New Roman" w:hAnsi="Times New Roman"/>
        </w:rPr>
        <w:t>low probability of overfittin</w:t>
      </w:r>
      <w:r w:rsidR="005E3D19" w:rsidRPr="00AE41B1">
        <w:rPr>
          <w:rFonts w:ascii="Times New Roman" w:hAnsi="Times New Roman"/>
        </w:rPr>
        <w:t xml:space="preserve">g. </w:t>
      </w:r>
      <w:r w:rsidR="00024A26" w:rsidRPr="00AE41B1">
        <w:rPr>
          <w:rFonts w:ascii="Times New Roman" w:hAnsi="Times New Roman"/>
        </w:rPr>
        <w:t>Moreover, after the final of the reaction (120-180 min), carbon dioxide (m/z = 44) and water (m/z = 18) were observed in GC-MS and in XGB prediction</w:t>
      </w:r>
      <w:r w:rsidR="00024A26">
        <w:rPr>
          <w:rFonts w:ascii="Times New Roman" w:hAnsi="Times New Roman"/>
          <w:color w:val="660033"/>
        </w:rPr>
        <w:t>.</w:t>
      </w:r>
      <w:r w:rsidR="009E4303" w:rsidRPr="00F8550F">
        <w:rPr>
          <w:rFonts w:ascii="Times New Roman" w:hAnsi="Times New Roman"/>
          <w:color w:val="660033"/>
        </w:rPr>
        <w:t xml:space="preserve"> </w:t>
      </w:r>
      <w:r w:rsidR="00AE41B1" w:rsidRPr="00AE41B1">
        <w:rPr>
          <w:rFonts w:ascii="Times New Roman" w:hAnsi="Times New Roman"/>
        </w:rPr>
        <w:t xml:space="preserve">Regarding the experimental run carried out in this work, </w:t>
      </w:r>
      <w:r w:rsidR="009E4303" w:rsidRPr="00AE41B1">
        <w:rPr>
          <w:rFonts w:ascii="Times New Roman" w:hAnsi="Times New Roman"/>
        </w:rPr>
        <w:t xml:space="preserve"> </w:t>
      </w:r>
      <w:r w:rsidR="00AE41B1" w:rsidRPr="00AE41B1">
        <w:rPr>
          <w:rFonts w:ascii="Times New Roman" w:hAnsi="Times New Roman"/>
        </w:rPr>
        <w:t>76.93%  of M</w:t>
      </w:r>
      <w:r w:rsidR="009E4303" w:rsidRPr="00AE41B1">
        <w:rPr>
          <w:rFonts w:ascii="Times New Roman" w:hAnsi="Times New Roman"/>
        </w:rPr>
        <w:t>B degradation</w:t>
      </w:r>
      <w:r w:rsidR="00AE41B1" w:rsidRPr="00AE41B1">
        <w:rPr>
          <w:rFonts w:ascii="Times New Roman" w:hAnsi="Times New Roman"/>
        </w:rPr>
        <w:t xml:space="preserve"> was achieved</w:t>
      </w:r>
      <w:r w:rsidR="009E4303" w:rsidRPr="00AE41B1">
        <w:rPr>
          <w:rFonts w:ascii="Times New Roman" w:hAnsi="Times New Roman"/>
        </w:rPr>
        <w:t xml:space="preserve"> at [</w:t>
      </w:r>
      <w:r w:rsidR="00AE41B1" w:rsidRPr="00AE41B1">
        <w:rPr>
          <w:rFonts w:ascii="Times New Roman" w:hAnsi="Times New Roman"/>
        </w:rPr>
        <w:t>MB</w:t>
      </w:r>
      <w:r w:rsidR="009E4303" w:rsidRPr="00AE41B1">
        <w:rPr>
          <w:rFonts w:ascii="Times New Roman" w:hAnsi="Times New Roman"/>
        </w:rPr>
        <w:t>] = 200 mg L</w:t>
      </w:r>
      <w:r w:rsidR="009E4303" w:rsidRPr="00AE41B1">
        <w:rPr>
          <w:rFonts w:ascii="Times New Roman" w:hAnsi="Times New Roman"/>
          <w:vertAlign w:val="superscript"/>
        </w:rPr>
        <w:t>-1</w:t>
      </w:r>
      <w:r w:rsidR="009E4303" w:rsidRPr="00AE41B1">
        <w:rPr>
          <w:rFonts w:ascii="Times New Roman" w:hAnsi="Times New Roman"/>
        </w:rPr>
        <w:t>, [</w:t>
      </w:r>
      <w:r w:rsidR="00AE41B1" w:rsidRPr="00AE41B1">
        <w:rPr>
          <w:rFonts w:ascii="Times New Roman" w:hAnsi="Times New Roman"/>
        </w:rPr>
        <w:t>CuO-NPs@</w:t>
      </w:r>
      <w:r w:rsidR="009E4303" w:rsidRPr="00AE41B1">
        <w:rPr>
          <w:rFonts w:ascii="Times New Roman" w:hAnsi="Times New Roman"/>
        </w:rPr>
        <w:t xml:space="preserve">nANA] = </w:t>
      </w:r>
      <w:r w:rsidR="00AE41B1" w:rsidRPr="00AE41B1">
        <w:rPr>
          <w:rFonts w:ascii="Times New Roman" w:hAnsi="Times New Roman"/>
        </w:rPr>
        <w:t>0.5</w:t>
      </w:r>
      <w:r w:rsidR="009E4303" w:rsidRPr="00AE41B1">
        <w:rPr>
          <w:rFonts w:ascii="Times New Roman" w:hAnsi="Times New Roman"/>
        </w:rPr>
        <w:t xml:space="preserve"> g L</w:t>
      </w:r>
      <w:r w:rsidR="009E4303" w:rsidRPr="00AE41B1">
        <w:rPr>
          <w:rFonts w:ascii="Times New Roman" w:hAnsi="Times New Roman"/>
          <w:vertAlign w:val="superscript"/>
        </w:rPr>
        <w:t>-1</w:t>
      </w:r>
      <w:r w:rsidR="009E4303" w:rsidRPr="00AE41B1">
        <w:rPr>
          <w:rFonts w:ascii="Times New Roman" w:hAnsi="Times New Roman"/>
        </w:rPr>
        <w:t xml:space="preserve"> and pH </w:t>
      </w:r>
      <w:r w:rsidR="00AE41B1" w:rsidRPr="00AE41B1">
        <w:rPr>
          <w:rFonts w:ascii="Times New Roman" w:hAnsi="Times New Roman"/>
        </w:rPr>
        <w:t>10</w:t>
      </w:r>
      <w:r w:rsidR="009E4303" w:rsidRPr="00AE41B1">
        <w:rPr>
          <w:rFonts w:ascii="Times New Roman" w:hAnsi="Times New Roman"/>
        </w:rPr>
        <w:t xml:space="preserve"> after 180 minutes under visible light.</w:t>
      </w:r>
      <w:r w:rsidR="00AE41B1">
        <w:rPr>
          <w:rFonts w:ascii="Times New Roman" w:hAnsi="Times New Roman"/>
        </w:rPr>
        <w:t xml:space="preserve"> Kinetic studies reported</w:t>
      </w:r>
      <w:r w:rsidR="00AE41B1" w:rsidRPr="00EF13C5">
        <w:rPr>
          <w:rFonts w:ascii="Times New Roman" w:hAnsi="Times New Roman"/>
          <w:i/>
          <w:iCs/>
        </w:rPr>
        <w:t xml:space="preserve"> k</w:t>
      </w:r>
      <w:r w:rsidR="00AE41B1">
        <w:rPr>
          <w:rFonts w:ascii="Times New Roman" w:hAnsi="Times New Roman"/>
        </w:rPr>
        <w:t xml:space="preserve"> = 0.0088 min</w:t>
      </w:r>
      <w:r w:rsidR="00AE41B1" w:rsidRPr="00AE41B1">
        <w:rPr>
          <w:rFonts w:ascii="Times New Roman" w:hAnsi="Times New Roman"/>
          <w:vertAlign w:val="superscript"/>
        </w:rPr>
        <w:t>-1</w:t>
      </w:r>
      <w:r w:rsidR="00AE41B1" w:rsidRPr="00EF13C5">
        <w:rPr>
          <w:rFonts w:ascii="Times New Roman" w:hAnsi="Times New Roman"/>
        </w:rPr>
        <w:t>.</w:t>
      </w:r>
      <w:r w:rsidR="009E4303" w:rsidRPr="00EF13C5">
        <w:rPr>
          <w:rFonts w:ascii="Times New Roman" w:hAnsi="Times New Roman"/>
        </w:rPr>
        <w:t xml:space="preserve"> </w:t>
      </w:r>
      <w:r w:rsidR="00181554" w:rsidRPr="00EF13C5">
        <w:rPr>
          <w:rFonts w:ascii="Times New Roman" w:hAnsi="Times New Roman"/>
        </w:rPr>
        <w:t xml:space="preserve">Therefore, this study confirms the </w:t>
      </w:r>
      <w:r w:rsidR="00EF13C5">
        <w:rPr>
          <w:rFonts w:ascii="Times New Roman" w:hAnsi="Times New Roman"/>
        </w:rPr>
        <w:t xml:space="preserve">potential use </w:t>
      </w:r>
      <w:r w:rsidR="00181554" w:rsidRPr="00EF13C5">
        <w:rPr>
          <w:rFonts w:ascii="Times New Roman" w:hAnsi="Times New Roman"/>
        </w:rPr>
        <w:t xml:space="preserve">of </w:t>
      </w:r>
      <w:r w:rsidR="002D4F04">
        <w:rPr>
          <w:rFonts w:ascii="Times New Roman" w:hAnsi="Times New Roman"/>
        </w:rPr>
        <w:t xml:space="preserve">ML </w:t>
      </w:r>
      <w:r w:rsidR="00181554" w:rsidRPr="00EF13C5">
        <w:rPr>
          <w:rFonts w:ascii="Times New Roman" w:hAnsi="Times New Roman"/>
        </w:rPr>
        <w:t xml:space="preserve">algorithms as </w:t>
      </w:r>
      <w:r w:rsidR="00EF13C5">
        <w:rPr>
          <w:rFonts w:ascii="Times New Roman" w:hAnsi="Times New Roman"/>
        </w:rPr>
        <w:t>a suitable</w:t>
      </w:r>
      <w:r w:rsidR="00181554" w:rsidRPr="00EF13C5">
        <w:rPr>
          <w:rFonts w:ascii="Times New Roman" w:hAnsi="Times New Roman"/>
        </w:rPr>
        <w:t xml:space="preserve"> tool for mak</w:t>
      </w:r>
      <w:r w:rsidR="004459F9" w:rsidRPr="00EF13C5">
        <w:rPr>
          <w:rFonts w:ascii="Times New Roman" w:hAnsi="Times New Roman"/>
        </w:rPr>
        <w:t>ing</w:t>
      </w:r>
      <w:r w:rsidR="00181554" w:rsidRPr="00EF13C5">
        <w:rPr>
          <w:rFonts w:ascii="Times New Roman" w:hAnsi="Times New Roman"/>
        </w:rPr>
        <w:t xml:space="preserve"> predictions </w:t>
      </w:r>
      <w:r w:rsidR="00EF13C5">
        <w:rPr>
          <w:rFonts w:ascii="Times New Roman" w:hAnsi="Times New Roman"/>
        </w:rPr>
        <w:t>of the degradation products and intermediate species genera</w:t>
      </w:r>
      <w:r w:rsidR="002D4F04">
        <w:rPr>
          <w:rFonts w:ascii="Times New Roman" w:hAnsi="Times New Roman"/>
        </w:rPr>
        <w:t>ted</w:t>
      </w:r>
      <w:r w:rsidR="00EF13C5">
        <w:rPr>
          <w:rFonts w:ascii="Times New Roman" w:hAnsi="Times New Roman"/>
        </w:rPr>
        <w:t xml:space="preserve"> during wastewater treatment. Owing to the good accuracy</w:t>
      </w:r>
      <w:r w:rsidR="00181554" w:rsidRPr="00EF13C5">
        <w:rPr>
          <w:rFonts w:ascii="Times New Roman" w:hAnsi="Times New Roman"/>
        </w:rPr>
        <w:t xml:space="preserve"> </w:t>
      </w:r>
      <w:r w:rsidR="002D4F04">
        <w:rPr>
          <w:rFonts w:ascii="Times New Roman" w:hAnsi="Times New Roman"/>
        </w:rPr>
        <w:t>of</w:t>
      </w:r>
      <w:r w:rsidR="00181554" w:rsidRPr="00EF13C5">
        <w:rPr>
          <w:rFonts w:ascii="Times New Roman" w:hAnsi="Times New Roman"/>
        </w:rPr>
        <w:t xml:space="preserve"> </w:t>
      </w:r>
      <w:r w:rsidR="002D4F04">
        <w:rPr>
          <w:rFonts w:ascii="Times New Roman" w:hAnsi="Times New Roman"/>
        </w:rPr>
        <w:t xml:space="preserve">the </w:t>
      </w:r>
      <w:r w:rsidR="00764110">
        <w:rPr>
          <w:rFonts w:ascii="Times New Roman" w:hAnsi="Times New Roman"/>
        </w:rPr>
        <w:t>XGB prediction model, it can be considered a promising</w:t>
      </w:r>
      <w:r w:rsidR="00181554" w:rsidRPr="00EF13C5">
        <w:rPr>
          <w:rFonts w:ascii="Times New Roman" w:hAnsi="Times New Roman"/>
        </w:rPr>
        <w:t xml:space="preserve"> starting point </w:t>
      </w:r>
      <w:r w:rsidR="004459F9" w:rsidRPr="00EF13C5">
        <w:rPr>
          <w:rFonts w:ascii="Times New Roman" w:hAnsi="Times New Roman"/>
        </w:rPr>
        <w:t xml:space="preserve">for the scale-up </w:t>
      </w:r>
      <w:r w:rsidR="00181554" w:rsidRPr="00EF13C5">
        <w:rPr>
          <w:rFonts w:ascii="Times New Roman" w:hAnsi="Times New Roman"/>
        </w:rPr>
        <w:t xml:space="preserve">of wastewater treatments with </w:t>
      </w:r>
      <w:r w:rsidR="004459F9" w:rsidRPr="00EF13C5">
        <w:rPr>
          <w:rFonts w:ascii="Times New Roman" w:hAnsi="Times New Roman"/>
        </w:rPr>
        <w:t xml:space="preserve">a </w:t>
      </w:r>
      <w:r w:rsidR="00181554" w:rsidRPr="00EF13C5">
        <w:rPr>
          <w:rFonts w:ascii="Times New Roman" w:hAnsi="Times New Roman"/>
        </w:rPr>
        <w:t>focus on organic pollutants</w:t>
      </w:r>
      <w:r w:rsidR="00764110">
        <w:rPr>
          <w:rFonts w:ascii="Times New Roman" w:hAnsi="Times New Roman"/>
        </w:rPr>
        <w:t xml:space="preserve">, as well as an alternative method to elucidate </w:t>
      </w:r>
      <w:r w:rsidR="002D4F04">
        <w:rPr>
          <w:rFonts w:ascii="Times New Roman" w:hAnsi="Times New Roman"/>
        </w:rPr>
        <w:t xml:space="preserve">the </w:t>
      </w:r>
      <w:r w:rsidR="00764110">
        <w:rPr>
          <w:rFonts w:ascii="Times New Roman" w:hAnsi="Times New Roman"/>
        </w:rPr>
        <w:t xml:space="preserve">degradation </w:t>
      </w:r>
      <w:r w:rsidR="002D4F04" w:rsidRPr="00044AE1">
        <w:rPr>
          <w:rFonts w:ascii="Times New Roman" w:hAnsi="Times New Roman"/>
          <w:sz w:val="18"/>
          <w:szCs w:val="18"/>
        </w:rPr>
        <w:t>mechanism</w:t>
      </w:r>
      <w:r w:rsidR="002D4F04">
        <w:rPr>
          <w:rFonts w:ascii="Times New Roman" w:hAnsi="Times New Roman"/>
        </w:rPr>
        <w:t xml:space="preserve"> </w:t>
      </w:r>
      <w:r w:rsidR="00764110">
        <w:rPr>
          <w:rFonts w:ascii="Times New Roman" w:hAnsi="Times New Roman"/>
        </w:rPr>
        <w:t>of these contaminants</w:t>
      </w:r>
      <w:r w:rsidR="00181554" w:rsidRPr="00EF13C5">
        <w:rPr>
          <w:rFonts w:ascii="Times New Roman" w:hAnsi="Times New Roman"/>
        </w:rPr>
        <w:t>.</w:t>
      </w:r>
    </w:p>
    <w:p w14:paraId="5C1B9328" w14:textId="77777777" w:rsidR="002D4F04" w:rsidRPr="0079019F" w:rsidRDefault="002D4F04" w:rsidP="002D4F04">
      <w:pPr>
        <w:pStyle w:val="TAMainText"/>
        <w:ind w:firstLine="0"/>
        <w:rPr>
          <w:rFonts w:ascii="Times New Roman" w:hAnsi="Times New Roman"/>
        </w:rPr>
      </w:pPr>
    </w:p>
    <w:p w14:paraId="650A2EA4" w14:textId="77777777" w:rsidR="00CD5FB0" w:rsidRDefault="00CD5FB0">
      <w:pPr>
        <w:rPr>
          <w:rFonts w:ascii="Helvetica" w:eastAsia="Times New Roman" w:hAnsi="Helvetica" w:cs="Helvetica"/>
          <w:sz w:val="24"/>
          <w:szCs w:val="24"/>
          <w:lang w:val="en-US" w:eastAsia="pt-BR"/>
        </w:rPr>
      </w:pPr>
      <w:r>
        <w:rPr>
          <w:rFonts w:ascii="Helvetica" w:hAnsi="Helvetica" w:cs="Helvetica"/>
          <w:sz w:val="24"/>
          <w:szCs w:val="24"/>
        </w:rPr>
        <w:br w:type="page"/>
      </w:r>
    </w:p>
    <w:p w14:paraId="69DE7F30" w14:textId="2923FF69" w:rsidR="005F29D0" w:rsidRDefault="00A643C3" w:rsidP="005F29D0">
      <w:pPr>
        <w:pStyle w:val="TAMainText"/>
        <w:ind w:firstLine="204"/>
        <w:jc w:val="center"/>
        <w:rPr>
          <w:rFonts w:ascii="Helvetica" w:hAnsi="Helvetica" w:cs="Helvetica"/>
          <w:sz w:val="24"/>
          <w:szCs w:val="24"/>
        </w:rPr>
      </w:pPr>
      <w:r w:rsidRPr="00A643C3">
        <w:rPr>
          <w:rFonts w:ascii="Helvetica" w:hAnsi="Helvetica" w:cs="Helvetica"/>
          <w:sz w:val="24"/>
          <w:szCs w:val="24"/>
        </w:rPr>
        <w:lastRenderedPageBreak/>
        <w:t>Acknowledgments</w:t>
      </w:r>
    </w:p>
    <w:p w14:paraId="1F4D6267" w14:textId="2839621B" w:rsidR="002D4F04" w:rsidRDefault="00A643C3" w:rsidP="00C65B00">
      <w:pPr>
        <w:pStyle w:val="TAMainText"/>
        <w:ind w:firstLine="204"/>
        <w:rPr>
          <w:rFonts w:ascii="Times New Roman" w:hAnsi="Times New Roman"/>
        </w:rPr>
      </w:pPr>
      <w:r w:rsidRPr="00A643C3">
        <w:rPr>
          <w:rFonts w:ascii="Times New Roman" w:hAnsi="Times New Roman"/>
        </w:rPr>
        <w:t xml:space="preserve">This study was financed in part by the </w:t>
      </w:r>
      <w:r w:rsidRPr="005F29D0">
        <w:rPr>
          <w:rFonts w:ascii="Times New Roman" w:hAnsi="Times New Roman"/>
          <w:lang w:val="pt-BR"/>
        </w:rPr>
        <w:t xml:space="preserve">Coordenação de Aperfeiçoamento de Pessoal de Nível Superior </w:t>
      </w:r>
      <w:r w:rsidRPr="00A643C3">
        <w:rPr>
          <w:rFonts w:ascii="Times New Roman" w:hAnsi="Times New Roman"/>
        </w:rPr>
        <w:t>- Brasil (CAPES) - Finance Code 001</w:t>
      </w:r>
      <w:r w:rsidR="002D4F04">
        <w:rPr>
          <w:rFonts w:ascii="Times New Roman" w:hAnsi="Times New Roman"/>
        </w:rPr>
        <w:t>.</w:t>
      </w:r>
    </w:p>
    <w:p w14:paraId="158D911D" w14:textId="51998FD7" w:rsidR="00EA4E1B" w:rsidRPr="00D524AB" w:rsidRDefault="00EA4E1B" w:rsidP="008E77B3">
      <w:pPr>
        <w:pStyle w:val="Ttulo2"/>
        <w:rPr>
          <w:rFonts w:ascii="Helvetica" w:hAnsi="Helvetica" w:cs="Helvetica"/>
          <w:sz w:val="24"/>
          <w:szCs w:val="24"/>
          <w:lang w:val="en-US"/>
        </w:rPr>
      </w:pPr>
      <w:r w:rsidRPr="00F00465">
        <w:rPr>
          <w:rFonts w:ascii="Helvetica" w:hAnsi="Helvetica" w:cs="Helvetica"/>
          <w:sz w:val="24"/>
          <w:szCs w:val="24"/>
          <w:lang w:val="en-US"/>
        </w:rPr>
        <w:t>Refer</w:t>
      </w:r>
      <w:r w:rsidR="00D524AB">
        <w:rPr>
          <w:rFonts w:ascii="Helvetica" w:hAnsi="Helvetica" w:cs="Helvetica"/>
          <w:sz w:val="24"/>
          <w:szCs w:val="24"/>
          <w:lang w:val="en-US"/>
        </w:rPr>
        <w:t>ences</w:t>
      </w:r>
    </w:p>
    <w:p w14:paraId="67EDED96" w14:textId="050611B6" w:rsidR="00650E61" w:rsidRPr="00A03C6A" w:rsidRDefault="00D0658B" w:rsidP="008306DF">
      <w:pPr>
        <w:pStyle w:val="TAMainText"/>
        <w:numPr>
          <w:ilvl w:val="0"/>
          <w:numId w:val="1"/>
        </w:numPr>
        <w:ind w:left="357" w:hanging="357"/>
      </w:pPr>
      <w:r w:rsidRPr="00A03C6A">
        <w:t>A.A. Panhwar, K.F. Almani, A.A. Kandhro</w:t>
      </w:r>
      <w:r w:rsidR="001755A5" w:rsidRPr="00A03C6A">
        <w:t>,</w:t>
      </w:r>
      <w:r w:rsidRPr="00A03C6A">
        <w:t xml:space="preserve"> Tech. J. </w:t>
      </w:r>
      <w:r w:rsidRPr="00A03C6A">
        <w:rPr>
          <w:b/>
          <w:bCs/>
        </w:rPr>
        <w:t>2020</w:t>
      </w:r>
      <w:r w:rsidRPr="00A03C6A">
        <w:t>, 25, 16–20.</w:t>
      </w:r>
    </w:p>
    <w:p w14:paraId="11FE3EBC" w14:textId="4AEF0628" w:rsidR="003170EA" w:rsidRPr="00A03C6A" w:rsidRDefault="003170EA" w:rsidP="008306DF">
      <w:pPr>
        <w:pStyle w:val="TAMainText"/>
        <w:numPr>
          <w:ilvl w:val="0"/>
          <w:numId w:val="1"/>
        </w:numPr>
        <w:ind w:left="357" w:hanging="357"/>
      </w:pPr>
      <w:r w:rsidRPr="00A03C6A">
        <w:rPr>
          <w:rFonts w:ascii="Times New Roman" w:hAnsi="Times New Roman"/>
        </w:rPr>
        <w:t>H.R. Dihom, M.M. Al-Shaibani, R.M.S.R. Mohamed, A.A. Al-Gheethi, A. Sharma, M.H.B. Khamidun</w:t>
      </w:r>
      <w:r w:rsidR="001755A5" w:rsidRPr="00A03C6A">
        <w:rPr>
          <w:rFonts w:ascii="Times New Roman" w:hAnsi="Times New Roman"/>
        </w:rPr>
        <w:t>,</w:t>
      </w:r>
      <w:r w:rsidRPr="00A03C6A">
        <w:rPr>
          <w:rFonts w:ascii="Times New Roman" w:hAnsi="Times New Roman"/>
        </w:rPr>
        <w:t xml:space="preserve"> J. Water Process. Eng. </w:t>
      </w:r>
      <w:r w:rsidRPr="00A03C6A">
        <w:rPr>
          <w:rFonts w:ascii="Times New Roman" w:hAnsi="Times New Roman"/>
          <w:b/>
          <w:bCs/>
        </w:rPr>
        <w:t>2022</w:t>
      </w:r>
      <w:r w:rsidRPr="00A03C6A">
        <w:rPr>
          <w:rFonts w:ascii="Times New Roman" w:hAnsi="Times New Roman"/>
        </w:rPr>
        <w:t>, 47, 102705.</w:t>
      </w:r>
    </w:p>
    <w:p w14:paraId="52047F4E" w14:textId="06681C09" w:rsidR="00650E61" w:rsidRPr="00A03C6A" w:rsidRDefault="00650E61" w:rsidP="008306DF">
      <w:pPr>
        <w:pStyle w:val="TAMainText"/>
        <w:numPr>
          <w:ilvl w:val="0"/>
          <w:numId w:val="1"/>
        </w:numPr>
        <w:ind w:left="357" w:hanging="357"/>
      </w:pPr>
      <w:r w:rsidRPr="00A03C6A">
        <w:rPr>
          <w:rFonts w:ascii="Times New Roman" w:hAnsi="Times New Roman"/>
        </w:rPr>
        <w:t>C.M. Magdalane, K. Kaviyarasu, J.J. Vijaya, B. Siddhardha, B. Jeyaraj, J. Kennedy, M. Maaza</w:t>
      </w:r>
      <w:r w:rsidR="001755A5" w:rsidRPr="00A03C6A">
        <w:rPr>
          <w:rFonts w:ascii="Times New Roman" w:hAnsi="Times New Roman"/>
        </w:rPr>
        <w:t>,</w:t>
      </w:r>
      <w:r w:rsidRPr="00A03C6A">
        <w:rPr>
          <w:rFonts w:ascii="Times New Roman" w:hAnsi="Times New Roman"/>
        </w:rPr>
        <w:t xml:space="preserve"> J. Alloys Compd. </w:t>
      </w:r>
      <w:r w:rsidRPr="00A03C6A">
        <w:rPr>
          <w:rFonts w:ascii="Times New Roman" w:hAnsi="Times New Roman"/>
          <w:b/>
          <w:bCs/>
        </w:rPr>
        <w:t>2017</w:t>
      </w:r>
      <w:r w:rsidRPr="00A03C6A">
        <w:rPr>
          <w:rFonts w:ascii="Times New Roman" w:hAnsi="Times New Roman"/>
        </w:rPr>
        <w:t>, 727, 1324-1337.</w:t>
      </w:r>
    </w:p>
    <w:p w14:paraId="01301D6C" w14:textId="7339FC68" w:rsidR="00650E61" w:rsidRPr="00A03C6A" w:rsidRDefault="00DD586B" w:rsidP="00DD586B">
      <w:pPr>
        <w:pStyle w:val="TAMainText"/>
        <w:numPr>
          <w:ilvl w:val="0"/>
          <w:numId w:val="1"/>
        </w:numPr>
        <w:rPr>
          <w:rFonts w:ascii="Times New Roman" w:hAnsi="Times New Roman"/>
        </w:rPr>
      </w:pPr>
      <w:r w:rsidRPr="00A03C6A">
        <w:rPr>
          <w:rFonts w:ascii="Times New Roman" w:hAnsi="Times New Roman"/>
        </w:rPr>
        <w:t xml:space="preserve">J. Cheng, C. Zhan, J. Wu, Z. Cui, J. Si, Q. Wang, X. Peng, L.-S. Turng, ACS Omega </w:t>
      </w:r>
      <w:r w:rsidRPr="00A03C6A">
        <w:rPr>
          <w:rFonts w:ascii="Times New Roman" w:hAnsi="Times New Roman"/>
          <w:b/>
          <w:bCs/>
        </w:rPr>
        <w:t>2020</w:t>
      </w:r>
      <w:r w:rsidRPr="00A03C6A">
        <w:rPr>
          <w:rFonts w:ascii="Times New Roman" w:hAnsi="Times New Roman"/>
        </w:rPr>
        <w:t>, 5, 5389-5400</w:t>
      </w:r>
      <w:r w:rsidR="00650E61" w:rsidRPr="00A03C6A">
        <w:rPr>
          <w:rFonts w:ascii="Times New Roman" w:hAnsi="Times New Roman"/>
        </w:rPr>
        <w:t xml:space="preserve">. </w:t>
      </w:r>
    </w:p>
    <w:p w14:paraId="28AD4955" w14:textId="40B9DAF0" w:rsidR="00650E61" w:rsidRPr="00A03C6A" w:rsidRDefault="00DD586B"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T.S. Munonde, N.P. September, A. Mpupa, P.N. Nomngongo, Appl. Clay Sci. </w:t>
      </w:r>
      <w:r w:rsidRPr="00A03C6A">
        <w:rPr>
          <w:rFonts w:ascii="Times New Roman" w:hAnsi="Times New Roman"/>
          <w:b/>
          <w:bCs/>
          <w:sz w:val="20"/>
          <w:lang w:val="en-US"/>
        </w:rPr>
        <w:t>2022</w:t>
      </w:r>
      <w:r w:rsidRPr="00A03C6A">
        <w:rPr>
          <w:rFonts w:ascii="Times New Roman" w:hAnsi="Times New Roman"/>
          <w:sz w:val="20"/>
          <w:lang w:val="en-US"/>
        </w:rPr>
        <w:t>, 219, 106438</w:t>
      </w:r>
      <w:r w:rsidR="006C0EBC" w:rsidRPr="00A03C6A">
        <w:rPr>
          <w:rFonts w:ascii="Times New Roman" w:hAnsi="Times New Roman"/>
          <w:sz w:val="20"/>
          <w:lang w:val="en-US"/>
        </w:rPr>
        <w:t>.</w:t>
      </w:r>
    </w:p>
    <w:p w14:paraId="21AF90DE" w14:textId="77777777" w:rsidR="00830C51" w:rsidRPr="00A03C6A" w:rsidRDefault="00830C51"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M.R. Al-Mamun, S. Kader, M.S. Islam, M.Z.H. Khan, J. Environ. Chem. Eng. </w:t>
      </w:r>
      <w:r w:rsidRPr="00A03C6A">
        <w:rPr>
          <w:rFonts w:ascii="Times New Roman" w:hAnsi="Times New Roman"/>
          <w:b/>
          <w:bCs/>
          <w:sz w:val="20"/>
          <w:lang w:val="en-US"/>
        </w:rPr>
        <w:t>2019</w:t>
      </w:r>
      <w:r w:rsidRPr="00A03C6A">
        <w:rPr>
          <w:rFonts w:ascii="Times New Roman" w:hAnsi="Times New Roman"/>
          <w:sz w:val="20"/>
          <w:lang w:val="en-US"/>
        </w:rPr>
        <w:t>, 7, 103248.</w:t>
      </w:r>
    </w:p>
    <w:p w14:paraId="2F65DB4B" w14:textId="6E2F251C" w:rsidR="00705FA5" w:rsidRPr="00A03C6A" w:rsidRDefault="00705FA5"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R. Stanley, J.A. Jebasingh, M.S. Vidyavathy, P.K. Stanley, P. Ponmani, M.E. Shekinah, J. Vasanthi, Optik </w:t>
      </w:r>
      <w:r w:rsidRPr="00A03C6A">
        <w:rPr>
          <w:rFonts w:ascii="Times New Roman" w:hAnsi="Times New Roman"/>
          <w:b/>
          <w:bCs/>
          <w:sz w:val="20"/>
          <w:lang w:val="en-US"/>
        </w:rPr>
        <w:t>2021</w:t>
      </w:r>
      <w:r w:rsidRPr="00A03C6A">
        <w:rPr>
          <w:rFonts w:ascii="Times New Roman" w:hAnsi="Times New Roman"/>
          <w:sz w:val="20"/>
          <w:lang w:val="en-US"/>
        </w:rPr>
        <w:t>, 231, 166518.</w:t>
      </w:r>
    </w:p>
    <w:p w14:paraId="61C1B241" w14:textId="39E11B00" w:rsidR="003E67AD" w:rsidRPr="00A03C6A" w:rsidRDefault="003E67AD"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D.M. Druzian, L.R. Oviedo, S.N. Loureiro, R.D. Wouters, B.S. Vizzotto, E.O. Pinto, N.J.S. Vasconcellos, Y.P.M. Ruiz, A. Galembeck, G. Pavoski, D.C.R. Espinosa, C. dos Santos, W.L. da Silva, J. Photochem. Photobiol. A </w:t>
      </w:r>
      <w:r w:rsidRPr="00A03C6A">
        <w:rPr>
          <w:rFonts w:ascii="Times New Roman" w:hAnsi="Times New Roman"/>
          <w:b/>
          <w:bCs/>
          <w:sz w:val="20"/>
          <w:lang w:val="en-US"/>
        </w:rPr>
        <w:t>2023</w:t>
      </w:r>
      <w:r w:rsidRPr="00A03C6A">
        <w:rPr>
          <w:rFonts w:ascii="Times New Roman" w:hAnsi="Times New Roman"/>
          <w:sz w:val="20"/>
          <w:lang w:val="en-US"/>
        </w:rPr>
        <w:t>, 442, 114773.</w:t>
      </w:r>
    </w:p>
    <w:p w14:paraId="6ECA3926" w14:textId="207FCBFF" w:rsidR="000F5D83" w:rsidRPr="00A03C6A" w:rsidRDefault="00532131"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F. Soori, A. Nezamzadeh, J. Mol. Liq. </w:t>
      </w:r>
      <w:r w:rsidRPr="00A03C6A">
        <w:rPr>
          <w:rFonts w:ascii="Times New Roman" w:hAnsi="Times New Roman"/>
          <w:b/>
          <w:bCs/>
          <w:sz w:val="20"/>
          <w:lang w:val="en-US"/>
        </w:rPr>
        <w:t>2018</w:t>
      </w:r>
      <w:r w:rsidRPr="00A03C6A">
        <w:rPr>
          <w:rFonts w:ascii="Times New Roman" w:hAnsi="Times New Roman"/>
          <w:sz w:val="20"/>
          <w:lang w:val="en-US"/>
        </w:rPr>
        <w:t>, 255, 250-256.</w:t>
      </w:r>
    </w:p>
    <w:p w14:paraId="15E487E9" w14:textId="359A465D" w:rsidR="003E67AD" w:rsidRPr="00A03C6A" w:rsidRDefault="00E1147B"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R. Saravanan, S. Karthikeyan, V.K. Gupta, G. Sekaran, V. Narayana, A. Stephen, Mater. Sci. Eng. C </w:t>
      </w:r>
      <w:r w:rsidRPr="00A03C6A">
        <w:rPr>
          <w:rFonts w:ascii="Times New Roman" w:hAnsi="Times New Roman"/>
          <w:b/>
          <w:bCs/>
          <w:sz w:val="20"/>
          <w:lang w:val="en-US"/>
        </w:rPr>
        <w:t>2013</w:t>
      </w:r>
      <w:r w:rsidRPr="00A03C6A">
        <w:rPr>
          <w:rFonts w:ascii="Times New Roman" w:hAnsi="Times New Roman"/>
          <w:sz w:val="20"/>
          <w:lang w:val="en-US"/>
        </w:rPr>
        <w:t>, 33, 91-98.</w:t>
      </w:r>
    </w:p>
    <w:p w14:paraId="3085BDEE" w14:textId="77777777" w:rsidR="003E67AD" w:rsidRPr="00A03C6A" w:rsidRDefault="003E67AD" w:rsidP="003E67AD">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M. Noman, M. Shahid, T. Ahmed, M.B.K. Niazi, S. Hussain, F. Song, I. Manzoor, Environ Pollut </w:t>
      </w:r>
      <w:r w:rsidRPr="00A03C6A">
        <w:rPr>
          <w:rFonts w:ascii="Times New Roman" w:hAnsi="Times New Roman"/>
          <w:b/>
          <w:bCs/>
          <w:sz w:val="20"/>
          <w:lang w:val="en-US"/>
        </w:rPr>
        <w:t>2020</w:t>
      </w:r>
      <w:r w:rsidRPr="00A03C6A">
        <w:rPr>
          <w:rFonts w:ascii="Times New Roman" w:hAnsi="Times New Roman"/>
          <w:sz w:val="20"/>
          <w:lang w:val="en-US"/>
        </w:rPr>
        <w:t xml:space="preserve">, 257, 113514. </w:t>
      </w:r>
    </w:p>
    <w:p w14:paraId="0E1A55E1" w14:textId="53BBE602" w:rsidR="00EC6811" w:rsidRPr="00A03C6A" w:rsidRDefault="00B26CF4"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A. Nezamzadeh-Ejhieh, S. Hushmandrad, Appl. Catal. A </w:t>
      </w:r>
      <w:r w:rsidRPr="00A03C6A">
        <w:rPr>
          <w:rFonts w:ascii="Times New Roman" w:hAnsi="Times New Roman"/>
          <w:b/>
          <w:bCs/>
          <w:sz w:val="20"/>
          <w:lang w:val="en-US"/>
        </w:rPr>
        <w:t>2010</w:t>
      </w:r>
      <w:r w:rsidRPr="00A03C6A">
        <w:rPr>
          <w:rFonts w:ascii="Times New Roman" w:hAnsi="Times New Roman"/>
          <w:sz w:val="20"/>
          <w:lang w:val="en-US"/>
        </w:rPr>
        <w:t>, 388, 149-159.</w:t>
      </w:r>
    </w:p>
    <w:p w14:paraId="73E5D037" w14:textId="5F9D8BC4" w:rsidR="00B26CF4" w:rsidRPr="00A03C6A" w:rsidRDefault="00B26CF4"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A. Nezamzadeh-Ejhieh, M. Karimi-Shamsabadi, Chem. Eng. J. </w:t>
      </w:r>
      <w:r w:rsidRPr="00A03C6A">
        <w:rPr>
          <w:rFonts w:ascii="Times New Roman" w:hAnsi="Times New Roman"/>
          <w:b/>
          <w:bCs/>
          <w:sz w:val="20"/>
          <w:lang w:val="en-US"/>
        </w:rPr>
        <w:t>2013</w:t>
      </w:r>
      <w:r w:rsidRPr="00A03C6A">
        <w:rPr>
          <w:rFonts w:ascii="Times New Roman" w:hAnsi="Times New Roman"/>
          <w:sz w:val="20"/>
          <w:lang w:val="en-US"/>
        </w:rPr>
        <w:t>, 228, 631-641.</w:t>
      </w:r>
    </w:p>
    <w:p w14:paraId="17F142B1" w14:textId="18C1FA48" w:rsidR="009E11E8" w:rsidRPr="00A03C6A" w:rsidRDefault="005005F9"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V.E. Sathisshkumar, A.G. Ramu, J. Cho, Alex. Eng. J. </w:t>
      </w:r>
      <w:r w:rsidRPr="00A03C6A">
        <w:rPr>
          <w:rFonts w:ascii="Times New Roman" w:hAnsi="Times New Roman"/>
          <w:b/>
          <w:bCs/>
          <w:sz w:val="20"/>
          <w:lang w:val="en-US"/>
        </w:rPr>
        <w:t>2023</w:t>
      </w:r>
      <w:r w:rsidRPr="00A03C6A">
        <w:rPr>
          <w:rFonts w:ascii="Times New Roman" w:hAnsi="Times New Roman"/>
          <w:sz w:val="20"/>
          <w:lang w:val="en-US"/>
        </w:rPr>
        <w:t>, 72, 673-693.</w:t>
      </w:r>
    </w:p>
    <w:p w14:paraId="4B30FAA3" w14:textId="77777777" w:rsidR="004708EB" w:rsidRPr="004708EB" w:rsidRDefault="004708EB" w:rsidP="0099783B">
      <w:pPr>
        <w:pStyle w:val="TAMainText"/>
        <w:numPr>
          <w:ilvl w:val="0"/>
          <w:numId w:val="1"/>
        </w:numPr>
        <w:rPr>
          <w:rFonts w:ascii="Times New Roman" w:hAnsi="Times New Roman"/>
          <w:iCs/>
        </w:rPr>
      </w:pPr>
      <w:r w:rsidRPr="004708EB">
        <w:rPr>
          <w:rFonts w:ascii="Times New Roman" w:eastAsiaTheme="minorEastAsia" w:hAnsi="Times New Roman" w:cstheme="minorBidi"/>
          <w:szCs w:val="21"/>
          <w:lang w:eastAsia="en-US"/>
        </w:rPr>
        <w:t xml:space="preserve">Z.H. Jaffari, A. Abbas, S.-M. Lam, S. Park, K. Chon, E.-S. Kim, K.H. Cho, J. Hazard. Mater. </w:t>
      </w:r>
      <w:r w:rsidRPr="004708EB">
        <w:rPr>
          <w:rFonts w:ascii="Times New Roman" w:eastAsiaTheme="minorEastAsia" w:hAnsi="Times New Roman" w:cstheme="minorBidi"/>
          <w:b/>
          <w:bCs/>
          <w:szCs w:val="21"/>
          <w:lang w:eastAsia="en-US"/>
        </w:rPr>
        <w:t>2023</w:t>
      </w:r>
      <w:r w:rsidRPr="004708EB">
        <w:rPr>
          <w:rFonts w:ascii="Times New Roman" w:eastAsiaTheme="minorEastAsia" w:hAnsi="Times New Roman" w:cstheme="minorBidi"/>
          <w:szCs w:val="21"/>
          <w:lang w:eastAsia="en-US"/>
        </w:rPr>
        <w:t>, 442, 130031.</w:t>
      </w:r>
    </w:p>
    <w:p w14:paraId="57C56033" w14:textId="38BD2493" w:rsidR="0099783B" w:rsidRPr="00A03C6A" w:rsidRDefault="0099783B" w:rsidP="0099783B">
      <w:pPr>
        <w:pStyle w:val="TAMainText"/>
        <w:numPr>
          <w:ilvl w:val="0"/>
          <w:numId w:val="1"/>
        </w:numPr>
        <w:rPr>
          <w:rFonts w:ascii="Times New Roman" w:hAnsi="Times New Roman"/>
          <w:iCs/>
        </w:rPr>
      </w:pPr>
      <w:r w:rsidRPr="00A03C6A">
        <w:rPr>
          <w:rFonts w:ascii="Times New Roman" w:hAnsi="Times New Roman"/>
          <w:iCs/>
        </w:rPr>
        <w:t xml:space="preserve">A. Nezamzadeh-Ejhieh, S. Hushmandrad, Appl. Cat. A </w:t>
      </w:r>
      <w:r w:rsidRPr="00A03C6A">
        <w:rPr>
          <w:rFonts w:ascii="Times New Roman" w:hAnsi="Times New Roman"/>
          <w:b/>
          <w:bCs/>
          <w:iCs/>
        </w:rPr>
        <w:t>2010</w:t>
      </w:r>
      <w:r w:rsidRPr="00A03C6A">
        <w:rPr>
          <w:rFonts w:ascii="Times New Roman" w:hAnsi="Times New Roman"/>
          <w:iCs/>
        </w:rPr>
        <w:t>, 388, 110-118.</w:t>
      </w:r>
    </w:p>
    <w:p w14:paraId="6D083AAF" w14:textId="3A4E1AE9" w:rsidR="0099783B" w:rsidRPr="00A03C6A" w:rsidRDefault="0099783B" w:rsidP="0099783B">
      <w:pPr>
        <w:pStyle w:val="TAMainText"/>
        <w:numPr>
          <w:ilvl w:val="0"/>
          <w:numId w:val="1"/>
        </w:numPr>
        <w:rPr>
          <w:rFonts w:ascii="Times New Roman" w:hAnsi="Times New Roman"/>
          <w:iCs/>
        </w:rPr>
      </w:pPr>
      <w:r w:rsidRPr="00A03C6A">
        <w:rPr>
          <w:rFonts w:ascii="Times New Roman" w:hAnsi="Times New Roman"/>
          <w:iCs/>
        </w:rPr>
        <w:t xml:space="preserve">J.E. Jeronsia, L.A. Joseph, P.A. Vinosha, A.J. Mary, S.J. Das, Mater. Today </w:t>
      </w:r>
      <w:r w:rsidRPr="00A03C6A">
        <w:rPr>
          <w:rFonts w:ascii="Times New Roman" w:hAnsi="Times New Roman"/>
          <w:b/>
          <w:bCs/>
          <w:iCs/>
        </w:rPr>
        <w:t>2019</w:t>
      </w:r>
      <w:r w:rsidRPr="00A03C6A">
        <w:rPr>
          <w:rFonts w:ascii="Times New Roman" w:hAnsi="Times New Roman"/>
          <w:iCs/>
        </w:rPr>
        <w:t>, 8, 214-222</w:t>
      </w:r>
    </w:p>
    <w:p w14:paraId="0B1132F2" w14:textId="0BCBEBFF" w:rsidR="00EC6811" w:rsidRPr="00A03C6A" w:rsidRDefault="00EC6811" w:rsidP="0099783B">
      <w:pPr>
        <w:pStyle w:val="TAMainText"/>
        <w:numPr>
          <w:ilvl w:val="0"/>
          <w:numId w:val="1"/>
        </w:numPr>
        <w:rPr>
          <w:rFonts w:ascii="Times New Roman" w:hAnsi="Times New Roman"/>
          <w:iCs/>
        </w:rPr>
      </w:pPr>
      <w:r w:rsidRPr="00A03C6A">
        <w:rPr>
          <w:rFonts w:ascii="Times New Roman" w:hAnsi="Times New Roman"/>
        </w:rPr>
        <w:t xml:space="preserve">L.R. Oviedo, P.C.L. Muraro, G. Pavoski, D.C.R. Espinosa, Y.P.M. Ruiz, A. Galembeck, C.R.B. Rhoden, Environ. Sci. Pollut. Res. Int. </w:t>
      </w:r>
      <w:r w:rsidRPr="00A03C6A">
        <w:rPr>
          <w:rFonts w:ascii="Times New Roman" w:hAnsi="Times New Roman"/>
          <w:b/>
          <w:bCs/>
        </w:rPr>
        <w:t>2022</w:t>
      </w:r>
      <w:r w:rsidRPr="00A03C6A">
        <w:rPr>
          <w:rFonts w:ascii="Times New Roman" w:hAnsi="Times New Roman"/>
        </w:rPr>
        <w:t>, 29, 3794-3807.</w:t>
      </w:r>
    </w:p>
    <w:p w14:paraId="58716424" w14:textId="013790E0" w:rsidR="007B4B2B" w:rsidRPr="00A03C6A" w:rsidRDefault="00B71658"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S. Foteinis, A.G. Borthwick, Z. Frontistis, D. Mantzavinos, E. Chatzisymeon, J. Clean Prod. </w:t>
      </w:r>
      <w:r w:rsidRPr="00A03C6A">
        <w:rPr>
          <w:rFonts w:ascii="Times New Roman" w:hAnsi="Times New Roman"/>
          <w:b/>
          <w:bCs/>
          <w:sz w:val="20"/>
          <w:lang w:val="en-US"/>
        </w:rPr>
        <w:t>2018</w:t>
      </w:r>
      <w:r w:rsidRPr="00A03C6A">
        <w:rPr>
          <w:rFonts w:ascii="Times New Roman" w:hAnsi="Times New Roman"/>
          <w:sz w:val="20"/>
          <w:lang w:val="en-US"/>
        </w:rPr>
        <w:t>, 9, 1-12</w:t>
      </w:r>
      <w:r w:rsidR="00335A6D" w:rsidRPr="00A03C6A">
        <w:rPr>
          <w:rFonts w:ascii="Times New Roman" w:hAnsi="Times New Roman"/>
          <w:sz w:val="20"/>
          <w:lang w:val="en-US"/>
        </w:rPr>
        <w:t>.</w:t>
      </w:r>
    </w:p>
    <w:p w14:paraId="08E68FF9" w14:textId="77777777" w:rsidR="00910D03" w:rsidRPr="00A03C6A" w:rsidRDefault="00910D03"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szCs w:val="20"/>
        </w:rPr>
        <w:t>A</w:t>
      </w:r>
      <w:r w:rsidRPr="00A03C6A">
        <w:rPr>
          <w:rFonts w:ascii="Times New Roman" w:hAnsi="Times New Roman"/>
          <w:sz w:val="20"/>
          <w:lang w:val="en-US"/>
        </w:rPr>
        <w:t xml:space="preserve">. Stavrinou, C.A. Aggelopoulos, C.D. Tsakiroglou, J. Environ. Chem. Eng. </w:t>
      </w:r>
      <w:r w:rsidRPr="00A03C6A">
        <w:rPr>
          <w:rFonts w:ascii="Times New Roman" w:hAnsi="Times New Roman"/>
          <w:b/>
          <w:bCs/>
          <w:sz w:val="20"/>
          <w:lang w:val="en-US"/>
        </w:rPr>
        <w:t>2018</w:t>
      </w:r>
      <w:r w:rsidRPr="00A03C6A">
        <w:rPr>
          <w:rFonts w:ascii="Times New Roman" w:hAnsi="Times New Roman"/>
          <w:sz w:val="20"/>
          <w:lang w:val="en-US"/>
        </w:rPr>
        <w:t>, 6, 6958-6970.</w:t>
      </w:r>
    </w:p>
    <w:p w14:paraId="4523886D" w14:textId="68C5D76E" w:rsidR="00335A6D" w:rsidRPr="00A03C6A" w:rsidRDefault="008306DF"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L.R. Oviedo, V.R. Oviedo, L.D.D. Nora, W.L. da Silva, Sep. Purif. Technol. </w:t>
      </w:r>
      <w:r w:rsidRPr="00A03C6A">
        <w:rPr>
          <w:rFonts w:ascii="Times New Roman" w:hAnsi="Times New Roman"/>
          <w:b/>
          <w:bCs/>
          <w:sz w:val="20"/>
          <w:lang w:val="en-US"/>
        </w:rPr>
        <w:t>2023</w:t>
      </w:r>
      <w:r w:rsidRPr="00A03C6A">
        <w:rPr>
          <w:rFonts w:ascii="Times New Roman" w:hAnsi="Times New Roman"/>
          <w:sz w:val="20"/>
          <w:lang w:val="en-US"/>
        </w:rPr>
        <w:t>, 315, 123712.</w:t>
      </w:r>
    </w:p>
    <w:p w14:paraId="6A3DD354" w14:textId="36F647F9" w:rsidR="006F0D13" w:rsidRPr="00A03C6A" w:rsidRDefault="006F0D13" w:rsidP="00785977">
      <w:pPr>
        <w:pStyle w:val="PargrafodaLista"/>
        <w:numPr>
          <w:ilvl w:val="0"/>
          <w:numId w:val="1"/>
        </w:numPr>
        <w:spacing w:after="0" w:line="240" w:lineRule="auto"/>
        <w:ind w:left="357" w:hanging="357"/>
        <w:jc w:val="both"/>
        <w:rPr>
          <w:rFonts w:ascii="Times New Roman" w:hAnsi="Times New Roman"/>
          <w:sz w:val="20"/>
          <w:szCs w:val="20"/>
          <w:lang w:val="en-US"/>
        </w:rPr>
      </w:pPr>
      <w:r w:rsidRPr="00A03C6A">
        <w:rPr>
          <w:rFonts w:ascii="Times New Roman" w:hAnsi="Times New Roman"/>
          <w:sz w:val="20"/>
          <w:szCs w:val="20"/>
          <w:lang w:val="en-US"/>
        </w:rPr>
        <w:t xml:space="preserve">X. Yuan, M. Suvarna, S. Low, P.D. Dissanayake, K.B. Lee, J. Li, X. Wang, Y.S. Ok. Environ. Sci. Technol. </w:t>
      </w:r>
      <w:r w:rsidRPr="00A03C6A">
        <w:rPr>
          <w:rFonts w:ascii="Times New Roman" w:hAnsi="Times New Roman"/>
          <w:b/>
          <w:bCs/>
          <w:sz w:val="20"/>
          <w:szCs w:val="20"/>
          <w:lang w:val="en-US"/>
        </w:rPr>
        <w:t>2021</w:t>
      </w:r>
      <w:r w:rsidRPr="00A03C6A">
        <w:rPr>
          <w:rFonts w:ascii="Times New Roman" w:hAnsi="Times New Roman"/>
          <w:sz w:val="20"/>
          <w:szCs w:val="20"/>
          <w:lang w:val="en-US"/>
        </w:rPr>
        <w:t>, 55, 11925-11936.</w:t>
      </w:r>
    </w:p>
    <w:p w14:paraId="5BA92F00" w14:textId="166186F7" w:rsidR="00785977" w:rsidRPr="00A03C6A" w:rsidRDefault="00785977" w:rsidP="00785977">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A. Altmann, L. Tolosi, O. Sander, T. Lengauer, Bioinformatics </w:t>
      </w:r>
      <w:r w:rsidRPr="00A03C6A">
        <w:rPr>
          <w:rFonts w:ascii="Times New Roman" w:hAnsi="Times New Roman"/>
          <w:b/>
          <w:bCs/>
          <w:sz w:val="20"/>
          <w:lang w:val="en-US"/>
        </w:rPr>
        <w:t>2010</w:t>
      </w:r>
      <w:r w:rsidRPr="00A03C6A">
        <w:rPr>
          <w:rFonts w:ascii="Times New Roman" w:hAnsi="Times New Roman"/>
          <w:sz w:val="20"/>
          <w:lang w:val="en-US"/>
        </w:rPr>
        <w:t>, 26, 1340-1347.</w:t>
      </w:r>
    </w:p>
    <w:p w14:paraId="40FB61E3" w14:textId="6996C1F2" w:rsidR="00AF0D7D" w:rsidRPr="00A03C6A" w:rsidRDefault="00AF0D7D"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M. Thommes, K. Kaneko, A.V. Newmark, J.P. Olivier, F. Rodriguez-Reinoso, J. Rouquerol, K.S.W. Sing, Pure Appl Chem </w:t>
      </w:r>
      <w:r w:rsidRPr="00A03C6A">
        <w:rPr>
          <w:rFonts w:ascii="Times New Roman" w:hAnsi="Times New Roman"/>
          <w:b/>
          <w:bCs/>
          <w:sz w:val="20"/>
          <w:lang w:val="en-US"/>
        </w:rPr>
        <w:t>2015</w:t>
      </w:r>
      <w:r w:rsidRPr="00A03C6A">
        <w:rPr>
          <w:rFonts w:ascii="Times New Roman" w:hAnsi="Times New Roman"/>
          <w:sz w:val="20"/>
          <w:lang w:val="en-US"/>
        </w:rPr>
        <w:t xml:space="preserve">, 87, 1051-1069. </w:t>
      </w:r>
    </w:p>
    <w:p w14:paraId="53296657" w14:textId="77777777" w:rsidR="007B1297" w:rsidRPr="00A03C6A" w:rsidRDefault="007B1297" w:rsidP="00EA49EA">
      <w:pPr>
        <w:pStyle w:val="PargrafodaLista"/>
        <w:numPr>
          <w:ilvl w:val="0"/>
          <w:numId w:val="1"/>
        </w:numPr>
        <w:spacing w:after="0" w:line="240" w:lineRule="auto"/>
        <w:ind w:left="357" w:hanging="357"/>
        <w:jc w:val="both"/>
        <w:rPr>
          <w:rFonts w:ascii="Times New Roman" w:hAnsi="Times New Roman"/>
          <w:sz w:val="20"/>
          <w:lang w:val="en-US"/>
        </w:rPr>
      </w:pPr>
      <w:bookmarkStart w:id="4" w:name="_Hlk133508132"/>
      <w:r w:rsidRPr="00A03C6A">
        <w:rPr>
          <w:rFonts w:ascii="Times New Roman" w:hAnsi="Times New Roman"/>
          <w:sz w:val="20"/>
          <w:lang w:val="en-US"/>
        </w:rPr>
        <w:t xml:space="preserve">E. Koohsaryan, M. Anbia, Chinese J. Catal. </w:t>
      </w:r>
      <w:r w:rsidRPr="00A03C6A">
        <w:rPr>
          <w:rFonts w:ascii="Times New Roman" w:hAnsi="Times New Roman"/>
          <w:b/>
          <w:bCs/>
          <w:sz w:val="20"/>
          <w:lang w:val="en-US"/>
        </w:rPr>
        <w:t>2016</w:t>
      </w:r>
      <w:r w:rsidRPr="00A03C6A">
        <w:rPr>
          <w:rFonts w:ascii="Times New Roman" w:hAnsi="Times New Roman"/>
          <w:sz w:val="20"/>
          <w:lang w:val="en-US"/>
        </w:rPr>
        <w:t>, 37, 447-467.</w:t>
      </w:r>
    </w:p>
    <w:p w14:paraId="3A555DCB" w14:textId="3A5B145F" w:rsidR="00EA49EA" w:rsidRPr="00A03C6A" w:rsidRDefault="00EA49EA" w:rsidP="00EA49EA">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M.N. Chong, Z.Y. Tneu, P.E. Poh, B. Jin, R. Aryal, J Taiwan Inst Chem Eng </w:t>
      </w:r>
      <w:r w:rsidRPr="00A03C6A">
        <w:rPr>
          <w:rFonts w:ascii="Times New Roman" w:hAnsi="Times New Roman"/>
          <w:b/>
          <w:bCs/>
          <w:sz w:val="20"/>
          <w:lang w:val="en-US"/>
        </w:rPr>
        <w:t>2015</w:t>
      </w:r>
      <w:r w:rsidRPr="00A03C6A">
        <w:rPr>
          <w:rFonts w:ascii="Times New Roman" w:hAnsi="Times New Roman"/>
          <w:sz w:val="20"/>
          <w:lang w:val="en-US"/>
        </w:rPr>
        <w:t>, 50, 288-296.</w:t>
      </w:r>
    </w:p>
    <w:p w14:paraId="77CD8052" w14:textId="77777777" w:rsidR="00BD4443" w:rsidRPr="00A03C6A" w:rsidRDefault="00BD4443" w:rsidP="008306DF">
      <w:pPr>
        <w:pStyle w:val="PargrafodaLista"/>
        <w:numPr>
          <w:ilvl w:val="0"/>
          <w:numId w:val="1"/>
        </w:numPr>
        <w:spacing w:after="0" w:line="240" w:lineRule="auto"/>
        <w:ind w:left="357" w:hanging="357"/>
        <w:jc w:val="both"/>
        <w:rPr>
          <w:rFonts w:ascii="Times New Roman" w:hAnsi="Times New Roman"/>
          <w:sz w:val="20"/>
          <w:lang w:val="en-US"/>
        </w:rPr>
      </w:pPr>
      <w:bookmarkStart w:id="5" w:name="_Hlk133508619"/>
      <w:bookmarkEnd w:id="4"/>
      <w:r w:rsidRPr="00A03C6A">
        <w:rPr>
          <w:rFonts w:ascii="Times New Roman" w:hAnsi="Times New Roman"/>
          <w:sz w:val="20"/>
          <w:lang w:val="en-US"/>
        </w:rPr>
        <w:t xml:space="preserve">C.H. Nguyen, H.N. Tran, C.-C. Fu, Y.-T., R.-S. Juang, J Taiwan Inst Chem </w:t>
      </w:r>
      <w:r w:rsidRPr="00A03C6A">
        <w:rPr>
          <w:rFonts w:ascii="Times New Roman" w:hAnsi="Times New Roman"/>
          <w:b/>
          <w:bCs/>
          <w:sz w:val="20"/>
          <w:lang w:val="en-US"/>
        </w:rPr>
        <w:t>2020</w:t>
      </w:r>
      <w:r w:rsidRPr="00A03C6A">
        <w:rPr>
          <w:rFonts w:ascii="Times New Roman" w:hAnsi="Times New Roman"/>
          <w:sz w:val="20"/>
          <w:lang w:val="en-US"/>
        </w:rPr>
        <w:t>, 109, 510-61</w:t>
      </w:r>
    </w:p>
    <w:p w14:paraId="5D8C0809" w14:textId="23AB2595" w:rsidR="00130E00" w:rsidRPr="00A03C6A" w:rsidRDefault="00785977"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S.A. Mosavi, A. Ghadi, P. Gharbani, A. Mehrizad, Mater. Chem. Phys. </w:t>
      </w:r>
      <w:r w:rsidRPr="00A03C6A">
        <w:rPr>
          <w:rFonts w:ascii="Times New Roman" w:hAnsi="Times New Roman"/>
          <w:b/>
          <w:bCs/>
          <w:sz w:val="20"/>
          <w:lang w:val="en-US"/>
        </w:rPr>
        <w:t>2021</w:t>
      </w:r>
      <w:r w:rsidRPr="00A03C6A">
        <w:rPr>
          <w:rFonts w:ascii="Times New Roman" w:hAnsi="Times New Roman"/>
          <w:sz w:val="20"/>
          <w:lang w:val="en-US"/>
        </w:rPr>
        <w:t>, 267, 124696.</w:t>
      </w:r>
    </w:p>
    <w:bookmarkEnd w:id="5"/>
    <w:p w14:paraId="6F93B2FA" w14:textId="447FC934" w:rsidR="00557BF4" w:rsidRPr="00A03C6A" w:rsidRDefault="00557BF4" w:rsidP="00557BF4">
      <w:pPr>
        <w:pStyle w:val="PargrafodaLista"/>
        <w:numPr>
          <w:ilvl w:val="0"/>
          <w:numId w:val="1"/>
        </w:numPr>
        <w:spacing w:after="0" w:line="240" w:lineRule="auto"/>
        <w:jc w:val="both"/>
        <w:rPr>
          <w:rFonts w:ascii="Times New Roman" w:hAnsi="Times New Roman"/>
          <w:sz w:val="20"/>
          <w:lang w:val="en-US"/>
        </w:rPr>
      </w:pPr>
      <w:r w:rsidRPr="00A03C6A">
        <w:rPr>
          <w:rFonts w:ascii="Times New Roman" w:hAnsi="Times New Roman"/>
          <w:sz w:val="20"/>
          <w:lang w:val="en-US"/>
        </w:rPr>
        <w:t xml:space="preserve">L.A. Kuznetsova, D. Bazou, W.T. Coakley, Langmuir </w:t>
      </w:r>
      <w:r w:rsidRPr="00A03C6A">
        <w:rPr>
          <w:rFonts w:ascii="Times New Roman" w:hAnsi="Times New Roman"/>
          <w:b/>
          <w:bCs/>
          <w:sz w:val="20"/>
          <w:lang w:val="en-US"/>
        </w:rPr>
        <w:t>2009</w:t>
      </w:r>
      <w:r w:rsidRPr="00A03C6A">
        <w:rPr>
          <w:rFonts w:ascii="Times New Roman" w:hAnsi="Times New Roman"/>
          <w:sz w:val="20"/>
          <w:lang w:val="en-US"/>
        </w:rPr>
        <w:t>, 23, 3009-3016.</w:t>
      </w:r>
    </w:p>
    <w:p w14:paraId="7D681BFC" w14:textId="10460B99" w:rsidR="00785977" w:rsidRPr="00A03C6A" w:rsidRDefault="00557BF4" w:rsidP="00557BF4">
      <w:pPr>
        <w:pStyle w:val="PargrafodaLista"/>
        <w:numPr>
          <w:ilvl w:val="0"/>
          <w:numId w:val="1"/>
        </w:numPr>
        <w:spacing w:after="0" w:line="240" w:lineRule="auto"/>
        <w:jc w:val="both"/>
        <w:rPr>
          <w:rFonts w:ascii="Times New Roman" w:hAnsi="Times New Roman"/>
          <w:sz w:val="20"/>
          <w:lang w:val="en-US"/>
        </w:rPr>
      </w:pPr>
      <w:r w:rsidRPr="00A03C6A">
        <w:rPr>
          <w:rFonts w:ascii="Times New Roman" w:hAnsi="Times New Roman"/>
          <w:sz w:val="20"/>
          <w:lang w:val="en-US"/>
        </w:rPr>
        <w:t xml:space="preserve">R. Walsh, E. Martin, S. Darvesh, A method to describe enzyme-catalyzed reactions by combining steady state and time course enzyme kinetic parameters. Biochim Biophys Acta. </w:t>
      </w:r>
      <w:r w:rsidRPr="00A03C6A">
        <w:rPr>
          <w:rFonts w:ascii="Times New Roman" w:hAnsi="Times New Roman"/>
          <w:b/>
          <w:bCs/>
          <w:sz w:val="20"/>
          <w:lang w:val="en-US"/>
        </w:rPr>
        <w:t>2010</w:t>
      </w:r>
      <w:r w:rsidRPr="00A03C6A">
        <w:rPr>
          <w:rFonts w:ascii="Times New Roman" w:hAnsi="Times New Roman"/>
          <w:sz w:val="20"/>
          <w:lang w:val="en-US"/>
        </w:rPr>
        <w:t>, 1800, 1-5.</w:t>
      </w:r>
    </w:p>
    <w:p w14:paraId="524B7544" w14:textId="77777777" w:rsidR="009E6FFC" w:rsidRPr="00A03C6A" w:rsidRDefault="009E6FFC"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M.A. Lazar, S. Varghese, S.S. Nair, Catalysts </w:t>
      </w:r>
      <w:r w:rsidRPr="00A03C6A">
        <w:rPr>
          <w:rFonts w:ascii="Times New Roman" w:hAnsi="Times New Roman"/>
          <w:b/>
          <w:bCs/>
          <w:sz w:val="20"/>
          <w:lang w:val="en-US"/>
        </w:rPr>
        <w:t>2012</w:t>
      </w:r>
      <w:r w:rsidRPr="00A03C6A">
        <w:rPr>
          <w:rFonts w:ascii="Times New Roman" w:hAnsi="Times New Roman"/>
          <w:sz w:val="20"/>
          <w:lang w:val="en-US"/>
        </w:rPr>
        <w:t>, 2 572-601.</w:t>
      </w:r>
    </w:p>
    <w:p w14:paraId="5A4F8985" w14:textId="6A8A2F74" w:rsidR="004801A0" w:rsidRPr="00A03C6A" w:rsidRDefault="00785977"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T. Yin, X. Meng, S. Wang, X. Yao, N. Liu, L. Shi, Sep. Purif. Technol. </w:t>
      </w:r>
      <w:r w:rsidRPr="00A03C6A">
        <w:rPr>
          <w:rFonts w:ascii="Times New Roman" w:hAnsi="Times New Roman"/>
          <w:b/>
          <w:bCs/>
          <w:sz w:val="20"/>
          <w:lang w:val="en-US"/>
        </w:rPr>
        <w:t>2022</w:t>
      </w:r>
      <w:r w:rsidRPr="00A03C6A">
        <w:rPr>
          <w:rFonts w:ascii="Times New Roman" w:hAnsi="Times New Roman"/>
          <w:sz w:val="20"/>
          <w:lang w:val="en-US"/>
        </w:rPr>
        <w:t>, 280, 119634</w:t>
      </w:r>
    </w:p>
    <w:p w14:paraId="11E6C2C0" w14:textId="3B8921E9" w:rsidR="00785977" w:rsidRPr="00A03C6A" w:rsidRDefault="00B832BA"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C.H. Nguyen, C.-C. Fu, R.-S. Juang, J. Clean. Prod. </w:t>
      </w:r>
      <w:r w:rsidRPr="00A03C6A">
        <w:rPr>
          <w:rFonts w:ascii="Times New Roman" w:hAnsi="Times New Roman"/>
          <w:b/>
          <w:bCs/>
          <w:sz w:val="20"/>
          <w:lang w:val="en-US"/>
        </w:rPr>
        <w:t>2018</w:t>
      </w:r>
      <w:r w:rsidRPr="00A03C6A">
        <w:rPr>
          <w:rFonts w:ascii="Times New Roman" w:hAnsi="Times New Roman"/>
          <w:sz w:val="20"/>
          <w:lang w:val="en-US"/>
        </w:rPr>
        <w:t>, 202, 413-427.</w:t>
      </w:r>
    </w:p>
    <w:p w14:paraId="2DC4A1C8" w14:textId="4B47AC56" w:rsidR="00CE5FC3" w:rsidRPr="00A03C6A" w:rsidRDefault="00CE5FC3" w:rsidP="008306DF">
      <w:pPr>
        <w:pStyle w:val="PargrafodaLista"/>
        <w:numPr>
          <w:ilvl w:val="0"/>
          <w:numId w:val="1"/>
        </w:numPr>
        <w:spacing w:after="0" w:line="240" w:lineRule="auto"/>
        <w:ind w:left="357" w:hanging="357"/>
        <w:jc w:val="both"/>
        <w:rPr>
          <w:rFonts w:ascii="Times New Roman" w:hAnsi="Times New Roman"/>
          <w:sz w:val="20"/>
          <w:lang w:val="en-US"/>
        </w:rPr>
      </w:pPr>
      <w:r w:rsidRPr="00A03C6A">
        <w:rPr>
          <w:rFonts w:ascii="Times New Roman" w:hAnsi="Times New Roman"/>
          <w:sz w:val="20"/>
          <w:lang w:val="en-US"/>
        </w:rPr>
        <w:t xml:space="preserve">H.A. Abbas, R.A. Nasr, A. Khalaf, A.A. Bawab, T.S. Jamil, Ecotoxicol. Environ. Saf. </w:t>
      </w:r>
      <w:r w:rsidRPr="00A03C6A">
        <w:rPr>
          <w:rFonts w:ascii="Times New Roman" w:hAnsi="Times New Roman"/>
          <w:b/>
          <w:bCs/>
          <w:sz w:val="20"/>
          <w:lang w:val="en-US"/>
        </w:rPr>
        <w:t>2020</w:t>
      </w:r>
      <w:r w:rsidRPr="00A03C6A">
        <w:rPr>
          <w:rFonts w:ascii="Times New Roman" w:hAnsi="Times New Roman"/>
          <w:sz w:val="20"/>
          <w:lang w:val="en-US"/>
        </w:rPr>
        <w:t>, 196, 110518.</w:t>
      </w:r>
    </w:p>
    <w:sectPr w:rsidR="00CE5FC3" w:rsidRPr="00A03C6A"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2723C" w14:textId="77777777" w:rsidR="00804AAC" w:rsidRDefault="00804AAC" w:rsidP="00EA4E1B">
      <w:pPr>
        <w:spacing w:after="0" w:line="240" w:lineRule="auto"/>
      </w:pPr>
      <w:r>
        <w:separator/>
      </w:r>
    </w:p>
  </w:endnote>
  <w:endnote w:type="continuationSeparator" w:id="0">
    <w:p w14:paraId="465F9BAF" w14:textId="77777777" w:rsidR="00804AAC" w:rsidRDefault="00804AAC"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F60B" w14:textId="77777777" w:rsidR="00804AAC" w:rsidRDefault="00804AAC" w:rsidP="00EA4E1B">
      <w:pPr>
        <w:spacing w:after="0" w:line="240" w:lineRule="auto"/>
      </w:pPr>
      <w:r>
        <w:separator/>
      </w:r>
    </w:p>
  </w:footnote>
  <w:footnote w:type="continuationSeparator" w:id="0">
    <w:p w14:paraId="49157713" w14:textId="77777777" w:rsidR="00804AAC" w:rsidRDefault="00804AAC"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377460910" name="Imagem 137746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79227337" name="Imagem 79227337"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NK0FAKhh3aktAAAA"/>
  </w:docVars>
  <w:rsids>
    <w:rsidRoot w:val="00EA4E1B"/>
    <w:rsid w:val="00002215"/>
    <w:rsid w:val="0001264A"/>
    <w:rsid w:val="00017394"/>
    <w:rsid w:val="00023659"/>
    <w:rsid w:val="00024A26"/>
    <w:rsid w:val="00025279"/>
    <w:rsid w:val="00032199"/>
    <w:rsid w:val="00032DD5"/>
    <w:rsid w:val="0003368F"/>
    <w:rsid w:val="00035E10"/>
    <w:rsid w:val="000379B9"/>
    <w:rsid w:val="00041AEF"/>
    <w:rsid w:val="000435A1"/>
    <w:rsid w:val="00044AE1"/>
    <w:rsid w:val="00050B3A"/>
    <w:rsid w:val="00053122"/>
    <w:rsid w:val="00054C8F"/>
    <w:rsid w:val="00060A5E"/>
    <w:rsid w:val="00061A72"/>
    <w:rsid w:val="00062A2E"/>
    <w:rsid w:val="00067585"/>
    <w:rsid w:val="0007016D"/>
    <w:rsid w:val="00076363"/>
    <w:rsid w:val="00077A8C"/>
    <w:rsid w:val="00086DD3"/>
    <w:rsid w:val="00093056"/>
    <w:rsid w:val="000A481C"/>
    <w:rsid w:val="000C15C4"/>
    <w:rsid w:val="000C3443"/>
    <w:rsid w:val="000C3643"/>
    <w:rsid w:val="000C6D28"/>
    <w:rsid w:val="000E38E8"/>
    <w:rsid w:val="000E474B"/>
    <w:rsid w:val="000E70AE"/>
    <w:rsid w:val="000F05C8"/>
    <w:rsid w:val="000F1D24"/>
    <w:rsid w:val="000F4CF9"/>
    <w:rsid w:val="000F5D83"/>
    <w:rsid w:val="000F688C"/>
    <w:rsid w:val="001004F5"/>
    <w:rsid w:val="00106F54"/>
    <w:rsid w:val="00111C91"/>
    <w:rsid w:val="00125CB3"/>
    <w:rsid w:val="00130E00"/>
    <w:rsid w:val="001343EF"/>
    <w:rsid w:val="0013548F"/>
    <w:rsid w:val="00141752"/>
    <w:rsid w:val="0014325B"/>
    <w:rsid w:val="0015181B"/>
    <w:rsid w:val="00151AAE"/>
    <w:rsid w:val="0015384C"/>
    <w:rsid w:val="00156ECE"/>
    <w:rsid w:val="001755A5"/>
    <w:rsid w:val="0017788B"/>
    <w:rsid w:val="00181554"/>
    <w:rsid w:val="0018425E"/>
    <w:rsid w:val="00186466"/>
    <w:rsid w:val="00190531"/>
    <w:rsid w:val="00192274"/>
    <w:rsid w:val="001A18B1"/>
    <w:rsid w:val="001B16B1"/>
    <w:rsid w:val="001B36F3"/>
    <w:rsid w:val="001B46E6"/>
    <w:rsid w:val="001B7EA6"/>
    <w:rsid w:val="001C1854"/>
    <w:rsid w:val="001C29BF"/>
    <w:rsid w:val="001D0641"/>
    <w:rsid w:val="001D2441"/>
    <w:rsid w:val="001E58A9"/>
    <w:rsid w:val="001F25B2"/>
    <w:rsid w:val="001F6789"/>
    <w:rsid w:val="00201C2E"/>
    <w:rsid w:val="00206D64"/>
    <w:rsid w:val="00206EA1"/>
    <w:rsid w:val="00222230"/>
    <w:rsid w:val="00236979"/>
    <w:rsid w:val="00251B0D"/>
    <w:rsid w:val="00253FCE"/>
    <w:rsid w:val="00256670"/>
    <w:rsid w:val="00284C54"/>
    <w:rsid w:val="002B7535"/>
    <w:rsid w:val="002C1B5F"/>
    <w:rsid w:val="002D4105"/>
    <w:rsid w:val="002D4DEC"/>
    <w:rsid w:val="002D4F04"/>
    <w:rsid w:val="002D7F61"/>
    <w:rsid w:val="002E715E"/>
    <w:rsid w:val="002F6C02"/>
    <w:rsid w:val="0030087E"/>
    <w:rsid w:val="00302382"/>
    <w:rsid w:val="003142FD"/>
    <w:rsid w:val="003152D9"/>
    <w:rsid w:val="003170EA"/>
    <w:rsid w:val="00322812"/>
    <w:rsid w:val="00325B36"/>
    <w:rsid w:val="00327929"/>
    <w:rsid w:val="00335A6D"/>
    <w:rsid w:val="003371AA"/>
    <w:rsid w:val="00340700"/>
    <w:rsid w:val="00340B1E"/>
    <w:rsid w:val="00341F62"/>
    <w:rsid w:val="00354C36"/>
    <w:rsid w:val="00371A3A"/>
    <w:rsid w:val="0037757C"/>
    <w:rsid w:val="00381F7D"/>
    <w:rsid w:val="003A1179"/>
    <w:rsid w:val="003C7810"/>
    <w:rsid w:val="003D7C11"/>
    <w:rsid w:val="003E163A"/>
    <w:rsid w:val="003E67AD"/>
    <w:rsid w:val="003E68AA"/>
    <w:rsid w:val="003F5533"/>
    <w:rsid w:val="004012E3"/>
    <w:rsid w:val="00402363"/>
    <w:rsid w:val="00402F3E"/>
    <w:rsid w:val="00415104"/>
    <w:rsid w:val="004204D5"/>
    <w:rsid w:val="004240EC"/>
    <w:rsid w:val="00430E6A"/>
    <w:rsid w:val="004370F6"/>
    <w:rsid w:val="00440259"/>
    <w:rsid w:val="004459F9"/>
    <w:rsid w:val="00445B08"/>
    <w:rsid w:val="0045046E"/>
    <w:rsid w:val="004708EB"/>
    <w:rsid w:val="0047164D"/>
    <w:rsid w:val="004801A0"/>
    <w:rsid w:val="00481C41"/>
    <w:rsid w:val="00483616"/>
    <w:rsid w:val="00484525"/>
    <w:rsid w:val="00485293"/>
    <w:rsid w:val="00493067"/>
    <w:rsid w:val="004970EC"/>
    <w:rsid w:val="004B64E6"/>
    <w:rsid w:val="004C0C36"/>
    <w:rsid w:val="004C6078"/>
    <w:rsid w:val="004D11B0"/>
    <w:rsid w:val="004E409E"/>
    <w:rsid w:val="004E5B29"/>
    <w:rsid w:val="004F0C5F"/>
    <w:rsid w:val="004F3F42"/>
    <w:rsid w:val="004F4676"/>
    <w:rsid w:val="004F57C4"/>
    <w:rsid w:val="005005F9"/>
    <w:rsid w:val="005040E3"/>
    <w:rsid w:val="0050761C"/>
    <w:rsid w:val="00510300"/>
    <w:rsid w:val="0052112E"/>
    <w:rsid w:val="00532131"/>
    <w:rsid w:val="005346AD"/>
    <w:rsid w:val="00537ADA"/>
    <w:rsid w:val="00545B82"/>
    <w:rsid w:val="00557394"/>
    <w:rsid w:val="00557BF4"/>
    <w:rsid w:val="00560232"/>
    <w:rsid w:val="005618D6"/>
    <w:rsid w:val="0056652D"/>
    <w:rsid w:val="00574FB5"/>
    <w:rsid w:val="00575839"/>
    <w:rsid w:val="00575ED9"/>
    <w:rsid w:val="00576539"/>
    <w:rsid w:val="005770CF"/>
    <w:rsid w:val="005A65AF"/>
    <w:rsid w:val="005C1D9D"/>
    <w:rsid w:val="005C22A8"/>
    <w:rsid w:val="005C2775"/>
    <w:rsid w:val="005C3AB7"/>
    <w:rsid w:val="005D65EB"/>
    <w:rsid w:val="005E1DC4"/>
    <w:rsid w:val="005E3D19"/>
    <w:rsid w:val="005E4DCA"/>
    <w:rsid w:val="005F29D0"/>
    <w:rsid w:val="005F41F8"/>
    <w:rsid w:val="00604718"/>
    <w:rsid w:val="00615BBB"/>
    <w:rsid w:val="00627B0C"/>
    <w:rsid w:val="00642C5B"/>
    <w:rsid w:val="00642F0A"/>
    <w:rsid w:val="00650E61"/>
    <w:rsid w:val="00652815"/>
    <w:rsid w:val="006617A4"/>
    <w:rsid w:val="00664DDD"/>
    <w:rsid w:val="006771BA"/>
    <w:rsid w:val="00686C44"/>
    <w:rsid w:val="006A6EEE"/>
    <w:rsid w:val="006B3571"/>
    <w:rsid w:val="006C0EBC"/>
    <w:rsid w:val="006E2165"/>
    <w:rsid w:val="006F0D13"/>
    <w:rsid w:val="006F599B"/>
    <w:rsid w:val="00702C22"/>
    <w:rsid w:val="00705FA5"/>
    <w:rsid w:val="00706A5E"/>
    <w:rsid w:val="00720A0B"/>
    <w:rsid w:val="007231D8"/>
    <w:rsid w:val="00725259"/>
    <w:rsid w:val="00731759"/>
    <w:rsid w:val="00733D2E"/>
    <w:rsid w:val="0074484D"/>
    <w:rsid w:val="00764110"/>
    <w:rsid w:val="007670A0"/>
    <w:rsid w:val="00771ED5"/>
    <w:rsid w:val="00777967"/>
    <w:rsid w:val="00781685"/>
    <w:rsid w:val="00784A30"/>
    <w:rsid w:val="00785977"/>
    <w:rsid w:val="0079019F"/>
    <w:rsid w:val="00791875"/>
    <w:rsid w:val="007B1297"/>
    <w:rsid w:val="007B4888"/>
    <w:rsid w:val="007B4B2B"/>
    <w:rsid w:val="007B68D0"/>
    <w:rsid w:val="007C2298"/>
    <w:rsid w:val="007C6D98"/>
    <w:rsid w:val="007D4767"/>
    <w:rsid w:val="007D6175"/>
    <w:rsid w:val="007E49C2"/>
    <w:rsid w:val="007F275F"/>
    <w:rsid w:val="007F7205"/>
    <w:rsid w:val="00804AAC"/>
    <w:rsid w:val="00807F8E"/>
    <w:rsid w:val="00814D46"/>
    <w:rsid w:val="00817704"/>
    <w:rsid w:val="00821116"/>
    <w:rsid w:val="00824149"/>
    <w:rsid w:val="008264D5"/>
    <w:rsid w:val="008306DF"/>
    <w:rsid w:val="00830C51"/>
    <w:rsid w:val="0083209E"/>
    <w:rsid w:val="00833B13"/>
    <w:rsid w:val="00856130"/>
    <w:rsid w:val="00861D07"/>
    <w:rsid w:val="00864DA4"/>
    <w:rsid w:val="0086514D"/>
    <w:rsid w:val="00866822"/>
    <w:rsid w:val="008704F7"/>
    <w:rsid w:val="00871083"/>
    <w:rsid w:val="008826B7"/>
    <w:rsid w:val="008859C4"/>
    <w:rsid w:val="0089383E"/>
    <w:rsid w:val="008959AA"/>
    <w:rsid w:val="008A2FAB"/>
    <w:rsid w:val="008B1683"/>
    <w:rsid w:val="008B35C8"/>
    <w:rsid w:val="008B3B55"/>
    <w:rsid w:val="008B3E21"/>
    <w:rsid w:val="008B6710"/>
    <w:rsid w:val="008B69F3"/>
    <w:rsid w:val="008C1855"/>
    <w:rsid w:val="008C1B30"/>
    <w:rsid w:val="008C5342"/>
    <w:rsid w:val="008D1FF7"/>
    <w:rsid w:val="008D466B"/>
    <w:rsid w:val="008E77B3"/>
    <w:rsid w:val="00900FDE"/>
    <w:rsid w:val="0090237B"/>
    <w:rsid w:val="009029B6"/>
    <w:rsid w:val="00910D03"/>
    <w:rsid w:val="00920B6C"/>
    <w:rsid w:val="00924C63"/>
    <w:rsid w:val="00932435"/>
    <w:rsid w:val="0094299B"/>
    <w:rsid w:val="00950C60"/>
    <w:rsid w:val="0096053E"/>
    <w:rsid w:val="009656D9"/>
    <w:rsid w:val="0099783B"/>
    <w:rsid w:val="009B18CE"/>
    <w:rsid w:val="009C7CB0"/>
    <w:rsid w:val="009E11E8"/>
    <w:rsid w:val="009E4303"/>
    <w:rsid w:val="009E6FFC"/>
    <w:rsid w:val="009F0B85"/>
    <w:rsid w:val="009F1726"/>
    <w:rsid w:val="009F7876"/>
    <w:rsid w:val="00A03C6A"/>
    <w:rsid w:val="00A0546A"/>
    <w:rsid w:val="00A13F3F"/>
    <w:rsid w:val="00A155BE"/>
    <w:rsid w:val="00A17D85"/>
    <w:rsid w:val="00A243E5"/>
    <w:rsid w:val="00A468CB"/>
    <w:rsid w:val="00A52C17"/>
    <w:rsid w:val="00A53FE1"/>
    <w:rsid w:val="00A54C0F"/>
    <w:rsid w:val="00A5665E"/>
    <w:rsid w:val="00A57585"/>
    <w:rsid w:val="00A61665"/>
    <w:rsid w:val="00A616EF"/>
    <w:rsid w:val="00A63E96"/>
    <w:rsid w:val="00A643C3"/>
    <w:rsid w:val="00A81C06"/>
    <w:rsid w:val="00A87CE8"/>
    <w:rsid w:val="00A979ED"/>
    <w:rsid w:val="00AA182E"/>
    <w:rsid w:val="00AA2B75"/>
    <w:rsid w:val="00AA4B36"/>
    <w:rsid w:val="00AA78C8"/>
    <w:rsid w:val="00AB1426"/>
    <w:rsid w:val="00AB5BC4"/>
    <w:rsid w:val="00AD0833"/>
    <w:rsid w:val="00AD1F29"/>
    <w:rsid w:val="00AD28EA"/>
    <w:rsid w:val="00AD6232"/>
    <w:rsid w:val="00AE41B1"/>
    <w:rsid w:val="00AF0400"/>
    <w:rsid w:val="00AF0B43"/>
    <w:rsid w:val="00AF0D7D"/>
    <w:rsid w:val="00AF1F1D"/>
    <w:rsid w:val="00AF273A"/>
    <w:rsid w:val="00B0407F"/>
    <w:rsid w:val="00B26CF4"/>
    <w:rsid w:val="00B30588"/>
    <w:rsid w:val="00B30AEB"/>
    <w:rsid w:val="00B40001"/>
    <w:rsid w:val="00B4528E"/>
    <w:rsid w:val="00B452A1"/>
    <w:rsid w:val="00B45ED7"/>
    <w:rsid w:val="00B468CB"/>
    <w:rsid w:val="00B473D7"/>
    <w:rsid w:val="00B47C65"/>
    <w:rsid w:val="00B5264A"/>
    <w:rsid w:val="00B526B1"/>
    <w:rsid w:val="00B54BD8"/>
    <w:rsid w:val="00B62E37"/>
    <w:rsid w:val="00B64022"/>
    <w:rsid w:val="00B6621D"/>
    <w:rsid w:val="00B70678"/>
    <w:rsid w:val="00B71658"/>
    <w:rsid w:val="00B823FF"/>
    <w:rsid w:val="00B832BA"/>
    <w:rsid w:val="00B8347A"/>
    <w:rsid w:val="00B85442"/>
    <w:rsid w:val="00B86F49"/>
    <w:rsid w:val="00B93597"/>
    <w:rsid w:val="00B97190"/>
    <w:rsid w:val="00BA6A6E"/>
    <w:rsid w:val="00BA75CF"/>
    <w:rsid w:val="00BB7A25"/>
    <w:rsid w:val="00BC61C6"/>
    <w:rsid w:val="00BD1105"/>
    <w:rsid w:val="00BD3465"/>
    <w:rsid w:val="00BD4443"/>
    <w:rsid w:val="00BD7B6A"/>
    <w:rsid w:val="00BF15C8"/>
    <w:rsid w:val="00BF3FD4"/>
    <w:rsid w:val="00C0232C"/>
    <w:rsid w:val="00C05D62"/>
    <w:rsid w:val="00C102CF"/>
    <w:rsid w:val="00C157F5"/>
    <w:rsid w:val="00C23751"/>
    <w:rsid w:val="00C2717D"/>
    <w:rsid w:val="00C303EB"/>
    <w:rsid w:val="00C307E8"/>
    <w:rsid w:val="00C44943"/>
    <w:rsid w:val="00C5194F"/>
    <w:rsid w:val="00C55FB8"/>
    <w:rsid w:val="00C60F69"/>
    <w:rsid w:val="00C65B00"/>
    <w:rsid w:val="00C74A4B"/>
    <w:rsid w:val="00C75A6B"/>
    <w:rsid w:val="00C76E54"/>
    <w:rsid w:val="00CB19A1"/>
    <w:rsid w:val="00CB3A7D"/>
    <w:rsid w:val="00CC2A3E"/>
    <w:rsid w:val="00CD30FC"/>
    <w:rsid w:val="00CD5FB0"/>
    <w:rsid w:val="00CE31CC"/>
    <w:rsid w:val="00CE5FC3"/>
    <w:rsid w:val="00D00B18"/>
    <w:rsid w:val="00D0658B"/>
    <w:rsid w:val="00D16309"/>
    <w:rsid w:val="00D167E4"/>
    <w:rsid w:val="00D21F00"/>
    <w:rsid w:val="00D351A5"/>
    <w:rsid w:val="00D3667E"/>
    <w:rsid w:val="00D37898"/>
    <w:rsid w:val="00D406D5"/>
    <w:rsid w:val="00D4311B"/>
    <w:rsid w:val="00D524AB"/>
    <w:rsid w:val="00D62600"/>
    <w:rsid w:val="00D637EB"/>
    <w:rsid w:val="00D6615F"/>
    <w:rsid w:val="00D71A17"/>
    <w:rsid w:val="00D77BE0"/>
    <w:rsid w:val="00D96135"/>
    <w:rsid w:val="00D974A0"/>
    <w:rsid w:val="00DA637A"/>
    <w:rsid w:val="00DA79AA"/>
    <w:rsid w:val="00DD1A7B"/>
    <w:rsid w:val="00DD586B"/>
    <w:rsid w:val="00DD5ACB"/>
    <w:rsid w:val="00DE0074"/>
    <w:rsid w:val="00DE3F28"/>
    <w:rsid w:val="00DF03A3"/>
    <w:rsid w:val="00DF11E4"/>
    <w:rsid w:val="00DF4BB5"/>
    <w:rsid w:val="00DF7726"/>
    <w:rsid w:val="00E02A21"/>
    <w:rsid w:val="00E038AF"/>
    <w:rsid w:val="00E06F2B"/>
    <w:rsid w:val="00E1147B"/>
    <w:rsid w:val="00E13525"/>
    <w:rsid w:val="00E13BA0"/>
    <w:rsid w:val="00E20454"/>
    <w:rsid w:val="00E23EC8"/>
    <w:rsid w:val="00E27F5C"/>
    <w:rsid w:val="00E322F8"/>
    <w:rsid w:val="00E35734"/>
    <w:rsid w:val="00E65CF9"/>
    <w:rsid w:val="00E8744C"/>
    <w:rsid w:val="00E9005D"/>
    <w:rsid w:val="00E90BF9"/>
    <w:rsid w:val="00E90EF0"/>
    <w:rsid w:val="00EA27EA"/>
    <w:rsid w:val="00EA49EA"/>
    <w:rsid w:val="00EA4E1B"/>
    <w:rsid w:val="00EA6BE6"/>
    <w:rsid w:val="00EB1486"/>
    <w:rsid w:val="00EB4F97"/>
    <w:rsid w:val="00EC6811"/>
    <w:rsid w:val="00ED4265"/>
    <w:rsid w:val="00EE3392"/>
    <w:rsid w:val="00EE6655"/>
    <w:rsid w:val="00EE7606"/>
    <w:rsid w:val="00EF13C5"/>
    <w:rsid w:val="00EF7155"/>
    <w:rsid w:val="00F00465"/>
    <w:rsid w:val="00F0487B"/>
    <w:rsid w:val="00F05410"/>
    <w:rsid w:val="00F150B4"/>
    <w:rsid w:val="00F217AB"/>
    <w:rsid w:val="00F221DB"/>
    <w:rsid w:val="00F2570C"/>
    <w:rsid w:val="00F26862"/>
    <w:rsid w:val="00F2759A"/>
    <w:rsid w:val="00F30661"/>
    <w:rsid w:val="00F307A5"/>
    <w:rsid w:val="00F32980"/>
    <w:rsid w:val="00F332DB"/>
    <w:rsid w:val="00F371C2"/>
    <w:rsid w:val="00F4248E"/>
    <w:rsid w:val="00F55D2A"/>
    <w:rsid w:val="00F56B0C"/>
    <w:rsid w:val="00F60E8B"/>
    <w:rsid w:val="00F656D1"/>
    <w:rsid w:val="00F71264"/>
    <w:rsid w:val="00F77415"/>
    <w:rsid w:val="00F8550F"/>
    <w:rsid w:val="00F917DA"/>
    <w:rsid w:val="00F91E7C"/>
    <w:rsid w:val="00FA1B7D"/>
    <w:rsid w:val="00FC405E"/>
    <w:rsid w:val="00FC7258"/>
    <w:rsid w:val="00FC7887"/>
    <w:rsid w:val="00FD6443"/>
    <w:rsid w:val="00FE2333"/>
    <w:rsid w:val="00FF000D"/>
    <w:rsid w:val="00FF1E09"/>
    <w:rsid w:val="00FF1E47"/>
    <w:rsid w:val="00FF222F"/>
    <w:rsid w:val="00FF22E4"/>
    <w:rsid w:val="00FF2D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702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B62E37"/>
    <w:rPr>
      <w:color w:val="808080"/>
    </w:rPr>
  </w:style>
  <w:style w:type="character" w:styleId="Hyperlink">
    <w:name w:val="Hyperlink"/>
    <w:basedOn w:val="Fontepargpadro"/>
    <w:uiPriority w:val="99"/>
    <w:unhideWhenUsed/>
    <w:rsid w:val="0017788B"/>
    <w:rPr>
      <w:color w:val="0563C1" w:themeColor="hyperlink"/>
      <w:u w:val="single"/>
    </w:rPr>
  </w:style>
  <w:style w:type="character" w:styleId="MenoPendente">
    <w:name w:val="Unresolved Mention"/>
    <w:basedOn w:val="Fontepargpadro"/>
    <w:uiPriority w:val="99"/>
    <w:semiHidden/>
    <w:unhideWhenUsed/>
    <w:rsid w:val="0017788B"/>
    <w:rPr>
      <w:color w:val="605E5C"/>
      <w:shd w:val="clear" w:color="auto" w:fill="E1DFDD"/>
    </w:rPr>
  </w:style>
  <w:style w:type="paragraph" w:styleId="Reviso">
    <w:name w:val="Revision"/>
    <w:hidden/>
    <w:uiPriority w:val="99"/>
    <w:semiHidden/>
    <w:rsid w:val="00814D46"/>
    <w:pPr>
      <w:spacing w:after="0" w:line="240" w:lineRule="auto"/>
    </w:pPr>
  </w:style>
  <w:style w:type="character" w:styleId="Refdecomentrio">
    <w:name w:val="annotation reference"/>
    <w:basedOn w:val="Fontepargpadro"/>
    <w:uiPriority w:val="99"/>
    <w:semiHidden/>
    <w:unhideWhenUsed/>
    <w:rsid w:val="00F371C2"/>
    <w:rPr>
      <w:sz w:val="16"/>
      <w:szCs w:val="16"/>
    </w:rPr>
  </w:style>
  <w:style w:type="paragraph" w:styleId="Textodecomentrio">
    <w:name w:val="annotation text"/>
    <w:basedOn w:val="Normal"/>
    <w:link w:val="TextodecomentrioChar"/>
    <w:uiPriority w:val="99"/>
    <w:unhideWhenUsed/>
    <w:rsid w:val="00F371C2"/>
    <w:pPr>
      <w:spacing w:line="240" w:lineRule="auto"/>
    </w:pPr>
    <w:rPr>
      <w:sz w:val="20"/>
      <w:szCs w:val="20"/>
    </w:rPr>
  </w:style>
  <w:style w:type="character" w:customStyle="1" w:styleId="TextodecomentrioChar">
    <w:name w:val="Texto de comentário Char"/>
    <w:basedOn w:val="Fontepargpadro"/>
    <w:link w:val="Textodecomentrio"/>
    <w:uiPriority w:val="99"/>
    <w:rsid w:val="00F371C2"/>
    <w:rPr>
      <w:sz w:val="20"/>
      <w:szCs w:val="20"/>
    </w:rPr>
  </w:style>
  <w:style w:type="paragraph" w:styleId="Assuntodocomentrio">
    <w:name w:val="annotation subject"/>
    <w:basedOn w:val="Textodecomentrio"/>
    <w:next w:val="Textodecomentrio"/>
    <w:link w:val="AssuntodocomentrioChar"/>
    <w:uiPriority w:val="99"/>
    <w:semiHidden/>
    <w:unhideWhenUsed/>
    <w:rsid w:val="00F371C2"/>
    <w:rPr>
      <w:b/>
      <w:bCs/>
    </w:rPr>
  </w:style>
  <w:style w:type="character" w:customStyle="1" w:styleId="AssuntodocomentrioChar">
    <w:name w:val="Assunto do comentário Char"/>
    <w:basedOn w:val="TextodecomentrioChar"/>
    <w:link w:val="Assuntodocomentrio"/>
    <w:uiPriority w:val="99"/>
    <w:semiHidden/>
    <w:rsid w:val="00F371C2"/>
    <w:rPr>
      <w:b/>
      <w:bCs/>
      <w:sz w:val="20"/>
      <w:szCs w:val="20"/>
    </w:rPr>
  </w:style>
  <w:style w:type="paragraph" w:styleId="PargrafodaLista">
    <w:name w:val="List Paragraph"/>
    <w:basedOn w:val="Normal"/>
    <w:uiPriority w:val="34"/>
    <w:qFormat/>
    <w:rsid w:val="00650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73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3632</Words>
  <Characters>20708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leandro.oviedo@unifra.edu.br</cp:lastModifiedBy>
  <cp:revision>8</cp:revision>
  <cp:lastPrinted>2023-05-14T01:37:00Z</cp:lastPrinted>
  <dcterms:created xsi:type="dcterms:W3CDTF">2023-05-14T01:07:00Z</dcterms:created>
  <dcterms:modified xsi:type="dcterms:W3CDTF">2023-05-16T22:21:00Z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