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26CEE" w14:textId="4B25CA65" w:rsidR="00AF0400" w:rsidRDefault="00866822" w:rsidP="00EA4E1B">
      <w:pPr>
        <w:pStyle w:val="BATitle"/>
        <w:spacing w:before="0" w:after="0" w:line="240" w:lineRule="auto"/>
        <w:ind w:right="0"/>
        <w:jc w:val="both"/>
        <w:rPr>
          <w:sz w:val="32"/>
          <w:lang w:val="pt-BR"/>
        </w:rPr>
      </w:pPr>
      <w:bookmarkStart w:id="0" w:name="_Hlk134953054"/>
      <w:bookmarkStart w:id="1" w:name="_Hlk1324517"/>
      <w:bookmarkStart w:id="2" w:name="_Hlk1324670"/>
      <w:bookmarkStart w:id="3" w:name="_GoBack"/>
      <w:bookmarkEnd w:id="0"/>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NoSpacing"/>
                      </w:pPr>
                    </w:p>
                  </w:txbxContent>
                </v:textbox>
                <w10:wrap anchorx="margin"/>
              </v:rect>
            </w:pict>
          </mc:Fallback>
        </mc:AlternateContent>
      </w:r>
    </w:p>
    <w:bookmarkEnd w:id="3"/>
    <w:p w14:paraId="7935DC67" w14:textId="7CF56255" w:rsidR="006E6FC4" w:rsidRPr="00D25967" w:rsidRDefault="006E6FC4" w:rsidP="00EA4E1B">
      <w:pPr>
        <w:pStyle w:val="BATitle"/>
        <w:spacing w:before="240" w:line="240" w:lineRule="auto"/>
        <w:ind w:right="-11"/>
        <w:jc w:val="both"/>
        <w:rPr>
          <w:sz w:val="32"/>
        </w:rPr>
      </w:pPr>
      <w:r w:rsidRPr="00D25967">
        <w:rPr>
          <w:sz w:val="32"/>
        </w:rPr>
        <w:t>Unveiling metal-support interactions over one-dimensional</w:t>
      </w:r>
      <w:r w:rsidR="00CF09D6">
        <w:rPr>
          <w:sz w:val="32"/>
        </w:rPr>
        <w:t xml:space="preserve"> </w:t>
      </w:r>
      <w:r w:rsidRPr="00D25967">
        <w:rPr>
          <w:sz w:val="32"/>
        </w:rPr>
        <w:t>(</w:t>
      </w:r>
      <w:proofErr w:type="spellStart"/>
      <w:proofErr w:type="gramStart"/>
      <w:r w:rsidR="00D25967" w:rsidRPr="00D25967">
        <w:rPr>
          <w:sz w:val="32"/>
        </w:rPr>
        <w:t>Pt</w:t>
      </w:r>
      <w:r w:rsidR="00D25967">
        <w:rPr>
          <w:sz w:val="32"/>
        </w:rPr>
        <w:t>,Fe</w:t>
      </w:r>
      <w:proofErr w:type="spellEnd"/>
      <w:proofErr w:type="gramEnd"/>
      <w:r w:rsidRPr="00D25967">
        <w:rPr>
          <w:sz w:val="32"/>
        </w:rPr>
        <w:t xml:space="preserve">)-supported catalysts </w:t>
      </w:r>
    </w:p>
    <w:p w14:paraId="18012110" w14:textId="5FAC4F91" w:rsidR="00D25967" w:rsidRDefault="00D25967" w:rsidP="00EA4E1B">
      <w:pPr>
        <w:pStyle w:val="BBAuthorName"/>
        <w:spacing w:after="120"/>
        <w:ind w:right="0"/>
        <w:jc w:val="both"/>
        <w:rPr>
          <w:rFonts w:ascii="Times New Roman" w:hAnsi="Times New Roman"/>
          <w:sz w:val="20"/>
          <w:lang w:val="pt-BR"/>
        </w:rPr>
      </w:pPr>
      <w:r>
        <w:rPr>
          <w:rFonts w:ascii="Times New Roman" w:hAnsi="Times New Roman"/>
          <w:sz w:val="20"/>
          <w:lang w:val="pt-BR"/>
        </w:rPr>
        <w:t>Guilherme B. Strapasson</w:t>
      </w:r>
      <w:r w:rsidRPr="00D25967">
        <w:rPr>
          <w:rFonts w:ascii="Times New Roman" w:hAnsi="Times New Roman"/>
          <w:sz w:val="20"/>
          <w:vertAlign w:val="superscript"/>
          <w:lang w:val="pt-BR"/>
        </w:rPr>
        <w:t>1,2,*</w:t>
      </w:r>
      <w:r>
        <w:rPr>
          <w:rFonts w:ascii="Times New Roman" w:hAnsi="Times New Roman"/>
          <w:sz w:val="20"/>
          <w:lang w:val="pt-BR"/>
        </w:rPr>
        <w:t>, Davi S. Leite</w:t>
      </w:r>
      <w:r w:rsidRPr="00D25967">
        <w:rPr>
          <w:rFonts w:ascii="Times New Roman" w:hAnsi="Times New Roman"/>
          <w:sz w:val="20"/>
          <w:vertAlign w:val="superscript"/>
          <w:lang w:val="pt-BR"/>
        </w:rPr>
        <w:t>1</w:t>
      </w:r>
      <w:r>
        <w:rPr>
          <w:rFonts w:ascii="Times New Roman" w:hAnsi="Times New Roman"/>
          <w:sz w:val="20"/>
          <w:lang w:val="pt-BR"/>
        </w:rPr>
        <w:t>, Ângela A. Teixeira-Neto</w:t>
      </w:r>
      <w:r w:rsidRPr="00D25967">
        <w:rPr>
          <w:rFonts w:ascii="Times New Roman" w:hAnsi="Times New Roman"/>
          <w:sz w:val="20"/>
          <w:vertAlign w:val="superscript"/>
          <w:lang w:val="pt-BR"/>
        </w:rPr>
        <w:t>3</w:t>
      </w:r>
      <w:r>
        <w:rPr>
          <w:rFonts w:ascii="Times New Roman" w:hAnsi="Times New Roman"/>
          <w:sz w:val="20"/>
          <w:lang w:val="pt-BR"/>
        </w:rPr>
        <w:t>, Cristiane B. Rodella</w:t>
      </w:r>
      <w:r w:rsidRPr="00D25967">
        <w:rPr>
          <w:rFonts w:ascii="Times New Roman" w:hAnsi="Times New Roman"/>
          <w:sz w:val="20"/>
          <w:vertAlign w:val="superscript"/>
          <w:lang w:val="pt-BR"/>
        </w:rPr>
        <w:t>2</w:t>
      </w:r>
      <w:r>
        <w:rPr>
          <w:rFonts w:ascii="Times New Roman" w:hAnsi="Times New Roman"/>
          <w:sz w:val="20"/>
          <w:lang w:val="pt-BR"/>
        </w:rPr>
        <w:t>, Daniela Zanchet</w:t>
      </w:r>
      <w:r w:rsidRPr="00D25967">
        <w:rPr>
          <w:rFonts w:ascii="Times New Roman" w:hAnsi="Times New Roman"/>
          <w:sz w:val="20"/>
          <w:vertAlign w:val="superscript"/>
          <w:lang w:val="pt-BR"/>
        </w:rPr>
        <w:t>1</w:t>
      </w:r>
    </w:p>
    <w:p w14:paraId="05F08F47" w14:textId="77777777" w:rsidR="00680FFD" w:rsidRDefault="00EA4E1B" w:rsidP="00D25967">
      <w:pPr>
        <w:pStyle w:val="BCAuthorAddress"/>
        <w:spacing w:after="0"/>
        <w:ind w:right="0"/>
        <w:jc w:val="both"/>
      </w:pPr>
      <w:r w:rsidRPr="00D25967">
        <w:rPr>
          <w:vertAlign w:val="superscript"/>
        </w:rPr>
        <w:t>1</w:t>
      </w:r>
      <w:r w:rsidR="00D25967" w:rsidRPr="00D25967">
        <w:rPr>
          <w:vertAlign w:val="superscript"/>
        </w:rPr>
        <w:t xml:space="preserve"> </w:t>
      </w:r>
      <w:r w:rsidR="00D25967" w:rsidRPr="00D25967">
        <w:t>Institute of Chemistry, University of Campinas, UNICAMP, Campinas, SP, Brazil</w:t>
      </w:r>
      <w:r w:rsidR="00D25967">
        <w:t xml:space="preserve"> </w:t>
      </w:r>
    </w:p>
    <w:p w14:paraId="3CCF0127" w14:textId="6C6BFDB2" w:rsidR="00680FFD" w:rsidRDefault="00D25967" w:rsidP="00D25967">
      <w:pPr>
        <w:pStyle w:val="BCAuthorAddress"/>
        <w:spacing w:after="0"/>
        <w:ind w:right="0"/>
        <w:jc w:val="both"/>
      </w:pPr>
      <w:r w:rsidRPr="00680FFD">
        <w:rPr>
          <w:vertAlign w:val="superscript"/>
        </w:rPr>
        <w:t>2</w:t>
      </w:r>
      <w:r>
        <w:t xml:space="preserve"> </w:t>
      </w:r>
      <w:r w:rsidRPr="00D25967">
        <w:t>Brazilian Synchrotron Light Laboratory, CNPEM, Campinas, SP, Brazil</w:t>
      </w:r>
      <w:r>
        <w:t xml:space="preserve"> </w:t>
      </w:r>
    </w:p>
    <w:p w14:paraId="2F782AA9" w14:textId="77777777" w:rsidR="00FE0CDC" w:rsidRDefault="00D25967" w:rsidP="00D25967">
      <w:pPr>
        <w:pStyle w:val="BCAuthorAddress"/>
        <w:spacing w:after="0"/>
        <w:ind w:right="0"/>
        <w:jc w:val="both"/>
      </w:pPr>
      <w:r w:rsidRPr="00680FFD">
        <w:rPr>
          <w:vertAlign w:val="superscript"/>
        </w:rPr>
        <w:t>3</w:t>
      </w:r>
      <w:r>
        <w:t xml:space="preserve"> </w:t>
      </w:r>
      <w:r w:rsidRPr="00D25967">
        <w:t xml:space="preserve">Brazilian </w:t>
      </w:r>
      <w:r>
        <w:t>Nanotechnology</w:t>
      </w:r>
      <w:r w:rsidR="00680FFD">
        <w:t xml:space="preserve"> National Laboratory</w:t>
      </w:r>
      <w:r w:rsidRPr="00D25967">
        <w:t>, CNPEM, Campinas, SP, Brazil</w:t>
      </w:r>
    </w:p>
    <w:p w14:paraId="6554EA66" w14:textId="30095F20" w:rsidR="00D25967" w:rsidRPr="008D1D8F" w:rsidRDefault="00FE0CDC" w:rsidP="00D25967">
      <w:pPr>
        <w:pStyle w:val="BCAuthorAddress"/>
        <w:spacing w:after="0"/>
        <w:ind w:right="0"/>
        <w:jc w:val="both"/>
        <w:rPr>
          <w:lang w:val="pt-BR"/>
        </w:rPr>
      </w:pPr>
      <w:r w:rsidRPr="008D1D8F">
        <w:rPr>
          <w:lang w:val="pt-BR"/>
        </w:rPr>
        <w:t>* g216373@dac.unicamp.br</w:t>
      </w:r>
    </w:p>
    <w:bookmarkEnd w:id="1"/>
    <w:p w14:paraId="238E7EC1" w14:textId="5D4AB3B8" w:rsidR="00AF0400" w:rsidRPr="008D1D8F"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2D9493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" fillcolor="#9a0000" stroked="f" strokeweight="1pt">
                <v:textbox inset=",0,,0">
                  <w:txbxContent>
                    <w:p w14:paraId="3D0F07B3" w14:textId="62D9493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NoSpacing"/>
                      </w:pPr>
                    </w:p>
                  </w:txbxContent>
                </v:textbox>
                <w10:wrap anchorx="margin"/>
              </v:rect>
            </w:pict>
          </mc:Fallback>
        </mc:AlternateContent>
      </w:r>
    </w:p>
    <w:p w14:paraId="4A5DDA03" w14:textId="738EF898" w:rsidR="00AF0400" w:rsidRPr="008D1D8F" w:rsidRDefault="00AF0400" w:rsidP="00EA4E1B">
      <w:pPr>
        <w:pStyle w:val="BDAbstract"/>
        <w:spacing w:before="0" w:after="0" w:line="240" w:lineRule="auto"/>
        <w:rPr>
          <w:rFonts w:ascii="Times New Roman" w:hAnsi="Times New Roman"/>
          <w:b w:val="0"/>
          <w:sz w:val="20"/>
          <w:lang w:val="pt-BR"/>
        </w:rPr>
      </w:pPr>
    </w:p>
    <w:p w14:paraId="35776A2E" w14:textId="695EEBA9" w:rsidR="00716BE8"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716BE8" w:rsidRPr="00716BE8">
        <w:rPr>
          <w:rFonts w:ascii="Times New Roman" w:hAnsi="Times New Roman"/>
          <w:b w:val="0"/>
          <w:sz w:val="20"/>
          <w:lang w:val="pt-BR"/>
        </w:rPr>
        <w:t xml:space="preserve">O </w:t>
      </w:r>
      <w:r w:rsidR="00716BE8">
        <w:rPr>
          <w:rFonts w:ascii="Times New Roman" w:hAnsi="Times New Roman"/>
          <w:b w:val="0"/>
          <w:sz w:val="20"/>
          <w:lang w:val="pt-BR"/>
        </w:rPr>
        <w:t>design</w:t>
      </w:r>
      <w:r w:rsidR="00716BE8" w:rsidRPr="00716BE8">
        <w:rPr>
          <w:rFonts w:ascii="Times New Roman" w:hAnsi="Times New Roman"/>
          <w:b w:val="0"/>
          <w:sz w:val="20"/>
          <w:lang w:val="pt-BR"/>
        </w:rPr>
        <w:t xml:space="preserve"> e a otimização de sítios cataliticamente ativos (sítios metálicos, ácidos e redox) são import</w:t>
      </w:r>
      <w:r w:rsidR="0078553C">
        <w:rPr>
          <w:rFonts w:ascii="Times New Roman" w:hAnsi="Times New Roman"/>
          <w:b w:val="0"/>
          <w:sz w:val="20"/>
          <w:lang w:val="pt-BR"/>
        </w:rPr>
        <w:t>antes</w:t>
      </w:r>
      <w:r w:rsidR="00716BE8" w:rsidRPr="00716BE8">
        <w:rPr>
          <w:rFonts w:ascii="Times New Roman" w:hAnsi="Times New Roman"/>
          <w:b w:val="0"/>
          <w:sz w:val="20"/>
          <w:lang w:val="pt-BR"/>
        </w:rPr>
        <w:t xml:space="preserve"> para o desenvolvimento de catalisadores ativos, seletivos e estáveis. As interações metal-suporte podem modular o desempenho catalítico de catalisadores metal-óxido para diversas reações, onde as propriedades eletrônicas e geométricas da fase metálica podem ser influenciadas. Além disso, sistemas com alta dispersão da fase metálica podem resultar em uma interface metal-óxido com superfícies ricas em defeitos e propriedades eletrônicas aprimoradas, </w:t>
      </w:r>
      <w:r w:rsidR="0078553C">
        <w:rPr>
          <w:rFonts w:ascii="Times New Roman" w:hAnsi="Times New Roman"/>
          <w:b w:val="0"/>
          <w:sz w:val="20"/>
          <w:lang w:val="pt-BR"/>
        </w:rPr>
        <w:t>podendo afetar</w:t>
      </w:r>
      <w:r w:rsidR="00716BE8" w:rsidRPr="00716BE8">
        <w:rPr>
          <w:rFonts w:ascii="Times New Roman" w:hAnsi="Times New Roman"/>
          <w:b w:val="0"/>
          <w:sz w:val="20"/>
          <w:lang w:val="pt-BR"/>
        </w:rPr>
        <w:t xml:space="preserve"> diretamente a ativação de ligações C</w:t>
      </w:r>
      <w:r w:rsidR="0078553C">
        <w:rPr>
          <w:rFonts w:ascii="Times New Roman" w:hAnsi="Times New Roman"/>
          <w:b w:val="0"/>
          <w:sz w:val="20"/>
          <w:lang w:val="pt-BR"/>
        </w:rPr>
        <w:t>-</w:t>
      </w:r>
      <w:r w:rsidR="00716BE8" w:rsidRPr="00716BE8">
        <w:rPr>
          <w:rFonts w:ascii="Times New Roman" w:hAnsi="Times New Roman"/>
          <w:b w:val="0"/>
          <w:sz w:val="20"/>
          <w:lang w:val="pt-BR"/>
        </w:rPr>
        <w:t>O e C-C</w:t>
      </w:r>
      <w:r w:rsidR="0078553C">
        <w:rPr>
          <w:rFonts w:ascii="Times New Roman" w:hAnsi="Times New Roman"/>
          <w:b w:val="0"/>
          <w:sz w:val="20"/>
          <w:lang w:val="pt-BR"/>
        </w:rPr>
        <w:t xml:space="preserve"> e</w:t>
      </w:r>
      <w:r w:rsidR="00716BE8" w:rsidRPr="00716BE8">
        <w:rPr>
          <w:rFonts w:ascii="Times New Roman" w:hAnsi="Times New Roman"/>
          <w:b w:val="0"/>
          <w:sz w:val="20"/>
          <w:lang w:val="pt-BR"/>
        </w:rPr>
        <w:t xml:space="preserve"> </w:t>
      </w:r>
      <w:r w:rsidR="0078553C">
        <w:rPr>
          <w:rFonts w:ascii="Times New Roman" w:hAnsi="Times New Roman"/>
          <w:b w:val="0"/>
          <w:sz w:val="20"/>
          <w:lang w:val="pt-BR"/>
        </w:rPr>
        <w:t xml:space="preserve">o </w:t>
      </w:r>
      <w:r w:rsidR="0078553C" w:rsidRPr="0078553C">
        <w:rPr>
          <w:rFonts w:ascii="Times New Roman" w:hAnsi="Times New Roman"/>
          <w:b w:val="0"/>
          <w:i/>
          <w:sz w:val="20"/>
          <w:lang w:val="pt-BR"/>
        </w:rPr>
        <w:t>spillover</w:t>
      </w:r>
      <w:r w:rsidR="0078553C">
        <w:rPr>
          <w:rFonts w:ascii="Times New Roman" w:hAnsi="Times New Roman"/>
          <w:b w:val="0"/>
          <w:sz w:val="20"/>
          <w:lang w:val="pt-BR"/>
        </w:rPr>
        <w:t xml:space="preserve"> de</w:t>
      </w:r>
      <w:r w:rsidR="00716BE8" w:rsidRPr="00716BE8">
        <w:rPr>
          <w:rFonts w:ascii="Times New Roman" w:hAnsi="Times New Roman"/>
          <w:b w:val="0"/>
          <w:sz w:val="20"/>
          <w:lang w:val="pt-BR"/>
        </w:rPr>
        <w:t xml:space="preserve"> H</w:t>
      </w:r>
      <w:r w:rsidR="00716BE8" w:rsidRPr="0078553C">
        <w:rPr>
          <w:rFonts w:ascii="Times New Roman" w:hAnsi="Times New Roman"/>
          <w:b w:val="0"/>
          <w:sz w:val="20"/>
          <w:vertAlign w:val="subscript"/>
          <w:lang w:val="pt-BR"/>
        </w:rPr>
        <w:t>2</w:t>
      </w:r>
      <w:r w:rsidR="00716BE8" w:rsidRPr="00716BE8">
        <w:rPr>
          <w:rFonts w:ascii="Times New Roman" w:hAnsi="Times New Roman"/>
          <w:b w:val="0"/>
          <w:sz w:val="20"/>
          <w:lang w:val="pt-BR"/>
        </w:rPr>
        <w:t xml:space="preserve">. </w:t>
      </w:r>
      <w:r w:rsidR="0078553C">
        <w:rPr>
          <w:rFonts w:ascii="Times New Roman" w:hAnsi="Times New Roman"/>
          <w:b w:val="0"/>
          <w:sz w:val="20"/>
          <w:lang w:val="pt-BR"/>
        </w:rPr>
        <w:t>Investigamos</w:t>
      </w:r>
      <w:r w:rsidR="00716BE8" w:rsidRPr="00716BE8">
        <w:rPr>
          <w:rFonts w:ascii="Times New Roman" w:hAnsi="Times New Roman"/>
          <w:b w:val="0"/>
          <w:sz w:val="20"/>
          <w:lang w:val="pt-BR"/>
        </w:rPr>
        <w:t xml:space="preserve"> catalisadores </w:t>
      </w:r>
      <w:r w:rsidR="0078553C">
        <w:rPr>
          <w:rFonts w:ascii="Times New Roman" w:hAnsi="Times New Roman"/>
          <w:b w:val="0"/>
          <w:sz w:val="20"/>
          <w:lang w:val="pt-BR"/>
        </w:rPr>
        <w:t xml:space="preserve">1D de </w:t>
      </w:r>
      <w:r w:rsidR="00716BE8" w:rsidRPr="00716BE8">
        <w:rPr>
          <w:rFonts w:ascii="Times New Roman" w:hAnsi="Times New Roman"/>
          <w:b w:val="0"/>
          <w:sz w:val="20"/>
          <w:lang w:val="pt-BR"/>
        </w:rPr>
        <w:t>(Pt,Fe)</w:t>
      </w:r>
      <w:r w:rsidR="0078553C">
        <w:rPr>
          <w:rFonts w:ascii="Times New Roman" w:hAnsi="Times New Roman"/>
          <w:b w:val="0"/>
          <w:sz w:val="20"/>
          <w:lang w:val="pt-BR"/>
        </w:rPr>
        <w:t>-suportados</w:t>
      </w:r>
      <w:r w:rsidR="00716BE8" w:rsidRPr="00716BE8">
        <w:rPr>
          <w:rFonts w:ascii="Times New Roman" w:hAnsi="Times New Roman"/>
          <w:b w:val="0"/>
          <w:sz w:val="20"/>
          <w:lang w:val="pt-BR"/>
        </w:rPr>
        <w:t xml:space="preserve"> com </w:t>
      </w:r>
      <w:r w:rsidR="0078553C">
        <w:rPr>
          <w:rFonts w:ascii="Times New Roman" w:hAnsi="Times New Roman"/>
          <w:b w:val="0"/>
          <w:sz w:val="20"/>
          <w:lang w:val="pt-BR"/>
        </w:rPr>
        <w:t>concentrações ultrabaixas</w:t>
      </w:r>
      <w:r w:rsidR="00716BE8" w:rsidRPr="00716BE8">
        <w:rPr>
          <w:rFonts w:ascii="Times New Roman" w:hAnsi="Times New Roman"/>
          <w:b w:val="0"/>
          <w:sz w:val="20"/>
          <w:lang w:val="pt-BR"/>
        </w:rPr>
        <w:t xml:space="preserve"> de Pt, com o objetivo de obter alta dispersão de Pt. Esses catalisadores foram empregados na reação de hidrodesoxigenação</w:t>
      </w:r>
      <w:r w:rsidR="0078553C">
        <w:rPr>
          <w:rFonts w:ascii="Times New Roman" w:hAnsi="Times New Roman"/>
          <w:b w:val="0"/>
          <w:sz w:val="20"/>
          <w:lang w:val="pt-BR"/>
        </w:rPr>
        <w:t xml:space="preserve"> </w:t>
      </w:r>
      <w:r w:rsidR="00716BE8" w:rsidRPr="00716BE8">
        <w:rPr>
          <w:rFonts w:ascii="Times New Roman" w:hAnsi="Times New Roman"/>
          <w:b w:val="0"/>
          <w:sz w:val="20"/>
          <w:lang w:val="pt-BR"/>
        </w:rPr>
        <w:t xml:space="preserve">da acetona, na qual </w:t>
      </w:r>
      <w:r w:rsidR="0078553C">
        <w:rPr>
          <w:rFonts w:ascii="Times New Roman" w:hAnsi="Times New Roman"/>
          <w:b w:val="0"/>
          <w:sz w:val="20"/>
          <w:lang w:val="pt-BR"/>
        </w:rPr>
        <w:t>catalisadores de (Pt,Fe)-supportados em</w:t>
      </w:r>
      <w:r w:rsidR="00716BE8" w:rsidRPr="00716BE8">
        <w:rPr>
          <w:rFonts w:ascii="Times New Roman" w:hAnsi="Times New Roman"/>
          <w:b w:val="0"/>
          <w:sz w:val="20"/>
          <w:lang w:val="pt-BR"/>
        </w:rPr>
        <w:t xml:space="preserve"> TiO</w:t>
      </w:r>
      <w:r w:rsidR="00716BE8" w:rsidRPr="0078553C">
        <w:rPr>
          <w:rFonts w:ascii="Times New Roman" w:hAnsi="Times New Roman"/>
          <w:b w:val="0"/>
          <w:sz w:val="20"/>
          <w:vertAlign w:val="subscript"/>
          <w:lang w:val="pt-BR"/>
        </w:rPr>
        <w:t>2</w:t>
      </w:r>
      <w:r w:rsidR="00716BE8" w:rsidRPr="00716BE8">
        <w:rPr>
          <w:rFonts w:ascii="Times New Roman" w:hAnsi="Times New Roman"/>
          <w:b w:val="0"/>
          <w:sz w:val="20"/>
          <w:lang w:val="pt-BR"/>
        </w:rPr>
        <w:t>@Nb</w:t>
      </w:r>
      <w:r w:rsidR="00716BE8" w:rsidRPr="0078553C">
        <w:rPr>
          <w:rFonts w:ascii="Times New Roman" w:hAnsi="Times New Roman"/>
          <w:b w:val="0"/>
          <w:sz w:val="20"/>
          <w:vertAlign w:val="subscript"/>
          <w:lang w:val="pt-BR"/>
        </w:rPr>
        <w:t>2</w:t>
      </w:r>
      <w:r w:rsidR="00716BE8" w:rsidRPr="00716BE8">
        <w:rPr>
          <w:rFonts w:ascii="Times New Roman" w:hAnsi="Times New Roman"/>
          <w:b w:val="0"/>
          <w:sz w:val="20"/>
          <w:lang w:val="pt-BR"/>
        </w:rPr>
        <w:t>O</w:t>
      </w:r>
      <w:r w:rsidR="00716BE8" w:rsidRPr="0078553C">
        <w:rPr>
          <w:rFonts w:ascii="Times New Roman" w:hAnsi="Times New Roman"/>
          <w:b w:val="0"/>
          <w:sz w:val="20"/>
          <w:vertAlign w:val="subscript"/>
          <w:lang w:val="pt-BR"/>
        </w:rPr>
        <w:t>5</w:t>
      </w:r>
      <w:r w:rsidR="00716BE8" w:rsidRPr="00716BE8">
        <w:rPr>
          <w:rFonts w:ascii="Times New Roman" w:hAnsi="Times New Roman"/>
          <w:b w:val="0"/>
          <w:sz w:val="20"/>
          <w:lang w:val="pt-BR"/>
        </w:rPr>
        <w:t xml:space="preserve"> demonstraram uma </w:t>
      </w:r>
      <w:r w:rsidR="0078553C">
        <w:rPr>
          <w:rFonts w:ascii="Times New Roman" w:hAnsi="Times New Roman"/>
          <w:b w:val="0"/>
          <w:sz w:val="20"/>
          <w:lang w:val="pt-BR"/>
        </w:rPr>
        <w:t xml:space="preserve">melhora na </w:t>
      </w:r>
      <w:r w:rsidR="00716BE8" w:rsidRPr="00716BE8">
        <w:rPr>
          <w:rFonts w:ascii="Times New Roman" w:hAnsi="Times New Roman"/>
          <w:b w:val="0"/>
          <w:sz w:val="20"/>
          <w:lang w:val="pt-BR"/>
        </w:rPr>
        <w:t>clivagem d</w:t>
      </w:r>
      <w:r w:rsidR="0078553C">
        <w:rPr>
          <w:rFonts w:ascii="Times New Roman" w:hAnsi="Times New Roman"/>
          <w:b w:val="0"/>
          <w:sz w:val="20"/>
          <w:lang w:val="pt-BR"/>
        </w:rPr>
        <w:t>e</w:t>
      </w:r>
      <w:r w:rsidR="00716BE8" w:rsidRPr="00716BE8">
        <w:rPr>
          <w:rFonts w:ascii="Times New Roman" w:hAnsi="Times New Roman"/>
          <w:b w:val="0"/>
          <w:sz w:val="20"/>
          <w:lang w:val="pt-BR"/>
        </w:rPr>
        <w:t xml:space="preserve"> ligação C-O e estabilidade ao longo do tempo, resultando em quase 100% de desoxigenação. Foi demonstrado que, mesmo com cargas ultrabaixas de Pt, é possível alcançar modificações significativas na capacidade de hidrogenação e, consequentemente, no desempenho catalítico.</w:t>
      </w:r>
    </w:p>
    <w:p w14:paraId="09B41B70" w14:textId="4C92C409"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D67160">
        <w:rPr>
          <w:rFonts w:ascii="Times New Roman" w:hAnsi="Times New Roman"/>
          <w:b w:val="0"/>
          <w:i/>
          <w:sz w:val="20"/>
          <w:lang w:val="pt-BR"/>
        </w:rPr>
        <w:t>: Catálise heterogênea, óxidos metálicos nanoestruturados, hidrodesoxigenação, interação metal-suporte</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49083597" w14:textId="0CD9F1AD" w:rsidR="00BA4BF2" w:rsidRDefault="00EA4E1B" w:rsidP="00EA4E1B">
      <w:pPr>
        <w:pStyle w:val="BDAbstract"/>
        <w:spacing w:before="0" w:after="0" w:line="240" w:lineRule="auto"/>
        <w:rPr>
          <w:rFonts w:ascii="Times New Roman" w:hAnsi="Times New Roman"/>
          <w:b w:val="0"/>
          <w:sz w:val="20"/>
        </w:rPr>
      </w:pPr>
      <w:r w:rsidRPr="00FE0CDC">
        <w:rPr>
          <w:rFonts w:ascii="Times New Roman" w:hAnsi="Times New Roman"/>
          <w:b w:val="0"/>
          <w:sz w:val="20"/>
        </w:rPr>
        <w:t xml:space="preserve">ABSTRACT </w:t>
      </w:r>
      <w:r w:rsidR="009E2186">
        <w:rPr>
          <w:rFonts w:ascii="Times New Roman" w:hAnsi="Times New Roman"/>
          <w:b w:val="0"/>
          <w:sz w:val="20"/>
        </w:rPr>
        <w:t>–</w:t>
      </w:r>
      <w:r w:rsidRPr="00FE0CDC">
        <w:rPr>
          <w:rFonts w:ascii="Times New Roman" w:hAnsi="Times New Roman"/>
          <w:b w:val="0"/>
          <w:sz w:val="20"/>
        </w:rPr>
        <w:t xml:space="preserve"> </w:t>
      </w:r>
      <w:r w:rsidR="009E2186">
        <w:rPr>
          <w:rFonts w:ascii="Times New Roman" w:hAnsi="Times New Roman"/>
          <w:b w:val="0"/>
          <w:sz w:val="20"/>
        </w:rPr>
        <w:t xml:space="preserve">The design and tuning of catalytically active sites (e.g. metallic, acid, and redox sites) is crucial for the </w:t>
      </w:r>
      <w:r w:rsidR="00F478E5">
        <w:rPr>
          <w:rFonts w:ascii="Times New Roman" w:hAnsi="Times New Roman"/>
          <w:b w:val="0"/>
          <w:sz w:val="20"/>
        </w:rPr>
        <w:t>development of active, selective, and stable catalysts. Metal-support interactions</w:t>
      </w:r>
      <w:r w:rsidR="004B4400">
        <w:rPr>
          <w:rFonts w:ascii="Times New Roman" w:hAnsi="Times New Roman"/>
          <w:b w:val="0"/>
          <w:sz w:val="20"/>
        </w:rPr>
        <w:t xml:space="preserve"> </w:t>
      </w:r>
      <w:r w:rsidR="00F478E5">
        <w:rPr>
          <w:rFonts w:ascii="Times New Roman" w:hAnsi="Times New Roman"/>
          <w:b w:val="0"/>
          <w:sz w:val="20"/>
        </w:rPr>
        <w:t xml:space="preserve">can tailor the catalytic performance </w:t>
      </w:r>
      <w:r w:rsidR="00BA4BF2">
        <w:rPr>
          <w:rFonts w:ascii="Times New Roman" w:hAnsi="Times New Roman"/>
          <w:b w:val="0"/>
          <w:sz w:val="20"/>
        </w:rPr>
        <w:t>of metal-oxide catalysts for various reactions, in which the electronic and geometric properties of the metal phase can be impacted</w:t>
      </w:r>
      <w:r w:rsidR="004B4400">
        <w:rPr>
          <w:rFonts w:ascii="Times New Roman" w:hAnsi="Times New Roman"/>
          <w:b w:val="0"/>
          <w:sz w:val="20"/>
        </w:rPr>
        <w:t>. Moreover, s</w:t>
      </w:r>
      <w:r w:rsidR="00964BB9">
        <w:rPr>
          <w:rFonts w:ascii="Times New Roman" w:hAnsi="Times New Roman"/>
          <w:b w:val="0"/>
          <w:sz w:val="20"/>
        </w:rPr>
        <w:t xml:space="preserve">ystems with high dispersions of the metal phase may lead to a </w:t>
      </w:r>
      <w:r w:rsidR="00964BB9" w:rsidRPr="00FE0CDC">
        <w:rPr>
          <w:rFonts w:ascii="Times New Roman" w:hAnsi="Times New Roman"/>
          <w:b w:val="0"/>
          <w:sz w:val="20"/>
        </w:rPr>
        <w:t xml:space="preserve">metal-oxide interface </w:t>
      </w:r>
      <w:r w:rsidR="00964BB9">
        <w:rPr>
          <w:rFonts w:ascii="Times New Roman" w:hAnsi="Times New Roman"/>
          <w:b w:val="0"/>
          <w:sz w:val="20"/>
        </w:rPr>
        <w:t xml:space="preserve">with </w:t>
      </w:r>
      <w:r w:rsidR="00964BB9" w:rsidRPr="00FE0CDC">
        <w:rPr>
          <w:rFonts w:ascii="Times New Roman" w:hAnsi="Times New Roman"/>
          <w:b w:val="0"/>
          <w:sz w:val="20"/>
        </w:rPr>
        <w:t>defect rich surfaces and enhanced electronic properties, that can directly impact C-O and C-C bond activation and H</w:t>
      </w:r>
      <w:r w:rsidR="00964BB9" w:rsidRPr="00964BB9">
        <w:rPr>
          <w:rFonts w:ascii="Times New Roman" w:hAnsi="Times New Roman"/>
          <w:b w:val="0"/>
          <w:sz w:val="20"/>
          <w:vertAlign w:val="subscript"/>
        </w:rPr>
        <w:t>2</w:t>
      </w:r>
      <w:r w:rsidR="00964BB9" w:rsidRPr="00FE0CDC">
        <w:rPr>
          <w:rFonts w:ascii="Times New Roman" w:hAnsi="Times New Roman"/>
          <w:b w:val="0"/>
          <w:sz w:val="20"/>
        </w:rPr>
        <w:t xml:space="preserve"> spillover.</w:t>
      </w:r>
      <w:r w:rsidR="00964BB9">
        <w:rPr>
          <w:rFonts w:ascii="Times New Roman" w:hAnsi="Times New Roman"/>
          <w:b w:val="0"/>
          <w:sz w:val="20"/>
        </w:rPr>
        <w:t xml:space="preserve"> Thus, </w:t>
      </w:r>
      <w:r w:rsidR="00BA4BF2">
        <w:rPr>
          <w:rFonts w:ascii="Times New Roman" w:hAnsi="Times New Roman"/>
          <w:b w:val="0"/>
          <w:sz w:val="20"/>
        </w:rPr>
        <w:t>we explored one-dimensional (</w:t>
      </w:r>
      <w:proofErr w:type="spellStart"/>
      <w:proofErr w:type="gramStart"/>
      <w:r w:rsidR="00BA4BF2">
        <w:rPr>
          <w:rFonts w:ascii="Times New Roman" w:hAnsi="Times New Roman"/>
          <w:b w:val="0"/>
          <w:sz w:val="20"/>
        </w:rPr>
        <w:t>Pt,Fe</w:t>
      </w:r>
      <w:proofErr w:type="spellEnd"/>
      <w:proofErr w:type="gramEnd"/>
      <w:r w:rsidR="00BA4BF2">
        <w:rPr>
          <w:rFonts w:ascii="Times New Roman" w:hAnsi="Times New Roman"/>
          <w:b w:val="0"/>
          <w:sz w:val="20"/>
        </w:rPr>
        <w:t>)-supported catalysts with ultra-low loadings of Pt</w:t>
      </w:r>
      <w:r w:rsidR="00964BB9">
        <w:rPr>
          <w:rFonts w:ascii="Times New Roman" w:hAnsi="Times New Roman"/>
          <w:b w:val="0"/>
          <w:sz w:val="20"/>
        </w:rPr>
        <w:t xml:space="preserve">, aiming for high dispersions of Pt. These catalysts were employed in </w:t>
      </w:r>
      <w:r w:rsidR="00BA4BF2">
        <w:rPr>
          <w:rFonts w:ascii="Times New Roman" w:hAnsi="Times New Roman"/>
          <w:b w:val="0"/>
          <w:sz w:val="20"/>
        </w:rPr>
        <w:t>the acetone hydrodeoxygenation reaction</w:t>
      </w:r>
      <w:r w:rsidR="00964BB9">
        <w:rPr>
          <w:rFonts w:ascii="Times New Roman" w:hAnsi="Times New Roman"/>
          <w:b w:val="0"/>
          <w:sz w:val="20"/>
        </w:rPr>
        <w:t>, in which</w:t>
      </w:r>
      <w:r w:rsidR="00BA4BF2">
        <w:rPr>
          <w:rFonts w:ascii="Times New Roman" w:hAnsi="Times New Roman"/>
          <w:b w:val="0"/>
          <w:sz w:val="20"/>
        </w:rPr>
        <w:t xml:space="preserve"> </w:t>
      </w:r>
      <w:r w:rsidR="00964BB9">
        <w:rPr>
          <w:rFonts w:ascii="Times New Roman" w:hAnsi="Times New Roman"/>
          <w:b w:val="0"/>
          <w:sz w:val="20"/>
        </w:rPr>
        <w:t xml:space="preserve">(Pt, Fe)-supported </w:t>
      </w:r>
      <w:r w:rsidR="0078553C">
        <w:rPr>
          <w:rFonts w:ascii="Times New Roman" w:hAnsi="Times New Roman"/>
          <w:b w:val="0"/>
          <w:sz w:val="20"/>
        </w:rPr>
        <w:t>over</w:t>
      </w:r>
      <w:r w:rsidR="00964BB9">
        <w:rPr>
          <w:rFonts w:ascii="Times New Roman" w:hAnsi="Times New Roman"/>
          <w:b w:val="0"/>
          <w:sz w:val="20"/>
        </w:rPr>
        <w:t xml:space="preserve"> TiO</w:t>
      </w:r>
      <w:r w:rsidR="00964BB9" w:rsidRPr="00964BB9">
        <w:rPr>
          <w:rFonts w:ascii="Times New Roman" w:hAnsi="Times New Roman"/>
          <w:b w:val="0"/>
          <w:sz w:val="20"/>
          <w:vertAlign w:val="subscript"/>
        </w:rPr>
        <w:t>2</w:t>
      </w:r>
      <w:r w:rsidR="00964BB9">
        <w:rPr>
          <w:rFonts w:ascii="Times New Roman" w:hAnsi="Times New Roman"/>
          <w:b w:val="0"/>
          <w:sz w:val="20"/>
        </w:rPr>
        <w:t>@Nb</w:t>
      </w:r>
      <w:r w:rsidR="00964BB9" w:rsidRPr="00964BB9">
        <w:rPr>
          <w:rFonts w:ascii="Times New Roman" w:hAnsi="Times New Roman"/>
          <w:b w:val="0"/>
          <w:sz w:val="20"/>
          <w:vertAlign w:val="subscript"/>
        </w:rPr>
        <w:t>2</w:t>
      </w:r>
      <w:r w:rsidR="00964BB9">
        <w:rPr>
          <w:rFonts w:ascii="Times New Roman" w:hAnsi="Times New Roman"/>
          <w:b w:val="0"/>
          <w:sz w:val="20"/>
        </w:rPr>
        <w:t>O</w:t>
      </w:r>
      <w:r w:rsidR="00964BB9" w:rsidRPr="00964BB9">
        <w:rPr>
          <w:rFonts w:ascii="Times New Roman" w:hAnsi="Times New Roman"/>
          <w:b w:val="0"/>
          <w:sz w:val="20"/>
          <w:vertAlign w:val="subscript"/>
        </w:rPr>
        <w:t>5</w:t>
      </w:r>
      <w:r w:rsidR="00964BB9">
        <w:rPr>
          <w:rFonts w:ascii="Times New Roman" w:hAnsi="Times New Roman"/>
          <w:b w:val="0"/>
          <w:sz w:val="20"/>
        </w:rPr>
        <w:t xml:space="preserve"> structures presented </w:t>
      </w:r>
      <w:r w:rsidR="00964BB9" w:rsidRPr="00FE0CDC">
        <w:rPr>
          <w:rFonts w:ascii="Times New Roman" w:hAnsi="Times New Roman"/>
          <w:b w:val="0"/>
          <w:sz w:val="20"/>
        </w:rPr>
        <w:t xml:space="preserve">an enhanced C-O bond cleavage and stability over the time on stream, resulting in almost 100% </w:t>
      </w:r>
      <w:r w:rsidR="00964BB9">
        <w:rPr>
          <w:rFonts w:ascii="Times New Roman" w:hAnsi="Times New Roman"/>
          <w:b w:val="0"/>
          <w:sz w:val="20"/>
        </w:rPr>
        <w:t xml:space="preserve">of </w:t>
      </w:r>
      <w:r w:rsidR="00964BB9" w:rsidRPr="00FE0CDC">
        <w:rPr>
          <w:rFonts w:ascii="Times New Roman" w:hAnsi="Times New Roman"/>
          <w:b w:val="0"/>
          <w:sz w:val="20"/>
        </w:rPr>
        <w:t>deoxygenation.</w:t>
      </w:r>
      <w:r w:rsidR="00964BB9">
        <w:rPr>
          <w:rFonts w:ascii="Times New Roman" w:hAnsi="Times New Roman"/>
          <w:b w:val="0"/>
          <w:sz w:val="20"/>
        </w:rPr>
        <w:t xml:space="preserve"> </w:t>
      </w:r>
      <w:r w:rsidR="004B4400">
        <w:rPr>
          <w:rFonts w:ascii="Times New Roman" w:hAnsi="Times New Roman"/>
          <w:b w:val="0"/>
          <w:sz w:val="20"/>
        </w:rPr>
        <w:t xml:space="preserve">It was </w:t>
      </w:r>
      <w:r w:rsidR="004B4400" w:rsidRPr="004B4400">
        <w:rPr>
          <w:rFonts w:ascii="Times New Roman" w:hAnsi="Times New Roman"/>
          <w:b w:val="0"/>
          <w:sz w:val="20"/>
        </w:rPr>
        <w:t>demonstrate</w:t>
      </w:r>
      <w:r w:rsidR="004B4400">
        <w:rPr>
          <w:rFonts w:ascii="Times New Roman" w:hAnsi="Times New Roman"/>
          <w:b w:val="0"/>
          <w:sz w:val="20"/>
        </w:rPr>
        <w:t>d</w:t>
      </w:r>
      <w:r w:rsidR="004B4400" w:rsidRPr="004B4400">
        <w:rPr>
          <w:rFonts w:ascii="Times New Roman" w:hAnsi="Times New Roman"/>
          <w:b w:val="0"/>
          <w:sz w:val="20"/>
        </w:rPr>
        <w:t xml:space="preserve"> that even with ultra-low loadings of Pt, expressive modifications in the hydrogenation capability, and consequently, in the catalytic performance, can be achieved</w:t>
      </w:r>
      <w:r w:rsidR="00964BB9">
        <w:rPr>
          <w:rFonts w:ascii="Times New Roman" w:hAnsi="Times New Roman"/>
          <w:b w:val="0"/>
          <w:sz w:val="20"/>
        </w:rPr>
        <w:t>.</w:t>
      </w:r>
    </w:p>
    <w:p w14:paraId="5F4A84E8" w14:textId="79EA696F" w:rsidR="00EA4E1B" w:rsidRPr="00D67160" w:rsidRDefault="00EA4E1B" w:rsidP="00EA4E1B">
      <w:pPr>
        <w:pStyle w:val="BDAbstract"/>
        <w:spacing w:before="0" w:after="120" w:line="240" w:lineRule="auto"/>
        <w:rPr>
          <w:rFonts w:ascii="Times New Roman" w:hAnsi="Times New Roman"/>
          <w:b w:val="0"/>
          <w:i/>
          <w:sz w:val="20"/>
        </w:rPr>
      </w:pPr>
      <w:r w:rsidRPr="00D67160">
        <w:rPr>
          <w:rFonts w:ascii="Times New Roman" w:hAnsi="Times New Roman"/>
          <w:b w:val="0"/>
          <w:i/>
          <w:sz w:val="20"/>
        </w:rPr>
        <w:t xml:space="preserve">Keywords: </w:t>
      </w:r>
      <w:r w:rsidR="00D67160" w:rsidRPr="00D67160">
        <w:rPr>
          <w:rFonts w:ascii="Times New Roman" w:hAnsi="Times New Roman"/>
          <w:b w:val="0"/>
          <w:i/>
          <w:sz w:val="20"/>
        </w:rPr>
        <w:t>Heterogeneous catalysis, na</w:t>
      </w:r>
      <w:r w:rsidR="00D67160">
        <w:rPr>
          <w:rFonts w:ascii="Times New Roman" w:hAnsi="Times New Roman"/>
          <w:b w:val="0"/>
          <w:i/>
          <w:sz w:val="20"/>
        </w:rPr>
        <w:t>nostructured metal oxides, hydrodeoxygenation, metal-support interaction</w:t>
      </w:r>
    </w:p>
    <w:bookmarkEnd w:id="2"/>
    <w:p w14:paraId="48D9B0C4" w14:textId="3CD7B401" w:rsidR="00EA4E1B" w:rsidRPr="00D67160" w:rsidRDefault="00EA4E1B" w:rsidP="00EA4E1B">
      <w:pPr>
        <w:rPr>
          <w:lang w:val="en-US"/>
        </w:rPr>
        <w:sectPr w:rsidR="00EA4E1B" w:rsidRPr="00D67160"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51E4FB19" w:rsidR="00EA4E1B" w:rsidRPr="00BA5466" w:rsidRDefault="003C69B2" w:rsidP="00EA4E1B">
      <w:pPr>
        <w:pStyle w:val="Heading2"/>
        <w:spacing w:before="0"/>
        <w:rPr>
          <w:rFonts w:ascii="Helvetica" w:hAnsi="Helvetica" w:cs="Helvetica"/>
          <w:sz w:val="24"/>
          <w:szCs w:val="24"/>
          <w:lang w:val="en-US"/>
        </w:rPr>
      </w:pPr>
      <w:r w:rsidRPr="00BA5466">
        <w:rPr>
          <w:rFonts w:ascii="Helvetica" w:hAnsi="Helvetica" w:cs="Helvetica"/>
          <w:sz w:val="24"/>
          <w:szCs w:val="24"/>
          <w:lang w:val="en-US"/>
        </w:rPr>
        <w:t>Introduction</w:t>
      </w:r>
    </w:p>
    <w:p w14:paraId="7383704E" w14:textId="45B29817" w:rsidR="00366685" w:rsidRPr="00366685" w:rsidRDefault="00BC4674" w:rsidP="00366685">
      <w:pPr>
        <w:pStyle w:val="TAMainText"/>
        <w:rPr>
          <w:rFonts w:ascii="Times New Roman" w:hAnsi="Times New Roman"/>
        </w:rPr>
      </w:pPr>
      <w:r w:rsidRPr="00BC4674">
        <w:rPr>
          <w:rFonts w:ascii="Times New Roman" w:hAnsi="Times New Roman"/>
        </w:rPr>
        <w:t xml:space="preserve">Catalyst design and engineering of active sites have helped the development of catalytic systems with unique properties. A class of materials explored in heterogeneous catalysis is nanostructured metal oxides, especially those of one-dimensional morphology (1D). Reducible metal oxide supports that associate redox and acid properties </w:t>
      </w:r>
      <w:r w:rsidR="00366685">
        <w:rPr>
          <w:rFonts w:ascii="Times New Roman" w:hAnsi="Times New Roman"/>
        </w:rPr>
        <w:t xml:space="preserve">in combination </w:t>
      </w:r>
      <w:r w:rsidRPr="00BC4674">
        <w:rPr>
          <w:rFonts w:ascii="Times New Roman" w:hAnsi="Times New Roman"/>
        </w:rPr>
        <w:t xml:space="preserve">with a metallic phase can result in potential catalytic systems for different reactions. The hydrodeoxygenation (HDO) reaction is one of the main biomass-derivate upgrading processes to obtain biofuels and deals with the selective cleavage of C-O bonds under a hydrogen-rich atmosphere combined with a solid catalyst, reducing the oxygen content to produce hydrocarbons as the main products. </w:t>
      </w:r>
      <w:r w:rsidR="00366685" w:rsidRPr="00366685">
        <w:rPr>
          <w:rFonts w:ascii="Times New Roman" w:hAnsi="Times New Roman"/>
        </w:rPr>
        <w:t xml:space="preserve">Generally, this reaction occurs through a </w:t>
      </w:r>
      <w:r w:rsidR="00366685" w:rsidRPr="00366685">
        <w:rPr>
          <w:rFonts w:ascii="Times New Roman" w:hAnsi="Times New Roman"/>
        </w:rPr>
        <w:t>bifunctional mechanism that requires a metallic site for hydrogenation/dehydrogenation and an acid/</w:t>
      </w:r>
      <w:proofErr w:type="spellStart"/>
      <w:r w:rsidR="00366685" w:rsidRPr="00366685">
        <w:rPr>
          <w:rFonts w:ascii="Times New Roman" w:hAnsi="Times New Roman"/>
        </w:rPr>
        <w:t>oxophilic</w:t>
      </w:r>
      <w:proofErr w:type="spellEnd"/>
      <w:r w:rsidR="00366685" w:rsidRPr="00366685">
        <w:rPr>
          <w:rFonts w:ascii="Times New Roman" w:hAnsi="Times New Roman"/>
        </w:rPr>
        <w:t xml:space="preserve"> site that adsorbs the -oxy compound and promotes C-O bond activation and dehydration steps </w:t>
      </w:r>
      <w:r w:rsidR="00366685">
        <w:fldChar w:fldCharType="begin" w:fldLock="1"/>
      </w:r>
      <w:r w:rsidR="00FE0CDC">
        <w:instrText>ADDIN CSL_CITATION {"citationItems":[{"id":"ITEM-1","itemData":{"DOI":"10.1007/s10562-016-1815-5","ISSN":"1572879X","abstract":"Abstract: Different metals supported on SiO2 were tested for the hydrodeoxygenation of phenol. For Pt/SiO2, Pd/SiO2 and Rh/SiO2 catalysts, phenol is mainly tautomerized, followed by hydrogenation of the aromatic ring. The direct dehydroxylation of phenol followed by hydrogenolysis is favored over more oxophilic metals (Ru, Co and Ni). Graphical Abstract: [Figure not available: see fulltext.]","author":[{"dropping-particle":"","family":"Teles","given":"Camila A.","non-dropping-particle":"","parse-names":false,"suffix":""},{"dropping-particle":"","family":"Rabelo-Neto","given":"Raimundo C.","non-dropping-particle":"","parse-names":false,"suffix":""},{"dropping-particle":"","family":"Lima","given":"Jerusa R.","non-dropping-particle":"de","parse-names":false,"suffix":""},{"dropping-particle":"V.","family":"Mattos","given":"Lisiane","non-dropping-particle":"","parse-names":false,"suffix":""},{"dropping-particle":"","family":"Resasco","given":"Daniel E.","non-dropping-particle":"","parse-names":false,"suffix":""},{"dropping-particle":"","family":"Noronha","given":"Fabio B.","non-dropping-particle":"","parse-names":false,"suffix":""}],"container-title":"Catalysis Letters","id":"ITEM-1","issue":"10","issued":{"date-parts":[["2016"]]},"page":"1848-1857","publisher":"Springer US","title":"The Effect of Metal Type on Hydrodeoxygenation of Phenol Over Silica Supported Catalysts","type":"article-journal","volume":"146"},"uris":["http://www.mendeley.com/documents/?uuid=cf5ea36e-6240-4f08-8836-d78e394d29dc"]},{"id":"ITEM-2","itemData":{"DOI":"10.1021/acscatal.1c02866","ISSN":"2155-5435","abstract":"Biomass has attracted great attention as an alternative to petrochemicals for the production of valuable chemicals and fuels. Hydrogenolysis reactions over heterogeneous catalysts offer pathways to upgrade renewable compounds to a variety of building block molecules; however, similarities among the functional groups in these reactants frequently limit the selectivity of these reactions. Consequently, a fundamental understanding of how oxygenates adsorb, activate, and react upon solid surfaces is essential for catalyst design and reaction engineering. In this Perspective, we describe significant advances in knowledge of the reaction networks and mechanisms, key reactive intermediates, and active site motifs that allow for the selective production of desired compounds by hydrogenolysis over heterogeneous catalysts. These insights draw from the mechanistic understanding gained from comparisons between kinetic measurements, in situ characterization of catalysts and organic intermediates, and ab initio calculations. Drawing from detailed insight taken from a century of study into reactions of hydrogen with hydrocarbons, we discuss the molecular similarities between reactions that cleave C−O and C−C bonds during hydrogenolysis of biomass-derived compounds that range from simple (e.g., alcohols) to polyfunctional molecules (e.g., guaiacol) on monometallic, bimetallic, and nonmetallic catalysts. Finally, we describe current challenges and opportunities for future research into hydrogenolysis reactions.","author":[{"dropping-particle":"","family":"Yun","given":"Yang Sik","non-dropping-particle":"","parse-names":false,"suffix":""},{"dropping-particle":"","family":"Berdugo-Díaz","given":"Claudia E.","non-dropping-particle":"","parse-names":false,"suffix":""},{"dropping-particle":"","family":"Flaherty","given":"David W","non-dropping-particle":"","parse-names":false,"suffix":""}],"container-title":"ACS Catalysis","id":"ITEM-2","issued":{"date-parts":[["2021"]]},"page":"11193-11232","title":"Advances in Understanding the Selective Hydrogenolysis of Biomass Derivatives","type":"article-journal"},"uris":["http://www.mendeley.com/documents/?uuid=175880a1-d321-46b2-ac29-03d3e4473dc6"]}],"mendeley":{"formattedCitation":"(&lt;i&gt;1&lt;/i&gt;, &lt;i&gt;2&lt;/i&gt;)","plainTextFormattedCitation":"(1, 2)","previouslyFormattedCitation":"(&lt;i&gt;1&lt;/i&gt;, &lt;i&gt;2&lt;/i&gt;)"},"properties":{"noteIndex":0},"schema":"https://github.com/citation-style-language/schema/raw/master/csl-citation.json"}</w:instrText>
      </w:r>
      <w:r w:rsidR="00366685">
        <w:fldChar w:fldCharType="separate"/>
      </w:r>
      <w:r w:rsidR="00366685" w:rsidRPr="00366685">
        <w:rPr>
          <w:noProof/>
        </w:rPr>
        <w:t>(</w:t>
      </w:r>
      <w:r w:rsidR="00366685" w:rsidRPr="00366685">
        <w:rPr>
          <w:i/>
          <w:noProof/>
        </w:rPr>
        <w:t>1</w:t>
      </w:r>
      <w:r w:rsidR="00366685" w:rsidRPr="00366685">
        <w:rPr>
          <w:noProof/>
        </w:rPr>
        <w:t xml:space="preserve">, </w:t>
      </w:r>
      <w:r w:rsidR="00366685" w:rsidRPr="00366685">
        <w:rPr>
          <w:i/>
          <w:noProof/>
        </w:rPr>
        <w:t>2</w:t>
      </w:r>
      <w:r w:rsidR="00366685" w:rsidRPr="00366685">
        <w:rPr>
          <w:noProof/>
        </w:rPr>
        <w:t>)</w:t>
      </w:r>
      <w:r w:rsidR="00366685">
        <w:fldChar w:fldCharType="end"/>
      </w:r>
      <w:r w:rsidR="00366685" w:rsidRPr="00366685">
        <w:rPr>
          <w:rFonts w:ascii="Times New Roman" w:hAnsi="Times New Roman"/>
        </w:rPr>
        <w:t xml:space="preserve">. However, the reaction network can also encompass other pathways, such as metal-catalyzed demethylations and C-C hydrogenolyses </w:t>
      </w:r>
      <w:r w:rsidR="00366685">
        <w:fldChar w:fldCharType="begin" w:fldLock="1"/>
      </w:r>
      <w:r w:rsidR="00FE0CDC">
        <w:instrText>ADDIN CSL_CITATION {"citationItems":[{"id":"ITEM-1","itemData":{"DOI":"10.1021/ef901222z","ISSN":"08870624","abstract":"Bimetallic NiMo carbide supported on SiO2 has been synthesized by means of a temperature-programmed reaction. Characterization was performed by elemental analysis, Brunauer-Emmett-Teller (BET) surface area analysis, temperature-programmed reduction (H2-TPR), temperature-programmed oxidation (TPO), temperature-programmed desorption of NH3 (NH3-TPD), and X-ray diffraction (XRD). Elemental analysis and TPO characterization indicated that carbon was successfully introduced into the lattice of NiMo carbide by a temperature-programmed reaction with a mixture of H2 and CH4. Ethyl benzoate was used as a model molecule to investigate the hydrodeoxygenation (HDO) activities of NiMo carbide. As a comparison, HDOreactions of ethyl benzoate were also investigated overMocarbide as well asCoMosulfide. The results indicated that NiMo carbide was the most stable catalyst forHDOamong the samples. On the basis of the hydrodeoxygenation (HDO) evaluation of ethyl benzoate and characterization of passivated and used NiMo carbide, it can be deduced that the changes of catalytic activity of NiMo carbide, duringHDOreactions, may be ascribed to oxygen accumulation as well as coke deposition on the surface of the catalyst. HDO reactions of acetone and acetaldehyde were also investigated over NiMo carbide. The results indicated that NiMo carbide was a highly active and stable catalyst for HDO of acetone and acetaldehyde. © 2010 American Chemical Society.","author":[{"dropping-particle":"","family":"Zhang","given":"Wei","non-dropping-particle":"","parse-names":false,"suffix":""},{"dropping-particle":"","family":"Zhang","given":"Ye","non-dropping-particle":"","parse-names":false,"suffix":""},{"dropping-particle":"","family":"Zhao","given":"Liangfu","non-dropping-particle":"","parse-names":false,"suffix":""},{"dropping-particle":"","family":"Wei","given":"Wei","non-dropping-particle":"","parse-names":false,"suffix":""}],"container-title":"Energy and Fuels","id":"ITEM-1","issue":"3","issued":{"date-parts":[["2010"]]},"page":"2052-2059","title":"Catalytic activities of NiMo carbide supported on SiO2 for the hydrodeoxygenation of ethyl benzoate, acetone, and acetaldehyde","type":"article-journal","volume":"24"},"uris":["http://www.mendeley.com/documents/?uuid=7bc406d0-ff2f-4128-9d79-c7aff13fb172"]}],"mendeley":{"formattedCitation":"(&lt;i&gt;3&lt;/i&gt;)","plainTextFormattedCitation":"(3)","previouslyFormattedCitation":"(&lt;i&gt;3&lt;/i&gt;)"},"properties":{"noteIndex":0},"schema":"https://github.com/citation-style-language/schema/raw/master/csl-citation.json"}</w:instrText>
      </w:r>
      <w:r w:rsidR="00366685">
        <w:fldChar w:fldCharType="separate"/>
      </w:r>
      <w:r w:rsidR="00366685" w:rsidRPr="00366685">
        <w:rPr>
          <w:noProof/>
        </w:rPr>
        <w:t>(</w:t>
      </w:r>
      <w:r w:rsidR="00366685" w:rsidRPr="00366685">
        <w:rPr>
          <w:i/>
          <w:noProof/>
        </w:rPr>
        <w:t>3</w:t>
      </w:r>
      <w:r w:rsidR="00366685" w:rsidRPr="00366685">
        <w:rPr>
          <w:noProof/>
        </w:rPr>
        <w:t>)</w:t>
      </w:r>
      <w:r w:rsidR="00366685">
        <w:fldChar w:fldCharType="end"/>
      </w:r>
      <w:r w:rsidR="00366685" w:rsidRPr="00366685">
        <w:rPr>
          <w:rFonts w:ascii="Times New Roman" w:hAnsi="Times New Roman"/>
        </w:rPr>
        <w:t xml:space="preserve">; </w:t>
      </w:r>
      <w:proofErr w:type="spellStart"/>
      <w:r w:rsidR="00366685" w:rsidRPr="00366685">
        <w:rPr>
          <w:rFonts w:ascii="Times New Roman" w:hAnsi="Times New Roman"/>
        </w:rPr>
        <w:t>Brønsted</w:t>
      </w:r>
      <w:proofErr w:type="spellEnd"/>
      <w:r w:rsidR="00366685" w:rsidRPr="00366685">
        <w:rPr>
          <w:rFonts w:ascii="Times New Roman" w:hAnsi="Times New Roman"/>
        </w:rPr>
        <w:t xml:space="preserve">/Lewis acid-catalyzed condensations </w:t>
      </w:r>
      <w:r w:rsidR="00366685">
        <w:fldChar w:fldCharType="begin" w:fldLock="1"/>
      </w:r>
      <w:r w:rsidR="00FE0CDC">
        <w:instrText>ADDIN CSL_CITATION {"citationItems":[{"id":"ITEM-1","itemData":{"DOI":"10.1021/jacs.5b07401","ISSN":"15205126","abstract":"The effects of surface acidity on the cascade ethanol-to-isobutene conversion were studied using ZnxZryOz catalysts. The ethanol-to-isobutene reaction was found to be limited by the secondary reaction of the key intermediate, acetone, namely the acetone-to-isobutene reaction. Although the catalysts with coexisting Brønsted acidity could catalyze the rate-limiting acetone-to-isobutene reaction, the presence of Brønsted acidity is also detrimental. First, secondary isobutene isomerization is favored, producing a mixture of butene isomers. Second, undesired polymerization and coke formation prevail, leading to rapid catalyst deactivation. Most importantly, both steady-state and kinetic reaction studies as well as FTIR analysis of adsorbed acetone-d6 and D2O unambiguously showed that a highly active and selective nature of balanced Lewis acid-base pairs was masked by the coexisting Brønsted acidity in the aldolization and self-deoxygenation of acetone to isobutene. As a result, ZnxZryOz catalysts with only Lewis acid-base pairs were discovered, on which nearly a theoretical selectivity to isobutene (</w:instrText>
      </w:r>
      <w:r w:rsidR="00FE0CDC">
        <w:rPr>
          <w:rFonts w:ascii="Cambria Math" w:hAnsi="Cambria Math" w:cs="Cambria Math"/>
        </w:rPr>
        <w:instrText>∼</w:instrText>
      </w:r>
      <w:r w:rsidR="00FE0CDC">
        <w:instrText>88.9%) was successfully achieved, which has never been reported before. Moreover, the absence of Brønsted acidity in such ZnxZryOz catalysts also eliminates the side isobutene isomerization and undesired polymerization/coke reactions, resulting in the production of high purity isobutene with significantly improved catalyst stability (&lt;2% activity loss after 200 h time-on-stream). This work not only demonstrates a balanced Lewis acid-base pair for the highly active and selective cascade ethanol-to-isobutene reaction but also sheds light on the rational design of selective and robust acid-base catalyst for C-C coupling via aldolization reaction.","author":[{"dropping-particle":"","family":"Sun","given":"Junming","non-dropping-particle":"","parse-names":false,"suffix":""},{"dropping-particle":"","family":"Baylon","given":"Rebecca A.L.","non-dropping-particle":"","parse-names":false,"suffix":""},{"dropping-particle":"","family":"Liu","given":"Changjun","non-dropping-particle":"","parse-names":false,"suffix":""},{"dropping-particle":"","family":"Mei","given":"Donghai","non-dropping-particle":"","parse-names":false,"suffix":""},{"dropping-particle":"","family":"Martin","given":"Kevin J.","non-dropping-particle":"","parse-names":false,"suffix":""},{"dropping-particle":"","family":"Venkitasubramanian","given":"Padmesh","non-dropping-particle":"","parse-names":false,"suffix":""},{"dropping-particle":"","family":"Wang","given":"Yong","non-dropping-particle":"","parse-names":false,"suffix":""}],"container-title":"Journal of the American Chemical Society","id":"ITEM-1","issue":"2","issued":{"date-parts":[["2016"]]},"page":"507-517","title":"Key Roles of Lewis Acid-Base Pairs on ZnxZryOz in Direct Ethanol/Acetone to Isobutene Conversion","type":"article-journal","volume":"138"},"uris":["http://www.mendeley.com/documents/?uuid=cc56cc62-3f28-43f2-94bf-eb623e672ac4"]}],"mendeley":{"formattedCitation":"(&lt;i&gt;4&lt;/i&gt;)","plainTextFormattedCitation":"(4)","previouslyFormattedCitation":"(&lt;i&gt;4&lt;/i&gt;)"},"properties":{"noteIndex":0},"schema":"https://github.com/citation-style-language/schema/raw/master/csl-citation.json"}</w:instrText>
      </w:r>
      <w:r w:rsidR="00366685">
        <w:fldChar w:fldCharType="separate"/>
      </w:r>
      <w:r w:rsidR="00366685" w:rsidRPr="00366685">
        <w:rPr>
          <w:noProof/>
        </w:rPr>
        <w:t>(</w:t>
      </w:r>
      <w:r w:rsidR="00366685" w:rsidRPr="00366685">
        <w:rPr>
          <w:i/>
          <w:noProof/>
        </w:rPr>
        <w:t>4</w:t>
      </w:r>
      <w:r w:rsidR="00366685" w:rsidRPr="00366685">
        <w:rPr>
          <w:noProof/>
        </w:rPr>
        <w:t>)</w:t>
      </w:r>
      <w:r w:rsidR="00366685">
        <w:fldChar w:fldCharType="end"/>
      </w:r>
      <w:r w:rsidR="00366685" w:rsidRPr="00366685">
        <w:rPr>
          <w:rFonts w:ascii="Times New Roman" w:hAnsi="Times New Roman"/>
        </w:rPr>
        <w:t xml:space="preserve">; and oxygen vacancy-mediated direct deoxygenation </w:t>
      </w:r>
      <w:r w:rsidR="00366685">
        <w:fldChar w:fldCharType="begin" w:fldLock="1"/>
      </w:r>
      <w:r w:rsidR="00FE0CDC">
        <w:instrText>ADDIN CSL_CITATION {"citationItems":[{"id":"ITEM-1","itemData":{"DOI":"10.1039/c3ee24360e","ISSN":"17545692","abstract":"Effective hydrodeoxygenation of biomass-derived oxygenates is achieved with MoO3 to produce unsaturated hydrocarbons, converting linear ketones and cyclic ethers to olefins, and cyclic ketones and phenolics to aromatics with high yields. The catalyst is selective for C-O bond cleavage and operates using low H2 pressures (≤1 bar). We show that deactivation can be minimised by tuning hydrogen partial pressure, that original activity can be recovered by calcination, and that catalytic activity can be maintained in the presence of water. Theoretical calculations are used to elucidate reaction pathways and highlight the role of oxygen vacancies in the deoxygenation process. © 2013 The Royal Society of Chemistry.","author":[{"dropping-particle":"","family":"Prasomsri","given":"Teerawit","non-dropping-particle":"","parse-names":false,"suffix":""},{"dropping-particle":"","family":"Nimmanwudipong","given":"Tarit","non-dropping-particle":"","parse-names":false,"suffix":""},{"dropping-particle":"","family":"Román-Leshkov","given":"Yuriy","non-dropping-particle":"","parse-names":false,"suffix":""}],"container-title":"Energy and Environmental Science","id":"ITEM-1","issue":"6","issued":{"date-parts":[["2013"]]},"page":"1732-1738","title":"Effective hydrodeoxygenation of biomass-derived oxygenates into unsaturated hydrocarbons by MoO3 using low H2 pressures","type":"article-journal","volume":"6"},"uris":["http://www.mendeley.com/documents/?uuid=cbc6cf6c-ecae-48fe-81ae-9a984be5662b"]}],"mendeley":{"formattedCitation":"(&lt;i&gt;5&lt;/i&gt;)","plainTextFormattedCitation":"(5)","previouslyFormattedCitation":"(&lt;i&gt;5&lt;/i&gt;)"},"properties":{"noteIndex":0},"schema":"https://github.com/citation-style-language/schema/raw/master/csl-citation.json"}</w:instrText>
      </w:r>
      <w:r w:rsidR="00366685">
        <w:fldChar w:fldCharType="separate"/>
      </w:r>
      <w:r w:rsidR="00366685" w:rsidRPr="00366685">
        <w:rPr>
          <w:noProof/>
        </w:rPr>
        <w:t>(</w:t>
      </w:r>
      <w:r w:rsidR="00366685" w:rsidRPr="00366685">
        <w:rPr>
          <w:i/>
          <w:noProof/>
        </w:rPr>
        <w:t>5</w:t>
      </w:r>
      <w:r w:rsidR="00366685" w:rsidRPr="00366685">
        <w:rPr>
          <w:noProof/>
        </w:rPr>
        <w:t>)</w:t>
      </w:r>
      <w:r w:rsidR="00366685">
        <w:fldChar w:fldCharType="end"/>
      </w:r>
      <w:r w:rsidR="00366685" w:rsidRPr="00366685">
        <w:rPr>
          <w:rFonts w:ascii="Times New Roman" w:hAnsi="Times New Roman"/>
        </w:rPr>
        <w:t>.</w:t>
      </w:r>
    </w:p>
    <w:p w14:paraId="07BC8F03" w14:textId="7D98D2F9" w:rsidR="00FE0CDC" w:rsidRDefault="00366685" w:rsidP="00366685">
      <w:pPr>
        <w:pStyle w:val="TAMainText"/>
        <w:rPr>
          <w:rFonts w:ascii="Times New Roman" w:hAnsi="Times New Roman"/>
        </w:rPr>
      </w:pPr>
      <w:r w:rsidRPr="00366685">
        <w:rPr>
          <w:rFonts w:ascii="Times New Roman" w:hAnsi="Times New Roman"/>
        </w:rPr>
        <w:t xml:space="preserve">In the case of supported metal catalysts, the metal-support interaction (MSI) can play a critical role in tuning the catalytic behavior. The reactivity, selectivity, and stability of catalysts can be tailored by regulating the MSI at the interface between the metallic phase and the support, and both parts have an essential role in the catalytic reactions </w:t>
      </w:r>
      <w:r>
        <w:fldChar w:fldCharType="begin" w:fldLock="1"/>
      </w:r>
      <w:r w:rsidR="00CF09D6">
        <w:instrText>ADDIN CSL_CITATION {"citationItems":[{"id":"ITEM-1","itemData":{"DOI":"10.1039/c8ta08142e","ISSN":"20507496","abstract":"The interplay between the metal-support interaction and stability with respect to sintering has been investigated for Pt nanoparticles supported on well-ordered Co3O4(111)/Ir(100) films in UHV and under oxidizing conditions by means of synchrotron radiation photoelectron spectroscopy (SRPES) and near ambient pressure X-ray photoelectron spectroscopy (NAP XPS). The electronic metal-support interaction between Pt and Co3O4(111) associated with charge transfer results in partial reduction of Co3O4(111) yielding partially oxidized Ptδ+ species at the interface. The stability of the supported Pt particles is coupled with the oxidation state of Ptδ+ species, which can be reduced or oxidized depending on the Pt coverage and reactive environment. Annealing of Pt/Co3O4(111)/Ir(100) in UHV triggers the reduction of Ptδ+ species. At higher temperature, reverse spillover of oxygen to the Pt nanoparticles is accompanied by reduction of Co3O4(111). Under these conditions, the oxidation state of Ptδ+ species depends strongly on Pt coverage. Thus, at low Pt coverage (0.3 ML Pt), Ptδ+ is converted to Pt4+, at intermediate coverage (1.3 ML Pt), Ptδ+ remains stable, and at high Pt coverage (1.93 ML), Ptδ+ is reduced to Pt0. Sintering of Pt particles is associated with the reduction of the Ptδ+ species. This process is prevented under oxidizing conditions due to the formation of an interfacial oxide PtOx. The formation of an interfacial PtOx is observed at 300 K under exposure to 1 × 10-6 mbar O2 at Pt coverages below 1.3 ML. Using NAP XPS, we observe the formation of an interfacial PtOx at high Pt coverage (2.0 ML) in an oxygen atmosphere (1 mbar) at 300 K while the formation of surface PtOx is kinetically hindered and occurs above 550 K only.","author":[{"dropping-particle":"","family":"Lykhach","given":"Yaroslava","non-dropping-particle":"","parse-names":false,"suffix":""},{"dropping-particle":"","family":"Faisal","given":"Firas","non-dropping-particle":"","parse-names":false,"suffix":""},{"dropping-particle":"","family":"Skála","given":"Tomáš","non-dropping-particle":"","parse-names":false,"suffix":""},{"dropping-particle":"","family":"Neitzel","given":"Armin","non-dropping-particle":"","parse-names":false,"suffix":""},{"dropping-particle":"","family":"Tsud","given":"Nataliya","non-dropping-particle":"","parse-names":false,"suffix":""},{"dropping-particle":"","family":"Vorokhta","given":"Mykhailo","non-dropping-particle":"","parse-names":false,"suffix":""},{"dropping-particle":"","family":"Dvořák","given":"Filip","non-dropping-particle":"","parse-names":false,"suffix":""},{"dropping-particle":"","family":"Beranová","given":"Klára","non-dropping-particle":"","parse-names":false,"suffix":""},{"dropping-particle":"","family":"Kosto","given":"Yuliia","non-dropping-particle":"","parse-names":false,"suffix":""},{"dropping-particle":"","family":"Prince","given":"Kevin C.","non-dropping-particle":"","parse-names":false,"suffix":""},{"dropping-particle":"","family":"Matolín","given":"Vladimír","non-dropping-particle":"","parse-names":false,"suffix":""},{"dropping-particle":"","family":"Libuda","given":"Jörg","non-dropping-particle":"","parse-names":false,"suffix":""}],"container-title":"Journal of Materials Chemistry A","id":"ITEM-1","issue":"45","issued":{"date-parts":[["2018"]]},"page":"23078-23086","title":"Interplay between the metal-support interaction and stability in Pt/Co3O4(111) model catalysts","type":"article-journal","volume":"6"},"uris":["http://www.mendeley.com/documents/?uuid=b3ada419-da4d-4a40-b5f9-80a25cfa4ed8"]}],"mendeley":{"formattedCitation":"(&lt;i&gt;6&lt;/i&gt;)","plainTextFormattedCitation":"(6)","previouslyFormattedCitation":"(&lt;i&gt;6&lt;/i&gt;)"},"properties":{"noteIndex":0},"schema":"https://github.com/citation-style-language/schema/raw/master/csl-citation.json"}</w:instrText>
      </w:r>
      <w:r>
        <w:fldChar w:fldCharType="separate"/>
      </w:r>
      <w:r w:rsidR="00FE0CDC" w:rsidRPr="00FE0CDC">
        <w:rPr>
          <w:noProof/>
        </w:rPr>
        <w:t>(</w:t>
      </w:r>
      <w:r w:rsidR="00FE0CDC" w:rsidRPr="00FE0CDC">
        <w:rPr>
          <w:i/>
          <w:noProof/>
        </w:rPr>
        <w:t>6</w:t>
      </w:r>
      <w:r w:rsidR="00FE0CDC" w:rsidRPr="00FE0CDC">
        <w:rPr>
          <w:noProof/>
        </w:rPr>
        <w:t>)</w:t>
      </w:r>
      <w:r>
        <w:fldChar w:fldCharType="end"/>
      </w:r>
      <w:r w:rsidRPr="00366685">
        <w:rPr>
          <w:rFonts w:ascii="Times New Roman" w:hAnsi="Times New Roman"/>
        </w:rPr>
        <w:t xml:space="preserve">. One of the main strategies to tune MSI involves the </w:t>
      </w:r>
      <w:r w:rsidR="0057119E">
        <w:rPr>
          <w:noProof/>
        </w:rPr>
        <w:lastRenderedPageBreak/>
        <mc:AlternateContent>
          <mc:Choice Requires="wps">
            <w:drawing>
              <wp:anchor distT="0" distB="0" distL="114300" distR="114300" simplePos="0" relativeHeight="251663359" behindDoc="0" locked="0" layoutInCell="1" allowOverlap="1" wp14:anchorId="4BFB3F2C" wp14:editId="2776B50D">
                <wp:simplePos x="0" y="0"/>
                <wp:positionH relativeFrom="column">
                  <wp:align>left</wp:align>
                </wp:positionH>
                <wp:positionV relativeFrom="page">
                  <wp:posOffset>4972050</wp:posOffset>
                </wp:positionV>
                <wp:extent cx="6438900" cy="609600"/>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6438900" cy="609600"/>
                        </a:xfrm>
                        <a:prstGeom prst="rect">
                          <a:avLst/>
                        </a:prstGeom>
                        <a:solidFill>
                          <a:prstClr val="white"/>
                        </a:solidFill>
                        <a:ln>
                          <a:noFill/>
                        </a:ln>
                      </wps:spPr>
                      <wps:txbx>
                        <w:txbxContent>
                          <w:p w14:paraId="7509EA47" w14:textId="39EB47A0" w:rsidR="003C69B2" w:rsidRPr="003C69B2" w:rsidRDefault="003C69B2" w:rsidP="003C69B2">
                            <w:pPr>
                              <w:pStyle w:val="TAMainText"/>
                              <w:ind w:firstLine="0"/>
                              <w:rPr>
                                <w:rFonts w:ascii="Times New Roman" w:hAnsi="Times New Roman"/>
                                <w:sz w:val="18"/>
                              </w:rPr>
                            </w:pPr>
                            <w:r w:rsidRPr="003C69B2">
                              <w:rPr>
                                <w:b/>
                                <w:sz w:val="18"/>
                              </w:rPr>
                              <w:t xml:space="preserve">Figure </w:t>
                            </w:r>
                            <w:r w:rsidRPr="003C69B2">
                              <w:rPr>
                                <w:b/>
                                <w:sz w:val="18"/>
                              </w:rPr>
                              <w:fldChar w:fldCharType="begin"/>
                            </w:r>
                            <w:r w:rsidRPr="003C69B2">
                              <w:rPr>
                                <w:b/>
                                <w:sz w:val="18"/>
                              </w:rPr>
                              <w:instrText xml:space="preserve"> SEQ Figure \* ARABIC </w:instrText>
                            </w:r>
                            <w:r w:rsidRPr="003C69B2">
                              <w:rPr>
                                <w:b/>
                                <w:sz w:val="18"/>
                              </w:rPr>
                              <w:fldChar w:fldCharType="separate"/>
                            </w:r>
                            <w:r w:rsidR="008E4D95">
                              <w:rPr>
                                <w:b/>
                                <w:noProof/>
                                <w:sz w:val="18"/>
                              </w:rPr>
                              <w:t>1</w:t>
                            </w:r>
                            <w:r w:rsidRPr="003C69B2">
                              <w:rPr>
                                <w:b/>
                                <w:sz w:val="18"/>
                              </w:rPr>
                              <w:fldChar w:fldCharType="end"/>
                            </w:r>
                            <w:r w:rsidRPr="003C69B2">
                              <w:rPr>
                                <w:b/>
                                <w:sz w:val="18"/>
                              </w:rPr>
                              <w:t>:</w:t>
                            </w:r>
                            <w:r w:rsidRPr="003C69B2">
                              <w:rPr>
                                <w:sz w:val="18"/>
                              </w:rPr>
                              <w:t xml:space="preserve"> </w:t>
                            </w:r>
                            <w:r w:rsidRPr="003C69B2">
                              <w:rPr>
                                <w:rFonts w:ascii="Times New Roman" w:hAnsi="Times New Roman"/>
                                <w:sz w:val="18"/>
                              </w:rPr>
                              <w:t>(a) SEM micrograph of TiO</w:t>
                            </w:r>
                            <w:r w:rsidRPr="007C355B">
                              <w:rPr>
                                <w:rFonts w:ascii="Times New Roman" w:hAnsi="Times New Roman"/>
                                <w:sz w:val="18"/>
                                <w:vertAlign w:val="subscript"/>
                              </w:rPr>
                              <w:t>2</w:t>
                            </w:r>
                            <w:r w:rsidRPr="003C69B2">
                              <w:rPr>
                                <w:rFonts w:ascii="Times New Roman" w:hAnsi="Times New Roman"/>
                                <w:sz w:val="18"/>
                              </w:rPr>
                              <w:t>NRs; (b-c) HR-TEM of TiO</w:t>
                            </w:r>
                            <w:r w:rsidRPr="007C355B">
                              <w:rPr>
                                <w:rFonts w:ascii="Times New Roman" w:hAnsi="Times New Roman"/>
                                <w:sz w:val="18"/>
                                <w:vertAlign w:val="subscript"/>
                              </w:rPr>
                              <w:t>2</w:t>
                            </w:r>
                            <w:r w:rsidRPr="003C69B2">
                              <w:rPr>
                                <w:rFonts w:ascii="Times New Roman" w:hAnsi="Times New Roman"/>
                                <w:sz w:val="18"/>
                              </w:rPr>
                              <w:t>NRs and FFT of (c) as inset; (d) (001) and (110) planes of TiO</w:t>
                            </w:r>
                            <w:r w:rsidRPr="007C355B">
                              <w:rPr>
                                <w:rFonts w:ascii="Times New Roman" w:hAnsi="Times New Roman"/>
                                <w:sz w:val="18"/>
                                <w:vertAlign w:val="subscript"/>
                              </w:rPr>
                              <w:t>2</w:t>
                            </w:r>
                            <w:r w:rsidRPr="003C69B2">
                              <w:rPr>
                                <w:rFonts w:ascii="Times New Roman" w:hAnsi="Times New Roman"/>
                                <w:sz w:val="18"/>
                              </w:rPr>
                              <w:t xml:space="preserve"> (B) unit cell of the respective planes observed in (c); (e) XRD patterns of calcined TiO</w:t>
                            </w:r>
                            <w:r w:rsidRPr="007C355B">
                              <w:rPr>
                                <w:rFonts w:ascii="Times New Roman" w:hAnsi="Times New Roman"/>
                                <w:sz w:val="18"/>
                                <w:vertAlign w:val="subscript"/>
                              </w:rPr>
                              <w:t>2</w:t>
                            </w:r>
                            <w:r w:rsidRPr="003C69B2">
                              <w:rPr>
                                <w:rFonts w:ascii="Times New Roman" w:hAnsi="Times New Roman"/>
                                <w:sz w:val="18"/>
                              </w:rPr>
                              <w:t>NRs and TiO</w:t>
                            </w:r>
                            <w:r w:rsidRPr="007C355B">
                              <w:rPr>
                                <w:rFonts w:ascii="Times New Roman" w:hAnsi="Times New Roman"/>
                                <w:sz w:val="18"/>
                                <w:vertAlign w:val="subscript"/>
                              </w:rPr>
                              <w:t>2</w:t>
                            </w:r>
                            <w:r w:rsidRPr="003C69B2">
                              <w:rPr>
                                <w:rFonts w:ascii="Times New Roman" w:hAnsi="Times New Roman"/>
                                <w:sz w:val="18"/>
                              </w:rPr>
                              <w:t>NRs@Nb</w:t>
                            </w:r>
                            <w:r w:rsidRPr="007C355B">
                              <w:rPr>
                                <w:rFonts w:ascii="Times New Roman" w:hAnsi="Times New Roman"/>
                                <w:sz w:val="18"/>
                                <w:vertAlign w:val="subscript"/>
                              </w:rPr>
                              <w:t>2</w:t>
                            </w:r>
                            <w:r w:rsidRPr="003C69B2">
                              <w:rPr>
                                <w:rFonts w:ascii="Times New Roman" w:hAnsi="Times New Roman"/>
                                <w:sz w:val="18"/>
                              </w:rPr>
                              <w:t>O</w:t>
                            </w:r>
                            <w:r w:rsidRPr="007C355B">
                              <w:rPr>
                                <w:rFonts w:ascii="Times New Roman" w:hAnsi="Times New Roman"/>
                                <w:sz w:val="18"/>
                                <w:vertAlign w:val="subscript"/>
                              </w:rPr>
                              <w:t>5</w:t>
                            </w:r>
                            <w:r w:rsidRPr="003C69B2">
                              <w:rPr>
                                <w:rFonts w:ascii="Times New Roman" w:hAnsi="Times New Roman"/>
                                <w:sz w:val="18"/>
                              </w:rPr>
                              <w:t xml:space="preserve"> </w:t>
                            </w:r>
                            <w:proofErr w:type="spellStart"/>
                            <w:r w:rsidRPr="003C69B2">
                              <w:rPr>
                                <w:rFonts w:ascii="Times New Roman" w:hAnsi="Times New Roman"/>
                                <w:sz w:val="18"/>
                              </w:rPr>
                              <w:t>core@shell</w:t>
                            </w:r>
                            <w:proofErr w:type="spellEnd"/>
                            <w:r w:rsidRPr="003C69B2">
                              <w:rPr>
                                <w:rFonts w:ascii="Times New Roman" w:hAnsi="Times New Roman"/>
                                <w:sz w:val="18"/>
                              </w:rPr>
                              <w:t>; (S)TEM of reduced (f) TiO</w:t>
                            </w:r>
                            <w:r w:rsidRPr="007C355B">
                              <w:rPr>
                                <w:rFonts w:ascii="Times New Roman" w:hAnsi="Times New Roman"/>
                                <w:sz w:val="18"/>
                                <w:vertAlign w:val="subscript"/>
                              </w:rPr>
                              <w:t>2</w:t>
                            </w:r>
                            <w:r w:rsidRPr="003C69B2">
                              <w:rPr>
                                <w:rFonts w:ascii="Times New Roman" w:hAnsi="Times New Roman"/>
                                <w:sz w:val="18"/>
                              </w:rPr>
                              <w:t xml:space="preserve">NRs 5 wt.% Fe </w:t>
                            </w:r>
                            <w:r w:rsidR="00347CA0">
                              <w:rPr>
                                <w:rFonts w:ascii="Times New Roman" w:hAnsi="Times New Roman"/>
                                <w:sz w:val="18"/>
                              </w:rPr>
                              <w:t xml:space="preserve"> (</w:t>
                            </w:r>
                            <w:r w:rsidRPr="003C69B2">
                              <w:rPr>
                                <w:rFonts w:ascii="Times New Roman" w:hAnsi="Times New Roman"/>
                                <w:sz w:val="18"/>
                              </w:rPr>
                              <w:t xml:space="preserve">inset showing the cuboidal </w:t>
                            </w:r>
                            <w:proofErr w:type="spellStart"/>
                            <w:r w:rsidRPr="003C69B2">
                              <w:rPr>
                                <w:rFonts w:ascii="Times New Roman" w:hAnsi="Times New Roman"/>
                                <w:sz w:val="18"/>
                              </w:rPr>
                              <w:t>Fe</w:t>
                            </w:r>
                            <w:r w:rsidR="007C355B">
                              <w:rPr>
                                <w:rFonts w:ascii="Times New Roman" w:hAnsi="Times New Roman"/>
                                <w:sz w:val="18"/>
                              </w:rPr>
                              <w:t>@</w:t>
                            </w:r>
                            <w:r w:rsidRPr="003C69B2">
                              <w:rPr>
                                <w:rFonts w:ascii="Times New Roman" w:hAnsi="Times New Roman"/>
                                <w:sz w:val="18"/>
                              </w:rPr>
                              <w:t>FeO</w:t>
                            </w:r>
                            <w:r w:rsidRPr="00CF09D6">
                              <w:rPr>
                                <w:rFonts w:ascii="Times New Roman" w:hAnsi="Times New Roman"/>
                                <w:sz w:val="18"/>
                                <w:vertAlign w:val="subscript"/>
                              </w:rPr>
                              <w:t>x</w:t>
                            </w:r>
                            <w:proofErr w:type="spellEnd"/>
                            <w:r w:rsidRPr="003C69B2">
                              <w:rPr>
                                <w:rFonts w:ascii="Times New Roman" w:hAnsi="Times New Roman"/>
                                <w:sz w:val="18"/>
                              </w:rPr>
                              <w:t xml:space="preserve"> particle in higher magnification</w:t>
                            </w:r>
                            <w:r w:rsidR="00347CA0">
                              <w:rPr>
                                <w:rFonts w:ascii="Times New Roman" w:hAnsi="Times New Roman"/>
                                <w:sz w:val="18"/>
                              </w:rPr>
                              <w:t>); and</w:t>
                            </w:r>
                            <w:r w:rsidRPr="003C69B2">
                              <w:rPr>
                                <w:rFonts w:ascii="Times New Roman" w:hAnsi="Times New Roman"/>
                                <w:sz w:val="18"/>
                              </w:rPr>
                              <w:t xml:space="preserve"> (g-h) TiO</w:t>
                            </w:r>
                            <w:r w:rsidRPr="007C355B">
                              <w:rPr>
                                <w:rFonts w:ascii="Times New Roman" w:hAnsi="Times New Roman"/>
                                <w:sz w:val="18"/>
                                <w:vertAlign w:val="subscript"/>
                              </w:rPr>
                              <w:t>2</w:t>
                            </w:r>
                            <w:r w:rsidRPr="003C69B2">
                              <w:rPr>
                                <w:rFonts w:ascii="Times New Roman" w:hAnsi="Times New Roman"/>
                                <w:sz w:val="18"/>
                              </w:rPr>
                              <w:t>NRs@Nb</w:t>
                            </w:r>
                            <w:r w:rsidRPr="007C355B">
                              <w:rPr>
                                <w:rFonts w:ascii="Times New Roman" w:hAnsi="Times New Roman"/>
                                <w:sz w:val="18"/>
                                <w:vertAlign w:val="subscript"/>
                              </w:rPr>
                              <w:t>2</w:t>
                            </w:r>
                            <w:r w:rsidRPr="003C69B2">
                              <w:rPr>
                                <w:rFonts w:ascii="Times New Roman" w:hAnsi="Times New Roman"/>
                                <w:sz w:val="18"/>
                              </w:rPr>
                              <w:t>O</w:t>
                            </w:r>
                            <w:r w:rsidRPr="007C355B">
                              <w:rPr>
                                <w:rFonts w:ascii="Times New Roman" w:hAnsi="Times New Roman"/>
                                <w:sz w:val="18"/>
                                <w:vertAlign w:val="subscript"/>
                              </w:rPr>
                              <w:t>5</w:t>
                            </w:r>
                            <w:r w:rsidRPr="003C69B2">
                              <w:rPr>
                                <w:rFonts w:ascii="Times New Roman" w:hAnsi="Times New Roman"/>
                                <w:sz w:val="18"/>
                              </w:rPr>
                              <w:t xml:space="preserve"> 5 wt.% Fe.</w:t>
                            </w:r>
                          </w:p>
                          <w:p w14:paraId="152D29C0" w14:textId="77777777" w:rsidR="003C69B2" w:rsidRPr="003C69B2" w:rsidRDefault="003C69B2" w:rsidP="003C69B2">
                            <w:pPr>
                              <w:pStyle w:val="TAMainText"/>
                              <w:ind w:firstLine="0"/>
                              <w:rPr>
                                <w:rFonts w:ascii="Times New Roman" w:hAnsi="Times New Roman"/>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BFB3F2C" id="_x0000_t202" coordsize="21600,21600" o:spt="202" path="m,l,21600r21600,l21600,xe">
                <v:stroke joinstyle="miter"/>
                <v:path gradientshapeok="t" o:connecttype="rect"/>
              </v:shapetype>
              <v:shape id="Text Box 1" o:spid="_x0000_s1028" type="#_x0000_t202" style="position:absolute;left:0;text-align:left;margin-left:0;margin-top:391.5pt;width:507pt;height:48pt;z-index:251663359;visibility:visible;mso-wrap-style:square;mso-width-percent:0;mso-wrap-distance-left:9pt;mso-wrap-distance-top:0;mso-wrap-distance-right:9pt;mso-wrap-distance-bottom:0;mso-position-horizontal:left;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" stroked="f">
                <v:textbox style="mso-fit-shape-to-text:t" inset="0,0,0,0">
                  <w:txbxContent>
                    <w:p w14:paraId="7509EA47" w14:textId="39EB47A0" w:rsidR="003C69B2" w:rsidRPr="003C69B2" w:rsidRDefault="003C69B2" w:rsidP="003C69B2">
                      <w:pPr>
                        <w:pStyle w:val="TAMainText"/>
                        <w:ind w:firstLine="0"/>
                        <w:rPr>
                          <w:rFonts w:ascii="Times New Roman" w:hAnsi="Times New Roman"/>
                          <w:sz w:val="18"/>
                        </w:rPr>
                      </w:pPr>
                      <w:r w:rsidRPr="003C69B2">
                        <w:rPr>
                          <w:b/>
                          <w:sz w:val="18"/>
                        </w:rPr>
                        <w:t xml:space="preserve">Figure </w:t>
                      </w:r>
                      <w:r w:rsidRPr="003C69B2">
                        <w:rPr>
                          <w:b/>
                          <w:sz w:val="18"/>
                        </w:rPr>
                        <w:fldChar w:fldCharType="begin"/>
                      </w:r>
                      <w:r w:rsidRPr="003C69B2">
                        <w:rPr>
                          <w:b/>
                          <w:sz w:val="18"/>
                        </w:rPr>
                        <w:instrText xml:space="preserve"> SEQ Figure \* ARABIC </w:instrText>
                      </w:r>
                      <w:r w:rsidRPr="003C69B2">
                        <w:rPr>
                          <w:b/>
                          <w:sz w:val="18"/>
                        </w:rPr>
                        <w:fldChar w:fldCharType="separate"/>
                      </w:r>
                      <w:r w:rsidR="008E4D95">
                        <w:rPr>
                          <w:b/>
                          <w:noProof/>
                          <w:sz w:val="18"/>
                        </w:rPr>
                        <w:t>1</w:t>
                      </w:r>
                      <w:r w:rsidRPr="003C69B2">
                        <w:rPr>
                          <w:b/>
                          <w:sz w:val="18"/>
                        </w:rPr>
                        <w:fldChar w:fldCharType="end"/>
                      </w:r>
                      <w:r w:rsidRPr="003C69B2">
                        <w:rPr>
                          <w:b/>
                          <w:sz w:val="18"/>
                        </w:rPr>
                        <w:t>:</w:t>
                      </w:r>
                      <w:r w:rsidRPr="003C69B2">
                        <w:rPr>
                          <w:sz w:val="18"/>
                        </w:rPr>
                        <w:t xml:space="preserve"> </w:t>
                      </w:r>
                      <w:r w:rsidRPr="003C69B2">
                        <w:rPr>
                          <w:rFonts w:ascii="Times New Roman" w:hAnsi="Times New Roman"/>
                          <w:sz w:val="18"/>
                        </w:rPr>
                        <w:t>(a) SEM micrograph of TiO</w:t>
                      </w:r>
                      <w:r w:rsidRPr="007C355B">
                        <w:rPr>
                          <w:rFonts w:ascii="Times New Roman" w:hAnsi="Times New Roman"/>
                          <w:sz w:val="18"/>
                          <w:vertAlign w:val="subscript"/>
                        </w:rPr>
                        <w:t>2</w:t>
                      </w:r>
                      <w:r w:rsidRPr="003C69B2">
                        <w:rPr>
                          <w:rFonts w:ascii="Times New Roman" w:hAnsi="Times New Roman"/>
                          <w:sz w:val="18"/>
                        </w:rPr>
                        <w:t>NRs; (b-c) HR-TEM of TiO</w:t>
                      </w:r>
                      <w:r w:rsidRPr="007C355B">
                        <w:rPr>
                          <w:rFonts w:ascii="Times New Roman" w:hAnsi="Times New Roman"/>
                          <w:sz w:val="18"/>
                          <w:vertAlign w:val="subscript"/>
                        </w:rPr>
                        <w:t>2</w:t>
                      </w:r>
                      <w:r w:rsidRPr="003C69B2">
                        <w:rPr>
                          <w:rFonts w:ascii="Times New Roman" w:hAnsi="Times New Roman"/>
                          <w:sz w:val="18"/>
                        </w:rPr>
                        <w:t>NRs and FFT of (c) as inset; (d) (001) and (110) planes of TiO</w:t>
                      </w:r>
                      <w:r w:rsidRPr="007C355B">
                        <w:rPr>
                          <w:rFonts w:ascii="Times New Roman" w:hAnsi="Times New Roman"/>
                          <w:sz w:val="18"/>
                          <w:vertAlign w:val="subscript"/>
                        </w:rPr>
                        <w:t>2</w:t>
                      </w:r>
                      <w:r w:rsidRPr="003C69B2">
                        <w:rPr>
                          <w:rFonts w:ascii="Times New Roman" w:hAnsi="Times New Roman"/>
                          <w:sz w:val="18"/>
                        </w:rPr>
                        <w:t xml:space="preserve"> (B) unit cell of the respective planes observed in (c); (e) XRD patterns of calcined TiO</w:t>
                      </w:r>
                      <w:r w:rsidRPr="007C355B">
                        <w:rPr>
                          <w:rFonts w:ascii="Times New Roman" w:hAnsi="Times New Roman"/>
                          <w:sz w:val="18"/>
                          <w:vertAlign w:val="subscript"/>
                        </w:rPr>
                        <w:t>2</w:t>
                      </w:r>
                      <w:r w:rsidRPr="003C69B2">
                        <w:rPr>
                          <w:rFonts w:ascii="Times New Roman" w:hAnsi="Times New Roman"/>
                          <w:sz w:val="18"/>
                        </w:rPr>
                        <w:t>NRs and TiO</w:t>
                      </w:r>
                      <w:r w:rsidRPr="007C355B">
                        <w:rPr>
                          <w:rFonts w:ascii="Times New Roman" w:hAnsi="Times New Roman"/>
                          <w:sz w:val="18"/>
                          <w:vertAlign w:val="subscript"/>
                        </w:rPr>
                        <w:t>2</w:t>
                      </w:r>
                      <w:r w:rsidRPr="003C69B2">
                        <w:rPr>
                          <w:rFonts w:ascii="Times New Roman" w:hAnsi="Times New Roman"/>
                          <w:sz w:val="18"/>
                        </w:rPr>
                        <w:t>NRs@Nb</w:t>
                      </w:r>
                      <w:r w:rsidRPr="007C355B">
                        <w:rPr>
                          <w:rFonts w:ascii="Times New Roman" w:hAnsi="Times New Roman"/>
                          <w:sz w:val="18"/>
                          <w:vertAlign w:val="subscript"/>
                        </w:rPr>
                        <w:t>2</w:t>
                      </w:r>
                      <w:r w:rsidRPr="003C69B2">
                        <w:rPr>
                          <w:rFonts w:ascii="Times New Roman" w:hAnsi="Times New Roman"/>
                          <w:sz w:val="18"/>
                        </w:rPr>
                        <w:t>O</w:t>
                      </w:r>
                      <w:r w:rsidRPr="007C355B">
                        <w:rPr>
                          <w:rFonts w:ascii="Times New Roman" w:hAnsi="Times New Roman"/>
                          <w:sz w:val="18"/>
                          <w:vertAlign w:val="subscript"/>
                        </w:rPr>
                        <w:t>5</w:t>
                      </w:r>
                      <w:r w:rsidRPr="003C69B2">
                        <w:rPr>
                          <w:rFonts w:ascii="Times New Roman" w:hAnsi="Times New Roman"/>
                          <w:sz w:val="18"/>
                        </w:rPr>
                        <w:t xml:space="preserve"> </w:t>
                      </w:r>
                      <w:proofErr w:type="spellStart"/>
                      <w:r w:rsidRPr="003C69B2">
                        <w:rPr>
                          <w:rFonts w:ascii="Times New Roman" w:hAnsi="Times New Roman"/>
                          <w:sz w:val="18"/>
                        </w:rPr>
                        <w:t>core@shell</w:t>
                      </w:r>
                      <w:proofErr w:type="spellEnd"/>
                      <w:r w:rsidRPr="003C69B2">
                        <w:rPr>
                          <w:rFonts w:ascii="Times New Roman" w:hAnsi="Times New Roman"/>
                          <w:sz w:val="18"/>
                        </w:rPr>
                        <w:t>; (S)TEM of reduced (f) TiO</w:t>
                      </w:r>
                      <w:r w:rsidRPr="007C355B">
                        <w:rPr>
                          <w:rFonts w:ascii="Times New Roman" w:hAnsi="Times New Roman"/>
                          <w:sz w:val="18"/>
                          <w:vertAlign w:val="subscript"/>
                        </w:rPr>
                        <w:t>2</w:t>
                      </w:r>
                      <w:r w:rsidRPr="003C69B2">
                        <w:rPr>
                          <w:rFonts w:ascii="Times New Roman" w:hAnsi="Times New Roman"/>
                          <w:sz w:val="18"/>
                        </w:rPr>
                        <w:t xml:space="preserve">NRs 5 wt.% Fe </w:t>
                      </w:r>
                      <w:r w:rsidR="00347CA0">
                        <w:rPr>
                          <w:rFonts w:ascii="Times New Roman" w:hAnsi="Times New Roman"/>
                          <w:sz w:val="18"/>
                        </w:rPr>
                        <w:t xml:space="preserve"> (</w:t>
                      </w:r>
                      <w:r w:rsidRPr="003C69B2">
                        <w:rPr>
                          <w:rFonts w:ascii="Times New Roman" w:hAnsi="Times New Roman"/>
                          <w:sz w:val="18"/>
                        </w:rPr>
                        <w:t xml:space="preserve">inset showing the cuboidal </w:t>
                      </w:r>
                      <w:proofErr w:type="spellStart"/>
                      <w:r w:rsidRPr="003C69B2">
                        <w:rPr>
                          <w:rFonts w:ascii="Times New Roman" w:hAnsi="Times New Roman"/>
                          <w:sz w:val="18"/>
                        </w:rPr>
                        <w:t>Fe</w:t>
                      </w:r>
                      <w:r w:rsidR="007C355B">
                        <w:rPr>
                          <w:rFonts w:ascii="Times New Roman" w:hAnsi="Times New Roman"/>
                          <w:sz w:val="18"/>
                        </w:rPr>
                        <w:t>@</w:t>
                      </w:r>
                      <w:r w:rsidRPr="003C69B2">
                        <w:rPr>
                          <w:rFonts w:ascii="Times New Roman" w:hAnsi="Times New Roman"/>
                          <w:sz w:val="18"/>
                        </w:rPr>
                        <w:t>FeO</w:t>
                      </w:r>
                      <w:r w:rsidRPr="00CF09D6">
                        <w:rPr>
                          <w:rFonts w:ascii="Times New Roman" w:hAnsi="Times New Roman"/>
                          <w:sz w:val="18"/>
                          <w:vertAlign w:val="subscript"/>
                        </w:rPr>
                        <w:t>x</w:t>
                      </w:r>
                      <w:proofErr w:type="spellEnd"/>
                      <w:r w:rsidRPr="003C69B2">
                        <w:rPr>
                          <w:rFonts w:ascii="Times New Roman" w:hAnsi="Times New Roman"/>
                          <w:sz w:val="18"/>
                        </w:rPr>
                        <w:t xml:space="preserve"> particle in higher magnification</w:t>
                      </w:r>
                      <w:r w:rsidR="00347CA0">
                        <w:rPr>
                          <w:rFonts w:ascii="Times New Roman" w:hAnsi="Times New Roman"/>
                          <w:sz w:val="18"/>
                        </w:rPr>
                        <w:t>); and</w:t>
                      </w:r>
                      <w:r w:rsidRPr="003C69B2">
                        <w:rPr>
                          <w:rFonts w:ascii="Times New Roman" w:hAnsi="Times New Roman"/>
                          <w:sz w:val="18"/>
                        </w:rPr>
                        <w:t xml:space="preserve"> (g-h) TiO</w:t>
                      </w:r>
                      <w:r w:rsidRPr="007C355B">
                        <w:rPr>
                          <w:rFonts w:ascii="Times New Roman" w:hAnsi="Times New Roman"/>
                          <w:sz w:val="18"/>
                          <w:vertAlign w:val="subscript"/>
                        </w:rPr>
                        <w:t>2</w:t>
                      </w:r>
                      <w:r w:rsidRPr="003C69B2">
                        <w:rPr>
                          <w:rFonts w:ascii="Times New Roman" w:hAnsi="Times New Roman"/>
                          <w:sz w:val="18"/>
                        </w:rPr>
                        <w:t>NRs@Nb</w:t>
                      </w:r>
                      <w:r w:rsidRPr="007C355B">
                        <w:rPr>
                          <w:rFonts w:ascii="Times New Roman" w:hAnsi="Times New Roman"/>
                          <w:sz w:val="18"/>
                          <w:vertAlign w:val="subscript"/>
                        </w:rPr>
                        <w:t>2</w:t>
                      </w:r>
                      <w:r w:rsidRPr="003C69B2">
                        <w:rPr>
                          <w:rFonts w:ascii="Times New Roman" w:hAnsi="Times New Roman"/>
                          <w:sz w:val="18"/>
                        </w:rPr>
                        <w:t>O</w:t>
                      </w:r>
                      <w:r w:rsidRPr="007C355B">
                        <w:rPr>
                          <w:rFonts w:ascii="Times New Roman" w:hAnsi="Times New Roman"/>
                          <w:sz w:val="18"/>
                          <w:vertAlign w:val="subscript"/>
                        </w:rPr>
                        <w:t>5</w:t>
                      </w:r>
                      <w:r w:rsidRPr="003C69B2">
                        <w:rPr>
                          <w:rFonts w:ascii="Times New Roman" w:hAnsi="Times New Roman"/>
                          <w:sz w:val="18"/>
                        </w:rPr>
                        <w:t xml:space="preserve"> 5 wt.% Fe.</w:t>
                      </w:r>
                    </w:p>
                    <w:p w14:paraId="152D29C0" w14:textId="77777777" w:rsidR="003C69B2" w:rsidRPr="003C69B2" w:rsidRDefault="003C69B2" w:rsidP="003C69B2">
                      <w:pPr>
                        <w:pStyle w:val="TAMainText"/>
                        <w:ind w:firstLine="0"/>
                        <w:rPr>
                          <w:rFonts w:ascii="Times New Roman" w:hAnsi="Times New Roman"/>
                        </w:rPr>
                      </w:pPr>
                    </w:p>
                  </w:txbxContent>
                </v:textbox>
                <w10:wrap type="topAndBottom" anchory="page"/>
              </v:shape>
            </w:pict>
          </mc:Fallback>
        </mc:AlternateContent>
      </w:r>
      <w:r w:rsidRPr="00366685">
        <w:rPr>
          <w:rFonts w:ascii="Times New Roman" w:hAnsi="Times New Roman"/>
        </w:rPr>
        <w:t xml:space="preserve">design of metal/oxide interfaces, which enables significant changes in the electronic structure and geometric configuration of metal species </w:t>
      </w:r>
      <w:r w:rsidR="00FE0CDC">
        <w:fldChar w:fldCharType="begin" w:fldLock="1"/>
      </w:r>
      <w:r w:rsidR="00CF09D6">
        <w:instrText>ADDIN CSL_CITATION {"citationItems":[{"id":"ITEM-1","itemData":{"DOI":"10.1038/s41929-019-0364-x","ISSN":"25201158","abstract":"Metal nanoparticles stabilized on a support material catalyse many major industrial reactions. Metal-support interactions in these nanomaterials can have a substantial influence on the catalysis, making metal-support interaction modulation one of the few tools able to enhance catalytic performance. This topic has received much attention in recent years, however, a systematic rationalization of the field is lacking due to the great diversity in catalysts, reactions and modification strategies. In this review, we cover and categorize the recent progress in metal-support interaction tuning strategies to enhance catalytic performance for various reactions. Furthermore, we quantify the productivity enhancements resulting from metal-support interaction control that have been achieved in C1 chemistry in recent years. Our analysis shows that up to fifteen-fold productivity enhancement has been achieved, and that metal-support interaction is most impactful for metal nanoparticles smaller than four nanometres. These findings demonstrate the importance of metal-support interaction to improve performance in catalysis.","author":[{"dropping-particle":"","family":"Deelen","given":"Tom W.","non-dropping-particle":"van","parse-names":false,"suffix":""},{"dropping-particle":"","family":"Hernández Mejía","given":"Carlos","non-dropping-particle":"","parse-names":false,"suffix":""},{"dropping-particle":"","family":"Jong","given":"Krijn P.","non-dropping-particle":"de","parse-names":false,"suffix":""}],"container-title":"Nature Catalysis","id":"ITEM-1","issue":"11","issued":{"date-parts":[["2019"]]},"page":"955-970","title":"Control of metal-support interactions in heterogeneous catalysts to enhance activity and selectivity","type":"article-journal","volume":"2"},"uris":["http://www.mendeley.com/documents/?uuid=c763a8a6-d47f-4817-838b-c1316f6e4e40"]},{"id":"ITEM-2","itemData":{"DOI":"10.1038/s41467-022-31313-4","ISSN":"20411723","PMID":"35729175","abstract":"Decoupling the electronic and geometric effects has been a long cherished goal for heterogeneous catalysis due to their tangled relationship. Here, a novel orthogonal decomposition method is firstly proposed to settle this issue in p-chloronitrobenzene hydrogenation reaction on size- and shape-controlled Pt nanoparticles (NPs) carried on various supports. Results suggest Fermi levels of catalysts can be modulated by supports with varied work function (Wf). And the selectivity on Pt NPs of similar size and shape is linearly related with the Wf of support. Optimized Fermi levels of the catalysts with large Wf weaken the ability of Pt NPs to fill valence electrons into the antibonding orbital of C–Cl bond, finally suppressing the hydrodehalogenation side reaction. Foremost, the geometric effect is firstly spun off through orthogonal relation based on series of linear relationships over various sizes of Pt NPs reflecting the electronic effect. Moreover, separable nested double coordinate system is established to quantitatively evaluate the two effects.","author":[{"dropping-particle":"","family":"Wang","given":"Zhe","non-dropping-particle":"","parse-names":false,"suffix":""},{"dropping-particle":"","family":"Wang","given":"Chunpeng","non-dropping-particle":"","parse-names":false,"suffix":""},{"dropping-particle":"","family":"Mao","given":"Shanjun","non-dropping-particle":"","parse-names":false,"suffix":""},{"dropping-particle":"","family":"Lu","given":"Bing","non-dropping-particle":"","parse-names":false,"suffix":""},{"dropping-particle":"","family":"Chen","given":"Yuzhuo","non-dropping-particle":"","parse-names":false,"suffix":""},{"dropping-particle":"","family":"Zhang","given":"Xie","non-dropping-particle":"","parse-names":false,"suffix":""},{"dropping-particle":"","family":"Chen","given":"Zhirong","non-dropping-particle":"","parse-names":false,"suffix":""},{"dropping-particle":"","family":"Wang","given":"Yong","non-dropping-particle":"","parse-names":false,"suffix":""}],"container-title":"Nature Communications","id":"ITEM-2","issue":"1","issued":{"date-parts":[["2022"]]},"page":"1-10","publisher":"Springer US","title":"Decoupling the electronic and geometric effects of Pt catalysts in selective hydrogenation reaction","type":"article-journal","volume":"13"},"uris":["http://www.mendeley.com/documents/?uuid=4049fe84-f5eb-4941-880c-5696f4acd431"]}],"mendeley":{"formattedCitation":"(&lt;i&gt;7&lt;/i&gt;, &lt;i&gt;8&lt;/i&gt;)","plainTextFormattedCitation":"(7, 8)","previouslyFormattedCitation":"(&lt;i&gt;7&lt;/i&gt;, &lt;i&gt;8&lt;/i&gt;)"},"properties":{"noteIndex":0},"schema":"https://github.com/citation-style-language/schema/raw/master/csl-citation.json"}</w:instrText>
      </w:r>
      <w:r w:rsidR="00FE0CDC">
        <w:fldChar w:fldCharType="separate"/>
      </w:r>
      <w:r w:rsidR="00FE0CDC" w:rsidRPr="00FE0CDC">
        <w:rPr>
          <w:noProof/>
        </w:rPr>
        <w:t>(</w:t>
      </w:r>
      <w:r w:rsidR="00FE0CDC" w:rsidRPr="00FE0CDC">
        <w:rPr>
          <w:i/>
          <w:noProof/>
        </w:rPr>
        <w:t>7</w:t>
      </w:r>
      <w:r w:rsidR="00FE0CDC" w:rsidRPr="00FE0CDC">
        <w:rPr>
          <w:noProof/>
        </w:rPr>
        <w:t xml:space="preserve">, </w:t>
      </w:r>
      <w:r w:rsidR="00FE0CDC" w:rsidRPr="00FE0CDC">
        <w:rPr>
          <w:i/>
          <w:noProof/>
        </w:rPr>
        <w:t>8</w:t>
      </w:r>
      <w:r w:rsidR="00FE0CDC" w:rsidRPr="00FE0CDC">
        <w:rPr>
          <w:noProof/>
        </w:rPr>
        <w:t>)</w:t>
      </w:r>
      <w:r w:rsidR="00FE0CDC">
        <w:fldChar w:fldCharType="end"/>
      </w:r>
      <w:r w:rsidRPr="00366685">
        <w:rPr>
          <w:rFonts w:ascii="Times New Roman" w:hAnsi="Times New Roman"/>
        </w:rPr>
        <w:t>.</w:t>
      </w:r>
      <w:r>
        <w:rPr>
          <w:rFonts w:ascii="Times New Roman" w:hAnsi="Times New Roman"/>
        </w:rPr>
        <w:t xml:space="preserve"> In special, h</w:t>
      </w:r>
      <w:r w:rsidRPr="00366685">
        <w:rPr>
          <w:rFonts w:ascii="Times New Roman" w:hAnsi="Times New Roman"/>
        </w:rPr>
        <w:t xml:space="preserve">ighly dispersed and stable </w:t>
      </w:r>
      <w:r>
        <w:rPr>
          <w:rFonts w:ascii="Times New Roman" w:hAnsi="Times New Roman"/>
        </w:rPr>
        <w:t xml:space="preserve">metallic </w:t>
      </w:r>
      <w:r w:rsidRPr="00366685">
        <w:rPr>
          <w:rFonts w:ascii="Times New Roman" w:hAnsi="Times New Roman"/>
        </w:rPr>
        <w:t xml:space="preserve">particles can result in promising catalytic systems due to the high availability of metallic sites, however, reaching higher dispersions of metal supported over oxides is still challenging. </w:t>
      </w:r>
    </w:p>
    <w:p w14:paraId="761728FF" w14:textId="6D650431" w:rsidR="00EA4E1B" w:rsidRPr="00FE0CDC" w:rsidRDefault="00366685" w:rsidP="00FE0CDC">
      <w:pPr>
        <w:pStyle w:val="TAMainText"/>
        <w:rPr>
          <w:rFonts w:ascii="Times New Roman" w:hAnsi="Times New Roman"/>
        </w:rPr>
      </w:pPr>
      <w:r w:rsidRPr="00366685">
        <w:rPr>
          <w:rFonts w:ascii="Times New Roman" w:hAnsi="Times New Roman"/>
        </w:rPr>
        <w:t xml:space="preserve">In this context, our main goal </w:t>
      </w:r>
      <w:r>
        <w:rPr>
          <w:rFonts w:ascii="Times New Roman" w:hAnsi="Times New Roman"/>
        </w:rPr>
        <w:t>was</w:t>
      </w:r>
      <w:r w:rsidRPr="00366685">
        <w:rPr>
          <w:rFonts w:ascii="Times New Roman" w:hAnsi="Times New Roman"/>
        </w:rPr>
        <w:t xml:space="preserve"> to explore new synthetic approaches that tailors the Pt dispersion and interaction with oxid</w:t>
      </w:r>
      <w:r w:rsidR="00CF09D6">
        <w:rPr>
          <w:rFonts w:ascii="Times New Roman" w:hAnsi="Times New Roman"/>
        </w:rPr>
        <w:t>ic</w:t>
      </w:r>
      <w:r w:rsidRPr="00366685">
        <w:rPr>
          <w:rFonts w:ascii="Times New Roman" w:hAnsi="Times New Roman"/>
        </w:rPr>
        <w:t xml:space="preserve"> supports</w:t>
      </w:r>
      <w:r w:rsidR="00FE0CDC">
        <w:rPr>
          <w:rFonts w:ascii="Times New Roman" w:hAnsi="Times New Roman"/>
        </w:rPr>
        <w:t xml:space="preserve">. For that, ultra-low loadings of Pt were selectively deposited over </w:t>
      </w:r>
      <w:r w:rsidR="00BC4674" w:rsidRPr="00BC4674">
        <w:rPr>
          <w:rFonts w:ascii="Times New Roman" w:hAnsi="Times New Roman"/>
        </w:rPr>
        <w:t>1D Fe-supported catalysts</w:t>
      </w:r>
      <w:r w:rsidR="00FE0CDC">
        <w:rPr>
          <w:rFonts w:ascii="Times New Roman" w:hAnsi="Times New Roman"/>
        </w:rPr>
        <w:t xml:space="preserve"> using the </w:t>
      </w:r>
      <w:r w:rsidR="00FE0CDC" w:rsidRPr="00FE0CDC">
        <w:rPr>
          <w:rFonts w:ascii="Times New Roman" w:hAnsi="Times New Roman"/>
        </w:rPr>
        <w:t xml:space="preserve">strong electrostatic adsorption </w:t>
      </w:r>
      <w:r w:rsidR="00FE0CDC">
        <w:rPr>
          <w:rFonts w:ascii="Times New Roman" w:hAnsi="Times New Roman"/>
        </w:rPr>
        <w:t xml:space="preserve">method. These catalysts </w:t>
      </w:r>
      <w:r w:rsidR="00BC4674" w:rsidRPr="00BC4674">
        <w:rPr>
          <w:rFonts w:ascii="Times New Roman" w:hAnsi="Times New Roman"/>
        </w:rPr>
        <w:t>were evaluated in the acetone HDO reaction</w:t>
      </w:r>
      <w:r w:rsidR="00FE0CDC">
        <w:rPr>
          <w:rFonts w:ascii="Times New Roman" w:hAnsi="Times New Roman"/>
        </w:rPr>
        <w:t xml:space="preserve"> and the correlation between electronic and structural properties with the preferential reaction pathways </w:t>
      </w:r>
      <w:r w:rsidR="00CF09D6">
        <w:rPr>
          <w:rFonts w:ascii="Times New Roman" w:hAnsi="Times New Roman"/>
        </w:rPr>
        <w:t xml:space="preserve">and catalytic performance </w:t>
      </w:r>
      <w:r w:rsidR="00FE0CDC">
        <w:rPr>
          <w:rFonts w:ascii="Times New Roman" w:hAnsi="Times New Roman"/>
        </w:rPr>
        <w:t>were investigated</w:t>
      </w:r>
      <w:r w:rsidR="00BC4674" w:rsidRPr="00BC4674">
        <w:rPr>
          <w:rFonts w:ascii="Times New Roman" w:hAnsi="Times New Roman"/>
        </w:rPr>
        <w:t xml:space="preserve">. </w:t>
      </w:r>
    </w:p>
    <w:p w14:paraId="52FFAC79" w14:textId="6C02DD2A" w:rsidR="00EA4E1B" w:rsidRPr="0057119E" w:rsidRDefault="003C69B2" w:rsidP="00EA4E1B">
      <w:pPr>
        <w:pStyle w:val="Heading2"/>
        <w:rPr>
          <w:rFonts w:ascii="Helvetica" w:hAnsi="Helvetica" w:cs="Helvetica"/>
          <w:sz w:val="24"/>
          <w:szCs w:val="24"/>
          <w:lang w:val="en-US"/>
        </w:rPr>
      </w:pPr>
      <w:r w:rsidRPr="0057119E">
        <w:rPr>
          <w:rFonts w:ascii="Helvetica" w:hAnsi="Helvetica" w:cs="Helvetica"/>
          <w:sz w:val="24"/>
          <w:szCs w:val="24"/>
          <w:lang w:val="en-US"/>
        </w:rPr>
        <w:t>Experimental</w:t>
      </w:r>
    </w:p>
    <w:p w14:paraId="4E6BAA29" w14:textId="1178347F" w:rsidR="00EA4E1B" w:rsidRPr="006E6FC4" w:rsidRDefault="006E6FC4" w:rsidP="00EA4E1B">
      <w:pPr>
        <w:pStyle w:val="TAMainText"/>
        <w:rPr>
          <w:rFonts w:ascii="Times New Roman" w:hAnsi="Times New Roman"/>
        </w:rPr>
      </w:pPr>
      <w:r w:rsidRPr="006E6FC4">
        <w:rPr>
          <w:rFonts w:ascii="Times New Roman" w:hAnsi="Times New Roman"/>
        </w:rPr>
        <w:t>TiO</w:t>
      </w:r>
      <w:r w:rsidRPr="006E6FC4">
        <w:rPr>
          <w:rFonts w:ascii="Times New Roman" w:hAnsi="Times New Roman"/>
          <w:vertAlign w:val="subscript"/>
        </w:rPr>
        <w:t>2</w:t>
      </w:r>
      <w:r w:rsidRPr="006E6FC4">
        <w:rPr>
          <w:rFonts w:ascii="Times New Roman" w:hAnsi="Times New Roman"/>
        </w:rPr>
        <w:t xml:space="preserve"> nanoribbons (TiO</w:t>
      </w:r>
      <w:r w:rsidRPr="003A2CB0">
        <w:rPr>
          <w:rFonts w:ascii="Times New Roman" w:hAnsi="Times New Roman"/>
          <w:vertAlign w:val="subscript"/>
        </w:rPr>
        <w:t>2</w:t>
      </w:r>
      <w:r w:rsidRPr="006E6FC4">
        <w:rPr>
          <w:rFonts w:ascii="Times New Roman" w:hAnsi="Times New Roman"/>
        </w:rPr>
        <w:t xml:space="preserve">NRs) were synthesized using a hydrothermal route, while </w:t>
      </w:r>
      <w:proofErr w:type="spellStart"/>
      <w:r w:rsidRPr="006E6FC4">
        <w:rPr>
          <w:rFonts w:ascii="Times New Roman" w:hAnsi="Times New Roman"/>
        </w:rPr>
        <w:t>core@shell-like</w:t>
      </w:r>
      <w:proofErr w:type="spellEnd"/>
      <w:r w:rsidRPr="006E6FC4">
        <w:rPr>
          <w:rFonts w:ascii="Times New Roman" w:hAnsi="Times New Roman"/>
        </w:rPr>
        <w:t xml:space="preserve"> TiO</w:t>
      </w:r>
      <w:r w:rsidRPr="006E6FC4">
        <w:rPr>
          <w:rFonts w:ascii="Times New Roman" w:hAnsi="Times New Roman"/>
          <w:vertAlign w:val="subscript"/>
        </w:rPr>
        <w:t>2</w:t>
      </w:r>
      <w:r w:rsidRPr="006E6FC4">
        <w:rPr>
          <w:rFonts w:ascii="Times New Roman" w:hAnsi="Times New Roman"/>
        </w:rPr>
        <w:t>NRs@Nb</w:t>
      </w:r>
      <w:r w:rsidRPr="006E6FC4">
        <w:rPr>
          <w:rFonts w:ascii="Times New Roman" w:hAnsi="Times New Roman"/>
          <w:vertAlign w:val="subscript"/>
        </w:rPr>
        <w:t>2</w:t>
      </w:r>
      <w:r w:rsidRPr="006E6FC4">
        <w:rPr>
          <w:rFonts w:ascii="Times New Roman" w:hAnsi="Times New Roman"/>
        </w:rPr>
        <w:t>O</w:t>
      </w:r>
      <w:r w:rsidRPr="006E6FC4">
        <w:rPr>
          <w:rFonts w:ascii="Times New Roman" w:hAnsi="Times New Roman"/>
          <w:vertAlign w:val="subscript"/>
        </w:rPr>
        <w:t>5</w:t>
      </w:r>
      <w:r w:rsidRPr="006E6FC4">
        <w:rPr>
          <w:rFonts w:ascii="Times New Roman" w:hAnsi="Times New Roman"/>
        </w:rPr>
        <w:t xml:space="preserve"> nanostructures were prepared through wet impregnation of the </w:t>
      </w:r>
      <w:proofErr w:type="spellStart"/>
      <w:r w:rsidRPr="006E6FC4">
        <w:rPr>
          <w:rFonts w:ascii="Times New Roman" w:hAnsi="Times New Roman"/>
        </w:rPr>
        <w:t>Nb</w:t>
      </w:r>
      <w:proofErr w:type="spellEnd"/>
      <w:r w:rsidRPr="006E6FC4">
        <w:rPr>
          <w:rFonts w:ascii="Times New Roman" w:hAnsi="Times New Roman"/>
        </w:rPr>
        <w:t xml:space="preserve"> precursor to obtain 10 </w:t>
      </w:r>
      <w:proofErr w:type="gramStart"/>
      <w:r w:rsidRPr="006E6FC4">
        <w:rPr>
          <w:rFonts w:ascii="Times New Roman" w:hAnsi="Times New Roman"/>
        </w:rPr>
        <w:t>at.%</w:t>
      </w:r>
      <w:proofErr w:type="gramEnd"/>
      <w:r w:rsidRPr="006E6FC4">
        <w:rPr>
          <w:rFonts w:ascii="Times New Roman" w:hAnsi="Times New Roman"/>
        </w:rPr>
        <w:t xml:space="preserve"> </w:t>
      </w:r>
      <w:proofErr w:type="spellStart"/>
      <w:r w:rsidRPr="006E6FC4">
        <w:rPr>
          <w:rFonts w:ascii="Times New Roman" w:hAnsi="Times New Roman"/>
        </w:rPr>
        <w:t>Nb</w:t>
      </w:r>
      <w:proofErr w:type="spellEnd"/>
      <w:r w:rsidRPr="006E6FC4">
        <w:rPr>
          <w:rFonts w:ascii="Times New Roman" w:hAnsi="Times New Roman"/>
        </w:rPr>
        <w:t xml:space="preserve"> (</w:t>
      </w:r>
      <w:proofErr w:type="spellStart"/>
      <w:r w:rsidRPr="006E6FC4">
        <w:rPr>
          <w:rFonts w:ascii="Times New Roman" w:hAnsi="Times New Roman"/>
        </w:rPr>
        <w:t>Nb:Ti</w:t>
      </w:r>
      <w:proofErr w:type="spellEnd"/>
      <w:r w:rsidRPr="006E6FC4">
        <w:rPr>
          <w:rFonts w:ascii="Times New Roman" w:hAnsi="Times New Roman"/>
        </w:rPr>
        <w:t>). Fe-supported catalysts (5 wt.%) were prepared through the incipient wetness impregnation method over oxide nanostructures, while ultra-low loadings of Pt (0.01-0.09 wt.%) were impregnated by its selective-electrostatic adsorption over Fe oxide surface</w:t>
      </w:r>
      <w:r w:rsidR="009C4ED9">
        <w:rPr>
          <w:rFonts w:ascii="Times New Roman" w:hAnsi="Times New Roman"/>
        </w:rPr>
        <w:t xml:space="preserve"> </w:t>
      </w:r>
      <w:r w:rsidR="009C4ED9">
        <w:rPr>
          <w:rStyle w:val="FootnoteReference"/>
          <w:rFonts w:ascii="Times New Roman" w:hAnsi="Times New Roman"/>
        </w:rPr>
        <w:fldChar w:fldCharType="begin" w:fldLock="1"/>
      </w:r>
      <w:r w:rsidR="00CF09D6">
        <w:rPr>
          <w:rFonts w:ascii="Times New Roman" w:hAnsi="Times New Roman"/>
        </w:rPr>
        <w:instrText>ADDIN CSL_CITATION {"citationItems":[{"id":"ITEM-1","itemData":{"DOI":"10.1016/j.ijhydene.2022.04.192","ISSN":"03603199","abstract":"Hydrogen purification by removing CO traces was studied via the preferential CO oxidation (PROX) reaction using highly dispersed Pt catalysts supported on dual oxide FeOx/TiO2. These catalysts were prepared by the strong electrostatic adsorption (SEA) method by varying the pH of synthesis and the calcination temperature. By measuring the point of zero charge (PZC) of the support components, it was possible to determine the pH in which Pt can be selectively deposited onto one of the support components, obtaining Pt dispersion values above 90%. The selective SEA of a Pt precursor onto the co-support (FeOx) was achieved at a synthesis pH between the PZCs of the support components (i.e., TiO2 PZC = 5.2 and Fe2O3 PZC = 6.9) by using a Pt anionic complex. The catalytic activity for the PROX reaction, expressed in terms of the CO conversion, O2 selectivity to CO2, apparent activation energy, and turnover frequency, confirmed that the SEA prepared catalysts were active and selective for the PROX reaction. XPS and TPR results of the Pt/FeOx/TiO2 catalysts showed the formation of Pt-FeOx interfaces, called as (Pt-FeOx)i interfacial sites, which enhanced the stability and catalytic activity for the PROX reaction. The concentration of these sites can be controlled by the synthesis conditions used, mainly pH and to a lower extent the calcination temperature.","author":[{"dropping-particle":"","family":"Navas-Cárdenas","given":"Carlos","non-dropping-particle":"","parse-names":false,"suffix":""},{"dropping-particle":"","family":"Benito","given":"Noelia","non-dropping-particle":"","parse-names":false,"suffix":""},{"dropping-particle":"","family":"Wolf","given":"Eduardo E.","non-dropping-particle":"","parse-names":false,"suffix":""},{"dropping-particle":"","family":"Gracia","given":"Francisco","non-dropping-particle":"","parse-names":false,"suffix":""}],"container-title":"International Journal of Hydrogen Energy","id":"ITEM-1","issue":"48","issued":{"date-parts":[["2022"]]},"page":"20867-20880","title":"Tuning activity of Pt/FeOx/TiO2 catalysts synthesized through selective-electrostatic adsorption for hydrogen purification by prox reaction","type":"article-journal","volume":"47"},"uris":["http://www.mendeley.com/documents/?uuid=48698763-a086-4910-b650-402e2e891c22"]}],"mendeley":{"formattedCitation":"(&lt;i&gt;9&lt;/i&gt;)","plainTextFormattedCitation":"(9)","previouslyFormattedCitation":"(&lt;i&gt;9&lt;/i&gt;)"},"properties":{"noteIndex":0},"schema":"https://github.com/citation-style-language/schema/raw/master/csl-citation.json"}</w:instrText>
      </w:r>
      <w:r w:rsidR="009C4ED9">
        <w:rPr>
          <w:rStyle w:val="FootnoteReference"/>
          <w:rFonts w:ascii="Times New Roman" w:hAnsi="Times New Roman"/>
        </w:rPr>
        <w:fldChar w:fldCharType="separate"/>
      </w:r>
      <w:r w:rsidR="00FE0CDC" w:rsidRPr="00FE0CDC">
        <w:rPr>
          <w:rFonts w:ascii="Times New Roman" w:hAnsi="Times New Roman"/>
          <w:bCs/>
          <w:noProof/>
        </w:rPr>
        <w:t>(</w:t>
      </w:r>
      <w:r w:rsidR="00FE0CDC" w:rsidRPr="00FE0CDC">
        <w:rPr>
          <w:rFonts w:ascii="Times New Roman" w:hAnsi="Times New Roman"/>
          <w:bCs/>
          <w:i/>
          <w:noProof/>
        </w:rPr>
        <w:t>9</w:t>
      </w:r>
      <w:r w:rsidR="00FE0CDC" w:rsidRPr="00FE0CDC">
        <w:rPr>
          <w:rFonts w:ascii="Times New Roman" w:hAnsi="Times New Roman"/>
          <w:bCs/>
          <w:noProof/>
        </w:rPr>
        <w:t>)</w:t>
      </w:r>
      <w:r w:rsidR="009C4ED9">
        <w:rPr>
          <w:rStyle w:val="FootnoteReference"/>
          <w:rFonts w:ascii="Times New Roman" w:hAnsi="Times New Roman"/>
        </w:rPr>
        <w:fldChar w:fldCharType="end"/>
      </w:r>
      <w:r w:rsidRPr="006E6FC4">
        <w:rPr>
          <w:rFonts w:ascii="Times New Roman" w:hAnsi="Times New Roman"/>
        </w:rPr>
        <w:t xml:space="preserve">. Vapor phase acetone </w:t>
      </w:r>
      <w:r w:rsidR="00CF09D6">
        <w:rPr>
          <w:rFonts w:ascii="Times New Roman" w:hAnsi="Times New Roman"/>
          <w:noProof/>
        </w:rPr>
        <w:drawing>
          <wp:anchor distT="0" distB="0" distL="114300" distR="114300" simplePos="0" relativeHeight="251661311" behindDoc="0" locked="0" layoutInCell="1" allowOverlap="1" wp14:anchorId="7446D170" wp14:editId="015E600C">
            <wp:simplePos x="0" y="0"/>
            <wp:positionH relativeFrom="margin">
              <wp:posOffset>1905</wp:posOffset>
            </wp:positionH>
            <wp:positionV relativeFrom="page">
              <wp:posOffset>1495425</wp:posOffset>
            </wp:positionV>
            <wp:extent cx="6457950" cy="3422015"/>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7_ne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57950" cy="3422015"/>
                    </a:xfrm>
                    <a:prstGeom prst="rect">
                      <a:avLst/>
                    </a:prstGeom>
                  </pic:spPr>
                </pic:pic>
              </a:graphicData>
            </a:graphic>
            <wp14:sizeRelH relativeFrom="margin">
              <wp14:pctWidth>0</wp14:pctWidth>
            </wp14:sizeRelH>
            <wp14:sizeRelV relativeFrom="margin">
              <wp14:pctHeight>0</wp14:pctHeight>
            </wp14:sizeRelV>
          </wp:anchor>
        </w:drawing>
      </w:r>
      <w:r w:rsidRPr="006E6FC4">
        <w:rPr>
          <w:rFonts w:ascii="Times New Roman" w:hAnsi="Times New Roman"/>
        </w:rPr>
        <w:t xml:space="preserve">HDO reaction was conducted at 350 °C in a plug-flow tubular reactor equipped with a quartz tube. </w:t>
      </w:r>
      <w:r w:rsidR="00CF09D6" w:rsidRPr="00CF09D6">
        <w:rPr>
          <w:rFonts w:ascii="Times New Roman" w:hAnsi="Times New Roman"/>
        </w:rPr>
        <w:t>The main products detected in acetone HDO were CH</w:t>
      </w:r>
      <w:r w:rsidR="00CF09D6" w:rsidRPr="00CF09D6">
        <w:rPr>
          <w:rFonts w:ascii="Times New Roman" w:hAnsi="Times New Roman"/>
          <w:vertAlign w:val="subscript"/>
        </w:rPr>
        <w:t>4</w:t>
      </w:r>
      <w:r w:rsidR="00CF09D6" w:rsidRPr="00CF09D6">
        <w:rPr>
          <w:rFonts w:ascii="Times New Roman" w:hAnsi="Times New Roman"/>
        </w:rPr>
        <w:t>, propylene/propane (C</w:t>
      </w:r>
      <w:r w:rsidR="00CF09D6" w:rsidRPr="00CF09D6">
        <w:rPr>
          <w:rFonts w:ascii="Times New Roman" w:hAnsi="Times New Roman"/>
          <w:vertAlign w:val="subscript"/>
        </w:rPr>
        <w:t>3</w:t>
      </w:r>
      <w:r w:rsidR="00CF09D6" w:rsidRPr="00CF09D6">
        <w:rPr>
          <w:rFonts w:ascii="Times New Roman" w:hAnsi="Times New Roman"/>
        </w:rPr>
        <w:t>), isobutene/isobutane (C</w:t>
      </w:r>
      <w:r w:rsidR="00CF09D6" w:rsidRPr="00CF09D6">
        <w:rPr>
          <w:rFonts w:ascii="Times New Roman" w:hAnsi="Times New Roman"/>
          <w:vertAlign w:val="subscript"/>
        </w:rPr>
        <w:t>4</w:t>
      </w:r>
      <w:r w:rsidR="00CF09D6" w:rsidRPr="00CF09D6">
        <w:rPr>
          <w:rFonts w:ascii="Times New Roman" w:hAnsi="Times New Roman"/>
        </w:rPr>
        <w:t>), 2-methyl-pentene/2-methyl-pentane (C</w:t>
      </w:r>
      <w:r w:rsidR="00CF09D6" w:rsidRPr="00CF09D6">
        <w:rPr>
          <w:rFonts w:ascii="Times New Roman" w:hAnsi="Times New Roman"/>
          <w:vertAlign w:val="subscript"/>
        </w:rPr>
        <w:t>6</w:t>
      </w:r>
      <w:r w:rsidR="00CF09D6" w:rsidRPr="00CF09D6">
        <w:rPr>
          <w:rFonts w:ascii="Times New Roman" w:hAnsi="Times New Roman"/>
        </w:rPr>
        <w:t>), isopropanol (IPA), 4-methylpent-3-an-2-one/4-methylpentan-2-one (C</w:t>
      </w:r>
      <w:r w:rsidR="00CF09D6" w:rsidRPr="00CF09D6">
        <w:rPr>
          <w:rFonts w:ascii="Times New Roman" w:hAnsi="Times New Roman"/>
          <w:vertAlign w:val="subscript"/>
        </w:rPr>
        <w:t>6</w:t>
      </w:r>
      <w:r w:rsidR="00CF09D6" w:rsidRPr="00CF09D6">
        <w:rPr>
          <w:rFonts w:ascii="Times New Roman" w:hAnsi="Times New Roman"/>
        </w:rPr>
        <w:t>O), and 2,6-dimethyl-4-heptanone and its position isomers (C</w:t>
      </w:r>
      <w:r w:rsidR="00CF09D6" w:rsidRPr="00CF09D6">
        <w:rPr>
          <w:rFonts w:ascii="Times New Roman" w:hAnsi="Times New Roman"/>
          <w:vertAlign w:val="subscript"/>
        </w:rPr>
        <w:t>9</w:t>
      </w:r>
      <w:r w:rsidR="00CF09D6" w:rsidRPr="00CF09D6">
        <w:rPr>
          <w:rFonts w:ascii="Times New Roman" w:hAnsi="Times New Roman"/>
        </w:rPr>
        <w:t>O). The molar sum of the deoxygenated products CH</w:t>
      </w:r>
      <w:r w:rsidR="00CF09D6" w:rsidRPr="00CF09D6">
        <w:rPr>
          <w:rFonts w:ascii="Times New Roman" w:hAnsi="Times New Roman"/>
          <w:vertAlign w:val="subscript"/>
        </w:rPr>
        <w:t>4</w:t>
      </w:r>
      <w:r w:rsidR="00CF09D6" w:rsidRPr="00CF09D6">
        <w:rPr>
          <w:rFonts w:ascii="Times New Roman" w:hAnsi="Times New Roman"/>
        </w:rPr>
        <w:t>, C</w:t>
      </w:r>
      <w:r w:rsidR="00CF09D6" w:rsidRPr="00CF09D6">
        <w:rPr>
          <w:rFonts w:ascii="Times New Roman" w:hAnsi="Times New Roman"/>
          <w:vertAlign w:val="subscript"/>
        </w:rPr>
        <w:t>3</w:t>
      </w:r>
      <w:r w:rsidR="00CF09D6" w:rsidRPr="00CF09D6">
        <w:rPr>
          <w:rFonts w:ascii="Times New Roman" w:hAnsi="Times New Roman"/>
        </w:rPr>
        <w:t>, C</w:t>
      </w:r>
      <w:r w:rsidR="00CF09D6" w:rsidRPr="00CF09D6">
        <w:rPr>
          <w:rFonts w:ascii="Times New Roman" w:hAnsi="Times New Roman"/>
          <w:vertAlign w:val="subscript"/>
        </w:rPr>
        <w:t>4</w:t>
      </w:r>
      <w:r w:rsidR="00CF09D6" w:rsidRPr="00CF09D6">
        <w:rPr>
          <w:rFonts w:ascii="Times New Roman" w:hAnsi="Times New Roman"/>
        </w:rPr>
        <w:t>, and C</w:t>
      </w:r>
      <w:r w:rsidR="00CF09D6" w:rsidRPr="00CF09D6">
        <w:rPr>
          <w:rFonts w:ascii="Times New Roman" w:hAnsi="Times New Roman"/>
          <w:vertAlign w:val="subscript"/>
        </w:rPr>
        <w:t>6</w:t>
      </w:r>
      <w:r w:rsidR="00CF09D6" w:rsidRPr="00CF09D6">
        <w:rPr>
          <w:rFonts w:ascii="Times New Roman" w:hAnsi="Times New Roman"/>
        </w:rPr>
        <w:t xml:space="preserve"> was used for the </w:t>
      </w:r>
      <w:r w:rsidR="00CF09D6">
        <w:rPr>
          <w:rFonts w:ascii="Times New Roman" w:hAnsi="Times New Roman"/>
        </w:rPr>
        <w:t>Degree of Deoxygenation (DOD)</w:t>
      </w:r>
      <w:r w:rsidR="00CF09D6" w:rsidRPr="00CF09D6">
        <w:rPr>
          <w:rFonts w:ascii="Times New Roman" w:hAnsi="Times New Roman"/>
        </w:rPr>
        <w:t xml:space="preserve"> calculation.</w:t>
      </w:r>
      <w:r w:rsidR="00CF09D6">
        <w:rPr>
          <w:rFonts w:ascii="Times New Roman" w:hAnsi="Times New Roman"/>
        </w:rPr>
        <w:t xml:space="preserve"> </w:t>
      </w:r>
      <w:r w:rsidRPr="006E6FC4">
        <w:rPr>
          <w:rFonts w:ascii="Times New Roman" w:hAnsi="Times New Roman"/>
        </w:rPr>
        <w:t>Textural, structural, and electronic characterizations of the catalysts were conducted using various techniques, such as N</w:t>
      </w:r>
      <w:r w:rsidRPr="006E6FC4">
        <w:rPr>
          <w:rFonts w:ascii="Times New Roman" w:hAnsi="Times New Roman"/>
          <w:vertAlign w:val="subscript"/>
        </w:rPr>
        <w:t>2</w:t>
      </w:r>
      <w:r w:rsidRPr="006E6FC4">
        <w:rPr>
          <w:rFonts w:ascii="Times New Roman" w:hAnsi="Times New Roman"/>
        </w:rPr>
        <w:t xml:space="preserve"> physisorption, XRD, XPS, SEM, TEM, TPR, and FTIR of adsorbed model molecules.</w:t>
      </w:r>
      <w:r w:rsidR="00CF09D6">
        <w:rPr>
          <w:rFonts w:ascii="Times New Roman" w:hAnsi="Times New Roman"/>
        </w:rPr>
        <w:t xml:space="preserve"> </w:t>
      </w:r>
    </w:p>
    <w:p w14:paraId="136BD1AC" w14:textId="6BA05970" w:rsidR="00EA4E1B" w:rsidRPr="003C69B2" w:rsidRDefault="003C69B2" w:rsidP="00EA4E1B">
      <w:pPr>
        <w:pStyle w:val="Heading2"/>
        <w:rPr>
          <w:rFonts w:ascii="Helvetica" w:hAnsi="Helvetica" w:cs="Helvetica"/>
          <w:sz w:val="24"/>
          <w:szCs w:val="24"/>
          <w:lang w:val="en-US"/>
        </w:rPr>
      </w:pPr>
      <w:r>
        <w:rPr>
          <w:rFonts w:ascii="Helvetica" w:hAnsi="Helvetica" w:cs="Helvetica"/>
          <w:sz w:val="24"/>
          <w:szCs w:val="24"/>
          <w:lang w:val="en-US"/>
        </w:rPr>
        <w:t>Results and Discussion</w:t>
      </w:r>
    </w:p>
    <w:p w14:paraId="3F399A97" w14:textId="0AC8FBD0" w:rsidR="003C69B2" w:rsidRPr="003C69B2" w:rsidRDefault="003C69B2" w:rsidP="003C69B2">
      <w:pPr>
        <w:pStyle w:val="TAMainText"/>
        <w:ind w:firstLine="187"/>
        <w:rPr>
          <w:rFonts w:ascii="Times New Roman" w:hAnsi="Times New Roman"/>
        </w:rPr>
      </w:pPr>
      <w:r w:rsidRPr="003C69B2">
        <w:rPr>
          <w:rFonts w:ascii="Times New Roman" w:hAnsi="Times New Roman"/>
        </w:rPr>
        <w:t>Well-defined nanoribbons (NRs) with a few micrometers in length were obtained for the bare TiO</w:t>
      </w:r>
      <w:r w:rsidRPr="006E6FC4">
        <w:rPr>
          <w:rFonts w:ascii="Times New Roman" w:hAnsi="Times New Roman"/>
          <w:vertAlign w:val="subscript"/>
        </w:rPr>
        <w:t>2</w:t>
      </w:r>
      <w:r w:rsidRPr="003C69B2">
        <w:rPr>
          <w:rFonts w:ascii="Times New Roman" w:hAnsi="Times New Roman"/>
        </w:rPr>
        <w:t xml:space="preserve"> material, as can be observed through the SEM micrograph presented in </w:t>
      </w:r>
      <w:r w:rsidR="006E6FC4">
        <w:rPr>
          <w:rFonts w:ascii="Times New Roman" w:hAnsi="Times New Roman"/>
        </w:rPr>
        <w:t>Figure 1</w:t>
      </w:r>
      <w:r w:rsidRPr="003C69B2">
        <w:rPr>
          <w:rFonts w:ascii="Times New Roman" w:hAnsi="Times New Roman"/>
        </w:rPr>
        <w:t>a. Some cavities along the NR can be observed through HR-TEM (</w:t>
      </w:r>
      <w:r w:rsidR="006E6FC4">
        <w:rPr>
          <w:rFonts w:ascii="Times New Roman" w:hAnsi="Times New Roman"/>
        </w:rPr>
        <w:t>Figure 1</w:t>
      </w:r>
      <w:r w:rsidRPr="003C69B2">
        <w:rPr>
          <w:rFonts w:ascii="Times New Roman" w:hAnsi="Times New Roman"/>
        </w:rPr>
        <w:t>b), as well as interplanar distances of 0.62 nm and 0.35 nm, related to (001) and (110) planes, respectively (</w:t>
      </w:r>
      <w:r w:rsidR="006E6FC4">
        <w:rPr>
          <w:rFonts w:ascii="Times New Roman" w:hAnsi="Times New Roman"/>
        </w:rPr>
        <w:t>Figure 1</w:t>
      </w:r>
      <w:proofErr w:type="gramStart"/>
      <w:r w:rsidRPr="003C69B2">
        <w:rPr>
          <w:rFonts w:ascii="Times New Roman" w:hAnsi="Times New Roman"/>
        </w:rPr>
        <w:t>c,d</w:t>
      </w:r>
      <w:proofErr w:type="gramEnd"/>
      <w:r w:rsidRPr="003C69B2">
        <w:rPr>
          <w:rFonts w:ascii="Times New Roman" w:hAnsi="Times New Roman"/>
        </w:rPr>
        <w:t>). SEM and TEM images of TiO</w:t>
      </w:r>
      <w:r w:rsidRPr="006E6FC4">
        <w:rPr>
          <w:rFonts w:ascii="Times New Roman" w:hAnsi="Times New Roman"/>
          <w:vertAlign w:val="subscript"/>
        </w:rPr>
        <w:t>2</w:t>
      </w:r>
      <w:r w:rsidRPr="003C69B2">
        <w:rPr>
          <w:rFonts w:ascii="Times New Roman" w:hAnsi="Times New Roman"/>
        </w:rPr>
        <w:t xml:space="preserve">NRs impregnated with 10 </w:t>
      </w:r>
      <w:proofErr w:type="gramStart"/>
      <w:r w:rsidRPr="003C69B2">
        <w:rPr>
          <w:rFonts w:ascii="Times New Roman" w:hAnsi="Times New Roman"/>
        </w:rPr>
        <w:t>at.%</w:t>
      </w:r>
      <w:proofErr w:type="gramEnd"/>
      <w:r w:rsidRPr="003C69B2">
        <w:rPr>
          <w:rFonts w:ascii="Times New Roman" w:hAnsi="Times New Roman"/>
        </w:rPr>
        <w:t xml:space="preserve"> </w:t>
      </w:r>
      <w:proofErr w:type="spellStart"/>
      <w:r w:rsidRPr="003C69B2">
        <w:rPr>
          <w:rFonts w:ascii="Times New Roman" w:hAnsi="Times New Roman"/>
        </w:rPr>
        <w:t>Nb</w:t>
      </w:r>
      <w:proofErr w:type="spellEnd"/>
      <w:r w:rsidRPr="003C69B2">
        <w:rPr>
          <w:rFonts w:ascii="Times New Roman" w:hAnsi="Times New Roman"/>
        </w:rPr>
        <w:t xml:space="preserve"> (</w:t>
      </w:r>
      <w:proofErr w:type="spellStart"/>
      <w:r w:rsidRPr="003C69B2">
        <w:rPr>
          <w:rFonts w:ascii="Times New Roman" w:hAnsi="Times New Roman"/>
        </w:rPr>
        <w:t>Nb:Ti</w:t>
      </w:r>
      <w:proofErr w:type="spellEnd"/>
      <w:r w:rsidRPr="003C69B2">
        <w:rPr>
          <w:rFonts w:ascii="Times New Roman" w:hAnsi="Times New Roman"/>
        </w:rPr>
        <w:t>) were similar to that observed for the bare TiO</w:t>
      </w:r>
      <w:r w:rsidRPr="006E6FC4">
        <w:rPr>
          <w:rFonts w:ascii="Times New Roman" w:hAnsi="Times New Roman"/>
          <w:vertAlign w:val="subscript"/>
        </w:rPr>
        <w:t>2</w:t>
      </w:r>
      <w:r w:rsidRPr="003C69B2">
        <w:rPr>
          <w:rFonts w:ascii="Times New Roman" w:hAnsi="Times New Roman"/>
        </w:rPr>
        <w:t xml:space="preserve">NRs, demonstrating that </w:t>
      </w:r>
      <w:proofErr w:type="spellStart"/>
      <w:r w:rsidRPr="003C69B2">
        <w:rPr>
          <w:rFonts w:ascii="Times New Roman" w:hAnsi="Times New Roman"/>
        </w:rPr>
        <w:t>Nb</w:t>
      </w:r>
      <w:proofErr w:type="spellEnd"/>
      <w:r w:rsidRPr="003C69B2">
        <w:rPr>
          <w:rFonts w:ascii="Times New Roman" w:hAnsi="Times New Roman"/>
        </w:rPr>
        <w:t xml:space="preserve"> was evenly dispersed over its surface. EDS analysis performed during TEM measurements </w:t>
      </w:r>
      <w:r w:rsidR="00833148">
        <w:rPr>
          <w:rFonts w:ascii="Times New Roman" w:hAnsi="Times New Roman"/>
        </w:rPr>
        <w:t xml:space="preserve">(not shown) </w:t>
      </w:r>
      <w:r w:rsidRPr="003C69B2">
        <w:rPr>
          <w:rFonts w:ascii="Times New Roman" w:hAnsi="Times New Roman"/>
        </w:rPr>
        <w:t xml:space="preserve">demonstrated that </w:t>
      </w:r>
      <w:proofErr w:type="spellStart"/>
      <w:r w:rsidRPr="003C69B2">
        <w:rPr>
          <w:rFonts w:ascii="Times New Roman" w:hAnsi="Times New Roman"/>
        </w:rPr>
        <w:t>Nb</w:t>
      </w:r>
      <w:proofErr w:type="spellEnd"/>
      <w:r w:rsidRPr="003C69B2">
        <w:rPr>
          <w:rFonts w:ascii="Times New Roman" w:hAnsi="Times New Roman"/>
        </w:rPr>
        <w:t xml:space="preserve"> percentage varied from 5-10 </w:t>
      </w:r>
      <w:proofErr w:type="gramStart"/>
      <w:r w:rsidRPr="003C69B2">
        <w:rPr>
          <w:rFonts w:ascii="Times New Roman" w:hAnsi="Times New Roman"/>
        </w:rPr>
        <w:t>at.%</w:t>
      </w:r>
      <w:proofErr w:type="gramEnd"/>
      <w:r w:rsidRPr="003C69B2">
        <w:rPr>
          <w:rFonts w:ascii="Times New Roman" w:hAnsi="Times New Roman"/>
        </w:rPr>
        <w:t xml:space="preserve"> in </w:t>
      </w:r>
      <w:r w:rsidRPr="003C69B2">
        <w:rPr>
          <w:rFonts w:ascii="Times New Roman" w:hAnsi="Times New Roman"/>
        </w:rPr>
        <w:lastRenderedPageBreak/>
        <w:t xml:space="preserve">the center of the </w:t>
      </w:r>
      <w:r w:rsidR="0057119E">
        <w:rPr>
          <w:rFonts w:ascii="Times New Roman" w:hAnsi="Times New Roman"/>
          <w:noProof/>
        </w:rPr>
        <w:drawing>
          <wp:anchor distT="0" distB="0" distL="114300" distR="114300" simplePos="0" relativeHeight="251670527" behindDoc="0" locked="0" layoutInCell="1" allowOverlap="1" wp14:anchorId="5CC098B1" wp14:editId="6BA7E6E5">
            <wp:simplePos x="0" y="0"/>
            <wp:positionH relativeFrom="margin">
              <wp:align>right</wp:align>
            </wp:positionH>
            <wp:positionV relativeFrom="page">
              <wp:posOffset>1533525</wp:posOffset>
            </wp:positionV>
            <wp:extent cx="6491605" cy="3876675"/>
            <wp:effectExtent l="0" t="0" r="4445" b="9525"/>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91605" cy="3876675"/>
                    </a:xfrm>
                    <a:prstGeom prst="rect">
                      <a:avLst/>
                    </a:prstGeom>
                  </pic:spPr>
                </pic:pic>
              </a:graphicData>
            </a:graphic>
            <wp14:sizeRelH relativeFrom="margin">
              <wp14:pctWidth>0</wp14:pctWidth>
            </wp14:sizeRelH>
            <wp14:sizeRelV relativeFrom="margin">
              <wp14:pctHeight>0</wp14:pctHeight>
            </wp14:sizeRelV>
          </wp:anchor>
        </w:drawing>
      </w:r>
      <w:r w:rsidRPr="003C69B2">
        <w:rPr>
          <w:rFonts w:ascii="Times New Roman" w:hAnsi="Times New Roman"/>
        </w:rPr>
        <w:t xml:space="preserve">NRs, however higher percentages of </w:t>
      </w:r>
      <w:proofErr w:type="spellStart"/>
      <w:r w:rsidRPr="003C69B2">
        <w:rPr>
          <w:rFonts w:ascii="Times New Roman" w:hAnsi="Times New Roman"/>
        </w:rPr>
        <w:t>Nb</w:t>
      </w:r>
      <w:proofErr w:type="spellEnd"/>
      <w:r w:rsidRPr="003C69B2">
        <w:rPr>
          <w:rFonts w:ascii="Times New Roman" w:hAnsi="Times New Roman"/>
        </w:rPr>
        <w:t xml:space="preserve"> were observed in the edges of the NRs (&gt;</w:t>
      </w:r>
      <w:r w:rsidR="00833148">
        <w:rPr>
          <w:rFonts w:ascii="Times New Roman" w:hAnsi="Times New Roman"/>
        </w:rPr>
        <w:t xml:space="preserve"> </w:t>
      </w:r>
      <w:r w:rsidRPr="003C69B2">
        <w:rPr>
          <w:rFonts w:ascii="Times New Roman" w:hAnsi="Times New Roman"/>
        </w:rPr>
        <w:t xml:space="preserve">20 at.%), corroborating the formation of </w:t>
      </w:r>
      <w:proofErr w:type="spellStart"/>
      <w:r w:rsidRPr="003C69B2">
        <w:rPr>
          <w:rFonts w:ascii="Times New Roman" w:hAnsi="Times New Roman"/>
        </w:rPr>
        <w:t>core@shell-like</w:t>
      </w:r>
      <w:proofErr w:type="spellEnd"/>
      <w:r w:rsidRPr="003C69B2">
        <w:rPr>
          <w:rFonts w:ascii="Times New Roman" w:hAnsi="Times New Roman"/>
        </w:rPr>
        <w:t xml:space="preserve"> structures. XRD patterns (</w:t>
      </w:r>
      <w:r w:rsidR="006E6FC4">
        <w:rPr>
          <w:rFonts w:ascii="Times New Roman" w:hAnsi="Times New Roman"/>
        </w:rPr>
        <w:t>Figure 1</w:t>
      </w:r>
      <w:r w:rsidRPr="003C69B2">
        <w:rPr>
          <w:rFonts w:ascii="Times New Roman" w:hAnsi="Times New Roman"/>
        </w:rPr>
        <w:t>e) demonstrated that the bare TiO</w:t>
      </w:r>
      <w:r w:rsidRPr="006E6FC4">
        <w:rPr>
          <w:rFonts w:ascii="Times New Roman" w:hAnsi="Times New Roman"/>
          <w:vertAlign w:val="subscript"/>
        </w:rPr>
        <w:t>2</w:t>
      </w:r>
      <w:r w:rsidRPr="003C69B2">
        <w:rPr>
          <w:rFonts w:ascii="Times New Roman" w:hAnsi="Times New Roman"/>
        </w:rPr>
        <w:t>NRs led to the formation of TiO</w:t>
      </w:r>
      <w:r w:rsidRPr="006E6FC4">
        <w:rPr>
          <w:rFonts w:ascii="Times New Roman" w:hAnsi="Times New Roman"/>
          <w:vertAlign w:val="subscript"/>
        </w:rPr>
        <w:t>2</w:t>
      </w:r>
      <w:r w:rsidRPr="003C69B2">
        <w:rPr>
          <w:rFonts w:ascii="Times New Roman" w:hAnsi="Times New Roman"/>
        </w:rPr>
        <w:t xml:space="preserve"> (B) crystal structure (ICSD </w:t>
      </w:r>
      <w:proofErr w:type="spellStart"/>
      <w:r w:rsidRPr="003C69B2">
        <w:rPr>
          <w:rFonts w:ascii="Times New Roman" w:hAnsi="Times New Roman"/>
        </w:rPr>
        <w:t>CollCode</w:t>
      </w:r>
      <w:proofErr w:type="spellEnd"/>
      <w:r w:rsidRPr="003C69B2">
        <w:rPr>
          <w:rFonts w:ascii="Times New Roman" w:hAnsi="Times New Roman"/>
        </w:rPr>
        <w:t xml:space="preserve"> 41056), while crystalline phases related to </w:t>
      </w:r>
      <w:proofErr w:type="spellStart"/>
      <w:r w:rsidRPr="003C69B2">
        <w:rPr>
          <w:rFonts w:ascii="Times New Roman" w:hAnsi="Times New Roman"/>
        </w:rPr>
        <w:t>Nb</w:t>
      </w:r>
      <w:proofErr w:type="spellEnd"/>
      <w:r w:rsidRPr="003C69B2">
        <w:rPr>
          <w:rFonts w:ascii="Times New Roman" w:hAnsi="Times New Roman"/>
        </w:rPr>
        <w:t xml:space="preserve"> oxides were not observed for the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w:t>
      </w:r>
      <w:proofErr w:type="spellStart"/>
      <w:r w:rsidRPr="003C69B2">
        <w:rPr>
          <w:rFonts w:ascii="Times New Roman" w:hAnsi="Times New Roman"/>
        </w:rPr>
        <w:t>core@shell</w:t>
      </w:r>
      <w:proofErr w:type="spellEnd"/>
      <w:r w:rsidRPr="003C69B2">
        <w:rPr>
          <w:rFonts w:ascii="Times New Roman" w:hAnsi="Times New Roman"/>
        </w:rPr>
        <w:t>. The relative intensities within the XRD pattern suggest a preferential growth along a- and c-axis, in agreement with NRs structure. However, the redox pairs of both oxides (Ti</w:t>
      </w:r>
      <w:r w:rsidRPr="006E6FC4">
        <w:rPr>
          <w:rFonts w:ascii="Times New Roman" w:hAnsi="Times New Roman"/>
          <w:vertAlign w:val="superscript"/>
        </w:rPr>
        <w:t>3+</w:t>
      </w:r>
      <w:r w:rsidRPr="003C69B2">
        <w:rPr>
          <w:rFonts w:ascii="Times New Roman" w:hAnsi="Times New Roman"/>
        </w:rPr>
        <w:t>/Ti</w:t>
      </w:r>
      <w:r w:rsidRPr="006E6FC4">
        <w:rPr>
          <w:rFonts w:ascii="Times New Roman" w:hAnsi="Times New Roman"/>
          <w:vertAlign w:val="superscript"/>
        </w:rPr>
        <w:t>4+</w:t>
      </w:r>
      <w:r w:rsidRPr="003C69B2">
        <w:rPr>
          <w:rFonts w:ascii="Times New Roman" w:hAnsi="Times New Roman"/>
        </w:rPr>
        <w:t xml:space="preserve"> and Nb</w:t>
      </w:r>
      <w:r w:rsidRPr="006E6FC4">
        <w:rPr>
          <w:rFonts w:ascii="Times New Roman" w:hAnsi="Times New Roman"/>
          <w:vertAlign w:val="superscript"/>
        </w:rPr>
        <w:t>4+</w:t>
      </w:r>
      <w:r w:rsidRPr="003C69B2">
        <w:rPr>
          <w:rFonts w:ascii="Times New Roman" w:hAnsi="Times New Roman"/>
        </w:rPr>
        <w:t>/Nb</w:t>
      </w:r>
      <w:r w:rsidRPr="006E6FC4">
        <w:rPr>
          <w:rFonts w:ascii="Times New Roman" w:hAnsi="Times New Roman"/>
          <w:vertAlign w:val="superscript"/>
        </w:rPr>
        <w:t>5+</w:t>
      </w:r>
      <w:r w:rsidRPr="003C69B2">
        <w:rPr>
          <w:rFonts w:ascii="Times New Roman" w:hAnsi="Times New Roman"/>
        </w:rPr>
        <w:t>) are active just at high temperatures (&gt;</w:t>
      </w:r>
      <w:r w:rsidR="00833148">
        <w:rPr>
          <w:rFonts w:ascii="Times New Roman" w:hAnsi="Times New Roman"/>
        </w:rPr>
        <w:t xml:space="preserve"> </w:t>
      </w:r>
      <w:r w:rsidRPr="003C69B2">
        <w:rPr>
          <w:rFonts w:ascii="Times New Roman" w:hAnsi="Times New Roman"/>
        </w:rPr>
        <w:t>600 °C)</w:t>
      </w:r>
      <w:r w:rsidR="00CF09D6">
        <w:rPr>
          <w:rFonts w:ascii="Times New Roman" w:hAnsi="Times New Roman"/>
        </w:rPr>
        <w:t xml:space="preserve"> </w:t>
      </w:r>
      <w:r w:rsidR="00CF09D6">
        <w:rPr>
          <w:rFonts w:ascii="Times New Roman" w:hAnsi="Times New Roman"/>
        </w:rPr>
        <w:fldChar w:fldCharType="begin" w:fldLock="1"/>
      </w:r>
      <w:r w:rsidR="00CF09D6">
        <w:rPr>
          <w:rFonts w:ascii="Times New Roman" w:hAnsi="Times New Roman"/>
        </w:rPr>
        <w:instrText>ADDIN CSL_CITATION {"citationItems":[{"id":"ITEM-1","itemData":{"DOI":"10.1016/j.mcat.2021.111567","ISSN":"24688231","abstract":"Sorbitol is a sugar alcohol of great importance in cosmetic, food and pharmaceutical industry as well as the production of biopolymers. This work aimed at the synthesis of sorbitol from the hydrogenation of glucose using Ru/Nb2O5 catalysts in the amorphous and crystalline phases. The catalysts were synthesized from the wet impregnation method and characterized by N2 adsorption isotherms, TGA/DTG, EDXRF, XRD, TPR-H2, XPS and SEM. The catalytic tests presented results of high conversion rates of glucose reaching 85 % and 99 % of selectivity to sorbitol when using Nb2O5 in the crystalline form as support, and 53 % and 55 % in the conversion and selectivity, respectively, when the amorphous phase of Nb2O5 was used as support. The structural modification of the catalytic support positively favored the catalyst activity and sorbitol production, allowing the formation of nanometric particles of the active metal on the surface alongside the increase of the mesoporosity, thereby facilitating the transport of reagents.","author":[{"dropping-particle":"","family":"Silva","given":"Jordan Gonzaga Andrade Batista","non-dropping-particle":"","parse-names":false,"suffix":""},{"dropping-particle":"","family":"Santos","given":"Ronaldo Costa","non-dropping-particle":"","parse-names":false,"suffix":""},{"dropping-particle":"","family":"Rodríguez-Castellón","given":"Enrique","non-dropping-particle":"","parse-names":false,"suffix":""},{"dropping-particle":"","family":"Teixeira","given":"Leonardo Sena Gomes","non-dropping-particle":"","parse-names":false,"suffix":""},{"dropping-particle":"","family":"Pontes","given":"Luiz Antônio Magalhães","non-dropping-particle":"","parse-names":false,"suffix":""}],"container-title":"Molecular Catalysis","id":"ITEM-1","issue":"January","issued":{"date-parts":[["2021"]]},"title":"Catalytic conversion of glucose into sorbitol over niobium oxide supported Ru catalysts","type":"article-journal","volume":"507"},"uris":["http://www.mendeley.com/documents/?uuid=35fbf63e-1bba-4a2a-a9af-4e2a5352f40c"]},{"id":"ITEM-2","itemData":{"DOI":"10.1016/j.apcatb.2005.12.010","ISSN":"09263373","abstract":"The performance of TiO2 supported noble metal (Pt, Rh, Pd and Au) catalysts was examined and compared for the catalytic oxidation of formaldehyde (HCHO). Among them, the Pt/TiO2 was the most active catalyst. The effects of Pt loading and gas hourly space velocity (GHSV) on Pt/TiO2 activity for HCHO oxidation were investigated at a room temperature (20 °C). The optimal Pt loading is 1 wt.%. At this loading, HCHO can be completely oxidized to CO2 and H2O over the Pt/TiO2 in a GHSV of 50,000 h-1 at 20 °C. The 1% Pt/TiO2 was characterized using BET, XRD, high resolution (HR) TEM and temperature programmed reduction (TPR) methods. The XRD patterns and HR TEM image show that Pt particles on TiO2 are well dispersed into a size smaller than 1 nm, an important feature for the high activity of the 1% Pt/TiO2. The mechanism of HCHO oxidation was studied with respect to the behavior of adsorbed species on Pt/TiO2 surface at room temperature using in situ DRIFTS. The results indicate that surface formate and CO species are the main reaction intermediates during the HCHO oxidation. The formate species could decompose into adsorbed CO species on the catalyst surface without the presence of O2, and the CO was then oxidized to CO2 with the presence of O2. Based on these results, a simplified mechanism for the catalytic oxidation of HCHO over 1% Pt/TiO2 was proposed. © 2006 Elsevier B.V. All rights reserved.","author":[{"dropping-particle":"","family":"Zhang","given":"Changbin","non-dropping-particle":"","parse-names":false,"suffix":""},{"dropping-particle":"","family":"He","given":"Hong","non-dropping-particle":"","parse-names":false,"suffix":""},{"dropping-particle":"","family":"Tanaka","given":"Ken ichi","non-dropping-particle":"","parse-names":false,"suffix":""}],"container-title":"Applied Catalysis B: Environmental","id":"ITEM-2","issue":"1-2","issued":{"date-parts":[["2006"]]},"page":"37-43","title":"Catalytic performance and mechanism of a Pt/TiO2 catalyst for the oxidation of formaldehyde at room temperature","type":"article-journal","volume":"65"},"uris":["http://www.mendeley.com/documents/?uuid=1c9596b7-0021-42d9-95f0-1b87fcca42e5"]}],"mendeley":{"formattedCitation":"(&lt;i&gt;10&lt;/i&gt;, &lt;i&gt;11&lt;/i&gt;)","plainTextFormattedCitation":"(10, 11)","previouslyFormattedCitation":"(&lt;i&gt;10&lt;/i&gt;, &lt;i&gt;11&lt;/i&gt;)"},"properties":{"noteIndex":0},"schema":"https://github.com/citation-style-language/schema/raw/master/csl-citation.json"}</w:instrText>
      </w:r>
      <w:r w:rsidR="00CF09D6">
        <w:rPr>
          <w:rFonts w:ascii="Times New Roman" w:hAnsi="Times New Roman"/>
        </w:rPr>
        <w:fldChar w:fldCharType="separate"/>
      </w:r>
      <w:r w:rsidR="00CF09D6" w:rsidRPr="00CF09D6">
        <w:rPr>
          <w:rFonts w:ascii="Times New Roman" w:hAnsi="Times New Roman"/>
          <w:noProof/>
        </w:rPr>
        <w:t>(</w:t>
      </w:r>
      <w:r w:rsidR="00CF09D6" w:rsidRPr="00CF09D6">
        <w:rPr>
          <w:rFonts w:ascii="Times New Roman" w:hAnsi="Times New Roman"/>
          <w:i/>
          <w:noProof/>
        </w:rPr>
        <w:t>10</w:t>
      </w:r>
      <w:r w:rsidR="00CF09D6" w:rsidRPr="00CF09D6">
        <w:rPr>
          <w:rFonts w:ascii="Times New Roman" w:hAnsi="Times New Roman"/>
          <w:noProof/>
        </w:rPr>
        <w:t xml:space="preserve">, </w:t>
      </w:r>
      <w:r w:rsidR="00CF09D6" w:rsidRPr="00CF09D6">
        <w:rPr>
          <w:rFonts w:ascii="Times New Roman" w:hAnsi="Times New Roman"/>
          <w:i/>
          <w:noProof/>
        </w:rPr>
        <w:t>11</w:t>
      </w:r>
      <w:r w:rsidR="00CF09D6" w:rsidRPr="00CF09D6">
        <w:rPr>
          <w:rFonts w:ascii="Times New Roman" w:hAnsi="Times New Roman"/>
          <w:noProof/>
        </w:rPr>
        <w:t>)</w:t>
      </w:r>
      <w:r w:rsidR="00CF09D6">
        <w:rPr>
          <w:rFonts w:ascii="Times New Roman" w:hAnsi="Times New Roman"/>
        </w:rPr>
        <w:fldChar w:fldCharType="end"/>
      </w:r>
      <w:r w:rsidRPr="003C69B2">
        <w:rPr>
          <w:rFonts w:ascii="Times New Roman" w:hAnsi="Times New Roman"/>
        </w:rPr>
        <w:t>, resulting in low DODs over HDO reactions conducted at lower temperatures</w:t>
      </w:r>
      <w:r w:rsidR="00B569DC">
        <w:rPr>
          <w:rFonts w:ascii="Times New Roman" w:hAnsi="Times New Roman"/>
        </w:rPr>
        <w:t xml:space="preserve"> (Figure 2a,c)</w:t>
      </w:r>
      <w:r w:rsidRPr="003C69B2">
        <w:rPr>
          <w:rFonts w:ascii="Times New Roman" w:hAnsi="Times New Roman"/>
        </w:rPr>
        <w:t xml:space="preserve">. Thus, 5 wt.% Fe-supported catalysts were prepared over both supports through an incipient wetness impregnation method. (S)TEM images of both reduced Fe-supported catalysts (Figures </w:t>
      </w:r>
      <w:r w:rsidR="00B569DC">
        <w:rPr>
          <w:rFonts w:ascii="Times New Roman" w:hAnsi="Times New Roman"/>
        </w:rPr>
        <w:t>1</w:t>
      </w:r>
      <w:r w:rsidR="00B569DC" w:rsidRPr="003C69B2">
        <w:rPr>
          <w:rFonts w:ascii="Times New Roman" w:hAnsi="Times New Roman"/>
        </w:rPr>
        <w:t>f</w:t>
      </w:r>
      <w:r w:rsidRPr="003C69B2">
        <w:rPr>
          <w:rFonts w:ascii="Times New Roman" w:hAnsi="Times New Roman"/>
        </w:rPr>
        <w:t>-h) presented particles with cuboidal morphology in the 15-30 nm range. We assume that the particles epitaxially grew over the supports, driven by matching interplanar distances of the support and the Fe phase, as previously demonstrated for other systems</w:t>
      </w:r>
      <w:r w:rsidR="00CF09D6">
        <w:rPr>
          <w:rFonts w:ascii="Times New Roman" w:hAnsi="Times New Roman"/>
        </w:rPr>
        <w:t xml:space="preserve"> </w:t>
      </w:r>
      <w:r w:rsidR="00CF09D6">
        <w:rPr>
          <w:rFonts w:ascii="Times New Roman" w:hAnsi="Times New Roman"/>
        </w:rPr>
        <w:fldChar w:fldCharType="begin" w:fldLock="1"/>
      </w:r>
      <w:r w:rsidR="005040F9">
        <w:rPr>
          <w:rFonts w:ascii="Times New Roman" w:hAnsi="Times New Roman"/>
        </w:rPr>
        <w:instrText>ADDIN CSL_CITATION {"citationItems":[{"id":"ITEM-1","itemData":{"DOI":"10.1007/s12274-019-2431-7","ISSN":"19980000","abstract":"Gold–iron oxide nano-heterostructures with a clear and well-defined morphology were prepared via a seed-assisted method. The synthesis process and the events of heterogeneous nucleation during the decomposition of the iron precursor were carefully studied in order to understand the mechanism of the reaction and to tailor the architecture of the fabricated heterostructures. When employing Au seeds of 3 and 5 nm, nanoparticles with a dimer-like morphology were produced due to the occurrence of a single iron oxide nucleation event. Otherwise, multi-nucleation events could be favored by two mechanisms: (i) by the incorporation of a reducing agent and the slowing down of the heating protocol, leading to a core–shell system; (ii) by the increase of the Au seed size to 8 nm, leading to a flower-like system. Further increase of the Au seed size to 12 nm using similar synthesis conditions promotes the homogeneous nucleation and growth of the iron oxide phase, without formation of heterostructures. An in-depth study was performed on the gold–iron oxide heterostructures to confirm the epitaxial growth of the oxide domain over the Au seed and to analyze the elemental distribution of the components within the heterostructures. Finally, it was found that the modification of the plasmonic properties of the Au nanoparticles are strongly influenced by the architecture of the heterostructure, with a more pronounced damping effect for the systems produced after multi-nucleation events.[Figure not available: see fulltext.].","author":[{"dropping-particle":"","family":"Tancredi","given":"Pablo","non-dropping-particle":"","parse-names":false,"suffix":""},{"dropping-particle":"","family":"Costa","given":"Luelc Souza","non-dropping-particle":"da","parse-names":false,"suffix":""},{"dropping-particle":"","family":"Calderon","given":"Sebastian","non-dropping-particle":"","parse-names":false,"suffix":""},{"dropping-particle":"","family":"Moscoso-Londoño","given":"Oscar","non-dropping-particle":"","parse-names":false,"suffix":""},{"dropping-particle":"","family":"Socolovsky","given":"Leandro M.","non-dropping-particle":"","parse-names":false,"suffix":""},{"dropping-particle":"","family":"Ferreira","given":"Paulo J.","non-dropping-particle":"","parse-names":false,"suffix":""},{"dropping-particle":"","family":"Muraca","given":"Diego","non-dropping-particle":"","parse-names":false,"suffix":""},{"dropping-particle":"","family":"Zanchet","given":"Daniela","non-dropping-particle":"","parse-names":false,"suffix":""},{"dropping-particle":"","family":"Knobel","given":"Marcelo","non-dropping-particle":"","parse-names":false,"suffix":""}],"container-title":"Nano Research","id":"ITEM-1","issue":"8","issued":{"date-parts":[["2019"]]},"page":"1781-1788","title":"Exploring the synthesis conditions to control the morphology of gold-iron oxide heterostructures","type":"article-journal","volume":"12"},"uris":["http://www.mendeley.com/documents/?uuid=52492dc8-ce0f-41ac-a4be-14462d41bdbe"]}],"mendeley":{"formattedCitation":"(&lt;i&gt;12&lt;/i&gt;)","plainTextFormattedCitation":"(12)","previouslyFormattedCitation":"(&lt;i&gt;12&lt;/i&gt;)"},"properties":{"noteIndex":0},"schema":"https://github.com/citation-style-language/schema/raw/master/csl-citation.json"}</w:instrText>
      </w:r>
      <w:r w:rsidR="00CF09D6">
        <w:rPr>
          <w:rFonts w:ascii="Times New Roman" w:hAnsi="Times New Roman"/>
        </w:rPr>
        <w:fldChar w:fldCharType="separate"/>
      </w:r>
      <w:r w:rsidR="00CF09D6" w:rsidRPr="00CF09D6">
        <w:rPr>
          <w:rFonts w:ascii="Times New Roman" w:hAnsi="Times New Roman"/>
          <w:noProof/>
        </w:rPr>
        <w:t>(</w:t>
      </w:r>
      <w:r w:rsidR="00CF09D6" w:rsidRPr="00CF09D6">
        <w:rPr>
          <w:rFonts w:ascii="Times New Roman" w:hAnsi="Times New Roman"/>
          <w:i/>
          <w:noProof/>
        </w:rPr>
        <w:t>12</w:t>
      </w:r>
      <w:r w:rsidR="00CF09D6" w:rsidRPr="00CF09D6">
        <w:rPr>
          <w:rFonts w:ascii="Times New Roman" w:hAnsi="Times New Roman"/>
          <w:noProof/>
        </w:rPr>
        <w:t>)</w:t>
      </w:r>
      <w:r w:rsidR="00CF09D6">
        <w:rPr>
          <w:rFonts w:ascii="Times New Roman" w:hAnsi="Times New Roman"/>
        </w:rPr>
        <w:fldChar w:fldCharType="end"/>
      </w:r>
      <w:r w:rsidRPr="003C69B2">
        <w:rPr>
          <w:rFonts w:ascii="Times New Roman" w:hAnsi="Times New Roman"/>
        </w:rPr>
        <w:t xml:space="preserve">. Moreover, it is possible to observe that the Fe crystallites are composed </w:t>
      </w:r>
      <w:r w:rsidR="00342F5C">
        <w:rPr>
          <w:noProof/>
        </w:rPr>
        <mc:AlternateContent>
          <mc:Choice Requires="wps">
            <w:drawing>
              <wp:anchor distT="0" distB="0" distL="114300" distR="114300" simplePos="0" relativeHeight="251672575" behindDoc="0" locked="0" layoutInCell="1" allowOverlap="1" wp14:anchorId="0A2A5492" wp14:editId="00ACE017">
                <wp:simplePos x="0" y="0"/>
                <wp:positionH relativeFrom="margin">
                  <wp:posOffset>11430</wp:posOffset>
                </wp:positionH>
                <wp:positionV relativeFrom="page">
                  <wp:posOffset>5457825</wp:posOffset>
                </wp:positionV>
                <wp:extent cx="6496050" cy="627380"/>
                <wp:effectExtent l="0" t="0" r="0" b="1270"/>
                <wp:wrapTopAndBottom/>
                <wp:docPr id="14" name="Text Box 14"/>
                <wp:cNvGraphicFramePr/>
                <a:graphic xmlns:a="http://schemas.openxmlformats.org/drawingml/2006/main">
                  <a:graphicData uri="http://schemas.microsoft.com/office/word/2010/wordprocessingShape">
                    <wps:wsp>
                      <wps:cNvSpPr txBox="1"/>
                      <wps:spPr>
                        <a:xfrm>
                          <a:off x="0" y="0"/>
                          <a:ext cx="6496050" cy="627380"/>
                        </a:xfrm>
                        <a:prstGeom prst="rect">
                          <a:avLst/>
                        </a:prstGeom>
                        <a:solidFill>
                          <a:prstClr val="white"/>
                        </a:solidFill>
                        <a:ln>
                          <a:noFill/>
                        </a:ln>
                      </wps:spPr>
                      <wps:txbx>
                        <w:txbxContent>
                          <w:p w14:paraId="768E20BF" w14:textId="3ACCC650" w:rsidR="00CF09D6" w:rsidRPr="00035F66" w:rsidRDefault="00CF09D6" w:rsidP="00CF09D6">
                            <w:pPr>
                              <w:pStyle w:val="Caption"/>
                              <w:jc w:val="both"/>
                              <w:rPr>
                                <w:rFonts w:ascii="Times New Roman" w:eastAsia="Times New Roman" w:hAnsi="Times New Roman" w:cs="Times New Roman"/>
                                <w:sz w:val="20"/>
                                <w:szCs w:val="20"/>
                                <w:lang w:val="en-US"/>
                              </w:rPr>
                            </w:pPr>
                            <w:r w:rsidRPr="00CF09D6">
                              <w:rPr>
                                <w:rFonts w:ascii="Times New Roman" w:hAnsi="Times New Roman" w:cs="Times New Roman"/>
                                <w:color w:val="auto"/>
                                <w:sz w:val="18"/>
                                <w:szCs w:val="18"/>
                                <w:lang w:val="en-US"/>
                              </w:rPr>
                              <w:t xml:space="preserve">Figure </w:t>
                            </w:r>
                            <w:r w:rsidRPr="00CF09D6">
                              <w:rPr>
                                <w:rFonts w:ascii="Times New Roman" w:hAnsi="Times New Roman" w:cs="Times New Roman"/>
                                <w:color w:val="auto"/>
                                <w:sz w:val="18"/>
                                <w:szCs w:val="18"/>
                              </w:rPr>
                              <w:fldChar w:fldCharType="begin"/>
                            </w:r>
                            <w:r w:rsidRPr="00CF09D6">
                              <w:rPr>
                                <w:rFonts w:ascii="Times New Roman" w:hAnsi="Times New Roman" w:cs="Times New Roman"/>
                                <w:color w:val="auto"/>
                                <w:sz w:val="18"/>
                                <w:szCs w:val="18"/>
                                <w:lang w:val="en-US"/>
                              </w:rPr>
                              <w:instrText xml:space="preserve"> SEQ Figure \* ARABIC </w:instrText>
                            </w:r>
                            <w:r w:rsidRPr="00CF09D6">
                              <w:rPr>
                                <w:rFonts w:ascii="Times New Roman" w:hAnsi="Times New Roman" w:cs="Times New Roman"/>
                                <w:color w:val="auto"/>
                                <w:sz w:val="18"/>
                                <w:szCs w:val="18"/>
                              </w:rPr>
                              <w:fldChar w:fldCharType="separate"/>
                            </w:r>
                            <w:r w:rsidR="008E4D95">
                              <w:rPr>
                                <w:rFonts w:ascii="Times New Roman" w:hAnsi="Times New Roman" w:cs="Times New Roman"/>
                                <w:noProof/>
                                <w:color w:val="auto"/>
                                <w:sz w:val="18"/>
                                <w:szCs w:val="18"/>
                                <w:lang w:val="en-US"/>
                              </w:rPr>
                              <w:t>2</w:t>
                            </w:r>
                            <w:r w:rsidRPr="00CF09D6">
                              <w:rPr>
                                <w:rFonts w:ascii="Times New Roman" w:hAnsi="Times New Roman" w:cs="Times New Roman"/>
                                <w:color w:val="auto"/>
                                <w:sz w:val="18"/>
                                <w:szCs w:val="18"/>
                              </w:rPr>
                              <w:fldChar w:fldCharType="end"/>
                            </w:r>
                            <w:r w:rsidRPr="00CF09D6">
                              <w:rPr>
                                <w:rFonts w:ascii="Times New Roman" w:hAnsi="Times New Roman" w:cs="Times New Roman"/>
                                <w:color w:val="auto"/>
                                <w:sz w:val="18"/>
                                <w:szCs w:val="18"/>
                                <w:lang w:val="en-US"/>
                              </w:rPr>
                              <w:t>:</w:t>
                            </w:r>
                            <w:r w:rsidRPr="00CF09D6">
                              <w:rPr>
                                <w:color w:val="auto"/>
                                <w:lang w:val="en-US"/>
                              </w:rPr>
                              <w:t xml:space="preserve"> </w:t>
                            </w:r>
                            <w:r w:rsidRPr="00D67160">
                              <w:rPr>
                                <w:rFonts w:ascii="Times New Roman" w:hAnsi="Times New Roman" w:cs="Times New Roman"/>
                                <w:b w:val="0"/>
                                <w:color w:val="auto"/>
                                <w:sz w:val="18"/>
                                <w:szCs w:val="18"/>
                                <w:lang w:val="en-US"/>
                              </w:rPr>
                              <w:t>Products distribution (bars) and conversion (squares) of acetone HDO reaction as a function of TOS at 350 °C for (a)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NRs; (b)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 xml:space="preserve">NRs 5 wt.% </w:t>
                            </w:r>
                            <w:r w:rsidRPr="00D67160">
                              <w:rPr>
                                <w:rFonts w:ascii="Times New Roman" w:hAnsi="Times New Roman" w:cs="Times New Roman"/>
                                <w:b w:val="0"/>
                                <w:color w:val="auto"/>
                                <w:sz w:val="18"/>
                                <w:szCs w:val="18"/>
                              </w:rPr>
                              <w:t>Fe; (c)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(d)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xml:space="preserve"> 5 wt.% Fe; (e)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xml:space="preserve"> 5 wt.% </w:t>
                            </w:r>
                            <w:r w:rsidRPr="00D67160">
                              <w:rPr>
                                <w:rFonts w:ascii="Times New Roman" w:hAnsi="Times New Roman" w:cs="Times New Roman"/>
                                <w:b w:val="0"/>
                                <w:color w:val="auto"/>
                                <w:sz w:val="18"/>
                                <w:szCs w:val="18"/>
                                <w:lang w:val="en-US"/>
                              </w:rPr>
                              <w:t>Fe 0.017 wt.% Pt; and (f)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NRs@Nb</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O</w:t>
                            </w:r>
                            <w:r w:rsidRPr="00D67160">
                              <w:rPr>
                                <w:rFonts w:ascii="Times New Roman" w:hAnsi="Times New Roman" w:cs="Times New Roman"/>
                                <w:b w:val="0"/>
                                <w:color w:val="auto"/>
                                <w:sz w:val="18"/>
                                <w:szCs w:val="18"/>
                                <w:vertAlign w:val="subscript"/>
                                <w:lang w:val="en-US"/>
                              </w:rPr>
                              <w:t>5</w:t>
                            </w:r>
                            <w:r w:rsidRPr="00D67160">
                              <w:rPr>
                                <w:rFonts w:ascii="Times New Roman" w:hAnsi="Times New Roman" w:cs="Times New Roman"/>
                                <w:b w:val="0"/>
                                <w:color w:val="auto"/>
                                <w:sz w:val="18"/>
                                <w:szCs w:val="18"/>
                                <w:lang w:val="en-US"/>
                              </w:rPr>
                              <w:t xml:space="preserve"> 5 wt.% Fe 0.9 wt.% Pt. Total feed of 100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3.6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xml:space="preserve"> acetone, 76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xml:space="preserve"> H</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 balance He. 50 mg of catalyst for each test. Products structure are presented in the right panel.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2A5492" id="Text Box 14" o:spid="_x0000_s1029" type="#_x0000_t202" style="position:absolute;left:0;text-align:left;margin-left:.9pt;margin-top:429.75pt;width:511.5pt;height:49.4pt;z-index:251672575;visibility:visible;mso-wrap-style:squar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" stroked="f">
                <v:textbox style="mso-fit-shape-to-text:t" inset="0,0,0,0">
                  <w:txbxContent>
                    <w:p w14:paraId="768E20BF" w14:textId="3ACCC650" w:rsidR="00CF09D6" w:rsidRPr="00035F66" w:rsidRDefault="00CF09D6" w:rsidP="00CF09D6">
                      <w:pPr>
                        <w:pStyle w:val="Caption"/>
                        <w:jc w:val="both"/>
                        <w:rPr>
                          <w:rFonts w:ascii="Times New Roman" w:eastAsia="Times New Roman" w:hAnsi="Times New Roman" w:cs="Times New Roman"/>
                          <w:sz w:val="20"/>
                          <w:szCs w:val="20"/>
                          <w:lang w:val="en-US"/>
                        </w:rPr>
                      </w:pPr>
                      <w:r w:rsidRPr="00CF09D6">
                        <w:rPr>
                          <w:rFonts w:ascii="Times New Roman" w:hAnsi="Times New Roman" w:cs="Times New Roman"/>
                          <w:color w:val="auto"/>
                          <w:sz w:val="18"/>
                          <w:szCs w:val="18"/>
                          <w:lang w:val="en-US"/>
                        </w:rPr>
                        <w:t xml:space="preserve">Figure </w:t>
                      </w:r>
                      <w:r w:rsidRPr="00CF09D6">
                        <w:rPr>
                          <w:rFonts w:ascii="Times New Roman" w:hAnsi="Times New Roman" w:cs="Times New Roman"/>
                          <w:color w:val="auto"/>
                          <w:sz w:val="18"/>
                          <w:szCs w:val="18"/>
                        </w:rPr>
                        <w:fldChar w:fldCharType="begin"/>
                      </w:r>
                      <w:r w:rsidRPr="00CF09D6">
                        <w:rPr>
                          <w:rFonts w:ascii="Times New Roman" w:hAnsi="Times New Roman" w:cs="Times New Roman"/>
                          <w:color w:val="auto"/>
                          <w:sz w:val="18"/>
                          <w:szCs w:val="18"/>
                          <w:lang w:val="en-US"/>
                        </w:rPr>
                        <w:instrText xml:space="preserve"> SEQ Figure \* ARABIC </w:instrText>
                      </w:r>
                      <w:r w:rsidRPr="00CF09D6">
                        <w:rPr>
                          <w:rFonts w:ascii="Times New Roman" w:hAnsi="Times New Roman" w:cs="Times New Roman"/>
                          <w:color w:val="auto"/>
                          <w:sz w:val="18"/>
                          <w:szCs w:val="18"/>
                        </w:rPr>
                        <w:fldChar w:fldCharType="separate"/>
                      </w:r>
                      <w:r w:rsidR="008E4D95">
                        <w:rPr>
                          <w:rFonts w:ascii="Times New Roman" w:hAnsi="Times New Roman" w:cs="Times New Roman"/>
                          <w:noProof/>
                          <w:color w:val="auto"/>
                          <w:sz w:val="18"/>
                          <w:szCs w:val="18"/>
                          <w:lang w:val="en-US"/>
                        </w:rPr>
                        <w:t>2</w:t>
                      </w:r>
                      <w:r w:rsidRPr="00CF09D6">
                        <w:rPr>
                          <w:rFonts w:ascii="Times New Roman" w:hAnsi="Times New Roman" w:cs="Times New Roman"/>
                          <w:color w:val="auto"/>
                          <w:sz w:val="18"/>
                          <w:szCs w:val="18"/>
                        </w:rPr>
                        <w:fldChar w:fldCharType="end"/>
                      </w:r>
                      <w:r w:rsidRPr="00CF09D6">
                        <w:rPr>
                          <w:rFonts w:ascii="Times New Roman" w:hAnsi="Times New Roman" w:cs="Times New Roman"/>
                          <w:color w:val="auto"/>
                          <w:sz w:val="18"/>
                          <w:szCs w:val="18"/>
                          <w:lang w:val="en-US"/>
                        </w:rPr>
                        <w:t>:</w:t>
                      </w:r>
                      <w:r w:rsidRPr="00CF09D6">
                        <w:rPr>
                          <w:color w:val="auto"/>
                          <w:lang w:val="en-US"/>
                        </w:rPr>
                        <w:t xml:space="preserve"> </w:t>
                      </w:r>
                      <w:r w:rsidRPr="00D67160">
                        <w:rPr>
                          <w:rFonts w:ascii="Times New Roman" w:hAnsi="Times New Roman" w:cs="Times New Roman"/>
                          <w:b w:val="0"/>
                          <w:color w:val="auto"/>
                          <w:sz w:val="18"/>
                          <w:szCs w:val="18"/>
                          <w:lang w:val="en-US"/>
                        </w:rPr>
                        <w:t>Products distribution (bars) and conversion (squares) of acetone HDO reaction as a function of TOS at 350 °C for (a)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NRs; (b)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 xml:space="preserve">NRs 5 wt.% </w:t>
                      </w:r>
                      <w:r w:rsidRPr="00D67160">
                        <w:rPr>
                          <w:rFonts w:ascii="Times New Roman" w:hAnsi="Times New Roman" w:cs="Times New Roman"/>
                          <w:b w:val="0"/>
                          <w:color w:val="auto"/>
                          <w:sz w:val="18"/>
                          <w:szCs w:val="18"/>
                        </w:rPr>
                        <w:t>Fe; (c)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(d)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xml:space="preserve"> 5 wt.% Fe; (e) TiO</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NRs@Nb</w:t>
                      </w:r>
                      <w:r w:rsidRPr="00D67160">
                        <w:rPr>
                          <w:rFonts w:ascii="Times New Roman" w:hAnsi="Times New Roman" w:cs="Times New Roman"/>
                          <w:b w:val="0"/>
                          <w:color w:val="auto"/>
                          <w:sz w:val="18"/>
                          <w:szCs w:val="18"/>
                          <w:vertAlign w:val="subscript"/>
                        </w:rPr>
                        <w:t>2</w:t>
                      </w:r>
                      <w:r w:rsidRPr="00D67160">
                        <w:rPr>
                          <w:rFonts w:ascii="Times New Roman" w:hAnsi="Times New Roman" w:cs="Times New Roman"/>
                          <w:b w:val="0"/>
                          <w:color w:val="auto"/>
                          <w:sz w:val="18"/>
                          <w:szCs w:val="18"/>
                        </w:rPr>
                        <w:t>O</w:t>
                      </w:r>
                      <w:r w:rsidRPr="00D67160">
                        <w:rPr>
                          <w:rFonts w:ascii="Times New Roman" w:hAnsi="Times New Roman" w:cs="Times New Roman"/>
                          <w:b w:val="0"/>
                          <w:color w:val="auto"/>
                          <w:sz w:val="18"/>
                          <w:szCs w:val="18"/>
                          <w:vertAlign w:val="subscript"/>
                        </w:rPr>
                        <w:t>5</w:t>
                      </w:r>
                      <w:r w:rsidRPr="00D67160">
                        <w:rPr>
                          <w:rFonts w:ascii="Times New Roman" w:hAnsi="Times New Roman" w:cs="Times New Roman"/>
                          <w:b w:val="0"/>
                          <w:color w:val="auto"/>
                          <w:sz w:val="18"/>
                          <w:szCs w:val="18"/>
                        </w:rPr>
                        <w:t xml:space="preserve"> 5 wt.% </w:t>
                      </w:r>
                      <w:r w:rsidRPr="00D67160">
                        <w:rPr>
                          <w:rFonts w:ascii="Times New Roman" w:hAnsi="Times New Roman" w:cs="Times New Roman"/>
                          <w:b w:val="0"/>
                          <w:color w:val="auto"/>
                          <w:sz w:val="18"/>
                          <w:szCs w:val="18"/>
                          <w:lang w:val="en-US"/>
                        </w:rPr>
                        <w:t>Fe 0.017 wt.% Pt; and (f) TiO</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NRs@Nb</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O</w:t>
                      </w:r>
                      <w:r w:rsidRPr="00D67160">
                        <w:rPr>
                          <w:rFonts w:ascii="Times New Roman" w:hAnsi="Times New Roman" w:cs="Times New Roman"/>
                          <w:b w:val="0"/>
                          <w:color w:val="auto"/>
                          <w:sz w:val="18"/>
                          <w:szCs w:val="18"/>
                          <w:vertAlign w:val="subscript"/>
                          <w:lang w:val="en-US"/>
                        </w:rPr>
                        <w:t>5</w:t>
                      </w:r>
                      <w:r w:rsidRPr="00D67160">
                        <w:rPr>
                          <w:rFonts w:ascii="Times New Roman" w:hAnsi="Times New Roman" w:cs="Times New Roman"/>
                          <w:b w:val="0"/>
                          <w:color w:val="auto"/>
                          <w:sz w:val="18"/>
                          <w:szCs w:val="18"/>
                          <w:lang w:val="en-US"/>
                        </w:rPr>
                        <w:t xml:space="preserve"> 5 wt.% Fe 0.9 wt.% Pt. Total feed of 100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3.6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xml:space="preserve"> acetone, 76 mL min</w:t>
                      </w:r>
                      <w:r w:rsidRPr="00D67160">
                        <w:rPr>
                          <w:rFonts w:ascii="Times New Roman" w:hAnsi="Times New Roman" w:cs="Times New Roman"/>
                          <w:b w:val="0"/>
                          <w:color w:val="auto"/>
                          <w:sz w:val="18"/>
                          <w:szCs w:val="18"/>
                          <w:vertAlign w:val="superscript"/>
                          <w:lang w:val="en-US"/>
                        </w:rPr>
                        <w:t>-1</w:t>
                      </w:r>
                      <w:r w:rsidRPr="00D67160">
                        <w:rPr>
                          <w:rFonts w:ascii="Times New Roman" w:hAnsi="Times New Roman" w:cs="Times New Roman"/>
                          <w:b w:val="0"/>
                          <w:color w:val="auto"/>
                          <w:sz w:val="18"/>
                          <w:szCs w:val="18"/>
                          <w:lang w:val="en-US"/>
                        </w:rPr>
                        <w:t xml:space="preserve"> H</w:t>
                      </w:r>
                      <w:r w:rsidRPr="00D67160">
                        <w:rPr>
                          <w:rFonts w:ascii="Times New Roman" w:hAnsi="Times New Roman" w:cs="Times New Roman"/>
                          <w:b w:val="0"/>
                          <w:color w:val="auto"/>
                          <w:sz w:val="18"/>
                          <w:szCs w:val="18"/>
                          <w:vertAlign w:val="subscript"/>
                          <w:lang w:val="en-US"/>
                        </w:rPr>
                        <w:t>2</w:t>
                      </w:r>
                      <w:r w:rsidRPr="00D67160">
                        <w:rPr>
                          <w:rFonts w:ascii="Times New Roman" w:hAnsi="Times New Roman" w:cs="Times New Roman"/>
                          <w:b w:val="0"/>
                          <w:color w:val="auto"/>
                          <w:sz w:val="18"/>
                          <w:szCs w:val="18"/>
                          <w:lang w:val="en-US"/>
                        </w:rPr>
                        <w:t>, balance He. 50 mg of catalyst for each test. Products structure are presented in the right panel.</w:t>
                      </w:r>
                    </w:p>
                  </w:txbxContent>
                </v:textbox>
                <w10:wrap type="topAndBottom" anchorx="margin" anchory="page"/>
              </v:shape>
            </w:pict>
          </mc:Fallback>
        </mc:AlternateContent>
      </w:r>
      <w:r w:rsidRPr="003C69B2">
        <w:rPr>
          <w:rFonts w:ascii="Times New Roman" w:hAnsi="Times New Roman"/>
        </w:rPr>
        <w:t xml:space="preserve">of a </w:t>
      </w:r>
      <w:proofErr w:type="spellStart"/>
      <w:r w:rsidRPr="003C69B2">
        <w:rPr>
          <w:rFonts w:ascii="Times New Roman" w:hAnsi="Times New Roman"/>
        </w:rPr>
        <w:t>core@shell</w:t>
      </w:r>
      <w:proofErr w:type="spellEnd"/>
      <w:r w:rsidRPr="003C69B2">
        <w:rPr>
          <w:rFonts w:ascii="Times New Roman" w:hAnsi="Times New Roman"/>
        </w:rPr>
        <w:t xml:space="preserve"> structure (see inset of </w:t>
      </w:r>
      <w:r w:rsidR="006E6FC4">
        <w:rPr>
          <w:rFonts w:ascii="Times New Roman" w:hAnsi="Times New Roman"/>
        </w:rPr>
        <w:t>Figure 1</w:t>
      </w:r>
      <w:r w:rsidRPr="003C69B2">
        <w:rPr>
          <w:rFonts w:ascii="Times New Roman" w:hAnsi="Times New Roman"/>
        </w:rPr>
        <w:t xml:space="preserve">f and </w:t>
      </w:r>
      <w:r w:rsidR="006E6FC4">
        <w:rPr>
          <w:rFonts w:ascii="Times New Roman" w:hAnsi="Times New Roman"/>
        </w:rPr>
        <w:t>Figure 1</w:t>
      </w:r>
      <w:r w:rsidRPr="003C69B2">
        <w:rPr>
          <w:rFonts w:ascii="Times New Roman" w:hAnsi="Times New Roman"/>
        </w:rPr>
        <w:t>h), in which the denser core is associated with metallic Fe, while the shell is associated with an oxidized phase of Fe. Interplanar distances obtained through TEM analysis, combined with XPS measurements, demonstrated that the phase of the shell can be related to the spinel structure of Fe</w:t>
      </w:r>
      <w:r w:rsidRPr="006E6FC4">
        <w:rPr>
          <w:rFonts w:ascii="Times New Roman" w:hAnsi="Times New Roman"/>
          <w:vertAlign w:val="subscript"/>
        </w:rPr>
        <w:t>3</w:t>
      </w:r>
      <w:r w:rsidRPr="003C69B2">
        <w:rPr>
          <w:rFonts w:ascii="Times New Roman" w:hAnsi="Times New Roman"/>
        </w:rPr>
        <w:t>O</w:t>
      </w:r>
      <w:r w:rsidRPr="006E6FC4">
        <w:rPr>
          <w:rFonts w:ascii="Times New Roman" w:hAnsi="Times New Roman"/>
          <w:vertAlign w:val="subscript"/>
        </w:rPr>
        <w:t>4</w:t>
      </w:r>
      <w:r w:rsidR="00B569DC">
        <w:rPr>
          <w:rFonts w:ascii="Times New Roman" w:hAnsi="Times New Roman"/>
          <w:vertAlign w:val="subscript"/>
        </w:rPr>
        <w:t xml:space="preserve"> </w:t>
      </w:r>
      <w:r w:rsidR="00B569DC">
        <w:rPr>
          <w:rFonts w:ascii="Times New Roman" w:hAnsi="Times New Roman"/>
        </w:rPr>
        <w:t>(not shown)</w:t>
      </w:r>
      <w:r w:rsidRPr="003C69B2">
        <w:rPr>
          <w:rFonts w:ascii="Times New Roman" w:hAnsi="Times New Roman"/>
        </w:rPr>
        <w:t xml:space="preserve">. The oxidation of the surface of these particles could be due to the passivation step and/or the exposition to the atmosphere after reduction. XRD measurements were also conducted over the calcined and reduced Fe-supported catalysts (not shown), however, </w:t>
      </w:r>
      <w:r w:rsidR="006E6FC4">
        <w:rPr>
          <w:rFonts w:ascii="Times New Roman" w:hAnsi="Times New Roman"/>
        </w:rPr>
        <w:t xml:space="preserve">it was not possible to observe </w:t>
      </w:r>
      <w:r w:rsidRPr="003C69B2">
        <w:rPr>
          <w:rFonts w:ascii="Times New Roman" w:hAnsi="Times New Roman"/>
        </w:rPr>
        <w:t xml:space="preserve">diffraction peaks related to Fe phases. Further electronic and structural characterization is underway to better understand the hypothesized epitaxial growth and to identify the electronic behavior of the Fe phase over both supports. </w:t>
      </w:r>
    </w:p>
    <w:p w14:paraId="1743483A" w14:textId="3796EC13" w:rsidR="005040F9" w:rsidRDefault="003C69B2" w:rsidP="00347CA0">
      <w:pPr>
        <w:pStyle w:val="TAMainText"/>
        <w:ind w:firstLine="187"/>
      </w:pPr>
      <w:r w:rsidRPr="003C69B2">
        <w:rPr>
          <w:rFonts w:ascii="Times New Roman" w:hAnsi="Times New Roman"/>
        </w:rPr>
        <w:t xml:space="preserve"> Acetone HDO reaction was employed for this set of catalysts</w:t>
      </w:r>
      <w:r w:rsidR="005040F9">
        <w:rPr>
          <w:rFonts w:ascii="Times New Roman" w:hAnsi="Times New Roman"/>
        </w:rPr>
        <w:t>, in which different reaction pathways can occur, as presented in Figure 3</w:t>
      </w:r>
      <w:r w:rsidRPr="005040F9">
        <w:rPr>
          <w:rFonts w:ascii="Times New Roman" w:hAnsi="Times New Roman"/>
        </w:rPr>
        <w:t>.</w:t>
      </w:r>
      <w:r w:rsidRPr="003C69B2">
        <w:rPr>
          <w:rFonts w:ascii="Times New Roman" w:hAnsi="Times New Roman"/>
        </w:rPr>
        <w:t xml:space="preserve"> Both the bare TiO</w:t>
      </w:r>
      <w:r w:rsidRPr="006E6FC4">
        <w:rPr>
          <w:rFonts w:ascii="Times New Roman" w:hAnsi="Times New Roman"/>
          <w:vertAlign w:val="subscript"/>
        </w:rPr>
        <w:t>2</w:t>
      </w:r>
      <w:r w:rsidRPr="003C69B2">
        <w:rPr>
          <w:rFonts w:ascii="Times New Roman" w:hAnsi="Times New Roman"/>
        </w:rPr>
        <w:t xml:space="preserve">NRs and the Fe-supported catalyst presented similar catalytic performances (Figures </w:t>
      </w:r>
      <w:r w:rsidR="005040F9">
        <w:rPr>
          <w:rFonts w:ascii="Times New Roman" w:hAnsi="Times New Roman"/>
        </w:rPr>
        <w:t>2</w:t>
      </w:r>
      <w:proofErr w:type="gramStart"/>
      <w:r w:rsidRPr="003C69B2">
        <w:rPr>
          <w:rFonts w:ascii="Times New Roman" w:hAnsi="Times New Roman"/>
        </w:rPr>
        <w:t>a,b</w:t>
      </w:r>
      <w:proofErr w:type="gramEnd"/>
      <w:r w:rsidRPr="003C69B2">
        <w:rPr>
          <w:rFonts w:ascii="Times New Roman" w:hAnsi="Times New Roman"/>
        </w:rPr>
        <w:t>), with acetone conversions around 25% and preferential formation of condensation products, mainly C</w:t>
      </w:r>
      <w:r w:rsidRPr="006E6FC4">
        <w:rPr>
          <w:rFonts w:ascii="Times New Roman" w:hAnsi="Times New Roman"/>
          <w:vertAlign w:val="subscript"/>
        </w:rPr>
        <w:t>6</w:t>
      </w:r>
      <w:r w:rsidRPr="003C69B2">
        <w:rPr>
          <w:rFonts w:ascii="Times New Roman" w:hAnsi="Times New Roman"/>
        </w:rPr>
        <w:t xml:space="preserve">O, representing more than 90% of the total products. The addition of Fe to the system did not favor deoxygenation to a great extent, suggesting that AS are still the main active sites. On the other hand, when Fe was supported over </w:t>
      </w:r>
      <w:r w:rsidR="0057119E">
        <w:rPr>
          <w:noProof/>
        </w:rPr>
        <w:lastRenderedPageBreak/>
        <mc:AlternateContent>
          <mc:Choice Requires="wps">
            <w:drawing>
              <wp:anchor distT="0" distB="0" distL="114300" distR="114300" simplePos="0" relativeHeight="251675647" behindDoc="0" locked="0" layoutInCell="1" allowOverlap="1" wp14:anchorId="695E5B25" wp14:editId="06C12A78">
                <wp:simplePos x="0" y="0"/>
                <wp:positionH relativeFrom="column">
                  <wp:posOffset>1905</wp:posOffset>
                </wp:positionH>
                <wp:positionV relativeFrom="page">
                  <wp:posOffset>3762375</wp:posOffset>
                </wp:positionV>
                <wp:extent cx="6452870" cy="233045"/>
                <wp:effectExtent l="0" t="0" r="5080" b="0"/>
                <wp:wrapTopAndBottom/>
                <wp:docPr id="16" name="Text Box 16"/>
                <wp:cNvGraphicFramePr/>
                <a:graphic xmlns:a="http://schemas.openxmlformats.org/drawingml/2006/main">
                  <a:graphicData uri="http://schemas.microsoft.com/office/word/2010/wordprocessingShape">
                    <wps:wsp>
                      <wps:cNvSpPr txBox="1"/>
                      <wps:spPr>
                        <a:xfrm>
                          <a:off x="0" y="0"/>
                          <a:ext cx="6452870" cy="233045"/>
                        </a:xfrm>
                        <a:prstGeom prst="rect">
                          <a:avLst/>
                        </a:prstGeom>
                        <a:solidFill>
                          <a:prstClr val="white"/>
                        </a:solidFill>
                        <a:ln>
                          <a:noFill/>
                        </a:ln>
                      </wps:spPr>
                      <wps:txbx>
                        <w:txbxContent>
                          <w:p w14:paraId="33BD1778" w14:textId="614B6BBE" w:rsidR="005040F9" w:rsidRPr="005040F9" w:rsidRDefault="005040F9" w:rsidP="005040F9">
                            <w:pPr>
                              <w:pStyle w:val="Caption"/>
                              <w:rPr>
                                <w:rFonts w:ascii="Times New Roman" w:eastAsia="Times New Roman" w:hAnsi="Times New Roman" w:cs="Times New Roman"/>
                                <w:b w:val="0"/>
                                <w:color w:val="auto"/>
                                <w:sz w:val="18"/>
                                <w:szCs w:val="18"/>
                                <w:lang w:val="en-US"/>
                              </w:rPr>
                            </w:pPr>
                            <w:r w:rsidRPr="005040F9">
                              <w:rPr>
                                <w:rFonts w:ascii="Times New Roman" w:hAnsi="Times New Roman" w:cs="Times New Roman"/>
                                <w:color w:val="auto"/>
                                <w:sz w:val="18"/>
                                <w:szCs w:val="18"/>
                                <w:lang w:val="en-US"/>
                              </w:rPr>
                              <w:t xml:space="preserve">Figure </w:t>
                            </w:r>
                            <w:r w:rsidRPr="005040F9">
                              <w:rPr>
                                <w:rFonts w:ascii="Times New Roman" w:hAnsi="Times New Roman" w:cs="Times New Roman"/>
                                <w:color w:val="auto"/>
                                <w:sz w:val="18"/>
                                <w:szCs w:val="18"/>
                              </w:rPr>
                              <w:fldChar w:fldCharType="begin"/>
                            </w:r>
                            <w:r w:rsidRPr="005040F9">
                              <w:rPr>
                                <w:rFonts w:ascii="Times New Roman" w:hAnsi="Times New Roman" w:cs="Times New Roman"/>
                                <w:color w:val="auto"/>
                                <w:sz w:val="18"/>
                                <w:szCs w:val="18"/>
                                <w:lang w:val="en-US"/>
                              </w:rPr>
                              <w:instrText xml:space="preserve"> SEQ Figure \* ARABIC </w:instrText>
                            </w:r>
                            <w:r w:rsidRPr="005040F9">
                              <w:rPr>
                                <w:rFonts w:ascii="Times New Roman" w:hAnsi="Times New Roman" w:cs="Times New Roman"/>
                                <w:color w:val="auto"/>
                                <w:sz w:val="18"/>
                                <w:szCs w:val="18"/>
                              </w:rPr>
                              <w:fldChar w:fldCharType="separate"/>
                            </w:r>
                            <w:r w:rsidR="008E4D95">
                              <w:rPr>
                                <w:rFonts w:ascii="Times New Roman" w:hAnsi="Times New Roman" w:cs="Times New Roman"/>
                                <w:noProof/>
                                <w:color w:val="auto"/>
                                <w:sz w:val="18"/>
                                <w:szCs w:val="18"/>
                                <w:lang w:val="en-US"/>
                              </w:rPr>
                              <w:t>3</w:t>
                            </w:r>
                            <w:r w:rsidRPr="005040F9">
                              <w:rPr>
                                <w:rFonts w:ascii="Times New Roman" w:hAnsi="Times New Roman" w:cs="Times New Roman"/>
                                <w:color w:val="auto"/>
                                <w:sz w:val="18"/>
                                <w:szCs w:val="18"/>
                              </w:rPr>
                              <w:fldChar w:fldCharType="end"/>
                            </w:r>
                            <w:r w:rsidRPr="005040F9">
                              <w:rPr>
                                <w:rFonts w:ascii="Times New Roman" w:hAnsi="Times New Roman" w:cs="Times New Roman"/>
                                <w:color w:val="auto"/>
                                <w:sz w:val="18"/>
                                <w:szCs w:val="18"/>
                                <w:lang w:val="en-US"/>
                              </w:rPr>
                              <w:t>:</w:t>
                            </w:r>
                            <w:r w:rsidRPr="005040F9">
                              <w:rPr>
                                <w:rFonts w:ascii="Times New Roman" w:hAnsi="Times New Roman" w:cs="Times New Roman"/>
                                <w:b w:val="0"/>
                                <w:color w:val="auto"/>
                                <w:sz w:val="18"/>
                                <w:szCs w:val="18"/>
                                <w:lang w:val="en-US"/>
                              </w:rPr>
                              <w:t xml:space="preserve"> Proposed </w:t>
                            </w:r>
                            <w:r>
                              <w:rPr>
                                <w:rFonts w:ascii="Times New Roman" w:hAnsi="Times New Roman" w:cs="Times New Roman"/>
                                <w:b w:val="0"/>
                                <w:color w:val="auto"/>
                                <w:sz w:val="18"/>
                                <w:szCs w:val="18"/>
                                <w:lang w:val="en-US"/>
                              </w:rPr>
                              <w:t xml:space="preserve">scheme of </w:t>
                            </w:r>
                            <w:r w:rsidRPr="005040F9">
                              <w:rPr>
                                <w:rFonts w:ascii="Times New Roman" w:hAnsi="Times New Roman" w:cs="Times New Roman"/>
                                <w:b w:val="0"/>
                                <w:color w:val="auto"/>
                                <w:sz w:val="18"/>
                                <w:szCs w:val="18"/>
                                <w:lang w:val="en-US"/>
                              </w:rPr>
                              <w:t xml:space="preserve">acetone HDO reactional </w:t>
                            </w:r>
                            <w:r w:rsidRPr="0057119E">
                              <w:rPr>
                                <w:rFonts w:ascii="Times New Roman" w:hAnsi="Times New Roman" w:cs="Times New Roman"/>
                                <w:b w:val="0"/>
                                <w:color w:val="auto"/>
                                <w:sz w:val="18"/>
                                <w:szCs w:val="18"/>
                                <w:lang w:val="en-US"/>
                              </w:rPr>
                              <w:t xml:space="preserve">pathways. Adapted from </w:t>
                            </w:r>
                            <w:r w:rsidRPr="0057119E">
                              <w:rPr>
                                <w:rFonts w:ascii="Times New Roman" w:hAnsi="Times New Roman"/>
                                <w:sz w:val="18"/>
                                <w:szCs w:val="18"/>
                              </w:rPr>
                              <w:fldChar w:fldCharType="begin" w:fldLock="1"/>
                            </w:r>
                            <w:r w:rsidRPr="0057119E">
                              <w:rPr>
                                <w:rFonts w:ascii="Times New Roman" w:hAnsi="Times New Roman"/>
                                <w:sz w:val="18"/>
                                <w:szCs w:val="18"/>
                                <w:lang w:val="en-US"/>
                              </w:rPr>
                              <w:instrText>ADDIN CSL_CITATION {"citationItems":[{"id":"ITEM-1","itemData":{"DOI":"10.1016/j.apcatb.2023.122863","ISSN":"0926-3373","author":[{"dropping-particle":"","family":"Strapasson","given":"Guilherme B.","non-dropping-particle":"","parse-names":false,"suffix":""},{"dropping-particle":"","family":"Sousa","given":"Leonardo S.","non-dropping-particle":"","parse-names":false,"suffix":""},{"dropping-particle":"","family":"Báfero","given":"Gabriel B.","non-dropping-particle":"","parse-names":false,"suffix":""},{"dropping-particle":"","family":"Leite","given":"Davi S.","non-dropping-particle":"","parse-names":false,"suffix":""},{"dropping-particle":"","family":"Moreno","given":"Beatriz D.","non-dropping-particle":"","parse-names":false,"suffix":""},{"dropping-particle":"","family":"Rodella","given":"Cristiane B.","non-dropping-particle":"","parse-names":false,"suffix":""},{"dropping-particle":"","family":"Zanchet","given":"Daniela","non-dropping-particle":"","parse-names":false,"suffix":""}],"container-title":"Applied Catalysis B: Environmental","id":"ITEM-1","issued":{"date-parts":[["2023"]]},"page":"122863","publisher":"Elsevier","title":"Acidity modulation of Pt-supported catalyst enhances C-O bond cleavage over acetone hydrodeoxygenation","type":"article-journal"},"uris":["http://www.mendeley.com/documents/?uuid=357a23e9-9eb1-4a20-b3b5-088c839f6d91"]}],"mendeley":{"formattedCitation":"(&lt;i&gt;13&lt;/i&gt;)","plainTextFormattedCitation":"(13)"},"properties":{"noteIndex":0},"schema":"https://github.com/citation-style-language/schema/raw/master/csl-citation.json"}</w:instrText>
                            </w:r>
                            <w:r w:rsidRPr="0057119E">
                              <w:rPr>
                                <w:rFonts w:ascii="Times New Roman" w:hAnsi="Times New Roman"/>
                                <w:sz w:val="18"/>
                                <w:szCs w:val="18"/>
                              </w:rPr>
                              <w:fldChar w:fldCharType="separate"/>
                            </w:r>
                            <w:r w:rsidRPr="0057119E">
                              <w:rPr>
                                <w:rFonts w:ascii="Times New Roman" w:hAnsi="Times New Roman"/>
                                <w:noProof/>
                                <w:sz w:val="18"/>
                                <w:szCs w:val="18"/>
                                <w:lang w:val="en-US"/>
                              </w:rPr>
                              <w:t>(</w:t>
                            </w:r>
                            <w:r w:rsidRPr="0057119E">
                              <w:rPr>
                                <w:rFonts w:ascii="Times New Roman" w:hAnsi="Times New Roman"/>
                                <w:i/>
                                <w:noProof/>
                                <w:sz w:val="18"/>
                                <w:szCs w:val="18"/>
                                <w:lang w:val="en-US"/>
                              </w:rPr>
                              <w:t>13</w:t>
                            </w:r>
                            <w:r w:rsidRPr="0057119E">
                              <w:rPr>
                                <w:rFonts w:ascii="Times New Roman" w:hAnsi="Times New Roman"/>
                                <w:noProof/>
                                <w:sz w:val="18"/>
                                <w:szCs w:val="18"/>
                                <w:lang w:val="en-US"/>
                              </w:rPr>
                              <w:t>)</w:t>
                            </w:r>
                            <w:r w:rsidRPr="0057119E">
                              <w:rPr>
                                <w:rFonts w:ascii="Times New Roman" w:hAnsi="Times New Roman"/>
                                <w:sz w:val="18"/>
                                <w:szCs w:val="18"/>
                              </w:rPr>
                              <w:fldChar w:fldCharType="end"/>
                            </w:r>
                            <w:r w:rsidRPr="0057119E">
                              <w:rPr>
                                <w:rFonts w:ascii="Times New Roman" w:hAnsi="Times New Roman"/>
                                <w:sz w:val="18"/>
                                <w:szCs w:val="18"/>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5E5B25" id="Text Box 16" o:spid="_x0000_s1030" type="#_x0000_t202" style="position:absolute;left:0;text-align:left;margin-left:.15pt;margin-top:296.25pt;width:508.1pt;height:18.35pt;z-index:251675647;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" stroked="f">
                <v:textbox style="mso-fit-shape-to-text:t" inset="0,0,0,0">
                  <w:txbxContent>
                    <w:p w14:paraId="33BD1778" w14:textId="614B6BBE" w:rsidR="005040F9" w:rsidRPr="005040F9" w:rsidRDefault="005040F9" w:rsidP="005040F9">
                      <w:pPr>
                        <w:pStyle w:val="Caption"/>
                        <w:rPr>
                          <w:rFonts w:ascii="Times New Roman" w:eastAsia="Times New Roman" w:hAnsi="Times New Roman" w:cs="Times New Roman"/>
                          <w:b w:val="0"/>
                          <w:color w:val="auto"/>
                          <w:sz w:val="18"/>
                          <w:szCs w:val="18"/>
                          <w:lang w:val="en-US"/>
                        </w:rPr>
                      </w:pPr>
                      <w:r w:rsidRPr="005040F9">
                        <w:rPr>
                          <w:rFonts w:ascii="Times New Roman" w:hAnsi="Times New Roman" w:cs="Times New Roman"/>
                          <w:color w:val="auto"/>
                          <w:sz w:val="18"/>
                          <w:szCs w:val="18"/>
                          <w:lang w:val="en-US"/>
                        </w:rPr>
                        <w:t xml:space="preserve">Figure </w:t>
                      </w:r>
                      <w:r w:rsidRPr="005040F9">
                        <w:rPr>
                          <w:rFonts w:ascii="Times New Roman" w:hAnsi="Times New Roman" w:cs="Times New Roman"/>
                          <w:color w:val="auto"/>
                          <w:sz w:val="18"/>
                          <w:szCs w:val="18"/>
                        </w:rPr>
                        <w:fldChar w:fldCharType="begin"/>
                      </w:r>
                      <w:r w:rsidRPr="005040F9">
                        <w:rPr>
                          <w:rFonts w:ascii="Times New Roman" w:hAnsi="Times New Roman" w:cs="Times New Roman"/>
                          <w:color w:val="auto"/>
                          <w:sz w:val="18"/>
                          <w:szCs w:val="18"/>
                          <w:lang w:val="en-US"/>
                        </w:rPr>
                        <w:instrText xml:space="preserve"> SEQ Figure \* ARABIC </w:instrText>
                      </w:r>
                      <w:r w:rsidRPr="005040F9">
                        <w:rPr>
                          <w:rFonts w:ascii="Times New Roman" w:hAnsi="Times New Roman" w:cs="Times New Roman"/>
                          <w:color w:val="auto"/>
                          <w:sz w:val="18"/>
                          <w:szCs w:val="18"/>
                        </w:rPr>
                        <w:fldChar w:fldCharType="separate"/>
                      </w:r>
                      <w:r w:rsidR="008E4D95">
                        <w:rPr>
                          <w:rFonts w:ascii="Times New Roman" w:hAnsi="Times New Roman" w:cs="Times New Roman"/>
                          <w:noProof/>
                          <w:color w:val="auto"/>
                          <w:sz w:val="18"/>
                          <w:szCs w:val="18"/>
                          <w:lang w:val="en-US"/>
                        </w:rPr>
                        <w:t>3</w:t>
                      </w:r>
                      <w:r w:rsidRPr="005040F9">
                        <w:rPr>
                          <w:rFonts w:ascii="Times New Roman" w:hAnsi="Times New Roman" w:cs="Times New Roman"/>
                          <w:color w:val="auto"/>
                          <w:sz w:val="18"/>
                          <w:szCs w:val="18"/>
                        </w:rPr>
                        <w:fldChar w:fldCharType="end"/>
                      </w:r>
                      <w:r w:rsidRPr="005040F9">
                        <w:rPr>
                          <w:rFonts w:ascii="Times New Roman" w:hAnsi="Times New Roman" w:cs="Times New Roman"/>
                          <w:color w:val="auto"/>
                          <w:sz w:val="18"/>
                          <w:szCs w:val="18"/>
                          <w:lang w:val="en-US"/>
                        </w:rPr>
                        <w:t>:</w:t>
                      </w:r>
                      <w:r w:rsidRPr="005040F9">
                        <w:rPr>
                          <w:rFonts w:ascii="Times New Roman" w:hAnsi="Times New Roman" w:cs="Times New Roman"/>
                          <w:b w:val="0"/>
                          <w:color w:val="auto"/>
                          <w:sz w:val="18"/>
                          <w:szCs w:val="18"/>
                          <w:lang w:val="en-US"/>
                        </w:rPr>
                        <w:t xml:space="preserve"> Proposed </w:t>
                      </w:r>
                      <w:r>
                        <w:rPr>
                          <w:rFonts w:ascii="Times New Roman" w:hAnsi="Times New Roman" w:cs="Times New Roman"/>
                          <w:b w:val="0"/>
                          <w:color w:val="auto"/>
                          <w:sz w:val="18"/>
                          <w:szCs w:val="18"/>
                          <w:lang w:val="en-US"/>
                        </w:rPr>
                        <w:t xml:space="preserve">scheme of </w:t>
                      </w:r>
                      <w:r w:rsidRPr="005040F9">
                        <w:rPr>
                          <w:rFonts w:ascii="Times New Roman" w:hAnsi="Times New Roman" w:cs="Times New Roman"/>
                          <w:b w:val="0"/>
                          <w:color w:val="auto"/>
                          <w:sz w:val="18"/>
                          <w:szCs w:val="18"/>
                          <w:lang w:val="en-US"/>
                        </w:rPr>
                        <w:t xml:space="preserve">acetone HDO reactional </w:t>
                      </w:r>
                      <w:r w:rsidRPr="0057119E">
                        <w:rPr>
                          <w:rFonts w:ascii="Times New Roman" w:hAnsi="Times New Roman" w:cs="Times New Roman"/>
                          <w:b w:val="0"/>
                          <w:color w:val="auto"/>
                          <w:sz w:val="18"/>
                          <w:szCs w:val="18"/>
                          <w:lang w:val="en-US"/>
                        </w:rPr>
                        <w:t xml:space="preserve">pathways. Adapted from </w:t>
                      </w:r>
                      <w:r w:rsidRPr="0057119E">
                        <w:rPr>
                          <w:rFonts w:ascii="Times New Roman" w:hAnsi="Times New Roman"/>
                          <w:sz w:val="18"/>
                          <w:szCs w:val="18"/>
                        </w:rPr>
                        <w:fldChar w:fldCharType="begin" w:fldLock="1"/>
                      </w:r>
                      <w:r w:rsidRPr="0057119E">
                        <w:rPr>
                          <w:rFonts w:ascii="Times New Roman" w:hAnsi="Times New Roman"/>
                          <w:sz w:val="18"/>
                          <w:szCs w:val="18"/>
                          <w:lang w:val="en-US"/>
                        </w:rPr>
                        <w:instrText>ADDIN CSL_CITATION {"citationItems":[{"id":"ITEM-1","itemData":{"DOI":"10.1016/j.apcatb.2023.122863","ISSN":"0926-3373","author":[{"dropping-particle":"","family":"Strapasson","given":"Guilherme B.","non-dropping-particle":"","parse-names":false,"suffix":""},{"dropping-particle":"","family":"Sousa","given":"Leonardo S.","non-dropping-particle":"","parse-names":false,"suffix":""},{"dropping-particle":"","family":"Báfero","given":"Gabriel B.","non-dropping-particle":"","parse-names":false,"suffix":""},{"dropping-particle":"","family":"Leite","given":"Davi S.","non-dropping-particle":"","parse-names":false,"suffix":""},{"dropping-particle":"","family":"Moreno","given":"Beatriz D.","non-dropping-particle":"","parse-names":false,"suffix":""},{"dropping-particle":"","family":"Rodella","given":"Cristiane B.","non-dropping-particle":"","parse-names":false,"suffix":""},{"dropping-particle":"","family":"Zanchet","given":"Daniela","non-dropping-particle":"","parse-names":false,"suffix":""}],"container-title":"Applied Catalysis B: Environmental","id":"ITEM-1","issued":{"date-parts":[["2023"]]},"page":"122863","publisher":"Elsevier","title":"Acidity modulation of Pt-supported catalyst enhances C-O bond cleavage over acetone hydrodeoxygenation","type":"article-journal"},"uris":["http://www.mendeley.com/documents/?uuid=357a23e9-9eb1-4a20-b3b5-088c839f6d91"]}],"mendeley":{"formattedCitation":"(&lt;i&gt;13&lt;/i&gt;)","plainTextFormattedCitation":"(13)"},"properties":{"noteIndex":0},"schema":"https://github.com/citation-style-language/schema/raw/master/csl-citation.json"}</w:instrText>
                      </w:r>
                      <w:r w:rsidRPr="0057119E">
                        <w:rPr>
                          <w:rFonts w:ascii="Times New Roman" w:hAnsi="Times New Roman"/>
                          <w:sz w:val="18"/>
                          <w:szCs w:val="18"/>
                        </w:rPr>
                        <w:fldChar w:fldCharType="separate"/>
                      </w:r>
                      <w:r w:rsidRPr="0057119E">
                        <w:rPr>
                          <w:rFonts w:ascii="Times New Roman" w:hAnsi="Times New Roman"/>
                          <w:noProof/>
                          <w:sz w:val="18"/>
                          <w:szCs w:val="18"/>
                          <w:lang w:val="en-US"/>
                        </w:rPr>
                        <w:t>(</w:t>
                      </w:r>
                      <w:r w:rsidRPr="0057119E">
                        <w:rPr>
                          <w:rFonts w:ascii="Times New Roman" w:hAnsi="Times New Roman"/>
                          <w:i/>
                          <w:noProof/>
                          <w:sz w:val="18"/>
                          <w:szCs w:val="18"/>
                          <w:lang w:val="en-US"/>
                        </w:rPr>
                        <w:t>13</w:t>
                      </w:r>
                      <w:r w:rsidRPr="0057119E">
                        <w:rPr>
                          <w:rFonts w:ascii="Times New Roman" w:hAnsi="Times New Roman"/>
                          <w:noProof/>
                          <w:sz w:val="18"/>
                          <w:szCs w:val="18"/>
                          <w:lang w:val="en-US"/>
                        </w:rPr>
                        <w:t>)</w:t>
                      </w:r>
                      <w:r w:rsidRPr="0057119E">
                        <w:rPr>
                          <w:rFonts w:ascii="Times New Roman" w:hAnsi="Times New Roman"/>
                          <w:sz w:val="18"/>
                          <w:szCs w:val="18"/>
                        </w:rPr>
                        <w:fldChar w:fldCharType="end"/>
                      </w:r>
                      <w:r w:rsidRPr="0057119E">
                        <w:rPr>
                          <w:rFonts w:ascii="Times New Roman" w:hAnsi="Times New Roman"/>
                          <w:sz w:val="18"/>
                          <w:szCs w:val="18"/>
                          <w:lang w:val="en-US"/>
                        </w:rPr>
                        <w:t>.</w:t>
                      </w:r>
                    </w:p>
                  </w:txbxContent>
                </v:textbox>
                <w10:wrap type="topAndBottom" anchory="page"/>
              </v:shape>
            </w:pict>
          </mc:Fallback>
        </mc:AlternateContent>
      </w:r>
      <w:r w:rsidR="0057119E">
        <w:rPr>
          <w:noProof/>
        </w:rPr>
        <w:drawing>
          <wp:anchor distT="0" distB="0" distL="114300" distR="114300" simplePos="0" relativeHeight="251673599" behindDoc="0" locked="0" layoutInCell="1" allowOverlap="1" wp14:anchorId="2ED5E356" wp14:editId="7BF62ECD">
            <wp:simplePos x="0" y="0"/>
            <wp:positionH relativeFrom="margin">
              <wp:align>center</wp:align>
            </wp:positionH>
            <wp:positionV relativeFrom="page">
              <wp:posOffset>1495425</wp:posOffset>
            </wp:positionV>
            <wp:extent cx="6286500" cy="2235835"/>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squema guilherma_CBCa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86500" cy="2235835"/>
                    </a:xfrm>
                    <a:prstGeom prst="rect">
                      <a:avLst/>
                    </a:prstGeom>
                  </pic:spPr>
                </pic:pic>
              </a:graphicData>
            </a:graphic>
            <wp14:sizeRelH relativeFrom="margin">
              <wp14:pctWidth>0</wp14:pctWidth>
            </wp14:sizeRelH>
            <wp14:sizeRelV relativeFrom="margin">
              <wp14:pctHeight>0</wp14:pctHeight>
            </wp14:sizeRelV>
          </wp:anchor>
        </w:drawing>
      </w:r>
      <w:r w:rsidRPr="003C69B2">
        <w:rPr>
          <w:rFonts w:ascii="Times New Roman" w:hAnsi="Times New Roman"/>
        </w:rPr>
        <w:t>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w:t>
      </w:r>
      <w:proofErr w:type="spellStart"/>
      <w:r w:rsidRPr="003C69B2">
        <w:rPr>
          <w:rFonts w:ascii="Times New Roman" w:hAnsi="Times New Roman"/>
        </w:rPr>
        <w:t>core@shell</w:t>
      </w:r>
      <w:proofErr w:type="spellEnd"/>
      <w:r w:rsidRPr="003C69B2">
        <w:rPr>
          <w:rFonts w:ascii="Times New Roman" w:hAnsi="Times New Roman"/>
        </w:rPr>
        <w:t>, the selectivity was significantly affected. The bare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w:t>
      </w:r>
      <w:r w:rsidR="006E6FC4">
        <w:rPr>
          <w:rFonts w:ascii="Times New Roman" w:hAnsi="Times New Roman"/>
        </w:rPr>
        <w:t>Figure 2</w:t>
      </w:r>
      <w:r w:rsidRPr="003C69B2">
        <w:rPr>
          <w:rFonts w:ascii="Times New Roman" w:hAnsi="Times New Roman"/>
        </w:rPr>
        <w:t>c) presented conversions around 30% along the TOS, with DODs of ~10% and favoring condensation products, similar to that observed for the bare TiO</w:t>
      </w:r>
      <w:r w:rsidRPr="006E6FC4">
        <w:rPr>
          <w:rFonts w:ascii="Times New Roman" w:hAnsi="Times New Roman"/>
          <w:vertAlign w:val="subscript"/>
        </w:rPr>
        <w:t>2</w:t>
      </w:r>
      <w:r w:rsidRPr="003C69B2">
        <w:rPr>
          <w:rFonts w:ascii="Times New Roman" w:hAnsi="Times New Roman"/>
        </w:rPr>
        <w:t xml:space="preserve">NRs. </w:t>
      </w:r>
      <w:r w:rsidR="00B569DC">
        <w:rPr>
          <w:rFonts w:ascii="Times New Roman" w:hAnsi="Times New Roman"/>
        </w:rPr>
        <w:t>T</w:t>
      </w:r>
      <w:r w:rsidRPr="003C69B2">
        <w:rPr>
          <w:rFonts w:ascii="Times New Roman" w:hAnsi="Times New Roman"/>
        </w:rPr>
        <w:t>he Fe-supported catalyst led to higher DODs (~20%), where propane and C</w:t>
      </w:r>
      <w:r w:rsidRPr="006E6FC4">
        <w:rPr>
          <w:rFonts w:ascii="Times New Roman" w:hAnsi="Times New Roman"/>
          <w:vertAlign w:val="subscript"/>
        </w:rPr>
        <w:t>6</w:t>
      </w:r>
      <w:r w:rsidRPr="003C69B2">
        <w:rPr>
          <w:rFonts w:ascii="Times New Roman" w:hAnsi="Times New Roman"/>
        </w:rPr>
        <w:t xml:space="preserve"> were the main deoxygenated products (</w:t>
      </w:r>
      <w:r w:rsidR="006E6FC4">
        <w:rPr>
          <w:rFonts w:ascii="Times New Roman" w:hAnsi="Times New Roman"/>
        </w:rPr>
        <w:t>Figure 2</w:t>
      </w:r>
      <w:r w:rsidRPr="003C69B2">
        <w:rPr>
          <w:rFonts w:ascii="Times New Roman" w:hAnsi="Times New Roman"/>
        </w:rPr>
        <w:t>d</w:t>
      </w:r>
      <w:r w:rsidR="00B569DC" w:rsidRPr="003C69B2">
        <w:rPr>
          <w:rFonts w:ascii="Times New Roman" w:hAnsi="Times New Roman"/>
        </w:rPr>
        <w:t>)</w:t>
      </w:r>
      <w:r w:rsidR="00B569DC">
        <w:rPr>
          <w:rFonts w:ascii="Times New Roman" w:hAnsi="Times New Roman"/>
        </w:rPr>
        <w:t>;</w:t>
      </w:r>
      <w:r w:rsidR="00B569DC" w:rsidRPr="003C69B2">
        <w:rPr>
          <w:rFonts w:ascii="Times New Roman" w:hAnsi="Times New Roman"/>
        </w:rPr>
        <w:t xml:space="preserve"> </w:t>
      </w:r>
      <w:r w:rsidRPr="003C69B2">
        <w:rPr>
          <w:rFonts w:ascii="Times New Roman" w:hAnsi="Times New Roman"/>
        </w:rPr>
        <w:t xml:space="preserve">however, </w:t>
      </w:r>
      <w:r w:rsidR="00B569DC">
        <w:rPr>
          <w:rFonts w:ascii="Times New Roman" w:hAnsi="Times New Roman"/>
        </w:rPr>
        <w:t xml:space="preserve">the formation of </w:t>
      </w:r>
      <w:r w:rsidRPr="003C69B2">
        <w:rPr>
          <w:rFonts w:ascii="Times New Roman" w:hAnsi="Times New Roman"/>
        </w:rPr>
        <w:t>condensation products was still high (about ~80% of the total products). Additionally, a test employing a physical mixture of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and Fe</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3</w:t>
      </w:r>
      <w:r w:rsidRPr="003C69B2">
        <w:rPr>
          <w:rFonts w:ascii="Times New Roman" w:hAnsi="Times New Roman"/>
        </w:rPr>
        <w:t xml:space="preserve"> nanoparticles was conducted (not shown), but the catalytic performance was similar to that observed for the bare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w:t>
      </w:r>
      <w:r w:rsidR="006E6FC4">
        <w:rPr>
          <w:rFonts w:ascii="Times New Roman" w:hAnsi="Times New Roman"/>
        </w:rPr>
        <w:t>Figure 2</w:t>
      </w:r>
      <w:r w:rsidRPr="003C69B2">
        <w:rPr>
          <w:rFonts w:ascii="Times New Roman" w:hAnsi="Times New Roman"/>
        </w:rPr>
        <w:t>c). It suggests that the catalytic behavior observed for the Fe-supported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xml:space="preserve"> could be associated with the formation of interfacial sites. Aiming for higher DODs, ultra-low loadings of Pt (0.017-0.09 wt.%) were impregnated over the Fe-supported TiO</w:t>
      </w:r>
      <w:r w:rsidRPr="006E6FC4">
        <w:rPr>
          <w:rFonts w:ascii="Times New Roman" w:hAnsi="Times New Roman"/>
          <w:vertAlign w:val="subscript"/>
        </w:rPr>
        <w:t>2</w:t>
      </w:r>
      <w:r w:rsidRPr="003C69B2">
        <w:rPr>
          <w:rFonts w:ascii="Times New Roman" w:hAnsi="Times New Roman"/>
        </w:rPr>
        <w:t>NRs@Nb</w:t>
      </w:r>
      <w:r w:rsidRPr="006E6FC4">
        <w:rPr>
          <w:rFonts w:ascii="Times New Roman" w:hAnsi="Times New Roman"/>
          <w:vertAlign w:val="subscript"/>
        </w:rPr>
        <w:t>2</w:t>
      </w:r>
      <w:r w:rsidRPr="003C69B2">
        <w:rPr>
          <w:rFonts w:ascii="Times New Roman" w:hAnsi="Times New Roman"/>
        </w:rPr>
        <w:t>O</w:t>
      </w:r>
      <w:r w:rsidRPr="006E6FC4">
        <w:rPr>
          <w:rFonts w:ascii="Times New Roman" w:hAnsi="Times New Roman"/>
          <w:vertAlign w:val="subscript"/>
        </w:rPr>
        <w:t>5</w:t>
      </w:r>
      <w:r w:rsidRPr="003C69B2">
        <w:rPr>
          <w:rFonts w:ascii="Times New Roman" w:hAnsi="Times New Roman"/>
        </w:rPr>
        <w:t>, in which expressive modifications in the catalytic behavior were observed (</w:t>
      </w:r>
      <w:r w:rsidR="006E6FC4">
        <w:rPr>
          <w:rFonts w:ascii="Times New Roman" w:hAnsi="Times New Roman"/>
        </w:rPr>
        <w:t>Figure 2</w:t>
      </w:r>
      <w:proofErr w:type="gramStart"/>
      <w:r w:rsidRPr="003C69B2">
        <w:rPr>
          <w:rFonts w:ascii="Times New Roman" w:hAnsi="Times New Roman"/>
        </w:rPr>
        <w:t>e,f</w:t>
      </w:r>
      <w:proofErr w:type="gramEnd"/>
      <w:r w:rsidRPr="003C69B2">
        <w:rPr>
          <w:rFonts w:ascii="Times New Roman" w:hAnsi="Times New Roman"/>
        </w:rPr>
        <w:t xml:space="preserve">). The lower Pt loading (i.e. 0.017 wt.% Pt, </w:t>
      </w:r>
      <w:r w:rsidR="006E6FC4">
        <w:rPr>
          <w:rFonts w:ascii="Times New Roman" w:hAnsi="Times New Roman"/>
        </w:rPr>
        <w:t>Figure 2</w:t>
      </w:r>
      <w:r w:rsidRPr="003C69B2">
        <w:rPr>
          <w:rFonts w:ascii="Times New Roman" w:hAnsi="Times New Roman"/>
        </w:rPr>
        <w:t>e) led to DODs of about 80% along the TOS, with propane and propene as the main products</w:t>
      </w:r>
      <w:r w:rsidR="00B569DC">
        <w:rPr>
          <w:rFonts w:ascii="Times New Roman" w:hAnsi="Times New Roman"/>
        </w:rPr>
        <w:t xml:space="preserve"> (</w:t>
      </w:r>
      <w:r w:rsidRPr="003C69B2">
        <w:rPr>
          <w:rFonts w:ascii="Times New Roman" w:hAnsi="Times New Roman"/>
        </w:rPr>
        <w:t xml:space="preserve">together </w:t>
      </w:r>
      <w:r w:rsidR="00B569DC">
        <w:rPr>
          <w:rFonts w:ascii="Times New Roman" w:hAnsi="Times New Roman"/>
        </w:rPr>
        <w:t xml:space="preserve">they </w:t>
      </w:r>
      <w:r w:rsidRPr="003C69B2">
        <w:rPr>
          <w:rFonts w:ascii="Times New Roman" w:hAnsi="Times New Roman"/>
        </w:rPr>
        <w:t>represent about 60% of the total products</w:t>
      </w:r>
      <w:r w:rsidR="00B569DC">
        <w:rPr>
          <w:rFonts w:ascii="Times New Roman" w:hAnsi="Times New Roman"/>
        </w:rPr>
        <w:t>)</w:t>
      </w:r>
      <w:r w:rsidRPr="003C69B2">
        <w:rPr>
          <w:rFonts w:ascii="Times New Roman" w:hAnsi="Times New Roman"/>
        </w:rPr>
        <w:t xml:space="preserve">. </w:t>
      </w:r>
      <w:r w:rsidR="00B569DC">
        <w:rPr>
          <w:rFonts w:ascii="Times New Roman" w:hAnsi="Times New Roman"/>
        </w:rPr>
        <w:t>On the other hand, the</w:t>
      </w:r>
      <w:r w:rsidRPr="003C69B2">
        <w:rPr>
          <w:rFonts w:ascii="Times New Roman" w:hAnsi="Times New Roman"/>
        </w:rPr>
        <w:t xml:space="preserve"> higher Pt loading (0.09 wt.% Pt, </w:t>
      </w:r>
      <w:r w:rsidR="006E6FC4">
        <w:rPr>
          <w:rFonts w:ascii="Times New Roman" w:hAnsi="Times New Roman"/>
        </w:rPr>
        <w:t>Figure 2</w:t>
      </w:r>
      <w:r w:rsidRPr="003C69B2">
        <w:rPr>
          <w:rFonts w:ascii="Times New Roman" w:hAnsi="Times New Roman"/>
        </w:rPr>
        <w:t xml:space="preserve">f) resulted in DODs of almost 100% over the entire TOS, with propane as the main product, representing about 60%. </w:t>
      </w:r>
      <w:r w:rsidR="00B569DC">
        <w:rPr>
          <w:rFonts w:ascii="Times New Roman" w:hAnsi="Times New Roman"/>
        </w:rPr>
        <w:t xml:space="preserve">Additional </w:t>
      </w:r>
      <w:r w:rsidRPr="003C69B2">
        <w:rPr>
          <w:rFonts w:ascii="Times New Roman" w:hAnsi="Times New Roman"/>
        </w:rPr>
        <w:t xml:space="preserve">tests employing ultra-low loadings of Pt will be also carried out without Fe and with different loadings of Pt, aiming for the </w:t>
      </w:r>
      <w:r w:rsidR="006E6FC4" w:rsidRPr="003C69B2">
        <w:rPr>
          <w:rFonts w:ascii="Times New Roman" w:hAnsi="Times New Roman"/>
        </w:rPr>
        <w:t>rationalization</w:t>
      </w:r>
      <w:r w:rsidRPr="003C69B2">
        <w:rPr>
          <w:rFonts w:ascii="Times New Roman" w:hAnsi="Times New Roman"/>
        </w:rPr>
        <w:t xml:space="preserve"> of metallic and acid sites, to achieve an </w:t>
      </w:r>
      <w:r w:rsidR="006E6FC4" w:rsidRPr="003C69B2">
        <w:rPr>
          <w:rFonts w:ascii="Times New Roman" w:hAnsi="Times New Roman"/>
        </w:rPr>
        <w:t>optimized</w:t>
      </w:r>
      <w:r w:rsidRPr="003C69B2">
        <w:rPr>
          <w:rFonts w:ascii="Times New Roman" w:hAnsi="Times New Roman"/>
        </w:rPr>
        <w:t xml:space="preserve"> DOD of the reactional stream. </w:t>
      </w:r>
      <w:r w:rsidRPr="00FE7B0C">
        <w:rPr>
          <w:rFonts w:ascii="Times New Roman" w:hAnsi="Times New Roman"/>
        </w:rPr>
        <w:tab/>
      </w:r>
    </w:p>
    <w:p w14:paraId="20AA905D" w14:textId="44FFA1FC" w:rsidR="00EA4E1B" w:rsidRPr="00347CA0" w:rsidRDefault="006E6FC4" w:rsidP="00EA4E1B">
      <w:pPr>
        <w:pStyle w:val="Heading2"/>
        <w:rPr>
          <w:rFonts w:ascii="Helvetica" w:hAnsi="Helvetica" w:cs="Helvetica"/>
          <w:sz w:val="24"/>
          <w:szCs w:val="24"/>
          <w:lang w:val="en-US"/>
        </w:rPr>
      </w:pPr>
      <w:r w:rsidRPr="00347CA0">
        <w:rPr>
          <w:rFonts w:ascii="Helvetica" w:hAnsi="Helvetica" w:cs="Helvetica"/>
          <w:sz w:val="24"/>
          <w:szCs w:val="24"/>
          <w:lang w:val="en-US"/>
        </w:rPr>
        <w:t>Conclusions</w:t>
      </w:r>
    </w:p>
    <w:p w14:paraId="113E1E38" w14:textId="33EB5544" w:rsidR="00347CA0" w:rsidRPr="003C69B2" w:rsidRDefault="00347CA0" w:rsidP="00347CA0">
      <w:pPr>
        <w:pStyle w:val="TAMainText"/>
        <w:ind w:firstLine="187"/>
        <w:rPr>
          <w:rFonts w:ascii="Times New Roman" w:hAnsi="Times New Roman"/>
        </w:rPr>
      </w:pPr>
      <w:r w:rsidRPr="003C69B2">
        <w:rPr>
          <w:rFonts w:ascii="Times New Roman" w:hAnsi="Times New Roman"/>
        </w:rPr>
        <w:t xml:space="preserve">The presented data demonstrated that the MSI over 1D metal oxides can lead to the preferential growth of </w:t>
      </w:r>
      <w:r w:rsidR="00B569DC">
        <w:rPr>
          <w:rFonts w:ascii="Times New Roman" w:hAnsi="Times New Roman"/>
        </w:rPr>
        <w:t xml:space="preserve">iron oxide </w:t>
      </w:r>
      <w:r w:rsidRPr="003C69B2">
        <w:rPr>
          <w:rFonts w:ascii="Times New Roman" w:hAnsi="Times New Roman"/>
        </w:rPr>
        <w:t xml:space="preserve">particles (e.g. cuboidal morphology). </w:t>
      </w:r>
      <w:r w:rsidR="00B569DC">
        <w:rPr>
          <w:rFonts w:ascii="Times New Roman" w:hAnsi="Times New Roman"/>
        </w:rPr>
        <w:t>T</w:t>
      </w:r>
      <w:r w:rsidRPr="003C69B2">
        <w:rPr>
          <w:rFonts w:ascii="Times New Roman" w:hAnsi="Times New Roman"/>
        </w:rPr>
        <w:t>he catalytic performance suggested that interfacial active sites were generated for the Fe-supported TiO</w:t>
      </w:r>
      <w:r w:rsidRPr="00347CA0">
        <w:rPr>
          <w:rFonts w:ascii="Times New Roman" w:hAnsi="Times New Roman"/>
          <w:vertAlign w:val="subscript"/>
        </w:rPr>
        <w:t>2</w:t>
      </w:r>
      <w:r w:rsidRPr="003C69B2">
        <w:rPr>
          <w:rFonts w:ascii="Times New Roman" w:hAnsi="Times New Roman"/>
        </w:rPr>
        <w:t>NRs@Nb</w:t>
      </w:r>
      <w:r w:rsidRPr="00347CA0">
        <w:rPr>
          <w:rFonts w:ascii="Times New Roman" w:hAnsi="Times New Roman"/>
          <w:vertAlign w:val="subscript"/>
        </w:rPr>
        <w:t>2</w:t>
      </w:r>
      <w:r w:rsidRPr="003C69B2">
        <w:rPr>
          <w:rFonts w:ascii="Times New Roman" w:hAnsi="Times New Roman"/>
        </w:rPr>
        <w:t>O</w:t>
      </w:r>
      <w:r w:rsidRPr="00347CA0">
        <w:rPr>
          <w:rFonts w:ascii="Times New Roman" w:hAnsi="Times New Roman"/>
          <w:vertAlign w:val="subscript"/>
        </w:rPr>
        <w:t>5</w:t>
      </w:r>
      <w:r w:rsidRPr="003C69B2">
        <w:rPr>
          <w:rFonts w:ascii="Times New Roman" w:hAnsi="Times New Roman"/>
        </w:rPr>
        <w:t xml:space="preserve"> catalyst, directly affecting the products distribution and leading to greater DODs. The addition of ultra-low loadings of a more hydrogenating specie, i.e. Pt, led to expressive modifications in the products distribution, resulting in DODs of almost 100% over the entire TOS.</w:t>
      </w:r>
      <w:r w:rsidR="00342F5C">
        <w:rPr>
          <w:rFonts w:ascii="Times New Roman" w:hAnsi="Times New Roman"/>
        </w:rPr>
        <w:t xml:space="preserve"> </w:t>
      </w:r>
      <w:r w:rsidR="00342F5C" w:rsidRPr="003C69B2">
        <w:rPr>
          <w:rFonts w:ascii="Times New Roman" w:hAnsi="Times New Roman"/>
        </w:rPr>
        <w:t xml:space="preserve">It </w:t>
      </w:r>
      <w:bookmarkStart w:id="4" w:name="_Hlk134976986"/>
      <w:r w:rsidR="00342F5C" w:rsidRPr="003C69B2">
        <w:rPr>
          <w:rFonts w:ascii="Times New Roman" w:hAnsi="Times New Roman"/>
        </w:rPr>
        <w:t xml:space="preserve">demonstrates that even with </w:t>
      </w:r>
      <w:r w:rsidR="00342F5C">
        <w:rPr>
          <w:rFonts w:ascii="Times New Roman" w:hAnsi="Times New Roman"/>
        </w:rPr>
        <w:t>ultra-</w:t>
      </w:r>
      <w:r w:rsidR="00342F5C" w:rsidRPr="003C69B2">
        <w:rPr>
          <w:rFonts w:ascii="Times New Roman" w:hAnsi="Times New Roman"/>
        </w:rPr>
        <w:t>low loadings of Pt, expressive modifications in the hydrogenation capability, and consequently, in the catalytic performance, can be achieved</w:t>
      </w:r>
      <w:bookmarkEnd w:id="4"/>
      <w:r w:rsidR="00342F5C" w:rsidRPr="003C69B2">
        <w:rPr>
          <w:rFonts w:ascii="Times New Roman" w:hAnsi="Times New Roman"/>
        </w:rPr>
        <w:t>.</w:t>
      </w:r>
    </w:p>
    <w:p w14:paraId="6BE32F7B" w14:textId="4929A8E3" w:rsidR="00EA4E1B" w:rsidRPr="003A2CB0" w:rsidRDefault="006E6FC4" w:rsidP="00EA4E1B">
      <w:pPr>
        <w:pStyle w:val="Heading2"/>
        <w:rPr>
          <w:rFonts w:ascii="Helvetica" w:hAnsi="Helvetica" w:cs="Helvetica"/>
          <w:sz w:val="24"/>
          <w:szCs w:val="24"/>
          <w:lang w:val="en-US"/>
        </w:rPr>
      </w:pPr>
      <w:r w:rsidRPr="003A2CB0">
        <w:rPr>
          <w:rFonts w:ascii="Helvetica" w:hAnsi="Helvetica" w:cs="Helvetica"/>
          <w:sz w:val="24"/>
          <w:szCs w:val="24"/>
          <w:lang w:val="en-US"/>
        </w:rPr>
        <w:t>Acknowledgements</w:t>
      </w:r>
    </w:p>
    <w:p w14:paraId="05A178F9" w14:textId="073790BA" w:rsidR="00EA4E1B" w:rsidRPr="003A2CB0" w:rsidRDefault="003A2CB0" w:rsidP="00EA4E1B">
      <w:pPr>
        <w:pStyle w:val="TAMainText"/>
        <w:rPr>
          <w:rFonts w:ascii="Times New Roman" w:hAnsi="Times New Roman"/>
        </w:rPr>
      </w:pPr>
      <w:r w:rsidRPr="003A2CB0">
        <w:rPr>
          <w:rFonts w:ascii="Times New Roman" w:hAnsi="Times New Roman"/>
        </w:rPr>
        <w:t>We would like to thank FAPESP (2018/01258-5</w:t>
      </w:r>
      <w:r>
        <w:rPr>
          <w:rFonts w:ascii="Times New Roman" w:hAnsi="Times New Roman"/>
        </w:rPr>
        <w:t xml:space="preserve">, </w:t>
      </w:r>
      <w:r w:rsidRPr="003A2CB0">
        <w:rPr>
          <w:rFonts w:ascii="Times New Roman" w:hAnsi="Times New Roman"/>
        </w:rPr>
        <w:t>2020/12986-1</w:t>
      </w:r>
      <w:r>
        <w:rPr>
          <w:rFonts w:ascii="Times New Roman" w:hAnsi="Times New Roman"/>
        </w:rPr>
        <w:t xml:space="preserve">, and </w:t>
      </w:r>
      <w:r w:rsidR="00604CB4">
        <w:rPr>
          <w:rFonts w:ascii="Times New Roman" w:hAnsi="Times New Roman"/>
        </w:rPr>
        <w:t>20</w:t>
      </w:r>
      <w:r w:rsidR="00604CB4" w:rsidRPr="00604CB4">
        <w:rPr>
          <w:rFonts w:ascii="Times New Roman" w:hAnsi="Times New Roman"/>
        </w:rPr>
        <w:t>22/11173-2</w:t>
      </w:r>
      <w:r w:rsidRPr="003A2CB0">
        <w:rPr>
          <w:rFonts w:ascii="Times New Roman" w:hAnsi="Times New Roman"/>
        </w:rPr>
        <w:t xml:space="preserve">), </w:t>
      </w:r>
      <w:proofErr w:type="spellStart"/>
      <w:r w:rsidRPr="003A2CB0">
        <w:rPr>
          <w:rFonts w:ascii="Times New Roman" w:hAnsi="Times New Roman"/>
        </w:rPr>
        <w:t>CNPq</w:t>
      </w:r>
      <w:proofErr w:type="spellEnd"/>
      <w:r w:rsidRPr="003A2CB0">
        <w:rPr>
          <w:rFonts w:ascii="Times New Roman" w:hAnsi="Times New Roman"/>
        </w:rPr>
        <w:t>, and CAPES.</w:t>
      </w:r>
      <w:r w:rsidR="008D1D8F">
        <w:rPr>
          <w:rFonts w:ascii="Times New Roman" w:hAnsi="Times New Roman"/>
        </w:rPr>
        <w:t xml:space="preserve"> We also</w:t>
      </w:r>
      <w:r w:rsidR="008D1D8F" w:rsidRPr="008D1D8F">
        <w:rPr>
          <w:rFonts w:ascii="Times New Roman" w:hAnsi="Times New Roman"/>
        </w:rPr>
        <w:t xml:space="preserve"> thank the Brazilian Nanotechnology National Laboratory (</w:t>
      </w:r>
      <w:proofErr w:type="spellStart"/>
      <w:r w:rsidR="008D1D8F" w:rsidRPr="008D1D8F">
        <w:rPr>
          <w:rFonts w:ascii="Times New Roman" w:hAnsi="Times New Roman"/>
        </w:rPr>
        <w:t>LNNano</w:t>
      </w:r>
      <w:proofErr w:type="spellEnd"/>
      <w:r w:rsidR="008D1D8F" w:rsidRPr="008D1D8F">
        <w:rPr>
          <w:rFonts w:ascii="Times New Roman" w:hAnsi="Times New Roman"/>
        </w:rPr>
        <w:t>)</w:t>
      </w:r>
      <w:r w:rsidR="008D1D8F">
        <w:rPr>
          <w:rFonts w:ascii="Times New Roman" w:hAnsi="Times New Roman"/>
        </w:rPr>
        <w:t xml:space="preserve"> and Brazilian Synchrotron Light Laboratory (LNLS)</w:t>
      </w:r>
      <w:r w:rsidR="008D1D8F" w:rsidRPr="008D1D8F">
        <w:rPr>
          <w:rFonts w:ascii="Times New Roman" w:hAnsi="Times New Roman"/>
        </w:rPr>
        <w:t>, an open national facility operated by the Brazilian Center for Research in Energy and Materials (CNPEM) of the Brazilian Ministry for Science, Technology, Innovations, and Communications (MCTIC)</w:t>
      </w:r>
      <w:r w:rsidR="008D1D8F">
        <w:rPr>
          <w:rFonts w:ascii="Times New Roman" w:hAnsi="Times New Roman"/>
        </w:rPr>
        <w:t>.</w:t>
      </w:r>
    </w:p>
    <w:p w14:paraId="1EAAA287" w14:textId="2EB2C208" w:rsidR="00EA4E1B" w:rsidRPr="008D1D8F" w:rsidRDefault="006E6FC4" w:rsidP="00EA4E1B">
      <w:pPr>
        <w:pStyle w:val="Heading2"/>
        <w:rPr>
          <w:rFonts w:ascii="Helvetica" w:hAnsi="Helvetica" w:cs="Helvetica"/>
          <w:sz w:val="24"/>
          <w:szCs w:val="24"/>
          <w:lang w:val="en-US"/>
        </w:rPr>
      </w:pPr>
      <w:r w:rsidRPr="008D1D8F">
        <w:rPr>
          <w:rFonts w:ascii="Helvetica" w:hAnsi="Helvetica" w:cs="Helvetica"/>
          <w:sz w:val="24"/>
          <w:szCs w:val="24"/>
          <w:lang w:val="en-US"/>
        </w:rPr>
        <w:t>References</w:t>
      </w:r>
    </w:p>
    <w:p w14:paraId="100C39DA" w14:textId="27C6295E" w:rsidR="005040F9" w:rsidRPr="008D1D8F" w:rsidRDefault="009C4ED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fldChar w:fldCharType="begin" w:fldLock="1"/>
      </w:r>
      <w:r w:rsidRPr="008D1D8F">
        <w:rPr>
          <w:lang w:val="en-US"/>
        </w:rPr>
        <w:instrText xml:space="preserve">ADDIN Mendeley Bibliography CSL_BIBLIOGRAPHY </w:instrText>
      </w:r>
      <w:r>
        <w:fldChar w:fldCharType="separate"/>
      </w:r>
      <w:r w:rsidR="005040F9" w:rsidRPr="008D1D8F">
        <w:rPr>
          <w:rFonts w:ascii="Times" w:hAnsi="Times" w:cs="Times"/>
          <w:noProof/>
          <w:sz w:val="20"/>
          <w:szCs w:val="24"/>
          <w:lang w:val="en-US"/>
        </w:rPr>
        <w:t xml:space="preserve">1. </w:t>
      </w:r>
      <w:r w:rsidR="005040F9" w:rsidRPr="008D1D8F">
        <w:rPr>
          <w:rFonts w:ascii="Times" w:hAnsi="Times" w:cs="Times"/>
          <w:noProof/>
          <w:sz w:val="20"/>
          <w:szCs w:val="24"/>
          <w:lang w:val="en-US"/>
        </w:rPr>
        <w:tab/>
        <w:t xml:space="preserve">C. A. Teles </w:t>
      </w:r>
      <w:r w:rsidR="005040F9" w:rsidRPr="008D1D8F">
        <w:rPr>
          <w:rFonts w:ascii="Times" w:hAnsi="Times" w:cs="Times"/>
          <w:i/>
          <w:iCs/>
          <w:noProof/>
          <w:sz w:val="20"/>
          <w:szCs w:val="24"/>
          <w:lang w:val="en-US"/>
        </w:rPr>
        <w:t>et al.</w:t>
      </w:r>
      <w:r w:rsidR="005040F9" w:rsidRPr="008D1D8F">
        <w:rPr>
          <w:rFonts w:ascii="Times" w:hAnsi="Times" w:cs="Times"/>
          <w:noProof/>
          <w:sz w:val="20"/>
          <w:szCs w:val="24"/>
          <w:lang w:val="en-US"/>
        </w:rPr>
        <w:t xml:space="preserve">, </w:t>
      </w:r>
      <w:r w:rsidR="005040F9" w:rsidRPr="008D1D8F">
        <w:rPr>
          <w:rFonts w:ascii="Times" w:hAnsi="Times" w:cs="Times"/>
          <w:i/>
          <w:iCs/>
          <w:noProof/>
          <w:sz w:val="20"/>
          <w:szCs w:val="24"/>
          <w:lang w:val="en-US"/>
        </w:rPr>
        <w:t>Catal. Letters</w:t>
      </w:r>
      <w:r w:rsidR="005040F9"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2016</w:t>
      </w:r>
      <w:r w:rsidR="00993BDB" w:rsidRPr="008D1D8F">
        <w:rPr>
          <w:rFonts w:ascii="Times" w:hAnsi="Times" w:cs="Times"/>
          <w:noProof/>
          <w:sz w:val="20"/>
          <w:szCs w:val="24"/>
          <w:lang w:val="en-US"/>
        </w:rPr>
        <w:t xml:space="preserve">, </w:t>
      </w:r>
      <w:r w:rsidR="005040F9" w:rsidRPr="008D1D8F">
        <w:rPr>
          <w:rFonts w:ascii="Times" w:hAnsi="Times" w:cs="Times"/>
          <w:bCs/>
          <w:noProof/>
          <w:sz w:val="20"/>
          <w:szCs w:val="24"/>
          <w:lang w:val="en-US"/>
        </w:rPr>
        <w:t>146</w:t>
      </w:r>
      <w:r w:rsidR="005040F9" w:rsidRPr="008D1D8F">
        <w:rPr>
          <w:rFonts w:ascii="Times" w:hAnsi="Times" w:cs="Times"/>
          <w:noProof/>
          <w:sz w:val="20"/>
          <w:szCs w:val="24"/>
          <w:lang w:val="en-US"/>
        </w:rPr>
        <w:t>, 1848–1857.</w:t>
      </w:r>
    </w:p>
    <w:p w14:paraId="40140B6E" w14:textId="4022F886"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2. </w:t>
      </w:r>
      <w:r w:rsidRPr="008D1D8F">
        <w:rPr>
          <w:rFonts w:ascii="Times" w:hAnsi="Times" w:cs="Times"/>
          <w:noProof/>
          <w:sz w:val="20"/>
          <w:szCs w:val="24"/>
          <w:lang w:val="en-US"/>
        </w:rPr>
        <w:tab/>
        <w:t xml:space="preserve">Y. S. Yun, C. E. Berdugo-Díaz, D. W. Flaherty, </w:t>
      </w:r>
      <w:r w:rsidRPr="008D1D8F">
        <w:rPr>
          <w:rFonts w:ascii="Times" w:hAnsi="Times" w:cs="Times"/>
          <w:i/>
          <w:iCs/>
          <w:noProof/>
          <w:sz w:val="20"/>
          <w:szCs w:val="24"/>
          <w:lang w:val="en-US"/>
        </w:rPr>
        <w:t>ACS Catal.</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2021</w:t>
      </w:r>
      <w:r w:rsidR="00993BDB" w:rsidRPr="008D1D8F">
        <w:rPr>
          <w:rFonts w:ascii="Times" w:hAnsi="Times" w:cs="Times"/>
          <w:noProof/>
          <w:sz w:val="20"/>
          <w:szCs w:val="24"/>
          <w:lang w:val="en-US"/>
        </w:rPr>
        <w:t xml:space="preserve">, </w:t>
      </w:r>
      <w:r w:rsidRPr="008D1D8F">
        <w:rPr>
          <w:rFonts w:ascii="Times" w:hAnsi="Times" w:cs="Times"/>
          <w:noProof/>
          <w:sz w:val="20"/>
          <w:szCs w:val="24"/>
          <w:lang w:val="en-US"/>
        </w:rPr>
        <w:t>11193–11232.</w:t>
      </w:r>
    </w:p>
    <w:p w14:paraId="5C074D61" w14:textId="20A94E97"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3. </w:t>
      </w:r>
      <w:r w:rsidRPr="008D1D8F">
        <w:rPr>
          <w:rFonts w:ascii="Times" w:hAnsi="Times" w:cs="Times"/>
          <w:noProof/>
          <w:sz w:val="20"/>
          <w:szCs w:val="24"/>
          <w:lang w:val="en-US"/>
        </w:rPr>
        <w:tab/>
        <w:t xml:space="preserve">W. Zhang, Y. Zhang, L. Zhao, W. Wei, </w:t>
      </w:r>
      <w:r w:rsidRPr="008D1D8F">
        <w:rPr>
          <w:rFonts w:ascii="Times" w:hAnsi="Times" w:cs="Times"/>
          <w:i/>
          <w:iCs/>
          <w:noProof/>
          <w:sz w:val="20"/>
          <w:szCs w:val="24"/>
          <w:lang w:val="en-US"/>
        </w:rPr>
        <w:t>Energy and Fuels</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2010</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24</w:t>
      </w:r>
      <w:r w:rsidRPr="008D1D8F">
        <w:rPr>
          <w:rFonts w:ascii="Times" w:hAnsi="Times" w:cs="Times"/>
          <w:noProof/>
          <w:sz w:val="20"/>
          <w:szCs w:val="24"/>
          <w:lang w:val="en-US"/>
        </w:rPr>
        <w:t>, 2052–2059</w:t>
      </w:r>
      <w:r w:rsidR="00993BDB" w:rsidRPr="008D1D8F">
        <w:rPr>
          <w:rFonts w:ascii="Times" w:hAnsi="Times" w:cs="Times"/>
          <w:noProof/>
          <w:sz w:val="20"/>
          <w:szCs w:val="24"/>
          <w:lang w:val="en-US"/>
        </w:rPr>
        <w:t>.</w:t>
      </w:r>
    </w:p>
    <w:p w14:paraId="1F307AF3" w14:textId="22031C56"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4. </w:t>
      </w:r>
      <w:r w:rsidRPr="008D1D8F">
        <w:rPr>
          <w:rFonts w:ascii="Times" w:hAnsi="Times" w:cs="Times"/>
          <w:noProof/>
          <w:sz w:val="20"/>
          <w:szCs w:val="24"/>
          <w:lang w:val="en-US"/>
        </w:rPr>
        <w:tab/>
        <w:t xml:space="preserve">J. Sun </w:t>
      </w:r>
      <w:r w:rsidRPr="008D1D8F">
        <w:rPr>
          <w:rFonts w:ascii="Times" w:hAnsi="Times" w:cs="Times"/>
          <w:i/>
          <w:iCs/>
          <w:noProof/>
          <w:sz w:val="20"/>
          <w:szCs w:val="24"/>
          <w:lang w:val="en-US"/>
        </w:rPr>
        <w:t>et al.</w:t>
      </w:r>
      <w:r w:rsidRPr="008D1D8F">
        <w:rPr>
          <w:rFonts w:ascii="Times" w:hAnsi="Times" w:cs="Times"/>
          <w:noProof/>
          <w:sz w:val="20"/>
          <w:szCs w:val="24"/>
          <w:lang w:val="en-US"/>
        </w:rPr>
        <w:t xml:space="preserve">, </w:t>
      </w:r>
      <w:r w:rsidRPr="008D1D8F">
        <w:rPr>
          <w:rFonts w:ascii="Times" w:hAnsi="Times" w:cs="Times"/>
          <w:i/>
          <w:iCs/>
          <w:noProof/>
          <w:sz w:val="20"/>
          <w:szCs w:val="24"/>
          <w:lang w:val="en-US"/>
        </w:rPr>
        <w:t>J. Am. Chem. Soc.</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2016</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138</w:t>
      </w:r>
      <w:r w:rsidRPr="008D1D8F">
        <w:rPr>
          <w:rFonts w:ascii="Times" w:hAnsi="Times" w:cs="Times"/>
          <w:noProof/>
          <w:sz w:val="20"/>
          <w:szCs w:val="24"/>
          <w:lang w:val="en-US"/>
        </w:rPr>
        <w:t>, 507–517.</w:t>
      </w:r>
    </w:p>
    <w:p w14:paraId="21E987A8" w14:textId="4DA0B9E6"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5. </w:t>
      </w:r>
      <w:r w:rsidRPr="008D1D8F">
        <w:rPr>
          <w:rFonts w:ascii="Times" w:hAnsi="Times" w:cs="Times"/>
          <w:noProof/>
          <w:sz w:val="20"/>
          <w:szCs w:val="24"/>
          <w:lang w:val="en-US"/>
        </w:rPr>
        <w:tab/>
        <w:t xml:space="preserve">T. Prasomsri, T. Nimmanwudipong, Y. Román-Leshkov, </w:t>
      </w:r>
      <w:r w:rsidRPr="008D1D8F">
        <w:rPr>
          <w:rFonts w:ascii="Times" w:hAnsi="Times" w:cs="Times"/>
          <w:i/>
          <w:iCs/>
          <w:noProof/>
          <w:sz w:val="20"/>
          <w:szCs w:val="24"/>
          <w:lang w:val="en-US"/>
        </w:rPr>
        <w:t>Energy Environ. Sci.</w:t>
      </w:r>
      <w:r w:rsidR="00993BDB" w:rsidRPr="008D1D8F">
        <w:rPr>
          <w:rFonts w:ascii="Times" w:hAnsi="Times" w:cs="Times"/>
          <w:b/>
          <w:i/>
          <w:iCs/>
          <w:noProof/>
          <w:sz w:val="20"/>
          <w:szCs w:val="24"/>
          <w:lang w:val="en-US"/>
        </w:rPr>
        <w:t>2013</w:t>
      </w:r>
      <w:r w:rsidR="00993BDB" w:rsidRPr="008D1D8F">
        <w:rPr>
          <w:rFonts w:ascii="Times" w:hAnsi="Times" w:cs="Times"/>
          <w:i/>
          <w:iCs/>
          <w:noProof/>
          <w:sz w:val="20"/>
          <w:szCs w:val="24"/>
          <w:lang w:val="en-US"/>
        </w:rPr>
        <w:t>,</w:t>
      </w:r>
      <w:r w:rsidRPr="008D1D8F">
        <w:rPr>
          <w:rFonts w:ascii="Times" w:hAnsi="Times" w:cs="Times"/>
          <w:b/>
          <w:bCs/>
          <w:noProof/>
          <w:sz w:val="20"/>
          <w:szCs w:val="24"/>
          <w:lang w:val="en-US"/>
        </w:rPr>
        <w:t xml:space="preserve"> </w:t>
      </w:r>
      <w:r w:rsidRPr="008D1D8F">
        <w:rPr>
          <w:rFonts w:ascii="Times" w:hAnsi="Times" w:cs="Times"/>
          <w:bCs/>
          <w:noProof/>
          <w:sz w:val="20"/>
          <w:szCs w:val="24"/>
          <w:lang w:val="en-US"/>
        </w:rPr>
        <w:t>6</w:t>
      </w:r>
      <w:r w:rsidRPr="008D1D8F">
        <w:rPr>
          <w:rFonts w:ascii="Times" w:hAnsi="Times" w:cs="Times"/>
          <w:noProof/>
          <w:sz w:val="20"/>
          <w:szCs w:val="24"/>
          <w:lang w:val="en-US"/>
        </w:rPr>
        <w:t>, 1732–1738</w:t>
      </w:r>
      <w:r w:rsidR="00993BDB" w:rsidRPr="008D1D8F">
        <w:rPr>
          <w:rFonts w:ascii="Times" w:hAnsi="Times" w:cs="Times"/>
          <w:noProof/>
          <w:sz w:val="20"/>
          <w:szCs w:val="24"/>
          <w:lang w:val="en-US"/>
        </w:rPr>
        <w:t>.</w:t>
      </w:r>
    </w:p>
    <w:p w14:paraId="17060788" w14:textId="3B0CF40E"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6. </w:t>
      </w:r>
      <w:r w:rsidRPr="008D1D8F">
        <w:rPr>
          <w:rFonts w:ascii="Times" w:hAnsi="Times" w:cs="Times"/>
          <w:noProof/>
          <w:sz w:val="20"/>
          <w:szCs w:val="24"/>
          <w:lang w:val="en-US"/>
        </w:rPr>
        <w:tab/>
        <w:t xml:space="preserve">Y. Lykhach </w:t>
      </w:r>
      <w:r w:rsidRPr="008D1D8F">
        <w:rPr>
          <w:rFonts w:ascii="Times" w:hAnsi="Times" w:cs="Times"/>
          <w:i/>
          <w:iCs/>
          <w:noProof/>
          <w:sz w:val="20"/>
          <w:szCs w:val="24"/>
          <w:lang w:val="en-US"/>
        </w:rPr>
        <w:t>et al.</w:t>
      </w:r>
      <w:r w:rsidRPr="008D1D8F">
        <w:rPr>
          <w:rFonts w:ascii="Times" w:hAnsi="Times" w:cs="Times"/>
          <w:noProof/>
          <w:sz w:val="20"/>
          <w:szCs w:val="24"/>
          <w:lang w:val="en-US"/>
        </w:rPr>
        <w:t xml:space="preserve">, </w:t>
      </w:r>
      <w:r w:rsidRPr="008D1D8F">
        <w:rPr>
          <w:rFonts w:ascii="Times" w:hAnsi="Times" w:cs="Times"/>
          <w:i/>
          <w:iCs/>
          <w:noProof/>
          <w:sz w:val="20"/>
          <w:szCs w:val="24"/>
          <w:lang w:val="en-US"/>
        </w:rPr>
        <w:t>J. Mater. Chem. A</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2018</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6</w:t>
      </w:r>
      <w:r w:rsidRPr="008D1D8F">
        <w:rPr>
          <w:rFonts w:ascii="Times" w:hAnsi="Times" w:cs="Times"/>
          <w:noProof/>
          <w:sz w:val="20"/>
          <w:szCs w:val="24"/>
          <w:lang w:val="en-US"/>
        </w:rPr>
        <w:t>, 23078–23086</w:t>
      </w:r>
      <w:r w:rsidR="0057119E" w:rsidRPr="008D1D8F">
        <w:rPr>
          <w:rFonts w:ascii="Times" w:hAnsi="Times" w:cs="Times"/>
          <w:noProof/>
          <w:sz w:val="20"/>
          <w:szCs w:val="24"/>
          <w:lang w:val="en-US"/>
        </w:rPr>
        <w:t>.</w:t>
      </w:r>
    </w:p>
    <w:p w14:paraId="5D5BBB87" w14:textId="795488DA"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7. </w:t>
      </w:r>
      <w:r w:rsidRPr="008D1D8F">
        <w:rPr>
          <w:rFonts w:ascii="Times" w:hAnsi="Times" w:cs="Times"/>
          <w:noProof/>
          <w:sz w:val="20"/>
          <w:szCs w:val="24"/>
          <w:lang w:val="en-US"/>
        </w:rPr>
        <w:tab/>
        <w:t xml:space="preserve">T. W. van Deelen, C. Hernández Mejía, K. P. de Jong, </w:t>
      </w:r>
      <w:r w:rsidRPr="008D1D8F">
        <w:rPr>
          <w:rFonts w:ascii="Times" w:hAnsi="Times" w:cs="Times"/>
          <w:i/>
          <w:iCs/>
          <w:noProof/>
          <w:sz w:val="20"/>
          <w:szCs w:val="24"/>
          <w:lang w:val="en-US"/>
        </w:rPr>
        <w:t>Nat. Catal.</w:t>
      </w:r>
      <w:r w:rsidRPr="008D1D8F">
        <w:rPr>
          <w:rFonts w:ascii="Times" w:hAnsi="Times" w:cs="Times"/>
          <w:noProof/>
          <w:sz w:val="20"/>
          <w:szCs w:val="24"/>
          <w:lang w:val="en-US"/>
        </w:rPr>
        <w:t xml:space="preserve"> </w:t>
      </w:r>
      <w:r w:rsidR="0057119E" w:rsidRPr="008D1D8F">
        <w:rPr>
          <w:rFonts w:ascii="Times" w:hAnsi="Times" w:cs="Times"/>
          <w:b/>
          <w:noProof/>
          <w:sz w:val="20"/>
          <w:szCs w:val="24"/>
          <w:lang w:val="en-US"/>
        </w:rPr>
        <w:t>2019</w:t>
      </w:r>
      <w:r w:rsidR="0057119E" w:rsidRPr="008D1D8F">
        <w:rPr>
          <w:rFonts w:ascii="Times" w:hAnsi="Times" w:cs="Times"/>
          <w:noProof/>
          <w:sz w:val="20"/>
          <w:szCs w:val="24"/>
          <w:lang w:val="en-US"/>
        </w:rPr>
        <w:t xml:space="preserve">, </w:t>
      </w:r>
      <w:r w:rsidRPr="008D1D8F">
        <w:rPr>
          <w:rFonts w:ascii="Times" w:hAnsi="Times" w:cs="Times"/>
          <w:bCs/>
          <w:noProof/>
          <w:sz w:val="20"/>
          <w:szCs w:val="24"/>
          <w:lang w:val="en-US"/>
        </w:rPr>
        <w:t>2</w:t>
      </w:r>
      <w:r w:rsidRPr="008D1D8F">
        <w:rPr>
          <w:rFonts w:ascii="Times" w:hAnsi="Times" w:cs="Times"/>
          <w:noProof/>
          <w:sz w:val="20"/>
          <w:szCs w:val="24"/>
          <w:lang w:val="en-US"/>
        </w:rPr>
        <w:t>, 955–970</w:t>
      </w:r>
      <w:r w:rsidR="0057119E" w:rsidRPr="008D1D8F">
        <w:rPr>
          <w:rFonts w:ascii="Times" w:hAnsi="Times" w:cs="Times"/>
          <w:noProof/>
          <w:sz w:val="20"/>
          <w:szCs w:val="24"/>
          <w:lang w:val="en-US"/>
        </w:rPr>
        <w:t>.</w:t>
      </w:r>
    </w:p>
    <w:p w14:paraId="2336230E" w14:textId="2F832FBC" w:rsidR="005040F9" w:rsidRPr="005040F9"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rPr>
      </w:pPr>
      <w:r w:rsidRPr="008D1D8F">
        <w:rPr>
          <w:rFonts w:ascii="Times" w:hAnsi="Times" w:cs="Times"/>
          <w:noProof/>
          <w:sz w:val="20"/>
          <w:szCs w:val="24"/>
          <w:lang w:val="en-US"/>
        </w:rPr>
        <w:t xml:space="preserve">8. </w:t>
      </w:r>
      <w:r w:rsidRPr="008D1D8F">
        <w:rPr>
          <w:rFonts w:ascii="Times" w:hAnsi="Times" w:cs="Times"/>
          <w:noProof/>
          <w:sz w:val="20"/>
          <w:szCs w:val="24"/>
          <w:lang w:val="en-US"/>
        </w:rPr>
        <w:tab/>
        <w:t xml:space="preserve">Z. Wang </w:t>
      </w:r>
      <w:r w:rsidRPr="008D1D8F">
        <w:rPr>
          <w:rFonts w:ascii="Times" w:hAnsi="Times" w:cs="Times"/>
          <w:i/>
          <w:iCs/>
          <w:noProof/>
          <w:sz w:val="20"/>
          <w:szCs w:val="24"/>
          <w:lang w:val="en-US"/>
        </w:rPr>
        <w:t>et al.</w:t>
      </w:r>
      <w:r w:rsidRPr="008D1D8F">
        <w:rPr>
          <w:rFonts w:ascii="Times" w:hAnsi="Times" w:cs="Times"/>
          <w:noProof/>
          <w:sz w:val="20"/>
          <w:szCs w:val="24"/>
          <w:lang w:val="en-US"/>
        </w:rPr>
        <w:t xml:space="preserve">, </w:t>
      </w:r>
      <w:r w:rsidRPr="008D1D8F">
        <w:rPr>
          <w:rFonts w:ascii="Times" w:hAnsi="Times" w:cs="Times"/>
          <w:i/>
          <w:iCs/>
          <w:noProof/>
          <w:sz w:val="20"/>
          <w:szCs w:val="24"/>
          <w:lang w:val="en-US"/>
        </w:rPr>
        <w:t xml:space="preserve">Nat. </w:t>
      </w:r>
      <w:r w:rsidRPr="005040F9">
        <w:rPr>
          <w:rFonts w:ascii="Times" w:hAnsi="Times" w:cs="Times"/>
          <w:i/>
          <w:iCs/>
          <w:noProof/>
          <w:sz w:val="20"/>
          <w:szCs w:val="24"/>
        </w:rPr>
        <w:t>Commun.</w:t>
      </w:r>
      <w:r w:rsidRPr="005040F9">
        <w:rPr>
          <w:rFonts w:ascii="Times" w:hAnsi="Times" w:cs="Times"/>
          <w:noProof/>
          <w:sz w:val="20"/>
          <w:szCs w:val="24"/>
        </w:rPr>
        <w:t xml:space="preserve"> </w:t>
      </w:r>
      <w:r w:rsidR="00993BDB" w:rsidRPr="00993BDB">
        <w:rPr>
          <w:rFonts w:ascii="Times" w:hAnsi="Times" w:cs="Times"/>
          <w:b/>
          <w:noProof/>
          <w:sz w:val="20"/>
          <w:szCs w:val="24"/>
        </w:rPr>
        <w:t>2022</w:t>
      </w:r>
      <w:r w:rsidR="00993BDB">
        <w:rPr>
          <w:rFonts w:ascii="Times" w:hAnsi="Times" w:cs="Times"/>
          <w:noProof/>
          <w:sz w:val="20"/>
          <w:szCs w:val="24"/>
        </w:rPr>
        <w:t xml:space="preserve">, </w:t>
      </w:r>
      <w:r w:rsidRPr="00993BDB">
        <w:rPr>
          <w:rFonts w:ascii="Times" w:hAnsi="Times" w:cs="Times"/>
          <w:bCs/>
          <w:noProof/>
          <w:sz w:val="20"/>
          <w:szCs w:val="24"/>
        </w:rPr>
        <w:t>13</w:t>
      </w:r>
      <w:r w:rsidRPr="005040F9">
        <w:rPr>
          <w:rFonts w:ascii="Times" w:hAnsi="Times" w:cs="Times"/>
          <w:noProof/>
          <w:sz w:val="20"/>
          <w:szCs w:val="24"/>
        </w:rPr>
        <w:t>, 1–10</w:t>
      </w:r>
      <w:r w:rsidR="00993BDB">
        <w:rPr>
          <w:rFonts w:ascii="Times" w:hAnsi="Times" w:cs="Times"/>
          <w:noProof/>
          <w:sz w:val="20"/>
          <w:szCs w:val="24"/>
        </w:rPr>
        <w:t>.</w:t>
      </w:r>
    </w:p>
    <w:p w14:paraId="6EEB90F9" w14:textId="2F42EF62" w:rsidR="005040F9" w:rsidRPr="005040F9"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rPr>
      </w:pPr>
      <w:r w:rsidRPr="005040F9">
        <w:rPr>
          <w:rFonts w:ascii="Times" w:hAnsi="Times" w:cs="Times"/>
          <w:noProof/>
          <w:sz w:val="20"/>
          <w:szCs w:val="24"/>
        </w:rPr>
        <w:t xml:space="preserve">9. </w:t>
      </w:r>
      <w:r w:rsidRPr="005040F9">
        <w:rPr>
          <w:rFonts w:ascii="Times" w:hAnsi="Times" w:cs="Times"/>
          <w:noProof/>
          <w:sz w:val="20"/>
          <w:szCs w:val="24"/>
        </w:rPr>
        <w:tab/>
        <w:t xml:space="preserve">C. Navas-Cárdenas, N. Benito, E. E. Wolf, F. Gracia, </w:t>
      </w:r>
      <w:r w:rsidRPr="005040F9">
        <w:rPr>
          <w:rFonts w:ascii="Times" w:hAnsi="Times" w:cs="Times"/>
          <w:i/>
          <w:iCs/>
          <w:noProof/>
          <w:sz w:val="20"/>
          <w:szCs w:val="24"/>
        </w:rPr>
        <w:t>Int. J. Hydrogen Energy</w:t>
      </w:r>
      <w:r w:rsidRPr="005040F9">
        <w:rPr>
          <w:rFonts w:ascii="Times" w:hAnsi="Times" w:cs="Times"/>
          <w:noProof/>
          <w:sz w:val="20"/>
          <w:szCs w:val="24"/>
        </w:rPr>
        <w:t xml:space="preserve">. </w:t>
      </w:r>
      <w:r w:rsidR="00993BDB" w:rsidRPr="00993BDB">
        <w:rPr>
          <w:rFonts w:ascii="Times" w:hAnsi="Times" w:cs="Times"/>
          <w:b/>
          <w:noProof/>
          <w:sz w:val="20"/>
          <w:szCs w:val="24"/>
        </w:rPr>
        <w:t>2022</w:t>
      </w:r>
      <w:r w:rsidR="00993BDB">
        <w:rPr>
          <w:rFonts w:ascii="Times" w:hAnsi="Times" w:cs="Times"/>
          <w:noProof/>
          <w:sz w:val="20"/>
          <w:szCs w:val="24"/>
        </w:rPr>
        <w:t xml:space="preserve">, </w:t>
      </w:r>
      <w:r w:rsidRPr="00993BDB">
        <w:rPr>
          <w:rFonts w:ascii="Times" w:hAnsi="Times" w:cs="Times"/>
          <w:bCs/>
          <w:noProof/>
          <w:sz w:val="20"/>
          <w:szCs w:val="24"/>
        </w:rPr>
        <w:t>47</w:t>
      </w:r>
      <w:r w:rsidRPr="005040F9">
        <w:rPr>
          <w:rFonts w:ascii="Times" w:hAnsi="Times" w:cs="Times"/>
          <w:noProof/>
          <w:sz w:val="20"/>
          <w:szCs w:val="24"/>
        </w:rPr>
        <w:t>, 20867–20880</w:t>
      </w:r>
      <w:r w:rsidR="00993BDB">
        <w:rPr>
          <w:rFonts w:ascii="Times" w:hAnsi="Times" w:cs="Times"/>
          <w:noProof/>
          <w:sz w:val="20"/>
          <w:szCs w:val="24"/>
        </w:rPr>
        <w:t>.</w:t>
      </w:r>
    </w:p>
    <w:p w14:paraId="5E2585D5" w14:textId="07021733"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5040F9">
        <w:rPr>
          <w:rFonts w:ascii="Times" w:hAnsi="Times" w:cs="Times"/>
          <w:noProof/>
          <w:sz w:val="20"/>
          <w:szCs w:val="24"/>
        </w:rPr>
        <w:t xml:space="preserve">10. </w:t>
      </w:r>
      <w:r w:rsidRPr="005040F9">
        <w:rPr>
          <w:rFonts w:ascii="Times" w:hAnsi="Times" w:cs="Times"/>
          <w:noProof/>
          <w:sz w:val="20"/>
          <w:szCs w:val="24"/>
        </w:rPr>
        <w:tab/>
        <w:t xml:space="preserve">J. G. A. B. Silva, R. C. Santos, E. Rodríguez-Castellón, L. S. G. Teixeira, L. A. M. Pontes, </w:t>
      </w:r>
      <w:r w:rsidRPr="005040F9">
        <w:rPr>
          <w:rFonts w:ascii="Times" w:hAnsi="Times" w:cs="Times"/>
          <w:i/>
          <w:iCs/>
          <w:noProof/>
          <w:sz w:val="20"/>
          <w:szCs w:val="24"/>
        </w:rPr>
        <w:t xml:space="preserve">Mol. </w:t>
      </w:r>
      <w:r w:rsidRPr="008D1D8F">
        <w:rPr>
          <w:rFonts w:ascii="Times" w:hAnsi="Times" w:cs="Times"/>
          <w:i/>
          <w:iCs/>
          <w:noProof/>
          <w:sz w:val="20"/>
          <w:szCs w:val="24"/>
          <w:lang w:val="en-US"/>
        </w:rPr>
        <w:lastRenderedPageBreak/>
        <w:t>Catal.</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2021</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507</w:t>
      </w:r>
      <w:r w:rsidR="00993BDB" w:rsidRPr="008D1D8F">
        <w:rPr>
          <w:rFonts w:ascii="Times" w:hAnsi="Times" w:cs="Times"/>
          <w:noProof/>
          <w:sz w:val="20"/>
          <w:szCs w:val="24"/>
          <w:lang w:val="en-US"/>
        </w:rPr>
        <w:t>.</w:t>
      </w:r>
    </w:p>
    <w:p w14:paraId="608C3370" w14:textId="0AC466FB"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11. </w:t>
      </w:r>
      <w:r w:rsidRPr="008D1D8F">
        <w:rPr>
          <w:rFonts w:ascii="Times" w:hAnsi="Times" w:cs="Times"/>
          <w:noProof/>
          <w:sz w:val="20"/>
          <w:szCs w:val="24"/>
          <w:lang w:val="en-US"/>
        </w:rPr>
        <w:tab/>
        <w:t xml:space="preserve">C. Zhang, H. He, K. ichi Tanaka, </w:t>
      </w:r>
      <w:r w:rsidRPr="008D1D8F">
        <w:rPr>
          <w:rFonts w:ascii="Times" w:hAnsi="Times" w:cs="Times"/>
          <w:i/>
          <w:iCs/>
          <w:noProof/>
          <w:sz w:val="20"/>
          <w:szCs w:val="24"/>
          <w:lang w:val="en-US"/>
        </w:rPr>
        <w:t>Appl. Catal. B Environ.</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2006,</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65</w:t>
      </w:r>
      <w:r w:rsidRPr="008D1D8F">
        <w:rPr>
          <w:rFonts w:ascii="Times" w:hAnsi="Times" w:cs="Times"/>
          <w:noProof/>
          <w:sz w:val="20"/>
          <w:szCs w:val="24"/>
          <w:lang w:val="en-US"/>
        </w:rPr>
        <w:t>, 37–43.</w:t>
      </w:r>
    </w:p>
    <w:p w14:paraId="7D9E4193" w14:textId="5D02EB69" w:rsidR="005040F9" w:rsidRPr="008D1D8F" w:rsidRDefault="005040F9" w:rsidP="0057119E">
      <w:pPr>
        <w:widowControl w:val="0"/>
        <w:autoSpaceDE w:val="0"/>
        <w:autoSpaceDN w:val="0"/>
        <w:adjustRightInd w:val="0"/>
        <w:spacing w:after="0" w:line="240" w:lineRule="exact"/>
        <w:ind w:left="640" w:hanging="640"/>
        <w:jc w:val="both"/>
        <w:rPr>
          <w:rFonts w:ascii="Times" w:hAnsi="Times" w:cs="Times"/>
          <w:noProof/>
          <w:sz w:val="20"/>
          <w:szCs w:val="24"/>
          <w:lang w:val="en-US"/>
        </w:rPr>
      </w:pPr>
      <w:r w:rsidRPr="008D1D8F">
        <w:rPr>
          <w:rFonts w:ascii="Times" w:hAnsi="Times" w:cs="Times"/>
          <w:noProof/>
          <w:sz w:val="20"/>
          <w:szCs w:val="24"/>
          <w:lang w:val="en-US"/>
        </w:rPr>
        <w:t xml:space="preserve">12. </w:t>
      </w:r>
      <w:r w:rsidRPr="008D1D8F">
        <w:rPr>
          <w:rFonts w:ascii="Times" w:hAnsi="Times" w:cs="Times"/>
          <w:noProof/>
          <w:sz w:val="20"/>
          <w:szCs w:val="24"/>
          <w:lang w:val="en-US"/>
        </w:rPr>
        <w:tab/>
        <w:t xml:space="preserve">P. Tancredi </w:t>
      </w:r>
      <w:r w:rsidRPr="008D1D8F">
        <w:rPr>
          <w:rFonts w:ascii="Times" w:hAnsi="Times" w:cs="Times"/>
          <w:i/>
          <w:iCs/>
          <w:noProof/>
          <w:sz w:val="20"/>
          <w:szCs w:val="24"/>
          <w:lang w:val="en-US"/>
        </w:rPr>
        <w:t>et al.</w:t>
      </w:r>
      <w:r w:rsidRPr="008D1D8F">
        <w:rPr>
          <w:rFonts w:ascii="Times" w:hAnsi="Times" w:cs="Times"/>
          <w:noProof/>
          <w:sz w:val="20"/>
          <w:szCs w:val="24"/>
          <w:lang w:val="en-US"/>
        </w:rPr>
        <w:t xml:space="preserve">, </w:t>
      </w:r>
      <w:r w:rsidRPr="008D1D8F">
        <w:rPr>
          <w:rFonts w:ascii="Times" w:hAnsi="Times" w:cs="Times"/>
          <w:i/>
          <w:iCs/>
          <w:noProof/>
          <w:sz w:val="20"/>
          <w:szCs w:val="24"/>
          <w:lang w:val="en-US"/>
        </w:rPr>
        <w:t>Nano Res.</w:t>
      </w:r>
      <w:r w:rsidRPr="008D1D8F">
        <w:rPr>
          <w:rFonts w:ascii="Times" w:hAnsi="Times" w:cs="Times"/>
          <w:noProof/>
          <w:sz w:val="20"/>
          <w:szCs w:val="24"/>
          <w:lang w:val="en-US"/>
        </w:rPr>
        <w:t xml:space="preserve"> </w:t>
      </w:r>
      <w:r w:rsidR="00993BDB" w:rsidRPr="008D1D8F">
        <w:rPr>
          <w:rFonts w:ascii="Times" w:hAnsi="Times" w:cs="Times"/>
          <w:b/>
          <w:noProof/>
          <w:sz w:val="20"/>
          <w:szCs w:val="24"/>
          <w:lang w:val="en-US"/>
        </w:rPr>
        <w:t>2019</w:t>
      </w:r>
      <w:r w:rsidR="00993BDB" w:rsidRPr="008D1D8F">
        <w:rPr>
          <w:rFonts w:ascii="Times" w:hAnsi="Times" w:cs="Times"/>
          <w:noProof/>
          <w:sz w:val="20"/>
          <w:szCs w:val="24"/>
          <w:lang w:val="en-US"/>
        </w:rPr>
        <w:t xml:space="preserve">, </w:t>
      </w:r>
      <w:r w:rsidRPr="008D1D8F">
        <w:rPr>
          <w:rFonts w:ascii="Times" w:hAnsi="Times" w:cs="Times"/>
          <w:bCs/>
          <w:noProof/>
          <w:sz w:val="20"/>
          <w:szCs w:val="24"/>
          <w:lang w:val="en-US"/>
        </w:rPr>
        <w:t>12</w:t>
      </w:r>
      <w:r w:rsidRPr="008D1D8F">
        <w:rPr>
          <w:rFonts w:ascii="Times" w:hAnsi="Times" w:cs="Times"/>
          <w:noProof/>
          <w:sz w:val="20"/>
          <w:szCs w:val="24"/>
          <w:lang w:val="en-US"/>
        </w:rPr>
        <w:t>, 1781–1788.</w:t>
      </w:r>
    </w:p>
    <w:p w14:paraId="3B46A834" w14:textId="00AAF087" w:rsidR="005040F9" w:rsidRPr="005040F9" w:rsidRDefault="005040F9" w:rsidP="0057119E">
      <w:pPr>
        <w:widowControl w:val="0"/>
        <w:autoSpaceDE w:val="0"/>
        <w:autoSpaceDN w:val="0"/>
        <w:adjustRightInd w:val="0"/>
        <w:spacing w:after="0" w:line="240" w:lineRule="exact"/>
        <w:ind w:left="640" w:hanging="640"/>
        <w:jc w:val="both"/>
        <w:rPr>
          <w:rFonts w:ascii="Times" w:hAnsi="Times" w:cs="Times"/>
          <w:noProof/>
          <w:sz w:val="20"/>
        </w:rPr>
      </w:pPr>
      <w:r w:rsidRPr="008D1D8F">
        <w:rPr>
          <w:rFonts w:ascii="Times" w:hAnsi="Times" w:cs="Times"/>
          <w:noProof/>
          <w:sz w:val="20"/>
          <w:szCs w:val="24"/>
          <w:lang w:val="en-US"/>
        </w:rPr>
        <w:t xml:space="preserve">13. </w:t>
      </w:r>
      <w:r w:rsidRPr="008D1D8F">
        <w:rPr>
          <w:rFonts w:ascii="Times" w:hAnsi="Times" w:cs="Times"/>
          <w:noProof/>
          <w:sz w:val="20"/>
          <w:szCs w:val="24"/>
          <w:lang w:val="en-US"/>
        </w:rPr>
        <w:tab/>
        <w:t xml:space="preserve">G. B. Strapasson </w:t>
      </w:r>
      <w:r w:rsidRPr="008D1D8F">
        <w:rPr>
          <w:rFonts w:ascii="Times" w:hAnsi="Times" w:cs="Times"/>
          <w:i/>
          <w:iCs/>
          <w:noProof/>
          <w:sz w:val="20"/>
          <w:szCs w:val="24"/>
          <w:lang w:val="en-US"/>
        </w:rPr>
        <w:t>et al.</w:t>
      </w:r>
      <w:r w:rsidRPr="008D1D8F">
        <w:rPr>
          <w:rFonts w:ascii="Times" w:hAnsi="Times" w:cs="Times"/>
          <w:noProof/>
          <w:sz w:val="20"/>
          <w:szCs w:val="24"/>
          <w:lang w:val="en-US"/>
        </w:rPr>
        <w:t xml:space="preserve">, </w:t>
      </w:r>
      <w:r w:rsidRPr="008D1D8F">
        <w:rPr>
          <w:rFonts w:ascii="Times" w:hAnsi="Times" w:cs="Times"/>
          <w:i/>
          <w:iCs/>
          <w:noProof/>
          <w:sz w:val="20"/>
          <w:szCs w:val="24"/>
          <w:lang w:val="en-US"/>
        </w:rPr>
        <w:t xml:space="preserve">Appl. </w:t>
      </w:r>
      <w:r w:rsidRPr="005040F9">
        <w:rPr>
          <w:rFonts w:ascii="Times" w:hAnsi="Times" w:cs="Times"/>
          <w:i/>
          <w:iCs/>
          <w:noProof/>
          <w:sz w:val="20"/>
          <w:szCs w:val="24"/>
        </w:rPr>
        <w:t>Catal. B Environ.</w:t>
      </w:r>
      <w:r w:rsidRPr="005040F9">
        <w:rPr>
          <w:rFonts w:ascii="Times" w:hAnsi="Times" w:cs="Times"/>
          <w:noProof/>
          <w:sz w:val="20"/>
          <w:szCs w:val="24"/>
        </w:rPr>
        <w:t>,</w:t>
      </w:r>
      <w:r w:rsidR="00993BDB">
        <w:rPr>
          <w:rFonts w:ascii="Times" w:hAnsi="Times" w:cs="Times"/>
          <w:noProof/>
          <w:sz w:val="20"/>
          <w:szCs w:val="24"/>
        </w:rPr>
        <w:t xml:space="preserve"> </w:t>
      </w:r>
      <w:r w:rsidR="00993BDB" w:rsidRPr="00993BDB">
        <w:rPr>
          <w:rFonts w:ascii="Times" w:hAnsi="Times" w:cs="Times"/>
          <w:b/>
          <w:noProof/>
          <w:sz w:val="20"/>
          <w:szCs w:val="24"/>
        </w:rPr>
        <w:t>2023</w:t>
      </w:r>
      <w:r w:rsidR="00993BDB">
        <w:rPr>
          <w:rFonts w:ascii="Times" w:hAnsi="Times" w:cs="Times"/>
          <w:noProof/>
          <w:sz w:val="20"/>
          <w:szCs w:val="24"/>
        </w:rPr>
        <w:t>,</w:t>
      </w:r>
      <w:r w:rsidRPr="005040F9">
        <w:rPr>
          <w:rFonts w:ascii="Times" w:hAnsi="Times" w:cs="Times"/>
          <w:noProof/>
          <w:sz w:val="20"/>
          <w:szCs w:val="24"/>
        </w:rPr>
        <w:t xml:space="preserve"> 122863.</w:t>
      </w:r>
    </w:p>
    <w:p w14:paraId="58716424" w14:textId="44E079EF" w:rsidR="007B4B2B" w:rsidRPr="0057119E" w:rsidRDefault="009C4ED9" w:rsidP="0057119E">
      <w:pPr>
        <w:pStyle w:val="TAMainText"/>
        <w:ind w:firstLine="0"/>
        <w:rPr>
          <w:lang w:val="pt-BR"/>
        </w:rPr>
      </w:pPr>
      <w:r>
        <w:rPr>
          <w:lang w:val="pt-BR"/>
        </w:rPr>
        <w:fldChar w:fldCharType="end"/>
      </w:r>
    </w:p>
    <w:sectPr w:rsidR="007B4B2B" w:rsidRPr="0057119E" w:rsidSect="00EA4E1B">
      <w:type w:val="continuous"/>
      <w:pgSz w:w="11906" w:h="16838"/>
      <w:pgMar w:top="1418" w:right="1094" w:bottom="1418" w:left="567" w:header="709" w:footer="709" w:gutter="0"/>
      <w:cols w:num="2"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CB276" w16cex:dateUtc="2023-05-15T1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7EB55" w14:textId="77777777" w:rsidR="00E02C99" w:rsidRDefault="00E02C99" w:rsidP="00EA4E1B">
      <w:pPr>
        <w:spacing w:after="0" w:line="240" w:lineRule="auto"/>
      </w:pPr>
      <w:r>
        <w:separator/>
      </w:r>
    </w:p>
  </w:endnote>
  <w:endnote w:type="continuationSeparator" w:id="0">
    <w:p w14:paraId="631DC9ED" w14:textId="77777777" w:rsidR="00E02C99" w:rsidRDefault="00E02C9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80275" w14:textId="77777777" w:rsidR="00E02C99" w:rsidRDefault="00E02C99" w:rsidP="00EA4E1B">
      <w:pPr>
        <w:spacing w:after="0" w:line="240" w:lineRule="auto"/>
      </w:pPr>
      <w:r>
        <w:separator/>
      </w:r>
    </w:p>
  </w:footnote>
  <w:footnote w:type="continuationSeparator" w:id="0">
    <w:p w14:paraId="5A6CD690" w14:textId="77777777" w:rsidR="00E02C99" w:rsidRDefault="00E02C9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79F22" w14:textId="15EBCFB1" w:rsidR="00EA4E1B" w:rsidRDefault="00AF0400" w:rsidP="00EA4E1B">
    <w:pPr>
      <w:pStyle w:val="Header"/>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QUAEYfOciwAAAA="/>
  </w:docVars>
  <w:rsids>
    <w:rsidRoot w:val="00EA4E1B"/>
    <w:rsid w:val="0001264A"/>
    <w:rsid w:val="00061A72"/>
    <w:rsid w:val="000B2122"/>
    <w:rsid w:val="000F1D24"/>
    <w:rsid w:val="001E58A9"/>
    <w:rsid w:val="001F25B2"/>
    <w:rsid w:val="00222230"/>
    <w:rsid w:val="00236878"/>
    <w:rsid w:val="002E54BF"/>
    <w:rsid w:val="00340B1E"/>
    <w:rsid w:val="00342F5C"/>
    <w:rsid w:val="00347CA0"/>
    <w:rsid w:val="00366685"/>
    <w:rsid w:val="003A2CB0"/>
    <w:rsid w:val="003C69B2"/>
    <w:rsid w:val="003F7E40"/>
    <w:rsid w:val="00402F3E"/>
    <w:rsid w:val="004B4400"/>
    <w:rsid w:val="004F3F42"/>
    <w:rsid w:val="005040F9"/>
    <w:rsid w:val="0052112E"/>
    <w:rsid w:val="0057119E"/>
    <w:rsid w:val="005C2775"/>
    <w:rsid w:val="005D3549"/>
    <w:rsid w:val="005D65EB"/>
    <w:rsid w:val="00604718"/>
    <w:rsid w:val="00604CB4"/>
    <w:rsid w:val="006436CB"/>
    <w:rsid w:val="00652815"/>
    <w:rsid w:val="00680FFD"/>
    <w:rsid w:val="006E6FC4"/>
    <w:rsid w:val="006F599B"/>
    <w:rsid w:val="00716BE8"/>
    <w:rsid w:val="00726745"/>
    <w:rsid w:val="007670A0"/>
    <w:rsid w:val="00781685"/>
    <w:rsid w:val="0078553C"/>
    <w:rsid w:val="007B4B2B"/>
    <w:rsid w:val="007C355B"/>
    <w:rsid w:val="00804D32"/>
    <w:rsid w:val="00833148"/>
    <w:rsid w:val="00866822"/>
    <w:rsid w:val="008B1683"/>
    <w:rsid w:val="008C1B30"/>
    <w:rsid w:val="008D1D8F"/>
    <w:rsid w:val="008D3224"/>
    <w:rsid w:val="008E4D95"/>
    <w:rsid w:val="00964BB9"/>
    <w:rsid w:val="009656D9"/>
    <w:rsid w:val="00993BDB"/>
    <w:rsid w:val="009C4ED9"/>
    <w:rsid w:val="009C7CB0"/>
    <w:rsid w:val="009E2186"/>
    <w:rsid w:val="00A17D85"/>
    <w:rsid w:val="00A87CE8"/>
    <w:rsid w:val="00AA182E"/>
    <w:rsid w:val="00AF0400"/>
    <w:rsid w:val="00B30AEB"/>
    <w:rsid w:val="00B569DC"/>
    <w:rsid w:val="00BA4BF2"/>
    <w:rsid w:val="00BA5466"/>
    <w:rsid w:val="00BA6A6E"/>
    <w:rsid w:val="00BC4674"/>
    <w:rsid w:val="00BE2F09"/>
    <w:rsid w:val="00BE6653"/>
    <w:rsid w:val="00C76E54"/>
    <w:rsid w:val="00C9768A"/>
    <w:rsid w:val="00CA24C2"/>
    <w:rsid w:val="00CF09D6"/>
    <w:rsid w:val="00CF126B"/>
    <w:rsid w:val="00D25967"/>
    <w:rsid w:val="00D67160"/>
    <w:rsid w:val="00D96135"/>
    <w:rsid w:val="00E02A21"/>
    <w:rsid w:val="00E02C99"/>
    <w:rsid w:val="00E038AF"/>
    <w:rsid w:val="00E11C50"/>
    <w:rsid w:val="00EA4E1B"/>
    <w:rsid w:val="00ED5545"/>
    <w:rsid w:val="00F30661"/>
    <w:rsid w:val="00F478E5"/>
    <w:rsid w:val="00F700F2"/>
    <w:rsid w:val="00F917DA"/>
    <w:rsid w:val="00FE0CDC"/>
    <w:rsid w:val="00FE7B0C"/>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25B2"/>
  </w:style>
  <w:style w:type="paragraph" w:styleId="Heading1">
    <w:name w:val="heading 1"/>
    <w:basedOn w:val="Normal"/>
    <w:next w:val="Normal"/>
    <w:link w:val="Heading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1F25B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A4E1B"/>
    <w:rPr>
      <w:vertAlign w:val="superscript"/>
    </w:rPr>
  </w:style>
  <w:style w:type="paragraph" w:styleId="FootnoteText">
    <w:name w:val="footnote text"/>
    <w:basedOn w:val="Normal"/>
    <w:next w:val="Normal"/>
    <w:link w:val="FootnoteText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FootnoteTextChar">
    <w:name w:val="Footnote Text Char"/>
    <w:basedOn w:val="DefaultParagraphFont"/>
    <w:link w:val="FootnoteText"/>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Heading2Char">
    <w:name w:val="Heading 2 Char"/>
    <w:basedOn w:val="DefaultParagraphFont"/>
    <w:link w:val="Heading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Header">
    <w:name w:val="header"/>
    <w:basedOn w:val="Normal"/>
    <w:link w:val="HeaderChar"/>
    <w:unhideWhenUsed/>
    <w:rsid w:val="00EA4E1B"/>
    <w:pPr>
      <w:tabs>
        <w:tab w:val="center" w:pos="4252"/>
        <w:tab w:val="right" w:pos="8504"/>
      </w:tabs>
      <w:spacing w:after="0" w:line="240" w:lineRule="auto"/>
    </w:pPr>
  </w:style>
  <w:style w:type="character" w:customStyle="1" w:styleId="HeaderChar">
    <w:name w:val="Header Char"/>
    <w:basedOn w:val="DefaultParagraphFont"/>
    <w:link w:val="Header"/>
    <w:uiPriority w:val="99"/>
    <w:rsid w:val="00EA4E1B"/>
  </w:style>
  <w:style w:type="paragraph" w:styleId="Footer">
    <w:name w:val="footer"/>
    <w:basedOn w:val="Normal"/>
    <w:link w:val="FooterChar"/>
    <w:uiPriority w:val="99"/>
    <w:unhideWhenUsed/>
    <w:rsid w:val="00EA4E1B"/>
    <w:pPr>
      <w:tabs>
        <w:tab w:val="center" w:pos="4252"/>
        <w:tab w:val="right" w:pos="8504"/>
      </w:tabs>
      <w:spacing w:after="0" w:line="240" w:lineRule="auto"/>
    </w:pPr>
  </w:style>
  <w:style w:type="character" w:customStyle="1" w:styleId="FooterChar">
    <w:name w:val="Footer Char"/>
    <w:basedOn w:val="DefaultParagraphFont"/>
    <w:link w:val="Footer"/>
    <w:uiPriority w:val="99"/>
    <w:rsid w:val="00EA4E1B"/>
  </w:style>
  <w:style w:type="paragraph" w:styleId="BalloonText">
    <w:name w:val="Balloon Text"/>
    <w:basedOn w:val="Normal"/>
    <w:link w:val="BalloonTextChar"/>
    <w:uiPriority w:val="99"/>
    <w:semiHidden/>
    <w:unhideWhenUsed/>
    <w:rsid w:val="001E58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8A9"/>
    <w:rPr>
      <w:rFonts w:ascii="Tahoma" w:hAnsi="Tahoma" w:cs="Tahoma"/>
      <w:sz w:val="16"/>
      <w:szCs w:val="16"/>
    </w:rPr>
  </w:style>
  <w:style w:type="paragraph" w:styleId="EndnoteText">
    <w:name w:val="endnote text"/>
    <w:basedOn w:val="Normal"/>
    <w:link w:val="EndnoteTextChar"/>
    <w:uiPriority w:val="99"/>
    <w:semiHidden/>
    <w:unhideWhenUsed/>
    <w:rsid w:val="001E58A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58A9"/>
    <w:rPr>
      <w:sz w:val="20"/>
      <w:szCs w:val="20"/>
    </w:rPr>
  </w:style>
  <w:style w:type="character" w:styleId="EndnoteReference">
    <w:name w:val="endnote reference"/>
    <w:basedOn w:val="DefaultParagraphFont"/>
    <w:uiPriority w:val="99"/>
    <w:semiHidden/>
    <w:unhideWhenUsed/>
    <w:rsid w:val="001E58A9"/>
    <w:rPr>
      <w:vertAlign w:val="superscript"/>
    </w:rPr>
  </w:style>
  <w:style w:type="character" w:customStyle="1" w:styleId="Heading1Char">
    <w:name w:val="Heading 1 Char"/>
    <w:basedOn w:val="DefaultParagraphFont"/>
    <w:link w:val="Heading1"/>
    <w:uiPriority w:val="9"/>
    <w:rsid w:val="001F25B2"/>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1F25B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1F25B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1F25B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1F25B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1F25B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1F25B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1F25B2"/>
    <w:rPr>
      <w:b/>
      <w:bCs/>
      <w:i/>
      <w:iCs/>
    </w:rPr>
  </w:style>
  <w:style w:type="paragraph" w:styleId="Caption">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1F25B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1F25B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1F25B2"/>
    <w:rPr>
      <w:color w:val="44546A" w:themeColor="text2"/>
      <w:sz w:val="28"/>
      <w:szCs w:val="28"/>
    </w:rPr>
  </w:style>
  <w:style w:type="character" w:styleId="Strong">
    <w:name w:val="Strong"/>
    <w:basedOn w:val="DefaultParagraphFont"/>
    <w:uiPriority w:val="22"/>
    <w:qFormat/>
    <w:rsid w:val="001F25B2"/>
    <w:rPr>
      <w:b/>
      <w:bCs/>
    </w:rPr>
  </w:style>
  <w:style w:type="character" w:styleId="Emphasis">
    <w:name w:val="Emphasis"/>
    <w:basedOn w:val="DefaultParagraphFont"/>
    <w:uiPriority w:val="20"/>
    <w:qFormat/>
    <w:rsid w:val="001F25B2"/>
    <w:rPr>
      <w:i/>
      <w:iCs/>
      <w:color w:val="000000" w:themeColor="text1"/>
    </w:rPr>
  </w:style>
  <w:style w:type="paragraph" w:styleId="NoSpacing">
    <w:name w:val="No Spacing"/>
    <w:uiPriority w:val="1"/>
    <w:qFormat/>
    <w:rsid w:val="001F25B2"/>
    <w:pPr>
      <w:spacing w:after="0" w:line="240" w:lineRule="auto"/>
    </w:pPr>
  </w:style>
  <w:style w:type="paragraph" w:styleId="Quote">
    <w:name w:val="Quote"/>
    <w:basedOn w:val="Normal"/>
    <w:next w:val="Normal"/>
    <w:link w:val="QuoteChar"/>
    <w:uiPriority w:val="29"/>
    <w:qFormat/>
    <w:rsid w:val="001F25B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1F25B2"/>
    <w:rPr>
      <w:i/>
      <w:iCs/>
      <w:color w:val="7B7B7B" w:themeColor="accent3" w:themeShade="BF"/>
      <w:sz w:val="24"/>
      <w:szCs w:val="24"/>
    </w:rPr>
  </w:style>
  <w:style w:type="paragraph" w:styleId="IntenseQuote">
    <w:name w:val="Intense Quote"/>
    <w:basedOn w:val="Normal"/>
    <w:next w:val="Normal"/>
    <w:link w:val="IntenseQuote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1F25B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1F25B2"/>
    <w:rPr>
      <w:i/>
      <w:iCs/>
      <w:color w:val="595959" w:themeColor="text1" w:themeTint="A6"/>
    </w:rPr>
  </w:style>
  <w:style w:type="character" w:styleId="IntenseEmphasis">
    <w:name w:val="Intense Emphasis"/>
    <w:basedOn w:val="DefaultParagraphFont"/>
    <w:uiPriority w:val="21"/>
    <w:qFormat/>
    <w:rsid w:val="001F25B2"/>
    <w:rPr>
      <w:b/>
      <w:bCs/>
      <w:i/>
      <w:iCs/>
      <w:color w:val="auto"/>
    </w:rPr>
  </w:style>
  <w:style w:type="character" w:styleId="SubtleReference">
    <w:name w:val="Subtle Reference"/>
    <w:basedOn w:val="DefaultParagraphFont"/>
    <w:uiPriority w:val="31"/>
    <w:qFormat/>
    <w:rsid w:val="001F25B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1F25B2"/>
    <w:rPr>
      <w:b/>
      <w:bCs/>
      <w:caps w:val="0"/>
      <w:smallCaps/>
      <w:color w:val="auto"/>
      <w:spacing w:val="0"/>
      <w:u w:val="single"/>
    </w:rPr>
  </w:style>
  <w:style w:type="character" w:styleId="BookTitle">
    <w:name w:val="Book Title"/>
    <w:basedOn w:val="DefaultParagraphFont"/>
    <w:uiPriority w:val="33"/>
    <w:qFormat/>
    <w:rsid w:val="001F25B2"/>
    <w:rPr>
      <w:b/>
      <w:bCs/>
      <w:caps w:val="0"/>
      <w:smallCaps/>
      <w:spacing w:val="0"/>
    </w:rPr>
  </w:style>
  <w:style w:type="paragraph" w:styleId="TOCHeading">
    <w:name w:val="TOC Heading"/>
    <w:basedOn w:val="Heading1"/>
    <w:next w:val="Normal"/>
    <w:uiPriority w:val="39"/>
    <w:semiHidden/>
    <w:unhideWhenUsed/>
    <w:qFormat/>
    <w:rsid w:val="001F25B2"/>
    <w:pPr>
      <w:outlineLvl w:val="9"/>
    </w:pPr>
  </w:style>
  <w:style w:type="paragraph" w:styleId="ListParagraph">
    <w:name w:val="List Paragraph"/>
    <w:basedOn w:val="Normal"/>
    <w:uiPriority w:val="34"/>
    <w:qFormat/>
    <w:rsid w:val="006436CB"/>
    <w:pPr>
      <w:ind w:left="720"/>
      <w:contextualSpacing/>
    </w:pPr>
  </w:style>
  <w:style w:type="character" w:styleId="Hyperlink">
    <w:name w:val="Hyperlink"/>
    <w:basedOn w:val="DefaultParagraphFont"/>
    <w:uiPriority w:val="99"/>
    <w:unhideWhenUsed/>
    <w:rsid w:val="00FE0CDC"/>
    <w:rPr>
      <w:color w:val="0563C1" w:themeColor="hyperlink"/>
      <w:u w:val="single"/>
    </w:rPr>
  </w:style>
  <w:style w:type="character" w:styleId="UnresolvedMention">
    <w:name w:val="Unresolved Mention"/>
    <w:basedOn w:val="DefaultParagraphFont"/>
    <w:uiPriority w:val="99"/>
    <w:semiHidden/>
    <w:unhideWhenUsed/>
    <w:rsid w:val="00FE0CDC"/>
    <w:rPr>
      <w:color w:val="605E5C"/>
      <w:shd w:val="clear" w:color="auto" w:fill="E1DFDD"/>
    </w:rPr>
  </w:style>
  <w:style w:type="paragraph" w:styleId="Revision">
    <w:name w:val="Revision"/>
    <w:hidden/>
    <w:uiPriority w:val="99"/>
    <w:semiHidden/>
    <w:rsid w:val="00833148"/>
    <w:pPr>
      <w:spacing w:after="0" w:line="240" w:lineRule="auto"/>
    </w:pPr>
  </w:style>
  <w:style w:type="character" w:styleId="CommentReference">
    <w:name w:val="annotation reference"/>
    <w:basedOn w:val="DefaultParagraphFont"/>
    <w:uiPriority w:val="99"/>
    <w:semiHidden/>
    <w:unhideWhenUsed/>
    <w:rsid w:val="00B569DC"/>
    <w:rPr>
      <w:sz w:val="16"/>
      <w:szCs w:val="16"/>
    </w:rPr>
  </w:style>
  <w:style w:type="paragraph" w:styleId="CommentText">
    <w:name w:val="annotation text"/>
    <w:basedOn w:val="Normal"/>
    <w:link w:val="CommentTextChar"/>
    <w:uiPriority w:val="99"/>
    <w:unhideWhenUsed/>
    <w:rsid w:val="00B569DC"/>
    <w:pPr>
      <w:spacing w:line="240" w:lineRule="auto"/>
    </w:pPr>
    <w:rPr>
      <w:sz w:val="20"/>
      <w:szCs w:val="20"/>
    </w:rPr>
  </w:style>
  <w:style w:type="character" w:customStyle="1" w:styleId="CommentTextChar">
    <w:name w:val="Comment Text Char"/>
    <w:basedOn w:val="DefaultParagraphFont"/>
    <w:link w:val="CommentText"/>
    <w:uiPriority w:val="99"/>
    <w:rsid w:val="00B569DC"/>
    <w:rPr>
      <w:sz w:val="20"/>
      <w:szCs w:val="20"/>
    </w:rPr>
  </w:style>
  <w:style w:type="paragraph" w:styleId="CommentSubject">
    <w:name w:val="annotation subject"/>
    <w:basedOn w:val="CommentText"/>
    <w:next w:val="CommentText"/>
    <w:link w:val="CommentSubjectChar"/>
    <w:uiPriority w:val="99"/>
    <w:semiHidden/>
    <w:unhideWhenUsed/>
    <w:rsid w:val="00B569DC"/>
    <w:rPr>
      <w:b/>
      <w:bCs/>
    </w:rPr>
  </w:style>
  <w:style w:type="character" w:customStyle="1" w:styleId="CommentSubjectChar">
    <w:name w:val="Comment Subject Char"/>
    <w:basedOn w:val="CommentTextChar"/>
    <w:link w:val="CommentSubject"/>
    <w:uiPriority w:val="99"/>
    <w:semiHidden/>
    <w:rsid w:val="00B569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680F9-301A-469A-A7BB-7EE135B63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1</Pages>
  <Words>7141</Words>
  <Characters>38565</Characters>
  <Application>Microsoft Office Word</Application>
  <DocSecurity>0</DocSecurity>
  <Lines>321</Lines>
  <Paragraphs>91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45615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Guilherme Strapasson</cp:lastModifiedBy>
  <cp:revision>6</cp:revision>
  <cp:lastPrinted>2023-05-16T13:52:00Z</cp:lastPrinted>
  <dcterms:created xsi:type="dcterms:W3CDTF">2023-05-15T16:27:00Z</dcterms:created>
  <dcterms:modified xsi:type="dcterms:W3CDTF">2023-05-16T21:52:00Z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http://www.zotero.org/styles/advanced-powder-technology</vt:lpwstr>
  </property>
  <property fmtid="{D5CDD505-2E9C-101B-9397-08002B2CF9AE}" pid="3" name="Mendeley Recent Style Name 0_1">
    <vt:lpwstr>Advanced Powder Technology</vt:lpwstr>
  </property>
  <property fmtid="{D5CDD505-2E9C-101B-9397-08002B2CF9AE}" pid="4" name="Mendeley Recent Style Id 1_1">
    <vt:lpwstr>http://www.zotero.org/styles/applied-catalysis-b-environmental</vt:lpwstr>
  </property>
  <property fmtid="{D5CDD505-2E9C-101B-9397-08002B2CF9AE}" pid="5" name="Mendeley Recent Style Name 1_1">
    <vt:lpwstr>Applied Catalysis B: Environmental</vt:lpwstr>
  </property>
  <property fmtid="{D5CDD505-2E9C-101B-9397-08002B2CF9AE}" pid="6" name="Mendeley Recent Style Id 2_1">
    <vt:lpwstr>http://www.zotero.org/styles/applied-nanoscience</vt:lpwstr>
  </property>
  <property fmtid="{D5CDD505-2E9C-101B-9397-08002B2CF9AE}" pid="7" name="Mendeley Recent Style Name 2_1">
    <vt:lpwstr>Applied Nanoscience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http://www.zotero.org/styles/journal-of-environmental-chemical-engineering</vt:lpwstr>
  </property>
  <property fmtid="{D5CDD505-2E9C-101B-9397-08002B2CF9AE}" pid="13" name="Mendeley Recent Style Name 5_1">
    <vt:lpwstr>Journal of Environmental Chemical Engineering</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http://www.zotero.org/styles/science-without-titles</vt:lpwstr>
  </property>
  <property fmtid="{D5CDD505-2E9C-101B-9397-08002B2CF9AE}" pid="21" name="Mendeley Recent Style Name 9_1">
    <vt:lpwstr>Science (without titles)</vt:lpwstr>
  </property>
  <property fmtid="{D5CDD505-2E9C-101B-9397-08002B2CF9AE}" pid="22" name="Mendeley Document_1">
    <vt:lpwstr>True</vt:lpwstr>
  </property>
  <property fmtid="{D5CDD505-2E9C-101B-9397-08002B2CF9AE}" pid="23" name="Mendeley Citation Style_1">
    <vt:lpwstr>http://www.zotero.org/styles/science-without-titles</vt:lpwstr>
  </property>
  <property fmtid="{D5CDD505-2E9C-101B-9397-08002B2CF9AE}" pid="24" name="Mendeley Unique User Id_1">
    <vt:lpwstr>5714c8a6-609a-3087-8372-5ca18f31372f</vt:lpwstr>
  </property>
</Properties>
</file>