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shd w:val="clear" w:color="auto" w:fill="C00000"/>
        <w:tblLook w:val="04A0" w:firstRow="1" w:lastRow="0" w:firstColumn="1" w:lastColumn="0" w:noHBand="0" w:noVBand="1"/>
      </w:tblPr>
      <w:tblGrid>
        <w:gridCol w:w="10235"/>
      </w:tblGrid>
      <w:tr w:rsidR="00637698" w14:paraId="673F9A29" w14:textId="77777777" w:rsidTr="00637698">
        <w:tc>
          <w:tcPr>
            <w:tcW w:w="10235" w:type="dxa"/>
            <w:tcBorders>
              <w:top w:val="nil"/>
              <w:left w:val="nil"/>
              <w:bottom w:val="nil"/>
              <w:right w:val="nil"/>
            </w:tcBorders>
            <w:shd w:val="clear" w:color="auto" w:fill="960000"/>
          </w:tcPr>
          <w:p w14:paraId="5D036B7E" w14:textId="77777777" w:rsidR="00637698" w:rsidRDefault="00637698" w:rsidP="00EA4E1B">
            <w:pPr>
              <w:pStyle w:val="BATitle"/>
              <w:spacing w:before="0" w:after="0" w:line="240" w:lineRule="auto"/>
              <w:ind w:right="0"/>
              <w:jc w:val="both"/>
              <w:rPr>
                <w:sz w:val="32"/>
                <w:lang w:val="pt-BR"/>
              </w:rPr>
            </w:pPr>
            <w:bookmarkStart w:id="0" w:name="_Hlk1324517"/>
            <w:bookmarkStart w:id="1" w:name="_Hlk1324670"/>
          </w:p>
        </w:tc>
      </w:tr>
    </w:tbl>
    <w:p w14:paraId="00A26CEE" w14:textId="03DC94E1" w:rsidR="00AF0400" w:rsidRDefault="00AF0400" w:rsidP="00EA4E1B">
      <w:pPr>
        <w:pStyle w:val="BATitle"/>
        <w:spacing w:before="0" w:after="0" w:line="240" w:lineRule="auto"/>
        <w:ind w:right="0"/>
        <w:jc w:val="both"/>
        <w:rPr>
          <w:sz w:val="32"/>
          <w:lang w:val="pt-BR"/>
        </w:rPr>
      </w:pPr>
    </w:p>
    <w:p w14:paraId="050D20D3" w14:textId="028FB120" w:rsidR="00EA4E1B" w:rsidRPr="008B0D3C" w:rsidRDefault="00453329" w:rsidP="00AA6720">
      <w:pPr>
        <w:pStyle w:val="BATitle"/>
        <w:spacing w:before="0" w:after="0" w:line="240" w:lineRule="auto"/>
        <w:ind w:right="0"/>
        <w:jc w:val="center"/>
        <w:rPr>
          <w:sz w:val="32"/>
          <w:lang w:val="pt-BR"/>
        </w:rPr>
      </w:pPr>
      <w:r>
        <w:rPr>
          <w:sz w:val="32"/>
          <w:lang w:val="pt-BR"/>
        </w:rPr>
        <w:t>Estudo</w:t>
      </w:r>
      <w:r w:rsidR="00D33BD6">
        <w:rPr>
          <w:sz w:val="32"/>
          <w:lang w:val="pt-BR"/>
        </w:rPr>
        <w:t xml:space="preserve"> de</w:t>
      </w:r>
      <w:r w:rsidR="008B0D3C" w:rsidRPr="008B0D3C">
        <w:rPr>
          <w:sz w:val="32"/>
          <w:lang w:val="pt-BR"/>
        </w:rPr>
        <w:t xml:space="preserve"> catalisadores de Fe/Nb</w:t>
      </w:r>
      <w:r w:rsidR="008B0D3C" w:rsidRPr="008B0D3C">
        <w:rPr>
          <w:sz w:val="32"/>
          <w:vertAlign w:val="subscript"/>
          <w:lang w:val="pt-BR"/>
        </w:rPr>
        <w:t>2</w:t>
      </w:r>
      <w:r w:rsidR="008B0D3C" w:rsidRPr="008B0D3C">
        <w:rPr>
          <w:sz w:val="32"/>
          <w:lang w:val="pt-BR"/>
        </w:rPr>
        <w:t>O</w:t>
      </w:r>
      <w:r w:rsidR="008B0D3C" w:rsidRPr="008B0D3C">
        <w:rPr>
          <w:sz w:val="32"/>
          <w:vertAlign w:val="subscript"/>
          <w:lang w:val="pt-BR"/>
        </w:rPr>
        <w:t>5</w:t>
      </w:r>
      <w:r w:rsidR="008B0D3C" w:rsidRPr="008B0D3C">
        <w:rPr>
          <w:sz w:val="32"/>
          <w:lang w:val="pt-BR"/>
        </w:rPr>
        <w:t xml:space="preserve"> promovidos po</w:t>
      </w:r>
      <w:r w:rsidR="008B0D3C">
        <w:rPr>
          <w:sz w:val="32"/>
          <w:lang w:val="pt-BR"/>
        </w:rPr>
        <w:t xml:space="preserve">r </w:t>
      </w:r>
      <w:r w:rsidR="00E17B1F" w:rsidRPr="008B0D3C">
        <w:rPr>
          <w:sz w:val="32"/>
          <w:lang w:val="pt-BR"/>
        </w:rPr>
        <w:t>Mn</w:t>
      </w:r>
      <w:r w:rsidR="008B0D3C">
        <w:rPr>
          <w:sz w:val="32"/>
          <w:lang w:val="pt-BR"/>
        </w:rPr>
        <w:t xml:space="preserve"> e</w:t>
      </w:r>
      <w:r w:rsidR="00E17B1F" w:rsidRPr="008B0D3C">
        <w:rPr>
          <w:sz w:val="32"/>
          <w:lang w:val="pt-BR"/>
        </w:rPr>
        <w:t xml:space="preserve"> K</w:t>
      </w:r>
      <w:r w:rsidR="00782C02" w:rsidRPr="008B0D3C">
        <w:rPr>
          <w:sz w:val="32"/>
          <w:lang w:val="pt-BR"/>
        </w:rPr>
        <w:t xml:space="preserve"> </w:t>
      </w:r>
      <w:r w:rsidR="008B0D3C">
        <w:rPr>
          <w:sz w:val="32"/>
          <w:lang w:val="pt-BR"/>
        </w:rPr>
        <w:t>na Síntese de Fischer-Tropsch (SFT)</w:t>
      </w:r>
    </w:p>
    <w:p w14:paraId="51623B05" w14:textId="068895A3" w:rsidR="00AA6720" w:rsidRPr="008B0D3C" w:rsidRDefault="00AA6720" w:rsidP="00EA4E1B">
      <w:pPr>
        <w:pStyle w:val="BBAuthorName"/>
        <w:spacing w:after="120"/>
        <w:ind w:right="0"/>
        <w:jc w:val="both"/>
        <w:rPr>
          <w:rFonts w:ascii="Times New Roman" w:hAnsi="Times New Roman"/>
          <w:sz w:val="20"/>
          <w:lang w:val="pt-BR"/>
        </w:rPr>
      </w:pPr>
    </w:p>
    <w:p w14:paraId="3949D60D" w14:textId="5FEB7B48" w:rsidR="00C40918" w:rsidRPr="00C40918" w:rsidRDefault="008B0D3C" w:rsidP="00C40918">
      <w:pPr>
        <w:pStyle w:val="BBAuthorName"/>
        <w:spacing w:after="120"/>
        <w:ind w:right="0"/>
        <w:jc w:val="center"/>
        <w:rPr>
          <w:rFonts w:ascii="Times New Roman" w:hAnsi="Times New Roman"/>
          <w:sz w:val="20"/>
          <w:vertAlign w:val="superscript"/>
          <w:lang w:val="pt-BR"/>
        </w:rPr>
      </w:pPr>
      <w:r w:rsidRPr="00AA6720">
        <w:rPr>
          <w:rFonts w:ascii="Times New Roman" w:hAnsi="Times New Roman"/>
          <w:sz w:val="20"/>
          <w:lang w:val="pt-BR"/>
        </w:rPr>
        <w:t>Ana Gabriela Martins Silva¹</w:t>
      </w:r>
      <w:r>
        <w:rPr>
          <w:rFonts w:ascii="Times New Roman" w:hAnsi="Times New Roman"/>
          <w:sz w:val="20"/>
          <w:lang w:val="pt-BR"/>
        </w:rPr>
        <w:t xml:space="preserve">, </w:t>
      </w:r>
      <w:r w:rsidR="00C40918" w:rsidRPr="00AA6720">
        <w:rPr>
          <w:rFonts w:ascii="Times New Roman" w:hAnsi="Times New Roman"/>
          <w:sz w:val="20"/>
          <w:lang w:val="pt-BR"/>
        </w:rPr>
        <w:t>Gabriel Garcia Silva²</w:t>
      </w:r>
      <w:r w:rsidR="00C40918">
        <w:rPr>
          <w:rFonts w:ascii="Times New Roman" w:hAnsi="Times New Roman"/>
          <w:sz w:val="20"/>
          <w:lang w:val="pt-BR"/>
        </w:rPr>
        <w:t xml:space="preserve">, </w:t>
      </w:r>
      <w:r w:rsidR="00AA6720" w:rsidRPr="00AA6720">
        <w:rPr>
          <w:rFonts w:ascii="Times New Roman" w:hAnsi="Times New Roman"/>
          <w:sz w:val="20"/>
          <w:lang w:val="pt-BR"/>
        </w:rPr>
        <w:t>Hídila Souza Teixeira da Silva¹</w:t>
      </w:r>
      <w:r w:rsidR="00AA6720">
        <w:rPr>
          <w:rFonts w:ascii="Times New Roman" w:hAnsi="Times New Roman"/>
          <w:sz w:val="20"/>
          <w:lang w:val="pt-BR"/>
        </w:rPr>
        <w:t xml:space="preserve">; </w:t>
      </w:r>
      <w:r w:rsidR="00AA6720" w:rsidRPr="00AA6720">
        <w:rPr>
          <w:rFonts w:ascii="Times New Roman" w:hAnsi="Times New Roman"/>
          <w:sz w:val="20"/>
          <w:lang w:val="pt-BR"/>
        </w:rPr>
        <w:t>Diogo Pimentel de Sá da Silva¹</w:t>
      </w:r>
      <w:r w:rsidR="00AA6720">
        <w:rPr>
          <w:rFonts w:ascii="Times New Roman" w:hAnsi="Times New Roman"/>
          <w:sz w:val="20"/>
          <w:lang w:val="pt-BR"/>
        </w:rPr>
        <w:t>;</w:t>
      </w:r>
      <w:r w:rsidR="00C40918" w:rsidRPr="00C40918">
        <w:rPr>
          <w:rFonts w:ascii="Times New Roman" w:hAnsi="Times New Roman"/>
          <w:sz w:val="20"/>
          <w:lang w:val="pt-BR"/>
        </w:rPr>
        <w:t xml:space="preserve"> </w:t>
      </w:r>
      <w:r w:rsidR="00C40918">
        <w:rPr>
          <w:rFonts w:ascii="Times New Roman" w:hAnsi="Times New Roman"/>
          <w:sz w:val="20"/>
          <w:lang w:val="pt-BR"/>
        </w:rPr>
        <w:t>Nicolas Peterson Ferreira Brito</w:t>
      </w:r>
      <w:r w:rsidR="00631DE8">
        <w:rPr>
          <w:rFonts w:ascii="Times New Roman" w:hAnsi="Times New Roman"/>
          <w:sz w:val="20"/>
          <w:vertAlign w:val="superscript"/>
          <w:lang w:val="pt-BR"/>
        </w:rPr>
        <w:t>1</w:t>
      </w:r>
      <w:r w:rsidR="00C40918">
        <w:rPr>
          <w:rFonts w:ascii="Times New Roman" w:hAnsi="Times New Roman"/>
          <w:sz w:val="20"/>
          <w:lang w:val="pt-BR"/>
        </w:rPr>
        <w:t>, Guilherme Silva Vizzotto</w:t>
      </w:r>
      <w:r w:rsidR="00C40918">
        <w:rPr>
          <w:rFonts w:ascii="Times New Roman" w:hAnsi="Times New Roman"/>
          <w:sz w:val="20"/>
          <w:vertAlign w:val="superscript"/>
          <w:lang w:val="pt-BR"/>
        </w:rPr>
        <w:t>1</w:t>
      </w:r>
      <w:r w:rsidR="00AA6720">
        <w:rPr>
          <w:rFonts w:ascii="Times New Roman" w:hAnsi="Times New Roman"/>
          <w:sz w:val="20"/>
          <w:lang w:val="pt-BR"/>
        </w:rPr>
        <w:t xml:space="preserve">; </w:t>
      </w:r>
      <w:r w:rsidR="00AA6720" w:rsidRPr="00AA6720">
        <w:rPr>
          <w:rFonts w:ascii="Times New Roman" w:hAnsi="Times New Roman"/>
          <w:sz w:val="20"/>
          <w:lang w:val="pt-BR"/>
        </w:rPr>
        <w:t>Ricardo Reis Soares</w:t>
      </w:r>
      <w:proofErr w:type="gramStart"/>
      <w:r w:rsidR="00AA6720">
        <w:rPr>
          <w:rFonts w:ascii="Times New Roman" w:hAnsi="Times New Roman"/>
          <w:sz w:val="20"/>
          <w:lang w:val="pt-BR"/>
        </w:rPr>
        <w:t>¹</w:t>
      </w:r>
      <w:r w:rsidR="00C40918">
        <w:rPr>
          <w:rFonts w:ascii="Times New Roman" w:hAnsi="Times New Roman"/>
          <w:sz w:val="20"/>
          <w:vertAlign w:val="superscript"/>
          <w:lang w:val="pt-BR"/>
        </w:rPr>
        <w:t>,*</w:t>
      </w:r>
      <w:proofErr w:type="gramEnd"/>
    </w:p>
    <w:bookmarkEnd w:id="0"/>
    <w:p w14:paraId="688312AD" w14:textId="79AE2F1F" w:rsidR="00AA6720" w:rsidRPr="008C44EA" w:rsidRDefault="00AA6720" w:rsidP="00D83D0F">
      <w:pPr>
        <w:pStyle w:val="BBAuthorName"/>
        <w:spacing w:after="120"/>
        <w:ind w:right="39"/>
        <w:jc w:val="center"/>
        <w:rPr>
          <w:rFonts w:ascii="Times New Roman" w:hAnsi="Times New Roman"/>
          <w:b w:val="0"/>
          <w:sz w:val="20"/>
        </w:rPr>
      </w:pPr>
      <w:r w:rsidRPr="00D83D0F">
        <w:rPr>
          <w:rFonts w:ascii="Times New Roman" w:hAnsi="Times New Roman"/>
          <w:b w:val="0"/>
          <w:sz w:val="20"/>
        </w:rPr>
        <w:t>¹</w:t>
      </w:r>
      <w:r w:rsidR="00D83D0F" w:rsidRPr="00D83D0F">
        <w:t xml:space="preserve"> </w:t>
      </w:r>
      <w:r w:rsidR="00D83D0F" w:rsidRPr="00D83D0F">
        <w:rPr>
          <w:rFonts w:ascii="Times New Roman" w:hAnsi="Times New Roman"/>
          <w:b w:val="0"/>
          <w:sz w:val="20"/>
        </w:rPr>
        <w:t xml:space="preserve">Faculty of Chemical Engineering </w:t>
      </w:r>
      <w:r w:rsidRPr="00D83D0F">
        <w:rPr>
          <w:rFonts w:ascii="Times New Roman" w:hAnsi="Times New Roman"/>
          <w:b w:val="0"/>
          <w:sz w:val="20"/>
        </w:rPr>
        <w:t xml:space="preserve">– </w:t>
      </w:r>
      <w:r w:rsidR="00D83D0F" w:rsidRPr="00D83D0F">
        <w:rPr>
          <w:rFonts w:ascii="Times New Roman" w:hAnsi="Times New Roman"/>
          <w:b w:val="0"/>
          <w:sz w:val="20"/>
        </w:rPr>
        <w:t xml:space="preserve">Federal University of Uberlandia </w:t>
      </w:r>
      <w:r w:rsidRPr="00D83D0F">
        <w:rPr>
          <w:rFonts w:ascii="Times New Roman" w:hAnsi="Times New Roman"/>
          <w:b w:val="0"/>
          <w:sz w:val="20"/>
        </w:rPr>
        <w:t xml:space="preserve">– Uberlândia. </w:t>
      </w:r>
      <w:r w:rsidRPr="008C44EA">
        <w:rPr>
          <w:rFonts w:ascii="Times New Roman" w:hAnsi="Times New Roman"/>
          <w:b w:val="0"/>
          <w:sz w:val="20"/>
        </w:rPr>
        <w:t>MG. ²</w:t>
      </w:r>
      <w:r w:rsidR="00D83D0F" w:rsidRPr="008C44EA">
        <w:rPr>
          <w:rFonts w:ascii="Times New Roman" w:hAnsi="Times New Roman"/>
          <w:b w:val="0"/>
          <w:sz w:val="20"/>
        </w:rPr>
        <w:t>Institute of Chemistry</w:t>
      </w:r>
      <w:r w:rsidRPr="008C44EA">
        <w:rPr>
          <w:rFonts w:ascii="Times New Roman" w:hAnsi="Times New Roman"/>
          <w:b w:val="0"/>
          <w:sz w:val="20"/>
        </w:rPr>
        <w:t xml:space="preserve"> – </w:t>
      </w:r>
      <w:r w:rsidR="00D83D0F" w:rsidRPr="00D83D0F">
        <w:rPr>
          <w:rFonts w:ascii="Times New Roman" w:hAnsi="Times New Roman"/>
          <w:b w:val="0"/>
          <w:sz w:val="20"/>
        </w:rPr>
        <w:t xml:space="preserve">Federal University of Uberlandia </w:t>
      </w:r>
      <w:r w:rsidRPr="008C44EA">
        <w:rPr>
          <w:rFonts w:ascii="Times New Roman" w:hAnsi="Times New Roman"/>
          <w:b w:val="0"/>
          <w:sz w:val="20"/>
        </w:rPr>
        <w:t>– Uberlândia. MG.</w:t>
      </w:r>
    </w:p>
    <w:p w14:paraId="2BA1C5D4" w14:textId="5FDD95BE" w:rsidR="00AA6720" w:rsidRPr="00AA6720" w:rsidRDefault="00AA6720" w:rsidP="00AA6720">
      <w:pPr>
        <w:pStyle w:val="BCAuthorAddress"/>
        <w:ind w:right="39"/>
        <w:jc w:val="center"/>
      </w:pPr>
      <w:r w:rsidRPr="00AA6720">
        <w:t>*</w:t>
      </w:r>
      <w:r w:rsidR="00637698" w:rsidRPr="00AA6720">
        <w:t>Corresponding</w:t>
      </w:r>
      <w:r w:rsidRPr="00AA6720">
        <w:t xml:space="preserve"> author: </w:t>
      </w:r>
      <w:r w:rsidR="00C40918">
        <w:t>rrsoares@ufu.br</w:t>
      </w:r>
      <w:r w:rsidRPr="00AA6720">
        <w:t xml:space="preserve"> </w:t>
      </w:r>
    </w:p>
    <w:p w14:paraId="19321FA8" w14:textId="77777777" w:rsidR="00637698" w:rsidRDefault="00637698" w:rsidP="00637698">
      <w:pPr>
        <w:pStyle w:val="BDAbstract"/>
        <w:pBdr>
          <w:bottom w:val="none" w:sz="0" w:space="0" w:color="auto"/>
        </w:pBdr>
        <w:spacing w:before="0" w:after="0" w:line="240" w:lineRule="auto"/>
        <w:rPr>
          <w:rFonts w:ascii="Times New Roman" w:hAnsi="Times New Roman"/>
          <w:b w:val="0"/>
          <w:sz w:val="20"/>
        </w:rPr>
      </w:pPr>
    </w:p>
    <w:tbl>
      <w:tblPr>
        <w:tblStyle w:val="Tabelacomgrade"/>
        <w:tblW w:w="0" w:type="auto"/>
        <w:shd w:val="clear" w:color="auto" w:fill="960000"/>
        <w:tblLook w:val="04A0" w:firstRow="1" w:lastRow="0" w:firstColumn="1" w:lastColumn="0" w:noHBand="0" w:noVBand="1"/>
      </w:tblPr>
      <w:tblGrid>
        <w:gridCol w:w="10235"/>
      </w:tblGrid>
      <w:tr w:rsidR="00AA6720" w:rsidRPr="00637698" w14:paraId="19188EB8" w14:textId="77777777" w:rsidTr="00637698">
        <w:trPr>
          <w:trHeight w:val="257"/>
        </w:trPr>
        <w:tc>
          <w:tcPr>
            <w:tcW w:w="10235" w:type="dxa"/>
            <w:tcBorders>
              <w:top w:val="nil"/>
              <w:left w:val="nil"/>
              <w:bottom w:val="nil"/>
              <w:right w:val="nil"/>
            </w:tcBorders>
            <w:shd w:val="clear" w:color="auto" w:fill="960000"/>
          </w:tcPr>
          <w:p w14:paraId="04ADC2D8" w14:textId="4617D4CB" w:rsidR="00AA6720" w:rsidRPr="00637698" w:rsidRDefault="00637698" w:rsidP="00637698">
            <w:pPr>
              <w:pStyle w:val="BDAbstract"/>
              <w:pBdr>
                <w:bottom w:val="none" w:sz="0" w:space="0" w:color="auto"/>
              </w:pBdr>
              <w:spacing w:before="0" w:after="0" w:line="240" w:lineRule="auto"/>
              <w:jc w:val="center"/>
              <w:rPr>
                <w:rFonts w:cs="Helvetica"/>
                <w:bCs/>
                <w:sz w:val="20"/>
              </w:rPr>
            </w:pPr>
            <w:r w:rsidRPr="00637698">
              <w:rPr>
                <w:rFonts w:cs="Helvetica"/>
                <w:bCs/>
                <w:sz w:val="20"/>
              </w:rPr>
              <w:t>Abstract</w:t>
            </w:r>
          </w:p>
        </w:tc>
      </w:tr>
    </w:tbl>
    <w:p w14:paraId="5331C970" w14:textId="54E76DA5" w:rsidR="00AA6720" w:rsidRPr="00AA6720" w:rsidRDefault="00AA6720" w:rsidP="00EA4E1B">
      <w:pPr>
        <w:pStyle w:val="BDAbstract"/>
        <w:spacing w:before="0" w:after="0" w:line="240" w:lineRule="auto"/>
        <w:rPr>
          <w:rFonts w:ascii="Times New Roman" w:hAnsi="Times New Roman"/>
          <w:b w:val="0"/>
          <w:sz w:val="20"/>
        </w:rPr>
      </w:pPr>
    </w:p>
    <w:p w14:paraId="431B7A58" w14:textId="51781C9D" w:rsidR="00956A58" w:rsidRPr="00956A58" w:rsidRDefault="00813C68"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RESUMO</w:t>
      </w:r>
      <w:r w:rsidR="00EA4E1B">
        <w:rPr>
          <w:rFonts w:ascii="Times New Roman" w:hAnsi="Times New Roman"/>
          <w:b w:val="0"/>
          <w:sz w:val="20"/>
          <w:lang w:val="pt-BR"/>
        </w:rPr>
        <w:t xml:space="preserve"> - </w:t>
      </w:r>
      <w:r w:rsidR="00956A58" w:rsidRPr="00956A58">
        <w:rPr>
          <w:rFonts w:ascii="Times New Roman" w:hAnsi="Times New Roman"/>
          <w:b w:val="0"/>
          <w:sz w:val="20"/>
          <w:lang w:val="pt-BR"/>
        </w:rPr>
        <w:t>A Síntese de Fischer-Tropsch tem sido usada para a produção de biocombustíveis a partir da biomassa. Catalisadores promovidos com manganês podem favorecer um crescimento da cadeia carbônica, além de gerar produtos de maiores valores agregados. Desse modo, o presente trabalho teve por objetivo avaliar o desempenho de catalisadores de ferro suportados em óxido de nióbio promovidos com diferentes concentrações de manganês (1, 3 e 5 % m/m) para a produção de hidrocarbonetos líquidos através da reação de Fischer-Tropsch. Os resultados demonstraram que a adição de manganês em catalisadores de ferro para a síntese de Fischer-Tropsch favorece o crescimento da cadeia carbônica, redução na formação de CH</w:t>
      </w:r>
      <w:r w:rsidR="00956A58" w:rsidRPr="00956A58">
        <w:rPr>
          <w:rFonts w:ascii="Times New Roman" w:hAnsi="Times New Roman"/>
          <w:b w:val="0"/>
          <w:sz w:val="20"/>
          <w:vertAlign w:val="subscript"/>
          <w:lang w:val="pt-BR"/>
        </w:rPr>
        <w:t>4</w:t>
      </w:r>
      <w:r w:rsidR="00956A58" w:rsidRPr="00956A58">
        <w:rPr>
          <w:rFonts w:ascii="Times New Roman" w:hAnsi="Times New Roman"/>
          <w:b w:val="0"/>
          <w:sz w:val="20"/>
          <w:lang w:val="pt-BR"/>
        </w:rPr>
        <w:t xml:space="preserve"> e CO</w:t>
      </w:r>
      <w:r w:rsidR="00956A58" w:rsidRPr="00956A58">
        <w:rPr>
          <w:rFonts w:ascii="Times New Roman" w:hAnsi="Times New Roman"/>
          <w:b w:val="0"/>
          <w:sz w:val="20"/>
          <w:vertAlign w:val="subscript"/>
          <w:lang w:val="pt-BR"/>
        </w:rPr>
        <w:t>2</w:t>
      </w:r>
      <w:r w:rsidR="00956A58" w:rsidRPr="00956A58">
        <w:rPr>
          <w:rFonts w:ascii="Times New Roman" w:hAnsi="Times New Roman"/>
          <w:b w:val="0"/>
          <w:sz w:val="20"/>
          <w:lang w:val="pt-BR"/>
        </w:rPr>
        <w:t>, aumento da seletividade para C</w:t>
      </w:r>
      <w:r w:rsidR="00956A58" w:rsidRPr="00631DE8">
        <w:rPr>
          <w:rFonts w:ascii="Times New Roman" w:hAnsi="Times New Roman"/>
          <w:b w:val="0"/>
          <w:sz w:val="20"/>
          <w:vertAlign w:val="subscript"/>
          <w:lang w:val="pt-BR"/>
        </w:rPr>
        <w:t>5+</w:t>
      </w:r>
      <w:r w:rsidR="00956A58" w:rsidRPr="00956A58">
        <w:rPr>
          <w:rFonts w:ascii="Times New Roman" w:hAnsi="Times New Roman"/>
          <w:b w:val="0"/>
          <w:sz w:val="20"/>
          <w:lang w:val="pt-BR"/>
        </w:rPr>
        <w:t xml:space="preserve"> e aumento na proporção olefina/parafina. </w:t>
      </w:r>
      <w:r w:rsidR="00956A58">
        <w:rPr>
          <w:rFonts w:ascii="Times New Roman" w:hAnsi="Times New Roman"/>
          <w:b w:val="0"/>
          <w:sz w:val="20"/>
          <w:lang w:val="pt-BR"/>
        </w:rPr>
        <w:t xml:space="preserve">Potássio foi adicionado </w:t>
      </w:r>
      <w:r w:rsidR="00956A58" w:rsidRPr="00956A58">
        <w:rPr>
          <w:rFonts w:ascii="Times New Roman" w:hAnsi="Times New Roman"/>
          <w:b w:val="0"/>
          <w:sz w:val="20"/>
          <w:lang w:val="pt-BR"/>
        </w:rPr>
        <w:t xml:space="preserve">(1, 3 e 5 % m/m) </w:t>
      </w:r>
      <w:r w:rsidR="00956A58">
        <w:rPr>
          <w:rFonts w:ascii="Times New Roman" w:hAnsi="Times New Roman"/>
          <w:b w:val="0"/>
          <w:sz w:val="20"/>
          <w:lang w:val="pt-BR"/>
        </w:rPr>
        <w:t>ao catalisador 15%Fe-3%Mn/Nb</w:t>
      </w:r>
      <w:r w:rsidR="00956A58" w:rsidRPr="00631DE8">
        <w:rPr>
          <w:rFonts w:ascii="Times New Roman" w:hAnsi="Times New Roman"/>
          <w:b w:val="0"/>
          <w:sz w:val="20"/>
          <w:vertAlign w:val="subscript"/>
          <w:lang w:val="pt-BR"/>
        </w:rPr>
        <w:t>2</w:t>
      </w:r>
      <w:r w:rsidR="00956A58">
        <w:rPr>
          <w:rFonts w:ascii="Times New Roman" w:hAnsi="Times New Roman"/>
          <w:b w:val="0"/>
          <w:sz w:val="20"/>
          <w:lang w:val="pt-BR"/>
        </w:rPr>
        <w:t>O</w:t>
      </w:r>
      <w:r w:rsidR="00956A58" w:rsidRPr="00631DE8">
        <w:rPr>
          <w:rFonts w:ascii="Times New Roman" w:hAnsi="Times New Roman"/>
          <w:b w:val="0"/>
          <w:sz w:val="20"/>
          <w:vertAlign w:val="subscript"/>
          <w:lang w:val="pt-BR"/>
        </w:rPr>
        <w:t>5</w:t>
      </w:r>
      <w:r w:rsidR="00956A58">
        <w:rPr>
          <w:rFonts w:ascii="Times New Roman" w:hAnsi="Times New Roman"/>
          <w:b w:val="0"/>
          <w:sz w:val="20"/>
          <w:lang w:val="pt-BR"/>
        </w:rPr>
        <w:t xml:space="preserve"> com objetivo de promover este. Catalisadore</w:t>
      </w:r>
      <w:r w:rsidR="00AF6BCF">
        <w:rPr>
          <w:rFonts w:ascii="Times New Roman" w:hAnsi="Times New Roman"/>
          <w:b w:val="0"/>
          <w:sz w:val="20"/>
          <w:lang w:val="pt-BR"/>
        </w:rPr>
        <w:t>s</w:t>
      </w:r>
      <w:r w:rsidR="00956A58">
        <w:rPr>
          <w:rFonts w:ascii="Times New Roman" w:hAnsi="Times New Roman"/>
          <w:b w:val="0"/>
          <w:sz w:val="20"/>
          <w:lang w:val="pt-BR"/>
        </w:rPr>
        <w:t xml:space="preserve"> não contendo Mn também foram preparados e caracterizados. </w:t>
      </w:r>
      <w:r w:rsidR="00DD7EA8">
        <w:rPr>
          <w:rFonts w:ascii="Times New Roman" w:hAnsi="Times New Roman"/>
          <w:b w:val="0"/>
          <w:sz w:val="20"/>
          <w:lang w:val="pt-BR"/>
        </w:rPr>
        <w:t>Mn e K modificam a natureza das espécies suportadas de Fe e o grau de interação destas com o suporte levando a processos de redutibilidade distintos. Os testes demonstram um sinergismo dos efeitos promotores dos dois metais ao catalisador de Fe/Nb</w:t>
      </w:r>
      <w:r w:rsidR="00DD7EA8" w:rsidRPr="00DD7EA8">
        <w:rPr>
          <w:rFonts w:ascii="Times New Roman" w:hAnsi="Times New Roman"/>
          <w:b w:val="0"/>
          <w:sz w:val="20"/>
          <w:vertAlign w:val="subscript"/>
          <w:lang w:val="pt-BR"/>
        </w:rPr>
        <w:t>2</w:t>
      </w:r>
      <w:r w:rsidR="00DD7EA8">
        <w:rPr>
          <w:rFonts w:ascii="Times New Roman" w:hAnsi="Times New Roman"/>
          <w:b w:val="0"/>
          <w:sz w:val="20"/>
          <w:lang w:val="pt-BR"/>
        </w:rPr>
        <w:t>O</w:t>
      </w:r>
      <w:r w:rsidR="00DD7EA8" w:rsidRPr="00DD7EA8">
        <w:rPr>
          <w:rFonts w:ascii="Times New Roman" w:hAnsi="Times New Roman"/>
          <w:b w:val="0"/>
          <w:sz w:val="20"/>
          <w:vertAlign w:val="subscript"/>
          <w:lang w:val="pt-BR"/>
        </w:rPr>
        <w:t>5</w:t>
      </w:r>
      <w:r w:rsidR="00DD7EA8">
        <w:rPr>
          <w:rFonts w:ascii="Times New Roman" w:hAnsi="Times New Roman"/>
          <w:b w:val="0"/>
          <w:sz w:val="20"/>
          <w:lang w:val="pt-BR"/>
        </w:rPr>
        <w:t>. Logo</w:t>
      </w:r>
      <w:r w:rsidR="00956A58" w:rsidRPr="00956A58">
        <w:rPr>
          <w:rFonts w:ascii="Times New Roman" w:hAnsi="Times New Roman"/>
          <w:b w:val="0"/>
          <w:sz w:val="20"/>
          <w:lang w:val="pt-BR"/>
        </w:rPr>
        <w:t xml:space="preserve">, este trabalho abre espaço para estudos futuros visando a isomerização desses produtos para produção de </w:t>
      </w:r>
      <w:proofErr w:type="spellStart"/>
      <w:r w:rsidR="00956A58" w:rsidRPr="00956A58">
        <w:rPr>
          <w:rFonts w:ascii="Times New Roman" w:hAnsi="Times New Roman"/>
          <w:b w:val="0"/>
          <w:sz w:val="20"/>
          <w:lang w:val="pt-BR"/>
        </w:rPr>
        <w:t>bioquerosene</w:t>
      </w:r>
      <w:proofErr w:type="spellEnd"/>
      <w:r w:rsidR="00956A58" w:rsidRPr="00956A58">
        <w:rPr>
          <w:rFonts w:ascii="Times New Roman" w:hAnsi="Times New Roman"/>
          <w:b w:val="0"/>
          <w:sz w:val="20"/>
          <w:lang w:val="pt-BR"/>
        </w:rPr>
        <w:t xml:space="preserve"> a partir de catalisadores/rotas industriais mais seletivas.</w:t>
      </w:r>
    </w:p>
    <w:p w14:paraId="3EBEEB7D" w14:textId="77777777" w:rsidR="00637698" w:rsidRDefault="00637698" w:rsidP="00EA4E1B">
      <w:pPr>
        <w:pStyle w:val="BDAbstract"/>
        <w:spacing w:before="0" w:after="0" w:line="240" w:lineRule="auto"/>
        <w:rPr>
          <w:rFonts w:ascii="Times New Roman" w:hAnsi="Times New Roman"/>
          <w:b w:val="0"/>
          <w:i/>
          <w:sz w:val="20"/>
          <w:lang w:val="pt-BR"/>
        </w:rPr>
      </w:pPr>
    </w:p>
    <w:p w14:paraId="3FC7316E" w14:textId="6D710B29" w:rsidR="00637698" w:rsidRPr="00C40918" w:rsidRDefault="00637698" w:rsidP="00EA4E1B">
      <w:pPr>
        <w:pStyle w:val="BDAbstract"/>
        <w:spacing w:before="0" w:after="0" w:line="240" w:lineRule="auto"/>
        <w:rPr>
          <w:rFonts w:ascii="Times New Roman" w:hAnsi="Times New Roman"/>
          <w:b w:val="0"/>
          <w:i/>
          <w:sz w:val="20"/>
          <w:lang w:val="pt-BR"/>
        </w:rPr>
      </w:pPr>
      <w:r w:rsidRPr="00C40918">
        <w:rPr>
          <w:rFonts w:ascii="Times New Roman" w:hAnsi="Times New Roman"/>
          <w:b w:val="0"/>
          <w:i/>
          <w:sz w:val="20"/>
          <w:lang w:val="pt-BR"/>
        </w:rPr>
        <w:t>Keywords</w:t>
      </w:r>
      <w:r w:rsidR="00EA4E1B" w:rsidRPr="00C40918">
        <w:rPr>
          <w:rFonts w:ascii="Times New Roman" w:hAnsi="Times New Roman"/>
          <w:b w:val="0"/>
          <w:i/>
          <w:sz w:val="20"/>
          <w:lang w:val="pt-BR"/>
        </w:rPr>
        <w:t xml:space="preserve">: </w:t>
      </w:r>
      <w:r w:rsidR="00631DE8">
        <w:rPr>
          <w:rFonts w:ascii="Times New Roman" w:hAnsi="Times New Roman"/>
          <w:b w:val="0"/>
          <w:i/>
          <w:sz w:val="20"/>
          <w:lang w:val="pt-BR"/>
        </w:rPr>
        <w:t xml:space="preserve">Ferro, Nióbio, </w:t>
      </w:r>
      <w:r w:rsidR="00C40918" w:rsidRPr="00C40918">
        <w:rPr>
          <w:rFonts w:ascii="Times New Roman" w:hAnsi="Times New Roman"/>
          <w:b w:val="0"/>
          <w:i/>
          <w:sz w:val="20"/>
          <w:lang w:val="pt-BR"/>
        </w:rPr>
        <w:t xml:space="preserve">promovidos por Mn e </w:t>
      </w:r>
      <w:r w:rsidR="00C40918">
        <w:rPr>
          <w:rFonts w:ascii="Times New Roman" w:hAnsi="Times New Roman"/>
          <w:b w:val="0"/>
          <w:i/>
          <w:sz w:val="20"/>
          <w:lang w:val="pt-BR"/>
        </w:rPr>
        <w:t>K, Caracterização por TPR-DRX-UV-Vis-BET</w:t>
      </w:r>
      <w:r w:rsidR="00003257">
        <w:rPr>
          <w:rFonts w:ascii="Times New Roman" w:hAnsi="Times New Roman"/>
          <w:b w:val="0"/>
          <w:i/>
          <w:sz w:val="20"/>
          <w:lang w:val="pt-BR"/>
        </w:rPr>
        <w:t>-TPD, Síntese de Fischer-Tropsch</w:t>
      </w:r>
      <w:r w:rsidR="002A371E" w:rsidRPr="00C40918">
        <w:rPr>
          <w:rFonts w:ascii="Times New Roman" w:hAnsi="Times New Roman"/>
          <w:b w:val="0"/>
          <w:i/>
          <w:sz w:val="20"/>
          <w:lang w:val="pt-BR"/>
        </w:rPr>
        <w:t>.</w:t>
      </w:r>
    </w:p>
    <w:bookmarkEnd w:id="1"/>
    <w:p w14:paraId="48D9B0C4" w14:textId="77777777" w:rsidR="00EA4E1B" w:rsidRPr="00C40918" w:rsidRDefault="00EA4E1B" w:rsidP="00EA4E1B">
      <w:pPr>
        <w:sectPr w:rsidR="00EA4E1B" w:rsidRPr="00C40918"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5D3D7F6C"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w:t>
      </w:r>
      <w:r w:rsidR="00332B07">
        <w:rPr>
          <w:rFonts w:ascii="Helvetica" w:hAnsi="Helvetica" w:cs="Helvetica"/>
          <w:sz w:val="24"/>
          <w:szCs w:val="24"/>
        </w:rPr>
        <w:t>ção</w:t>
      </w:r>
    </w:p>
    <w:p w14:paraId="5CFAA4E9" w14:textId="77777777" w:rsidR="00592B33" w:rsidRDefault="00592B33" w:rsidP="00A95EA9">
      <w:pPr>
        <w:pStyle w:val="TAMainText"/>
        <w:rPr>
          <w:rFonts w:ascii="Times New Roman" w:hAnsi="Times New Roman"/>
          <w:lang w:val="pt-BR"/>
        </w:rPr>
      </w:pPr>
    </w:p>
    <w:p w14:paraId="168B42CA" w14:textId="297271A4" w:rsidR="00592B33" w:rsidRPr="00592B33" w:rsidRDefault="00592B33" w:rsidP="00592B33">
      <w:pPr>
        <w:pStyle w:val="TAMainText"/>
        <w:rPr>
          <w:rFonts w:ascii="Times New Roman" w:hAnsi="Times New Roman"/>
          <w:lang w:val="pt-BR"/>
        </w:rPr>
      </w:pPr>
      <w:r w:rsidRPr="00592B33">
        <w:rPr>
          <w:rFonts w:ascii="Times New Roman" w:hAnsi="Times New Roman"/>
          <w:lang w:val="pt-BR"/>
        </w:rPr>
        <w:t>A síntese Fischer – Tropsch, consiste na transformação de uma mistura gasosa de CO e H</w:t>
      </w:r>
      <w:r w:rsidRPr="00592B33">
        <w:rPr>
          <w:rFonts w:ascii="Times New Roman" w:hAnsi="Times New Roman"/>
          <w:vertAlign w:val="subscript"/>
          <w:lang w:val="pt-BR"/>
        </w:rPr>
        <w:t>2</w:t>
      </w:r>
      <w:r w:rsidRPr="00592B33">
        <w:rPr>
          <w:rFonts w:ascii="Times New Roman" w:hAnsi="Times New Roman"/>
          <w:lang w:val="pt-BR"/>
        </w:rPr>
        <w:t xml:space="preserve">, denominada como gás de síntese, em hidrocarbonetos </w:t>
      </w:r>
      <w:proofErr w:type="spellStart"/>
      <w:r w:rsidRPr="00592B33">
        <w:rPr>
          <w:rFonts w:ascii="Times New Roman" w:hAnsi="Times New Roman"/>
          <w:lang w:val="pt-BR"/>
        </w:rPr>
        <w:t>multi-carbonados</w:t>
      </w:r>
      <w:proofErr w:type="spellEnd"/>
      <w:r w:rsidRPr="00592B33">
        <w:rPr>
          <w:rFonts w:ascii="Times New Roman" w:hAnsi="Times New Roman"/>
          <w:lang w:val="pt-BR"/>
        </w:rPr>
        <w:t>, que podem ser combustíveis líquidos e produtos químicos. Devido a STF ser considerada uma reação que possui a utilização de várias fontes de carbono não petrolíferas (como carvão, gás natural, biomassa e CO</w:t>
      </w:r>
      <w:r w:rsidRPr="00592B33">
        <w:rPr>
          <w:rFonts w:ascii="Times New Roman" w:hAnsi="Times New Roman"/>
          <w:vertAlign w:val="subscript"/>
          <w:lang w:val="pt-BR"/>
        </w:rPr>
        <w:t>2</w:t>
      </w:r>
      <w:r w:rsidRPr="00592B33">
        <w:rPr>
          <w:rFonts w:ascii="Times New Roman" w:hAnsi="Times New Roman"/>
          <w:lang w:val="pt-BR"/>
        </w:rPr>
        <w:t xml:space="preserve">) para fornecer energia e produtos químicos, principalmente combustíveis “limpos”, como a gasolina, diesel e querosene </w:t>
      </w:r>
      <w:r w:rsidR="005A30B6">
        <w:rPr>
          <w:rFonts w:ascii="Times New Roman" w:hAnsi="Times New Roman"/>
          <w:lang w:val="pt-BR"/>
        </w:rPr>
        <w:t>(</w:t>
      </w:r>
      <w:r w:rsidR="0042392B">
        <w:rPr>
          <w:rFonts w:ascii="Times New Roman" w:hAnsi="Times New Roman"/>
          <w:lang w:val="pt-BR"/>
        </w:rPr>
        <w:t>1</w:t>
      </w:r>
      <w:r w:rsidR="005A30B6">
        <w:rPr>
          <w:rFonts w:ascii="Times New Roman" w:hAnsi="Times New Roman"/>
          <w:lang w:val="pt-BR"/>
        </w:rPr>
        <w:t>)</w:t>
      </w:r>
      <w:r w:rsidRPr="00592B33">
        <w:rPr>
          <w:rFonts w:ascii="Times New Roman" w:hAnsi="Times New Roman"/>
          <w:lang w:val="pt-BR"/>
        </w:rPr>
        <w:t xml:space="preserve">, o desenvolvimento de catalisadores eficientes recebeu uma renovação muito interesse nos últimos anos </w:t>
      </w:r>
      <w:r w:rsidR="005A30B6">
        <w:rPr>
          <w:rFonts w:ascii="Times New Roman" w:hAnsi="Times New Roman"/>
          <w:lang w:val="pt-BR"/>
        </w:rPr>
        <w:t>(</w:t>
      </w:r>
      <w:r w:rsidR="0042392B">
        <w:rPr>
          <w:rFonts w:ascii="Times New Roman" w:hAnsi="Times New Roman"/>
          <w:lang w:val="pt-BR"/>
        </w:rPr>
        <w:t>2</w:t>
      </w:r>
      <w:r w:rsidR="00B42B1B">
        <w:rPr>
          <w:rFonts w:ascii="Times New Roman" w:hAnsi="Times New Roman"/>
          <w:lang w:val="pt-BR"/>
        </w:rPr>
        <w:t>-</w:t>
      </w:r>
      <w:r w:rsidR="0042392B">
        <w:rPr>
          <w:rFonts w:ascii="Times New Roman" w:hAnsi="Times New Roman"/>
          <w:lang w:val="pt-BR"/>
        </w:rPr>
        <w:t>4</w:t>
      </w:r>
      <w:r w:rsidR="005A30B6">
        <w:rPr>
          <w:rFonts w:ascii="Times New Roman" w:hAnsi="Times New Roman"/>
          <w:lang w:val="pt-BR"/>
        </w:rPr>
        <w:t>)</w:t>
      </w:r>
      <w:r w:rsidRPr="00592B33">
        <w:rPr>
          <w:rFonts w:ascii="Times New Roman" w:hAnsi="Times New Roman"/>
          <w:lang w:val="pt-BR"/>
        </w:rPr>
        <w:t xml:space="preserve">. </w:t>
      </w:r>
    </w:p>
    <w:p w14:paraId="30AA4468" w14:textId="5BACDDBE" w:rsidR="00170C38" w:rsidRDefault="00592B33" w:rsidP="000D4DF0">
      <w:pPr>
        <w:pStyle w:val="TAMainText"/>
        <w:rPr>
          <w:rFonts w:ascii="Times New Roman" w:hAnsi="Times New Roman"/>
          <w:lang w:val="pt-BR"/>
        </w:rPr>
      </w:pPr>
      <w:r w:rsidRPr="00592B33">
        <w:rPr>
          <w:rFonts w:ascii="Times New Roman" w:hAnsi="Times New Roman"/>
          <w:lang w:val="pt-BR"/>
        </w:rPr>
        <w:t>Os catalisadores mais comumente utilizados são de cobalto, ferro e rutênio suportados em óxidos irredutíveis como Al</w:t>
      </w:r>
      <w:r w:rsidRPr="009B5712">
        <w:rPr>
          <w:rFonts w:ascii="Times New Roman" w:hAnsi="Times New Roman"/>
          <w:vertAlign w:val="subscript"/>
          <w:lang w:val="pt-BR"/>
        </w:rPr>
        <w:t>2</w:t>
      </w:r>
      <w:r w:rsidRPr="00592B33">
        <w:rPr>
          <w:rFonts w:ascii="Times New Roman" w:hAnsi="Times New Roman"/>
          <w:lang w:val="pt-BR"/>
        </w:rPr>
        <w:t>O</w:t>
      </w:r>
      <w:r w:rsidRPr="009B5712">
        <w:rPr>
          <w:rFonts w:ascii="Times New Roman" w:hAnsi="Times New Roman"/>
          <w:vertAlign w:val="subscript"/>
          <w:lang w:val="pt-BR"/>
        </w:rPr>
        <w:t>3</w:t>
      </w:r>
      <w:r w:rsidRPr="00592B33">
        <w:rPr>
          <w:rFonts w:ascii="Times New Roman" w:hAnsi="Times New Roman"/>
          <w:lang w:val="pt-BR"/>
        </w:rPr>
        <w:t>, SiO</w:t>
      </w:r>
      <w:r w:rsidRPr="009B5712">
        <w:rPr>
          <w:rFonts w:ascii="Times New Roman" w:hAnsi="Times New Roman"/>
          <w:vertAlign w:val="subscript"/>
          <w:lang w:val="pt-BR"/>
        </w:rPr>
        <w:t>2</w:t>
      </w:r>
      <w:r w:rsidRPr="00592B33">
        <w:rPr>
          <w:rFonts w:ascii="Times New Roman" w:hAnsi="Times New Roman"/>
          <w:lang w:val="pt-BR"/>
        </w:rPr>
        <w:t xml:space="preserve"> e redutíveis como TiO</w:t>
      </w:r>
      <w:r w:rsidRPr="009B5712">
        <w:rPr>
          <w:rFonts w:ascii="Times New Roman" w:hAnsi="Times New Roman"/>
          <w:vertAlign w:val="subscript"/>
          <w:lang w:val="pt-BR"/>
        </w:rPr>
        <w:t>2</w:t>
      </w:r>
      <w:r w:rsidRPr="00592B33">
        <w:rPr>
          <w:rFonts w:ascii="Times New Roman" w:hAnsi="Times New Roman"/>
          <w:lang w:val="pt-BR"/>
        </w:rPr>
        <w:t xml:space="preserve"> e Nb</w:t>
      </w:r>
      <w:r w:rsidRPr="009B5712">
        <w:rPr>
          <w:rFonts w:ascii="Times New Roman" w:hAnsi="Times New Roman"/>
          <w:vertAlign w:val="subscript"/>
          <w:lang w:val="pt-BR"/>
        </w:rPr>
        <w:t>2</w:t>
      </w:r>
      <w:r w:rsidRPr="00592B33">
        <w:rPr>
          <w:rFonts w:ascii="Times New Roman" w:hAnsi="Times New Roman"/>
          <w:lang w:val="pt-BR"/>
        </w:rPr>
        <w:t>O</w:t>
      </w:r>
      <w:r w:rsidRPr="009B5712">
        <w:rPr>
          <w:rFonts w:ascii="Times New Roman" w:hAnsi="Times New Roman"/>
          <w:vertAlign w:val="subscript"/>
          <w:lang w:val="pt-BR"/>
        </w:rPr>
        <w:t>5</w:t>
      </w:r>
      <w:r w:rsidRPr="00592B33">
        <w:rPr>
          <w:rFonts w:ascii="Times New Roman" w:hAnsi="Times New Roman"/>
          <w:lang w:val="pt-BR"/>
        </w:rPr>
        <w:t>.</w:t>
      </w:r>
      <w:r w:rsidR="005215EA">
        <w:rPr>
          <w:rFonts w:ascii="Times New Roman" w:hAnsi="Times New Roman"/>
          <w:lang w:val="pt-BR"/>
        </w:rPr>
        <w:t xml:space="preserve"> </w:t>
      </w:r>
      <w:r w:rsidR="008507D3" w:rsidRPr="005215EA">
        <w:rPr>
          <w:rFonts w:ascii="Times New Roman" w:hAnsi="Times New Roman"/>
          <w:lang w:val="pt-BR"/>
        </w:rPr>
        <w:t>O ferro é um metal mais abundante e menos tóxico que o cobalto, o que o torna mais econômico e ambientalmente amigável</w:t>
      </w:r>
      <w:r w:rsidR="008507D3">
        <w:rPr>
          <w:rFonts w:ascii="Times New Roman" w:hAnsi="Times New Roman"/>
          <w:lang w:val="pt-BR"/>
        </w:rPr>
        <w:t xml:space="preserve"> para produção de catalisadores</w:t>
      </w:r>
      <w:r w:rsidR="008507D3" w:rsidRPr="005215EA">
        <w:rPr>
          <w:rFonts w:ascii="Times New Roman" w:hAnsi="Times New Roman"/>
          <w:lang w:val="pt-BR"/>
        </w:rPr>
        <w:t>. Além disso, o ferro é capaz de produzir hidrocarbonetos mais leves do que o cobalto, o que pode ser vantajoso para a produção de gasolina</w:t>
      </w:r>
      <w:r w:rsidR="004449B7">
        <w:rPr>
          <w:rFonts w:ascii="Times New Roman" w:hAnsi="Times New Roman"/>
          <w:lang w:val="pt-BR"/>
        </w:rPr>
        <w:t xml:space="preserve"> </w:t>
      </w:r>
      <w:r w:rsidR="005A30B6">
        <w:rPr>
          <w:rFonts w:ascii="Times New Roman" w:hAnsi="Times New Roman"/>
          <w:lang w:val="pt-BR"/>
        </w:rPr>
        <w:t>(</w:t>
      </w:r>
      <w:r w:rsidR="0042392B">
        <w:rPr>
          <w:rFonts w:ascii="Times New Roman" w:hAnsi="Times New Roman"/>
          <w:lang w:val="pt-BR"/>
        </w:rPr>
        <w:t>5</w:t>
      </w:r>
      <w:r w:rsidR="005A30B6">
        <w:rPr>
          <w:rFonts w:ascii="Times New Roman" w:hAnsi="Times New Roman"/>
          <w:lang w:val="pt-BR"/>
        </w:rPr>
        <w:t>)</w:t>
      </w:r>
      <w:r w:rsidR="000D4DF0">
        <w:rPr>
          <w:rFonts w:ascii="Times New Roman" w:hAnsi="Times New Roman"/>
          <w:lang w:val="pt-BR"/>
        </w:rPr>
        <w:t xml:space="preserve">. </w:t>
      </w:r>
    </w:p>
    <w:p w14:paraId="556F5589" w14:textId="19D48CBA" w:rsidR="000D4DF0" w:rsidRDefault="00170C38" w:rsidP="000D4DF0">
      <w:pPr>
        <w:pStyle w:val="TAMainText"/>
        <w:rPr>
          <w:rFonts w:ascii="Times New Roman" w:hAnsi="Times New Roman"/>
          <w:lang w:val="pt-BR"/>
        </w:rPr>
      </w:pPr>
      <w:r w:rsidRPr="00170C38">
        <w:rPr>
          <w:rFonts w:ascii="Times New Roman" w:hAnsi="Times New Roman"/>
          <w:lang w:val="pt-BR"/>
        </w:rPr>
        <w:t xml:space="preserve">No entanto, o catalisador de ferro também apresenta algumas limitações, como a formação de carbono na superfície do catalisador, o que pode reduzir sua atividade catalítica. Para mitigar esse efeito, os catalisadores de ferro são frequentemente </w:t>
      </w:r>
      <w:r w:rsidR="00C27397">
        <w:rPr>
          <w:rFonts w:ascii="Times New Roman" w:hAnsi="Times New Roman"/>
          <w:lang w:val="pt-BR"/>
        </w:rPr>
        <w:t>promovidos</w:t>
      </w:r>
      <w:r w:rsidRPr="00170C38">
        <w:rPr>
          <w:rFonts w:ascii="Times New Roman" w:hAnsi="Times New Roman"/>
          <w:lang w:val="pt-BR"/>
        </w:rPr>
        <w:t xml:space="preserve"> com outros metais</w:t>
      </w:r>
      <w:r w:rsidR="0027720D">
        <w:rPr>
          <w:rFonts w:ascii="Times New Roman" w:hAnsi="Times New Roman"/>
          <w:lang w:val="pt-BR"/>
        </w:rPr>
        <w:t xml:space="preserve"> para</w:t>
      </w:r>
      <w:r w:rsidRPr="00170C38">
        <w:rPr>
          <w:rFonts w:ascii="Times New Roman" w:hAnsi="Times New Roman"/>
          <w:lang w:val="pt-BR"/>
        </w:rPr>
        <w:t xml:space="preserve"> melhorar sua seletividade e estabilidade.</w:t>
      </w:r>
      <w:r w:rsidR="00FC6BB7">
        <w:rPr>
          <w:rFonts w:ascii="Times New Roman" w:hAnsi="Times New Roman"/>
          <w:lang w:val="pt-BR"/>
        </w:rPr>
        <w:t xml:space="preserve"> </w:t>
      </w:r>
      <w:r w:rsidR="00300506">
        <w:rPr>
          <w:rFonts w:ascii="Times New Roman" w:hAnsi="Times New Roman"/>
          <w:lang w:val="pt-BR"/>
        </w:rPr>
        <w:t xml:space="preserve">Geralmente os metais nobres, são utilizados </w:t>
      </w:r>
      <w:r w:rsidR="004D7728">
        <w:rPr>
          <w:rFonts w:ascii="Times New Roman" w:hAnsi="Times New Roman"/>
          <w:lang w:val="pt-BR"/>
        </w:rPr>
        <w:t xml:space="preserve">para promoção do Ferro, porém, isso pode encarecer o </w:t>
      </w:r>
      <w:r w:rsidR="000C4A2B">
        <w:rPr>
          <w:rFonts w:ascii="Times New Roman" w:hAnsi="Times New Roman"/>
          <w:lang w:val="pt-BR"/>
        </w:rPr>
        <w:t>catalisador e inviabilizar sua aplicação comercial</w:t>
      </w:r>
      <w:r w:rsidR="001D5258">
        <w:rPr>
          <w:rFonts w:ascii="Times New Roman" w:hAnsi="Times New Roman"/>
          <w:lang w:val="pt-BR"/>
        </w:rPr>
        <w:t xml:space="preserve"> </w:t>
      </w:r>
      <w:r w:rsidR="005A30B6">
        <w:rPr>
          <w:rFonts w:ascii="Times New Roman" w:hAnsi="Times New Roman"/>
          <w:lang w:val="pt-BR"/>
        </w:rPr>
        <w:t>(</w:t>
      </w:r>
      <w:r w:rsidR="0042392B">
        <w:rPr>
          <w:rFonts w:ascii="Times New Roman" w:hAnsi="Times New Roman"/>
          <w:lang w:val="pt-BR"/>
        </w:rPr>
        <w:t>1</w:t>
      </w:r>
      <w:r w:rsidR="005A30B6">
        <w:rPr>
          <w:rFonts w:ascii="Times New Roman" w:hAnsi="Times New Roman"/>
          <w:lang w:val="pt-BR"/>
        </w:rPr>
        <w:t>)</w:t>
      </w:r>
      <w:r w:rsidR="000C4A2B">
        <w:rPr>
          <w:rFonts w:ascii="Times New Roman" w:hAnsi="Times New Roman"/>
          <w:lang w:val="pt-BR"/>
        </w:rPr>
        <w:t xml:space="preserve">. </w:t>
      </w:r>
    </w:p>
    <w:p w14:paraId="300C6C37" w14:textId="1D731828" w:rsidR="000C4A2B" w:rsidRDefault="000C4A2B" w:rsidP="000D4DF0">
      <w:pPr>
        <w:pStyle w:val="TAMainText"/>
        <w:rPr>
          <w:rFonts w:ascii="Times New Roman" w:hAnsi="Times New Roman"/>
          <w:lang w:val="pt-BR"/>
        </w:rPr>
      </w:pPr>
      <w:r>
        <w:rPr>
          <w:rFonts w:ascii="Times New Roman" w:hAnsi="Times New Roman"/>
          <w:lang w:val="pt-BR"/>
        </w:rPr>
        <w:t>Assim</w:t>
      </w:r>
      <w:r w:rsidR="000636A3">
        <w:rPr>
          <w:rFonts w:ascii="Times New Roman" w:hAnsi="Times New Roman"/>
          <w:lang w:val="pt-BR"/>
        </w:rPr>
        <w:t>, metais</w:t>
      </w:r>
      <w:r w:rsidR="00ED2741">
        <w:rPr>
          <w:rFonts w:ascii="Times New Roman" w:hAnsi="Times New Roman"/>
          <w:lang w:val="pt-BR"/>
        </w:rPr>
        <w:t xml:space="preserve"> que proporcione</w:t>
      </w:r>
      <w:r w:rsidR="002D767A">
        <w:rPr>
          <w:rFonts w:ascii="Times New Roman" w:hAnsi="Times New Roman"/>
          <w:lang w:val="pt-BR"/>
        </w:rPr>
        <w:t>m</w:t>
      </w:r>
      <w:r w:rsidR="00ED2741">
        <w:rPr>
          <w:rFonts w:ascii="Times New Roman" w:hAnsi="Times New Roman"/>
          <w:lang w:val="pt-BR"/>
        </w:rPr>
        <w:t xml:space="preserve"> </w:t>
      </w:r>
      <w:r w:rsidR="00614485">
        <w:rPr>
          <w:rFonts w:ascii="Times New Roman" w:hAnsi="Times New Roman"/>
          <w:lang w:val="pt-BR"/>
        </w:rPr>
        <w:t>efeitos similares dos metais nobres, são frequentemente estudados. O manganês</w:t>
      </w:r>
      <w:r w:rsidR="002D767A">
        <w:rPr>
          <w:rFonts w:ascii="Times New Roman" w:hAnsi="Times New Roman"/>
          <w:lang w:val="pt-BR"/>
        </w:rPr>
        <w:t xml:space="preserve"> </w:t>
      </w:r>
      <w:r w:rsidR="00642D7E">
        <w:rPr>
          <w:rFonts w:ascii="Times New Roman" w:hAnsi="Times New Roman"/>
          <w:lang w:val="pt-BR"/>
        </w:rPr>
        <w:t>aparece como uma alternativa, pois</w:t>
      </w:r>
      <w:r w:rsidR="004158F8">
        <w:rPr>
          <w:rFonts w:ascii="Times New Roman" w:hAnsi="Times New Roman"/>
          <w:lang w:val="pt-BR"/>
        </w:rPr>
        <w:t xml:space="preserve"> esse metal </w:t>
      </w:r>
      <w:r w:rsidR="000D0B04" w:rsidRPr="000D0B04">
        <w:rPr>
          <w:rFonts w:ascii="Times New Roman" w:hAnsi="Times New Roman"/>
          <w:lang w:val="pt-BR"/>
        </w:rPr>
        <w:t xml:space="preserve">pode interagir </w:t>
      </w:r>
      <w:r w:rsidR="004158F8">
        <w:rPr>
          <w:rFonts w:ascii="Times New Roman" w:hAnsi="Times New Roman"/>
          <w:lang w:val="pt-BR"/>
        </w:rPr>
        <w:t xml:space="preserve">fortemente com a fase ativa, </w:t>
      </w:r>
      <w:r w:rsidR="000D0B04" w:rsidRPr="000D0B04">
        <w:rPr>
          <w:rFonts w:ascii="Times New Roman" w:hAnsi="Times New Roman"/>
          <w:lang w:val="pt-BR"/>
        </w:rPr>
        <w:t>forma</w:t>
      </w:r>
      <w:r w:rsidR="00AB4B39">
        <w:rPr>
          <w:rFonts w:ascii="Times New Roman" w:hAnsi="Times New Roman"/>
          <w:lang w:val="pt-BR"/>
        </w:rPr>
        <w:t>ndo</w:t>
      </w:r>
      <w:r w:rsidR="000D0B04" w:rsidRPr="000D0B04">
        <w:rPr>
          <w:rFonts w:ascii="Times New Roman" w:hAnsi="Times New Roman"/>
          <w:lang w:val="pt-BR"/>
        </w:rPr>
        <w:t xml:space="preserve"> uma estrutura catalítica mais estável, o que pode melhorar a sua atividade e </w:t>
      </w:r>
      <w:r w:rsidR="001D717C">
        <w:rPr>
          <w:rFonts w:ascii="Times New Roman" w:hAnsi="Times New Roman"/>
          <w:lang w:val="pt-BR"/>
        </w:rPr>
        <w:t>seletividade</w:t>
      </w:r>
      <w:r w:rsidR="005A30B6">
        <w:rPr>
          <w:rFonts w:ascii="Times New Roman" w:hAnsi="Times New Roman"/>
          <w:lang w:val="pt-BR"/>
        </w:rPr>
        <w:t xml:space="preserve"> (</w:t>
      </w:r>
      <w:r w:rsidR="0042392B">
        <w:rPr>
          <w:rFonts w:ascii="Times New Roman" w:hAnsi="Times New Roman"/>
          <w:lang w:val="pt-BR"/>
        </w:rPr>
        <w:t>6</w:t>
      </w:r>
      <w:r w:rsidR="005A30B6">
        <w:rPr>
          <w:rFonts w:ascii="Times New Roman" w:hAnsi="Times New Roman"/>
          <w:lang w:val="pt-BR"/>
        </w:rPr>
        <w:t>)</w:t>
      </w:r>
      <w:r w:rsidR="00700821">
        <w:rPr>
          <w:rFonts w:ascii="Times New Roman" w:hAnsi="Times New Roman"/>
          <w:lang w:val="pt-BR"/>
        </w:rPr>
        <w:t xml:space="preserve">. </w:t>
      </w:r>
    </w:p>
    <w:p w14:paraId="13B42CAC" w14:textId="61C33591" w:rsidR="00B33F46" w:rsidRDefault="00700821" w:rsidP="00D84198">
      <w:pPr>
        <w:pStyle w:val="TAMainText"/>
        <w:rPr>
          <w:rFonts w:ascii="Times New Roman" w:hAnsi="Times New Roman"/>
          <w:lang w:val="pt-BR"/>
        </w:rPr>
      </w:pPr>
      <w:r>
        <w:rPr>
          <w:rFonts w:ascii="Times New Roman" w:hAnsi="Times New Roman"/>
          <w:lang w:val="pt-BR"/>
        </w:rPr>
        <w:t xml:space="preserve">Deste modo, neste trabalho, </w:t>
      </w:r>
      <w:r w:rsidR="00FC6A16">
        <w:rPr>
          <w:rFonts w:ascii="Times New Roman" w:hAnsi="Times New Roman"/>
          <w:lang w:val="pt-BR"/>
        </w:rPr>
        <w:t>relatamos a síntese de</w:t>
      </w:r>
      <w:r>
        <w:rPr>
          <w:rFonts w:ascii="Times New Roman" w:hAnsi="Times New Roman"/>
          <w:lang w:val="pt-BR"/>
        </w:rPr>
        <w:t xml:space="preserve"> um catalisador de Ferro, promov</w:t>
      </w:r>
      <w:r w:rsidR="00EC0C3C">
        <w:rPr>
          <w:rFonts w:ascii="Times New Roman" w:hAnsi="Times New Roman"/>
          <w:lang w:val="pt-BR"/>
        </w:rPr>
        <w:t xml:space="preserve">ido com manganês. As caracterizações, indicaram </w:t>
      </w:r>
      <w:r w:rsidR="007640C2">
        <w:rPr>
          <w:rFonts w:ascii="Times New Roman" w:hAnsi="Times New Roman"/>
          <w:lang w:val="pt-BR"/>
        </w:rPr>
        <w:t xml:space="preserve">que esse material aparece com uma alternativa promissora </w:t>
      </w:r>
      <w:r w:rsidR="00A84AE2">
        <w:rPr>
          <w:rFonts w:ascii="Times New Roman" w:hAnsi="Times New Roman"/>
          <w:lang w:val="pt-BR"/>
        </w:rPr>
        <w:t xml:space="preserve">para aplicações de </w:t>
      </w:r>
      <w:r w:rsidR="00B33F46" w:rsidRPr="00B33F46">
        <w:rPr>
          <w:rFonts w:ascii="Times New Roman" w:hAnsi="Times New Roman"/>
          <w:lang w:val="pt-BR"/>
        </w:rPr>
        <w:t>efeito promoto</w:t>
      </w:r>
      <w:r w:rsidR="00AE6BE4">
        <w:rPr>
          <w:rFonts w:ascii="Times New Roman" w:hAnsi="Times New Roman"/>
          <w:lang w:val="pt-BR"/>
        </w:rPr>
        <w:t xml:space="preserve">r, permitindo a </w:t>
      </w:r>
      <w:r w:rsidR="008476C8">
        <w:rPr>
          <w:rFonts w:ascii="Times New Roman" w:hAnsi="Times New Roman"/>
          <w:lang w:val="pt-BR"/>
        </w:rPr>
        <w:t xml:space="preserve">obtenção de </w:t>
      </w:r>
      <w:r w:rsidR="00B33F46" w:rsidRPr="00B33F46">
        <w:rPr>
          <w:rFonts w:ascii="Times New Roman" w:hAnsi="Times New Roman"/>
          <w:lang w:val="pt-BR"/>
        </w:rPr>
        <w:t xml:space="preserve">catalisadores mais </w:t>
      </w:r>
      <w:r w:rsidR="00B33F46" w:rsidRPr="00B33F46">
        <w:rPr>
          <w:rFonts w:ascii="Times New Roman" w:hAnsi="Times New Roman"/>
          <w:lang w:val="pt-BR"/>
        </w:rPr>
        <w:lastRenderedPageBreak/>
        <w:t>eficientes e economicamente viáveis ​​para processos químicos industriais.</w:t>
      </w:r>
    </w:p>
    <w:p w14:paraId="53802F8A" w14:textId="77777777" w:rsidR="00DD7EA8" w:rsidRPr="00B33F46" w:rsidRDefault="00DD7EA8" w:rsidP="00D84198">
      <w:pPr>
        <w:pStyle w:val="TAMainText"/>
        <w:rPr>
          <w:rFonts w:ascii="Times New Roman" w:hAnsi="Times New Roman"/>
          <w:lang w:val="pt-BR"/>
        </w:rPr>
      </w:pPr>
    </w:p>
    <w:p w14:paraId="0B6D330F" w14:textId="7586BE1E" w:rsidR="00003257" w:rsidRDefault="00EA4E1B" w:rsidP="00DD7EA8">
      <w:pPr>
        <w:pStyle w:val="Ttulo2"/>
        <w:spacing w:before="0" w:after="0"/>
        <w:rPr>
          <w:rFonts w:ascii="Helvetica" w:hAnsi="Helvetica" w:cs="Helvetica"/>
          <w:sz w:val="24"/>
          <w:szCs w:val="24"/>
        </w:rPr>
      </w:pPr>
      <w:r w:rsidRPr="005215EA">
        <w:rPr>
          <w:rFonts w:ascii="Helvetica" w:hAnsi="Helvetica" w:cs="Helvetica"/>
          <w:sz w:val="24"/>
          <w:szCs w:val="24"/>
        </w:rPr>
        <w:t>Experimental</w:t>
      </w:r>
    </w:p>
    <w:p w14:paraId="0D0EFFEB" w14:textId="77777777" w:rsidR="00DD7EA8" w:rsidRPr="00DD7EA8" w:rsidRDefault="00DD7EA8" w:rsidP="00DD7EA8">
      <w:pPr>
        <w:spacing w:after="0"/>
      </w:pPr>
    </w:p>
    <w:p w14:paraId="41CF336B" w14:textId="2D227BA3" w:rsidR="00206196" w:rsidRDefault="00003257" w:rsidP="00DD7EA8">
      <w:pPr>
        <w:pStyle w:val="TAMainText"/>
        <w:ind w:firstLine="0"/>
        <w:rPr>
          <w:rFonts w:ascii="Times New Roman" w:hAnsi="Times New Roman"/>
          <w:i/>
          <w:lang w:val="pt-BR"/>
        </w:rPr>
      </w:pPr>
      <w:r>
        <w:rPr>
          <w:rFonts w:ascii="Times New Roman" w:hAnsi="Times New Roman"/>
          <w:i/>
          <w:lang w:val="pt-BR"/>
        </w:rPr>
        <w:t>Preparação de Catalisadores</w:t>
      </w:r>
    </w:p>
    <w:p w14:paraId="7D254CDE" w14:textId="77777777" w:rsidR="00AF6BCF" w:rsidRPr="00D403B7" w:rsidRDefault="00AF6BCF" w:rsidP="00076774">
      <w:pPr>
        <w:pStyle w:val="TAMainText"/>
        <w:ind w:firstLine="0"/>
        <w:rPr>
          <w:rFonts w:ascii="Times New Roman" w:hAnsi="Times New Roman"/>
          <w:i/>
          <w:lang w:val="pt-BR"/>
        </w:rPr>
      </w:pPr>
    </w:p>
    <w:p w14:paraId="0E8616B9" w14:textId="192B70C3" w:rsidR="009B7483" w:rsidRPr="007B70FC" w:rsidRDefault="009B7483" w:rsidP="00076774">
      <w:pPr>
        <w:pStyle w:val="TAMainText"/>
        <w:ind w:firstLine="284"/>
        <w:rPr>
          <w:rFonts w:ascii="Times New Roman" w:hAnsi="Times New Roman"/>
          <w:lang w:val="pt-BR"/>
        </w:rPr>
      </w:pPr>
      <w:r w:rsidRPr="007B70FC">
        <w:rPr>
          <w:color w:val="000000"/>
          <w:lang w:val="pt-BR"/>
        </w:rPr>
        <w:t>A impregnação do ferro (15% Fe m/m) foi realizada pelo método de precipitação-deposição (</w:t>
      </w:r>
      <w:r w:rsidR="0042392B">
        <w:rPr>
          <w:color w:val="000000"/>
          <w:lang w:val="pt-BR"/>
        </w:rPr>
        <w:t>12</w:t>
      </w:r>
      <w:r w:rsidRPr="007B70FC">
        <w:rPr>
          <w:color w:val="000000"/>
          <w:lang w:val="pt-BR"/>
        </w:rPr>
        <w:t xml:space="preserve">), utilizando uma solução aquosa de nitrato de ferro </w:t>
      </w:r>
      <w:r w:rsidR="00F5182F">
        <w:rPr>
          <w:color w:val="000000"/>
          <w:lang w:val="pt-BR"/>
        </w:rPr>
        <w:t xml:space="preserve">(III) </w:t>
      </w:r>
      <w:proofErr w:type="spellStart"/>
      <w:r w:rsidRPr="007B70FC">
        <w:rPr>
          <w:color w:val="000000"/>
          <w:lang w:val="pt-BR"/>
        </w:rPr>
        <w:t>nonahidratado</w:t>
      </w:r>
      <w:proofErr w:type="spellEnd"/>
      <w:r w:rsidRPr="007B70FC">
        <w:rPr>
          <w:color w:val="000000"/>
          <w:lang w:val="pt-BR"/>
        </w:rPr>
        <w:t xml:space="preserve">. </w:t>
      </w:r>
      <w:r w:rsidR="007B70FC">
        <w:rPr>
          <w:color w:val="000000"/>
          <w:lang w:val="pt-BR"/>
        </w:rPr>
        <w:t>Uma</w:t>
      </w:r>
      <w:r w:rsidRPr="007B70FC">
        <w:rPr>
          <w:color w:val="000000"/>
          <w:lang w:val="pt-BR"/>
        </w:rPr>
        <w:t xml:space="preserve"> solução</w:t>
      </w:r>
      <w:r w:rsidR="007B70FC">
        <w:rPr>
          <w:color w:val="000000"/>
          <w:lang w:val="pt-BR"/>
        </w:rPr>
        <w:t xml:space="preserve"> contendo o suporte Nb</w:t>
      </w:r>
      <w:r w:rsidR="007B70FC" w:rsidRPr="00D403B7">
        <w:rPr>
          <w:color w:val="000000"/>
          <w:vertAlign w:val="subscript"/>
          <w:lang w:val="pt-BR"/>
        </w:rPr>
        <w:t>2</w:t>
      </w:r>
      <w:r w:rsidR="007B70FC">
        <w:rPr>
          <w:color w:val="000000"/>
          <w:lang w:val="pt-BR"/>
        </w:rPr>
        <w:t>O</w:t>
      </w:r>
      <w:r w:rsidR="007B70FC" w:rsidRPr="00D403B7">
        <w:rPr>
          <w:color w:val="000000"/>
          <w:vertAlign w:val="subscript"/>
          <w:lang w:val="pt-BR"/>
        </w:rPr>
        <w:t>5</w:t>
      </w:r>
      <w:r w:rsidR="007B70FC">
        <w:rPr>
          <w:color w:val="000000"/>
          <w:lang w:val="pt-BR"/>
        </w:rPr>
        <w:t>,</w:t>
      </w:r>
      <w:r w:rsidRPr="007B70FC">
        <w:rPr>
          <w:color w:val="000000"/>
          <w:lang w:val="pt-BR"/>
        </w:rPr>
        <w:t xml:space="preserve"> foi aquecida até 70 ºC</w:t>
      </w:r>
      <w:r w:rsidR="003242D7">
        <w:rPr>
          <w:color w:val="000000"/>
          <w:lang w:val="pt-BR"/>
        </w:rPr>
        <w:t>. E</w:t>
      </w:r>
      <w:r w:rsidRPr="007B70FC">
        <w:rPr>
          <w:color w:val="000000"/>
          <w:lang w:val="pt-BR"/>
        </w:rPr>
        <w:t xml:space="preserve"> sob agitação</w:t>
      </w:r>
      <w:r w:rsidR="003242D7">
        <w:rPr>
          <w:color w:val="000000"/>
          <w:lang w:val="pt-BR"/>
        </w:rPr>
        <w:t>, f</w:t>
      </w:r>
      <w:r w:rsidRPr="007B70FC">
        <w:rPr>
          <w:color w:val="000000"/>
          <w:lang w:val="pt-BR"/>
        </w:rPr>
        <w:t xml:space="preserve">oi adicionado lentamente o hidróxido de amônia 30% até </w:t>
      </w:r>
      <w:r w:rsidR="00942A97">
        <w:rPr>
          <w:color w:val="000000"/>
          <w:lang w:val="pt-BR"/>
        </w:rPr>
        <w:t>a obtenção de um</w:t>
      </w:r>
      <w:r w:rsidRPr="007B70FC">
        <w:rPr>
          <w:color w:val="000000"/>
          <w:lang w:val="pt-BR"/>
        </w:rPr>
        <w:t xml:space="preserve"> pH = 9</w:t>
      </w:r>
      <w:r w:rsidR="003242D7">
        <w:rPr>
          <w:color w:val="000000"/>
          <w:lang w:val="pt-BR"/>
        </w:rPr>
        <w:t>.</w:t>
      </w:r>
      <w:r w:rsidRPr="007B70FC">
        <w:rPr>
          <w:color w:val="000000"/>
          <w:lang w:val="pt-BR"/>
        </w:rPr>
        <w:t>5. Após 6 minutos</w:t>
      </w:r>
      <w:r w:rsidR="007C2556">
        <w:rPr>
          <w:color w:val="000000"/>
          <w:lang w:val="pt-BR"/>
        </w:rPr>
        <w:t xml:space="preserve"> de agitação</w:t>
      </w:r>
      <w:r w:rsidRPr="007B70FC">
        <w:rPr>
          <w:color w:val="000000"/>
          <w:lang w:val="pt-BR"/>
        </w:rPr>
        <w:t xml:space="preserve"> e </w:t>
      </w:r>
      <w:r w:rsidR="007C2556">
        <w:rPr>
          <w:color w:val="000000"/>
          <w:lang w:val="pt-BR"/>
        </w:rPr>
        <w:t>o material foi filtrado</w:t>
      </w:r>
      <w:r w:rsidR="00942A97">
        <w:rPr>
          <w:color w:val="000000"/>
          <w:lang w:val="pt-BR"/>
        </w:rPr>
        <w:t xml:space="preserve"> à </w:t>
      </w:r>
      <w:r w:rsidR="007C2556">
        <w:rPr>
          <w:color w:val="000000"/>
          <w:lang w:val="pt-BR"/>
        </w:rPr>
        <w:t>vácuo e</w:t>
      </w:r>
      <w:r w:rsidRPr="007B70FC">
        <w:rPr>
          <w:color w:val="000000"/>
          <w:lang w:val="pt-BR"/>
        </w:rPr>
        <w:t xml:space="preserve"> lava</w:t>
      </w:r>
      <w:r w:rsidR="007C2556">
        <w:rPr>
          <w:color w:val="000000"/>
          <w:lang w:val="pt-BR"/>
        </w:rPr>
        <w:t xml:space="preserve">do </w:t>
      </w:r>
      <w:r w:rsidRPr="007B70FC">
        <w:rPr>
          <w:color w:val="000000"/>
          <w:lang w:val="pt-BR"/>
        </w:rPr>
        <w:t xml:space="preserve">até </w:t>
      </w:r>
      <w:r w:rsidR="007C2556">
        <w:rPr>
          <w:color w:val="000000"/>
          <w:lang w:val="pt-BR"/>
        </w:rPr>
        <w:t>a obtenção de</w:t>
      </w:r>
      <w:r w:rsidRPr="007B70FC">
        <w:rPr>
          <w:color w:val="000000"/>
          <w:lang w:val="pt-BR"/>
        </w:rPr>
        <w:t xml:space="preserve"> pH neutro</w:t>
      </w:r>
      <w:r w:rsidR="007C2556">
        <w:rPr>
          <w:color w:val="000000"/>
          <w:lang w:val="pt-BR"/>
        </w:rPr>
        <w:t xml:space="preserve">. </w:t>
      </w:r>
      <w:r w:rsidR="002D767A">
        <w:rPr>
          <w:color w:val="000000"/>
          <w:lang w:val="pt-BR"/>
        </w:rPr>
        <w:t>O f</w:t>
      </w:r>
      <w:r w:rsidR="007C2556">
        <w:rPr>
          <w:color w:val="000000"/>
          <w:lang w:val="pt-BR"/>
        </w:rPr>
        <w:t>iltrado foi seco em estufa</w:t>
      </w:r>
      <w:r w:rsidRPr="007B70FC">
        <w:rPr>
          <w:color w:val="000000"/>
          <w:lang w:val="pt-BR"/>
        </w:rPr>
        <w:t xml:space="preserve"> a 100 ºC</w:t>
      </w:r>
      <w:r w:rsidR="007C2556">
        <w:rPr>
          <w:color w:val="000000"/>
          <w:lang w:val="pt-BR"/>
        </w:rPr>
        <w:t xml:space="preserve">, </w:t>
      </w:r>
      <w:r w:rsidR="007C2556" w:rsidRPr="002D767A">
        <w:rPr>
          <w:i/>
          <w:color w:val="000000"/>
          <w:lang w:val="pt-BR"/>
        </w:rPr>
        <w:t>overnight</w:t>
      </w:r>
      <w:r w:rsidR="007C2556">
        <w:rPr>
          <w:color w:val="000000"/>
          <w:lang w:val="pt-BR"/>
        </w:rPr>
        <w:t>, E calcinado</w:t>
      </w:r>
      <w:r w:rsidRPr="007B70FC">
        <w:rPr>
          <w:color w:val="000000"/>
          <w:lang w:val="pt-BR"/>
        </w:rPr>
        <w:t xml:space="preserve"> a 400 ºC com uma taxa de aquecimento de 5 ºC/min</w:t>
      </w:r>
      <w:r w:rsidR="00942A97">
        <w:rPr>
          <w:color w:val="000000"/>
          <w:lang w:val="pt-BR"/>
        </w:rPr>
        <w:t xml:space="preserve">. </w:t>
      </w:r>
      <w:r w:rsidR="00942A97" w:rsidRPr="00206196">
        <w:rPr>
          <w:rFonts w:ascii="Times New Roman" w:hAnsi="Times New Roman"/>
          <w:lang w:val="pt-BR"/>
        </w:rPr>
        <w:t xml:space="preserve">Após o peneiramento (200 </w:t>
      </w:r>
      <w:proofErr w:type="spellStart"/>
      <w:r w:rsidR="00942A97" w:rsidRPr="00206196">
        <w:rPr>
          <w:rFonts w:ascii="Times New Roman" w:hAnsi="Times New Roman"/>
          <w:lang w:val="pt-BR"/>
        </w:rPr>
        <w:t>mesh</w:t>
      </w:r>
      <w:proofErr w:type="spellEnd"/>
      <w:r w:rsidR="00942A97" w:rsidRPr="00206196">
        <w:rPr>
          <w:rFonts w:ascii="Times New Roman" w:hAnsi="Times New Roman"/>
          <w:lang w:val="pt-BR"/>
        </w:rPr>
        <w:t xml:space="preserve">) foi obtido um pó de cor </w:t>
      </w:r>
      <w:r w:rsidR="00FB2131">
        <w:rPr>
          <w:rFonts w:ascii="Times New Roman" w:hAnsi="Times New Roman"/>
          <w:lang w:val="pt-BR"/>
        </w:rPr>
        <w:t>vermelha</w:t>
      </w:r>
      <w:r w:rsidRPr="007B70FC">
        <w:rPr>
          <w:color w:val="000000"/>
          <w:lang w:val="pt-BR"/>
        </w:rPr>
        <w:t xml:space="preserve"> denominado 15Fe/Nb</w:t>
      </w:r>
      <w:r w:rsidRPr="007B70FC">
        <w:rPr>
          <w:color w:val="000000"/>
          <w:vertAlign w:val="subscript"/>
          <w:lang w:val="pt-BR"/>
        </w:rPr>
        <w:t>2</w:t>
      </w:r>
      <w:r w:rsidRPr="007B70FC">
        <w:rPr>
          <w:color w:val="000000"/>
          <w:lang w:val="pt-BR"/>
        </w:rPr>
        <w:t>O</w:t>
      </w:r>
      <w:r w:rsidRPr="007B70FC">
        <w:rPr>
          <w:color w:val="000000"/>
          <w:vertAlign w:val="subscript"/>
          <w:lang w:val="pt-BR"/>
        </w:rPr>
        <w:t>5</w:t>
      </w:r>
    </w:p>
    <w:p w14:paraId="4E6BAA29" w14:textId="4B9FBD28" w:rsidR="00EA4E1B" w:rsidRPr="006664D6" w:rsidRDefault="00DE2C1B" w:rsidP="00DD7EA8">
      <w:pPr>
        <w:pStyle w:val="TAMainText"/>
        <w:spacing w:line="276" w:lineRule="auto"/>
        <w:ind w:firstLine="284"/>
        <w:rPr>
          <w:rFonts w:ascii="Times New Roman" w:hAnsi="Times New Roman"/>
          <w:lang w:val="pt-BR"/>
        </w:rPr>
      </w:pPr>
      <w:r w:rsidRPr="00DE2C1B">
        <w:rPr>
          <w:rFonts w:ascii="Times New Roman" w:hAnsi="Times New Roman"/>
          <w:lang w:val="pt-BR"/>
        </w:rPr>
        <w:t>A adição do manganês (1, 3 e 5% m/m) foi feita a partir do método de impregnação por via seca e, posteriormente, o material foi seco e calcinado sob as mesmas condições descrita para a fase ativa, obtendo-se os catalisadores com 1, 3 e 5% de manganês que foram denominados 1Mn-15Fe/Nb</w:t>
      </w:r>
      <w:r w:rsidRPr="002D767A">
        <w:rPr>
          <w:rFonts w:ascii="Times New Roman" w:hAnsi="Times New Roman"/>
          <w:vertAlign w:val="subscript"/>
          <w:lang w:val="pt-BR"/>
        </w:rPr>
        <w:t>2</w:t>
      </w:r>
      <w:r w:rsidRPr="00DE2C1B">
        <w:rPr>
          <w:rFonts w:ascii="Times New Roman" w:hAnsi="Times New Roman"/>
          <w:lang w:val="pt-BR"/>
        </w:rPr>
        <w:t>O</w:t>
      </w:r>
      <w:r w:rsidRPr="002D767A">
        <w:rPr>
          <w:rFonts w:ascii="Times New Roman" w:hAnsi="Times New Roman"/>
          <w:vertAlign w:val="subscript"/>
          <w:lang w:val="pt-BR"/>
        </w:rPr>
        <w:t>5</w:t>
      </w:r>
      <w:r w:rsidRPr="00DE2C1B">
        <w:rPr>
          <w:rFonts w:ascii="Times New Roman" w:hAnsi="Times New Roman"/>
          <w:lang w:val="pt-BR"/>
        </w:rPr>
        <w:t>, 3Mn-15Fe/</w:t>
      </w:r>
      <w:r w:rsidR="002D767A" w:rsidRPr="00DE2C1B">
        <w:rPr>
          <w:rFonts w:ascii="Times New Roman" w:hAnsi="Times New Roman"/>
          <w:lang w:val="pt-BR"/>
        </w:rPr>
        <w:t>Nb</w:t>
      </w:r>
      <w:r w:rsidR="002D767A" w:rsidRPr="002D767A">
        <w:rPr>
          <w:rFonts w:ascii="Times New Roman" w:hAnsi="Times New Roman"/>
          <w:vertAlign w:val="subscript"/>
          <w:lang w:val="pt-BR"/>
        </w:rPr>
        <w:t>2</w:t>
      </w:r>
      <w:r w:rsidR="002D767A" w:rsidRPr="00DE2C1B">
        <w:rPr>
          <w:rFonts w:ascii="Times New Roman" w:hAnsi="Times New Roman"/>
          <w:lang w:val="pt-BR"/>
        </w:rPr>
        <w:t>O</w:t>
      </w:r>
      <w:r w:rsidR="002D767A" w:rsidRPr="002D767A">
        <w:rPr>
          <w:rFonts w:ascii="Times New Roman" w:hAnsi="Times New Roman"/>
          <w:vertAlign w:val="subscript"/>
          <w:lang w:val="pt-BR"/>
        </w:rPr>
        <w:t>5</w:t>
      </w:r>
      <w:r w:rsidRPr="00DE2C1B">
        <w:rPr>
          <w:rFonts w:ascii="Times New Roman" w:hAnsi="Times New Roman"/>
          <w:lang w:val="pt-BR"/>
        </w:rPr>
        <w:t xml:space="preserve"> e 5Mn-15Fe/</w:t>
      </w:r>
      <w:r w:rsidR="002D767A" w:rsidRPr="00DE2C1B">
        <w:rPr>
          <w:rFonts w:ascii="Times New Roman" w:hAnsi="Times New Roman"/>
          <w:lang w:val="pt-BR"/>
        </w:rPr>
        <w:t>Nb</w:t>
      </w:r>
      <w:r w:rsidR="002D767A" w:rsidRPr="002D767A">
        <w:rPr>
          <w:rFonts w:ascii="Times New Roman" w:hAnsi="Times New Roman"/>
          <w:vertAlign w:val="subscript"/>
          <w:lang w:val="pt-BR"/>
        </w:rPr>
        <w:t>2</w:t>
      </w:r>
      <w:r w:rsidR="002D767A" w:rsidRPr="00DE2C1B">
        <w:rPr>
          <w:rFonts w:ascii="Times New Roman" w:hAnsi="Times New Roman"/>
          <w:lang w:val="pt-BR"/>
        </w:rPr>
        <w:t>O</w:t>
      </w:r>
      <w:r w:rsidR="002D767A" w:rsidRPr="002D767A">
        <w:rPr>
          <w:rFonts w:ascii="Times New Roman" w:hAnsi="Times New Roman"/>
          <w:vertAlign w:val="subscript"/>
          <w:lang w:val="pt-BR"/>
        </w:rPr>
        <w:t>5</w:t>
      </w:r>
      <w:r w:rsidRPr="00DE2C1B">
        <w:rPr>
          <w:rFonts w:ascii="Times New Roman" w:hAnsi="Times New Roman"/>
          <w:lang w:val="pt-BR"/>
        </w:rPr>
        <w:t xml:space="preserve">. Ao final de cada etapa, os materiais obtidos foram peneirados em peneiras com um </w:t>
      </w:r>
      <w:proofErr w:type="spellStart"/>
      <w:r w:rsidRPr="00DE2C1B">
        <w:rPr>
          <w:rFonts w:ascii="Times New Roman" w:hAnsi="Times New Roman"/>
          <w:lang w:val="pt-BR"/>
        </w:rPr>
        <w:t>Mesh</w:t>
      </w:r>
      <w:proofErr w:type="spellEnd"/>
      <w:r w:rsidRPr="00DE2C1B">
        <w:rPr>
          <w:rFonts w:ascii="Times New Roman" w:hAnsi="Times New Roman"/>
          <w:lang w:val="pt-BR"/>
        </w:rPr>
        <w:t xml:space="preserve"> Tyler de 200 (0,075 mm).</w:t>
      </w:r>
      <w:r w:rsidR="002D767A">
        <w:rPr>
          <w:rFonts w:ascii="Times New Roman" w:hAnsi="Times New Roman"/>
          <w:lang w:val="pt-BR"/>
        </w:rPr>
        <w:t xml:space="preserve"> O mesmo processo foi realizado para o potássio a partir do catalisador </w:t>
      </w:r>
      <w:r w:rsidR="002D767A" w:rsidRPr="00DE2C1B">
        <w:rPr>
          <w:rFonts w:ascii="Times New Roman" w:hAnsi="Times New Roman"/>
          <w:lang w:val="pt-BR"/>
        </w:rPr>
        <w:t>3Mn-15Fe/Nb</w:t>
      </w:r>
      <w:r w:rsidR="002D767A" w:rsidRPr="00F5182F">
        <w:rPr>
          <w:rFonts w:ascii="Times New Roman" w:hAnsi="Times New Roman"/>
          <w:vertAlign w:val="subscript"/>
          <w:lang w:val="pt-BR"/>
        </w:rPr>
        <w:t>2</w:t>
      </w:r>
      <w:r w:rsidR="002D767A" w:rsidRPr="00DE2C1B">
        <w:rPr>
          <w:rFonts w:ascii="Times New Roman" w:hAnsi="Times New Roman"/>
          <w:lang w:val="pt-BR"/>
        </w:rPr>
        <w:t>O</w:t>
      </w:r>
      <w:r w:rsidR="002D767A" w:rsidRPr="00F5182F">
        <w:rPr>
          <w:rFonts w:ascii="Times New Roman" w:hAnsi="Times New Roman"/>
          <w:vertAlign w:val="subscript"/>
          <w:lang w:val="pt-BR"/>
        </w:rPr>
        <w:t>5</w:t>
      </w:r>
      <w:r w:rsidR="002D767A">
        <w:rPr>
          <w:rFonts w:ascii="Times New Roman" w:hAnsi="Times New Roman"/>
          <w:lang w:val="pt-BR"/>
        </w:rPr>
        <w:t xml:space="preserve"> gerando os catalisadores </w:t>
      </w:r>
      <w:r w:rsidR="006664D6">
        <w:rPr>
          <w:rFonts w:ascii="Times New Roman" w:hAnsi="Times New Roman"/>
          <w:lang w:val="pt-BR"/>
        </w:rPr>
        <w:t>1K-</w:t>
      </w:r>
      <w:r w:rsidR="006664D6" w:rsidRPr="00DE2C1B">
        <w:rPr>
          <w:rFonts w:ascii="Times New Roman" w:hAnsi="Times New Roman"/>
          <w:lang w:val="pt-BR"/>
        </w:rPr>
        <w:t>3Mn-15Fe/Nb</w:t>
      </w:r>
      <w:r w:rsidR="006664D6" w:rsidRPr="002D767A">
        <w:rPr>
          <w:rFonts w:ascii="Times New Roman" w:hAnsi="Times New Roman"/>
          <w:vertAlign w:val="subscript"/>
          <w:lang w:val="pt-BR"/>
        </w:rPr>
        <w:t>2</w:t>
      </w:r>
      <w:r w:rsidR="006664D6" w:rsidRPr="00DE2C1B">
        <w:rPr>
          <w:rFonts w:ascii="Times New Roman" w:hAnsi="Times New Roman"/>
          <w:lang w:val="pt-BR"/>
        </w:rPr>
        <w:t>O</w:t>
      </w:r>
      <w:r w:rsidR="006664D6" w:rsidRPr="002D767A">
        <w:rPr>
          <w:rFonts w:ascii="Times New Roman" w:hAnsi="Times New Roman"/>
          <w:vertAlign w:val="subscript"/>
          <w:lang w:val="pt-BR"/>
        </w:rPr>
        <w:t>5</w:t>
      </w:r>
      <w:r w:rsidR="006664D6">
        <w:rPr>
          <w:rFonts w:ascii="Times New Roman" w:hAnsi="Times New Roman"/>
          <w:vertAlign w:val="subscript"/>
          <w:lang w:val="pt-BR"/>
        </w:rPr>
        <w:t xml:space="preserve">, </w:t>
      </w:r>
      <w:r w:rsidR="006664D6">
        <w:rPr>
          <w:rFonts w:ascii="Times New Roman" w:hAnsi="Times New Roman"/>
          <w:lang w:val="pt-BR"/>
        </w:rPr>
        <w:t>3K-</w:t>
      </w:r>
      <w:r w:rsidR="006664D6" w:rsidRPr="00DE2C1B">
        <w:rPr>
          <w:rFonts w:ascii="Times New Roman" w:hAnsi="Times New Roman"/>
          <w:lang w:val="pt-BR"/>
        </w:rPr>
        <w:t>3Mn-15Fe/Nb</w:t>
      </w:r>
      <w:r w:rsidR="006664D6" w:rsidRPr="002D767A">
        <w:rPr>
          <w:rFonts w:ascii="Times New Roman" w:hAnsi="Times New Roman"/>
          <w:vertAlign w:val="subscript"/>
          <w:lang w:val="pt-BR"/>
        </w:rPr>
        <w:t>2</w:t>
      </w:r>
      <w:r w:rsidR="006664D6" w:rsidRPr="00DE2C1B">
        <w:rPr>
          <w:rFonts w:ascii="Times New Roman" w:hAnsi="Times New Roman"/>
          <w:lang w:val="pt-BR"/>
        </w:rPr>
        <w:t>O</w:t>
      </w:r>
      <w:r w:rsidR="006664D6" w:rsidRPr="002D767A">
        <w:rPr>
          <w:rFonts w:ascii="Times New Roman" w:hAnsi="Times New Roman"/>
          <w:vertAlign w:val="subscript"/>
          <w:lang w:val="pt-BR"/>
        </w:rPr>
        <w:t>5</w:t>
      </w:r>
      <w:r w:rsidR="006664D6">
        <w:rPr>
          <w:rFonts w:ascii="Times New Roman" w:hAnsi="Times New Roman"/>
          <w:vertAlign w:val="subscript"/>
          <w:lang w:val="pt-BR"/>
        </w:rPr>
        <w:t xml:space="preserve"> </w:t>
      </w:r>
      <w:r w:rsidR="006664D6" w:rsidRPr="006664D6">
        <w:rPr>
          <w:rFonts w:ascii="Times New Roman" w:hAnsi="Times New Roman"/>
          <w:lang w:val="pt-BR"/>
        </w:rPr>
        <w:t>e</w:t>
      </w:r>
      <w:r w:rsidR="006664D6">
        <w:rPr>
          <w:rFonts w:ascii="Times New Roman" w:hAnsi="Times New Roman"/>
          <w:vertAlign w:val="subscript"/>
          <w:lang w:val="pt-BR"/>
        </w:rPr>
        <w:t xml:space="preserve"> </w:t>
      </w:r>
      <w:r w:rsidR="006664D6">
        <w:rPr>
          <w:rFonts w:ascii="Times New Roman" w:hAnsi="Times New Roman"/>
          <w:lang w:val="pt-BR"/>
        </w:rPr>
        <w:t>5K-</w:t>
      </w:r>
      <w:r w:rsidR="006664D6" w:rsidRPr="00DE2C1B">
        <w:rPr>
          <w:rFonts w:ascii="Times New Roman" w:hAnsi="Times New Roman"/>
          <w:lang w:val="pt-BR"/>
        </w:rPr>
        <w:t>3Mn-15Fe/Nb</w:t>
      </w:r>
      <w:r w:rsidR="006664D6" w:rsidRPr="002D767A">
        <w:rPr>
          <w:rFonts w:ascii="Times New Roman" w:hAnsi="Times New Roman"/>
          <w:vertAlign w:val="subscript"/>
          <w:lang w:val="pt-BR"/>
        </w:rPr>
        <w:t>2</w:t>
      </w:r>
      <w:r w:rsidR="006664D6" w:rsidRPr="00DE2C1B">
        <w:rPr>
          <w:rFonts w:ascii="Times New Roman" w:hAnsi="Times New Roman"/>
          <w:lang w:val="pt-BR"/>
        </w:rPr>
        <w:t>O</w:t>
      </w:r>
      <w:r w:rsidR="006664D6" w:rsidRPr="002D767A">
        <w:rPr>
          <w:rFonts w:ascii="Times New Roman" w:hAnsi="Times New Roman"/>
          <w:vertAlign w:val="subscript"/>
          <w:lang w:val="pt-BR"/>
        </w:rPr>
        <w:t>5</w:t>
      </w:r>
      <w:r w:rsidR="006664D6" w:rsidRPr="006664D6">
        <w:rPr>
          <w:rFonts w:ascii="Times New Roman" w:hAnsi="Times New Roman"/>
          <w:lang w:val="pt-BR"/>
        </w:rPr>
        <w:t>.</w:t>
      </w:r>
    </w:p>
    <w:p w14:paraId="4B5CB79B" w14:textId="2C033ED7" w:rsidR="00EA6F3E" w:rsidRDefault="00EA6F3E" w:rsidP="00DD7EA8">
      <w:pPr>
        <w:pStyle w:val="TAMainText"/>
        <w:spacing w:line="276" w:lineRule="auto"/>
        <w:ind w:firstLine="284"/>
        <w:rPr>
          <w:rFonts w:ascii="Times New Roman" w:hAnsi="Times New Roman"/>
          <w:lang w:val="pt-BR"/>
        </w:rPr>
      </w:pPr>
      <w:r>
        <w:rPr>
          <w:rFonts w:ascii="Times New Roman" w:hAnsi="Times New Roman"/>
          <w:lang w:val="pt-BR"/>
        </w:rPr>
        <w:t xml:space="preserve">Além disso, foi sintetizado </w:t>
      </w:r>
      <w:r w:rsidR="00AD4345">
        <w:rPr>
          <w:rFonts w:ascii="Times New Roman" w:hAnsi="Times New Roman"/>
          <w:lang w:val="pt-BR"/>
        </w:rPr>
        <w:t>as misturas fís</w:t>
      </w:r>
      <w:r w:rsidR="00DB53DA">
        <w:rPr>
          <w:rFonts w:ascii="Times New Roman" w:hAnsi="Times New Roman"/>
          <w:lang w:val="pt-BR"/>
        </w:rPr>
        <w:t xml:space="preserve">icas dos componentes dos catalisadores </w:t>
      </w:r>
      <w:r w:rsidR="006664D6">
        <w:rPr>
          <w:rFonts w:ascii="Times New Roman" w:hAnsi="Times New Roman"/>
          <w:lang w:val="pt-BR"/>
        </w:rPr>
        <w:t xml:space="preserve">fazendo a </w:t>
      </w:r>
      <w:proofErr w:type="spellStart"/>
      <w:r w:rsidR="00DB53DA">
        <w:rPr>
          <w:rStyle w:val="normaltextrun"/>
          <w:color w:val="000000"/>
          <w:shd w:val="clear" w:color="auto" w:fill="FFFFFF"/>
        </w:rPr>
        <w:t>calcina</w:t>
      </w:r>
      <w:r w:rsidR="006664D6">
        <w:rPr>
          <w:rStyle w:val="normaltextrun"/>
          <w:color w:val="000000"/>
          <w:shd w:val="clear" w:color="auto" w:fill="FFFFFF"/>
        </w:rPr>
        <w:t>ção</w:t>
      </w:r>
      <w:proofErr w:type="spellEnd"/>
      <w:r w:rsidR="006664D6">
        <w:rPr>
          <w:rStyle w:val="normaltextrun"/>
          <w:color w:val="000000"/>
          <w:shd w:val="clear" w:color="auto" w:fill="FFFFFF"/>
        </w:rPr>
        <w:t xml:space="preserve"> de </w:t>
      </w:r>
      <w:proofErr w:type="spellStart"/>
      <w:r w:rsidR="00DB53DA">
        <w:rPr>
          <w:rStyle w:val="normaltextrun"/>
          <w:color w:val="000000"/>
          <w:shd w:val="clear" w:color="auto" w:fill="FFFFFF"/>
        </w:rPr>
        <w:t>todos</w:t>
      </w:r>
      <w:proofErr w:type="spellEnd"/>
      <w:r w:rsidR="00DB53DA">
        <w:rPr>
          <w:rStyle w:val="normaltextrun"/>
          <w:color w:val="000000"/>
          <w:shd w:val="clear" w:color="auto" w:fill="FFFFFF"/>
        </w:rPr>
        <w:t xml:space="preserve"> </w:t>
      </w:r>
      <w:proofErr w:type="spellStart"/>
      <w:r w:rsidR="00DB53DA">
        <w:rPr>
          <w:rStyle w:val="normaltextrun"/>
          <w:color w:val="000000"/>
          <w:shd w:val="clear" w:color="auto" w:fill="FFFFFF"/>
        </w:rPr>
        <w:t>os</w:t>
      </w:r>
      <w:proofErr w:type="spellEnd"/>
      <w:r w:rsidR="00DB53DA">
        <w:rPr>
          <w:rStyle w:val="normaltextrun"/>
          <w:color w:val="000000"/>
          <w:shd w:val="clear" w:color="auto" w:fill="FFFFFF"/>
        </w:rPr>
        <w:t xml:space="preserve"> </w:t>
      </w:r>
      <w:proofErr w:type="spellStart"/>
      <w:r w:rsidR="00DB53DA">
        <w:rPr>
          <w:rStyle w:val="normaltextrun"/>
          <w:color w:val="000000"/>
          <w:shd w:val="clear" w:color="auto" w:fill="FFFFFF"/>
        </w:rPr>
        <w:t>componentes</w:t>
      </w:r>
      <w:proofErr w:type="spellEnd"/>
      <w:r w:rsidR="00DB53DA">
        <w:rPr>
          <w:rStyle w:val="normaltextrun"/>
          <w:color w:val="000000"/>
          <w:shd w:val="clear" w:color="auto" w:fill="FFFFFF"/>
        </w:rPr>
        <w:t xml:space="preserve"> </w:t>
      </w:r>
      <w:proofErr w:type="spellStart"/>
      <w:r w:rsidR="00DB53DA">
        <w:rPr>
          <w:rStyle w:val="normaltextrun"/>
          <w:color w:val="000000"/>
          <w:shd w:val="clear" w:color="auto" w:fill="FFFFFF"/>
        </w:rPr>
        <w:t>separadamente</w:t>
      </w:r>
      <w:proofErr w:type="spellEnd"/>
      <w:r w:rsidR="00DB53DA">
        <w:rPr>
          <w:rStyle w:val="normaltextrun"/>
          <w:color w:val="000000"/>
          <w:shd w:val="clear" w:color="auto" w:fill="FFFFFF"/>
        </w:rPr>
        <w:t xml:space="preserve"> e </w:t>
      </w:r>
      <w:proofErr w:type="spellStart"/>
      <w:r w:rsidR="00DB53DA">
        <w:rPr>
          <w:rStyle w:val="normaltextrun"/>
          <w:color w:val="000000"/>
          <w:shd w:val="clear" w:color="auto" w:fill="FFFFFF"/>
        </w:rPr>
        <w:t>macerando-os</w:t>
      </w:r>
      <w:proofErr w:type="spellEnd"/>
      <w:r w:rsidR="00DB53DA">
        <w:rPr>
          <w:rStyle w:val="normaltextrun"/>
          <w:color w:val="000000"/>
          <w:shd w:val="clear" w:color="auto" w:fill="FFFFFF"/>
        </w:rPr>
        <w:t xml:space="preserve"> com as </w:t>
      </w:r>
      <w:proofErr w:type="spellStart"/>
      <w:r w:rsidR="00DB53DA">
        <w:rPr>
          <w:rStyle w:val="normaltextrun"/>
          <w:color w:val="000000"/>
          <w:shd w:val="clear" w:color="auto" w:fill="FFFFFF"/>
        </w:rPr>
        <w:t>mesmas</w:t>
      </w:r>
      <w:proofErr w:type="spellEnd"/>
      <w:r w:rsidR="00DB53DA">
        <w:rPr>
          <w:rStyle w:val="normaltextrun"/>
          <w:color w:val="000000"/>
          <w:shd w:val="clear" w:color="auto" w:fill="FFFFFF"/>
        </w:rPr>
        <w:t xml:space="preserve"> </w:t>
      </w:r>
      <w:proofErr w:type="spellStart"/>
      <w:r w:rsidR="00DB53DA">
        <w:rPr>
          <w:rStyle w:val="normaltextrun"/>
          <w:color w:val="000000"/>
          <w:shd w:val="clear" w:color="auto" w:fill="FFFFFF"/>
        </w:rPr>
        <w:t>proporções</w:t>
      </w:r>
      <w:proofErr w:type="spellEnd"/>
      <w:r w:rsidR="00DB53DA">
        <w:rPr>
          <w:rStyle w:val="normaltextrun"/>
          <w:color w:val="000000"/>
          <w:shd w:val="clear" w:color="auto" w:fill="FFFFFF"/>
        </w:rPr>
        <w:t xml:space="preserve"> dos </w:t>
      </w:r>
      <w:proofErr w:type="spellStart"/>
      <w:r w:rsidR="00DB53DA">
        <w:rPr>
          <w:rStyle w:val="normaltextrun"/>
          <w:color w:val="000000"/>
          <w:shd w:val="clear" w:color="auto" w:fill="FFFFFF"/>
        </w:rPr>
        <w:t>catalisadores</w:t>
      </w:r>
      <w:proofErr w:type="spellEnd"/>
      <w:r w:rsidR="00DB53DA">
        <w:rPr>
          <w:rStyle w:val="normaltextrun"/>
          <w:color w:val="000000"/>
          <w:shd w:val="clear" w:color="auto" w:fill="FFFFFF"/>
        </w:rPr>
        <w:t>.</w:t>
      </w:r>
      <w:r w:rsidR="00DB53DA">
        <w:rPr>
          <w:rStyle w:val="eop"/>
          <w:color w:val="000000"/>
          <w:shd w:val="clear" w:color="auto" w:fill="FFFFFF"/>
        </w:rPr>
        <w:t> </w:t>
      </w:r>
    </w:p>
    <w:p w14:paraId="4E29A86D" w14:textId="77777777" w:rsidR="00DE2C1B" w:rsidRDefault="00DE2C1B" w:rsidP="00DD7EA8">
      <w:pPr>
        <w:pStyle w:val="TAMainText"/>
        <w:spacing w:line="276" w:lineRule="auto"/>
        <w:ind w:firstLine="284"/>
        <w:rPr>
          <w:rFonts w:ascii="Times New Roman" w:hAnsi="Times New Roman"/>
          <w:lang w:val="pt-BR"/>
        </w:rPr>
      </w:pPr>
    </w:p>
    <w:p w14:paraId="017045C8" w14:textId="7545BE1D" w:rsidR="00DF477B" w:rsidRPr="00AF6BCF" w:rsidRDefault="00003257" w:rsidP="00DF477B">
      <w:pPr>
        <w:pStyle w:val="TAMainText"/>
        <w:ind w:firstLine="0"/>
        <w:rPr>
          <w:rFonts w:ascii="Times New Roman" w:hAnsi="Times New Roman"/>
          <w:i/>
          <w:iCs/>
          <w:lang w:val="pt-BR"/>
        </w:rPr>
      </w:pPr>
      <w:r w:rsidRPr="00AF6BCF">
        <w:rPr>
          <w:rFonts w:ascii="Times New Roman" w:hAnsi="Times New Roman"/>
          <w:i/>
          <w:iCs/>
          <w:lang w:val="pt-BR"/>
        </w:rPr>
        <w:t>Caracterização de Catalisadores</w:t>
      </w:r>
    </w:p>
    <w:p w14:paraId="7CFDB81B" w14:textId="77777777" w:rsidR="000F4781" w:rsidRPr="00AF6BCF" w:rsidRDefault="000F4781" w:rsidP="00DF477B">
      <w:pPr>
        <w:pStyle w:val="TAMainText"/>
        <w:ind w:firstLine="0"/>
        <w:rPr>
          <w:rFonts w:ascii="Times New Roman" w:hAnsi="Times New Roman"/>
          <w:lang w:val="pt-BR"/>
        </w:rPr>
      </w:pPr>
    </w:p>
    <w:p w14:paraId="5C81FD7C" w14:textId="138E9A58" w:rsidR="00AF6BCF" w:rsidRDefault="00AF6BCF" w:rsidP="000C32E9">
      <w:pPr>
        <w:pStyle w:val="TAMainText"/>
        <w:rPr>
          <w:rFonts w:ascii="Times New Roman" w:hAnsi="Times New Roman"/>
          <w:lang w:val="pt-BR"/>
        </w:rPr>
      </w:pPr>
      <w:r w:rsidRPr="00AF6BCF">
        <w:rPr>
          <w:rFonts w:ascii="Times New Roman" w:hAnsi="Times New Roman"/>
          <w:lang w:val="pt-BR"/>
        </w:rPr>
        <w:t>As áreas de superfície BET foram determinadas a partir da adsorção-dessorção física de N</w:t>
      </w:r>
      <w:r w:rsidRPr="006664D6">
        <w:rPr>
          <w:rFonts w:ascii="Times New Roman" w:hAnsi="Times New Roman"/>
          <w:vertAlign w:val="subscript"/>
          <w:lang w:val="pt-BR"/>
        </w:rPr>
        <w:t>2</w:t>
      </w:r>
      <w:r w:rsidRPr="00AF6BCF">
        <w:rPr>
          <w:rFonts w:ascii="Times New Roman" w:hAnsi="Times New Roman"/>
          <w:lang w:val="pt-BR"/>
        </w:rPr>
        <w:t xml:space="preserve"> a -196°C. As isotermas de adsorção foram obtidas em </w:t>
      </w:r>
      <w:proofErr w:type="spellStart"/>
      <w:r w:rsidRPr="00AF6BCF">
        <w:rPr>
          <w:rFonts w:ascii="Times New Roman" w:hAnsi="Times New Roman"/>
          <w:lang w:val="pt-BR"/>
        </w:rPr>
        <w:t>Micromeritics</w:t>
      </w:r>
      <w:proofErr w:type="spellEnd"/>
      <w:r w:rsidRPr="00AF6BCF">
        <w:rPr>
          <w:rFonts w:ascii="Times New Roman" w:hAnsi="Times New Roman"/>
          <w:lang w:val="pt-BR"/>
        </w:rPr>
        <w:t xml:space="preserve"> ASAP 2020. Aproximadamente 0,2 g de amostra foram </w:t>
      </w:r>
      <w:proofErr w:type="spellStart"/>
      <w:r w:rsidRPr="00AF6BCF">
        <w:rPr>
          <w:rFonts w:ascii="Times New Roman" w:hAnsi="Times New Roman"/>
          <w:lang w:val="pt-BR"/>
        </w:rPr>
        <w:t>pré-tratados</w:t>
      </w:r>
      <w:proofErr w:type="spellEnd"/>
      <w:r w:rsidRPr="00AF6BCF">
        <w:rPr>
          <w:rFonts w:ascii="Times New Roman" w:hAnsi="Times New Roman"/>
          <w:lang w:val="pt-BR"/>
        </w:rPr>
        <w:t xml:space="preserve"> in situ sob vácuo a 200ºC por 3 horas. A área superficial (S</w:t>
      </w:r>
      <w:r w:rsidRPr="006664D6">
        <w:rPr>
          <w:rFonts w:ascii="Times New Roman" w:hAnsi="Times New Roman"/>
          <w:vertAlign w:val="subscript"/>
          <w:lang w:val="pt-BR"/>
        </w:rPr>
        <w:t>BET</w:t>
      </w:r>
      <w:r w:rsidRPr="00AF6BCF">
        <w:rPr>
          <w:rFonts w:ascii="Times New Roman" w:hAnsi="Times New Roman"/>
          <w:lang w:val="pt-BR"/>
        </w:rPr>
        <w:t>) foi calculada pelo método BET, a área externa (</w:t>
      </w:r>
      <w:proofErr w:type="spellStart"/>
      <w:r w:rsidRPr="00AF6BCF">
        <w:rPr>
          <w:rFonts w:ascii="Times New Roman" w:hAnsi="Times New Roman"/>
          <w:lang w:val="pt-BR"/>
        </w:rPr>
        <w:t>S</w:t>
      </w:r>
      <w:r w:rsidRPr="006664D6">
        <w:rPr>
          <w:rFonts w:ascii="Times New Roman" w:hAnsi="Times New Roman"/>
          <w:vertAlign w:val="subscript"/>
          <w:lang w:val="pt-BR"/>
        </w:rPr>
        <w:t>Ext</w:t>
      </w:r>
      <w:proofErr w:type="spellEnd"/>
      <w:r w:rsidRPr="00AF6BCF">
        <w:rPr>
          <w:rFonts w:ascii="Times New Roman" w:hAnsi="Times New Roman"/>
          <w:lang w:val="pt-BR"/>
        </w:rPr>
        <w:t>), a área microporosa (</w:t>
      </w:r>
      <w:proofErr w:type="spellStart"/>
      <w:r w:rsidRPr="00AF6BCF">
        <w:rPr>
          <w:rFonts w:ascii="Times New Roman" w:hAnsi="Times New Roman"/>
          <w:lang w:val="pt-BR"/>
        </w:rPr>
        <w:t>S</w:t>
      </w:r>
      <w:r w:rsidRPr="006664D6">
        <w:rPr>
          <w:rFonts w:ascii="Times New Roman" w:hAnsi="Times New Roman"/>
          <w:vertAlign w:val="subscript"/>
          <w:lang w:val="pt-BR"/>
        </w:rPr>
        <w:t>Micro</w:t>
      </w:r>
      <w:proofErr w:type="spellEnd"/>
      <w:r w:rsidRPr="00AF6BCF">
        <w:rPr>
          <w:rFonts w:ascii="Times New Roman" w:hAnsi="Times New Roman"/>
          <w:lang w:val="pt-BR"/>
        </w:rPr>
        <w:t>) e o volume microporoso (</w:t>
      </w:r>
      <w:proofErr w:type="spellStart"/>
      <w:r w:rsidRPr="00AF6BCF">
        <w:rPr>
          <w:rFonts w:ascii="Times New Roman" w:hAnsi="Times New Roman"/>
          <w:lang w:val="pt-BR"/>
        </w:rPr>
        <w:t>V</w:t>
      </w:r>
      <w:r w:rsidRPr="006664D6">
        <w:rPr>
          <w:rFonts w:ascii="Times New Roman" w:hAnsi="Times New Roman"/>
          <w:vertAlign w:val="subscript"/>
          <w:lang w:val="pt-BR"/>
        </w:rPr>
        <w:t>Micro</w:t>
      </w:r>
      <w:proofErr w:type="spellEnd"/>
      <w:r w:rsidRPr="00AF6BCF">
        <w:rPr>
          <w:rFonts w:ascii="Times New Roman" w:hAnsi="Times New Roman"/>
          <w:lang w:val="pt-BR"/>
        </w:rPr>
        <w:t>) pelo método t-</w:t>
      </w:r>
      <w:proofErr w:type="spellStart"/>
      <w:r w:rsidRPr="00AF6BCF">
        <w:rPr>
          <w:rFonts w:ascii="Times New Roman" w:hAnsi="Times New Roman"/>
          <w:lang w:val="pt-BR"/>
        </w:rPr>
        <w:t>plot</w:t>
      </w:r>
      <w:proofErr w:type="spellEnd"/>
      <w:r w:rsidRPr="00AF6BCF">
        <w:rPr>
          <w:rFonts w:ascii="Times New Roman" w:hAnsi="Times New Roman"/>
          <w:lang w:val="pt-BR"/>
        </w:rPr>
        <w:t>. O volume total de poros (</w:t>
      </w:r>
      <w:proofErr w:type="spellStart"/>
      <w:r w:rsidRPr="00AF6BCF">
        <w:rPr>
          <w:rFonts w:ascii="Times New Roman" w:hAnsi="Times New Roman"/>
          <w:lang w:val="pt-BR"/>
        </w:rPr>
        <w:t>V</w:t>
      </w:r>
      <w:r w:rsidRPr="006664D6">
        <w:rPr>
          <w:rFonts w:ascii="Times New Roman" w:hAnsi="Times New Roman"/>
          <w:vertAlign w:val="subscript"/>
          <w:lang w:val="pt-BR"/>
        </w:rPr>
        <w:t>Pore</w:t>
      </w:r>
      <w:proofErr w:type="spellEnd"/>
      <w:r w:rsidRPr="00AF6BCF">
        <w:rPr>
          <w:rFonts w:ascii="Times New Roman" w:hAnsi="Times New Roman"/>
          <w:lang w:val="pt-BR"/>
        </w:rPr>
        <w:t>) foi medido pela quantidade de N</w:t>
      </w:r>
      <w:r w:rsidRPr="006664D6">
        <w:rPr>
          <w:rFonts w:ascii="Times New Roman" w:hAnsi="Times New Roman"/>
          <w:vertAlign w:val="subscript"/>
          <w:lang w:val="pt-BR"/>
        </w:rPr>
        <w:t>2</w:t>
      </w:r>
      <w:r w:rsidRPr="00AF6BCF">
        <w:rPr>
          <w:rFonts w:ascii="Times New Roman" w:hAnsi="Times New Roman"/>
          <w:lang w:val="pt-BR"/>
        </w:rPr>
        <w:t xml:space="preserve"> adsorvido a uma pressão relativa próxima à unidade (P/P</w:t>
      </w:r>
      <w:r w:rsidRPr="006664D6">
        <w:rPr>
          <w:rFonts w:ascii="Times New Roman" w:hAnsi="Times New Roman"/>
          <w:vertAlign w:val="subscript"/>
          <w:lang w:val="pt-BR"/>
        </w:rPr>
        <w:t>0</w:t>
      </w:r>
      <w:r w:rsidRPr="00AF6BCF">
        <w:rPr>
          <w:rFonts w:ascii="Times New Roman" w:hAnsi="Times New Roman"/>
          <w:lang w:val="pt-BR"/>
        </w:rPr>
        <w:t> = 0,995). O diâmetro médio dos poros (</w:t>
      </w:r>
      <w:proofErr w:type="spellStart"/>
      <w:r w:rsidRPr="00AF6BCF">
        <w:rPr>
          <w:rFonts w:ascii="Times New Roman" w:hAnsi="Times New Roman"/>
          <w:lang w:val="pt-BR"/>
        </w:rPr>
        <w:t>D</w:t>
      </w:r>
      <w:r w:rsidRPr="006664D6">
        <w:rPr>
          <w:rFonts w:ascii="Times New Roman" w:hAnsi="Times New Roman"/>
          <w:vertAlign w:val="subscript"/>
          <w:lang w:val="pt-BR"/>
        </w:rPr>
        <w:t>Pore</w:t>
      </w:r>
      <w:proofErr w:type="spellEnd"/>
      <w:r w:rsidRPr="00AF6BCF">
        <w:rPr>
          <w:rFonts w:ascii="Times New Roman" w:hAnsi="Times New Roman"/>
          <w:lang w:val="pt-BR"/>
        </w:rPr>
        <w:t>) e o tamanho dos poros foram determinados pelo método BJH.</w:t>
      </w:r>
    </w:p>
    <w:p w14:paraId="680E38D2" w14:textId="1B8683F9" w:rsidR="00E11A8E" w:rsidRPr="000C32E9" w:rsidRDefault="000C32E9" w:rsidP="000C32E9">
      <w:pPr>
        <w:pStyle w:val="TAMainText"/>
        <w:rPr>
          <w:rFonts w:ascii="Times New Roman" w:hAnsi="Times New Roman"/>
          <w:lang w:val="pt-BR"/>
        </w:rPr>
      </w:pPr>
      <w:r w:rsidRPr="000C32E9">
        <w:rPr>
          <w:rFonts w:ascii="Times New Roman" w:hAnsi="Times New Roman"/>
          <w:lang w:val="pt-BR"/>
        </w:rPr>
        <w:t xml:space="preserve">A análise de difração de raios X foi realizada em </w:t>
      </w:r>
      <w:proofErr w:type="spellStart"/>
      <w:r w:rsidRPr="000C32E9">
        <w:rPr>
          <w:rFonts w:ascii="Times New Roman" w:hAnsi="Times New Roman"/>
          <w:lang w:val="pt-BR"/>
        </w:rPr>
        <w:t>difratômetro</w:t>
      </w:r>
      <w:proofErr w:type="spellEnd"/>
      <w:r w:rsidRPr="000C32E9">
        <w:rPr>
          <w:rFonts w:ascii="Times New Roman" w:hAnsi="Times New Roman"/>
          <w:lang w:val="pt-BR"/>
        </w:rPr>
        <w:t xml:space="preserve"> </w:t>
      </w:r>
      <w:proofErr w:type="spellStart"/>
      <w:r w:rsidRPr="000C32E9">
        <w:rPr>
          <w:rFonts w:ascii="Times New Roman" w:hAnsi="Times New Roman"/>
          <w:lang w:val="pt-BR"/>
        </w:rPr>
        <w:t>Shimadzu</w:t>
      </w:r>
      <w:proofErr w:type="spellEnd"/>
      <w:r w:rsidRPr="000C32E9">
        <w:rPr>
          <w:rFonts w:ascii="Times New Roman" w:hAnsi="Times New Roman"/>
          <w:lang w:val="pt-BR"/>
        </w:rPr>
        <w:t xml:space="preserve"> XRD-6000, com radiação </w:t>
      </w:r>
      <w:proofErr w:type="spellStart"/>
      <w:r w:rsidRPr="000C32E9">
        <w:rPr>
          <w:rFonts w:ascii="Times New Roman" w:hAnsi="Times New Roman"/>
          <w:lang w:val="pt-BR"/>
        </w:rPr>
        <w:t>CuK</w:t>
      </w:r>
      <w:proofErr w:type="spellEnd"/>
      <w:r w:rsidRPr="000C32E9">
        <w:rPr>
          <w:rFonts w:ascii="Times New Roman" w:hAnsi="Times New Roman"/>
        </w:rPr>
        <w:t>α</w:t>
      </w:r>
      <w:r w:rsidRPr="000C32E9">
        <w:rPr>
          <w:rFonts w:ascii="Times New Roman" w:hAnsi="Times New Roman"/>
          <w:lang w:val="pt-BR"/>
        </w:rPr>
        <w:t xml:space="preserve"> (</w:t>
      </w:r>
      <w:r w:rsidRPr="000C32E9">
        <w:rPr>
          <w:rFonts w:ascii="Times New Roman" w:hAnsi="Times New Roman"/>
        </w:rPr>
        <w:t>λ</w:t>
      </w:r>
      <w:r w:rsidRPr="000C32E9">
        <w:rPr>
          <w:rFonts w:ascii="Times New Roman" w:hAnsi="Times New Roman"/>
          <w:lang w:val="pt-BR"/>
        </w:rPr>
        <w:t> = 0,1542 </w:t>
      </w:r>
      <w:proofErr w:type="spellStart"/>
      <w:r w:rsidRPr="000C32E9">
        <w:rPr>
          <w:rFonts w:ascii="Times New Roman" w:hAnsi="Times New Roman"/>
          <w:lang w:val="pt-BR"/>
        </w:rPr>
        <w:t>nm</w:t>
      </w:r>
      <w:proofErr w:type="spellEnd"/>
      <w:r w:rsidRPr="000C32E9">
        <w:rPr>
          <w:rFonts w:ascii="Times New Roman" w:hAnsi="Times New Roman"/>
          <w:lang w:val="pt-BR"/>
        </w:rPr>
        <w:t xml:space="preserve">), filtro de Ni, tensão de 40 kV e corrente de </w:t>
      </w:r>
      <w:r w:rsidRPr="000C32E9">
        <w:rPr>
          <w:rFonts w:ascii="Times New Roman" w:hAnsi="Times New Roman"/>
          <w:lang w:val="pt-BR"/>
        </w:rPr>
        <w:t>30 </w:t>
      </w:r>
      <w:proofErr w:type="spellStart"/>
      <w:r w:rsidRPr="000C32E9">
        <w:rPr>
          <w:rFonts w:ascii="Times New Roman" w:hAnsi="Times New Roman"/>
          <w:lang w:val="pt-BR"/>
        </w:rPr>
        <w:t>mA.</w:t>
      </w:r>
      <w:proofErr w:type="spellEnd"/>
      <w:r w:rsidRPr="000C32E9">
        <w:rPr>
          <w:rFonts w:ascii="Times New Roman" w:hAnsi="Times New Roman"/>
          <w:lang w:val="pt-BR"/>
        </w:rPr>
        <w:t xml:space="preserve"> Os dados foram coletados na faixa 2</w:t>
      </w:r>
      <w:r w:rsidRPr="000C32E9">
        <w:rPr>
          <w:rFonts w:ascii="Times New Roman" w:hAnsi="Times New Roman"/>
        </w:rPr>
        <w:t>θ</w:t>
      </w:r>
      <w:r w:rsidRPr="000C32E9">
        <w:rPr>
          <w:rFonts w:ascii="Times New Roman" w:hAnsi="Times New Roman"/>
          <w:lang w:val="pt-BR"/>
        </w:rPr>
        <w:t xml:space="preserve"> de 1–10° e 3–40°, com velocidade do goniômetro de 2</w:t>
      </w:r>
      <w:proofErr w:type="gramStart"/>
      <w:r w:rsidRPr="000C32E9">
        <w:rPr>
          <w:rFonts w:ascii="Times New Roman" w:hAnsi="Times New Roman"/>
          <w:lang w:val="pt-BR"/>
        </w:rPr>
        <w:t>°</w:t>
      </w:r>
      <w:r w:rsidR="006664D6">
        <w:rPr>
          <w:rFonts w:ascii="Times New Roman" w:hAnsi="Times New Roman"/>
          <w:lang w:val="pt-BR"/>
        </w:rPr>
        <w:t>.</w:t>
      </w:r>
      <w:r w:rsidRPr="000C32E9">
        <w:rPr>
          <w:rFonts w:ascii="Times New Roman" w:hAnsi="Times New Roman"/>
          <w:lang w:val="pt-BR"/>
        </w:rPr>
        <w:t>min</w:t>
      </w:r>
      <w:proofErr w:type="gramEnd"/>
      <w:r w:rsidR="006664D6">
        <w:rPr>
          <w:rFonts w:ascii="Times New Roman" w:hAnsi="Times New Roman"/>
          <w:vertAlign w:val="superscript"/>
          <w:lang w:val="pt-BR"/>
        </w:rPr>
        <w:t>-1</w:t>
      </w:r>
      <w:r w:rsidRPr="000C32E9">
        <w:rPr>
          <w:rFonts w:ascii="Times New Roman" w:hAnsi="Times New Roman"/>
          <w:lang w:val="pt-BR"/>
        </w:rPr>
        <w:t xml:space="preserve"> e passo de 0,02°. A equação de </w:t>
      </w:r>
      <w:proofErr w:type="spellStart"/>
      <w:r w:rsidRPr="006664D6">
        <w:rPr>
          <w:rFonts w:ascii="Times New Roman" w:hAnsi="Times New Roman"/>
          <w:i/>
          <w:lang w:val="pt-BR"/>
        </w:rPr>
        <w:t>Scherrer</w:t>
      </w:r>
      <w:proofErr w:type="spellEnd"/>
      <w:r w:rsidRPr="000C32E9">
        <w:rPr>
          <w:rFonts w:ascii="Times New Roman" w:hAnsi="Times New Roman"/>
          <w:lang w:val="pt-BR"/>
        </w:rPr>
        <w:t xml:space="preserve"> (1) foi utilizada para calcular o tamanho do cristalito.</w:t>
      </w:r>
    </w:p>
    <w:tbl>
      <w:tblPr>
        <w:tblStyle w:val="Tabelacomgrade"/>
        <w:tblW w:w="4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50"/>
      </w:tblGrid>
      <w:tr w:rsidR="00B12A4B" w14:paraId="3721898E" w14:textId="77777777" w:rsidTr="00B12A4B">
        <w:tc>
          <w:tcPr>
            <w:tcW w:w="4248" w:type="dxa"/>
          </w:tcPr>
          <w:p w14:paraId="0DE2EF5F" w14:textId="77777777" w:rsidR="00B12A4B" w:rsidRDefault="00000000" w:rsidP="007B1FF3">
            <w:pPr>
              <w:spacing w:line="360" w:lineRule="auto"/>
              <w:jc w:val="both"/>
              <w:rPr>
                <w:color w:val="000000"/>
              </w:rPr>
            </w:pPr>
            <m:oMathPara>
              <m:oMath>
                <m:sSub>
                  <m:sSubPr>
                    <m:ctrlPr>
                      <w:rPr>
                        <w:rFonts w:ascii="Cambria Math" w:eastAsia="Cambria Math" w:hAnsi="Cambria Math" w:cs="Cambria Math"/>
                        <w:color w:val="000000"/>
                      </w:rPr>
                    </m:ctrlPr>
                  </m:sSubPr>
                  <m:e>
                    <m:r>
                      <w:rPr>
                        <w:rFonts w:ascii="Cambria Math" w:eastAsia="Cambria Math" w:hAnsi="Cambria Math" w:cs="Cambria Math"/>
                        <w:color w:val="000000"/>
                      </w:rPr>
                      <m:t>d</m:t>
                    </m:r>
                  </m:e>
                  <m:sub>
                    <m:r>
                      <w:rPr>
                        <w:rFonts w:ascii="Cambria Math" w:eastAsia="Cambria Math" w:hAnsi="Cambria Math" w:cs="Cambria Math"/>
                        <w:color w:val="000000"/>
                      </w:rPr>
                      <m:t>hkl</m:t>
                    </m:r>
                  </m:sub>
                </m:sSub>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K.λ</m:t>
                    </m:r>
                  </m:num>
                  <m:den>
                    <m:sSub>
                      <m:sSubPr>
                        <m:ctrlPr>
                          <w:rPr>
                            <w:rFonts w:ascii="Cambria Math" w:eastAsia="Cambria Math" w:hAnsi="Cambria Math" w:cs="Cambria Math"/>
                            <w:color w:val="000000"/>
                          </w:rPr>
                        </m:ctrlPr>
                      </m:sSubPr>
                      <m:e>
                        <m:r>
                          <w:rPr>
                            <w:rFonts w:ascii="Cambria Math" w:eastAsia="Cambria Math" w:hAnsi="Cambria Math" w:cs="Cambria Math"/>
                            <w:color w:val="000000"/>
                          </w:rPr>
                          <m:t>β</m:t>
                        </m:r>
                      </m:e>
                      <m:sub>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2</m:t>
                            </m:r>
                          </m:den>
                        </m:f>
                      </m:sub>
                    </m:sSub>
                    <m:r>
                      <w:rPr>
                        <w:rFonts w:ascii="Cambria Math" w:eastAsia="Cambria Math" w:hAnsi="Cambria Math" w:cs="Cambria Math"/>
                        <w:color w:val="000000"/>
                      </w:rPr>
                      <m:t>.cos⁡(</m:t>
                    </m:r>
                    <m:sSub>
                      <m:sSubPr>
                        <m:ctrlPr>
                          <w:rPr>
                            <w:rFonts w:ascii="Cambria Math" w:eastAsia="Cambria Math" w:hAnsi="Cambria Math" w:cs="Cambria Math"/>
                            <w:color w:val="000000"/>
                          </w:rPr>
                        </m:ctrlPr>
                      </m:sSubPr>
                      <m:e>
                        <m:r>
                          <w:rPr>
                            <w:rFonts w:ascii="Cambria Math" w:eastAsia="Cambria Math" w:hAnsi="Cambria Math" w:cs="Cambria Math"/>
                            <w:color w:val="000000"/>
                          </w:rPr>
                          <m:t>θ</m:t>
                        </m:r>
                      </m:e>
                      <m:sub>
                        <m:r>
                          <w:rPr>
                            <w:rFonts w:ascii="Cambria Math" w:eastAsia="Cambria Math" w:hAnsi="Cambria Math" w:cs="Cambria Math"/>
                            <w:color w:val="000000"/>
                          </w:rPr>
                          <m:t>hkl</m:t>
                        </m:r>
                      </m:sub>
                    </m:sSub>
                    <m:r>
                      <w:rPr>
                        <w:rFonts w:ascii="Cambria Math" w:eastAsia="Cambria Math" w:hAnsi="Cambria Math" w:cs="Cambria Math"/>
                        <w:color w:val="000000"/>
                      </w:rPr>
                      <m:t>)</m:t>
                    </m:r>
                  </m:den>
                </m:f>
              </m:oMath>
            </m:oMathPara>
          </w:p>
        </w:tc>
        <w:tc>
          <w:tcPr>
            <w:tcW w:w="450" w:type="dxa"/>
          </w:tcPr>
          <w:p w14:paraId="5605C9F4" w14:textId="77777777" w:rsidR="00B12A4B" w:rsidRPr="00B12A4B" w:rsidRDefault="00B12A4B" w:rsidP="00B12A4B">
            <w:pPr>
              <w:spacing w:line="360" w:lineRule="auto"/>
              <w:jc w:val="center"/>
              <w:rPr>
                <w:rFonts w:ascii="Times New Roman" w:hAnsi="Times New Roman" w:cs="Times New Roman"/>
                <w:color w:val="000000"/>
                <w:sz w:val="20"/>
                <w:szCs w:val="20"/>
              </w:rPr>
            </w:pPr>
            <w:r w:rsidRPr="00B12A4B">
              <w:rPr>
                <w:rFonts w:ascii="Times New Roman" w:hAnsi="Times New Roman" w:cs="Times New Roman"/>
                <w:color w:val="000000"/>
                <w:sz w:val="20"/>
                <w:szCs w:val="20"/>
              </w:rPr>
              <w:t>(1)</w:t>
            </w:r>
          </w:p>
        </w:tc>
      </w:tr>
    </w:tbl>
    <w:p w14:paraId="35E5C3E3" w14:textId="227C6BFB" w:rsidR="000F4781" w:rsidRPr="00083244" w:rsidRDefault="00083244" w:rsidP="00DF477B">
      <w:pPr>
        <w:pStyle w:val="TAMainText"/>
        <w:ind w:firstLine="0"/>
        <w:rPr>
          <w:rFonts w:ascii="Times New Roman" w:hAnsi="Times New Roman"/>
          <w:lang w:val="pt-BR"/>
        </w:rPr>
      </w:pPr>
      <w:r w:rsidRPr="00083244">
        <w:rPr>
          <w:color w:val="000000"/>
          <w:lang w:val="pt-BR"/>
        </w:rPr>
        <w:t xml:space="preserve">Onde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d</m:t>
            </m:r>
          </m:e>
          <m:sub>
            <m:r>
              <w:rPr>
                <w:rFonts w:ascii="Cambria Math" w:eastAsia="Cambria Math" w:hAnsi="Cambria Math" w:cs="Cambria Math"/>
                <w:color w:val="000000"/>
                <w:lang w:val="pt-BR"/>
              </w:rPr>
              <m:t>h</m:t>
            </m:r>
            <m:r>
              <w:rPr>
                <w:rFonts w:ascii="Cambria Math" w:eastAsia="Cambria Math" w:hAnsi="Cambria Math" w:cs="Cambria Math"/>
                <w:color w:val="000000"/>
              </w:rPr>
              <m:t>kl</m:t>
            </m:r>
          </m:sub>
        </m:sSub>
      </m:oMath>
      <w:r w:rsidRPr="00083244">
        <w:rPr>
          <w:color w:val="000000"/>
          <w:lang w:val="pt-BR"/>
        </w:rPr>
        <w:t xml:space="preserve"> é a dimensão do cristal perpendicular ao plano </w:t>
      </w:r>
      <m:oMath>
        <m:r>
          <w:rPr>
            <w:rFonts w:ascii="Cambria Math" w:eastAsia="Cambria Math" w:hAnsi="Cambria Math" w:cs="Cambria Math"/>
            <w:color w:val="000000"/>
            <w:lang w:val="pt-BR"/>
          </w:rPr>
          <m:t>h</m:t>
        </m:r>
        <m:r>
          <w:rPr>
            <w:rFonts w:ascii="Cambria Math" w:eastAsia="Cambria Math" w:hAnsi="Cambria Math" w:cs="Cambria Math"/>
            <w:color w:val="000000"/>
          </w:rPr>
          <m:t>kl</m:t>
        </m:r>
      </m:oMath>
      <w:r w:rsidRPr="00083244">
        <w:rPr>
          <w:color w:val="000000"/>
          <w:lang w:val="pt-BR"/>
        </w:rPr>
        <w:t xml:space="preserve"> de difração, </w:t>
      </w:r>
      <m:oMath>
        <m:sSub>
          <m:sSubPr>
            <m:ctrlPr>
              <w:rPr>
                <w:rFonts w:ascii="Cambria Math" w:hAnsi="Cambria Math"/>
              </w:rPr>
            </m:ctrlPr>
          </m:sSubPr>
          <m:e>
            <m:r>
              <w:rPr>
                <w:rFonts w:ascii="Cambria Math" w:hAnsi="Cambria Math"/>
              </w:rPr>
              <m:t>β</m:t>
            </m:r>
          </m:e>
          <m:sub>
            <m:f>
              <m:fPr>
                <m:ctrlPr>
                  <w:rPr>
                    <w:rFonts w:ascii="Cambria Math" w:eastAsia="Cambria Math" w:hAnsi="Cambria Math" w:cs="Cambria Math"/>
                    <w:color w:val="000000"/>
                  </w:rPr>
                </m:ctrlPr>
              </m:fPr>
              <m:num>
                <m:r>
                  <w:rPr>
                    <w:rFonts w:ascii="Cambria Math" w:eastAsia="Cambria Math" w:hAnsi="Cambria Math" w:cs="Cambria Math"/>
                    <w:color w:val="000000"/>
                    <w:lang w:val="pt-BR"/>
                  </w:rPr>
                  <m:t>1</m:t>
                </m:r>
              </m:num>
              <m:den>
                <m:r>
                  <w:rPr>
                    <w:rFonts w:ascii="Cambria Math" w:eastAsia="Cambria Math" w:hAnsi="Cambria Math" w:cs="Cambria Math"/>
                    <w:color w:val="000000"/>
                    <w:lang w:val="pt-BR"/>
                  </w:rPr>
                  <m:t>2</m:t>
                </m:r>
              </m:den>
            </m:f>
          </m:sub>
        </m:sSub>
      </m:oMath>
      <w:r w:rsidRPr="00083244">
        <w:rPr>
          <w:color w:val="000000"/>
          <w:lang w:val="pt-BR"/>
        </w:rPr>
        <w:t xml:space="preserve"> é a largura da meia altura corrigida da linha de difração, expressa em radianos, </w:t>
      </w:r>
      <m:oMath>
        <m:sSub>
          <m:sSubPr>
            <m:ctrlPr>
              <w:rPr>
                <w:rFonts w:ascii="Cambria Math" w:eastAsia="Cambria Math" w:hAnsi="Cambria Math" w:cs="Cambria Math"/>
                <w:color w:val="000000"/>
              </w:rPr>
            </m:ctrlPr>
          </m:sSubPr>
          <m:e>
            <m:r>
              <w:rPr>
                <w:rFonts w:ascii="Cambria Math" w:hAnsi="Cambria Math"/>
              </w:rPr>
              <m:t>θ</m:t>
            </m:r>
          </m:e>
          <m:sub>
            <m:r>
              <w:rPr>
                <w:rFonts w:ascii="Cambria Math" w:eastAsia="Cambria Math" w:hAnsi="Cambria Math" w:cs="Cambria Math"/>
                <w:color w:val="000000"/>
                <w:lang w:val="pt-BR"/>
              </w:rPr>
              <m:t>h</m:t>
            </m:r>
            <m:r>
              <w:rPr>
                <w:rFonts w:ascii="Cambria Math" w:eastAsia="Cambria Math" w:hAnsi="Cambria Math" w:cs="Cambria Math"/>
                <w:color w:val="000000"/>
              </w:rPr>
              <m:t>kl</m:t>
            </m:r>
          </m:sub>
        </m:sSub>
      </m:oMath>
      <w:r w:rsidRPr="00083244">
        <w:rPr>
          <w:color w:val="000000"/>
          <w:lang w:val="pt-BR"/>
        </w:rPr>
        <w:t xml:space="preserve"> é o ângulo do pico de difração, K é a constante de Scherrer que tem o valor de 0,89 e </w:t>
      </w:r>
      <m:oMath>
        <m:r>
          <w:rPr>
            <w:rFonts w:ascii="Cambria Math" w:hAnsi="Cambria Math"/>
          </w:rPr>
          <m:t>λ</m:t>
        </m:r>
      </m:oMath>
      <w:r w:rsidRPr="00083244">
        <w:rPr>
          <w:color w:val="000000"/>
          <w:lang w:val="pt-BR"/>
        </w:rPr>
        <w:t xml:space="preserve"> é o comprimento de onda da radiação empregada (0,15418 nm para radiação de CuK).</w:t>
      </w:r>
    </w:p>
    <w:p w14:paraId="4A07C9D2" w14:textId="6DC394CD" w:rsidR="00D62CDE" w:rsidRDefault="00E92923" w:rsidP="00192643">
      <w:pPr>
        <w:pStyle w:val="TAMainText"/>
        <w:ind w:firstLine="426"/>
        <w:rPr>
          <w:color w:val="000000"/>
          <w:lang w:val="pt-BR"/>
        </w:rPr>
      </w:pPr>
      <w:r>
        <w:rPr>
          <w:rFonts w:ascii="Times New Roman" w:hAnsi="Times New Roman"/>
          <w:lang w:val="pt-BR"/>
        </w:rPr>
        <w:t xml:space="preserve">A </w:t>
      </w:r>
      <w:r w:rsidR="00332B07">
        <w:rPr>
          <w:rFonts w:ascii="Times New Roman" w:hAnsi="Times New Roman"/>
          <w:lang w:val="pt-BR"/>
        </w:rPr>
        <w:t xml:space="preserve">redução a </w:t>
      </w:r>
      <w:r>
        <w:rPr>
          <w:rFonts w:ascii="Times New Roman" w:hAnsi="Times New Roman"/>
          <w:lang w:val="pt-BR"/>
        </w:rPr>
        <w:t>temperatura programada</w:t>
      </w:r>
      <w:r w:rsidR="00192643">
        <w:rPr>
          <w:rFonts w:ascii="Times New Roman" w:hAnsi="Times New Roman"/>
          <w:lang w:val="pt-BR"/>
        </w:rPr>
        <w:t xml:space="preserve"> (TPR</w:t>
      </w:r>
      <w:r w:rsidR="006664D6">
        <w:rPr>
          <w:rFonts w:ascii="Times New Roman" w:hAnsi="Times New Roman"/>
          <w:lang w:val="pt-BR"/>
        </w:rPr>
        <w:t>-H</w:t>
      </w:r>
      <w:r w:rsidR="006664D6" w:rsidRPr="006664D6">
        <w:rPr>
          <w:rFonts w:ascii="Times New Roman" w:hAnsi="Times New Roman"/>
          <w:vertAlign w:val="subscript"/>
          <w:lang w:val="pt-BR"/>
        </w:rPr>
        <w:t>2</w:t>
      </w:r>
      <w:r w:rsidR="00192643">
        <w:rPr>
          <w:rFonts w:ascii="Times New Roman" w:hAnsi="Times New Roman"/>
          <w:lang w:val="pt-BR"/>
        </w:rPr>
        <w:t xml:space="preserve">) </w:t>
      </w:r>
      <w:r>
        <w:rPr>
          <w:rFonts w:ascii="Times New Roman" w:hAnsi="Times New Roman"/>
          <w:lang w:val="pt-BR"/>
        </w:rPr>
        <w:t xml:space="preserve">foi realizada para </w:t>
      </w:r>
      <w:r w:rsidR="00332B07">
        <w:rPr>
          <w:rFonts w:ascii="Times New Roman" w:hAnsi="Times New Roman"/>
          <w:lang w:val="pt-BR"/>
        </w:rPr>
        <w:t>avaliar as espécies presentes e o grau de interação</w:t>
      </w:r>
      <w:r w:rsidR="00E8540C">
        <w:rPr>
          <w:rFonts w:ascii="Times New Roman" w:hAnsi="Times New Roman"/>
          <w:lang w:val="pt-BR"/>
        </w:rPr>
        <w:t xml:space="preserve"> d</w:t>
      </w:r>
      <w:r w:rsidR="009D2496">
        <w:rPr>
          <w:rFonts w:ascii="Times New Roman" w:hAnsi="Times New Roman"/>
          <w:lang w:val="pt-BR"/>
        </w:rPr>
        <w:t>a fase ativa e promovida</w:t>
      </w:r>
      <w:r w:rsidR="00332B07">
        <w:rPr>
          <w:rFonts w:ascii="Times New Roman" w:hAnsi="Times New Roman"/>
          <w:lang w:val="pt-BR"/>
        </w:rPr>
        <w:t xml:space="preserve"> com o suporte</w:t>
      </w:r>
      <w:r w:rsidR="003E115C">
        <w:rPr>
          <w:rFonts w:ascii="Times New Roman" w:hAnsi="Times New Roman"/>
          <w:lang w:val="pt-BR"/>
        </w:rPr>
        <w:t xml:space="preserve">. </w:t>
      </w:r>
      <w:r w:rsidR="00412F0E">
        <w:rPr>
          <w:rFonts w:ascii="Times New Roman" w:hAnsi="Times New Roman"/>
          <w:lang w:val="pt-BR"/>
        </w:rPr>
        <w:t>A</w:t>
      </w:r>
      <w:r w:rsidR="00412F0E" w:rsidRPr="00412F0E">
        <w:rPr>
          <w:color w:val="000000"/>
          <w:lang w:val="pt-BR"/>
        </w:rPr>
        <w:t xml:space="preserve">proximadamente 150 mg de catalisador, </w:t>
      </w:r>
      <w:r w:rsidR="00412F0E">
        <w:rPr>
          <w:color w:val="000000"/>
          <w:lang w:val="pt-BR"/>
        </w:rPr>
        <w:t>foi submetido</w:t>
      </w:r>
      <w:r w:rsidR="00412F0E" w:rsidRPr="00412F0E">
        <w:rPr>
          <w:color w:val="000000"/>
          <w:lang w:val="pt-BR"/>
        </w:rPr>
        <w:t xml:space="preserve"> </w:t>
      </w:r>
      <w:r w:rsidR="0001122D">
        <w:rPr>
          <w:color w:val="000000"/>
          <w:lang w:val="pt-BR"/>
        </w:rPr>
        <w:t>taxa de aquecimento</w:t>
      </w:r>
      <w:r w:rsidR="00412F0E" w:rsidRPr="00412F0E">
        <w:rPr>
          <w:color w:val="000000"/>
          <w:lang w:val="pt-BR"/>
        </w:rPr>
        <w:t xml:space="preserve"> de 10 ºC</w:t>
      </w:r>
      <w:r w:rsidR="006664D6">
        <w:rPr>
          <w:color w:val="000000"/>
          <w:lang w:val="pt-BR"/>
        </w:rPr>
        <w:t>.</w:t>
      </w:r>
      <w:r w:rsidR="00412F0E" w:rsidRPr="00412F0E">
        <w:rPr>
          <w:color w:val="000000"/>
          <w:lang w:val="pt-BR"/>
        </w:rPr>
        <w:t>min</w:t>
      </w:r>
      <w:r w:rsidR="006664D6" w:rsidRPr="006664D6">
        <w:rPr>
          <w:color w:val="000000"/>
          <w:vertAlign w:val="superscript"/>
          <w:lang w:val="pt-BR"/>
        </w:rPr>
        <w:t>-1</w:t>
      </w:r>
      <w:r w:rsidR="00412F0E" w:rsidRPr="00412F0E">
        <w:rPr>
          <w:color w:val="000000"/>
          <w:lang w:val="pt-BR"/>
        </w:rPr>
        <w:t xml:space="preserve"> até 1000 ºC sob fluxo de 30 mL</w:t>
      </w:r>
      <w:r w:rsidR="006664D6">
        <w:rPr>
          <w:color w:val="000000"/>
          <w:lang w:val="pt-BR"/>
        </w:rPr>
        <w:t>.</w:t>
      </w:r>
      <w:r w:rsidR="006664D6" w:rsidRPr="00412F0E">
        <w:rPr>
          <w:color w:val="000000"/>
          <w:lang w:val="pt-BR"/>
        </w:rPr>
        <w:t>min</w:t>
      </w:r>
      <w:r w:rsidR="006664D6" w:rsidRPr="006664D6">
        <w:rPr>
          <w:color w:val="000000"/>
          <w:vertAlign w:val="superscript"/>
          <w:lang w:val="pt-BR"/>
        </w:rPr>
        <w:t>-1</w:t>
      </w:r>
      <w:r w:rsidR="006664D6" w:rsidRPr="00412F0E">
        <w:rPr>
          <w:color w:val="000000"/>
          <w:lang w:val="pt-BR"/>
        </w:rPr>
        <w:t xml:space="preserve"> </w:t>
      </w:r>
      <w:r w:rsidR="00412F0E" w:rsidRPr="00412F0E">
        <w:rPr>
          <w:color w:val="000000"/>
          <w:lang w:val="pt-BR"/>
        </w:rPr>
        <w:t>de</w:t>
      </w:r>
      <w:r w:rsidR="00441022">
        <w:rPr>
          <w:color w:val="000000"/>
          <w:lang w:val="pt-BR"/>
        </w:rPr>
        <w:t xml:space="preserve"> 2%</w:t>
      </w:r>
      <w:r w:rsidR="00412F0E" w:rsidRPr="00412F0E">
        <w:rPr>
          <w:color w:val="000000"/>
          <w:lang w:val="pt-BR"/>
        </w:rPr>
        <w:t xml:space="preserve"> H</w:t>
      </w:r>
      <w:r w:rsidR="00412F0E" w:rsidRPr="00412F0E">
        <w:rPr>
          <w:color w:val="000000"/>
          <w:vertAlign w:val="subscript"/>
          <w:lang w:val="pt-BR"/>
        </w:rPr>
        <w:t>2</w:t>
      </w:r>
      <w:r w:rsidR="00412F0E" w:rsidRPr="00412F0E">
        <w:rPr>
          <w:color w:val="000000"/>
          <w:lang w:val="pt-BR"/>
        </w:rPr>
        <w:t xml:space="preserve">/Ar. </w:t>
      </w:r>
    </w:p>
    <w:p w14:paraId="20540CE0" w14:textId="2383F892" w:rsidR="00C45743" w:rsidRDefault="00C45743" w:rsidP="00192643">
      <w:pPr>
        <w:pStyle w:val="TAMainText"/>
        <w:ind w:firstLine="426"/>
        <w:rPr>
          <w:rFonts w:ascii="Times New Roman" w:hAnsi="Times New Roman"/>
          <w:lang w:val="pt-BR"/>
        </w:rPr>
      </w:pPr>
      <w:r w:rsidRPr="00C45743">
        <w:rPr>
          <w:rFonts w:ascii="Times New Roman" w:hAnsi="Times New Roman"/>
          <w:lang w:val="pt-BR"/>
        </w:rPr>
        <w:t xml:space="preserve">A composição elementar das amostras foi estimada utilizando a espectrometria de fluorescência de raios X (XRF) modelo </w:t>
      </w:r>
      <w:proofErr w:type="spellStart"/>
      <w:r w:rsidRPr="005A30B6">
        <w:rPr>
          <w:rFonts w:ascii="Times New Roman" w:hAnsi="Times New Roman"/>
          <w:i/>
          <w:lang w:val="pt-BR"/>
        </w:rPr>
        <w:t>Bruker</w:t>
      </w:r>
      <w:proofErr w:type="spellEnd"/>
      <w:r w:rsidRPr="005A30B6">
        <w:rPr>
          <w:rFonts w:ascii="Times New Roman" w:hAnsi="Times New Roman"/>
          <w:i/>
          <w:lang w:val="pt-BR"/>
        </w:rPr>
        <w:t xml:space="preserve"> S8 Tiger</w:t>
      </w:r>
      <w:r w:rsidRPr="00C45743">
        <w:rPr>
          <w:rFonts w:ascii="Times New Roman" w:hAnsi="Times New Roman"/>
          <w:lang w:val="pt-BR"/>
        </w:rPr>
        <w:t xml:space="preserve">. </w:t>
      </w:r>
      <w:r w:rsidR="006664D6">
        <w:rPr>
          <w:rFonts w:ascii="Times New Roman" w:hAnsi="Times New Roman"/>
          <w:lang w:val="pt-BR"/>
        </w:rPr>
        <w:t xml:space="preserve">Onde, </w:t>
      </w:r>
      <w:r w:rsidRPr="00C45743">
        <w:rPr>
          <w:rFonts w:ascii="Times New Roman" w:hAnsi="Times New Roman"/>
          <w:lang w:val="pt-BR"/>
        </w:rPr>
        <w:t>100 mg de amostra foi homogeneizada e fundida em uma prensa hidráulica manual Herzog em pastilhas contendo óxido de boro (Sigma Aldrich).</w:t>
      </w:r>
    </w:p>
    <w:p w14:paraId="175BF8F0" w14:textId="3E69D9F7" w:rsidR="00DB53DA" w:rsidRDefault="00DB53DA" w:rsidP="00192643">
      <w:pPr>
        <w:pStyle w:val="TAMainText"/>
        <w:ind w:firstLine="426"/>
        <w:rPr>
          <w:rFonts w:ascii="Times New Roman" w:hAnsi="Times New Roman"/>
          <w:lang w:val="pt-BR"/>
        </w:rPr>
      </w:pPr>
    </w:p>
    <w:p w14:paraId="71F68A58" w14:textId="45266645" w:rsidR="00DB53DA" w:rsidRDefault="00DB53DA" w:rsidP="00DB53DA">
      <w:pPr>
        <w:pStyle w:val="TAMainText"/>
        <w:ind w:firstLine="0"/>
        <w:rPr>
          <w:rFonts w:ascii="Times New Roman" w:hAnsi="Times New Roman"/>
          <w:i/>
          <w:iCs/>
          <w:lang w:val="pt-BR"/>
        </w:rPr>
      </w:pPr>
      <w:r>
        <w:rPr>
          <w:rFonts w:ascii="Times New Roman" w:hAnsi="Times New Roman"/>
          <w:i/>
          <w:iCs/>
          <w:lang w:val="pt-BR"/>
        </w:rPr>
        <w:t>Teste catalítico</w:t>
      </w:r>
    </w:p>
    <w:p w14:paraId="6D2E3DB4" w14:textId="22021E06" w:rsidR="00DB53DA" w:rsidRDefault="00DB53DA" w:rsidP="00DB53DA">
      <w:pPr>
        <w:pStyle w:val="TAMainText"/>
        <w:ind w:firstLine="0"/>
        <w:rPr>
          <w:rFonts w:ascii="Times New Roman" w:hAnsi="Times New Roman"/>
          <w:i/>
          <w:iCs/>
          <w:lang w:val="pt-BR"/>
        </w:rPr>
      </w:pPr>
    </w:p>
    <w:p w14:paraId="16390351" w14:textId="77777777" w:rsidR="002D767A" w:rsidRDefault="00DB53DA" w:rsidP="00DB53DA">
      <w:pPr>
        <w:pStyle w:val="TAMainText"/>
        <w:spacing w:line="276" w:lineRule="auto"/>
        <w:ind w:firstLine="284"/>
        <w:rPr>
          <w:rFonts w:ascii="Times New Roman" w:hAnsi="Times New Roman"/>
          <w:lang w:val="pt-BR"/>
        </w:rPr>
      </w:pPr>
      <w:r w:rsidRPr="00DB53DA">
        <w:rPr>
          <w:rFonts w:ascii="Times New Roman" w:hAnsi="Times New Roman"/>
          <w:lang w:val="pt-BR"/>
        </w:rPr>
        <w:t xml:space="preserve">As reações </w:t>
      </w:r>
      <w:r>
        <w:rPr>
          <w:rFonts w:ascii="Times New Roman" w:hAnsi="Times New Roman"/>
          <w:lang w:val="pt-BR"/>
        </w:rPr>
        <w:t>de</w:t>
      </w:r>
      <w:r w:rsidRPr="00DB53DA">
        <w:rPr>
          <w:rFonts w:ascii="Times New Roman" w:hAnsi="Times New Roman"/>
          <w:lang w:val="pt-BR"/>
        </w:rPr>
        <w:t xml:space="preserve"> Fischer-Tropsch foram realizadas em um reator de leito fixo sob fluxo contínuo.</w:t>
      </w:r>
      <w:r>
        <w:rPr>
          <w:rFonts w:ascii="Times New Roman" w:hAnsi="Times New Roman"/>
          <w:lang w:val="pt-BR"/>
        </w:rPr>
        <w:t xml:space="preserve"> </w:t>
      </w:r>
      <w:r w:rsidRPr="00DB53DA">
        <w:rPr>
          <w:rFonts w:ascii="Times New Roman" w:hAnsi="Times New Roman"/>
          <w:lang w:val="pt-BR"/>
        </w:rPr>
        <w:t xml:space="preserve">Em cada teste catalítico </w:t>
      </w:r>
      <w:r>
        <w:rPr>
          <w:rFonts w:ascii="Times New Roman" w:hAnsi="Times New Roman"/>
          <w:lang w:val="pt-BR"/>
        </w:rPr>
        <w:t xml:space="preserve">foram </w:t>
      </w:r>
      <w:r w:rsidR="002D767A">
        <w:rPr>
          <w:rFonts w:ascii="Times New Roman" w:hAnsi="Times New Roman"/>
          <w:lang w:val="pt-BR"/>
        </w:rPr>
        <w:t>adicionados</w:t>
      </w:r>
      <w:r w:rsidRPr="00DB53DA">
        <w:rPr>
          <w:rFonts w:ascii="Times New Roman" w:hAnsi="Times New Roman"/>
          <w:lang w:val="pt-BR"/>
        </w:rPr>
        <w:t xml:space="preserve"> 500 mg de catalisador diluídos em </w:t>
      </w:r>
      <w:r>
        <w:rPr>
          <w:rFonts w:ascii="Times New Roman" w:hAnsi="Times New Roman"/>
          <w:lang w:val="pt-BR"/>
        </w:rPr>
        <w:t>500</w:t>
      </w:r>
      <w:r w:rsidRPr="00DB53DA">
        <w:rPr>
          <w:rFonts w:ascii="Times New Roman" w:hAnsi="Times New Roman"/>
          <w:lang w:val="pt-BR"/>
        </w:rPr>
        <w:t xml:space="preserve"> </w:t>
      </w:r>
      <w:r w:rsidR="002D767A">
        <w:rPr>
          <w:rFonts w:ascii="Times New Roman" w:hAnsi="Times New Roman"/>
          <w:lang w:val="pt-BR"/>
        </w:rPr>
        <w:t>m</w:t>
      </w:r>
      <w:r w:rsidRPr="00DB53DA">
        <w:rPr>
          <w:rFonts w:ascii="Times New Roman" w:hAnsi="Times New Roman"/>
          <w:lang w:val="pt-BR"/>
        </w:rPr>
        <w:t xml:space="preserve">g de areia de quartzo (50 ─ 70 </w:t>
      </w:r>
      <w:proofErr w:type="spellStart"/>
      <w:r w:rsidRPr="00DB53DA">
        <w:rPr>
          <w:rFonts w:ascii="Times New Roman" w:hAnsi="Times New Roman"/>
          <w:lang w:val="pt-BR"/>
        </w:rPr>
        <w:t>mesh</w:t>
      </w:r>
      <w:proofErr w:type="spellEnd"/>
      <w:r w:rsidRPr="00DB53DA">
        <w:rPr>
          <w:rFonts w:ascii="Times New Roman" w:hAnsi="Times New Roman"/>
          <w:lang w:val="pt-BR"/>
        </w:rPr>
        <w:t>, Sigma-Aldrich).</w:t>
      </w:r>
      <w:r w:rsidR="002D767A">
        <w:rPr>
          <w:rFonts w:ascii="Times New Roman" w:hAnsi="Times New Roman"/>
          <w:lang w:val="pt-BR"/>
        </w:rPr>
        <w:t xml:space="preserve"> </w:t>
      </w:r>
    </w:p>
    <w:p w14:paraId="46469AEE" w14:textId="46A8AC47" w:rsidR="00DB53DA" w:rsidRDefault="002D767A" w:rsidP="00DB53DA">
      <w:pPr>
        <w:pStyle w:val="TAMainText"/>
        <w:spacing w:line="276" w:lineRule="auto"/>
        <w:ind w:firstLine="284"/>
        <w:rPr>
          <w:rFonts w:ascii="Times New Roman" w:hAnsi="Times New Roman"/>
          <w:lang w:val="pt-BR"/>
        </w:rPr>
      </w:pPr>
      <w:r w:rsidRPr="00824B37">
        <w:rPr>
          <w:lang w:val="pt-BR"/>
        </w:rPr>
        <w:t>Antes da reação de Fischer-Tropsch, o catalisador foi reduzido in situ sob fluxo de hidrogênio ultra puro (White Martins, 99,99%) a 50 mL·min</w:t>
      </w:r>
      <w:r w:rsidRPr="00824B37">
        <w:rPr>
          <w:vertAlign w:val="superscript"/>
          <w:lang w:val="pt-BR"/>
        </w:rPr>
        <w:t>-1</w:t>
      </w:r>
      <w:r w:rsidRPr="00824B37">
        <w:rPr>
          <w:lang w:val="pt-BR"/>
        </w:rPr>
        <w:t>, em pressão atmosférica e aquecido da temperatura ambiente até 400 °C a uma taxa de 1 °C·min</w:t>
      </w:r>
      <w:r w:rsidRPr="00824B37">
        <w:rPr>
          <w:vertAlign w:val="superscript"/>
          <w:lang w:val="pt-BR"/>
        </w:rPr>
        <w:t>-1</w:t>
      </w:r>
      <w:r w:rsidRPr="00824B37">
        <w:rPr>
          <w:lang w:val="pt-BR"/>
        </w:rPr>
        <w:t xml:space="preserve"> por 12 h. Após redução, o reator foi resfriado sob fluxo de hidrogênio até 250 °C e pressurizado a 20 bar. Então, para a reação, o gás de síntese (H</w:t>
      </w:r>
      <w:r w:rsidRPr="00824B37">
        <w:rPr>
          <w:vertAlign w:val="subscript"/>
          <w:lang w:val="pt-BR"/>
        </w:rPr>
        <w:t>2</w:t>
      </w:r>
      <w:r w:rsidRPr="00824B37">
        <w:rPr>
          <w:lang w:val="pt-BR"/>
        </w:rPr>
        <w:t>:CO=2) foi introduzido no reator e a reação foi conduzida por 36 h, a 20</w:t>
      </w:r>
      <w:r w:rsidR="006664D6" w:rsidRPr="00824B37">
        <w:rPr>
          <w:lang w:val="pt-BR"/>
        </w:rPr>
        <w:t xml:space="preserve"> </w:t>
      </w:r>
      <w:r w:rsidRPr="00824B37">
        <w:rPr>
          <w:lang w:val="pt-BR"/>
        </w:rPr>
        <w:t>bar e 250 °C. Os testes</w:t>
      </w:r>
      <w:r w:rsidR="00DB53DA" w:rsidRPr="00DB53DA">
        <w:rPr>
          <w:rFonts w:ascii="Times New Roman" w:hAnsi="Times New Roman"/>
          <w:lang w:val="pt-BR"/>
        </w:rPr>
        <w:t xml:space="preserve"> </w:t>
      </w:r>
      <w:r w:rsidRPr="00824B37">
        <w:rPr>
          <w:lang w:val="pt-BR"/>
        </w:rPr>
        <w:t xml:space="preserve">foram realizados em baixas conversões (GHSV </w:t>
      </w:r>
      <w:r w:rsidRPr="00824B37">
        <w:rPr>
          <w:rFonts w:ascii="Tahoma" w:hAnsi="Tahoma" w:cs="Tahoma"/>
          <w:lang w:val="pt-BR"/>
        </w:rPr>
        <w:t>⁓</w:t>
      </w:r>
      <w:r w:rsidRPr="00824B37">
        <w:rPr>
          <w:lang w:val="pt-BR"/>
        </w:rPr>
        <w:t xml:space="preserve"> 1600 h</w:t>
      </w:r>
      <w:r w:rsidRPr="00824B37">
        <w:rPr>
          <w:vertAlign w:val="superscript"/>
          <w:lang w:val="pt-BR"/>
        </w:rPr>
        <w:t>-1</w:t>
      </w:r>
      <w:r w:rsidRPr="00824B37">
        <w:rPr>
          <w:lang w:val="pt-BR"/>
        </w:rPr>
        <w:t xml:space="preserve">) e altas conversões (GHSV </w:t>
      </w:r>
      <w:r w:rsidRPr="00824B37">
        <w:rPr>
          <w:rFonts w:ascii="Tahoma" w:hAnsi="Tahoma" w:cs="Tahoma"/>
          <w:lang w:val="pt-BR"/>
        </w:rPr>
        <w:t>⁓</w:t>
      </w:r>
      <w:r w:rsidRPr="00824B37">
        <w:rPr>
          <w:lang w:val="pt-BR"/>
        </w:rPr>
        <w:t xml:space="preserve"> 500 h</w:t>
      </w:r>
      <w:r w:rsidRPr="00824B37">
        <w:rPr>
          <w:vertAlign w:val="superscript"/>
          <w:lang w:val="pt-BR"/>
        </w:rPr>
        <w:t>-1</w:t>
      </w:r>
      <w:r w:rsidRPr="00824B37">
        <w:rPr>
          <w:lang w:val="pt-BR"/>
        </w:rPr>
        <w:t xml:space="preserve">) para avaliar possível aplicação do catalisador. </w:t>
      </w:r>
    </w:p>
    <w:p w14:paraId="1E34DE6F" w14:textId="77777777" w:rsidR="0020346C" w:rsidRDefault="0020346C" w:rsidP="00076774">
      <w:pPr>
        <w:pStyle w:val="TAMainText"/>
        <w:ind w:firstLine="284"/>
        <w:rPr>
          <w:rFonts w:ascii="Times New Roman" w:hAnsi="Times New Roman"/>
          <w:lang w:val="pt-BR"/>
        </w:rPr>
      </w:pPr>
    </w:p>
    <w:p w14:paraId="136BD1AC" w14:textId="0A4DA1D1" w:rsidR="00EA4E1B" w:rsidRPr="001F25B2" w:rsidRDefault="00B21B1B" w:rsidP="00DD7EA8">
      <w:pPr>
        <w:pStyle w:val="Ttulo2"/>
        <w:spacing w:line="276" w:lineRule="auto"/>
        <w:rPr>
          <w:rFonts w:ascii="Helvetica" w:hAnsi="Helvetica" w:cs="Helvetica"/>
          <w:sz w:val="24"/>
          <w:szCs w:val="24"/>
        </w:rPr>
      </w:pPr>
      <w:r w:rsidRPr="00B21B1B">
        <w:rPr>
          <w:rFonts w:ascii="Helvetica" w:hAnsi="Helvetica" w:cs="Helvetica"/>
          <w:sz w:val="24"/>
          <w:szCs w:val="24"/>
        </w:rPr>
        <w:t>Result</w:t>
      </w:r>
      <w:r w:rsidR="00332B07">
        <w:rPr>
          <w:rFonts w:ascii="Helvetica" w:hAnsi="Helvetica" w:cs="Helvetica"/>
          <w:sz w:val="24"/>
          <w:szCs w:val="24"/>
        </w:rPr>
        <w:t>ados</w:t>
      </w:r>
      <w:r w:rsidRPr="00B21B1B">
        <w:rPr>
          <w:rFonts w:ascii="Helvetica" w:hAnsi="Helvetica" w:cs="Helvetica"/>
          <w:sz w:val="24"/>
          <w:szCs w:val="24"/>
        </w:rPr>
        <w:t xml:space="preserve"> </w:t>
      </w:r>
      <w:r w:rsidR="00332B07">
        <w:rPr>
          <w:rFonts w:ascii="Helvetica" w:hAnsi="Helvetica" w:cs="Helvetica"/>
          <w:sz w:val="24"/>
          <w:szCs w:val="24"/>
        </w:rPr>
        <w:t>e</w:t>
      </w:r>
      <w:r w:rsidRPr="00B21B1B">
        <w:rPr>
          <w:rFonts w:ascii="Helvetica" w:hAnsi="Helvetica" w:cs="Helvetica"/>
          <w:sz w:val="24"/>
          <w:szCs w:val="24"/>
        </w:rPr>
        <w:t xml:space="preserve"> </w:t>
      </w:r>
      <w:r w:rsidR="00332B07">
        <w:rPr>
          <w:rFonts w:ascii="Helvetica" w:hAnsi="Helvetica" w:cs="Helvetica"/>
          <w:sz w:val="24"/>
          <w:szCs w:val="24"/>
        </w:rPr>
        <w:t>Discussão</w:t>
      </w:r>
    </w:p>
    <w:p w14:paraId="14B6F11A" w14:textId="3AF6FDDB" w:rsidR="00EA4E1B" w:rsidRDefault="00EA4E1B" w:rsidP="00DD7EA8">
      <w:pPr>
        <w:pStyle w:val="TAMainText"/>
        <w:spacing w:line="276" w:lineRule="auto"/>
        <w:ind w:firstLine="187"/>
        <w:rPr>
          <w:lang w:val="pt-BR"/>
        </w:rPr>
      </w:pPr>
    </w:p>
    <w:p w14:paraId="64283699" w14:textId="1FC18FCC" w:rsidR="0020346C" w:rsidRDefault="00F93CDF" w:rsidP="00DD7EA8">
      <w:pPr>
        <w:spacing w:line="276" w:lineRule="auto"/>
        <w:ind w:firstLine="284"/>
        <w:jc w:val="both"/>
        <w:rPr>
          <w:rFonts w:ascii="Times New Roman" w:hAnsi="Times New Roman" w:cs="Times New Roman"/>
          <w:sz w:val="20"/>
          <w:szCs w:val="20"/>
        </w:rPr>
      </w:pPr>
      <w:r w:rsidRPr="00F93CDF">
        <w:rPr>
          <w:rFonts w:ascii="Times New Roman" w:hAnsi="Times New Roman" w:cs="Times New Roman"/>
          <w:sz w:val="20"/>
          <w:szCs w:val="20"/>
        </w:rPr>
        <w:t xml:space="preserve">As áreas superficiais e outras informações das propriedades texturais dos catalisadores podem ser encontradas </w:t>
      </w:r>
      <w:r w:rsidR="00211081" w:rsidRPr="00F93CDF">
        <w:rPr>
          <w:rFonts w:ascii="Times New Roman" w:hAnsi="Times New Roman" w:cs="Times New Roman"/>
          <w:sz w:val="20"/>
          <w:szCs w:val="20"/>
        </w:rPr>
        <w:t>na Tabela</w:t>
      </w:r>
      <w:r w:rsidRPr="00F93CDF">
        <w:rPr>
          <w:rFonts w:ascii="Times New Roman" w:hAnsi="Times New Roman" w:cs="Times New Roman"/>
          <w:sz w:val="20"/>
          <w:szCs w:val="20"/>
        </w:rPr>
        <w:t xml:space="preserve"> </w:t>
      </w:r>
      <w:r>
        <w:rPr>
          <w:rFonts w:ascii="Times New Roman" w:hAnsi="Times New Roman" w:cs="Times New Roman"/>
          <w:sz w:val="20"/>
          <w:szCs w:val="20"/>
        </w:rPr>
        <w:t xml:space="preserve">1. </w:t>
      </w:r>
    </w:p>
    <w:p w14:paraId="07A72062" w14:textId="519549F7" w:rsidR="00B86A8C" w:rsidRPr="004D0C5A" w:rsidRDefault="00EA1A2C" w:rsidP="00DD7EA8">
      <w:pPr>
        <w:spacing w:line="276" w:lineRule="auto"/>
        <w:jc w:val="both"/>
        <w:rPr>
          <w:rFonts w:ascii="Times New Roman" w:hAnsi="Times New Roman" w:cs="Times New Roman"/>
          <w:sz w:val="20"/>
          <w:szCs w:val="20"/>
        </w:rPr>
      </w:pPr>
      <w:r w:rsidRPr="00EA1A2C">
        <w:rPr>
          <w:rFonts w:ascii="Times New Roman" w:hAnsi="Times New Roman" w:cs="Times New Roman"/>
          <w:b/>
          <w:bCs/>
          <w:sz w:val="20"/>
          <w:szCs w:val="20"/>
        </w:rPr>
        <w:lastRenderedPageBreak/>
        <w:t xml:space="preserve">Tabela 1. </w:t>
      </w:r>
      <w:r w:rsidR="004D0C5A" w:rsidRPr="004D0C5A">
        <w:rPr>
          <w:rFonts w:ascii="Times New Roman" w:hAnsi="Times New Roman" w:cs="Times New Roman"/>
          <w:sz w:val="20"/>
          <w:szCs w:val="20"/>
        </w:rPr>
        <w:t>Propriedades texturais dos catalisadores.</w:t>
      </w:r>
    </w:p>
    <w:tbl>
      <w:tblPr>
        <w:tblW w:w="4921" w:type="dxa"/>
        <w:tblCellMar>
          <w:left w:w="70" w:type="dxa"/>
          <w:right w:w="70" w:type="dxa"/>
        </w:tblCellMar>
        <w:tblLook w:val="04A0" w:firstRow="1" w:lastRow="0" w:firstColumn="1" w:lastColumn="0" w:noHBand="0" w:noVBand="1"/>
      </w:tblPr>
      <w:tblGrid>
        <w:gridCol w:w="1701"/>
        <w:gridCol w:w="1300"/>
        <w:gridCol w:w="960"/>
        <w:gridCol w:w="960"/>
      </w:tblGrid>
      <w:tr w:rsidR="006D1AEF" w:rsidRPr="006D1AEF" w14:paraId="59DE5A4B" w14:textId="77777777" w:rsidTr="006664D6">
        <w:trPr>
          <w:trHeight w:val="825"/>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0B22A" w14:textId="77777777" w:rsidR="006D1AEF" w:rsidRPr="006664D6" w:rsidRDefault="006D1AEF" w:rsidP="00DD7EA8">
            <w:pPr>
              <w:spacing w:after="0" w:line="276" w:lineRule="auto"/>
              <w:jc w:val="center"/>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Catalisadores</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FA3F0" w14:textId="77777777" w:rsidR="006D1AEF" w:rsidRPr="006664D6" w:rsidRDefault="006D1AEF" w:rsidP="00DD7EA8">
            <w:pPr>
              <w:spacing w:after="0" w:line="276" w:lineRule="auto"/>
              <w:jc w:val="center"/>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Área superficial BET (m</w:t>
            </w:r>
            <w:r w:rsidRPr="006664D6">
              <w:rPr>
                <w:rFonts w:ascii="Times New Roman" w:eastAsia="Times New Roman" w:hAnsi="Times New Roman" w:cs="Times New Roman"/>
                <w:b/>
                <w:color w:val="000000"/>
                <w:sz w:val="20"/>
                <w:szCs w:val="20"/>
                <w:vertAlign w:val="superscript"/>
                <w:lang w:eastAsia="pt-BR"/>
              </w:rPr>
              <w:t>2</w:t>
            </w:r>
            <w:r w:rsidRPr="006664D6">
              <w:rPr>
                <w:rFonts w:ascii="Times New Roman" w:eastAsia="Times New Roman" w:hAnsi="Times New Roman" w:cs="Times New Roman"/>
                <w:b/>
                <w:color w:val="000000"/>
                <w:sz w:val="20"/>
                <w:szCs w:val="20"/>
                <w:lang w:eastAsia="pt-BR"/>
              </w:rPr>
              <w:t>/g)</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10E40" w14:textId="77777777" w:rsidR="006D1AEF" w:rsidRPr="006664D6" w:rsidRDefault="006D1AEF" w:rsidP="00DD7EA8">
            <w:pPr>
              <w:spacing w:after="0" w:line="276" w:lineRule="auto"/>
              <w:jc w:val="center"/>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Volume de poros (cm</w:t>
            </w:r>
            <w:r w:rsidRPr="006664D6">
              <w:rPr>
                <w:rFonts w:ascii="Times New Roman" w:eastAsia="Times New Roman" w:hAnsi="Times New Roman" w:cs="Times New Roman"/>
                <w:b/>
                <w:color w:val="000000"/>
                <w:sz w:val="20"/>
                <w:szCs w:val="20"/>
                <w:vertAlign w:val="superscript"/>
                <w:lang w:eastAsia="pt-BR"/>
              </w:rPr>
              <w:t>3</w:t>
            </w:r>
            <w:r w:rsidRPr="006664D6">
              <w:rPr>
                <w:rFonts w:ascii="Times New Roman" w:eastAsia="Times New Roman" w:hAnsi="Times New Roman" w:cs="Times New Roman"/>
                <w:b/>
                <w:color w:val="000000"/>
                <w:sz w:val="20"/>
                <w:szCs w:val="20"/>
                <w:lang w:eastAsia="pt-BR"/>
              </w:rPr>
              <w:t>/g)</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C5B7B" w14:textId="77777777" w:rsidR="006D1AEF" w:rsidRPr="006664D6" w:rsidRDefault="006D1AEF" w:rsidP="00DD7EA8">
            <w:pPr>
              <w:spacing w:after="0" w:line="276" w:lineRule="auto"/>
              <w:jc w:val="center"/>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Diâmetro de poros (</w:t>
            </w:r>
            <w:proofErr w:type="spellStart"/>
            <w:r w:rsidRPr="006664D6">
              <w:rPr>
                <w:rFonts w:ascii="Times New Roman" w:eastAsia="Times New Roman" w:hAnsi="Times New Roman" w:cs="Times New Roman"/>
                <w:b/>
                <w:color w:val="000000"/>
                <w:sz w:val="20"/>
                <w:szCs w:val="20"/>
                <w:lang w:eastAsia="pt-BR"/>
              </w:rPr>
              <w:t>nm</w:t>
            </w:r>
            <w:proofErr w:type="spellEnd"/>
            <w:r w:rsidRPr="006664D6">
              <w:rPr>
                <w:rFonts w:ascii="Times New Roman" w:eastAsia="Times New Roman" w:hAnsi="Times New Roman" w:cs="Times New Roman"/>
                <w:b/>
                <w:color w:val="000000"/>
                <w:sz w:val="20"/>
                <w:szCs w:val="20"/>
                <w:lang w:eastAsia="pt-BR"/>
              </w:rPr>
              <w:t>)</w:t>
            </w:r>
          </w:p>
        </w:tc>
      </w:tr>
      <w:tr w:rsidR="006D1AEF" w:rsidRPr="006D1AEF" w14:paraId="52550F99" w14:textId="77777777" w:rsidTr="006664D6">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23ADC91" w14:textId="77777777" w:rsidR="006D1AEF" w:rsidRPr="006664D6" w:rsidRDefault="006D1AEF" w:rsidP="00DD7EA8">
            <w:pPr>
              <w:spacing w:after="0" w:line="276" w:lineRule="auto"/>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Nb</w:t>
            </w:r>
            <w:r w:rsidRPr="006664D6">
              <w:rPr>
                <w:rFonts w:ascii="Times New Roman" w:eastAsia="Times New Roman" w:hAnsi="Times New Roman" w:cs="Times New Roman"/>
                <w:b/>
                <w:color w:val="000000"/>
                <w:sz w:val="20"/>
                <w:szCs w:val="20"/>
                <w:vertAlign w:val="subscript"/>
                <w:lang w:eastAsia="pt-BR"/>
              </w:rPr>
              <w:t>2</w:t>
            </w:r>
            <w:r w:rsidRPr="006664D6">
              <w:rPr>
                <w:rFonts w:ascii="Times New Roman" w:eastAsia="Times New Roman" w:hAnsi="Times New Roman" w:cs="Times New Roman"/>
                <w:b/>
                <w:color w:val="000000"/>
                <w:sz w:val="20"/>
                <w:szCs w:val="20"/>
                <w:lang w:eastAsia="pt-BR"/>
              </w:rPr>
              <w:t>O</w:t>
            </w:r>
            <w:r w:rsidRPr="006664D6">
              <w:rPr>
                <w:rFonts w:ascii="Times New Roman" w:eastAsia="Times New Roman" w:hAnsi="Times New Roman" w:cs="Times New Roman"/>
                <w:b/>
                <w:color w:val="000000"/>
                <w:sz w:val="20"/>
                <w:szCs w:val="20"/>
                <w:vertAlign w:val="subscript"/>
                <w:lang w:eastAsia="pt-BR"/>
              </w:rPr>
              <w:t>5</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672C810A" w14:textId="77777777" w:rsidR="006D1AEF" w:rsidRPr="006D1AEF" w:rsidRDefault="006D1AEF" w:rsidP="00DD7EA8">
            <w:pPr>
              <w:spacing w:after="0" w:line="276" w:lineRule="auto"/>
              <w:jc w:val="center"/>
              <w:rPr>
                <w:rFonts w:ascii="Times New Roman" w:eastAsia="Times New Roman" w:hAnsi="Times New Roman" w:cs="Times New Roman"/>
                <w:color w:val="000000"/>
                <w:sz w:val="20"/>
                <w:szCs w:val="20"/>
                <w:lang w:eastAsia="pt-BR"/>
              </w:rPr>
            </w:pPr>
            <w:r w:rsidRPr="006D1AEF">
              <w:rPr>
                <w:rFonts w:ascii="Times New Roman" w:eastAsia="Times New Roman" w:hAnsi="Times New Roman" w:cs="Times New Roman"/>
                <w:color w:val="000000"/>
                <w:sz w:val="20"/>
                <w:szCs w:val="20"/>
                <w:lang w:eastAsia="pt-BR"/>
              </w:rPr>
              <w:t>33,20</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15F38B9" w14:textId="77777777" w:rsidR="006D1AEF" w:rsidRPr="006D1AEF" w:rsidRDefault="006D1AEF" w:rsidP="00DD7EA8">
            <w:pPr>
              <w:spacing w:after="0" w:line="276" w:lineRule="auto"/>
              <w:jc w:val="center"/>
              <w:rPr>
                <w:rFonts w:ascii="Times New Roman" w:eastAsia="Times New Roman" w:hAnsi="Times New Roman" w:cs="Times New Roman"/>
                <w:color w:val="000000"/>
                <w:sz w:val="20"/>
                <w:szCs w:val="20"/>
                <w:lang w:eastAsia="pt-BR"/>
              </w:rPr>
            </w:pPr>
            <w:r w:rsidRPr="006D1AEF">
              <w:rPr>
                <w:rFonts w:ascii="Times New Roman" w:eastAsia="Times New Roman" w:hAnsi="Times New Roman" w:cs="Times New Roman"/>
                <w:color w:val="000000"/>
                <w:sz w:val="20"/>
                <w:szCs w:val="20"/>
                <w:lang w:eastAsia="pt-BR"/>
              </w:rPr>
              <w:t>0,08</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D0FCDC0" w14:textId="77777777" w:rsidR="006D1AEF" w:rsidRPr="006D1AEF" w:rsidRDefault="006D1AEF" w:rsidP="00DD7EA8">
            <w:pPr>
              <w:spacing w:after="0" w:line="276" w:lineRule="auto"/>
              <w:jc w:val="center"/>
              <w:rPr>
                <w:rFonts w:ascii="Times New Roman" w:eastAsia="Times New Roman" w:hAnsi="Times New Roman" w:cs="Times New Roman"/>
                <w:color w:val="000000"/>
                <w:sz w:val="20"/>
                <w:szCs w:val="20"/>
                <w:lang w:eastAsia="pt-BR"/>
              </w:rPr>
            </w:pPr>
            <w:r w:rsidRPr="006D1AEF">
              <w:rPr>
                <w:rFonts w:ascii="Times New Roman" w:eastAsia="Times New Roman" w:hAnsi="Times New Roman" w:cs="Times New Roman"/>
                <w:color w:val="000000"/>
                <w:sz w:val="20"/>
                <w:szCs w:val="20"/>
                <w:lang w:eastAsia="pt-BR"/>
              </w:rPr>
              <w:t>10,20</w:t>
            </w:r>
          </w:p>
        </w:tc>
      </w:tr>
      <w:tr w:rsidR="006D1AEF" w:rsidRPr="006D1AEF" w14:paraId="31E54007" w14:textId="77777777" w:rsidTr="006664D6">
        <w:trPr>
          <w:trHeight w:val="315"/>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43A0C" w14:textId="77777777" w:rsidR="006D1AEF" w:rsidRPr="006664D6" w:rsidRDefault="006D1AEF" w:rsidP="00DD7EA8">
            <w:pPr>
              <w:spacing w:after="0" w:line="276" w:lineRule="auto"/>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15Fe/Nb</w:t>
            </w:r>
            <w:r w:rsidRPr="006664D6">
              <w:rPr>
                <w:rFonts w:ascii="Times New Roman" w:eastAsia="Times New Roman" w:hAnsi="Times New Roman" w:cs="Times New Roman"/>
                <w:b/>
                <w:color w:val="000000"/>
                <w:sz w:val="20"/>
                <w:szCs w:val="20"/>
                <w:vertAlign w:val="subscript"/>
                <w:lang w:eastAsia="pt-BR"/>
              </w:rPr>
              <w:t>2</w:t>
            </w:r>
            <w:r w:rsidRPr="006664D6">
              <w:rPr>
                <w:rFonts w:ascii="Times New Roman" w:eastAsia="Times New Roman" w:hAnsi="Times New Roman" w:cs="Times New Roman"/>
                <w:b/>
                <w:color w:val="000000"/>
                <w:sz w:val="20"/>
                <w:szCs w:val="20"/>
                <w:lang w:eastAsia="pt-BR"/>
              </w:rPr>
              <w:t>O</w:t>
            </w:r>
            <w:r w:rsidRPr="006664D6">
              <w:rPr>
                <w:rFonts w:ascii="Times New Roman" w:eastAsia="Times New Roman" w:hAnsi="Times New Roman" w:cs="Times New Roman"/>
                <w:b/>
                <w:color w:val="000000"/>
                <w:sz w:val="20"/>
                <w:szCs w:val="20"/>
                <w:vertAlign w:val="subscript"/>
                <w:lang w:eastAsia="pt-BR"/>
              </w:rPr>
              <w:t>5</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3B38D" w14:textId="77777777" w:rsidR="006D1AEF" w:rsidRPr="006D1AEF" w:rsidRDefault="006D1AEF" w:rsidP="00DD7EA8">
            <w:pPr>
              <w:spacing w:after="0" w:line="276" w:lineRule="auto"/>
              <w:jc w:val="center"/>
              <w:rPr>
                <w:rFonts w:ascii="Times New Roman" w:eastAsia="Times New Roman" w:hAnsi="Times New Roman" w:cs="Times New Roman"/>
                <w:color w:val="000000"/>
                <w:sz w:val="20"/>
                <w:szCs w:val="20"/>
                <w:lang w:eastAsia="pt-BR"/>
              </w:rPr>
            </w:pPr>
            <w:r w:rsidRPr="006D1AEF">
              <w:rPr>
                <w:rFonts w:ascii="Times New Roman" w:eastAsia="Times New Roman" w:hAnsi="Times New Roman" w:cs="Times New Roman"/>
                <w:color w:val="000000"/>
                <w:sz w:val="20"/>
                <w:szCs w:val="20"/>
                <w:lang w:eastAsia="pt-BR"/>
              </w:rPr>
              <w:t>43,10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C1638" w14:textId="77777777" w:rsidR="006D1AEF" w:rsidRPr="006D1AEF" w:rsidRDefault="006D1AEF" w:rsidP="00DD7EA8">
            <w:pPr>
              <w:spacing w:after="0" w:line="276" w:lineRule="auto"/>
              <w:jc w:val="center"/>
              <w:rPr>
                <w:rFonts w:ascii="Times New Roman" w:eastAsia="Times New Roman" w:hAnsi="Times New Roman" w:cs="Times New Roman"/>
                <w:color w:val="000000"/>
                <w:sz w:val="20"/>
                <w:szCs w:val="20"/>
                <w:lang w:eastAsia="pt-BR"/>
              </w:rPr>
            </w:pPr>
            <w:r w:rsidRPr="006D1AEF">
              <w:rPr>
                <w:rFonts w:ascii="Times New Roman" w:eastAsia="Times New Roman" w:hAnsi="Times New Roman" w:cs="Times New Roman"/>
                <w:color w:val="000000"/>
                <w:sz w:val="20"/>
                <w:szCs w:val="20"/>
                <w:lang w:eastAsia="pt-BR"/>
              </w:rPr>
              <w:t>0,12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AD2EB1" w14:textId="77777777" w:rsidR="006D1AEF" w:rsidRPr="006D1AEF" w:rsidRDefault="006D1AEF" w:rsidP="00DD7EA8">
            <w:pPr>
              <w:spacing w:after="0" w:line="276" w:lineRule="auto"/>
              <w:jc w:val="center"/>
              <w:rPr>
                <w:rFonts w:ascii="Times New Roman" w:eastAsia="Times New Roman" w:hAnsi="Times New Roman" w:cs="Times New Roman"/>
                <w:color w:val="000000"/>
                <w:sz w:val="20"/>
                <w:szCs w:val="20"/>
                <w:lang w:eastAsia="pt-BR"/>
              </w:rPr>
            </w:pPr>
            <w:r w:rsidRPr="006D1AEF">
              <w:rPr>
                <w:rFonts w:ascii="Times New Roman" w:eastAsia="Times New Roman" w:hAnsi="Times New Roman" w:cs="Times New Roman"/>
                <w:color w:val="000000"/>
                <w:sz w:val="20"/>
                <w:szCs w:val="20"/>
                <w:lang w:eastAsia="pt-BR"/>
              </w:rPr>
              <w:t>11,40</w:t>
            </w:r>
          </w:p>
        </w:tc>
      </w:tr>
      <w:tr w:rsidR="006D1AEF" w:rsidRPr="006D1AEF" w14:paraId="1FB9ABC6" w14:textId="77777777" w:rsidTr="006664D6">
        <w:trPr>
          <w:trHeight w:val="315"/>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60C9B" w14:textId="77777777" w:rsidR="006D1AEF" w:rsidRPr="006664D6" w:rsidRDefault="006D1AEF" w:rsidP="00DD7EA8">
            <w:pPr>
              <w:spacing w:after="0" w:line="276" w:lineRule="auto"/>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1Mn-15Fe/Nb</w:t>
            </w:r>
            <w:r w:rsidRPr="006664D6">
              <w:rPr>
                <w:rFonts w:ascii="Times New Roman" w:eastAsia="Times New Roman" w:hAnsi="Times New Roman" w:cs="Times New Roman"/>
                <w:b/>
                <w:color w:val="000000"/>
                <w:sz w:val="20"/>
                <w:szCs w:val="20"/>
                <w:vertAlign w:val="subscript"/>
                <w:lang w:eastAsia="pt-BR"/>
              </w:rPr>
              <w:t>2</w:t>
            </w:r>
            <w:r w:rsidRPr="006664D6">
              <w:rPr>
                <w:rFonts w:ascii="Times New Roman" w:eastAsia="Times New Roman" w:hAnsi="Times New Roman" w:cs="Times New Roman"/>
                <w:b/>
                <w:color w:val="000000"/>
                <w:sz w:val="20"/>
                <w:szCs w:val="20"/>
                <w:lang w:eastAsia="pt-BR"/>
              </w:rPr>
              <w:t>O</w:t>
            </w:r>
            <w:r w:rsidRPr="006664D6">
              <w:rPr>
                <w:rFonts w:ascii="Times New Roman" w:eastAsia="Times New Roman" w:hAnsi="Times New Roman" w:cs="Times New Roman"/>
                <w:b/>
                <w:color w:val="000000"/>
                <w:sz w:val="20"/>
                <w:szCs w:val="20"/>
                <w:vertAlign w:val="subscript"/>
                <w:lang w:eastAsia="pt-BR"/>
              </w:rPr>
              <w:t>5</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E7BC3" w14:textId="77777777" w:rsidR="006D1AEF" w:rsidRPr="006D1AEF" w:rsidRDefault="006D1AEF" w:rsidP="00DD7EA8">
            <w:pPr>
              <w:spacing w:after="0" w:line="276" w:lineRule="auto"/>
              <w:jc w:val="center"/>
              <w:rPr>
                <w:rFonts w:ascii="Times New Roman" w:eastAsia="Times New Roman" w:hAnsi="Times New Roman" w:cs="Times New Roman"/>
                <w:color w:val="000000"/>
                <w:sz w:val="20"/>
                <w:szCs w:val="20"/>
                <w:lang w:eastAsia="pt-BR"/>
              </w:rPr>
            </w:pPr>
            <w:r w:rsidRPr="006D1AEF">
              <w:rPr>
                <w:rFonts w:ascii="Times New Roman" w:eastAsia="Times New Roman" w:hAnsi="Times New Roman" w:cs="Times New Roman"/>
                <w:color w:val="000000"/>
                <w:sz w:val="20"/>
                <w:szCs w:val="20"/>
                <w:lang w:eastAsia="pt-BR"/>
              </w:rPr>
              <w:t>41,50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CEBF6E" w14:textId="77777777" w:rsidR="006D1AEF" w:rsidRPr="006D1AEF" w:rsidRDefault="006D1AEF" w:rsidP="00DD7EA8">
            <w:pPr>
              <w:spacing w:after="0" w:line="276" w:lineRule="auto"/>
              <w:jc w:val="center"/>
              <w:rPr>
                <w:rFonts w:ascii="Times New Roman" w:eastAsia="Times New Roman" w:hAnsi="Times New Roman" w:cs="Times New Roman"/>
                <w:color w:val="000000"/>
                <w:sz w:val="20"/>
                <w:szCs w:val="20"/>
                <w:lang w:eastAsia="pt-BR"/>
              </w:rPr>
            </w:pPr>
            <w:r w:rsidRPr="006D1AEF">
              <w:rPr>
                <w:rFonts w:ascii="Times New Roman" w:eastAsia="Times New Roman" w:hAnsi="Times New Roman" w:cs="Times New Roman"/>
                <w:color w:val="000000"/>
                <w:sz w:val="20"/>
                <w:szCs w:val="20"/>
                <w:lang w:eastAsia="pt-BR"/>
              </w:rPr>
              <w:t>0,10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2C5C3" w14:textId="77777777" w:rsidR="006D1AEF" w:rsidRPr="006D1AEF" w:rsidRDefault="006D1AEF" w:rsidP="00DD7EA8">
            <w:pPr>
              <w:spacing w:after="0" w:line="276" w:lineRule="auto"/>
              <w:jc w:val="center"/>
              <w:rPr>
                <w:rFonts w:ascii="Times New Roman" w:eastAsia="Times New Roman" w:hAnsi="Times New Roman" w:cs="Times New Roman"/>
                <w:color w:val="000000"/>
                <w:sz w:val="20"/>
                <w:szCs w:val="20"/>
                <w:lang w:eastAsia="pt-BR"/>
              </w:rPr>
            </w:pPr>
            <w:r w:rsidRPr="006D1AEF">
              <w:rPr>
                <w:rFonts w:ascii="Times New Roman" w:eastAsia="Times New Roman" w:hAnsi="Times New Roman" w:cs="Times New Roman"/>
                <w:color w:val="000000"/>
                <w:sz w:val="20"/>
                <w:szCs w:val="20"/>
                <w:lang w:eastAsia="pt-BR"/>
              </w:rPr>
              <w:t>9,91</w:t>
            </w:r>
          </w:p>
        </w:tc>
      </w:tr>
      <w:tr w:rsidR="006D1AEF" w:rsidRPr="006D1AEF" w14:paraId="09D47F11" w14:textId="77777777" w:rsidTr="006664D6">
        <w:trPr>
          <w:trHeight w:val="315"/>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F8DEB" w14:textId="77777777" w:rsidR="006D1AEF" w:rsidRPr="006664D6" w:rsidRDefault="006D1AEF" w:rsidP="00DD7EA8">
            <w:pPr>
              <w:spacing w:after="0" w:line="276" w:lineRule="auto"/>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3Mn-15Fe/Nb</w:t>
            </w:r>
            <w:r w:rsidRPr="006664D6">
              <w:rPr>
                <w:rFonts w:ascii="Times New Roman" w:eastAsia="Times New Roman" w:hAnsi="Times New Roman" w:cs="Times New Roman"/>
                <w:b/>
                <w:color w:val="000000"/>
                <w:sz w:val="20"/>
                <w:szCs w:val="20"/>
                <w:vertAlign w:val="subscript"/>
                <w:lang w:eastAsia="pt-BR"/>
              </w:rPr>
              <w:t>2</w:t>
            </w:r>
            <w:r w:rsidRPr="006664D6">
              <w:rPr>
                <w:rFonts w:ascii="Times New Roman" w:eastAsia="Times New Roman" w:hAnsi="Times New Roman" w:cs="Times New Roman"/>
                <w:b/>
                <w:color w:val="000000"/>
                <w:sz w:val="20"/>
                <w:szCs w:val="20"/>
                <w:lang w:eastAsia="pt-BR"/>
              </w:rPr>
              <w:t>O</w:t>
            </w:r>
            <w:r w:rsidRPr="006664D6">
              <w:rPr>
                <w:rFonts w:ascii="Times New Roman" w:eastAsia="Times New Roman" w:hAnsi="Times New Roman" w:cs="Times New Roman"/>
                <w:b/>
                <w:color w:val="000000"/>
                <w:sz w:val="20"/>
                <w:szCs w:val="20"/>
                <w:vertAlign w:val="subscript"/>
                <w:lang w:eastAsia="pt-BR"/>
              </w:rPr>
              <w:t>5</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432AE" w14:textId="77777777" w:rsidR="006D1AEF" w:rsidRPr="006D1AEF" w:rsidRDefault="006D1AEF" w:rsidP="00DD7EA8">
            <w:pPr>
              <w:spacing w:after="0" w:line="276" w:lineRule="auto"/>
              <w:jc w:val="center"/>
              <w:rPr>
                <w:rFonts w:ascii="Times New Roman" w:eastAsia="Times New Roman" w:hAnsi="Times New Roman" w:cs="Times New Roman"/>
                <w:color w:val="000000"/>
                <w:sz w:val="20"/>
                <w:szCs w:val="20"/>
                <w:lang w:eastAsia="pt-BR"/>
              </w:rPr>
            </w:pPr>
            <w:r w:rsidRPr="006D1AEF">
              <w:rPr>
                <w:rFonts w:ascii="Times New Roman" w:eastAsia="Times New Roman" w:hAnsi="Times New Roman" w:cs="Times New Roman"/>
                <w:color w:val="000000"/>
                <w:sz w:val="20"/>
                <w:szCs w:val="20"/>
                <w:lang w:eastAsia="pt-BR"/>
              </w:rPr>
              <w:t>39,50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4933E5" w14:textId="77777777" w:rsidR="006D1AEF" w:rsidRPr="006D1AEF" w:rsidRDefault="006D1AEF" w:rsidP="00DD7EA8">
            <w:pPr>
              <w:spacing w:after="0" w:line="276" w:lineRule="auto"/>
              <w:jc w:val="center"/>
              <w:rPr>
                <w:rFonts w:ascii="Times New Roman" w:eastAsia="Times New Roman" w:hAnsi="Times New Roman" w:cs="Times New Roman"/>
                <w:color w:val="000000"/>
                <w:sz w:val="20"/>
                <w:szCs w:val="20"/>
                <w:lang w:eastAsia="pt-BR"/>
              </w:rPr>
            </w:pPr>
            <w:r w:rsidRPr="006D1AEF">
              <w:rPr>
                <w:rFonts w:ascii="Times New Roman" w:eastAsia="Times New Roman" w:hAnsi="Times New Roman" w:cs="Times New Roman"/>
                <w:color w:val="000000"/>
                <w:sz w:val="20"/>
                <w:szCs w:val="20"/>
                <w:lang w:eastAsia="pt-BR"/>
              </w:rPr>
              <w:t>0,11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8CD9B" w14:textId="77777777" w:rsidR="006D1AEF" w:rsidRPr="006D1AEF" w:rsidRDefault="006D1AEF" w:rsidP="00DD7EA8">
            <w:pPr>
              <w:spacing w:after="0" w:line="276" w:lineRule="auto"/>
              <w:jc w:val="center"/>
              <w:rPr>
                <w:rFonts w:ascii="Times New Roman" w:eastAsia="Times New Roman" w:hAnsi="Times New Roman" w:cs="Times New Roman"/>
                <w:color w:val="000000"/>
                <w:sz w:val="20"/>
                <w:szCs w:val="20"/>
                <w:lang w:eastAsia="pt-BR"/>
              </w:rPr>
            </w:pPr>
            <w:r w:rsidRPr="006D1AEF">
              <w:rPr>
                <w:rFonts w:ascii="Times New Roman" w:eastAsia="Times New Roman" w:hAnsi="Times New Roman" w:cs="Times New Roman"/>
                <w:color w:val="000000"/>
                <w:sz w:val="20"/>
                <w:szCs w:val="20"/>
                <w:lang w:eastAsia="pt-BR"/>
              </w:rPr>
              <w:t>12,10</w:t>
            </w:r>
          </w:p>
        </w:tc>
      </w:tr>
      <w:tr w:rsidR="006D1AEF" w:rsidRPr="006D1AEF" w14:paraId="798566C5" w14:textId="77777777" w:rsidTr="006664D6">
        <w:trPr>
          <w:trHeight w:val="300"/>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1B54CA" w14:textId="77777777" w:rsidR="006D1AEF" w:rsidRPr="006664D6" w:rsidRDefault="006D1AEF" w:rsidP="00DD7EA8">
            <w:pPr>
              <w:spacing w:after="0" w:line="276" w:lineRule="auto"/>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5Mn-15Fe/Nb</w:t>
            </w:r>
            <w:r w:rsidRPr="006664D6">
              <w:rPr>
                <w:rFonts w:ascii="Times New Roman" w:eastAsia="Times New Roman" w:hAnsi="Times New Roman" w:cs="Times New Roman"/>
                <w:b/>
                <w:color w:val="000000"/>
                <w:sz w:val="20"/>
                <w:szCs w:val="20"/>
                <w:vertAlign w:val="subscript"/>
                <w:lang w:eastAsia="pt-BR"/>
              </w:rPr>
              <w:t>2</w:t>
            </w:r>
            <w:r w:rsidRPr="006664D6">
              <w:rPr>
                <w:rFonts w:ascii="Times New Roman" w:eastAsia="Times New Roman" w:hAnsi="Times New Roman" w:cs="Times New Roman"/>
                <w:b/>
                <w:color w:val="000000"/>
                <w:sz w:val="20"/>
                <w:szCs w:val="20"/>
                <w:lang w:eastAsia="pt-BR"/>
              </w:rPr>
              <w:t>O</w:t>
            </w:r>
            <w:r w:rsidRPr="006664D6">
              <w:rPr>
                <w:rFonts w:ascii="Times New Roman" w:eastAsia="Times New Roman" w:hAnsi="Times New Roman" w:cs="Times New Roman"/>
                <w:b/>
                <w:color w:val="000000"/>
                <w:sz w:val="20"/>
                <w:szCs w:val="20"/>
                <w:vertAlign w:val="subscript"/>
                <w:lang w:eastAsia="pt-BR"/>
              </w:rPr>
              <w:t>5</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0AA45" w14:textId="77777777" w:rsidR="006D1AEF" w:rsidRPr="006D1AEF" w:rsidRDefault="006D1AEF" w:rsidP="00DD7EA8">
            <w:pPr>
              <w:spacing w:after="0" w:line="276" w:lineRule="auto"/>
              <w:jc w:val="center"/>
              <w:rPr>
                <w:rFonts w:ascii="Times New Roman" w:eastAsia="Times New Roman" w:hAnsi="Times New Roman" w:cs="Times New Roman"/>
                <w:color w:val="000000"/>
                <w:sz w:val="20"/>
                <w:szCs w:val="20"/>
                <w:lang w:eastAsia="pt-BR"/>
              </w:rPr>
            </w:pPr>
            <w:r w:rsidRPr="006D1AEF">
              <w:rPr>
                <w:rFonts w:ascii="Times New Roman" w:eastAsia="Times New Roman" w:hAnsi="Times New Roman" w:cs="Times New Roman"/>
                <w:color w:val="000000"/>
                <w:sz w:val="20"/>
                <w:szCs w:val="20"/>
                <w:lang w:eastAsia="pt-BR"/>
              </w:rPr>
              <w:t>37,30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0C739" w14:textId="77777777" w:rsidR="006D1AEF" w:rsidRPr="006D1AEF" w:rsidRDefault="006D1AEF" w:rsidP="00DD7EA8">
            <w:pPr>
              <w:spacing w:after="0" w:line="276" w:lineRule="auto"/>
              <w:jc w:val="center"/>
              <w:rPr>
                <w:rFonts w:ascii="Times New Roman" w:eastAsia="Times New Roman" w:hAnsi="Times New Roman" w:cs="Times New Roman"/>
                <w:color w:val="000000"/>
                <w:sz w:val="20"/>
                <w:szCs w:val="20"/>
                <w:lang w:eastAsia="pt-BR"/>
              </w:rPr>
            </w:pPr>
            <w:r w:rsidRPr="006D1AEF">
              <w:rPr>
                <w:rFonts w:ascii="Times New Roman" w:eastAsia="Times New Roman" w:hAnsi="Times New Roman" w:cs="Times New Roman"/>
                <w:color w:val="000000"/>
                <w:sz w:val="20"/>
                <w:szCs w:val="20"/>
                <w:lang w:eastAsia="pt-BR"/>
              </w:rPr>
              <w:t>0,12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7AB5A" w14:textId="77777777" w:rsidR="006D1AEF" w:rsidRPr="006D1AEF" w:rsidRDefault="006D1AEF" w:rsidP="00DD7EA8">
            <w:pPr>
              <w:spacing w:after="0" w:line="276" w:lineRule="auto"/>
              <w:jc w:val="center"/>
              <w:rPr>
                <w:rFonts w:ascii="Times New Roman" w:eastAsia="Times New Roman" w:hAnsi="Times New Roman" w:cs="Times New Roman"/>
                <w:color w:val="000000"/>
                <w:sz w:val="20"/>
                <w:szCs w:val="20"/>
                <w:lang w:eastAsia="pt-BR"/>
              </w:rPr>
            </w:pPr>
            <w:r w:rsidRPr="006D1AEF">
              <w:rPr>
                <w:rFonts w:ascii="Times New Roman" w:eastAsia="Times New Roman" w:hAnsi="Times New Roman" w:cs="Times New Roman"/>
                <w:color w:val="000000"/>
                <w:sz w:val="20"/>
                <w:szCs w:val="20"/>
                <w:lang w:eastAsia="pt-BR"/>
              </w:rPr>
              <w:t>13,00</w:t>
            </w:r>
          </w:p>
        </w:tc>
      </w:tr>
    </w:tbl>
    <w:p w14:paraId="4655BA20" w14:textId="77777777" w:rsidR="006664D6" w:rsidRDefault="006664D6" w:rsidP="00DD7EA8">
      <w:pPr>
        <w:spacing w:line="276" w:lineRule="auto"/>
        <w:ind w:firstLine="284"/>
        <w:jc w:val="both"/>
        <w:rPr>
          <w:rFonts w:ascii="Times New Roman" w:hAnsi="Times New Roman" w:cs="Times New Roman"/>
          <w:sz w:val="20"/>
          <w:szCs w:val="20"/>
        </w:rPr>
      </w:pPr>
    </w:p>
    <w:p w14:paraId="2390FFCD" w14:textId="4FE604DF" w:rsidR="00E65894" w:rsidRDefault="00801101" w:rsidP="00DD7EA8">
      <w:pPr>
        <w:spacing w:line="276" w:lineRule="auto"/>
        <w:ind w:firstLine="284"/>
        <w:jc w:val="both"/>
        <w:rPr>
          <w:rFonts w:ascii="Times New Roman" w:hAnsi="Times New Roman" w:cs="Times New Roman"/>
          <w:sz w:val="20"/>
          <w:szCs w:val="20"/>
        </w:rPr>
      </w:pPr>
      <w:r w:rsidRPr="00801101">
        <w:rPr>
          <w:rFonts w:ascii="Times New Roman" w:hAnsi="Times New Roman" w:cs="Times New Roman"/>
          <w:sz w:val="20"/>
          <w:szCs w:val="20"/>
        </w:rPr>
        <w:t xml:space="preserve">Os resultados do XRF podem ser encontrados na Tabela </w:t>
      </w:r>
      <w:r>
        <w:rPr>
          <w:rFonts w:ascii="Times New Roman" w:hAnsi="Times New Roman" w:cs="Times New Roman"/>
          <w:sz w:val="20"/>
          <w:szCs w:val="20"/>
        </w:rPr>
        <w:t>2</w:t>
      </w:r>
      <w:r w:rsidRPr="00801101">
        <w:rPr>
          <w:rFonts w:ascii="Times New Roman" w:hAnsi="Times New Roman" w:cs="Times New Roman"/>
          <w:sz w:val="20"/>
          <w:szCs w:val="20"/>
        </w:rPr>
        <w:t>. Percebe-se que os catalisadores foram preparados com as quantidades de materiais muito próximas das desejadas teoricamente. Nas análises de XRF também foram identificadas quantidades muito pequenas de contaminantes, como titânio, silício e cloro</w:t>
      </w:r>
      <w:r>
        <w:rPr>
          <w:rFonts w:ascii="Times New Roman" w:hAnsi="Times New Roman" w:cs="Times New Roman"/>
          <w:sz w:val="20"/>
          <w:szCs w:val="20"/>
        </w:rPr>
        <w:t xml:space="preserve">. </w:t>
      </w:r>
    </w:p>
    <w:p w14:paraId="118B7B68" w14:textId="6D15B424" w:rsidR="00CA31F7" w:rsidRDefault="00506084" w:rsidP="00DD7EA8">
      <w:pPr>
        <w:spacing w:line="276" w:lineRule="auto"/>
        <w:jc w:val="both"/>
        <w:rPr>
          <w:rFonts w:ascii="Times New Roman" w:hAnsi="Times New Roman" w:cs="Times New Roman"/>
          <w:sz w:val="20"/>
          <w:szCs w:val="20"/>
        </w:rPr>
      </w:pPr>
      <w:r w:rsidRPr="00EA1A2C">
        <w:rPr>
          <w:rFonts w:ascii="Times New Roman" w:hAnsi="Times New Roman" w:cs="Times New Roman"/>
          <w:b/>
          <w:bCs/>
          <w:sz w:val="20"/>
          <w:szCs w:val="20"/>
        </w:rPr>
        <w:t xml:space="preserve">Tabela </w:t>
      </w:r>
      <w:r>
        <w:rPr>
          <w:rFonts w:ascii="Times New Roman" w:hAnsi="Times New Roman" w:cs="Times New Roman"/>
          <w:b/>
          <w:bCs/>
          <w:sz w:val="20"/>
          <w:szCs w:val="20"/>
        </w:rPr>
        <w:t xml:space="preserve">2. </w:t>
      </w:r>
      <w:r w:rsidRPr="00506084">
        <w:rPr>
          <w:rFonts w:ascii="Times New Roman" w:hAnsi="Times New Roman" w:cs="Times New Roman"/>
          <w:sz w:val="20"/>
          <w:szCs w:val="20"/>
        </w:rPr>
        <w:t>Composição mássica dos catalisadores quantificados através do XRF</w:t>
      </w:r>
      <w:r>
        <w:rPr>
          <w:rFonts w:ascii="Times New Roman" w:hAnsi="Times New Roman" w:cs="Times New Roman"/>
          <w:sz w:val="20"/>
          <w:szCs w:val="20"/>
        </w:rPr>
        <w:t xml:space="preserve">. </w:t>
      </w:r>
    </w:p>
    <w:tbl>
      <w:tblPr>
        <w:tblW w:w="4820" w:type="dxa"/>
        <w:tblCellMar>
          <w:left w:w="70" w:type="dxa"/>
          <w:right w:w="70" w:type="dxa"/>
        </w:tblCellMar>
        <w:tblLook w:val="04A0" w:firstRow="1" w:lastRow="0" w:firstColumn="1" w:lastColumn="0" w:noHBand="0" w:noVBand="1"/>
      </w:tblPr>
      <w:tblGrid>
        <w:gridCol w:w="1697"/>
        <w:gridCol w:w="992"/>
        <w:gridCol w:w="816"/>
        <w:gridCol w:w="1315"/>
      </w:tblGrid>
      <w:tr w:rsidR="00CA31F7" w:rsidRPr="00CA31F7" w14:paraId="4F818CFF" w14:textId="77777777" w:rsidTr="006664D6">
        <w:trPr>
          <w:trHeight w:val="510"/>
        </w:trPr>
        <w:tc>
          <w:tcPr>
            <w:tcW w:w="1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5B274" w14:textId="77777777" w:rsidR="00CA31F7" w:rsidRPr="006664D6" w:rsidRDefault="00CA31F7" w:rsidP="00DD7EA8">
            <w:pPr>
              <w:spacing w:after="0" w:line="276" w:lineRule="auto"/>
              <w:jc w:val="center"/>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Catalisadores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2BF770" w14:textId="77777777" w:rsidR="00CA31F7" w:rsidRPr="006664D6" w:rsidRDefault="00CA31F7" w:rsidP="00DD7EA8">
            <w:pPr>
              <w:spacing w:after="0" w:line="276" w:lineRule="auto"/>
              <w:jc w:val="center"/>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 Nióbio</w:t>
            </w:r>
          </w:p>
        </w:tc>
        <w:tc>
          <w:tcPr>
            <w:tcW w:w="8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078B9" w14:textId="77777777" w:rsidR="00CA31F7" w:rsidRPr="006664D6" w:rsidRDefault="00CA31F7" w:rsidP="00DD7EA8">
            <w:pPr>
              <w:spacing w:after="0" w:line="276" w:lineRule="auto"/>
              <w:jc w:val="center"/>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 Ferro</w:t>
            </w:r>
          </w:p>
        </w:tc>
        <w:tc>
          <w:tcPr>
            <w:tcW w:w="13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446EC" w14:textId="77777777" w:rsidR="00CA31F7" w:rsidRPr="006664D6" w:rsidRDefault="00CA31F7" w:rsidP="00DD7EA8">
            <w:pPr>
              <w:spacing w:after="0" w:line="276" w:lineRule="auto"/>
              <w:jc w:val="center"/>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 Manganês</w:t>
            </w:r>
          </w:p>
        </w:tc>
      </w:tr>
      <w:tr w:rsidR="00CA31F7" w:rsidRPr="00CA31F7" w14:paraId="47DE78C8" w14:textId="77777777" w:rsidTr="006664D6">
        <w:trPr>
          <w:trHeight w:val="300"/>
        </w:trPr>
        <w:tc>
          <w:tcPr>
            <w:tcW w:w="1697" w:type="dxa"/>
            <w:tcBorders>
              <w:top w:val="nil"/>
              <w:left w:val="single" w:sz="4" w:space="0" w:color="auto"/>
              <w:bottom w:val="nil"/>
              <w:right w:val="single" w:sz="4" w:space="0" w:color="auto"/>
            </w:tcBorders>
            <w:shd w:val="clear" w:color="000000" w:fill="FFFFFF"/>
            <w:vAlign w:val="center"/>
            <w:hideMark/>
          </w:tcPr>
          <w:p w14:paraId="380AF47E" w14:textId="77777777" w:rsidR="00CA31F7" w:rsidRPr="006664D6" w:rsidRDefault="00CA31F7" w:rsidP="00DD7EA8">
            <w:pPr>
              <w:spacing w:after="0" w:line="276" w:lineRule="auto"/>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15Fe/Nb</w:t>
            </w:r>
            <w:r w:rsidRPr="006664D6">
              <w:rPr>
                <w:rFonts w:ascii="Times New Roman" w:eastAsia="Times New Roman" w:hAnsi="Times New Roman" w:cs="Times New Roman"/>
                <w:b/>
                <w:color w:val="000000"/>
                <w:sz w:val="20"/>
                <w:szCs w:val="20"/>
                <w:vertAlign w:val="subscript"/>
                <w:lang w:eastAsia="pt-BR"/>
              </w:rPr>
              <w:t>2</w:t>
            </w:r>
            <w:r w:rsidRPr="006664D6">
              <w:rPr>
                <w:rFonts w:ascii="Times New Roman" w:eastAsia="Times New Roman" w:hAnsi="Times New Roman" w:cs="Times New Roman"/>
                <w:b/>
                <w:color w:val="000000"/>
                <w:sz w:val="20"/>
                <w:szCs w:val="20"/>
                <w:lang w:eastAsia="pt-BR"/>
              </w:rPr>
              <w:t>O</w:t>
            </w:r>
            <w:r w:rsidRPr="006664D6">
              <w:rPr>
                <w:rFonts w:ascii="Times New Roman" w:eastAsia="Times New Roman" w:hAnsi="Times New Roman" w:cs="Times New Roman"/>
                <w:b/>
                <w:color w:val="000000"/>
                <w:sz w:val="20"/>
                <w:szCs w:val="20"/>
                <w:vertAlign w:val="subscript"/>
                <w:lang w:eastAsia="pt-BR"/>
              </w:rPr>
              <w:t>5</w:t>
            </w:r>
          </w:p>
        </w:tc>
        <w:tc>
          <w:tcPr>
            <w:tcW w:w="992" w:type="dxa"/>
            <w:tcBorders>
              <w:top w:val="nil"/>
              <w:left w:val="single" w:sz="4" w:space="0" w:color="auto"/>
              <w:bottom w:val="nil"/>
              <w:right w:val="single" w:sz="4" w:space="0" w:color="auto"/>
            </w:tcBorders>
            <w:shd w:val="clear" w:color="000000" w:fill="FFFFFF"/>
            <w:vAlign w:val="center"/>
            <w:hideMark/>
          </w:tcPr>
          <w:p w14:paraId="17526828" w14:textId="77777777" w:rsidR="00CA31F7" w:rsidRPr="00CA31F7" w:rsidRDefault="00CA31F7" w:rsidP="00DD7EA8">
            <w:pPr>
              <w:spacing w:after="0" w:line="276" w:lineRule="auto"/>
              <w:jc w:val="center"/>
              <w:rPr>
                <w:rFonts w:ascii="Times New Roman" w:eastAsia="Times New Roman" w:hAnsi="Times New Roman" w:cs="Times New Roman"/>
                <w:color w:val="000000"/>
                <w:sz w:val="20"/>
                <w:szCs w:val="20"/>
                <w:lang w:eastAsia="pt-BR"/>
              </w:rPr>
            </w:pPr>
            <w:r w:rsidRPr="00CA31F7">
              <w:rPr>
                <w:rFonts w:ascii="Times New Roman" w:eastAsia="Times New Roman" w:hAnsi="Times New Roman" w:cs="Times New Roman"/>
                <w:color w:val="000000"/>
                <w:sz w:val="20"/>
                <w:szCs w:val="20"/>
                <w:lang w:eastAsia="pt-BR"/>
              </w:rPr>
              <w:t>84,06</w:t>
            </w:r>
          </w:p>
        </w:tc>
        <w:tc>
          <w:tcPr>
            <w:tcW w:w="816" w:type="dxa"/>
            <w:tcBorders>
              <w:top w:val="nil"/>
              <w:left w:val="single" w:sz="4" w:space="0" w:color="auto"/>
              <w:bottom w:val="nil"/>
              <w:right w:val="single" w:sz="4" w:space="0" w:color="auto"/>
            </w:tcBorders>
            <w:shd w:val="clear" w:color="000000" w:fill="FFFFFF"/>
            <w:vAlign w:val="center"/>
            <w:hideMark/>
          </w:tcPr>
          <w:p w14:paraId="4F728CF7" w14:textId="77777777" w:rsidR="00CA31F7" w:rsidRPr="00CA31F7" w:rsidRDefault="00CA31F7" w:rsidP="00DD7EA8">
            <w:pPr>
              <w:spacing w:after="0" w:line="276" w:lineRule="auto"/>
              <w:jc w:val="center"/>
              <w:rPr>
                <w:rFonts w:ascii="Times New Roman" w:eastAsia="Times New Roman" w:hAnsi="Times New Roman" w:cs="Times New Roman"/>
                <w:color w:val="000000"/>
                <w:sz w:val="20"/>
                <w:szCs w:val="20"/>
                <w:lang w:eastAsia="pt-BR"/>
              </w:rPr>
            </w:pPr>
            <w:r w:rsidRPr="00CA31F7">
              <w:rPr>
                <w:rFonts w:ascii="Times New Roman" w:eastAsia="Times New Roman" w:hAnsi="Times New Roman" w:cs="Times New Roman"/>
                <w:color w:val="000000"/>
                <w:sz w:val="20"/>
                <w:szCs w:val="20"/>
                <w:lang w:eastAsia="pt-BR"/>
              </w:rPr>
              <w:t>15,35</w:t>
            </w:r>
          </w:p>
        </w:tc>
        <w:tc>
          <w:tcPr>
            <w:tcW w:w="1315" w:type="dxa"/>
            <w:tcBorders>
              <w:top w:val="nil"/>
              <w:left w:val="single" w:sz="4" w:space="0" w:color="auto"/>
              <w:bottom w:val="nil"/>
              <w:right w:val="single" w:sz="4" w:space="0" w:color="auto"/>
            </w:tcBorders>
            <w:shd w:val="clear" w:color="000000" w:fill="FFFFFF"/>
            <w:vAlign w:val="center"/>
            <w:hideMark/>
          </w:tcPr>
          <w:p w14:paraId="7896AFAD" w14:textId="77777777" w:rsidR="00CA31F7" w:rsidRPr="00CA31F7" w:rsidRDefault="00CA31F7" w:rsidP="00DD7EA8">
            <w:pPr>
              <w:spacing w:after="0" w:line="276" w:lineRule="auto"/>
              <w:jc w:val="center"/>
              <w:rPr>
                <w:rFonts w:ascii="Times New Roman" w:eastAsia="Times New Roman" w:hAnsi="Times New Roman" w:cs="Times New Roman"/>
                <w:color w:val="000000"/>
                <w:sz w:val="20"/>
                <w:szCs w:val="20"/>
                <w:lang w:eastAsia="pt-BR"/>
              </w:rPr>
            </w:pPr>
            <w:r w:rsidRPr="00CA31F7">
              <w:rPr>
                <w:rFonts w:ascii="Times New Roman" w:eastAsia="Times New Roman" w:hAnsi="Times New Roman" w:cs="Times New Roman"/>
                <w:color w:val="000000"/>
                <w:sz w:val="20"/>
                <w:szCs w:val="20"/>
                <w:lang w:eastAsia="pt-BR"/>
              </w:rPr>
              <w:t>-</w:t>
            </w:r>
          </w:p>
        </w:tc>
      </w:tr>
      <w:tr w:rsidR="00CA31F7" w:rsidRPr="00CA31F7" w14:paraId="40BA61DA" w14:textId="77777777" w:rsidTr="006664D6">
        <w:trPr>
          <w:trHeight w:val="300"/>
        </w:trPr>
        <w:tc>
          <w:tcPr>
            <w:tcW w:w="1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C7117" w14:textId="77777777" w:rsidR="00CA31F7" w:rsidRPr="006664D6" w:rsidRDefault="00CA31F7" w:rsidP="00DD7EA8">
            <w:pPr>
              <w:spacing w:after="0" w:line="276" w:lineRule="auto"/>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1Mn-15Fe/Nb</w:t>
            </w:r>
            <w:r w:rsidRPr="006664D6">
              <w:rPr>
                <w:rFonts w:ascii="Times New Roman" w:eastAsia="Times New Roman" w:hAnsi="Times New Roman" w:cs="Times New Roman"/>
                <w:b/>
                <w:color w:val="000000"/>
                <w:sz w:val="20"/>
                <w:szCs w:val="20"/>
                <w:vertAlign w:val="subscript"/>
                <w:lang w:eastAsia="pt-BR"/>
              </w:rPr>
              <w:t>2</w:t>
            </w:r>
            <w:r w:rsidRPr="006664D6">
              <w:rPr>
                <w:rFonts w:ascii="Times New Roman" w:eastAsia="Times New Roman" w:hAnsi="Times New Roman" w:cs="Times New Roman"/>
                <w:b/>
                <w:color w:val="000000"/>
                <w:sz w:val="20"/>
                <w:szCs w:val="20"/>
                <w:lang w:eastAsia="pt-BR"/>
              </w:rPr>
              <w:t>O</w:t>
            </w:r>
            <w:r w:rsidRPr="006664D6">
              <w:rPr>
                <w:rFonts w:ascii="Times New Roman" w:eastAsia="Times New Roman" w:hAnsi="Times New Roman" w:cs="Times New Roman"/>
                <w:b/>
                <w:color w:val="000000"/>
                <w:sz w:val="20"/>
                <w:szCs w:val="20"/>
                <w:vertAlign w:val="subscript"/>
                <w:lang w:eastAsia="pt-BR"/>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1B506E" w14:textId="77777777" w:rsidR="00CA31F7" w:rsidRPr="00CA31F7" w:rsidRDefault="00CA31F7" w:rsidP="00DD7EA8">
            <w:pPr>
              <w:spacing w:after="0" w:line="276" w:lineRule="auto"/>
              <w:jc w:val="center"/>
              <w:rPr>
                <w:rFonts w:ascii="Times New Roman" w:eastAsia="Times New Roman" w:hAnsi="Times New Roman" w:cs="Times New Roman"/>
                <w:color w:val="000000"/>
                <w:sz w:val="20"/>
                <w:szCs w:val="20"/>
                <w:lang w:eastAsia="pt-BR"/>
              </w:rPr>
            </w:pPr>
            <w:r w:rsidRPr="00CA31F7">
              <w:rPr>
                <w:rFonts w:ascii="Times New Roman" w:eastAsia="Times New Roman" w:hAnsi="Times New Roman" w:cs="Times New Roman"/>
                <w:color w:val="000000"/>
                <w:sz w:val="20"/>
                <w:szCs w:val="20"/>
                <w:lang w:eastAsia="pt-BR"/>
              </w:rPr>
              <w:t>83,11</w:t>
            </w:r>
          </w:p>
        </w:tc>
        <w:tc>
          <w:tcPr>
            <w:tcW w:w="8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E953F7" w14:textId="77777777" w:rsidR="00CA31F7" w:rsidRPr="00CA31F7" w:rsidRDefault="00CA31F7" w:rsidP="00DD7EA8">
            <w:pPr>
              <w:spacing w:after="0" w:line="276" w:lineRule="auto"/>
              <w:jc w:val="center"/>
              <w:rPr>
                <w:rFonts w:ascii="Times New Roman" w:eastAsia="Times New Roman" w:hAnsi="Times New Roman" w:cs="Times New Roman"/>
                <w:color w:val="000000"/>
                <w:sz w:val="20"/>
                <w:szCs w:val="20"/>
                <w:lang w:eastAsia="pt-BR"/>
              </w:rPr>
            </w:pPr>
            <w:r w:rsidRPr="00CA31F7">
              <w:rPr>
                <w:rFonts w:ascii="Times New Roman" w:eastAsia="Times New Roman" w:hAnsi="Times New Roman" w:cs="Times New Roman"/>
                <w:color w:val="000000"/>
                <w:sz w:val="20"/>
                <w:szCs w:val="20"/>
                <w:lang w:eastAsia="pt-BR"/>
              </w:rPr>
              <w:t>15,03</w:t>
            </w:r>
          </w:p>
        </w:tc>
        <w:tc>
          <w:tcPr>
            <w:tcW w:w="13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719ED" w14:textId="77777777" w:rsidR="00CA31F7" w:rsidRPr="00CA31F7" w:rsidRDefault="00CA31F7" w:rsidP="00DD7EA8">
            <w:pPr>
              <w:spacing w:after="0" w:line="276" w:lineRule="auto"/>
              <w:jc w:val="center"/>
              <w:rPr>
                <w:rFonts w:ascii="Times New Roman" w:eastAsia="Times New Roman" w:hAnsi="Times New Roman" w:cs="Times New Roman"/>
                <w:color w:val="000000"/>
                <w:sz w:val="20"/>
                <w:szCs w:val="20"/>
                <w:lang w:eastAsia="pt-BR"/>
              </w:rPr>
            </w:pPr>
            <w:r w:rsidRPr="00CA31F7">
              <w:rPr>
                <w:rFonts w:ascii="Times New Roman" w:eastAsia="Times New Roman" w:hAnsi="Times New Roman" w:cs="Times New Roman"/>
                <w:color w:val="000000"/>
                <w:sz w:val="20"/>
                <w:szCs w:val="20"/>
                <w:lang w:eastAsia="pt-BR"/>
              </w:rPr>
              <w:t>1,22</w:t>
            </w:r>
          </w:p>
        </w:tc>
      </w:tr>
      <w:tr w:rsidR="00CA31F7" w:rsidRPr="00CA31F7" w14:paraId="4A6D0686" w14:textId="77777777" w:rsidTr="006664D6">
        <w:trPr>
          <w:trHeight w:val="300"/>
        </w:trPr>
        <w:tc>
          <w:tcPr>
            <w:tcW w:w="1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48D058" w14:textId="77777777" w:rsidR="00CA31F7" w:rsidRPr="006664D6" w:rsidRDefault="00CA31F7" w:rsidP="00DD7EA8">
            <w:pPr>
              <w:spacing w:after="0" w:line="276" w:lineRule="auto"/>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3Mn-15Fe/Nb</w:t>
            </w:r>
            <w:r w:rsidRPr="006664D6">
              <w:rPr>
                <w:rFonts w:ascii="Times New Roman" w:eastAsia="Times New Roman" w:hAnsi="Times New Roman" w:cs="Times New Roman"/>
                <w:b/>
                <w:color w:val="000000"/>
                <w:sz w:val="20"/>
                <w:szCs w:val="20"/>
                <w:vertAlign w:val="subscript"/>
                <w:lang w:eastAsia="pt-BR"/>
              </w:rPr>
              <w:t>2</w:t>
            </w:r>
            <w:r w:rsidRPr="006664D6">
              <w:rPr>
                <w:rFonts w:ascii="Times New Roman" w:eastAsia="Times New Roman" w:hAnsi="Times New Roman" w:cs="Times New Roman"/>
                <w:b/>
                <w:color w:val="000000"/>
                <w:sz w:val="20"/>
                <w:szCs w:val="20"/>
                <w:lang w:eastAsia="pt-BR"/>
              </w:rPr>
              <w:t>O</w:t>
            </w:r>
            <w:r w:rsidRPr="006664D6">
              <w:rPr>
                <w:rFonts w:ascii="Times New Roman" w:eastAsia="Times New Roman" w:hAnsi="Times New Roman" w:cs="Times New Roman"/>
                <w:b/>
                <w:color w:val="000000"/>
                <w:sz w:val="20"/>
                <w:szCs w:val="20"/>
                <w:vertAlign w:val="subscript"/>
                <w:lang w:eastAsia="pt-BR"/>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DAC3E" w14:textId="77777777" w:rsidR="00CA31F7" w:rsidRPr="00CA31F7" w:rsidRDefault="00CA31F7" w:rsidP="00DD7EA8">
            <w:pPr>
              <w:spacing w:after="0" w:line="276" w:lineRule="auto"/>
              <w:jc w:val="center"/>
              <w:rPr>
                <w:rFonts w:ascii="Times New Roman" w:eastAsia="Times New Roman" w:hAnsi="Times New Roman" w:cs="Times New Roman"/>
                <w:color w:val="000000"/>
                <w:sz w:val="20"/>
                <w:szCs w:val="20"/>
                <w:lang w:eastAsia="pt-BR"/>
              </w:rPr>
            </w:pPr>
            <w:r w:rsidRPr="00CA31F7">
              <w:rPr>
                <w:rFonts w:ascii="Times New Roman" w:eastAsia="Times New Roman" w:hAnsi="Times New Roman" w:cs="Times New Roman"/>
                <w:color w:val="000000"/>
                <w:sz w:val="20"/>
                <w:szCs w:val="20"/>
                <w:lang w:eastAsia="pt-BR"/>
              </w:rPr>
              <w:t>81,17</w:t>
            </w:r>
          </w:p>
        </w:tc>
        <w:tc>
          <w:tcPr>
            <w:tcW w:w="8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58C0E" w14:textId="77777777" w:rsidR="00CA31F7" w:rsidRPr="00CA31F7" w:rsidRDefault="00CA31F7" w:rsidP="00DD7EA8">
            <w:pPr>
              <w:spacing w:after="0" w:line="276" w:lineRule="auto"/>
              <w:jc w:val="center"/>
              <w:rPr>
                <w:rFonts w:ascii="Times New Roman" w:eastAsia="Times New Roman" w:hAnsi="Times New Roman" w:cs="Times New Roman"/>
                <w:color w:val="000000"/>
                <w:sz w:val="20"/>
                <w:szCs w:val="20"/>
                <w:lang w:eastAsia="pt-BR"/>
              </w:rPr>
            </w:pPr>
            <w:r w:rsidRPr="00CA31F7">
              <w:rPr>
                <w:rFonts w:ascii="Times New Roman" w:eastAsia="Times New Roman" w:hAnsi="Times New Roman" w:cs="Times New Roman"/>
                <w:color w:val="000000"/>
                <w:sz w:val="20"/>
                <w:szCs w:val="20"/>
                <w:lang w:eastAsia="pt-BR"/>
              </w:rPr>
              <w:t>15,02</w:t>
            </w:r>
          </w:p>
        </w:tc>
        <w:tc>
          <w:tcPr>
            <w:tcW w:w="13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8AE481" w14:textId="77777777" w:rsidR="00CA31F7" w:rsidRPr="00CA31F7" w:rsidRDefault="00CA31F7" w:rsidP="00DD7EA8">
            <w:pPr>
              <w:spacing w:after="0" w:line="276" w:lineRule="auto"/>
              <w:jc w:val="center"/>
              <w:rPr>
                <w:rFonts w:ascii="Times New Roman" w:eastAsia="Times New Roman" w:hAnsi="Times New Roman" w:cs="Times New Roman"/>
                <w:color w:val="000000"/>
                <w:sz w:val="20"/>
                <w:szCs w:val="20"/>
                <w:lang w:eastAsia="pt-BR"/>
              </w:rPr>
            </w:pPr>
            <w:r w:rsidRPr="00CA31F7">
              <w:rPr>
                <w:rFonts w:ascii="Times New Roman" w:eastAsia="Times New Roman" w:hAnsi="Times New Roman" w:cs="Times New Roman"/>
                <w:color w:val="000000"/>
                <w:sz w:val="20"/>
                <w:szCs w:val="20"/>
                <w:lang w:eastAsia="pt-BR"/>
              </w:rPr>
              <w:t>3,33</w:t>
            </w:r>
          </w:p>
        </w:tc>
      </w:tr>
      <w:tr w:rsidR="00CA31F7" w:rsidRPr="00CA31F7" w14:paraId="563CA89C" w14:textId="77777777" w:rsidTr="006664D6">
        <w:trPr>
          <w:trHeight w:val="300"/>
        </w:trPr>
        <w:tc>
          <w:tcPr>
            <w:tcW w:w="1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01E9E" w14:textId="77777777" w:rsidR="00CA31F7" w:rsidRPr="006664D6" w:rsidRDefault="00CA31F7" w:rsidP="00DD7EA8">
            <w:pPr>
              <w:spacing w:after="0" w:line="276" w:lineRule="auto"/>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5Mn-15Fe/Nb</w:t>
            </w:r>
            <w:r w:rsidRPr="006664D6">
              <w:rPr>
                <w:rFonts w:ascii="Times New Roman" w:eastAsia="Times New Roman" w:hAnsi="Times New Roman" w:cs="Times New Roman"/>
                <w:b/>
                <w:color w:val="000000"/>
                <w:sz w:val="20"/>
                <w:szCs w:val="20"/>
                <w:vertAlign w:val="subscript"/>
                <w:lang w:eastAsia="pt-BR"/>
              </w:rPr>
              <w:t>2</w:t>
            </w:r>
            <w:r w:rsidRPr="006664D6">
              <w:rPr>
                <w:rFonts w:ascii="Times New Roman" w:eastAsia="Times New Roman" w:hAnsi="Times New Roman" w:cs="Times New Roman"/>
                <w:b/>
                <w:color w:val="000000"/>
                <w:sz w:val="20"/>
                <w:szCs w:val="20"/>
                <w:lang w:eastAsia="pt-BR"/>
              </w:rPr>
              <w:t>O</w:t>
            </w:r>
            <w:r w:rsidRPr="006664D6">
              <w:rPr>
                <w:rFonts w:ascii="Times New Roman" w:eastAsia="Times New Roman" w:hAnsi="Times New Roman" w:cs="Times New Roman"/>
                <w:b/>
                <w:color w:val="000000"/>
                <w:sz w:val="20"/>
                <w:szCs w:val="20"/>
                <w:vertAlign w:val="subscript"/>
                <w:lang w:eastAsia="pt-BR"/>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3685E" w14:textId="77777777" w:rsidR="00CA31F7" w:rsidRPr="00CA31F7" w:rsidRDefault="00CA31F7" w:rsidP="00DD7EA8">
            <w:pPr>
              <w:spacing w:after="0" w:line="276" w:lineRule="auto"/>
              <w:jc w:val="center"/>
              <w:rPr>
                <w:rFonts w:ascii="Times New Roman" w:eastAsia="Times New Roman" w:hAnsi="Times New Roman" w:cs="Times New Roman"/>
                <w:color w:val="000000"/>
                <w:sz w:val="20"/>
                <w:szCs w:val="20"/>
                <w:lang w:eastAsia="pt-BR"/>
              </w:rPr>
            </w:pPr>
            <w:r w:rsidRPr="00CA31F7">
              <w:rPr>
                <w:rFonts w:ascii="Times New Roman" w:eastAsia="Times New Roman" w:hAnsi="Times New Roman" w:cs="Times New Roman"/>
                <w:color w:val="000000"/>
                <w:sz w:val="20"/>
                <w:szCs w:val="20"/>
                <w:lang w:eastAsia="pt-BR"/>
              </w:rPr>
              <w:t>78,83</w:t>
            </w:r>
          </w:p>
        </w:tc>
        <w:tc>
          <w:tcPr>
            <w:tcW w:w="8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7B73E" w14:textId="77777777" w:rsidR="00CA31F7" w:rsidRPr="00CA31F7" w:rsidRDefault="00CA31F7" w:rsidP="00DD7EA8">
            <w:pPr>
              <w:spacing w:after="0" w:line="276" w:lineRule="auto"/>
              <w:jc w:val="center"/>
              <w:rPr>
                <w:rFonts w:ascii="Times New Roman" w:eastAsia="Times New Roman" w:hAnsi="Times New Roman" w:cs="Times New Roman"/>
                <w:color w:val="000000"/>
                <w:sz w:val="20"/>
                <w:szCs w:val="20"/>
                <w:lang w:eastAsia="pt-BR"/>
              </w:rPr>
            </w:pPr>
            <w:r w:rsidRPr="00CA31F7">
              <w:rPr>
                <w:rFonts w:ascii="Times New Roman" w:eastAsia="Times New Roman" w:hAnsi="Times New Roman" w:cs="Times New Roman"/>
                <w:color w:val="000000"/>
                <w:sz w:val="20"/>
                <w:szCs w:val="20"/>
                <w:lang w:eastAsia="pt-BR"/>
              </w:rPr>
              <w:t>14,24</w:t>
            </w:r>
          </w:p>
        </w:tc>
        <w:tc>
          <w:tcPr>
            <w:tcW w:w="13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8D77E1" w14:textId="77777777" w:rsidR="00CA31F7" w:rsidRPr="00CA31F7" w:rsidRDefault="00CA31F7" w:rsidP="00DD7EA8">
            <w:pPr>
              <w:spacing w:after="0" w:line="276" w:lineRule="auto"/>
              <w:jc w:val="center"/>
              <w:rPr>
                <w:rFonts w:ascii="Times New Roman" w:eastAsia="Times New Roman" w:hAnsi="Times New Roman" w:cs="Times New Roman"/>
                <w:color w:val="000000"/>
                <w:sz w:val="20"/>
                <w:szCs w:val="20"/>
                <w:lang w:eastAsia="pt-BR"/>
              </w:rPr>
            </w:pPr>
            <w:r w:rsidRPr="00CA31F7">
              <w:rPr>
                <w:rFonts w:ascii="Times New Roman" w:eastAsia="Times New Roman" w:hAnsi="Times New Roman" w:cs="Times New Roman"/>
                <w:color w:val="000000"/>
                <w:sz w:val="20"/>
                <w:szCs w:val="20"/>
                <w:lang w:eastAsia="pt-BR"/>
              </w:rPr>
              <w:t>6,48</w:t>
            </w:r>
          </w:p>
        </w:tc>
      </w:tr>
    </w:tbl>
    <w:p w14:paraId="4C853FB0" w14:textId="77777777" w:rsidR="00801101" w:rsidRDefault="00801101" w:rsidP="00DD7EA8">
      <w:pPr>
        <w:spacing w:line="276" w:lineRule="auto"/>
        <w:ind w:firstLine="284"/>
        <w:jc w:val="both"/>
        <w:rPr>
          <w:rFonts w:ascii="Times New Roman" w:hAnsi="Times New Roman" w:cs="Times New Roman"/>
          <w:sz w:val="20"/>
          <w:szCs w:val="20"/>
        </w:rPr>
      </w:pPr>
    </w:p>
    <w:p w14:paraId="18FEC559" w14:textId="32A64AA8" w:rsidR="00C743D0" w:rsidRDefault="00C743D0" w:rsidP="00DD7EA8">
      <w:pPr>
        <w:spacing w:line="276" w:lineRule="auto"/>
        <w:ind w:firstLine="284"/>
        <w:jc w:val="both"/>
        <w:rPr>
          <w:rFonts w:ascii="Times New Roman" w:hAnsi="Times New Roman" w:cs="Times New Roman"/>
          <w:sz w:val="20"/>
          <w:szCs w:val="20"/>
        </w:rPr>
      </w:pPr>
      <w:r>
        <w:rPr>
          <w:rFonts w:ascii="Times New Roman" w:hAnsi="Times New Roman" w:cs="Times New Roman"/>
          <w:sz w:val="20"/>
          <w:szCs w:val="20"/>
        </w:rPr>
        <w:t>A Figura 1 m</w:t>
      </w:r>
      <w:r w:rsidRPr="00C743D0">
        <w:rPr>
          <w:rFonts w:ascii="Times New Roman" w:hAnsi="Times New Roman" w:cs="Times New Roman"/>
          <w:sz w:val="20"/>
          <w:szCs w:val="20"/>
        </w:rPr>
        <w:t>ostra o perfil de redução dos catalisadores. O primeiro pico de redução dos catalisadores corresponde à redução do Fe</w:t>
      </w:r>
      <w:r w:rsidRPr="00332B07">
        <w:rPr>
          <w:rFonts w:ascii="Times New Roman" w:hAnsi="Times New Roman" w:cs="Times New Roman"/>
          <w:sz w:val="20"/>
          <w:szCs w:val="20"/>
          <w:vertAlign w:val="subscript"/>
        </w:rPr>
        <w:t>2</w:t>
      </w:r>
      <w:r w:rsidRPr="00C743D0">
        <w:rPr>
          <w:rFonts w:ascii="Times New Roman" w:hAnsi="Times New Roman" w:cs="Times New Roman"/>
          <w:sz w:val="20"/>
          <w:szCs w:val="20"/>
        </w:rPr>
        <w:t>O</w:t>
      </w:r>
      <w:r w:rsidRPr="00332B07">
        <w:rPr>
          <w:rFonts w:ascii="Times New Roman" w:hAnsi="Times New Roman" w:cs="Times New Roman"/>
          <w:sz w:val="20"/>
          <w:szCs w:val="20"/>
          <w:vertAlign w:val="subscript"/>
        </w:rPr>
        <w:t>3</w:t>
      </w:r>
      <w:r w:rsidRPr="00C743D0">
        <w:rPr>
          <w:rFonts w:ascii="Times New Roman" w:hAnsi="Times New Roman" w:cs="Times New Roman"/>
          <w:sz w:val="20"/>
          <w:szCs w:val="20"/>
        </w:rPr>
        <w:t xml:space="preserve"> para Fe</w:t>
      </w:r>
      <w:r w:rsidRPr="00332B07">
        <w:rPr>
          <w:rFonts w:ascii="Times New Roman" w:hAnsi="Times New Roman" w:cs="Times New Roman"/>
          <w:sz w:val="20"/>
          <w:szCs w:val="20"/>
          <w:vertAlign w:val="subscript"/>
        </w:rPr>
        <w:t>3</w:t>
      </w:r>
      <w:r w:rsidRPr="00C743D0">
        <w:rPr>
          <w:rFonts w:ascii="Times New Roman" w:hAnsi="Times New Roman" w:cs="Times New Roman"/>
          <w:sz w:val="20"/>
          <w:szCs w:val="20"/>
        </w:rPr>
        <w:t>O</w:t>
      </w:r>
      <w:r w:rsidRPr="00332B07">
        <w:rPr>
          <w:rFonts w:ascii="Times New Roman" w:hAnsi="Times New Roman" w:cs="Times New Roman"/>
          <w:sz w:val="20"/>
          <w:szCs w:val="20"/>
          <w:vertAlign w:val="subscript"/>
        </w:rPr>
        <w:t>4</w:t>
      </w:r>
      <w:r w:rsidRPr="00C743D0">
        <w:rPr>
          <w:rFonts w:ascii="Times New Roman" w:hAnsi="Times New Roman" w:cs="Times New Roman"/>
          <w:sz w:val="20"/>
          <w:szCs w:val="20"/>
        </w:rPr>
        <w:t>. Nos catalisadores sintetizados, a temperatura para essa redução varia entre 365 e 457 ºC. Percebe-se que houve um aumento na temperatura dessa redução com o aumento do teor de manganês do catalisador. Um segundo pico característico varia entre 571 e 625 ºC que corresponde à redução de Fe</w:t>
      </w:r>
      <w:r w:rsidRPr="00332B07">
        <w:rPr>
          <w:rFonts w:ascii="Times New Roman" w:hAnsi="Times New Roman" w:cs="Times New Roman"/>
          <w:sz w:val="20"/>
          <w:szCs w:val="20"/>
          <w:vertAlign w:val="subscript"/>
        </w:rPr>
        <w:t>3</w:t>
      </w:r>
      <w:r w:rsidRPr="00C743D0">
        <w:rPr>
          <w:rFonts w:ascii="Times New Roman" w:hAnsi="Times New Roman" w:cs="Times New Roman"/>
          <w:sz w:val="20"/>
          <w:szCs w:val="20"/>
        </w:rPr>
        <w:t>O</w:t>
      </w:r>
      <w:r w:rsidRPr="00332B07">
        <w:rPr>
          <w:rFonts w:ascii="Times New Roman" w:hAnsi="Times New Roman" w:cs="Times New Roman"/>
          <w:sz w:val="20"/>
          <w:szCs w:val="20"/>
          <w:vertAlign w:val="subscript"/>
        </w:rPr>
        <w:t>4</w:t>
      </w:r>
      <w:r w:rsidRPr="00C743D0">
        <w:rPr>
          <w:rFonts w:ascii="Times New Roman" w:hAnsi="Times New Roman" w:cs="Times New Roman"/>
          <w:sz w:val="20"/>
          <w:szCs w:val="20"/>
        </w:rPr>
        <w:t xml:space="preserve"> para </w:t>
      </w:r>
      <w:proofErr w:type="spellStart"/>
      <w:r w:rsidRPr="00C743D0">
        <w:rPr>
          <w:rFonts w:ascii="Times New Roman" w:hAnsi="Times New Roman" w:cs="Times New Roman"/>
          <w:sz w:val="20"/>
          <w:szCs w:val="20"/>
        </w:rPr>
        <w:t>FeO</w:t>
      </w:r>
      <w:proofErr w:type="spellEnd"/>
      <w:r w:rsidRPr="00C743D0">
        <w:rPr>
          <w:rFonts w:ascii="Times New Roman" w:hAnsi="Times New Roman" w:cs="Times New Roman"/>
          <w:sz w:val="20"/>
          <w:szCs w:val="20"/>
        </w:rPr>
        <w:t xml:space="preserve">, que também aumenta a temperatura de redução com o aumento do teor de manganês. O terceiro pico da redução do ferro acontece entre 898 e 969, que corresponde à redução de </w:t>
      </w:r>
      <w:proofErr w:type="spellStart"/>
      <w:r w:rsidRPr="00C743D0">
        <w:rPr>
          <w:rFonts w:ascii="Times New Roman" w:hAnsi="Times New Roman" w:cs="Times New Roman"/>
          <w:sz w:val="20"/>
          <w:szCs w:val="20"/>
        </w:rPr>
        <w:t>FeO</w:t>
      </w:r>
      <w:proofErr w:type="spellEnd"/>
      <w:r w:rsidRPr="00C743D0">
        <w:rPr>
          <w:rFonts w:ascii="Times New Roman" w:hAnsi="Times New Roman" w:cs="Times New Roman"/>
          <w:sz w:val="20"/>
          <w:szCs w:val="20"/>
        </w:rPr>
        <w:t xml:space="preserve"> para ferro metálico (Fe) </w:t>
      </w:r>
      <w:r w:rsidR="00F5182F">
        <w:rPr>
          <w:rFonts w:ascii="Times New Roman" w:hAnsi="Times New Roman" w:cs="Times New Roman"/>
          <w:sz w:val="20"/>
          <w:szCs w:val="20"/>
        </w:rPr>
        <w:t>(7)</w:t>
      </w:r>
      <w:r w:rsidRPr="00C743D0">
        <w:rPr>
          <w:rFonts w:ascii="Times New Roman" w:hAnsi="Times New Roman" w:cs="Times New Roman"/>
          <w:sz w:val="20"/>
          <w:szCs w:val="20"/>
        </w:rPr>
        <w:t>.</w:t>
      </w:r>
    </w:p>
    <w:p w14:paraId="65B86A8B" w14:textId="0764640D" w:rsidR="00793C73" w:rsidRPr="00793C73" w:rsidRDefault="00793C73" w:rsidP="00DD7EA8">
      <w:pPr>
        <w:spacing w:line="276" w:lineRule="auto"/>
        <w:ind w:firstLine="284"/>
        <w:jc w:val="both"/>
        <w:rPr>
          <w:rFonts w:ascii="Times New Roman" w:hAnsi="Times New Roman" w:cs="Times New Roman"/>
          <w:b/>
          <w:bCs/>
          <w:sz w:val="20"/>
          <w:szCs w:val="20"/>
        </w:rPr>
      </w:pPr>
      <w:r w:rsidRPr="00793C73">
        <w:rPr>
          <w:rFonts w:ascii="Times New Roman" w:hAnsi="Times New Roman" w:cs="Times New Roman"/>
          <w:b/>
          <w:bCs/>
          <w:sz w:val="20"/>
          <w:szCs w:val="20"/>
        </w:rPr>
        <w:t>Figura</w:t>
      </w:r>
      <w:r w:rsidR="006664D6">
        <w:rPr>
          <w:rFonts w:ascii="Times New Roman" w:hAnsi="Times New Roman" w:cs="Times New Roman"/>
          <w:b/>
          <w:bCs/>
          <w:sz w:val="20"/>
          <w:szCs w:val="20"/>
        </w:rPr>
        <w:t xml:space="preserve"> </w:t>
      </w:r>
      <w:r w:rsidRPr="00793C73">
        <w:rPr>
          <w:rFonts w:ascii="Times New Roman" w:hAnsi="Times New Roman" w:cs="Times New Roman"/>
          <w:b/>
          <w:bCs/>
          <w:sz w:val="20"/>
          <w:szCs w:val="20"/>
        </w:rPr>
        <w:t xml:space="preserve">1. </w:t>
      </w:r>
      <w:r w:rsidR="001B43D7" w:rsidRPr="001B43D7">
        <w:rPr>
          <w:rFonts w:ascii="Times New Roman" w:hAnsi="Times New Roman" w:cs="Times New Roman"/>
          <w:sz w:val="20"/>
          <w:szCs w:val="20"/>
        </w:rPr>
        <w:t>Gráficos da Redução a Temperatura Programada dos catalisadores, onde (A) representa o catalisador 15Fe/Nb</w:t>
      </w:r>
      <w:r w:rsidR="001B43D7" w:rsidRPr="001B43D7">
        <w:rPr>
          <w:rFonts w:ascii="Times New Roman" w:hAnsi="Times New Roman" w:cs="Times New Roman"/>
          <w:sz w:val="20"/>
          <w:szCs w:val="20"/>
          <w:vertAlign w:val="subscript"/>
        </w:rPr>
        <w:t>2</w:t>
      </w:r>
      <w:r w:rsidR="001B43D7" w:rsidRPr="001B43D7">
        <w:rPr>
          <w:rFonts w:ascii="Times New Roman" w:hAnsi="Times New Roman" w:cs="Times New Roman"/>
          <w:sz w:val="20"/>
          <w:szCs w:val="20"/>
        </w:rPr>
        <w:t>O</w:t>
      </w:r>
      <w:r w:rsidR="001B43D7" w:rsidRPr="001B43D7">
        <w:rPr>
          <w:rFonts w:ascii="Times New Roman" w:hAnsi="Times New Roman" w:cs="Times New Roman"/>
          <w:sz w:val="20"/>
          <w:szCs w:val="20"/>
          <w:vertAlign w:val="subscript"/>
        </w:rPr>
        <w:t>5</w:t>
      </w:r>
      <w:r w:rsidR="001B43D7" w:rsidRPr="001B43D7">
        <w:rPr>
          <w:rFonts w:ascii="Times New Roman" w:hAnsi="Times New Roman" w:cs="Times New Roman"/>
          <w:sz w:val="20"/>
          <w:szCs w:val="20"/>
        </w:rPr>
        <w:t>, (B) 1Mn-15Fe/Nb</w:t>
      </w:r>
      <w:r w:rsidR="001B43D7" w:rsidRPr="001B43D7">
        <w:rPr>
          <w:rFonts w:ascii="Times New Roman" w:hAnsi="Times New Roman" w:cs="Times New Roman"/>
          <w:sz w:val="20"/>
          <w:szCs w:val="20"/>
          <w:vertAlign w:val="subscript"/>
        </w:rPr>
        <w:t>2</w:t>
      </w:r>
      <w:r w:rsidR="001B43D7" w:rsidRPr="001B43D7">
        <w:rPr>
          <w:rFonts w:ascii="Times New Roman" w:hAnsi="Times New Roman" w:cs="Times New Roman"/>
          <w:sz w:val="20"/>
          <w:szCs w:val="20"/>
        </w:rPr>
        <w:t>O</w:t>
      </w:r>
      <w:r w:rsidR="001B43D7" w:rsidRPr="001B43D7">
        <w:rPr>
          <w:rFonts w:ascii="Times New Roman" w:hAnsi="Times New Roman" w:cs="Times New Roman"/>
          <w:sz w:val="20"/>
          <w:szCs w:val="20"/>
          <w:vertAlign w:val="subscript"/>
        </w:rPr>
        <w:t>5</w:t>
      </w:r>
      <w:r w:rsidR="001B43D7" w:rsidRPr="001B43D7">
        <w:rPr>
          <w:rFonts w:ascii="Times New Roman" w:hAnsi="Times New Roman" w:cs="Times New Roman"/>
          <w:sz w:val="20"/>
          <w:szCs w:val="20"/>
        </w:rPr>
        <w:t>, (C) 3Mn-15Fe/Nb</w:t>
      </w:r>
      <w:r w:rsidR="001B43D7" w:rsidRPr="001B43D7">
        <w:rPr>
          <w:rFonts w:ascii="Times New Roman" w:hAnsi="Times New Roman" w:cs="Times New Roman"/>
          <w:sz w:val="20"/>
          <w:szCs w:val="20"/>
          <w:vertAlign w:val="subscript"/>
        </w:rPr>
        <w:t>2</w:t>
      </w:r>
      <w:r w:rsidR="001B43D7" w:rsidRPr="001B43D7">
        <w:rPr>
          <w:rFonts w:ascii="Times New Roman" w:hAnsi="Times New Roman" w:cs="Times New Roman"/>
          <w:sz w:val="20"/>
          <w:szCs w:val="20"/>
        </w:rPr>
        <w:t>O</w:t>
      </w:r>
      <w:r w:rsidR="001B43D7" w:rsidRPr="001B43D7">
        <w:rPr>
          <w:rFonts w:ascii="Times New Roman" w:hAnsi="Times New Roman" w:cs="Times New Roman"/>
          <w:sz w:val="20"/>
          <w:szCs w:val="20"/>
          <w:vertAlign w:val="subscript"/>
        </w:rPr>
        <w:t>5</w:t>
      </w:r>
      <w:r w:rsidR="001B43D7" w:rsidRPr="001B43D7">
        <w:rPr>
          <w:rFonts w:ascii="Times New Roman" w:hAnsi="Times New Roman" w:cs="Times New Roman"/>
          <w:sz w:val="20"/>
          <w:szCs w:val="20"/>
        </w:rPr>
        <w:t>, (D) 5Mn-15Fe/Nb</w:t>
      </w:r>
      <w:r w:rsidR="001B43D7" w:rsidRPr="001B43D7">
        <w:rPr>
          <w:rFonts w:ascii="Times New Roman" w:hAnsi="Times New Roman" w:cs="Times New Roman"/>
          <w:sz w:val="20"/>
          <w:szCs w:val="20"/>
          <w:vertAlign w:val="subscript"/>
        </w:rPr>
        <w:t>2</w:t>
      </w:r>
      <w:r w:rsidR="001B43D7" w:rsidRPr="001B43D7">
        <w:rPr>
          <w:rFonts w:ascii="Times New Roman" w:hAnsi="Times New Roman" w:cs="Times New Roman"/>
          <w:sz w:val="20"/>
          <w:szCs w:val="20"/>
        </w:rPr>
        <w:t>O</w:t>
      </w:r>
      <w:r w:rsidR="001B43D7" w:rsidRPr="001B43D7">
        <w:rPr>
          <w:rFonts w:ascii="Times New Roman" w:hAnsi="Times New Roman" w:cs="Times New Roman"/>
          <w:sz w:val="20"/>
          <w:szCs w:val="20"/>
          <w:vertAlign w:val="subscript"/>
        </w:rPr>
        <w:t>5</w:t>
      </w:r>
      <w:r w:rsidR="001B43D7" w:rsidRPr="001B43D7">
        <w:rPr>
          <w:rFonts w:ascii="Times New Roman" w:hAnsi="Times New Roman" w:cs="Times New Roman"/>
          <w:sz w:val="20"/>
          <w:szCs w:val="20"/>
        </w:rPr>
        <w:t xml:space="preserve"> e (E) Mistura física 15Fe/Nb</w:t>
      </w:r>
      <w:r w:rsidR="001B43D7" w:rsidRPr="00E35501">
        <w:rPr>
          <w:rFonts w:ascii="Times New Roman" w:hAnsi="Times New Roman" w:cs="Times New Roman"/>
          <w:sz w:val="20"/>
          <w:szCs w:val="20"/>
          <w:vertAlign w:val="subscript"/>
        </w:rPr>
        <w:t>2</w:t>
      </w:r>
      <w:r w:rsidR="001B43D7" w:rsidRPr="001B43D7">
        <w:rPr>
          <w:rFonts w:ascii="Times New Roman" w:hAnsi="Times New Roman" w:cs="Times New Roman"/>
          <w:sz w:val="20"/>
          <w:szCs w:val="20"/>
        </w:rPr>
        <w:t>O</w:t>
      </w:r>
      <w:r w:rsidR="001B43D7" w:rsidRPr="00E35501">
        <w:rPr>
          <w:rFonts w:ascii="Times New Roman" w:hAnsi="Times New Roman" w:cs="Times New Roman"/>
          <w:sz w:val="20"/>
          <w:szCs w:val="20"/>
          <w:vertAlign w:val="subscript"/>
        </w:rPr>
        <w:t>5</w:t>
      </w:r>
      <w:r w:rsidR="001B43D7" w:rsidRPr="001B43D7">
        <w:rPr>
          <w:rFonts w:ascii="Times New Roman" w:hAnsi="Times New Roman" w:cs="Times New Roman"/>
          <w:sz w:val="20"/>
          <w:szCs w:val="20"/>
        </w:rPr>
        <w:t>.</w:t>
      </w:r>
    </w:p>
    <w:p w14:paraId="23844A31" w14:textId="251EF0F3" w:rsidR="00793C73" w:rsidRDefault="00793C73" w:rsidP="00DD7EA8">
      <w:pPr>
        <w:spacing w:line="276" w:lineRule="auto"/>
        <w:jc w:val="center"/>
        <w:rPr>
          <w:rFonts w:ascii="Times New Roman" w:hAnsi="Times New Roman" w:cs="Times New Roman"/>
          <w:sz w:val="20"/>
          <w:szCs w:val="20"/>
        </w:rPr>
      </w:pPr>
      <w:r>
        <w:rPr>
          <w:noProof/>
          <w:color w:val="000000"/>
        </w:rPr>
        <w:drawing>
          <wp:inline distT="0" distB="0" distL="0" distR="0" wp14:anchorId="2F0E6821" wp14:editId="6A221A98">
            <wp:extent cx="3048000" cy="2887980"/>
            <wp:effectExtent l="0" t="0" r="0" b="7620"/>
            <wp:docPr id="7" name="Imagem 7" descr="Uma imagem contendo Diagrama&#10;&#10;Descrição gerada automaticamente"/>
            <wp:cNvGraphicFramePr/>
            <a:graphic xmlns:a="http://schemas.openxmlformats.org/drawingml/2006/main">
              <a:graphicData uri="http://schemas.openxmlformats.org/drawingml/2006/picture">
                <pic:pic xmlns:pic="http://schemas.openxmlformats.org/drawingml/2006/picture">
                  <pic:nvPicPr>
                    <pic:cNvPr id="7" name="Imagem 7" descr="Uma imagem contendo Diagrama&#10;&#10;Descrição gerada automaticamente"/>
                    <pic:cNvPicPr>
                      <a:picLocks noChangeAspect="1" noChangeArrowheads="1"/>
                    </pic:cNvPicPr>
                  </pic:nvPicPr>
                  <pic:blipFill rotWithShape="1">
                    <a:blip r:embed="rId9" cstate="print"/>
                    <a:srcRect l="10568" t="10009" r="26861"/>
                    <a:stretch/>
                  </pic:blipFill>
                  <pic:spPr bwMode="auto">
                    <a:xfrm>
                      <a:off x="0" y="0"/>
                      <a:ext cx="3048000" cy="2887980"/>
                    </a:xfrm>
                    <a:prstGeom prst="rect">
                      <a:avLst/>
                    </a:prstGeom>
                    <a:noFill/>
                    <a:ln>
                      <a:noFill/>
                    </a:ln>
                  </pic:spPr>
                </pic:pic>
              </a:graphicData>
            </a:graphic>
          </wp:inline>
        </w:drawing>
      </w:r>
    </w:p>
    <w:p w14:paraId="3C9280E6" w14:textId="0B382D3B" w:rsidR="006664D6" w:rsidRPr="006664D6" w:rsidRDefault="005921B7" w:rsidP="006664D6">
      <w:pPr>
        <w:pStyle w:val="TAMainText"/>
        <w:rPr>
          <w:rFonts w:ascii="Times New Roman" w:hAnsi="Times New Roman"/>
          <w:lang w:val="pt-BR"/>
        </w:rPr>
      </w:pPr>
      <w:r w:rsidRPr="005921B7">
        <w:rPr>
          <w:rFonts w:ascii="Times New Roman" w:hAnsi="Times New Roman"/>
        </w:rPr>
        <w:t>Além dos picos de redução do ferro, percebe-se dois outros picos de redução em torno de 270 ºC e 500 ºC. Esses picos são evidenciados na mistura física, e indica a redução de MnO</w:t>
      </w:r>
      <w:r w:rsidRPr="00332B07">
        <w:rPr>
          <w:rFonts w:ascii="Times New Roman" w:hAnsi="Times New Roman"/>
          <w:vertAlign w:val="subscript"/>
        </w:rPr>
        <w:t>2</w:t>
      </w:r>
      <w:r w:rsidRPr="005921B7">
        <w:rPr>
          <w:rFonts w:ascii="Times New Roman" w:hAnsi="Times New Roman"/>
        </w:rPr>
        <w:t xml:space="preserve"> para Mn</w:t>
      </w:r>
      <w:r w:rsidRPr="00332B07">
        <w:rPr>
          <w:rFonts w:ascii="Times New Roman" w:hAnsi="Times New Roman"/>
          <w:vertAlign w:val="subscript"/>
        </w:rPr>
        <w:t>2</w:t>
      </w:r>
      <w:r w:rsidRPr="005921B7">
        <w:rPr>
          <w:rFonts w:ascii="Times New Roman" w:hAnsi="Times New Roman"/>
        </w:rPr>
        <w:t>O</w:t>
      </w:r>
      <w:r w:rsidRPr="00332B07">
        <w:rPr>
          <w:rFonts w:ascii="Times New Roman" w:hAnsi="Times New Roman"/>
          <w:vertAlign w:val="subscript"/>
        </w:rPr>
        <w:t>3</w:t>
      </w:r>
      <w:r w:rsidRPr="005921B7">
        <w:rPr>
          <w:rFonts w:ascii="Times New Roman" w:hAnsi="Times New Roman"/>
        </w:rPr>
        <w:t xml:space="preserve"> e de Mn</w:t>
      </w:r>
      <w:r w:rsidRPr="00332B07">
        <w:rPr>
          <w:rFonts w:ascii="Times New Roman" w:hAnsi="Times New Roman"/>
          <w:vertAlign w:val="subscript"/>
        </w:rPr>
        <w:t>2</w:t>
      </w:r>
      <w:r w:rsidRPr="005921B7">
        <w:rPr>
          <w:rFonts w:ascii="Times New Roman" w:hAnsi="Times New Roman"/>
        </w:rPr>
        <w:t>O</w:t>
      </w:r>
      <w:r w:rsidRPr="00332B07">
        <w:rPr>
          <w:rFonts w:ascii="Times New Roman" w:hAnsi="Times New Roman"/>
          <w:vertAlign w:val="subscript"/>
        </w:rPr>
        <w:t>3</w:t>
      </w:r>
      <w:r w:rsidRPr="005921B7">
        <w:rPr>
          <w:rFonts w:ascii="Times New Roman" w:hAnsi="Times New Roman"/>
        </w:rPr>
        <w:t xml:space="preserve"> para </w:t>
      </w:r>
      <w:proofErr w:type="spellStart"/>
      <w:r w:rsidRPr="005921B7">
        <w:rPr>
          <w:rFonts w:ascii="Times New Roman" w:hAnsi="Times New Roman"/>
        </w:rPr>
        <w:t>MnO</w:t>
      </w:r>
      <w:proofErr w:type="spellEnd"/>
      <w:r w:rsidRPr="005921B7">
        <w:rPr>
          <w:rFonts w:ascii="Times New Roman" w:hAnsi="Times New Roman"/>
        </w:rPr>
        <w:t xml:space="preserve"> </w:t>
      </w:r>
      <w:proofErr w:type="spellStart"/>
      <w:r w:rsidRPr="005921B7">
        <w:rPr>
          <w:rFonts w:ascii="Times New Roman" w:hAnsi="Times New Roman"/>
        </w:rPr>
        <w:t>respectivamente</w:t>
      </w:r>
      <w:proofErr w:type="spellEnd"/>
      <w:r w:rsidRPr="005921B7">
        <w:rPr>
          <w:rFonts w:ascii="Times New Roman" w:hAnsi="Times New Roman"/>
        </w:rPr>
        <w:t xml:space="preserve"> (</w:t>
      </w:r>
      <w:r w:rsidR="00F5182F">
        <w:rPr>
          <w:rFonts w:ascii="Times New Roman" w:hAnsi="Times New Roman"/>
        </w:rPr>
        <w:t>13</w:t>
      </w:r>
      <w:r w:rsidRPr="005921B7">
        <w:rPr>
          <w:rFonts w:ascii="Times New Roman" w:hAnsi="Times New Roman"/>
        </w:rPr>
        <w:t xml:space="preserve">). É possível perceber que a </w:t>
      </w:r>
      <w:r w:rsidRPr="006664D6">
        <w:rPr>
          <w:rFonts w:ascii="Times New Roman" w:hAnsi="Times New Roman"/>
          <w:lang w:val="pt-BR"/>
        </w:rPr>
        <w:t>primeira redução do manganês é pouco expressa nos catalisadores calcinados, e a segunda redução aumenta gradativamente a intensidade de acordo com a quantidade do metal no catalisador.</w:t>
      </w:r>
    </w:p>
    <w:p w14:paraId="06EE95F7" w14:textId="3A6870D0" w:rsidR="005921B7" w:rsidRDefault="00536144" w:rsidP="006664D6">
      <w:pPr>
        <w:pStyle w:val="TAMainText"/>
        <w:rPr>
          <w:rFonts w:ascii="Times New Roman" w:hAnsi="Times New Roman"/>
        </w:rPr>
      </w:pPr>
      <w:r w:rsidRPr="006664D6">
        <w:rPr>
          <w:rFonts w:ascii="Times New Roman" w:hAnsi="Times New Roman"/>
          <w:lang w:val="pt-BR"/>
        </w:rPr>
        <w:t xml:space="preserve">Os perfis DRX dos catalisadores calcinados podem ser vistos na Figura 2. Perfis de difração mais acentuados em torno de 2θ igual a 22, 28, 37, 46, 51, 56, 59, 64 ° são observados em </w:t>
      </w:r>
      <w:r w:rsidR="004E5E70" w:rsidRPr="006664D6">
        <w:rPr>
          <w:rFonts w:ascii="Times New Roman" w:hAnsi="Times New Roman"/>
          <w:lang w:val="pt-BR"/>
        </w:rPr>
        <w:t>todas as amostras</w:t>
      </w:r>
      <w:r w:rsidRPr="006664D6">
        <w:rPr>
          <w:rFonts w:ascii="Times New Roman" w:hAnsi="Times New Roman"/>
          <w:lang w:val="pt-BR"/>
        </w:rPr>
        <w:t xml:space="preserve"> e são indexados a estrutura ortorrômbica do óxido de nióbio (Nb</w:t>
      </w:r>
      <w:r w:rsidRPr="006664D6">
        <w:rPr>
          <w:rFonts w:ascii="Times New Roman" w:hAnsi="Times New Roman"/>
          <w:vertAlign w:val="subscript"/>
          <w:lang w:val="pt-BR"/>
        </w:rPr>
        <w:t>2</w:t>
      </w:r>
      <w:r w:rsidRPr="006664D6">
        <w:rPr>
          <w:rFonts w:ascii="Times New Roman" w:hAnsi="Times New Roman"/>
          <w:lang w:val="pt-BR"/>
        </w:rPr>
        <w:t>O</w:t>
      </w:r>
      <w:r w:rsidRPr="006664D6">
        <w:rPr>
          <w:rFonts w:ascii="Times New Roman" w:hAnsi="Times New Roman"/>
          <w:vertAlign w:val="subscript"/>
          <w:lang w:val="pt-BR"/>
        </w:rPr>
        <w:t>5</w:t>
      </w:r>
      <w:r w:rsidRPr="006664D6">
        <w:rPr>
          <w:rFonts w:ascii="Times New Roman" w:hAnsi="Times New Roman"/>
          <w:lang w:val="pt-BR"/>
        </w:rPr>
        <w:t>) (ICSD n° 025765). Além disso, as análises de DRX mostram a formação das fases Fe</w:t>
      </w:r>
      <w:r w:rsidRPr="006664D6">
        <w:rPr>
          <w:rFonts w:ascii="Times New Roman" w:hAnsi="Times New Roman"/>
          <w:vertAlign w:val="subscript"/>
          <w:lang w:val="pt-BR"/>
        </w:rPr>
        <w:t>2</w:t>
      </w:r>
      <w:r w:rsidRPr="006664D6">
        <w:rPr>
          <w:rFonts w:ascii="Times New Roman" w:hAnsi="Times New Roman"/>
          <w:lang w:val="pt-BR"/>
        </w:rPr>
        <w:t>O</w:t>
      </w:r>
      <w:r w:rsidRPr="006664D6">
        <w:rPr>
          <w:rFonts w:ascii="Times New Roman" w:hAnsi="Times New Roman"/>
          <w:vertAlign w:val="subscript"/>
          <w:lang w:val="pt-BR"/>
        </w:rPr>
        <w:t>3</w:t>
      </w:r>
      <w:r w:rsidRPr="006664D6">
        <w:rPr>
          <w:rFonts w:ascii="Times New Roman" w:hAnsi="Times New Roman"/>
          <w:lang w:val="pt-BR"/>
        </w:rPr>
        <w:t xml:space="preserve"> (na forma</w:t>
      </w:r>
      <w:r w:rsidRPr="00824B37">
        <w:rPr>
          <w:rFonts w:ascii="Times New Roman" w:hAnsi="Times New Roman"/>
          <w:lang w:val="pt-BR"/>
        </w:rPr>
        <w:t xml:space="preserve"> de hematita ou magnetita) (ICSD n° 024791) e MnO</w:t>
      </w:r>
      <w:r w:rsidRPr="00824B37">
        <w:rPr>
          <w:rFonts w:ascii="Times New Roman" w:hAnsi="Times New Roman"/>
          <w:vertAlign w:val="subscript"/>
          <w:lang w:val="pt-BR"/>
        </w:rPr>
        <w:t>2</w:t>
      </w:r>
      <w:r w:rsidRPr="00824B37">
        <w:rPr>
          <w:rFonts w:ascii="Times New Roman" w:hAnsi="Times New Roman"/>
          <w:lang w:val="pt-BR"/>
        </w:rPr>
        <w:t xml:space="preserve"> (ICSD n° 80-1098), sugerindo que as nanopartículas de óxido de ferro e manganês estão bem distribuídas e incorporadas no suporte. Observa-se ainda que, com a incorporação da fase promovida há a formação de um pico em torno de 2</w:t>
      </w:r>
      <w:r w:rsidRPr="00536144">
        <w:rPr>
          <w:rFonts w:ascii="Times New Roman" w:hAnsi="Times New Roman"/>
        </w:rPr>
        <w:t>θ</w:t>
      </w:r>
      <w:r w:rsidRPr="00824B37">
        <w:rPr>
          <w:rFonts w:ascii="Times New Roman" w:hAnsi="Times New Roman"/>
          <w:lang w:val="pt-BR"/>
        </w:rPr>
        <w:t xml:space="preserve"> igual a 30º e é indexado ao complexo FeNb</w:t>
      </w:r>
      <w:r w:rsidRPr="00824B37">
        <w:rPr>
          <w:rFonts w:ascii="Times New Roman" w:hAnsi="Times New Roman"/>
          <w:vertAlign w:val="subscript"/>
          <w:lang w:val="pt-BR"/>
        </w:rPr>
        <w:t>2</w:t>
      </w:r>
      <w:r w:rsidRPr="00824B37">
        <w:rPr>
          <w:rFonts w:ascii="Times New Roman" w:hAnsi="Times New Roman"/>
          <w:lang w:val="pt-BR"/>
        </w:rPr>
        <w:t>O</w:t>
      </w:r>
      <w:r w:rsidRPr="00824B37">
        <w:rPr>
          <w:rFonts w:ascii="Times New Roman" w:hAnsi="Times New Roman"/>
          <w:vertAlign w:val="subscript"/>
          <w:lang w:val="pt-BR"/>
        </w:rPr>
        <w:t>6</w:t>
      </w:r>
      <w:r w:rsidRPr="00824B37">
        <w:rPr>
          <w:rFonts w:ascii="Times New Roman" w:hAnsi="Times New Roman"/>
          <w:lang w:val="pt-BR"/>
        </w:rPr>
        <w:t xml:space="preserve"> (ICSD n° 201962). </w:t>
      </w:r>
      <w:r w:rsidRPr="00536144">
        <w:rPr>
          <w:rFonts w:ascii="Times New Roman" w:hAnsi="Times New Roman"/>
        </w:rPr>
        <w:t xml:space="preserve">Esses resultados sugerem que o manganês aumentou a dispersão do óxido de ferro no suporte levando a uma maior interação entre o ferro e o </w:t>
      </w:r>
      <w:proofErr w:type="spellStart"/>
      <w:r w:rsidRPr="00536144">
        <w:rPr>
          <w:rFonts w:ascii="Times New Roman" w:hAnsi="Times New Roman"/>
        </w:rPr>
        <w:t>nióbio</w:t>
      </w:r>
      <w:proofErr w:type="spellEnd"/>
      <w:r w:rsidR="006664D6">
        <w:rPr>
          <w:rFonts w:ascii="Times New Roman" w:hAnsi="Times New Roman"/>
        </w:rPr>
        <w:t xml:space="preserve"> </w:t>
      </w:r>
      <w:r w:rsidR="00F5182F">
        <w:rPr>
          <w:rFonts w:ascii="Times New Roman" w:hAnsi="Times New Roman"/>
        </w:rPr>
        <w:t>(</w:t>
      </w:r>
      <w:r w:rsidR="007C0DF6">
        <w:rPr>
          <w:rFonts w:ascii="Times New Roman" w:hAnsi="Times New Roman"/>
        </w:rPr>
        <w:t>6</w:t>
      </w:r>
      <w:r w:rsidR="00F5182F">
        <w:rPr>
          <w:rFonts w:ascii="Times New Roman" w:hAnsi="Times New Roman"/>
        </w:rPr>
        <w:t>)</w:t>
      </w:r>
      <w:r w:rsidRPr="00536144">
        <w:rPr>
          <w:rFonts w:ascii="Times New Roman" w:hAnsi="Times New Roman"/>
        </w:rPr>
        <w:t>.</w:t>
      </w:r>
    </w:p>
    <w:p w14:paraId="640ACFA9" w14:textId="77777777" w:rsidR="006664D6" w:rsidRDefault="006664D6" w:rsidP="006664D6">
      <w:pPr>
        <w:pStyle w:val="TAMainText"/>
        <w:rPr>
          <w:rFonts w:ascii="Times New Roman" w:hAnsi="Times New Roman"/>
        </w:rPr>
      </w:pPr>
    </w:p>
    <w:p w14:paraId="043237A3" w14:textId="03EF48D6" w:rsidR="00747F7A" w:rsidRDefault="00747F7A" w:rsidP="00DD7EA8">
      <w:pPr>
        <w:spacing w:line="276" w:lineRule="auto"/>
        <w:jc w:val="both"/>
        <w:rPr>
          <w:rFonts w:ascii="Times New Roman" w:hAnsi="Times New Roman" w:cs="Times New Roman"/>
          <w:sz w:val="20"/>
          <w:szCs w:val="20"/>
        </w:rPr>
      </w:pPr>
      <w:r w:rsidRPr="00747F7A">
        <w:rPr>
          <w:rFonts w:ascii="Times New Roman" w:hAnsi="Times New Roman" w:cs="Times New Roman"/>
          <w:b/>
          <w:bCs/>
          <w:sz w:val="20"/>
          <w:szCs w:val="20"/>
        </w:rPr>
        <w:t>Figura 2.</w:t>
      </w:r>
      <w:r>
        <w:rPr>
          <w:rFonts w:ascii="Times New Roman" w:hAnsi="Times New Roman" w:cs="Times New Roman"/>
          <w:sz w:val="20"/>
          <w:szCs w:val="20"/>
        </w:rPr>
        <w:t xml:space="preserve"> </w:t>
      </w:r>
      <w:r w:rsidRPr="00747F7A">
        <w:rPr>
          <w:rFonts w:ascii="Times New Roman" w:hAnsi="Times New Roman" w:cs="Times New Roman"/>
          <w:sz w:val="20"/>
          <w:szCs w:val="20"/>
        </w:rPr>
        <w:t>Padrões de difração</w:t>
      </w:r>
      <w:r>
        <w:rPr>
          <w:rFonts w:ascii="Times New Roman" w:hAnsi="Times New Roman" w:cs="Times New Roman"/>
          <w:sz w:val="20"/>
          <w:szCs w:val="20"/>
        </w:rPr>
        <w:t xml:space="preserve"> pó</w:t>
      </w:r>
      <w:r w:rsidRPr="00747F7A">
        <w:rPr>
          <w:rFonts w:ascii="Times New Roman" w:hAnsi="Times New Roman" w:cs="Times New Roman"/>
          <w:sz w:val="20"/>
          <w:szCs w:val="20"/>
        </w:rPr>
        <w:t xml:space="preserve"> de raios-X dos catalisadores calcinados, onde (A) representa o catalisador 15Fe/Nb2O5, (B) 1Mn-15Fe/Nb2O5, (C) 3Mn-15Fe/Nb2O5 e (D) 5Mn-15Fe/Nb2O5.</w:t>
      </w:r>
    </w:p>
    <w:p w14:paraId="6BBEB305" w14:textId="029B927B" w:rsidR="00693876" w:rsidRDefault="00A94191" w:rsidP="00DD7EA8">
      <w:pPr>
        <w:spacing w:line="276" w:lineRule="auto"/>
        <w:jc w:val="both"/>
        <w:rPr>
          <w:rFonts w:ascii="Times New Roman" w:hAnsi="Times New Roman" w:cs="Times New Roman"/>
          <w:sz w:val="20"/>
          <w:szCs w:val="20"/>
        </w:rPr>
      </w:pPr>
      <w:r>
        <w:rPr>
          <w:noProof/>
          <w:color w:val="000000"/>
        </w:rPr>
        <w:lastRenderedPageBreak/>
        <w:drawing>
          <wp:inline distT="0" distB="0" distL="0" distR="0" wp14:anchorId="254F29D7" wp14:editId="355AF49B">
            <wp:extent cx="3038475" cy="2965450"/>
            <wp:effectExtent l="0" t="0" r="0" b="0"/>
            <wp:docPr id="17" name="Imagem 17" descr="Gráfico, Diagrama, Gráfico de dispersão&#10;&#10;Descrição gerada automaticamente"/>
            <wp:cNvGraphicFramePr/>
            <a:graphic xmlns:a="http://schemas.openxmlformats.org/drawingml/2006/main">
              <a:graphicData uri="http://schemas.openxmlformats.org/drawingml/2006/picture">
                <pic:pic xmlns:pic="http://schemas.openxmlformats.org/drawingml/2006/picture">
                  <pic:nvPicPr>
                    <pic:cNvPr id="17" name="Imagem 17" descr="Gráfico, Diagrama, Gráfico de dispersão&#10;&#10;Descrição gerada automaticamente"/>
                    <pic:cNvPicPr>
                      <a:picLocks noChangeAspect="1" noChangeArrowheads="1"/>
                    </pic:cNvPicPr>
                  </pic:nvPicPr>
                  <pic:blipFill rotWithShape="1">
                    <a:blip r:embed="rId10" cstate="print"/>
                    <a:srcRect l="12658" t="4337" r="20124" b="3797"/>
                    <a:stretch/>
                  </pic:blipFill>
                  <pic:spPr bwMode="auto">
                    <a:xfrm>
                      <a:off x="0" y="0"/>
                      <a:ext cx="3038475" cy="2965450"/>
                    </a:xfrm>
                    <a:prstGeom prst="rect">
                      <a:avLst/>
                    </a:prstGeom>
                    <a:noFill/>
                    <a:ln>
                      <a:noFill/>
                    </a:ln>
                  </pic:spPr>
                </pic:pic>
              </a:graphicData>
            </a:graphic>
          </wp:inline>
        </w:drawing>
      </w:r>
    </w:p>
    <w:p w14:paraId="6A74DDFD" w14:textId="37C9A5F2" w:rsidR="001727EA" w:rsidRDefault="001727EA" w:rsidP="00DD7EA8">
      <w:pPr>
        <w:spacing w:line="276" w:lineRule="auto"/>
        <w:ind w:firstLine="284"/>
        <w:jc w:val="both"/>
        <w:rPr>
          <w:rFonts w:ascii="Times New Roman" w:hAnsi="Times New Roman" w:cs="Times New Roman"/>
          <w:sz w:val="20"/>
          <w:szCs w:val="20"/>
        </w:rPr>
      </w:pPr>
      <w:r w:rsidRPr="001727EA">
        <w:rPr>
          <w:rFonts w:ascii="Times New Roman" w:hAnsi="Times New Roman" w:cs="Times New Roman"/>
          <w:sz w:val="20"/>
          <w:szCs w:val="20"/>
        </w:rPr>
        <w:t>Para os cálculos dos diâmetros de partícula de Fe</w:t>
      </w:r>
      <w:r w:rsidRPr="006664D6">
        <w:rPr>
          <w:rFonts w:ascii="Times New Roman" w:hAnsi="Times New Roman" w:cs="Times New Roman"/>
          <w:sz w:val="20"/>
          <w:szCs w:val="20"/>
          <w:vertAlign w:val="subscript"/>
        </w:rPr>
        <w:t>2</w:t>
      </w:r>
      <w:r w:rsidRPr="001727EA">
        <w:rPr>
          <w:rFonts w:ascii="Times New Roman" w:hAnsi="Times New Roman" w:cs="Times New Roman"/>
          <w:sz w:val="20"/>
          <w:szCs w:val="20"/>
        </w:rPr>
        <w:t>O</w:t>
      </w:r>
      <w:r w:rsidRPr="006664D6">
        <w:rPr>
          <w:rFonts w:ascii="Times New Roman" w:hAnsi="Times New Roman" w:cs="Times New Roman"/>
          <w:sz w:val="20"/>
          <w:szCs w:val="20"/>
          <w:vertAlign w:val="subscript"/>
        </w:rPr>
        <w:t>3</w:t>
      </w:r>
      <w:r w:rsidRPr="001727EA">
        <w:rPr>
          <w:rFonts w:ascii="Times New Roman" w:hAnsi="Times New Roman" w:cs="Times New Roman"/>
          <w:sz w:val="20"/>
          <w:szCs w:val="20"/>
        </w:rPr>
        <w:t>, utilizou-se o pico de 2θ igual a 33º, e aplicou-se a equação 34. Os resultados podem ser encontrados na Tabela 4. Observa-se que o diâmetro das partículas nas misturas físicas é maior que nos catalisadores calcinado, o que indica que as partículas no catalisador estão bem dispersas.</w:t>
      </w:r>
    </w:p>
    <w:p w14:paraId="67D8E54E" w14:textId="0E97A3F6" w:rsidR="00B300AE" w:rsidRDefault="00E40F87" w:rsidP="00DD7EA8">
      <w:pPr>
        <w:spacing w:line="276" w:lineRule="auto"/>
        <w:ind w:firstLine="284"/>
        <w:jc w:val="both"/>
        <w:rPr>
          <w:rFonts w:ascii="Times New Roman" w:hAnsi="Times New Roman" w:cs="Times New Roman"/>
          <w:sz w:val="20"/>
          <w:szCs w:val="20"/>
        </w:rPr>
      </w:pPr>
      <w:r w:rsidRPr="00B47EC8">
        <w:rPr>
          <w:rFonts w:ascii="Times New Roman" w:hAnsi="Times New Roman" w:cs="Times New Roman"/>
          <w:b/>
          <w:bCs/>
          <w:sz w:val="20"/>
          <w:szCs w:val="20"/>
        </w:rPr>
        <w:t xml:space="preserve">Tabela </w:t>
      </w:r>
      <w:r w:rsidR="00B47EC8" w:rsidRPr="00B47EC8">
        <w:rPr>
          <w:rFonts w:ascii="Times New Roman" w:hAnsi="Times New Roman" w:cs="Times New Roman"/>
          <w:b/>
          <w:bCs/>
          <w:sz w:val="20"/>
          <w:szCs w:val="20"/>
        </w:rPr>
        <w:t>3.</w:t>
      </w:r>
      <w:r w:rsidR="00B47EC8">
        <w:rPr>
          <w:rFonts w:ascii="Times New Roman" w:hAnsi="Times New Roman" w:cs="Times New Roman"/>
          <w:sz w:val="20"/>
          <w:szCs w:val="20"/>
        </w:rPr>
        <w:t xml:space="preserve"> </w:t>
      </w:r>
      <w:r w:rsidRPr="00E40F87">
        <w:rPr>
          <w:rFonts w:ascii="Times New Roman" w:hAnsi="Times New Roman" w:cs="Times New Roman"/>
          <w:sz w:val="20"/>
          <w:szCs w:val="20"/>
        </w:rPr>
        <w:t>Tamanho das partículas de óxido de ferro presentes nos catalisadores</w:t>
      </w:r>
    </w:p>
    <w:tbl>
      <w:tblPr>
        <w:tblW w:w="4849" w:type="dxa"/>
        <w:tblCellMar>
          <w:left w:w="70" w:type="dxa"/>
          <w:right w:w="70" w:type="dxa"/>
        </w:tblCellMar>
        <w:tblLook w:val="04A0" w:firstRow="1" w:lastRow="0" w:firstColumn="1" w:lastColumn="0" w:noHBand="0" w:noVBand="1"/>
      </w:tblPr>
      <w:tblGrid>
        <w:gridCol w:w="1842"/>
        <w:gridCol w:w="1344"/>
        <w:gridCol w:w="1663"/>
      </w:tblGrid>
      <w:tr w:rsidR="00610A78" w:rsidRPr="00610A78" w14:paraId="08E42D1C" w14:textId="77777777" w:rsidTr="006664D6">
        <w:trPr>
          <w:trHeight w:val="773"/>
        </w:trPr>
        <w:tc>
          <w:tcPr>
            <w:tcW w:w="184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C87AF40" w14:textId="77777777" w:rsidR="00610A78" w:rsidRPr="006664D6" w:rsidRDefault="00610A78" w:rsidP="00610A78">
            <w:pPr>
              <w:spacing w:after="0" w:line="240" w:lineRule="auto"/>
              <w:jc w:val="center"/>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Catalisadores</w:t>
            </w:r>
          </w:p>
        </w:tc>
        <w:tc>
          <w:tcPr>
            <w:tcW w:w="300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5AF7E0" w14:textId="77777777" w:rsidR="00610A78" w:rsidRPr="006664D6" w:rsidRDefault="00610A78" w:rsidP="00610A78">
            <w:pPr>
              <w:spacing w:after="0" w:line="240" w:lineRule="auto"/>
              <w:jc w:val="center"/>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Tamanho de partícula Fe</w:t>
            </w:r>
            <w:r w:rsidRPr="006664D6">
              <w:rPr>
                <w:rFonts w:ascii="Times New Roman" w:eastAsia="Times New Roman" w:hAnsi="Times New Roman" w:cs="Times New Roman"/>
                <w:b/>
                <w:color w:val="000000"/>
                <w:sz w:val="20"/>
                <w:szCs w:val="20"/>
                <w:vertAlign w:val="subscript"/>
                <w:lang w:eastAsia="pt-BR"/>
              </w:rPr>
              <w:t>2</w:t>
            </w:r>
            <w:r w:rsidRPr="006664D6">
              <w:rPr>
                <w:rFonts w:ascii="Times New Roman" w:eastAsia="Times New Roman" w:hAnsi="Times New Roman" w:cs="Times New Roman"/>
                <w:b/>
                <w:color w:val="000000"/>
                <w:sz w:val="20"/>
                <w:szCs w:val="20"/>
                <w:lang w:eastAsia="pt-BR"/>
              </w:rPr>
              <w:t>O</w:t>
            </w:r>
            <w:r w:rsidRPr="006664D6">
              <w:rPr>
                <w:rFonts w:ascii="Times New Roman" w:eastAsia="Times New Roman" w:hAnsi="Times New Roman" w:cs="Times New Roman"/>
                <w:b/>
                <w:color w:val="000000"/>
                <w:sz w:val="20"/>
                <w:szCs w:val="20"/>
                <w:vertAlign w:val="subscript"/>
                <w:lang w:eastAsia="pt-BR"/>
              </w:rPr>
              <w:t xml:space="preserve">3 </w:t>
            </w:r>
            <w:r w:rsidRPr="006664D6">
              <w:rPr>
                <w:rFonts w:ascii="Times New Roman" w:eastAsia="Times New Roman" w:hAnsi="Times New Roman" w:cs="Times New Roman"/>
                <w:b/>
                <w:color w:val="000000"/>
                <w:sz w:val="20"/>
                <w:szCs w:val="20"/>
                <w:lang w:eastAsia="pt-BR"/>
              </w:rPr>
              <w:t>(nm)</w:t>
            </w:r>
          </w:p>
        </w:tc>
      </w:tr>
      <w:tr w:rsidR="00610A78" w:rsidRPr="00610A78" w14:paraId="1A25088D" w14:textId="77777777" w:rsidTr="006664D6">
        <w:trPr>
          <w:trHeight w:val="309"/>
        </w:trPr>
        <w:tc>
          <w:tcPr>
            <w:tcW w:w="1842" w:type="dxa"/>
            <w:vMerge/>
            <w:tcBorders>
              <w:top w:val="single" w:sz="4" w:space="0" w:color="auto"/>
              <w:left w:val="single" w:sz="4" w:space="0" w:color="auto"/>
              <w:bottom w:val="single" w:sz="4" w:space="0" w:color="000000"/>
              <w:right w:val="single" w:sz="4" w:space="0" w:color="auto"/>
            </w:tcBorders>
            <w:vAlign w:val="center"/>
            <w:hideMark/>
          </w:tcPr>
          <w:p w14:paraId="34A351C1" w14:textId="77777777" w:rsidR="00610A78" w:rsidRPr="006664D6" w:rsidRDefault="00610A78" w:rsidP="00610A78">
            <w:pPr>
              <w:spacing w:after="0" w:line="240" w:lineRule="auto"/>
              <w:rPr>
                <w:rFonts w:ascii="Times New Roman" w:eastAsia="Times New Roman" w:hAnsi="Times New Roman" w:cs="Times New Roman"/>
                <w:b/>
                <w:color w:val="000000"/>
                <w:sz w:val="20"/>
                <w:szCs w:val="20"/>
                <w:lang w:eastAsia="pt-BR"/>
              </w:rPr>
            </w:pPr>
          </w:p>
        </w:tc>
        <w:tc>
          <w:tcPr>
            <w:tcW w:w="13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436FF" w14:textId="77777777" w:rsidR="00610A78" w:rsidRPr="006664D6" w:rsidRDefault="00610A78" w:rsidP="00610A78">
            <w:pPr>
              <w:spacing w:after="0" w:line="240" w:lineRule="auto"/>
              <w:jc w:val="center"/>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Calcinados</w:t>
            </w:r>
          </w:p>
        </w:tc>
        <w:tc>
          <w:tcPr>
            <w:tcW w:w="16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3EC555" w14:textId="77777777" w:rsidR="00610A78" w:rsidRPr="006664D6" w:rsidRDefault="00610A78" w:rsidP="00610A78">
            <w:pPr>
              <w:spacing w:after="0" w:line="240" w:lineRule="auto"/>
              <w:jc w:val="center"/>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Mistura física</w:t>
            </w:r>
          </w:p>
        </w:tc>
      </w:tr>
      <w:tr w:rsidR="00610A78" w:rsidRPr="00610A78" w14:paraId="77B7C6D8" w14:textId="77777777" w:rsidTr="006664D6">
        <w:trPr>
          <w:trHeight w:val="309"/>
        </w:trPr>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14:paraId="19C5C552" w14:textId="77777777" w:rsidR="00610A78" w:rsidRPr="006664D6" w:rsidRDefault="00610A78" w:rsidP="00610A78">
            <w:pPr>
              <w:spacing w:after="0" w:line="240" w:lineRule="auto"/>
              <w:jc w:val="center"/>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5Mn-15Fe/Nb</w:t>
            </w:r>
            <w:r w:rsidRPr="006664D6">
              <w:rPr>
                <w:rFonts w:ascii="Times New Roman" w:eastAsia="Times New Roman" w:hAnsi="Times New Roman" w:cs="Times New Roman"/>
                <w:b/>
                <w:color w:val="000000"/>
                <w:sz w:val="20"/>
                <w:szCs w:val="20"/>
                <w:vertAlign w:val="subscript"/>
                <w:lang w:eastAsia="pt-BR"/>
              </w:rPr>
              <w:t>2</w:t>
            </w:r>
            <w:r w:rsidRPr="006664D6">
              <w:rPr>
                <w:rFonts w:ascii="Times New Roman" w:eastAsia="Times New Roman" w:hAnsi="Times New Roman" w:cs="Times New Roman"/>
                <w:b/>
                <w:color w:val="000000"/>
                <w:sz w:val="20"/>
                <w:szCs w:val="20"/>
                <w:lang w:eastAsia="pt-BR"/>
              </w:rPr>
              <w:t>O</w:t>
            </w:r>
            <w:r w:rsidRPr="006664D6">
              <w:rPr>
                <w:rFonts w:ascii="Times New Roman" w:eastAsia="Times New Roman" w:hAnsi="Times New Roman" w:cs="Times New Roman"/>
                <w:b/>
                <w:color w:val="000000"/>
                <w:sz w:val="20"/>
                <w:szCs w:val="20"/>
                <w:vertAlign w:val="subscript"/>
                <w:lang w:eastAsia="pt-BR"/>
              </w:rPr>
              <w:t>5</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14:paraId="532F98D4" w14:textId="77777777" w:rsidR="00610A78" w:rsidRPr="00610A78" w:rsidRDefault="00610A78" w:rsidP="00610A78">
            <w:pPr>
              <w:spacing w:after="0" w:line="240" w:lineRule="auto"/>
              <w:jc w:val="center"/>
              <w:rPr>
                <w:rFonts w:ascii="Times New Roman" w:eastAsia="Times New Roman" w:hAnsi="Times New Roman" w:cs="Times New Roman"/>
                <w:color w:val="000000"/>
                <w:sz w:val="20"/>
                <w:szCs w:val="20"/>
                <w:lang w:eastAsia="pt-BR"/>
              </w:rPr>
            </w:pPr>
            <w:r w:rsidRPr="00610A78">
              <w:rPr>
                <w:rFonts w:ascii="Times New Roman" w:eastAsia="Times New Roman" w:hAnsi="Times New Roman" w:cs="Times New Roman"/>
                <w:color w:val="000000"/>
                <w:sz w:val="20"/>
                <w:szCs w:val="20"/>
                <w:lang w:eastAsia="pt-BR"/>
              </w:rPr>
              <w:t>20.3</w:t>
            </w:r>
          </w:p>
        </w:tc>
        <w:tc>
          <w:tcPr>
            <w:tcW w:w="1662" w:type="dxa"/>
            <w:tcBorders>
              <w:top w:val="nil"/>
              <w:left w:val="single" w:sz="4" w:space="0" w:color="auto"/>
              <w:bottom w:val="single" w:sz="4" w:space="0" w:color="auto"/>
              <w:right w:val="single" w:sz="4" w:space="0" w:color="auto"/>
            </w:tcBorders>
            <w:shd w:val="clear" w:color="000000" w:fill="FFFFFF"/>
            <w:noWrap/>
            <w:vAlign w:val="center"/>
            <w:hideMark/>
          </w:tcPr>
          <w:p w14:paraId="6406E623" w14:textId="77777777" w:rsidR="00610A78" w:rsidRPr="00610A78" w:rsidRDefault="00610A78" w:rsidP="00610A78">
            <w:pPr>
              <w:spacing w:after="0" w:line="240" w:lineRule="auto"/>
              <w:jc w:val="center"/>
              <w:rPr>
                <w:rFonts w:ascii="Times New Roman" w:eastAsia="Times New Roman" w:hAnsi="Times New Roman" w:cs="Times New Roman"/>
                <w:color w:val="000000"/>
                <w:sz w:val="20"/>
                <w:szCs w:val="20"/>
                <w:lang w:eastAsia="pt-BR"/>
              </w:rPr>
            </w:pPr>
            <w:r w:rsidRPr="00610A78">
              <w:rPr>
                <w:rFonts w:ascii="Times New Roman" w:eastAsia="Times New Roman" w:hAnsi="Times New Roman" w:cs="Times New Roman"/>
                <w:color w:val="000000"/>
                <w:sz w:val="20"/>
                <w:szCs w:val="20"/>
                <w:lang w:eastAsia="pt-BR"/>
              </w:rPr>
              <w:t>24,1</w:t>
            </w:r>
          </w:p>
        </w:tc>
      </w:tr>
      <w:tr w:rsidR="00610A78" w:rsidRPr="00610A78" w14:paraId="41176C8E" w14:textId="77777777" w:rsidTr="006664D6">
        <w:trPr>
          <w:trHeight w:val="309"/>
        </w:trPr>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44F84" w14:textId="77777777" w:rsidR="00610A78" w:rsidRPr="006664D6" w:rsidRDefault="00610A78" w:rsidP="00610A78">
            <w:pPr>
              <w:spacing w:after="0" w:line="240" w:lineRule="auto"/>
              <w:jc w:val="center"/>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3Mn-15Fe/Nb</w:t>
            </w:r>
            <w:r w:rsidRPr="006664D6">
              <w:rPr>
                <w:rFonts w:ascii="Times New Roman" w:eastAsia="Times New Roman" w:hAnsi="Times New Roman" w:cs="Times New Roman"/>
                <w:b/>
                <w:color w:val="000000"/>
                <w:sz w:val="20"/>
                <w:szCs w:val="20"/>
                <w:vertAlign w:val="subscript"/>
                <w:lang w:eastAsia="pt-BR"/>
              </w:rPr>
              <w:t>2</w:t>
            </w:r>
            <w:r w:rsidRPr="006664D6">
              <w:rPr>
                <w:rFonts w:ascii="Times New Roman" w:eastAsia="Times New Roman" w:hAnsi="Times New Roman" w:cs="Times New Roman"/>
                <w:b/>
                <w:color w:val="000000"/>
                <w:sz w:val="20"/>
                <w:szCs w:val="20"/>
                <w:lang w:eastAsia="pt-BR"/>
              </w:rPr>
              <w:t>O</w:t>
            </w:r>
            <w:r w:rsidRPr="006664D6">
              <w:rPr>
                <w:rFonts w:ascii="Times New Roman" w:eastAsia="Times New Roman" w:hAnsi="Times New Roman" w:cs="Times New Roman"/>
                <w:b/>
                <w:color w:val="000000"/>
                <w:sz w:val="20"/>
                <w:szCs w:val="20"/>
                <w:vertAlign w:val="subscript"/>
                <w:lang w:eastAsia="pt-BR"/>
              </w:rPr>
              <w:t>5</w:t>
            </w:r>
          </w:p>
        </w:tc>
        <w:tc>
          <w:tcPr>
            <w:tcW w:w="13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7B6F52" w14:textId="77777777" w:rsidR="00610A78" w:rsidRPr="00610A78" w:rsidRDefault="00610A78" w:rsidP="00610A78">
            <w:pPr>
              <w:spacing w:after="0" w:line="240" w:lineRule="auto"/>
              <w:jc w:val="center"/>
              <w:rPr>
                <w:rFonts w:ascii="Times New Roman" w:eastAsia="Times New Roman" w:hAnsi="Times New Roman" w:cs="Times New Roman"/>
                <w:color w:val="000000"/>
                <w:sz w:val="20"/>
                <w:szCs w:val="20"/>
                <w:lang w:eastAsia="pt-BR"/>
              </w:rPr>
            </w:pPr>
            <w:r w:rsidRPr="00610A78">
              <w:rPr>
                <w:rFonts w:ascii="Times New Roman" w:eastAsia="Times New Roman" w:hAnsi="Times New Roman" w:cs="Times New Roman"/>
                <w:color w:val="000000"/>
                <w:sz w:val="20"/>
                <w:szCs w:val="20"/>
                <w:lang w:eastAsia="pt-BR"/>
              </w:rPr>
              <w:t>24.0</w:t>
            </w:r>
          </w:p>
        </w:tc>
        <w:tc>
          <w:tcPr>
            <w:tcW w:w="16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A53A3" w14:textId="77777777" w:rsidR="00610A78" w:rsidRPr="00610A78" w:rsidRDefault="00610A78" w:rsidP="00610A78">
            <w:pPr>
              <w:spacing w:after="0" w:line="240" w:lineRule="auto"/>
              <w:jc w:val="center"/>
              <w:rPr>
                <w:rFonts w:ascii="Times New Roman" w:eastAsia="Times New Roman" w:hAnsi="Times New Roman" w:cs="Times New Roman"/>
                <w:color w:val="000000"/>
                <w:sz w:val="20"/>
                <w:szCs w:val="20"/>
                <w:lang w:eastAsia="pt-BR"/>
              </w:rPr>
            </w:pPr>
            <w:r w:rsidRPr="00610A78">
              <w:rPr>
                <w:rFonts w:ascii="Times New Roman" w:eastAsia="Times New Roman" w:hAnsi="Times New Roman" w:cs="Times New Roman"/>
                <w:color w:val="000000"/>
                <w:sz w:val="20"/>
                <w:szCs w:val="20"/>
                <w:lang w:eastAsia="pt-BR"/>
              </w:rPr>
              <w:t>23,2</w:t>
            </w:r>
          </w:p>
        </w:tc>
      </w:tr>
      <w:tr w:rsidR="00610A78" w:rsidRPr="00610A78" w14:paraId="45EBF6C0" w14:textId="77777777" w:rsidTr="006664D6">
        <w:trPr>
          <w:trHeight w:val="309"/>
        </w:trPr>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AC6358" w14:textId="77777777" w:rsidR="00610A78" w:rsidRPr="006664D6" w:rsidRDefault="00610A78" w:rsidP="00610A78">
            <w:pPr>
              <w:spacing w:after="0" w:line="240" w:lineRule="auto"/>
              <w:jc w:val="center"/>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1Mn-15Fe/Nb</w:t>
            </w:r>
            <w:r w:rsidRPr="006664D6">
              <w:rPr>
                <w:rFonts w:ascii="Times New Roman" w:eastAsia="Times New Roman" w:hAnsi="Times New Roman" w:cs="Times New Roman"/>
                <w:b/>
                <w:color w:val="000000"/>
                <w:sz w:val="20"/>
                <w:szCs w:val="20"/>
                <w:vertAlign w:val="subscript"/>
                <w:lang w:eastAsia="pt-BR"/>
              </w:rPr>
              <w:t>2</w:t>
            </w:r>
            <w:r w:rsidRPr="006664D6">
              <w:rPr>
                <w:rFonts w:ascii="Times New Roman" w:eastAsia="Times New Roman" w:hAnsi="Times New Roman" w:cs="Times New Roman"/>
                <w:b/>
                <w:color w:val="000000"/>
                <w:sz w:val="20"/>
                <w:szCs w:val="20"/>
                <w:lang w:eastAsia="pt-BR"/>
              </w:rPr>
              <w:t>O</w:t>
            </w:r>
            <w:r w:rsidRPr="006664D6">
              <w:rPr>
                <w:rFonts w:ascii="Times New Roman" w:eastAsia="Times New Roman" w:hAnsi="Times New Roman" w:cs="Times New Roman"/>
                <w:b/>
                <w:color w:val="000000"/>
                <w:sz w:val="20"/>
                <w:szCs w:val="20"/>
                <w:vertAlign w:val="subscript"/>
                <w:lang w:eastAsia="pt-BR"/>
              </w:rPr>
              <w:t>5</w:t>
            </w:r>
          </w:p>
        </w:tc>
        <w:tc>
          <w:tcPr>
            <w:tcW w:w="13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6C060F" w14:textId="77777777" w:rsidR="00610A78" w:rsidRPr="00610A78" w:rsidRDefault="00610A78" w:rsidP="00610A78">
            <w:pPr>
              <w:spacing w:after="0" w:line="240" w:lineRule="auto"/>
              <w:jc w:val="center"/>
              <w:rPr>
                <w:rFonts w:ascii="Times New Roman" w:eastAsia="Times New Roman" w:hAnsi="Times New Roman" w:cs="Times New Roman"/>
                <w:color w:val="000000"/>
                <w:sz w:val="20"/>
                <w:szCs w:val="20"/>
                <w:lang w:eastAsia="pt-BR"/>
              </w:rPr>
            </w:pPr>
            <w:r w:rsidRPr="00610A78">
              <w:rPr>
                <w:rFonts w:ascii="Times New Roman" w:eastAsia="Times New Roman" w:hAnsi="Times New Roman" w:cs="Times New Roman"/>
                <w:color w:val="000000"/>
                <w:sz w:val="20"/>
                <w:szCs w:val="20"/>
                <w:lang w:eastAsia="pt-BR"/>
              </w:rPr>
              <w:t>22.0</w:t>
            </w:r>
          </w:p>
        </w:tc>
        <w:tc>
          <w:tcPr>
            <w:tcW w:w="16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310DD2" w14:textId="77777777" w:rsidR="00610A78" w:rsidRPr="00610A78" w:rsidRDefault="00610A78" w:rsidP="00610A78">
            <w:pPr>
              <w:spacing w:after="0" w:line="240" w:lineRule="auto"/>
              <w:jc w:val="center"/>
              <w:rPr>
                <w:rFonts w:ascii="Times New Roman" w:eastAsia="Times New Roman" w:hAnsi="Times New Roman" w:cs="Times New Roman"/>
                <w:color w:val="000000"/>
                <w:sz w:val="20"/>
                <w:szCs w:val="20"/>
                <w:lang w:eastAsia="pt-BR"/>
              </w:rPr>
            </w:pPr>
            <w:r w:rsidRPr="00610A78">
              <w:rPr>
                <w:rFonts w:ascii="Times New Roman" w:eastAsia="Times New Roman" w:hAnsi="Times New Roman" w:cs="Times New Roman"/>
                <w:color w:val="000000"/>
                <w:sz w:val="20"/>
                <w:szCs w:val="20"/>
                <w:lang w:eastAsia="pt-BR"/>
              </w:rPr>
              <w:t>24,1</w:t>
            </w:r>
          </w:p>
        </w:tc>
      </w:tr>
      <w:tr w:rsidR="00610A78" w:rsidRPr="00610A78" w14:paraId="2AFF13CA" w14:textId="77777777" w:rsidTr="006664D6">
        <w:trPr>
          <w:trHeight w:val="309"/>
        </w:trPr>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5FCD6" w14:textId="77777777" w:rsidR="00610A78" w:rsidRPr="006664D6" w:rsidRDefault="00610A78" w:rsidP="00610A78">
            <w:pPr>
              <w:spacing w:after="0" w:line="240" w:lineRule="auto"/>
              <w:jc w:val="center"/>
              <w:rPr>
                <w:rFonts w:ascii="Times New Roman" w:eastAsia="Times New Roman" w:hAnsi="Times New Roman" w:cs="Times New Roman"/>
                <w:b/>
                <w:color w:val="000000"/>
                <w:sz w:val="20"/>
                <w:szCs w:val="20"/>
                <w:lang w:eastAsia="pt-BR"/>
              </w:rPr>
            </w:pPr>
            <w:r w:rsidRPr="006664D6">
              <w:rPr>
                <w:rFonts w:ascii="Times New Roman" w:eastAsia="Times New Roman" w:hAnsi="Times New Roman" w:cs="Times New Roman"/>
                <w:b/>
                <w:color w:val="000000"/>
                <w:sz w:val="20"/>
                <w:szCs w:val="20"/>
                <w:lang w:eastAsia="pt-BR"/>
              </w:rPr>
              <w:t>15Fe/Nb</w:t>
            </w:r>
            <w:r w:rsidRPr="006664D6">
              <w:rPr>
                <w:rFonts w:ascii="Times New Roman" w:eastAsia="Times New Roman" w:hAnsi="Times New Roman" w:cs="Times New Roman"/>
                <w:b/>
                <w:color w:val="000000"/>
                <w:sz w:val="20"/>
                <w:szCs w:val="20"/>
                <w:vertAlign w:val="subscript"/>
                <w:lang w:eastAsia="pt-BR"/>
              </w:rPr>
              <w:t>2</w:t>
            </w:r>
            <w:r w:rsidRPr="006664D6">
              <w:rPr>
                <w:rFonts w:ascii="Times New Roman" w:eastAsia="Times New Roman" w:hAnsi="Times New Roman" w:cs="Times New Roman"/>
                <w:b/>
                <w:color w:val="000000"/>
                <w:sz w:val="20"/>
                <w:szCs w:val="20"/>
                <w:lang w:eastAsia="pt-BR"/>
              </w:rPr>
              <w:t>O</w:t>
            </w:r>
            <w:r w:rsidRPr="006664D6">
              <w:rPr>
                <w:rFonts w:ascii="Times New Roman" w:eastAsia="Times New Roman" w:hAnsi="Times New Roman" w:cs="Times New Roman"/>
                <w:b/>
                <w:color w:val="000000"/>
                <w:sz w:val="20"/>
                <w:szCs w:val="20"/>
                <w:vertAlign w:val="subscript"/>
                <w:lang w:eastAsia="pt-BR"/>
              </w:rPr>
              <w:t>5</w:t>
            </w:r>
          </w:p>
        </w:tc>
        <w:tc>
          <w:tcPr>
            <w:tcW w:w="13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140CF" w14:textId="77777777" w:rsidR="00610A78" w:rsidRPr="00610A78" w:rsidRDefault="00610A78" w:rsidP="00610A78">
            <w:pPr>
              <w:spacing w:after="0" w:line="240" w:lineRule="auto"/>
              <w:jc w:val="center"/>
              <w:rPr>
                <w:rFonts w:ascii="Times New Roman" w:eastAsia="Times New Roman" w:hAnsi="Times New Roman" w:cs="Times New Roman"/>
                <w:color w:val="000000"/>
                <w:sz w:val="20"/>
                <w:szCs w:val="20"/>
                <w:lang w:eastAsia="pt-BR"/>
              </w:rPr>
            </w:pPr>
            <w:r w:rsidRPr="00610A78">
              <w:rPr>
                <w:rFonts w:ascii="Times New Roman" w:eastAsia="Times New Roman" w:hAnsi="Times New Roman" w:cs="Times New Roman"/>
                <w:color w:val="000000"/>
                <w:sz w:val="20"/>
                <w:szCs w:val="20"/>
                <w:lang w:eastAsia="pt-BR"/>
              </w:rPr>
              <w:t>20.0</w:t>
            </w:r>
          </w:p>
        </w:tc>
        <w:tc>
          <w:tcPr>
            <w:tcW w:w="16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401F58" w14:textId="77777777" w:rsidR="00610A78" w:rsidRPr="00610A78" w:rsidRDefault="00610A78" w:rsidP="00610A78">
            <w:pPr>
              <w:spacing w:after="0" w:line="240" w:lineRule="auto"/>
              <w:jc w:val="center"/>
              <w:rPr>
                <w:rFonts w:ascii="Times New Roman" w:eastAsia="Times New Roman" w:hAnsi="Times New Roman" w:cs="Times New Roman"/>
                <w:color w:val="000000"/>
                <w:sz w:val="20"/>
                <w:szCs w:val="20"/>
                <w:lang w:eastAsia="pt-BR"/>
              </w:rPr>
            </w:pPr>
            <w:r w:rsidRPr="00610A78">
              <w:rPr>
                <w:rFonts w:ascii="Times New Roman" w:eastAsia="Times New Roman" w:hAnsi="Times New Roman" w:cs="Times New Roman"/>
                <w:color w:val="000000"/>
                <w:sz w:val="20"/>
                <w:szCs w:val="20"/>
                <w:lang w:eastAsia="pt-BR"/>
              </w:rPr>
              <w:t>24,1</w:t>
            </w:r>
          </w:p>
        </w:tc>
      </w:tr>
    </w:tbl>
    <w:p w14:paraId="4CBF7F1E" w14:textId="77777777" w:rsidR="006664D6" w:rsidRDefault="006664D6" w:rsidP="008B0D3C">
      <w:pPr>
        <w:pStyle w:val="TAMainText"/>
        <w:ind w:firstLine="187"/>
        <w:rPr>
          <w:lang w:val="pt-BR"/>
        </w:rPr>
      </w:pPr>
    </w:p>
    <w:p w14:paraId="3922C188" w14:textId="2D2A59B0" w:rsidR="008B0D3C" w:rsidRDefault="008B0D3C" w:rsidP="008B0D3C">
      <w:pPr>
        <w:pStyle w:val="TAMainText"/>
        <w:ind w:firstLine="187"/>
        <w:rPr>
          <w:lang w:val="pt-BR"/>
        </w:rPr>
      </w:pPr>
      <w:r>
        <w:rPr>
          <w:lang w:val="pt-BR"/>
        </w:rPr>
        <w:t>O comportamento da redução dos catalisadores através da RTP-H</w:t>
      </w:r>
      <w:r w:rsidRPr="00340F44">
        <w:rPr>
          <w:vertAlign w:val="subscript"/>
          <w:lang w:val="pt-BR"/>
        </w:rPr>
        <w:t>2</w:t>
      </w:r>
      <w:r>
        <w:rPr>
          <w:lang w:val="pt-BR"/>
        </w:rPr>
        <w:t xml:space="preserve"> pode ser observado na Figura 3, onde tem-se a presença de três estágios de redução: (1) entre 320 a 435 °C  ocorrendo a redução de </w:t>
      </w:r>
      <w:r w:rsidRPr="00C57451">
        <w:rPr>
          <w:lang w:val="pt-BR"/>
        </w:rPr>
        <w:t>α-Fe</w:t>
      </w:r>
      <w:r w:rsidRPr="00340F44">
        <w:rPr>
          <w:vertAlign w:val="subscript"/>
          <w:lang w:val="pt-BR"/>
        </w:rPr>
        <w:t>2</w:t>
      </w:r>
      <w:r w:rsidRPr="00C57451">
        <w:rPr>
          <w:lang w:val="pt-BR"/>
        </w:rPr>
        <w:t>O</w:t>
      </w:r>
      <w:r w:rsidRPr="00340F44">
        <w:rPr>
          <w:vertAlign w:val="subscript"/>
          <w:lang w:val="pt-BR"/>
        </w:rPr>
        <w:t>3</w:t>
      </w:r>
      <w:r>
        <w:rPr>
          <w:lang w:val="pt-BR"/>
        </w:rPr>
        <w:t xml:space="preserve"> em Fe</w:t>
      </w:r>
      <w:r w:rsidRPr="00340F44">
        <w:rPr>
          <w:vertAlign w:val="subscript"/>
          <w:lang w:val="pt-BR"/>
        </w:rPr>
        <w:t>3</w:t>
      </w:r>
      <w:r>
        <w:rPr>
          <w:lang w:val="pt-BR"/>
        </w:rPr>
        <w:t>O</w:t>
      </w:r>
      <w:r w:rsidRPr="00340F44">
        <w:rPr>
          <w:vertAlign w:val="subscript"/>
          <w:lang w:val="pt-BR"/>
        </w:rPr>
        <w:t>4</w:t>
      </w:r>
      <w:r>
        <w:rPr>
          <w:lang w:val="pt-BR"/>
        </w:rPr>
        <w:t xml:space="preserve">; (2) entre 490 a 662°C, observa-se a redução de </w:t>
      </w:r>
      <w:r w:rsidRPr="008B0D3C">
        <w:rPr>
          <w:lang w:val="pt-BR"/>
        </w:rPr>
        <w:t>Fe</w:t>
      </w:r>
      <w:r w:rsidRPr="008B0D3C">
        <w:rPr>
          <w:vertAlign w:val="subscript"/>
          <w:lang w:val="pt-BR"/>
        </w:rPr>
        <w:t>3</w:t>
      </w:r>
      <w:r w:rsidRPr="008B0D3C">
        <w:rPr>
          <w:lang w:val="pt-BR"/>
        </w:rPr>
        <w:t>O</w:t>
      </w:r>
      <w:r w:rsidRPr="008B0D3C">
        <w:rPr>
          <w:vertAlign w:val="subscript"/>
          <w:lang w:val="pt-BR"/>
        </w:rPr>
        <w:t>4</w:t>
      </w:r>
      <w:r w:rsidRPr="008B0D3C">
        <w:rPr>
          <w:lang w:val="pt-BR"/>
        </w:rPr>
        <w:t xml:space="preserve"> em </w:t>
      </w:r>
      <w:proofErr w:type="spellStart"/>
      <w:r w:rsidRPr="008B0D3C">
        <w:rPr>
          <w:lang w:val="pt-BR"/>
        </w:rPr>
        <w:t>FeO</w:t>
      </w:r>
      <w:proofErr w:type="spellEnd"/>
      <w:r w:rsidRPr="008B0D3C">
        <w:rPr>
          <w:lang w:val="pt-BR"/>
        </w:rPr>
        <w:t xml:space="preserve">; (3) Acima de 720°C o </w:t>
      </w:r>
      <w:proofErr w:type="spellStart"/>
      <w:r w:rsidRPr="008B0D3C">
        <w:rPr>
          <w:lang w:val="pt-BR"/>
        </w:rPr>
        <w:t>FeO</w:t>
      </w:r>
      <w:proofErr w:type="spellEnd"/>
      <w:r w:rsidRPr="008B0D3C">
        <w:rPr>
          <w:lang w:val="pt-BR"/>
        </w:rPr>
        <w:t xml:space="preserve"> se reduz a Fe metálico</w:t>
      </w:r>
      <w:r>
        <w:rPr>
          <w:lang w:val="pt-BR"/>
        </w:rPr>
        <w:t xml:space="preserve">. </w:t>
      </w:r>
    </w:p>
    <w:p w14:paraId="05674105" w14:textId="07C106F0" w:rsidR="008B0D3C" w:rsidRDefault="008B0D3C" w:rsidP="008B0D3C">
      <w:pPr>
        <w:pStyle w:val="TAMainText"/>
        <w:ind w:firstLine="187"/>
        <w:rPr>
          <w:lang w:val="pt-BR"/>
        </w:rPr>
      </w:pPr>
      <w:r>
        <w:rPr>
          <w:lang w:val="pt-BR"/>
        </w:rPr>
        <w:t xml:space="preserve">Além disso, é importante ressaltar, que comparado com </w:t>
      </w:r>
      <w:proofErr w:type="gramStart"/>
      <w:r w:rsidR="0042392B">
        <w:rPr>
          <w:lang w:val="pt-BR"/>
        </w:rPr>
        <w:t>outros trabalho</w:t>
      </w:r>
      <w:proofErr w:type="gramEnd"/>
      <w:r w:rsidR="0042392B">
        <w:rPr>
          <w:lang w:val="pt-BR"/>
        </w:rPr>
        <w:t xml:space="preserve"> (</w:t>
      </w:r>
      <w:r w:rsidR="00F5182F">
        <w:rPr>
          <w:lang w:val="pt-BR"/>
        </w:rPr>
        <w:t>9</w:t>
      </w:r>
      <w:r w:rsidR="0042392B">
        <w:rPr>
          <w:lang w:val="pt-BR"/>
        </w:rPr>
        <w:t>)</w:t>
      </w:r>
      <w:r>
        <w:rPr>
          <w:lang w:val="pt-BR"/>
        </w:rPr>
        <w:t xml:space="preserve"> o catalisador apresentou uma redução de aproximadamente 100°C em todas as reduções nos catalisadores de ferro, entretanto, com a adição de potássio e manganês</w:t>
      </w:r>
      <w:r w:rsidR="0042392B">
        <w:rPr>
          <w:lang w:val="pt-BR"/>
        </w:rPr>
        <w:t xml:space="preserve"> outros autores (</w:t>
      </w:r>
      <w:r w:rsidR="00F5182F">
        <w:rPr>
          <w:lang w:val="pt-BR"/>
        </w:rPr>
        <w:t>10</w:t>
      </w:r>
      <w:r w:rsidR="0042392B">
        <w:rPr>
          <w:lang w:val="pt-BR"/>
        </w:rPr>
        <w:t xml:space="preserve">) </w:t>
      </w:r>
      <w:r>
        <w:rPr>
          <w:lang w:val="pt-BR"/>
        </w:rPr>
        <w:t>também apresent</w:t>
      </w:r>
      <w:r w:rsidR="0042392B">
        <w:rPr>
          <w:lang w:val="pt-BR"/>
        </w:rPr>
        <w:t>aram</w:t>
      </w:r>
      <w:r>
        <w:rPr>
          <w:lang w:val="pt-BR"/>
        </w:rPr>
        <w:t xml:space="preserve"> a mesma redução apresentada nos perfis. Podendo assim, </w:t>
      </w:r>
      <w:r>
        <w:rPr>
          <w:lang w:val="pt-BR"/>
        </w:rPr>
        <w:t xml:space="preserve">atribuir a redução dos picos a interação dos promotores com a fase ativa. </w:t>
      </w:r>
    </w:p>
    <w:p w14:paraId="653622A6" w14:textId="53BCC164" w:rsidR="008B0D3C" w:rsidRDefault="008B0D3C" w:rsidP="008B0D3C">
      <w:pPr>
        <w:pStyle w:val="TAMainText"/>
        <w:ind w:firstLine="187"/>
        <w:rPr>
          <w:lang w:val="pt-BR"/>
        </w:rPr>
      </w:pPr>
      <w:r>
        <w:rPr>
          <w:lang w:val="pt-BR"/>
        </w:rPr>
        <w:t xml:space="preserve">Ainda, a diminuição da temperatura de redução, como apresentado pelo teor de 3%Mn, indica que as partículas de Ferro presente nas amostras promovida apenas por Mn foram mais facilmente reduzidas, isso se deve ao fato da presença de maior dispersão do óxido de ferro.  A adição do potássio, foi responsável por atrasar a redução dos catalisadores </w:t>
      </w:r>
      <w:r w:rsidR="0042392B">
        <w:rPr>
          <w:lang w:val="pt-BR"/>
        </w:rPr>
        <w:t>(</w:t>
      </w:r>
      <w:r w:rsidR="00F5182F">
        <w:rPr>
          <w:lang w:val="pt-BR"/>
        </w:rPr>
        <w:t>11</w:t>
      </w:r>
      <w:r w:rsidR="0042392B">
        <w:rPr>
          <w:lang w:val="pt-BR"/>
        </w:rPr>
        <w:t>)</w:t>
      </w:r>
      <w:r w:rsidR="00F5182F">
        <w:rPr>
          <w:lang w:val="pt-BR"/>
        </w:rPr>
        <w:t>.</w:t>
      </w:r>
    </w:p>
    <w:p w14:paraId="319C3DBB" w14:textId="77777777" w:rsidR="008B0D3C" w:rsidRDefault="008B0D3C" w:rsidP="008B0D3C">
      <w:pPr>
        <w:pStyle w:val="TAMainText"/>
        <w:ind w:firstLine="187"/>
        <w:rPr>
          <w:lang w:val="pt-BR"/>
        </w:rPr>
      </w:pPr>
    </w:p>
    <w:p w14:paraId="5FA70DF9" w14:textId="74D40550" w:rsidR="008B0D3C" w:rsidRPr="00E038AF" w:rsidRDefault="00D771E2" w:rsidP="00D771E2">
      <w:pPr>
        <w:spacing w:line="276" w:lineRule="auto"/>
        <w:ind w:firstLine="284"/>
        <w:jc w:val="both"/>
        <w:rPr>
          <w:rFonts w:ascii="Times New Roman" w:hAnsi="Times New Roman"/>
        </w:rPr>
      </w:pPr>
      <w:r>
        <w:rPr>
          <w:rFonts w:ascii="Times New Roman" w:hAnsi="Times New Roman" w:cs="Times New Roman"/>
          <w:b/>
          <w:bCs/>
          <w:sz w:val="20"/>
          <w:szCs w:val="20"/>
        </w:rPr>
        <w:t>Figura</w:t>
      </w:r>
      <w:r w:rsidRPr="00B47EC8">
        <w:rPr>
          <w:rFonts w:ascii="Times New Roman" w:hAnsi="Times New Roman" w:cs="Times New Roman"/>
          <w:b/>
          <w:bCs/>
          <w:sz w:val="20"/>
          <w:szCs w:val="20"/>
        </w:rPr>
        <w:t xml:space="preserve"> 3.</w:t>
      </w:r>
      <w:r>
        <w:rPr>
          <w:rFonts w:ascii="Times New Roman" w:hAnsi="Times New Roman" w:cs="Times New Roman"/>
          <w:sz w:val="20"/>
          <w:szCs w:val="20"/>
        </w:rPr>
        <w:t xml:space="preserve"> </w:t>
      </w:r>
      <w:r w:rsidRPr="00D771E2">
        <w:rPr>
          <w:rFonts w:ascii="Times New Roman" w:hAnsi="Times New Roman" w:cs="Times New Roman"/>
          <w:sz w:val="20"/>
          <w:szCs w:val="20"/>
        </w:rPr>
        <w:t>TPR-H</w:t>
      </w:r>
      <w:r w:rsidRPr="0042392B">
        <w:rPr>
          <w:rFonts w:ascii="Times New Roman" w:hAnsi="Times New Roman" w:cs="Times New Roman"/>
          <w:sz w:val="20"/>
          <w:szCs w:val="20"/>
          <w:vertAlign w:val="subscript"/>
        </w:rPr>
        <w:t>2</w:t>
      </w:r>
      <w:r w:rsidRPr="00D771E2">
        <w:rPr>
          <w:rFonts w:ascii="Times New Roman" w:hAnsi="Times New Roman" w:cs="Times New Roman"/>
          <w:sz w:val="20"/>
          <w:szCs w:val="20"/>
        </w:rPr>
        <w:t xml:space="preserve"> dos catalisadores 15%Fe-3%Mn-x%</w:t>
      </w:r>
      <w:r>
        <w:rPr>
          <w:rFonts w:ascii="Times New Roman" w:hAnsi="Times New Roman" w:cs="Times New Roman"/>
          <w:sz w:val="20"/>
          <w:szCs w:val="20"/>
        </w:rPr>
        <w:t>K</w:t>
      </w:r>
      <w:r w:rsidRPr="00D771E2">
        <w:rPr>
          <w:rFonts w:ascii="Times New Roman" w:hAnsi="Times New Roman" w:cs="Times New Roman"/>
          <w:sz w:val="20"/>
          <w:szCs w:val="20"/>
        </w:rPr>
        <w:t>/Nb</w:t>
      </w:r>
      <w:r w:rsidRPr="00D771E2">
        <w:rPr>
          <w:rFonts w:ascii="Times New Roman" w:hAnsi="Times New Roman" w:cs="Times New Roman"/>
          <w:sz w:val="20"/>
          <w:szCs w:val="20"/>
          <w:vertAlign w:val="subscript"/>
        </w:rPr>
        <w:t>2</w:t>
      </w:r>
      <w:r w:rsidRPr="00D771E2">
        <w:rPr>
          <w:rFonts w:ascii="Times New Roman" w:hAnsi="Times New Roman" w:cs="Times New Roman"/>
          <w:sz w:val="20"/>
          <w:szCs w:val="20"/>
        </w:rPr>
        <w:t>O</w:t>
      </w:r>
      <w:r w:rsidRPr="00D771E2">
        <w:rPr>
          <w:rFonts w:ascii="Times New Roman" w:hAnsi="Times New Roman" w:cs="Times New Roman"/>
          <w:sz w:val="20"/>
          <w:szCs w:val="20"/>
          <w:vertAlign w:val="subscript"/>
        </w:rPr>
        <w:t>5</w:t>
      </w:r>
      <w:r w:rsidRPr="00D771E2">
        <w:rPr>
          <w:rFonts w:ascii="Times New Roman" w:hAnsi="Times New Roman" w:cs="Times New Roman"/>
          <w:sz w:val="20"/>
          <w:szCs w:val="20"/>
        </w:rPr>
        <w:t xml:space="preserve"> calcinados.</w:t>
      </w:r>
    </w:p>
    <w:p w14:paraId="26CFE6BF" w14:textId="596863B8" w:rsidR="008B0D3C" w:rsidRDefault="008B0D3C" w:rsidP="00D771E2">
      <w:r>
        <w:rPr>
          <w:noProof/>
        </w:rPr>
        <w:drawing>
          <wp:inline distT="0" distB="0" distL="0" distR="0" wp14:anchorId="2C382685" wp14:editId="3CC1E982">
            <wp:extent cx="3101009" cy="2602078"/>
            <wp:effectExtent l="0" t="0" r="4445" b="8255"/>
            <wp:docPr id="15" name="Imagem 15" descr="C:\Users\Admin\Downloads\WhatsApp Image 2023-05-07 at 21.34.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Downloads\WhatsApp Image 2023-05-07 at 21.34.05.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7803" cy="2616170"/>
                    </a:xfrm>
                    <a:prstGeom prst="rect">
                      <a:avLst/>
                    </a:prstGeom>
                    <a:noFill/>
                    <a:ln>
                      <a:noFill/>
                    </a:ln>
                  </pic:spPr>
                </pic:pic>
              </a:graphicData>
            </a:graphic>
          </wp:inline>
        </w:drawing>
      </w:r>
    </w:p>
    <w:p w14:paraId="0D762AEC" w14:textId="211E0A90" w:rsidR="003934D9" w:rsidRDefault="003934D9" w:rsidP="003934D9">
      <w:pPr>
        <w:pStyle w:val="TAMainText"/>
        <w:rPr>
          <w:lang w:val="pt-BR"/>
        </w:rPr>
      </w:pPr>
      <w:r>
        <w:rPr>
          <w:lang w:val="pt-BR"/>
        </w:rPr>
        <w:t xml:space="preserve">Além disso, através </w:t>
      </w:r>
      <w:r w:rsidR="00D771E2">
        <w:rPr>
          <w:lang w:val="pt-BR"/>
        </w:rPr>
        <w:t>da Tabela</w:t>
      </w:r>
      <w:r>
        <w:rPr>
          <w:lang w:val="pt-BR"/>
        </w:rPr>
        <w:t xml:space="preserve"> 4 é visível que a adição de K e Mn modificam a área superficial, volume dos poros e diâmetro dos poros. Assim, a adição de potássio aumentou a área superficial e foi responsável pela diminuição dos diâmetros dos poros, sendo possível a justificação devido ao fato do potássio melhorar a aglomeração do </w:t>
      </w:r>
      <w:proofErr w:type="spellStart"/>
      <w:r>
        <w:rPr>
          <w:lang w:val="pt-BR"/>
        </w:rPr>
        <w:t>FeOOH</w:t>
      </w:r>
      <w:proofErr w:type="spellEnd"/>
      <w:r>
        <w:rPr>
          <w:lang w:val="pt-BR"/>
        </w:rPr>
        <w:t xml:space="preserve"> e </w:t>
      </w:r>
      <w:r w:rsidR="0042392B">
        <w:rPr>
          <w:lang w:val="pt-BR"/>
        </w:rPr>
        <w:t xml:space="preserve">aumentar </w:t>
      </w:r>
      <w:r>
        <w:rPr>
          <w:lang w:val="pt-BR"/>
        </w:rPr>
        <w:t xml:space="preserve">o tamanho dos cristais de </w:t>
      </w:r>
      <w:r w:rsidRPr="00256EA5">
        <w:rPr>
          <w:lang w:val="pt-BR"/>
        </w:rPr>
        <w:t>f-Fe</w:t>
      </w:r>
      <w:r w:rsidRPr="0042392B">
        <w:rPr>
          <w:vertAlign w:val="subscript"/>
          <w:lang w:val="pt-BR"/>
        </w:rPr>
        <w:t>2</w:t>
      </w:r>
      <w:r w:rsidRPr="00256EA5">
        <w:rPr>
          <w:lang w:val="pt-BR"/>
        </w:rPr>
        <w:t>O</w:t>
      </w:r>
      <w:r w:rsidRPr="0042392B">
        <w:rPr>
          <w:vertAlign w:val="subscript"/>
          <w:lang w:val="pt-BR"/>
        </w:rPr>
        <w:t>3</w:t>
      </w:r>
      <w:r w:rsidRPr="00256EA5">
        <w:rPr>
          <w:lang w:val="pt-BR"/>
        </w:rPr>
        <w:t xml:space="preserve"> causando a queda na área superficial. Assim, a perda de área superficial </w:t>
      </w:r>
      <w:r w:rsidR="001D69A2">
        <w:rPr>
          <w:lang w:val="pt-BR"/>
        </w:rPr>
        <w:t xml:space="preserve">pode ser </w:t>
      </w:r>
      <w:r w:rsidRPr="00256EA5">
        <w:rPr>
          <w:lang w:val="pt-BR"/>
        </w:rPr>
        <w:t>devido ao crescimento do cristalito</w:t>
      </w:r>
      <w:r w:rsidR="0042392B">
        <w:rPr>
          <w:lang w:val="pt-BR"/>
        </w:rPr>
        <w:t xml:space="preserve"> (</w:t>
      </w:r>
      <w:r w:rsidR="00F5182F">
        <w:rPr>
          <w:lang w:val="pt-BR"/>
        </w:rPr>
        <w:t>11</w:t>
      </w:r>
      <w:r w:rsidR="0042392B">
        <w:rPr>
          <w:lang w:val="pt-BR"/>
        </w:rPr>
        <w:t>).</w:t>
      </w:r>
    </w:p>
    <w:p w14:paraId="095968A5" w14:textId="77777777" w:rsidR="003934D9" w:rsidRDefault="003934D9" w:rsidP="003934D9">
      <w:pPr>
        <w:pStyle w:val="TAMainText"/>
        <w:rPr>
          <w:lang w:val="pt-BR"/>
        </w:rPr>
      </w:pPr>
    </w:p>
    <w:p w14:paraId="46102B4D" w14:textId="6229CE92" w:rsidR="003934D9" w:rsidRPr="00D91A5D" w:rsidRDefault="003934D9" w:rsidP="003934D9">
      <w:pPr>
        <w:pStyle w:val="VDTableTitle"/>
        <w:spacing w:after="120"/>
        <w:jc w:val="both"/>
        <w:rPr>
          <w:rFonts w:ascii="Times New Roman" w:hAnsi="Times New Roman"/>
          <w:lang w:val="pt-BR"/>
        </w:rPr>
      </w:pPr>
      <w:r w:rsidRPr="00D771E2">
        <w:rPr>
          <w:sz w:val="20"/>
          <w:lang w:val="pt-BR"/>
        </w:rPr>
        <w:t xml:space="preserve"> </w:t>
      </w:r>
      <w:r w:rsidRPr="00D771E2">
        <w:rPr>
          <w:rFonts w:ascii="Times New Roman" w:hAnsi="Times New Roman"/>
          <w:b/>
          <w:sz w:val="20"/>
          <w:lang w:val="pt-BR"/>
        </w:rPr>
        <w:t xml:space="preserve">Tabela </w:t>
      </w:r>
      <w:r w:rsidR="00453329" w:rsidRPr="00D771E2">
        <w:rPr>
          <w:rFonts w:ascii="Times New Roman" w:hAnsi="Times New Roman"/>
          <w:b/>
          <w:sz w:val="20"/>
          <w:lang w:val="pt-BR"/>
        </w:rPr>
        <w:t>4</w:t>
      </w:r>
      <w:r w:rsidRPr="00D771E2">
        <w:rPr>
          <w:rFonts w:ascii="Times New Roman" w:hAnsi="Times New Roman"/>
          <w:b/>
          <w:sz w:val="20"/>
          <w:lang w:val="pt-BR"/>
        </w:rPr>
        <w:t>.</w:t>
      </w:r>
      <w:r w:rsidRPr="00D771E2">
        <w:rPr>
          <w:rFonts w:ascii="Times New Roman" w:hAnsi="Times New Roman"/>
          <w:sz w:val="20"/>
          <w:lang w:val="pt-BR"/>
        </w:rPr>
        <w:t xml:space="preserve"> </w:t>
      </w:r>
      <w:r w:rsidR="001D69A2" w:rsidRPr="00D771E2">
        <w:rPr>
          <w:rFonts w:ascii="Times New Roman" w:hAnsi="Times New Roman"/>
          <w:sz w:val="20"/>
          <w:lang w:val="pt-BR"/>
        </w:rPr>
        <w:t xml:space="preserve">Propriedades texturais dos catalisadores </w:t>
      </w:r>
      <w:r w:rsidR="00D771E2">
        <w:rPr>
          <w:rFonts w:ascii="Times New Roman" w:hAnsi="Times New Roman"/>
          <w:sz w:val="20"/>
          <w:lang w:val="pt-BR"/>
        </w:rPr>
        <w:t>x%K-3Mn-15Fe</w:t>
      </w:r>
      <w:r w:rsidR="001D69A2" w:rsidRPr="00D771E2">
        <w:rPr>
          <w:rFonts w:ascii="Times New Roman" w:hAnsi="Times New Roman"/>
          <w:sz w:val="20"/>
          <w:lang w:val="pt-BR"/>
        </w:rPr>
        <w:t>/Nb</w:t>
      </w:r>
      <w:r w:rsidR="001D69A2" w:rsidRPr="00D771E2">
        <w:rPr>
          <w:rFonts w:ascii="Times New Roman" w:hAnsi="Times New Roman"/>
          <w:sz w:val="20"/>
          <w:vertAlign w:val="subscript"/>
          <w:lang w:val="pt-BR"/>
        </w:rPr>
        <w:t>2</w:t>
      </w:r>
      <w:r w:rsidR="001D69A2" w:rsidRPr="00D771E2">
        <w:rPr>
          <w:rFonts w:ascii="Times New Roman" w:hAnsi="Times New Roman"/>
          <w:sz w:val="20"/>
          <w:lang w:val="pt-BR"/>
        </w:rPr>
        <w:t>O</w:t>
      </w:r>
      <w:r w:rsidR="001D69A2" w:rsidRPr="00D771E2">
        <w:rPr>
          <w:rFonts w:ascii="Times New Roman" w:hAnsi="Times New Roman"/>
          <w:sz w:val="20"/>
          <w:vertAlign w:val="subscript"/>
          <w:lang w:val="pt-BR"/>
        </w:rPr>
        <w:t>5</w:t>
      </w:r>
      <w:r w:rsidRPr="00D771E2">
        <w:rPr>
          <w:rFonts w:ascii="Times New Roman" w:hAnsi="Times New Roman"/>
          <w:sz w:val="20"/>
          <w:lang w:val="pt-BR"/>
        </w:rPr>
        <w:t>.</w:t>
      </w:r>
    </w:p>
    <w:tbl>
      <w:tblPr>
        <w:tblW w:w="48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3"/>
        <w:gridCol w:w="709"/>
        <w:gridCol w:w="708"/>
        <w:gridCol w:w="709"/>
        <w:gridCol w:w="709"/>
        <w:gridCol w:w="567"/>
      </w:tblGrid>
      <w:tr w:rsidR="003934D9" w:rsidRPr="00040731" w14:paraId="6A3E124D" w14:textId="77777777" w:rsidTr="007B1FF3">
        <w:trPr>
          <w:trHeight w:val="358"/>
        </w:trPr>
        <w:tc>
          <w:tcPr>
            <w:tcW w:w="1413" w:type="dxa"/>
            <w:vAlign w:val="center"/>
          </w:tcPr>
          <w:p w14:paraId="755A0D00" w14:textId="77777777" w:rsidR="003934D9" w:rsidRPr="002C2D5F" w:rsidRDefault="003934D9" w:rsidP="007B1FF3">
            <w:pPr>
              <w:pStyle w:val="TCTableBody"/>
              <w:jc w:val="center"/>
              <w:rPr>
                <w:b/>
                <w:lang w:val="pt-BR"/>
              </w:rPr>
            </w:pPr>
            <w:r w:rsidRPr="002C2D5F">
              <w:rPr>
                <w:b/>
                <w:lang w:val="pt-BR"/>
              </w:rPr>
              <w:t>Amostras</w:t>
            </w:r>
          </w:p>
        </w:tc>
        <w:tc>
          <w:tcPr>
            <w:tcW w:w="709" w:type="dxa"/>
            <w:vAlign w:val="center"/>
          </w:tcPr>
          <w:p w14:paraId="1AB1A5A6" w14:textId="2C01C16F" w:rsidR="003934D9" w:rsidRPr="002C2D5F" w:rsidRDefault="003934D9" w:rsidP="007B1FF3">
            <w:pPr>
              <w:pStyle w:val="TCTableBody"/>
              <w:jc w:val="center"/>
              <w:rPr>
                <w:b/>
                <w:lang w:val="pt-BR"/>
              </w:rPr>
            </w:pPr>
            <w:proofErr w:type="spellStart"/>
            <w:r w:rsidRPr="002C2D5F">
              <w:rPr>
                <w:b/>
                <w:lang w:val="pt-BR"/>
              </w:rPr>
              <w:t>S</w:t>
            </w:r>
            <w:r w:rsidRPr="00D91A5D">
              <w:rPr>
                <w:b/>
                <w:vertAlign w:val="subscript"/>
                <w:lang w:val="pt-BR"/>
              </w:rPr>
              <w:t>bet</w:t>
            </w:r>
            <w:r w:rsidRPr="003934D9">
              <w:rPr>
                <w:b/>
                <w:vertAlign w:val="superscript"/>
                <w:lang w:val="pt-BR"/>
              </w:rPr>
              <w:t>a</w:t>
            </w:r>
            <w:proofErr w:type="spellEnd"/>
            <w:r>
              <w:rPr>
                <w:b/>
                <w:vertAlign w:val="superscript"/>
                <w:lang w:val="pt-BR"/>
              </w:rPr>
              <w:t xml:space="preserve"> </w:t>
            </w:r>
            <w:r w:rsidRPr="002C2D5F">
              <w:rPr>
                <w:b/>
                <w:lang w:val="pt-BR"/>
              </w:rPr>
              <w:t>(m</w:t>
            </w:r>
            <w:r w:rsidRPr="002C2D5F">
              <w:rPr>
                <w:b/>
                <w:vertAlign w:val="superscript"/>
                <w:lang w:val="pt-BR"/>
              </w:rPr>
              <w:t>2</w:t>
            </w:r>
            <w:r w:rsidRPr="002C2D5F">
              <w:rPr>
                <w:b/>
                <w:lang w:val="pt-BR"/>
              </w:rPr>
              <w:t>/g)</w:t>
            </w:r>
          </w:p>
        </w:tc>
        <w:tc>
          <w:tcPr>
            <w:tcW w:w="708" w:type="dxa"/>
            <w:vAlign w:val="center"/>
          </w:tcPr>
          <w:p w14:paraId="2C2C9378" w14:textId="5A66853B" w:rsidR="003934D9" w:rsidRPr="002C2D5F" w:rsidRDefault="003934D9" w:rsidP="007B1FF3">
            <w:pPr>
              <w:pStyle w:val="TCTableBody"/>
              <w:jc w:val="center"/>
              <w:rPr>
                <w:b/>
                <w:lang w:val="pt-BR"/>
              </w:rPr>
            </w:pPr>
            <w:proofErr w:type="spellStart"/>
            <w:r w:rsidRPr="002C2D5F">
              <w:rPr>
                <w:b/>
                <w:lang w:val="pt-BR"/>
              </w:rPr>
              <w:t>S</w:t>
            </w:r>
            <w:r w:rsidRPr="00D91A5D">
              <w:rPr>
                <w:b/>
                <w:vertAlign w:val="subscript"/>
                <w:lang w:val="pt-BR"/>
              </w:rPr>
              <w:t>meso</w:t>
            </w:r>
            <w:r w:rsidRPr="003934D9">
              <w:rPr>
                <w:b/>
                <w:vertAlign w:val="superscript"/>
                <w:lang w:val="pt-BR"/>
              </w:rPr>
              <w:t>b</w:t>
            </w:r>
            <w:proofErr w:type="spellEnd"/>
            <w:r>
              <w:rPr>
                <w:b/>
                <w:lang w:val="pt-BR"/>
              </w:rPr>
              <w:t xml:space="preserve"> </w:t>
            </w:r>
            <w:r w:rsidRPr="002C2D5F">
              <w:rPr>
                <w:b/>
                <w:lang w:val="pt-BR"/>
              </w:rPr>
              <w:t>(m</w:t>
            </w:r>
            <w:r w:rsidRPr="002C2D5F">
              <w:rPr>
                <w:b/>
                <w:vertAlign w:val="superscript"/>
                <w:lang w:val="pt-BR"/>
              </w:rPr>
              <w:t>2</w:t>
            </w:r>
            <w:r w:rsidRPr="002C2D5F">
              <w:rPr>
                <w:b/>
                <w:lang w:val="pt-BR"/>
              </w:rPr>
              <w:t>/g)</w:t>
            </w:r>
          </w:p>
        </w:tc>
        <w:tc>
          <w:tcPr>
            <w:tcW w:w="709" w:type="dxa"/>
            <w:vAlign w:val="center"/>
          </w:tcPr>
          <w:p w14:paraId="452224FB" w14:textId="2A121455" w:rsidR="003934D9" w:rsidRPr="002C2D5F" w:rsidRDefault="003934D9" w:rsidP="007B1FF3">
            <w:pPr>
              <w:pStyle w:val="TCTableBody"/>
              <w:jc w:val="center"/>
              <w:rPr>
                <w:b/>
                <w:lang w:val="pt-BR"/>
              </w:rPr>
            </w:pPr>
            <w:proofErr w:type="spellStart"/>
            <w:r w:rsidRPr="002C2D5F">
              <w:rPr>
                <w:b/>
                <w:lang w:val="pt-BR"/>
              </w:rPr>
              <w:t>V</w:t>
            </w:r>
            <w:r w:rsidRPr="00D91A5D">
              <w:rPr>
                <w:b/>
                <w:vertAlign w:val="subscript"/>
                <w:lang w:val="pt-BR"/>
              </w:rPr>
              <w:t>total</w:t>
            </w:r>
            <w:r w:rsidRPr="003934D9">
              <w:rPr>
                <w:b/>
                <w:vertAlign w:val="superscript"/>
                <w:lang w:val="pt-BR"/>
              </w:rPr>
              <w:t>c</w:t>
            </w:r>
            <w:proofErr w:type="spellEnd"/>
            <w:r w:rsidRPr="002C2D5F">
              <w:rPr>
                <w:b/>
                <w:lang w:val="pt-BR"/>
              </w:rPr>
              <w:t xml:space="preserve"> (cm</w:t>
            </w:r>
            <w:r w:rsidRPr="002C2D5F">
              <w:rPr>
                <w:b/>
                <w:vertAlign w:val="superscript"/>
                <w:lang w:val="pt-BR"/>
              </w:rPr>
              <w:t>3</w:t>
            </w:r>
            <w:r w:rsidRPr="002C2D5F">
              <w:rPr>
                <w:b/>
                <w:lang w:val="pt-BR"/>
              </w:rPr>
              <w:t>/g)</w:t>
            </w:r>
          </w:p>
        </w:tc>
        <w:tc>
          <w:tcPr>
            <w:tcW w:w="709" w:type="dxa"/>
            <w:vAlign w:val="center"/>
          </w:tcPr>
          <w:p w14:paraId="49F1887A" w14:textId="09733C2E" w:rsidR="003934D9" w:rsidRPr="002C2D5F" w:rsidRDefault="003934D9" w:rsidP="007B1FF3">
            <w:pPr>
              <w:pStyle w:val="TCTableBody"/>
              <w:jc w:val="center"/>
              <w:rPr>
                <w:b/>
                <w:lang w:val="pt-BR"/>
              </w:rPr>
            </w:pPr>
            <w:proofErr w:type="spellStart"/>
            <w:r w:rsidRPr="002C2D5F">
              <w:rPr>
                <w:b/>
                <w:lang w:val="pt-BR"/>
              </w:rPr>
              <w:t>V</w:t>
            </w:r>
            <w:r w:rsidRPr="00D91A5D">
              <w:rPr>
                <w:b/>
                <w:vertAlign w:val="subscript"/>
                <w:lang w:val="pt-BR"/>
              </w:rPr>
              <w:t>meso</w:t>
            </w:r>
            <w:r w:rsidRPr="003934D9">
              <w:rPr>
                <w:b/>
                <w:vertAlign w:val="superscript"/>
                <w:lang w:val="pt-BR"/>
              </w:rPr>
              <w:t>d</w:t>
            </w:r>
            <w:proofErr w:type="spellEnd"/>
            <w:r w:rsidRPr="002C2D5F">
              <w:rPr>
                <w:b/>
                <w:lang w:val="pt-BR"/>
              </w:rPr>
              <w:t xml:space="preserve"> (cm</w:t>
            </w:r>
            <w:r w:rsidRPr="002C2D5F">
              <w:rPr>
                <w:b/>
                <w:vertAlign w:val="superscript"/>
                <w:lang w:val="pt-BR"/>
              </w:rPr>
              <w:t>3</w:t>
            </w:r>
            <w:r w:rsidRPr="002C2D5F">
              <w:rPr>
                <w:b/>
                <w:lang w:val="pt-BR"/>
              </w:rPr>
              <w:t>/g)</w:t>
            </w:r>
          </w:p>
        </w:tc>
        <w:tc>
          <w:tcPr>
            <w:tcW w:w="567" w:type="dxa"/>
            <w:vAlign w:val="center"/>
          </w:tcPr>
          <w:p w14:paraId="520D7B3F" w14:textId="24D87965" w:rsidR="003934D9" w:rsidRPr="002C2D5F" w:rsidRDefault="003934D9" w:rsidP="007B1FF3">
            <w:pPr>
              <w:pStyle w:val="TCTableBody"/>
              <w:jc w:val="center"/>
              <w:rPr>
                <w:b/>
                <w:lang w:val="pt-BR"/>
              </w:rPr>
            </w:pPr>
            <w:r w:rsidRPr="002C2D5F">
              <w:rPr>
                <w:b/>
                <w:lang w:val="pt-BR"/>
              </w:rPr>
              <w:t>D</w:t>
            </w:r>
            <w:r w:rsidRPr="003934D9">
              <w:rPr>
                <w:b/>
                <w:vertAlign w:val="superscript"/>
                <w:lang w:val="pt-BR"/>
              </w:rPr>
              <w:t>e</w:t>
            </w:r>
            <w:r w:rsidRPr="002C2D5F">
              <w:rPr>
                <w:b/>
                <w:lang w:val="pt-BR"/>
              </w:rPr>
              <w:t xml:space="preserve"> (nm)</w:t>
            </w:r>
          </w:p>
        </w:tc>
      </w:tr>
      <w:tr w:rsidR="003934D9" w:rsidRPr="00040731" w14:paraId="042B9E85" w14:textId="77777777" w:rsidTr="007B1FF3">
        <w:trPr>
          <w:trHeight w:val="217"/>
        </w:trPr>
        <w:tc>
          <w:tcPr>
            <w:tcW w:w="1413" w:type="dxa"/>
            <w:tcBorders>
              <w:bottom w:val="single" w:sz="6" w:space="0" w:color="auto"/>
            </w:tcBorders>
            <w:vAlign w:val="center"/>
          </w:tcPr>
          <w:p w14:paraId="6A50FBD2" w14:textId="77777777" w:rsidR="003934D9" w:rsidRPr="002C2D5F" w:rsidRDefault="003934D9" w:rsidP="007B1FF3">
            <w:pPr>
              <w:pStyle w:val="TCTableBody"/>
              <w:jc w:val="center"/>
              <w:rPr>
                <w:b/>
                <w:lang w:val="pt-BR"/>
              </w:rPr>
            </w:pPr>
            <w:r w:rsidRPr="002C2D5F">
              <w:rPr>
                <w:b/>
                <w:lang w:val="pt-BR"/>
              </w:rPr>
              <w:t>Nb</w:t>
            </w:r>
            <w:r w:rsidRPr="002C2D5F">
              <w:rPr>
                <w:b/>
                <w:vertAlign w:val="subscript"/>
                <w:lang w:val="pt-BR"/>
              </w:rPr>
              <w:t>2</w:t>
            </w:r>
            <w:r w:rsidRPr="002C2D5F">
              <w:rPr>
                <w:b/>
                <w:lang w:val="pt-BR"/>
              </w:rPr>
              <w:t>O</w:t>
            </w:r>
            <w:r w:rsidRPr="002C2D5F">
              <w:rPr>
                <w:b/>
                <w:vertAlign w:val="subscript"/>
                <w:lang w:val="pt-BR"/>
              </w:rPr>
              <w:t>5</w:t>
            </w:r>
          </w:p>
        </w:tc>
        <w:tc>
          <w:tcPr>
            <w:tcW w:w="709" w:type="dxa"/>
            <w:tcBorders>
              <w:bottom w:val="single" w:sz="6" w:space="0" w:color="auto"/>
            </w:tcBorders>
            <w:vAlign w:val="center"/>
          </w:tcPr>
          <w:p w14:paraId="3FD99E0D" w14:textId="77777777" w:rsidR="003934D9" w:rsidRDefault="003934D9" w:rsidP="007B1FF3">
            <w:pPr>
              <w:pStyle w:val="TCTableBody"/>
              <w:jc w:val="center"/>
              <w:rPr>
                <w:lang w:val="pt-BR"/>
              </w:rPr>
            </w:pPr>
            <w:r>
              <w:rPr>
                <w:lang w:val="pt-BR"/>
              </w:rPr>
              <w:t>33,25</w:t>
            </w:r>
          </w:p>
        </w:tc>
        <w:tc>
          <w:tcPr>
            <w:tcW w:w="708" w:type="dxa"/>
            <w:tcBorders>
              <w:bottom w:val="single" w:sz="6" w:space="0" w:color="auto"/>
            </w:tcBorders>
            <w:vAlign w:val="center"/>
          </w:tcPr>
          <w:p w14:paraId="1A912EBE" w14:textId="77777777" w:rsidR="003934D9" w:rsidRDefault="003934D9" w:rsidP="007B1FF3">
            <w:pPr>
              <w:pStyle w:val="TCTableBody"/>
              <w:jc w:val="center"/>
              <w:rPr>
                <w:lang w:val="pt-BR"/>
              </w:rPr>
            </w:pPr>
            <w:r>
              <w:rPr>
                <w:lang w:val="pt-BR"/>
              </w:rPr>
              <w:t>30,11</w:t>
            </w:r>
          </w:p>
        </w:tc>
        <w:tc>
          <w:tcPr>
            <w:tcW w:w="709" w:type="dxa"/>
            <w:tcBorders>
              <w:bottom w:val="single" w:sz="6" w:space="0" w:color="auto"/>
            </w:tcBorders>
            <w:vAlign w:val="center"/>
          </w:tcPr>
          <w:p w14:paraId="4EBAF694" w14:textId="77777777" w:rsidR="003934D9" w:rsidRDefault="003934D9" w:rsidP="007B1FF3">
            <w:pPr>
              <w:pStyle w:val="TCTableBody"/>
              <w:jc w:val="center"/>
              <w:rPr>
                <w:lang w:val="pt-BR"/>
              </w:rPr>
            </w:pPr>
            <w:r>
              <w:rPr>
                <w:lang w:val="pt-BR"/>
              </w:rPr>
              <w:t>0,0849</w:t>
            </w:r>
          </w:p>
        </w:tc>
        <w:tc>
          <w:tcPr>
            <w:tcW w:w="709" w:type="dxa"/>
            <w:tcBorders>
              <w:bottom w:val="single" w:sz="6" w:space="0" w:color="auto"/>
            </w:tcBorders>
            <w:vAlign w:val="center"/>
          </w:tcPr>
          <w:p w14:paraId="75927782" w14:textId="77777777" w:rsidR="003934D9" w:rsidRDefault="003934D9" w:rsidP="007B1FF3">
            <w:pPr>
              <w:pStyle w:val="TCTableBody"/>
              <w:jc w:val="center"/>
              <w:rPr>
                <w:lang w:val="pt-BR"/>
              </w:rPr>
            </w:pPr>
            <w:r>
              <w:rPr>
                <w:lang w:val="pt-BR"/>
              </w:rPr>
              <w:t>0,0838</w:t>
            </w:r>
          </w:p>
        </w:tc>
        <w:tc>
          <w:tcPr>
            <w:tcW w:w="567" w:type="dxa"/>
            <w:tcBorders>
              <w:bottom w:val="single" w:sz="6" w:space="0" w:color="auto"/>
            </w:tcBorders>
            <w:vAlign w:val="center"/>
          </w:tcPr>
          <w:p w14:paraId="0EFFBE13" w14:textId="77777777" w:rsidR="003934D9" w:rsidRDefault="003934D9" w:rsidP="007B1FF3">
            <w:pPr>
              <w:pStyle w:val="TCTableBody"/>
              <w:jc w:val="center"/>
              <w:rPr>
                <w:lang w:val="pt-BR"/>
              </w:rPr>
            </w:pPr>
            <w:r>
              <w:rPr>
                <w:lang w:val="pt-BR"/>
              </w:rPr>
              <w:t>10,21</w:t>
            </w:r>
          </w:p>
        </w:tc>
      </w:tr>
      <w:tr w:rsidR="003934D9" w:rsidRPr="00040731" w14:paraId="5D1A8BE7" w14:textId="77777777" w:rsidTr="007B1FF3">
        <w:trPr>
          <w:trHeight w:val="217"/>
        </w:trPr>
        <w:tc>
          <w:tcPr>
            <w:tcW w:w="1413" w:type="dxa"/>
            <w:tcBorders>
              <w:bottom w:val="single" w:sz="6" w:space="0" w:color="auto"/>
            </w:tcBorders>
            <w:vAlign w:val="center"/>
          </w:tcPr>
          <w:p w14:paraId="186D0FF6" w14:textId="77777777" w:rsidR="003934D9" w:rsidRPr="002C2D5F" w:rsidRDefault="003934D9" w:rsidP="007B1FF3">
            <w:pPr>
              <w:pStyle w:val="TCTableBody"/>
              <w:jc w:val="center"/>
              <w:rPr>
                <w:b/>
                <w:lang w:val="pt-BR"/>
              </w:rPr>
            </w:pPr>
            <w:r w:rsidRPr="002C2D5F">
              <w:rPr>
                <w:b/>
                <w:lang w:val="pt-BR"/>
              </w:rPr>
              <w:t>15Fe/ Nb</w:t>
            </w:r>
            <w:r w:rsidRPr="002C2D5F">
              <w:rPr>
                <w:b/>
                <w:vertAlign w:val="subscript"/>
                <w:lang w:val="pt-BR"/>
              </w:rPr>
              <w:t>2</w:t>
            </w:r>
            <w:r w:rsidRPr="002C2D5F">
              <w:rPr>
                <w:b/>
                <w:lang w:val="pt-BR"/>
              </w:rPr>
              <w:t>O</w:t>
            </w:r>
            <w:r w:rsidRPr="002C2D5F">
              <w:rPr>
                <w:b/>
                <w:vertAlign w:val="subscript"/>
                <w:lang w:val="pt-BR"/>
              </w:rPr>
              <w:t>5</w:t>
            </w:r>
          </w:p>
        </w:tc>
        <w:tc>
          <w:tcPr>
            <w:tcW w:w="709" w:type="dxa"/>
            <w:tcBorders>
              <w:bottom w:val="single" w:sz="6" w:space="0" w:color="auto"/>
            </w:tcBorders>
            <w:vAlign w:val="center"/>
          </w:tcPr>
          <w:p w14:paraId="2B0A1A53" w14:textId="77777777" w:rsidR="003934D9" w:rsidRDefault="003934D9" w:rsidP="007B1FF3">
            <w:pPr>
              <w:pStyle w:val="TCTableBody"/>
              <w:jc w:val="center"/>
              <w:rPr>
                <w:lang w:val="pt-BR"/>
              </w:rPr>
            </w:pPr>
            <w:r>
              <w:rPr>
                <w:lang w:val="pt-BR"/>
              </w:rPr>
              <w:t>30,24</w:t>
            </w:r>
          </w:p>
        </w:tc>
        <w:tc>
          <w:tcPr>
            <w:tcW w:w="708" w:type="dxa"/>
            <w:tcBorders>
              <w:bottom w:val="single" w:sz="6" w:space="0" w:color="auto"/>
            </w:tcBorders>
            <w:vAlign w:val="center"/>
          </w:tcPr>
          <w:p w14:paraId="3DA0A058" w14:textId="77777777" w:rsidR="003934D9" w:rsidRDefault="003934D9" w:rsidP="007B1FF3">
            <w:pPr>
              <w:pStyle w:val="TCTableBody"/>
              <w:jc w:val="center"/>
              <w:rPr>
                <w:lang w:val="pt-BR"/>
              </w:rPr>
            </w:pPr>
            <w:r>
              <w:rPr>
                <w:lang w:val="pt-BR"/>
              </w:rPr>
              <w:t>25,31</w:t>
            </w:r>
          </w:p>
        </w:tc>
        <w:tc>
          <w:tcPr>
            <w:tcW w:w="709" w:type="dxa"/>
            <w:tcBorders>
              <w:bottom w:val="single" w:sz="6" w:space="0" w:color="auto"/>
            </w:tcBorders>
            <w:vAlign w:val="center"/>
          </w:tcPr>
          <w:p w14:paraId="563420AA" w14:textId="77777777" w:rsidR="003934D9" w:rsidRDefault="003934D9" w:rsidP="007B1FF3">
            <w:pPr>
              <w:pStyle w:val="TCTableBody"/>
              <w:jc w:val="center"/>
              <w:rPr>
                <w:lang w:val="pt-BR"/>
              </w:rPr>
            </w:pPr>
            <w:r>
              <w:rPr>
                <w:lang w:val="pt-BR"/>
              </w:rPr>
              <w:t>0,1083</w:t>
            </w:r>
          </w:p>
        </w:tc>
        <w:tc>
          <w:tcPr>
            <w:tcW w:w="709" w:type="dxa"/>
            <w:tcBorders>
              <w:bottom w:val="single" w:sz="6" w:space="0" w:color="auto"/>
            </w:tcBorders>
            <w:vAlign w:val="center"/>
          </w:tcPr>
          <w:p w14:paraId="28D60BA7" w14:textId="77777777" w:rsidR="003934D9" w:rsidRDefault="003934D9" w:rsidP="007B1FF3">
            <w:pPr>
              <w:pStyle w:val="TCTableBody"/>
              <w:jc w:val="center"/>
              <w:rPr>
                <w:lang w:val="pt-BR"/>
              </w:rPr>
            </w:pPr>
            <w:r>
              <w:rPr>
                <w:lang w:val="pt-BR"/>
              </w:rPr>
              <w:t>0,0964</w:t>
            </w:r>
          </w:p>
        </w:tc>
        <w:tc>
          <w:tcPr>
            <w:tcW w:w="567" w:type="dxa"/>
            <w:tcBorders>
              <w:bottom w:val="single" w:sz="6" w:space="0" w:color="auto"/>
            </w:tcBorders>
            <w:vAlign w:val="center"/>
          </w:tcPr>
          <w:p w14:paraId="3689BCBE" w14:textId="77777777" w:rsidR="003934D9" w:rsidRDefault="003934D9" w:rsidP="007B1FF3">
            <w:pPr>
              <w:pStyle w:val="TCTableBody"/>
              <w:jc w:val="center"/>
              <w:rPr>
                <w:lang w:val="pt-BR"/>
              </w:rPr>
            </w:pPr>
            <w:r>
              <w:rPr>
                <w:lang w:val="pt-BR"/>
              </w:rPr>
              <w:t>14,32</w:t>
            </w:r>
          </w:p>
        </w:tc>
      </w:tr>
      <w:tr w:rsidR="003934D9" w:rsidRPr="00040731" w14:paraId="4ABA3D15" w14:textId="77777777" w:rsidTr="007B1FF3">
        <w:trPr>
          <w:trHeight w:val="217"/>
        </w:trPr>
        <w:tc>
          <w:tcPr>
            <w:tcW w:w="1413" w:type="dxa"/>
            <w:tcBorders>
              <w:bottom w:val="single" w:sz="6" w:space="0" w:color="auto"/>
            </w:tcBorders>
            <w:vAlign w:val="center"/>
          </w:tcPr>
          <w:p w14:paraId="5E7616AD" w14:textId="049115C2" w:rsidR="003934D9" w:rsidRPr="002C2D5F" w:rsidRDefault="003934D9" w:rsidP="007B1FF3">
            <w:pPr>
              <w:pStyle w:val="TCTableBody"/>
              <w:jc w:val="center"/>
              <w:rPr>
                <w:b/>
                <w:lang w:val="pt-BR"/>
              </w:rPr>
            </w:pPr>
            <w:r w:rsidRPr="002C2D5F">
              <w:rPr>
                <w:b/>
                <w:lang w:val="pt-BR"/>
              </w:rPr>
              <w:t>1K-</w:t>
            </w:r>
            <w:r w:rsidR="00D771E2">
              <w:rPr>
                <w:b/>
                <w:lang w:val="pt-BR"/>
              </w:rPr>
              <w:t>3Mn-</w:t>
            </w:r>
            <w:r w:rsidRPr="002C2D5F">
              <w:rPr>
                <w:b/>
                <w:lang w:val="pt-BR"/>
              </w:rPr>
              <w:t>15Fe/ Nb</w:t>
            </w:r>
            <w:r w:rsidRPr="002C2D5F">
              <w:rPr>
                <w:b/>
                <w:vertAlign w:val="subscript"/>
                <w:lang w:val="pt-BR"/>
              </w:rPr>
              <w:t>2</w:t>
            </w:r>
            <w:r w:rsidRPr="002C2D5F">
              <w:rPr>
                <w:b/>
                <w:lang w:val="pt-BR"/>
              </w:rPr>
              <w:t>O</w:t>
            </w:r>
            <w:r w:rsidRPr="002C2D5F">
              <w:rPr>
                <w:b/>
                <w:vertAlign w:val="subscript"/>
                <w:lang w:val="pt-BR"/>
              </w:rPr>
              <w:t>5</w:t>
            </w:r>
          </w:p>
        </w:tc>
        <w:tc>
          <w:tcPr>
            <w:tcW w:w="709" w:type="dxa"/>
            <w:tcBorders>
              <w:bottom w:val="single" w:sz="6" w:space="0" w:color="auto"/>
            </w:tcBorders>
            <w:vAlign w:val="center"/>
          </w:tcPr>
          <w:p w14:paraId="7350CB0E" w14:textId="77777777" w:rsidR="003934D9" w:rsidRDefault="003934D9" w:rsidP="007B1FF3">
            <w:pPr>
              <w:pStyle w:val="TCTableBody"/>
              <w:jc w:val="center"/>
              <w:rPr>
                <w:lang w:val="pt-BR"/>
              </w:rPr>
            </w:pPr>
            <w:r>
              <w:rPr>
                <w:lang w:val="pt-BR"/>
              </w:rPr>
              <w:t>26,08</w:t>
            </w:r>
          </w:p>
        </w:tc>
        <w:tc>
          <w:tcPr>
            <w:tcW w:w="708" w:type="dxa"/>
            <w:tcBorders>
              <w:bottom w:val="single" w:sz="6" w:space="0" w:color="auto"/>
            </w:tcBorders>
            <w:vAlign w:val="center"/>
          </w:tcPr>
          <w:p w14:paraId="7D8ABA9D" w14:textId="77777777" w:rsidR="003934D9" w:rsidRDefault="003934D9" w:rsidP="007B1FF3">
            <w:pPr>
              <w:pStyle w:val="TCTableBody"/>
              <w:jc w:val="center"/>
              <w:rPr>
                <w:lang w:val="pt-BR"/>
              </w:rPr>
            </w:pPr>
            <w:r>
              <w:rPr>
                <w:lang w:val="pt-BR"/>
              </w:rPr>
              <w:t>17,46</w:t>
            </w:r>
          </w:p>
        </w:tc>
        <w:tc>
          <w:tcPr>
            <w:tcW w:w="709" w:type="dxa"/>
            <w:tcBorders>
              <w:bottom w:val="single" w:sz="6" w:space="0" w:color="auto"/>
            </w:tcBorders>
            <w:vAlign w:val="center"/>
          </w:tcPr>
          <w:p w14:paraId="4E2613D8" w14:textId="77777777" w:rsidR="003934D9" w:rsidRDefault="003934D9" w:rsidP="007B1FF3">
            <w:pPr>
              <w:pStyle w:val="TCTableBody"/>
              <w:jc w:val="center"/>
              <w:rPr>
                <w:lang w:val="pt-BR"/>
              </w:rPr>
            </w:pPr>
            <w:r>
              <w:rPr>
                <w:lang w:val="pt-BR"/>
              </w:rPr>
              <w:t>0,0996</w:t>
            </w:r>
          </w:p>
        </w:tc>
        <w:tc>
          <w:tcPr>
            <w:tcW w:w="709" w:type="dxa"/>
            <w:tcBorders>
              <w:bottom w:val="single" w:sz="6" w:space="0" w:color="auto"/>
            </w:tcBorders>
            <w:vAlign w:val="center"/>
          </w:tcPr>
          <w:p w14:paraId="25D41438" w14:textId="77777777" w:rsidR="003934D9" w:rsidRDefault="003934D9" w:rsidP="007B1FF3">
            <w:pPr>
              <w:pStyle w:val="TCTableBody"/>
              <w:jc w:val="center"/>
              <w:rPr>
                <w:lang w:val="pt-BR"/>
              </w:rPr>
            </w:pPr>
            <w:r>
              <w:rPr>
                <w:lang w:val="pt-BR"/>
              </w:rPr>
              <w:t>0,0958</w:t>
            </w:r>
          </w:p>
        </w:tc>
        <w:tc>
          <w:tcPr>
            <w:tcW w:w="567" w:type="dxa"/>
            <w:tcBorders>
              <w:bottom w:val="single" w:sz="6" w:space="0" w:color="auto"/>
            </w:tcBorders>
            <w:vAlign w:val="center"/>
          </w:tcPr>
          <w:p w14:paraId="54187E83" w14:textId="77777777" w:rsidR="003934D9" w:rsidRDefault="003934D9" w:rsidP="007B1FF3">
            <w:pPr>
              <w:pStyle w:val="TCTableBody"/>
              <w:jc w:val="center"/>
              <w:rPr>
                <w:lang w:val="pt-BR"/>
              </w:rPr>
            </w:pPr>
            <w:r>
              <w:rPr>
                <w:lang w:val="pt-BR"/>
              </w:rPr>
              <w:t>15,28</w:t>
            </w:r>
          </w:p>
        </w:tc>
      </w:tr>
      <w:tr w:rsidR="003934D9" w:rsidRPr="00040731" w14:paraId="4F73F04B" w14:textId="77777777" w:rsidTr="007B1FF3">
        <w:trPr>
          <w:trHeight w:val="217"/>
        </w:trPr>
        <w:tc>
          <w:tcPr>
            <w:tcW w:w="1413" w:type="dxa"/>
            <w:tcBorders>
              <w:bottom w:val="single" w:sz="6" w:space="0" w:color="auto"/>
            </w:tcBorders>
            <w:vAlign w:val="bottom"/>
          </w:tcPr>
          <w:p w14:paraId="65C63222" w14:textId="356C0BC9" w:rsidR="003934D9" w:rsidRPr="002C2D5F" w:rsidRDefault="003934D9" w:rsidP="007B1FF3">
            <w:pPr>
              <w:pStyle w:val="TCTableBody"/>
              <w:jc w:val="center"/>
              <w:rPr>
                <w:b/>
                <w:lang w:val="pt-BR"/>
              </w:rPr>
            </w:pPr>
            <w:r w:rsidRPr="002C2D5F">
              <w:rPr>
                <w:b/>
                <w:lang w:val="pt-BR"/>
              </w:rPr>
              <w:lastRenderedPageBreak/>
              <w:t>3K-</w:t>
            </w:r>
            <w:r w:rsidR="00D771E2">
              <w:rPr>
                <w:b/>
                <w:lang w:val="pt-BR"/>
              </w:rPr>
              <w:t>3Mn-</w:t>
            </w:r>
            <w:r w:rsidRPr="002C2D5F">
              <w:rPr>
                <w:b/>
                <w:lang w:val="pt-BR"/>
              </w:rPr>
              <w:t>15Fe/ Nb</w:t>
            </w:r>
            <w:r w:rsidRPr="002C2D5F">
              <w:rPr>
                <w:b/>
                <w:vertAlign w:val="subscript"/>
                <w:lang w:val="pt-BR"/>
              </w:rPr>
              <w:t>2</w:t>
            </w:r>
            <w:r w:rsidRPr="002C2D5F">
              <w:rPr>
                <w:b/>
                <w:lang w:val="pt-BR"/>
              </w:rPr>
              <w:t>O</w:t>
            </w:r>
            <w:r w:rsidRPr="002C2D5F">
              <w:rPr>
                <w:b/>
                <w:vertAlign w:val="subscript"/>
                <w:lang w:val="pt-BR"/>
              </w:rPr>
              <w:t>5</w:t>
            </w:r>
          </w:p>
        </w:tc>
        <w:tc>
          <w:tcPr>
            <w:tcW w:w="709" w:type="dxa"/>
            <w:tcBorders>
              <w:bottom w:val="single" w:sz="6" w:space="0" w:color="auto"/>
            </w:tcBorders>
            <w:vAlign w:val="bottom"/>
          </w:tcPr>
          <w:p w14:paraId="7F7E2494" w14:textId="77777777" w:rsidR="003934D9" w:rsidRDefault="003934D9" w:rsidP="007B1FF3">
            <w:pPr>
              <w:pStyle w:val="TCTableBody"/>
              <w:jc w:val="center"/>
              <w:rPr>
                <w:lang w:val="pt-BR"/>
              </w:rPr>
            </w:pPr>
            <w:r>
              <w:rPr>
                <w:lang w:val="pt-BR"/>
              </w:rPr>
              <w:t>34,92</w:t>
            </w:r>
          </w:p>
        </w:tc>
        <w:tc>
          <w:tcPr>
            <w:tcW w:w="708" w:type="dxa"/>
            <w:tcBorders>
              <w:bottom w:val="single" w:sz="6" w:space="0" w:color="auto"/>
            </w:tcBorders>
            <w:vAlign w:val="bottom"/>
          </w:tcPr>
          <w:p w14:paraId="254E46FD" w14:textId="77777777" w:rsidR="003934D9" w:rsidRDefault="003934D9" w:rsidP="007B1FF3">
            <w:pPr>
              <w:pStyle w:val="TCTableBody"/>
              <w:jc w:val="center"/>
              <w:rPr>
                <w:lang w:val="pt-BR"/>
              </w:rPr>
            </w:pPr>
            <w:r>
              <w:rPr>
                <w:lang w:val="pt-BR"/>
              </w:rPr>
              <w:t>30,06</w:t>
            </w:r>
          </w:p>
        </w:tc>
        <w:tc>
          <w:tcPr>
            <w:tcW w:w="709" w:type="dxa"/>
            <w:tcBorders>
              <w:bottom w:val="single" w:sz="6" w:space="0" w:color="auto"/>
            </w:tcBorders>
            <w:vAlign w:val="bottom"/>
          </w:tcPr>
          <w:p w14:paraId="47063040" w14:textId="77777777" w:rsidR="003934D9" w:rsidRDefault="003934D9" w:rsidP="007B1FF3">
            <w:pPr>
              <w:pStyle w:val="TCTableBody"/>
              <w:jc w:val="center"/>
              <w:rPr>
                <w:lang w:val="pt-BR"/>
              </w:rPr>
            </w:pPr>
            <w:r>
              <w:rPr>
                <w:lang w:val="pt-BR"/>
              </w:rPr>
              <w:t>0,1099</w:t>
            </w:r>
          </w:p>
        </w:tc>
        <w:tc>
          <w:tcPr>
            <w:tcW w:w="709" w:type="dxa"/>
            <w:tcBorders>
              <w:bottom w:val="single" w:sz="6" w:space="0" w:color="auto"/>
            </w:tcBorders>
            <w:vAlign w:val="bottom"/>
          </w:tcPr>
          <w:p w14:paraId="5375E702" w14:textId="77777777" w:rsidR="003934D9" w:rsidRDefault="003934D9" w:rsidP="007B1FF3">
            <w:pPr>
              <w:pStyle w:val="TCTableBody"/>
              <w:jc w:val="center"/>
              <w:rPr>
                <w:lang w:val="pt-BR"/>
              </w:rPr>
            </w:pPr>
            <w:r>
              <w:rPr>
                <w:lang w:val="pt-BR"/>
              </w:rPr>
              <w:t>0,1079</w:t>
            </w:r>
          </w:p>
        </w:tc>
        <w:tc>
          <w:tcPr>
            <w:tcW w:w="567" w:type="dxa"/>
            <w:tcBorders>
              <w:bottom w:val="single" w:sz="6" w:space="0" w:color="auto"/>
            </w:tcBorders>
            <w:vAlign w:val="bottom"/>
          </w:tcPr>
          <w:p w14:paraId="6D2C16CF" w14:textId="77777777" w:rsidR="003934D9" w:rsidRDefault="003934D9" w:rsidP="007B1FF3">
            <w:pPr>
              <w:pStyle w:val="TCTableBody"/>
              <w:jc w:val="center"/>
              <w:rPr>
                <w:lang w:val="pt-BR"/>
              </w:rPr>
            </w:pPr>
            <w:r>
              <w:rPr>
                <w:lang w:val="pt-BR"/>
              </w:rPr>
              <w:t>12,59</w:t>
            </w:r>
          </w:p>
        </w:tc>
      </w:tr>
      <w:tr w:rsidR="003934D9" w:rsidRPr="00040731" w14:paraId="1963FE9E" w14:textId="77777777" w:rsidTr="007B1FF3">
        <w:trPr>
          <w:trHeight w:val="217"/>
        </w:trPr>
        <w:tc>
          <w:tcPr>
            <w:tcW w:w="1413" w:type="dxa"/>
            <w:tcBorders>
              <w:bottom w:val="single" w:sz="6" w:space="0" w:color="auto"/>
            </w:tcBorders>
            <w:vAlign w:val="bottom"/>
          </w:tcPr>
          <w:p w14:paraId="2DD65912" w14:textId="4A213A32" w:rsidR="003934D9" w:rsidRPr="002C2D5F" w:rsidRDefault="003934D9" w:rsidP="007B1FF3">
            <w:pPr>
              <w:pStyle w:val="TCTableBody"/>
              <w:jc w:val="center"/>
              <w:rPr>
                <w:b/>
                <w:lang w:val="pt-BR"/>
              </w:rPr>
            </w:pPr>
            <w:r w:rsidRPr="002C2D5F">
              <w:rPr>
                <w:b/>
                <w:lang w:val="pt-BR"/>
              </w:rPr>
              <w:t>5K-</w:t>
            </w:r>
            <w:r w:rsidR="00D771E2">
              <w:rPr>
                <w:b/>
                <w:lang w:val="pt-BR"/>
              </w:rPr>
              <w:t>3Mn-</w:t>
            </w:r>
            <w:r w:rsidRPr="002C2D5F">
              <w:rPr>
                <w:b/>
                <w:lang w:val="pt-BR"/>
              </w:rPr>
              <w:t>15Fe/ Nb</w:t>
            </w:r>
            <w:r w:rsidRPr="002C2D5F">
              <w:rPr>
                <w:b/>
                <w:vertAlign w:val="subscript"/>
                <w:lang w:val="pt-BR"/>
              </w:rPr>
              <w:t>2</w:t>
            </w:r>
            <w:r w:rsidRPr="002C2D5F">
              <w:rPr>
                <w:b/>
                <w:lang w:val="pt-BR"/>
              </w:rPr>
              <w:t>O</w:t>
            </w:r>
            <w:r w:rsidRPr="002C2D5F">
              <w:rPr>
                <w:b/>
                <w:vertAlign w:val="subscript"/>
                <w:lang w:val="pt-BR"/>
              </w:rPr>
              <w:t>5</w:t>
            </w:r>
          </w:p>
        </w:tc>
        <w:tc>
          <w:tcPr>
            <w:tcW w:w="709" w:type="dxa"/>
            <w:tcBorders>
              <w:bottom w:val="single" w:sz="6" w:space="0" w:color="auto"/>
            </w:tcBorders>
            <w:vAlign w:val="bottom"/>
          </w:tcPr>
          <w:p w14:paraId="1323C9A1" w14:textId="77777777" w:rsidR="003934D9" w:rsidRDefault="003934D9" w:rsidP="007B1FF3">
            <w:pPr>
              <w:pStyle w:val="TCTableBody"/>
              <w:jc w:val="center"/>
              <w:rPr>
                <w:lang w:val="pt-BR"/>
              </w:rPr>
            </w:pPr>
            <w:r>
              <w:rPr>
                <w:lang w:val="pt-BR"/>
              </w:rPr>
              <w:t>42,95</w:t>
            </w:r>
          </w:p>
        </w:tc>
        <w:tc>
          <w:tcPr>
            <w:tcW w:w="708" w:type="dxa"/>
            <w:tcBorders>
              <w:bottom w:val="single" w:sz="6" w:space="0" w:color="auto"/>
            </w:tcBorders>
            <w:vAlign w:val="bottom"/>
          </w:tcPr>
          <w:p w14:paraId="5EFAE0E8" w14:textId="77777777" w:rsidR="003934D9" w:rsidRDefault="003934D9" w:rsidP="007B1FF3">
            <w:pPr>
              <w:pStyle w:val="TCTableBody"/>
              <w:jc w:val="center"/>
              <w:rPr>
                <w:lang w:val="pt-BR"/>
              </w:rPr>
            </w:pPr>
            <w:r>
              <w:rPr>
                <w:lang w:val="pt-BR"/>
              </w:rPr>
              <w:t>36,08</w:t>
            </w:r>
          </w:p>
        </w:tc>
        <w:tc>
          <w:tcPr>
            <w:tcW w:w="709" w:type="dxa"/>
            <w:tcBorders>
              <w:bottom w:val="single" w:sz="6" w:space="0" w:color="auto"/>
            </w:tcBorders>
            <w:vAlign w:val="bottom"/>
          </w:tcPr>
          <w:p w14:paraId="5992FFB1" w14:textId="77777777" w:rsidR="003934D9" w:rsidRDefault="003934D9" w:rsidP="007B1FF3">
            <w:pPr>
              <w:pStyle w:val="TCTableBody"/>
              <w:jc w:val="center"/>
              <w:rPr>
                <w:lang w:val="pt-BR"/>
              </w:rPr>
            </w:pPr>
            <w:r>
              <w:rPr>
                <w:lang w:val="pt-BR"/>
              </w:rPr>
              <w:t>0,1087</w:t>
            </w:r>
          </w:p>
        </w:tc>
        <w:tc>
          <w:tcPr>
            <w:tcW w:w="709" w:type="dxa"/>
            <w:tcBorders>
              <w:bottom w:val="single" w:sz="6" w:space="0" w:color="auto"/>
            </w:tcBorders>
            <w:vAlign w:val="bottom"/>
          </w:tcPr>
          <w:p w14:paraId="77681A37" w14:textId="77777777" w:rsidR="003934D9" w:rsidRDefault="003934D9" w:rsidP="007B1FF3">
            <w:pPr>
              <w:pStyle w:val="TCTableBody"/>
              <w:jc w:val="center"/>
              <w:rPr>
                <w:lang w:val="pt-BR"/>
              </w:rPr>
            </w:pPr>
            <w:r>
              <w:rPr>
                <w:lang w:val="pt-BR"/>
              </w:rPr>
              <w:t>0,0798</w:t>
            </w:r>
          </w:p>
        </w:tc>
        <w:tc>
          <w:tcPr>
            <w:tcW w:w="567" w:type="dxa"/>
            <w:tcBorders>
              <w:bottom w:val="single" w:sz="6" w:space="0" w:color="auto"/>
            </w:tcBorders>
            <w:vAlign w:val="bottom"/>
          </w:tcPr>
          <w:p w14:paraId="6FC2A5EA" w14:textId="77777777" w:rsidR="003934D9" w:rsidRDefault="003934D9" w:rsidP="007B1FF3">
            <w:pPr>
              <w:pStyle w:val="TCTableBody"/>
              <w:jc w:val="center"/>
              <w:rPr>
                <w:lang w:val="pt-BR"/>
              </w:rPr>
            </w:pPr>
            <w:r>
              <w:rPr>
                <w:lang w:val="pt-BR"/>
              </w:rPr>
              <w:t>10,12</w:t>
            </w:r>
          </w:p>
        </w:tc>
      </w:tr>
      <w:tr w:rsidR="003934D9" w:rsidRPr="00040731" w14:paraId="4EC1C546" w14:textId="77777777" w:rsidTr="007B1FF3">
        <w:trPr>
          <w:trHeight w:val="100"/>
        </w:trPr>
        <w:tc>
          <w:tcPr>
            <w:tcW w:w="3539" w:type="dxa"/>
            <w:gridSpan w:val="4"/>
            <w:tcBorders>
              <w:top w:val="single" w:sz="6" w:space="0" w:color="auto"/>
              <w:left w:val="nil"/>
              <w:bottom w:val="nil"/>
              <w:right w:val="nil"/>
            </w:tcBorders>
            <w:vAlign w:val="center"/>
          </w:tcPr>
          <w:p w14:paraId="2C2BA993" w14:textId="77777777" w:rsidR="003934D9" w:rsidRPr="00E038AF" w:rsidRDefault="003934D9" w:rsidP="007B1FF3">
            <w:pPr>
              <w:pStyle w:val="TCTableBody"/>
              <w:spacing w:after="0" w:line="240" w:lineRule="auto"/>
              <w:contextualSpacing/>
              <w:rPr>
                <w:rFonts w:ascii="Times New Roman" w:hAnsi="Times New Roman"/>
                <w:lang w:val="pt-BR"/>
              </w:rPr>
            </w:pPr>
          </w:p>
        </w:tc>
        <w:tc>
          <w:tcPr>
            <w:tcW w:w="709" w:type="dxa"/>
            <w:tcBorders>
              <w:top w:val="single" w:sz="6" w:space="0" w:color="auto"/>
              <w:left w:val="nil"/>
              <w:bottom w:val="nil"/>
              <w:right w:val="nil"/>
            </w:tcBorders>
            <w:vAlign w:val="center"/>
          </w:tcPr>
          <w:p w14:paraId="22152C65" w14:textId="77777777" w:rsidR="003934D9" w:rsidRPr="00E038AF" w:rsidRDefault="003934D9" w:rsidP="007B1FF3">
            <w:pPr>
              <w:pStyle w:val="TCTableBody"/>
              <w:spacing w:after="0" w:line="240" w:lineRule="auto"/>
              <w:contextualSpacing/>
              <w:rPr>
                <w:rFonts w:ascii="Times New Roman" w:hAnsi="Times New Roman"/>
                <w:lang w:val="pt-BR"/>
              </w:rPr>
            </w:pPr>
          </w:p>
        </w:tc>
        <w:tc>
          <w:tcPr>
            <w:tcW w:w="567" w:type="dxa"/>
            <w:tcBorders>
              <w:top w:val="single" w:sz="6" w:space="0" w:color="auto"/>
              <w:left w:val="nil"/>
              <w:bottom w:val="nil"/>
              <w:right w:val="nil"/>
            </w:tcBorders>
            <w:vAlign w:val="center"/>
          </w:tcPr>
          <w:p w14:paraId="2154D6D1" w14:textId="77777777" w:rsidR="003934D9" w:rsidRPr="00E038AF" w:rsidRDefault="003934D9" w:rsidP="007B1FF3">
            <w:pPr>
              <w:pStyle w:val="TCTableBody"/>
              <w:spacing w:after="0" w:line="240" w:lineRule="auto"/>
              <w:contextualSpacing/>
              <w:rPr>
                <w:rFonts w:ascii="Times New Roman" w:hAnsi="Times New Roman"/>
                <w:lang w:val="pt-BR"/>
              </w:rPr>
            </w:pPr>
          </w:p>
        </w:tc>
      </w:tr>
    </w:tbl>
    <w:p w14:paraId="7AB9F4DA" w14:textId="785EDFA0" w:rsidR="003934D9" w:rsidRDefault="003934D9" w:rsidP="003934D9">
      <w:pPr>
        <w:pStyle w:val="TCTableBody"/>
        <w:spacing w:after="0" w:line="240" w:lineRule="auto"/>
        <w:contextualSpacing/>
        <w:rPr>
          <w:rFonts w:ascii="Times New Roman" w:hAnsi="Times New Roman"/>
          <w:lang w:val="pt-BR"/>
        </w:rPr>
      </w:pPr>
      <w:proofErr w:type="spellStart"/>
      <w:r>
        <w:rPr>
          <w:rFonts w:ascii="Times New Roman" w:hAnsi="Times New Roman"/>
          <w:i/>
          <w:vertAlign w:val="superscript"/>
          <w:lang w:val="pt-BR"/>
        </w:rPr>
        <w:t>a</w:t>
      </w:r>
      <w:r>
        <w:rPr>
          <w:rFonts w:ascii="Times New Roman" w:hAnsi="Times New Roman"/>
          <w:i/>
          <w:lang w:val="pt-BR"/>
        </w:rPr>
        <w:t>Área</w:t>
      </w:r>
      <w:proofErr w:type="spellEnd"/>
      <w:r>
        <w:rPr>
          <w:rFonts w:ascii="Times New Roman" w:hAnsi="Times New Roman"/>
          <w:i/>
          <w:lang w:val="pt-BR"/>
        </w:rPr>
        <w:t xml:space="preserve"> de superfície específica determinada pelo método BET. </w:t>
      </w:r>
      <w:proofErr w:type="spellStart"/>
      <w:r>
        <w:rPr>
          <w:rFonts w:ascii="Times New Roman" w:hAnsi="Times New Roman"/>
          <w:i/>
          <w:vertAlign w:val="superscript"/>
          <w:lang w:val="pt-BR"/>
        </w:rPr>
        <w:t>b</w:t>
      </w:r>
      <w:r>
        <w:rPr>
          <w:rFonts w:ascii="Times New Roman" w:hAnsi="Times New Roman"/>
          <w:i/>
          <w:lang w:val="pt-BR"/>
        </w:rPr>
        <w:t>Área</w:t>
      </w:r>
      <w:proofErr w:type="spellEnd"/>
      <w:r>
        <w:rPr>
          <w:rFonts w:ascii="Times New Roman" w:hAnsi="Times New Roman"/>
          <w:i/>
          <w:lang w:val="pt-BR"/>
        </w:rPr>
        <w:t xml:space="preserve"> </w:t>
      </w:r>
      <w:proofErr w:type="spellStart"/>
      <w:r>
        <w:rPr>
          <w:rFonts w:ascii="Times New Roman" w:hAnsi="Times New Roman"/>
          <w:i/>
          <w:lang w:val="pt-BR"/>
        </w:rPr>
        <w:t>mesoporosa</w:t>
      </w:r>
      <w:proofErr w:type="spellEnd"/>
      <w:r>
        <w:rPr>
          <w:rFonts w:ascii="Times New Roman" w:hAnsi="Times New Roman"/>
          <w:i/>
          <w:lang w:val="pt-BR"/>
        </w:rPr>
        <w:t xml:space="preserve">. </w:t>
      </w:r>
      <w:proofErr w:type="spellStart"/>
      <w:r>
        <w:rPr>
          <w:rFonts w:ascii="Times New Roman" w:hAnsi="Times New Roman"/>
          <w:i/>
          <w:vertAlign w:val="superscript"/>
          <w:lang w:val="pt-BR"/>
        </w:rPr>
        <w:t>c</w:t>
      </w:r>
      <w:r>
        <w:rPr>
          <w:rFonts w:ascii="Times New Roman" w:hAnsi="Times New Roman"/>
          <w:i/>
          <w:lang w:val="pt-BR"/>
        </w:rPr>
        <w:t>Volume</w:t>
      </w:r>
      <w:proofErr w:type="spellEnd"/>
      <w:r>
        <w:rPr>
          <w:rFonts w:ascii="Times New Roman" w:hAnsi="Times New Roman"/>
          <w:i/>
          <w:lang w:val="pt-BR"/>
        </w:rPr>
        <w:t xml:space="preserve"> total de poros. </w:t>
      </w:r>
      <w:proofErr w:type="spellStart"/>
      <w:r>
        <w:rPr>
          <w:rFonts w:ascii="Times New Roman" w:hAnsi="Times New Roman"/>
          <w:i/>
          <w:vertAlign w:val="superscript"/>
          <w:lang w:val="pt-BR"/>
        </w:rPr>
        <w:t>d</w:t>
      </w:r>
      <w:r>
        <w:rPr>
          <w:rFonts w:ascii="Times New Roman" w:hAnsi="Times New Roman"/>
          <w:i/>
          <w:lang w:val="pt-BR"/>
        </w:rPr>
        <w:t>Volume</w:t>
      </w:r>
      <w:proofErr w:type="spellEnd"/>
      <w:r>
        <w:rPr>
          <w:rFonts w:ascii="Times New Roman" w:hAnsi="Times New Roman"/>
          <w:i/>
          <w:lang w:val="pt-BR"/>
        </w:rPr>
        <w:t xml:space="preserve"> de </w:t>
      </w:r>
      <w:proofErr w:type="spellStart"/>
      <w:r>
        <w:rPr>
          <w:rFonts w:ascii="Times New Roman" w:hAnsi="Times New Roman"/>
          <w:i/>
          <w:lang w:val="pt-BR"/>
        </w:rPr>
        <w:t>mesoporos</w:t>
      </w:r>
      <w:proofErr w:type="spellEnd"/>
      <w:r>
        <w:rPr>
          <w:rFonts w:ascii="Times New Roman" w:hAnsi="Times New Roman"/>
          <w:i/>
          <w:lang w:val="pt-BR"/>
        </w:rPr>
        <w:t xml:space="preserve">. </w:t>
      </w:r>
      <w:proofErr w:type="spellStart"/>
      <w:r>
        <w:rPr>
          <w:rFonts w:ascii="Times New Roman" w:hAnsi="Times New Roman"/>
          <w:i/>
          <w:vertAlign w:val="superscript"/>
          <w:lang w:val="pt-BR"/>
        </w:rPr>
        <w:t>e</w:t>
      </w:r>
      <w:r>
        <w:rPr>
          <w:rFonts w:ascii="Times New Roman" w:hAnsi="Times New Roman"/>
          <w:i/>
          <w:lang w:val="pt-BR"/>
        </w:rPr>
        <w:t>Diâmetro</w:t>
      </w:r>
      <w:proofErr w:type="spellEnd"/>
      <w:r>
        <w:rPr>
          <w:rFonts w:ascii="Times New Roman" w:hAnsi="Times New Roman"/>
          <w:i/>
          <w:lang w:val="pt-BR"/>
        </w:rPr>
        <w:t xml:space="preserve"> médio dos poros calculado pelo método BJH</w:t>
      </w:r>
      <w:r w:rsidRPr="00E038AF">
        <w:rPr>
          <w:rFonts w:ascii="Times New Roman" w:hAnsi="Times New Roman"/>
          <w:lang w:val="pt-BR"/>
        </w:rPr>
        <w:t>)</w:t>
      </w:r>
      <w:r w:rsidR="007B1FF3">
        <w:rPr>
          <w:rFonts w:ascii="Times New Roman" w:hAnsi="Times New Roman"/>
          <w:lang w:val="pt-BR"/>
        </w:rPr>
        <w:t>.</w:t>
      </w:r>
    </w:p>
    <w:p w14:paraId="19456EF6" w14:textId="77777777" w:rsidR="001D69A2" w:rsidRDefault="001D69A2" w:rsidP="003934D9">
      <w:pPr>
        <w:pStyle w:val="TAMainText"/>
        <w:rPr>
          <w:lang w:val="pt-BR"/>
        </w:rPr>
      </w:pPr>
    </w:p>
    <w:p w14:paraId="30C46550" w14:textId="01BCD0C9" w:rsidR="00503490" w:rsidRDefault="003934D9" w:rsidP="00503490">
      <w:pPr>
        <w:pStyle w:val="TAMainText"/>
        <w:rPr>
          <w:lang w:val="pt-BR"/>
        </w:rPr>
      </w:pPr>
      <w:r>
        <w:rPr>
          <w:lang w:val="pt-BR"/>
        </w:rPr>
        <w:t xml:space="preserve">Além disso, é perceptível através da Tabela </w:t>
      </w:r>
      <w:r w:rsidR="001D69A2">
        <w:rPr>
          <w:lang w:val="pt-BR"/>
        </w:rPr>
        <w:t>4</w:t>
      </w:r>
      <w:r>
        <w:rPr>
          <w:lang w:val="pt-BR"/>
        </w:rPr>
        <w:t>, a diminuição do diâmetro dos poros proporcional a adição de fase ativa ao catalisador, podendo ser associada a melhor incorporação do óxido de ferro dentro dos poros do suporte.</w:t>
      </w:r>
    </w:p>
    <w:p w14:paraId="6E86FB02" w14:textId="77777777" w:rsidR="00503490" w:rsidRDefault="00503490" w:rsidP="00503490">
      <w:pPr>
        <w:pStyle w:val="TAMainText"/>
        <w:ind w:firstLine="0"/>
        <w:rPr>
          <w:lang w:val="pt-BR"/>
        </w:rPr>
      </w:pPr>
    </w:p>
    <w:p w14:paraId="42A449CB" w14:textId="6418AFF4" w:rsidR="00503490" w:rsidRDefault="00503490" w:rsidP="00503490">
      <w:pPr>
        <w:pStyle w:val="TAMainText"/>
        <w:ind w:firstLine="0"/>
        <w:rPr>
          <w:lang w:val="pt-BR"/>
        </w:rPr>
      </w:pPr>
      <w:r w:rsidRPr="00D771E2">
        <w:rPr>
          <w:b/>
          <w:lang w:val="pt-BR"/>
        </w:rPr>
        <w:t>Figura 4</w:t>
      </w:r>
      <w:r>
        <w:rPr>
          <w:lang w:val="pt-BR"/>
        </w:rPr>
        <w:t xml:space="preserve"> - S</w:t>
      </w:r>
      <w:r w:rsidRPr="00503490">
        <w:rPr>
          <w:lang w:val="pt-BR"/>
        </w:rPr>
        <w:t>eletividade na reação de Fischer-</w:t>
      </w:r>
      <w:proofErr w:type="spellStart"/>
      <w:r w:rsidRPr="00503490">
        <w:rPr>
          <w:lang w:val="pt-BR"/>
        </w:rPr>
        <w:t>Tropsch</w:t>
      </w:r>
      <w:proofErr w:type="spellEnd"/>
      <w:r w:rsidRPr="00503490">
        <w:rPr>
          <w:lang w:val="pt-BR"/>
        </w:rPr>
        <w:t xml:space="preserve"> à 250 ºC, 20 bar e GHSV = 1600 h</w:t>
      </w:r>
      <w:r w:rsidRPr="00503490">
        <w:rPr>
          <w:vertAlign w:val="superscript"/>
          <w:lang w:val="pt-BR"/>
        </w:rPr>
        <w:t>-1</w:t>
      </w:r>
      <w:r w:rsidRPr="00503490">
        <w:rPr>
          <w:lang w:val="pt-BR"/>
        </w:rPr>
        <w:t>.</w:t>
      </w:r>
    </w:p>
    <w:p w14:paraId="7A736CD3" w14:textId="15F33C8B" w:rsidR="008B0D3C" w:rsidRDefault="00503490" w:rsidP="008B0D3C">
      <w:pPr>
        <w:jc w:val="both"/>
        <w:rPr>
          <w:rFonts w:ascii="Times New Roman" w:hAnsi="Times New Roman" w:cs="Times New Roman"/>
          <w:sz w:val="20"/>
          <w:szCs w:val="20"/>
        </w:rPr>
      </w:pPr>
      <w:r>
        <w:rPr>
          <w:noProof/>
        </w:rPr>
        <w:drawing>
          <wp:inline distT="0" distB="0" distL="0" distR="0" wp14:anchorId="2F6656F8" wp14:editId="2F5A559A">
            <wp:extent cx="2902226" cy="2043820"/>
            <wp:effectExtent l="0" t="0" r="0" b="0"/>
            <wp:docPr id="1411654019" name="Imagem 2"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54019" name="Imagem 2" descr="Gráfico, Gráfico de barras&#10;&#10;Descrição gerada automa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2235" cy="2057911"/>
                    </a:xfrm>
                    <a:prstGeom prst="rect">
                      <a:avLst/>
                    </a:prstGeom>
                    <a:noFill/>
                  </pic:spPr>
                </pic:pic>
              </a:graphicData>
            </a:graphic>
          </wp:inline>
        </w:drawing>
      </w:r>
    </w:p>
    <w:p w14:paraId="631399DF" w14:textId="61D5E22B" w:rsidR="00D771E2" w:rsidRDefault="00956A58" w:rsidP="00D771E2">
      <w:pPr>
        <w:pStyle w:val="TAMainText"/>
        <w:rPr>
          <w:rFonts w:ascii="Times New Roman" w:hAnsi="Times New Roman"/>
          <w:lang w:val="pt-BR"/>
        </w:rPr>
      </w:pPr>
      <w:r w:rsidRPr="00D771E2">
        <w:rPr>
          <w:rFonts w:ascii="Times New Roman" w:hAnsi="Times New Roman"/>
          <w:lang w:val="pt-BR"/>
        </w:rPr>
        <w:t>A seletividade dos catalisadores aplicados na SFT à 250 ºC, 20 bar e 1600 h</w:t>
      </w:r>
      <w:r w:rsidRPr="00D771E2">
        <w:rPr>
          <w:rFonts w:ascii="Times New Roman" w:hAnsi="Times New Roman"/>
          <w:vertAlign w:val="superscript"/>
          <w:lang w:val="pt-BR"/>
        </w:rPr>
        <w:t>-1</w:t>
      </w:r>
      <w:r w:rsidRPr="00D771E2">
        <w:rPr>
          <w:rFonts w:ascii="Times New Roman" w:hAnsi="Times New Roman"/>
          <w:lang w:val="pt-BR"/>
        </w:rPr>
        <w:t xml:space="preserve"> de GHSV estão presentes na Figura 4. A seletividade para os produtos obtidos na SFT demonstra que a presença do manganês como fase promovida em catalisador de ferro reduz a formação de metano (CH</w:t>
      </w:r>
      <w:r w:rsidRPr="00D771E2">
        <w:rPr>
          <w:rFonts w:ascii="Times New Roman" w:hAnsi="Times New Roman"/>
          <w:vertAlign w:val="subscript"/>
          <w:lang w:val="pt-BR"/>
        </w:rPr>
        <w:t>4</w:t>
      </w:r>
      <w:r w:rsidRPr="00D771E2">
        <w:rPr>
          <w:rFonts w:ascii="Times New Roman" w:hAnsi="Times New Roman"/>
          <w:lang w:val="pt-BR"/>
        </w:rPr>
        <w:t>) (de aproximadamente 30% em 15Fe/Nb</w:t>
      </w:r>
      <w:r w:rsidRPr="00D771E2">
        <w:rPr>
          <w:rFonts w:ascii="Times New Roman" w:hAnsi="Times New Roman"/>
          <w:vertAlign w:val="subscript"/>
          <w:lang w:val="pt-BR"/>
        </w:rPr>
        <w:t>2</w:t>
      </w:r>
      <w:r w:rsidRPr="00D771E2">
        <w:rPr>
          <w:rFonts w:ascii="Times New Roman" w:hAnsi="Times New Roman"/>
          <w:lang w:val="pt-BR"/>
        </w:rPr>
        <w:t>O</w:t>
      </w:r>
      <w:r w:rsidRPr="00D771E2">
        <w:rPr>
          <w:rFonts w:ascii="Times New Roman" w:hAnsi="Times New Roman"/>
          <w:vertAlign w:val="subscript"/>
          <w:lang w:val="pt-BR"/>
        </w:rPr>
        <w:t>5</w:t>
      </w:r>
      <w:r w:rsidRPr="00D771E2">
        <w:rPr>
          <w:rFonts w:ascii="Times New Roman" w:hAnsi="Times New Roman"/>
          <w:lang w:val="pt-BR"/>
        </w:rPr>
        <w:t xml:space="preserve"> para </w:t>
      </w:r>
      <w:proofErr w:type="spellStart"/>
      <w:r w:rsidRPr="00D771E2">
        <w:rPr>
          <w:rFonts w:ascii="Times New Roman" w:hAnsi="Times New Roman"/>
          <w:lang w:val="pt-BR"/>
        </w:rPr>
        <w:t>aproximada-mente</w:t>
      </w:r>
      <w:proofErr w:type="spellEnd"/>
      <w:r w:rsidRPr="00D771E2">
        <w:rPr>
          <w:rFonts w:ascii="Times New Roman" w:hAnsi="Times New Roman"/>
          <w:lang w:val="pt-BR"/>
        </w:rPr>
        <w:t xml:space="preserve"> 16% em 1Mn-15Fe/Nb</w:t>
      </w:r>
      <w:r w:rsidRPr="00D771E2">
        <w:rPr>
          <w:rFonts w:ascii="Times New Roman" w:hAnsi="Times New Roman"/>
          <w:vertAlign w:val="subscript"/>
          <w:lang w:val="pt-BR"/>
        </w:rPr>
        <w:t>2</w:t>
      </w:r>
      <w:r w:rsidRPr="00D771E2">
        <w:rPr>
          <w:rFonts w:ascii="Times New Roman" w:hAnsi="Times New Roman"/>
          <w:lang w:val="pt-BR"/>
        </w:rPr>
        <w:t>O</w:t>
      </w:r>
      <w:r w:rsidRPr="00D771E2">
        <w:rPr>
          <w:rFonts w:ascii="Times New Roman" w:hAnsi="Times New Roman"/>
          <w:vertAlign w:val="subscript"/>
          <w:lang w:val="pt-BR"/>
        </w:rPr>
        <w:t>5</w:t>
      </w:r>
      <w:r w:rsidRPr="00D771E2">
        <w:rPr>
          <w:rFonts w:ascii="Times New Roman" w:hAnsi="Times New Roman"/>
          <w:lang w:val="pt-BR"/>
        </w:rPr>
        <w:t xml:space="preserve"> e para dióxido de carbono (CO</w:t>
      </w:r>
      <w:r w:rsidRPr="00D771E2">
        <w:rPr>
          <w:rFonts w:ascii="Times New Roman" w:hAnsi="Times New Roman"/>
          <w:vertAlign w:val="subscript"/>
          <w:lang w:val="pt-BR"/>
        </w:rPr>
        <w:t>2</w:t>
      </w:r>
      <w:r w:rsidRPr="00D771E2">
        <w:rPr>
          <w:rFonts w:ascii="Times New Roman" w:hAnsi="Times New Roman"/>
          <w:lang w:val="pt-BR"/>
        </w:rPr>
        <w:t>). Além disso, há um aumento da seletividade para hidrocarbonetos pesados (C</w:t>
      </w:r>
      <w:r w:rsidRPr="00D771E2">
        <w:rPr>
          <w:rFonts w:ascii="Times New Roman" w:hAnsi="Times New Roman"/>
          <w:vertAlign w:val="subscript"/>
          <w:lang w:val="pt-BR"/>
        </w:rPr>
        <w:t>5+</w:t>
      </w:r>
      <w:r w:rsidRPr="00D771E2">
        <w:rPr>
          <w:rFonts w:ascii="Times New Roman" w:hAnsi="Times New Roman"/>
          <w:lang w:val="pt-BR"/>
        </w:rPr>
        <w:t>).</w:t>
      </w:r>
    </w:p>
    <w:p w14:paraId="6552751E" w14:textId="77777777" w:rsidR="00AE0B6D" w:rsidRDefault="00AE0B6D" w:rsidP="00D771E2">
      <w:pPr>
        <w:pStyle w:val="TAMainText"/>
        <w:rPr>
          <w:rFonts w:ascii="Times New Roman" w:hAnsi="Times New Roman"/>
          <w:lang w:val="pt-BR"/>
        </w:rPr>
      </w:pPr>
    </w:p>
    <w:p w14:paraId="53FC9592" w14:textId="2763F683" w:rsidR="00453329" w:rsidRDefault="00453329" w:rsidP="00DD7EA8">
      <w:pPr>
        <w:spacing w:line="276" w:lineRule="auto"/>
        <w:jc w:val="both"/>
        <w:rPr>
          <w:rFonts w:ascii="Times New Roman" w:hAnsi="Times New Roman" w:cs="Times New Roman"/>
          <w:sz w:val="20"/>
          <w:szCs w:val="20"/>
        </w:rPr>
      </w:pPr>
      <w:r w:rsidRPr="00D771E2">
        <w:rPr>
          <w:rFonts w:ascii="Times New Roman" w:hAnsi="Times New Roman" w:cs="Times New Roman"/>
          <w:b/>
          <w:sz w:val="20"/>
          <w:szCs w:val="20"/>
        </w:rPr>
        <w:t>Tabela 5</w:t>
      </w:r>
      <w:r w:rsidRPr="00453329">
        <w:rPr>
          <w:rFonts w:ascii="Times New Roman" w:hAnsi="Times New Roman" w:cs="Times New Roman"/>
          <w:sz w:val="20"/>
          <w:szCs w:val="20"/>
        </w:rPr>
        <w:t xml:space="preserve"> – Resultados dos testes catalíticos realizados à 250 ºC e 20 bar de pressão</w:t>
      </w:r>
      <w:r w:rsidR="00AE0B6D">
        <w:rPr>
          <w:rFonts w:ascii="Times New Roman" w:hAnsi="Times New Roman" w:cs="Times New Roman"/>
          <w:sz w:val="20"/>
          <w:szCs w:val="20"/>
        </w:rPr>
        <w:t>.</w:t>
      </w:r>
    </w:p>
    <w:tbl>
      <w:tblPr>
        <w:tblW w:w="5387" w:type="dxa"/>
        <w:tblInd w:w="-28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1"/>
        <w:gridCol w:w="567"/>
        <w:gridCol w:w="851"/>
        <w:gridCol w:w="425"/>
        <w:gridCol w:w="425"/>
        <w:gridCol w:w="426"/>
        <w:gridCol w:w="425"/>
        <w:gridCol w:w="850"/>
        <w:gridCol w:w="567"/>
      </w:tblGrid>
      <w:tr w:rsidR="004059DC" w:rsidRPr="00AE0B6D" w14:paraId="24C40424" w14:textId="118F0D5B" w:rsidTr="007805E2">
        <w:trPr>
          <w:trHeight w:val="300"/>
        </w:trPr>
        <w:tc>
          <w:tcPr>
            <w:tcW w:w="851" w:type="dxa"/>
            <w:vMerge w:val="restart"/>
            <w:tcBorders>
              <w:top w:val="single" w:sz="6" w:space="0" w:color="595959"/>
              <w:left w:val="single" w:sz="4" w:space="0" w:color="auto"/>
              <w:bottom w:val="single" w:sz="6" w:space="0" w:color="1A1A1A"/>
              <w:right w:val="single" w:sz="4" w:space="0" w:color="auto"/>
            </w:tcBorders>
            <w:shd w:val="clear" w:color="auto" w:fill="auto"/>
            <w:vAlign w:val="center"/>
            <w:hideMark/>
          </w:tcPr>
          <w:p w14:paraId="702196B0" w14:textId="128C4CB4" w:rsidR="004059DC" w:rsidRPr="00AE0B6D" w:rsidRDefault="004059DC" w:rsidP="00D771E2">
            <w:pPr>
              <w:spacing w:after="0" w:line="240" w:lineRule="auto"/>
              <w:jc w:val="center"/>
              <w:textAlignment w:val="baseline"/>
              <w:rPr>
                <w:rFonts w:ascii="Times New Roman" w:eastAsia="Times New Roman" w:hAnsi="Times New Roman" w:cs="Times New Roman"/>
                <w:b/>
                <w:sz w:val="16"/>
                <w:szCs w:val="18"/>
                <w:lang w:eastAsia="pt-BR"/>
              </w:rPr>
            </w:pPr>
            <w:proofErr w:type="spellStart"/>
            <w:r w:rsidRPr="00AE0B6D">
              <w:rPr>
                <w:rFonts w:ascii="Times New Roman" w:eastAsia="Times New Roman" w:hAnsi="Times New Roman" w:cs="Times New Roman"/>
                <w:b/>
                <w:color w:val="000000"/>
                <w:sz w:val="16"/>
                <w:szCs w:val="18"/>
                <w:lang w:val="en-US" w:eastAsia="pt-BR"/>
              </w:rPr>
              <w:t>Catalisador</w:t>
            </w:r>
            <w:proofErr w:type="spellEnd"/>
          </w:p>
        </w:tc>
        <w:tc>
          <w:tcPr>
            <w:tcW w:w="567" w:type="dxa"/>
            <w:vMerge w:val="restart"/>
            <w:tcBorders>
              <w:top w:val="single" w:sz="6" w:space="0" w:color="595959"/>
              <w:left w:val="single" w:sz="4" w:space="0" w:color="auto"/>
              <w:bottom w:val="single" w:sz="6" w:space="0" w:color="1A1A1A"/>
              <w:right w:val="single" w:sz="4" w:space="0" w:color="auto"/>
            </w:tcBorders>
            <w:shd w:val="clear" w:color="auto" w:fill="auto"/>
            <w:vAlign w:val="center"/>
            <w:hideMark/>
          </w:tcPr>
          <w:p w14:paraId="539ED479" w14:textId="77777777" w:rsidR="004059DC" w:rsidRPr="00AE0B6D" w:rsidRDefault="004059DC" w:rsidP="00D771E2">
            <w:pPr>
              <w:spacing w:after="0" w:line="240" w:lineRule="auto"/>
              <w:jc w:val="center"/>
              <w:textAlignment w:val="baseline"/>
              <w:rPr>
                <w:rFonts w:ascii="Times New Roman" w:eastAsia="Times New Roman" w:hAnsi="Times New Roman" w:cs="Times New Roman"/>
                <w:b/>
                <w:sz w:val="16"/>
                <w:szCs w:val="18"/>
                <w:lang w:eastAsia="pt-BR"/>
              </w:rPr>
            </w:pPr>
            <w:r w:rsidRPr="00AE0B6D">
              <w:rPr>
                <w:rFonts w:ascii="Times New Roman" w:eastAsia="Times New Roman" w:hAnsi="Times New Roman" w:cs="Times New Roman"/>
                <w:b/>
                <w:color w:val="000000"/>
                <w:sz w:val="16"/>
                <w:szCs w:val="18"/>
                <w:lang w:val="en-US" w:eastAsia="pt-BR"/>
              </w:rPr>
              <w:t>GHSV (h</w:t>
            </w:r>
            <w:r w:rsidRPr="00AE0B6D">
              <w:rPr>
                <w:rFonts w:ascii="Times New Roman" w:eastAsia="Times New Roman" w:hAnsi="Times New Roman" w:cs="Times New Roman"/>
                <w:b/>
                <w:color w:val="000000"/>
                <w:sz w:val="16"/>
                <w:szCs w:val="18"/>
                <w:vertAlign w:val="superscript"/>
                <w:lang w:val="en-US" w:eastAsia="pt-BR"/>
              </w:rPr>
              <w:t>-1</w:t>
            </w:r>
            <w:r w:rsidRPr="00AE0B6D">
              <w:rPr>
                <w:rFonts w:ascii="Times New Roman" w:eastAsia="Times New Roman" w:hAnsi="Times New Roman" w:cs="Times New Roman"/>
                <w:b/>
                <w:color w:val="000000"/>
                <w:sz w:val="16"/>
                <w:szCs w:val="18"/>
                <w:lang w:val="en-US" w:eastAsia="pt-BR"/>
              </w:rPr>
              <w:t>)</w:t>
            </w:r>
            <w:r w:rsidRPr="00AE0B6D">
              <w:rPr>
                <w:rFonts w:ascii="Times New Roman" w:eastAsia="Times New Roman" w:hAnsi="Times New Roman" w:cs="Times New Roman"/>
                <w:b/>
                <w:color w:val="000000"/>
                <w:sz w:val="16"/>
                <w:szCs w:val="18"/>
                <w:lang w:eastAsia="pt-BR"/>
              </w:rPr>
              <w:t> </w:t>
            </w:r>
          </w:p>
        </w:tc>
        <w:tc>
          <w:tcPr>
            <w:tcW w:w="851" w:type="dxa"/>
            <w:vMerge w:val="restart"/>
            <w:tcBorders>
              <w:top w:val="single" w:sz="6" w:space="0" w:color="595959"/>
              <w:left w:val="single" w:sz="4" w:space="0" w:color="auto"/>
              <w:bottom w:val="single" w:sz="6" w:space="0" w:color="1A1A1A"/>
              <w:right w:val="single" w:sz="4" w:space="0" w:color="auto"/>
            </w:tcBorders>
            <w:shd w:val="clear" w:color="auto" w:fill="auto"/>
            <w:vAlign w:val="center"/>
            <w:hideMark/>
          </w:tcPr>
          <w:p w14:paraId="0F4A0D96" w14:textId="77777777" w:rsidR="004059DC" w:rsidRPr="00AE0B6D" w:rsidRDefault="004059DC" w:rsidP="00D771E2">
            <w:pPr>
              <w:spacing w:after="0" w:line="240" w:lineRule="auto"/>
              <w:jc w:val="center"/>
              <w:textAlignment w:val="baseline"/>
              <w:rPr>
                <w:rFonts w:ascii="Times New Roman" w:eastAsia="Times New Roman" w:hAnsi="Times New Roman" w:cs="Times New Roman"/>
                <w:b/>
                <w:sz w:val="16"/>
                <w:szCs w:val="18"/>
                <w:lang w:eastAsia="pt-BR"/>
              </w:rPr>
            </w:pPr>
            <w:proofErr w:type="spellStart"/>
            <w:r w:rsidRPr="00AE0B6D">
              <w:rPr>
                <w:rFonts w:ascii="Times New Roman" w:eastAsia="Times New Roman" w:hAnsi="Times New Roman" w:cs="Times New Roman"/>
                <w:b/>
                <w:color w:val="000000"/>
                <w:sz w:val="16"/>
                <w:szCs w:val="18"/>
                <w:lang w:val="en-US" w:eastAsia="pt-BR"/>
              </w:rPr>
              <w:t>Conversão</w:t>
            </w:r>
            <w:proofErr w:type="spellEnd"/>
            <w:r w:rsidRPr="00AE0B6D">
              <w:rPr>
                <w:rFonts w:ascii="Times New Roman" w:eastAsia="Times New Roman" w:hAnsi="Times New Roman" w:cs="Times New Roman"/>
                <w:b/>
                <w:color w:val="000000"/>
                <w:sz w:val="16"/>
                <w:szCs w:val="18"/>
                <w:lang w:val="en-US" w:eastAsia="pt-BR"/>
              </w:rPr>
              <w:t xml:space="preserve"> de CO (%)</w:t>
            </w:r>
            <w:r w:rsidRPr="00AE0B6D">
              <w:rPr>
                <w:rFonts w:ascii="Times New Roman" w:eastAsia="Times New Roman" w:hAnsi="Times New Roman" w:cs="Times New Roman"/>
                <w:b/>
                <w:color w:val="000000"/>
                <w:sz w:val="16"/>
                <w:szCs w:val="18"/>
                <w:lang w:eastAsia="pt-BR"/>
              </w:rPr>
              <w:t> </w:t>
            </w:r>
          </w:p>
        </w:tc>
        <w:tc>
          <w:tcPr>
            <w:tcW w:w="2551" w:type="dxa"/>
            <w:gridSpan w:val="5"/>
            <w:tcBorders>
              <w:top w:val="single" w:sz="6" w:space="0" w:color="595959"/>
              <w:left w:val="single" w:sz="4" w:space="0" w:color="auto"/>
              <w:bottom w:val="single" w:sz="6" w:space="0" w:color="1A1A1A"/>
              <w:right w:val="single" w:sz="4" w:space="0" w:color="auto"/>
            </w:tcBorders>
            <w:shd w:val="clear" w:color="auto" w:fill="auto"/>
            <w:vAlign w:val="bottom"/>
            <w:hideMark/>
          </w:tcPr>
          <w:p w14:paraId="26F7EEFD" w14:textId="77777777" w:rsidR="004059DC" w:rsidRPr="00AE0B6D" w:rsidRDefault="004059DC" w:rsidP="00D771E2">
            <w:pPr>
              <w:spacing w:after="0" w:line="240" w:lineRule="auto"/>
              <w:ind w:firstLine="705"/>
              <w:jc w:val="center"/>
              <w:textAlignment w:val="baseline"/>
              <w:rPr>
                <w:rFonts w:ascii="Times New Roman" w:eastAsia="Times New Roman" w:hAnsi="Times New Roman" w:cs="Times New Roman"/>
                <w:b/>
                <w:sz w:val="16"/>
                <w:szCs w:val="18"/>
                <w:lang w:eastAsia="pt-BR"/>
              </w:rPr>
            </w:pPr>
            <w:proofErr w:type="spellStart"/>
            <w:r w:rsidRPr="00AE0B6D">
              <w:rPr>
                <w:rFonts w:ascii="Times New Roman" w:eastAsia="Times New Roman" w:hAnsi="Times New Roman" w:cs="Times New Roman"/>
                <w:b/>
                <w:color w:val="000000"/>
                <w:sz w:val="16"/>
                <w:szCs w:val="18"/>
                <w:lang w:val="en-US" w:eastAsia="pt-BR"/>
              </w:rPr>
              <w:t>Seletividade</w:t>
            </w:r>
            <w:proofErr w:type="spellEnd"/>
            <w:r w:rsidRPr="00AE0B6D">
              <w:rPr>
                <w:rFonts w:ascii="Times New Roman" w:eastAsia="Times New Roman" w:hAnsi="Times New Roman" w:cs="Times New Roman"/>
                <w:b/>
                <w:color w:val="000000"/>
                <w:sz w:val="16"/>
                <w:szCs w:val="18"/>
                <w:lang w:val="en-US" w:eastAsia="pt-BR"/>
              </w:rPr>
              <w:t xml:space="preserve"> (%)</w:t>
            </w:r>
            <w:r w:rsidRPr="00AE0B6D">
              <w:rPr>
                <w:rFonts w:ascii="Times New Roman" w:eastAsia="Times New Roman" w:hAnsi="Times New Roman" w:cs="Times New Roman"/>
                <w:b/>
                <w:color w:val="000000"/>
                <w:sz w:val="16"/>
                <w:szCs w:val="18"/>
                <w:lang w:eastAsia="pt-BR"/>
              </w:rPr>
              <w:t> </w:t>
            </w:r>
          </w:p>
        </w:tc>
        <w:tc>
          <w:tcPr>
            <w:tcW w:w="567" w:type="dxa"/>
            <w:vMerge w:val="restart"/>
            <w:tcBorders>
              <w:top w:val="single" w:sz="6" w:space="0" w:color="595959"/>
              <w:left w:val="single" w:sz="4" w:space="0" w:color="auto"/>
              <w:right w:val="single" w:sz="4" w:space="0" w:color="auto"/>
            </w:tcBorders>
          </w:tcPr>
          <w:p w14:paraId="38001ED2" w14:textId="4B7588C5" w:rsidR="004059DC" w:rsidRPr="00AE0B6D" w:rsidRDefault="004059DC" w:rsidP="004059DC">
            <w:pPr>
              <w:tabs>
                <w:tab w:val="left" w:pos="548"/>
              </w:tabs>
              <w:spacing w:after="0" w:line="240" w:lineRule="auto"/>
              <w:ind w:left="5" w:hanging="5"/>
              <w:jc w:val="center"/>
              <w:textAlignment w:val="baseline"/>
              <w:rPr>
                <w:rFonts w:ascii="Times New Roman" w:eastAsia="Times New Roman" w:hAnsi="Times New Roman" w:cs="Times New Roman"/>
                <w:b/>
                <w:color w:val="000000"/>
                <w:sz w:val="16"/>
                <w:szCs w:val="18"/>
                <w:lang w:val="en-US" w:eastAsia="pt-BR"/>
              </w:rPr>
            </w:pPr>
            <w:proofErr w:type="spellStart"/>
            <w:r w:rsidRPr="00AE0B6D">
              <w:rPr>
                <w:rFonts w:ascii="Times New Roman" w:eastAsia="Times New Roman" w:hAnsi="Times New Roman" w:cs="Times New Roman"/>
                <w:b/>
                <w:color w:val="000000"/>
                <w:sz w:val="16"/>
                <w:szCs w:val="18"/>
                <w:lang w:val="en-US" w:eastAsia="pt-BR"/>
              </w:rPr>
              <w:t>Razão</w:t>
            </w:r>
            <w:proofErr w:type="spellEnd"/>
            <w:r w:rsidRPr="00AE0B6D">
              <w:rPr>
                <w:rFonts w:ascii="Times New Roman" w:eastAsia="Times New Roman" w:hAnsi="Times New Roman" w:cs="Times New Roman"/>
                <w:b/>
                <w:color w:val="000000"/>
                <w:sz w:val="16"/>
                <w:szCs w:val="18"/>
                <w:lang w:val="en-US" w:eastAsia="pt-BR"/>
              </w:rPr>
              <w:t xml:space="preserve"> </w:t>
            </w:r>
            <w:proofErr w:type="spellStart"/>
            <w:r w:rsidRPr="00AE0B6D">
              <w:rPr>
                <w:rFonts w:ascii="Times New Roman" w:eastAsia="Times New Roman" w:hAnsi="Times New Roman" w:cs="Times New Roman"/>
                <w:b/>
                <w:color w:val="000000"/>
                <w:sz w:val="16"/>
                <w:szCs w:val="18"/>
                <w:lang w:val="en-US" w:eastAsia="pt-BR"/>
              </w:rPr>
              <w:t>Oleofina</w:t>
            </w:r>
            <w:proofErr w:type="spellEnd"/>
            <w:r w:rsidRPr="00AE0B6D">
              <w:rPr>
                <w:rFonts w:ascii="Times New Roman" w:eastAsia="Times New Roman" w:hAnsi="Times New Roman" w:cs="Times New Roman"/>
                <w:b/>
                <w:color w:val="000000"/>
                <w:sz w:val="16"/>
                <w:szCs w:val="18"/>
                <w:lang w:val="en-US" w:eastAsia="pt-BR"/>
              </w:rPr>
              <w:t>/</w:t>
            </w:r>
            <w:r w:rsidR="007805E2" w:rsidRPr="00AE0B6D">
              <w:rPr>
                <w:rFonts w:ascii="Times New Roman" w:eastAsia="Times New Roman" w:hAnsi="Times New Roman" w:cs="Times New Roman"/>
                <w:b/>
                <w:color w:val="000000"/>
                <w:sz w:val="16"/>
                <w:szCs w:val="18"/>
                <w:lang w:val="en-US" w:eastAsia="pt-BR"/>
              </w:rPr>
              <w:t xml:space="preserve"> </w:t>
            </w:r>
            <w:proofErr w:type="spellStart"/>
            <w:r w:rsidRPr="00AE0B6D">
              <w:rPr>
                <w:rFonts w:ascii="Times New Roman" w:eastAsia="Times New Roman" w:hAnsi="Times New Roman" w:cs="Times New Roman"/>
                <w:b/>
                <w:color w:val="000000"/>
                <w:sz w:val="16"/>
                <w:szCs w:val="18"/>
                <w:lang w:val="en-US" w:eastAsia="pt-BR"/>
              </w:rPr>
              <w:t>Parafina</w:t>
            </w:r>
            <w:proofErr w:type="spellEnd"/>
          </w:p>
        </w:tc>
      </w:tr>
      <w:tr w:rsidR="007805E2" w:rsidRPr="00AE0B6D" w14:paraId="290B0237" w14:textId="77AB320E" w:rsidTr="007805E2">
        <w:trPr>
          <w:trHeight w:val="375"/>
        </w:trPr>
        <w:tc>
          <w:tcPr>
            <w:tcW w:w="851" w:type="dxa"/>
            <w:vMerge/>
            <w:tcBorders>
              <w:top w:val="single" w:sz="6" w:space="0" w:color="595959"/>
              <w:left w:val="single" w:sz="4" w:space="0" w:color="auto"/>
              <w:bottom w:val="single" w:sz="6" w:space="0" w:color="1A1A1A"/>
              <w:right w:val="single" w:sz="4" w:space="0" w:color="auto"/>
            </w:tcBorders>
            <w:shd w:val="clear" w:color="auto" w:fill="auto"/>
            <w:vAlign w:val="center"/>
            <w:hideMark/>
          </w:tcPr>
          <w:p w14:paraId="0EDFABA7" w14:textId="77777777" w:rsidR="004059DC" w:rsidRPr="00AE0B6D" w:rsidRDefault="004059DC" w:rsidP="00D771E2">
            <w:pPr>
              <w:spacing w:after="0" w:line="240" w:lineRule="auto"/>
              <w:rPr>
                <w:rFonts w:ascii="Times New Roman" w:eastAsia="Times New Roman" w:hAnsi="Times New Roman" w:cs="Times New Roman"/>
                <w:b/>
                <w:sz w:val="16"/>
                <w:szCs w:val="18"/>
                <w:lang w:eastAsia="pt-BR"/>
              </w:rPr>
            </w:pPr>
          </w:p>
        </w:tc>
        <w:tc>
          <w:tcPr>
            <w:tcW w:w="567" w:type="dxa"/>
            <w:vMerge/>
            <w:tcBorders>
              <w:top w:val="single" w:sz="6" w:space="0" w:color="595959"/>
              <w:left w:val="single" w:sz="4" w:space="0" w:color="auto"/>
              <w:bottom w:val="single" w:sz="6" w:space="0" w:color="1A1A1A"/>
              <w:right w:val="single" w:sz="4" w:space="0" w:color="auto"/>
            </w:tcBorders>
            <w:shd w:val="clear" w:color="auto" w:fill="auto"/>
            <w:vAlign w:val="center"/>
            <w:hideMark/>
          </w:tcPr>
          <w:p w14:paraId="35C8DF97" w14:textId="77777777" w:rsidR="004059DC" w:rsidRPr="00AE0B6D" w:rsidRDefault="004059DC" w:rsidP="00D771E2">
            <w:pPr>
              <w:spacing w:after="0" w:line="240" w:lineRule="auto"/>
              <w:rPr>
                <w:rFonts w:ascii="Times New Roman" w:eastAsia="Times New Roman" w:hAnsi="Times New Roman" w:cs="Times New Roman"/>
                <w:b/>
                <w:sz w:val="16"/>
                <w:szCs w:val="18"/>
                <w:lang w:eastAsia="pt-BR"/>
              </w:rPr>
            </w:pPr>
          </w:p>
        </w:tc>
        <w:tc>
          <w:tcPr>
            <w:tcW w:w="851" w:type="dxa"/>
            <w:vMerge/>
            <w:tcBorders>
              <w:top w:val="single" w:sz="6" w:space="0" w:color="595959"/>
              <w:left w:val="single" w:sz="4" w:space="0" w:color="auto"/>
              <w:bottom w:val="single" w:sz="6" w:space="0" w:color="1A1A1A"/>
              <w:right w:val="single" w:sz="4" w:space="0" w:color="auto"/>
            </w:tcBorders>
            <w:shd w:val="clear" w:color="auto" w:fill="auto"/>
            <w:vAlign w:val="center"/>
            <w:hideMark/>
          </w:tcPr>
          <w:p w14:paraId="763666FD" w14:textId="77777777" w:rsidR="004059DC" w:rsidRPr="00AE0B6D" w:rsidRDefault="004059DC" w:rsidP="00D771E2">
            <w:pPr>
              <w:spacing w:after="0" w:line="240" w:lineRule="auto"/>
              <w:rPr>
                <w:rFonts w:ascii="Times New Roman" w:eastAsia="Times New Roman" w:hAnsi="Times New Roman" w:cs="Times New Roman"/>
                <w:b/>
                <w:sz w:val="16"/>
                <w:szCs w:val="18"/>
                <w:lang w:eastAsia="pt-BR"/>
              </w:rPr>
            </w:pPr>
          </w:p>
        </w:tc>
        <w:tc>
          <w:tcPr>
            <w:tcW w:w="425" w:type="dxa"/>
            <w:tcBorders>
              <w:top w:val="single" w:sz="6" w:space="0" w:color="1A1A1A"/>
              <w:left w:val="single" w:sz="4" w:space="0" w:color="auto"/>
              <w:bottom w:val="single" w:sz="6" w:space="0" w:color="1A1A1A"/>
              <w:right w:val="single" w:sz="4" w:space="0" w:color="auto"/>
            </w:tcBorders>
            <w:shd w:val="clear" w:color="auto" w:fill="auto"/>
            <w:vAlign w:val="center"/>
            <w:hideMark/>
          </w:tcPr>
          <w:p w14:paraId="2019EE86" w14:textId="77777777" w:rsidR="004059DC" w:rsidRPr="00AE0B6D" w:rsidRDefault="004059DC" w:rsidP="00D771E2">
            <w:pPr>
              <w:spacing w:after="0" w:line="240" w:lineRule="auto"/>
              <w:jc w:val="center"/>
              <w:textAlignment w:val="baseline"/>
              <w:rPr>
                <w:rFonts w:ascii="Times New Roman" w:eastAsia="Times New Roman" w:hAnsi="Times New Roman" w:cs="Times New Roman"/>
                <w:b/>
                <w:sz w:val="16"/>
                <w:szCs w:val="18"/>
                <w:lang w:eastAsia="pt-BR"/>
              </w:rPr>
            </w:pPr>
            <w:r w:rsidRPr="00AE0B6D">
              <w:rPr>
                <w:rFonts w:ascii="Times New Roman" w:eastAsia="Times New Roman" w:hAnsi="Times New Roman" w:cs="Times New Roman"/>
                <w:b/>
                <w:color w:val="000000"/>
                <w:sz w:val="16"/>
                <w:szCs w:val="18"/>
                <w:lang w:val="en-US" w:eastAsia="pt-BR"/>
              </w:rPr>
              <w:t>CO</w:t>
            </w:r>
            <w:r w:rsidRPr="00AE0B6D">
              <w:rPr>
                <w:rFonts w:ascii="Times New Roman" w:eastAsia="Times New Roman" w:hAnsi="Times New Roman" w:cs="Times New Roman"/>
                <w:b/>
                <w:color w:val="000000"/>
                <w:sz w:val="16"/>
                <w:szCs w:val="18"/>
                <w:vertAlign w:val="subscript"/>
                <w:lang w:val="en-US" w:eastAsia="pt-BR"/>
              </w:rPr>
              <w:t>2</w:t>
            </w:r>
            <w:r w:rsidRPr="00AE0B6D">
              <w:rPr>
                <w:rFonts w:ascii="Times New Roman" w:eastAsia="Times New Roman" w:hAnsi="Times New Roman" w:cs="Times New Roman"/>
                <w:b/>
                <w:color w:val="000000"/>
                <w:sz w:val="16"/>
                <w:szCs w:val="18"/>
                <w:lang w:eastAsia="pt-BR"/>
              </w:rPr>
              <w:t> </w:t>
            </w:r>
          </w:p>
        </w:tc>
        <w:tc>
          <w:tcPr>
            <w:tcW w:w="425" w:type="dxa"/>
            <w:tcBorders>
              <w:top w:val="single" w:sz="6" w:space="0" w:color="1A1A1A"/>
              <w:left w:val="single" w:sz="4" w:space="0" w:color="auto"/>
              <w:bottom w:val="single" w:sz="6" w:space="0" w:color="1A1A1A"/>
              <w:right w:val="single" w:sz="4" w:space="0" w:color="auto"/>
            </w:tcBorders>
            <w:shd w:val="clear" w:color="auto" w:fill="auto"/>
            <w:vAlign w:val="center"/>
            <w:hideMark/>
          </w:tcPr>
          <w:p w14:paraId="1DE052D7" w14:textId="77777777" w:rsidR="004059DC" w:rsidRPr="00AE0B6D" w:rsidRDefault="004059DC" w:rsidP="00D771E2">
            <w:pPr>
              <w:spacing w:after="0" w:line="240" w:lineRule="auto"/>
              <w:jc w:val="center"/>
              <w:textAlignment w:val="baseline"/>
              <w:rPr>
                <w:rFonts w:ascii="Times New Roman" w:eastAsia="Times New Roman" w:hAnsi="Times New Roman" w:cs="Times New Roman"/>
                <w:b/>
                <w:sz w:val="16"/>
                <w:szCs w:val="18"/>
                <w:lang w:eastAsia="pt-BR"/>
              </w:rPr>
            </w:pPr>
            <w:r w:rsidRPr="00AE0B6D">
              <w:rPr>
                <w:rFonts w:ascii="Times New Roman" w:eastAsia="Times New Roman" w:hAnsi="Times New Roman" w:cs="Times New Roman"/>
                <w:b/>
                <w:color w:val="000000"/>
                <w:sz w:val="16"/>
                <w:szCs w:val="18"/>
                <w:lang w:val="en-US" w:eastAsia="pt-BR"/>
              </w:rPr>
              <w:t>CH</w:t>
            </w:r>
            <w:r w:rsidRPr="00AE0B6D">
              <w:rPr>
                <w:rFonts w:ascii="Times New Roman" w:eastAsia="Times New Roman" w:hAnsi="Times New Roman" w:cs="Times New Roman"/>
                <w:b/>
                <w:color w:val="000000"/>
                <w:sz w:val="16"/>
                <w:szCs w:val="18"/>
                <w:vertAlign w:val="subscript"/>
                <w:lang w:val="en-US" w:eastAsia="pt-BR"/>
              </w:rPr>
              <w:t>4</w:t>
            </w:r>
            <w:r w:rsidRPr="00AE0B6D">
              <w:rPr>
                <w:rFonts w:ascii="Times New Roman" w:eastAsia="Times New Roman" w:hAnsi="Times New Roman" w:cs="Times New Roman"/>
                <w:b/>
                <w:color w:val="000000"/>
                <w:sz w:val="16"/>
                <w:szCs w:val="18"/>
                <w:lang w:eastAsia="pt-BR"/>
              </w:rPr>
              <w:t> </w:t>
            </w:r>
          </w:p>
        </w:tc>
        <w:tc>
          <w:tcPr>
            <w:tcW w:w="426" w:type="dxa"/>
            <w:tcBorders>
              <w:top w:val="single" w:sz="6" w:space="0" w:color="1A1A1A"/>
              <w:left w:val="single" w:sz="4" w:space="0" w:color="auto"/>
              <w:bottom w:val="single" w:sz="6" w:space="0" w:color="1A1A1A"/>
              <w:right w:val="single" w:sz="4" w:space="0" w:color="auto"/>
            </w:tcBorders>
            <w:shd w:val="clear" w:color="auto" w:fill="auto"/>
            <w:vAlign w:val="center"/>
            <w:hideMark/>
          </w:tcPr>
          <w:p w14:paraId="41D6B282" w14:textId="47AE928D" w:rsidR="004059DC" w:rsidRPr="00AE0B6D" w:rsidRDefault="004059DC" w:rsidP="00D771E2">
            <w:pPr>
              <w:spacing w:after="0" w:line="240" w:lineRule="auto"/>
              <w:jc w:val="center"/>
              <w:textAlignment w:val="baseline"/>
              <w:rPr>
                <w:rFonts w:ascii="Times New Roman" w:eastAsia="Times New Roman" w:hAnsi="Times New Roman" w:cs="Times New Roman"/>
                <w:b/>
                <w:sz w:val="16"/>
                <w:szCs w:val="18"/>
                <w:lang w:eastAsia="pt-BR"/>
              </w:rPr>
            </w:pPr>
            <w:r w:rsidRPr="00AE0B6D">
              <w:rPr>
                <w:rFonts w:ascii="Times New Roman" w:eastAsia="Times New Roman" w:hAnsi="Times New Roman" w:cs="Times New Roman"/>
                <w:b/>
                <w:color w:val="000000"/>
                <w:sz w:val="16"/>
                <w:szCs w:val="18"/>
                <w:lang w:val="en-US" w:eastAsia="pt-BR"/>
              </w:rPr>
              <w:t>C</w:t>
            </w:r>
            <w:r w:rsidRPr="00AE0B6D">
              <w:rPr>
                <w:rFonts w:ascii="Times New Roman" w:eastAsia="Times New Roman" w:hAnsi="Times New Roman" w:cs="Times New Roman"/>
                <w:b/>
                <w:color w:val="000000"/>
                <w:sz w:val="16"/>
                <w:szCs w:val="18"/>
                <w:vertAlign w:val="subscript"/>
                <w:lang w:val="en-US" w:eastAsia="pt-BR"/>
              </w:rPr>
              <w:t>2</w:t>
            </w:r>
            <w:r w:rsidRPr="00AE0B6D">
              <w:rPr>
                <w:rFonts w:ascii="Times New Roman" w:eastAsia="Times New Roman" w:hAnsi="Times New Roman" w:cs="Times New Roman"/>
                <w:b/>
                <w:color w:val="000000"/>
                <w:sz w:val="16"/>
                <w:szCs w:val="18"/>
                <w:lang w:val="en-US" w:eastAsia="pt-BR"/>
              </w:rPr>
              <w:t>-</w:t>
            </w:r>
            <w:r w:rsidRPr="00AE0B6D">
              <w:rPr>
                <w:rFonts w:ascii="Times New Roman" w:eastAsia="Times New Roman" w:hAnsi="Times New Roman" w:cs="Times New Roman"/>
                <w:b/>
                <w:color w:val="000000"/>
                <w:sz w:val="16"/>
                <w:szCs w:val="18"/>
                <w:vertAlign w:val="subscript"/>
                <w:lang w:val="en-US" w:eastAsia="pt-BR"/>
              </w:rPr>
              <w:t>4</w:t>
            </w:r>
            <w:r w:rsidRPr="00AE0B6D">
              <w:rPr>
                <w:rFonts w:ascii="Times New Roman" w:eastAsia="Times New Roman" w:hAnsi="Times New Roman" w:cs="Times New Roman"/>
                <w:b/>
                <w:color w:val="000000"/>
                <w:sz w:val="16"/>
                <w:szCs w:val="18"/>
                <w:lang w:eastAsia="pt-BR"/>
              </w:rPr>
              <w:t> </w:t>
            </w:r>
          </w:p>
        </w:tc>
        <w:tc>
          <w:tcPr>
            <w:tcW w:w="425" w:type="dxa"/>
            <w:tcBorders>
              <w:top w:val="single" w:sz="6" w:space="0" w:color="1A1A1A"/>
              <w:left w:val="single" w:sz="4" w:space="0" w:color="auto"/>
              <w:bottom w:val="single" w:sz="6" w:space="0" w:color="1A1A1A"/>
              <w:right w:val="single" w:sz="4" w:space="0" w:color="auto"/>
            </w:tcBorders>
            <w:shd w:val="clear" w:color="auto" w:fill="auto"/>
            <w:vAlign w:val="center"/>
            <w:hideMark/>
          </w:tcPr>
          <w:p w14:paraId="648B0C1A" w14:textId="77777777" w:rsidR="004059DC" w:rsidRPr="00AE0B6D" w:rsidRDefault="004059DC" w:rsidP="00D771E2">
            <w:pPr>
              <w:spacing w:after="0" w:line="240" w:lineRule="auto"/>
              <w:jc w:val="center"/>
              <w:textAlignment w:val="baseline"/>
              <w:rPr>
                <w:rFonts w:ascii="Times New Roman" w:eastAsia="Times New Roman" w:hAnsi="Times New Roman" w:cs="Times New Roman"/>
                <w:b/>
                <w:sz w:val="16"/>
                <w:szCs w:val="18"/>
                <w:lang w:eastAsia="pt-BR"/>
              </w:rPr>
            </w:pPr>
            <w:r w:rsidRPr="00AE0B6D">
              <w:rPr>
                <w:rFonts w:ascii="Times New Roman" w:eastAsia="Times New Roman" w:hAnsi="Times New Roman" w:cs="Times New Roman"/>
                <w:b/>
                <w:color w:val="000000"/>
                <w:sz w:val="16"/>
                <w:szCs w:val="18"/>
                <w:lang w:val="en-US" w:eastAsia="pt-BR"/>
              </w:rPr>
              <w:t>C</w:t>
            </w:r>
            <w:r w:rsidRPr="00AE0B6D">
              <w:rPr>
                <w:rFonts w:ascii="Times New Roman" w:eastAsia="Times New Roman" w:hAnsi="Times New Roman" w:cs="Times New Roman"/>
                <w:b/>
                <w:color w:val="000000"/>
                <w:sz w:val="16"/>
                <w:szCs w:val="18"/>
                <w:vertAlign w:val="subscript"/>
                <w:lang w:val="en-US" w:eastAsia="pt-BR"/>
              </w:rPr>
              <w:t>5+</w:t>
            </w:r>
            <w:r w:rsidRPr="00AE0B6D">
              <w:rPr>
                <w:rFonts w:ascii="Times New Roman" w:eastAsia="Times New Roman" w:hAnsi="Times New Roman" w:cs="Times New Roman"/>
                <w:b/>
                <w:color w:val="000000"/>
                <w:sz w:val="16"/>
                <w:szCs w:val="18"/>
                <w:lang w:eastAsia="pt-BR"/>
              </w:rPr>
              <w:t> </w:t>
            </w:r>
          </w:p>
        </w:tc>
        <w:tc>
          <w:tcPr>
            <w:tcW w:w="850" w:type="dxa"/>
            <w:tcBorders>
              <w:top w:val="single" w:sz="6" w:space="0" w:color="1A1A1A"/>
              <w:left w:val="single" w:sz="4" w:space="0" w:color="auto"/>
              <w:bottom w:val="single" w:sz="6" w:space="0" w:color="1A1A1A"/>
              <w:right w:val="single" w:sz="4" w:space="0" w:color="auto"/>
            </w:tcBorders>
            <w:shd w:val="clear" w:color="auto" w:fill="auto"/>
            <w:vAlign w:val="center"/>
            <w:hideMark/>
          </w:tcPr>
          <w:p w14:paraId="455C2A58" w14:textId="7986C269" w:rsidR="004059DC" w:rsidRPr="00AE0B6D" w:rsidRDefault="004059DC" w:rsidP="00D771E2">
            <w:pPr>
              <w:spacing w:after="0" w:line="240" w:lineRule="auto"/>
              <w:jc w:val="center"/>
              <w:textAlignment w:val="baseline"/>
              <w:rPr>
                <w:rFonts w:ascii="Times New Roman" w:eastAsia="Times New Roman" w:hAnsi="Times New Roman" w:cs="Times New Roman"/>
                <w:b/>
                <w:sz w:val="16"/>
                <w:szCs w:val="18"/>
                <w:lang w:eastAsia="pt-BR"/>
              </w:rPr>
            </w:pPr>
            <w:proofErr w:type="spellStart"/>
            <w:r w:rsidRPr="00AE0B6D">
              <w:rPr>
                <w:rFonts w:ascii="Times New Roman" w:eastAsia="Times New Roman" w:hAnsi="Times New Roman" w:cs="Times New Roman"/>
                <w:b/>
                <w:color w:val="000000"/>
                <w:sz w:val="16"/>
                <w:szCs w:val="18"/>
                <w:lang w:val="en-US" w:eastAsia="pt-BR"/>
              </w:rPr>
              <w:t>Oxigenado</w:t>
            </w:r>
            <w:proofErr w:type="spellEnd"/>
          </w:p>
        </w:tc>
        <w:tc>
          <w:tcPr>
            <w:tcW w:w="567" w:type="dxa"/>
            <w:vMerge/>
            <w:tcBorders>
              <w:left w:val="single" w:sz="4" w:space="0" w:color="auto"/>
              <w:bottom w:val="single" w:sz="6" w:space="0" w:color="1A1A1A"/>
              <w:right w:val="single" w:sz="4" w:space="0" w:color="auto"/>
            </w:tcBorders>
          </w:tcPr>
          <w:p w14:paraId="7DAC4622" w14:textId="77777777" w:rsidR="004059DC" w:rsidRPr="00AE0B6D" w:rsidRDefault="004059DC" w:rsidP="00D771E2">
            <w:pPr>
              <w:spacing w:after="0" w:line="240" w:lineRule="auto"/>
              <w:jc w:val="center"/>
              <w:textAlignment w:val="baseline"/>
              <w:rPr>
                <w:rFonts w:ascii="Times New Roman" w:eastAsia="Times New Roman" w:hAnsi="Times New Roman" w:cs="Times New Roman"/>
                <w:b/>
                <w:color w:val="000000"/>
                <w:sz w:val="16"/>
                <w:szCs w:val="18"/>
                <w:lang w:val="en-US" w:eastAsia="pt-BR"/>
              </w:rPr>
            </w:pPr>
          </w:p>
        </w:tc>
      </w:tr>
      <w:tr w:rsidR="00AE0B6D" w:rsidRPr="00AE0B6D" w14:paraId="69F2CDE6" w14:textId="550B7AB7" w:rsidTr="007805E2">
        <w:trPr>
          <w:trHeight w:val="300"/>
        </w:trPr>
        <w:tc>
          <w:tcPr>
            <w:tcW w:w="851" w:type="dxa"/>
            <w:vMerge w:val="restart"/>
            <w:tcBorders>
              <w:top w:val="single" w:sz="6" w:space="0" w:color="1A1A1A"/>
              <w:left w:val="single" w:sz="4" w:space="0" w:color="auto"/>
              <w:bottom w:val="nil"/>
              <w:right w:val="single" w:sz="4" w:space="0" w:color="auto"/>
            </w:tcBorders>
            <w:shd w:val="clear" w:color="auto" w:fill="auto"/>
            <w:vAlign w:val="center"/>
            <w:hideMark/>
          </w:tcPr>
          <w:p w14:paraId="2660C4EF" w14:textId="77777777" w:rsidR="004059DC" w:rsidRPr="00AE0B6D" w:rsidRDefault="004059DC" w:rsidP="004059DC">
            <w:pPr>
              <w:spacing w:after="0" w:line="240" w:lineRule="auto"/>
              <w:textAlignment w:val="baseline"/>
              <w:rPr>
                <w:rFonts w:ascii="Times New Roman" w:eastAsia="Times New Roman" w:hAnsi="Times New Roman" w:cs="Times New Roman"/>
                <w:b/>
                <w:sz w:val="16"/>
                <w:szCs w:val="18"/>
                <w:lang w:eastAsia="pt-BR"/>
              </w:rPr>
            </w:pPr>
            <w:r w:rsidRPr="00AE0B6D">
              <w:rPr>
                <w:rFonts w:ascii="Times New Roman" w:eastAsia="Times New Roman" w:hAnsi="Times New Roman" w:cs="Times New Roman"/>
                <w:b/>
                <w:color w:val="000000"/>
                <w:sz w:val="16"/>
                <w:szCs w:val="18"/>
                <w:lang w:val="en-US" w:eastAsia="pt-BR"/>
              </w:rPr>
              <w:t>15Fe/Nb</w:t>
            </w:r>
            <w:r w:rsidRPr="00AE0B6D">
              <w:rPr>
                <w:rFonts w:ascii="Times New Roman" w:eastAsia="Times New Roman" w:hAnsi="Times New Roman" w:cs="Times New Roman"/>
                <w:b/>
                <w:color w:val="000000"/>
                <w:sz w:val="16"/>
                <w:szCs w:val="18"/>
                <w:vertAlign w:val="subscript"/>
                <w:lang w:val="en-US" w:eastAsia="pt-BR"/>
              </w:rPr>
              <w:t>2</w:t>
            </w:r>
            <w:r w:rsidRPr="00AE0B6D">
              <w:rPr>
                <w:rFonts w:ascii="Times New Roman" w:eastAsia="Times New Roman" w:hAnsi="Times New Roman" w:cs="Times New Roman"/>
                <w:b/>
                <w:color w:val="000000"/>
                <w:sz w:val="16"/>
                <w:szCs w:val="18"/>
                <w:lang w:val="en-US" w:eastAsia="pt-BR"/>
              </w:rPr>
              <w:t>O</w:t>
            </w:r>
            <w:r w:rsidRPr="00AE0B6D">
              <w:rPr>
                <w:rFonts w:ascii="Times New Roman" w:eastAsia="Times New Roman" w:hAnsi="Times New Roman" w:cs="Times New Roman"/>
                <w:b/>
                <w:color w:val="000000"/>
                <w:sz w:val="16"/>
                <w:szCs w:val="18"/>
                <w:vertAlign w:val="subscript"/>
                <w:lang w:val="en-US" w:eastAsia="pt-BR"/>
              </w:rPr>
              <w:t>5</w:t>
            </w:r>
            <w:r w:rsidRPr="00AE0B6D">
              <w:rPr>
                <w:rFonts w:ascii="Times New Roman" w:eastAsia="Times New Roman" w:hAnsi="Times New Roman" w:cs="Times New Roman"/>
                <w:b/>
                <w:color w:val="000000"/>
                <w:sz w:val="16"/>
                <w:szCs w:val="18"/>
                <w:lang w:eastAsia="pt-BR"/>
              </w:rPr>
              <w:t> </w:t>
            </w:r>
          </w:p>
        </w:tc>
        <w:tc>
          <w:tcPr>
            <w:tcW w:w="567" w:type="dxa"/>
            <w:tcBorders>
              <w:top w:val="single" w:sz="6" w:space="0" w:color="1A1A1A"/>
              <w:left w:val="single" w:sz="4" w:space="0" w:color="auto"/>
              <w:bottom w:val="single" w:sz="4" w:space="0" w:color="auto"/>
              <w:right w:val="single" w:sz="4" w:space="0" w:color="auto"/>
            </w:tcBorders>
            <w:shd w:val="clear" w:color="auto" w:fill="auto"/>
            <w:vAlign w:val="center"/>
            <w:hideMark/>
          </w:tcPr>
          <w:p w14:paraId="696FCD34" w14:textId="77777777"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Fonts w:ascii="Times New Roman" w:eastAsia="Times New Roman" w:hAnsi="Times New Roman" w:cs="Times New Roman"/>
                <w:color w:val="000000"/>
                <w:sz w:val="16"/>
                <w:szCs w:val="18"/>
                <w:lang w:val="en-US" w:eastAsia="pt-BR"/>
              </w:rPr>
              <w:t>500</w:t>
            </w:r>
            <w:r w:rsidRPr="00AE0B6D">
              <w:rPr>
                <w:rFonts w:ascii="Times New Roman" w:eastAsia="Times New Roman" w:hAnsi="Times New Roman" w:cs="Times New Roman"/>
                <w:color w:val="000000"/>
                <w:sz w:val="16"/>
                <w:szCs w:val="18"/>
                <w:lang w:eastAsia="pt-BR"/>
              </w:rPr>
              <w:t> </w:t>
            </w:r>
          </w:p>
        </w:tc>
        <w:tc>
          <w:tcPr>
            <w:tcW w:w="851" w:type="dxa"/>
            <w:tcBorders>
              <w:top w:val="single" w:sz="6" w:space="0" w:color="1A1A1A"/>
              <w:left w:val="single" w:sz="4" w:space="0" w:color="auto"/>
              <w:bottom w:val="single" w:sz="4" w:space="0" w:color="auto"/>
              <w:right w:val="single" w:sz="4" w:space="0" w:color="auto"/>
            </w:tcBorders>
            <w:shd w:val="clear" w:color="auto" w:fill="auto"/>
            <w:vAlign w:val="center"/>
            <w:hideMark/>
          </w:tcPr>
          <w:p w14:paraId="01202F91" w14:textId="1313E046"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31</w:t>
            </w:r>
            <w:r w:rsidRPr="00AE0B6D">
              <w:rPr>
                <w:rStyle w:val="eop"/>
                <w:rFonts w:ascii="Times New Roman" w:hAnsi="Times New Roman" w:cs="Times New Roman"/>
                <w:color w:val="000000"/>
                <w:sz w:val="16"/>
              </w:rPr>
              <w:t> </w:t>
            </w:r>
          </w:p>
        </w:tc>
        <w:tc>
          <w:tcPr>
            <w:tcW w:w="425" w:type="dxa"/>
            <w:tcBorders>
              <w:top w:val="single" w:sz="6" w:space="0" w:color="1A1A1A"/>
              <w:left w:val="single" w:sz="4" w:space="0" w:color="auto"/>
              <w:bottom w:val="single" w:sz="4" w:space="0" w:color="auto"/>
              <w:right w:val="single" w:sz="4" w:space="0" w:color="auto"/>
            </w:tcBorders>
            <w:shd w:val="clear" w:color="auto" w:fill="auto"/>
            <w:vAlign w:val="bottom"/>
            <w:hideMark/>
          </w:tcPr>
          <w:p w14:paraId="4ACD81D3" w14:textId="1656A899"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11.9</w:t>
            </w:r>
            <w:r w:rsidRPr="00AE0B6D">
              <w:rPr>
                <w:rStyle w:val="eop"/>
                <w:rFonts w:ascii="Times New Roman" w:hAnsi="Times New Roman" w:cs="Times New Roman"/>
                <w:color w:val="000000"/>
                <w:sz w:val="16"/>
              </w:rPr>
              <w:t> </w:t>
            </w:r>
          </w:p>
        </w:tc>
        <w:tc>
          <w:tcPr>
            <w:tcW w:w="425" w:type="dxa"/>
            <w:tcBorders>
              <w:top w:val="single" w:sz="6" w:space="0" w:color="1A1A1A"/>
              <w:left w:val="single" w:sz="4" w:space="0" w:color="auto"/>
              <w:bottom w:val="single" w:sz="4" w:space="0" w:color="auto"/>
              <w:right w:val="single" w:sz="4" w:space="0" w:color="auto"/>
            </w:tcBorders>
            <w:shd w:val="clear" w:color="auto" w:fill="auto"/>
            <w:vAlign w:val="bottom"/>
            <w:hideMark/>
          </w:tcPr>
          <w:p w14:paraId="48FA65AD" w14:textId="1ECD010B"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27.5</w:t>
            </w:r>
            <w:r w:rsidRPr="00AE0B6D">
              <w:rPr>
                <w:rStyle w:val="eop"/>
                <w:rFonts w:ascii="Times New Roman" w:hAnsi="Times New Roman" w:cs="Times New Roman"/>
                <w:color w:val="000000"/>
                <w:sz w:val="16"/>
              </w:rPr>
              <w:t> </w:t>
            </w:r>
          </w:p>
        </w:tc>
        <w:tc>
          <w:tcPr>
            <w:tcW w:w="426" w:type="dxa"/>
            <w:tcBorders>
              <w:top w:val="single" w:sz="6" w:space="0" w:color="1A1A1A"/>
              <w:left w:val="single" w:sz="4" w:space="0" w:color="auto"/>
              <w:bottom w:val="single" w:sz="4" w:space="0" w:color="auto"/>
              <w:right w:val="single" w:sz="4" w:space="0" w:color="auto"/>
            </w:tcBorders>
            <w:shd w:val="clear" w:color="auto" w:fill="auto"/>
            <w:vAlign w:val="bottom"/>
            <w:hideMark/>
          </w:tcPr>
          <w:p w14:paraId="491B83FA" w14:textId="5AFE51F1"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13.0</w:t>
            </w:r>
            <w:r w:rsidRPr="00AE0B6D">
              <w:rPr>
                <w:rStyle w:val="eop"/>
                <w:rFonts w:ascii="Times New Roman" w:hAnsi="Times New Roman" w:cs="Times New Roman"/>
                <w:color w:val="000000"/>
                <w:sz w:val="16"/>
              </w:rPr>
              <w:t> </w:t>
            </w:r>
          </w:p>
        </w:tc>
        <w:tc>
          <w:tcPr>
            <w:tcW w:w="425" w:type="dxa"/>
            <w:tcBorders>
              <w:top w:val="single" w:sz="6" w:space="0" w:color="1A1A1A"/>
              <w:left w:val="single" w:sz="4" w:space="0" w:color="auto"/>
              <w:bottom w:val="single" w:sz="4" w:space="0" w:color="auto"/>
              <w:right w:val="single" w:sz="4" w:space="0" w:color="auto"/>
            </w:tcBorders>
            <w:shd w:val="clear" w:color="auto" w:fill="auto"/>
            <w:vAlign w:val="bottom"/>
            <w:hideMark/>
          </w:tcPr>
          <w:p w14:paraId="3FA2D766" w14:textId="66E415A4"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44.4</w:t>
            </w:r>
            <w:r w:rsidRPr="00AE0B6D">
              <w:rPr>
                <w:rStyle w:val="eop"/>
                <w:rFonts w:ascii="Times New Roman" w:hAnsi="Times New Roman" w:cs="Times New Roman"/>
                <w:color w:val="000000"/>
                <w:sz w:val="16"/>
              </w:rPr>
              <w:t> </w:t>
            </w:r>
          </w:p>
        </w:tc>
        <w:tc>
          <w:tcPr>
            <w:tcW w:w="850" w:type="dxa"/>
            <w:tcBorders>
              <w:top w:val="single" w:sz="6" w:space="0" w:color="1A1A1A"/>
              <w:left w:val="single" w:sz="4" w:space="0" w:color="auto"/>
              <w:bottom w:val="single" w:sz="4" w:space="0" w:color="auto"/>
              <w:right w:val="single" w:sz="4" w:space="0" w:color="auto"/>
            </w:tcBorders>
            <w:shd w:val="clear" w:color="auto" w:fill="auto"/>
            <w:vAlign w:val="bottom"/>
            <w:hideMark/>
          </w:tcPr>
          <w:p w14:paraId="652E4C21" w14:textId="6721249B"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3.2</w:t>
            </w:r>
            <w:r w:rsidRPr="00AE0B6D">
              <w:rPr>
                <w:rStyle w:val="eop"/>
                <w:rFonts w:ascii="Times New Roman" w:hAnsi="Times New Roman" w:cs="Times New Roman"/>
                <w:color w:val="000000"/>
                <w:sz w:val="16"/>
              </w:rPr>
              <w:t> </w:t>
            </w:r>
          </w:p>
        </w:tc>
        <w:tc>
          <w:tcPr>
            <w:tcW w:w="567" w:type="dxa"/>
            <w:tcBorders>
              <w:top w:val="single" w:sz="6" w:space="0" w:color="1A1A1A"/>
              <w:left w:val="single" w:sz="4" w:space="0" w:color="auto"/>
              <w:bottom w:val="single" w:sz="4" w:space="0" w:color="auto"/>
              <w:right w:val="single" w:sz="4" w:space="0" w:color="auto"/>
            </w:tcBorders>
          </w:tcPr>
          <w:p w14:paraId="346F9BC4" w14:textId="70BCD56E" w:rsidR="004059DC" w:rsidRPr="00AE0B6D" w:rsidRDefault="007805E2" w:rsidP="004059DC">
            <w:pPr>
              <w:spacing w:after="0" w:line="240" w:lineRule="auto"/>
              <w:jc w:val="center"/>
              <w:textAlignment w:val="baseline"/>
              <w:rPr>
                <w:rStyle w:val="normaltextrun"/>
                <w:rFonts w:ascii="Times New Roman" w:hAnsi="Times New Roman" w:cs="Times New Roman"/>
                <w:color w:val="000000"/>
                <w:sz w:val="16"/>
                <w:lang w:val="en-US"/>
              </w:rPr>
            </w:pPr>
            <w:r w:rsidRPr="00AE0B6D">
              <w:rPr>
                <w:rStyle w:val="normaltextrun"/>
                <w:rFonts w:ascii="Times New Roman" w:hAnsi="Times New Roman" w:cs="Times New Roman"/>
                <w:color w:val="000000"/>
                <w:sz w:val="16"/>
                <w:lang w:val="en-US"/>
              </w:rPr>
              <w:t>0,44</w:t>
            </w:r>
          </w:p>
        </w:tc>
      </w:tr>
      <w:tr w:rsidR="00AE0B6D" w:rsidRPr="00AE0B6D" w14:paraId="26326D71" w14:textId="38B78D83" w:rsidTr="00813C68">
        <w:trPr>
          <w:trHeight w:val="285"/>
        </w:trPr>
        <w:tc>
          <w:tcPr>
            <w:tcW w:w="851" w:type="dxa"/>
            <w:vMerge/>
            <w:tcBorders>
              <w:top w:val="single" w:sz="6" w:space="0" w:color="1A1A1A"/>
              <w:left w:val="single" w:sz="4" w:space="0" w:color="auto"/>
              <w:bottom w:val="single" w:sz="4" w:space="0" w:color="auto"/>
              <w:right w:val="single" w:sz="4" w:space="0" w:color="auto"/>
            </w:tcBorders>
            <w:shd w:val="clear" w:color="auto" w:fill="auto"/>
            <w:vAlign w:val="center"/>
            <w:hideMark/>
          </w:tcPr>
          <w:p w14:paraId="22D1DF9A" w14:textId="77777777" w:rsidR="004059DC" w:rsidRPr="00AE0B6D" w:rsidRDefault="004059DC" w:rsidP="004059DC">
            <w:pPr>
              <w:spacing w:after="0" w:line="240" w:lineRule="auto"/>
              <w:rPr>
                <w:rFonts w:ascii="Times New Roman" w:eastAsia="Times New Roman" w:hAnsi="Times New Roman" w:cs="Times New Roman"/>
                <w:b/>
                <w:sz w:val="16"/>
                <w:szCs w:val="18"/>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BD1C3" w14:textId="77777777"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Fonts w:ascii="Times New Roman" w:eastAsia="Times New Roman" w:hAnsi="Times New Roman" w:cs="Times New Roman"/>
                <w:color w:val="000000"/>
                <w:sz w:val="16"/>
                <w:szCs w:val="18"/>
                <w:lang w:val="en-US" w:eastAsia="pt-BR"/>
              </w:rPr>
              <w:t>1600</w:t>
            </w:r>
            <w:r w:rsidRPr="00AE0B6D">
              <w:rPr>
                <w:rFonts w:ascii="Times New Roman" w:eastAsia="Times New Roman" w:hAnsi="Times New Roman" w:cs="Times New Roman"/>
                <w:color w:val="000000"/>
                <w:sz w:val="16"/>
                <w:szCs w:val="18"/>
                <w:lang w:eastAsia="pt-BR"/>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B163B" w14:textId="29B151B9"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13</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0C0F5" w14:textId="5E4AC71A"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12.3</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F743A8" w14:textId="23FFFA7E"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29.7</w:t>
            </w:r>
            <w:r w:rsidRPr="00AE0B6D">
              <w:rPr>
                <w:rStyle w:val="eop"/>
                <w:rFonts w:ascii="Times New Roman" w:hAnsi="Times New Roman" w:cs="Times New Roman"/>
                <w:color w:val="000000"/>
                <w:sz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EB56E6" w14:textId="7098D61A"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14.5</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71B1B6" w14:textId="583400D9"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40.4</w:t>
            </w:r>
            <w:r w:rsidRPr="00AE0B6D">
              <w:rPr>
                <w:rStyle w:val="eop"/>
                <w:rFonts w:ascii="Times New Roman" w:hAnsi="Times New Roman" w:cs="Times New Roman"/>
                <w:color w:val="000000"/>
                <w:sz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BB6C22" w14:textId="2173CC50"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3.1</w:t>
            </w:r>
            <w:r w:rsidRPr="00AE0B6D">
              <w:rPr>
                <w:rStyle w:val="eop"/>
                <w:rFonts w:ascii="Times New Roman" w:hAnsi="Times New Roman" w:cs="Times New Roman"/>
                <w:color w:val="000000"/>
                <w:sz w:val="16"/>
              </w:rPr>
              <w:t> </w:t>
            </w:r>
          </w:p>
        </w:tc>
        <w:tc>
          <w:tcPr>
            <w:tcW w:w="567" w:type="dxa"/>
            <w:tcBorders>
              <w:top w:val="single" w:sz="4" w:space="0" w:color="auto"/>
              <w:left w:val="single" w:sz="4" w:space="0" w:color="auto"/>
              <w:bottom w:val="single" w:sz="4" w:space="0" w:color="auto"/>
              <w:right w:val="single" w:sz="4" w:space="0" w:color="auto"/>
            </w:tcBorders>
          </w:tcPr>
          <w:p w14:paraId="74BCB639" w14:textId="11A88CEB" w:rsidR="004059DC" w:rsidRPr="00AE0B6D" w:rsidRDefault="007805E2" w:rsidP="004059DC">
            <w:pPr>
              <w:spacing w:after="0" w:line="240" w:lineRule="auto"/>
              <w:jc w:val="center"/>
              <w:textAlignment w:val="baseline"/>
              <w:rPr>
                <w:rStyle w:val="normaltextrun"/>
                <w:rFonts w:ascii="Times New Roman" w:hAnsi="Times New Roman" w:cs="Times New Roman"/>
                <w:color w:val="000000"/>
                <w:sz w:val="16"/>
                <w:lang w:val="en-US"/>
              </w:rPr>
            </w:pPr>
            <w:r w:rsidRPr="00AE0B6D">
              <w:rPr>
                <w:rStyle w:val="normaltextrun"/>
                <w:rFonts w:ascii="Times New Roman" w:hAnsi="Times New Roman" w:cs="Times New Roman"/>
                <w:color w:val="000000"/>
                <w:sz w:val="16"/>
                <w:lang w:val="en-US"/>
              </w:rPr>
              <w:t>0,38</w:t>
            </w:r>
          </w:p>
        </w:tc>
      </w:tr>
      <w:tr w:rsidR="00AE0B6D" w:rsidRPr="00AE0B6D" w14:paraId="12614AFC" w14:textId="06A7AE88" w:rsidTr="00813C68">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9D5227" w14:textId="77777777" w:rsidR="004059DC" w:rsidRPr="00AE0B6D" w:rsidRDefault="004059DC" w:rsidP="004059DC">
            <w:pPr>
              <w:spacing w:after="0" w:line="240" w:lineRule="auto"/>
              <w:textAlignment w:val="baseline"/>
              <w:rPr>
                <w:rFonts w:ascii="Times New Roman" w:eastAsia="Times New Roman" w:hAnsi="Times New Roman" w:cs="Times New Roman"/>
                <w:b/>
                <w:sz w:val="16"/>
                <w:szCs w:val="18"/>
                <w:lang w:eastAsia="pt-BR"/>
              </w:rPr>
            </w:pPr>
            <w:r w:rsidRPr="00AE0B6D">
              <w:rPr>
                <w:rFonts w:ascii="Times New Roman" w:eastAsia="Times New Roman" w:hAnsi="Times New Roman" w:cs="Times New Roman"/>
                <w:b/>
                <w:color w:val="000000"/>
                <w:sz w:val="16"/>
                <w:szCs w:val="18"/>
                <w:lang w:val="en-US" w:eastAsia="pt-BR"/>
              </w:rPr>
              <w:t>1Mn-15Fe/Nb</w:t>
            </w:r>
            <w:r w:rsidRPr="00AE0B6D">
              <w:rPr>
                <w:rFonts w:ascii="Times New Roman" w:eastAsia="Times New Roman" w:hAnsi="Times New Roman" w:cs="Times New Roman"/>
                <w:b/>
                <w:color w:val="000000"/>
                <w:sz w:val="16"/>
                <w:szCs w:val="18"/>
                <w:vertAlign w:val="subscript"/>
                <w:lang w:val="en-US" w:eastAsia="pt-BR"/>
              </w:rPr>
              <w:t>2</w:t>
            </w:r>
            <w:r w:rsidRPr="00AE0B6D">
              <w:rPr>
                <w:rFonts w:ascii="Times New Roman" w:eastAsia="Times New Roman" w:hAnsi="Times New Roman" w:cs="Times New Roman"/>
                <w:b/>
                <w:color w:val="000000"/>
                <w:sz w:val="16"/>
                <w:szCs w:val="18"/>
                <w:lang w:val="en-US" w:eastAsia="pt-BR"/>
              </w:rPr>
              <w:t>O</w:t>
            </w:r>
            <w:r w:rsidRPr="00AE0B6D">
              <w:rPr>
                <w:rFonts w:ascii="Times New Roman" w:eastAsia="Times New Roman" w:hAnsi="Times New Roman" w:cs="Times New Roman"/>
                <w:b/>
                <w:color w:val="000000"/>
                <w:sz w:val="16"/>
                <w:szCs w:val="18"/>
                <w:vertAlign w:val="subscript"/>
                <w:lang w:val="en-US" w:eastAsia="pt-BR"/>
              </w:rPr>
              <w:t>5</w:t>
            </w:r>
            <w:r w:rsidRPr="00AE0B6D">
              <w:rPr>
                <w:rFonts w:ascii="Times New Roman" w:eastAsia="Times New Roman" w:hAnsi="Times New Roman" w:cs="Times New Roman"/>
                <w:b/>
                <w:color w:val="000000"/>
                <w:sz w:val="16"/>
                <w:szCs w:val="18"/>
                <w:lang w:eastAsia="pt-BR"/>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594A8" w14:textId="77777777"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Fonts w:ascii="Times New Roman" w:eastAsia="Times New Roman" w:hAnsi="Times New Roman" w:cs="Times New Roman"/>
                <w:color w:val="000000"/>
                <w:sz w:val="16"/>
                <w:szCs w:val="18"/>
                <w:lang w:val="en-US" w:eastAsia="pt-BR"/>
              </w:rPr>
              <w:t>500</w:t>
            </w:r>
            <w:r w:rsidRPr="00AE0B6D">
              <w:rPr>
                <w:rFonts w:ascii="Times New Roman" w:eastAsia="Times New Roman" w:hAnsi="Times New Roman" w:cs="Times New Roman"/>
                <w:color w:val="000000"/>
                <w:sz w:val="16"/>
                <w:szCs w:val="18"/>
                <w:lang w:eastAsia="pt-BR"/>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4DFD9" w14:textId="114AAD8E"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32</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C7A79" w14:textId="5B0AE26C"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8.8</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34A80" w14:textId="69681E44"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17.9</w:t>
            </w:r>
            <w:r w:rsidRPr="00AE0B6D">
              <w:rPr>
                <w:rStyle w:val="eop"/>
                <w:rFonts w:ascii="Times New Roman" w:hAnsi="Times New Roman" w:cs="Times New Roman"/>
                <w:color w:val="000000"/>
                <w:sz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DE279" w14:textId="64B04A53"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10.5</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60ADC" w14:textId="228EBB0E"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59.9</w:t>
            </w:r>
            <w:r w:rsidRPr="00AE0B6D">
              <w:rPr>
                <w:rStyle w:val="eop"/>
                <w:rFonts w:ascii="Times New Roman" w:hAnsi="Times New Roman" w:cs="Times New Roman"/>
                <w:color w:val="000000"/>
                <w:sz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B57AA" w14:textId="13561515"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2.9</w:t>
            </w:r>
            <w:r w:rsidRPr="00AE0B6D">
              <w:rPr>
                <w:rStyle w:val="eop"/>
                <w:rFonts w:ascii="Times New Roman" w:hAnsi="Times New Roman" w:cs="Times New Roman"/>
                <w:color w:val="000000"/>
                <w:sz w:val="16"/>
              </w:rPr>
              <w:t> </w:t>
            </w:r>
          </w:p>
        </w:tc>
        <w:tc>
          <w:tcPr>
            <w:tcW w:w="567" w:type="dxa"/>
            <w:tcBorders>
              <w:top w:val="single" w:sz="4" w:space="0" w:color="auto"/>
              <w:left w:val="single" w:sz="4" w:space="0" w:color="auto"/>
              <w:bottom w:val="single" w:sz="4" w:space="0" w:color="auto"/>
              <w:right w:val="single" w:sz="4" w:space="0" w:color="auto"/>
            </w:tcBorders>
          </w:tcPr>
          <w:p w14:paraId="69DF5AC4" w14:textId="4C987E27" w:rsidR="004059DC" w:rsidRPr="00AE0B6D" w:rsidRDefault="007805E2" w:rsidP="004059DC">
            <w:pPr>
              <w:spacing w:after="0" w:line="240" w:lineRule="auto"/>
              <w:jc w:val="center"/>
              <w:textAlignment w:val="baseline"/>
              <w:rPr>
                <w:rStyle w:val="normaltextrun"/>
                <w:rFonts w:ascii="Times New Roman" w:hAnsi="Times New Roman" w:cs="Times New Roman"/>
                <w:color w:val="000000"/>
                <w:sz w:val="16"/>
                <w:lang w:val="en-US"/>
              </w:rPr>
            </w:pPr>
            <w:r w:rsidRPr="00AE0B6D">
              <w:rPr>
                <w:rStyle w:val="normaltextrun"/>
                <w:rFonts w:ascii="Times New Roman" w:hAnsi="Times New Roman" w:cs="Times New Roman"/>
                <w:color w:val="000000"/>
                <w:sz w:val="16"/>
                <w:lang w:val="en-US"/>
              </w:rPr>
              <w:t>0,75</w:t>
            </w:r>
          </w:p>
        </w:tc>
      </w:tr>
      <w:tr w:rsidR="00AE0B6D" w:rsidRPr="00AE0B6D" w14:paraId="4044C039" w14:textId="38A9F65B" w:rsidTr="00813C68">
        <w:trPr>
          <w:trHeight w:val="300"/>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865A5F" w14:textId="77777777" w:rsidR="004059DC" w:rsidRPr="00AE0B6D" w:rsidRDefault="004059DC" w:rsidP="004059DC">
            <w:pPr>
              <w:spacing w:after="0" w:line="240" w:lineRule="auto"/>
              <w:rPr>
                <w:rFonts w:ascii="Times New Roman" w:eastAsia="Times New Roman" w:hAnsi="Times New Roman" w:cs="Times New Roman"/>
                <w:sz w:val="16"/>
                <w:szCs w:val="18"/>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5CA85" w14:textId="5247E75B"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Fonts w:ascii="Times New Roman" w:eastAsia="Times New Roman" w:hAnsi="Times New Roman" w:cs="Times New Roman"/>
                <w:color w:val="000000"/>
                <w:sz w:val="16"/>
                <w:szCs w:val="18"/>
                <w:lang w:val="en-US" w:eastAsia="pt-BR"/>
              </w:rPr>
              <w:t>1600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7529D" w14:textId="49520381"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11</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94C71" w14:textId="2BDE52F9"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9.8</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66B2F" w14:textId="2F21CABE"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20.1</w:t>
            </w:r>
            <w:r w:rsidRPr="00AE0B6D">
              <w:rPr>
                <w:rStyle w:val="eop"/>
                <w:rFonts w:ascii="Times New Roman" w:hAnsi="Times New Roman" w:cs="Times New Roman"/>
                <w:color w:val="000000"/>
                <w:sz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AC5A3" w14:textId="421815B6"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13.5</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CD6B5" w14:textId="44EDA6FF"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54.2</w:t>
            </w:r>
            <w:r w:rsidRPr="00AE0B6D">
              <w:rPr>
                <w:rStyle w:val="eop"/>
                <w:rFonts w:ascii="Times New Roman" w:hAnsi="Times New Roman" w:cs="Times New Roman"/>
                <w:color w:val="000000"/>
                <w:sz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5A516" w14:textId="33761495"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2.4</w:t>
            </w:r>
            <w:r w:rsidRPr="00AE0B6D">
              <w:rPr>
                <w:rStyle w:val="eop"/>
                <w:rFonts w:ascii="Times New Roman" w:hAnsi="Times New Roman" w:cs="Times New Roman"/>
                <w:color w:val="000000"/>
                <w:sz w:val="16"/>
              </w:rPr>
              <w:t> </w:t>
            </w:r>
          </w:p>
        </w:tc>
        <w:tc>
          <w:tcPr>
            <w:tcW w:w="567" w:type="dxa"/>
            <w:tcBorders>
              <w:top w:val="single" w:sz="4" w:space="0" w:color="auto"/>
              <w:left w:val="single" w:sz="4" w:space="0" w:color="auto"/>
              <w:bottom w:val="single" w:sz="4" w:space="0" w:color="auto"/>
              <w:right w:val="single" w:sz="4" w:space="0" w:color="auto"/>
            </w:tcBorders>
          </w:tcPr>
          <w:p w14:paraId="6B5CE323" w14:textId="0E7A2635" w:rsidR="004059DC" w:rsidRPr="00AE0B6D" w:rsidRDefault="007805E2" w:rsidP="004059DC">
            <w:pPr>
              <w:spacing w:after="0" w:line="240" w:lineRule="auto"/>
              <w:jc w:val="center"/>
              <w:textAlignment w:val="baseline"/>
              <w:rPr>
                <w:rStyle w:val="normaltextrun"/>
                <w:rFonts w:ascii="Times New Roman" w:hAnsi="Times New Roman" w:cs="Times New Roman"/>
                <w:color w:val="000000"/>
                <w:sz w:val="16"/>
                <w:lang w:val="en-US"/>
              </w:rPr>
            </w:pPr>
            <w:r w:rsidRPr="00AE0B6D">
              <w:rPr>
                <w:rStyle w:val="normaltextrun"/>
                <w:rFonts w:ascii="Times New Roman" w:hAnsi="Times New Roman" w:cs="Times New Roman"/>
                <w:color w:val="000000"/>
                <w:sz w:val="16"/>
                <w:lang w:val="en-US"/>
              </w:rPr>
              <w:t>0,73</w:t>
            </w:r>
          </w:p>
        </w:tc>
      </w:tr>
      <w:tr w:rsidR="00AE0B6D" w:rsidRPr="00AE0B6D" w14:paraId="1414EA73" w14:textId="6582AD00" w:rsidTr="00813C68">
        <w:trPr>
          <w:trHeight w:val="300"/>
        </w:trPr>
        <w:tc>
          <w:tcPr>
            <w:tcW w:w="851" w:type="dxa"/>
            <w:vMerge w:val="restart"/>
            <w:tcBorders>
              <w:top w:val="single" w:sz="4" w:space="0" w:color="auto"/>
              <w:left w:val="single" w:sz="4" w:space="0" w:color="auto"/>
              <w:bottom w:val="nil"/>
              <w:right w:val="single" w:sz="4" w:space="0" w:color="auto"/>
            </w:tcBorders>
            <w:shd w:val="clear" w:color="auto" w:fill="auto"/>
            <w:vAlign w:val="center"/>
            <w:hideMark/>
          </w:tcPr>
          <w:p w14:paraId="288F2F7D" w14:textId="77777777" w:rsidR="004059DC" w:rsidRPr="00AE0B6D" w:rsidRDefault="004059DC" w:rsidP="004059DC">
            <w:pPr>
              <w:spacing w:after="0" w:line="240" w:lineRule="auto"/>
              <w:textAlignment w:val="baseline"/>
              <w:rPr>
                <w:rFonts w:ascii="Times New Roman" w:eastAsia="Times New Roman" w:hAnsi="Times New Roman" w:cs="Times New Roman"/>
                <w:b/>
                <w:sz w:val="16"/>
                <w:szCs w:val="18"/>
                <w:lang w:eastAsia="pt-BR"/>
              </w:rPr>
            </w:pPr>
            <w:r w:rsidRPr="00AE0B6D">
              <w:rPr>
                <w:rFonts w:ascii="Times New Roman" w:eastAsia="Times New Roman" w:hAnsi="Times New Roman" w:cs="Times New Roman"/>
                <w:b/>
                <w:color w:val="000000"/>
                <w:sz w:val="16"/>
                <w:szCs w:val="18"/>
                <w:lang w:val="en-US" w:eastAsia="pt-BR"/>
              </w:rPr>
              <w:t>3Mn-15Fe/Nb</w:t>
            </w:r>
            <w:r w:rsidRPr="00AE0B6D">
              <w:rPr>
                <w:rFonts w:ascii="Times New Roman" w:eastAsia="Times New Roman" w:hAnsi="Times New Roman" w:cs="Times New Roman"/>
                <w:b/>
                <w:color w:val="000000"/>
                <w:sz w:val="16"/>
                <w:szCs w:val="18"/>
                <w:vertAlign w:val="subscript"/>
                <w:lang w:val="en-US" w:eastAsia="pt-BR"/>
              </w:rPr>
              <w:t>2</w:t>
            </w:r>
            <w:r w:rsidRPr="00AE0B6D">
              <w:rPr>
                <w:rFonts w:ascii="Times New Roman" w:eastAsia="Times New Roman" w:hAnsi="Times New Roman" w:cs="Times New Roman"/>
                <w:b/>
                <w:color w:val="000000"/>
                <w:sz w:val="16"/>
                <w:szCs w:val="18"/>
                <w:lang w:val="en-US" w:eastAsia="pt-BR"/>
              </w:rPr>
              <w:t>O</w:t>
            </w:r>
            <w:r w:rsidRPr="00AE0B6D">
              <w:rPr>
                <w:rFonts w:ascii="Times New Roman" w:eastAsia="Times New Roman" w:hAnsi="Times New Roman" w:cs="Times New Roman"/>
                <w:b/>
                <w:color w:val="000000"/>
                <w:sz w:val="16"/>
                <w:szCs w:val="18"/>
                <w:vertAlign w:val="subscript"/>
                <w:lang w:val="en-US" w:eastAsia="pt-BR"/>
              </w:rPr>
              <w:t>5</w:t>
            </w:r>
            <w:r w:rsidRPr="00AE0B6D">
              <w:rPr>
                <w:rFonts w:ascii="Times New Roman" w:eastAsia="Times New Roman" w:hAnsi="Times New Roman" w:cs="Times New Roman"/>
                <w:b/>
                <w:color w:val="000000"/>
                <w:sz w:val="16"/>
                <w:szCs w:val="18"/>
                <w:lang w:eastAsia="pt-BR"/>
              </w:rPr>
              <w:t> </w:t>
            </w:r>
          </w:p>
        </w:tc>
        <w:tc>
          <w:tcPr>
            <w:tcW w:w="567" w:type="dxa"/>
            <w:tcBorders>
              <w:top w:val="single" w:sz="4" w:space="0" w:color="auto"/>
              <w:left w:val="single" w:sz="4" w:space="0" w:color="auto"/>
              <w:bottom w:val="nil"/>
              <w:right w:val="single" w:sz="4" w:space="0" w:color="auto"/>
            </w:tcBorders>
            <w:shd w:val="clear" w:color="auto" w:fill="auto"/>
            <w:vAlign w:val="center"/>
            <w:hideMark/>
          </w:tcPr>
          <w:p w14:paraId="181D8DA7" w14:textId="77777777"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Fonts w:ascii="Times New Roman" w:eastAsia="Times New Roman" w:hAnsi="Times New Roman" w:cs="Times New Roman"/>
                <w:color w:val="000000"/>
                <w:sz w:val="16"/>
                <w:szCs w:val="18"/>
                <w:lang w:val="en-US" w:eastAsia="pt-BR"/>
              </w:rPr>
              <w:t>500</w:t>
            </w:r>
            <w:r w:rsidRPr="00AE0B6D">
              <w:rPr>
                <w:rFonts w:ascii="Times New Roman" w:eastAsia="Times New Roman" w:hAnsi="Times New Roman" w:cs="Times New Roman"/>
                <w:color w:val="000000"/>
                <w:sz w:val="16"/>
                <w:szCs w:val="18"/>
                <w:lang w:eastAsia="pt-BR"/>
              </w:rPr>
              <w:t> </w:t>
            </w:r>
          </w:p>
        </w:tc>
        <w:tc>
          <w:tcPr>
            <w:tcW w:w="851" w:type="dxa"/>
            <w:tcBorders>
              <w:top w:val="single" w:sz="4" w:space="0" w:color="auto"/>
              <w:left w:val="single" w:sz="4" w:space="0" w:color="auto"/>
              <w:bottom w:val="nil"/>
              <w:right w:val="single" w:sz="4" w:space="0" w:color="auto"/>
            </w:tcBorders>
            <w:shd w:val="clear" w:color="auto" w:fill="auto"/>
            <w:vAlign w:val="center"/>
            <w:hideMark/>
          </w:tcPr>
          <w:p w14:paraId="40CFFED5" w14:textId="15427358"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31</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nil"/>
              <w:right w:val="single" w:sz="4" w:space="0" w:color="auto"/>
            </w:tcBorders>
            <w:shd w:val="clear" w:color="auto" w:fill="auto"/>
            <w:vAlign w:val="center"/>
            <w:hideMark/>
          </w:tcPr>
          <w:p w14:paraId="06700FF1" w14:textId="7AD87B05"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8.6</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nil"/>
              <w:right w:val="single" w:sz="4" w:space="0" w:color="auto"/>
            </w:tcBorders>
            <w:shd w:val="clear" w:color="auto" w:fill="auto"/>
            <w:vAlign w:val="center"/>
            <w:hideMark/>
          </w:tcPr>
          <w:p w14:paraId="14204CDF" w14:textId="021DC98E"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14.3</w:t>
            </w:r>
            <w:r w:rsidRPr="00AE0B6D">
              <w:rPr>
                <w:rStyle w:val="eop"/>
                <w:rFonts w:ascii="Times New Roman" w:hAnsi="Times New Roman" w:cs="Times New Roman"/>
                <w:color w:val="000000"/>
                <w:sz w:val="16"/>
              </w:rPr>
              <w:t> </w:t>
            </w:r>
          </w:p>
        </w:tc>
        <w:tc>
          <w:tcPr>
            <w:tcW w:w="426" w:type="dxa"/>
            <w:tcBorders>
              <w:top w:val="single" w:sz="4" w:space="0" w:color="auto"/>
              <w:left w:val="single" w:sz="4" w:space="0" w:color="auto"/>
              <w:bottom w:val="nil"/>
              <w:right w:val="single" w:sz="4" w:space="0" w:color="auto"/>
            </w:tcBorders>
            <w:shd w:val="clear" w:color="auto" w:fill="auto"/>
            <w:vAlign w:val="center"/>
            <w:hideMark/>
          </w:tcPr>
          <w:p w14:paraId="3631C2F5" w14:textId="1ED31E9A"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11.5</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nil"/>
              <w:right w:val="single" w:sz="4" w:space="0" w:color="auto"/>
            </w:tcBorders>
            <w:shd w:val="clear" w:color="auto" w:fill="auto"/>
            <w:vAlign w:val="center"/>
            <w:hideMark/>
          </w:tcPr>
          <w:p w14:paraId="2E10F078" w14:textId="3C68F90F"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63.1</w:t>
            </w:r>
            <w:r w:rsidRPr="00AE0B6D">
              <w:rPr>
                <w:rStyle w:val="eop"/>
                <w:rFonts w:ascii="Times New Roman" w:hAnsi="Times New Roman" w:cs="Times New Roman"/>
                <w:color w:val="000000"/>
                <w:sz w:val="16"/>
              </w:rPr>
              <w:t> </w:t>
            </w:r>
          </w:p>
        </w:tc>
        <w:tc>
          <w:tcPr>
            <w:tcW w:w="850" w:type="dxa"/>
            <w:tcBorders>
              <w:top w:val="single" w:sz="4" w:space="0" w:color="auto"/>
              <w:left w:val="single" w:sz="4" w:space="0" w:color="auto"/>
              <w:bottom w:val="nil"/>
              <w:right w:val="single" w:sz="4" w:space="0" w:color="auto"/>
            </w:tcBorders>
            <w:shd w:val="clear" w:color="auto" w:fill="auto"/>
            <w:vAlign w:val="center"/>
            <w:hideMark/>
          </w:tcPr>
          <w:p w14:paraId="5AE5FFA9" w14:textId="2E15E04E"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2.5</w:t>
            </w:r>
            <w:r w:rsidRPr="00AE0B6D">
              <w:rPr>
                <w:rStyle w:val="eop"/>
                <w:rFonts w:ascii="Times New Roman" w:hAnsi="Times New Roman" w:cs="Times New Roman"/>
                <w:color w:val="000000"/>
                <w:sz w:val="16"/>
              </w:rPr>
              <w:t> </w:t>
            </w:r>
          </w:p>
        </w:tc>
        <w:tc>
          <w:tcPr>
            <w:tcW w:w="567" w:type="dxa"/>
            <w:tcBorders>
              <w:top w:val="single" w:sz="4" w:space="0" w:color="auto"/>
              <w:left w:val="single" w:sz="4" w:space="0" w:color="auto"/>
              <w:bottom w:val="nil"/>
              <w:right w:val="single" w:sz="4" w:space="0" w:color="auto"/>
            </w:tcBorders>
          </w:tcPr>
          <w:p w14:paraId="6133B96E" w14:textId="3BE0B693" w:rsidR="004059DC" w:rsidRPr="00AE0B6D" w:rsidRDefault="007805E2" w:rsidP="004059DC">
            <w:pPr>
              <w:spacing w:after="0" w:line="240" w:lineRule="auto"/>
              <w:jc w:val="center"/>
              <w:textAlignment w:val="baseline"/>
              <w:rPr>
                <w:rStyle w:val="normaltextrun"/>
                <w:rFonts w:ascii="Times New Roman" w:hAnsi="Times New Roman" w:cs="Times New Roman"/>
                <w:color w:val="000000"/>
                <w:sz w:val="16"/>
                <w:lang w:val="en-US"/>
              </w:rPr>
            </w:pPr>
            <w:r w:rsidRPr="00AE0B6D">
              <w:rPr>
                <w:rStyle w:val="normaltextrun"/>
                <w:rFonts w:ascii="Times New Roman" w:hAnsi="Times New Roman" w:cs="Times New Roman"/>
                <w:color w:val="000000"/>
                <w:sz w:val="16"/>
                <w:lang w:val="en-US"/>
              </w:rPr>
              <w:t>1,9</w:t>
            </w:r>
          </w:p>
        </w:tc>
      </w:tr>
      <w:tr w:rsidR="007805E2" w:rsidRPr="00AE0B6D" w14:paraId="09486BB7" w14:textId="185DA866" w:rsidTr="007805E2">
        <w:trPr>
          <w:trHeight w:val="300"/>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72EF29" w14:textId="77777777" w:rsidR="004059DC" w:rsidRPr="00AE0B6D" w:rsidRDefault="004059DC" w:rsidP="004059DC">
            <w:pPr>
              <w:spacing w:after="0" w:line="240" w:lineRule="auto"/>
              <w:rPr>
                <w:rFonts w:ascii="Times New Roman" w:eastAsia="Times New Roman" w:hAnsi="Times New Roman" w:cs="Times New Roman"/>
                <w:b/>
                <w:sz w:val="16"/>
                <w:szCs w:val="18"/>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D9FE8" w14:textId="62D9E94F"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Fonts w:ascii="Times New Roman" w:eastAsia="Times New Roman" w:hAnsi="Times New Roman" w:cs="Times New Roman"/>
                <w:color w:val="000000"/>
                <w:sz w:val="16"/>
                <w:szCs w:val="18"/>
                <w:lang w:val="en-US" w:eastAsia="pt-BR"/>
              </w:rPr>
              <w:t>1600</w:t>
            </w:r>
            <w:r w:rsidRPr="00AE0B6D">
              <w:rPr>
                <w:rFonts w:ascii="Times New Roman" w:eastAsia="Times New Roman" w:hAnsi="Times New Roman" w:cs="Times New Roman"/>
                <w:color w:val="000000"/>
                <w:sz w:val="16"/>
                <w:szCs w:val="18"/>
                <w:lang w:eastAsia="pt-BR"/>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C60FA" w14:textId="0AA1B25D"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10.5</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0FFB2" w14:textId="6D88E9B4"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16.2</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E1995" w14:textId="4E6BB548"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12.5</w:t>
            </w:r>
            <w:r w:rsidRPr="00AE0B6D">
              <w:rPr>
                <w:rStyle w:val="eop"/>
                <w:rFonts w:ascii="Times New Roman" w:hAnsi="Times New Roman" w:cs="Times New Roman"/>
                <w:color w:val="000000"/>
                <w:sz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83704" w14:textId="18D3E94D"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58.2</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37A5C" w14:textId="55837A63"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2.6</w:t>
            </w:r>
            <w:r w:rsidRPr="00AE0B6D">
              <w:rPr>
                <w:rStyle w:val="eop"/>
                <w:rFonts w:ascii="Times New Roman" w:hAnsi="Times New Roman" w:cs="Times New Roman"/>
                <w:color w:val="000000"/>
                <w:sz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E09D019" w14:textId="4C4D2453" w:rsidR="004059DC" w:rsidRPr="00AE0B6D" w:rsidRDefault="004059DC" w:rsidP="004059DC">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1,8</w:t>
            </w:r>
            <w:r w:rsidRPr="00AE0B6D">
              <w:rPr>
                <w:rStyle w:val="eop"/>
                <w:rFonts w:ascii="Times New Roman" w:hAnsi="Times New Roman" w:cs="Times New Roman"/>
                <w:color w:val="000000"/>
                <w:sz w:val="16"/>
              </w:rPr>
              <w:t> </w:t>
            </w:r>
          </w:p>
        </w:tc>
        <w:tc>
          <w:tcPr>
            <w:tcW w:w="567" w:type="dxa"/>
            <w:tcBorders>
              <w:top w:val="single" w:sz="4" w:space="0" w:color="auto"/>
              <w:left w:val="single" w:sz="4" w:space="0" w:color="auto"/>
              <w:bottom w:val="single" w:sz="4" w:space="0" w:color="auto"/>
              <w:right w:val="single" w:sz="4" w:space="0" w:color="auto"/>
            </w:tcBorders>
          </w:tcPr>
          <w:p w14:paraId="5C12190F" w14:textId="2A9B6A50" w:rsidR="004059DC" w:rsidRPr="00AE0B6D" w:rsidRDefault="007805E2" w:rsidP="004059DC">
            <w:pPr>
              <w:spacing w:after="0" w:line="240" w:lineRule="auto"/>
              <w:jc w:val="center"/>
              <w:textAlignment w:val="baseline"/>
              <w:rPr>
                <w:rFonts w:ascii="Times New Roman" w:eastAsia="Times New Roman" w:hAnsi="Times New Roman" w:cs="Times New Roman"/>
                <w:color w:val="000000"/>
                <w:sz w:val="16"/>
                <w:szCs w:val="18"/>
                <w:lang w:val="en-US" w:eastAsia="pt-BR"/>
              </w:rPr>
            </w:pPr>
            <w:r w:rsidRPr="00AE0B6D">
              <w:rPr>
                <w:rFonts w:ascii="Times New Roman" w:eastAsia="Times New Roman" w:hAnsi="Times New Roman" w:cs="Times New Roman"/>
                <w:color w:val="000000"/>
                <w:sz w:val="16"/>
                <w:szCs w:val="18"/>
                <w:lang w:val="en-US" w:eastAsia="pt-BR"/>
              </w:rPr>
              <w:t>1,5</w:t>
            </w:r>
          </w:p>
        </w:tc>
      </w:tr>
      <w:tr w:rsidR="007805E2" w:rsidRPr="00AE0B6D" w14:paraId="0A32754A" w14:textId="3D5843A5" w:rsidTr="00C97D83">
        <w:trPr>
          <w:trHeight w:val="300"/>
        </w:trPr>
        <w:tc>
          <w:tcPr>
            <w:tcW w:w="851" w:type="dxa"/>
            <w:vMerge w:val="restart"/>
            <w:tcBorders>
              <w:top w:val="single" w:sz="4" w:space="0" w:color="auto"/>
              <w:left w:val="single" w:sz="4" w:space="0" w:color="auto"/>
              <w:bottom w:val="single" w:sz="6" w:space="0" w:color="595959"/>
              <w:right w:val="single" w:sz="4" w:space="0" w:color="auto"/>
            </w:tcBorders>
            <w:shd w:val="clear" w:color="auto" w:fill="auto"/>
            <w:vAlign w:val="center"/>
            <w:hideMark/>
          </w:tcPr>
          <w:p w14:paraId="3A58F956" w14:textId="77777777" w:rsidR="007805E2" w:rsidRPr="00AE0B6D" w:rsidRDefault="007805E2" w:rsidP="007805E2">
            <w:pPr>
              <w:spacing w:after="0" w:line="240" w:lineRule="auto"/>
              <w:textAlignment w:val="baseline"/>
              <w:rPr>
                <w:rFonts w:ascii="Times New Roman" w:eastAsia="Times New Roman" w:hAnsi="Times New Roman" w:cs="Times New Roman"/>
                <w:b/>
                <w:sz w:val="16"/>
                <w:szCs w:val="18"/>
                <w:lang w:eastAsia="pt-BR"/>
              </w:rPr>
            </w:pPr>
            <w:r w:rsidRPr="00AE0B6D">
              <w:rPr>
                <w:rFonts w:ascii="Times New Roman" w:eastAsia="Times New Roman" w:hAnsi="Times New Roman" w:cs="Times New Roman"/>
                <w:b/>
                <w:color w:val="000000"/>
                <w:sz w:val="16"/>
                <w:szCs w:val="18"/>
                <w:lang w:val="en-US" w:eastAsia="pt-BR"/>
              </w:rPr>
              <w:t>5Mn-15Fe/Nb</w:t>
            </w:r>
            <w:r w:rsidRPr="00AE0B6D">
              <w:rPr>
                <w:rFonts w:ascii="Times New Roman" w:eastAsia="Times New Roman" w:hAnsi="Times New Roman" w:cs="Times New Roman"/>
                <w:b/>
                <w:color w:val="000000"/>
                <w:sz w:val="16"/>
                <w:szCs w:val="18"/>
                <w:vertAlign w:val="subscript"/>
                <w:lang w:val="en-US" w:eastAsia="pt-BR"/>
              </w:rPr>
              <w:t>2</w:t>
            </w:r>
            <w:r w:rsidRPr="00AE0B6D">
              <w:rPr>
                <w:rFonts w:ascii="Times New Roman" w:eastAsia="Times New Roman" w:hAnsi="Times New Roman" w:cs="Times New Roman"/>
                <w:b/>
                <w:color w:val="000000"/>
                <w:sz w:val="16"/>
                <w:szCs w:val="18"/>
                <w:lang w:val="en-US" w:eastAsia="pt-BR"/>
              </w:rPr>
              <w:t>O</w:t>
            </w:r>
            <w:r w:rsidRPr="00AE0B6D">
              <w:rPr>
                <w:rFonts w:ascii="Times New Roman" w:eastAsia="Times New Roman" w:hAnsi="Times New Roman" w:cs="Times New Roman"/>
                <w:b/>
                <w:color w:val="000000"/>
                <w:sz w:val="16"/>
                <w:szCs w:val="18"/>
                <w:vertAlign w:val="subscript"/>
                <w:lang w:val="en-US" w:eastAsia="pt-BR"/>
              </w:rPr>
              <w:t>5</w:t>
            </w:r>
            <w:r w:rsidRPr="00AE0B6D">
              <w:rPr>
                <w:rFonts w:ascii="Times New Roman" w:eastAsia="Times New Roman" w:hAnsi="Times New Roman" w:cs="Times New Roman"/>
                <w:b/>
                <w:color w:val="000000"/>
                <w:sz w:val="16"/>
                <w:szCs w:val="18"/>
                <w:lang w:eastAsia="pt-BR"/>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23861" w14:textId="77777777" w:rsidR="007805E2" w:rsidRPr="00AE0B6D" w:rsidRDefault="007805E2" w:rsidP="007805E2">
            <w:pPr>
              <w:spacing w:after="0" w:line="240" w:lineRule="auto"/>
              <w:jc w:val="center"/>
              <w:textAlignment w:val="baseline"/>
              <w:rPr>
                <w:rFonts w:ascii="Times New Roman" w:eastAsia="Times New Roman" w:hAnsi="Times New Roman" w:cs="Times New Roman"/>
                <w:sz w:val="16"/>
                <w:szCs w:val="18"/>
                <w:lang w:eastAsia="pt-BR"/>
              </w:rPr>
            </w:pPr>
            <w:r w:rsidRPr="00AE0B6D">
              <w:rPr>
                <w:rFonts w:ascii="Times New Roman" w:eastAsia="Times New Roman" w:hAnsi="Times New Roman" w:cs="Times New Roman"/>
                <w:color w:val="000000"/>
                <w:sz w:val="16"/>
                <w:szCs w:val="18"/>
                <w:lang w:val="en-US" w:eastAsia="pt-BR"/>
              </w:rPr>
              <w:t>500</w:t>
            </w:r>
            <w:r w:rsidRPr="00AE0B6D">
              <w:rPr>
                <w:rFonts w:ascii="Times New Roman" w:eastAsia="Times New Roman" w:hAnsi="Times New Roman" w:cs="Times New Roman"/>
                <w:color w:val="000000"/>
                <w:sz w:val="16"/>
                <w:szCs w:val="18"/>
                <w:lang w:eastAsia="pt-BR"/>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99671" w14:textId="13C68276" w:rsidR="007805E2" w:rsidRPr="00AE0B6D" w:rsidRDefault="007805E2" w:rsidP="007805E2">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27</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D1F2F" w14:textId="7920CB35" w:rsidR="007805E2" w:rsidRPr="00AE0B6D" w:rsidRDefault="007805E2" w:rsidP="007805E2">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8.5</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20609" w14:textId="50BA05DF" w:rsidR="007805E2" w:rsidRPr="00AE0B6D" w:rsidRDefault="007805E2" w:rsidP="007805E2">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16.5</w:t>
            </w:r>
            <w:r w:rsidRPr="00AE0B6D">
              <w:rPr>
                <w:rStyle w:val="eop"/>
                <w:rFonts w:ascii="Times New Roman" w:hAnsi="Times New Roman" w:cs="Times New Roman"/>
                <w:color w:val="000000"/>
                <w:sz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E6C2A" w14:textId="4D2C0E59" w:rsidR="007805E2" w:rsidRPr="00AE0B6D" w:rsidRDefault="007805E2" w:rsidP="007805E2">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14.3</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83DE2" w14:textId="67339130" w:rsidR="007805E2" w:rsidRPr="00AE0B6D" w:rsidRDefault="007805E2" w:rsidP="007805E2">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58.0</w:t>
            </w:r>
            <w:r w:rsidRPr="00AE0B6D">
              <w:rPr>
                <w:rStyle w:val="eop"/>
                <w:rFonts w:ascii="Times New Roman" w:hAnsi="Times New Roman" w:cs="Times New Roman"/>
                <w:color w:val="000000"/>
                <w:sz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ACA8A" w14:textId="3717A499" w:rsidR="007805E2" w:rsidRPr="00AE0B6D" w:rsidRDefault="007805E2" w:rsidP="007805E2">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2.7</w:t>
            </w:r>
            <w:r w:rsidRPr="00AE0B6D">
              <w:rPr>
                <w:rStyle w:val="eop"/>
                <w:rFonts w:ascii="Times New Roman" w:hAnsi="Times New Roman" w:cs="Times New Roman"/>
                <w:color w:val="000000"/>
                <w:sz w:val="16"/>
              </w:rPr>
              <w:t> </w:t>
            </w:r>
          </w:p>
        </w:tc>
        <w:tc>
          <w:tcPr>
            <w:tcW w:w="567" w:type="dxa"/>
            <w:tcBorders>
              <w:top w:val="single" w:sz="4" w:space="0" w:color="auto"/>
              <w:left w:val="single" w:sz="4" w:space="0" w:color="auto"/>
              <w:bottom w:val="single" w:sz="4" w:space="0" w:color="auto"/>
              <w:right w:val="single" w:sz="4" w:space="0" w:color="auto"/>
            </w:tcBorders>
          </w:tcPr>
          <w:p w14:paraId="7E27D9B1" w14:textId="42657B2D" w:rsidR="007805E2" w:rsidRPr="00AE0B6D" w:rsidRDefault="007805E2" w:rsidP="007805E2">
            <w:pPr>
              <w:spacing w:after="0" w:line="240" w:lineRule="auto"/>
              <w:jc w:val="center"/>
              <w:textAlignment w:val="baseline"/>
              <w:rPr>
                <w:rFonts w:ascii="Times New Roman" w:eastAsia="Times New Roman" w:hAnsi="Times New Roman" w:cs="Times New Roman"/>
                <w:color w:val="000000"/>
                <w:sz w:val="16"/>
                <w:szCs w:val="18"/>
                <w:lang w:val="en-US" w:eastAsia="pt-BR"/>
              </w:rPr>
            </w:pPr>
            <w:r w:rsidRPr="00AE0B6D">
              <w:rPr>
                <w:rFonts w:ascii="Times New Roman" w:eastAsia="Times New Roman" w:hAnsi="Times New Roman" w:cs="Times New Roman"/>
                <w:color w:val="000000"/>
                <w:sz w:val="16"/>
                <w:szCs w:val="18"/>
                <w:lang w:val="en-US" w:eastAsia="pt-BR"/>
              </w:rPr>
              <w:t>1,5</w:t>
            </w:r>
          </w:p>
        </w:tc>
      </w:tr>
      <w:tr w:rsidR="007805E2" w:rsidRPr="00AE0B6D" w14:paraId="28B230FB" w14:textId="59D769D0" w:rsidTr="00C97D83">
        <w:trPr>
          <w:trHeight w:val="300"/>
        </w:trPr>
        <w:tc>
          <w:tcPr>
            <w:tcW w:w="851" w:type="dxa"/>
            <w:vMerge/>
            <w:tcBorders>
              <w:top w:val="nil"/>
              <w:left w:val="single" w:sz="4" w:space="0" w:color="auto"/>
              <w:bottom w:val="single" w:sz="6" w:space="0" w:color="595959"/>
              <w:right w:val="single" w:sz="4" w:space="0" w:color="auto"/>
            </w:tcBorders>
            <w:shd w:val="clear" w:color="auto" w:fill="auto"/>
            <w:vAlign w:val="center"/>
            <w:hideMark/>
          </w:tcPr>
          <w:p w14:paraId="4CCA49DC" w14:textId="77777777" w:rsidR="007805E2" w:rsidRPr="00AE0B6D" w:rsidRDefault="007805E2" w:rsidP="007805E2">
            <w:pPr>
              <w:spacing w:after="0" w:line="240" w:lineRule="auto"/>
              <w:rPr>
                <w:rFonts w:ascii="Times New Roman" w:eastAsia="Times New Roman" w:hAnsi="Times New Roman" w:cs="Times New Roman"/>
                <w:sz w:val="16"/>
                <w:szCs w:val="18"/>
                <w:lang w:eastAsia="pt-BR"/>
              </w:rPr>
            </w:pPr>
          </w:p>
        </w:tc>
        <w:tc>
          <w:tcPr>
            <w:tcW w:w="567" w:type="dxa"/>
            <w:tcBorders>
              <w:top w:val="single" w:sz="4" w:space="0" w:color="auto"/>
              <w:left w:val="single" w:sz="4" w:space="0" w:color="auto"/>
              <w:bottom w:val="single" w:sz="6" w:space="0" w:color="595959"/>
              <w:right w:val="single" w:sz="4" w:space="0" w:color="auto"/>
            </w:tcBorders>
            <w:shd w:val="clear" w:color="auto" w:fill="auto"/>
            <w:vAlign w:val="center"/>
            <w:hideMark/>
          </w:tcPr>
          <w:p w14:paraId="07805CAF" w14:textId="77777777" w:rsidR="007805E2" w:rsidRPr="00AE0B6D" w:rsidRDefault="007805E2" w:rsidP="007805E2">
            <w:pPr>
              <w:spacing w:after="0" w:line="240" w:lineRule="auto"/>
              <w:jc w:val="center"/>
              <w:textAlignment w:val="baseline"/>
              <w:rPr>
                <w:rFonts w:ascii="Times New Roman" w:eastAsia="Times New Roman" w:hAnsi="Times New Roman" w:cs="Times New Roman"/>
                <w:sz w:val="16"/>
                <w:szCs w:val="18"/>
                <w:lang w:eastAsia="pt-BR"/>
              </w:rPr>
            </w:pPr>
            <w:r w:rsidRPr="00AE0B6D">
              <w:rPr>
                <w:rFonts w:ascii="Times New Roman" w:eastAsia="Times New Roman" w:hAnsi="Times New Roman" w:cs="Times New Roman"/>
                <w:color w:val="000000"/>
                <w:sz w:val="16"/>
                <w:szCs w:val="18"/>
                <w:lang w:val="en-US" w:eastAsia="pt-BR"/>
              </w:rPr>
              <w:t>1600</w:t>
            </w:r>
            <w:r w:rsidRPr="00AE0B6D">
              <w:rPr>
                <w:rFonts w:ascii="Times New Roman" w:eastAsia="Times New Roman" w:hAnsi="Times New Roman" w:cs="Times New Roman"/>
                <w:color w:val="000000"/>
                <w:sz w:val="16"/>
                <w:szCs w:val="18"/>
                <w:lang w:eastAsia="pt-BR"/>
              </w:rPr>
              <w:t> </w:t>
            </w:r>
          </w:p>
        </w:tc>
        <w:tc>
          <w:tcPr>
            <w:tcW w:w="851" w:type="dxa"/>
            <w:tcBorders>
              <w:top w:val="single" w:sz="4" w:space="0" w:color="auto"/>
              <w:left w:val="single" w:sz="4" w:space="0" w:color="auto"/>
              <w:bottom w:val="single" w:sz="6" w:space="0" w:color="595959"/>
              <w:right w:val="single" w:sz="4" w:space="0" w:color="auto"/>
            </w:tcBorders>
            <w:shd w:val="clear" w:color="auto" w:fill="auto"/>
            <w:vAlign w:val="center"/>
            <w:hideMark/>
          </w:tcPr>
          <w:p w14:paraId="62705E4B" w14:textId="10B2FA11" w:rsidR="007805E2" w:rsidRPr="00AE0B6D" w:rsidRDefault="007805E2" w:rsidP="007805E2">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14</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single" w:sz="6" w:space="0" w:color="595959"/>
              <w:right w:val="single" w:sz="4" w:space="0" w:color="auto"/>
            </w:tcBorders>
            <w:shd w:val="clear" w:color="auto" w:fill="auto"/>
            <w:vAlign w:val="center"/>
            <w:hideMark/>
          </w:tcPr>
          <w:p w14:paraId="0BDE5058" w14:textId="58894D0F" w:rsidR="007805E2" w:rsidRPr="00AE0B6D" w:rsidRDefault="007805E2" w:rsidP="007805E2">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7.2</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D056D" w14:textId="0588492D" w:rsidR="007805E2" w:rsidRPr="00AE0B6D" w:rsidRDefault="007805E2" w:rsidP="007805E2">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18.8</w:t>
            </w:r>
            <w:r w:rsidRPr="00AE0B6D">
              <w:rPr>
                <w:rStyle w:val="eop"/>
                <w:rFonts w:ascii="Times New Roman" w:hAnsi="Times New Roman" w:cs="Times New Roman"/>
                <w:color w:val="000000"/>
                <w:sz w:val="16"/>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60F0C" w14:textId="3EAFA7EE" w:rsidR="007805E2" w:rsidRPr="00AE0B6D" w:rsidRDefault="007805E2" w:rsidP="007805E2">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15.6</w:t>
            </w:r>
            <w:r w:rsidRPr="00AE0B6D">
              <w:rPr>
                <w:rStyle w:val="eop"/>
                <w:rFonts w:ascii="Times New Roman" w:hAnsi="Times New Roman" w:cs="Times New Roman"/>
                <w:color w:val="000000"/>
                <w:sz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C2124" w14:textId="3000DD93" w:rsidR="007805E2" w:rsidRPr="00AE0B6D" w:rsidRDefault="007805E2" w:rsidP="007805E2">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55.5</w:t>
            </w:r>
            <w:r w:rsidRPr="00AE0B6D">
              <w:rPr>
                <w:rStyle w:val="eop"/>
                <w:rFonts w:ascii="Times New Roman" w:hAnsi="Times New Roman" w:cs="Times New Roman"/>
                <w:color w:val="000000"/>
                <w:sz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03D91" w14:textId="59EA6A9C" w:rsidR="007805E2" w:rsidRPr="00AE0B6D" w:rsidRDefault="007805E2" w:rsidP="007805E2">
            <w:pPr>
              <w:spacing w:after="0" w:line="240" w:lineRule="auto"/>
              <w:jc w:val="center"/>
              <w:textAlignment w:val="baseline"/>
              <w:rPr>
                <w:rFonts w:ascii="Times New Roman" w:eastAsia="Times New Roman" w:hAnsi="Times New Roman" w:cs="Times New Roman"/>
                <w:sz w:val="16"/>
                <w:szCs w:val="18"/>
                <w:lang w:eastAsia="pt-BR"/>
              </w:rPr>
            </w:pPr>
            <w:r w:rsidRPr="00AE0B6D">
              <w:rPr>
                <w:rStyle w:val="normaltextrun"/>
                <w:rFonts w:ascii="Times New Roman" w:hAnsi="Times New Roman" w:cs="Times New Roman"/>
                <w:color w:val="000000"/>
                <w:sz w:val="16"/>
                <w:lang w:val="en-US"/>
              </w:rPr>
              <w:t>2.9</w:t>
            </w:r>
            <w:r w:rsidRPr="00AE0B6D">
              <w:rPr>
                <w:rStyle w:val="eop"/>
                <w:rFonts w:ascii="Times New Roman" w:hAnsi="Times New Roman" w:cs="Times New Roman"/>
                <w:color w:val="000000"/>
                <w:sz w:val="16"/>
              </w:rPr>
              <w:t> </w:t>
            </w:r>
          </w:p>
        </w:tc>
        <w:tc>
          <w:tcPr>
            <w:tcW w:w="567" w:type="dxa"/>
            <w:tcBorders>
              <w:top w:val="single" w:sz="4" w:space="0" w:color="auto"/>
              <w:left w:val="single" w:sz="4" w:space="0" w:color="auto"/>
              <w:bottom w:val="single" w:sz="4" w:space="0" w:color="auto"/>
              <w:right w:val="single" w:sz="4" w:space="0" w:color="auto"/>
            </w:tcBorders>
          </w:tcPr>
          <w:p w14:paraId="38033CFC" w14:textId="31D4DBC3" w:rsidR="007805E2" w:rsidRPr="00AE0B6D" w:rsidRDefault="007805E2" w:rsidP="007805E2">
            <w:pPr>
              <w:spacing w:after="0" w:line="240" w:lineRule="auto"/>
              <w:jc w:val="center"/>
              <w:textAlignment w:val="baseline"/>
              <w:rPr>
                <w:rFonts w:ascii="Times New Roman" w:eastAsia="Times New Roman" w:hAnsi="Times New Roman" w:cs="Times New Roman"/>
                <w:color w:val="000000"/>
                <w:sz w:val="16"/>
                <w:szCs w:val="18"/>
                <w:lang w:val="en-US" w:eastAsia="pt-BR"/>
              </w:rPr>
            </w:pPr>
            <w:r w:rsidRPr="00AE0B6D">
              <w:rPr>
                <w:rFonts w:ascii="Times New Roman" w:eastAsia="Times New Roman" w:hAnsi="Times New Roman" w:cs="Times New Roman"/>
                <w:color w:val="000000"/>
                <w:sz w:val="16"/>
                <w:szCs w:val="18"/>
                <w:lang w:val="en-US" w:eastAsia="pt-BR"/>
              </w:rPr>
              <w:t>1,3</w:t>
            </w:r>
          </w:p>
        </w:tc>
      </w:tr>
    </w:tbl>
    <w:p w14:paraId="01F32A57" w14:textId="17603D39" w:rsidR="00865285" w:rsidRDefault="00865285" w:rsidP="00DD7EA8">
      <w:pPr>
        <w:spacing w:line="276" w:lineRule="auto"/>
        <w:jc w:val="both"/>
        <w:rPr>
          <w:rFonts w:ascii="Times New Roman" w:hAnsi="Times New Roman" w:cs="Times New Roman"/>
          <w:sz w:val="20"/>
          <w:szCs w:val="20"/>
        </w:rPr>
      </w:pPr>
    </w:p>
    <w:p w14:paraId="51F5C559" w14:textId="77777777" w:rsidR="00453329" w:rsidRPr="00D771E2" w:rsidRDefault="00453329" w:rsidP="00D771E2">
      <w:pPr>
        <w:pStyle w:val="TAMainText"/>
        <w:rPr>
          <w:rFonts w:ascii="Times New Roman" w:hAnsi="Times New Roman"/>
          <w:lang w:val="pt-BR"/>
        </w:rPr>
      </w:pPr>
      <w:r w:rsidRPr="00D771E2">
        <w:rPr>
          <w:rFonts w:ascii="Times New Roman" w:hAnsi="Times New Roman"/>
          <w:lang w:val="pt-BR"/>
        </w:rPr>
        <w:t>Percebe-se que, um GHSV menor implica em maiores valores de conversão. Isso ocorre pois um menor GHSV implica em um fluxo de gás de síntese de entrada menor, e, portanto, os reagentes ficam em contato com o catalisador por mais tempo, melhorando a eficiência da reação. Além disso, nota-se que o manganês proporciona um aumento na razão de olefina/parafina dos produtos, o que gera um maior valor agregado a eles.</w:t>
      </w:r>
    </w:p>
    <w:p w14:paraId="4F3D2DD6" w14:textId="6AB5FC6D" w:rsidR="00453329" w:rsidRPr="00D771E2" w:rsidRDefault="00453329" w:rsidP="00D771E2">
      <w:pPr>
        <w:pStyle w:val="TAMainText"/>
        <w:rPr>
          <w:rFonts w:ascii="Times New Roman" w:hAnsi="Times New Roman"/>
          <w:lang w:val="pt-BR"/>
        </w:rPr>
      </w:pPr>
      <w:r w:rsidRPr="00D771E2">
        <w:rPr>
          <w:rFonts w:ascii="Times New Roman" w:hAnsi="Times New Roman"/>
          <w:lang w:val="pt-BR"/>
        </w:rPr>
        <w:t>Esses resultados indicam que como o manganês é um promotor doador de elétrons, esse facilita a adsorção dissociativa de CO, o que leva a um aumento da probabilidade de crescimento de cadeia e, em consequência, leva a formação de hidrocarbonetos mais pesados.</w:t>
      </w:r>
    </w:p>
    <w:p w14:paraId="741E7DD6" w14:textId="4DC665D3" w:rsidR="00453329" w:rsidRPr="00D771E2" w:rsidRDefault="00453329" w:rsidP="00D771E2">
      <w:pPr>
        <w:pStyle w:val="TAMainText"/>
        <w:rPr>
          <w:rFonts w:ascii="Times New Roman" w:hAnsi="Times New Roman"/>
          <w:lang w:val="pt-BR"/>
        </w:rPr>
      </w:pPr>
      <w:r w:rsidRPr="00D771E2">
        <w:rPr>
          <w:rFonts w:ascii="Times New Roman" w:hAnsi="Times New Roman"/>
          <w:lang w:val="pt-BR"/>
        </w:rPr>
        <w:t>Observa-se que o catalisador contendo apenas ferro possui uma produção de olefinas razoável, especialmente para hidrocarbonetos de 6 a 8 carbonos. A adição do manganês, no entanto, aumenta expressivamente a quantidade relativa de olefina produzida, e aumenta a faixa carbônica ótima (de 7 a 9 carbonos no catalisador com 3% de manganês).</w:t>
      </w:r>
    </w:p>
    <w:p w14:paraId="7E2438FC" w14:textId="4EAB2A49" w:rsidR="0042392B" w:rsidRPr="0042392B" w:rsidRDefault="00EA4E1B" w:rsidP="0042392B">
      <w:pPr>
        <w:pStyle w:val="Ttulo2"/>
        <w:spacing w:after="160" w:line="276" w:lineRule="auto"/>
        <w:rPr>
          <w:rFonts w:ascii="Helvetica" w:hAnsi="Helvetica" w:cs="Helvetica"/>
          <w:sz w:val="24"/>
          <w:szCs w:val="24"/>
        </w:rPr>
      </w:pPr>
      <w:r w:rsidRPr="001F25B2">
        <w:rPr>
          <w:rFonts w:ascii="Helvetica" w:hAnsi="Helvetica" w:cs="Helvetica"/>
          <w:sz w:val="24"/>
          <w:szCs w:val="24"/>
        </w:rPr>
        <w:t>Conclusões</w:t>
      </w:r>
    </w:p>
    <w:p w14:paraId="3881EC4D" w14:textId="77777777" w:rsidR="00711F4D" w:rsidRPr="00711F4D" w:rsidRDefault="00711F4D" w:rsidP="00F5182F">
      <w:pPr>
        <w:pStyle w:val="TAMainText"/>
        <w:rPr>
          <w:rFonts w:ascii="Times New Roman" w:hAnsi="Times New Roman"/>
          <w:lang w:val="pt-BR"/>
        </w:rPr>
      </w:pPr>
      <w:r w:rsidRPr="00711F4D">
        <w:rPr>
          <w:rFonts w:ascii="Times New Roman" w:hAnsi="Times New Roman"/>
          <w:lang w:val="pt-BR"/>
        </w:rPr>
        <w:t xml:space="preserve">Os catalisadores preparados apresentaram uma fase cristalina característica do </w:t>
      </w:r>
      <w:proofErr w:type="spellStart"/>
      <w:r w:rsidRPr="00711F4D">
        <w:rPr>
          <w:rFonts w:ascii="Times New Roman" w:hAnsi="Times New Roman"/>
          <w:lang w:val="pt-BR"/>
        </w:rPr>
        <w:t>niobato</w:t>
      </w:r>
      <w:proofErr w:type="spellEnd"/>
      <w:r w:rsidRPr="00711F4D">
        <w:rPr>
          <w:rFonts w:ascii="Times New Roman" w:hAnsi="Times New Roman"/>
          <w:lang w:val="pt-BR"/>
        </w:rPr>
        <w:t xml:space="preserve"> de ferro (FeNb</w:t>
      </w:r>
      <w:r w:rsidRPr="00F5182F">
        <w:rPr>
          <w:rFonts w:ascii="Times New Roman" w:hAnsi="Times New Roman"/>
          <w:vertAlign w:val="subscript"/>
          <w:lang w:val="pt-BR"/>
        </w:rPr>
        <w:t>2</w:t>
      </w:r>
      <w:r w:rsidRPr="00711F4D">
        <w:rPr>
          <w:rFonts w:ascii="Times New Roman" w:hAnsi="Times New Roman"/>
          <w:lang w:val="pt-BR"/>
        </w:rPr>
        <w:t>O</w:t>
      </w:r>
      <w:r w:rsidRPr="00F5182F">
        <w:rPr>
          <w:rFonts w:ascii="Times New Roman" w:hAnsi="Times New Roman"/>
          <w:vertAlign w:val="subscript"/>
          <w:lang w:val="pt-BR"/>
        </w:rPr>
        <w:t>6</w:t>
      </w:r>
      <w:r w:rsidRPr="00711F4D">
        <w:rPr>
          <w:rFonts w:ascii="Times New Roman" w:hAnsi="Times New Roman"/>
          <w:lang w:val="pt-BR"/>
        </w:rPr>
        <w:t>) que pode indicar uma fase ativa na SFT. A área superficial do catalisador aumentou com a adição do ferro, e diminuiu proporcionalmente à quantidade de manganês adicionada. As análises de fluorescência de raios-X indicaram que os catalisadores foram sintetizados com as quantidades esperadas.</w:t>
      </w:r>
    </w:p>
    <w:p w14:paraId="15E8956C" w14:textId="77F497F2" w:rsidR="00711F4D" w:rsidRDefault="00A3067F" w:rsidP="00F5182F">
      <w:pPr>
        <w:pStyle w:val="TAMainText"/>
        <w:rPr>
          <w:rFonts w:ascii="Times New Roman" w:hAnsi="Times New Roman"/>
          <w:lang w:val="pt-BR"/>
        </w:rPr>
      </w:pPr>
      <w:r w:rsidRPr="00711F4D">
        <w:rPr>
          <w:rFonts w:ascii="Times New Roman" w:hAnsi="Times New Roman"/>
          <w:lang w:val="pt-BR"/>
        </w:rPr>
        <w:t>O tamanho das partículas de ferro nos catalisadores calcinados fo</w:t>
      </w:r>
      <w:r>
        <w:rPr>
          <w:rFonts w:ascii="Times New Roman" w:hAnsi="Times New Roman"/>
          <w:lang w:val="pt-BR"/>
        </w:rPr>
        <w:t>i</w:t>
      </w:r>
      <w:r w:rsidR="00711F4D" w:rsidRPr="00711F4D">
        <w:rPr>
          <w:rFonts w:ascii="Times New Roman" w:hAnsi="Times New Roman"/>
          <w:lang w:val="pt-BR"/>
        </w:rPr>
        <w:t xml:space="preserve"> menor que nas misturas físicas, o que indica que o método de preparação foi eficiente na dispersão da fase metálica no suporte.</w:t>
      </w:r>
      <w:r w:rsidR="00110A7B">
        <w:rPr>
          <w:rFonts w:ascii="Times New Roman" w:hAnsi="Times New Roman"/>
          <w:lang w:val="pt-BR"/>
        </w:rPr>
        <w:t xml:space="preserve"> </w:t>
      </w:r>
      <w:r>
        <w:rPr>
          <w:rFonts w:ascii="Times New Roman" w:hAnsi="Times New Roman"/>
          <w:lang w:val="pt-BR"/>
        </w:rPr>
        <w:t>A partir dos resultados obtidos, pode ser concluir que os catal</w:t>
      </w:r>
      <w:r w:rsidR="00711F4D" w:rsidRPr="00711F4D">
        <w:rPr>
          <w:rFonts w:ascii="Times New Roman" w:hAnsi="Times New Roman"/>
          <w:lang w:val="pt-BR"/>
        </w:rPr>
        <w:t xml:space="preserve">isadores foram </w:t>
      </w:r>
      <w:r w:rsidR="00450A13" w:rsidRPr="00711F4D">
        <w:rPr>
          <w:rFonts w:ascii="Times New Roman" w:hAnsi="Times New Roman"/>
          <w:lang w:val="pt-BR"/>
        </w:rPr>
        <w:t>bem-preparados</w:t>
      </w:r>
      <w:r>
        <w:rPr>
          <w:rFonts w:ascii="Times New Roman" w:hAnsi="Times New Roman"/>
          <w:lang w:val="pt-BR"/>
        </w:rPr>
        <w:t xml:space="preserve"> indicando que os catalisadores estão aptos para seres testados a SFT. </w:t>
      </w:r>
    </w:p>
    <w:p w14:paraId="6DE877F9" w14:textId="1C9375B3" w:rsidR="00453329" w:rsidRPr="00453329" w:rsidRDefault="00453329" w:rsidP="00F5182F">
      <w:pPr>
        <w:pStyle w:val="TAMainText"/>
        <w:rPr>
          <w:rFonts w:ascii="Times New Roman" w:hAnsi="Times New Roman"/>
          <w:lang w:val="pt-BR"/>
        </w:rPr>
      </w:pPr>
      <w:r w:rsidRPr="00453329">
        <w:rPr>
          <w:rFonts w:ascii="Times New Roman" w:hAnsi="Times New Roman"/>
          <w:lang w:val="pt-BR"/>
        </w:rPr>
        <w:t>Os catalisadores foram bem preparados, evidenciado pelas técnicas de caracterização empregadas no trabalho, e apresentaram seletividade dentro do desejado para a SFT, uma vez que foi favorecido a formação de cadeias hidrocarbônicas na faixa da gasolina (C</w:t>
      </w:r>
      <w:r w:rsidRPr="00F5182F">
        <w:rPr>
          <w:rFonts w:ascii="Times New Roman" w:hAnsi="Times New Roman"/>
          <w:vertAlign w:val="subscript"/>
          <w:lang w:val="pt-BR"/>
        </w:rPr>
        <w:t>5-12</w:t>
      </w:r>
      <w:r w:rsidRPr="00453329">
        <w:rPr>
          <w:rFonts w:ascii="Times New Roman" w:hAnsi="Times New Roman"/>
          <w:lang w:val="pt-BR"/>
        </w:rPr>
        <w:t>), do querosene (C</w:t>
      </w:r>
      <w:r w:rsidRPr="00F5182F">
        <w:rPr>
          <w:rFonts w:ascii="Times New Roman" w:hAnsi="Times New Roman"/>
          <w:vertAlign w:val="subscript"/>
          <w:lang w:val="pt-BR"/>
        </w:rPr>
        <w:t>12-16</w:t>
      </w:r>
      <w:r w:rsidRPr="00453329">
        <w:rPr>
          <w:rFonts w:ascii="Times New Roman" w:hAnsi="Times New Roman"/>
          <w:lang w:val="pt-BR"/>
        </w:rPr>
        <w:t>), do diesel (C</w:t>
      </w:r>
      <w:r w:rsidRPr="00F5182F">
        <w:rPr>
          <w:rFonts w:ascii="Times New Roman" w:hAnsi="Times New Roman"/>
          <w:vertAlign w:val="subscript"/>
          <w:lang w:val="pt-BR"/>
        </w:rPr>
        <w:t>16-19</w:t>
      </w:r>
      <w:r w:rsidRPr="00453329">
        <w:rPr>
          <w:rFonts w:ascii="Times New Roman" w:hAnsi="Times New Roman"/>
          <w:lang w:val="pt-BR"/>
        </w:rPr>
        <w:t>) e parafinas (C</w:t>
      </w:r>
      <w:r w:rsidRPr="00F5182F">
        <w:rPr>
          <w:rFonts w:ascii="Times New Roman" w:hAnsi="Times New Roman"/>
          <w:vertAlign w:val="subscript"/>
          <w:lang w:val="pt-BR"/>
        </w:rPr>
        <w:t>19+</w:t>
      </w:r>
      <w:r w:rsidRPr="00453329">
        <w:rPr>
          <w:rFonts w:ascii="Times New Roman" w:hAnsi="Times New Roman"/>
          <w:lang w:val="pt-BR"/>
        </w:rPr>
        <w:t>).</w:t>
      </w:r>
    </w:p>
    <w:p w14:paraId="0A4F7A34" w14:textId="77777777" w:rsidR="00453329" w:rsidRPr="00453329" w:rsidRDefault="00453329" w:rsidP="00F5182F">
      <w:pPr>
        <w:pStyle w:val="TAMainText"/>
        <w:rPr>
          <w:rFonts w:ascii="Times New Roman" w:hAnsi="Times New Roman"/>
          <w:lang w:val="pt-BR"/>
        </w:rPr>
      </w:pPr>
      <w:r w:rsidRPr="00453329">
        <w:rPr>
          <w:rFonts w:ascii="Times New Roman" w:hAnsi="Times New Roman"/>
          <w:lang w:val="pt-BR"/>
        </w:rPr>
        <w:t xml:space="preserve">Foi possível concluir que a síntese de hidrocarbonetos pesados se trata de uma reação exotérmica, no qual é </w:t>
      </w:r>
      <w:r w:rsidRPr="00453329">
        <w:rPr>
          <w:rFonts w:ascii="Times New Roman" w:hAnsi="Times New Roman"/>
          <w:lang w:val="pt-BR"/>
        </w:rPr>
        <w:lastRenderedPageBreak/>
        <w:t>favorecida em temperaturas menores e há uma grande liberação de calor.</w:t>
      </w:r>
    </w:p>
    <w:p w14:paraId="260FE25A" w14:textId="4826F8A6" w:rsidR="00453329" w:rsidRPr="00453329" w:rsidRDefault="00453329" w:rsidP="00F5182F">
      <w:pPr>
        <w:pStyle w:val="TAMainText"/>
        <w:rPr>
          <w:rFonts w:ascii="Times New Roman" w:hAnsi="Times New Roman"/>
          <w:lang w:val="pt-BR"/>
        </w:rPr>
      </w:pPr>
      <w:r w:rsidRPr="00453329">
        <w:rPr>
          <w:rFonts w:ascii="Times New Roman" w:hAnsi="Times New Roman"/>
          <w:lang w:val="pt-BR"/>
        </w:rPr>
        <w:t>A diminuição da vazão de entrada de gás de síntese favorece a conversão de CO e a formação dos produtos desejados, visto que o mesmo tem um tempo maior de contato com o catalisador, facilitando o crescimento da cadeia.</w:t>
      </w:r>
    </w:p>
    <w:p w14:paraId="4A134C53" w14:textId="60172420" w:rsidR="00453329" w:rsidRDefault="00453329" w:rsidP="00F5182F">
      <w:pPr>
        <w:pStyle w:val="TAMainText"/>
        <w:rPr>
          <w:rFonts w:ascii="Times New Roman" w:hAnsi="Times New Roman"/>
          <w:lang w:val="pt-BR"/>
        </w:rPr>
      </w:pPr>
      <w:r w:rsidRPr="00453329">
        <w:rPr>
          <w:rFonts w:ascii="Times New Roman" w:hAnsi="Times New Roman"/>
          <w:lang w:val="pt-BR"/>
        </w:rPr>
        <w:t>A adição de manganês em catalisadores de ferro aplicados na Síntese de Fischer-Tropsch acrescenta claros efeitos na redução da formação de CH</w:t>
      </w:r>
      <w:r w:rsidRPr="00F5182F">
        <w:rPr>
          <w:rFonts w:ascii="Times New Roman" w:hAnsi="Times New Roman"/>
          <w:vertAlign w:val="subscript"/>
          <w:lang w:val="pt-BR"/>
        </w:rPr>
        <w:t>4</w:t>
      </w:r>
      <w:r w:rsidRPr="00453329">
        <w:rPr>
          <w:rFonts w:ascii="Times New Roman" w:hAnsi="Times New Roman"/>
          <w:lang w:val="pt-BR"/>
        </w:rPr>
        <w:t xml:space="preserve"> e CO</w:t>
      </w:r>
      <w:r w:rsidRPr="00F5182F">
        <w:rPr>
          <w:rFonts w:ascii="Times New Roman" w:hAnsi="Times New Roman"/>
          <w:vertAlign w:val="subscript"/>
          <w:lang w:val="pt-BR"/>
        </w:rPr>
        <w:t>2</w:t>
      </w:r>
      <w:r w:rsidRPr="00453329">
        <w:rPr>
          <w:rFonts w:ascii="Times New Roman" w:hAnsi="Times New Roman"/>
          <w:lang w:val="pt-BR"/>
        </w:rPr>
        <w:t>, aumento da seletividade para C</w:t>
      </w:r>
      <w:r w:rsidRPr="00F5182F">
        <w:rPr>
          <w:rFonts w:ascii="Times New Roman" w:hAnsi="Times New Roman"/>
          <w:vertAlign w:val="subscript"/>
          <w:lang w:val="pt-BR"/>
        </w:rPr>
        <w:t>5+</w:t>
      </w:r>
      <w:r w:rsidRPr="00453329">
        <w:rPr>
          <w:rFonts w:ascii="Times New Roman" w:hAnsi="Times New Roman"/>
          <w:lang w:val="pt-BR"/>
        </w:rPr>
        <w:t xml:space="preserve">, distribuição dos produtos e aumento na proporção olefina/parafina. Desse modo, este estudo abre espaço para estudos futuros visando a isomerização desses produtos para produção de </w:t>
      </w:r>
      <w:proofErr w:type="spellStart"/>
      <w:r w:rsidRPr="00453329">
        <w:rPr>
          <w:rFonts w:ascii="Times New Roman" w:hAnsi="Times New Roman"/>
          <w:lang w:val="pt-BR"/>
        </w:rPr>
        <w:t>bioquerosene</w:t>
      </w:r>
      <w:proofErr w:type="spellEnd"/>
      <w:r w:rsidRPr="00453329">
        <w:rPr>
          <w:rFonts w:ascii="Times New Roman" w:hAnsi="Times New Roman"/>
          <w:lang w:val="pt-BR"/>
        </w:rPr>
        <w:t xml:space="preserve"> a partir de catalisadores/rotas industriais mais seletivas.</w:t>
      </w:r>
    </w:p>
    <w:p w14:paraId="6BE32F7B" w14:textId="4F456A38" w:rsidR="00EA4E1B" w:rsidRPr="001F25B2" w:rsidRDefault="00EA4E1B" w:rsidP="0042392B">
      <w:pPr>
        <w:pStyle w:val="Ttulo2"/>
        <w:spacing w:after="160"/>
        <w:rPr>
          <w:rFonts w:ascii="Helvetica" w:hAnsi="Helvetica" w:cs="Helvetica"/>
          <w:sz w:val="24"/>
          <w:szCs w:val="24"/>
        </w:rPr>
      </w:pPr>
      <w:r w:rsidRPr="001F25B2">
        <w:rPr>
          <w:rFonts w:ascii="Helvetica" w:hAnsi="Helvetica" w:cs="Helvetica"/>
          <w:sz w:val="24"/>
          <w:szCs w:val="24"/>
        </w:rPr>
        <w:t>Agradecimentos</w:t>
      </w:r>
    </w:p>
    <w:p w14:paraId="64E1CA5A" w14:textId="79C3A5F9" w:rsidR="00552F22" w:rsidRPr="001F25B2" w:rsidRDefault="001D69A2" w:rsidP="00552F22">
      <w:pPr>
        <w:pStyle w:val="TAMainText"/>
        <w:ind w:firstLine="0"/>
        <w:rPr>
          <w:rFonts w:ascii="Times New Roman" w:hAnsi="Times New Roman"/>
          <w:lang w:val="pt-BR"/>
        </w:rPr>
      </w:pPr>
      <w:r>
        <w:rPr>
          <w:rFonts w:ascii="Times New Roman" w:hAnsi="Times New Roman"/>
          <w:lang w:val="pt-BR"/>
        </w:rPr>
        <w:t xml:space="preserve">Os autores agradecem aos financiadores do projeto </w:t>
      </w:r>
      <w:proofErr w:type="spellStart"/>
      <w:r>
        <w:rPr>
          <w:rFonts w:ascii="Times New Roman" w:hAnsi="Times New Roman"/>
          <w:lang w:val="pt-BR"/>
        </w:rPr>
        <w:t>BioValue</w:t>
      </w:r>
      <w:proofErr w:type="spellEnd"/>
      <w:r>
        <w:rPr>
          <w:rFonts w:ascii="Times New Roman" w:hAnsi="Times New Roman"/>
          <w:lang w:val="pt-BR"/>
        </w:rPr>
        <w:t xml:space="preserve">: EMBRAER, SUZANO, KLABIN, PETROBRAS e FAPEMIG; à </w:t>
      </w:r>
      <w:r w:rsidR="00552F22">
        <w:rPr>
          <w:rFonts w:ascii="Times New Roman" w:hAnsi="Times New Roman"/>
          <w:lang w:val="pt-BR"/>
        </w:rPr>
        <w:t>CAPES</w:t>
      </w:r>
      <w:r w:rsidR="00B248FC">
        <w:rPr>
          <w:rFonts w:ascii="Times New Roman" w:hAnsi="Times New Roman"/>
          <w:lang w:val="pt-BR"/>
        </w:rPr>
        <w:t xml:space="preserve"> e</w:t>
      </w:r>
      <w:r w:rsidR="00552F22">
        <w:rPr>
          <w:rFonts w:ascii="Times New Roman" w:hAnsi="Times New Roman"/>
          <w:lang w:val="pt-BR"/>
        </w:rPr>
        <w:t xml:space="preserve"> CNPQ</w:t>
      </w:r>
      <w:r w:rsidR="00B248FC">
        <w:rPr>
          <w:rFonts w:ascii="Times New Roman" w:hAnsi="Times New Roman"/>
          <w:lang w:val="pt-BR"/>
        </w:rPr>
        <w:t xml:space="preserve"> pelas bolsas de alguns autores e à CBMM pela amostra de HY-340</w:t>
      </w:r>
      <w:r w:rsidR="00755229">
        <w:rPr>
          <w:rFonts w:ascii="Times New Roman" w:hAnsi="Times New Roman"/>
          <w:lang w:val="pt-BR"/>
        </w:rPr>
        <w:t>.</w:t>
      </w:r>
    </w:p>
    <w:p w14:paraId="1EAAA287" w14:textId="1D0200D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37AF61C6" w14:textId="6239897F" w:rsidR="00E7537A" w:rsidRDefault="00E7537A" w:rsidP="00EA4E1B">
      <w:pPr>
        <w:pStyle w:val="TAMainText"/>
        <w:numPr>
          <w:ilvl w:val="0"/>
          <w:numId w:val="1"/>
        </w:numPr>
      </w:pPr>
      <w:r w:rsidRPr="00E7537A">
        <w:t>D</w:t>
      </w:r>
      <w:r w:rsidR="00971315">
        <w:t>ry</w:t>
      </w:r>
      <w:r w:rsidRPr="00E7537A">
        <w:t>, M. E.</w:t>
      </w:r>
      <w:r w:rsidR="00971315">
        <w:t xml:space="preserve"> </w:t>
      </w:r>
      <w:r w:rsidRPr="00E7537A">
        <w:t xml:space="preserve">High quality diesel via the Fischer-Tropsch process – a review. </w:t>
      </w:r>
      <w:r w:rsidRPr="00971315">
        <w:rPr>
          <w:i/>
          <w:iCs/>
        </w:rPr>
        <w:t>Journal of Chemical Technology &amp; Biotechnology</w:t>
      </w:r>
      <w:r w:rsidRPr="00E7537A">
        <w:t xml:space="preserve">, </w:t>
      </w:r>
      <w:r w:rsidRPr="00E7537A">
        <w:rPr>
          <w:b/>
          <w:bCs/>
        </w:rPr>
        <w:t>2001</w:t>
      </w:r>
      <w:r>
        <w:t xml:space="preserve">, </w:t>
      </w:r>
      <w:r w:rsidRPr="00E7537A">
        <w:t>43-50</w:t>
      </w:r>
      <w:r>
        <w:t xml:space="preserve">. </w:t>
      </w:r>
    </w:p>
    <w:p w14:paraId="54AB11D2" w14:textId="3544205D" w:rsidR="00971315" w:rsidRDefault="006D472D" w:rsidP="00EA4E1B">
      <w:pPr>
        <w:pStyle w:val="TAMainText"/>
        <w:numPr>
          <w:ilvl w:val="0"/>
          <w:numId w:val="1"/>
        </w:numPr>
      </w:pPr>
      <w:r w:rsidRPr="006D472D">
        <w:t>L</w:t>
      </w:r>
      <w:r>
        <w:t>iu</w:t>
      </w:r>
      <w:r w:rsidRPr="006D472D">
        <w:t>, S., W</w:t>
      </w:r>
      <w:r>
        <w:t>ang</w:t>
      </w:r>
      <w:r w:rsidRPr="006D472D">
        <w:t>, L., L</w:t>
      </w:r>
      <w:r>
        <w:t>i</w:t>
      </w:r>
      <w:r w:rsidRPr="006D472D">
        <w:t xml:space="preserve">, Z. et al. Stabilization of ε-iron carbide as high-temperature catalyst under realistic Fischer–Tropsch synthesis conditions. </w:t>
      </w:r>
      <w:r w:rsidRPr="006D472D">
        <w:rPr>
          <w:i/>
          <w:iCs/>
        </w:rPr>
        <w:t>Nature Communications</w:t>
      </w:r>
      <w:r>
        <w:t xml:space="preserve">, </w:t>
      </w:r>
      <w:r w:rsidRPr="006D472D">
        <w:rPr>
          <w:b/>
          <w:bCs/>
        </w:rPr>
        <w:t>2001</w:t>
      </w:r>
      <w:r>
        <w:t>,</w:t>
      </w:r>
      <w:r w:rsidRPr="006D472D">
        <w:t xml:space="preserve"> 11.</w:t>
      </w:r>
    </w:p>
    <w:p w14:paraId="7C22F72B" w14:textId="1AE0A890" w:rsidR="00D83D0F" w:rsidRDefault="00D83D0F" w:rsidP="00EA4E1B">
      <w:pPr>
        <w:pStyle w:val="TAMainText"/>
        <w:numPr>
          <w:ilvl w:val="0"/>
          <w:numId w:val="1"/>
        </w:numPr>
      </w:pPr>
      <w:proofErr w:type="spellStart"/>
      <w:r w:rsidRPr="00D83D0F">
        <w:t>Khodakov</w:t>
      </w:r>
      <w:proofErr w:type="spellEnd"/>
      <w:r w:rsidRPr="00D83D0F">
        <w:t xml:space="preserve">, A. Y.; Chu, W.; &amp; </w:t>
      </w:r>
      <w:proofErr w:type="spellStart"/>
      <w:r w:rsidRPr="00D83D0F">
        <w:t>Fongarland</w:t>
      </w:r>
      <w:proofErr w:type="spellEnd"/>
      <w:r w:rsidRPr="00D83D0F">
        <w:t xml:space="preserve">, P. Advances in the Development of Novel Cobalt Fischer−Tropsch Catalysts for Synthesis of Long-Chain Hydrocarbons and Clean Fuels. </w:t>
      </w:r>
      <w:r w:rsidRPr="00DB1C43">
        <w:rPr>
          <w:i/>
          <w:iCs/>
        </w:rPr>
        <w:t>Chem. Rev</w:t>
      </w:r>
      <w:r w:rsidRPr="00DB1C43">
        <w:t xml:space="preserve">, </w:t>
      </w:r>
      <w:r w:rsidRPr="00DB1C43">
        <w:rPr>
          <w:b/>
          <w:bCs/>
        </w:rPr>
        <w:t>2007</w:t>
      </w:r>
      <w:r w:rsidRPr="00DB1C43">
        <w:t xml:space="preserve">, 107(5), 1692–1744. </w:t>
      </w:r>
    </w:p>
    <w:p w14:paraId="3C465A69" w14:textId="2255EA0B" w:rsidR="006D472D" w:rsidRDefault="00B42B1B" w:rsidP="00EA4E1B">
      <w:pPr>
        <w:pStyle w:val="TAMainText"/>
        <w:numPr>
          <w:ilvl w:val="0"/>
          <w:numId w:val="1"/>
        </w:numPr>
      </w:pPr>
      <w:r w:rsidRPr="008C1420">
        <w:t>C</w:t>
      </w:r>
      <w:r>
        <w:t>heng</w:t>
      </w:r>
      <w:r w:rsidRPr="008C1420">
        <w:t xml:space="preserve">, K. et al. Advances in catalysis for syngas conversion to hydrocarbons. </w:t>
      </w:r>
      <w:r w:rsidRPr="00B42B1B">
        <w:rPr>
          <w:bCs/>
          <w:i/>
          <w:iCs/>
        </w:rPr>
        <w:t>Advances in catalysis</w:t>
      </w:r>
      <w:r>
        <w:t xml:space="preserve">, </w:t>
      </w:r>
      <w:r w:rsidRPr="00B42B1B">
        <w:rPr>
          <w:b/>
          <w:bCs/>
        </w:rPr>
        <w:t>2007</w:t>
      </w:r>
      <w:r>
        <w:t>,</w:t>
      </w:r>
      <w:r w:rsidRPr="008C1420">
        <w:t xml:space="preserve"> 60, 125–208</w:t>
      </w:r>
      <w:r>
        <w:t>.</w:t>
      </w:r>
    </w:p>
    <w:p w14:paraId="36D2299C" w14:textId="6A43ADA6" w:rsidR="004449B7" w:rsidRDefault="004449B7" w:rsidP="00EA4E1B">
      <w:pPr>
        <w:pStyle w:val="TAMainText"/>
        <w:numPr>
          <w:ilvl w:val="0"/>
          <w:numId w:val="1"/>
        </w:numPr>
      </w:pPr>
      <w:proofErr w:type="spellStart"/>
      <w:r w:rsidRPr="000756E5">
        <w:t>Opeyemi</w:t>
      </w:r>
      <w:proofErr w:type="spellEnd"/>
      <w:r w:rsidRPr="000756E5">
        <w:t xml:space="preserve"> </w:t>
      </w:r>
      <w:proofErr w:type="spellStart"/>
      <w:r w:rsidRPr="000756E5">
        <w:t>Otun</w:t>
      </w:r>
      <w:proofErr w:type="spellEnd"/>
      <w:r w:rsidRPr="000756E5">
        <w:t>, K.</w:t>
      </w:r>
      <w:r w:rsidR="001D717C">
        <w:t xml:space="preserve">; </w:t>
      </w:r>
      <w:r w:rsidRPr="000756E5">
        <w:t>Yao, Y.</w:t>
      </w:r>
      <w:r w:rsidR="001D717C">
        <w:t>;</w:t>
      </w:r>
      <w:r w:rsidRPr="000756E5">
        <w:t xml:space="preserve"> Liu, X.</w:t>
      </w:r>
      <w:r w:rsidR="001D717C">
        <w:t>;</w:t>
      </w:r>
      <w:r w:rsidRPr="000756E5">
        <w:t xml:space="preserve"> &amp; Hildebrandt, D. Synthesis, structure, and performance of carbide phases in Fischer-Tropsch synthesis: A critical review. </w:t>
      </w:r>
      <w:r w:rsidRPr="000756E5">
        <w:rPr>
          <w:i/>
          <w:iCs/>
        </w:rPr>
        <w:t>Fuel</w:t>
      </w:r>
      <w:r w:rsidRPr="000756E5">
        <w:t>,</w:t>
      </w:r>
      <w:r>
        <w:t xml:space="preserve"> </w:t>
      </w:r>
      <w:r w:rsidRPr="000756E5">
        <w:rPr>
          <w:b/>
          <w:bCs/>
        </w:rPr>
        <w:t>2021</w:t>
      </w:r>
      <w:r>
        <w:t>,</w:t>
      </w:r>
      <w:r w:rsidRPr="000756E5">
        <w:t xml:space="preserve"> 296, 120689</w:t>
      </w:r>
      <w:r w:rsidR="001D717C">
        <w:t>.</w:t>
      </w:r>
    </w:p>
    <w:p w14:paraId="00A32EE9" w14:textId="257636BC" w:rsidR="001D717C" w:rsidRDefault="001D717C" w:rsidP="00EA4E1B">
      <w:pPr>
        <w:pStyle w:val="TAMainText"/>
        <w:numPr>
          <w:ilvl w:val="0"/>
          <w:numId w:val="1"/>
        </w:numPr>
      </w:pPr>
      <w:proofErr w:type="spellStart"/>
      <w:r w:rsidRPr="001D717C">
        <w:t>B</w:t>
      </w:r>
      <w:r>
        <w:t>adoga</w:t>
      </w:r>
      <w:proofErr w:type="spellEnd"/>
      <w:r w:rsidRPr="001D717C">
        <w:t>, S.</w:t>
      </w:r>
      <w:r>
        <w:t>;</w:t>
      </w:r>
      <w:r w:rsidRPr="001D717C">
        <w:t xml:space="preserve"> </w:t>
      </w:r>
      <w:r>
        <w:t>K</w:t>
      </w:r>
      <w:r w:rsidRPr="001D717C">
        <w:t>amath, G</w:t>
      </w:r>
      <w:r>
        <w:t>.;</w:t>
      </w:r>
      <w:r w:rsidRPr="001D717C">
        <w:t xml:space="preserve"> D</w:t>
      </w:r>
      <w:r>
        <w:t>alai</w:t>
      </w:r>
      <w:r w:rsidRPr="001D717C">
        <w:t xml:space="preserve">, A. Effects of promoters (Mn, Mg, CO and Ni) on the Fischer-Tropsch activity and selectivity of </w:t>
      </w:r>
      <w:proofErr w:type="spellStart"/>
      <w:r w:rsidRPr="001D717C">
        <w:t>KCuFe</w:t>
      </w:r>
      <w:proofErr w:type="spellEnd"/>
      <w:r w:rsidRPr="001D717C">
        <w:t xml:space="preserve">/mesoporous-alumina catalyst. </w:t>
      </w:r>
      <w:r w:rsidRPr="005D59E0">
        <w:rPr>
          <w:i/>
          <w:iCs/>
        </w:rPr>
        <w:t>Applied Catalysis A, General</w:t>
      </w:r>
      <w:r w:rsidRPr="001D717C">
        <w:t>,</w:t>
      </w:r>
      <w:r w:rsidR="005D59E0">
        <w:t xml:space="preserve"> </w:t>
      </w:r>
      <w:r w:rsidR="005D59E0" w:rsidRPr="005D59E0">
        <w:rPr>
          <w:b/>
          <w:bCs/>
        </w:rPr>
        <w:t>2020</w:t>
      </w:r>
      <w:r w:rsidR="005D59E0">
        <w:t>,</w:t>
      </w:r>
      <w:r w:rsidRPr="001D717C">
        <w:t xml:space="preserve"> 607</w:t>
      </w:r>
      <w:r w:rsidR="005D59E0">
        <w:t>.</w:t>
      </w:r>
    </w:p>
    <w:p w14:paraId="74686EF3" w14:textId="2B71D6D3" w:rsidR="00827241" w:rsidRDefault="005D568C" w:rsidP="007B1FF3">
      <w:pPr>
        <w:pStyle w:val="TAMainText"/>
        <w:numPr>
          <w:ilvl w:val="0"/>
          <w:numId w:val="1"/>
        </w:numPr>
      </w:pPr>
      <w:proofErr w:type="spellStart"/>
      <w:r w:rsidRPr="005D568C">
        <w:t>Zieliński</w:t>
      </w:r>
      <w:proofErr w:type="spellEnd"/>
      <w:r w:rsidRPr="005D568C">
        <w:t>, J.</w:t>
      </w:r>
      <w:r>
        <w:t>;</w:t>
      </w:r>
      <w:r w:rsidRPr="005D568C">
        <w:t xml:space="preserve"> </w:t>
      </w:r>
      <w:proofErr w:type="spellStart"/>
      <w:r w:rsidRPr="005D568C">
        <w:t>Zglinicka</w:t>
      </w:r>
      <w:proofErr w:type="spellEnd"/>
      <w:r w:rsidRPr="005D568C">
        <w:t>, I.</w:t>
      </w:r>
      <w:r>
        <w:t>;</w:t>
      </w:r>
      <w:r w:rsidRPr="005D568C">
        <w:t xml:space="preserve"> </w:t>
      </w:r>
      <w:proofErr w:type="spellStart"/>
      <w:r w:rsidRPr="005D568C">
        <w:t>Znak</w:t>
      </w:r>
      <w:proofErr w:type="spellEnd"/>
      <w:r w:rsidRPr="005D568C">
        <w:t>, L.</w:t>
      </w:r>
      <w:r>
        <w:t>;</w:t>
      </w:r>
      <w:r w:rsidRPr="005D568C">
        <w:t xml:space="preserve"> &amp; </w:t>
      </w:r>
      <w:proofErr w:type="spellStart"/>
      <w:r w:rsidRPr="005D568C">
        <w:t>Kaszkur</w:t>
      </w:r>
      <w:proofErr w:type="spellEnd"/>
      <w:r w:rsidRPr="005D568C">
        <w:t xml:space="preserve">, Z. Reduction of Fe2O3 with hydrogen. </w:t>
      </w:r>
      <w:r w:rsidRPr="005D568C">
        <w:rPr>
          <w:i/>
          <w:iCs/>
        </w:rPr>
        <w:t>Applied Catalysis A: General</w:t>
      </w:r>
      <w:r w:rsidRPr="005D568C">
        <w:t>,</w:t>
      </w:r>
      <w:r>
        <w:t xml:space="preserve"> </w:t>
      </w:r>
      <w:r w:rsidRPr="005D568C">
        <w:rPr>
          <w:b/>
          <w:bCs/>
        </w:rPr>
        <w:t>2010</w:t>
      </w:r>
      <w:r>
        <w:t>,</w:t>
      </w:r>
      <w:r w:rsidRPr="005D568C">
        <w:t xml:space="preserve"> 381(1-2), 191–196</w:t>
      </w:r>
      <w:r>
        <w:t>.</w:t>
      </w:r>
    </w:p>
    <w:p w14:paraId="44BBF372" w14:textId="230C19A5" w:rsidR="004F151A" w:rsidRDefault="004F151A" w:rsidP="007B1FF3">
      <w:pPr>
        <w:pStyle w:val="TAMainText"/>
        <w:numPr>
          <w:ilvl w:val="0"/>
          <w:numId w:val="1"/>
        </w:numPr>
      </w:pPr>
      <w:proofErr w:type="spellStart"/>
      <w:r w:rsidRPr="004F151A">
        <w:t>Schma</w:t>
      </w:r>
      <w:r w:rsidR="000C32E9">
        <w:t>l</w:t>
      </w:r>
      <w:proofErr w:type="spellEnd"/>
      <w:r w:rsidRPr="004F151A">
        <w:t>, M.</w:t>
      </w:r>
      <w:r>
        <w:t>;</w:t>
      </w:r>
      <w:r w:rsidRPr="004F151A">
        <w:t xml:space="preserve"> Aranda, D. A. G.</w:t>
      </w:r>
      <w:r>
        <w:t>;</w:t>
      </w:r>
      <w:r w:rsidRPr="004F151A">
        <w:t xml:space="preserve"> Soares, R. R. et al., A study of the promoting effect of noble metal addition on </w:t>
      </w:r>
      <w:proofErr w:type="spellStart"/>
      <w:r w:rsidRPr="004F151A">
        <w:t>niobia</w:t>
      </w:r>
      <w:proofErr w:type="spellEnd"/>
      <w:r w:rsidRPr="004F151A">
        <w:t xml:space="preserve"> and </w:t>
      </w:r>
      <w:proofErr w:type="spellStart"/>
      <w:r w:rsidRPr="004F151A">
        <w:t>niobia</w:t>
      </w:r>
      <w:proofErr w:type="spellEnd"/>
      <w:r w:rsidRPr="004F151A">
        <w:t xml:space="preserve"> alumina catalysts, </w:t>
      </w:r>
      <w:r w:rsidRPr="00A86D51">
        <w:rPr>
          <w:i/>
          <w:iCs/>
        </w:rPr>
        <w:t xml:space="preserve">Catalysis Today, v. 57, n. 3, pp. 169-176, </w:t>
      </w:r>
      <w:r w:rsidRPr="00813C68">
        <w:rPr>
          <w:b/>
          <w:i/>
          <w:iCs/>
        </w:rPr>
        <w:t>2000</w:t>
      </w:r>
    </w:p>
    <w:p w14:paraId="156935CE" w14:textId="252CC216" w:rsidR="000C32E9" w:rsidRDefault="000C32E9" w:rsidP="007B1FF3">
      <w:pPr>
        <w:pStyle w:val="TAMainText"/>
        <w:numPr>
          <w:ilvl w:val="0"/>
          <w:numId w:val="1"/>
        </w:numPr>
      </w:pPr>
      <w:r w:rsidRPr="000C32E9">
        <w:t xml:space="preserve">Yu, </w:t>
      </w:r>
      <w:r>
        <w:t xml:space="preserve">X.; </w:t>
      </w:r>
      <w:r w:rsidRPr="000C32E9">
        <w:t xml:space="preserve">Zhang, </w:t>
      </w:r>
      <w:r>
        <w:t xml:space="preserve">J.; </w:t>
      </w:r>
      <w:r w:rsidRPr="000C32E9">
        <w:t>Wang,</w:t>
      </w:r>
      <w:r>
        <w:t xml:space="preserve"> X.;</w:t>
      </w:r>
      <w:r w:rsidRPr="000C32E9">
        <w:t xml:space="preserve"> Ma, </w:t>
      </w:r>
      <w:r>
        <w:t xml:space="preserve">Q.; </w:t>
      </w:r>
      <w:r w:rsidRPr="000C32E9">
        <w:t>Gao,</w:t>
      </w:r>
      <w:r>
        <w:t xml:space="preserve"> X.;</w:t>
      </w:r>
      <w:r w:rsidRPr="000C32E9">
        <w:t xml:space="preserve"> Xia,</w:t>
      </w:r>
      <w:r>
        <w:t xml:space="preserve"> H.;</w:t>
      </w:r>
      <w:r w:rsidRPr="000C32E9">
        <w:t xml:space="preserve"> Lai,</w:t>
      </w:r>
      <w:r>
        <w:t xml:space="preserve"> X.;</w:t>
      </w:r>
      <w:r w:rsidRPr="000C32E9">
        <w:t xml:space="preserve"> Fan,</w:t>
      </w:r>
      <w:r>
        <w:t xml:space="preserve"> S.;</w:t>
      </w:r>
      <w:r w:rsidRPr="000C32E9">
        <w:t xml:space="preserve"> Zhao,</w:t>
      </w:r>
      <w:r>
        <w:t xml:space="preserve"> T-S;</w:t>
      </w:r>
      <w:r w:rsidRPr="000C32E9">
        <w:t xml:space="preserve"> </w:t>
      </w:r>
      <w:r w:rsidRPr="00A86D51">
        <w:t>Fischer-Tropsch synthesis over methyl modified Fe2O3@SiO2 catalysts with low CO</w:t>
      </w:r>
      <w:r w:rsidRPr="00A86D51">
        <w:rPr>
          <w:vertAlign w:val="subscript"/>
        </w:rPr>
        <w:t>2</w:t>
      </w:r>
      <w:r w:rsidRPr="00A86D51">
        <w:t xml:space="preserve"> selectivity</w:t>
      </w:r>
      <w:r w:rsidRPr="000C32E9">
        <w:t xml:space="preserve">, </w:t>
      </w:r>
      <w:r w:rsidRPr="00A86D51">
        <w:rPr>
          <w:i/>
          <w:iCs/>
        </w:rPr>
        <w:t xml:space="preserve">Appl. </w:t>
      </w:r>
      <w:proofErr w:type="spellStart"/>
      <w:r w:rsidRPr="00A86D51">
        <w:rPr>
          <w:i/>
          <w:iCs/>
        </w:rPr>
        <w:t>Catal</w:t>
      </w:r>
      <w:proofErr w:type="spellEnd"/>
      <w:r w:rsidRPr="00A86D51">
        <w:rPr>
          <w:i/>
          <w:iCs/>
        </w:rPr>
        <w:t>. B Environ. 232 (</w:t>
      </w:r>
      <w:r w:rsidRPr="00813C68">
        <w:rPr>
          <w:b/>
          <w:i/>
          <w:iCs/>
        </w:rPr>
        <w:t>2018</w:t>
      </w:r>
      <w:r w:rsidRPr="00A86D51">
        <w:rPr>
          <w:i/>
          <w:iCs/>
        </w:rPr>
        <w:t>) 420–428</w:t>
      </w:r>
      <w:r>
        <w:t>;</w:t>
      </w:r>
    </w:p>
    <w:p w14:paraId="4D17B4DF" w14:textId="0F926605" w:rsidR="000C32E9" w:rsidRDefault="000C32E9" w:rsidP="007B1FF3">
      <w:pPr>
        <w:pStyle w:val="TAMainText"/>
        <w:numPr>
          <w:ilvl w:val="0"/>
          <w:numId w:val="1"/>
        </w:numPr>
      </w:pPr>
      <w:r w:rsidRPr="00256EA5">
        <w:t>Xu,</w:t>
      </w:r>
      <w:r>
        <w:t xml:space="preserve"> Y.;</w:t>
      </w:r>
      <w:r w:rsidRPr="00256EA5">
        <w:t xml:space="preserve"> Wang,</w:t>
      </w:r>
      <w:r>
        <w:t xml:space="preserve"> J.; </w:t>
      </w:r>
      <w:r w:rsidRPr="00256EA5">
        <w:t>Ma,</w:t>
      </w:r>
      <w:r>
        <w:t xml:space="preserve"> G.; </w:t>
      </w:r>
      <w:r w:rsidRPr="00256EA5">
        <w:t>Bai,</w:t>
      </w:r>
      <w:r>
        <w:t xml:space="preserve"> J.; </w:t>
      </w:r>
      <w:r w:rsidRPr="00256EA5">
        <w:t>Du</w:t>
      </w:r>
      <w:r>
        <w:t xml:space="preserve"> Y.; </w:t>
      </w:r>
      <w:r w:rsidRPr="00256EA5">
        <w:t>Ding,</w:t>
      </w:r>
      <w:r>
        <w:t xml:space="preserve"> M.;</w:t>
      </w:r>
      <w:r w:rsidRPr="00256EA5">
        <w:t xml:space="preserve"> </w:t>
      </w:r>
      <w:r w:rsidRPr="00A86D51">
        <w:t xml:space="preserve">Selective conversion of syngas to olefins-rich liquid fuels over </w:t>
      </w:r>
      <w:proofErr w:type="spellStart"/>
      <w:r w:rsidRPr="00A86D51">
        <w:t>coreshell</w:t>
      </w:r>
      <w:proofErr w:type="spellEnd"/>
      <w:r w:rsidRPr="00A86D51">
        <w:t xml:space="preserve"> FeMn@SiO2 catalysts</w:t>
      </w:r>
      <w:r w:rsidRPr="00256EA5">
        <w:t xml:space="preserve">, </w:t>
      </w:r>
      <w:r w:rsidRPr="00A86D51">
        <w:rPr>
          <w:i/>
          <w:iCs/>
        </w:rPr>
        <w:t>Fuel. 275 (</w:t>
      </w:r>
      <w:r w:rsidRPr="00813C68">
        <w:rPr>
          <w:b/>
          <w:i/>
          <w:iCs/>
        </w:rPr>
        <w:t>2020</w:t>
      </w:r>
      <w:r w:rsidRPr="00A86D51">
        <w:rPr>
          <w:i/>
          <w:iCs/>
        </w:rPr>
        <w:t>) 117884</w:t>
      </w:r>
      <w:r>
        <w:t>;</w:t>
      </w:r>
    </w:p>
    <w:p w14:paraId="51EB92AF" w14:textId="17ADFB06" w:rsidR="005A30B6" w:rsidRPr="005A30B6" w:rsidRDefault="00A86D51" w:rsidP="005A30B6">
      <w:pPr>
        <w:pStyle w:val="TAMainText"/>
        <w:numPr>
          <w:ilvl w:val="0"/>
          <w:numId w:val="1"/>
        </w:numPr>
        <w:rPr>
          <w:color w:val="000000" w:themeColor="text1"/>
        </w:rPr>
      </w:pPr>
      <w:proofErr w:type="spellStart"/>
      <w:r w:rsidRPr="00256EA5">
        <w:t>Kangvansura</w:t>
      </w:r>
      <w:proofErr w:type="spellEnd"/>
      <w:r w:rsidRPr="00256EA5">
        <w:t>, P</w:t>
      </w:r>
      <w:r w:rsidR="001D69A2">
        <w:t>.</w:t>
      </w:r>
      <w:r w:rsidRPr="00256EA5">
        <w:t xml:space="preserve"> et al. Effects of Potassium and Manganese Promoters on Nitrogen-Doped Carbon Nanotube-Supported Iron Catalysts for CO2 Hydrogenation.Engineering,v</w:t>
      </w:r>
      <w:r w:rsidR="001D69A2">
        <w:t>.</w:t>
      </w:r>
      <w:r w:rsidRPr="00256EA5">
        <w:t>3,n.3,385</w:t>
      </w:r>
      <w:r w:rsidR="001D69A2">
        <w:t>-</w:t>
      </w:r>
      <w:r w:rsidRPr="00256EA5">
        <w:t>392,</w:t>
      </w:r>
      <w:r w:rsidRPr="0042392B">
        <w:rPr>
          <w:b/>
        </w:rPr>
        <w:t>2017</w:t>
      </w:r>
      <w:r w:rsidRPr="00256EA5">
        <w:t xml:space="preserve">. </w:t>
      </w:r>
      <w:hyperlink r:id="rId13" w:history="1">
        <w:r w:rsidRPr="005A30B6">
          <w:rPr>
            <w:rStyle w:val="Hyperlink"/>
            <w:color w:val="000000" w:themeColor="text1"/>
            <w:u w:val="none"/>
          </w:rPr>
          <w:t>http://dx.doi.org/10.1016/j.eng.2017.03.013</w:t>
        </w:r>
      </w:hyperlink>
      <w:r w:rsidRPr="005A30B6">
        <w:rPr>
          <w:color w:val="000000" w:themeColor="text1"/>
        </w:rPr>
        <w:t>.</w:t>
      </w:r>
    </w:p>
    <w:p w14:paraId="0AD9D749" w14:textId="0883E61B" w:rsidR="00A86D51" w:rsidRPr="0042392B" w:rsidRDefault="005A30B6" w:rsidP="005A30B6">
      <w:pPr>
        <w:pStyle w:val="TAMainText"/>
        <w:numPr>
          <w:ilvl w:val="0"/>
          <w:numId w:val="1"/>
        </w:numPr>
        <w:rPr>
          <w:rStyle w:val="normaltextrun"/>
        </w:rPr>
      </w:pPr>
      <w:r>
        <w:rPr>
          <w:rStyle w:val="normaltextrun"/>
          <w:color w:val="000000"/>
          <w:shd w:val="clear" w:color="auto" w:fill="FFFFFF"/>
        </w:rPr>
        <w:t xml:space="preserve">Wolke, F. Hu, Y., Schmidt, M. </w:t>
      </w:r>
      <w:proofErr w:type="spellStart"/>
      <w:r>
        <w:rPr>
          <w:rStyle w:val="normaltextrun"/>
          <w:color w:val="000000"/>
          <w:shd w:val="clear" w:color="auto" w:fill="FFFFFF"/>
        </w:rPr>
        <w:t>Korup</w:t>
      </w:r>
      <w:proofErr w:type="spellEnd"/>
      <w:r>
        <w:rPr>
          <w:rStyle w:val="normaltextrun"/>
          <w:color w:val="000000"/>
          <w:shd w:val="clear" w:color="auto" w:fill="FFFFFF"/>
        </w:rPr>
        <w:t xml:space="preserve">, O., Horn, R., </w:t>
      </w:r>
      <w:proofErr w:type="spellStart"/>
      <w:r>
        <w:rPr>
          <w:rStyle w:val="normaltextrun"/>
          <w:color w:val="000000"/>
          <w:shd w:val="clear" w:color="auto" w:fill="FFFFFF"/>
        </w:rPr>
        <w:t>Reichelt</w:t>
      </w:r>
      <w:proofErr w:type="spellEnd"/>
      <w:r>
        <w:rPr>
          <w:rStyle w:val="normaltextrun"/>
          <w:color w:val="000000"/>
          <w:shd w:val="clear" w:color="auto" w:fill="FFFFFF"/>
        </w:rPr>
        <w:t xml:space="preserve">, E., Michaelis, A. Spatially-resolved reaction profiles in Fischer-Tropsch synthesis – influence of operating conditions and promotion for iron-based catalysts. </w:t>
      </w:r>
      <w:r w:rsidRPr="005A30B6">
        <w:rPr>
          <w:rStyle w:val="normaltextrun"/>
          <w:bCs/>
          <w:i/>
          <w:color w:val="000000"/>
          <w:shd w:val="clear" w:color="auto" w:fill="FFFFFF"/>
        </w:rPr>
        <w:t>Catalysis Communications</w:t>
      </w:r>
      <w:r>
        <w:rPr>
          <w:rStyle w:val="normaltextrun"/>
          <w:color w:val="000000"/>
          <w:shd w:val="clear" w:color="auto" w:fill="FFFFFF"/>
        </w:rPr>
        <w:t xml:space="preserve">, </w:t>
      </w:r>
      <w:r w:rsidRPr="005A30B6">
        <w:rPr>
          <w:rStyle w:val="normaltextrun"/>
          <w:b/>
          <w:color w:val="000000"/>
          <w:shd w:val="clear" w:color="auto" w:fill="FFFFFF"/>
        </w:rPr>
        <w:t>2021</w:t>
      </w:r>
      <w:r>
        <w:rPr>
          <w:rStyle w:val="normaltextrun"/>
          <w:color w:val="000000"/>
          <w:shd w:val="clear" w:color="auto" w:fill="FFFFFF"/>
        </w:rPr>
        <w:t>, 158.</w:t>
      </w:r>
    </w:p>
    <w:p w14:paraId="471F53E1" w14:textId="7AE20C5C" w:rsidR="0042392B" w:rsidRDefault="0042392B" w:rsidP="0042392B">
      <w:pPr>
        <w:pStyle w:val="TAMainText"/>
        <w:numPr>
          <w:ilvl w:val="0"/>
          <w:numId w:val="1"/>
        </w:numPr>
      </w:pPr>
      <w:r>
        <w:rPr>
          <w:rStyle w:val="normaltextrun"/>
          <w:color w:val="000000"/>
          <w:shd w:val="clear" w:color="auto" w:fill="FFFFFF"/>
        </w:rPr>
        <w:t xml:space="preserve">Zhang, K., Yu, F., Zhu, M., Dan, J., Wang, X., Zhang, J., &amp; Dai, B. Enhanced Low Temperature NO Reduction Performance via MnOx-Fe2O3/Vermiculite Monolithic Honeycomb Catalysts. </w:t>
      </w:r>
      <w:r w:rsidRPr="0042392B">
        <w:rPr>
          <w:rStyle w:val="normaltextrun"/>
          <w:bCs/>
          <w:i/>
          <w:color w:val="000000"/>
          <w:shd w:val="clear" w:color="auto" w:fill="FFFFFF"/>
        </w:rPr>
        <w:t>Catalysts</w:t>
      </w:r>
      <w:r>
        <w:rPr>
          <w:rStyle w:val="normaltextrun"/>
          <w:color w:val="000000"/>
          <w:shd w:val="clear" w:color="auto" w:fill="FFFFFF"/>
        </w:rPr>
        <w:t xml:space="preserve">, 8(3), </w:t>
      </w:r>
      <w:r w:rsidRPr="0042392B">
        <w:rPr>
          <w:rStyle w:val="normaltextrun"/>
          <w:b/>
          <w:color w:val="000000"/>
          <w:shd w:val="clear" w:color="auto" w:fill="FFFFFF"/>
        </w:rPr>
        <w:t>2018</w:t>
      </w:r>
      <w:r>
        <w:rPr>
          <w:rStyle w:val="normaltextrun"/>
          <w:color w:val="000000"/>
          <w:shd w:val="clear" w:color="auto" w:fill="FFFFFF"/>
        </w:rPr>
        <w:t>, 100.</w:t>
      </w:r>
    </w:p>
    <w:sectPr w:rsidR="0042392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20CB3" w14:textId="77777777" w:rsidR="005436ED" w:rsidRDefault="005436ED" w:rsidP="00EA4E1B">
      <w:pPr>
        <w:spacing w:after="0" w:line="240" w:lineRule="auto"/>
      </w:pPr>
      <w:r>
        <w:separator/>
      </w:r>
    </w:p>
  </w:endnote>
  <w:endnote w:type="continuationSeparator" w:id="0">
    <w:p w14:paraId="74EC4DFB" w14:textId="77777777" w:rsidR="005436ED" w:rsidRDefault="005436ED"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6BD7" w14:textId="77777777" w:rsidR="005436ED" w:rsidRDefault="005436ED" w:rsidP="00EA4E1B">
      <w:pPr>
        <w:spacing w:after="0" w:line="240" w:lineRule="auto"/>
      </w:pPr>
      <w:r>
        <w:separator/>
      </w:r>
    </w:p>
  </w:footnote>
  <w:footnote w:type="continuationSeparator" w:id="0">
    <w:p w14:paraId="35AF31FC" w14:textId="77777777" w:rsidR="005436ED" w:rsidRDefault="005436ED"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7B1FF3" w:rsidRDefault="007B1FF3"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ind w:left="360" w:hanging="360"/>
      </w:pPr>
    </w:lvl>
  </w:abstractNum>
  <w:num w:numId="1" w16cid:durableId="83263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3257"/>
    <w:rsid w:val="0001122D"/>
    <w:rsid w:val="0001264A"/>
    <w:rsid w:val="00061A72"/>
    <w:rsid w:val="000636A3"/>
    <w:rsid w:val="00064DE4"/>
    <w:rsid w:val="00074BB5"/>
    <w:rsid w:val="000756E5"/>
    <w:rsid w:val="00076774"/>
    <w:rsid w:val="00083244"/>
    <w:rsid w:val="000B78F4"/>
    <w:rsid w:val="000C1A66"/>
    <w:rsid w:val="000C32E9"/>
    <w:rsid w:val="000C4A2B"/>
    <w:rsid w:val="000D0B04"/>
    <w:rsid w:val="000D4DF0"/>
    <w:rsid w:val="000E1856"/>
    <w:rsid w:val="000F1D24"/>
    <w:rsid w:val="000F4781"/>
    <w:rsid w:val="00110A7B"/>
    <w:rsid w:val="00121C68"/>
    <w:rsid w:val="00135313"/>
    <w:rsid w:val="00170C38"/>
    <w:rsid w:val="001727EA"/>
    <w:rsid w:val="00192643"/>
    <w:rsid w:val="00193E3A"/>
    <w:rsid w:val="001B43D7"/>
    <w:rsid w:val="001D5258"/>
    <w:rsid w:val="001D69A2"/>
    <w:rsid w:val="001D717C"/>
    <w:rsid w:val="001E4AC0"/>
    <w:rsid w:val="001E58A9"/>
    <w:rsid w:val="001F25B2"/>
    <w:rsid w:val="0020346C"/>
    <w:rsid w:val="00206196"/>
    <w:rsid w:val="00207C94"/>
    <w:rsid w:val="00211081"/>
    <w:rsid w:val="00222230"/>
    <w:rsid w:val="0027720D"/>
    <w:rsid w:val="002A371E"/>
    <w:rsid w:val="002D767A"/>
    <w:rsid w:val="00300506"/>
    <w:rsid w:val="003242D7"/>
    <w:rsid w:val="00332B07"/>
    <w:rsid w:val="00340B1E"/>
    <w:rsid w:val="003934D9"/>
    <w:rsid w:val="003B2309"/>
    <w:rsid w:val="003C3557"/>
    <w:rsid w:val="003E115C"/>
    <w:rsid w:val="00402F3E"/>
    <w:rsid w:val="004059DC"/>
    <w:rsid w:val="00412F0E"/>
    <w:rsid w:val="004158F8"/>
    <w:rsid w:val="0042392B"/>
    <w:rsid w:val="0042494A"/>
    <w:rsid w:val="00441022"/>
    <w:rsid w:val="004449B7"/>
    <w:rsid w:val="00450A13"/>
    <w:rsid w:val="00453329"/>
    <w:rsid w:val="004D0C5A"/>
    <w:rsid w:val="004D7728"/>
    <w:rsid w:val="004E5E70"/>
    <w:rsid w:val="004F151A"/>
    <w:rsid w:val="004F2665"/>
    <w:rsid w:val="004F3DFB"/>
    <w:rsid w:val="004F3F42"/>
    <w:rsid w:val="00503490"/>
    <w:rsid w:val="005047BE"/>
    <w:rsid w:val="00506084"/>
    <w:rsid w:val="0052112E"/>
    <w:rsid w:val="005215EA"/>
    <w:rsid w:val="00536144"/>
    <w:rsid w:val="005436ED"/>
    <w:rsid w:val="00552F22"/>
    <w:rsid w:val="00554EC4"/>
    <w:rsid w:val="005921B7"/>
    <w:rsid w:val="00592B33"/>
    <w:rsid w:val="005A30B6"/>
    <w:rsid w:val="005C2775"/>
    <w:rsid w:val="005D568C"/>
    <w:rsid w:val="005D59E0"/>
    <w:rsid w:val="005D65EB"/>
    <w:rsid w:val="00604718"/>
    <w:rsid w:val="00610A78"/>
    <w:rsid w:val="00611F62"/>
    <w:rsid w:val="006128FF"/>
    <w:rsid w:val="00614485"/>
    <w:rsid w:val="00631DE8"/>
    <w:rsid w:val="00637698"/>
    <w:rsid w:val="00642D7E"/>
    <w:rsid w:val="00652815"/>
    <w:rsid w:val="00654B63"/>
    <w:rsid w:val="006664D6"/>
    <w:rsid w:val="00693876"/>
    <w:rsid w:val="006D1AEF"/>
    <w:rsid w:val="006D472D"/>
    <w:rsid w:val="006F599B"/>
    <w:rsid w:val="00700821"/>
    <w:rsid w:val="00711F4D"/>
    <w:rsid w:val="00733FD6"/>
    <w:rsid w:val="00747F7A"/>
    <w:rsid w:val="00755229"/>
    <w:rsid w:val="007624C1"/>
    <w:rsid w:val="007640C2"/>
    <w:rsid w:val="007670A0"/>
    <w:rsid w:val="007805E2"/>
    <w:rsid w:val="00781685"/>
    <w:rsid w:val="00781919"/>
    <w:rsid w:val="00782C02"/>
    <w:rsid w:val="00793C73"/>
    <w:rsid w:val="007B1FF3"/>
    <w:rsid w:val="007B4B2B"/>
    <w:rsid w:val="007B52DE"/>
    <w:rsid w:val="007B70FC"/>
    <w:rsid w:val="007C0DF6"/>
    <w:rsid w:val="007C12D8"/>
    <w:rsid w:val="007C21A4"/>
    <w:rsid w:val="007C2556"/>
    <w:rsid w:val="007D3E04"/>
    <w:rsid w:val="007D6B22"/>
    <w:rsid w:val="00801101"/>
    <w:rsid w:val="008025D2"/>
    <w:rsid w:val="00813C68"/>
    <w:rsid w:val="00820FBD"/>
    <w:rsid w:val="008243D7"/>
    <w:rsid w:val="00824B37"/>
    <w:rsid w:val="00827241"/>
    <w:rsid w:val="008436A9"/>
    <w:rsid w:val="008476C8"/>
    <w:rsid w:val="008507D3"/>
    <w:rsid w:val="00865285"/>
    <w:rsid w:val="00866822"/>
    <w:rsid w:val="008B0D3C"/>
    <w:rsid w:val="008B1683"/>
    <w:rsid w:val="008C1B30"/>
    <w:rsid w:val="008C44EA"/>
    <w:rsid w:val="008D33DF"/>
    <w:rsid w:val="008D7FCD"/>
    <w:rsid w:val="008E0555"/>
    <w:rsid w:val="0094058C"/>
    <w:rsid w:val="00942A97"/>
    <w:rsid w:val="00943A1D"/>
    <w:rsid w:val="00951D4C"/>
    <w:rsid w:val="00956A58"/>
    <w:rsid w:val="009656D9"/>
    <w:rsid w:val="00971315"/>
    <w:rsid w:val="009A2DE0"/>
    <w:rsid w:val="009B5712"/>
    <w:rsid w:val="009B7483"/>
    <w:rsid w:val="009C7CB0"/>
    <w:rsid w:val="009D2496"/>
    <w:rsid w:val="00A17D85"/>
    <w:rsid w:val="00A3067F"/>
    <w:rsid w:val="00A84AE2"/>
    <w:rsid w:val="00A86A42"/>
    <w:rsid w:val="00A86D51"/>
    <w:rsid w:val="00A87CE8"/>
    <w:rsid w:val="00A94191"/>
    <w:rsid w:val="00A95EA9"/>
    <w:rsid w:val="00AA182E"/>
    <w:rsid w:val="00AA6720"/>
    <w:rsid w:val="00AB4B39"/>
    <w:rsid w:val="00AD4345"/>
    <w:rsid w:val="00AE0B6D"/>
    <w:rsid w:val="00AE6BE4"/>
    <w:rsid w:val="00AF0400"/>
    <w:rsid w:val="00AF6BCF"/>
    <w:rsid w:val="00B114A6"/>
    <w:rsid w:val="00B12A4B"/>
    <w:rsid w:val="00B21B1B"/>
    <w:rsid w:val="00B248FC"/>
    <w:rsid w:val="00B300AE"/>
    <w:rsid w:val="00B30AEB"/>
    <w:rsid w:val="00B33F46"/>
    <w:rsid w:val="00B42B1B"/>
    <w:rsid w:val="00B47EC8"/>
    <w:rsid w:val="00B86A8C"/>
    <w:rsid w:val="00BA6A6E"/>
    <w:rsid w:val="00C25EAC"/>
    <w:rsid w:val="00C27397"/>
    <w:rsid w:val="00C40918"/>
    <w:rsid w:val="00C45743"/>
    <w:rsid w:val="00C63FF2"/>
    <w:rsid w:val="00C743D0"/>
    <w:rsid w:val="00C76E54"/>
    <w:rsid w:val="00C87B0B"/>
    <w:rsid w:val="00CA31F7"/>
    <w:rsid w:val="00CF66E3"/>
    <w:rsid w:val="00D05809"/>
    <w:rsid w:val="00D33BD6"/>
    <w:rsid w:val="00D403B7"/>
    <w:rsid w:val="00D56D3B"/>
    <w:rsid w:val="00D62CDE"/>
    <w:rsid w:val="00D666C8"/>
    <w:rsid w:val="00D771E2"/>
    <w:rsid w:val="00D83D0F"/>
    <w:rsid w:val="00D84198"/>
    <w:rsid w:val="00D96135"/>
    <w:rsid w:val="00D96A03"/>
    <w:rsid w:val="00DA304A"/>
    <w:rsid w:val="00DB1C43"/>
    <w:rsid w:val="00DB53DA"/>
    <w:rsid w:val="00DD7EA8"/>
    <w:rsid w:val="00DE2C1B"/>
    <w:rsid w:val="00DF477B"/>
    <w:rsid w:val="00E02A21"/>
    <w:rsid w:val="00E038AF"/>
    <w:rsid w:val="00E11A8E"/>
    <w:rsid w:val="00E17B1F"/>
    <w:rsid w:val="00E35501"/>
    <w:rsid w:val="00E40F87"/>
    <w:rsid w:val="00E46785"/>
    <w:rsid w:val="00E57AC5"/>
    <w:rsid w:val="00E65894"/>
    <w:rsid w:val="00E7537A"/>
    <w:rsid w:val="00E76493"/>
    <w:rsid w:val="00E8540C"/>
    <w:rsid w:val="00E92923"/>
    <w:rsid w:val="00E96FEB"/>
    <w:rsid w:val="00EA1A2C"/>
    <w:rsid w:val="00EA4E1B"/>
    <w:rsid w:val="00EA6F3E"/>
    <w:rsid w:val="00EC0C3C"/>
    <w:rsid w:val="00EC5907"/>
    <w:rsid w:val="00ED2741"/>
    <w:rsid w:val="00F07FFC"/>
    <w:rsid w:val="00F30661"/>
    <w:rsid w:val="00F5182F"/>
    <w:rsid w:val="00F55AC5"/>
    <w:rsid w:val="00F917DA"/>
    <w:rsid w:val="00F93CDF"/>
    <w:rsid w:val="00F940B4"/>
    <w:rsid w:val="00FB2131"/>
    <w:rsid w:val="00FC4DC5"/>
    <w:rsid w:val="00FC6A16"/>
    <w:rsid w:val="00FC6BB7"/>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link w:val="LegendaChar"/>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table" w:styleId="Tabelacomgrade">
    <w:name w:val="Table Grid"/>
    <w:basedOn w:val="Tabelanormal"/>
    <w:uiPriority w:val="39"/>
    <w:rsid w:val="00AA6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Char">
    <w:name w:val="Legenda Char"/>
    <w:basedOn w:val="Fontepargpadro"/>
    <w:link w:val="Legenda"/>
    <w:uiPriority w:val="35"/>
    <w:rsid w:val="00076774"/>
    <w:rPr>
      <w:b/>
      <w:bCs/>
      <w:color w:val="404040" w:themeColor="text1" w:themeTint="BF"/>
      <w:sz w:val="16"/>
      <w:szCs w:val="16"/>
    </w:rPr>
  </w:style>
  <w:style w:type="character" w:styleId="TextodoEspaoReservado">
    <w:name w:val="Placeholder Text"/>
    <w:basedOn w:val="Fontepargpadro"/>
    <w:uiPriority w:val="99"/>
    <w:semiHidden/>
    <w:rsid w:val="00076774"/>
    <w:rPr>
      <w:color w:val="808080"/>
    </w:rPr>
  </w:style>
  <w:style w:type="paragraph" w:styleId="PargrafodaLista">
    <w:name w:val="List Paragraph"/>
    <w:basedOn w:val="Normal"/>
    <w:uiPriority w:val="34"/>
    <w:qFormat/>
    <w:rsid w:val="00D83D0F"/>
    <w:pPr>
      <w:ind w:left="720"/>
      <w:contextualSpacing/>
    </w:pPr>
  </w:style>
  <w:style w:type="character" w:styleId="Hyperlink">
    <w:name w:val="Hyperlink"/>
    <w:basedOn w:val="Fontepargpadro"/>
    <w:uiPriority w:val="99"/>
    <w:unhideWhenUsed/>
    <w:rsid w:val="00D83D0F"/>
    <w:rPr>
      <w:color w:val="0563C1" w:themeColor="hyperlink"/>
      <w:u w:val="single"/>
    </w:rPr>
  </w:style>
  <w:style w:type="character" w:styleId="MenoPendente">
    <w:name w:val="Unresolved Mention"/>
    <w:basedOn w:val="Fontepargpadro"/>
    <w:uiPriority w:val="99"/>
    <w:semiHidden/>
    <w:unhideWhenUsed/>
    <w:rsid w:val="00D83D0F"/>
    <w:rPr>
      <w:color w:val="605E5C"/>
      <w:shd w:val="clear" w:color="auto" w:fill="E1DFDD"/>
    </w:rPr>
  </w:style>
  <w:style w:type="character" w:customStyle="1" w:styleId="normaltextrun">
    <w:name w:val="normaltextrun"/>
    <w:basedOn w:val="Fontepargpadro"/>
    <w:rsid w:val="00DB53DA"/>
  </w:style>
  <w:style w:type="character" w:customStyle="1" w:styleId="eop">
    <w:name w:val="eop"/>
    <w:basedOn w:val="Fontepargpadro"/>
    <w:rsid w:val="00DB53DA"/>
  </w:style>
  <w:style w:type="paragraph" w:customStyle="1" w:styleId="paragraph">
    <w:name w:val="paragraph"/>
    <w:basedOn w:val="Normal"/>
    <w:rsid w:val="00D771E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16190">
      <w:bodyDiv w:val="1"/>
      <w:marLeft w:val="0"/>
      <w:marRight w:val="0"/>
      <w:marTop w:val="0"/>
      <w:marBottom w:val="0"/>
      <w:divBdr>
        <w:top w:val="none" w:sz="0" w:space="0" w:color="auto"/>
        <w:left w:val="none" w:sz="0" w:space="0" w:color="auto"/>
        <w:bottom w:val="none" w:sz="0" w:space="0" w:color="auto"/>
        <w:right w:val="none" w:sz="0" w:space="0" w:color="auto"/>
      </w:divBdr>
    </w:div>
    <w:div w:id="309212698">
      <w:bodyDiv w:val="1"/>
      <w:marLeft w:val="0"/>
      <w:marRight w:val="0"/>
      <w:marTop w:val="0"/>
      <w:marBottom w:val="0"/>
      <w:divBdr>
        <w:top w:val="none" w:sz="0" w:space="0" w:color="auto"/>
        <w:left w:val="none" w:sz="0" w:space="0" w:color="auto"/>
        <w:bottom w:val="none" w:sz="0" w:space="0" w:color="auto"/>
        <w:right w:val="none" w:sz="0" w:space="0" w:color="auto"/>
      </w:divBdr>
    </w:div>
    <w:div w:id="360322787">
      <w:bodyDiv w:val="1"/>
      <w:marLeft w:val="0"/>
      <w:marRight w:val="0"/>
      <w:marTop w:val="0"/>
      <w:marBottom w:val="0"/>
      <w:divBdr>
        <w:top w:val="none" w:sz="0" w:space="0" w:color="auto"/>
        <w:left w:val="none" w:sz="0" w:space="0" w:color="auto"/>
        <w:bottom w:val="none" w:sz="0" w:space="0" w:color="auto"/>
        <w:right w:val="none" w:sz="0" w:space="0" w:color="auto"/>
      </w:divBdr>
    </w:div>
    <w:div w:id="369260094">
      <w:bodyDiv w:val="1"/>
      <w:marLeft w:val="0"/>
      <w:marRight w:val="0"/>
      <w:marTop w:val="0"/>
      <w:marBottom w:val="0"/>
      <w:divBdr>
        <w:top w:val="none" w:sz="0" w:space="0" w:color="auto"/>
        <w:left w:val="none" w:sz="0" w:space="0" w:color="auto"/>
        <w:bottom w:val="none" w:sz="0" w:space="0" w:color="auto"/>
        <w:right w:val="none" w:sz="0" w:space="0" w:color="auto"/>
      </w:divBdr>
    </w:div>
    <w:div w:id="436221347">
      <w:bodyDiv w:val="1"/>
      <w:marLeft w:val="0"/>
      <w:marRight w:val="0"/>
      <w:marTop w:val="0"/>
      <w:marBottom w:val="0"/>
      <w:divBdr>
        <w:top w:val="none" w:sz="0" w:space="0" w:color="auto"/>
        <w:left w:val="none" w:sz="0" w:space="0" w:color="auto"/>
        <w:bottom w:val="none" w:sz="0" w:space="0" w:color="auto"/>
        <w:right w:val="none" w:sz="0" w:space="0" w:color="auto"/>
      </w:divBdr>
      <w:divsChild>
        <w:div w:id="461463512">
          <w:marLeft w:val="0"/>
          <w:marRight w:val="0"/>
          <w:marTop w:val="0"/>
          <w:marBottom w:val="0"/>
          <w:divBdr>
            <w:top w:val="none" w:sz="0" w:space="0" w:color="auto"/>
            <w:left w:val="none" w:sz="0" w:space="0" w:color="auto"/>
            <w:bottom w:val="none" w:sz="0" w:space="0" w:color="auto"/>
            <w:right w:val="none" w:sz="0" w:space="0" w:color="auto"/>
          </w:divBdr>
          <w:divsChild>
            <w:div w:id="256866250">
              <w:marLeft w:val="0"/>
              <w:marRight w:val="0"/>
              <w:marTop w:val="0"/>
              <w:marBottom w:val="0"/>
              <w:divBdr>
                <w:top w:val="none" w:sz="0" w:space="0" w:color="auto"/>
                <w:left w:val="none" w:sz="0" w:space="0" w:color="auto"/>
                <w:bottom w:val="none" w:sz="0" w:space="0" w:color="auto"/>
                <w:right w:val="none" w:sz="0" w:space="0" w:color="auto"/>
              </w:divBdr>
            </w:div>
          </w:divsChild>
        </w:div>
        <w:div w:id="1566723922">
          <w:marLeft w:val="0"/>
          <w:marRight w:val="0"/>
          <w:marTop w:val="0"/>
          <w:marBottom w:val="0"/>
          <w:divBdr>
            <w:top w:val="none" w:sz="0" w:space="0" w:color="auto"/>
            <w:left w:val="none" w:sz="0" w:space="0" w:color="auto"/>
            <w:bottom w:val="none" w:sz="0" w:space="0" w:color="auto"/>
            <w:right w:val="none" w:sz="0" w:space="0" w:color="auto"/>
          </w:divBdr>
          <w:divsChild>
            <w:div w:id="223756178">
              <w:marLeft w:val="0"/>
              <w:marRight w:val="0"/>
              <w:marTop w:val="0"/>
              <w:marBottom w:val="0"/>
              <w:divBdr>
                <w:top w:val="none" w:sz="0" w:space="0" w:color="auto"/>
                <w:left w:val="none" w:sz="0" w:space="0" w:color="auto"/>
                <w:bottom w:val="none" w:sz="0" w:space="0" w:color="auto"/>
                <w:right w:val="none" w:sz="0" w:space="0" w:color="auto"/>
              </w:divBdr>
            </w:div>
          </w:divsChild>
        </w:div>
        <w:div w:id="1093629360">
          <w:marLeft w:val="0"/>
          <w:marRight w:val="0"/>
          <w:marTop w:val="0"/>
          <w:marBottom w:val="0"/>
          <w:divBdr>
            <w:top w:val="none" w:sz="0" w:space="0" w:color="auto"/>
            <w:left w:val="none" w:sz="0" w:space="0" w:color="auto"/>
            <w:bottom w:val="none" w:sz="0" w:space="0" w:color="auto"/>
            <w:right w:val="none" w:sz="0" w:space="0" w:color="auto"/>
          </w:divBdr>
          <w:divsChild>
            <w:div w:id="440688959">
              <w:marLeft w:val="0"/>
              <w:marRight w:val="0"/>
              <w:marTop w:val="0"/>
              <w:marBottom w:val="0"/>
              <w:divBdr>
                <w:top w:val="none" w:sz="0" w:space="0" w:color="auto"/>
                <w:left w:val="none" w:sz="0" w:space="0" w:color="auto"/>
                <w:bottom w:val="none" w:sz="0" w:space="0" w:color="auto"/>
                <w:right w:val="none" w:sz="0" w:space="0" w:color="auto"/>
              </w:divBdr>
            </w:div>
          </w:divsChild>
        </w:div>
        <w:div w:id="930435528">
          <w:marLeft w:val="0"/>
          <w:marRight w:val="0"/>
          <w:marTop w:val="0"/>
          <w:marBottom w:val="0"/>
          <w:divBdr>
            <w:top w:val="none" w:sz="0" w:space="0" w:color="auto"/>
            <w:left w:val="none" w:sz="0" w:space="0" w:color="auto"/>
            <w:bottom w:val="none" w:sz="0" w:space="0" w:color="auto"/>
            <w:right w:val="none" w:sz="0" w:space="0" w:color="auto"/>
          </w:divBdr>
          <w:divsChild>
            <w:div w:id="456335077">
              <w:marLeft w:val="0"/>
              <w:marRight w:val="0"/>
              <w:marTop w:val="0"/>
              <w:marBottom w:val="0"/>
              <w:divBdr>
                <w:top w:val="none" w:sz="0" w:space="0" w:color="auto"/>
                <w:left w:val="none" w:sz="0" w:space="0" w:color="auto"/>
                <w:bottom w:val="none" w:sz="0" w:space="0" w:color="auto"/>
                <w:right w:val="none" w:sz="0" w:space="0" w:color="auto"/>
              </w:divBdr>
            </w:div>
          </w:divsChild>
        </w:div>
        <w:div w:id="56048933">
          <w:marLeft w:val="0"/>
          <w:marRight w:val="0"/>
          <w:marTop w:val="0"/>
          <w:marBottom w:val="0"/>
          <w:divBdr>
            <w:top w:val="none" w:sz="0" w:space="0" w:color="auto"/>
            <w:left w:val="none" w:sz="0" w:space="0" w:color="auto"/>
            <w:bottom w:val="none" w:sz="0" w:space="0" w:color="auto"/>
            <w:right w:val="none" w:sz="0" w:space="0" w:color="auto"/>
          </w:divBdr>
          <w:divsChild>
            <w:div w:id="65302710">
              <w:marLeft w:val="0"/>
              <w:marRight w:val="0"/>
              <w:marTop w:val="0"/>
              <w:marBottom w:val="0"/>
              <w:divBdr>
                <w:top w:val="none" w:sz="0" w:space="0" w:color="auto"/>
                <w:left w:val="none" w:sz="0" w:space="0" w:color="auto"/>
                <w:bottom w:val="none" w:sz="0" w:space="0" w:color="auto"/>
                <w:right w:val="none" w:sz="0" w:space="0" w:color="auto"/>
              </w:divBdr>
            </w:div>
            <w:div w:id="551500370">
              <w:marLeft w:val="0"/>
              <w:marRight w:val="0"/>
              <w:marTop w:val="0"/>
              <w:marBottom w:val="0"/>
              <w:divBdr>
                <w:top w:val="none" w:sz="0" w:space="0" w:color="auto"/>
                <w:left w:val="none" w:sz="0" w:space="0" w:color="auto"/>
                <w:bottom w:val="none" w:sz="0" w:space="0" w:color="auto"/>
                <w:right w:val="none" w:sz="0" w:space="0" w:color="auto"/>
              </w:divBdr>
            </w:div>
          </w:divsChild>
        </w:div>
        <w:div w:id="351078649">
          <w:marLeft w:val="0"/>
          <w:marRight w:val="0"/>
          <w:marTop w:val="0"/>
          <w:marBottom w:val="0"/>
          <w:divBdr>
            <w:top w:val="none" w:sz="0" w:space="0" w:color="auto"/>
            <w:left w:val="none" w:sz="0" w:space="0" w:color="auto"/>
            <w:bottom w:val="none" w:sz="0" w:space="0" w:color="auto"/>
            <w:right w:val="none" w:sz="0" w:space="0" w:color="auto"/>
          </w:divBdr>
          <w:divsChild>
            <w:div w:id="1324579165">
              <w:marLeft w:val="0"/>
              <w:marRight w:val="0"/>
              <w:marTop w:val="0"/>
              <w:marBottom w:val="0"/>
              <w:divBdr>
                <w:top w:val="none" w:sz="0" w:space="0" w:color="auto"/>
                <w:left w:val="none" w:sz="0" w:space="0" w:color="auto"/>
                <w:bottom w:val="none" w:sz="0" w:space="0" w:color="auto"/>
                <w:right w:val="none" w:sz="0" w:space="0" w:color="auto"/>
              </w:divBdr>
            </w:div>
          </w:divsChild>
        </w:div>
        <w:div w:id="837693321">
          <w:marLeft w:val="0"/>
          <w:marRight w:val="0"/>
          <w:marTop w:val="0"/>
          <w:marBottom w:val="0"/>
          <w:divBdr>
            <w:top w:val="none" w:sz="0" w:space="0" w:color="auto"/>
            <w:left w:val="none" w:sz="0" w:space="0" w:color="auto"/>
            <w:bottom w:val="none" w:sz="0" w:space="0" w:color="auto"/>
            <w:right w:val="none" w:sz="0" w:space="0" w:color="auto"/>
          </w:divBdr>
          <w:divsChild>
            <w:div w:id="1007172303">
              <w:marLeft w:val="0"/>
              <w:marRight w:val="0"/>
              <w:marTop w:val="0"/>
              <w:marBottom w:val="0"/>
              <w:divBdr>
                <w:top w:val="none" w:sz="0" w:space="0" w:color="auto"/>
                <w:left w:val="none" w:sz="0" w:space="0" w:color="auto"/>
                <w:bottom w:val="none" w:sz="0" w:space="0" w:color="auto"/>
                <w:right w:val="none" w:sz="0" w:space="0" w:color="auto"/>
              </w:divBdr>
            </w:div>
          </w:divsChild>
        </w:div>
        <w:div w:id="1712652503">
          <w:marLeft w:val="0"/>
          <w:marRight w:val="0"/>
          <w:marTop w:val="0"/>
          <w:marBottom w:val="0"/>
          <w:divBdr>
            <w:top w:val="none" w:sz="0" w:space="0" w:color="auto"/>
            <w:left w:val="none" w:sz="0" w:space="0" w:color="auto"/>
            <w:bottom w:val="none" w:sz="0" w:space="0" w:color="auto"/>
            <w:right w:val="none" w:sz="0" w:space="0" w:color="auto"/>
          </w:divBdr>
          <w:divsChild>
            <w:div w:id="1040470394">
              <w:marLeft w:val="0"/>
              <w:marRight w:val="0"/>
              <w:marTop w:val="0"/>
              <w:marBottom w:val="0"/>
              <w:divBdr>
                <w:top w:val="none" w:sz="0" w:space="0" w:color="auto"/>
                <w:left w:val="none" w:sz="0" w:space="0" w:color="auto"/>
                <w:bottom w:val="none" w:sz="0" w:space="0" w:color="auto"/>
                <w:right w:val="none" w:sz="0" w:space="0" w:color="auto"/>
              </w:divBdr>
            </w:div>
          </w:divsChild>
        </w:div>
        <w:div w:id="1715814202">
          <w:marLeft w:val="0"/>
          <w:marRight w:val="0"/>
          <w:marTop w:val="0"/>
          <w:marBottom w:val="0"/>
          <w:divBdr>
            <w:top w:val="none" w:sz="0" w:space="0" w:color="auto"/>
            <w:left w:val="none" w:sz="0" w:space="0" w:color="auto"/>
            <w:bottom w:val="none" w:sz="0" w:space="0" w:color="auto"/>
            <w:right w:val="none" w:sz="0" w:space="0" w:color="auto"/>
          </w:divBdr>
          <w:divsChild>
            <w:div w:id="847595888">
              <w:marLeft w:val="0"/>
              <w:marRight w:val="0"/>
              <w:marTop w:val="0"/>
              <w:marBottom w:val="0"/>
              <w:divBdr>
                <w:top w:val="none" w:sz="0" w:space="0" w:color="auto"/>
                <w:left w:val="none" w:sz="0" w:space="0" w:color="auto"/>
                <w:bottom w:val="none" w:sz="0" w:space="0" w:color="auto"/>
                <w:right w:val="none" w:sz="0" w:space="0" w:color="auto"/>
              </w:divBdr>
            </w:div>
          </w:divsChild>
        </w:div>
        <w:div w:id="269629828">
          <w:marLeft w:val="0"/>
          <w:marRight w:val="0"/>
          <w:marTop w:val="0"/>
          <w:marBottom w:val="0"/>
          <w:divBdr>
            <w:top w:val="none" w:sz="0" w:space="0" w:color="auto"/>
            <w:left w:val="none" w:sz="0" w:space="0" w:color="auto"/>
            <w:bottom w:val="none" w:sz="0" w:space="0" w:color="auto"/>
            <w:right w:val="none" w:sz="0" w:space="0" w:color="auto"/>
          </w:divBdr>
          <w:divsChild>
            <w:div w:id="977107396">
              <w:marLeft w:val="0"/>
              <w:marRight w:val="0"/>
              <w:marTop w:val="0"/>
              <w:marBottom w:val="0"/>
              <w:divBdr>
                <w:top w:val="none" w:sz="0" w:space="0" w:color="auto"/>
                <w:left w:val="none" w:sz="0" w:space="0" w:color="auto"/>
                <w:bottom w:val="none" w:sz="0" w:space="0" w:color="auto"/>
                <w:right w:val="none" w:sz="0" w:space="0" w:color="auto"/>
              </w:divBdr>
            </w:div>
          </w:divsChild>
        </w:div>
        <w:div w:id="80303556">
          <w:marLeft w:val="0"/>
          <w:marRight w:val="0"/>
          <w:marTop w:val="0"/>
          <w:marBottom w:val="0"/>
          <w:divBdr>
            <w:top w:val="none" w:sz="0" w:space="0" w:color="auto"/>
            <w:left w:val="none" w:sz="0" w:space="0" w:color="auto"/>
            <w:bottom w:val="none" w:sz="0" w:space="0" w:color="auto"/>
            <w:right w:val="none" w:sz="0" w:space="0" w:color="auto"/>
          </w:divBdr>
          <w:divsChild>
            <w:div w:id="576550977">
              <w:marLeft w:val="0"/>
              <w:marRight w:val="0"/>
              <w:marTop w:val="0"/>
              <w:marBottom w:val="0"/>
              <w:divBdr>
                <w:top w:val="none" w:sz="0" w:space="0" w:color="auto"/>
                <w:left w:val="none" w:sz="0" w:space="0" w:color="auto"/>
                <w:bottom w:val="none" w:sz="0" w:space="0" w:color="auto"/>
                <w:right w:val="none" w:sz="0" w:space="0" w:color="auto"/>
              </w:divBdr>
            </w:div>
          </w:divsChild>
        </w:div>
        <w:div w:id="1672639834">
          <w:marLeft w:val="0"/>
          <w:marRight w:val="0"/>
          <w:marTop w:val="0"/>
          <w:marBottom w:val="0"/>
          <w:divBdr>
            <w:top w:val="none" w:sz="0" w:space="0" w:color="auto"/>
            <w:left w:val="none" w:sz="0" w:space="0" w:color="auto"/>
            <w:bottom w:val="none" w:sz="0" w:space="0" w:color="auto"/>
            <w:right w:val="none" w:sz="0" w:space="0" w:color="auto"/>
          </w:divBdr>
          <w:divsChild>
            <w:div w:id="1595355649">
              <w:marLeft w:val="0"/>
              <w:marRight w:val="0"/>
              <w:marTop w:val="0"/>
              <w:marBottom w:val="0"/>
              <w:divBdr>
                <w:top w:val="none" w:sz="0" w:space="0" w:color="auto"/>
                <w:left w:val="none" w:sz="0" w:space="0" w:color="auto"/>
                <w:bottom w:val="none" w:sz="0" w:space="0" w:color="auto"/>
                <w:right w:val="none" w:sz="0" w:space="0" w:color="auto"/>
              </w:divBdr>
            </w:div>
          </w:divsChild>
        </w:div>
        <w:div w:id="2118983854">
          <w:marLeft w:val="0"/>
          <w:marRight w:val="0"/>
          <w:marTop w:val="0"/>
          <w:marBottom w:val="0"/>
          <w:divBdr>
            <w:top w:val="none" w:sz="0" w:space="0" w:color="auto"/>
            <w:left w:val="none" w:sz="0" w:space="0" w:color="auto"/>
            <w:bottom w:val="none" w:sz="0" w:space="0" w:color="auto"/>
            <w:right w:val="none" w:sz="0" w:space="0" w:color="auto"/>
          </w:divBdr>
          <w:divsChild>
            <w:div w:id="477261241">
              <w:marLeft w:val="0"/>
              <w:marRight w:val="0"/>
              <w:marTop w:val="0"/>
              <w:marBottom w:val="0"/>
              <w:divBdr>
                <w:top w:val="none" w:sz="0" w:space="0" w:color="auto"/>
                <w:left w:val="none" w:sz="0" w:space="0" w:color="auto"/>
                <w:bottom w:val="none" w:sz="0" w:space="0" w:color="auto"/>
                <w:right w:val="none" w:sz="0" w:space="0" w:color="auto"/>
              </w:divBdr>
            </w:div>
          </w:divsChild>
        </w:div>
        <w:div w:id="242221277">
          <w:marLeft w:val="0"/>
          <w:marRight w:val="0"/>
          <w:marTop w:val="0"/>
          <w:marBottom w:val="0"/>
          <w:divBdr>
            <w:top w:val="none" w:sz="0" w:space="0" w:color="auto"/>
            <w:left w:val="none" w:sz="0" w:space="0" w:color="auto"/>
            <w:bottom w:val="none" w:sz="0" w:space="0" w:color="auto"/>
            <w:right w:val="none" w:sz="0" w:space="0" w:color="auto"/>
          </w:divBdr>
          <w:divsChild>
            <w:div w:id="866914392">
              <w:marLeft w:val="0"/>
              <w:marRight w:val="0"/>
              <w:marTop w:val="0"/>
              <w:marBottom w:val="0"/>
              <w:divBdr>
                <w:top w:val="none" w:sz="0" w:space="0" w:color="auto"/>
                <w:left w:val="none" w:sz="0" w:space="0" w:color="auto"/>
                <w:bottom w:val="none" w:sz="0" w:space="0" w:color="auto"/>
                <w:right w:val="none" w:sz="0" w:space="0" w:color="auto"/>
              </w:divBdr>
            </w:div>
          </w:divsChild>
        </w:div>
        <w:div w:id="1264000711">
          <w:marLeft w:val="0"/>
          <w:marRight w:val="0"/>
          <w:marTop w:val="0"/>
          <w:marBottom w:val="0"/>
          <w:divBdr>
            <w:top w:val="none" w:sz="0" w:space="0" w:color="auto"/>
            <w:left w:val="none" w:sz="0" w:space="0" w:color="auto"/>
            <w:bottom w:val="none" w:sz="0" w:space="0" w:color="auto"/>
            <w:right w:val="none" w:sz="0" w:space="0" w:color="auto"/>
          </w:divBdr>
          <w:divsChild>
            <w:div w:id="622925871">
              <w:marLeft w:val="0"/>
              <w:marRight w:val="0"/>
              <w:marTop w:val="0"/>
              <w:marBottom w:val="0"/>
              <w:divBdr>
                <w:top w:val="none" w:sz="0" w:space="0" w:color="auto"/>
                <w:left w:val="none" w:sz="0" w:space="0" w:color="auto"/>
                <w:bottom w:val="none" w:sz="0" w:space="0" w:color="auto"/>
                <w:right w:val="none" w:sz="0" w:space="0" w:color="auto"/>
              </w:divBdr>
            </w:div>
          </w:divsChild>
        </w:div>
        <w:div w:id="1661689629">
          <w:marLeft w:val="0"/>
          <w:marRight w:val="0"/>
          <w:marTop w:val="0"/>
          <w:marBottom w:val="0"/>
          <w:divBdr>
            <w:top w:val="none" w:sz="0" w:space="0" w:color="auto"/>
            <w:left w:val="none" w:sz="0" w:space="0" w:color="auto"/>
            <w:bottom w:val="none" w:sz="0" w:space="0" w:color="auto"/>
            <w:right w:val="none" w:sz="0" w:space="0" w:color="auto"/>
          </w:divBdr>
          <w:divsChild>
            <w:div w:id="1286886231">
              <w:marLeft w:val="0"/>
              <w:marRight w:val="0"/>
              <w:marTop w:val="0"/>
              <w:marBottom w:val="0"/>
              <w:divBdr>
                <w:top w:val="none" w:sz="0" w:space="0" w:color="auto"/>
                <w:left w:val="none" w:sz="0" w:space="0" w:color="auto"/>
                <w:bottom w:val="none" w:sz="0" w:space="0" w:color="auto"/>
                <w:right w:val="none" w:sz="0" w:space="0" w:color="auto"/>
              </w:divBdr>
            </w:div>
          </w:divsChild>
        </w:div>
        <w:div w:id="1881241703">
          <w:marLeft w:val="0"/>
          <w:marRight w:val="0"/>
          <w:marTop w:val="0"/>
          <w:marBottom w:val="0"/>
          <w:divBdr>
            <w:top w:val="none" w:sz="0" w:space="0" w:color="auto"/>
            <w:left w:val="none" w:sz="0" w:space="0" w:color="auto"/>
            <w:bottom w:val="none" w:sz="0" w:space="0" w:color="auto"/>
            <w:right w:val="none" w:sz="0" w:space="0" w:color="auto"/>
          </w:divBdr>
          <w:divsChild>
            <w:div w:id="129249103">
              <w:marLeft w:val="0"/>
              <w:marRight w:val="0"/>
              <w:marTop w:val="0"/>
              <w:marBottom w:val="0"/>
              <w:divBdr>
                <w:top w:val="none" w:sz="0" w:space="0" w:color="auto"/>
                <w:left w:val="none" w:sz="0" w:space="0" w:color="auto"/>
                <w:bottom w:val="none" w:sz="0" w:space="0" w:color="auto"/>
                <w:right w:val="none" w:sz="0" w:space="0" w:color="auto"/>
              </w:divBdr>
            </w:div>
          </w:divsChild>
        </w:div>
        <w:div w:id="2084597231">
          <w:marLeft w:val="0"/>
          <w:marRight w:val="0"/>
          <w:marTop w:val="0"/>
          <w:marBottom w:val="0"/>
          <w:divBdr>
            <w:top w:val="none" w:sz="0" w:space="0" w:color="auto"/>
            <w:left w:val="none" w:sz="0" w:space="0" w:color="auto"/>
            <w:bottom w:val="none" w:sz="0" w:space="0" w:color="auto"/>
            <w:right w:val="none" w:sz="0" w:space="0" w:color="auto"/>
          </w:divBdr>
          <w:divsChild>
            <w:div w:id="640236992">
              <w:marLeft w:val="0"/>
              <w:marRight w:val="0"/>
              <w:marTop w:val="0"/>
              <w:marBottom w:val="0"/>
              <w:divBdr>
                <w:top w:val="none" w:sz="0" w:space="0" w:color="auto"/>
                <w:left w:val="none" w:sz="0" w:space="0" w:color="auto"/>
                <w:bottom w:val="none" w:sz="0" w:space="0" w:color="auto"/>
                <w:right w:val="none" w:sz="0" w:space="0" w:color="auto"/>
              </w:divBdr>
            </w:div>
          </w:divsChild>
        </w:div>
        <w:div w:id="169956128">
          <w:marLeft w:val="0"/>
          <w:marRight w:val="0"/>
          <w:marTop w:val="0"/>
          <w:marBottom w:val="0"/>
          <w:divBdr>
            <w:top w:val="none" w:sz="0" w:space="0" w:color="auto"/>
            <w:left w:val="none" w:sz="0" w:space="0" w:color="auto"/>
            <w:bottom w:val="none" w:sz="0" w:space="0" w:color="auto"/>
            <w:right w:val="none" w:sz="0" w:space="0" w:color="auto"/>
          </w:divBdr>
          <w:divsChild>
            <w:div w:id="289363574">
              <w:marLeft w:val="0"/>
              <w:marRight w:val="0"/>
              <w:marTop w:val="0"/>
              <w:marBottom w:val="0"/>
              <w:divBdr>
                <w:top w:val="none" w:sz="0" w:space="0" w:color="auto"/>
                <w:left w:val="none" w:sz="0" w:space="0" w:color="auto"/>
                <w:bottom w:val="none" w:sz="0" w:space="0" w:color="auto"/>
                <w:right w:val="none" w:sz="0" w:space="0" w:color="auto"/>
              </w:divBdr>
            </w:div>
          </w:divsChild>
        </w:div>
        <w:div w:id="564875046">
          <w:marLeft w:val="0"/>
          <w:marRight w:val="0"/>
          <w:marTop w:val="0"/>
          <w:marBottom w:val="0"/>
          <w:divBdr>
            <w:top w:val="none" w:sz="0" w:space="0" w:color="auto"/>
            <w:left w:val="none" w:sz="0" w:space="0" w:color="auto"/>
            <w:bottom w:val="none" w:sz="0" w:space="0" w:color="auto"/>
            <w:right w:val="none" w:sz="0" w:space="0" w:color="auto"/>
          </w:divBdr>
          <w:divsChild>
            <w:div w:id="358746430">
              <w:marLeft w:val="0"/>
              <w:marRight w:val="0"/>
              <w:marTop w:val="0"/>
              <w:marBottom w:val="0"/>
              <w:divBdr>
                <w:top w:val="none" w:sz="0" w:space="0" w:color="auto"/>
                <w:left w:val="none" w:sz="0" w:space="0" w:color="auto"/>
                <w:bottom w:val="none" w:sz="0" w:space="0" w:color="auto"/>
                <w:right w:val="none" w:sz="0" w:space="0" w:color="auto"/>
              </w:divBdr>
            </w:div>
          </w:divsChild>
        </w:div>
        <w:div w:id="787968699">
          <w:marLeft w:val="0"/>
          <w:marRight w:val="0"/>
          <w:marTop w:val="0"/>
          <w:marBottom w:val="0"/>
          <w:divBdr>
            <w:top w:val="none" w:sz="0" w:space="0" w:color="auto"/>
            <w:left w:val="none" w:sz="0" w:space="0" w:color="auto"/>
            <w:bottom w:val="none" w:sz="0" w:space="0" w:color="auto"/>
            <w:right w:val="none" w:sz="0" w:space="0" w:color="auto"/>
          </w:divBdr>
          <w:divsChild>
            <w:div w:id="302270403">
              <w:marLeft w:val="0"/>
              <w:marRight w:val="0"/>
              <w:marTop w:val="0"/>
              <w:marBottom w:val="0"/>
              <w:divBdr>
                <w:top w:val="none" w:sz="0" w:space="0" w:color="auto"/>
                <w:left w:val="none" w:sz="0" w:space="0" w:color="auto"/>
                <w:bottom w:val="none" w:sz="0" w:space="0" w:color="auto"/>
                <w:right w:val="none" w:sz="0" w:space="0" w:color="auto"/>
              </w:divBdr>
            </w:div>
          </w:divsChild>
        </w:div>
        <w:div w:id="551504928">
          <w:marLeft w:val="0"/>
          <w:marRight w:val="0"/>
          <w:marTop w:val="0"/>
          <w:marBottom w:val="0"/>
          <w:divBdr>
            <w:top w:val="none" w:sz="0" w:space="0" w:color="auto"/>
            <w:left w:val="none" w:sz="0" w:space="0" w:color="auto"/>
            <w:bottom w:val="none" w:sz="0" w:space="0" w:color="auto"/>
            <w:right w:val="none" w:sz="0" w:space="0" w:color="auto"/>
          </w:divBdr>
          <w:divsChild>
            <w:div w:id="132604539">
              <w:marLeft w:val="0"/>
              <w:marRight w:val="0"/>
              <w:marTop w:val="0"/>
              <w:marBottom w:val="0"/>
              <w:divBdr>
                <w:top w:val="none" w:sz="0" w:space="0" w:color="auto"/>
                <w:left w:val="none" w:sz="0" w:space="0" w:color="auto"/>
                <w:bottom w:val="none" w:sz="0" w:space="0" w:color="auto"/>
                <w:right w:val="none" w:sz="0" w:space="0" w:color="auto"/>
              </w:divBdr>
            </w:div>
          </w:divsChild>
        </w:div>
        <w:div w:id="794719235">
          <w:marLeft w:val="0"/>
          <w:marRight w:val="0"/>
          <w:marTop w:val="0"/>
          <w:marBottom w:val="0"/>
          <w:divBdr>
            <w:top w:val="none" w:sz="0" w:space="0" w:color="auto"/>
            <w:left w:val="none" w:sz="0" w:space="0" w:color="auto"/>
            <w:bottom w:val="none" w:sz="0" w:space="0" w:color="auto"/>
            <w:right w:val="none" w:sz="0" w:space="0" w:color="auto"/>
          </w:divBdr>
          <w:divsChild>
            <w:div w:id="1986355568">
              <w:marLeft w:val="0"/>
              <w:marRight w:val="0"/>
              <w:marTop w:val="0"/>
              <w:marBottom w:val="0"/>
              <w:divBdr>
                <w:top w:val="none" w:sz="0" w:space="0" w:color="auto"/>
                <w:left w:val="none" w:sz="0" w:space="0" w:color="auto"/>
                <w:bottom w:val="none" w:sz="0" w:space="0" w:color="auto"/>
                <w:right w:val="none" w:sz="0" w:space="0" w:color="auto"/>
              </w:divBdr>
            </w:div>
          </w:divsChild>
        </w:div>
        <w:div w:id="1284850605">
          <w:marLeft w:val="0"/>
          <w:marRight w:val="0"/>
          <w:marTop w:val="0"/>
          <w:marBottom w:val="0"/>
          <w:divBdr>
            <w:top w:val="none" w:sz="0" w:space="0" w:color="auto"/>
            <w:left w:val="none" w:sz="0" w:space="0" w:color="auto"/>
            <w:bottom w:val="none" w:sz="0" w:space="0" w:color="auto"/>
            <w:right w:val="none" w:sz="0" w:space="0" w:color="auto"/>
          </w:divBdr>
          <w:divsChild>
            <w:div w:id="1233273289">
              <w:marLeft w:val="0"/>
              <w:marRight w:val="0"/>
              <w:marTop w:val="0"/>
              <w:marBottom w:val="0"/>
              <w:divBdr>
                <w:top w:val="none" w:sz="0" w:space="0" w:color="auto"/>
                <w:left w:val="none" w:sz="0" w:space="0" w:color="auto"/>
                <w:bottom w:val="none" w:sz="0" w:space="0" w:color="auto"/>
                <w:right w:val="none" w:sz="0" w:space="0" w:color="auto"/>
              </w:divBdr>
            </w:div>
          </w:divsChild>
        </w:div>
        <w:div w:id="1693146341">
          <w:marLeft w:val="0"/>
          <w:marRight w:val="0"/>
          <w:marTop w:val="0"/>
          <w:marBottom w:val="0"/>
          <w:divBdr>
            <w:top w:val="none" w:sz="0" w:space="0" w:color="auto"/>
            <w:left w:val="none" w:sz="0" w:space="0" w:color="auto"/>
            <w:bottom w:val="none" w:sz="0" w:space="0" w:color="auto"/>
            <w:right w:val="none" w:sz="0" w:space="0" w:color="auto"/>
          </w:divBdr>
          <w:divsChild>
            <w:div w:id="1748765673">
              <w:marLeft w:val="0"/>
              <w:marRight w:val="0"/>
              <w:marTop w:val="0"/>
              <w:marBottom w:val="0"/>
              <w:divBdr>
                <w:top w:val="none" w:sz="0" w:space="0" w:color="auto"/>
                <w:left w:val="none" w:sz="0" w:space="0" w:color="auto"/>
                <w:bottom w:val="none" w:sz="0" w:space="0" w:color="auto"/>
                <w:right w:val="none" w:sz="0" w:space="0" w:color="auto"/>
              </w:divBdr>
            </w:div>
          </w:divsChild>
        </w:div>
        <w:div w:id="1619876344">
          <w:marLeft w:val="0"/>
          <w:marRight w:val="0"/>
          <w:marTop w:val="0"/>
          <w:marBottom w:val="0"/>
          <w:divBdr>
            <w:top w:val="none" w:sz="0" w:space="0" w:color="auto"/>
            <w:left w:val="none" w:sz="0" w:space="0" w:color="auto"/>
            <w:bottom w:val="none" w:sz="0" w:space="0" w:color="auto"/>
            <w:right w:val="none" w:sz="0" w:space="0" w:color="auto"/>
          </w:divBdr>
          <w:divsChild>
            <w:div w:id="1807966738">
              <w:marLeft w:val="0"/>
              <w:marRight w:val="0"/>
              <w:marTop w:val="0"/>
              <w:marBottom w:val="0"/>
              <w:divBdr>
                <w:top w:val="none" w:sz="0" w:space="0" w:color="auto"/>
                <w:left w:val="none" w:sz="0" w:space="0" w:color="auto"/>
                <w:bottom w:val="none" w:sz="0" w:space="0" w:color="auto"/>
                <w:right w:val="none" w:sz="0" w:space="0" w:color="auto"/>
              </w:divBdr>
            </w:div>
          </w:divsChild>
        </w:div>
        <w:div w:id="400296520">
          <w:marLeft w:val="0"/>
          <w:marRight w:val="0"/>
          <w:marTop w:val="0"/>
          <w:marBottom w:val="0"/>
          <w:divBdr>
            <w:top w:val="none" w:sz="0" w:space="0" w:color="auto"/>
            <w:left w:val="none" w:sz="0" w:space="0" w:color="auto"/>
            <w:bottom w:val="none" w:sz="0" w:space="0" w:color="auto"/>
            <w:right w:val="none" w:sz="0" w:space="0" w:color="auto"/>
          </w:divBdr>
          <w:divsChild>
            <w:div w:id="329647428">
              <w:marLeft w:val="0"/>
              <w:marRight w:val="0"/>
              <w:marTop w:val="0"/>
              <w:marBottom w:val="0"/>
              <w:divBdr>
                <w:top w:val="none" w:sz="0" w:space="0" w:color="auto"/>
                <w:left w:val="none" w:sz="0" w:space="0" w:color="auto"/>
                <w:bottom w:val="none" w:sz="0" w:space="0" w:color="auto"/>
                <w:right w:val="none" w:sz="0" w:space="0" w:color="auto"/>
              </w:divBdr>
            </w:div>
          </w:divsChild>
        </w:div>
        <w:div w:id="1710910445">
          <w:marLeft w:val="0"/>
          <w:marRight w:val="0"/>
          <w:marTop w:val="0"/>
          <w:marBottom w:val="0"/>
          <w:divBdr>
            <w:top w:val="none" w:sz="0" w:space="0" w:color="auto"/>
            <w:left w:val="none" w:sz="0" w:space="0" w:color="auto"/>
            <w:bottom w:val="none" w:sz="0" w:space="0" w:color="auto"/>
            <w:right w:val="none" w:sz="0" w:space="0" w:color="auto"/>
          </w:divBdr>
          <w:divsChild>
            <w:div w:id="1793015968">
              <w:marLeft w:val="0"/>
              <w:marRight w:val="0"/>
              <w:marTop w:val="0"/>
              <w:marBottom w:val="0"/>
              <w:divBdr>
                <w:top w:val="none" w:sz="0" w:space="0" w:color="auto"/>
                <w:left w:val="none" w:sz="0" w:space="0" w:color="auto"/>
                <w:bottom w:val="none" w:sz="0" w:space="0" w:color="auto"/>
                <w:right w:val="none" w:sz="0" w:space="0" w:color="auto"/>
              </w:divBdr>
            </w:div>
          </w:divsChild>
        </w:div>
        <w:div w:id="1362978322">
          <w:marLeft w:val="0"/>
          <w:marRight w:val="0"/>
          <w:marTop w:val="0"/>
          <w:marBottom w:val="0"/>
          <w:divBdr>
            <w:top w:val="none" w:sz="0" w:space="0" w:color="auto"/>
            <w:left w:val="none" w:sz="0" w:space="0" w:color="auto"/>
            <w:bottom w:val="none" w:sz="0" w:space="0" w:color="auto"/>
            <w:right w:val="none" w:sz="0" w:space="0" w:color="auto"/>
          </w:divBdr>
          <w:divsChild>
            <w:div w:id="457987567">
              <w:marLeft w:val="0"/>
              <w:marRight w:val="0"/>
              <w:marTop w:val="0"/>
              <w:marBottom w:val="0"/>
              <w:divBdr>
                <w:top w:val="none" w:sz="0" w:space="0" w:color="auto"/>
                <w:left w:val="none" w:sz="0" w:space="0" w:color="auto"/>
                <w:bottom w:val="none" w:sz="0" w:space="0" w:color="auto"/>
                <w:right w:val="none" w:sz="0" w:space="0" w:color="auto"/>
              </w:divBdr>
            </w:div>
          </w:divsChild>
        </w:div>
        <w:div w:id="559826883">
          <w:marLeft w:val="0"/>
          <w:marRight w:val="0"/>
          <w:marTop w:val="0"/>
          <w:marBottom w:val="0"/>
          <w:divBdr>
            <w:top w:val="none" w:sz="0" w:space="0" w:color="auto"/>
            <w:left w:val="none" w:sz="0" w:space="0" w:color="auto"/>
            <w:bottom w:val="none" w:sz="0" w:space="0" w:color="auto"/>
            <w:right w:val="none" w:sz="0" w:space="0" w:color="auto"/>
          </w:divBdr>
          <w:divsChild>
            <w:div w:id="1824882441">
              <w:marLeft w:val="0"/>
              <w:marRight w:val="0"/>
              <w:marTop w:val="0"/>
              <w:marBottom w:val="0"/>
              <w:divBdr>
                <w:top w:val="none" w:sz="0" w:space="0" w:color="auto"/>
                <w:left w:val="none" w:sz="0" w:space="0" w:color="auto"/>
                <w:bottom w:val="none" w:sz="0" w:space="0" w:color="auto"/>
                <w:right w:val="none" w:sz="0" w:space="0" w:color="auto"/>
              </w:divBdr>
            </w:div>
          </w:divsChild>
        </w:div>
        <w:div w:id="603342324">
          <w:marLeft w:val="0"/>
          <w:marRight w:val="0"/>
          <w:marTop w:val="0"/>
          <w:marBottom w:val="0"/>
          <w:divBdr>
            <w:top w:val="none" w:sz="0" w:space="0" w:color="auto"/>
            <w:left w:val="none" w:sz="0" w:space="0" w:color="auto"/>
            <w:bottom w:val="none" w:sz="0" w:space="0" w:color="auto"/>
            <w:right w:val="none" w:sz="0" w:space="0" w:color="auto"/>
          </w:divBdr>
          <w:divsChild>
            <w:div w:id="488062447">
              <w:marLeft w:val="0"/>
              <w:marRight w:val="0"/>
              <w:marTop w:val="0"/>
              <w:marBottom w:val="0"/>
              <w:divBdr>
                <w:top w:val="none" w:sz="0" w:space="0" w:color="auto"/>
                <w:left w:val="none" w:sz="0" w:space="0" w:color="auto"/>
                <w:bottom w:val="none" w:sz="0" w:space="0" w:color="auto"/>
                <w:right w:val="none" w:sz="0" w:space="0" w:color="auto"/>
              </w:divBdr>
            </w:div>
          </w:divsChild>
        </w:div>
        <w:div w:id="1850286830">
          <w:marLeft w:val="0"/>
          <w:marRight w:val="0"/>
          <w:marTop w:val="0"/>
          <w:marBottom w:val="0"/>
          <w:divBdr>
            <w:top w:val="none" w:sz="0" w:space="0" w:color="auto"/>
            <w:left w:val="none" w:sz="0" w:space="0" w:color="auto"/>
            <w:bottom w:val="none" w:sz="0" w:space="0" w:color="auto"/>
            <w:right w:val="none" w:sz="0" w:space="0" w:color="auto"/>
          </w:divBdr>
          <w:divsChild>
            <w:div w:id="1294947086">
              <w:marLeft w:val="0"/>
              <w:marRight w:val="0"/>
              <w:marTop w:val="0"/>
              <w:marBottom w:val="0"/>
              <w:divBdr>
                <w:top w:val="none" w:sz="0" w:space="0" w:color="auto"/>
                <w:left w:val="none" w:sz="0" w:space="0" w:color="auto"/>
                <w:bottom w:val="none" w:sz="0" w:space="0" w:color="auto"/>
                <w:right w:val="none" w:sz="0" w:space="0" w:color="auto"/>
              </w:divBdr>
            </w:div>
          </w:divsChild>
        </w:div>
        <w:div w:id="1458142341">
          <w:marLeft w:val="0"/>
          <w:marRight w:val="0"/>
          <w:marTop w:val="0"/>
          <w:marBottom w:val="0"/>
          <w:divBdr>
            <w:top w:val="none" w:sz="0" w:space="0" w:color="auto"/>
            <w:left w:val="none" w:sz="0" w:space="0" w:color="auto"/>
            <w:bottom w:val="none" w:sz="0" w:space="0" w:color="auto"/>
            <w:right w:val="none" w:sz="0" w:space="0" w:color="auto"/>
          </w:divBdr>
          <w:divsChild>
            <w:div w:id="147676536">
              <w:marLeft w:val="0"/>
              <w:marRight w:val="0"/>
              <w:marTop w:val="0"/>
              <w:marBottom w:val="0"/>
              <w:divBdr>
                <w:top w:val="none" w:sz="0" w:space="0" w:color="auto"/>
                <w:left w:val="none" w:sz="0" w:space="0" w:color="auto"/>
                <w:bottom w:val="none" w:sz="0" w:space="0" w:color="auto"/>
                <w:right w:val="none" w:sz="0" w:space="0" w:color="auto"/>
              </w:divBdr>
            </w:div>
          </w:divsChild>
        </w:div>
        <w:div w:id="523979166">
          <w:marLeft w:val="0"/>
          <w:marRight w:val="0"/>
          <w:marTop w:val="0"/>
          <w:marBottom w:val="0"/>
          <w:divBdr>
            <w:top w:val="none" w:sz="0" w:space="0" w:color="auto"/>
            <w:left w:val="none" w:sz="0" w:space="0" w:color="auto"/>
            <w:bottom w:val="none" w:sz="0" w:space="0" w:color="auto"/>
            <w:right w:val="none" w:sz="0" w:space="0" w:color="auto"/>
          </w:divBdr>
          <w:divsChild>
            <w:div w:id="925922323">
              <w:marLeft w:val="0"/>
              <w:marRight w:val="0"/>
              <w:marTop w:val="0"/>
              <w:marBottom w:val="0"/>
              <w:divBdr>
                <w:top w:val="none" w:sz="0" w:space="0" w:color="auto"/>
                <w:left w:val="none" w:sz="0" w:space="0" w:color="auto"/>
                <w:bottom w:val="none" w:sz="0" w:space="0" w:color="auto"/>
                <w:right w:val="none" w:sz="0" w:space="0" w:color="auto"/>
              </w:divBdr>
            </w:div>
          </w:divsChild>
        </w:div>
        <w:div w:id="1873104971">
          <w:marLeft w:val="0"/>
          <w:marRight w:val="0"/>
          <w:marTop w:val="0"/>
          <w:marBottom w:val="0"/>
          <w:divBdr>
            <w:top w:val="none" w:sz="0" w:space="0" w:color="auto"/>
            <w:left w:val="none" w:sz="0" w:space="0" w:color="auto"/>
            <w:bottom w:val="none" w:sz="0" w:space="0" w:color="auto"/>
            <w:right w:val="none" w:sz="0" w:space="0" w:color="auto"/>
          </w:divBdr>
          <w:divsChild>
            <w:div w:id="1655065154">
              <w:marLeft w:val="0"/>
              <w:marRight w:val="0"/>
              <w:marTop w:val="0"/>
              <w:marBottom w:val="0"/>
              <w:divBdr>
                <w:top w:val="none" w:sz="0" w:space="0" w:color="auto"/>
                <w:left w:val="none" w:sz="0" w:space="0" w:color="auto"/>
                <w:bottom w:val="none" w:sz="0" w:space="0" w:color="auto"/>
                <w:right w:val="none" w:sz="0" w:space="0" w:color="auto"/>
              </w:divBdr>
            </w:div>
          </w:divsChild>
        </w:div>
        <w:div w:id="1191261062">
          <w:marLeft w:val="0"/>
          <w:marRight w:val="0"/>
          <w:marTop w:val="0"/>
          <w:marBottom w:val="0"/>
          <w:divBdr>
            <w:top w:val="none" w:sz="0" w:space="0" w:color="auto"/>
            <w:left w:val="none" w:sz="0" w:space="0" w:color="auto"/>
            <w:bottom w:val="none" w:sz="0" w:space="0" w:color="auto"/>
            <w:right w:val="none" w:sz="0" w:space="0" w:color="auto"/>
          </w:divBdr>
          <w:divsChild>
            <w:div w:id="1749886797">
              <w:marLeft w:val="0"/>
              <w:marRight w:val="0"/>
              <w:marTop w:val="0"/>
              <w:marBottom w:val="0"/>
              <w:divBdr>
                <w:top w:val="none" w:sz="0" w:space="0" w:color="auto"/>
                <w:left w:val="none" w:sz="0" w:space="0" w:color="auto"/>
                <w:bottom w:val="none" w:sz="0" w:space="0" w:color="auto"/>
                <w:right w:val="none" w:sz="0" w:space="0" w:color="auto"/>
              </w:divBdr>
            </w:div>
          </w:divsChild>
        </w:div>
        <w:div w:id="1406536980">
          <w:marLeft w:val="0"/>
          <w:marRight w:val="0"/>
          <w:marTop w:val="0"/>
          <w:marBottom w:val="0"/>
          <w:divBdr>
            <w:top w:val="none" w:sz="0" w:space="0" w:color="auto"/>
            <w:left w:val="none" w:sz="0" w:space="0" w:color="auto"/>
            <w:bottom w:val="none" w:sz="0" w:space="0" w:color="auto"/>
            <w:right w:val="none" w:sz="0" w:space="0" w:color="auto"/>
          </w:divBdr>
          <w:divsChild>
            <w:div w:id="549150759">
              <w:marLeft w:val="0"/>
              <w:marRight w:val="0"/>
              <w:marTop w:val="0"/>
              <w:marBottom w:val="0"/>
              <w:divBdr>
                <w:top w:val="none" w:sz="0" w:space="0" w:color="auto"/>
                <w:left w:val="none" w:sz="0" w:space="0" w:color="auto"/>
                <w:bottom w:val="none" w:sz="0" w:space="0" w:color="auto"/>
                <w:right w:val="none" w:sz="0" w:space="0" w:color="auto"/>
              </w:divBdr>
            </w:div>
          </w:divsChild>
        </w:div>
        <w:div w:id="346323295">
          <w:marLeft w:val="0"/>
          <w:marRight w:val="0"/>
          <w:marTop w:val="0"/>
          <w:marBottom w:val="0"/>
          <w:divBdr>
            <w:top w:val="none" w:sz="0" w:space="0" w:color="auto"/>
            <w:left w:val="none" w:sz="0" w:space="0" w:color="auto"/>
            <w:bottom w:val="none" w:sz="0" w:space="0" w:color="auto"/>
            <w:right w:val="none" w:sz="0" w:space="0" w:color="auto"/>
          </w:divBdr>
          <w:divsChild>
            <w:div w:id="1448159202">
              <w:marLeft w:val="0"/>
              <w:marRight w:val="0"/>
              <w:marTop w:val="0"/>
              <w:marBottom w:val="0"/>
              <w:divBdr>
                <w:top w:val="none" w:sz="0" w:space="0" w:color="auto"/>
                <w:left w:val="none" w:sz="0" w:space="0" w:color="auto"/>
                <w:bottom w:val="none" w:sz="0" w:space="0" w:color="auto"/>
                <w:right w:val="none" w:sz="0" w:space="0" w:color="auto"/>
              </w:divBdr>
            </w:div>
          </w:divsChild>
        </w:div>
        <w:div w:id="1083793924">
          <w:marLeft w:val="0"/>
          <w:marRight w:val="0"/>
          <w:marTop w:val="0"/>
          <w:marBottom w:val="0"/>
          <w:divBdr>
            <w:top w:val="none" w:sz="0" w:space="0" w:color="auto"/>
            <w:left w:val="none" w:sz="0" w:space="0" w:color="auto"/>
            <w:bottom w:val="none" w:sz="0" w:space="0" w:color="auto"/>
            <w:right w:val="none" w:sz="0" w:space="0" w:color="auto"/>
          </w:divBdr>
          <w:divsChild>
            <w:div w:id="1597790322">
              <w:marLeft w:val="0"/>
              <w:marRight w:val="0"/>
              <w:marTop w:val="0"/>
              <w:marBottom w:val="0"/>
              <w:divBdr>
                <w:top w:val="none" w:sz="0" w:space="0" w:color="auto"/>
                <w:left w:val="none" w:sz="0" w:space="0" w:color="auto"/>
                <w:bottom w:val="none" w:sz="0" w:space="0" w:color="auto"/>
                <w:right w:val="none" w:sz="0" w:space="0" w:color="auto"/>
              </w:divBdr>
            </w:div>
          </w:divsChild>
        </w:div>
        <w:div w:id="564528148">
          <w:marLeft w:val="0"/>
          <w:marRight w:val="0"/>
          <w:marTop w:val="0"/>
          <w:marBottom w:val="0"/>
          <w:divBdr>
            <w:top w:val="none" w:sz="0" w:space="0" w:color="auto"/>
            <w:left w:val="none" w:sz="0" w:space="0" w:color="auto"/>
            <w:bottom w:val="none" w:sz="0" w:space="0" w:color="auto"/>
            <w:right w:val="none" w:sz="0" w:space="0" w:color="auto"/>
          </w:divBdr>
          <w:divsChild>
            <w:div w:id="1572353689">
              <w:marLeft w:val="0"/>
              <w:marRight w:val="0"/>
              <w:marTop w:val="0"/>
              <w:marBottom w:val="0"/>
              <w:divBdr>
                <w:top w:val="none" w:sz="0" w:space="0" w:color="auto"/>
                <w:left w:val="none" w:sz="0" w:space="0" w:color="auto"/>
                <w:bottom w:val="none" w:sz="0" w:space="0" w:color="auto"/>
                <w:right w:val="none" w:sz="0" w:space="0" w:color="auto"/>
              </w:divBdr>
            </w:div>
          </w:divsChild>
        </w:div>
        <w:div w:id="531843322">
          <w:marLeft w:val="0"/>
          <w:marRight w:val="0"/>
          <w:marTop w:val="0"/>
          <w:marBottom w:val="0"/>
          <w:divBdr>
            <w:top w:val="none" w:sz="0" w:space="0" w:color="auto"/>
            <w:left w:val="none" w:sz="0" w:space="0" w:color="auto"/>
            <w:bottom w:val="none" w:sz="0" w:space="0" w:color="auto"/>
            <w:right w:val="none" w:sz="0" w:space="0" w:color="auto"/>
          </w:divBdr>
          <w:divsChild>
            <w:div w:id="1795903367">
              <w:marLeft w:val="0"/>
              <w:marRight w:val="0"/>
              <w:marTop w:val="0"/>
              <w:marBottom w:val="0"/>
              <w:divBdr>
                <w:top w:val="none" w:sz="0" w:space="0" w:color="auto"/>
                <w:left w:val="none" w:sz="0" w:space="0" w:color="auto"/>
                <w:bottom w:val="none" w:sz="0" w:space="0" w:color="auto"/>
                <w:right w:val="none" w:sz="0" w:space="0" w:color="auto"/>
              </w:divBdr>
            </w:div>
          </w:divsChild>
        </w:div>
        <w:div w:id="1429079937">
          <w:marLeft w:val="0"/>
          <w:marRight w:val="0"/>
          <w:marTop w:val="0"/>
          <w:marBottom w:val="0"/>
          <w:divBdr>
            <w:top w:val="none" w:sz="0" w:space="0" w:color="auto"/>
            <w:left w:val="none" w:sz="0" w:space="0" w:color="auto"/>
            <w:bottom w:val="none" w:sz="0" w:space="0" w:color="auto"/>
            <w:right w:val="none" w:sz="0" w:space="0" w:color="auto"/>
          </w:divBdr>
          <w:divsChild>
            <w:div w:id="1101341157">
              <w:marLeft w:val="0"/>
              <w:marRight w:val="0"/>
              <w:marTop w:val="0"/>
              <w:marBottom w:val="0"/>
              <w:divBdr>
                <w:top w:val="none" w:sz="0" w:space="0" w:color="auto"/>
                <w:left w:val="none" w:sz="0" w:space="0" w:color="auto"/>
                <w:bottom w:val="none" w:sz="0" w:space="0" w:color="auto"/>
                <w:right w:val="none" w:sz="0" w:space="0" w:color="auto"/>
              </w:divBdr>
            </w:div>
          </w:divsChild>
        </w:div>
        <w:div w:id="1124226099">
          <w:marLeft w:val="0"/>
          <w:marRight w:val="0"/>
          <w:marTop w:val="0"/>
          <w:marBottom w:val="0"/>
          <w:divBdr>
            <w:top w:val="none" w:sz="0" w:space="0" w:color="auto"/>
            <w:left w:val="none" w:sz="0" w:space="0" w:color="auto"/>
            <w:bottom w:val="none" w:sz="0" w:space="0" w:color="auto"/>
            <w:right w:val="none" w:sz="0" w:space="0" w:color="auto"/>
          </w:divBdr>
          <w:divsChild>
            <w:div w:id="1471241961">
              <w:marLeft w:val="0"/>
              <w:marRight w:val="0"/>
              <w:marTop w:val="0"/>
              <w:marBottom w:val="0"/>
              <w:divBdr>
                <w:top w:val="none" w:sz="0" w:space="0" w:color="auto"/>
                <w:left w:val="none" w:sz="0" w:space="0" w:color="auto"/>
                <w:bottom w:val="none" w:sz="0" w:space="0" w:color="auto"/>
                <w:right w:val="none" w:sz="0" w:space="0" w:color="auto"/>
              </w:divBdr>
            </w:div>
          </w:divsChild>
        </w:div>
        <w:div w:id="1735197407">
          <w:marLeft w:val="0"/>
          <w:marRight w:val="0"/>
          <w:marTop w:val="0"/>
          <w:marBottom w:val="0"/>
          <w:divBdr>
            <w:top w:val="none" w:sz="0" w:space="0" w:color="auto"/>
            <w:left w:val="none" w:sz="0" w:space="0" w:color="auto"/>
            <w:bottom w:val="none" w:sz="0" w:space="0" w:color="auto"/>
            <w:right w:val="none" w:sz="0" w:space="0" w:color="auto"/>
          </w:divBdr>
          <w:divsChild>
            <w:div w:id="1075203790">
              <w:marLeft w:val="0"/>
              <w:marRight w:val="0"/>
              <w:marTop w:val="0"/>
              <w:marBottom w:val="0"/>
              <w:divBdr>
                <w:top w:val="none" w:sz="0" w:space="0" w:color="auto"/>
                <w:left w:val="none" w:sz="0" w:space="0" w:color="auto"/>
                <w:bottom w:val="none" w:sz="0" w:space="0" w:color="auto"/>
                <w:right w:val="none" w:sz="0" w:space="0" w:color="auto"/>
              </w:divBdr>
            </w:div>
          </w:divsChild>
        </w:div>
        <w:div w:id="2103136947">
          <w:marLeft w:val="0"/>
          <w:marRight w:val="0"/>
          <w:marTop w:val="0"/>
          <w:marBottom w:val="0"/>
          <w:divBdr>
            <w:top w:val="none" w:sz="0" w:space="0" w:color="auto"/>
            <w:left w:val="none" w:sz="0" w:space="0" w:color="auto"/>
            <w:bottom w:val="none" w:sz="0" w:space="0" w:color="auto"/>
            <w:right w:val="none" w:sz="0" w:space="0" w:color="auto"/>
          </w:divBdr>
          <w:divsChild>
            <w:div w:id="753283175">
              <w:marLeft w:val="0"/>
              <w:marRight w:val="0"/>
              <w:marTop w:val="0"/>
              <w:marBottom w:val="0"/>
              <w:divBdr>
                <w:top w:val="none" w:sz="0" w:space="0" w:color="auto"/>
                <w:left w:val="none" w:sz="0" w:space="0" w:color="auto"/>
                <w:bottom w:val="none" w:sz="0" w:space="0" w:color="auto"/>
                <w:right w:val="none" w:sz="0" w:space="0" w:color="auto"/>
              </w:divBdr>
            </w:div>
          </w:divsChild>
        </w:div>
        <w:div w:id="2116821633">
          <w:marLeft w:val="0"/>
          <w:marRight w:val="0"/>
          <w:marTop w:val="0"/>
          <w:marBottom w:val="0"/>
          <w:divBdr>
            <w:top w:val="none" w:sz="0" w:space="0" w:color="auto"/>
            <w:left w:val="none" w:sz="0" w:space="0" w:color="auto"/>
            <w:bottom w:val="none" w:sz="0" w:space="0" w:color="auto"/>
            <w:right w:val="none" w:sz="0" w:space="0" w:color="auto"/>
          </w:divBdr>
          <w:divsChild>
            <w:div w:id="790392573">
              <w:marLeft w:val="0"/>
              <w:marRight w:val="0"/>
              <w:marTop w:val="0"/>
              <w:marBottom w:val="0"/>
              <w:divBdr>
                <w:top w:val="none" w:sz="0" w:space="0" w:color="auto"/>
                <w:left w:val="none" w:sz="0" w:space="0" w:color="auto"/>
                <w:bottom w:val="none" w:sz="0" w:space="0" w:color="auto"/>
                <w:right w:val="none" w:sz="0" w:space="0" w:color="auto"/>
              </w:divBdr>
            </w:div>
          </w:divsChild>
        </w:div>
        <w:div w:id="163741670">
          <w:marLeft w:val="0"/>
          <w:marRight w:val="0"/>
          <w:marTop w:val="0"/>
          <w:marBottom w:val="0"/>
          <w:divBdr>
            <w:top w:val="none" w:sz="0" w:space="0" w:color="auto"/>
            <w:left w:val="none" w:sz="0" w:space="0" w:color="auto"/>
            <w:bottom w:val="none" w:sz="0" w:space="0" w:color="auto"/>
            <w:right w:val="none" w:sz="0" w:space="0" w:color="auto"/>
          </w:divBdr>
          <w:divsChild>
            <w:div w:id="1226720421">
              <w:marLeft w:val="0"/>
              <w:marRight w:val="0"/>
              <w:marTop w:val="0"/>
              <w:marBottom w:val="0"/>
              <w:divBdr>
                <w:top w:val="none" w:sz="0" w:space="0" w:color="auto"/>
                <w:left w:val="none" w:sz="0" w:space="0" w:color="auto"/>
                <w:bottom w:val="none" w:sz="0" w:space="0" w:color="auto"/>
                <w:right w:val="none" w:sz="0" w:space="0" w:color="auto"/>
              </w:divBdr>
            </w:div>
          </w:divsChild>
        </w:div>
        <w:div w:id="1863979970">
          <w:marLeft w:val="0"/>
          <w:marRight w:val="0"/>
          <w:marTop w:val="0"/>
          <w:marBottom w:val="0"/>
          <w:divBdr>
            <w:top w:val="none" w:sz="0" w:space="0" w:color="auto"/>
            <w:left w:val="none" w:sz="0" w:space="0" w:color="auto"/>
            <w:bottom w:val="none" w:sz="0" w:space="0" w:color="auto"/>
            <w:right w:val="none" w:sz="0" w:space="0" w:color="auto"/>
          </w:divBdr>
          <w:divsChild>
            <w:div w:id="1199318362">
              <w:marLeft w:val="0"/>
              <w:marRight w:val="0"/>
              <w:marTop w:val="0"/>
              <w:marBottom w:val="0"/>
              <w:divBdr>
                <w:top w:val="none" w:sz="0" w:space="0" w:color="auto"/>
                <w:left w:val="none" w:sz="0" w:space="0" w:color="auto"/>
                <w:bottom w:val="none" w:sz="0" w:space="0" w:color="auto"/>
                <w:right w:val="none" w:sz="0" w:space="0" w:color="auto"/>
              </w:divBdr>
            </w:div>
          </w:divsChild>
        </w:div>
        <w:div w:id="1456485710">
          <w:marLeft w:val="0"/>
          <w:marRight w:val="0"/>
          <w:marTop w:val="0"/>
          <w:marBottom w:val="0"/>
          <w:divBdr>
            <w:top w:val="none" w:sz="0" w:space="0" w:color="auto"/>
            <w:left w:val="none" w:sz="0" w:space="0" w:color="auto"/>
            <w:bottom w:val="none" w:sz="0" w:space="0" w:color="auto"/>
            <w:right w:val="none" w:sz="0" w:space="0" w:color="auto"/>
          </w:divBdr>
          <w:divsChild>
            <w:div w:id="26419381">
              <w:marLeft w:val="0"/>
              <w:marRight w:val="0"/>
              <w:marTop w:val="0"/>
              <w:marBottom w:val="0"/>
              <w:divBdr>
                <w:top w:val="none" w:sz="0" w:space="0" w:color="auto"/>
                <w:left w:val="none" w:sz="0" w:space="0" w:color="auto"/>
                <w:bottom w:val="none" w:sz="0" w:space="0" w:color="auto"/>
                <w:right w:val="none" w:sz="0" w:space="0" w:color="auto"/>
              </w:divBdr>
            </w:div>
          </w:divsChild>
        </w:div>
        <w:div w:id="1989167442">
          <w:marLeft w:val="0"/>
          <w:marRight w:val="0"/>
          <w:marTop w:val="0"/>
          <w:marBottom w:val="0"/>
          <w:divBdr>
            <w:top w:val="none" w:sz="0" w:space="0" w:color="auto"/>
            <w:left w:val="none" w:sz="0" w:space="0" w:color="auto"/>
            <w:bottom w:val="none" w:sz="0" w:space="0" w:color="auto"/>
            <w:right w:val="none" w:sz="0" w:space="0" w:color="auto"/>
          </w:divBdr>
          <w:divsChild>
            <w:div w:id="1991278374">
              <w:marLeft w:val="0"/>
              <w:marRight w:val="0"/>
              <w:marTop w:val="0"/>
              <w:marBottom w:val="0"/>
              <w:divBdr>
                <w:top w:val="none" w:sz="0" w:space="0" w:color="auto"/>
                <w:left w:val="none" w:sz="0" w:space="0" w:color="auto"/>
                <w:bottom w:val="none" w:sz="0" w:space="0" w:color="auto"/>
                <w:right w:val="none" w:sz="0" w:space="0" w:color="auto"/>
              </w:divBdr>
            </w:div>
          </w:divsChild>
        </w:div>
        <w:div w:id="1205384">
          <w:marLeft w:val="0"/>
          <w:marRight w:val="0"/>
          <w:marTop w:val="0"/>
          <w:marBottom w:val="0"/>
          <w:divBdr>
            <w:top w:val="none" w:sz="0" w:space="0" w:color="auto"/>
            <w:left w:val="none" w:sz="0" w:space="0" w:color="auto"/>
            <w:bottom w:val="none" w:sz="0" w:space="0" w:color="auto"/>
            <w:right w:val="none" w:sz="0" w:space="0" w:color="auto"/>
          </w:divBdr>
          <w:divsChild>
            <w:div w:id="2021271445">
              <w:marLeft w:val="0"/>
              <w:marRight w:val="0"/>
              <w:marTop w:val="0"/>
              <w:marBottom w:val="0"/>
              <w:divBdr>
                <w:top w:val="none" w:sz="0" w:space="0" w:color="auto"/>
                <w:left w:val="none" w:sz="0" w:space="0" w:color="auto"/>
                <w:bottom w:val="none" w:sz="0" w:space="0" w:color="auto"/>
                <w:right w:val="none" w:sz="0" w:space="0" w:color="auto"/>
              </w:divBdr>
            </w:div>
          </w:divsChild>
        </w:div>
        <w:div w:id="396320772">
          <w:marLeft w:val="0"/>
          <w:marRight w:val="0"/>
          <w:marTop w:val="0"/>
          <w:marBottom w:val="0"/>
          <w:divBdr>
            <w:top w:val="none" w:sz="0" w:space="0" w:color="auto"/>
            <w:left w:val="none" w:sz="0" w:space="0" w:color="auto"/>
            <w:bottom w:val="none" w:sz="0" w:space="0" w:color="auto"/>
            <w:right w:val="none" w:sz="0" w:space="0" w:color="auto"/>
          </w:divBdr>
          <w:divsChild>
            <w:div w:id="1757432407">
              <w:marLeft w:val="0"/>
              <w:marRight w:val="0"/>
              <w:marTop w:val="0"/>
              <w:marBottom w:val="0"/>
              <w:divBdr>
                <w:top w:val="none" w:sz="0" w:space="0" w:color="auto"/>
                <w:left w:val="none" w:sz="0" w:space="0" w:color="auto"/>
                <w:bottom w:val="none" w:sz="0" w:space="0" w:color="auto"/>
                <w:right w:val="none" w:sz="0" w:space="0" w:color="auto"/>
              </w:divBdr>
            </w:div>
          </w:divsChild>
        </w:div>
        <w:div w:id="502478096">
          <w:marLeft w:val="0"/>
          <w:marRight w:val="0"/>
          <w:marTop w:val="0"/>
          <w:marBottom w:val="0"/>
          <w:divBdr>
            <w:top w:val="none" w:sz="0" w:space="0" w:color="auto"/>
            <w:left w:val="none" w:sz="0" w:space="0" w:color="auto"/>
            <w:bottom w:val="none" w:sz="0" w:space="0" w:color="auto"/>
            <w:right w:val="none" w:sz="0" w:space="0" w:color="auto"/>
          </w:divBdr>
          <w:divsChild>
            <w:div w:id="257980188">
              <w:marLeft w:val="0"/>
              <w:marRight w:val="0"/>
              <w:marTop w:val="0"/>
              <w:marBottom w:val="0"/>
              <w:divBdr>
                <w:top w:val="none" w:sz="0" w:space="0" w:color="auto"/>
                <w:left w:val="none" w:sz="0" w:space="0" w:color="auto"/>
                <w:bottom w:val="none" w:sz="0" w:space="0" w:color="auto"/>
                <w:right w:val="none" w:sz="0" w:space="0" w:color="auto"/>
              </w:divBdr>
            </w:div>
          </w:divsChild>
        </w:div>
        <w:div w:id="968709556">
          <w:marLeft w:val="0"/>
          <w:marRight w:val="0"/>
          <w:marTop w:val="0"/>
          <w:marBottom w:val="0"/>
          <w:divBdr>
            <w:top w:val="none" w:sz="0" w:space="0" w:color="auto"/>
            <w:left w:val="none" w:sz="0" w:space="0" w:color="auto"/>
            <w:bottom w:val="none" w:sz="0" w:space="0" w:color="auto"/>
            <w:right w:val="none" w:sz="0" w:space="0" w:color="auto"/>
          </w:divBdr>
          <w:divsChild>
            <w:div w:id="869799072">
              <w:marLeft w:val="0"/>
              <w:marRight w:val="0"/>
              <w:marTop w:val="0"/>
              <w:marBottom w:val="0"/>
              <w:divBdr>
                <w:top w:val="none" w:sz="0" w:space="0" w:color="auto"/>
                <w:left w:val="none" w:sz="0" w:space="0" w:color="auto"/>
                <w:bottom w:val="none" w:sz="0" w:space="0" w:color="auto"/>
                <w:right w:val="none" w:sz="0" w:space="0" w:color="auto"/>
              </w:divBdr>
            </w:div>
          </w:divsChild>
        </w:div>
        <w:div w:id="2038851743">
          <w:marLeft w:val="0"/>
          <w:marRight w:val="0"/>
          <w:marTop w:val="0"/>
          <w:marBottom w:val="0"/>
          <w:divBdr>
            <w:top w:val="none" w:sz="0" w:space="0" w:color="auto"/>
            <w:left w:val="none" w:sz="0" w:space="0" w:color="auto"/>
            <w:bottom w:val="none" w:sz="0" w:space="0" w:color="auto"/>
            <w:right w:val="none" w:sz="0" w:space="0" w:color="auto"/>
          </w:divBdr>
          <w:divsChild>
            <w:div w:id="1811944996">
              <w:marLeft w:val="0"/>
              <w:marRight w:val="0"/>
              <w:marTop w:val="0"/>
              <w:marBottom w:val="0"/>
              <w:divBdr>
                <w:top w:val="none" w:sz="0" w:space="0" w:color="auto"/>
                <w:left w:val="none" w:sz="0" w:space="0" w:color="auto"/>
                <w:bottom w:val="none" w:sz="0" w:space="0" w:color="auto"/>
                <w:right w:val="none" w:sz="0" w:space="0" w:color="auto"/>
              </w:divBdr>
            </w:div>
          </w:divsChild>
        </w:div>
        <w:div w:id="1436166948">
          <w:marLeft w:val="0"/>
          <w:marRight w:val="0"/>
          <w:marTop w:val="0"/>
          <w:marBottom w:val="0"/>
          <w:divBdr>
            <w:top w:val="none" w:sz="0" w:space="0" w:color="auto"/>
            <w:left w:val="none" w:sz="0" w:space="0" w:color="auto"/>
            <w:bottom w:val="none" w:sz="0" w:space="0" w:color="auto"/>
            <w:right w:val="none" w:sz="0" w:space="0" w:color="auto"/>
          </w:divBdr>
          <w:divsChild>
            <w:div w:id="1245728856">
              <w:marLeft w:val="0"/>
              <w:marRight w:val="0"/>
              <w:marTop w:val="0"/>
              <w:marBottom w:val="0"/>
              <w:divBdr>
                <w:top w:val="none" w:sz="0" w:space="0" w:color="auto"/>
                <w:left w:val="none" w:sz="0" w:space="0" w:color="auto"/>
                <w:bottom w:val="none" w:sz="0" w:space="0" w:color="auto"/>
                <w:right w:val="none" w:sz="0" w:space="0" w:color="auto"/>
              </w:divBdr>
            </w:div>
          </w:divsChild>
        </w:div>
        <w:div w:id="161363371">
          <w:marLeft w:val="0"/>
          <w:marRight w:val="0"/>
          <w:marTop w:val="0"/>
          <w:marBottom w:val="0"/>
          <w:divBdr>
            <w:top w:val="none" w:sz="0" w:space="0" w:color="auto"/>
            <w:left w:val="none" w:sz="0" w:space="0" w:color="auto"/>
            <w:bottom w:val="none" w:sz="0" w:space="0" w:color="auto"/>
            <w:right w:val="none" w:sz="0" w:space="0" w:color="auto"/>
          </w:divBdr>
          <w:divsChild>
            <w:div w:id="262997036">
              <w:marLeft w:val="0"/>
              <w:marRight w:val="0"/>
              <w:marTop w:val="0"/>
              <w:marBottom w:val="0"/>
              <w:divBdr>
                <w:top w:val="none" w:sz="0" w:space="0" w:color="auto"/>
                <w:left w:val="none" w:sz="0" w:space="0" w:color="auto"/>
                <w:bottom w:val="none" w:sz="0" w:space="0" w:color="auto"/>
                <w:right w:val="none" w:sz="0" w:space="0" w:color="auto"/>
              </w:divBdr>
            </w:div>
          </w:divsChild>
        </w:div>
        <w:div w:id="1865089632">
          <w:marLeft w:val="0"/>
          <w:marRight w:val="0"/>
          <w:marTop w:val="0"/>
          <w:marBottom w:val="0"/>
          <w:divBdr>
            <w:top w:val="none" w:sz="0" w:space="0" w:color="auto"/>
            <w:left w:val="none" w:sz="0" w:space="0" w:color="auto"/>
            <w:bottom w:val="none" w:sz="0" w:space="0" w:color="auto"/>
            <w:right w:val="none" w:sz="0" w:space="0" w:color="auto"/>
          </w:divBdr>
          <w:divsChild>
            <w:div w:id="2098743017">
              <w:marLeft w:val="0"/>
              <w:marRight w:val="0"/>
              <w:marTop w:val="0"/>
              <w:marBottom w:val="0"/>
              <w:divBdr>
                <w:top w:val="none" w:sz="0" w:space="0" w:color="auto"/>
                <w:left w:val="none" w:sz="0" w:space="0" w:color="auto"/>
                <w:bottom w:val="none" w:sz="0" w:space="0" w:color="auto"/>
                <w:right w:val="none" w:sz="0" w:space="0" w:color="auto"/>
              </w:divBdr>
            </w:div>
          </w:divsChild>
        </w:div>
        <w:div w:id="1523713234">
          <w:marLeft w:val="0"/>
          <w:marRight w:val="0"/>
          <w:marTop w:val="0"/>
          <w:marBottom w:val="0"/>
          <w:divBdr>
            <w:top w:val="none" w:sz="0" w:space="0" w:color="auto"/>
            <w:left w:val="none" w:sz="0" w:space="0" w:color="auto"/>
            <w:bottom w:val="none" w:sz="0" w:space="0" w:color="auto"/>
            <w:right w:val="none" w:sz="0" w:space="0" w:color="auto"/>
          </w:divBdr>
          <w:divsChild>
            <w:div w:id="603727023">
              <w:marLeft w:val="0"/>
              <w:marRight w:val="0"/>
              <w:marTop w:val="0"/>
              <w:marBottom w:val="0"/>
              <w:divBdr>
                <w:top w:val="none" w:sz="0" w:space="0" w:color="auto"/>
                <w:left w:val="none" w:sz="0" w:space="0" w:color="auto"/>
                <w:bottom w:val="none" w:sz="0" w:space="0" w:color="auto"/>
                <w:right w:val="none" w:sz="0" w:space="0" w:color="auto"/>
              </w:divBdr>
            </w:div>
          </w:divsChild>
        </w:div>
        <w:div w:id="1886284599">
          <w:marLeft w:val="0"/>
          <w:marRight w:val="0"/>
          <w:marTop w:val="0"/>
          <w:marBottom w:val="0"/>
          <w:divBdr>
            <w:top w:val="none" w:sz="0" w:space="0" w:color="auto"/>
            <w:left w:val="none" w:sz="0" w:space="0" w:color="auto"/>
            <w:bottom w:val="none" w:sz="0" w:space="0" w:color="auto"/>
            <w:right w:val="none" w:sz="0" w:space="0" w:color="auto"/>
          </w:divBdr>
          <w:divsChild>
            <w:div w:id="1819615157">
              <w:marLeft w:val="0"/>
              <w:marRight w:val="0"/>
              <w:marTop w:val="0"/>
              <w:marBottom w:val="0"/>
              <w:divBdr>
                <w:top w:val="none" w:sz="0" w:space="0" w:color="auto"/>
                <w:left w:val="none" w:sz="0" w:space="0" w:color="auto"/>
                <w:bottom w:val="none" w:sz="0" w:space="0" w:color="auto"/>
                <w:right w:val="none" w:sz="0" w:space="0" w:color="auto"/>
              </w:divBdr>
            </w:div>
          </w:divsChild>
        </w:div>
        <w:div w:id="590629283">
          <w:marLeft w:val="0"/>
          <w:marRight w:val="0"/>
          <w:marTop w:val="0"/>
          <w:marBottom w:val="0"/>
          <w:divBdr>
            <w:top w:val="none" w:sz="0" w:space="0" w:color="auto"/>
            <w:left w:val="none" w:sz="0" w:space="0" w:color="auto"/>
            <w:bottom w:val="none" w:sz="0" w:space="0" w:color="auto"/>
            <w:right w:val="none" w:sz="0" w:space="0" w:color="auto"/>
          </w:divBdr>
          <w:divsChild>
            <w:div w:id="967050701">
              <w:marLeft w:val="0"/>
              <w:marRight w:val="0"/>
              <w:marTop w:val="0"/>
              <w:marBottom w:val="0"/>
              <w:divBdr>
                <w:top w:val="none" w:sz="0" w:space="0" w:color="auto"/>
                <w:left w:val="none" w:sz="0" w:space="0" w:color="auto"/>
                <w:bottom w:val="none" w:sz="0" w:space="0" w:color="auto"/>
                <w:right w:val="none" w:sz="0" w:space="0" w:color="auto"/>
              </w:divBdr>
            </w:div>
          </w:divsChild>
        </w:div>
        <w:div w:id="1237083900">
          <w:marLeft w:val="0"/>
          <w:marRight w:val="0"/>
          <w:marTop w:val="0"/>
          <w:marBottom w:val="0"/>
          <w:divBdr>
            <w:top w:val="none" w:sz="0" w:space="0" w:color="auto"/>
            <w:left w:val="none" w:sz="0" w:space="0" w:color="auto"/>
            <w:bottom w:val="none" w:sz="0" w:space="0" w:color="auto"/>
            <w:right w:val="none" w:sz="0" w:space="0" w:color="auto"/>
          </w:divBdr>
          <w:divsChild>
            <w:div w:id="295530209">
              <w:marLeft w:val="0"/>
              <w:marRight w:val="0"/>
              <w:marTop w:val="0"/>
              <w:marBottom w:val="0"/>
              <w:divBdr>
                <w:top w:val="none" w:sz="0" w:space="0" w:color="auto"/>
                <w:left w:val="none" w:sz="0" w:space="0" w:color="auto"/>
                <w:bottom w:val="none" w:sz="0" w:space="0" w:color="auto"/>
                <w:right w:val="none" w:sz="0" w:space="0" w:color="auto"/>
              </w:divBdr>
            </w:div>
          </w:divsChild>
        </w:div>
        <w:div w:id="1933127386">
          <w:marLeft w:val="0"/>
          <w:marRight w:val="0"/>
          <w:marTop w:val="0"/>
          <w:marBottom w:val="0"/>
          <w:divBdr>
            <w:top w:val="none" w:sz="0" w:space="0" w:color="auto"/>
            <w:left w:val="none" w:sz="0" w:space="0" w:color="auto"/>
            <w:bottom w:val="none" w:sz="0" w:space="0" w:color="auto"/>
            <w:right w:val="none" w:sz="0" w:space="0" w:color="auto"/>
          </w:divBdr>
          <w:divsChild>
            <w:div w:id="2046565975">
              <w:marLeft w:val="0"/>
              <w:marRight w:val="0"/>
              <w:marTop w:val="0"/>
              <w:marBottom w:val="0"/>
              <w:divBdr>
                <w:top w:val="none" w:sz="0" w:space="0" w:color="auto"/>
                <w:left w:val="none" w:sz="0" w:space="0" w:color="auto"/>
                <w:bottom w:val="none" w:sz="0" w:space="0" w:color="auto"/>
                <w:right w:val="none" w:sz="0" w:space="0" w:color="auto"/>
              </w:divBdr>
            </w:div>
          </w:divsChild>
        </w:div>
        <w:div w:id="1218855660">
          <w:marLeft w:val="0"/>
          <w:marRight w:val="0"/>
          <w:marTop w:val="0"/>
          <w:marBottom w:val="0"/>
          <w:divBdr>
            <w:top w:val="none" w:sz="0" w:space="0" w:color="auto"/>
            <w:left w:val="none" w:sz="0" w:space="0" w:color="auto"/>
            <w:bottom w:val="none" w:sz="0" w:space="0" w:color="auto"/>
            <w:right w:val="none" w:sz="0" w:space="0" w:color="auto"/>
          </w:divBdr>
          <w:divsChild>
            <w:div w:id="1849640473">
              <w:marLeft w:val="0"/>
              <w:marRight w:val="0"/>
              <w:marTop w:val="0"/>
              <w:marBottom w:val="0"/>
              <w:divBdr>
                <w:top w:val="none" w:sz="0" w:space="0" w:color="auto"/>
                <w:left w:val="none" w:sz="0" w:space="0" w:color="auto"/>
                <w:bottom w:val="none" w:sz="0" w:space="0" w:color="auto"/>
                <w:right w:val="none" w:sz="0" w:space="0" w:color="auto"/>
              </w:divBdr>
            </w:div>
          </w:divsChild>
        </w:div>
        <w:div w:id="1593396878">
          <w:marLeft w:val="0"/>
          <w:marRight w:val="0"/>
          <w:marTop w:val="0"/>
          <w:marBottom w:val="0"/>
          <w:divBdr>
            <w:top w:val="none" w:sz="0" w:space="0" w:color="auto"/>
            <w:left w:val="none" w:sz="0" w:space="0" w:color="auto"/>
            <w:bottom w:val="none" w:sz="0" w:space="0" w:color="auto"/>
            <w:right w:val="none" w:sz="0" w:space="0" w:color="auto"/>
          </w:divBdr>
          <w:divsChild>
            <w:div w:id="10768152">
              <w:marLeft w:val="0"/>
              <w:marRight w:val="0"/>
              <w:marTop w:val="0"/>
              <w:marBottom w:val="0"/>
              <w:divBdr>
                <w:top w:val="none" w:sz="0" w:space="0" w:color="auto"/>
                <w:left w:val="none" w:sz="0" w:space="0" w:color="auto"/>
                <w:bottom w:val="none" w:sz="0" w:space="0" w:color="auto"/>
                <w:right w:val="none" w:sz="0" w:space="0" w:color="auto"/>
              </w:divBdr>
            </w:div>
          </w:divsChild>
        </w:div>
        <w:div w:id="1440759245">
          <w:marLeft w:val="0"/>
          <w:marRight w:val="0"/>
          <w:marTop w:val="0"/>
          <w:marBottom w:val="0"/>
          <w:divBdr>
            <w:top w:val="none" w:sz="0" w:space="0" w:color="auto"/>
            <w:left w:val="none" w:sz="0" w:space="0" w:color="auto"/>
            <w:bottom w:val="none" w:sz="0" w:space="0" w:color="auto"/>
            <w:right w:val="none" w:sz="0" w:space="0" w:color="auto"/>
          </w:divBdr>
          <w:divsChild>
            <w:div w:id="1270504477">
              <w:marLeft w:val="0"/>
              <w:marRight w:val="0"/>
              <w:marTop w:val="0"/>
              <w:marBottom w:val="0"/>
              <w:divBdr>
                <w:top w:val="none" w:sz="0" w:space="0" w:color="auto"/>
                <w:left w:val="none" w:sz="0" w:space="0" w:color="auto"/>
                <w:bottom w:val="none" w:sz="0" w:space="0" w:color="auto"/>
                <w:right w:val="none" w:sz="0" w:space="0" w:color="auto"/>
              </w:divBdr>
            </w:div>
          </w:divsChild>
        </w:div>
        <w:div w:id="472405830">
          <w:marLeft w:val="0"/>
          <w:marRight w:val="0"/>
          <w:marTop w:val="0"/>
          <w:marBottom w:val="0"/>
          <w:divBdr>
            <w:top w:val="none" w:sz="0" w:space="0" w:color="auto"/>
            <w:left w:val="none" w:sz="0" w:space="0" w:color="auto"/>
            <w:bottom w:val="none" w:sz="0" w:space="0" w:color="auto"/>
            <w:right w:val="none" w:sz="0" w:space="0" w:color="auto"/>
          </w:divBdr>
          <w:divsChild>
            <w:div w:id="1854757178">
              <w:marLeft w:val="0"/>
              <w:marRight w:val="0"/>
              <w:marTop w:val="0"/>
              <w:marBottom w:val="0"/>
              <w:divBdr>
                <w:top w:val="none" w:sz="0" w:space="0" w:color="auto"/>
                <w:left w:val="none" w:sz="0" w:space="0" w:color="auto"/>
                <w:bottom w:val="none" w:sz="0" w:space="0" w:color="auto"/>
                <w:right w:val="none" w:sz="0" w:space="0" w:color="auto"/>
              </w:divBdr>
            </w:div>
          </w:divsChild>
        </w:div>
        <w:div w:id="208678">
          <w:marLeft w:val="0"/>
          <w:marRight w:val="0"/>
          <w:marTop w:val="0"/>
          <w:marBottom w:val="0"/>
          <w:divBdr>
            <w:top w:val="none" w:sz="0" w:space="0" w:color="auto"/>
            <w:left w:val="none" w:sz="0" w:space="0" w:color="auto"/>
            <w:bottom w:val="none" w:sz="0" w:space="0" w:color="auto"/>
            <w:right w:val="none" w:sz="0" w:space="0" w:color="auto"/>
          </w:divBdr>
          <w:divsChild>
            <w:div w:id="1061178363">
              <w:marLeft w:val="0"/>
              <w:marRight w:val="0"/>
              <w:marTop w:val="0"/>
              <w:marBottom w:val="0"/>
              <w:divBdr>
                <w:top w:val="none" w:sz="0" w:space="0" w:color="auto"/>
                <w:left w:val="none" w:sz="0" w:space="0" w:color="auto"/>
                <w:bottom w:val="none" w:sz="0" w:space="0" w:color="auto"/>
                <w:right w:val="none" w:sz="0" w:space="0" w:color="auto"/>
              </w:divBdr>
            </w:div>
          </w:divsChild>
        </w:div>
        <w:div w:id="828711150">
          <w:marLeft w:val="0"/>
          <w:marRight w:val="0"/>
          <w:marTop w:val="0"/>
          <w:marBottom w:val="0"/>
          <w:divBdr>
            <w:top w:val="none" w:sz="0" w:space="0" w:color="auto"/>
            <w:left w:val="none" w:sz="0" w:space="0" w:color="auto"/>
            <w:bottom w:val="none" w:sz="0" w:space="0" w:color="auto"/>
            <w:right w:val="none" w:sz="0" w:space="0" w:color="auto"/>
          </w:divBdr>
          <w:divsChild>
            <w:div w:id="1650792821">
              <w:marLeft w:val="0"/>
              <w:marRight w:val="0"/>
              <w:marTop w:val="0"/>
              <w:marBottom w:val="0"/>
              <w:divBdr>
                <w:top w:val="none" w:sz="0" w:space="0" w:color="auto"/>
                <w:left w:val="none" w:sz="0" w:space="0" w:color="auto"/>
                <w:bottom w:val="none" w:sz="0" w:space="0" w:color="auto"/>
                <w:right w:val="none" w:sz="0" w:space="0" w:color="auto"/>
              </w:divBdr>
            </w:div>
          </w:divsChild>
        </w:div>
        <w:div w:id="692263175">
          <w:marLeft w:val="0"/>
          <w:marRight w:val="0"/>
          <w:marTop w:val="0"/>
          <w:marBottom w:val="0"/>
          <w:divBdr>
            <w:top w:val="none" w:sz="0" w:space="0" w:color="auto"/>
            <w:left w:val="none" w:sz="0" w:space="0" w:color="auto"/>
            <w:bottom w:val="none" w:sz="0" w:space="0" w:color="auto"/>
            <w:right w:val="none" w:sz="0" w:space="0" w:color="auto"/>
          </w:divBdr>
          <w:divsChild>
            <w:div w:id="1856846142">
              <w:marLeft w:val="0"/>
              <w:marRight w:val="0"/>
              <w:marTop w:val="0"/>
              <w:marBottom w:val="0"/>
              <w:divBdr>
                <w:top w:val="none" w:sz="0" w:space="0" w:color="auto"/>
                <w:left w:val="none" w:sz="0" w:space="0" w:color="auto"/>
                <w:bottom w:val="none" w:sz="0" w:space="0" w:color="auto"/>
                <w:right w:val="none" w:sz="0" w:space="0" w:color="auto"/>
              </w:divBdr>
            </w:div>
          </w:divsChild>
        </w:div>
        <w:div w:id="1220432886">
          <w:marLeft w:val="0"/>
          <w:marRight w:val="0"/>
          <w:marTop w:val="0"/>
          <w:marBottom w:val="0"/>
          <w:divBdr>
            <w:top w:val="none" w:sz="0" w:space="0" w:color="auto"/>
            <w:left w:val="none" w:sz="0" w:space="0" w:color="auto"/>
            <w:bottom w:val="none" w:sz="0" w:space="0" w:color="auto"/>
            <w:right w:val="none" w:sz="0" w:space="0" w:color="auto"/>
          </w:divBdr>
          <w:divsChild>
            <w:div w:id="670302553">
              <w:marLeft w:val="0"/>
              <w:marRight w:val="0"/>
              <w:marTop w:val="0"/>
              <w:marBottom w:val="0"/>
              <w:divBdr>
                <w:top w:val="none" w:sz="0" w:space="0" w:color="auto"/>
                <w:left w:val="none" w:sz="0" w:space="0" w:color="auto"/>
                <w:bottom w:val="none" w:sz="0" w:space="0" w:color="auto"/>
                <w:right w:val="none" w:sz="0" w:space="0" w:color="auto"/>
              </w:divBdr>
            </w:div>
          </w:divsChild>
        </w:div>
        <w:div w:id="959386267">
          <w:marLeft w:val="0"/>
          <w:marRight w:val="0"/>
          <w:marTop w:val="0"/>
          <w:marBottom w:val="0"/>
          <w:divBdr>
            <w:top w:val="none" w:sz="0" w:space="0" w:color="auto"/>
            <w:left w:val="none" w:sz="0" w:space="0" w:color="auto"/>
            <w:bottom w:val="none" w:sz="0" w:space="0" w:color="auto"/>
            <w:right w:val="none" w:sz="0" w:space="0" w:color="auto"/>
          </w:divBdr>
          <w:divsChild>
            <w:div w:id="929578677">
              <w:marLeft w:val="0"/>
              <w:marRight w:val="0"/>
              <w:marTop w:val="0"/>
              <w:marBottom w:val="0"/>
              <w:divBdr>
                <w:top w:val="none" w:sz="0" w:space="0" w:color="auto"/>
                <w:left w:val="none" w:sz="0" w:space="0" w:color="auto"/>
                <w:bottom w:val="none" w:sz="0" w:space="0" w:color="auto"/>
                <w:right w:val="none" w:sz="0" w:space="0" w:color="auto"/>
              </w:divBdr>
            </w:div>
          </w:divsChild>
        </w:div>
        <w:div w:id="1830631272">
          <w:marLeft w:val="0"/>
          <w:marRight w:val="0"/>
          <w:marTop w:val="0"/>
          <w:marBottom w:val="0"/>
          <w:divBdr>
            <w:top w:val="none" w:sz="0" w:space="0" w:color="auto"/>
            <w:left w:val="none" w:sz="0" w:space="0" w:color="auto"/>
            <w:bottom w:val="none" w:sz="0" w:space="0" w:color="auto"/>
            <w:right w:val="none" w:sz="0" w:space="0" w:color="auto"/>
          </w:divBdr>
          <w:divsChild>
            <w:div w:id="1380129573">
              <w:marLeft w:val="0"/>
              <w:marRight w:val="0"/>
              <w:marTop w:val="0"/>
              <w:marBottom w:val="0"/>
              <w:divBdr>
                <w:top w:val="none" w:sz="0" w:space="0" w:color="auto"/>
                <w:left w:val="none" w:sz="0" w:space="0" w:color="auto"/>
                <w:bottom w:val="none" w:sz="0" w:space="0" w:color="auto"/>
                <w:right w:val="none" w:sz="0" w:space="0" w:color="auto"/>
              </w:divBdr>
            </w:div>
          </w:divsChild>
        </w:div>
        <w:div w:id="1772772871">
          <w:marLeft w:val="0"/>
          <w:marRight w:val="0"/>
          <w:marTop w:val="0"/>
          <w:marBottom w:val="0"/>
          <w:divBdr>
            <w:top w:val="none" w:sz="0" w:space="0" w:color="auto"/>
            <w:left w:val="none" w:sz="0" w:space="0" w:color="auto"/>
            <w:bottom w:val="none" w:sz="0" w:space="0" w:color="auto"/>
            <w:right w:val="none" w:sz="0" w:space="0" w:color="auto"/>
          </w:divBdr>
          <w:divsChild>
            <w:div w:id="459496574">
              <w:marLeft w:val="0"/>
              <w:marRight w:val="0"/>
              <w:marTop w:val="0"/>
              <w:marBottom w:val="0"/>
              <w:divBdr>
                <w:top w:val="none" w:sz="0" w:space="0" w:color="auto"/>
                <w:left w:val="none" w:sz="0" w:space="0" w:color="auto"/>
                <w:bottom w:val="none" w:sz="0" w:space="0" w:color="auto"/>
                <w:right w:val="none" w:sz="0" w:space="0" w:color="auto"/>
              </w:divBdr>
            </w:div>
          </w:divsChild>
        </w:div>
        <w:div w:id="1388409193">
          <w:marLeft w:val="0"/>
          <w:marRight w:val="0"/>
          <w:marTop w:val="0"/>
          <w:marBottom w:val="0"/>
          <w:divBdr>
            <w:top w:val="none" w:sz="0" w:space="0" w:color="auto"/>
            <w:left w:val="none" w:sz="0" w:space="0" w:color="auto"/>
            <w:bottom w:val="none" w:sz="0" w:space="0" w:color="auto"/>
            <w:right w:val="none" w:sz="0" w:space="0" w:color="auto"/>
          </w:divBdr>
          <w:divsChild>
            <w:div w:id="1233810489">
              <w:marLeft w:val="0"/>
              <w:marRight w:val="0"/>
              <w:marTop w:val="0"/>
              <w:marBottom w:val="0"/>
              <w:divBdr>
                <w:top w:val="none" w:sz="0" w:space="0" w:color="auto"/>
                <w:left w:val="none" w:sz="0" w:space="0" w:color="auto"/>
                <w:bottom w:val="none" w:sz="0" w:space="0" w:color="auto"/>
                <w:right w:val="none" w:sz="0" w:space="0" w:color="auto"/>
              </w:divBdr>
            </w:div>
          </w:divsChild>
        </w:div>
        <w:div w:id="391395747">
          <w:marLeft w:val="0"/>
          <w:marRight w:val="0"/>
          <w:marTop w:val="0"/>
          <w:marBottom w:val="0"/>
          <w:divBdr>
            <w:top w:val="none" w:sz="0" w:space="0" w:color="auto"/>
            <w:left w:val="none" w:sz="0" w:space="0" w:color="auto"/>
            <w:bottom w:val="none" w:sz="0" w:space="0" w:color="auto"/>
            <w:right w:val="none" w:sz="0" w:space="0" w:color="auto"/>
          </w:divBdr>
          <w:divsChild>
            <w:div w:id="2128307538">
              <w:marLeft w:val="0"/>
              <w:marRight w:val="0"/>
              <w:marTop w:val="0"/>
              <w:marBottom w:val="0"/>
              <w:divBdr>
                <w:top w:val="none" w:sz="0" w:space="0" w:color="auto"/>
                <w:left w:val="none" w:sz="0" w:space="0" w:color="auto"/>
                <w:bottom w:val="none" w:sz="0" w:space="0" w:color="auto"/>
                <w:right w:val="none" w:sz="0" w:space="0" w:color="auto"/>
              </w:divBdr>
            </w:div>
          </w:divsChild>
        </w:div>
        <w:div w:id="1047528480">
          <w:marLeft w:val="0"/>
          <w:marRight w:val="0"/>
          <w:marTop w:val="0"/>
          <w:marBottom w:val="0"/>
          <w:divBdr>
            <w:top w:val="none" w:sz="0" w:space="0" w:color="auto"/>
            <w:left w:val="none" w:sz="0" w:space="0" w:color="auto"/>
            <w:bottom w:val="none" w:sz="0" w:space="0" w:color="auto"/>
            <w:right w:val="none" w:sz="0" w:space="0" w:color="auto"/>
          </w:divBdr>
          <w:divsChild>
            <w:div w:id="1015571641">
              <w:marLeft w:val="0"/>
              <w:marRight w:val="0"/>
              <w:marTop w:val="0"/>
              <w:marBottom w:val="0"/>
              <w:divBdr>
                <w:top w:val="none" w:sz="0" w:space="0" w:color="auto"/>
                <w:left w:val="none" w:sz="0" w:space="0" w:color="auto"/>
                <w:bottom w:val="none" w:sz="0" w:space="0" w:color="auto"/>
                <w:right w:val="none" w:sz="0" w:space="0" w:color="auto"/>
              </w:divBdr>
            </w:div>
          </w:divsChild>
        </w:div>
        <w:div w:id="333191106">
          <w:marLeft w:val="0"/>
          <w:marRight w:val="0"/>
          <w:marTop w:val="0"/>
          <w:marBottom w:val="0"/>
          <w:divBdr>
            <w:top w:val="none" w:sz="0" w:space="0" w:color="auto"/>
            <w:left w:val="none" w:sz="0" w:space="0" w:color="auto"/>
            <w:bottom w:val="none" w:sz="0" w:space="0" w:color="auto"/>
            <w:right w:val="none" w:sz="0" w:space="0" w:color="auto"/>
          </w:divBdr>
          <w:divsChild>
            <w:div w:id="13438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89732">
      <w:bodyDiv w:val="1"/>
      <w:marLeft w:val="0"/>
      <w:marRight w:val="0"/>
      <w:marTop w:val="0"/>
      <w:marBottom w:val="0"/>
      <w:divBdr>
        <w:top w:val="none" w:sz="0" w:space="0" w:color="auto"/>
        <w:left w:val="none" w:sz="0" w:space="0" w:color="auto"/>
        <w:bottom w:val="none" w:sz="0" w:space="0" w:color="auto"/>
        <w:right w:val="none" w:sz="0" w:space="0" w:color="auto"/>
      </w:divBdr>
    </w:div>
    <w:div w:id="549465107">
      <w:bodyDiv w:val="1"/>
      <w:marLeft w:val="0"/>
      <w:marRight w:val="0"/>
      <w:marTop w:val="0"/>
      <w:marBottom w:val="0"/>
      <w:divBdr>
        <w:top w:val="none" w:sz="0" w:space="0" w:color="auto"/>
        <w:left w:val="none" w:sz="0" w:space="0" w:color="auto"/>
        <w:bottom w:val="none" w:sz="0" w:space="0" w:color="auto"/>
        <w:right w:val="none" w:sz="0" w:space="0" w:color="auto"/>
      </w:divBdr>
      <w:divsChild>
        <w:div w:id="1246838254">
          <w:marLeft w:val="0"/>
          <w:marRight w:val="0"/>
          <w:marTop w:val="0"/>
          <w:marBottom w:val="0"/>
          <w:divBdr>
            <w:top w:val="none" w:sz="0" w:space="0" w:color="auto"/>
            <w:left w:val="none" w:sz="0" w:space="0" w:color="auto"/>
            <w:bottom w:val="none" w:sz="0" w:space="0" w:color="auto"/>
            <w:right w:val="none" w:sz="0" w:space="0" w:color="auto"/>
          </w:divBdr>
          <w:divsChild>
            <w:div w:id="1122652795">
              <w:marLeft w:val="0"/>
              <w:marRight w:val="0"/>
              <w:marTop w:val="0"/>
              <w:marBottom w:val="0"/>
              <w:divBdr>
                <w:top w:val="none" w:sz="0" w:space="0" w:color="auto"/>
                <w:left w:val="none" w:sz="0" w:space="0" w:color="auto"/>
                <w:bottom w:val="none" w:sz="0" w:space="0" w:color="auto"/>
                <w:right w:val="none" w:sz="0" w:space="0" w:color="auto"/>
              </w:divBdr>
            </w:div>
          </w:divsChild>
        </w:div>
        <w:div w:id="968588438">
          <w:marLeft w:val="0"/>
          <w:marRight w:val="0"/>
          <w:marTop w:val="0"/>
          <w:marBottom w:val="0"/>
          <w:divBdr>
            <w:top w:val="none" w:sz="0" w:space="0" w:color="auto"/>
            <w:left w:val="none" w:sz="0" w:space="0" w:color="auto"/>
            <w:bottom w:val="none" w:sz="0" w:space="0" w:color="auto"/>
            <w:right w:val="none" w:sz="0" w:space="0" w:color="auto"/>
          </w:divBdr>
          <w:divsChild>
            <w:div w:id="1878153727">
              <w:marLeft w:val="0"/>
              <w:marRight w:val="0"/>
              <w:marTop w:val="0"/>
              <w:marBottom w:val="0"/>
              <w:divBdr>
                <w:top w:val="none" w:sz="0" w:space="0" w:color="auto"/>
                <w:left w:val="none" w:sz="0" w:space="0" w:color="auto"/>
                <w:bottom w:val="none" w:sz="0" w:space="0" w:color="auto"/>
                <w:right w:val="none" w:sz="0" w:space="0" w:color="auto"/>
              </w:divBdr>
            </w:div>
          </w:divsChild>
        </w:div>
        <w:div w:id="1929725528">
          <w:marLeft w:val="0"/>
          <w:marRight w:val="0"/>
          <w:marTop w:val="0"/>
          <w:marBottom w:val="0"/>
          <w:divBdr>
            <w:top w:val="none" w:sz="0" w:space="0" w:color="auto"/>
            <w:left w:val="none" w:sz="0" w:space="0" w:color="auto"/>
            <w:bottom w:val="none" w:sz="0" w:space="0" w:color="auto"/>
            <w:right w:val="none" w:sz="0" w:space="0" w:color="auto"/>
          </w:divBdr>
          <w:divsChild>
            <w:div w:id="819466344">
              <w:marLeft w:val="0"/>
              <w:marRight w:val="0"/>
              <w:marTop w:val="0"/>
              <w:marBottom w:val="0"/>
              <w:divBdr>
                <w:top w:val="none" w:sz="0" w:space="0" w:color="auto"/>
                <w:left w:val="none" w:sz="0" w:space="0" w:color="auto"/>
                <w:bottom w:val="none" w:sz="0" w:space="0" w:color="auto"/>
                <w:right w:val="none" w:sz="0" w:space="0" w:color="auto"/>
              </w:divBdr>
            </w:div>
          </w:divsChild>
        </w:div>
        <w:div w:id="1155410271">
          <w:marLeft w:val="0"/>
          <w:marRight w:val="0"/>
          <w:marTop w:val="0"/>
          <w:marBottom w:val="0"/>
          <w:divBdr>
            <w:top w:val="none" w:sz="0" w:space="0" w:color="auto"/>
            <w:left w:val="none" w:sz="0" w:space="0" w:color="auto"/>
            <w:bottom w:val="none" w:sz="0" w:space="0" w:color="auto"/>
            <w:right w:val="none" w:sz="0" w:space="0" w:color="auto"/>
          </w:divBdr>
          <w:divsChild>
            <w:div w:id="774012138">
              <w:marLeft w:val="0"/>
              <w:marRight w:val="0"/>
              <w:marTop w:val="0"/>
              <w:marBottom w:val="0"/>
              <w:divBdr>
                <w:top w:val="none" w:sz="0" w:space="0" w:color="auto"/>
                <w:left w:val="none" w:sz="0" w:space="0" w:color="auto"/>
                <w:bottom w:val="none" w:sz="0" w:space="0" w:color="auto"/>
                <w:right w:val="none" w:sz="0" w:space="0" w:color="auto"/>
              </w:divBdr>
            </w:div>
          </w:divsChild>
        </w:div>
        <w:div w:id="1677340899">
          <w:marLeft w:val="0"/>
          <w:marRight w:val="0"/>
          <w:marTop w:val="0"/>
          <w:marBottom w:val="0"/>
          <w:divBdr>
            <w:top w:val="none" w:sz="0" w:space="0" w:color="auto"/>
            <w:left w:val="none" w:sz="0" w:space="0" w:color="auto"/>
            <w:bottom w:val="none" w:sz="0" w:space="0" w:color="auto"/>
            <w:right w:val="none" w:sz="0" w:space="0" w:color="auto"/>
          </w:divBdr>
          <w:divsChild>
            <w:div w:id="1080060124">
              <w:marLeft w:val="0"/>
              <w:marRight w:val="0"/>
              <w:marTop w:val="0"/>
              <w:marBottom w:val="0"/>
              <w:divBdr>
                <w:top w:val="none" w:sz="0" w:space="0" w:color="auto"/>
                <w:left w:val="none" w:sz="0" w:space="0" w:color="auto"/>
                <w:bottom w:val="none" w:sz="0" w:space="0" w:color="auto"/>
                <w:right w:val="none" w:sz="0" w:space="0" w:color="auto"/>
              </w:divBdr>
            </w:div>
          </w:divsChild>
        </w:div>
        <w:div w:id="415518794">
          <w:marLeft w:val="0"/>
          <w:marRight w:val="0"/>
          <w:marTop w:val="0"/>
          <w:marBottom w:val="0"/>
          <w:divBdr>
            <w:top w:val="none" w:sz="0" w:space="0" w:color="auto"/>
            <w:left w:val="none" w:sz="0" w:space="0" w:color="auto"/>
            <w:bottom w:val="none" w:sz="0" w:space="0" w:color="auto"/>
            <w:right w:val="none" w:sz="0" w:space="0" w:color="auto"/>
          </w:divBdr>
          <w:divsChild>
            <w:div w:id="432944976">
              <w:marLeft w:val="0"/>
              <w:marRight w:val="0"/>
              <w:marTop w:val="0"/>
              <w:marBottom w:val="0"/>
              <w:divBdr>
                <w:top w:val="none" w:sz="0" w:space="0" w:color="auto"/>
                <w:left w:val="none" w:sz="0" w:space="0" w:color="auto"/>
                <w:bottom w:val="none" w:sz="0" w:space="0" w:color="auto"/>
                <w:right w:val="none" w:sz="0" w:space="0" w:color="auto"/>
              </w:divBdr>
            </w:div>
          </w:divsChild>
        </w:div>
        <w:div w:id="976767215">
          <w:marLeft w:val="0"/>
          <w:marRight w:val="0"/>
          <w:marTop w:val="0"/>
          <w:marBottom w:val="0"/>
          <w:divBdr>
            <w:top w:val="none" w:sz="0" w:space="0" w:color="auto"/>
            <w:left w:val="none" w:sz="0" w:space="0" w:color="auto"/>
            <w:bottom w:val="none" w:sz="0" w:space="0" w:color="auto"/>
            <w:right w:val="none" w:sz="0" w:space="0" w:color="auto"/>
          </w:divBdr>
          <w:divsChild>
            <w:div w:id="1184243552">
              <w:marLeft w:val="0"/>
              <w:marRight w:val="0"/>
              <w:marTop w:val="0"/>
              <w:marBottom w:val="0"/>
              <w:divBdr>
                <w:top w:val="none" w:sz="0" w:space="0" w:color="auto"/>
                <w:left w:val="none" w:sz="0" w:space="0" w:color="auto"/>
                <w:bottom w:val="none" w:sz="0" w:space="0" w:color="auto"/>
                <w:right w:val="none" w:sz="0" w:space="0" w:color="auto"/>
              </w:divBdr>
            </w:div>
          </w:divsChild>
        </w:div>
        <w:div w:id="805514012">
          <w:marLeft w:val="0"/>
          <w:marRight w:val="0"/>
          <w:marTop w:val="0"/>
          <w:marBottom w:val="0"/>
          <w:divBdr>
            <w:top w:val="none" w:sz="0" w:space="0" w:color="auto"/>
            <w:left w:val="none" w:sz="0" w:space="0" w:color="auto"/>
            <w:bottom w:val="none" w:sz="0" w:space="0" w:color="auto"/>
            <w:right w:val="none" w:sz="0" w:space="0" w:color="auto"/>
          </w:divBdr>
          <w:divsChild>
            <w:div w:id="6700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4988">
      <w:bodyDiv w:val="1"/>
      <w:marLeft w:val="0"/>
      <w:marRight w:val="0"/>
      <w:marTop w:val="0"/>
      <w:marBottom w:val="0"/>
      <w:divBdr>
        <w:top w:val="none" w:sz="0" w:space="0" w:color="auto"/>
        <w:left w:val="none" w:sz="0" w:space="0" w:color="auto"/>
        <w:bottom w:val="none" w:sz="0" w:space="0" w:color="auto"/>
        <w:right w:val="none" w:sz="0" w:space="0" w:color="auto"/>
      </w:divBdr>
    </w:div>
    <w:div w:id="721905924">
      <w:bodyDiv w:val="1"/>
      <w:marLeft w:val="0"/>
      <w:marRight w:val="0"/>
      <w:marTop w:val="0"/>
      <w:marBottom w:val="0"/>
      <w:divBdr>
        <w:top w:val="none" w:sz="0" w:space="0" w:color="auto"/>
        <w:left w:val="none" w:sz="0" w:space="0" w:color="auto"/>
        <w:bottom w:val="none" w:sz="0" w:space="0" w:color="auto"/>
        <w:right w:val="none" w:sz="0" w:space="0" w:color="auto"/>
      </w:divBdr>
    </w:div>
    <w:div w:id="760637176">
      <w:bodyDiv w:val="1"/>
      <w:marLeft w:val="0"/>
      <w:marRight w:val="0"/>
      <w:marTop w:val="0"/>
      <w:marBottom w:val="0"/>
      <w:divBdr>
        <w:top w:val="none" w:sz="0" w:space="0" w:color="auto"/>
        <w:left w:val="none" w:sz="0" w:space="0" w:color="auto"/>
        <w:bottom w:val="none" w:sz="0" w:space="0" w:color="auto"/>
        <w:right w:val="none" w:sz="0" w:space="0" w:color="auto"/>
      </w:divBdr>
    </w:div>
    <w:div w:id="767626407">
      <w:bodyDiv w:val="1"/>
      <w:marLeft w:val="0"/>
      <w:marRight w:val="0"/>
      <w:marTop w:val="0"/>
      <w:marBottom w:val="0"/>
      <w:divBdr>
        <w:top w:val="none" w:sz="0" w:space="0" w:color="auto"/>
        <w:left w:val="none" w:sz="0" w:space="0" w:color="auto"/>
        <w:bottom w:val="none" w:sz="0" w:space="0" w:color="auto"/>
        <w:right w:val="none" w:sz="0" w:space="0" w:color="auto"/>
      </w:divBdr>
    </w:div>
    <w:div w:id="924918750">
      <w:bodyDiv w:val="1"/>
      <w:marLeft w:val="0"/>
      <w:marRight w:val="0"/>
      <w:marTop w:val="0"/>
      <w:marBottom w:val="0"/>
      <w:divBdr>
        <w:top w:val="none" w:sz="0" w:space="0" w:color="auto"/>
        <w:left w:val="none" w:sz="0" w:space="0" w:color="auto"/>
        <w:bottom w:val="none" w:sz="0" w:space="0" w:color="auto"/>
        <w:right w:val="none" w:sz="0" w:space="0" w:color="auto"/>
      </w:divBdr>
    </w:div>
    <w:div w:id="1143693016">
      <w:bodyDiv w:val="1"/>
      <w:marLeft w:val="0"/>
      <w:marRight w:val="0"/>
      <w:marTop w:val="0"/>
      <w:marBottom w:val="0"/>
      <w:divBdr>
        <w:top w:val="none" w:sz="0" w:space="0" w:color="auto"/>
        <w:left w:val="none" w:sz="0" w:space="0" w:color="auto"/>
        <w:bottom w:val="none" w:sz="0" w:space="0" w:color="auto"/>
        <w:right w:val="none" w:sz="0" w:space="0" w:color="auto"/>
      </w:divBdr>
    </w:div>
    <w:div w:id="1260138369">
      <w:bodyDiv w:val="1"/>
      <w:marLeft w:val="0"/>
      <w:marRight w:val="0"/>
      <w:marTop w:val="0"/>
      <w:marBottom w:val="0"/>
      <w:divBdr>
        <w:top w:val="none" w:sz="0" w:space="0" w:color="auto"/>
        <w:left w:val="none" w:sz="0" w:space="0" w:color="auto"/>
        <w:bottom w:val="none" w:sz="0" w:space="0" w:color="auto"/>
        <w:right w:val="none" w:sz="0" w:space="0" w:color="auto"/>
      </w:divBdr>
    </w:div>
    <w:div w:id="1326591916">
      <w:bodyDiv w:val="1"/>
      <w:marLeft w:val="0"/>
      <w:marRight w:val="0"/>
      <w:marTop w:val="0"/>
      <w:marBottom w:val="0"/>
      <w:divBdr>
        <w:top w:val="none" w:sz="0" w:space="0" w:color="auto"/>
        <w:left w:val="none" w:sz="0" w:space="0" w:color="auto"/>
        <w:bottom w:val="none" w:sz="0" w:space="0" w:color="auto"/>
        <w:right w:val="none" w:sz="0" w:space="0" w:color="auto"/>
      </w:divBdr>
    </w:div>
    <w:div w:id="1337459328">
      <w:bodyDiv w:val="1"/>
      <w:marLeft w:val="0"/>
      <w:marRight w:val="0"/>
      <w:marTop w:val="0"/>
      <w:marBottom w:val="0"/>
      <w:divBdr>
        <w:top w:val="none" w:sz="0" w:space="0" w:color="auto"/>
        <w:left w:val="none" w:sz="0" w:space="0" w:color="auto"/>
        <w:bottom w:val="none" w:sz="0" w:space="0" w:color="auto"/>
        <w:right w:val="none" w:sz="0" w:space="0" w:color="auto"/>
      </w:divBdr>
    </w:div>
    <w:div w:id="1411997389">
      <w:bodyDiv w:val="1"/>
      <w:marLeft w:val="0"/>
      <w:marRight w:val="0"/>
      <w:marTop w:val="0"/>
      <w:marBottom w:val="0"/>
      <w:divBdr>
        <w:top w:val="none" w:sz="0" w:space="0" w:color="auto"/>
        <w:left w:val="none" w:sz="0" w:space="0" w:color="auto"/>
        <w:bottom w:val="none" w:sz="0" w:space="0" w:color="auto"/>
        <w:right w:val="none" w:sz="0" w:space="0" w:color="auto"/>
      </w:divBdr>
    </w:div>
    <w:div w:id="1689866148">
      <w:bodyDiv w:val="1"/>
      <w:marLeft w:val="0"/>
      <w:marRight w:val="0"/>
      <w:marTop w:val="0"/>
      <w:marBottom w:val="0"/>
      <w:divBdr>
        <w:top w:val="none" w:sz="0" w:space="0" w:color="auto"/>
        <w:left w:val="none" w:sz="0" w:space="0" w:color="auto"/>
        <w:bottom w:val="none" w:sz="0" w:space="0" w:color="auto"/>
        <w:right w:val="none" w:sz="0" w:space="0" w:color="auto"/>
      </w:divBdr>
    </w:div>
    <w:div w:id="1769302269">
      <w:bodyDiv w:val="1"/>
      <w:marLeft w:val="0"/>
      <w:marRight w:val="0"/>
      <w:marTop w:val="0"/>
      <w:marBottom w:val="0"/>
      <w:divBdr>
        <w:top w:val="none" w:sz="0" w:space="0" w:color="auto"/>
        <w:left w:val="none" w:sz="0" w:space="0" w:color="auto"/>
        <w:bottom w:val="none" w:sz="0" w:space="0" w:color="auto"/>
        <w:right w:val="none" w:sz="0" w:space="0" w:color="auto"/>
      </w:divBdr>
    </w:div>
    <w:div w:id="1836653711">
      <w:bodyDiv w:val="1"/>
      <w:marLeft w:val="0"/>
      <w:marRight w:val="0"/>
      <w:marTop w:val="0"/>
      <w:marBottom w:val="0"/>
      <w:divBdr>
        <w:top w:val="none" w:sz="0" w:space="0" w:color="auto"/>
        <w:left w:val="none" w:sz="0" w:space="0" w:color="auto"/>
        <w:bottom w:val="none" w:sz="0" w:space="0" w:color="auto"/>
        <w:right w:val="none" w:sz="0" w:space="0" w:color="auto"/>
      </w:divBdr>
    </w:div>
    <w:div w:id="1967810478">
      <w:bodyDiv w:val="1"/>
      <w:marLeft w:val="0"/>
      <w:marRight w:val="0"/>
      <w:marTop w:val="0"/>
      <w:marBottom w:val="0"/>
      <w:divBdr>
        <w:top w:val="none" w:sz="0" w:space="0" w:color="auto"/>
        <w:left w:val="none" w:sz="0" w:space="0" w:color="auto"/>
        <w:bottom w:val="none" w:sz="0" w:space="0" w:color="auto"/>
        <w:right w:val="none" w:sz="0" w:space="0" w:color="auto"/>
      </w:divBdr>
    </w:div>
    <w:div w:id="210692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x.doi.org/10.1016/j.eng.2017.03.0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tiff"/><Relationship Id="rId4" Type="http://schemas.openxmlformats.org/officeDocument/2006/relationships/settings" Target="settings.xml"/><Relationship Id="rId9" Type="http://schemas.openxmlformats.org/officeDocument/2006/relationships/image" Target="media/image3.tif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1451A-5569-483A-93FD-C1FFA867D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3411</Words>
  <Characters>18420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Ricardo Reis Soares</cp:lastModifiedBy>
  <cp:revision>2</cp:revision>
  <cp:lastPrinted>2023-06-13T20:39:00Z</cp:lastPrinted>
  <dcterms:created xsi:type="dcterms:W3CDTF">2023-06-27T09:38:00Z</dcterms:created>
  <dcterms:modified xsi:type="dcterms:W3CDTF">2023-06-27T09:38:00Z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