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0912575"/>
    <w:bookmarkStart w:id="1" w:name="_Hlk1324517"/>
    <w:bookmarkStart w:id="2" w:name="_Hlk1324670"/>
    <w:bookmarkEnd w:id="0"/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10RqM9sAAAAFAQAADwAAAGRycy9kb3ducmV2LnhtbEyPQUvDQBCF74L/YRnBm900hKAxk1Iq&#10;FfRm9NLbNjsmsdmZkN228d+79aKXB8Mb3vteuZrdoE40+V4YYblIQBE3YntuET7et3f3oHwwbM0g&#10;TAjf5GFVXV+VprBy5jc61aFVMYR9YRC6EMZCa9905IxfyEgcvU+ZnAnxnFptJ3OO4W7QaZLk2pme&#10;Y0NnRtp01Bzqo0N4mJey+1rnh22Tja+755dasqcN4u3NvH4EFWgOf89wwY/oUEWmvRzZejUgxCHh&#10;Vy9ekmZxxx4hzTPQVan/01c/AAAA//8DAFBLAQItABQABgAIAAAAIQC2gziS/gAAAOEBAAATAAAA&#10;AAAAAAAAAAAAAAAAAABbQ29udGVudF9UeXBlc10ueG1sUEsBAi0AFAAGAAgAAAAhADj9If/WAAAA&#10;lAEAAAsAAAAAAAAAAAAAAAAALwEAAF9yZWxzLy5yZWxzUEsBAi0AFAAGAAgAAAAhAEWiEwGBAgAA&#10;YgUAAA4AAAAAAAAAAAAAAAAALgIAAGRycy9lMm9Eb2MueG1sUEsBAi0AFAAGAAgAAAAhANdEajPb&#10;AAAABQEAAA8AAAAAAAAAAAAAAAAA2wQAAGRycy9kb3ducmV2LnhtbFBLBQYAAAAABAAEAPMAAADj&#10;BQAA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0D20D3" w14:textId="75208951" w:rsidR="00EA4E1B" w:rsidRDefault="005907B8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sz w:val="32"/>
          <w:lang w:val="pt-BR"/>
        </w:rPr>
        <w:t>Influência da concentração</w:t>
      </w:r>
      <w:r w:rsidR="00EB0093">
        <w:rPr>
          <w:sz w:val="32"/>
          <w:lang w:val="pt-BR"/>
        </w:rPr>
        <w:t xml:space="preserve"> de Zn-Al</w:t>
      </w:r>
      <w:r>
        <w:rPr>
          <w:sz w:val="32"/>
          <w:lang w:val="pt-BR"/>
        </w:rPr>
        <w:t xml:space="preserve"> na s</w:t>
      </w:r>
      <w:r w:rsidR="00EA3B13">
        <w:rPr>
          <w:sz w:val="32"/>
          <w:lang w:val="pt-BR"/>
        </w:rPr>
        <w:t>íntese d</w:t>
      </w:r>
      <w:r>
        <w:rPr>
          <w:sz w:val="32"/>
          <w:lang w:val="pt-BR"/>
        </w:rPr>
        <w:t>o</w:t>
      </w:r>
      <w:r w:rsidR="00EA3B13">
        <w:rPr>
          <w:sz w:val="32"/>
          <w:lang w:val="pt-BR"/>
        </w:rPr>
        <w:t xml:space="preserve"> nanocompósito</w:t>
      </w:r>
      <w:r w:rsidR="00F71D67">
        <w:rPr>
          <w:sz w:val="32"/>
          <w:lang w:val="pt-BR"/>
        </w:rPr>
        <w:t xml:space="preserve"> híbrido</w:t>
      </w:r>
      <w:r w:rsidR="00EA3B13">
        <w:rPr>
          <w:sz w:val="32"/>
          <w:lang w:val="pt-BR"/>
        </w:rPr>
        <w:t xml:space="preserve"> 2,4</w:t>
      </w:r>
      <w:r w:rsidR="008918E4">
        <w:rPr>
          <w:sz w:val="32"/>
          <w:lang w:val="pt-BR"/>
        </w:rPr>
        <w:t>-</w:t>
      </w:r>
      <w:r w:rsidR="00EA3B13">
        <w:rPr>
          <w:sz w:val="32"/>
          <w:lang w:val="pt-BR"/>
        </w:rPr>
        <w:t xml:space="preserve">D/HDL </w:t>
      </w:r>
    </w:p>
    <w:p w14:paraId="18735493" w14:textId="582CCE01" w:rsidR="00EA4E1B" w:rsidRPr="001F25B2" w:rsidRDefault="0084253E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r w:rsidRPr="00F71D67">
        <w:rPr>
          <w:rFonts w:ascii="Times New Roman" w:hAnsi="Times New Roman"/>
          <w:sz w:val="20"/>
          <w:lang w:val="pt-BR"/>
        </w:rPr>
        <w:t>João Luiz M. M. Câmara</w:t>
      </w:r>
      <w:r w:rsidRPr="00F71D67">
        <w:rPr>
          <w:rFonts w:ascii="Times New Roman" w:hAnsi="Times New Roman"/>
          <w:sz w:val="20"/>
          <w:vertAlign w:val="superscript"/>
          <w:lang w:val="pt-BR"/>
        </w:rPr>
        <w:t>1</w:t>
      </w:r>
      <w:r w:rsidRPr="00F71D67">
        <w:rPr>
          <w:rFonts w:ascii="Times New Roman" w:hAnsi="Times New Roman"/>
          <w:sz w:val="20"/>
          <w:lang w:val="pt-BR"/>
        </w:rPr>
        <w:t xml:space="preserve">, </w:t>
      </w:r>
      <w:r w:rsidR="00242E43" w:rsidRPr="00F71D67">
        <w:rPr>
          <w:rFonts w:ascii="Times New Roman" w:hAnsi="Times New Roman"/>
          <w:sz w:val="20"/>
          <w:lang w:val="pt-BR"/>
        </w:rPr>
        <w:t>Sabrina G. Sanches</w:t>
      </w:r>
      <w:r w:rsidR="00242E43" w:rsidRPr="00F71D67">
        <w:rPr>
          <w:rFonts w:ascii="Times New Roman" w:hAnsi="Times New Roman"/>
          <w:sz w:val="20"/>
          <w:vertAlign w:val="superscript"/>
          <w:lang w:val="pt-BR"/>
        </w:rPr>
        <w:t>1</w:t>
      </w:r>
      <w:r w:rsidR="00242E43" w:rsidRPr="00F71D67">
        <w:rPr>
          <w:rFonts w:ascii="Times New Roman" w:hAnsi="Times New Roman"/>
          <w:sz w:val="20"/>
          <w:lang w:val="pt-BR"/>
        </w:rPr>
        <w:t xml:space="preserve">, </w:t>
      </w:r>
      <w:r w:rsidR="002341FA">
        <w:rPr>
          <w:rFonts w:ascii="Times New Roman" w:hAnsi="Times New Roman"/>
          <w:sz w:val="20"/>
          <w:lang w:val="pt-BR"/>
        </w:rPr>
        <w:t>Bruno Muniz</w:t>
      </w:r>
      <w:r w:rsidR="002341FA" w:rsidRPr="00334A35">
        <w:rPr>
          <w:rFonts w:ascii="Times New Roman" w:hAnsi="Times New Roman"/>
          <w:sz w:val="20"/>
          <w:vertAlign w:val="superscript"/>
          <w:lang w:val="pt-BR"/>
        </w:rPr>
        <w:t>1</w:t>
      </w:r>
      <w:r w:rsidR="002341FA" w:rsidRPr="002341FA">
        <w:rPr>
          <w:rFonts w:ascii="Times New Roman" w:hAnsi="Times New Roman"/>
          <w:sz w:val="20"/>
          <w:lang w:val="pt-BR"/>
        </w:rPr>
        <w:t>,</w:t>
      </w:r>
      <w:r w:rsidR="002341FA">
        <w:rPr>
          <w:rFonts w:ascii="Times New Roman" w:hAnsi="Times New Roman"/>
          <w:sz w:val="20"/>
          <w:lang w:val="pt-BR"/>
        </w:rPr>
        <w:t xml:space="preserve"> </w:t>
      </w:r>
      <w:r w:rsidR="00F61FAA" w:rsidRPr="00F71D67">
        <w:rPr>
          <w:rFonts w:ascii="Times New Roman" w:hAnsi="Times New Roman"/>
          <w:sz w:val="20"/>
          <w:lang w:val="pt-BR"/>
        </w:rPr>
        <w:t>Cristiane A. Henriques</w:t>
      </w:r>
      <w:r w:rsidR="002341FA">
        <w:rPr>
          <w:rFonts w:ascii="Times New Roman" w:hAnsi="Times New Roman"/>
          <w:sz w:val="20"/>
          <w:vertAlign w:val="superscript"/>
          <w:lang w:val="pt-BR"/>
        </w:rPr>
        <w:t>2</w:t>
      </w:r>
      <w:r w:rsidR="00F61FAA" w:rsidRPr="00F71D67">
        <w:rPr>
          <w:rFonts w:ascii="Times New Roman" w:hAnsi="Times New Roman"/>
          <w:sz w:val="20"/>
          <w:lang w:val="pt-BR"/>
        </w:rPr>
        <w:t xml:space="preserve">, </w:t>
      </w:r>
      <w:r w:rsidR="002341FA" w:rsidRPr="002341FA">
        <w:rPr>
          <w:rFonts w:ascii="Times New Roman" w:hAnsi="Times New Roman"/>
          <w:sz w:val="20"/>
          <w:lang w:val="pt-BR"/>
        </w:rPr>
        <w:t>Célia M. Ronconi</w:t>
      </w:r>
      <w:r w:rsidR="002341FA" w:rsidRPr="002341FA">
        <w:rPr>
          <w:rFonts w:ascii="Times New Roman" w:hAnsi="Times New Roman"/>
          <w:sz w:val="20"/>
          <w:vertAlign w:val="superscript"/>
          <w:lang w:val="pt-BR"/>
        </w:rPr>
        <w:t>3</w:t>
      </w:r>
      <w:r w:rsidR="002341FA">
        <w:rPr>
          <w:rFonts w:ascii="Times New Roman" w:hAnsi="Times New Roman"/>
          <w:sz w:val="20"/>
          <w:lang w:val="pt-BR"/>
        </w:rPr>
        <w:t>,</w:t>
      </w:r>
      <w:r w:rsidR="00242E43" w:rsidRPr="00F71D67">
        <w:rPr>
          <w:rFonts w:ascii="Times New Roman" w:hAnsi="Times New Roman"/>
          <w:sz w:val="20"/>
          <w:lang w:val="pt-BR"/>
        </w:rPr>
        <w:t xml:space="preserve"> Aline F. M</w:t>
      </w:r>
      <w:r w:rsidR="007B1FB8">
        <w:rPr>
          <w:rFonts w:ascii="Times New Roman" w:hAnsi="Times New Roman"/>
          <w:sz w:val="20"/>
          <w:lang w:val="pt-BR"/>
        </w:rPr>
        <w:t>. da Silva</w:t>
      </w:r>
      <w:r w:rsidR="002341FA">
        <w:rPr>
          <w:rFonts w:ascii="Times New Roman" w:hAnsi="Times New Roman"/>
          <w:sz w:val="20"/>
          <w:vertAlign w:val="superscript"/>
          <w:lang w:val="pt-BR"/>
        </w:rPr>
        <w:t>3</w:t>
      </w:r>
      <w:r w:rsidR="00242E43" w:rsidRPr="00F71D67">
        <w:rPr>
          <w:rFonts w:ascii="Times New Roman" w:hAnsi="Times New Roman"/>
          <w:sz w:val="20"/>
          <w:lang w:val="pt-BR"/>
        </w:rPr>
        <w:t>,</w:t>
      </w:r>
      <w:r w:rsidR="00334A35">
        <w:rPr>
          <w:rFonts w:ascii="Times New Roman" w:hAnsi="Times New Roman"/>
          <w:sz w:val="20"/>
          <w:lang w:val="pt-BR"/>
        </w:rPr>
        <w:t xml:space="preserve"> </w:t>
      </w:r>
      <w:r w:rsidR="00242E43" w:rsidRPr="00F71D67">
        <w:rPr>
          <w:rFonts w:ascii="Times New Roman" w:hAnsi="Times New Roman"/>
          <w:sz w:val="20"/>
          <w:lang w:val="pt-BR"/>
        </w:rPr>
        <w:t>Jhonny H</w:t>
      </w:r>
      <w:r w:rsidR="00334A35">
        <w:rPr>
          <w:rFonts w:ascii="Times New Roman" w:hAnsi="Times New Roman"/>
          <w:sz w:val="20"/>
          <w:lang w:val="pt-BR"/>
        </w:rPr>
        <w:t>uertas</w:t>
      </w:r>
      <w:r w:rsidR="00EB0D7B" w:rsidRPr="00F71D67">
        <w:rPr>
          <w:rFonts w:ascii="Times New Roman" w:hAnsi="Times New Roman"/>
          <w:sz w:val="20"/>
          <w:vertAlign w:val="superscript"/>
          <w:lang w:val="pt-BR"/>
        </w:rPr>
        <w:t>1</w:t>
      </w:r>
      <w:r w:rsidR="00EB0D7B" w:rsidRPr="00F71D67">
        <w:rPr>
          <w:rFonts w:ascii="Times New Roman" w:hAnsi="Times New Roman"/>
          <w:sz w:val="20"/>
          <w:lang w:val="pt-BR"/>
        </w:rPr>
        <w:t>*</w:t>
      </w:r>
      <w:r>
        <w:rPr>
          <w:rFonts w:ascii="Times New Roman" w:hAnsi="Times New Roman"/>
          <w:sz w:val="20"/>
          <w:lang w:val="pt-BR"/>
        </w:rPr>
        <w:t xml:space="preserve"> </w:t>
      </w:r>
      <w:r w:rsidRPr="0084253E">
        <w:rPr>
          <w:rFonts w:ascii="Times New Roman" w:hAnsi="Times New Roman"/>
          <w:sz w:val="20"/>
          <w:lang w:val="pt-BR"/>
        </w:rPr>
        <w:t xml:space="preserve"> </w:t>
      </w:r>
    </w:p>
    <w:p w14:paraId="22D38595" w14:textId="60FCB8F0" w:rsidR="00EA4E1B" w:rsidRPr="00EB0D7B" w:rsidRDefault="00EB0D7B" w:rsidP="00EB0D7B">
      <w:pPr>
        <w:pStyle w:val="BBAuthorName"/>
        <w:spacing w:after="120"/>
        <w:ind w:right="0"/>
        <w:jc w:val="both"/>
        <w:rPr>
          <w:rFonts w:ascii="Times" w:hAnsi="Times" w:cs="Times"/>
          <w:b w:val="0"/>
          <w:bCs/>
          <w:i/>
          <w:iCs/>
          <w:sz w:val="20"/>
          <w:szCs w:val="18"/>
          <w:lang w:val="pt-BR"/>
        </w:rPr>
      </w:pPr>
      <w:r w:rsidRPr="00EB0D7B">
        <w:rPr>
          <w:rFonts w:ascii="Times" w:hAnsi="Times" w:cs="Times"/>
          <w:b w:val="0"/>
          <w:bCs/>
          <w:i/>
          <w:iCs/>
          <w:sz w:val="20"/>
          <w:szCs w:val="18"/>
          <w:vertAlign w:val="superscript"/>
          <w:lang w:val="pt-BR"/>
        </w:rPr>
        <w:t>1</w:t>
      </w:r>
      <w:r w:rsidRPr="00EB0D7B">
        <w:rPr>
          <w:rFonts w:ascii="Times" w:hAnsi="Times" w:cs="Times"/>
          <w:b w:val="0"/>
          <w:bCs/>
          <w:i/>
          <w:iCs/>
          <w:sz w:val="20"/>
          <w:szCs w:val="18"/>
          <w:lang w:val="pt-BR"/>
        </w:rPr>
        <w:t xml:space="preserve"> Departamento de Engenharia Mecânica e Energia (</w:t>
      </w:r>
      <w:proofErr w:type="spellStart"/>
      <w:r w:rsidRPr="00EB0D7B">
        <w:rPr>
          <w:rFonts w:ascii="Times" w:hAnsi="Times" w:cs="Times"/>
          <w:b w:val="0"/>
          <w:bCs/>
          <w:i/>
          <w:iCs/>
          <w:sz w:val="20"/>
          <w:szCs w:val="18"/>
          <w:lang w:val="pt-BR"/>
        </w:rPr>
        <w:t>DEMec</w:t>
      </w:r>
      <w:proofErr w:type="spellEnd"/>
      <w:r w:rsidRPr="00EB0D7B">
        <w:rPr>
          <w:rFonts w:ascii="Times" w:hAnsi="Times" w:cs="Times"/>
          <w:b w:val="0"/>
          <w:bCs/>
          <w:i/>
          <w:iCs/>
          <w:sz w:val="20"/>
          <w:szCs w:val="18"/>
          <w:lang w:val="pt-BR"/>
        </w:rPr>
        <w:t>), Universidade do Estado do Rio de Janeiro, Nova Friburgo, RJ.</w:t>
      </w:r>
      <w:r w:rsidR="002341FA" w:rsidRPr="002341FA">
        <w:rPr>
          <w:rFonts w:ascii="Times" w:hAnsi="Times" w:cs="Times"/>
          <w:b w:val="0"/>
          <w:bCs/>
          <w:i/>
          <w:iCs/>
          <w:sz w:val="20"/>
          <w:szCs w:val="18"/>
          <w:vertAlign w:val="superscript"/>
          <w:lang w:val="pt-BR"/>
        </w:rPr>
        <w:t>2</w:t>
      </w:r>
      <w:r w:rsidRPr="00EB0D7B">
        <w:rPr>
          <w:rFonts w:ascii="Times" w:hAnsi="Times" w:cs="Times"/>
          <w:b w:val="0"/>
          <w:bCs/>
          <w:i/>
          <w:iCs/>
          <w:sz w:val="20"/>
          <w:szCs w:val="18"/>
          <w:lang w:val="pt-BR"/>
        </w:rPr>
        <w:t xml:space="preserve"> Instituto de Química, Universidade do Estado do Rio de Janeiro (UERJ), Rio de Janeiro, RJ.</w:t>
      </w:r>
      <w:r>
        <w:rPr>
          <w:rFonts w:ascii="Times" w:hAnsi="Times" w:cs="Times"/>
          <w:b w:val="0"/>
          <w:bCs/>
          <w:i/>
          <w:iCs/>
          <w:sz w:val="20"/>
          <w:szCs w:val="18"/>
          <w:lang w:val="pt-BR"/>
        </w:rPr>
        <w:t xml:space="preserve"> </w:t>
      </w:r>
      <w:r w:rsidR="002341FA">
        <w:rPr>
          <w:rFonts w:ascii="Times" w:hAnsi="Times" w:cs="Times"/>
          <w:b w:val="0"/>
          <w:bCs/>
          <w:i/>
          <w:iCs/>
          <w:sz w:val="20"/>
          <w:szCs w:val="18"/>
          <w:vertAlign w:val="superscript"/>
          <w:lang w:val="pt-BR"/>
        </w:rPr>
        <w:t>3</w:t>
      </w:r>
      <w:r w:rsidR="00F61FAA" w:rsidRPr="002341FA">
        <w:rPr>
          <w:rFonts w:ascii="Times" w:hAnsi="Times" w:cs="Times"/>
          <w:b w:val="0"/>
          <w:bCs/>
          <w:i/>
          <w:iCs/>
          <w:sz w:val="20"/>
          <w:szCs w:val="18"/>
          <w:vertAlign w:val="superscript"/>
          <w:lang w:val="pt-BR"/>
        </w:rPr>
        <w:t xml:space="preserve"> </w:t>
      </w:r>
      <w:r w:rsidR="00F61FAA">
        <w:rPr>
          <w:rFonts w:ascii="Times" w:hAnsi="Times" w:cs="Times"/>
          <w:b w:val="0"/>
          <w:bCs/>
          <w:i/>
          <w:iCs/>
          <w:sz w:val="20"/>
          <w:szCs w:val="18"/>
          <w:lang w:val="pt-BR"/>
        </w:rPr>
        <w:t>Instituto de Química, Universidade Federal Fluminense (UFF).</w:t>
      </w:r>
      <w:r w:rsidRPr="00EB0D7B">
        <w:rPr>
          <w:rFonts w:ascii="Times" w:hAnsi="Times" w:cs="Times"/>
          <w:b w:val="0"/>
          <w:bCs/>
          <w:i/>
          <w:iCs/>
          <w:sz w:val="20"/>
          <w:szCs w:val="18"/>
          <w:lang w:val="pt-BR"/>
        </w:rPr>
        <w:t xml:space="preserve"> (*) johnnyhf.jh@gmail.com</w:t>
      </w:r>
    </w:p>
    <w:bookmarkEnd w:id="1"/>
    <w:p w14:paraId="238E7EC1" w14:textId="5D4AB3B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0DA73EC9" w:rsidR="008C1B30" w:rsidRPr="00894E5A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894E5A">
                              <w:rPr>
                                <w:rFonts w:cs="Helvetica"/>
                                <w:bCs/>
                                <w:sz w:val="24"/>
                                <w:szCs w:val="24"/>
                                <w:lang w:val="pt-BR"/>
                              </w:rPr>
                              <w:t>Resumo/Abstract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Ix7zmbcAAAABgEAAA8AAABkcnMvZG93bnJldi54bWxMj8FuwjAQRO9I/QdrkXoDJzSg&#10;ErJBiIpK7a1pL9xMvCSBeB3FBtK/rzmV42hGM2+y9WBacaXeNZYR4mkEgri0uuEK4ed7N3kF4bxi&#10;rVrLhPBLDtb50yhTqbY3/qJr4SsRStilCqH2vkuldGVNRrmp7YiDd7S9UT7IvpK6V7dQblo5i6KF&#10;NKrhsFCrjrY1lefiYhCWQ2z3p83ivCuT7nP//lHY5G2L+DweNisQngb/H4Y7fkCHPDAd7IW1Ey1C&#10;OOIR5nMQdzOaJeHIAeElXoLMM/mIn/8BAAD//wMAUEsBAi0AFAAGAAgAAAAhALaDOJL+AAAA4QEA&#10;ABMAAAAAAAAAAAAAAAAAAAAAAFtDb250ZW50X1R5cGVzXS54bWxQSwECLQAUAAYACAAAACEAOP0h&#10;/9YAAACUAQAACwAAAAAAAAAAAAAAAAAvAQAAX3JlbHMvLnJlbHNQSwECLQAUAAYACAAAACEApYOa&#10;lIUCAABpBQAADgAAAAAAAAAAAAAAAAAuAgAAZHJzL2Uyb0RvYy54bWxQSwECLQAUAAYACAAAACEA&#10;jHvOZtwAAAAGAQAADwAAAAAAAAAAAAAAAADfBAAAZHJzL2Rvd25yZXYueG1sUEsFBgAAAAAEAAQA&#10;8wAAAOgFAAAAAA==&#10;" fillcolor="#9a0000" stroked="f" strokeweight="1pt">
                <v:textbox inset=",0,,0">
                  <w:txbxContent>
                    <w:p w14:paraId="3D0F07B3" w14:textId="0DA73EC9" w:rsidR="008C1B30" w:rsidRPr="00894E5A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4"/>
                          <w:szCs w:val="24"/>
                          <w:lang w:val="pt-BR"/>
                        </w:rPr>
                      </w:pPr>
                      <w:r w:rsidRPr="00894E5A">
                        <w:rPr>
                          <w:rFonts w:cs="Helvetica"/>
                          <w:bCs/>
                          <w:sz w:val="24"/>
                          <w:szCs w:val="24"/>
                          <w:lang w:val="pt-BR"/>
                        </w:rPr>
                        <w:t>Resumo/Abstract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408DB8CE" w14:textId="33D9327D" w:rsidR="00894E5A" w:rsidRDefault="00A82A88" w:rsidP="00171B27">
      <w:pPr>
        <w:pStyle w:val="BDAbstract"/>
        <w:spacing w:before="0" w:after="0" w:line="240" w:lineRule="exact"/>
        <w:rPr>
          <w:rFonts w:ascii="Times New Roman" w:hAnsi="Times New Roman"/>
          <w:b w:val="0"/>
          <w:sz w:val="20"/>
          <w:lang w:val="pt-BR"/>
        </w:rPr>
      </w:pPr>
      <w:r w:rsidRPr="00A82A88">
        <w:rPr>
          <w:rFonts w:ascii="Times New Roman" w:hAnsi="Times New Roman"/>
          <w:b w:val="0"/>
          <w:sz w:val="20"/>
          <w:lang w:val="pt-BR"/>
        </w:rPr>
        <w:t xml:space="preserve">O </w:t>
      </w:r>
      <w:r w:rsidR="001672BA">
        <w:rPr>
          <w:rFonts w:ascii="Times New Roman" w:hAnsi="Times New Roman"/>
          <w:b w:val="0"/>
          <w:sz w:val="20"/>
          <w:lang w:val="pt-BR"/>
        </w:rPr>
        <w:t xml:space="preserve">ácido </w:t>
      </w:r>
      <w:r w:rsidR="007724C9" w:rsidRPr="00E758E7">
        <w:rPr>
          <w:rFonts w:ascii="Times New Roman" w:hAnsi="Times New Roman"/>
          <w:b w:val="0"/>
          <w:bCs/>
          <w:lang w:val="pt-BR"/>
        </w:rPr>
        <w:t>2,4-diclorofenoxiacético</w:t>
      </w:r>
      <w:r w:rsidR="007724C9" w:rsidRPr="00C97F40">
        <w:rPr>
          <w:rFonts w:ascii="Times New Roman" w:hAnsi="Times New Roman"/>
          <w:lang w:val="pt-BR"/>
        </w:rPr>
        <w:t xml:space="preserve"> </w:t>
      </w:r>
      <w:r w:rsidR="007724C9">
        <w:rPr>
          <w:rFonts w:ascii="Times New Roman" w:hAnsi="Times New Roman"/>
          <w:b w:val="0"/>
          <w:sz w:val="20"/>
          <w:lang w:val="pt-BR"/>
        </w:rPr>
        <w:t>(</w:t>
      </w:r>
      <w:r w:rsidRPr="00A82A88">
        <w:rPr>
          <w:rFonts w:ascii="Times New Roman" w:hAnsi="Times New Roman"/>
          <w:b w:val="0"/>
          <w:sz w:val="20"/>
          <w:lang w:val="pt-BR"/>
        </w:rPr>
        <w:t>2,4-D</w:t>
      </w:r>
      <w:r w:rsidR="007724C9">
        <w:rPr>
          <w:rFonts w:ascii="Times New Roman" w:hAnsi="Times New Roman"/>
          <w:b w:val="0"/>
          <w:sz w:val="20"/>
          <w:lang w:val="pt-BR"/>
        </w:rPr>
        <w:t>)</w:t>
      </w:r>
      <w:r w:rsidRPr="00A82A88">
        <w:rPr>
          <w:rFonts w:ascii="Times New Roman" w:hAnsi="Times New Roman"/>
          <w:b w:val="0"/>
          <w:sz w:val="20"/>
          <w:lang w:val="pt-BR"/>
        </w:rPr>
        <w:t xml:space="preserve"> é um herbicida amplamente utilizado na</w:t>
      </w:r>
      <w:r>
        <w:rPr>
          <w:rFonts w:ascii="Times New Roman" w:hAnsi="Times New Roman"/>
          <w:b w:val="0"/>
          <w:sz w:val="20"/>
          <w:lang w:val="pt-BR"/>
        </w:rPr>
        <w:t xml:space="preserve"> </w:t>
      </w:r>
      <w:r w:rsidRPr="00A82A88">
        <w:rPr>
          <w:rFonts w:ascii="Times New Roman" w:hAnsi="Times New Roman"/>
          <w:b w:val="0"/>
          <w:sz w:val="20"/>
          <w:lang w:val="pt-BR"/>
        </w:rPr>
        <w:t xml:space="preserve">agricultura para o controle de plantas daninhas de folha larga. </w:t>
      </w:r>
      <w:r w:rsidR="00F805AF">
        <w:rPr>
          <w:rFonts w:ascii="Times New Roman" w:hAnsi="Times New Roman"/>
          <w:b w:val="0"/>
          <w:sz w:val="20"/>
          <w:lang w:val="pt-BR"/>
        </w:rPr>
        <w:t>Atualmente s</w:t>
      </w:r>
      <w:r w:rsidRPr="00A82A88">
        <w:rPr>
          <w:rFonts w:ascii="Times New Roman" w:hAnsi="Times New Roman"/>
          <w:b w:val="0"/>
          <w:sz w:val="20"/>
          <w:lang w:val="pt-BR"/>
        </w:rPr>
        <w:t xml:space="preserve">eu uso </w:t>
      </w:r>
      <w:r w:rsidR="00F805AF">
        <w:rPr>
          <w:rFonts w:ascii="Times New Roman" w:hAnsi="Times New Roman"/>
          <w:b w:val="0"/>
          <w:sz w:val="20"/>
          <w:lang w:val="pt-BR"/>
        </w:rPr>
        <w:t xml:space="preserve">excessivo </w:t>
      </w:r>
      <w:r w:rsidR="007724C9">
        <w:rPr>
          <w:rFonts w:ascii="Times New Roman" w:hAnsi="Times New Roman"/>
          <w:b w:val="0"/>
          <w:sz w:val="20"/>
          <w:lang w:val="pt-BR"/>
        </w:rPr>
        <w:t>é</w:t>
      </w:r>
      <w:r w:rsidR="00F805AF">
        <w:rPr>
          <w:rFonts w:ascii="Times New Roman" w:hAnsi="Times New Roman"/>
          <w:b w:val="0"/>
          <w:sz w:val="20"/>
          <w:lang w:val="pt-BR"/>
        </w:rPr>
        <w:t xml:space="preserve"> preocupa</w:t>
      </w:r>
      <w:r w:rsidR="007724C9">
        <w:rPr>
          <w:rFonts w:ascii="Times New Roman" w:hAnsi="Times New Roman"/>
          <w:b w:val="0"/>
          <w:sz w:val="20"/>
          <w:lang w:val="pt-BR"/>
        </w:rPr>
        <w:t>nte</w:t>
      </w:r>
      <w:r w:rsidR="00F805AF">
        <w:rPr>
          <w:rFonts w:ascii="Times New Roman" w:hAnsi="Times New Roman"/>
          <w:b w:val="0"/>
          <w:sz w:val="20"/>
          <w:lang w:val="pt-BR"/>
        </w:rPr>
        <w:t xml:space="preserve"> </w:t>
      </w:r>
      <w:r w:rsidRPr="00A82A88">
        <w:rPr>
          <w:rFonts w:ascii="Times New Roman" w:hAnsi="Times New Roman"/>
          <w:b w:val="0"/>
          <w:sz w:val="20"/>
          <w:lang w:val="pt-BR"/>
        </w:rPr>
        <w:t xml:space="preserve">devido </w:t>
      </w:r>
      <w:r w:rsidR="00F805AF">
        <w:rPr>
          <w:rFonts w:ascii="Times New Roman" w:hAnsi="Times New Roman"/>
          <w:b w:val="0"/>
          <w:sz w:val="20"/>
          <w:lang w:val="pt-BR"/>
        </w:rPr>
        <w:t>ao seu impacto</w:t>
      </w:r>
      <w:r w:rsidRPr="00A82A88">
        <w:rPr>
          <w:rFonts w:ascii="Times New Roman" w:hAnsi="Times New Roman"/>
          <w:b w:val="0"/>
          <w:sz w:val="20"/>
          <w:lang w:val="pt-BR"/>
        </w:rPr>
        <w:t xml:space="preserve"> no meio ambiente</w:t>
      </w:r>
      <w:r w:rsidR="007724C9">
        <w:rPr>
          <w:rFonts w:ascii="Times New Roman" w:hAnsi="Times New Roman"/>
          <w:b w:val="0"/>
          <w:sz w:val="20"/>
          <w:lang w:val="pt-BR"/>
        </w:rPr>
        <w:t>,</w:t>
      </w:r>
      <w:r w:rsidRPr="00A82A88">
        <w:rPr>
          <w:rFonts w:ascii="Times New Roman" w:hAnsi="Times New Roman"/>
          <w:b w:val="0"/>
          <w:sz w:val="20"/>
          <w:lang w:val="pt-BR"/>
        </w:rPr>
        <w:t xml:space="preserve"> </w:t>
      </w:r>
      <w:r w:rsidR="00F805AF">
        <w:rPr>
          <w:rFonts w:ascii="Times New Roman" w:hAnsi="Times New Roman"/>
          <w:b w:val="0"/>
          <w:sz w:val="20"/>
          <w:lang w:val="pt-BR"/>
        </w:rPr>
        <w:t xml:space="preserve">pois tem sido encontrado </w:t>
      </w:r>
      <w:r w:rsidRPr="00A82A88">
        <w:rPr>
          <w:rFonts w:ascii="Times New Roman" w:hAnsi="Times New Roman"/>
          <w:b w:val="0"/>
          <w:sz w:val="20"/>
          <w:lang w:val="pt-BR"/>
        </w:rPr>
        <w:t>em fontes de água</w:t>
      </w:r>
      <w:r w:rsidR="00894E5A">
        <w:rPr>
          <w:rFonts w:ascii="Times New Roman" w:hAnsi="Times New Roman"/>
          <w:b w:val="0"/>
          <w:sz w:val="20"/>
          <w:lang w:val="pt-BR"/>
        </w:rPr>
        <w:t>.</w:t>
      </w:r>
      <w:r w:rsidRPr="00A82A88">
        <w:rPr>
          <w:rFonts w:ascii="Times New Roman" w:hAnsi="Times New Roman"/>
          <w:b w:val="0"/>
          <w:sz w:val="20"/>
          <w:lang w:val="pt-BR"/>
        </w:rPr>
        <w:t xml:space="preserve"> </w:t>
      </w:r>
      <w:r w:rsidR="00A413F9">
        <w:rPr>
          <w:rFonts w:ascii="Times New Roman" w:hAnsi="Times New Roman"/>
          <w:b w:val="0"/>
          <w:sz w:val="20"/>
          <w:lang w:val="pt-BR"/>
        </w:rPr>
        <w:t>Uma</w:t>
      </w:r>
      <w:r w:rsidR="00894E5A">
        <w:rPr>
          <w:rFonts w:ascii="Times New Roman" w:hAnsi="Times New Roman"/>
          <w:b w:val="0"/>
          <w:sz w:val="20"/>
          <w:lang w:val="pt-BR"/>
        </w:rPr>
        <w:t xml:space="preserve"> </w:t>
      </w:r>
      <w:r w:rsidR="00A413F9">
        <w:rPr>
          <w:rFonts w:ascii="Times New Roman" w:hAnsi="Times New Roman"/>
          <w:b w:val="0"/>
          <w:sz w:val="20"/>
          <w:lang w:val="pt-BR"/>
        </w:rPr>
        <w:t>solução para minimizar essa co</w:t>
      </w:r>
      <w:r w:rsidR="00EB0093" w:rsidRPr="00EB0093">
        <w:rPr>
          <w:rFonts w:ascii="Times New Roman" w:hAnsi="Times New Roman"/>
          <w:b w:val="0"/>
          <w:sz w:val="20"/>
          <w:lang w:val="pt-BR"/>
        </w:rPr>
        <w:t xml:space="preserve">ntaminação </w:t>
      </w:r>
      <w:r w:rsidR="00A413F9">
        <w:rPr>
          <w:rFonts w:ascii="Times New Roman" w:hAnsi="Times New Roman"/>
          <w:b w:val="0"/>
          <w:sz w:val="20"/>
          <w:lang w:val="pt-BR"/>
        </w:rPr>
        <w:t>é incorporar o herbicida numa matriz</w:t>
      </w:r>
      <w:r w:rsidR="00EB0093" w:rsidRPr="00EB0093">
        <w:rPr>
          <w:rFonts w:ascii="Times New Roman" w:hAnsi="Times New Roman"/>
          <w:b w:val="0"/>
          <w:sz w:val="20"/>
          <w:lang w:val="pt-BR"/>
        </w:rPr>
        <w:t xml:space="preserve"> </w:t>
      </w:r>
      <w:r w:rsidR="00A413F9">
        <w:rPr>
          <w:rFonts w:ascii="Times New Roman" w:hAnsi="Times New Roman"/>
          <w:b w:val="0"/>
          <w:sz w:val="20"/>
          <w:lang w:val="pt-BR"/>
        </w:rPr>
        <w:t>com</w:t>
      </w:r>
      <w:r w:rsidR="00EB0093" w:rsidRPr="00EB0093">
        <w:rPr>
          <w:rFonts w:ascii="Times New Roman" w:hAnsi="Times New Roman"/>
          <w:b w:val="0"/>
          <w:sz w:val="20"/>
          <w:lang w:val="pt-BR"/>
        </w:rPr>
        <w:t xml:space="preserve"> estrutura cristalina</w:t>
      </w:r>
      <w:r w:rsidR="00A413F9">
        <w:rPr>
          <w:rFonts w:ascii="Times New Roman" w:hAnsi="Times New Roman"/>
          <w:b w:val="0"/>
          <w:sz w:val="20"/>
          <w:lang w:val="pt-BR"/>
        </w:rPr>
        <w:t>,</w:t>
      </w:r>
      <w:r w:rsidR="00EB0093" w:rsidRPr="00EB0093">
        <w:rPr>
          <w:rFonts w:ascii="Times New Roman" w:hAnsi="Times New Roman"/>
          <w:b w:val="0"/>
          <w:sz w:val="20"/>
          <w:lang w:val="pt-BR"/>
        </w:rPr>
        <w:t xml:space="preserve"> formando um sólido ou nanocompósito</w:t>
      </w:r>
      <w:r w:rsidR="00F805AF">
        <w:rPr>
          <w:rFonts w:ascii="Times New Roman" w:hAnsi="Times New Roman"/>
          <w:b w:val="0"/>
          <w:sz w:val="20"/>
          <w:lang w:val="pt-BR"/>
        </w:rPr>
        <w:t xml:space="preserve"> híbrido</w:t>
      </w:r>
      <w:r w:rsidR="00811CB4">
        <w:rPr>
          <w:rFonts w:ascii="Times New Roman" w:hAnsi="Times New Roman"/>
          <w:b w:val="0"/>
          <w:sz w:val="20"/>
          <w:lang w:val="pt-BR"/>
        </w:rPr>
        <w:t>.</w:t>
      </w:r>
      <w:r w:rsidR="00EB0093" w:rsidRPr="00EB0093">
        <w:rPr>
          <w:rFonts w:ascii="Times New Roman" w:hAnsi="Times New Roman"/>
          <w:b w:val="0"/>
          <w:sz w:val="20"/>
          <w:lang w:val="pt-BR"/>
        </w:rPr>
        <w:t xml:space="preserve"> </w:t>
      </w:r>
      <w:r w:rsidR="00A413F9" w:rsidRPr="00A413F9">
        <w:rPr>
          <w:rFonts w:ascii="Times New Roman" w:hAnsi="Times New Roman"/>
          <w:b w:val="0"/>
          <w:sz w:val="20"/>
          <w:lang w:val="pt-BR"/>
        </w:rPr>
        <w:t>Amostras</w:t>
      </w:r>
      <w:r w:rsidR="00300087">
        <w:rPr>
          <w:rFonts w:ascii="Times New Roman" w:hAnsi="Times New Roman"/>
          <w:b w:val="0"/>
          <w:sz w:val="20"/>
          <w:lang w:val="pt-BR"/>
        </w:rPr>
        <w:t xml:space="preserve"> do Hidróxido Duplo Lamelar (HDL) do tipo hidrotalcita baseado em Zn e Al foram sintetizadas junto com o herbicida para formar um nanocompósito híbrido e verificar a influência da concentração dos sais metálicos de Zn e Al </w:t>
      </w:r>
      <w:r w:rsidR="00A46062">
        <w:rPr>
          <w:rFonts w:ascii="Times New Roman" w:hAnsi="Times New Roman"/>
          <w:b w:val="0"/>
          <w:sz w:val="20"/>
          <w:lang w:val="pt-BR"/>
        </w:rPr>
        <w:t>(</w:t>
      </w:r>
      <w:r w:rsidR="00A413F9" w:rsidRPr="00A413F9">
        <w:rPr>
          <w:rFonts w:ascii="Times New Roman" w:hAnsi="Times New Roman"/>
          <w:b w:val="0"/>
          <w:sz w:val="20"/>
          <w:lang w:val="pt-BR"/>
        </w:rPr>
        <w:t>0,30;</w:t>
      </w:r>
      <w:r w:rsidR="00A46062">
        <w:rPr>
          <w:rFonts w:ascii="Times New Roman" w:hAnsi="Times New Roman"/>
          <w:b w:val="0"/>
          <w:sz w:val="20"/>
          <w:lang w:val="pt-BR"/>
        </w:rPr>
        <w:t xml:space="preserve"> </w:t>
      </w:r>
      <w:r w:rsidR="00A413F9" w:rsidRPr="00A413F9">
        <w:rPr>
          <w:rFonts w:ascii="Times New Roman" w:hAnsi="Times New Roman"/>
          <w:b w:val="0"/>
          <w:sz w:val="20"/>
          <w:lang w:val="pt-BR"/>
        </w:rPr>
        <w:t>0,75 e 1,50 mol/L</w:t>
      </w:r>
      <w:r w:rsidR="00A46062">
        <w:rPr>
          <w:rFonts w:ascii="Times New Roman" w:hAnsi="Times New Roman"/>
          <w:b w:val="0"/>
          <w:sz w:val="20"/>
          <w:lang w:val="pt-BR"/>
        </w:rPr>
        <w:t>)</w:t>
      </w:r>
      <w:r w:rsidR="00300087">
        <w:rPr>
          <w:rFonts w:ascii="Times New Roman" w:hAnsi="Times New Roman"/>
          <w:b w:val="0"/>
          <w:sz w:val="20"/>
          <w:lang w:val="pt-BR"/>
        </w:rPr>
        <w:t xml:space="preserve"> na</w:t>
      </w:r>
      <w:r w:rsidR="00B44E7A">
        <w:rPr>
          <w:rFonts w:ascii="Times New Roman" w:hAnsi="Times New Roman"/>
          <w:b w:val="0"/>
          <w:sz w:val="20"/>
          <w:lang w:val="pt-BR"/>
        </w:rPr>
        <w:t xml:space="preserve"> formação do nanocompósito do tipo 2,4-D/HDL</w:t>
      </w:r>
      <w:r w:rsidR="00A413F9" w:rsidRPr="00A413F9">
        <w:rPr>
          <w:rFonts w:ascii="Times New Roman" w:hAnsi="Times New Roman"/>
          <w:b w:val="0"/>
          <w:sz w:val="20"/>
          <w:lang w:val="pt-BR"/>
        </w:rPr>
        <w:t xml:space="preserve">. </w:t>
      </w:r>
      <w:r w:rsidR="00300087">
        <w:rPr>
          <w:rFonts w:ascii="Times New Roman" w:hAnsi="Times New Roman"/>
          <w:b w:val="0"/>
          <w:sz w:val="20"/>
          <w:lang w:val="pt-BR"/>
        </w:rPr>
        <w:t>Os resultados de</w:t>
      </w:r>
      <w:r w:rsidR="001C37E0">
        <w:rPr>
          <w:rFonts w:ascii="Times New Roman" w:hAnsi="Times New Roman"/>
          <w:b w:val="0"/>
          <w:sz w:val="20"/>
          <w:lang w:val="pt-BR"/>
        </w:rPr>
        <w:t xml:space="preserve"> </w:t>
      </w:r>
      <w:r w:rsidR="007724C9">
        <w:rPr>
          <w:rFonts w:ascii="Times New Roman" w:hAnsi="Times New Roman"/>
          <w:b w:val="0"/>
          <w:sz w:val="20"/>
          <w:lang w:val="pt-BR"/>
        </w:rPr>
        <w:t xml:space="preserve">difração de </w:t>
      </w:r>
      <w:r w:rsidR="001C37E0">
        <w:rPr>
          <w:rFonts w:ascii="Times New Roman" w:hAnsi="Times New Roman"/>
          <w:b w:val="0"/>
          <w:sz w:val="20"/>
          <w:lang w:val="pt-BR"/>
        </w:rPr>
        <w:t>raios</w:t>
      </w:r>
      <w:r w:rsidR="007724C9">
        <w:rPr>
          <w:rFonts w:ascii="Times New Roman" w:hAnsi="Times New Roman"/>
          <w:b w:val="0"/>
          <w:sz w:val="20"/>
          <w:lang w:val="pt-BR"/>
        </w:rPr>
        <w:t xml:space="preserve"> </w:t>
      </w:r>
      <w:r w:rsidR="001C37E0">
        <w:rPr>
          <w:rFonts w:ascii="Times New Roman" w:hAnsi="Times New Roman"/>
          <w:b w:val="0"/>
          <w:sz w:val="20"/>
          <w:lang w:val="pt-BR"/>
        </w:rPr>
        <w:t>X mostraram que o 2,4</w:t>
      </w:r>
      <w:r w:rsidR="00300087">
        <w:rPr>
          <w:rFonts w:ascii="Times New Roman" w:hAnsi="Times New Roman"/>
          <w:b w:val="0"/>
          <w:sz w:val="20"/>
          <w:lang w:val="pt-BR"/>
        </w:rPr>
        <w:t>-</w:t>
      </w:r>
      <w:r w:rsidR="001C37E0">
        <w:rPr>
          <w:rFonts w:ascii="Times New Roman" w:hAnsi="Times New Roman"/>
          <w:b w:val="0"/>
          <w:sz w:val="20"/>
          <w:lang w:val="pt-BR"/>
        </w:rPr>
        <w:t xml:space="preserve">D foi incorporado à matriz do HDL causando </w:t>
      </w:r>
      <w:r w:rsidR="00A413F9" w:rsidRPr="00A413F9">
        <w:rPr>
          <w:rFonts w:ascii="Times New Roman" w:hAnsi="Times New Roman"/>
          <w:b w:val="0"/>
          <w:sz w:val="20"/>
          <w:lang w:val="pt-BR"/>
        </w:rPr>
        <w:t>um aumento do espaçamento basal</w:t>
      </w:r>
      <w:r w:rsidR="001C37E0">
        <w:rPr>
          <w:rFonts w:ascii="Times New Roman" w:hAnsi="Times New Roman"/>
          <w:b w:val="0"/>
          <w:sz w:val="20"/>
          <w:lang w:val="pt-BR"/>
        </w:rPr>
        <w:t xml:space="preserve"> de 7,76 nm do HDL puro para </w:t>
      </w:r>
      <w:r w:rsidR="00A413F9" w:rsidRPr="00A413F9">
        <w:rPr>
          <w:rFonts w:ascii="Times New Roman" w:hAnsi="Times New Roman"/>
          <w:b w:val="0"/>
          <w:sz w:val="20"/>
          <w:lang w:val="pt-BR"/>
        </w:rPr>
        <w:t xml:space="preserve">20,64 nm. Os </w:t>
      </w:r>
      <w:r w:rsidR="00A46062">
        <w:rPr>
          <w:rFonts w:ascii="Times New Roman" w:hAnsi="Times New Roman"/>
          <w:b w:val="0"/>
          <w:sz w:val="20"/>
          <w:lang w:val="pt-BR"/>
        </w:rPr>
        <w:t xml:space="preserve">espectros </w:t>
      </w:r>
      <w:r w:rsidR="007724C9">
        <w:rPr>
          <w:rFonts w:ascii="Times New Roman" w:hAnsi="Times New Roman"/>
          <w:b w:val="0"/>
          <w:sz w:val="20"/>
          <w:lang w:val="pt-BR"/>
        </w:rPr>
        <w:t>na região do</w:t>
      </w:r>
      <w:r w:rsidR="007724C9" w:rsidRPr="00A413F9">
        <w:rPr>
          <w:rFonts w:ascii="Times New Roman" w:hAnsi="Times New Roman"/>
          <w:b w:val="0"/>
          <w:sz w:val="20"/>
          <w:lang w:val="pt-BR"/>
        </w:rPr>
        <w:t xml:space="preserve"> </w:t>
      </w:r>
      <w:r w:rsidR="00A413F9" w:rsidRPr="00A413F9">
        <w:rPr>
          <w:rFonts w:ascii="Times New Roman" w:hAnsi="Times New Roman"/>
          <w:b w:val="0"/>
          <w:sz w:val="20"/>
          <w:lang w:val="pt-BR"/>
        </w:rPr>
        <w:t xml:space="preserve">infravermelho </w:t>
      </w:r>
      <w:r w:rsidR="00300087">
        <w:rPr>
          <w:rFonts w:ascii="Times New Roman" w:hAnsi="Times New Roman"/>
          <w:b w:val="0"/>
          <w:sz w:val="20"/>
          <w:lang w:val="pt-BR"/>
        </w:rPr>
        <w:t>mostra</w:t>
      </w:r>
      <w:r w:rsidR="00A413F9" w:rsidRPr="00A413F9">
        <w:rPr>
          <w:rFonts w:ascii="Times New Roman" w:hAnsi="Times New Roman"/>
          <w:b w:val="0"/>
          <w:sz w:val="20"/>
          <w:lang w:val="pt-BR"/>
        </w:rPr>
        <w:t xml:space="preserve">ram a presença </w:t>
      </w:r>
      <w:r w:rsidR="00300087">
        <w:rPr>
          <w:rFonts w:ascii="Times New Roman" w:hAnsi="Times New Roman"/>
          <w:b w:val="0"/>
          <w:sz w:val="20"/>
          <w:lang w:val="pt-BR"/>
        </w:rPr>
        <w:t xml:space="preserve">de bandas </w:t>
      </w:r>
      <w:r w:rsidR="00A413F9" w:rsidRPr="00A413F9">
        <w:rPr>
          <w:rFonts w:ascii="Times New Roman" w:hAnsi="Times New Roman"/>
          <w:b w:val="0"/>
          <w:sz w:val="20"/>
          <w:lang w:val="pt-BR"/>
        </w:rPr>
        <w:t>do 2,4-D nas amostras que formaram o</w:t>
      </w:r>
      <w:r w:rsidR="00A46062">
        <w:rPr>
          <w:rFonts w:ascii="Times New Roman" w:hAnsi="Times New Roman"/>
          <w:b w:val="0"/>
          <w:sz w:val="20"/>
          <w:lang w:val="pt-BR"/>
        </w:rPr>
        <w:t xml:space="preserve"> </w:t>
      </w:r>
      <w:r w:rsidR="00A413F9" w:rsidRPr="00A413F9">
        <w:rPr>
          <w:rFonts w:ascii="Times New Roman" w:hAnsi="Times New Roman"/>
          <w:b w:val="0"/>
          <w:sz w:val="20"/>
          <w:lang w:val="pt-BR"/>
        </w:rPr>
        <w:t>nanocompósito híbrido. As</w:t>
      </w:r>
      <w:r w:rsidR="00A46062">
        <w:rPr>
          <w:rFonts w:ascii="Times New Roman" w:hAnsi="Times New Roman"/>
          <w:b w:val="0"/>
          <w:sz w:val="20"/>
          <w:lang w:val="pt-BR"/>
        </w:rPr>
        <w:t xml:space="preserve"> </w:t>
      </w:r>
      <w:r w:rsidR="00300087">
        <w:rPr>
          <w:rFonts w:ascii="Times New Roman" w:hAnsi="Times New Roman"/>
          <w:b w:val="0"/>
          <w:sz w:val="20"/>
          <w:lang w:val="pt-BR"/>
        </w:rPr>
        <w:t>micrografias</w:t>
      </w:r>
      <w:r w:rsidR="00A46062">
        <w:rPr>
          <w:rFonts w:ascii="Times New Roman" w:hAnsi="Times New Roman"/>
          <w:b w:val="0"/>
          <w:sz w:val="20"/>
          <w:lang w:val="pt-BR"/>
        </w:rPr>
        <w:t xml:space="preserve"> mostraram </w:t>
      </w:r>
      <w:r w:rsidR="00A413F9" w:rsidRPr="00A413F9">
        <w:rPr>
          <w:rFonts w:ascii="Times New Roman" w:hAnsi="Times New Roman"/>
          <w:b w:val="0"/>
          <w:sz w:val="20"/>
          <w:lang w:val="pt-BR"/>
        </w:rPr>
        <w:t>que</w:t>
      </w:r>
      <w:r w:rsidR="00A46062">
        <w:rPr>
          <w:rFonts w:ascii="Times New Roman" w:hAnsi="Times New Roman"/>
          <w:b w:val="0"/>
          <w:sz w:val="20"/>
          <w:lang w:val="pt-BR"/>
        </w:rPr>
        <w:t xml:space="preserve"> </w:t>
      </w:r>
      <w:r w:rsidR="00A413F9" w:rsidRPr="00A413F9">
        <w:rPr>
          <w:rFonts w:ascii="Times New Roman" w:hAnsi="Times New Roman"/>
          <w:b w:val="0"/>
          <w:sz w:val="20"/>
          <w:lang w:val="pt-BR"/>
        </w:rPr>
        <w:t>o</w:t>
      </w:r>
      <w:r w:rsidR="00A46062">
        <w:rPr>
          <w:rFonts w:ascii="Times New Roman" w:hAnsi="Times New Roman"/>
          <w:b w:val="0"/>
          <w:sz w:val="20"/>
          <w:lang w:val="pt-BR"/>
        </w:rPr>
        <w:t>s</w:t>
      </w:r>
      <w:r w:rsidR="00A413F9" w:rsidRPr="00A413F9">
        <w:rPr>
          <w:rFonts w:ascii="Times New Roman" w:hAnsi="Times New Roman"/>
          <w:b w:val="0"/>
          <w:sz w:val="20"/>
          <w:lang w:val="pt-BR"/>
        </w:rPr>
        <w:t xml:space="preserve"> nanocompósito</w:t>
      </w:r>
      <w:r w:rsidR="00A46062">
        <w:rPr>
          <w:rFonts w:ascii="Times New Roman" w:hAnsi="Times New Roman"/>
          <w:b w:val="0"/>
          <w:sz w:val="20"/>
          <w:lang w:val="pt-BR"/>
        </w:rPr>
        <w:t>s</w:t>
      </w:r>
      <w:r w:rsidR="00A413F9" w:rsidRPr="00A413F9">
        <w:rPr>
          <w:rFonts w:ascii="Times New Roman" w:hAnsi="Times New Roman"/>
          <w:b w:val="0"/>
          <w:sz w:val="20"/>
          <w:lang w:val="pt-BR"/>
        </w:rPr>
        <w:t xml:space="preserve"> híbrido</w:t>
      </w:r>
      <w:r w:rsidR="00A46062">
        <w:rPr>
          <w:rFonts w:ascii="Times New Roman" w:hAnsi="Times New Roman"/>
          <w:b w:val="0"/>
          <w:sz w:val="20"/>
          <w:lang w:val="pt-BR"/>
        </w:rPr>
        <w:t>s</w:t>
      </w:r>
      <w:r w:rsidR="00A413F9" w:rsidRPr="00A413F9">
        <w:rPr>
          <w:rFonts w:ascii="Times New Roman" w:hAnsi="Times New Roman"/>
          <w:b w:val="0"/>
          <w:sz w:val="20"/>
          <w:lang w:val="pt-BR"/>
        </w:rPr>
        <w:t xml:space="preserve"> </w:t>
      </w:r>
      <w:r w:rsidR="00D473C5">
        <w:rPr>
          <w:rFonts w:ascii="Times New Roman" w:hAnsi="Times New Roman"/>
          <w:b w:val="0"/>
          <w:sz w:val="20"/>
          <w:lang w:val="pt-BR"/>
        </w:rPr>
        <w:t xml:space="preserve">apresentaram partículas com formato </w:t>
      </w:r>
      <w:r w:rsidR="00B44E7A">
        <w:rPr>
          <w:rFonts w:ascii="Times New Roman" w:hAnsi="Times New Roman"/>
          <w:b w:val="0"/>
          <w:sz w:val="20"/>
          <w:lang w:val="pt-BR"/>
        </w:rPr>
        <w:t>lamelar,</w:t>
      </w:r>
      <w:r w:rsidR="00D473C5">
        <w:rPr>
          <w:rFonts w:ascii="Times New Roman" w:hAnsi="Times New Roman"/>
          <w:b w:val="0"/>
          <w:sz w:val="20"/>
          <w:lang w:val="pt-BR"/>
        </w:rPr>
        <w:t xml:space="preserve"> mas com morfologia </w:t>
      </w:r>
      <w:r w:rsidR="00300087">
        <w:rPr>
          <w:rFonts w:ascii="Times New Roman" w:hAnsi="Times New Roman"/>
          <w:b w:val="0"/>
          <w:sz w:val="20"/>
          <w:lang w:val="pt-BR"/>
        </w:rPr>
        <w:t>irregular</w:t>
      </w:r>
      <w:r w:rsidR="00D473C5">
        <w:rPr>
          <w:rFonts w:ascii="Times New Roman" w:hAnsi="Times New Roman"/>
          <w:b w:val="0"/>
          <w:sz w:val="20"/>
          <w:lang w:val="pt-BR"/>
        </w:rPr>
        <w:t>,</w:t>
      </w:r>
      <w:r w:rsidR="00A46062">
        <w:rPr>
          <w:rFonts w:ascii="Times New Roman" w:hAnsi="Times New Roman"/>
          <w:b w:val="0"/>
          <w:sz w:val="20"/>
          <w:lang w:val="pt-BR"/>
        </w:rPr>
        <w:t xml:space="preserve"> </w:t>
      </w:r>
      <w:r w:rsidR="00D473C5">
        <w:rPr>
          <w:rFonts w:ascii="Times New Roman" w:hAnsi="Times New Roman"/>
          <w:b w:val="0"/>
          <w:sz w:val="20"/>
          <w:lang w:val="pt-BR"/>
        </w:rPr>
        <w:t>formando agregados destas partículas arranjados</w:t>
      </w:r>
      <w:r w:rsidR="00A46062">
        <w:rPr>
          <w:rFonts w:ascii="Times New Roman" w:hAnsi="Times New Roman"/>
          <w:b w:val="0"/>
          <w:sz w:val="20"/>
          <w:lang w:val="pt-BR"/>
        </w:rPr>
        <w:t xml:space="preserve"> </w:t>
      </w:r>
      <w:r w:rsidR="00D473C5">
        <w:rPr>
          <w:rFonts w:ascii="Times New Roman" w:hAnsi="Times New Roman"/>
          <w:b w:val="0"/>
          <w:sz w:val="20"/>
          <w:lang w:val="pt-BR"/>
        </w:rPr>
        <w:t xml:space="preserve">de forma </w:t>
      </w:r>
      <w:r w:rsidR="00A46062">
        <w:rPr>
          <w:rFonts w:ascii="Times New Roman" w:hAnsi="Times New Roman"/>
          <w:b w:val="0"/>
          <w:sz w:val="20"/>
          <w:lang w:val="pt-BR"/>
        </w:rPr>
        <w:t>desordenada</w:t>
      </w:r>
      <w:r w:rsidR="00A413F9" w:rsidRPr="00A413F9">
        <w:rPr>
          <w:rFonts w:ascii="Times New Roman" w:hAnsi="Times New Roman"/>
          <w:b w:val="0"/>
          <w:sz w:val="20"/>
          <w:lang w:val="pt-BR"/>
        </w:rPr>
        <w:t xml:space="preserve">. </w:t>
      </w:r>
      <w:r w:rsidR="00D473C5">
        <w:rPr>
          <w:rFonts w:ascii="Times New Roman" w:hAnsi="Times New Roman"/>
          <w:b w:val="0"/>
          <w:sz w:val="20"/>
          <w:lang w:val="pt-BR"/>
        </w:rPr>
        <w:t xml:space="preserve">Concluiu-se que a síntese dos nanocompósitos com concentração dos sais metálicos acima de 0,75 mol/L favorece a formação da estrutura </w:t>
      </w:r>
      <w:r w:rsidR="00B44E7A">
        <w:rPr>
          <w:rFonts w:ascii="Times New Roman" w:hAnsi="Times New Roman"/>
          <w:b w:val="0"/>
          <w:sz w:val="20"/>
          <w:lang w:val="pt-BR"/>
        </w:rPr>
        <w:t>desejada</w:t>
      </w:r>
      <w:r>
        <w:rPr>
          <w:rFonts w:ascii="Times New Roman" w:hAnsi="Times New Roman"/>
          <w:b w:val="0"/>
          <w:sz w:val="20"/>
          <w:lang w:val="pt-BR"/>
        </w:rPr>
        <w:t>.</w:t>
      </w:r>
      <w:r w:rsidR="00A413F9" w:rsidRPr="00A413F9">
        <w:rPr>
          <w:rFonts w:ascii="Times New Roman" w:hAnsi="Times New Roman"/>
          <w:b w:val="0"/>
          <w:sz w:val="20"/>
          <w:lang w:val="pt-BR"/>
        </w:rPr>
        <w:t xml:space="preserve"> </w:t>
      </w:r>
    </w:p>
    <w:p w14:paraId="6ADF2A5B" w14:textId="77777777" w:rsidR="00171B27" w:rsidRDefault="00171B27" w:rsidP="00171B27">
      <w:pPr>
        <w:pStyle w:val="BDAbstract"/>
        <w:spacing w:before="0" w:after="0" w:line="240" w:lineRule="exact"/>
        <w:rPr>
          <w:rFonts w:ascii="Times New Roman" w:hAnsi="Times New Roman"/>
          <w:b w:val="0"/>
          <w:sz w:val="20"/>
          <w:lang w:val="pt-BR"/>
        </w:rPr>
      </w:pPr>
    </w:p>
    <w:p w14:paraId="09B41B70" w14:textId="52190CC7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>Palavras-chave:</w:t>
      </w:r>
      <w:r w:rsidR="00554437">
        <w:rPr>
          <w:rFonts w:ascii="Times New Roman" w:hAnsi="Times New Roman"/>
          <w:b w:val="0"/>
          <w:i/>
          <w:sz w:val="20"/>
          <w:lang w:val="pt-BR"/>
        </w:rPr>
        <w:t xml:space="preserve"> </w:t>
      </w:r>
      <w:r w:rsidR="00C97F40">
        <w:rPr>
          <w:rFonts w:ascii="Times New Roman" w:hAnsi="Times New Roman"/>
          <w:b w:val="0"/>
          <w:i/>
          <w:sz w:val="20"/>
          <w:lang w:val="pt-BR"/>
        </w:rPr>
        <w:t>Nanocompósitos</w:t>
      </w:r>
      <w:r w:rsidR="00B44E7A">
        <w:rPr>
          <w:rFonts w:ascii="Times New Roman" w:hAnsi="Times New Roman"/>
          <w:b w:val="0"/>
          <w:i/>
          <w:sz w:val="20"/>
          <w:lang w:val="pt-BR"/>
        </w:rPr>
        <w:t xml:space="preserve"> híbrido</w:t>
      </w:r>
      <w:r w:rsidR="00C97F40">
        <w:rPr>
          <w:rFonts w:ascii="Times New Roman" w:hAnsi="Times New Roman"/>
          <w:b w:val="0"/>
          <w:i/>
          <w:sz w:val="20"/>
          <w:lang w:val="pt-BR"/>
        </w:rPr>
        <w:t xml:space="preserve">, </w:t>
      </w:r>
      <w:r w:rsidR="0046063A">
        <w:rPr>
          <w:rFonts w:ascii="Times New Roman" w:hAnsi="Times New Roman"/>
          <w:b w:val="0"/>
          <w:i/>
          <w:sz w:val="20"/>
          <w:lang w:val="pt-BR"/>
        </w:rPr>
        <w:t xml:space="preserve">ácido </w:t>
      </w:r>
      <w:r w:rsidR="00C97F40">
        <w:rPr>
          <w:rFonts w:ascii="Times New Roman" w:hAnsi="Times New Roman"/>
          <w:b w:val="0"/>
          <w:i/>
          <w:sz w:val="20"/>
          <w:lang w:val="pt-BR"/>
        </w:rPr>
        <w:t>2,4</w:t>
      </w:r>
      <w:r w:rsidR="0046063A">
        <w:rPr>
          <w:rFonts w:ascii="Times New Roman" w:hAnsi="Times New Roman"/>
          <w:b w:val="0"/>
          <w:i/>
          <w:sz w:val="20"/>
          <w:lang w:val="pt-BR"/>
        </w:rPr>
        <w:t>-</w:t>
      </w:r>
      <w:r w:rsidR="00C97F40">
        <w:rPr>
          <w:rFonts w:ascii="Times New Roman" w:hAnsi="Times New Roman"/>
          <w:b w:val="0"/>
          <w:i/>
          <w:sz w:val="20"/>
          <w:lang w:val="pt-BR"/>
        </w:rPr>
        <w:t>D</w:t>
      </w:r>
      <w:r w:rsidR="0046063A">
        <w:rPr>
          <w:rFonts w:ascii="Times New Roman" w:hAnsi="Times New Roman"/>
          <w:b w:val="0"/>
          <w:i/>
          <w:sz w:val="20"/>
          <w:lang w:val="pt-BR"/>
        </w:rPr>
        <w:t>iclorofenoxiacético</w:t>
      </w:r>
      <w:r w:rsidR="00C97F40">
        <w:rPr>
          <w:rFonts w:ascii="Times New Roman" w:hAnsi="Times New Roman"/>
          <w:b w:val="0"/>
          <w:i/>
          <w:sz w:val="20"/>
          <w:lang w:val="pt-BR"/>
        </w:rPr>
        <w:t xml:space="preserve">, Hidróxido </w:t>
      </w:r>
      <w:r w:rsidR="00B44E7A">
        <w:rPr>
          <w:rFonts w:ascii="Times New Roman" w:hAnsi="Times New Roman"/>
          <w:b w:val="0"/>
          <w:i/>
          <w:sz w:val="20"/>
          <w:lang w:val="pt-BR"/>
        </w:rPr>
        <w:t>D</w:t>
      </w:r>
      <w:r w:rsidR="00C97F40">
        <w:rPr>
          <w:rFonts w:ascii="Times New Roman" w:hAnsi="Times New Roman"/>
          <w:b w:val="0"/>
          <w:i/>
          <w:sz w:val="20"/>
          <w:lang w:val="pt-BR"/>
        </w:rPr>
        <w:t>uplo Lamelar</w:t>
      </w:r>
      <w:r w:rsidR="00554437">
        <w:rPr>
          <w:rFonts w:ascii="Times New Roman" w:hAnsi="Times New Roman"/>
          <w:b w:val="0"/>
          <w:i/>
          <w:sz w:val="20"/>
          <w:lang w:val="pt-BR"/>
        </w:rPr>
        <w:t>, síntese direta.</w:t>
      </w:r>
    </w:p>
    <w:p w14:paraId="5D8D4445" w14:textId="11D77547" w:rsidR="00EA4E1B" w:rsidRPr="00DA4DFC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14519901" w14:textId="28538C86" w:rsidR="007D0324" w:rsidRPr="00E758E7" w:rsidRDefault="001672BA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The </w:t>
      </w:r>
      <w:r w:rsidRPr="001672BA">
        <w:rPr>
          <w:rFonts w:ascii="Times New Roman" w:hAnsi="Times New Roman"/>
          <w:b w:val="0"/>
          <w:sz w:val="20"/>
        </w:rPr>
        <w:t>2,4-</w:t>
      </w:r>
      <w:r>
        <w:rPr>
          <w:rFonts w:ascii="Times New Roman" w:hAnsi="Times New Roman"/>
          <w:b w:val="0"/>
          <w:sz w:val="20"/>
        </w:rPr>
        <w:t>d</w:t>
      </w:r>
      <w:r w:rsidRPr="001672BA">
        <w:rPr>
          <w:rFonts w:ascii="Times New Roman" w:hAnsi="Times New Roman"/>
          <w:b w:val="0"/>
          <w:sz w:val="20"/>
        </w:rPr>
        <w:t>ichlorophenoxyacetic acid (2,4-D)</w:t>
      </w:r>
      <w:r w:rsidR="007D0324" w:rsidRPr="007B1FB8">
        <w:rPr>
          <w:rFonts w:ascii="Times New Roman" w:hAnsi="Times New Roman"/>
          <w:b w:val="0"/>
          <w:sz w:val="20"/>
        </w:rPr>
        <w:t xml:space="preserve"> is </w:t>
      </w:r>
      <w:r w:rsidR="007724C9" w:rsidRPr="007B1FB8">
        <w:rPr>
          <w:rFonts w:ascii="Times New Roman" w:hAnsi="Times New Roman"/>
          <w:b w:val="0"/>
          <w:sz w:val="20"/>
        </w:rPr>
        <w:t>an</w:t>
      </w:r>
      <w:r w:rsidR="007D0324" w:rsidRPr="007B1FB8">
        <w:rPr>
          <w:rFonts w:ascii="Times New Roman" w:hAnsi="Times New Roman"/>
          <w:b w:val="0"/>
          <w:sz w:val="20"/>
        </w:rPr>
        <w:t xml:space="preserve"> herbicide widely used in agriculture to control broadleaf weeds. Currently its excessive use is worrying due to its impact on environment </w:t>
      </w:r>
      <w:r w:rsidR="00D601C3" w:rsidRPr="007B1FB8">
        <w:rPr>
          <w:rFonts w:ascii="Times New Roman" w:hAnsi="Times New Roman"/>
          <w:b w:val="0"/>
          <w:sz w:val="20"/>
        </w:rPr>
        <w:t>because 2,4-D was</w:t>
      </w:r>
      <w:r w:rsidR="007D0324" w:rsidRPr="007B1FB8">
        <w:rPr>
          <w:rFonts w:ascii="Times New Roman" w:hAnsi="Times New Roman"/>
          <w:b w:val="0"/>
          <w:sz w:val="20"/>
        </w:rPr>
        <w:t xml:space="preserve"> found in water sources. A solution to minimize this contamination is to incorporate the herbicide in a </w:t>
      </w:r>
      <w:r w:rsidR="00D601C3" w:rsidRPr="007B1FB8">
        <w:rPr>
          <w:rFonts w:ascii="Times New Roman" w:hAnsi="Times New Roman"/>
          <w:b w:val="0"/>
          <w:sz w:val="20"/>
        </w:rPr>
        <w:t xml:space="preserve">crystalline structure </w:t>
      </w:r>
      <w:r w:rsidR="007D0324" w:rsidRPr="007B1FB8">
        <w:rPr>
          <w:rFonts w:ascii="Times New Roman" w:hAnsi="Times New Roman"/>
          <w:b w:val="0"/>
          <w:sz w:val="20"/>
        </w:rPr>
        <w:t xml:space="preserve">matrix </w:t>
      </w:r>
      <w:proofErr w:type="spellStart"/>
      <w:r w:rsidR="00D601C3" w:rsidRPr="007B1FB8">
        <w:rPr>
          <w:rFonts w:ascii="Times New Roman" w:hAnsi="Times New Roman"/>
          <w:b w:val="0"/>
          <w:sz w:val="20"/>
        </w:rPr>
        <w:t>produzing</w:t>
      </w:r>
      <w:proofErr w:type="spellEnd"/>
      <w:r w:rsidR="007D0324" w:rsidRPr="007B1FB8">
        <w:rPr>
          <w:rFonts w:ascii="Times New Roman" w:hAnsi="Times New Roman"/>
          <w:b w:val="0"/>
          <w:sz w:val="20"/>
        </w:rPr>
        <w:t xml:space="preserve"> a solid or hybrid nanocomposite. Samples of Layered Double Hydroxide (LDH) </w:t>
      </w:r>
      <w:r w:rsidR="00200D3B" w:rsidRPr="007B1FB8">
        <w:rPr>
          <w:rFonts w:ascii="Times New Roman" w:hAnsi="Times New Roman"/>
          <w:b w:val="0"/>
          <w:sz w:val="20"/>
        </w:rPr>
        <w:t xml:space="preserve">based on </w:t>
      </w:r>
      <w:r w:rsidR="007D0324" w:rsidRPr="007B1FB8">
        <w:rPr>
          <w:rFonts w:ascii="Times New Roman" w:hAnsi="Times New Roman"/>
          <w:b w:val="0"/>
          <w:sz w:val="20"/>
        </w:rPr>
        <w:t>Zn-Al hydrotalcite were synthesized with the herbicide</w:t>
      </w:r>
      <w:r w:rsidR="00D601C3" w:rsidRPr="007B1FB8">
        <w:rPr>
          <w:rFonts w:ascii="Times New Roman" w:hAnsi="Times New Roman"/>
          <w:b w:val="0"/>
          <w:sz w:val="20"/>
        </w:rPr>
        <w:t xml:space="preserve"> into the solution</w:t>
      </w:r>
      <w:r w:rsidR="007D0324" w:rsidRPr="007B1FB8">
        <w:rPr>
          <w:rFonts w:ascii="Times New Roman" w:hAnsi="Times New Roman"/>
          <w:b w:val="0"/>
          <w:sz w:val="20"/>
        </w:rPr>
        <w:t xml:space="preserve"> to </w:t>
      </w:r>
      <w:r w:rsidR="00200D3B" w:rsidRPr="007B1FB8">
        <w:rPr>
          <w:rFonts w:ascii="Times New Roman" w:hAnsi="Times New Roman"/>
          <w:b w:val="0"/>
          <w:sz w:val="20"/>
        </w:rPr>
        <w:t>obtain</w:t>
      </w:r>
      <w:r w:rsidR="007D0324" w:rsidRPr="007B1FB8">
        <w:rPr>
          <w:rFonts w:ascii="Times New Roman" w:hAnsi="Times New Roman"/>
          <w:b w:val="0"/>
          <w:sz w:val="20"/>
        </w:rPr>
        <w:t xml:space="preserve"> a hybrid nanocomposite and verify the </w:t>
      </w:r>
      <w:r w:rsidR="00D601C3" w:rsidRPr="007B1FB8">
        <w:rPr>
          <w:rFonts w:ascii="Times New Roman" w:hAnsi="Times New Roman"/>
          <w:b w:val="0"/>
          <w:sz w:val="20"/>
        </w:rPr>
        <w:t xml:space="preserve">of Zn and Al metallic salts </w:t>
      </w:r>
      <w:r w:rsidR="00200D3B" w:rsidRPr="007B1FB8">
        <w:rPr>
          <w:rFonts w:ascii="Times New Roman" w:hAnsi="Times New Roman"/>
          <w:b w:val="0"/>
          <w:sz w:val="20"/>
        </w:rPr>
        <w:t xml:space="preserve">concentration </w:t>
      </w:r>
      <w:r w:rsidR="007D0324" w:rsidRPr="007B1FB8">
        <w:rPr>
          <w:rFonts w:ascii="Times New Roman" w:hAnsi="Times New Roman"/>
          <w:b w:val="0"/>
          <w:sz w:val="20"/>
        </w:rPr>
        <w:t xml:space="preserve">influence (0.30; 0.75 and 1.50 mol/L), in </w:t>
      </w:r>
      <w:r w:rsidR="00200D3B" w:rsidRPr="007B1FB8">
        <w:rPr>
          <w:rFonts w:ascii="Times New Roman" w:hAnsi="Times New Roman"/>
          <w:b w:val="0"/>
          <w:sz w:val="20"/>
        </w:rPr>
        <w:t>2,4-D/HDL</w:t>
      </w:r>
      <w:r w:rsidR="00D601C3" w:rsidRPr="007B1FB8">
        <w:rPr>
          <w:rFonts w:ascii="Times New Roman" w:hAnsi="Times New Roman"/>
          <w:b w:val="0"/>
          <w:sz w:val="20"/>
        </w:rPr>
        <w:t>-like</w:t>
      </w:r>
      <w:r w:rsidR="00200D3B" w:rsidRPr="007B1FB8">
        <w:rPr>
          <w:rFonts w:ascii="Times New Roman" w:hAnsi="Times New Roman"/>
          <w:b w:val="0"/>
          <w:sz w:val="20"/>
        </w:rPr>
        <w:t xml:space="preserve"> nanocomposite </w:t>
      </w:r>
      <w:r w:rsidR="007D0324" w:rsidRPr="007B1FB8">
        <w:rPr>
          <w:rFonts w:ascii="Times New Roman" w:hAnsi="Times New Roman"/>
          <w:b w:val="0"/>
          <w:sz w:val="20"/>
        </w:rPr>
        <w:t>formation. X-ray results showed that 2,4-D was incorporated into the L</w:t>
      </w:r>
      <w:r w:rsidR="00200D3B" w:rsidRPr="007B1FB8">
        <w:rPr>
          <w:rFonts w:ascii="Times New Roman" w:hAnsi="Times New Roman"/>
          <w:b w:val="0"/>
          <w:sz w:val="20"/>
        </w:rPr>
        <w:t>DH</w:t>
      </w:r>
      <w:r w:rsidR="007D0324" w:rsidRPr="007B1FB8">
        <w:rPr>
          <w:rFonts w:ascii="Times New Roman" w:hAnsi="Times New Roman"/>
          <w:b w:val="0"/>
          <w:sz w:val="20"/>
        </w:rPr>
        <w:t xml:space="preserve"> </w:t>
      </w:r>
      <w:r w:rsidR="00D601C3" w:rsidRPr="007B1FB8">
        <w:rPr>
          <w:rFonts w:ascii="Times New Roman" w:hAnsi="Times New Roman"/>
          <w:b w:val="0"/>
          <w:sz w:val="20"/>
        </w:rPr>
        <w:t>structure</w:t>
      </w:r>
      <w:r w:rsidR="007D0324" w:rsidRPr="007B1FB8">
        <w:rPr>
          <w:rFonts w:ascii="Times New Roman" w:hAnsi="Times New Roman"/>
          <w:b w:val="0"/>
          <w:sz w:val="20"/>
        </w:rPr>
        <w:t xml:space="preserve"> causing an increase in basal spacing from 7.76 nm of pure HDL to 20.64 nm. </w:t>
      </w:r>
      <w:r w:rsidR="007D0324" w:rsidRPr="00E758E7">
        <w:rPr>
          <w:rFonts w:ascii="Times New Roman" w:hAnsi="Times New Roman"/>
          <w:b w:val="0"/>
          <w:sz w:val="20"/>
        </w:rPr>
        <w:t xml:space="preserve">The infrared spectra showed </w:t>
      </w:r>
      <w:r w:rsidR="00200D3B" w:rsidRPr="00E758E7">
        <w:rPr>
          <w:rFonts w:ascii="Times New Roman" w:hAnsi="Times New Roman"/>
          <w:b w:val="0"/>
          <w:sz w:val="20"/>
        </w:rPr>
        <w:t xml:space="preserve">2,4-D bands </w:t>
      </w:r>
      <w:r w:rsidR="007D0324" w:rsidRPr="00E758E7">
        <w:rPr>
          <w:rFonts w:ascii="Times New Roman" w:hAnsi="Times New Roman"/>
          <w:b w:val="0"/>
          <w:sz w:val="20"/>
        </w:rPr>
        <w:t xml:space="preserve">in samples </w:t>
      </w:r>
      <w:r w:rsidR="00200D3B" w:rsidRPr="00E758E7">
        <w:rPr>
          <w:rFonts w:ascii="Times New Roman" w:hAnsi="Times New Roman"/>
          <w:b w:val="0"/>
          <w:sz w:val="20"/>
        </w:rPr>
        <w:t>which</w:t>
      </w:r>
      <w:r w:rsidR="007D0324" w:rsidRPr="00E758E7">
        <w:rPr>
          <w:rFonts w:ascii="Times New Roman" w:hAnsi="Times New Roman"/>
          <w:b w:val="0"/>
          <w:sz w:val="20"/>
        </w:rPr>
        <w:t xml:space="preserve"> formed the hybrid nanocomposite. The micrographs showed that the hybrid nanocomposites presented particles with a lamellar shape, but with irregular morphology, forming aggregates of these particles arranged in a disorderly way. It was concluded that the synthesis of nanocomposites with concentration of metallic salts above 0.75 mol/L favors the formation of the desired structure.</w:t>
      </w:r>
    </w:p>
    <w:p w14:paraId="66EB9C25" w14:textId="77777777" w:rsidR="00811CB4" w:rsidRPr="00E758E7" w:rsidRDefault="00811CB4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</w:p>
    <w:p w14:paraId="5F4A84E8" w14:textId="53D869C5" w:rsidR="00EA4E1B" w:rsidRPr="00E758E7" w:rsidRDefault="00EA4E1B" w:rsidP="00EA4E1B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sz w:val="20"/>
        </w:rPr>
      </w:pPr>
      <w:r w:rsidRPr="00E758E7">
        <w:rPr>
          <w:rFonts w:ascii="Times New Roman" w:hAnsi="Times New Roman"/>
          <w:b w:val="0"/>
          <w:i/>
          <w:sz w:val="20"/>
        </w:rPr>
        <w:t xml:space="preserve">Keywords: </w:t>
      </w:r>
      <w:r w:rsidR="00B44E7A" w:rsidRPr="00E758E7">
        <w:rPr>
          <w:rFonts w:ascii="Times New Roman" w:hAnsi="Times New Roman"/>
          <w:b w:val="0"/>
          <w:i/>
          <w:sz w:val="20"/>
        </w:rPr>
        <w:t>hybrid n</w:t>
      </w:r>
      <w:r w:rsidR="0019607D" w:rsidRPr="00E758E7">
        <w:rPr>
          <w:rFonts w:ascii="Times New Roman" w:hAnsi="Times New Roman"/>
          <w:b w:val="0"/>
          <w:i/>
          <w:sz w:val="20"/>
        </w:rPr>
        <w:t>anocomposite, 2,4-Dichorophenoxyacetic acid,</w:t>
      </w:r>
      <w:r w:rsidR="00B67D84" w:rsidRPr="00E758E7">
        <w:rPr>
          <w:rFonts w:ascii="Times New Roman" w:hAnsi="Times New Roman"/>
          <w:b w:val="0"/>
          <w:i/>
          <w:sz w:val="20"/>
        </w:rPr>
        <w:t xml:space="preserve"> </w:t>
      </w:r>
      <w:r w:rsidR="0019607D" w:rsidRPr="00E758E7">
        <w:rPr>
          <w:rFonts w:ascii="Times New Roman" w:hAnsi="Times New Roman"/>
          <w:b w:val="0"/>
          <w:i/>
          <w:sz w:val="20"/>
        </w:rPr>
        <w:t xml:space="preserve">Layered </w:t>
      </w:r>
      <w:r w:rsidR="00B67D84" w:rsidRPr="00E758E7">
        <w:rPr>
          <w:rFonts w:ascii="Times New Roman" w:hAnsi="Times New Roman"/>
          <w:b w:val="0"/>
          <w:i/>
          <w:sz w:val="20"/>
        </w:rPr>
        <w:t>D</w:t>
      </w:r>
      <w:r w:rsidR="0019607D" w:rsidRPr="00E758E7">
        <w:rPr>
          <w:rFonts w:ascii="Times New Roman" w:hAnsi="Times New Roman"/>
          <w:b w:val="0"/>
          <w:i/>
          <w:sz w:val="20"/>
        </w:rPr>
        <w:t>ouble Hydroxide, direct synthesis</w:t>
      </w:r>
    </w:p>
    <w:p w14:paraId="0C8EAB92" w14:textId="77777777" w:rsidR="0019607D" w:rsidRPr="00E758E7" w:rsidRDefault="0019607D" w:rsidP="00EA4E1B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sz w:val="20"/>
        </w:rPr>
      </w:pPr>
    </w:p>
    <w:bookmarkEnd w:id="2"/>
    <w:p w14:paraId="48D9B0C4" w14:textId="77777777" w:rsidR="00EA4E1B" w:rsidRPr="00E758E7" w:rsidRDefault="00EA4E1B" w:rsidP="00EA4E1B">
      <w:pPr>
        <w:rPr>
          <w:lang w:val="en-US"/>
        </w:rPr>
        <w:sectPr w:rsidR="00EA4E1B" w:rsidRPr="00E758E7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625F2C0A" w14:textId="511D657E" w:rsidR="00EA4E1B" w:rsidRPr="001F25B2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Introdução</w:t>
      </w:r>
    </w:p>
    <w:p w14:paraId="33244B87" w14:textId="40457F87" w:rsidR="00C97F40" w:rsidRPr="00C97F40" w:rsidRDefault="00C97F40" w:rsidP="00C97F40">
      <w:pPr>
        <w:pStyle w:val="TAMainText"/>
        <w:rPr>
          <w:rFonts w:ascii="Times New Roman" w:hAnsi="Times New Roman"/>
          <w:lang w:val="pt-BR"/>
        </w:rPr>
      </w:pPr>
      <w:r w:rsidRPr="00C97F40">
        <w:rPr>
          <w:rFonts w:ascii="Times New Roman" w:hAnsi="Times New Roman"/>
          <w:lang w:val="pt-BR"/>
        </w:rPr>
        <w:t xml:space="preserve">O ácido 2,4-diclorofenoxiacético (2,4-D) é o terceiro herbicida mais utilizado </w:t>
      </w:r>
      <w:r w:rsidR="007724C9" w:rsidRPr="00C97F40">
        <w:rPr>
          <w:rFonts w:ascii="Times New Roman" w:hAnsi="Times New Roman"/>
          <w:lang w:val="pt-BR"/>
        </w:rPr>
        <w:t xml:space="preserve">na agricultura </w:t>
      </w:r>
      <w:r w:rsidRPr="00C97F40">
        <w:rPr>
          <w:rFonts w:ascii="Times New Roman" w:hAnsi="Times New Roman"/>
          <w:lang w:val="pt-BR"/>
        </w:rPr>
        <w:t>em todo o mundo para combater uma ampla variedade de ervas daninhas de folhas largas</w:t>
      </w:r>
      <w:r w:rsidR="001672BA">
        <w:rPr>
          <w:rFonts w:ascii="Times New Roman" w:hAnsi="Times New Roman"/>
          <w:lang w:val="pt-BR"/>
        </w:rPr>
        <w:t xml:space="preserve"> (1)</w:t>
      </w:r>
      <w:r w:rsidRPr="00C97F40">
        <w:rPr>
          <w:rFonts w:ascii="Times New Roman" w:hAnsi="Times New Roman"/>
          <w:lang w:val="pt-BR"/>
        </w:rPr>
        <w:t>. O 2,4-D é um desregulador endócrino, mutagênico em potencial e carcinógeno</w:t>
      </w:r>
      <w:r w:rsidR="001672BA">
        <w:rPr>
          <w:rFonts w:ascii="Times New Roman" w:hAnsi="Times New Roman"/>
          <w:lang w:val="pt-BR"/>
        </w:rPr>
        <w:t xml:space="preserve"> (2)</w:t>
      </w:r>
      <w:r w:rsidRPr="00C97F40">
        <w:rPr>
          <w:rFonts w:ascii="Times New Roman" w:hAnsi="Times New Roman"/>
          <w:lang w:val="pt-BR"/>
        </w:rPr>
        <w:t xml:space="preserve">. Devido à sua alta solubilidade em água é frequentemente detectado </w:t>
      </w:r>
      <w:r>
        <w:rPr>
          <w:rFonts w:ascii="Times New Roman" w:hAnsi="Times New Roman"/>
          <w:lang w:val="pt-BR"/>
        </w:rPr>
        <w:t xml:space="preserve">em </w:t>
      </w:r>
      <w:r w:rsidRPr="00C97F40">
        <w:rPr>
          <w:rFonts w:ascii="Times New Roman" w:hAnsi="Times New Roman"/>
          <w:lang w:val="pt-BR"/>
        </w:rPr>
        <w:t>água</w:t>
      </w:r>
      <w:r>
        <w:rPr>
          <w:rFonts w:ascii="Times New Roman" w:hAnsi="Times New Roman"/>
          <w:lang w:val="pt-BR"/>
        </w:rPr>
        <w:t>s</w:t>
      </w:r>
      <w:r w:rsidRPr="00C97F40">
        <w:rPr>
          <w:rFonts w:ascii="Times New Roman" w:hAnsi="Times New Roman"/>
          <w:lang w:val="pt-BR"/>
        </w:rPr>
        <w:t xml:space="preserve"> de fontes naturais</w:t>
      </w:r>
      <w:r w:rsidR="001672BA">
        <w:rPr>
          <w:rFonts w:ascii="Times New Roman" w:hAnsi="Times New Roman"/>
          <w:lang w:val="pt-BR"/>
        </w:rPr>
        <w:t xml:space="preserve"> (3,4)</w:t>
      </w:r>
      <w:r w:rsidRPr="00C97F40">
        <w:rPr>
          <w:rFonts w:ascii="Times New Roman" w:hAnsi="Times New Roman"/>
          <w:lang w:val="pt-BR"/>
        </w:rPr>
        <w:t>.</w:t>
      </w:r>
    </w:p>
    <w:p w14:paraId="12724ECA" w14:textId="4FAEDD8B" w:rsidR="00C97F40" w:rsidRPr="00C97F40" w:rsidRDefault="00C97F40" w:rsidP="00C97F40">
      <w:pPr>
        <w:pStyle w:val="TAMainText"/>
        <w:rPr>
          <w:rFonts w:ascii="Times New Roman" w:hAnsi="Times New Roman"/>
          <w:lang w:val="pt-BR"/>
        </w:rPr>
      </w:pPr>
      <w:r w:rsidRPr="00C97F40">
        <w:rPr>
          <w:rFonts w:ascii="Times New Roman" w:hAnsi="Times New Roman"/>
          <w:lang w:val="pt-BR"/>
        </w:rPr>
        <w:t xml:space="preserve">O 2,4-D é usado via pulverização através de formulações líquidas. Para minimizar a contaminação a partir de </w:t>
      </w:r>
      <w:r w:rsidRPr="00C97F40">
        <w:rPr>
          <w:rFonts w:ascii="Times New Roman" w:hAnsi="Times New Roman"/>
          <w:lang w:val="pt-BR"/>
        </w:rPr>
        <w:t>herbicidas aplicados de forma líquida podem ser usadas formulações de liberação controlada</w:t>
      </w:r>
      <w:r w:rsidR="007724C9">
        <w:rPr>
          <w:rFonts w:ascii="Times New Roman" w:hAnsi="Times New Roman"/>
          <w:lang w:val="pt-BR"/>
        </w:rPr>
        <w:t>,</w:t>
      </w:r>
      <w:r w:rsidRPr="00C97F40">
        <w:rPr>
          <w:rFonts w:ascii="Times New Roman" w:hAnsi="Times New Roman"/>
          <w:lang w:val="pt-BR"/>
        </w:rPr>
        <w:t xml:space="preserve"> as quais o herbicida é incorporado na matriz de uma estrutura cristalina formando um sólido ou nanocompósito, antes da aplicação, facilitando seu manuseio e limitando seu uso em grandes quantidades nas áreas de plantio</w:t>
      </w:r>
      <w:r w:rsidR="001672BA">
        <w:rPr>
          <w:rFonts w:ascii="Times New Roman" w:hAnsi="Times New Roman"/>
          <w:lang w:val="pt-BR"/>
        </w:rPr>
        <w:t xml:space="preserve"> (5-7)</w:t>
      </w:r>
      <w:r w:rsidRPr="00C97F40">
        <w:rPr>
          <w:rFonts w:ascii="Times New Roman" w:hAnsi="Times New Roman"/>
          <w:lang w:val="pt-BR"/>
        </w:rPr>
        <w:t>.</w:t>
      </w:r>
    </w:p>
    <w:p w14:paraId="46455F91" w14:textId="76300FC3" w:rsidR="00C97F40" w:rsidRPr="00C97F40" w:rsidRDefault="00C97F40" w:rsidP="00C97F40">
      <w:pPr>
        <w:pStyle w:val="TAMainText"/>
        <w:rPr>
          <w:rFonts w:ascii="Times New Roman" w:hAnsi="Times New Roman"/>
          <w:lang w:val="pt-BR"/>
        </w:rPr>
      </w:pPr>
      <w:r w:rsidRPr="00C97F40">
        <w:rPr>
          <w:rFonts w:ascii="Times New Roman" w:hAnsi="Times New Roman"/>
          <w:lang w:val="pt-BR"/>
        </w:rPr>
        <w:t>Entre os materiais usados como estrutura hospedeira temos o Hidróxido Duplo Lamelar (HDL) do tipo hidrotalcita, que é uma estrutura com grande potencial para a formação de nanocompósitos usados na liberação controlada de herbicidas</w:t>
      </w:r>
      <w:r w:rsidR="001E0842">
        <w:rPr>
          <w:rFonts w:ascii="Times New Roman" w:hAnsi="Times New Roman"/>
          <w:lang w:val="pt-BR"/>
        </w:rPr>
        <w:t xml:space="preserve"> (6-8)</w:t>
      </w:r>
      <w:r w:rsidRPr="00C97F40">
        <w:rPr>
          <w:rFonts w:ascii="Times New Roman" w:hAnsi="Times New Roman"/>
          <w:lang w:val="pt-BR"/>
        </w:rPr>
        <w:t xml:space="preserve">. </w:t>
      </w:r>
    </w:p>
    <w:p w14:paraId="46DB734D" w14:textId="6775787C" w:rsidR="00C97F40" w:rsidRDefault="00C97F40" w:rsidP="00C97F40">
      <w:pPr>
        <w:pStyle w:val="TAMainText"/>
        <w:rPr>
          <w:rFonts w:ascii="Times New Roman" w:hAnsi="Times New Roman"/>
          <w:lang w:val="pt-BR"/>
        </w:rPr>
      </w:pPr>
      <w:r w:rsidRPr="002341FA">
        <w:rPr>
          <w:rFonts w:ascii="Times New Roman" w:hAnsi="Times New Roman"/>
          <w:lang w:val="pt-BR"/>
        </w:rPr>
        <w:lastRenderedPageBreak/>
        <w:t>Nanocompósitos do tipo 2,4-D/HDL podem ser produzidos diretamente via coprecipitação, incorporando durante a síntese o herbicida 2,4-D em condições de</w:t>
      </w:r>
      <w:r w:rsidR="00301535" w:rsidRPr="002341FA">
        <w:rPr>
          <w:rFonts w:ascii="Times New Roman" w:hAnsi="Times New Roman"/>
          <w:lang w:val="pt-BR"/>
        </w:rPr>
        <w:t xml:space="preserve"> concentração,</w:t>
      </w:r>
      <w:r w:rsidRPr="002341FA">
        <w:rPr>
          <w:rFonts w:ascii="Times New Roman" w:hAnsi="Times New Roman"/>
          <w:lang w:val="pt-BR"/>
        </w:rPr>
        <w:t xml:space="preserve"> pH, temperatura e tempo de envelhecimento adequados para o sólido formado apresentar a estrutura de um HDL contendo o herbicida dentro da matriz</w:t>
      </w:r>
      <w:r w:rsidR="001E0842">
        <w:rPr>
          <w:rFonts w:ascii="Times New Roman" w:hAnsi="Times New Roman"/>
          <w:lang w:val="pt-BR"/>
        </w:rPr>
        <w:t xml:space="preserve"> (9)</w:t>
      </w:r>
      <w:r w:rsidRPr="002341FA">
        <w:rPr>
          <w:rFonts w:ascii="Times New Roman" w:hAnsi="Times New Roman"/>
          <w:lang w:val="pt-BR"/>
        </w:rPr>
        <w:t>.</w:t>
      </w:r>
    </w:p>
    <w:p w14:paraId="4053E656" w14:textId="74D7C73F" w:rsidR="00EA4E1B" w:rsidRPr="001F25B2" w:rsidRDefault="00B24AC5" w:rsidP="00B24AC5">
      <w:pPr>
        <w:pStyle w:val="TAMainText"/>
        <w:rPr>
          <w:rFonts w:ascii="Times New Roman" w:hAnsi="Times New Roman"/>
          <w:lang w:val="pt-BR"/>
        </w:rPr>
      </w:pPr>
      <w:r w:rsidRPr="00B24AC5">
        <w:rPr>
          <w:rFonts w:ascii="Times New Roman" w:hAnsi="Times New Roman"/>
          <w:lang w:val="pt-BR"/>
        </w:rPr>
        <w:t xml:space="preserve">Considerando que </w:t>
      </w:r>
      <w:r w:rsidR="00F36D81">
        <w:rPr>
          <w:rFonts w:ascii="Times New Roman" w:hAnsi="Times New Roman"/>
          <w:lang w:val="pt-BR"/>
        </w:rPr>
        <w:t xml:space="preserve">os nanocompósitos </w:t>
      </w:r>
      <w:r w:rsidR="00301535">
        <w:rPr>
          <w:rFonts w:ascii="Times New Roman" w:hAnsi="Times New Roman"/>
          <w:lang w:val="pt-BR"/>
        </w:rPr>
        <w:t xml:space="preserve">híbridos </w:t>
      </w:r>
      <w:r w:rsidRPr="00B24AC5">
        <w:rPr>
          <w:rFonts w:ascii="Times New Roman" w:hAnsi="Times New Roman"/>
          <w:lang w:val="pt-BR"/>
        </w:rPr>
        <w:t>basead</w:t>
      </w:r>
      <w:r w:rsidR="00F36D81">
        <w:rPr>
          <w:rFonts w:ascii="Times New Roman" w:hAnsi="Times New Roman"/>
          <w:lang w:val="pt-BR"/>
        </w:rPr>
        <w:t>o</w:t>
      </w:r>
      <w:r w:rsidRPr="00B24AC5">
        <w:rPr>
          <w:rFonts w:ascii="Times New Roman" w:hAnsi="Times New Roman"/>
          <w:lang w:val="pt-BR"/>
        </w:rPr>
        <w:t xml:space="preserve">s em HDLs </w:t>
      </w:r>
      <w:r w:rsidR="00301535">
        <w:rPr>
          <w:rFonts w:ascii="Times New Roman" w:hAnsi="Times New Roman"/>
          <w:lang w:val="pt-BR"/>
        </w:rPr>
        <w:t xml:space="preserve">contendo moléculas de 2,4-D na sua estrutura </w:t>
      </w:r>
      <w:r w:rsidR="0043556A">
        <w:rPr>
          <w:rFonts w:ascii="Times New Roman" w:hAnsi="Times New Roman"/>
          <w:lang w:val="pt-BR"/>
        </w:rPr>
        <w:t>podem ser</w:t>
      </w:r>
      <w:r w:rsidRPr="00B24AC5">
        <w:rPr>
          <w:rFonts w:ascii="Times New Roman" w:hAnsi="Times New Roman"/>
          <w:lang w:val="pt-BR"/>
        </w:rPr>
        <w:t xml:space="preserve"> sintetizad</w:t>
      </w:r>
      <w:r w:rsidR="00F36D81">
        <w:rPr>
          <w:rFonts w:ascii="Times New Roman" w:hAnsi="Times New Roman"/>
          <w:lang w:val="pt-BR"/>
        </w:rPr>
        <w:t>o</w:t>
      </w:r>
      <w:r w:rsidRPr="00B24AC5">
        <w:rPr>
          <w:rFonts w:ascii="Times New Roman" w:hAnsi="Times New Roman"/>
          <w:lang w:val="pt-BR"/>
        </w:rPr>
        <w:t xml:space="preserve">s </w:t>
      </w:r>
      <w:r w:rsidR="0043556A">
        <w:rPr>
          <w:rFonts w:ascii="Times New Roman" w:hAnsi="Times New Roman"/>
          <w:lang w:val="pt-BR"/>
        </w:rPr>
        <w:t>pelo método direto via</w:t>
      </w:r>
      <w:r w:rsidRPr="00B24AC5">
        <w:rPr>
          <w:rFonts w:ascii="Times New Roman" w:hAnsi="Times New Roman"/>
          <w:lang w:val="pt-BR"/>
        </w:rPr>
        <w:t xml:space="preserve"> coprecipitação</w:t>
      </w:r>
      <w:r w:rsidR="0043556A">
        <w:rPr>
          <w:rFonts w:ascii="Times New Roman" w:hAnsi="Times New Roman"/>
          <w:lang w:val="pt-BR"/>
        </w:rPr>
        <w:t>,</w:t>
      </w:r>
      <w:r w:rsidRPr="00B24AC5">
        <w:rPr>
          <w:rFonts w:ascii="Times New Roman" w:hAnsi="Times New Roman"/>
          <w:lang w:val="pt-BR"/>
        </w:rPr>
        <w:t xml:space="preserve"> onde diversas variáveis de síntese estão envolvidas, </w:t>
      </w:r>
      <w:r w:rsidR="00C97F40">
        <w:rPr>
          <w:rFonts w:ascii="Times New Roman" w:hAnsi="Times New Roman"/>
          <w:lang w:val="pt-BR"/>
        </w:rPr>
        <w:t xml:space="preserve">o presente trabalho tem como objetivo </w:t>
      </w:r>
      <w:r w:rsidR="0046063A">
        <w:rPr>
          <w:rFonts w:ascii="Times New Roman" w:hAnsi="Times New Roman"/>
          <w:lang w:val="pt-BR"/>
        </w:rPr>
        <w:t>estudar</w:t>
      </w:r>
      <w:r w:rsidR="00C97F40">
        <w:rPr>
          <w:rFonts w:ascii="Times New Roman" w:hAnsi="Times New Roman"/>
          <w:lang w:val="pt-BR"/>
        </w:rPr>
        <w:t xml:space="preserve"> a</w:t>
      </w:r>
      <w:r w:rsidR="0043556A">
        <w:rPr>
          <w:rFonts w:ascii="Times New Roman" w:hAnsi="Times New Roman"/>
          <w:lang w:val="pt-BR"/>
        </w:rPr>
        <w:t xml:space="preserve"> influência da</w:t>
      </w:r>
      <w:r w:rsidR="00C97F40">
        <w:rPr>
          <w:rFonts w:ascii="Times New Roman" w:hAnsi="Times New Roman"/>
          <w:lang w:val="pt-BR"/>
        </w:rPr>
        <w:t xml:space="preserve"> </w:t>
      </w:r>
      <w:r w:rsidRPr="00B24AC5">
        <w:rPr>
          <w:rFonts w:ascii="Times New Roman" w:hAnsi="Times New Roman"/>
          <w:lang w:val="pt-BR"/>
        </w:rPr>
        <w:t>concentração d</w:t>
      </w:r>
      <w:r w:rsidR="00C97F40">
        <w:rPr>
          <w:rFonts w:ascii="Times New Roman" w:hAnsi="Times New Roman"/>
          <w:lang w:val="pt-BR"/>
        </w:rPr>
        <w:t>a</w:t>
      </w:r>
      <w:r w:rsidRPr="00B24AC5">
        <w:rPr>
          <w:rFonts w:ascii="Times New Roman" w:hAnsi="Times New Roman"/>
          <w:lang w:val="pt-BR"/>
        </w:rPr>
        <w:t xml:space="preserve"> solução de metais</w:t>
      </w:r>
      <w:r w:rsidR="0043556A">
        <w:rPr>
          <w:rFonts w:ascii="Times New Roman" w:hAnsi="Times New Roman"/>
          <w:lang w:val="pt-BR"/>
        </w:rPr>
        <w:t xml:space="preserve"> Zn e Al</w:t>
      </w:r>
      <w:r w:rsidRPr="00B24AC5">
        <w:rPr>
          <w:rFonts w:ascii="Times New Roman" w:hAnsi="Times New Roman"/>
          <w:lang w:val="pt-BR"/>
        </w:rPr>
        <w:t xml:space="preserve"> </w:t>
      </w:r>
      <w:r w:rsidR="00C97F40">
        <w:rPr>
          <w:rFonts w:ascii="Times New Roman" w:hAnsi="Times New Roman"/>
          <w:lang w:val="pt-BR"/>
        </w:rPr>
        <w:t xml:space="preserve">nas propriedades físico-químicas </w:t>
      </w:r>
      <w:r w:rsidRPr="00B24AC5">
        <w:rPr>
          <w:rFonts w:ascii="Times New Roman" w:hAnsi="Times New Roman"/>
          <w:lang w:val="pt-BR"/>
        </w:rPr>
        <w:t>do nanocompósito híbrido 2,4-D/HDL</w:t>
      </w:r>
      <w:r w:rsidR="00C97F40">
        <w:rPr>
          <w:rFonts w:ascii="Times New Roman" w:hAnsi="Times New Roman"/>
          <w:lang w:val="pt-BR"/>
        </w:rPr>
        <w:t>.</w:t>
      </w:r>
      <w:r w:rsidR="00EA4E1B" w:rsidRPr="001F25B2">
        <w:rPr>
          <w:rFonts w:ascii="Times New Roman" w:hAnsi="Times New Roman"/>
          <w:lang w:val="pt-BR"/>
        </w:rPr>
        <w:t xml:space="preserve"> </w:t>
      </w:r>
    </w:p>
    <w:p w14:paraId="52FFAC79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Experimental</w:t>
      </w:r>
    </w:p>
    <w:p w14:paraId="1DC97DFA" w14:textId="77777777" w:rsidR="00607172" w:rsidRDefault="00607172" w:rsidP="00EA4E1B">
      <w:pPr>
        <w:pStyle w:val="TAMainText"/>
        <w:ind w:firstLine="0"/>
        <w:rPr>
          <w:rFonts w:ascii="Times New Roman" w:hAnsi="Times New Roman"/>
          <w:i/>
          <w:lang w:val="pt-BR"/>
        </w:rPr>
      </w:pPr>
    </w:p>
    <w:p w14:paraId="35887134" w14:textId="18841294" w:rsidR="00EA4E1B" w:rsidRPr="001F25B2" w:rsidRDefault="00EA3B13" w:rsidP="00EA4E1B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Síntese do 2,4D/HDL</w:t>
      </w:r>
    </w:p>
    <w:p w14:paraId="14621D20" w14:textId="362D859B" w:rsidR="00E81E7A" w:rsidRDefault="00293445" w:rsidP="00EA3B13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As amostras fora</w:t>
      </w:r>
      <w:r w:rsidR="00EF171E">
        <w:rPr>
          <w:rFonts w:ascii="Times New Roman" w:hAnsi="Times New Roman"/>
          <w:lang w:val="pt-BR"/>
        </w:rPr>
        <w:t>m</w:t>
      </w:r>
      <w:r>
        <w:rPr>
          <w:rFonts w:ascii="Times New Roman" w:hAnsi="Times New Roman"/>
          <w:lang w:val="pt-BR"/>
        </w:rPr>
        <w:t xml:space="preserve"> pre</w:t>
      </w:r>
      <w:r w:rsidR="00AD71D9">
        <w:rPr>
          <w:rFonts w:ascii="Times New Roman" w:hAnsi="Times New Roman"/>
          <w:lang w:val="pt-BR"/>
        </w:rPr>
        <w:t>p</w:t>
      </w:r>
      <w:r>
        <w:rPr>
          <w:rFonts w:ascii="Times New Roman" w:hAnsi="Times New Roman"/>
          <w:lang w:val="pt-BR"/>
        </w:rPr>
        <w:t>aradas a partir de d</w:t>
      </w:r>
      <w:r w:rsidR="00EA3B13" w:rsidRPr="00EA3B13">
        <w:rPr>
          <w:rFonts w:ascii="Times New Roman" w:hAnsi="Times New Roman"/>
          <w:lang w:val="pt-BR"/>
        </w:rPr>
        <w:t>uas soluções, uma</w:t>
      </w:r>
      <w:r>
        <w:rPr>
          <w:rFonts w:ascii="Times New Roman" w:hAnsi="Times New Roman"/>
          <w:lang w:val="pt-BR"/>
        </w:rPr>
        <w:t xml:space="preserve"> solução</w:t>
      </w:r>
      <w:r w:rsidR="00EA3B13" w:rsidRPr="00EA3B13">
        <w:rPr>
          <w:rFonts w:ascii="Times New Roman" w:hAnsi="Times New Roman"/>
          <w:lang w:val="pt-BR"/>
        </w:rPr>
        <w:t xml:space="preserve"> contendo os sais de cloreto de </w:t>
      </w:r>
      <w:r w:rsidR="00334A35">
        <w:rPr>
          <w:rFonts w:ascii="Times New Roman" w:hAnsi="Times New Roman"/>
          <w:lang w:val="pt-BR"/>
        </w:rPr>
        <w:t xml:space="preserve">Zn </w:t>
      </w:r>
      <w:r w:rsidR="00EA3B13" w:rsidRPr="00EA3B13">
        <w:rPr>
          <w:rFonts w:ascii="Times New Roman" w:hAnsi="Times New Roman"/>
          <w:lang w:val="pt-BR"/>
        </w:rPr>
        <w:t xml:space="preserve">e </w:t>
      </w:r>
      <w:r w:rsidR="00334A35">
        <w:rPr>
          <w:rFonts w:ascii="Times New Roman" w:hAnsi="Times New Roman"/>
          <w:lang w:val="pt-BR"/>
        </w:rPr>
        <w:t>Al</w:t>
      </w:r>
      <w:r w:rsidR="00EA3B13" w:rsidRPr="00EA3B13">
        <w:rPr>
          <w:rFonts w:ascii="Times New Roman" w:hAnsi="Times New Roman"/>
          <w:lang w:val="pt-BR"/>
        </w:rPr>
        <w:t xml:space="preserve"> </w:t>
      </w:r>
      <w:r w:rsidR="006B2D06">
        <w:rPr>
          <w:rFonts w:ascii="Times New Roman" w:hAnsi="Times New Roman"/>
          <w:lang w:val="pt-BR"/>
        </w:rPr>
        <w:t xml:space="preserve">com razão molar Zn/Al de 2, </w:t>
      </w:r>
      <w:r>
        <w:rPr>
          <w:rFonts w:ascii="Times New Roman" w:hAnsi="Times New Roman"/>
          <w:lang w:val="pt-BR"/>
        </w:rPr>
        <w:t>em</w:t>
      </w:r>
      <w:r w:rsidR="00EA3B13" w:rsidRPr="00EA3B13">
        <w:rPr>
          <w:rFonts w:ascii="Times New Roman" w:hAnsi="Times New Roman"/>
          <w:lang w:val="pt-BR"/>
        </w:rPr>
        <w:t xml:space="preserve"> três </w:t>
      </w:r>
      <w:r>
        <w:rPr>
          <w:rFonts w:ascii="Times New Roman" w:hAnsi="Times New Roman"/>
          <w:lang w:val="pt-BR"/>
        </w:rPr>
        <w:t xml:space="preserve">diferentes </w:t>
      </w:r>
      <w:r w:rsidR="00EA3B13" w:rsidRPr="00EA3B13">
        <w:rPr>
          <w:rFonts w:ascii="Times New Roman" w:hAnsi="Times New Roman"/>
          <w:lang w:val="pt-BR"/>
        </w:rPr>
        <w:t>concentrações</w:t>
      </w:r>
      <w:r>
        <w:rPr>
          <w:rFonts w:ascii="Times New Roman" w:hAnsi="Times New Roman"/>
          <w:lang w:val="pt-BR"/>
        </w:rPr>
        <w:t xml:space="preserve"> (</w:t>
      </w:r>
      <w:r w:rsidRPr="00EA3B13">
        <w:rPr>
          <w:rFonts w:ascii="Times New Roman" w:hAnsi="Times New Roman"/>
          <w:lang w:val="pt-BR"/>
        </w:rPr>
        <w:t>1,50; 0,75 e 0,30 mol/L</w:t>
      </w:r>
      <w:r>
        <w:rPr>
          <w:rFonts w:ascii="Times New Roman" w:hAnsi="Times New Roman"/>
          <w:lang w:val="pt-BR"/>
        </w:rPr>
        <w:t>)</w:t>
      </w:r>
      <w:r w:rsidR="00334A35">
        <w:rPr>
          <w:rFonts w:ascii="Times New Roman" w:hAnsi="Times New Roman"/>
          <w:lang w:val="pt-BR"/>
        </w:rPr>
        <w:t>,</w:t>
      </w:r>
      <w:r w:rsidR="00EA3B13" w:rsidRPr="00EA3B13">
        <w:rPr>
          <w:rFonts w:ascii="Times New Roman" w:hAnsi="Times New Roman"/>
          <w:lang w:val="pt-BR"/>
        </w:rPr>
        <w:t xml:space="preserve"> e </w:t>
      </w:r>
      <w:r>
        <w:rPr>
          <w:rFonts w:ascii="Times New Roman" w:hAnsi="Times New Roman"/>
          <w:lang w:val="pt-BR"/>
        </w:rPr>
        <w:t>a segunda solução de</w:t>
      </w:r>
      <w:r w:rsidR="00EA3B13" w:rsidRPr="00EA3B13">
        <w:rPr>
          <w:rFonts w:ascii="Times New Roman" w:hAnsi="Times New Roman"/>
          <w:lang w:val="pt-BR"/>
        </w:rPr>
        <w:t xml:space="preserve"> NaOH </w:t>
      </w:r>
      <w:r w:rsidR="00334A35">
        <w:rPr>
          <w:rFonts w:ascii="Times New Roman" w:hAnsi="Times New Roman"/>
          <w:lang w:val="pt-BR"/>
        </w:rPr>
        <w:t>(</w:t>
      </w:r>
      <w:r w:rsidR="00EA3B13" w:rsidRPr="00EA3B13">
        <w:rPr>
          <w:rFonts w:ascii="Times New Roman" w:hAnsi="Times New Roman"/>
          <w:lang w:val="pt-BR"/>
        </w:rPr>
        <w:t>2,0 mol/L</w:t>
      </w:r>
      <w:r w:rsidR="00334A35">
        <w:rPr>
          <w:rFonts w:ascii="Times New Roman" w:hAnsi="Times New Roman"/>
          <w:lang w:val="pt-BR"/>
        </w:rPr>
        <w:t>)</w:t>
      </w:r>
      <w:r w:rsidR="00EA3B13" w:rsidRPr="00EA3B13">
        <w:rPr>
          <w:rFonts w:ascii="Times New Roman" w:hAnsi="Times New Roman"/>
          <w:lang w:val="pt-BR"/>
        </w:rPr>
        <w:t xml:space="preserve">. </w:t>
      </w:r>
      <w:r w:rsidR="00EA3B13">
        <w:rPr>
          <w:rFonts w:ascii="Times New Roman" w:hAnsi="Times New Roman"/>
          <w:lang w:val="pt-BR"/>
        </w:rPr>
        <w:t>A</w:t>
      </w:r>
      <w:r w:rsidR="00EA3B13" w:rsidRPr="00EA3B13">
        <w:rPr>
          <w:rFonts w:ascii="Times New Roman" w:hAnsi="Times New Roman"/>
          <w:lang w:val="pt-BR"/>
        </w:rPr>
        <w:t xml:space="preserve"> solução contendo os sais e a solução contendo NaOH foram adicionadas</w:t>
      </w:r>
      <w:r w:rsidR="00EF171E">
        <w:rPr>
          <w:rFonts w:ascii="Times New Roman" w:hAnsi="Times New Roman"/>
          <w:lang w:val="pt-BR"/>
        </w:rPr>
        <w:t xml:space="preserve"> </w:t>
      </w:r>
      <w:r w:rsidR="00EA3B13" w:rsidRPr="00EA3B13">
        <w:rPr>
          <w:rFonts w:ascii="Times New Roman" w:hAnsi="Times New Roman"/>
          <w:lang w:val="pt-BR"/>
        </w:rPr>
        <w:t>simultaneamente</w:t>
      </w:r>
      <w:r w:rsidR="007724C9">
        <w:rPr>
          <w:rFonts w:ascii="Times New Roman" w:hAnsi="Times New Roman"/>
          <w:lang w:val="pt-BR"/>
        </w:rPr>
        <w:t>,</w:t>
      </w:r>
      <w:r w:rsidR="00EA3B13" w:rsidRPr="00EA3B13">
        <w:rPr>
          <w:rFonts w:ascii="Times New Roman" w:hAnsi="Times New Roman"/>
          <w:lang w:val="pt-BR"/>
        </w:rPr>
        <w:t xml:space="preserve"> por gotejamento</w:t>
      </w:r>
      <w:r w:rsidR="007724C9">
        <w:rPr>
          <w:rFonts w:ascii="Times New Roman" w:hAnsi="Times New Roman"/>
          <w:lang w:val="pt-BR"/>
        </w:rPr>
        <w:t>,</w:t>
      </w:r>
      <w:r>
        <w:rPr>
          <w:rFonts w:ascii="Times New Roman" w:hAnsi="Times New Roman"/>
          <w:lang w:val="pt-BR"/>
        </w:rPr>
        <w:t xml:space="preserve"> </w:t>
      </w:r>
      <w:r w:rsidR="007724C9">
        <w:rPr>
          <w:rFonts w:ascii="Times New Roman" w:hAnsi="Times New Roman"/>
          <w:lang w:val="pt-BR"/>
        </w:rPr>
        <w:t xml:space="preserve">em </w:t>
      </w:r>
      <w:r w:rsidR="00EA3B13" w:rsidRPr="00EA3B13">
        <w:rPr>
          <w:rFonts w:ascii="Times New Roman" w:hAnsi="Times New Roman"/>
          <w:lang w:val="pt-BR"/>
        </w:rPr>
        <w:t xml:space="preserve">um béquer contendo 0,01 mol de 2,4-D diluído em 200 mL de água </w:t>
      </w:r>
      <w:r w:rsidR="005A27C1">
        <w:rPr>
          <w:rFonts w:ascii="Times New Roman" w:hAnsi="Times New Roman"/>
          <w:lang w:val="pt-BR"/>
        </w:rPr>
        <w:t xml:space="preserve">destilada </w:t>
      </w:r>
      <w:r w:rsidR="00EA3B13" w:rsidRPr="00EA3B13">
        <w:rPr>
          <w:rFonts w:ascii="Times New Roman" w:hAnsi="Times New Roman"/>
          <w:lang w:val="pt-BR"/>
        </w:rPr>
        <w:t>sob agitação constante</w:t>
      </w:r>
      <w:r w:rsidR="00AD71D9">
        <w:rPr>
          <w:rFonts w:ascii="Times New Roman" w:hAnsi="Times New Roman"/>
          <w:lang w:val="pt-BR"/>
        </w:rPr>
        <w:t xml:space="preserve"> </w:t>
      </w:r>
      <w:r w:rsidR="005A27C1">
        <w:rPr>
          <w:rFonts w:ascii="Times New Roman" w:hAnsi="Times New Roman"/>
          <w:lang w:val="pt-BR"/>
        </w:rPr>
        <w:t>mantendo o</w:t>
      </w:r>
      <w:r w:rsidR="00AD71D9">
        <w:rPr>
          <w:rFonts w:ascii="Times New Roman" w:hAnsi="Times New Roman"/>
          <w:lang w:val="pt-BR"/>
        </w:rPr>
        <w:t xml:space="preserve"> pH</w:t>
      </w:r>
      <w:r w:rsidR="005A27C1">
        <w:rPr>
          <w:rFonts w:ascii="Times New Roman" w:hAnsi="Times New Roman"/>
          <w:lang w:val="pt-BR"/>
        </w:rPr>
        <w:t xml:space="preserve"> em</w:t>
      </w:r>
      <w:r w:rsidR="00AD71D9">
        <w:rPr>
          <w:rFonts w:ascii="Times New Roman" w:hAnsi="Times New Roman"/>
          <w:lang w:val="pt-BR"/>
        </w:rPr>
        <w:t xml:space="preserve"> 9,0</w:t>
      </w:r>
      <w:r w:rsidR="005A27C1">
        <w:rPr>
          <w:rFonts w:ascii="Times New Roman" w:hAnsi="Times New Roman"/>
          <w:lang w:val="pt-BR"/>
        </w:rPr>
        <w:t xml:space="preserve"> </w:t>
      </w:r>
      <w:r w:rsidR="005A27C1">
        <w:rPr>
          <w:rFonts w:ascii="Times New Roman" w:hAnsi="Times New Roman"/>
          <w:lang w:val="pt-BR"/>
        </w:rPr>
        <w:sym w:font="Symbol" w:char="F0B1"/>
      </w:r>
      <w:r w:rsidR="005A27C1">
        <w:rPr>
          <w:rFonts w:ascii="Times New Roman" w:hAnsi="Times New Roman"/>
          <w:lang w:val="pt-BR"/>
        </w:rPr>
        <w:t xml:space="preserve"> 1,0 na temperatura de </w:t>
      </w:r>
      <w:r w:rsidR="005A27C1" w:rsidRPr="00EA3B13">
        <w:rPr>
          <w:rFonts w:ascii="Times New Roman" w:hAnsi="Times New Roman"/>
          <w:lang w:val="pt-BR"/>
        </w:rPr>
        <w:t>70 ºC</w:t>
      </w:r>
      <w:r>
        <w:rPr>
          <w:rFonts w:ascii="Times New Roman" w:hAnsi="Times New Roman"/>
          <w:lang w:val="pt-BR"/>
        </w:rPr>
        <w:t>.</w:t>
      </w:r>
      <w:r w:rsidR="00EA3B13" w:rsidRPr="00EA3B13">
        <w:rPr>
          <w:rFonts w:ascii="Times New Roman" w:hAnsi="Times New Roman"/>
          <w:lang w:val="pt-BR"/>
        </w:rPr>
        <w:t xml:space="preserve"> A</w:t>
      </w:r>
      <w:r>
        <w:rPr>
          <w:rFonts w:ascii="Times New Roman" w:hAnsi="Times New Roman"/>
          <w:lang w:val="pt-BR"/>
        </w:rPr>
        <w:t xml:space="preserve"> taxa de </w:t>
      </w:r>
      <w:r w:rsidR="00EA3B13" w:rsidRPr="00EA3B13">
        <w:rPr>
          <w:rFonts w:ascii="Times New Roman" w:hAnsi="Times New Roman"/>
          <w:lang w:val="pt-BR"/>
        </w:rPr>
        <w:t>adição dos reagentes foi de</w:t>
      </w:r>
      <w:r w:rsidR="00FB5788">
        <w:rPr>
          <w:rFonts w:ascii="Times New Roman" w:hAnsi="Times New Roman"/>
          <w:lang w:val="pt-BR"/>
        </w:rPr>
        <w:t>,</w:t>
      </w:r>
      <w:r w:rsidR="00EA3B13" w:rsidRPr="00EA3B13">
        <w:rPr>
          <w:rFonts w:ascii="Times New Roman" w:hAnsi="Times New Roman"/>
          <w:lang w:val="pt-BR"/>
        </w:rPr>
        <w:t xml:space="preserve"> aproximadamente</w:t>
      </w:r>
      <w:r w:rsidR="00FB5788">
        <w:rPr>
          <w:rFonts w:ascii="Times New Roman" w:hAnsi="Times New Roman"/>
          <w:lang w:val="pt-BR"/>
        </w:rPr>
        <w:t>,</w:t>
      </w:r>
      <w:r w:rsidR="00EA3B13" w:rsidRPr="00EA3B13">
        <w:rPr>
          <w:rFonts w:ascii="Times New Roman" w:hAnsi="Times New Roman"/>
          <w:lang w:val="pt-BR"/>
        </w:rPr>
        <w:t xml:space="preserve"> 1,66 mL/min. Após o gotejamento a suspensão foi envelhecida</w:t>
      </w:r>
      <w:r>
        <w:rPr>
          <w:rFonts w:ascii="Times New Roman" w:hAnsi="Times New Roman"/>
          <w:lang w:val="pt-BR"/>
        </w:rPr>
        <w:t xml:space="preserve"> por</w:t>
      </w:r>
      <w:r w:rsidR="00EA3B13" w:rsidRPr="00EA3B13">
        <w:rPr>
          <w:rFonts w:ascii="Times New Roman" w:hAnsi="Times New Roman"/>
          <w:lang w:val="pt-BR"/>
        </w:rPr>
        <w:t xml:space="preserve"> 18</w:t>
      </w:r>
      <w:r w:rsidR="007724C9">
        <w:rPr>
          <w:rFonts w:ascii="Times New Roman" w:hAnsi="Times New Roman"/>
          <w:lang w:val="pt-BR"/>
        </w:rPr>
        <w:t xml:space="preserve"> </w:t>
      </w:r>
      <w:r w:rsidR="00EA3B13" w:rsidRPr="00EA3B13">
        <w:rPr>
          <w:rFonts w:ascii="Times New Roman" w:hAnsi="Times New Roman"/>
          <w:lang w:val="pt-BR"/>
        </w:rPr>
        <w:t xml:space="preserve">h </w:t>
      </w:r>
      <w:r>
        <w:rPr>
          <w:rFonts w:ascii="Times New Roman" w:hAnsi="Times New Roman"/>
          <w:lang w:val="pt-BR"/>
        </w:rPr>
        <w:t>a</w:t>
      </w:r>
      <w:r w:rsidR="00EA3B13" w:rsidRPr="00EA3B13">
        <w:rPr>
          <w:rFonts w:ascii="Times New Roman" w:hAnsi="Times New Roman"/>
          <w:lang w:val="pt-BR"/>
        </w:rPr>
        <w:t xml:space="preserve"> 70 ºC.</w:t>
      </w:r>
      <w:r w:rsidR="00FB5788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O</w:t>
      </w:r>
      <w:r w:rsidR="00FB5788">
        <w:rPr>
          <w:rFonts w:ascii="Times New Roman" w:hAnsi="Times New Roman"/>
          <w:lang w:val="pt-BR"/>
        </w:rPr>
        <w:t xml:space="preserve"> </w:t>
      </w:r>
      <w:r w:rsidR="00EA3B13" w:rsidRPr="00EA3B13">
        <w:rPr>
          <w:rFonts w:ascii="Times New Roman" w:hAnsi="Times New Roman"/>
          <w:lang w:val="pt-BR"/>
        </w:rPr>
        <w:t>sólido formado foi lavado com aproximadamente 600</w:t>
      </w:r>
      <w:r w:rsidR="007724C9">
        <w:rPr>
          <w:rFonts w:ascii="Times New Roman" w:hAnsi="Times New Roman"/>
          <w:lang w:val="pt-BR"/>
        </w:rPr>
        <w:t xml:space="preserve"> </w:t>
      </w:r>
      <w:r w:rsidR="00EA3B13" w:rsidRPr="00EA3B13">
        <w:rPr>
          <w:rFonts w:ascii="Times New Roman" w:hAnsi="Times New Roman"/>
          <w:lang w:val="pt-BR"/>
        </w:rPr>
        <w:t xml:space="preserve">mL de água </w:t>
      </w:r>
      <w:r w:rsidR="00DA571B">
        <w:rPr>
          <w:rFonts w:ascii="Times New Roman" w:hAnsi="Times New Roman"/>
          <w:lang w:val="pt-BR"/>
        </w:rPr>
        <w:t>destilada</w:t>
      </w:r>
      <w:r w:rsidR="00EA3B13" w:rsidRPr="00EA3B13">
        <w:rPr>
          <w:rFonts w:ascii="Times New Roman" w:hAnsi="Times New Roman"/>
          <w:lang w:val="pt-BR"/>
        </w:rPr>
        <w:t xml:space="preserve"> aquecida até 50 ºC. </w:t>
      </w:r>
      <w:r w:rsidR="00DA571B">
        <w:rPr>
          <w:rFonts w:ascii="Times New Roman" w:hAnsi="Times New Roman"/>
          <w:lang w:val="pt-BR"/>
        </w:rPr>
        <w:t>As</w:t>
      </w:r>
      <w:r w:rsidR="00EA3B13" w:rsidRPr="00EA3B13">
        <w:rPr>
          <w:rFonts w:ascii="Times New Roman" w:hAnsi="Times New Roman"/>
          <w:lang w:val="pt-BR"/>
        </w:rPr>
        <w:t xml:space="preserve"> amostra</w:t>
      </w:r>
      <w:r w:rsidR="00DA571B">
        <w:rPr>
          <w:rFonts w:ascii="Times New Roman" w:hAnsi="Times New Roman"/>
          <w:lang w:val="pt-BR"/>
        </w:rPr>
        <w:t>s</w:t>
      </w:r>
      <w:r w:rsidR="00EA3B13" w:rsidRPr="00EA3B13">
        <w:rPr>
          <w:rFonts w:ascii="Times New Roman" w:hAnsi="Times New Roman"/>
          <w:lang w:val="pt-BR"/>
        </w:rPr>
        <w:t xml:space="preserve"> fo</w:t>
      </w:r>
      <w:r w:rsidR="00DA571B">
        <w:rPr>
          <w:rFonts w:ascii="Times New Roman" w:hAnsi="Times New Roman"/>
          <w:lang w:val="pt-BR"/>
        </w:rPr>
        <w:t>ram</w:t>
      </w:r>
      <w:r w:rsidR="00EA3B13" w:rsidRPr="00EA3B13">
        <w:rPr>
          <w:rFonts w:ascii="Times New Roman" w:hAnsi="Times New Roman"/>
          <w:lang w:val="pt-BR"/>
        </w:rPr>
        <w:t xml:space="preserve"> seca</w:t>
      </w:r>
      <w:r w:rsidR="00DA571B">
        <w:rPr>
          <w:rFonts w:ascii="Times New Roman" w:hAnsi="Times New Roman"/>
          <w:lang w:val="pt-BR"/>
        </w:rPr>
        <w:t>s</w:t>
      </w:r>
      <w:r w:rsidR="00EA3B13" w:rsidRPr="00EA3B13">
        <w:rPr>
          <w:rFonts w:ascii="Times New Roman" w:hAnsi="Times New Roman"/>
          <w:lang w:val="pt-BR"/>
        </w:rPr>
        <w:t xml:space="preserve"> em uma estufa durante 24</w:t>
      </w:r>
      <w:r w:rsidR="007724C9">
        <w:rPr>
          <w:rFonts w:ascii="Times New Roman" w:hAnsi="Times New Roman"/>
          <w:lang w:val="pt-BR"/>
        </w:rPr>
        <w:t xml:space="preserve"> </w:t>
      </w:r>
      <w:r w:rsidR="00EA3B13" w:rsidRPr="00EA3B13">
        <w:rPr>
          <w:rFonts w:ascii="Times New Roman" w:hAnsi="Times New Roman"/>
          <w:lang w:val="pt-BR"/>
        </w:rPr>
        <w:t xml:space="preserve">h a uma temperatura de 80 ºC. </w:t>
      </w:r>
    </w:p>
    <w:p w14:paraId="4E6BAA29" w14:textId="04FF7845" w:rsidR="00EA4E1B" w:rsidRDefault="00EA3B13" w:rsidP="00EA3B13">
      <w:pPr>
        <w:pStyle w:val="TAMainText"/>
        <w:rPr>
          <w:rFonts w:ascii="Times New Roman" w:hAnsi="Times New Roman"/>
          <w:lang w:val="pt-BR"/>
        </w:rPr>
      </w:pPr>
      <w:r w:rsidRPr="00EA3B13">
        <w:rPr>
          <w:rFonts w:ascii="Times New Roman" w:hAnsi="Times New Roman"/>
          <w:lang w:val="pt-BR"/>
        </w:rPr>
        <w:t>As amostras foram</w:t>
      </w:r>
      <w:r>
        <w:rPr>
          <w:rFonts w:ascii="Times New Roman" w:hAnsi="Times New Roman"/>
          <w:lang w:val="pt-BR"/>
        </w:rPr>
        <w:t xml:space="preserve"> </w:t>
      </w:r>
      <w:r w:rsidRPr="00EA3B13">
        <w:rPr>
          <w:rFonts w:ascii="Times New Roman" w:hAnsi="Times New Roman"/>
          <w:lang w:val="pt-BR"/>
        </w:rPr>
        <w:t xml:space="preserve">codificadas como: 2,4-D/HDL-A, 2,4-D/HDL-B e 2,4-D/HDL-C, onde 2,4-D/HDL corresponde ao nanocompósito híbrido </w:t>
      </w:r>
      <w:r w:rsidR="00EF171E">
        <w:rPr>
          <w:rFonts w:ascii="Times New Roman" w:hAnsi="Times New Roman"/>
          <w:lang w:val="pt-BR"/>
        </w:rPr>
        <w:t xml:space="preserve">do </w:t>
      </w:r>
      <w:r w:rsidRPr="00EA3B13">
        <w:rPr>
          <w:rFonts w:ascii="Times New Roman" w:hAnsi="Times New Roman"/>
          <w:lang w:val="pt-BR"/>
        </w:rPr>
        <w:t>ácido 2,4-diclorofenoxiacético/Hidróxido Duplo</w:t>
      </w:r>
      <w:r>
        <w:rPr>
          <w:rFonts w:ascii="Times New Roman" w:hAnsi="Times New Roman"/>
          <w:lang w:val="pt-BR"/>
        </w:rPr>
        <w:t xml:space="preserve"> </w:t>
      </w:r>
      <w:r w:rsidRPr="00EA3B13">
        <w:rPr>
          <w:rFonts w:ascii="Times New Roman" w:hAnsi="Times New Roman"/>
          <w:lang w:val="pt-BR"/>
        </w:rPr>
        <w:t>Lamelar e os sufixos A, B e C correspondem a</w:t>
      </w:r>
      <w:r w:rsidR="00EF171E">
        <w:rPr>
          <w:rFonts w:ascii="Times New Roman" w:hAnsi="Times New Roman"/>
          <w:lang w:val="pt-BR"/>
        </w:rPr>
        <w:t>s</w:t>
      </w:r>
      <w:r w:rsidRPr="00EA3B13">
        <w:rPr>
          <w:rFonts w:ascii="Times New Roman" w:hAnsi="Times New Roman"/>
          <w:lang w:val="pt-BR"/>
        </w:rPr>
        <w:t xml:space="preserve"> concentraç</w:t>
      </w:r>
      <w:r w:rsidR="00EF171E">
        <w:rPr>
          <w:rFonts w:ascii="Times New Roman" w:hAnsi="Times New Roman"/>
          <w:lang w:val="pt-BR"/>
        </w:rPr>
        <w:t>ões</w:t>
      </w:r>
      <w:r w:rsidRPr="00EA3B13">
        <w:rPr>
          <w:rFonts w:ascii="Times New Roman" w:hAnsi="Times New Roman"/>
          <w:lang w:val="pt-BR"/>
        </w:rPr>
        <w:t xml:space="preserve"> d</w:t>
      </w:r>
      <w:r w:rsidR="00EF171E">
        <w:rPr>
          <w:rFonts w:ascii="Times New Roman" w:hAnsi="Times New Roman"/>
          <w:lang w:val="pt-BR"/>
        </w:rPr>
        <w:t>os</w:t>
      </w:r>
      <w:r w:rsidRPr="00EA3B13">
        <w:rPr>
          <w:rFonts w:ascii="Times New Roman" w:hAnsi="Times New Roman"/>
          <w:lang w:val="pt-BR"/>
        </w:rPr>
        <w:t xml:space="preserve"> sais metálicos </w:t>
      </w:r>
      <w:r w:rsidR="00EF171E">
        <w:rPr>
          <w:rFonts w:ascii="Times New Roman" w:hAnsi="Times New Roman"/>
          <w:lang w:val="pt-BR"/>
        </w:rPr>
        <w:t>de Zn e Al de</w:t>
      </w:r>
      <w:r w:rsidR="00EF171E" w:rsidRPr="00EA3B13">
        <w:rPr>
          <w:rFonts w:ascii="Times New Roman" w:hAnsi="Times New Roman"/>
          <w:lang w:val="pt-BR"/>
        </w:rPr>
        <w:t xml:space="preserve"> 1,50</w:t>
      </w:r>
      <w:r w:rsidR="002874AB">
        <w:rPr>
          <w:rFonts w:ascii="Times New Roman" w:hAnsi="Times New Roman"/>
          <w:lang w:val="pt-BR"/>
        </w:rPr>
        <w:t>;</w:t>
      </w:r>
      <w:r w:rsidR="00EF171E" w:rsidRPr="00EA3B13">
        <w:rPr>
          <w:rFonts w:ascii="Times New Roman" w:hAnsi="Times New Roman"/>
          <w:lang w:val="pt-BR"/>
        </w:rPr>
        <w:t xml:space="preserve"> 0,75 e 0,30 mol/L</w:t>
      </w:r>
      <w:r w:rsidR="00EF171E">
        <w:rPr>
          <w:rFonts w:ascii="Times New Roman" w:hAnsi="Times New Roman"/>
          <w:lang w:val="pt-BR"/>
        </w:rPr>
        <w:t>, respectivamente.</w:t>
      </w:r>
      <w:r w:rsidRPr="00EA3B13">
        <w:rPr>
          <w:rFonts w:ascii="Times New Roman" w:hAnsi="Times New Roman"/>
          <w:lang w:val="pt-BR"/>
        </w:rPr>
        <w:t xml:space="preserve"> </w:t>
      </w:r>
    </w:p>
    <w:p w14:paraId="164C6129" w14:textId="0A807433" w:rsidR="00EF171E" w:rsidRDefault="00EF171E" w:rsidP="00EF171E">
      <w:pPr>
        <w:pStyle w:val="TAMainText"/>
        <w:ind w:firstLine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O HDL puro foi preparado a partir de uma solução dos sais dos metais </w:t>
      </w:r>
      <w:r w:rsidR="00607172">
        <w:rPr>
          <w:rFonts w:ascii="Times New Roman" w:hAnsi="Times New Roman"/>
          <w:lang w:val="pt-BR"/>
        </w:rPr>
        <w:t>(</w:t>
      </w:r>
      <w:r>
        <w:rPr>
          <w:rFonts w:ascii="Times New Roman" w:hAnsi="Times New Roman"/>
          <w:lang w:val="pt-BR"/>
        </w:rPr>
        <w:t>0,3 mol/L</w:t>
      </w:r>
      <w:r w:rsidR="00607172">
        <w:rPr>
          <w:rFonts w:ascii="Times New Roman" w:hAnsi="Times New Roman"/>
          <w:lang w:val="pt-BR"/>
        </w:rPr>
        <w:t>)</w:t>
      </w:r>
      <w:r>
        <w:rPr>
          <w:rFonts w:ascii="Times New Roman" w:hAnsi="Times New Roman"/>
          <w:lang w:val="pt-BR"/>
        </w:rPr>
        <w:t xml:space="preserve"> e de uma solução de NaOH </w:t>
      </w:r>
      <w:r w:rsidR="00607172">
        <w:rPr>
          <w:rFonts w:ascii="Times New Roman" w:hAnsi="Times New Roman"/>
          <w:lang w:val="pt-BR"/>
        </w:rPr>
        <w:t>(</w:t>
      </w:r>
      <w:r>
        <w:rPr>
          <w:rFonts w:ascii="Times New Roman" w:hAnsi="Times New Roman"/>
          <w:lang w:val="pt-BR"/>
        </w:rPr>
        <w:t>2 mol/L</w:t>
      </w:r>
      <w:r w:rsidR="00607172">
        <w:rPr>
          <w:rFonts w:ascii="Times New Roman" w:hAnsi="Times New Roman"/>
          <w:lang w:val="pt-BR"/>
        </w:rPr>
        <w:t>)</w:t>
      </w:r>
      <w:r>
        <w:rPr>
          <w:rFonts w:ascii="Times New Roman" w:hAnsi="Times New Roman"/>
          <w:lang w:val="pt-BR"/>
        </w:rPr>
        <w:t xml:space="preserve"> seguindo as mesmas condições de preparado citadas anteriormente.</w:t>
      </w:r>
    </w:p>
    <w:p w14:paraId="7CF6861D" w14:textId="77777777" w:rsidR="00607172" w:rsidRDefault="00607172" w:rsidP="00EF171E">
      <w:pPr>
        <w:pStyle w:val="TAMainText"/>
        <w:ind w:firstLine="0"/>
        <w:rPr>
          <w:rFonts w:ascii="Times New Roman" w:hAnsi="Times New Roman"/>
          <w:lang w:val="pt-BR"/>
        </w:rPr>
      </w:pPr>
    </w:p>
    <w:p w14:paraId="1A0BACA6" w14:textId="21FB7CDB" w:rsidR="00F86D40" w:rsidRDefault="00F86D40" w:rsidP="00F86D40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Caracterizações</w:t>
      </w:r>
    </w:p>
    <w:p w14:paraId="47F1B4A0" w14:textId="77777777" w:rsidR="00171B27" w:rsidRDefault="00171B27" w:rsidP="00F86D40">
      <w:pPr>
        <w:pStyle w:val="TAMainText"/>
        <w:ind w:firstLine="0"/>
        <w:rPr>
          <w:rFonts w:ascii="Times New Roman" w:hAnsi="Times New Roman"/>
          <w:i/>
          <w:lang w:val="pt-BR"/>
        </w:rPr>
      </w:pPr>
    </w:p>
    <w:p w14:paraId="0C1232C3" w14:textId="4431A7C7" w:rsidR="00C30262" w:rsidRPr="001F25B2" w:rsidRDefault="00F86D40" w:rsidP="00FB5788">
      <w:pPr>
        <w:pStyle w:val="TAMainText"/>
        <w:ind w:firstLine="187"/>
        <w:rPr>
          <w:rFonts w:ascii="Times New Roman" w:hAnsi="Times New Roman"/>
          <w:lang w:val="pt-BR"/>
        </w:rPr>
      </w:pPr>
      <w:r w:rsidRPr="00F86D40">
        <w:rPr>
          <w:rFonts w:ascii="Times New Roman" w:hAnsi="Times New Roman"/>
          <w:lang w:val="pt-BR"/>
        </w:rPr>
        <w:t>As amostras foram caracteriza</w:t>
      </w:r>
      <w:r w:rsidR="00FB5788">
        <w:rPr>
          <w:rFonts w:ascii="Times New Roman" w:hAnsi="Times New Roman"/>
          <w:lang w:val="pt-BR"/>
        </w:rPr>
        <w:t>da</w:t>
      </w:r>
      <w:r w:rsidRPr="00F86D40">
        <w:rPr>
          <w:rFonts w:ascii="Times New Roman" w:hAnsi="Times New Roman"/>
          <w:lang w:val="pt-BR"/>
        </w:rPr>
        <w:t xml:space="preserve">s por </w:t>
      </w:r>
      <w:r w:rsidR="007724C9">
        <w:rPr>
          <w:rFonts w:ascii="Times New Roman" w:hAnsi="Times New Roman"/>
          <w:lang w:val="pt-BR"/>
        </w:rPr>
        <w:t>d</w:t>
      </w:r>
      <w:r w:rsidR="007724C9" w:rsidRPr="00F86D40">
        <w:rPr>
          <w:rFonts w:ascii="Times New Roman" w:hAnsi="Times New Roman"/>
          <w:lang w:val="pt-BR"/>
        </w:rPr>
        <w:t xml:space="preserve">ifração </w:t>
      </w:r>
      <w:r w:rsidRPr="00F86D40">
        <w:rPr>
          <w:rFonts w:ascii="Times New Roman" w:hAnsi="Times New Roman"/>
          <w:lang w:val="pt-BR"/>
        </w:rPr>
        <w:t>de raios</w:t>
      </w:r>
      <w:r w:rsidR="007724C9">
        <w:rPr>
          <w:rFonts w:ascii="Times New Roman" w:hAnsi="Times New Roman"/>
          <w:lang w:val="pt-BR"/>
        </w:rPr>
        <w:t xml:space="preserve"> X</w:t>
      </w:r>
      <w:r w:rsidRPr="00F86D40">
        <w:rPr>
          <w:rFonts w:ascii="Times New Roman" w:hAnsi="Times New Roman"/>
          <w:lang w:val="pt-BR"/>
        </w:rPr>
        <w:t xml:space="preserve"> (DRX) em</w:t>
      </w:r>
      <w:r>
        <w:rPr>
          <w:rFonts w:ascii="Times New Roman" w:hAnsi="Times New Roman"/>
          <w:lang w:val="pt-BR"/>
        </w:rPr>
        <w:t xml:space="preserve"> </w:t>
      </w:r>
      <w:r w:rsidRPr="00F86D40">
        <w:rPr>
          <w:rFonts w:ascii="Times New Roman" w:hAnsi="Times New Roman"/>
          <w:lang w:val="pt-BR"/>
        </w:rPr>
        <w:t xml:space="preserve">um </w:t>
      </w:r>
      <w:proofErr w:type="spellStart"/>
      <w:r w:rsidRPr="00F86D40">
        <w:rPr>
          <w:rFonts w:ascii="Times New Roman" w:hAnsi="Times New Roman"/>
          <w:lang w:val="pt-BR"/>
        </w:rPr>
        <w:t>difratômetro</w:t>
      </w:r>
      <w:proofErr w:type="spellEnd"/>
      <w:r w:rsidRPr="00F86D40">
        <w:rPr>
          <w:rFonts w:ascii="Times New Roman" w:hAnsi="Times New Roman"/>
          <w:lang w:val="pt-BR"/>
        </w:rPr>
        <w:t xml:space="preserve"> da </w:t>
      </w:r>
      <w:proofErr w:type="spellStart"/>
      <w:r w:rsidRPr="00F86D40">
        <w:rPr>
          <w:rFonts w:ascii="Times New Roman" w:hAnsi="Times New Roman"/>
          <w:lang w:val="pt-BR"/>
        </w:rPr>
        <w:t>Panalytical</w:t>
      </w:r>
      <w:proofErr w:type="spellEnd"/>
      <w:r w:rsidRPr="00F86D40">
        <w:rPr>
          <w:rFonts w:ascii="Times New Roman" w:hAnsi="Times New Roman"/>
          <w:lang w:val="pt-BR"/>
        </w:rPr>
        <w:t xml:space="preserve"> </w:t>
      </w:r>
      <w:proofErr w:type="spellStart"/>
      <w:r w:rsidRPr="00F86D40">
        <w:rPr>
          <w:rFonts w:ascii="Times New Roman" w:hAnsi="Times New Roman"/>
          <w:lang w:val="pt-BR"/>
        </w:rPr>
        <w:t>Empyrean</w:t>
      </w:r>
      <w:proofErr w:type="spellEnd"/>
      <w:r w:rsidRPr="00F86D40">
        <w:rPr>
          <w:rFonts w:ascii="Times New Roman" w:hAnsi="Times New Roman"/>
          <w:lang w:val="pt-BR"/>
        </w:rPr>
        <w:t xml:space="preserve"> X-Ray </w:t>
      </w:r>
      <w:proofErr w:type="spellStart"/>
      <w:r w:rsidRPr="00F86D40">
        <w:rPr>
          <w:rFonts w:ascii="Times New Roman" w:hAnsi="Times New Roman"/>
          <w:lang w:val="pt-BR"/>
        </w:rPr>
        <w:t>Diffractometer</w:t>
      </w:r>
      <w:proofErr w:type="spellEnd"/>
      <w:r w:rsidRPr="00F86D40">
        <w:rPr>
          <w:rFonts w:ascii="Times New Roman" w:hAnsi="Times New Roman"/>
          <w:lang w:val="pt-BR"/>
        </w:rPr>
        <w:t xml:space="preserve"> com radiação CuKα (45 kV e 40 </w:t>
      </w:r>
      <w:proofErr w:type="spellStart"/>
      <w:r w:rsidRPr="00F86D40">
        <w:rPr>
          <w:rFonts w:ascii="Times New Roman" w:hAnsi="Times New Roman"/>
          <w:lang w:val="pt-BR"/>
        </w:rPr>
        <w:t>mA</w:t>
      </w:r>
      <w:proofErr w:type="spellEnd"/>
      <w:r w:rsidRPr="00F86D40">
        <w:rPr>
          <w:rFonts w:ascii="Times New Roman" w:hAnsi="Times New Roman"/>
          <w:lang w:val="pt-BR"/>
        </w:rPr>
        <w:t>), taxa de escaneamento de 0</w:t>
      </w:r>
      <w:r w:rsidR="00B52A4E">
        <w:rPr>
          <w:rFonts w:ascii="Times New Roman" w:hAnsi="Times New Roman"/>
          <w:lang w:val="pt-BR"/>
        </w:rPr>
        <w:t>,</w:t>
      </w:r>
      <w:r w:rsidRPr="00F86D40">
        <w:rPr>
          <w:rFonts w:ascii="Times New Roman" w:hAnsi="Times New Roman"/>
          <w:lang w:val="pt-BR"/>
        </w:rPr>
        <w:t>0131º por passo e uma faixa angular de 2º a 70º. Os espectros</w:t>
      </w:r>
      <w:r>
        <w:rPr>
          <w:rFonts w:ascii="Times New Roman" w:hAnsi="Times New Roman"/>
          <w:lang w:val="pt-BR"/>
        </w:rPr>
        <w:t xml:space="preserve"> de </w:t>
      </w:r>
      <w:r w:rsidR="00B52A4E">
        <w:rPr>
          <w:rFonts w:ascii="Times New Roman" w:hAnsi="Times New Roman"/>
          <w:lang w:val="pt-BR"/>
        </w:rPr>
        <w:t>i</w:t>
      </w:r>
      <w:r>
        <w:rPr>
          <w:rFonts w:ascii="Times New Roman" w:hAnsi="Times New Roman"/>
          <w:lang w:val="pt-BR"/>
        </w:rPr>
        <w:t>nfravermelho com transformada de Fourier (FTIR-ATR)</w:t>
      </w:r>
      <w:r w:rsidRPr="00F86D40">
        <w:rPr>
          <w:rFonts w:ascii="Times New Roman" w:hAnsi="Times New Roman"/>
          <w:lang w:val="pt-BR"/>
        </w:rPr>
        <w:t xml:space="preserve"> foram obtidos na região de número de onda</w:t>
      </w:r>
      <w:r>
        <w:rPr>
          <w:rFonts w:ascii="Times New Roman" w:hAnsi="Times New Roman"/>
          <w:lang w:val="pt-BR"/>
        </w:rPr>
        <w:t xml:space="preserve"> </w:t>
      </w:r>
      <w:r w:rsidRPr="00F86D40">
        <w:rPr>
          <w:rFonts w:ascii="Times New Roman" w:hAnsi="Times New Roman"/>
          <w:lang w:val="pt-BR"/>
        </w:rPr>
        <w:t>entre 4000-</w:t>
      </w:r>
      <w:r w:rsidR="00B52A4E">
        <w:rPr>
          <w:rFonts w:ascii="Times New Roman" w:hAnsi="Times New Roman"/>
          <w:lang w:val="pt-BR"/>
        </w:rPr>
        <w:t>4</w:t>
      </w:r>
      <w:r w:rsidRPr="00F86D40">
        <w:rPr>
          <w:rFonts w:ascii="Times New Roman" w:hAnsi="Times New Roman"/>
          <w:lang w:val="pt-BR"/>
        </w:rPr>
        <w:t>00 cm</w:t>
      </w:r>
      <w:r w:rsidRPr="00F86D40">
        <w:rPr>
          <w:rFonts w:ascii="Times New Roman" w:hAnsi="Times New Roman"/>
          <w:vertAlign w:val="superscript"/>
          <w:lang w:val="pt-BR"/>
        </w:rPr>
        <w:t>-1</w:t>
      </w:r>
      <w:r w:rsidRPr="00F86D40">
        <w:rPr>
          <w:rFonts w:ascii="Times New Roman" w:hAnsi="Times New Roman"/>
          <w:lang w:val="pt-BR"/>
        </w:rPr>
        <w:t>, a partir da média de 60 aquisições e com resolução de 4 cm</w:t>
      </w:r>
      <w:r w:rsidRPr="00F86D40">
        <w:rPr>
          <w:rFonts w:ascii="Times New Roman" w:hAnsi="Times New Roman"/>
          <w:vertAlign w:val="superscript"/>
          <w:lang w:val="pt-BR"/>
        </w:rPr>
        <w:t>-1</w:t>
      </w:r>
      <w:r w:rsidRPr="00F86D40">
        <w:rPr>
          <w:rFonts w:ascii="Times New Roman" w:hAnsi="Times New Roman"/>
          <w:lang w:val="pt-BR"/>
        </w:rPr>
        <w:t xml:space="preserve"> utilizando</w:t>
      </w:r>
      <w:r>
        <w:rPr>
          <w:rFonts w:ascii="Times New Roman" w:hAnsi="Times New Roman"/>
          <w:lang w:val="pt-BR"/>
        </w:rPr>
        <w:t xml:space="preserve"> </w:t>
      </w:r>
      <w:r w:rsidRPr="00F86D40">
        <w:rPr>
          <w:rFonts w:ascii="Times New Roman" w:hAnsi="Times New Roman"/>
          <w:lang w:val="pt-BR"/>
        </w:rPr>
        <w:t xml:space="preserve">o equipamento </w:t>
      </w:r>
      <w:proofErr w:type="spellStart"/>
      <w:r w:rsidRPr="00F86D40">
        <w:rPr>
          <w:rFonts w:ascii="Times New Roman" w:hAnsi="Times New Roman"/>
          <w:lang w:val="pt-BR"/>
        </w:rPr>
        <w:t>Perkin</w:t>
      </w:r>
      <w:proofErr w:type="spellEnd"/>
      <w:r w:rsidRPr="00F86D40">
        <w:rPr>
          <w:rFonts w:ascii="Times New Roman" w:hAnsi="Times New Roman"/>
          <w:lang w:val="pt-BR"/>
        </w:rPr>
        <w:t xml:space="preserve"> Elmer modelo </w:t>
      </w:r>
      <w:proofErr w:type="spellStart"/>
      <w:r w:rsidRPr="00F86D40">
        <w:rPr>
          <w:rFonts w:ascii="Times New Roman" w:hAnsi="Times New Roman"/>
          <w:lang w:val="pt-BR"/>
        </w:rPr>
        <w:t>Frontier</w:t>
      </w:r>
      <w:proofErr w:type="spellEnd"/>
      <w:r w:rsidRPr="00F86D40">
        <w:rPr>
          <w:rFonts w:ascii="Times New Roman" w:hAnsi="Times New Roman"/>
          <w:lang w:val="pt-BR"/>
        </w:rPr>
        <w:t xml:space="preserve">. </w:t>
      </w:r>
      <w:r>
        <w:rPr>
          <w:rFonts w:ascii="Times New Roman" w:hAnsi="Times New Roman"/>
          <w:lang w:val="pt-BR"/>
        </w:rPr>
        <w:t xml:space="preserve">A </w:t>
      </w:r>
      <w:r w:rsidRPr="00F86D40">
        <w:rPr>
          <w:rFonts w:ascii="Times New Roman" w:hAnsi="Times New Roman"/>
          <w:lang w:val="pt-BR"/>
        </w:rPr>
        <w:t xml:space="preserve">análise morfológica </w:t>
      </w:r>
      <w:r>
        <w:rPr>
          <w:rFonts w:ascii="Times New Roman" w:hAnsi="Times New Roman"/>
          <w:lang w:val="pt-BR"/>
        </w:rPr>
        <w:t xml:space="preserve">obtidas por imagens </w:t>
      </w:r>
      <w:r w:rsidRPr="00F86D40">
        <w:rPr>
          <w:rFonts w:ascii="Times New Roman" w:hAnsi="Times New Roman"/>
          <w:lang w:val="pt-BR"/>
        </w:rPr>
        <w:t>de microscopia eletrônica de varredura</w:t>
      </w:r>
      <w:r>
        <w:rPr>
          <w:rFonts w:ascii="Times New Roman" w:hAnsi="Times New Roman"/>
          <w:lang w:val="pt-BR"/>
        </w:rPr>
        <w:t xml:space="preserve"> foi feita </w:t>
      </w:r>
      <w:r w:rsidR="00B52A4E">
        <w:rPr>
          <w:rFonts w:ascii="Times New Roman" w:hAnsi="Times New Roman"/>
          <w:lang w:val="pt-BR"/>
        </w:rPr>
        <w:t>num</w:t>
      </w:r>
      <w:r>
        <w:rPr>
          <w:rFonts w:ascii="Times New Roman" w:hAnsi="Times New Roman"/>
          <w:lang w:val="pt-BR"/>
        </w:rPr>
        <w:t xml:space="preserve"> M</w:t>
      </w:r>
      <w:r w:rsidRPr="00F86D40">
        <w:rPr>
          <w:rFonts w:ascii="Times New Roman" w:hAnsi="Times New Roman"/>
          <w:lang w:val="pt-BR"/>
        </w:rPr>
        <w:t xml:space="preserve">icroscópio de alta resolução MEV-FEG modelo JSM-7100F da JEOL. A análise </w:t>
      </w:r>
      <w:r w:rsidRPr="00E828AB">
        <w:rPr>
          <w:rFonts w:ascii="Times New Roman" w:hAnsi="Times New Roman"/>
          <w:lang w:val="pt-BR"/>
        </w:rPr>
        <w:t>ter</w:t>
      </w:r>
      <w:r w:rsidRPr="00F86D40">
        <w:rPr>
          <w:rFonts w:ascii="Times New Roman" w:hAnsi="Times New Roman"/>
          <w:lang w:val="pt-BR"/>
        </w:rPr>
        <w:t>mogravimétrica (ATG) das amostras foi realizada em um</w:t>
      </w:r>
      <w:r w:rsidR="00C30262">
        <w:rPr>
          <w:rFonts w:ascii="Times New Roman" w:hAnsi="Times New Roman"/>
          <w:lang w:val="pt-BR"/>
        </w:rPr>
        <w:t xml:space="preserve"> </w:t>
      </w:r>
      <w:r w:rsidRPr="00F86D40">
        <w:rPr>
          <w:rFonts w:ascii="Times New Roman" w:hAnsi="Times New Roman"/>
          <w:lang w:val="pt-BR"/>
        </w:rPr>
        <w:t xml:space="preserve">equipamento TA </w:t>
      </w:r>
      <w:proofErr w:type="spellStart"/>
      <w:r w:rsidRPr="00F86D40">
        <w:rPr>
          <w:rFonts w:ascii="Times New Roman" w:hAnsi="Times New Roman"/>
          <w:lang w:val="pt-BR"/>
        </w:rPr>
        <w:t>instruments</w:t>
      </w:r>
      <w:proofErr w:type="spellEnd"/>
      <w:r w:rsidRPr="00F86D40">
        <w:rPr>
          <w:rFonts w:ascii="Times New Roman" w:hAnsi="Times New Roman"/>
          <w:lang w:val="pt-BR"/>
        </w:rPr>
        <w:t xml:space="preserve"> SDT Q600 TGA. A</w:t>
      </w:r>
      <w:r w:rsidR="00FB5788">
        <w:rPr>
          <w:rFonts w:ascii="Times New Roman" w:hAnsi="Times New Roman"/>
          <w:lang w:val="pt-BR"/>
        </w:rPr>
        <w:t xml:space="preserve"> </w:t>
      </w:r>
      <w:r w:rsidRPr="00F86D40">
        <w:rPr>
          <w:rFonts w:ascii="Times New Roman" w:hAnsi="Times New Roman"/>
          <w:lang w:val="pt-BR"/>
        </w:rPr>
        <w:t xml:space="preserve">faixa de aquecimento </w:t>
      </w:r>
      <w:r w:rsidR="00FB5788">
        <w:rPr>
          <w:rFonts w:ascii="Times New Roman" w:hAnsi="Times New Roman"/>
          <w:lang w:val="pt-BR"/>
        </w:rPr>
        <w:t xml:space="preserve">variou </w:t>
      </w:r>
      <w:r w:rsidRPr="00F86D40">
        <w:rPr>
          <w:rFonts w:ascii="Times New Roman" w:hAnsi="Times New Roman"/>
          <w:lang w:val="pt-BR"/>
        </w:rPr>
        <w:t>desde</w:t>
      </w:r>
      <w:r w:rsidR="00FB5788">
        <w:rPr>
          <w:rFonts w:ascii="Times New Roman" w:hAnsi="Times New Roman"/>
          <w:lang w:val="pt-BR"/>
        </w:rPr>
        <w:t xml:space="preserve"> a</w:t>
      </w:r>
      <w:r>
        <w:rPr>
          <w:rFonts w:ascii="Times New Roman" w:hAnsi="Times New Roman"/>
          <w:lang w:val="pt-BR"/>
        </w:rPr>
        <w:t xml:space="preserve"> </w:t>
      </w:r>
      <w:r w:rsidRPr="00F86D40">
        <w:rPr>
          <w:rFonts w:ascii="Times New Roman" w:hAnsi="Times New Roman"/>
          <w:lang w:val="pt-BR"/>
        </w:rPr>
        <w:t xml:space="preserve">temperatura ambiente até 600°C, com </w:t>
      </w:r>
      <w:r w:rsidR="00B52A4E">
        <w:rPr>
          <w:rFonts w:ascii="Times New Roman" w:hAnsi="Times New Roman"/>
          <w:lang w:val="pt-BR"/>
        </w:rPr>
        <w:t>taxa</w:t>
      </w:r>
      <w:r w:rsidRPr="00F86D40">
        <w:rPr>
          <w:rFonts w:ascii="Times New Roman" w:hAnsi="Times New Roman"/>
          <w:lang w:val="pt-BR"/>
        </w:rPr>
        <w:t xml:space="preserve"> de aquecimento de 10°C</w:t>
      </w:r>
      <w:r w:rsidR="00B52A4E">
        <w:rPr>
          <w:rFonts w:ascii="Times New Roman" w:hAnsi="Times New Roman"/>
          <w:lang w:val="pt-BR"/>
        </w:rPr>
        <w:t>/min</w:t>
      </w:r>
      <w:r w:rsidRPr="00F86D40">
        <w:rPr>
          <w:rFonts w:ascii="Times New Roman" w:hAnsi="Times New Roman"/>
          <w:lang w:val="pt-BR"/>
        </w:rPr>
        <w:t xml:space="preserve"> e</w:t>
      </w:r>
      <w:r w:rsidR="00C30262">
        <w:rPr>
          <w:rFonts w:ascii="Times New Roman" w:hAnsi="Times New Roman"/>
          <w:lang w:val="pt-BR"/>
        </w:rPr>
        <w:t xml:space="preserve"> </w:t>
      </w:r>
      <w:r w:rsidRPr="00F86D40">
        <w:rPr>
          <w:rFonts w:ascii="Times New Roman" w:hAnsi="Times New Roman"/>
          <w:lang w:val="pt-BR"/>
        </w:rPr>
        <w:t>atmosfera de N</w:t>
      </w:r>
      <w:r w:rsidRPr="00C30262">
        <w:rPr>
          <w:rFonts w:ascii="Times New Roman" w:hAnsi="Times New Roman"/>
          <w:vertAlign w:val="subscript"/>
          <w:lang w:val="pt-BR"/>
        </w:rPr>
        <w:t>2</w:t>
      </w:r>
      <w:r w:rsidRPr="00F86D40">
        <w:rPr>
          <w:rFonts w:ascii="Times New Roman" w:hAnsi="Times New Roman"/>
          <w:lang w:val="pt-BR"/>
        </w:rPr>
        <w:t>.</w:t>
      </w:r>
      <w:r w:rsidR="00FB5788">
        <w:rPr>
          <w:rFonts w:ascii="Times New Roman" w:hAnsi="Times New Roman"/>
          <w:lang w:val="pt-BR"/>
        </w:rPr>
        <w:t xml:space="preserve"> </w:t>
      </w:r>
      <w:r w:rsidR="00C30262" w:rsidRPr="00C30262">
        <w:rPr>
          <w:rFonts w:ascii="Times New Roman" w:hAnsi="Times New Roman"/>
          <w:lang w:val="pt-BR"/>
        </w:rPr>
        <w:t xml:space="preserve">As medidas de área superficial e volume de poro foram obtidas em um equipamento </w:t>
      </w:r>
      <w:proofErr w:type="spellStart"/>
      <w:r w:rsidR="00C30262" w:rsidRPr="00C30262">
        <w:rPr>
          <w:rFonts w:ascii="Times New Roman" w:hAnsi="Times New Roman"/>
          <w:lang w:val="pt-BR"/>
        </w:rPr>
        <w:t>Micromeritics</w:t>
      </w:r>
      <w:proofErr w:type="spellEnd"/>
      <w:r w:rsidR="00C30262" w:rsidRPr="00C30262">
        <w:rPr>
          <w:rFonts w:ascii="Times New Roman" w:hAnsi="Times New Roman"/>
          <w:lang w:val="pt-BR"/>
        </w:rPr>
        <w:t xml:space="preserve"> ASAP 2020M. Antes de cada análise, uma quantidade de aproximadamente 60 mg de cada amostra foi aquecida </w:t>
      </w:r>
      <w:r w:rsidR="007B1FB8">
        <w:rPr>
          <w:rFonts w:ascii="Times New Roman" w:hAnsi="Times New Roman"/>
          <w:lang w:val="pt-BR"/>
        </w:rPr>
        <w:t>a</w:t>
      </w:r>
      <w:r w:rsidR="00C30262" w:rsidRPr="00C30262">
        <w:rPr>
          <w:rFonts w:ascii="Times New Roman" w:hAnsi="Times New Roman"/>
          <w:lang w:val="pt-BR"/>
        </w:rPr>
        <w:t xml:space="preserve"> 80 ºC sob vácuo durante 24 h para a remoção de impurezas na superfície das amostras</w:t>
      </w:r>
      <w:r w:rsidR="00FB5788">
        <w:rPr>
          <w:rFonts w:ascii="Times New Roman" w:hAnsi="Times New Roman"/>
          <w:lang w:val="pt-BR"/>
        </w:rPr>
        <w:t>.</w:t>
      </w:r>
    </w:p>
    <w:p w14:paraId="136BD1AC" w14:textId="731A63B1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Resultados e Discussão</w:t>
      </w:r>
    </w:p>
    <w:p w14:paraId="3C451D47" w14:textId="77777777" w:rsidR="00B52A4E" w:rsidRDefault="00B52A4E" w:rsidP="00C93E6C">
      <w:pPr>
        <w:spacing w:after="0" w:line="240" w:lineRule="exact"/>
        <w:ind w:firstLine="204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25207B1" w14:textId="18AFA410" w:rsidR="00C93E6C" w:rsidRPr="00D467A2" w:rsidRDefault="007724C9" w:rsidP="00C93E6C">
      <w:pPr>
        <w:spacing w:after="0" w:line="240" w:lineRule="exact"/>
        <w:ind w:firstLine="204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Na</w:t>
      </w:r>
      <w:r w:rsidRPr="00AD71D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306A9B" w:rsidRPr="00AD71D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Figura </w:t>
      </w:r>
      <w:r w:rsidR="00306A9B">
        <w:rPr>
          <w:rFonts w:ascii="Times New Roman" w:eastAsia="Times New Roman" w:hAnsi="Times New Roman" w:cs="Times New Roman"/>
          <w:sz w:val="20"/>
          <w:szCs w:val="20"/>
          <w:lang w:eastAsia="pt-BR"/>
        </w:rPr>
        <w:t>1</w:t>
      </w:r>
      <w:r w:rsidR="00306A9B" w:rsidRPr="00AD71D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são </w:t>
      </w:r>
      <w:r w:rsidR="005056C7">
        <w:rPr>
          <w:rFonts w:ascii="Times New Roman" w:eastAsia="Times New Roman" w:hAnsi="Times New Roman" w:cs="Times New Roman"/>
          <w:sz w:val="20"/>
          <w:szCs w:val="20"/>
          <w:lang w:eastAsia="pt-BR"/>
        </w:rPr>
        <w:t>apresenta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dos</w:t>
      </w:r>
      <w:r w:rsidR="00AF726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306A9B" w:rsidRPr="00AD71D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os resultados de DRX </w:t>
      </w:r>
      <w:r w:rsidR="00F36D81">
        <w:rPr>
          <w:rFonts w:ascii="Times New Roman" w:eastAsia="Times New Roman" w:hAnsi="Times New Roman" w:cs="Times New Roman"/>
          <w:sz w:val="20"/>
          <w:szCs w:val="20"/>
          <w:lang w:eastAsia="pt-BR"/>
        </w:rPr>
        <w:t>das amostras sintetizadas com o 2,4-D pelo método direto</w:t>
      </w:r>
      <w:r w:rsidR="00301535">
        <w:rPr>
          <w:rFonts w:ascii="Times New Roman" w:eastAsia="Times New Roman" w:hAnsi="Times New Roman" w:cs="Times New Roman"/>
          <w:sz w:val="20"/>
          <w:szCs w:val="20"/>
          <w:lang w:eastAsia="pt-BR"/>
        </w:rPr>
        <w:t>,</w:t>
      </w:r>
      <w:r w:rsidR="00F36D8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FC7B2E">
        <w:rPr>
          <w:rFonts w:ascii="Times New Roman" w:eastAsia="Times New Roman" w:hAnsi="Times New Roman" w:cs="Times New Roman"/>
          <w:sz w:val="20"/>
          <w:szCs w:val="20"/>
          <w:lang w:eastAsia="pt-BR"/>
        </w:rPr>
        <w:t>e de</w:t>
      </w:r>
      <w:r w:rsidR="00F36D8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uma amostra de</w:t>
      </w:r>
      <w:r w:rsidR="00FC7B2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HDL sintetizada sem o 2,4-D.</w:t>
      </w:r>
      <w:r w:rsidR="001B7950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C83249">
        <w:rPr>
          <w:rFonts w:ascii="Times New Roman" w:eastAsia="Times New Roman" w:hAnsi="Times New Roman" w:cs="Times New Roman"/>
          <w:sz w:val="20"/>
          <w:szCs w:val="20"/>
          <w:lang w:eastAsia="pt-BR"/>
        </w:rPr>
        <w:t>A</w:t>
      </w:r>
      <w:r w:rsidR="00C83249" w:rsidRPr="005558F4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amostra de HDL puro</w:t>
      </w:r>
      <w:r w:rsidR="00C8324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apresent</w:t>
      </w:r>
      <w:r w:rsidR="00F36D81">
        <w:rPr>
          <w:rFonts w:ascii="Times New Roman" w:eastAsia="Times New Roman" w:hAnsi="Times New Roman" w:cs="Times New Roman"/>
          <w:sz w:val="20"/>
          <w:szCs w:val="20"/>
          <w:lang w:eastAsia="pt-BR"/>
        </w:rPr>
        <w:t>ou</w:t>
      </w:r>
      <w:r w:rsidR="00C83249" w:rsidRPr="005558F4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picos característicos dos planos (003), (006), (009), (015), (018), (110) e (113)</w:t>
      </w:r>
      <w:r w:rsidR="00C8324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de acordo com a ficha cristalográfica </w:t>
      </w:r>
      <w:r w:rsidR="00C83249" w:rsidRPr="005558F4">
        <w:rPr>
          <w:rFonts w:ascii="Times New Roman" w:eastAsia="Times New Roman" w:hAnsi="Times New Roman" w:cs="Times New Roman"/>
          <w:sz w:val="20"/>
          <w:szCs w:val="20"/>
          <w:lang w:eastAsia="pt-BR"/>
        </w:rPr>
        <w:t>ICCD n</w:t>
      </w:r>
      <w:r w:rsidR="00C83249">
        <w:rPr>
          <w:rFonts w:ascii="Times New Roman" w:eastAsia="Times New Roman" w:hAnsi="Times New Roman" w:cs="Times New Roman"/>
          <w:sz w:val="20"/>
          <w:szCs w:val="20"/>
          <w:lang w:eastAsia="pt-BR"/>
        </w:rPr>
        <w:t>º</w:t>
      </w:r>
      <w:r w:rsidR="00C83249" w:rsidRPr="005558F4">
        <w:rPr>
          <w:rFonts w:ascii="Times New Roman" w:eastAsia="Times New Roman" w:hAnsi="Times New Roman" w:cs="Times New Roman"/>
          <w:sz w:val="20"/>
          <w:szCs w:val="20"/>
          <w:lang w:eastAsia="pt-BR"/>
        </w:rPr>
        <w:t>. 01-089-5434 da</w:t>
      </w:r>
      <w:r w:rsidR="00C8324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fase </w:t>
      </w:r>
      <w:r w:rsidR="00C83249" w:rsidRPr="005558F4">
        <w:rPr>
          <w:rFonts w:ascii="Times New Roman" w:eastAsia="Times New Roman" w:hAnsi="Times New Roman" w:cs="Times New Roman"/>
          <w:sz w:val="20"/>
          <w:szCs w:val="20"/>
          <w:lang w:eastAsia="pt-BR"/>
        </w:rPr>
        <w:t>hidrotalcita</w:t>
      </w:r>
      <w:r w:rsidR="00C83249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</w:p>
    <w:p w14:paraId="6E0350EF" w14:textId="637B3B6A" w:rsidR="00D467A2" w:rsidRPr="00171B27" w:rsidRDefault="009D5230" w:rsidP="009D5230">
      <w:pPr>
        <w:jc w:val="center"/>
        <w:rPr>
          <w:sz w:val="18"/>
          <w:szCs w:val="18"/>
        </w:rPr>
      </w:pPr>
      <w:r w:rsidRPr="009D5230">
        <w:rPr>
          <w:noProof/>
          <w:lang w:eastAsia="pt-BR"/>
        </w:rPr>
        <w:drawing>
          <wp:inline distT="0" distB="0" distL="0" distR="0" wp14:anchorId="2C655A37" wp14:editId="75B8438C">
            <wp:extent cx="3107814" cy="3657470"/>
            <wp:effectExtent l="0" t="0" r="0" b="63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8" t="2368" r="2909" b="4075"/>
                    <a:stretch/>
                  </pic:blipFill>
                  <pic:spPr bwMode="auto">
                    <a:xfrm>
                      <a:off x="0" y="0"/>
                      <a:ext cx="3118220" cy="3669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467A2" w:rsidRPr="00171B27">
        <w:rPr>
          <w:rFonts w:ascii="Times New Roman" w:hAnsi="Times New Roman"/>
          <w:b/>
          <w:sz w:val="18"/>
          <w:szCs w:val="18"/>
        </w:rPr>
        <w:t>Figura 1.</w:t>
      </w:r>
      <w:r w:rsidR="00D467A2" w:rsidRPr="00171B27">
        <w:rPr>
          <w:rFonts w:ascii="Times New Roman" w:hAnsi="Times New Roman"/>
          <w:sz w:val="18"/>
          <w:szCs w:val="18"/>
        </w:rPr>
        <w:t xml:space="preserve"> </w:t>
      </w:r>
      <w:r w:rsidR="00171B27">
        <w:rPr>
          <w:rFonts w:ascii="Times New Roman" w:hAnsi="Times New Roman"/>
          <w:sz w:val="18"/>
          <w:szCs w:val="18"/>
        </w:rPr>
        <w:t>Resultados de DRX das amostras.</w:t>
      </w:r>
    </w:p>
    <w:p w14:paraId="4D444448" w14:textId="272C724F" w:rsidR="00C93E6C" w:rsidRPr="00414B8A" w:rsidRDefault="00C93E6C" w:rsidP="00C93E6C">
      <w:pPr>
        <w:spacing w:after="0" w:line="240" w:lineRule="exact"/>
        <w:ind w:firstLine="204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As amostras </w:t>
      </w:r>
      <w:r w:rsidR="00301535">
        <w:rPr>
          <w:rFonts w:ascii="Times New Roman" w:eastAsia="Times New Roman" w:hAnsi="Times New Roman" w:cs="Times New Roman"/>
          <w:sz w:val="20"/>
          <w:szCs w:val="20"/>
          <w:lang w:eastAsia="pt-BR"/>
        </w:rPr>
        <w:t>sintetizadas com</w:t>
      </w:r>
      <w:r w:rsidR="00F36D8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o 2,4-D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apresenta</w:t>
      </w:r>
      <w:r w:rsidR="00C83249">
        <w:rPr>
          <w:rFonts w:ascii="Times New Roman" w:eastAsia="Times New Roman" w:hAnsi="Times New Roman" w:cs="Times New Roman"/>
          <w:sz w:val="20"/>
          <w:szCs w:val="20"/>
          <w:lang w:eastAsia="pt-BR"/>
        </w:rPr>
        <w:t>ra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m</w:t>
      </w:r>
      <w:r w:rsidR="003015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picos de difração em posições diferentes das encontradas no HDL puro. </w:t>
      </w:r>
      <w:r w:rsidR="0085192D">
        <w:rPr>
          <w:rFonts w:ascii="Times New Roman" w:eastAsia="Times New Roman" w:hAnsi="Times New Roman" w:cs="Times New Roman"/>
          <w:sz w:val="20"/>
          <w:szCs w:val="20"/>
          <w:lang w:eastAsia="pt-BR"/>
        </w:rPr>
        <w:t>As amostras 2,4-D/HDL-A e 2,4-D/HDL-B apresentaram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uma de</w:t>
      </w:r>
      <w:r w:rsidR="00A91505">
        <w:rPr>
          <w:rFonts w:ascii="Times New Roman" w:eastAsia="Times New Roman" w:hAnsi="Times New Roman" w:cs="Times New Roman"/>
          <w:sz w:val="20"/>
          <w:szCs w:val="20"/>
          <w:lang w:eastAsia="pt-BR"/>
        </w:rPr>
        <w:t>fa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sagem do</w:t>
      </w:r>
      <w:r w:rsidR="00C8324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pico correspondente ao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 xml:space="preserve">plano (003) </w:t>
      </w:r>
      <w:r w:rsidRPr="00306A9B">
        <w:rPr>
          <w:rFonts w:ascii="Times New Roman" w:eastAsia="Times New Roman" w:hAnsi="Times New Roman" w:cs="Times New Roman"/>
          <w:sz w:val="20"/>
          <w:szCs w:val="20"/>
          <w:lang w:eastAsia="pt-BR"/>
        </w:rPr>
        <w:t>para ângulos 2θ menores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 </w:t>
      </w:r>
      <w:r w:rsidR="00F36D8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estes picos foram 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menos intensos que </w:t>
      </w:r>
      <w:r w:rsidR="00F36D81">
        <w:rPr>
          <w:rFonts w:ascii="Times New Roman" w:eastAsia="Times New Roman" w:hAnsi="Times New Roman" w:cs="Times New Roman"/>
          <w:sz w:val="20"/>
          <w:szCs w:val="20"/>
          <w:lang w:eastAsia="pt-BR"/>
        </w:rPr>
        <w:t>o do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HDL pur</w:t>
      </w:r>
      <w:r w:rsidR="00F36D81">
        <w:rPr>
          <w:rFonts w:ascii="Times New Roman" w:eastAsia="Times New Roman" w:hAnsi="Times New Roman" w:cs="Times New Roman"/>
          <w:sz w:val="20"/>
          <w:szCs w:val="20"/>
          <w:lang w:eastAsia="pt-BR"/>
        </w:rPr>
        <w:t>o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Isso foi atribuído </w:t>
      </w:r>
      <w:r w:rsidR="007724C9">
        <w:rPr>
          <w:rFonts w:ascii="Times New Roman" w:eastAsia="Times New Roman" w:hAnsi="Times New Roman" w:cs="Times New Roman"/>
          <w:sz w:val="20"/>
          <w:szCs w:val="20"/>
          <w:lang w:eastAsia="pt-BR"/>
        </w:rPr>
        <w:t>à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introdução das moléculas do 2,4-D </w:t>
      </w:r>
      <w:r w:rsidR="001E0842">
        <w:rPr>
          <w:rFonts w:ascii="Times New Roman" w:eastAsia="Times New Roman" w:hAnsi="Times New Roman" w:cs="Times New Roman"/>
          <w:sz w:val="20"/>
          <w:szCs w:val="20"/>
          <w:lang w:eastAsia="pt-BR"/>
        </w:rPr>
        <w:t>espaço interlamelar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ou seja, entre as camadas </w:t>
      </w:r>
      <w:r w:rsidR="001E0842">
        <w:rPr>
          <w:rFonts w:ascii="Times New Roman" w:eastAsia="Times New Roman" w:hAnsi="Times New Roman" w:cs="Times New Roman"/>
          <w:sz w:val="20"/>
          <w:szCs w:val="20"/>
          <w:lang w:eastAsia="pt-BR"/>
        </w:rPr>
        <w:t>tipo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brucita do HDL</w:t>
      </w:r>
      <w:r w:rsidR="001E084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(10)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</w:t>
      </w:r>
      <w:r w:rsidRPr="00414B8A">
        <w:rPr>
          <w:rFonts w:ascii="Times New Roman" w:eastAsia="Times New Roman" w:hAnsi="Times New Roman" w:cs="Times New Roman"/>
          <w:sz w:val="20"/>
          <w:szCs w:val="20"/>
          <w:lang w:eastAsia="pt-BR"/>
        </w:rPr>
        <w:t>Na amostra 2,4-D/HDL-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C</w:t>
      </w:r>
      <w:r w:rsidRPr="00414B8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foram encontrados picos característicos do HDL puro, porém com pouca intensidade, 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mas também</w:t>
      </w:r>
      <w:r w:rsidRPr="00414B8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foi observado picos característicos </w:t>
      </w:r>
      <w:r w:rsidRPr="00414B8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da fase ZnO na faixa angular 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2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sym w:font="Symbol" w:char="F071"/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414B8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de 31º a 37º 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de acordo com a </w:t>
      </w:r>
      <w:r w:rsidRPr="00414B8A">
        <w:rPr>
          <w:rFonts w:ascii="Times New Roman" w:eastAsia="Times New Roman" w:hAnsi="Times New Roman" w:cs="Times New Roman"/>
          <w:sz w:val="20"/>
          <w:szCs w:val="20"/>
          <w:lang w:eastAsia="pt-BR"/>
        </w:rPr>
        <w:t>ficha cristalográfica ICCD n. 01-079-0206 do óxido de zinco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correspondentes aos</w:t>
      </w:r>
      <w:r w:rsidRPr="00414B8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planos (100), (002) e (101). </w:t>
      </w:r>
    </w:p>
    <w:p w14:paraId="357FB23A" w14:textId="1BB24E9A" w:rsidR="00E45B11" w:rsidRPr="00E758E7" w:rsidRDefault="00E45B11" w:rsidP="00086582">
      <w:pPr>
        <w:pStyle w:val="VDTableTitle"/>
        <w:spacing w:after="0" w:line="240" w:lineRule="exact"/>
        <w:ind w:firstLine="187"/>
        <w:jc w:val="both"/>
        <w:rPr>
          <w:rFonts w:ascii="Times New Roman" w:hAnsi="Times New Roman"/>
          <w:sz w:val="20"/>
          <w:lang w:val="pt-BR"/>
        </w:rPr>
      </w:pPr>
      <w:r>
        <w:rPr>
          <w:sz w:val="20"/>
          <w:lang w:val="pt"/>
        </w:rPr>
        <w:t xml:space="preserve">As análises de DRX mostraram </w:t>
      </w:r>
      <w:r w:rsidR="00F36D81">
        <w:rPr>
          <w:sz w:val="20"/>
          <w:lang w:val="pt"/>
        </w:rPr>
        <w:t xml:space="preserve">também </w:t>
      </w:r>
      <w:r w:rsidRPr="00306A9B">
        <w:rPr>
          <w:sz w:val="20"/>
          <w:lang w:val="pt"/>
        </w:rPr>
        <w:t xml:space="preserve">que </w:t>
      </w:r>
      <w:r>
        <w:rPr>
          <w:sz w:val="20"/>
          <w:lang w:val="pt"/>
        </w:rPr>
        <w:t xml:space="preserve">com o aumento da </w:t>
      </w:r>
      <w:r w:rsidRPr="00306A9B">
        <w:rPr>
          <w:sz w:val="20"/>
          <w:lang w:val="pt"/>
        </w:rPr>
        <w:t>concentração dos sais metálicos de Zn e Al,</w:t>
      </w:r>
      <w:r>
        <w:rPr>
          <w:sz w:val="20"/>
          <w:lang w:val="pt"/>
        </w:rPr>
        <w:t xml:space="preserve"> a formação da fase hidrotalcita com alterações estruturais foi favorecida. Esta fase estruturalmente afetada seria um nanocompósito híbrido pois apresenta uma estrutura inorgânica devido às camadas de </w:t>
      </w:r>
      <w:r w:rsidRPr="001E0842">
        <w:rPr>
          <w:sz w:val="20"/>
          <w:lang w:val="pt"/>
        </w:rPr>
        <w:t>brucita</w:t>
      </w:r>
      <w:r>
        <w:rPr>
          <w:sz w:val="20"/>
          <w:lang w:val="pt"/>
        </w:rPr>
        <w:t xml:space="preserve"> hospedando moléculas orgânicas do 2,4-D</w:t>
      </w:r>
      <w:r w:rsidRPr="00306A9B">
        <w:rPr>
          <w:sz w:val="20"/>
          <w:lang w:val="pt"/>
        </w:rPr>
        <w:t>.</w:t>
      </w:r>
    </w:p>
    <w:p w14:paraId="42F6FAA0" w14:textId="28E73B9F" w:rsidR="00CC08A9" w:rsidRDefault="00AF726A" w:rsidP="00C93E6C">
      <w:pPr>
        <w:pStyle w:val="VDTableTitle"/>
        <w:spacing w:after="0" w:line="240" w:lineRule="exact"/>
        <w:ind w:firstLine="187"/>
        <w:jc w:val="both"/>
        <w:rPr>
          <w:rFonts w:ascii="Times New Roman" w:hAnsi="Times New Roman"/>
          <w:bCs/>
          <w:sz w:val="20"/>
          <w:szCs w:val="22"/>
          <w:lang w:val="pt-BR"/>
        </w:rPr>
      </w:pPr>
      <w:r>
        <w:rPr>
          <w:rFonts w:ascii="Times New Roman" w:hAnsi="Times New Roman"/>
          <w:bCs/>
          <w:sz w:val="20"/>
          <w:szCs w:val="22"/>
          <w:lang w:val="pt-BR"/>
        </w:rPr>
        <w:t>O</w:t>
      </w:r>
      <w:r w:rsidR="00CC08A9" w:rsidRPr="00CC08A9">
        <w:rPr>
          <w:rFonts w:ascii="Times New Roman" w:hAnsi="Times New Roman"/>
          <w:bCs/>
          <w:sz w:val="20"/>
          <w:szCs w:val="22"/>
          <w:lang w:val="pt-BR"/>
        </w:rPr>
        <w:t>s</w:t>
      </w:r>
      <w:r w:rsidR="00CC08A9">
        <w:rPr>
          <w:rFonts w:ascii="Times New Roman" w:hAnsi="Times New Roman"/>
          <w:bCs/>
          <w:sz w:val="20"/>
          <w:szCs w:val="22"/>
          <w:lang w:val="pt-BR"/>
        </w:rPr>
        <w:t xml:space="preserve"> </w:t>
      </w:r>
      <w:r w:rsidR="00CC08A9" w:rsidRPr="00CC08A9">
        <w:rPr>
          <w:rFonts w:ascii="Times New Roman" w:hAnsi="Times New Roman"/>
          <w:bCs/>
          <w:sz w:val="20"/>
          <w:szCs w:val="22"/>
          <w:lang w:val="pt-BR"/>
        </w:rPr>
        <w:t xml:space="preserve">resultados </w:t>
      </w:r>
      <w:r w:rsidR="00E45B11">
        <w:rPr>
          <w:rFonts w:ascii="Times New Roman" w:hAnsi="Times New Roman"/>
          <w:bCs/>
          <w:sz w:val="20"/>
          <w:szCs w:val="22"/>
          <w:lang w:val="pt-BR"/>
        </w:rPr>
        <w:t xml:space="preserve">da análise </w:t>
      </w:r>
      <w:r w:rsidR="00CC08A9" w:rsidRPr="00CC08A9">
        <w:rPr>
          <w:rFonts w:ascii="Times New Roman" w:hAnsi="Times New Roman"/>
          <w:bCs/>
          <w:sz w:val="20"/>
          <w:szCs w:val="22"/>
          <w:lang w:val="pt-BR"/>
        </w:rPr>
        <w:t>estrutura</w:t>
      </w:r>
      <w:r w:rsidR="00E45B11">
        <w:rPr>
          <w:rFonts w:ascii="Times New Roman" w:hAnsi="Times New Roman"/>
          <w:bCs/>
          <w:sz w:val="20"/>
          <w:szCs w:val="22"/>
          <w:lang w:val="pt-BR"/>
        </w:rPr>
        <w:t>l</w:t>
      </w:r>
      <w:r w:rsidR="00CC08A9" w:rsidRPr="00CC08A9">
        <w:rPr>
          <w:rFonts w:ascii="Times New Roman" w:hAnsi="Times New Roman"/>
          <w:bCs/>
          <w:sz w:val="20"/>
          <w:szCs w:val="22"/>
          <w:lang w:val="pt-BR"/>
        </w:rPr>
        <w:t xml:space="preserve"> das amostras</w:t>
      </w:r>
      <w:r>
        <w:rPr>
          <w:rFonts w:ascii="Times New Roman" w:hAnsi="Times New Roman"/>
          <w:bCs/>
          <w:sz w:val="20"/>
          <w:szCs w:val="22"/>
          <w:lang w:val="pt-BR"/>
        </w:rPr>
        <w:t xml:space="preserve"> apresentados na </w:t>
      </w:r>
      <w:r w:rsidR="00E45B11">
        <w:rPr>
          <w:rFonts w:ascii="Times New Roman" w:hAnsi="Times New Roman"/>
          <w:bCs/>
          <w:sz w:val="20"/>
          <w:szCs w:val="22"/>
          <w:lang w:val="pt-BR"/>
        </w:rPr>
        <w:t>T</w:t>
      </w:r>
      <w:r>
        <w:rPr>
          <w:rFonts w:ascii="Times New Roman" w:hAnsi="Times New Roman"/>
          <w:bCs/>
          <w:sz w:val="20"/>
          <w:szCs w:val="22"/>
          <w:lang w:val="pt-BR"/>
        </w:rPr>
        <w:t>abela 1</w:t>
      </w:r>
      <w:r w:rsidR="00E45B11">
        <w:rPr>
          <w:rFonts w:ascii="Times New Roman" w:hAnsi="Times New Roman"/>
          <w:bCs/>
          <w:sz w:val="20"/>
          <w:szCs w:val="22"/>
          <w:lang w:val="pt-BR"/>
        </w:rPr>
        <w:t>,</w:t>
      </w:r>
      <w:r>
        <w:rPr>
          <w:rFonts w:ascii="Times New Roman" w:hAnsi="Times New Roman"/>
          <w:bCs/>
          <w:sz w:val="20"/>
          <w:szCs w:val="22"/>
          <w:lang w:val="pt-BR"/>
        </w:rPr>
        <w:t xml:space="preserve"> mostra</w:t>
      </w:r>
      <w:r w:rsidR="00E45B11">
        <w:rPr>
          <w:rFonts w:ascii="Times New Roman" w:hAnsi="Times New Roman"/>
          <w:bCs/>
          <w:sz w:val="20"/>
          <w:szCs w:val="22"/>
          <w:lang w:val="pt-BR"/>
        </w:rPr>
        <w:t>ra</w:t>
      </w:r>
      <w:r>
        <w:rPr>
          <w:rFonts w:ascii="Times New Roman" w:hAnsi="Times New Roman"/>
          <w:bCs/>
          <w:sz w:val="20"/>
          <w:szCs w:val="22"/>
          <w:lang w:val="pt-BR"/>
        </w:rPr>
        <w:t>m que o</w:t>
      </w:r>
      <w:r w:rsidR="00CC08A9" w:rsidRPr="00CC08A9">
        <w:rPr>
          <w:rFonts w:ascii="Times New Roman" w:hAnsi="Times New Roman"/>
          <w:bCs/>
          <w:sz w:val="20"/>
          <w:szCs w:val="22"/>
          <w:lang w:val="pt-BR"/>
        </w:rPr>
        <w:t>s valores</w:t>
      </w:r>
      <w:r w:rsidR="00CC08A9">
        <w:rPr>
          <w:rFonts w:ascii="Times New Roman" w:hAnsi="Times New Roman"/>
          <w:bCs/>
          <w:sz w:val="20"/>
          <w:szCs w:val="22"/>
          <w:lang w:val="pt-BR"/>
        </w:rPr>
        <w:t xml:space="preserve"> </w:t>
      </w:r>
      <w:r w:rsidR="00E45B11">
        <w:rPr>
          <w:rFonts w:ascii="Times New Roman" w:hAnsi="Times New Roman"/>
          <w:bCs/>
          <w:sz w:val="20"/>
          <w:szCs w:val="22"/>
          <w:lang w:val="pt-BR"/>
        </w:rPr>
        <w:t xml:space="preserve">da distância interplanar do plano </w:t>
      </w:r>
      <w:r w:rsidR="006B2D06" w:rsidRPr="006B2D06">
        <w:rPr>
          <w:rFonts w:ascii="Times New Roman" w:hAnsi="Times New Roman"/>
          <w:bCs/>
          <w:sz w:val="20"/>
          <w:szCs w:val="22"/>
          <w:lang w:val="pt-BR"/>
        </w:rPr>
        <w:t>(</w:t>
      </w:r>
      <w:r w:rsidR="00E45B11" w:rsidRPr="006B2D06">
        <w:rPr>
          <w:rFonts w:ascii="Times New Roman" w:hAnsi="Times New Roman"/>
          <w:bCs/>
          <w:sz w:val="20"/>
          <w:szCs w:val="22"/>
          <w:lang w:val="pt-BR"/>
        </w:rPr>
        <w:t>003</w:t>
      </w:r>
      <w:r w:rsidR="006B2D06" w:rsidRPr="006B2D06">
        <w:rPr>
          <w:rFonts w:ascii="Times New Roman" w:hAnsi="Times New Roman"/>
          <w:bCs/>
          <w:sz w:val="20"/>
          <w:szCs w:val="22"/>
          <w:lang w:val="pt-BR"/>
        </w:rPr>
        <w:t>)</w:t>
      </w:r>
      <w:r w:rsidR="00E45B11">
        <w:rPr>
          <w:rFonts w:ascii="Times New Roman" w:hAnsi="Times New Roman"/>
          <w:bCs/>
          <w:sz w:val="20"/>
          <w:szCs w:val="22"/>
          <w:lang w:val="pt-BR"/>
        </w:rPr>
        <w:t xml:space="preserve">, também conhecido como </w:t>
      </w:r>
      <w:r w:rsidR="00CC08A9" w:rsidRPr="00CC08A9">
        <w:rPr>
          <w:rFonts w:ascii="Times New Roman" w:hAnsi="Times New Roman"/>
          <w:bCs/>
          <w:sz w:val="20"/>
          <w:szCs w:val="22"/>
          <w:lang w:val="pt-BR"/>
        </w:rPr>
        <w:t>espaçamento basal</w:t>
      </w:r>
      <w:r w:rsidR="00E45B11">
        <w:rPr>
          <w:rFonts w:ascii="Times New Roman" w:hAnsi="Times New Roman"/>
          <w:bCs/>
          <w:sz w:val="20"/>
          <w:szCs w:val="22"/>
          <w:lang w:val="pt-BR"/>
        </w:rPr>
        <w:t>,</w:t>
      </w:r>
      <w:r w:rsidR="00CC08A9">
        <w:rPr>
          <w:rFonts w:ascii="Times New Roman" w:hAnsi="Times New Roman"/>
          <w:bCs/>
          <w:sz w:val="20"/>
          <w:szCs w:val="22"/>
          <w:lang w:val="pt-BR"/>
        </w:rPr>
        <w:t xml:space="preserve"> </w:t>
      </w:r>
      <w:r w:rsidR="002874AB">
        <w:rPr>
          <w:rFonts w:ascii="Times New Roman" w:hAnsi="Times New Roman"/>
          <w:bCs/>
          <w:sz w:val="20"/>
          <w:szCs w:val="22"/>
          <w:lang w:val="pt-BR"/>
        </w:rPr>
        <w:t>aumenta</w:t>
      </w:r>
      <w:r w:rsidR="00C10923">
        <w:rPr>
          <w:rFonts w:ascii="Times New Roman" w:hAnsi="Times New Roman"/>
          <w:bCs/>
          <w:sz w:val="20"/>
          <w:szCs w:val="22"/>
          <w:lang w:val="pt-BR"/>
        </w:rPr>
        <w:t>ram com o aumento da concentração dos sais metálicos usada na síntese das amostras.</w:t>
      </w:r>
      <w:r>
        <w:rPr>
          <w:rFonts w:ascii="Times New Roman" w:hAnsi="Times New Roman"/>
          <w:bCs/>
          <w:sz w:val="20"/>
          <w:szCs w:val="22"/>
          <w:lang w:val="pt-BR"/>
        </w:rPr>
        <w:t xml:space="preserve"> </w:t>
      </w:r>
      <w:r w:rsidR="00C10923">
        <w:rPr>
          <w:rFonts w:ascii="Times New Roman" w:hAnsi="Times New Roman"/>
          <w:bCs/>
          <w:sz w:val="20"/>
          <w:szCs w:val="22"/>
          <w:lang w:val="pt-BR"/>
        </w:rPr>
        <w:t>Além disso, foi observado um</w:t>
      </w:r>
      <w:r w:rsidR="00CC08A9" w:rsidRPr="00CC08A9">
        <w:rPr>
          <w:rFonts w:ascii="Times New Roman" w:hAnsi="Times New Roman"/>
          <w:bCs/>
          <w:sz w:val="20"/>
          <w:szCs w:val="22"/>
          <w:lang w:val="pt-BR"/>
        </w:rPr>
        <w:t xml:space="preserve"> </w:t>
      </w:r>
      <w:r w:rsidR="001A63D2">
        <w:rPr>
          <w:rFonts w:ascii="Times New Roman" w:hAnsi="Times New Roman"/>
          <w:bCs/>
          <w:sz w:val="20"/>
          <w:szCs w:val="22"/>
          <w:lang w:val="pt-BR"/>
        </w:rPr>
        <w:t>aumento do</w:t>
      </w:r>
      <w:r w:rsidR="00CC08A9">
        <w:rPr>
          <w:rFonts w:ascii="Times New Roman" w:hAnsi="Times New Roman"/>
          <w:bCs/>
          <w:sz w:val="20"/>
          <w:szCs w:val="22"/>
          <w:lang w:val="pt-BR"/>
        </w:rPr>
        <w:t xml:space="preserve"> </w:t>
      </w:r>
      <w:r w:rsidR="00CC08A9" w:rsidRPr="00CC08A9">
        <w:rPr>
          <w:rFonts w:ascii="Times New Roman" w:hAnsi="Times New Roman"/>
          <w:bCs/>
          <w:sz w:val="20"/>
          <w:szCs w:val="22"/>
          <w:lang w:val="pt-BR"/>
        </w:rPr>
        <w:t>tamanho de cristalito</w:t>
      </w:r>
      <w:r>
        <w:rPr>
          <w:rFonts w:ascii="Times New Roman" w:hAnsi="Times New Roman"/>
          <w:bCs/>
          <w:sz w:val="20"/>
          <w:szCs w:val="22"/>
          <w:lang w:val="pt-BR"/>
        </w:rPr>
        <w:t xml:space="preserve"> para as amostras</w:t>
      </w:r>
      <w:r w:rsidR="00C10923">
        <w:rPr>
          <w:rFonts w:ascii="Times New Roman" w:hAnsi="Times New Roman"/>
          <w:bCs/>
          <w:sz w:val="20"/>
          <w:szCs w:val="22"/>
          <w:lang w:val="pt-BR"/>
        </w:rPr>
        <w:t xml:space="preserve"> com o aumento da concentração d</w:t>
      </w:r>
      <w:r w:rsidR="006B2D06">
        <w:rPr>
          <w:rFonts w:ascii="Times New Roman" w:hAnsi="Times New Roman"/>
          <w:bCs/>
          <w:sz w:val="20"/>
          <w:szCs w:val="22"/>
          <w:lang w:val="pt-BR"/>
        </w:rPr>
        <w:t xml:space="preserve">estes </w:t>
      </w:r>
      <w:r w:rsidR="00C10923">
        <w:rPr>
          <w:rFonts w:ascii="Times New Roman" w:hAnsi="Times New Roman"/>
          <w:bCs/>
          <w:sz w:val="20"/>
          <w:szCs w:val="22"/>
          <w:lang w:val="pt-BR"/>
        </w:rPr>
        <w:t>sais metálicos</w:t>
      </w:r>
      <w:r>
        <w:rPr>
          <w:rFonts w:ascii="Times New Roman" w:hAnsi="Times New Roman"/>
          <w:bCs/>
          <w:sz w:val="20"/>
          <w:szCs w:val="22"/>
          <w:lang w:val="pt-BR"/>
        </w:rPr>
        <w:t>.</w:t>
      </w:r>
      <w:r w:rsidR="00627FBA">
        <w:rPr>
          <w:rFonts w:ascii="Times New Roman" w:hAnsi="Times New Roman"/>
          <w:bCs/>
          <w:sz w:val="20"/>
          <w:szCs w:val="22"/>
          <w:lang w:val="pt-BR"/>
        </w:rPr>
        <w:t xml:space="preserve"> </w:t>
      </w:r>
    </w:p>
    <w:p w14:paraId="1ED90657" w14:textId="35B8D8AF" w:rsidR="00627FBA" w:rsidRDefault="00627FBA" w:rsidP="00FA2235">
      <w:pPr>
        <w:spacing w:after="0" w:line="240" w:lineRule="exact"/>
        <w:ind w:firstLine="18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627FBA">
        <w:rPr>
          <w:rFonts w:ascii="Times New Roman" w:hAnsi="Times New Roman" w:cs="Times New Roman"/>
          <w:sz w:val="20"/>
          <w:szCs w:val="20"/>
          <w:lang w:eastAsia="pt-BR"/>
        </w:rPr>
        <w:t xml:space="preserve">Em todas as sínteses realizadas a razão Zn/Al foi a mesma, </w:t>
      </w:r>
      <w:r w:rsidR="002874AB">
        <w:rPr>
          <w:rFonts w:ascii="Times New Roman" w:hAnsi="Times New Roman" w:cs="Times New Roman"/>
          <w:sz w:val="20"/>
          <w:szCs w:val="20"/>
          <w:lang w:eastAsia="pt-BR"/>
        </w:rPr>
        <w:t xml:space="preserve">dessa forma </w:t>
      </w:r>
      <w:r w:rsidR="002874AB" w:rsidRPr="002874AB">
        <w:rPr>
          <w:rFonts w:ascii="Times New Roman" w:hAnsi="Times New Roman" w:cs="Times New Roman"/>
          <w:sz w:val="20"/>
          <w:szCs w:val="20"/>
          <w:lang w:eastAsia="pt-BR"/>
        </w:rPr>
        <w:t xml:space="preserve">os diferentes valores de espaçamento basal encontrados nas amostras que formaram o nanocompósito híbrido </w:t>
      </w:r>
      <w:r w:rsidR="004B3F71" w:rsidRPr="002874AB">
        <w:rPr>
          <w:rFonts w:ascii="Times New Roman" w:hAnsi="Times New Roman" w:cs="Times New Roman"/>
          <w:sz w:val="20"/>
          <w:szCs w:val="20"/>
          <w:lang w:eastAsia="pt-BR"/>
        </w:rPr>
        <w:t>est</w:t>
      </w:r>
      <w:r w:rsidR="002874AB" w:rsidRPr="002874AB">
        <w:rPr>
          <w:rFonts w:ascii="Times New Roman" w:hAnsi="Times New Roman" w:cs="Times New Roman"/>
          <w:sz w:val="20"/>
          <w:szCs w:val="20"/>
          <w:lang w:eastAsia="pt-BR"/>
        </w:rPr>
        <w:t>ão</w:t>
      </w:r>
      <w:r w:rsidR="004B3F71" w:rsidRPr="002874AB">
        <w:rPr>
          <w:rFonts w:ascii="Times New Roman" w:hAnsi="Times New Roman" w:cs="Times New Roman"/>
          <w:sz w:val="20"/>
          <w:szCs w:val="20"/>
          <w:lang w:eastAsia="pt-BR"/>
        </w:rPr>
        <w:t xml:space="preserve"> relacionado</w:t>
      </w:r>
      <w:r w:rsidR="002874AB" w:rsidRPr="002874AB">
        <w:rPr>
          <w:rFonts w:ascii="Times New Roman" w:hAnsi="Times New Roman" w:cs="Times New Roman"/>
          <w:sz w:val="20"/>
          <w:szCs w:val="20"/>
          <w:lang w:eastAsia="pt-BR"/>
        </w:rPr>
        <w:t>s</w:t>
      </w:r>
      <w:r w:rsidR="004B3F71" w:rsidRPr="002874AB">
        <w:rPr>
          <w:rFonts w:ascii="Times New Roman" w:hAnsi="Times New Roman" w:cs="Times New Roman"/>
          <w:sz w:val="20"/>
          <w:szCs w:val="20"/>
          <w:lang w:eastAsia="pt-BR"/>
        </w:rPr>
        <w:t xml:space="preserve"> com a </w:t>
      </w:r>
      <w:r w:rsidR="002874AB" w:rsidRPr="002874AB">
        <w:rPr>
          <w:rFonts w:ascii="Times New Roman" w:hAnsi="Times New Roman" w:cs="Times New Roman"/>
          <w:sz w:val="20"/>
          <w:szCs w:val="20"/>
          <w:lang w:eastAsia="pt-BR"/>
        </w:rPr>
        <w:t xml:space="preserve">interlamela formada pelo 2,4-D e </w:t>
      </w:r>
      <w:r w:rsidR="004B3F71" w:rsidRPr="002874AB">
        <w:rPr>
          <w:rFonts w:ascii="Times New Roman" w:hAnsi="Times New Roman" w:cs="Times New Roman"/>
          <w:sz w:val="20"/>
          <w:szCs w:val="20"/>
          <w:lang w:eastAsia="pt-BR"/>
        </w:rPr>
        <w:t>com</w:t>
      </w:r>
      <w:r w:rsidR="002874AB" w:rsidRPr="002874AB">
        <w:rPr>
          <w:rFonts w:ascii="Times New Roman" w:hAnsi="Times New Roman" w:cs="Times New Roman"/>
          <w:sz w:val="20"/>
          <w:szCs w:val="20"/>
          <w:lang w:eastAsia="pt-BR"/>
        </w:rPr>
        <w:t>o</w:t>
      </w:r>
      <w:r w:rsidR="004B3F71" w:rsidRPr="002874AB">
        <w:rPr>
          <w:rFonts w:ascii="Times New Roman" w:hAnsi="Times New Roman" w:cs="Times New Roman"/>
          <w:sz w:val="20"/>
          <w:szCs w:val="20"/>
          <w:lang w:eastAsia="pt-BR"/>
        </w:rPr>
        <w:t xml:space="preserve"> a concentração de 2,4</w:t>
      </w:r>
      <w:r w:rsidR="002874AB">
        <w:rPr>
          <w:rFonts w:ascii="Times New Roman" w:hAnsi="Times New Roman" w:cs="Times New Roman"/>
          <w:sz w:val="20"/>
          <w:szCs w:val="20"/>
          <w:lang w:eastAsia="pt-BR"/>
        </w:rPr>
        <w:t>-</w:t>
      </w:r>
      <w:r w:rsidR="004B3F71" w:rsidRPr="002874AB">
        <w:rPr>
          <w:rFonts w:ascii="Times New Roman" w:hAnsi="Times New Roman" w:cs="Times New Roman"/>
          <w:sz w:val="20"/>
          <w:szCs w:val="20"/>
          <w:lang w:eastAsia="pt-BR"/>
        </w:rPr>
        <w:t xml:space="preserve">D não variou nas sínteses, as diferentes concentrações das soluções dos metais de Zn-Al usadas nas sínteses </w:t>
      </w:r>
      <w:r w:rsidRPr="002874AB">
        <w:rPr>
          <w:rFonts w:ascii="Times New Roman" w:hAnsi="Times New Roman" w:cs="Times New Roman"/>
          <w:sz w:val="20"/>
          <w:szCs w:val="20"/>
          <w:lang w:eastAsia="pt-BR"/>
        </w:rPr>
        <w:t>influenc</w:t>
      </w:r>
      <w:r w:rsidR="00882A6D" w:rsidRPr="002874AB">
        <w:rPr>
          <w:rFonts w:ascii="Times New Roman" w:hAnsi="Times New Roman" w:cs="Times New Roman"/>
          <w:sz w:val="20"/>
          <w:szCs w:val="20"/>
          <w:lang w:eastAsia="pt-BR"/>
        </w:rPr>
        <w:t>iaram</w:t>
      </w:r>
      <w:r w:rsidRPr="002874AB">
        <w:rPr>
          <w:rFonts w:ascii="Times New Roman" w:hAnsi="Times New Roman" w:cs="Times New Roman"/>
          <w:sz w:val="20"/>
          <w:szCs w:val="20"/>
          <w:lang w:eastAsia="pt-BR"/>
        </w:rPr>
        <w:t xml:space="preserve"> na capacidade de se introduzir o 2,4-D na interlamela do HDL.</w:t>
      </w:r>
    </w:p>
    <w:p w14:paraId="5E225E17" w14:textId="77777777" w:rsidR="00882A6D" w:rsidRPr="00627FBA" w:rsidRDefault="00882A6D" w:rsidP="00FA2235">
      <w:pPr>
        <w:spacing w:after="0" w:line="240" w:lineRule="exact"/>
        <w:ind w:firstLine="18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</w:p>
    <w:p w14:paraId="60DF1A04" w14:textId="7E1E1792" w:rsidR="00636BCF" w:rsidRPr="00882A6D" w:rsidRDefault="00636BCF" w:rsidP="00636BCF">
      <w:pPr>
        <w:pStyle w:val="VDTableTitle"/>
        <w:spacing w:after="120"/>
        <w:jc w:val="both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>Tabela 1.</w:t>
      </w:r>
      <w:r w:rsidRPr="00E038AF">
        <w:rPr>
          <w:rFonts w:ascii="Times New Roman" w:hAnsi="Times New Roman"/>
          <w:lang w:val="pt-BR"/>
        </w:rPr>
        <w:t xml:space="preserve"> </w:t>
      </w:r>
      <w:r w:rsidR="00A91505">
        <w:rPr>
          <w:rFonts w:ascii="Times New Roman" w:hAnsi="Times New Roman"/>
          <w:lang w:val="pt-BR"/>
        </w:rPr>
        <w:t>Resultados das c</w:t>
      </w:r>
      <w:r w:rsidR="00CC08A9" w:rsidRPr="00882A6D">
        <w:rPr>
          <w:rFonts w:ascii="Times New Roman" w:hAnsi="Times New Roman"/>
          <w:lang w:val="pt-BR"/>
        </w:rPr>
        <w:t>aracterísticas estruturais</w:t>
      </w:r>
      <w:r w:rsidR="00A91505">
        <w:rPr>
          <w:rFonts w:ascii="Times New Roman" w:hAnsi="Times New Roman"/>
          <w:lang w:val="pt-BR"/>
        </w:rPr>
        <w:t>.</w:t>
      </w:r>
    </w:p>
    <w:tbl>
      <w:tblPr>
        <w:tblW w:w="4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709"/>
        <w:gridCol w:w="567"/>
        <w:gridCol w:w="567"/>
        <w:gridCol w:w="567"/>
        <w:gridCol w:w="1182"/>
      </w:tblGrid>
      <w:tr w:rsidR="00C10923" w:rsidRPr="00072C7A" w14:paraId="34597501" w14:textId="77777777" w:rsidTr="006B2D06">
        <w:trPr>
          <w:trHeight w:val="508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4D89C60C" w14:textId="77777777" w:rsidR="00C10923" w:rsidRPr="005E4B7E" w:rsidRDefault="00C10923" w:rsidP="00B333FD">
            <w:pPr>
              <w:pStyle w:val="TCTableBody"/>
              <w:spacing w:after="0" w:line="240" w:lineRule="auto"/>
              <w:jc w:val="center"/>
            </w:pPr>
            <w:r w:rsidRPr="005E4B7E">
              <w:t>Amostra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0F77C95" w14:textId="77777777" w:rsidR="00C10923" w:rsidRPr="005E4B7E" w:rsidRDefault="00C10923" w:rsidP="00B333FD">
            <w:pPr>
              <w:pStyle w:val="TCTableBody"/>
              <w:spacing w:after="0" w:line="240" w:lineRule="auto"/>
              <w:jc w:val="center"/>
            </w:pPr>
            <w:r w:rsidRPr="005E4B7E">
              <w:t>d</w:t>
            </w:r>
            <w:r w:rsidRPr="005E4B7E">
              <w:rPr>
                <w:vertAlign w:val="subscript"/>
              </w:rPr>
              <w:t>003</w:t>
            </w:r>
          </w:p>
          <w:p w14:paraId="617348E1" w14:textId="03FD58B7" w:rsidR="00C10923" w:rsidRPr="005E4B7E" w:rsidRDefault="00C10923" w:rsidP="00B333FD">
            <w:pPr>
              <w:pStyle w:val="TCTableBody"/>
              <w:spacing w:after="0" w:line="240" w:lineRule="auto"/>
              <w:jc w:val="center"/>
            </w:pPr>
            <w:r w:rsidRPr="005E4B7E">
              <w:t>(</w:t>
            </w:r>
            <w:r w:rsidR="001E0842">
              <w:rPr>
                <w:rFonts w:cstheme="minorHAnsi"/>
              </w:rPr>
              <w:t>Å</w:t>
            </w:r>
            <w:r w:rsidRPr="005E4B7E">
              <w:t>)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BE33894" w14:textId="4C6AAA38" w:rsidR="00C10923" w:rsidRPr="005E4B7E" w:rsidRDefault="00C10923" w:rsidP="006B2D06">
            <w:pPr>
              <w:pStyle w:val="TCTableBody"/>
              <w:spacing w:after="0" w:line="240" w:lineRule="auto"/>
              <w:jc w:val="center"/>
            </w:pPr>
            <w:r w:rsidRPr="005E4B7E">
              <w:t>Parâmetro de rede</w:t>
            </w:r>
            <w:r w:rsidR="006B2D06">
              <w:t xml:space="preserve"> </w:t>
            </w:r>
            <w:r w:rsidRPr="005E4B7E">
              <w:t>(A)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14:paraId="16FE4994" w14:textId="31DC7DAC" w:rsidR="00C10923" w:rsidRPr="005E4B7E" w:rsidRDefault="00C10923" w:rsidP="00B333FD">
            <w:pPr>
              <w:pStyle w:val="TCTableBody"/>
              <w:spacing w:after="0" w:line="240" w:lineRule="auto"/>
              <w:jc w:val="center"/>
            </w:pPr>
            <w:r w:rsidRPr="005E4B7E">
              <w:t>Tamanho cristalito (nm)</w:t>
            </w:r>
          </w:p>
        </w:tc>
      </w:tr>
      <w:tr w:rsidR="00C10923" w:rsidRPr="00072C7A" w14:paraId="28553E63" w14:textId="77777777" w:rsidTr="006B2D06">
        <w:trPr>
          <w:trHeight w:val="275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66EA70B7" w14:textId="77777777" w:rsidR="00C10923" w:rsidRPr="005E4B7E" w:rsidRDefault="00C10923" w:rsidP="00B333FD">
            <w:pPr>
              <w:pStyle w:val="TCTableBody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5F97502" w14:textId="77777777" w:rsidR="00C10923" w:rsidRPr="005E4B7E" w:rsidRDefault="00C10923" w:rsidP="00B333FD">
            <w:pPr>
              <w:pStyle w:val="TCTableBody"/>
              <w:spacing w:after="0" w:line="240" w:lineRule="auto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0AA0F8" w14:textId="77777777" w:rsidR="00C10923" w:rsidRPr="005E4B7E" w:rsidRDefault="00C10923" w:rsidP="00B333FD">
            <w:pPr>
              <w:pStyle w:val="TCTableBody"/>
              <w:spacing w:after="0" w:line="240" w:lineRule="auto"/>
              <w:jc w:val="center"/>
            </w:pPr>
            <w:r w:rsidRPr="005E4B7E">
              <w:t>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CE42BB" w14:textId="77777777" w:rsidR="00C10923" w:rsidRPr="005E4B7E" w:rsidRDefault="00C10923" w:rsidP="00B333FD">
            <w:pPr>
              <w:pStyle w:val="TCTableBody"/>
              <w:spacing w:after="0" w:line="240" w:lineRule="auto"/>
              <w:jc w:val="center"/>
            </w:pPr>
            <w:r w:rsidRPr="005E4B7E">
              <w:t>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E2C47F" w14:textId="77777777" w:rsidR="00C10923" w:rsidRPr="005E4B7E" w:rsidRDefault="00C10923" w:rsidP="00B333FD">
            <w:pPr>
              <w:pStyle w:val="TCTableBody"/>
              <w:spacing w:after="0" w:line="240" w:lineRule="auto"/>
              <w:jc w:val="center"/>
            </w:pPr>
            <w:r w:rsidRPr="005E4B7E">
              <w:t>c</w:t>
            </w:r>
          </w:p>
        </w:tc>
        <w:tc>
          <w:tcPr>
            <w:tcW w:w="1182" w:type="dxa"/>
            <w:vMerge/>
            <w:shd w:val="clear" w:color="auto" w:fill="auto"/>
            <w:vAlign w:val="center"/>
          </w:tcPr>
          <w:p w14:paraId="1598F755" w14:textId="77777777" w:rsidR="00C10923" w:rsidRPr="005E4B7E" w:rsidRDefault="00C10923" w:rsidP="00B333FD">
            <w:pPr>
              <w:pStyle w:val="TCTableBody"/>
              <w:spacing w:after="0" w:line="240" w:lineRule="auto"/>
              <w:jc w:val="center"/>
            </w:pPr>
          </w:p>
        </w:tc>
      </w:tr>
      <w:tr w:rsidR="006B2D06" w:rsidRPr="00072C7A" w14:paraId="411DC60C" w14:textId="77777777" w:rsidTr="006B2D06">
        <w:trPr>
          <w:trHeight w:val="265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94732E1" w14:textId="77777777" w:rsidR="00CC08A9" w:rsidRPr="005E4B7E" w:rsidRDefault="00CC08A9" w:rsidP="00B333FD">
            <w:pPr>
              <w:pStyle w:val="TCTableBody"/>
              <w:spacing w:after="0" w:line="240" w:lineRule="auto"/>
              <w:jc w:val="center"/>
            </w:pPr>
            <w:r w:rsidRPr="005E4B7E">
              <w:t>2,4D/HDL-A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C400DF" w14:textId="77777777" w:rsidR="00CC08A9" w:rsidRPr="005E4B7E" w:rsidRDefault="00CC08A9" w:rsidP="00B333FD">
            <w:pPr>
              <w:pStyle w:val="TCTableBody"/>
              <w:spacing w:after="0" w:line="240" w:lineRule="auto"/>
              <w:jc w:val="center"/>
            </w:pPr>
            <w:r w:rsidRPr="005E4B7E">
              <w:t>19,22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620E4E" w14:textId="77777777" w:rsidR="00CC08A9" w:rsidRPr="005E4B7E" w:rsidRDefault="00CC08A9" w:rsidP="00B333FD">
            <w:pPr>
              <w:pStyle w:val="TCTableBody"/>
              <w:spacing w:after="0" w:line="240" w:lineRule="auto"/>
              <w:jc w:val="center"/>
            </w:pPr>
            <w:r w:rsidRPr="005E4B7E">
              <w:t>3,05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CB8F04" w14:textId="77777777" w:rsidR="00CC08A9" w:rsidRPr="005E4B7E" w:rsidRDefault="00CC08A9" w:rsidP="00B333FD">
            <w:pPr>
              <w:pStyle w:val="TCTableBody"/>
              <w:spacing w:after="0" w:line="240" w:lineRule="auto"/>
              <w:jc w:val="center"/>
            </w:pPr>
            <w:r w:rsidRPr="005E4B7E">
              <w:t>3,05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3A6DA3" w14:textId="77777777" w:rsidR="00CC08A9" w:rsidRPr="005E4B7E" w:rsidRDefault="00CC08A9" w:rsidP="00B333FD">
            <w:pPr>
              <w:pStyle w:val="TCTableBody"/>
              <w:spacing w:after="0" w:line="240" w:lineRule="auto"/>
              <w:jc w:val="center"/>
            </w:pPr>
            <w:r w:rsidRPr="005E4B7E">
              <w:t>57,67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7C8CD03E" w14:textId="77777777" w:rsidR="00CC08A9" w:rsidRPr="005E4B7E" w:rsidRDefault="00CC08A9" w:rsidP="00B333FD">
            <w:pPr>
              <w:pStyle w:val="TCTableBody"/>
              <w:spacing w:after="0" w:line="240" w:lineRule="auto"/>
              <w:jc w:val="center"/>
            </w:pPr>
            <w:r w:rsidRPr="005E4B7E">
              <w:t>15,8</w:t>
            </w:r>
          </w:p>
        </w:tc>
      </w:tr>
      <w:tr w:rsidR="006B2D06" w:rsidRPr="00072C7A" w14:paraId="351FB0E1" w14:textId="77777777" w:rsidTr="006B2D06">
        <w:trPr>
          <w:trHeight w:val="265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E438703" w14:textId="77777777" w:rsidR="00CC08A9" w:rsidRPr="005E4B7E" w:rsidRDefault="00CC08A9" w:rsidP="00B333FD">
            <w:pPr>
              <w:pStyle w:val="TCTableBody"/>
              <w:spacing w:after="0" w:line="240" w:lineRule="auto"/>
              <w:jc w:val="center"/>
            </w:pPr>
            <w:r w:rsidRPr="005E4B7E">
              <w:t>2,4D/HDL-B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D8D4FC" w14:textId="77777777" w:rsidR="00CC08A9" w:rsidRPr="005E4B7E" w:rsidRDefault="00CC08A9" w:rsidP="00B333FD">
            <w:pPr>
              <w:pStyle w:val="TCTableBody"/>
              <w:spacing w:after="0" w:line="240" w:lineRule="auto"/>
              <w:jc w:val="center"/>
            </w:pPr>
            <w:r w:rsidRPr="005E4B7E">
              <w:t>19,17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6FA042" w14:textId="77777777" w:rsidR="00CC08A9" w:rsidRPr="005E4B7E" w:rsidRDefault="00CC08A9" w:rsidP="00B333FD">
            <w:pPr>
              <w:pStyle w:val="TCTableBody"/>
              <w:spacing w:after="0" w:line="240" w:lineRule="auto"/>
              <w:jc w:val="center"/>
            </w:pPr>
            <w:r w:rsidRPr="005E4B7E">
              <w:t>3,05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640694" w14:textId="77777777" w:rsidR="00CC08A9" w:rsidRPr="005E4B7E" w:rsidRDefault="00CC08A9" w:rsidP="00B333FD">
            <w:pPr>
              <w:pStyle w:val="TCTableBody"/>
              <w:spacing w:after="0" w:line="240" w:lineRule="auto"/>
              <w:jc w:val="center"/>
            </w:pPr>
            <w:r w:rsidRPr="005E4B7E">
              <w:t>3,05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5D2652" w14:textId="77777777" w:rsidR="00CC08A9" w:rsidRPr="005E4B7E" w:rsidRDefault="00CC08A9" w:rsidP="00B333FD">
            <w:pPr>
              <w:pStyle w:val="TCTableBody"/>
              <w:spacing w:after="0" w:line="240" w:lineRule="auto"/>
              <w:jc w:val="center"/>
            </w:pPr>
            <w:r w:rsidRPr="005E4B7E">
              <w:t>57,50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3093E75D" w14:textId="77777777" w:rsidR="00CC08A9" w:rsidRPr="005E4B7E" w:rsidRDefault="00CC08A9" w:rsidP="00B333FD">
            <w:pPr>
              <w:pStyle w:val="TCTableBody"/>
              <w:spacing w:after="0" w:line="240" w:lineRule="auto"/>
              <w:jc w:val="center"/>
            </w:pPr>
            <w:r w:rsidRPr="005E4B7E">
              <w:t>15,0</w:t>
            </w:r>
          </w:p>
        </w:tc>
      </w:tr>
      <w:tr w:rsidR="006B2D06" w:rsidRPr="00072C7A" w14:paraId="4BD056C5" w14:textId="77777777" w:rsidTr="006B2D06">
        <w:trPr>
          <w:trHeight w:val="265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BD17644" w14:textId="77777777" w:rsidR="00CC08A9" w:rsidRPr="005E4B7E" w:rsidRDefault="00CC08A9" w:rsidP="00B333FD">
            <w:pPr>
              <w:pStyle w:val="TCTableBody"/>
              <w:spacing w:after="0" w:line="240" w:lineRule="auto"/>
              <w:jc w:val="center"/>
            </w:pPr>
            <w:r w:rsidRPr="005E4B7E">
              <w:t>2,4D/HDL-C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7914DF" w14:textId="77777777" w:rsidR="00CC08A9" w:rsidRPr="005E4B7E" w:rsidRDefault="00CC08A9" w:rsidP="00B333FD">
            <w:pPr>
              <w:pStyle w:val="TCTableBody"/>
              <w:spacing w:after="0" w:line="240" w:lineRule="auto"/>
              <w:jc w:val="center"/>
            </w:pPr>
            <w:r w:rsidRPr="005E4B7E">
              <w:t>20,64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229BCF" w14:textId="77777777" w:rsidR="00CC08A9" w:rsidRPr="005E4B7E" w:rsidRDefault="00CC08A9" w:rsidP="00B333FD">
            <w:pPr>
              <w:pStyle w:val="TCTableBody"/>
              <w:spacing w:after="0" w:line="240" w:lineRule="auto"/>
              <w:jc w:val="center"/>
            </w:pPr>
            <w:r w:rsidRPr="005E4B7E">
              <w:t>3,06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C02425" w14:textId="77777777" w:rsidR="00CC08A9" w:rsidRPr="005E4B7E" w:rsidRDefault="00CC08A9" w:rsidP="00B333FD">
            <w:pPr>
              <w:pStyle w:val="TCTableBody"/>
              <w:spacing w:after="0" w:line="240" w:lineRule="auto"/>
              <w:jc w:val="center"/>
            </w:pPr>
            <w:r w:rsidRPr="005E4B7E">
              <w:t>3,06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379860" w14:textId="77777777" w:rsidR="00CC08A9" w:rsidRPr="005E4B7E" w:rsidRDefault="00CC08A9" w:rsidP="00B333FD">
            <w:pPr>
              <w:pStyle w:val="TCTableBody"/>
              <w:spacing w:after="0" w:line="240" w:lineRule="auto"/>
              <w:jc w:val="center"/>
            </w:pPr>
            <w:r w:rsidRPr="005E4B7E">
              <w:t>61,96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00DD7B50" w14:textId="77777777" w:rsidR="00CC08A9" w:rsidRPr="005E4B7E" w:rsidRDefault="00CC08A9" w:rsidP="00B333FD">
            <w:pPr>
              <w:pStyle w:val="TCTableBody"/>
              <w:spacing w:after="0" w:line="240" w:lineRule="auto"/>
              <w:jc w:val="center"/>
            </w:pPr>
            <w:r w:rsidRPr="005E4B7E">
              <w:t>8,4</w:t>
            </w:r>
          </w:p>
        </w:tc>
      </w:tr>
      <w:tr w:rsidR="006B2D06" w:rsidRPr="00072C7A" w14:paraId="4F353A8F" w14:textId="77777777" w:rsidTr="006B2D06">
        <w:trPr>
          <w:trHeight w:val="291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29DB1F1" w14:textId="77777777" w:rsidR="00CC08A9" w:rsidRPr="005E4B7E" w:rsidRDefault="00CC08A9" w:rsidP="00B333FD">
            <w:pPr>
              <w:pStyle w:val="TCTableBody"/>
              <w:spacing w:after="0" w:line="240" w:lineRule="auto"/>
              <w:jc w:val="center"/>
            </w:pPr>
            <w:r w:rsidRPr="005E4B7E">
              <w:t>HDL puro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B5AF76" w14:textId="77777777" w:rsidR="00CC08A9" w:rsidRPr="005E4B7E" w:rsidRDefault="00CC08A9" w:rsidP="00B333FD">
            <w:pPr>
              <w:pStyle w:val="TCTableBody"/>
              <w:spacing w:after="0" w:line="240" w:lineRule="auto"/>
              <w:jc w:val="center"/>
            </w:pPr>
            <w:r w:rsidRPr="005E4B7E">
              <w:t>7,76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191ABB" w14:textId="77777777" w:rsidR="00CC08A9" w:rsidRPr="005E4B7E" w:rsidRDefault="00CC08A9" w:rsidP="00B333FD">
            <w:pPr>
              <w:pStyle w:val="TCTableBody"/>
              <w:spacing w:after="0" w:line="240" w:lineRule="auto"/>
              <w:jc w:val="center"/>
            </w:pPr>
            <w:r w:rsidRPr="005E4B7E">
              <w:t>3,08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23621C" w14:textId="77777777" w:rsidR="00CC08A9" w:rsidRPr="005E4B7E" w:rsidRDefault="00CC08A9" w:rsidP="00B333FD">
            <w:pPr>
              <w:pStyle w:val="TCTableBody"/>
              <w:spacing w:after="0" w:line="240" w:lineRule="auto"/>
              <w:jc w:val="center"/>
            </w:pPr>
            <w:r w:rsidRPr="005E4B7E">
              <w:t>3,08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778E7C" w14:textId="77777777" w:rsidR="00CC08A9" w:rsidRPr="005E4B7E" w:rsidRDefault="00CC08A9" w:rsidP="00B333FD">
            <w:pPr>
              <w:pStyle w:val="TCTableBody"/>
              <w:spacing w:after="0" w:line="240" w:lineRule="auto"/>
              <w:jc w:val="center"/>
            </w:pPr>
            <w:r w:rsidRPr="005E4B7E">
              <w:t>23,27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46A1FB5F" w14:textId="77777777" w:rsidR="00CC08A9" w:rsidRPr="005E4B7E" w:rsidRDefault="00CC08A9" w:rsidP="00B333FD">
            <w:pPr>
              <w:pStyle w:val="TCTableBody"/>
              <w:spacing w:after="0" w:line="240" w:lineRule="auto"/>
              <w:jc w:val="center"/>
            </w:pPr>
            <w:r w:rsidRPr="005E4B7E">
              <w:t>20,6</w:t>
            </w:r>
          </w:p>
        </w:tc>
      </w:tr>
    </w:tbl>
    <w:p w14:paraId="131A6FB1" w14:textId="77777777" w:rsidR="00C10923" w:rsidRDefault="00C10923" w:rsidP="00FA2235">
      <w:pPr>
        <w:spacing w:after="0" w:line="240" w:lineRule="exact"/>
        <w:ind w:firstLine="18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</w:p>
    <w:p w14:paraId="7F8036D7" w14:textId="58D00EAD" w:rsidR="009E7DB7" w:rsidRDefault="00BD3C30" w:rsidP="00BD3123">
      <w:pPr>
        <w:spacing w:after="0" w:line="240" w:lineRule="exact"/>
        <w:ind w:firstLine="18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>
        <w:rPr>
          <w:rFonts w:ascii="Times New Roman" w:hAnsi="Times New Roman" w:cs="Times New Roman"/>
          <w:sz w:val="20"/>
          <w:szCs w:val="20"/>
          <w:lang w:eastAsia="pt-BR"/>
        </w:rPr>
        <w:t>Na F</w:t>
      </w:r>
      <w:r w:rsidR="00DB75DA">
        <w:rPr>
          <w:rFonts w:ascii="Times New Roman" w:hAnsi="Times New Roman" w:cs="Times New Roman"/>
          <w:sz w:val="20"/>
          <w:szCs w:val="20"/>
          <w:lang w:eastAsia="pt-BR"/>
        </w:rPr>
        <w:t xml:space="preserve">igura </w:t>
      </w:r>
      <w:r w:rsidR="009E7DB7">
        <w:rPr>
          <w:rFonts w:ascii="Times New Roman" w:hAnsi="Times New Roman" w:cs="Times New Roman"/>
          <w:sz w:val="20"/>
          <w:szCs w:val="20"/>
          <w:lang w:eastAsia="pt-BR"/>
        </w:rPr>
        <w:t>2</w:t>
      </w:r>
      <w:r w:rsidR="00DB75DA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são </w:t>
      </w:r>
      <w:r w:rsidR="001276ED">
        <w:rPr>
          <w:rFonts w:ascii="Times New Roman" w:hAnsi="Times New Roman" w:cs="Times New Roman"/>
          <w:sz w:val="20"/>
          <w:szCs w:val="20"/>
          <w:lang w:eastAsia="pt-BR"/>
        </w:rPr>
        <w:t>apresenta</w:t>
      </w:r>
      <w:r>
        <w:rPr>
          <w:rFonts w:ascii="Times New Roman" w:hAnsi="Times New Roman" w:cs="Times New Roman"/>
          <w:sz w:val="20"/>
          <w:szCs w:val="20"/>
          <w:lang w:eastAsia="pt-BR"/>
        </w:rPr>
        <w:t>dos</w:t>
      </w:r>
      <w:r w:rsidR="00AF726A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DB75DA">
        <w:rPr>
          <w:rFonts w:ascii="Times New Roman" w:hAnsi="Times New Roman" w:cs="Times New Roman"/>
          <w:sz w:val="20"/>
          <w:szCs w:val="20"/>
          <w:lang w:eastAsia="pt-BR"/>
        </w:rPr>
        <w:t>o</w:t>
      </w:r>
      <w:r w:rsidR="001276ED">
        <w:rPr>
          <w:rFonts w:ascii="Times New Roman" w:hAnsi="Times New Roman" w:cs="Times New Roman"/>
          <w:sz w:val="20"/>
          <w:szCs w:val="20"/>
          <w:lang w:eastAsia="pt-BR"/>
        </w:rPr>
        <w:t>s</w:t>
      </w:r>
      <w:r w:rsidR="00DB75DA">
        <w:rPr>
          <w:rFonts w:ascii="Times New Roman" w:hAnsi="Times New Roman" w:cs="Times New Roman"/>
          <w:sz w:val="20"/>
          <w:szCs w:val="20"/>
          <w:lang w:eastAsia="pt-BR"/>
        </w:rPr>
        <w:t xml:space="preserve"> espectro</w:t>
      </w:r>
      <w:r w:rsidR="001276ED">
        <w:rPr>
          <w:rFonts w:ascii="Times New Roman" w:hAnsi="Times New Roman" w:cs="Times New Roman"/>
          <w:sz w:val="20"/>
          <w:szCs w:val="20"/>
          <w:lang w:eastAsia="pt-BR"/>
        </w:rPr>
        <w:t>s</w:t>
      </w:r>
      <w:r w:rsidR="00B2219F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na região de </w:t>
      </w:r>
      <w:r w:rsidR="00B2219F">
        <w:rPr>
          <w:rFonts w:ascii="Times New Roman" w:hAnsi="Times New Roman" w:cs="Times New Roman"/>
          <w:sz w:val="20"/>
          <w:szCs w:val="20"/>
          <w:lang w:eastAsia="pt-BR"/>
        </w:rPr>
        <w:t>infravermelho</w:t>
      </w:r>
      <w:r w:rsidR="00DB75DA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1276ED"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="00DB75DA">
        <w:rPr>
          <w:rFonts w:ascii="Times New Roman" w:hAnsi="Times New Roman" w:cs="Times New Roman"/>
          <w:sz w:val="20"/>
          <w:szCs w:val="20"/>
          <w:lang w:eastAsia="pt-BR"/>
        </w:rPr>
        <w:t xml:space="preserve">as </w:t>
      </w:r>
      <w:r w:rsidR="00DB75DA" w:rsidRPr="00D7403D">
        <w:rPr>
          <w:rFonts w:ascii="Times New Roman" w:hAnsi="Times New Roman" w:cs="Times New Roman"/>
          <w:sz w:val="20"/>
          <w:szCs w:val="20"/>
          <w:lang w:eastAsia="pt-BR"/>
        </w:rPr>
        <w:t xml:space="preserve">amostras </w:t>
      </w:r>
      <w:r w:rsidR="001276ED">
        <w:rPr>
          <w:rFonts w:ascii="Times New Roman" w:hAnsi="Times New Roman" w:cs="Times New Roman"/>
          <w:sz w:val="20"/>
          <w:szCs w:val="20"/>
          <w:lang w:eastAsia="pt-BR"/>
        </w:rPr>
        <w:t>e do HDL puro</w:t>
      </w:r>
      <w:r w:rsidR="00DB75DA">
        <w:rPr>
          <w:rFonts w:ascii="Times New Roman" w:hAnsi="Times New Roman" w:cs="Times New Roman"/>
          <w:sz w:val="20"/>
          <w:szCs w:val="20"/>
          <w:lang w:eastAsia="pt-BR"/>
        </w:rPr>
        <w:t>.</w:t>
      </w:r>
      <w:r w:rsidR="00DB75DA" w:rsidRPr="00D7403D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DB75DA">
        <w:rPr>
          <w:rFonts w:ascii="Times New Roman" w:hAnsi="Times New Roman" w:cs="Times New Roman"/>
          <w:sz w:val="20"/>
          <w:szCs w:val="20"/>
          <w:lang w:eastAsia="pt-BR"/>
        </w:rPr>
        <w:t xml:space="preserve">O HDL puro apresentou </w:t>
      </w:r>
      <w:r w:rsidR="00D7403D" w:rsidRPr="00D7403D">
        <w:rPr>
          <w:rFonts w:ascii="Times New Roman" w:hAnsi="Times New Roman" w:cs="Times New Roman"/>
          <w:sz w:val="20"/>
          <w:szCs w:val="20"/>
          <w:lang w:eastAsia="pt-BR"/>
        </w:rPr>
        <w:t>uma banda característica em torno de 3500 cm</w:t>
      </w:r>
      <w:r w:rsidR="00D7403D" w:rsidRPr="00DB75DA">
        <w:rPr>
          <w:rFonts w:ascii="Times New Roman" w:hAnsi="Times New Roman" w:cs="Times New Roman"/>
          <w:sz w:val="20"/>
          <w:szCs w:val="20"/>
          <w:vertAlign w:val="superscript"/>
          <w:lang w:eastAsia="pt-BR"/>
        </w:rPr>
        <w:t>-1</w:t>
      </w:r>
      <w:r w:rsidR="00D7403D" w:rsidRPr="00D7403D">
        <w:rPr>
          <w:rFonts w:ascii="Times New Roman" w:hAnsi="Times New Roman" w:cs="Times New Roman"/>
          <w:sz w:val="20"/>
          <w:szCs w:val="20"/>
          <w:lang w:eastAsia="pt-BR"/>
        </w:rPr>
        <w:t xml:space="preserve"> atribuída às vi</w:t>
      </w:r>
      <w:r w:rsidR="00DB75DA">
        <w:rPr>
          <w:rFonts w:ascii="Times New Roman" w:hAnsi="Times New Roman" w:cs="Times New Roman"/>
          <w:sz w:val="20"/>
          <w:szCs w:val="20"/>
          <w:lang w:eastAsia="pt-BR"/>
        </w:rPr>
        <w:t>b</w:t>
      </w:r>
      <w:r w:rsidR="00D7403D" w:rsidRPr="00D7403D">
        <w:rPr>
          <w:rFonts w:ascii="Times New Roman" w:hAnsi="Times New Roman" w:cs="Times New Roman"/>
          <w:sz w:val="20"/>
          <w:szCs w:val="20"/>
          <w:lang w:eastAsia="pt-BR"/>
        </w:rPr>
        <w:t>rações de estiramento da ligação O-H em moléculas de água ou grupos hidroxila (OH</w:t>
      </w:r>
      <w:r w:rsidR="00D7403D" w:rsidRPr="00DB75DA">
        <w:rPr>
          <w:rFonts w:ascii="Times New Roman" w:hAnsi="Times New Roman" w:cs="Times New Roman"/>
          <w:sz w:val="20"/>
          <w:szCs w:val="20"/>
          <w:vertAlign w:val="superscript"/>
          <w:lang w:eastAsia="pt-BR"/>
        </w:rPr>
        <w:t>-</w:t>
      </w:r>
      <w:r w:rsidR="00D7403D" w:rsidRPr="00D7403D">
        <w:rPr>
          <w:rFonts w:ascii="Times New Roman" w:hAnsi="Times New Roman" w:cs="Times New Roman"/>
          <w:sz w:val="20"/>
          <w:szCs w:val="20"/>
          <w:lang w:eastAsia="pt-BR"/>
        </w:rPr>
        <w:t>)</w:t>
      </w:r>
      <w:r w:rsidR="006E6E6E">
        <w:rPr>
          <w:rFonts w:ascii="Times New Roman" w:hAnsi="Times New Roman" w:cs="Times New Roman"/>
          <w:sz w:val="20"/>
          <w:szCs w:val="20"/>
          <w:lang w:eastAsia="pt-BR"/>
        </w:rPr>
        <w:t xml:space="preserve"> (11)</w:t>
      </w:r>
      <w:r w:rsidR="00EA719E">
        <w:rPr>
          <w:rFonts w:ascii="Times New Roman" w:hAnsi="Times New Roman" w:cs="Times New Roman"/>
          <w:sz w:val="20"/>
          <w:szCs w:val="20"/>
          <w:lang w:eastAsia="pt-BR"/>
        </w:rPr>
        <w:t xml:space="preserve">. </w:t>
      </w:r>
      <w:r w:rsidR="00D7403D" w:rsidRPr="00D7403D">
        <w:rPr>
          <w:rFonts w:ascii="Times New Roman" w:hAnsi="Times New Roman" w:cs="Times New Roman"/>
          <w:sz w:val="20"/>
          <w:szCs w:val="20"/>
          <w:lang w:eastAsia="pt-BR"/>
        </w:rPr>
        <w:t>A banda característica próxima a 1400 cm</w:t>
      </w:r>
      <w:r w:rsidR="00D7403D" w:rsidRPr="00DB75DA">
        <w:rPr>
          <w:rFonts w:ascii="Times New Roman" w:hAnsi="Times New Roman" w:cs="Times New Roman"/>
          <w:sz w:val="20"/>
          <w:szCs w:val="20"/>
          <w:vertAlign w:val="superscript"/>
          <w:lang w:eastAsia="pt-BR"/>
        </w:rPr>
        <w:t>-1</w:t>
      </w:r>
      <w:r w:rsidR="00D7403D" w:rsidRPr="00D7403D">
        <w:rPr>
          <w:rFonts w:ascii="Times New Roman" w:hAnsi="Times New Roman" w:cs="Times New Roman"/>
          <w:sz w:val="20"/>
          <w:szCs w:val="20"/>
          <w:lang w:eastAsia="pt-BR"/>
        </w:rPr>
        <w:t xml:space="preserve"> corresponde</w:t>
      </w:r>
      <w:r w:rsidR="00D7403D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D7403D" w:rsidRPr="00D7403D">
        <w:rPr>
          <w:rFonts w:ascii="Times New Roman" w:hAnsi="Times New Roman" w:cs="Times New Roman"/>
          <w:sz w:val="20"/>
          <w:szCs w:val="20"/>
          <w:lang w:eastAsia="pt-BR"/>
        </w:rPr>
        <w:t>ao modo de deformação da água interlamelar, as bandas intensas observadas entre 800 cm</w:t>
      </w:r>
      <w:r w:rsidR="00D7403D" w:rsidRPr="00DB75DA">
        <w:rPr>
          <w:rFonts w:ascii="Times New Roman" w:hAnsi="Times New Roman" w:cs="Times New Roman"/>
          <w:sz w:val="20"/>
          <w:szCs w:val="20"/>
          <w:vertAlign w:val="superscript"/>
          <w:lang w:eastAsia="pt-BR"/>
        </w:rPr>
        <w:t>-1</w:t>
      </w:r>
      <w:r w:rsidR="00D7403D" w:rsidRPr="00D7403D">
        <w:rPr>
          <w:rFonts w:ascii="Times New Roman" w:hAnsi="Times New Roman" w:cs="Times New Roman"/>
          <w:sz w:val="20"/>
          <w:szCs w:val="20"/>
          <w:lang w:eastAsia="pt-BR"/>
        </w:rPr>
        <w:t xml:space="preserve"> e 400 cm</w:t>
      </w:r>
      <w:r w:rsidR="00D7403D" w:rsidRPr="00DB75DA">
        <w:rPr>
          <w:rFonts w:ascii="Times New Roman" w:hAnsi="Times New Roman" w:cs="Times New Roman"/>
          <w:sz w:val="20"/>
          <w:szCs w:val="20"/>
          <w:vertAlign w:val="superscript"/>
          <w:lang w:eastAsia="pt-BR"/>
        </w:rPr>
        <w:t>-1</w:t>
      </w:r>
      <w:r w:rsidR="00D7403D" w:rsidRPr="00D7403D">
        <w:rPr>
          <w:rFonts w:ascii="Times New Roman" w:hAnsi="Times New Roman" w:cs="Times New Roman"/>
          <w:sz w:val="20"/>
          <w:szCs w:val="20"/>
          <w:lang w:eastAsia="pt-BR"/>
        </w:rPr>
        <w:t xml:space="preserve"> estão relacionadas </w:t>
      </w:r>
      <w:r w:rsidR="00DB75DA">
        <w:rPr>
          <w:rFonts w:ascii="Times New Roman" w:hAnsi="Times New Roman" w:cs="Times New Roman"/>
          <w:sz w:val="20"/>
          <w:szCs w:val="20"/>
          <w:lang w:eastAsia="pt-BR"/>
        </w:rPr>
        <w:t>às</w:t>
      </w:r>
      <w:r w:rsidR="00D7403D" w:rsidRPr="00D7403D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D7403D" w:rsidRPr="00D7403D">
        <w:rPr>
          <w:rFonts w:ascii="Times New Roman" w:hAnsi="Times New Roman" w:cs="Times New Roman"/>
          <w:sz w:val="20"/>
          <w:szCs w:val="20"/>
          <w:lang w:eastAsia="pt-BR"/>
        </w:rPr>
        <w:t>vibraç</w:t>
      </w:r>
      <w:r w:rsidR="00DB75DA">
        <w:rPr>
          <w:rFonts w:ascii="Times New Roman" w:hAnsi="Times New Roman" w:cs="Times New Roman"/>
          <w:sz w:val="20"/>
          <w:szCs w:val="20"/>
          <w:lang w:eastAsia="pt-BR"/>
        </w:rPr>
        <w:t>ões</w:t>
      </w:r>
      <w:r w:rsidR="00D7403D" w:rsidRPr="00D7403D">
        <w:rPr>
          <w:rFonts w:ascii="Times New Roman" w:hAnsi="Times New Roman" w:cs="Times New Roman"/>
          <w:sz w:val="20"/>
          <w:szCs w:val="20"/>
          <w:lang w:eastAsia="pt-BR"/>
        </w:rPr>
        <w:t xml:space="preserve"> de estiramento da ligação metal-oxigênio (</w:t>
      </w:r>
      <w:proofErr w:type="spellStart"/>
      <w:r w:rsidR="00D7403D" w:rsidRPr="00D7403D">
        <w:rPr>
          <w:rFonts w:ascii="Times New Roman" w:hAnsi="Times New Roman" w:cs="Times New Roman"/>
          <w:sz w:val="20"/>
          <w:szCs w:val="20"/>
          <w:lang w:eastAsia="pt-BR"/>
        </w:rPr>
        <w:t>Zn-O</w:t>
      </w:r>
      <w:proofErr w:type="spellEnd"/>
      <w:r w:rsidR="00D7403D" w:rsidRPr="00D7403D">
        <w:rPr>
          <w:rFonts w:ascii="Times New Roman" w:hAnsi="Times New Roman" w:cs="Times New Roman"/>
          <w:sz w:val="20"/>
          <w:szCs w:val="20"/>
          <w:lang w:eastAsia="pt-BR"/>
        </w:rPr>
        <w:t xml:space="preserve"> e </w:t>
      </w:r>
      <w:proofErr w:type="spellStart"/>
      <w:r w:rsidR="00D7403D" w:rsidRPr="00D7403D">
        <w:rPr>
          <w:rFonts w:ascii="Times New Roman" w:hAnsi="Times New Roman" w:cs="Times New Roman"/>
          <w:sz w:val="20"/>
          <w:szCs w:val="20"/>
          <w:lang w:eastAsia="pt-BR"/>
        </w:rPr>
        <w:t>Al-O</w:t>
      </w:r>
      <w:proofErr w:type="spellEnd"/>
      <w:r w:rsidR="00D7403D" w:rsidRPr="00D7403D">
        <w:rPr>
          <w:rFonts w:ascii="Times New Roman" w:hAnsi="Times New Roman" w:cs="Times New Roman"/>
          <w:sz w:val="20"/>
          <w:szCs w:val="20"/>
          <w:lang w:eastAsia="pt-BR"/>
        </w:rPr>
        <w:t>) presentes na estrutura do HDL</w:t>
      </w:r>
      <w:r w:rsidR="006E6E6E">
        <w:rPr>
          <w:rFonts w:ascii="Times New Roman" w:hAnsi="Times New Roman" w:cs="Times New Roman"/>
          <w:sz w:val="20"/>
          <w:szCs w:val="20"/>
          <w:lang w:eastAsia="pt-BR"/>
        </w:rPr>
        <w:t xml:space="preserve"> (12-13)</w:t>
      </w:r>
      <w:r w:rsidR="00C1753A">
        <w:rPr>
          <w:rFonts w:ascii="Times New Roman" w:hAnsi="Times New Roman" w:cs="Times New Roman"/>
          <w:sz w:val="20"/>
          <w:szCs w:val="20"/>
          <w:lang w:eastAsia="pt-BR"/>
        </w:rPr>
        <w:t>.</w:t>
      </w:r>
      <w:r w:rsidR="00EA719E" w:rsidRPr="00C1753A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</w:p>
    <w:p w14:paraId="5F72BF6A" w14:textId="7341D21A" w:rsidR="00D7403D" w:rsidRDefault="00DB75DA" w:rsidP="00BD3123">
      <w:pPr>
        <w:spacing w:after="0" w:line="240" w:lineRule="exact"/>
        <w:ind w:firstLine="187"/>
        <w:jc w:val="both"/>
        <w:rPr>
          <w:rFonts w:ascii="Times New Roman" w:hAnsi="Times New Roman" w:cs="Times New Roman"/>
          <w:sz w:val="20"/>
          <w:szCs w:val="20"/>
          <w:vertAlign w:val="superscript"/>
          <w:lang w:eastAsia="pt-BR"/>
        </w:rPr>
      </w:pPr>
      <w:r>
        <w:rPr>
          <w:rFonts w:ascii="Times New Roman" w:hAnsi="Times New Roman" w:cs="Times New Roman"/>
          <w:sz w:val="20"/>
          <w:szCs w:val="20"/>
          <w:lang w:eastAsia="pt-BR"/>
        </w:rPr>
        <w:t>A</w:t>
      </w:r>
      <w:r w:rsidR="00D7403D" w:rsidRPr="00D7403D">
        <w:rPr>
          <w:rFonts w:ascii="Times New Roman" w:hAnsi="Times New Roman" w:cs="Times New Roman"/>
          <w:sz w:val="20"/>
          <w:szCs w:val="20"/>
          <w:lang w:eastAsia="pt-BR"/>
        </w:rPr>
        <w:t xml:space="preserve">s amostras </w:t>
      </w:r>
      <w:r w:rsidR="00B2219F">
        <w:rPr>
          <w:rFonts w:ascii="Times New Roman" w:hAnsi="Times New Roman" w:cs="Times New Roman"/>
          <w:sz w:val="20"/>
          <w:szCs w:val="20"/>
          <w:lang w:eastAsia="pt-BR"/>
        </w:rPr>
        <w:t xml:space="preserve">sintetizadas com o </w:t>
      </w:r>
      <w:r w:rsidR="00D7403D" w:rsidRPr="00D7403D">
        <w:rPr>
          <w:rFonts w:ascii="Times New Roman" w:hAnsi="Times New Roman" w:cs="Times New Roman"/>
          <w:sz w:val="20"/>
          <w:szCs w:val="20"/>
          <w:lang w:eastAsia="pt-BR"/>
        </w:rPr>
        <w:t>2,4-D apresenta</w:t>
      </w:r>
      <w:r>
        <w:rPr>
          <w:rFonts w:ascii="Times New Roman" w:hAnsi="Times New Roman" w:cs="Times New Roman"/>
          <w:sz w:val="20"/>
          <w:szCs w:val="20"/>
          <w:lang w:eastAsia="pt-BR"/>
        </w:rPr>
        <w:t>ra</w:t>
      </w:r>
      <w:r w:rsidR="00D7403D" w:rsidRPr="00D7403D">
        <w:rPr>
          <w:rFonts w:ascii="Times New Roman" w:hAnsi="Times New Roman" w:cs="Times New Roman"/>
          <w:sz w:val="20"/>
          <w:szCs w:val="20"/>
          <w:lang w:eastAsia="pt-BR"/>
        </w:rPr>
        <w:t>m a</w:t>
      </w:r>
      <w:r>
        <w:rPr>
          <w:rFonts w:ascii="Times New Roman" w:hAnsi="Times New Roman" w:cs="Times New Roman"/>
          <w:sz w:val="20"/>
          <w:szCs w:val="20"/>
          <w:lang w:eastAsia="pt-BR"/>
        </w:rPr>
        <w:t>s</w:t>
      </w:r>
      <w:r w:rsidR="00D7403D" w:rsidRPr="00D7403D">
        <w:rPr>
          <w:rFonts w:ascii="Times New Roman" w:hAnsi="Times New Roman" w:cs="Times New Roman"/>
          <w:sz w:val="20"/>
          <w:szCs w:val="20"/>
          <w:lang w:eastAsia="pt-BR"/>
        </w:rPr>
        <w:t xml:space="preserve"> banda</w:t>
      </w:r>
      <w:r>
        <w:rPr>
          <w:rFonts w:ascii="Times New Roman" w:hAnsi="Times New Roman" w:cs="Times New Roman"/>
          <w:sz w:val="20"/>
          <w:szCs w:val="20"/>
          <w:lang w:eastAsia="pt-BR"/>
        </w:rPr>
        <w:t>s</w:t>
      </w:r>
      <w:r w:rsidR="00D7403D" w:rsidRPr="00D7403D">
        <w:rPr>
          <w:rFonts w:ascii="Times New Roman" w:hAnsi="Times New Roman" w:cs="Times New Roman"/>
          <w:sz w:val="20"/>
          <w:szCs w:val="20"/>
          <w:lang w:eastAsia="pt-BR"/>
        </w:rPr>
        <w:t xml:space="preserve"> característica</w:t>
      </w:r>
      <w:r>
        <w:rPr>
          <w:rFonts w:ascii="Times New Roman" w:hAnsi="Times New Roman" w:cs="Times New Roman"/>
          <w:sz w:val="20"/>
          <w:szCs w:val="20"/>
          <w:lang w:eastAsia="pt-BR"/>
        </w:rPr>
        <w:t>s</w:t>
      </w:r>
      <w:r w:rsidR="00D7403D" w:rsidRPr="00D7403D">
        <w:rPr>
          <w:rFonts w:ascii="Times New Roman" w:hAnsi="Times New Roman" w:cs="Times New Roman"/>
          <w:sz w:val="20"/>
          <w:szCs w:val="20"/>
          <w:lang w:eastAsia="pt-BR"/>
        </w:rPr>
        <w:t xml:space="preserve"> da hidrotalcita em 3500 cm</w:t>
      </w:r>
      <w:r w:rsidR="00D7403D" w:rsidRPr="00DB75DA">
        <w:rPr>
          <w:rFonts w:ascii="Times New Roman" w:hAnsi="Times New Roman" w:cs="Times New Roman"/>
          <w:sz w:val="20"/>
          <w:szCs w:val="20"/>
          <w:vertAlign w:val="superscript"/>
          <w:lang w:eastAsia="pt-BR"/>
        </w:rPr>
        <w:t>-1</w:t>
      </w:r>
      <w:r w:rsidR="00D7403D" w:rsidRPr="00D7403D">
        <w:rPr>
          <w:rFonts w:ascii="Times New Roman" w:hAnsi="Times New Roman" w:cs="Times New Roman"/>
          <w:sz w:val="20"/>
          <w:szCs w:val="20"/>
          <w:lang w:eastAsia="pt-BR"/>
        </w:rPr>
        <w:t xml:space="preserve"> relativo ao grupo (OH</w:t>
      </w:r>
      <w:r w:rsidR="00D7403D" w:rsidRPr="00DB75DA">
        <w:rPr>
          <w:rFonts w:ascii="Times New Roman" w:hAnsi="Times New Roman" w:cs="Times New Roman"/>
          <w:sz w:val="20"/>
          <w:szCs w:val="20"/>
          <w:vertAlign w:val="superscript"/>
          <w:lang w:eastAsia="pt-BR"/>
        </w:rPr>
        <w:t>-</w:t>
      </w:r>
      <w:r w:rsidR="00D7403D" w:rsidRPr="00D7403D">
        <w:rPr>
          <w:rFonts w:ascii="Times New Roman" w:hAnsi="Times New Roman" w:cs="Times New Roman"/>
          <w:sz w:val="20"/>
          <w:szCs w:val="20"/>
          <w:lang w:eastAsia="pt-BR"/>
        </w:rPr>
        <w:t>)</w:t>
      </w:r>
      <w:r w:rsidR="006920A3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B2219F">
        <w:rPr>
          <w:rFonts w:ascii="Times New Roman" w:hAnsi="Times New Roman" w:cs="Times New Roman"/>
          <w:sz w:val="20"/>
          <w:szCs w:val="20"/>
          <w:lang w:eastAsia="pt-BR"/>
        </w:rPr>
        <w:t>além das</w:t>
      </w:r>
      <w:r w:rsidR="00D7403D" w:rsidRPr="00D7403D">
        <w:rPr>
          <w:rFonts w:ascii="Times New Roman" w:hAnsi="Times New Roman" w:cs="Times New Roman"/>
          <w:sz w:val="20"/>
          <w:szCs w:val="20"/>
          <w:lang w:eastAsia="pt-BR"/>
        </w:rPr>
        <w:t xml:space="preserve"> bandas características do 2,4-D </w:t>
      </w:r>
      <w:r w:rsidR="006920A3">
        <w:rPr>
          <w:rFonts w:ascii="Times New Roman" w:hAnsi="Times New Roman" w:cs="Times New Roman"/>
          <w:sz w:val="20"/>
          <w:szCs w:val="20"/>
          <w:lang w:eastAsia="pt-BR"/>
        </w:rPr>
        <w:t xml:space="preserve">relacionadas às </w:t>
      </w:r>
      <w:r w:rsidR="00D7403D" w:rsidRPr="00D7403D">
        <w:rPr>
          <w:rFonts w:ascii="Times New Roman" w:hAnsi="Times New Roman" w:cs="Times New Roman"/>
          <w:sz w:val="20"/>
          <w:szCs w:val="20"/>
          <w:lang w:eastAsia="pt-BR"/>
        </w:rPr>
        <w:t>vibraç</w:t>
      </w:r>
      <w:r w:rsidR="006920A3">
        <w:rPr>
          <w:rFonts w:ascii="Times New Roman" w:hAnsi="Times New Roman" w:cs="Times New Roman"/>
          <w:sz w:val="20"/>
          <w:szCs w:val="20"/>
          <w:lang w:eastAsia="pt-BR"/>
        </w:rPr>
        <w:t>ões</w:t>
      </w:r>
      <w:r w:rsidR="00D7403D" w:rsidRPr="00D7403D">
        <w:rPr>
          <w:rFonts w:ascii="Times New Roman" w:hAnsi="Times New Roman" w:cs="Times New Roman"/>
          <w:sz w:val="20"/>
          <w:szCs w:val="20"/>
          <w:lang w:eastAsia="pt-BR"/>
        </w:rPr>
        <w:t xml:space="preserve"> de estiramento antissimétrico do grupo COO</w:t>
      </w:r>
      <w:r w:rsidR="00D7403D" w:rsidRPr="006920A3">
        <w:rPr>
          <w:rFonts w:ascii="Times New Roman" w:hAnsi="Times New Roman" w:cs="Times New Roman"/>
          <w:sz w:val="20"/>
          <w:szCs w:val="20"/>
          <w:vertAlign w:val="superscript"/>
          <w:lang w:eastAsia="pt-BR"/>
        </w:rPr>
        <w:t>-</w:t>
      </w:r>
      <w:r w:rsidR="00D7403D" w:rsidRPr="00D7403D">
        <w:rPr>
          <w:rFonts w:ascii="Times New Roman" w:hAnsi="Times New Roman" w:cs="Times New Roman"/>
          <w:sz w:val="20"/>
          <w:szCs w:val="20"/>
          <w:lang w:eastAsia="pt-BR"/>
        </w:rPr>
        <w:t xml:space="preserve"> próxim</w:t>
      </w:r>
      <w:r w:rsidR="006920A3">
        <w:rPr>
          <w:rFonts w:ascii="Times New Roman" w:hAnsi="Times New Roman" w:cs="Times New Roman"/>
          <w:sz w:val="20"/>
          <w:szCs w:val="20"/>
          <w:lang w:eastAsia="pt-BR"/>
        </w:rPr>
        <w:t>o</w:t>
      </w:r>
      <w:r w:rsidR="00D7403D" w:rsidRPr="00D7403D">
        <w:rPr>
          <w:rFonts w:ascii="Times New Roman" w:hAnsi="Times New Roman" w:cs="Times New Roman"/>
          <w:sz w:val="20"/>
          <w:szCs w:val="20"/>
          <w:lang w:eastAsia="pt-BR"/>
        </w:rPr>
        <w:t xml:space="preserve"> a 1600 cm</w:t>
      </w:r>
      <w:r w:rsidR="00D7403D" w:rsidRPr="00DB75DA">
        <w:rPr>
          <w:rFonts w:ascii="Times New Roman" w:hAnsi="Times New Roman" w:cs="Times New Roman"/>
          <w:sz w:val="20"/>
          <w:szCs w:val="20"/>
          <w:vertAlign w:val="superscript"/>
          <w:lang w:eastAsia="pt-BR"/>
        </w:rPr>
        <w:t>-1</w:t>
      </w:r>
      <w:r w:rsidR="00D7403D" w:rsidRPr="00D7403D">
        <w:rPr>
          <w:rFonts w:ascii="Times New Roman" w:hAnsi="Times New Roman" w:cs="Times New Roman"/>
          <w:sz w:val="20"/>
          <w:szCs w:val="20"/>
          <w:lang w:eastAsia="pt-BR"/>
        </w:rPr>
        <w:t>, vibrações de ligação C=C do an</w:t>
      </w:r>
      <w:r>
        <w:rPr>
          <w:rFonts w:ascii="Times New Roman" w:hAnsi="Times New Roman" w:cs="Times New Roman"/>
          <w:sz w:val="20"/>
          <w:szCs w:val="20"/>
          <w:lang w:eastAsia="pt-BR"/>
        </w:rPr>
        <w:t>e</w:t>
      </w:r>
      <w:r w:rsidR="00D7403D" w:rsidRPr="00D7403D">
        <w:rPr>
          <w:rFonts w:ascii="Times New Roman" w:hAnsi="Times New Roman" w:cs="Times New Roman"/>
          <w:sz w:val="20"/>
          <w:szCs w:val="20"/>
          <w:lang w:eastAsia="pt-BR"/>
        </w:rPr>
        <w:t>l aromático próximo a 1500 cm</w:t>
      </w:r>
      <w:r w:rsidR="00D7403D" w:rsidRPr="00DB75DA">
        <w:rPr>
          <w:rFonts w:ascii="Times New Roman" w:hAnsi="Times New Roman" w:cs="Times New Roman"/>
          <w:sz w:val="20"/>
          <w:szCs w:val="20"/>
          <w:vertAlign w:val="superscript"/>
          <w:lang w:eastAsia="pt-BR"/>
        </w:rPr>
        <w:t>-1</w:t>
      </w:r>
      <w:r w:rsidR="00D7403D" w:rsidRPr="00D7403D">
        <w:rPr>
          <w:rFonts w:ascii="Times New Roman" w:hAnsi="Times New Roman" w:cs="Times New Roman"/>
          <w:sz w:val="20"/>
          <w:szCs w:val="20"/>
          <w:lang w:eastAsia="pt-BR"/>
        </w:rPr>
        <w:t xml:space="preserve"> e 1400 cm</w:t>
      </w:r>
      <w:r w:rsidR="00D7403D" w:rsidRPr="00DB75DA">
        <w:rPr>
          <w:rFonts w:ascii="Times New Roman" w:hAnsi="Times New Roman" w:cs="Times New Roman"/>
          <w:sz w:val="20"/>
          <w:szCs w:val="20"/>
          <w:vertAlign w:val="superscript"/>
          <w:lang w:eastAsia="pt-BR"/>
        </w:rPr>
        <w:t>-1</w:t>
      </w:r>
      <w:r w:rsidR="00D7403D" w:rsidRPr="00D7403D">
        <w:rPr>
          <w:rFonts w:ascii="Times New Roman" w:hAnsi="Times New Roman" w:cs="Times New Roman"/>
          <w:sz w:val="20"/>
          <w:szCs w:val="20"/>
          <w:lang w:eastAsia="pt-BR"/>
        </w:rPr>
        <w:t>, estiramento antissimétrico e simétrico do grupo C-O-C em 1300 cm</w:t>
      </w:r>
      <w:r w:rsidR="00D7403D" w:rsidRPr="00DB75DA">
        <w:rPr>
          <w:rFonts w:ascii="Times New Roman" w:hAnsi="Times New Roman" w:cs="Times New Roman"/>
          <w:sz w:val="20"/>
          <w:szCs w:val="20"/>
          <w:vertAlign w:val="superscript"/>
          <w:lang w:eastAsia="pt-BR"/>
        </w:rPr>
        <w:t>-1</w:t>
      </w:r>
      <w:r w:rsidR="00D7403D" w:rsidRPr="00D7403D">
        <w:rPr>
          <w:rFonts w:ascii="Times New Roman" w:hAnsi="Times New Roman" w:cs="Times New Roman"/>
          <w:sz w:val="20"/>
          <w:szCs w:val="20"/>
          <w:lang w:eastAsia="pt-BR"/>
        </w:rPr>
        <w:t xml:space="preserve"> e 1050 cm</w:t>
      </w:r>
      <w:r w:rsidR="00D7403D" w:rsidRPr="00DB75DA">
        <w:rPr>
          <w:rFonts w:ascii="Times New Roman" w:hAnsi="Times New Roman" w:cs="Times New Roman"/>
          <w:sz w:val="20"/>
          <w:szCs w:val="20"/>
          <w:vertAlign w:val="superscript"/>
          <w:lang w:eastAsia="pt-BR"/>
        </w:rPr>
        <w:t>-1</w:t>
      </w:r>
      <w:r w:rsidR="00D7403D" w:rsidRPr="00D7403D">
        <w:rPr>
          <w:rFonts w:ascii="Times New Roman" w:hAnsi="Times New Roman" w:cs="Times New Roman"/>
          <w:sz w:val="20"/>
          <w:szCs w:val="20"/>
          <w:lang w:eastAsia="pt-BR"/>
        </w:rPr>
        <w:t>, e a vibração da ligação C-Cl em 770 cm</w:t>
      </w:r>
      <w:r w:rsidR="00D7403D" w:rsidRPr="00DB75DA">
        <w:rPr>
          <w:rFonts w:ascii="Times New Roman" w:hAnsi="Times New Roman" w:cs="Times New Roman"/>
          <w:sz w:val="20"/>
          <w:szCs w:val="20"/>
          <w:vertAlign w:val="superscript"/>
          <w:lang w:eastAsia="pt-BR"/>
        </w:rPr>
        <w:t>-1</w:t>
      </w:r>
      <w:r w:rsidR="006E6E6E">
        <w:rPr>
          <w:rFonts w:ascii="Times New Roman" w:hAnsi="Times New Roman" w:cs="Times New Roman"/>
          <w:sz w:val="20"/>
          <w:szCs w:val="20"/>
          <w:lang w:eastAsia="pt-BR"/>
        </w:rPr>
        <w:t xml:space="preserve"> (14)</w:t>
      </w:r>
      <w:r w:rsidR="00EA719E">
        <w:rPr>
          <w:rFonts w:ascii="Times New Roman" w:hAnsi="Times New Roman" w:cs="Times New Roman"/>
          <w:sz w:val="20"/>
          <w:szCs w:val="20"/>
          <w:lang w:eastAsia="pt-BR"/>
        </w:rPr>
        <w:t>.</w:t>
      </w:r>
      <w:r w:rsidR="00D7403D" w:rsidRPr="009372CF">
        <w:rPr>
          <w:rFonts w:ascii="Times New Roman" w:hAnsi="Times New Roman" w:cs="Times New Roman"/>
          <w:color w:val="FF0000"/>
          <w:sz w:val="20"/>
          <w:szCs w:val="20"/>
          <w:lang w:eastAsia="pt-BR"/>
        </w:rPr>
        <w:t xml:space="preserve"> </w:t>
      </w:r>
      <w:r w:rsidR="006920A3">
        <w:rPr>
          <w:rFonts w:ascii="Times New Roman" w:hAnsi="Times New Roman" w:cs="Times New Roman"/>
          <w:sz w:val="20"/>
          <w:szCs w:val="20"/>
          <w:lang w:eastAsia="pt-BR"/>
        </w:rPr>
        <w:t xml:space="preserve">Os resultados de </w:t>
      </w:r>
      <w:r w:rsidR="00B2219F">
        <w:rPr>
          <w:rFonts w:ascii="Times New Roman" w:hAnsi="Times New Roman" w:cs="Times New Roman"/>
          <w:sz w:val="20"/>
          <w:szCs w:val="20"/>
          <w:lang w:eastAsia="pt-BR"/>
        </w:rPr>
        <w:t>infravermelho</w:t>
      </w:r>
      <w:r w:rsidR="006920A3">
        <w:rPr>
          <w:rFonts w:ascii="Times New Roman" w:hAnsi="Times New Roman" w:cs="Times New Roman"/>
          <w:sz w:val="20"/>
          <w:szCs w:val="20"/>
          <w:lang w:eastAsia="pt-BR"/>
        </w:rPr>
        <w:t xml:space="preserve"> mostraram que</w:t>
      </w:r>
      <w:r w:rsidR="00D7403D" w:rsidRPr="00D7403D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EA719E">
        <w:rPr>
          <w:rFonts w:ascii="Times New Roman" w:hAnsi="Times New Roman" w:cs="Times New Roman"/>
          <w:sz w:val="20"/>
          <w:szCs w:val="20"/>
          <w:lang w:eastAsia="pt-BR"/>
        </w:rPr>
        <w:t xml:space="preserve">o </w:t>
      </w:r>
      <w:r w:rsidR="00D7403D" w:rsidRPr="00D7403D">
        <w:rPr>
          <w:rFonts w:ascii="Times New Roman" w:hAnsi="Times New Roman" w:cs="Times New Roman"/>
          <w:sz w:val="20"/>
          <w:szCs w:val="20"/>
          <w:lang w:eastAsia="pt-BR"/>
        </w:rPr>
        <w:t>2,4-D</w:t>
      </w:r>
      <w:r w:rsidR="00EA719E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B51877">
        <w:rPr>
          <w:rFonts w:ascii="Times New Roman" w:hAnsi="Times New Roman" w:cs="Times New Roman"/>
          <w:sz w:val="20"/>
          <w:szCs w:val="20"/>
          <w:lang w:eastAsia="pt-BR"/>
        </w:rPr>
        <w:t>está presenta</w:t>
      </w:r>
      <w:r w:rsidR="00EA719E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D7403D" w:rsidRPr="00D7403D">
        <w:rPr>
          <w:rFonts w:ascii="Times New Roman" w:hAnsi="Times New Roman" w:cs="Times New Roman"/>
          <w:sz w:val="20"/>
          <w:szCs w:val="20"/>
          <w:lang w:eastAsia="pt-BR"/>
        </w:rPr>
        <w:t xml:space="preserve">na estrutura </w:t>
      </w:r>
      <w:r w:rsidR="00B51877">
        <w:rPr>
          <w:rFonts w:ascii="Times New Roman" w:hAnsi="Times New Roman" w:cs="Times New Roman"/>
          <w:sz w:val="20"/>
          <w:szCs w:val="20"/>
          <w:lang w:eastAsia="pt-BR"/>
        </w:rPr>
        <w:t>das amostras</w:t>
      </w:r>
      <w:r w:rsidR="008E764D">
        <w:rPr>
          <w:rFonts w:ascii="Times New Roman" w:hAnsi="Times New Roman" w:cs="Times New Roman"/>
          <w:sz w:val="20"/>
          <w:szCs w:val="20"/>
          <w:lang w:eastAsia="pt-BR"/>
        </w:rPr>
        <w:t xml:space="preserve"> s</w:t>
      </w:r>
      <w:r w:rsidR="00D7403D" w:rsidRPr="00D7403D">
        <w:rPr>
          <w:rFonts w:ascii="Times New Roman" w:hAnsi="Times New Roman" w:cs="Times New Roman"/>
          <w:sz w:val="20"/>
          <w:szCs w:val="20"/>
          <w:lang w:eastAsia="pt-BR"/>
        </w:rPr>
        <w:t>intetizadas</w:t>
      </w:r>
      <w:r w:rsidR="00EA719E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B2219F">
        <w:rPr>
          <w:rFonts w:ascii="Times New Roman" w:hAnsi="Times New Roman" w:cs="Times New Roman"/>
          <w:sz w:val="20"/>
          <w:szCs w:val="20"/>
          <w:lang w:eastAsia="pt-BR"/>
        </w:rPr>
        <w:t xml:space="preserve">com 2,4-D pelo método direto </w:t>
      </w:r>
      <w:r w:rsidR="00EA719E">
        <w:rPr>
          <w:rFonts w:ascii="Times New Roman" w:hAnsi="Times New Roman" w:cs="Times New Roman"/>
          <w:sz w:val="20"/>
          <w:szCs w:val="20"/>
          <w:lang w:eastAsia="pt-BR"/>
        </w:rPr>
        <w:t>conforme desejado</w:t>
      </w:r>
      <w:r w:rsidR="006E6E6E">
        <w:rPr>
          <w:rFonts w:ascii="Times New Roman" w:hAnsi="Times New Roman" w:cs="Times New Roman"/>
          <w:sz w:val="20"/>
          <w:szCs w:val="20"/>
          <w:lang w:eastAsia="pt-BR"/>
        </w:rPr>
        <w:t xml:space="preserve"> (9)</w:t>
      </w:r>
      <w:r w:rsidR="006920A3">
        <w:rPr>
          <w:rFonts w:ascii="Times New Roman" w:hAnsi="Times New Roman" w:cs="Times New Roman"/>
          <w:sz w:val="20"/>
          <w:szCs w:val="20"/>
          <w:lang w:eastAsia="pt-BR"/>
        </w:rPr>
        <w:t>.</w:t>
      </w:r>
    </w:p>
    <w:p w14:paraId="02E7F805" w14:textId="77777777" w:rsidR="009E7DB7" w:rsidRDefault="009E7DB7" w:rsidP="00BD3123">
      <w:pPr>
        <w:spacing w:after="0" w:line="240" w:lineRule="exact"/>
        <w:ind w:firstLine="18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</w:p>
    <w:p w14:paraId="24DA2B0D" w14:textId="0606EAF4" w:rsidR="00FB2532" w:rsidRDefault="00FB2532" w:rsidP="00FB2532">
      <w:pPr>
        <w:jc w:val="center"/>
      </w:pPr>
      <w:r w:rsidRPr="00FB2532">
        <w:rPr>
          <w:noProof/>
          <w:lang w:eastAsia="pt-BR"/>
        </w:rPr>
        <w:drawing>
          <wp:inline distT="0" distB="0" distL="0" distR="0" wp14:anchorId="323CF960" wp14:editId="1E04E22D">
            <wp:extent cx="3081647" cy="2770219"/>
            <wp:effectExtent l="0" t="0" r="508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2" t="3107" r="4670" b="3919"/>
                    <a:stretch/>
                  </pic:blipFill>
                  <pic:spPr bwMode="auto">
                    <a:xfrm>
                      <a:off x="0" y="0"/>
                      <a:ext cx="3089216" cy="2777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998A2F" w14:textId="39044D91" w:rsidR="00CB6FBB" w:rsidRDefault="00CB6FBB" w:rsidP="00A91505">
      <w:pPr>
        <w:pStyle w:val="VAFigureCaption"/>
        <w:spacing w:before="0"/>
        <w:jc w:val="center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 w:rsidR="00CC14E9">
        <w:rPr>
          <w:rFonts w:ascii="Times New Roman" w:hAnsi="Times New Roman"/>
          <w:b/>
          <w:lang w:val="pt-BR"/>
        </w:rPr>
        <w:t>2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 w:rsidR="00D7403D">
        <w:rPr>
          <w:rFonts w:ascii="Times New Roman" w:hAnsi="Times New Roman"/>
          <w:lang w:val="pt-BR"/>
        </w:rPr>
        <w:t xml:space="preserve">Espectro </w:t>
      </w:r>
      <w:r w:rsidR="00BD3C30">
        <w:rPr>
          <w:rFonts w:ascii="Times New Roman" w:hAnsi="Times New Roman"/>
          <w:lang w:val="pt-BR"/>
        </w:rPr>
        <w:t xml:space="preserve">na região do </w:t>
      </w:r>
      <w:r w:rsidR="00D7403D">
        <w:rPr>
          <w:rFonts w:ascii="Times New Roman" w:hAnsi="Times New Roman"/>
          <w:lang w:val="pt-BR"/>
        </w:rPr>
        <w:t>infravermelho das amostras.</w:t>
      </w:r>
    </w:p>
    <w:p w14:paraId="1ED1A382" w14:textId="46B48BA6" w:rsidR="00252CB2" w:rsidRDefault="00252CB2" w:rsidP="00A61B71">
      <w:pPr>
        <w:spacing w:after="0" w:line="240" w:lineRule="exact"/>
        <w:ind w:firstLine="18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</w:p>
    <w:p w14:paraId="6A86BDCA" w14:textId="3A3D50D9" w:rsidR="00D7403D" w:rsidRDefault="008E764D" w:rsidP="0048373D">
      <w:pPr>
        <w:spacing w:after="0" w:line="240" w:lineRule="exact"/>
        <w:ind w:firstLine="18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>
        <w:rPr>
          <w:rFonts w:ascii="Times New Roman" w:hAnsi="Times New Roman" w:cs="Times New Roman"/>
          <w:sz w:val="20"/>
          <w:szCs w:val="20"/>
          <w:lang w:eastAsia="pt-BR"/>
        </w:rPr>
        <w:t>Os resultados das micrografias</w:t>
      </w:r>
      <w:r w:rsidR="00B47DE3">
        <w:rPr>
          <w:rFonts w:ascii="Times New Roman" w:hAnsi="Times New Roman" w:cs="Times New Roman"/>
          <w:sz w:val="20"/>
          <w:szCs w:val="20"/>
          <w:lang w:eastAsia="pt-BR"/>
        </w:rPr>
        <w:t xml:space="preserve"> dos nanocompósitos híbridos</w:t>
      </w:r>
      <w:r w:rsidR="00EA719E">
        <w:rPr>
          <w:rFonts w:ascii="Times New Roman" w:hAnsi="Times New Roman" w:cs="Times New Roman"/>
          <w:sz w:val="20"/>
          <w:szCs w:val="20"/>
          <w:lang w:eastAsia="pt-BR"/>
        </w:rPr>
        <w:t xml:space="preserve">, </w:t>
      </w:r>
      <w:r w:rsidR="00BD3C30">
        <w:rPr>
          <w:rFonts w:ascii="Times New Roman" w:hAnsi="Times New Roman" w:cs="Times New Roman"/>
          <w:sz w:val="20"/>
          <w:szCs w:val="20"/>
          <w:lang w:eastAsia="pt-BR"/>
        </w:rPr>
        <w:t>F</w:t>
      </w:r>
      <w:r w:rsidR="00EA719E">
        <w:rPr>
          <w:rFonts w:ascii="Times New Roman" w:hAnsi="Times New Roman" w:cs="Times New Roman"/>
          <w:sz w:val="20"/>
          <w:szCs w:val="20"/>
          <w:lang w:eastAsia="pt-BR"/>
        </w:rPr>
        <w:t xml:space="preserve">igura </w:t>
      </w:r>
      <w:r w:rsidR="009E7DB7">
        <w:rPr>
          <w:rFonts w:ascii="Times New Roman" w:hAnsi="Times New Roman" w:cs="Times New Roman"/>
          <w:sz w:val="20"/>
          <w:szCs w:val="20"/>
          <w:lang w:eastAsia="pt-BR"/>
        </w:rPr>
        <w:t>3</w:t>
      </w:r>
      <w:r w:rsidR="00EA719E">
        <w:rPr>
          <w:rFonts w:ascii="Times New Roman" w:hAnsi="Times New Roman" w:cs="Times New Roman"/>
          <w:sz w:val="20"/>
          <w:szCs w:val="20"/>
          <w:lang w:eastAsia="pt-BR"/>
        </w:rPr>
        <w:t>,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BD3C30">
        <w:rPr>
          <w:rFonts w:ascii="Times New Roman" w:hAnsi="Times New Roman" w:cs="Times New Roman"/>
          <w:sz w:val="20"/>
          <w:szCs w:val="20"/>
          <w:lang w:eastAsia="pt-BR"/>
        </w:rPr>
        <w:t xml:space="preserve">mostram </w:t>
      </w:r>
      <w:r w:rsidR="00B47DE3">
        <w:rPr>
          <w:rFonts w:ascii="Times New Roman" w:hAnsi="Times New Roman" w:cs="Times New Roman"/>
          <w:sz w:val="20"/>
          <w:szCs w:val="20"/>
          <w:lang w:eastAsia="pt-BR"/>
        </w:rPr>
        <w:t>agregado</w:t>
      </w:r>
      <w:r w:rsidR="00A61B71" w:rsidRPr="00A61B71">
        <w:rPr>
          <w:rFonts w:ascii="Times New Roman" w:hAnsi="Times New Roman" w:cs="Times New Roman"/>
          <w:sz w:val="20"/>
          <w:szCs w:val="20"/>
          <w:lang w:eastAsia="pt-BR"/>
        </w:rPr>
        <w:t xml:space="preserve">s de partículas em forma de </w:t>
      </w:r>
      <w:r w:rsidR="00B2219F">
        <w:rPr>
          <w:rFonts w:ascii="Times New Roman" w:hAnsi="Times New Roman" w:cs="Times New Roman"/>
          <w:sz w:val="20"/>
          <w:szCs w:val="20"/>
          <w:lang w:eastAsia="pt-BR"/>
        </w:rPr>
        <w:t>lamelas irregulares</w:t>
      </w:r>
      <w:r w:rsidR="00A61B71" w:rsidRPr="00A61B71">
        <w:rPr>
          <w:rFonts w:ascii="Times New Roman" w:hAnsi="Times New Roman" w:cs="Times New Roman"/>
          <w:sz w:val="20"/>
          <w:szCs w:val="20"/>
          <w:lang w:eastAsia="pt-BR"/>
        </w:rPr>
        <w:t xml:space="preserve"> e empilhadas.</w:t>
      </w:r>
      <w:r w:rsidR="00A61B71" w:rsidRPr="00A61B71">
        <w:t xml:space="preserve"> </w:t>
      </w:r>
      <w:r w:rsidR="00A61B71" w:rsidRPr="00A61B71">
        <w:rPr>
          <w:rFonts w:ascii="Times New Roman" w:hAnsi="Times New Roman" w:cs="Times New Roman"/>
          <w:sz w:val="20"/>
          <w:szCs w:val="20"/>
          <w:lang w:eastAsia="pt-BR"/>
        </w:rPr>
        <w:t xml:space="preserve">As amostras 2,4-D/HDL-A e 2,4-D/HDL-B apresentam morfologias similares. </w:t>
      </w:r>
      <w:r w:rsidR="00B47DE3">
        <w:rPr>
          <w:rFonts w:ascii="Times New Roman" w:hAnsi="Times New Roman" w:cs="Times New Roman"/>
          <w:sz w:val="20"/>
          <w:szCs w:val="20"/>
          <w:lang w:eastAsia="pt-BR"/>
        </w:rPr>
        <w:t>Esta</w:t>
      </w:r>
      <w:r w:rsidR="00A61B71" w:rsidRPr="00A61B71">
        <w:rPr>
          <w:rFonts w:ascii="Times New Roman" w:hAnsi="Times New Roman" w:cs="Times New Roman"/>
          <w:sz w:val="20"/>
          <w:szCs w:val="20"/>
          <w:lang w:eastAsia="pt-BR"/>
        </w:rPr>
        <w:t xml:space="preserve">s amostras </w:t>
      </w:r>
      <w:r w:rsidR="00BD3C30" w:rsidRPr="00A61B71">
        <w:rPr>
          <w:rFonts w:ascii="Times New Roman" w:hAnsi="Times New Roman" w:cs="Times New Roman"/>
          <w:sz w:val="20"/>
          <w:szCs w:val="20"/>
          <w:lang w:eastAsia="pt-BR"/>
        </w:rPr>
        <w:t>apresenta</w:t>
      </w:r>
      <w:r w:rsidR="00BD3C30">
        <w:rPr>
          <w:rFonts w:ascii="Times New Roman" w:hAnsi="Times New Roman" w:cs="Times New Roman"/>
          <w:sz w:val="20"/>
          <w:szCs w:val="20"/>
          <w:lang w:eastAsia="pt-BR"/>
        </w:rPr>
        <w:t xml:space="preserve">m </w:t>
      </w:r>
      <w:r w:rsidR="00B2219F">
        <w:rPr>
          <w:rFonts w:ascii="Times New Roman" w:hAnsi="Times New Roman" w:cs="Times New Roman"/>
          <w:sz w:val="20"/>
          <w:szCs w:val="20"/>
          <w:lang w:eastAsia="pt-BR"/>
        </w:rPr>
        <w:t xml:space="preserve">agregados de </w:t>
      </w:r>
      <w:r w:rsidR="00B47DE3">
        <w:rPr>
          <w:rFonts w:ascii="Times New Roman" w:hAnsi="Times New Roman" w:cs="Times New Roman"/>
          <w:sz w:val="20"/>
          <w:szCs w:val="20"/>
          <w:lang w:eastAsia="pt-BR"/>
        </w:rPr>
        <w:t xml:space="preserve">partículas </w:t>
      </w:r>
      <w:r w:rsidR="00862532">
        <w:rPr>
          <w:rFonts w:ascii="Times New Roman" w:hAnsi="Times New Roman" w:cs="Times New Roman"/>
          <w:sz w:val="20"/>
          <w:szCs w:val="20"/>
          <w:lang w:eastAsia="pt-BR"/>
        </w:rPr>
        <w:t xml:space="preserve">com formato tipo </w:t>
      </w:r>
      <w:r w:rsidR="00A61B71" w:rsidRPr="00A61B71">
        <w:rPr>
          <w:rFonts w:ascii="Times New Roman" w:hAnsi="Times New Roman" w:cs="Times New Roman"/>
          <w:sz w:val="20"/>
          <w:szCs w:val="20"/>
          <w:lang w:eastAsia="pt-BR"/>
        </w:rPr>
        <w:t>placas irregulares, desordenadas e</w:t>
      </w:r>
      <w:r w:rsidR="00A61B71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A61B71" w:rsidRPr="00A61B71">
        <w:rPr>
          <w:rFonts w:ascii="Times New Roman" w:hAnsi="Times New Roman" w:cs="Times New Roman"/>
          <w:sz w:val="20"/>
          <w:szCs w:val="20"/>
          <w:lang w:eastAsia="pt-BR"/>
        </w:rPr>
        <w:t>empilhadas umas sobre as outras</w:t>
      </w:r>
      <w:r w:rsidR="00862532">
        <w:rPr>
          <w:rFonts w:ascii="Times New Roman" w:hAnsi="Times New Roman" w:cs="Times New Roman"/>
          <w:sz w:val="20"/>
          <w:szCs w:val="20"/>
          <w:lang w:eastAsia="pt-BR"/>
        </w:rPr>
        <w:t xml:space="preserve">. </w:t>
      </w:r>
      <w:r w:rsidR="00BD3C30">
        <w:rPr>
          <w:rFonts w:ascii="Times New Roman" w:hAnsi="Times New Roman" w:cs="Times New Roman"/>
          <w:sz w:val="20"/>
          <w:szCs w:val="20"/>
          <w:lang w:eastAsia="pt-BR"/>
        </w:rPr>
        <w:t xml:space="preserve">Esses </w:t>
      </w:r>
      <w:r w:rsidR="00862532">
        <w:rPr>
          <w:rFonts w:ascii="Times New Roman" w:hAnsi="Times New Roman" w:cs="Times New Roman"/>
          <w:sz w:val="20"/>
          <w:szCs w:val="20"/>
          <w:lang w:eastAsia="pt-BR"/>
        </w:rPr>
        <w:t>agregados</w:t>
      </w:r>
      <w:r w:rsidR="006E6E6E">
        <w:rPr>
          <w:rFonts w:ascii="Times New Roman" w:hAnsi="Times New Roman" w:cs="Times New Roman"/>
          <w:sz w:val="20"/>
          <w:szCs w:val="20"/>
          <w:lang w:eastAsia="pt-BR"/>
        </w:rPr>
        <w:t xml:space="preserve"> (15)</w:t>
      </w:r>
      <w:r w:rsidR="00475223">
        <w:rPr>
          <w:rFonts w:ascii="Times New Roman" w:hAnsi="Times New Roman" w:cs="Times New Roman"/>
          <w:sz w:val="20"/>
          <w:szCs w:val="20"/>
          <w:lang w:eastAsia="pt-BR"/>
        </w:rPr>
        <w:t>.</w:t>
      </w:r>
    </w:p>
    <w:p w14:paraId="2EC96455" w14:textId="3F3A8209" w:rsidR="00CC14E9" w:rsidRDefault="00CC14E9" w:rsidP="00CC14E9">
      <w:pPr>
        <w:spacing w:after="0" w:line="240" w:lineRule="exact"/>
        <w:ind w:firstLine="18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>
        <w:rPr>
          <w:rFonts w:ascii="Times New Roman" w:hAnsi="Times New Roman" w:cs="Times New Roman"/>
          <w:sz w:val="20"/>
          <w:szCs w:val="20"/>
          <w:lang w:eastAsia="pt-BR"/>
        </w:rPr>
        <w:t>A micrografia da</w:t>
      </w:r>
      <w:r w:rsidRPr="0048373D">
        <w:rPr>
          <w:rFonts w:ascii="Times New Roman" w:hAnsi="Times New Roman" w:cs="Times New Roman"/>
          <w:sz w:val="20"/>
          <w:szCs w:val="20"/>
          <w:lang w:eastAsia="pt-BR"/>
        </w:rPr>
        <w:t xml:space="preserve"> amostra 2,4-D/HDL-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C apresentou </w:t>
      </w:r>
      <w:r w:rsidRPr="0048373D">
        <w:rPr>
          <w:rFonts w:ascii="Times New Roman" w:hAnsi="Times New Roman" w:cs="Times New Roman"/>
          <w:sz w:val="20"/>
          <w:szCs w:val="20"/>
          <w:lang w:eastAsia="pt-BR"/>
        </w:rPr>
        <w:t>partículas de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Pr="0048373D">
        <w:rPr>
          <w:rFonts w:ascii="Times New Roman" w:hAnsi="Times New Roman" w:cs="Times New Roman"/>
          <w:sz w:val="20"/>
          <w:szCs w:val="20"/>
          <w:lang w:eastAsia="pt-BR"/>
        </w:rPr>
        <w:t>tamanhos maiores</w:t>
      </w:r>
      <w:r w:rsidR="00B2219F">
        <w:rPr>
          <w:rFonts w:ascii="Times New Roman" w:hAnsi="Times New Roman" w:cs="Times New Roman"/>
          <w:sz w:val="20"/>
          <w:szCs w:val="20"/>
          <w:lang w:eastAsia="pt-BR"/>
        </w:rPr>
        <w:t>, também</w:t>
      </w:r>
      <w:r w:rsidRPr="0048373D">
        <w:rPr>
          <w:rFonts w:ascii="Times New Roman" w:hAnsi="Times New Roman" w:cs="Times New Roman"/>
          <w:sz w:val="20"/>
          <w:szCs w:val="20"/>
          <w:lang w:eastAsia="pt-BR"/>
        </w:rPr>
        <w:t xml:space="preserve"> com formato irregular,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com </w:t>
      </w:r>
      <w:r w:rsidRPr="0048373D">
        <w:rPr>
          <w:rFonts w:ascii="Times New Roman" w:hAnsi="Times New Roman" w:cs="Times New Roman"/>
          <w:sz w:val="20"/>
          <w:szCs w:val="20"/>
          <w:lang w:eastAsia="pt-BR"/>
        </w:rPr>
        <w:t>algum aspecto planar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B2219F">
        <w:rPr>
          <w:rFonts w:ascii="Times New Roman" w:hAnsi="Times New Roman" w:cs="Times New Roman"/>
          <w:sz w:val="20"/>
          <w:szCs w:val="20"/>
          <w:lang w:eastAsia="pt-BR"/>
        </w:rPr>
        <w:t xml:space="preserve">além de </w:t>
      </w:r>
      <w:r w:rsidRPr="0048373D">
        <w:rPr>
          <w:rFonts w:ascii="Times New Roman" w:hAnsi="Times New Roman" w:cs="Times New Roman"/>
          <w:sz w:val="20"/>
          <w:szCs w:val="20"/>
          <w:lang w:eastAsia="pt-BR"/>
        </w:rPr>
        <w:t>ag</w:t>
      </w:r>
      <w:r>
        <w:rPr>
          <w:rFonts w:ascii="Times New Roman" w:hAnsi="Times New Roman" w:cs="Times New Roman"/>
          <w:sz w:val="20"/>
          <w:szCs w:val="20"/>
          <w:lang w:eastAsia="pt-BR"/>
        </w:rPr>
        <w:t>regados</w:t>
      </w:r>
      <w:r w:rsidRPr="0048373D">
        <w:rPr>
          <w:rFonts w:ascii="Times New Roman" w:hAnsi="Times New Roman" w:cs="Times New Roman"/>
          <w:sz w:val="20"/>
          <w:szCs w:val="20"/>
          <w:lang w:eastAsia="pt-BR"/>
        </w:rPr>
        <w:t xml:space="preserve"> de partículas muito menores com formato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Pr="0048373D">
        <w:rPr>
          <w:rFonts w:ascii="Times New Roman" w:hAnsi="Times New Roman" w:cs="Times New Roman"/>
          <w:sz w:val="20"/>
          <w:szCs w:val="20"/>
          <w:lang w:eastAsia="pt-BR"/>
        </w:rPr>
        <w:t xml:space="preserve">arredondado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que </w:t>
      </w:r>
      <w:r w:rsidR="00B2219F">
        <w:rPr>
          <w:rFonts w:ascii="Times New Roman" w:hAnsi="Times New Roman" w:cs="Times New Roman"/>
          <w:sz w:val="20"/>
          <w:szCs w:val="20"/>
          <w:lang w:eastAsia="pt-BR"/>
        </w:rPr>
        <w:t>foram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BD3C30">
        <w:rPr>
          <w:rFonts w:ascii="Times New Roman" w:hAnsi="Times New Roman" w:cs="Times New Roman"/>
          <w:sz w:val="20"/>
          <w:szCs w:val="20"/>
          <w:lang w:eastAsia="pt-BR"/>
        </w:rPr>
        <w:t>atribuídas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 a</w:t>
      </w:r>
      <w:r w:rsidR="00B2219F">
        <w:rPr>
          <w:rFonts w:ascii="Times New Roman" w:hAnsi="Times New Roman" w:cs="Times New Roman"/>
          <w:sz w:val="20"/>
          <w:szCs w:val="20"/>
          <w:lang w:eastAsia="pt-BR"/>
        </w:rPr>
        <w:t>s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Pr="0048373D">
        <w:rPr>
          <w:rFonts w:ascii="Times New Roman" w:hAnsi="Times New Roman" w:cs="Times New Roman"/>
          <w:sz w:val="20"/>
          <w:szCs w:val="20"/>
          <w:lang w:eastAsia="pt-BR"/>
        </w:rPr>
        <w:t>partícula</w:t>
      </w:r>
      <w:r>
        <w:rPr>
          <w:rFonts w:ascii="Times New Roman" w:hAnsi="Times New Roman" w:cs="Times New Roman"/>
          <w:sz w:val="20"/>
          <w:szCs w:val="20"/>
          <w:lang w:eastAsia="pt-BR"/>
        </w:rPr>
        <w:t>s</w:t>
      </w:r>
      <w:r w:rsidRPr="0048373D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48373D">
        <w:rPr>
          <w:rFonts w:ascii="Times New Roman" w:hAnsi="Times New Roman" w:cs="Times New Roman"/>
          <w:sz w:val="20"/>
          <w:szCs w:val="20"/>
          <w:lang w:eastAsia="pt-BR"/>
        </w:rPr>
        <w:t>a fase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Pr="0048373D">
        <w:rPr>
          <w:rFonts w:ascii="Times New Roman" w:hAnsi="Times New Roman" w:cs="Times New Roman"/>
          <w:sz w:val="20"/>
          <w:szCs w:val="20"/>
          <w:lang w:eastAsia="pt-BR"/>
        </w:rPr>
        <w:t>ZnO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, </w:t>
      </w:r>
      <w:r w:rsidRPr="0048373D">
        <w:rPr>
          <w:rFonts w:ascii="Times New Roman" w:hAnsi="Times New Roman" w:cs="Times New Roman"/>
          <w:sz w:val="20"/>
          <w:szCs w:val="20"/>
          <w:lang w:eastAsia="pt-BR"/>
        </w:rPr>
        <w:t>observad</w:t>
      </w:r>
      <w:r>
        <w:rPr>
          <w:rFonts w:ascii="Times New Roman" w:hAnsi="Times New Roman" w:cs="Times New Roman"/>
          <w:sz w:val="20"/>
          <w:szCs w:val="20"/>
          <w:lang w:eastAsia="pt-BR"/>
        </w:rPr>
        <w:t>os</w:t>
      </w:r>
      <w:r w:rsidRPr="0048373D">
        <w:rPr>
          <w:rFonts w:ascii="Times New Roman" w:hAnsi="Times New Roman" w:cs="Times New Roman"/>
          <w:sz w:val="20"/>
          <w:szCs w:val="20"/>
          <w:lang w:eastAsia="pt-BR"/>
        </w:rPr>
        <w:t xml:space="preserve"> nos resultados de DRX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 e </w:t>
      </w:r>
      <w:r w:rsidR="00B2219F">
        <w:rPr>
          <w:rFonts w:ascii="Times New Roman" w:hAnsi="Times New Roman" w:cs="Times New Roman"/>
          <w:sz w:val="20"/>
          <w:szCs w:val="20"/>
          <w:lang w:eastAsia="pt-BR"/>
        </w:rPr>
        <w:t xml:space="preserve">encontrados </w:t>
      </w:r>
      <w:r>
        <w:rPr>
          <w:rFonts w:ascii="Times New Roman" w:hAnsi="Times New Roman" w:cs="Times New Roman"/>
          <w:sz w:val="20"/>
          <w:szCs w:val="20"/>
          <w:lang w:eastAsia="pt-BR"/>
        </w:rPr>
        <w:t>na literatura</w:t>
      </w:r>
      <w:r w:rsidR="006E6E6E">
        <w:rPr>
          <w:rFonts w:ascii="Times New Roman" w:hAnsi="Times New Roman" w:cs="Times New Roman"/>
          <w:sz w:val="20"/>
          <w:szCs w:val="20"/>
          <w:lang w:eastAsia="pt-BR"/>
        </w:rPr>
        <w:t xml:space="preserve"> (16)</w:t>
      </w:r>
      <w:r>
        <w:rPr>
          <w:rFonts w:ascii="Times New Roman" w:hAnsi="Times New Roman" w:cs="Times New Roman"/>
          <w:sz w:val="20"/>
          <w:szCs w:val="20"/>
          <w:lang w:eastAsia="pt-BR"/>
        </w:rPr>
        <w:t>.</w:t>
      </w:r>
    </w:p>
    <w:p w14:paraId="57F5F251" w14:textId="77777777" w:rsidR="00171B27" w:rsidRPr="00D7403D" w:rsidRDefault="00171B27" w:rsidP="0048373D">
      <w:pPr>
        <w:spacing w:after="0" w:line="240" w:lineRule="exact"/>
        <w:ind w:firstLine="18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</w:p>
    <w:p w14:paraId="32F2DB9D" w14:textId="557FC697" w:rsidR="00B47DE3" w:rsidRDefault="00B47DE3" w:rsidP="00B47DE3">
      <w:pPr>
        <w:jc w:val="center"/>
      </w:pPr>
    </w:p>
    <w:p w14:paraId="3BBC5B9E" w14:textId="21F2749C" w:rsidR="00B24AC5" w:rsidRDefault="00B24AC5" w:rsidP="00B47DE3">
      <w:pPr>
        <w:jc w:val="center"/>
      </w:pPr>
    </w:p>
    <w:p w14:paraId="3850EFE1" w14:textId="6D7051C5" w:rsidR="00D7403D" w:rsidRDefault="00D7403D" w:rsidP="00D7403D">
      <w:pPr>
        <w:jc w:val="center"/>
      </w:pPr>
    </w:p>
    <w:p w14:paraId="7724C9EB" w14:textId="433FB36B" w:rsidR="00F56B68" w:rsidRDefault="00F56B68" w:rsidP="00D7403D">
      <w:pPr>
        <w:jc w:val="center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5698117B" wp14:editId="700F795A">
                <wp:simplePos x="0" y="0"/>
                <wp:positionH relativeFrom="column">
                  <wp:posOffset>1862299</wp:posOffset>
                </wp:positionH>
                <wp:positionV relativeFrom="paragraph">
                  <wp:posOffset>97122</wp:posOffset>
                </wp:positionV>
                <wp:extent cx="914400" cy="296883"/>
                <wp:effectExtent l="0" t="0" r="0" b="0"/>
                <wp:wrapNone/>
                <wp:docPr id="21" name="Caixa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68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01E765" w14:textId="1EC90DB4" w:rsidR="00F56B68" w:rsidRPr="00DE2AF1" w:rsidRDefault="00F56B68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E2AF1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2,4-D/HDL-A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8117B" id="_x0000_t202" coordsize="21600,21600" o:spt="202" path="m,l,21600r21600,l21600,xe">
                <v:stroke joinstyle="miter"/>
                <v:path gradientshapeok="t" o:connecttype="rect"/>
              </v:shapetype>
              <v:shape id="Caixa de Texto 21" o:spid="_x0000_s1028" type="#_x0000_t202" style="position:absolute;left:0;text-align:left;margin-left:146.65pt;margin-top:7.65pt;width:1in;height:23.4pt;z-index:251661311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/V+FgIAADAEAAAOAAAAZHJzL2Uyb0RvYy54bWysU8tu2zAQvBfIPxC8x5Idx3UEy4GbwEUB&#10;IwngFDnTFGkJILkESVtyv75Lyi+kPRW9rJbc1T5mhrPHTiuyF843YEo6HOSUCMOhasy2pD/fl7dT&#10;SnxgpmIKjCjpQXj6OL/5MmttIUZQg6qEI1jE+KK1Ja1DsEWWeV4LzfwArDAYlOA0C3h026xyrMXq&#10;WmWjPJ9kLbjKOuDCe7x97oN0nupLKXh4ldKLQFRJcbaQrEt2E202n7Fi65itG34cg/3DFJo1Bpue&#10;Sz2zwMjONX+U0g134EGGAQedgZQNF2kH3GaYf9pmXTMr0i4IjrdnmPz/K8tf9mv75kjovkGHBEZA&#10;WusLj5dxn046Hb84KcE4Qng4wya6QDhePgzH4xwjHEOjh8l0eherZJefrfPhuwBNolNSh6wksNh+&#10;5UOfekqJvQwsG6USM8qQtqSTu/s8/XCOYHFlsMdl1OiFbtORpsIpTmtsoDrgdg564r3lywZnWDEf&#10;3phDpnFsVG94RSMVYC84epTU4H797T7mIwEYpaRF5ZTUoLQpUT8MEpPAQKGlw/j+6wg7uOvI5jpi&#10;dvoJUJpDfCWWJzfmB3VypQP9gRJfxJ4YYoZj55KGk/sUejXjE+FisUhJKC3LwsqsLY+lI6YR3/fu&#10;gzl7JCEgey9wUhgrPnHR5/ZsLHYBZJOIiij3mB7BR1kmqo9PKOr++pyyLg99/hsAAP//AwBQSwME&#10;FAAGAAgAAAAhAO0IjSXiAAAACQEAAA8AAABkcnMvZG93bnJldi54bWxMj8FOwzAQRO9I/IO1SFxQ&#10;6zSBACFOBUigClEQLUI9uvESR43tyHba9O9ZTnDaXc1o9k05H03H9uhD66yA2TQBhrZ2qrWNgM/1&#10;0+QGWIjSKtk5iwKOGGBenZ6UslDuYD9wv4oNoxAbCilAx9gXnIdao5Fh6nq0pH07b2Sk0zdceXmg&#10;cNPxNElybmRr6YOWPT5qrHerwQjY6ZeL9+R5+fCVL47+bT24jX/dCHF+Nt7fAYs4xj8z/OITOlTE&#10;tHWDVYF1AtLbLCMrCVc0yXCZXdOyFZCnM+BVyf83qH4AAAD//wMAUEsBAi0AFAAGAAgAAAAhALaD&#10;OJL+AAAA4QEAABMAAAAAAAAAAAAAAAAAAAAAAFtDb250ZW50X1R5cGVzXS54bWxQSwECLQAUAAYA&#10;CAAAACEAOP0h/9YAAACUAQAACwAAAAAAAAAAAAAAAAAvAQAAX3JlbHMvLnJlbHNQSwECLQAUAAYA&#10;CAAAACEAbMf1fhYCAAAwBAAADgAAAAAAAAAAAAAAAAAuAgAAZHJzL2Uyb0RvYy54bWxQSwECLQAU&#10;AAYACAAAACEA7QiNJeIAAAAJAQAADwAAAAAAAAAAAAAAAABwBAAAZHJzL2Rvd25yZXYueG1sUEsF&#10;BgAAAAAEAAQA8wAAAH8FAAAAAA==&#10;" filled="f" stroked="f" strokeweight=".5pt">
                <v:textbox>
                  <w:txbxContent>
                    <w:p w14:paraId="5301E765" w14:textId="1EC90DB4" w:rsidR="00F56B68" w:rsidRPr="00DE2AF1" w:rsidRDefault="00F56B68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DE2AF1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2,4-D/HDL-A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 wp14:anchorId="3AFD9B14" wp14:editId="42F85552">
            <wp:extent cx="2873829" cy="2297617"/>
            <wp:effectExtent l="0" t="0" r="3175" b="7620"/>
            <wp:docPr id="11" name="Imagem 11" descr="Foto em preto e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1" descr="Foto em preto e bran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441" cy="229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893E1" w14:textId="0ABF0F6D" w:rsidR="00F56B68" w:rsidRDefault="00DE2AF1" w:rsidP="00D7403D">
      <w:pPr>
        <w:jc w:val="center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59" behindDoc="0" locked="0" layoutInCell="1" allowOverlap="1" wp14:anchorId="21F385B7" wp14:editId="2E44B998">
                <wp:simplePos x="0" y="0"/>
                <wp:positionH relativeFrom="column">
                  <wp:posOffset>1885983</wp:posOffset>
                </wp:positionH>
                <wp:positionV relativeFrom="paragraph">
                  <wp:posOffset>105789</wp:posOffset>
                </wp:positionV>
                <wp:extent cx="914400" cy="296883"/>
                <wp:effectExtent l="0" t="0" r="0" b="0"/>
                <wp:wrapNone/>
                <wp:docPr id="23" name="Caixa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68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B5363A" w14:textId="062353EF" w:rsidR="00DE2AF1" w:rsidRPr="00DE2AF1" w:rsidRDefault="00DE2AF1" w:rsidP="00DE2AF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E2AF1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2,4-D/HDL-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385B7" id="Caixa de Texto 23" o:spid="_x0000_s1029" type="#_x0000_t202" style="position:absolute;left:0;text-align:left;margin-left:148.5pt;margin-top:8.35pt;width:1in;height:23.4pt;z-index:251663359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hLiFgIAADAEAAAOAAAAZHJzL2Uyb0RvYy54bWysU8tu2zAQvBfIPxC8x5Idx3UEy4GbwEUB&#10;IwngFDnTFGkRoLgESVtyv75Lyi+kPRW9UMvd1T5mhrPHrtFkL5xXYEo6HOSUCMOhUmZb0p/vy9sp&#10;JT4wUzENRpT0IDx9nN98mbW2ECOoQVfCESxifNHaktYh2CLLPK9Fw/wArDAYlOAaFvDqtlnlWIvV&#10;G52N8nySteAq64AL79H73AfpPNWXUvDwKqUXgeiS4mwhnS6dm3hm8xkrto7ZWvHjGOwfpmiYMtj0&#10;XOqZBUZ2Tv1RqlHcgQcZBhyaDKRUXKQdcJth/mmbdc2sSLsgON6eYfL/ryx/2a/tmyOh+wYdEhgB&#10;aa0vPDrjPp10TfzipATjCOHhDJvoAuHofBiOxzlGOIZGD5Pp9C5WyS4/W+fDdwENiUZJHbKSwGL7&#10;lQ996ikl9jKwVFonZrQhbUknd/d5+uEcweLaYI/LqNEK3aYjqippGiB6NlAdcDsHPfHe8qXCGVbM&#10;hzfmkGkcG9UbXvGQGrAXHC1KanC//uaP+UgARilpUTklNShtSvQPg8QkMFBo6TK+/zrCDu46srmO&#10;mF3zBCjNIb4Sy5MZ84M+mdJB84ESX8SeGGKGY+eShpP5FHo14xPhYrFISSgty8LKrC2PpSOmEd/3&#10;7oM5eyQhIHsvcFIYKz5x0ef2bCx2AaRKRF0wPYKPskxUH59Q1P31PWVdHvr8NwAAAP//AwBQSwME&#10;FAAGAAgAAAAhANuQThLiAAAACQEAAA8AAABkcnMvZG93bnJldi54bWxMj8FOwzAQRO9I/IO1SFxQ&#10;67SUFEKcCpBACEERLUI9uskSR43Xke206d+znOC4M6PZN/lisK3Yow+NIwWTcQICqXRVQ7WCz/Xj&#10;6BpEiJoq3TpCBUcMsChOT3KdVe5AH7hfxVpwCYVMKzAxdpmUoTRodRi7Dom9b+etjnz6WlZeH7jc&#10;tnKaJKm0uiH+YHSHDwbL3aq3Cnbm5eI9eXq7/0qfj3657t3Gv26UOj8b7m5BRBziXxh+8RkdCmba&#10;up6qIFoF05s5b4lspHMQHJjNJixsFaSXVyCLXP5fUPwAAAD//wMAUEsBAi0AFAAGAAgAAAAhALaD&#10;OJL+AAAA4QEAABMAAAAAAAAAAAAAAAAAAAAAAFtDb250ZW50X1R5cGVzXS54bWxQSwECLQAUAAYA&#10;CAAAACEAOP0h/9YAAACUAQAACwAAAAAAAAAAAAAAAAAvAQAAX3JlbHMvLnJlbHNQSwECLQAUAAYA&#10;CAAAACEAUGIS4hYCAAAwBAAADgAAAAAAAAAAAAAAAAAuAgAAZHJzL2Uyb0RvYy54bWxQSwECLQAU&#10;AAYACAAAACEA25BOEuIAAAAJAQAADwAAAAAAAAAAAAAAAABwBAAAZHJzL2Rvd25yZXYueG1sUEsF&#10;BgAAAAAEAAQA8wAAAH8FAAAAAA==&#10;" filled="f" stroked="f" strokeweight=".5pt">
                <v:textbox>
                  <w:txbxContent>
                    <w:p w14:paraId="71B5363A" w14:textId="062353EF" w:rsidR="00DE2AF1" w:rsidRPr="00DE2AF1" w:rsidRDefault="00DE2AF1" w:rsidP="00DE2AF1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DE2AF1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2,4-D/HDL-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F56B68">
        <w:rPr>
          <w:noProof/>
          <w:lang w:eastAsia="pt-BR"/>
        </w:rPr>
        <w:drawing>
          <wp:inline distT="0" distB="0" distL="0" distR="0" wp14:anchorId="39C10DDD" wp14:editId="7F616559">
            <wp:extent cx="2871718" cy="2295929"/>
            <wp:effectExtent l="0" t="0" r="5080" b="9525"/>
            <wp:docPr id="13" name="Imagem 13" descr="Foto em preto e branco com comida dentr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m 13" descr="Foto em preto e branco com comida dentr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540" cy="2301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5E448" w14:textId="5EBF788D" w:rsidR="00F56B68" w:rsidRDefault="00DE2AF1" w:rsidP="00D7403D">
      <w:pPr>
        <w:jc w:val="center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7" behindDoc="0" locked="0" layoutInCell="1" allowOverlap="1" wp14:anchorId="64D64068" wp14:editId="42DD9FAD">
                <wp:simplePos x="0" y="0"/>
                <wp:positionH relativeFrom="column">
                  <wp:posOffset>1898773</wp:posOffset>
                </wp:positionH>
                <wp:positionV relativeFrom="paragraph">
                  <wp:posOffset>102359</wp:posOffset>
                </wp:positionV>
                <wp:extent cx="914400" cy="296883"/>
                <wp:effectExtent l="0" t="0" r="0" b="0"/>
                <wp:wrapNone/>
                <wp:docPr id="24" name="Caixa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68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F2A0D1" w14:textId="4B068DEE" w:rsidR="00DE2AF1" w:rsidRPr="00DE2AF1" w:rsidRDefault="00DE2AF1" w:rsidP="00DE2AF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E2AF1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2,4-D/HDL-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64068" id="Caixa de Texto 24" o:spid="_x0000_s1030" type="#_x0000_t202" style="position:absolute;left:0;text-align:left;margin-left:149.5pt;margin-top:8.05pt;width:1in;height:23.4pt;z-index:251665407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UaCFwIAADAEAAAOAAAAZHJzL2Uyb0RvYy54bWysU8tu2zAQvBfIPxC8x5Idx3UEy4GbwEUB&#10;IwngFDnTFGkJILkESVtyv75Lyi+kPRW9rJbc1T5mhrPHTiuyF843YEo6HOSUCMOhasy2pD/fl7dT&#10;SnxgpmIKjCjpQXj6OL/5MmttIUZQg6qEI1jE+KK1Ja1DsEWWeV4LzfwArDAYlOA0C3h026xyrMXq&#10;WmWjPJ9kLbjKOuDCe7x97oN0nupLKXh4ldKLQFRJcbaQrEt2E202n7Fi65itG34cg/3DFJo1Bpue&#10;Sz2zwMjONX+U0g134EGGAQedgZQNF2kH3GaYf9pmXTMr0i4IjrdnmPz/K8tf9mv75kjovkGHBEZA&#10;WusLj5dxn046Hb84KcE4Qng4wya6QDhePgzH4xwjHEOjh8l0eherZJefrfPhuwBNolNSh6wksNh+&#10;5UOfekqJvQwsG6USM8qQtqSTu/s8/XCOYHFlsMdl1OiFbtORpirp+LTGBqoDbuegJ95bvmxwhhXz&#10;4Y05ZBrHRvWGVzRSAfaCo0dJDe7X3+5jPhKAUUpaVE5JDUqbEvXDIDEJDBRaOozvv46wg7uObK4j&#10;ZqefAKU5xFdieXJjflAnVzrQHyjxReyJIWY4di5pOLlPoVczPhEuFouUhNKyLKzM2vJYOmIa8X3v&#10;PpizRxICsvcCJ4Wx4hMXfW7PxmIXQDaJqIhyj+kRfJRlovr4hKLur88p6/LQ578BAAD//wMAUEsD&#10;BBQABgAIAAAAIQCxGjs+4gAAAAkBAAAPAAAAZHJzL2Rvd25yZXYueG1sTI9PS8NAEMXvgt9hGcGL&#10;2E1jCSZmU1RQRPyDrUiP2+yYhGZnw+6mTb+940mP897jze+Vy8n2Yo8+dI4UzGcJCKTamY4aBZ/r&#10;h8trECFqMrp3hAqOGGBZnZ6UujDuQB+4X8VGcAmFQitoYxwKKUPdotVh5gYk9r6dtzry6RtpvD5w&#10;ue1lmiSZtLoj/tDqAe9brHer0SrYtc8X78nj691X9nT0b+vRbfzLRqnzs+n2BkTEKf6F4Ref0aFi&#10;pq0byQTRK0jznLdENrI5CA4sFlcsbBVkaQ6yKuX/BdUPAAAA//8DAFBLAQItABQABgAIAAAAIQC2&#10;gziS/gAAAOEBAAATAAAAAAAAAAAAAAAAAAAAAABbQ29udGVudF9UeXBlc10ueG1sUEsBAi0AFAAG&#10;AAgAAAAhADj9If/WAAAAlAEAAAsAAAAAAAAAAAAAAAAALwEAAF9yZWxzLy5yZWxzUEsBAi0AFAAG&#10;AAgAAAAhAGYVRoIXAgAAMAQAAA4AAAAAAAAAAAAAAAAALgIAAGRycy9lMm9Eb2MueG1sUEsBAi0A&#10;FAAGAAgAAAAhALEaOz7iAAAACQEAAA8AAAAAAAAAAAAAAAAAcQQAAGRycy9kb3ducmV2LnhtbFBL&#10;BQYAAAAABAAEAPMAAACABQAAAAA=&#10;" filled="f" stroked="f" strokeweight=".5pt">
                <v:textbox>
                  <w:txbxContent>
                    <w:p w14:paraId="7EF2A0D1" w14:textId="4B068DEE" w:rsidR="00DE2AF1" w:rsidRPr="00DE2AF1" w:rsidRDefault="00DE2AF1" w:rsidP="00DE2AF1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DE2AF1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2,4-D/HDL-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F56B68">
        <w:rPr>
          <w:noProof/>
          <w:lang w:eastAsia="pt-BR"/>
        </w:rPr>
        <w:drawing>
          <wp:inline distT="0" distB="0" distL="0" distR="0" wp14:anchorId="64C35621" wp14:editId="69A75F9F">
            <wp:extent cx="2873829" cy="2297617"/>
            <wp:effectExtent l="0" t="0" r="3175" b="7620"/>
            <wp:docPr id="17" name="Imagem 17" descr="Uma imagem contendo comida, perto, mesa, seguran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m 17" descr="Uma imagem contendo comida, perto, mesa, segurand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311" cy="2304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1D085" w14:textId="5189B917" w:rsidR="00D7403D" w:rsidRDefault="00D7403D" w:rsidP="00A91505">
      <w:pPr>
        <w:pStyle w:val="VAFigureCaption"/>
        <w:spacing w:before="0"/>
        <w:jc w:val="center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 w:rsidR="00CC14E9">
        <w:rPr>
          <w:rFonts w:ascii="Times New Roman" w:hAnsi="Times New Roman"/>
          <w:b/>
          <w:lang w:val="pt-BR"/>
        </w:rPr>
        <w:t>3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 w:rsidR="00862532">
        <w:rPr>
          <w:rFonts w:ascii="Times New Roman" w:hAnsi="Times New Roman"/>
          <w:lang w:val="pt-BR"/>
        </w:rPr>
        <w:t xml:space="preserve">Micrografias </w:t>
      </w:r>
      <w:r w:rsidR="00A91505">
        <w:rPr>
          <w:rFonts w:ascii="Times New Roman" w:hAnsi="Times New Roman"/>
          <w:lang w:val="pt-BR"/>
        </w:rPr>
        <w:t xml:space="preserve">dos nanocompósitos híbridos </w:t>
      </w:r>
      <w:r w:rsidR="00862532">
        <w:rPr>
          <w:rFonts w:ascii="Times New Roman" w:hAnsi="Times New Roman"/>
          <w:lang w:val="pt-BR"/>
        </w:rPr>
        <w:t>obtidas no MEV</w:t>
      </w:r>
      <w:r>
        <w:rPr>
          <w:rFonts w:ascii="Times New Roman" w:hAnsi="Times New Roman"/>
          <w:lang w:val="pt-BR"/>
        </w:rPr>
        <w:t>.</w:t>
      </w:r>
    </w:p>
    <w:p w14:paraId="43F84BF5" w14:textId="4B24DB23" w:rsidR="00FA6911" w:rsidRDefault="00FA6911" w:rsidP="00A61B71">
      <w:pPr>
        <w:spacing w:after="0" w:line="240" w:lineRule="exact"/>
        <w:ind w:firstLine="18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</w:p>
    <w:p w14:paraId="066D4D84" w14:textId="77777777" w:rsidR="00F6651D" w:rsidRDefault="00F6651D" w:rsidP="00353371">
      <w:pPr>
        <w:spacing w:after="0" w:line="240" w:lineRule="exact"/>
        <w:ind w:firstLine="187"/>
        <w:jc w:val="both"/>
        <w:rPr>
          <w:rFonts w:ascii="Times New Roman" w:hAnsi="Times New Roman" w:cs="Times New Roman"/>
          <w:sz w:val="20"/>
          <w:szCs w:val="20"/>
        </w:rPr>
      </w:pPr>
    </w:p>
    <w:p w14:paraId="77B9DE6F" w14:textId="77777777" w:rsidR="00F6651D" w:rsidRDefault="00F6651D" w:rsidP="00353371">
      <w:pPr>
        <w:spacing w:after="0" w:line="240" w:lineRule="exact"/>
        <w:ind w:firstLine="187"/>
        <w:jc w:val="both"/>
        <w:rPr>
          <w:rFonts w:ascii="Times New Roman" w:hAnsi="Times New Roman" w:cs="Times New Roman"/>
          <w:sz w:val="20"/>
          <w:szCs w:val="20"/>
        </w:rPr>
      </w:pPr>
    </w:p>
    <w:p w14:paraId="349B6DD3" w14:textId="77777777" w:rsidR="00F6651D" w:rsidRDefault="00F6651D" w:rsidP="00353371">
      <w:pPr>
        <w:spacing w:after="0" w:line="240" w:lineRule="exact"/>
        <w:ind w:firstLine="187"/>
        <w:jc w:val="both"/>
        <w:rPr>
          <w:rFonts w:ascii="Times New Roman" w:hAnsi="Times New Roman" w:cs="Times New Roman"/>
          <w:sz w:val="20"/>
          <w:szCs w:val="20"/>
        </w:rPr>
      </w:pPr>
    </w:p>
    <w:p w14:paraId="7BBE56B8" w14:textId="4549B394" w:rsidR="00D7403D" w:rsidRDefault="00AF726A" w:rsidP="00353371">
      <w:pPr>
        <w:spacing w:after="0" w:line="240" w:lineRule="exact"/>
        <w:ind w:firstLine="18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</w:t>
      </w:r>
      <w:r w:rsidR="00A61B71" w:rsidRPr="00A61B71">
        <w:rPr>
          <w:rFonts w:ascii="Times New Roman" w:hAnsi="Times New Roman" w:cs="Times New Roman"/>
          <w:sz w:val="20"/>
          <w:szCs w:val="20"/>
        </w:rPr>
        <w:t>análise termogravimétrica</w:t>
      </w:r>
      <w:r w:rsidR="006070D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D3C30">
        <w:rPr>
          <w:rFonts w:ascii="Times New Roman" w:hAnsi="Times New Roman" w:cs="Times New Roman"/>
          <w:sz w:val="20"/>
          <w:szCs w:val="20"/>
        </w:rPr>
        <w:t xml:space="preserve">Figura </w:t>
      </w:r>
      <w:r w:rsidR="009E7DB7">
        <w:rPr>
          <w:rFonts w:ascii="Times New Roman" w:hAnsi="Times New Roman" w:cs="Times New Roman"/>
          <w:sz w:val="20"/>
          <w:szCs w:val="20"/>
        </w:rPr>
        <w:t>4</w:t>
      </w:r>
      <w:r w:rsidR="006070D5">
        <w:rPr>
          <w:rFonts w:ascii="Times New Roman" w:hAnsi="Times New Roman" w:cs="Times New Roman"/>
          <w:sz w:val="20"/>
          <w:szCs w:val="20"/>
        </w:rPr>
        <w:t>, mostr</w:t>
      </w:r>
      <w:r w:rsidR="00B2219F">
        <w:rPr>
          <w:rFonts w:ascii="Times New Roman" w:hAnsi="Times New Roman" w:cs="Times New Roman"/>
          <w:sz w:val="20"/>
          <w:szCs w:val="20"/>
        </w:rPr>
        <w:t>ou</w:t>
      </w:r>
      <w:r w:rsidR="006070D5">
        <w:rPr>
          <w:rFonts w:ascii="Times New Roman" w:hAnsi="Times New Roman" w:cs="Times New Roman"/>
          <w:sz w:val="20"/>
          <w:szCs w:val="20"/>
        </w:rPr>
        <w:t xml:space="preserve"> </w:t>
      </w:r>
      <w:r w:rsidR="00A61B71" w:rsidRPr="00A61B71">
        <w:rPr>
          <w:rFonts w:ascii="Times New Roman" w:hAnsi="Times New Roman" w:cs="Times New Roman"/>
          <w:sz w:val="20"/>
          <w:szCs w:val="20"/>
        </w:rPr>
        <w:t>que as amostras</w:t>
      </w:r>
      <w:r w:rsidR="00447F18">
        <w:rPr>
          <w:rFonts w:ascii="Times New Roman" w:hAnsi="Times New Roman" w:cs="Times New Roman"/>
          <w:sz w:val="20"/>
          <w:szCs w:val="20"/>
        </w:rPr>
        <w:t xml:space="preserve"> </w:t>
      </w:r>
      <w:r w:rsidR="00B2219F">
        <w:rPr>
          <w:rFonts w:ascii="Times New Roman" w:hAnsi="Times New Roman" w:cs="Times New Roman"/>
          <w:sz w:val="20"/>
          <w:szCs w:val="20"/>
        </w:rPr>
        <w:t>preparadas com o 2,4-D</w:t>
      </w:r>
      <w:r w:rsidR="00A61B71" w:rsidRPr="00A61B71">
        <w:rPr>
          <w:rFonts w:ascii="Times New Roman" w:hAnsi="Times New Roman" w:cs="Times New Roman"/>
          <w:sz w:val="20"/>
          <w:szCs w:val="20"/>
        </w:rPr>
        <w:t xml:space="preserve"> apresentaram perfis </w:t>
      </w:r>
      <w:r w:rsidR="006070D5">
        <w:rPr>
          <w:rFonts w:ascii="Times New Roman" w:hAnsi="Times New Roman" w:cs="Times New Roman"/>
          <w:sz w:val="20"/>
          <w:szCs w:val="20"/>
        </w:rPr>
        <w:t xml:space="preserve">de perdas de massa </w:t>
      </w:r>
      <w:r w:rsidR="00A61B71" w:rsidRPr="00A61B71">
        <w:rPr>
          <w:rFonts w:ascii="Times New Roman" w:hAnsi="Times New Roman" w:cs="Times New Roman"/>
          <w:sz w:val="20"/>
          <w:szCs w:val="20"/>
        </w:rPr>
        <w:t>muito parecidos</w:t>
      </w:r>
      <w:r w:rsidR="006070D5">
        <w:rPr>
          <w:rFonts w:ascii="Times New Roman" w:hAnsi="Times New Roman" w:cs="Times New Roman"/>
          <w:sz w:val="20"/>
          <w:szCs w:val="20"/>
        </w:rPr>
        <w:t>. As</w:t>
      </w:r>
      <w:r w:rsidR="00A61B71" w:rsidRPr="00A61B71">
        <w:rPr>
          <w:rFonts w:ascii="Times New Roman" w:hAnsi="Times New Roman" w:cs="Times New Roman"/>
          <w:sz w:val="20"/>
          <w:szCs w:val="20"/>
        </w:rPr>
        <w:t xml:space="preserve"> amostras 2,4-D/HDL-A e 2,4-D/HDL-B apresentam regiões bem definidas de perda de massa</w:t>
      </w:r>
      <w:r w:rsidR="003C2EFE">
        <w:rPr>
          <w:rFonts w:ascii="Times New Roman" w:hAnsi="Times New Roman" w:cs="Times New Roman"/>
          <w:sz w:val="20"/>
          <w:szCs w:val="20"/>
        </w:rPr>
        <w:t>. N</w:t>
      </w:r>
      <w:r w:rsidR="00353371">
        <w:rPr>
          <w:rFonts w:ascii="Times New Roman" w:hAnsi="Times New Roman" w:cs="Times New Roman"/>
          <w:sz w:val="20"/>
          <w:szCs w:val="20"/>
        </w:rPr>
        <w:t>a</w:t>
      </w:r>
      <w:r w:rsidR="006070D5">
        <w:rPr>
          <w:rFonts w:ascii="Times New Roman" w:hAnsi="Times New Roman" w:cs="Times New Roman"/>
          <w:sz w:val="20"/>
          <w:szCs w:val="20"/>
        </w:rPr>
        <w:t xml:space="preserve"> faixa de </w:t>
      </w:r>
      <w:r w:rsidR="00A61B71" w:rsidRPr="00A61B71">
        <w:rPr>
          <w:rFonts w:ascii="Times New Roman" w:hAnsi="Times New Roman" w:cs="Times New Roman"/>
          <w:sz w:val="20"/>
          <w:szCs w:val="20"/>
        </w:rPr>
        <w:t>0</w:t>
      </w:r>
      <w:r w:rsidR="006070D5">
        <w:rPr>
          <w:rFonts w:ascii="Times New Roman" w:hAnsi="Times New Roman" w:cs="Times New Roman"/>
          <w:sz w:val="20"/>
          <w:szCs w:val="20"/>
        </w:rPr>
        <w:t xml:space="preserve"> ºC</w:t>
      </w:r>
      <w:r w:rsidR="00A61B71" w:rsidRPr="00A61B71">
        <w:rPr>
          <w:rFonts w:ascii="Times New Roman" w:hAnsi="Times New Roman" w:cs="Times New Roman"/>
          <w:sz w:val="20"/>
          <w:szCs w:val="20"/>
        </w:rPr>
        <w:t xml:space="preserve"> </w:t>
      </w:r>
      <w:r w:rsidR="006070D5">
        <w:rPr>
          <w:rFonts w:ascii="Times New Roman" w:hAnsi="Times New Roman" w:cs="Times New Roman"/>
          <w:sz w:val="20"/>
          <w:szCs w:val="20"/>
        </w:rPr>
        <w:t>a</w:t>
      </w:r>
      <w:r w:rsidR="00A61B71" w:rsidRPr="00A61B71">
        <w:rPr>
          <w:rFonts w:ascii="Times New Roman" w:hAnsi="Times New Roman" w:cs="Times New Roman"/>
          <w:sz w:val="20"/>
          <w:szCs w:val="20"/>
        </w:rPr>
        <w:t xml:space="preserve"> 150 º</w:t>
      </w:r>
      <w:r w:rsidR="00353371">
        <w:rPr>
          <w:rFonts w:ascii="Times New Roman" w:hAnsi="Times New Roman" w:cs="Times New Roman"/>
          <w:sz w:val="20"/>
          <w:szCs w:val="20"/>
        </w:rPr>
        <w:t>C a perda foi de, a</w:t>
      </w:r>
      <w:r w:rsidR="00A61B71" w:rsidRPr="00A61B71">
        <w:rPr>
          <w:rFonts w:ascii="Times New Roman" w:hAnsi="Times New Roman" w:cs="Times New Roman"/>
          <w:sz w:val="20"/>
          <w:szCs w:val="20"/>
        </w:rPr>
        <w:t>proximadamente</w:t>
      </w:r>
      <w:r w:rsidR="00353371">
        <w:rPr>
          <w:rFonts w:ascii="Times New Roman" w:hAnsi="Times New Roman" w:cs="Times New Roman"/>
          <w:sz w:val="20"/>
          <w:szCs w:val="20"/>
        </w:rPr>
        <w:t>,</w:t>
      </w:r>
      <w:r w:rsidR="00A61B71" w:rsidRPr="00A61B71">
        <w:rPr>
          <w:rFonts w:ascii="Times New Roman" w:hAnsi="Times New Roman" w:cs="Times New Roman"/>
          <w:sz w:val="20"/>
          <w:szCs w:val="20"/>
        </w:rPr>
        <w:t xml:space="preserve"> 12,5%</w:t>
      </w:r>
      <w:r w:rsidR="00353371">
        <w:rPr>
          <w:rFonts w:ascii="Times New Roman" w:hAnsi="Times New Roman" w:cs="Times New Roman"/>
          <w:sz w:val="20"/>
          <w:szCs w:val="20"/>
        </w:rPr>
        <w:t xml:space="preserve">, que corresponde à uma perda de </w:t>
      </w:r>
      <w:r w:rsidR="00A61B71" w:rsidRPr="00A61B71">
        <w:rPr>
          <w:rFonts w:ascii="Times New Roman" w:hAnsi="Times New Roman" w:cs="Times New Roman"/>
          <w:sz w:val="20"/>
          <w:szCs w:val="20"/>
        </w:rPr>
        <w:t xml:space="preserve">água presente no interior da amostra. A </w:t>
      </w:r>
      <w:r w:rsidR="00353371">
        <w:rPr>
          <w:rFonts w:ascii="Times New Roman" w:hAnsi="Times New Roman" w:cs="Times New Roman"/>
          <w:sz w:val="20"/>
          <w:szCs w:val="20"/>
        </w:rPr>
        <w:t xml:space="preserve">segunda </w:t>
      </w:r>
      <w:r w:rsidR="00A61B71" w:rsidRPr="00A61B71">
        <w:rPr>
          <w:rFonts w:ascii="Times New Roman" w:hAnsi="Times New Roman" w:cs="Times New Roman"/>
          <w:sz w:val="20"/>
          <w:szCs w:val="20"/>
        </w:rPr>
        <w:t>região de perda de massa</w:t>
      </w:r>
      <w:r w:rsidR="00353371">
        <w:rPr>
          <w:rFonts w:ascii="Times New Roman" w:hAnsi="Times New Roman" w:cs="Times New Roman"/>
          <w:sz w:val="20"/>
          <w:szCs w:val="20"/>
        </w:rPr>
        <w:t xml:space="preserve"> </w:t>
      </w:r>
      <w:r w:rsidR="006070D5">
        <w:rPr>
          <w:rFonts w:ascii="Times New Roman" w:hAnsi="Times New Roman" w:cs="Times New Roman"/>
          <w:sz w:val="20"/>
          <w:szCs w:val="20"/>
        </w:rPr>
        <w:t>oc</w:t>
      </w:r>
      <w:r w:rsidR="00A61B71" w:rsidRPr="00A61B71">
        <w:rPr>
          <w:rFonts w:ascii="Times New Roman" w:hAnsi="Times New Roman" w:cs="Times New Roman"/>
          <w:sz w:val="20"/>
          <w:szCs w:val="20"/>
        </w:rPr>
        <w:t>orre</w:t>
      </w:r>
      <w:r w:rsidR="006070D5">
        <w:rPr>
          <w:rFonts w:ascii="Times New Roman" w:hAnsi="Times New Roman" w:cs="Times New Roman"/>
          <w:sz w:val="20"/>
          <w:szCs w:val="20"/>
        </w:rPr>
        <w:t>u na faixa de</w:t>
      </w:r>
      <w:r w:rsidR="00A61B71" w:rsidRPr="00A61B71">
        <w:rPr>
          <w:rFonts w:ascii="Times New Roman" w:hAnsi="Times New Roman" w:cs="Times New Roman"/>
          <w:sz w:val="20"/>
          <w:szCs w:val="20"/>
        </w:rPr>
        <w:t xml:space="preserve"> </w:t>
      </w:r>
      <w:r w:rsidR="006070D5">
        <w:rPr>
          <w:rFonts w:ascii="Times New Roman" w:hAnsi="Times New Roman" w:cs="Times New Roman"/>
          <w:sz w:val="20"/>
          <w:szCs w:val="20"/>
        </w:rPr>
        <w:t xml:space="preserve">temperatura de </w:t>
      </w:r>
      <w:r w:rsidR="00A61B71" w:rsidRPr="00A61B71">
        <w:rPr>
          <w:rFonts w:ascii="Times New Roman" w:hAnsi="Times New Roman" w:cs="Times New Roman"/>
          <w:sz w:val="20"/>
          <w:szCs w:val="20"/>
        </w:rPr>
        <w:t>150</w:t>
      </w:r>
      <w:r w:rsidR="006070D5">
        <w:rPr>
          <w:rFonts w:ascii="Times New Roman" w:hAnsi="Times New Roman" w:cs="Times New Roman"/>
          <w:sz w:val="20"/>
          <w:szCs w:val="20"/>
        </w:rPr>
        <w:t xml:space="preserve"> ºC</w:t>
      </w:r>
      <w:r w:rsidR="00A61B71" w:rsidRPr="00A61B71">
        <w:rPr>
          <w:rFonts w:ascii="Times New Roman" w:hAnsi="Times New Roman" w:cs="Times New Roman"/>
          <w:sz w:val="20"/>
          <w:szCs w:val="20"/>
        </w:rPr>
        <w:t xml:space="preserve"> </w:t>
      </w:r>
      <w:r w:rsidR="006070D5">
        <w:rPr>
          <w:rFonts w:ascii="Times New Roman" w:hAnsi="Times New Roman" w:cs="Times New Roman"/>
          <w:sz w:val="20"/>
          <w:szCs w:val="20"/>
        </w:rPr>
        <w:t>a</w:t>
      </w:r>
      <w:r w:rsidR="00A61B71" w:rsidRPr="00A61B71">
        <w:rPr>
          <w:rFonts w:ascii="Times New Roman" w:hAnsi="Times New Roman" w:cs="Times New Roman"/>
          <w:sz w:val="20"/>
          <w:szCs w:val="20"/>
        </w:rPr>
        <w:t xml:space="preserve"> 250 ºC, </w:t>
      </w:r>
      <w:r w:rsidR="00353371">
        <w:rPr>
          <w:rFonts w:ascii="Times New Roman" w:hAnsi="Times New Roman" w:cs="Times New Roman"/>
          <w:sz w:val="20"/>
          <w:szCs w:val="20"/>
        </w:rPr>
        <w:t>com perda de massa de</w:t>
      </w:r>
      <w:r w:rsidR="00A61B71" w:rsidRPr="00A61B71">
        <w:rPr>
          <w:rFonts w:ascii="Times New Roman" w:hAnsi="Times New Roman" w:cs="Times New Roman"/>
          <w:sz w:val="20"/>
          <w:szCs w:val="20"/>
        </w:rPr>
        <w:t xml:space="preserve"> 7,5% </w:t>
      </w:r>
      <w:r w:rsidR="00353371">
        <w:rPr>
          <w:rFonts w:ascii="Times New Roman" w:hAnsi="Times New Roman" w:cs="Times New Roman"/>
          <w:sz w:val="20"/>
          <w:szCs w:val="20"/>
        </w:rPr>
        <w:t xml:space="preserve">correspondente </w:t>
      </w:r>
      <w:r w:rsidR="006070D5">
        <w:rPr>
          <w:rFonts w:ascii="Times New Roman" w:hAnsi="Times New Roman" w:cs="Times New Roman"/>
          <w:sz w:val="20"/>
          <w:szCs w:val="20"/>
        </w:rPr>
        <w:t>à</w:t>
      </w:r>
      <w:r w:rsidR="00A61B71" w:rsidRPr="00A61B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E0842">
        <w:rPr>
          <w:rFonts w:ascii="Times New Roman" w:hAnsi="Times New Roman" w:cs="Times New Roman"/>
          <w:sz w:val="20"/>
          <w:szCs w:val="20"/>
        </w:rPr>
        <w:t>desidroxilação</w:t>
      </w:r>
      <w:proofErr w:type="spellEnd"/>
      <w:r w:rsidR="006E6E6E">
        <w:rPr>
          <w:rFonts w:ascii="Times New Roman" w:hAnsi="Times New Roman" w:cs="Times New Roman"/>
          <w:sz w:val="20"/>
          <w:szCs w:val="20"/>
        </w:rPr>
        <w:t xml:space="preserve"> (17)</w:t>
      </w:r>
      <w:r w:rsidR="00353371">
        <w:rPr>
          <w:rFonts w:ascii="Times New Roman" w:hAnsi="Times New Roman" w:cs="Times New Roman"/>
          <w:sz w:val="20"/>
          <w:szCs w:val="20"/>
        </w:rPr>
        <w:t xml:space="preserve">. Na faixa de </w:t>
      </w:r>
      <w:r w:rsidR="00A61B71" w:rsidRPr="00A61B71">
        <w:rPr>
          <w:rFonts w:ascii="Times New Roman" w:hAnsi="Times New Roman" w:cs="Times New Roman"/>
          <w:sz w:val="20"/>
          <w:szCs w:val="20"/>
        </w:rPr>
        <w:t>250</w:t>
      </w:r>
      <w:r w:rsidR="006070D5">
        <w:rPr>
          <w:rFonts w:ascii="Times New Roman" w:hAnsi="Times New Roman" w:cs="Times New Roman"/>
          <w:sz w:val="20"/>
          <w:szCs w:val="20"/>
        </w:rPr>
        <w:t xml:space="preserve"> ºC a </w:t>
      </w:r>
      <w:r w:rsidR="00A61B71" w:rsidRPr="00A61B71">
        <w:rPr>
          <w:rFonts w:ascii="Times New Roman" w:hAnsi="Times New Roman" w:cs="Times New Roman"/>
          <w:sz w:val="20"/>
          <w:szCs w:val="20"/>
        </w:rPr>
        <w:t>5</w:t>
      </w:r>
      <w:r w:rsidR="003C2EFE">
        <w:rPr>
          <w:rFonts w:ascii="Times New Roman" w:hAnsi="Times New Roman" w:cs="Times New Roman"/>
          <w:sz w:val="20"/>
          <w:szCs w:val="20"/>
        </w:rPr>
        <w:t>0</w:t>
      </w:r>
      <w:r w:rsidR="00A61B71" w:rsidRPr="00A61B71">
        <w:rPr>
          <w:rFonts w:ascii="Times New Roman" w:hAnsi="Times New Roman" w:cs="Times New Roman"/>
          <w:sz w:val="20"/>
          <w:szCs w:val="20"/>
        </w:rPr>
        <w:t>0</w:t>
      </w:r>
      <w:r w:rsidR="006070D5">
        <w:rPr>
          <w:rFonts w:ascii="Times New Roman" w:hAnsi="Times New Roman" w:cs="Times New Roman"/>
          <w:sz w:val="20"/>
          <w:szCs w:val="20"/>
        </w:rPr>
        <w:t xml:space="preserve"> </w:t>
      </w:r>
      <w:r w:rsidR="00A61B71" w:rsidRPr="00A61B71">
        <w:rPr>
          <w:rFonts w:ascii="Times New Roman" w:hAnsi="Times New Roman" w:cs="Times New Roman"/>
          <w:sz w:val="20"/>
          <w:szCs w:val="20"/>
        </w:rPr>
        <w:t>ºC</w:t>
      </w:r>
      <w:r w:rsidR="006070D5">
        <w:rPr>
          <w:rFonts w:ascii="Times New Roman" w:hAnsi="Times New Roman" w:cs="Times New Roman"/>
          <w:sz w:val="20"/>
          <w:szCs w:val="20"/>
        </w:rPr>
        <w:t>,</w:t>
      </w:r>
      <w:r w:rsidR="00A61B71" w:rsidRPr="00A61B71">
        <w:rPr>
          <w:rFonts w:ascii="Times New Roman" w:hAnsi="Times New Roman" w:cs="Times New Roman"/>
          <w:sz w:val="20"/>
          <w:szCs w:val="20"/>
        </w:rPr>
        <w:t xml:space="preserve"> </w:t>
      </w:r>
      <w:r w:rsidR="00353371">
        <w:rPr>
          <w:rFonts w:ascii="Times New Roman" w:hAnsi="Times New Roman" w:cs="Times New Roman"/>
          <w:sz w:val="20"/>
          <w:szCs w:val="20"/>
        </w:rPr>
        <w:t xml:space="preserve">houve uma perda de massa </w:t>
      </w:r>
      <w:r w:rsidR="00975714">
        <w:rPr>
          <w:rFonts w:ascii="Times New Roman" w:hAnsi="Times New Roman" w:cs="Times New Roman"/>
          <w:sz w:val="20"/>
          <w:szCs w:val="20"/>
        </w:rPr>
        <w:t xml:space="preserve">de 30%, correspondente </w:t>
      </w:r>
      <w:r w:rsidR="006070D5">
        <w:rPr>
          <w:rFonts w:ascii="Times New Roman" w:hAnsi="Times New Roman" w:cs="Times New Roman"/>
          <w:sz w:val="20"/>
          <w:szCs w:val="20"/>
        </w:rPr>
        <w:t xml:space="preserve">à </w:t>
      </w:r>
      <w:r w:rsidR="003C2EFE">
        <w:rPr>
          <w:rFonts w:ascii="Times New Roman" w:hAnsi="Times New Roman" w:cs="Times New Roman"/>
          <w:sz w:val="20"/>
          <w:szCs w:val="20"/>
        </w:rPr>
        <w:t>decomposição</w:t>
      </w:r>
      <w:r w:rsidR="00975714">
        <w:rPr>
          <w:rFonts w:ascii="Times New Roman" w:hAnsi="Times New Roman" w:cs="Times New Roman"/>
          <w:sz w:val="20"/>
          <w:szCs w:val="20"/>
        </w:rPr>
        <w:t xml:space="preserve"> </w:t>
      </w:r>
      <w:r w:rsidR="00A61B71" w:rsidRPr="00A61B71">
        <w:rPr>
          <w:rFonts w:ascii="Times New Roman" w:hAnsi="Times New Roman" w:cs="Times New Roman"/>
          <w:sz w:val="20"/>
          <w:szCs w:val="20"/>
        </w:rPr>
        <w:t>do 2,4-D presente na interlamela do</w:t>
      </w:r>
      <w:r w:rsidR="00A61B71">
        <w:rPr>
          <w:rFonts w:ascii="Times New Roman" w:hAnsi="Times New Roman" w:cs="Times New Roman"/>
          <w:sz w:val="20"/>
          <w:szCs w:val="20"/>
        </w:rPr>
        <w:t xml:space="preserve"> </w:t>
      </w:r>
      <w:r w:rsidR="00A61B71" w:rsidRPr="00A61B71">
        <w:rPr>
          <w:rFonts w:ascii="Times New Roman" w:hAnsi="Times New Roman" w:cs="Times New Roman"/>
          <w:sz w:val="20"/>
          <w:szCs w:val="20"/>
        </w:rPr>
        <w:t>nanocompósito</w:t>
      </w:r>
      <w:r w:rsidR="006E6E6E">
        <w:rPr>
          <w:rFonts w:ascii="Times New Roman" w:hAnsi="Times New Roman" w:cs="Times New Roman"/>
          <w:sz w:val="20"/>
          <w:szCs w:val="20"/>
        </w:rPr>
        <w:t xml:space="preserve"> (18)</w:t>
      </w:r>
      <w:r w:rsidR="00975714">
        <w:rPr>
          <w:rFonts w:ascii="Times New Roman" w:hAnsi="Times New Roman" w:cs="Times New Roman"/>
          <w:sz w:val="20"/>
          <w:szCs w:val="20"/>
        </w:rPr>
        <w:t>.</w:t>
      </w:r>
    </w:p>
    <w:p w14:paraId="4C493724" w14:textId="3F07A129" w:rsidR="00CB6FBB" w:rsidRDefault="00D059E6" w:rsidP="002E5069">
      <w:pPr>
        <w:spacing w:after="0" w:line="240" w:lineRule="auto"/>
        <w:jc w:val="center"/>
        <w:rPr>
          <w:noProof/>
        </w:rPr>
      </w:pPr>
      <w:r w:rsidRPr="00D059E6">
        <w:rPr>
          <w:noProof/>
          <w:lang w:eastAsia="pt-BR"/>
        </w:rPr>
        <w:drawing>
          <wp:inline distT="0" distB="0" distL="0" distR="0" wp14:anchorId="40567246" wp14:editId="05CD624E">
            <wp:extent cx="2757662" cy="2517569"/>
            <wp:effectExtent l="0" t="0" r="5080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40" t="3930" r="3241" b="3617"/>
                    <a:stretch/>
                  </pic:blipFill>
                  <pic:spPr bwMode="auto">
                    <a:xfrm>
                      <a:off x="0" y="0"/>
                      <a:ext cx="2768122" cy="2527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059E6">
        <w:rPr>
          <w:noProof/>
          <w:lang w:eastAsia="pt-BR"/>
        </w:rPr>
        <w:drawing>
          <wp:inline distT="0" distB="0" distL="0" distR="0" wp14:anchorId="6F6E924B" wp14:editId="50B9A870">
            <wp:extent cx="2701636" cy="2538351"/>
            <wp:effectExtent l="0" t="0" r="3810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2" t="2526" r="3760" b="5470"/>
                    <a:stretch/>
                  </pic:blipFill>
                  <pic:spPr bwMode="auto">
                    <a:xfrm>
                      <a:off x="0" y="0"/>
                      <a:ext cx="2706858" cy="2543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10942E" w14:textId="79786694" w:rsidR="006D0762" w:rsidRDefault="006D0762" w:rsidP="00A91505">
      <w:pPr>
        <w:spacing w:after="0" w:line="240" w:lineRule="exact"/>
        <w:jc w:val="center"/>
        <w:rPr>
          <w:rFonts w:ascii="Times New Roman" w:hAnsi="Times New Roman"/>
        </w:rPr>
      </w:pPr>
      <w:r w:rsidRPr="00975714">
        <w:rPr>
          <w:rFonts w:ascii="Times New Roman" w:hAnsi="Times New Roman"/>
          <w:b/>
          <w:sz w:val="18"/>
          <w:szCs w:val="18"/>
        </w:rPr>
        <w:t xml:space="preserve">Figura </w:t>
      </w:r>
      <w:r w:rsidR="00CC14E9">
        <w:rPr>
          <w:rFonts w:ascii="Times New Roman" w:hAnsi="Times New Roman"/>
          <w:b/>
          <w:sz w:val="18"/>
          <w:szCs w:val="18"/>
        </w:rPr>
        <w:t>4</w:t>
      </w:r>
      <w:r w:rsidRPr="00975714">
        <w:rPr>
          <w:rFonts w:ascii="Times New Roman" w:hAnsi="Times New Roman"/>
          <w:b/>
          <w:sz w:val="18"/>
          <w:szCs w:val="18"/>
        </w:rPr>
        <w:t>.</w:t>
      </w:r>
      <w:r w:rsidRPr="00975714">
        <w:rPr>
          <w:rFonts w:ascii="Times New Roman" w:hAnsi="Times New Roman"/>
          <w:sz w:val="18"/>
          <w:szCs w:val="18"/>
        </w:rPr>
        <w:t xml:space="preserve"> </w:t>
      </w:r>
      <w:r w:rsidR="001009C2" w:rsidRPr="00975714">
        <w:rPr>
          <w:rFonts w:ascii="Times New Roman" w:hAnsi="Times New Roman"/>
          <w:sz w:val="18"/>
          <w:szCs w:val="18"/>
        </w:rPr>
        <w:t>Análise termogravimétric</w:t>
      </w:r>
      <w:r w:rsidRPr="00975714">
        <w:rPr>
          <w:rFonts w:ascii="Times New Roman" w:hAnsi="Times New Roman"/>
          <w:sz w:val="18"/>
          <w:szCs w:val="18"/>
        </w:rPr>
        <w:t>a</w:t>
      </w:r>
      <w:r w:rsidR="001009C2" w:rsidRPr="00975714">
        <w:rPr>
          <w:rFonts w:ascii="Times New Roman" w:hAnsi="Times New Roman"/>
          <w:sz w:val="18"/>
          <w:szCs w:val="18"/>
        </w:rPr>
        <w:t xml:space="preserve"> das amostras</w:t>
      </w:r>
      <w:r w:rsidR="00A91505">
        <w:rPr>
          <w:rFonts w:ascii="Times New Roman" w:hAnsi="Times New Roman"/>
          <w:sz w:val="18"/>
          <w:szCs w:val="18"/>
        </w:rPr>
        <w:t>.</w:t>
      </w:r>
    </w:p>
    <w:p w14:paraId="632ADDCA" w14:textId="77777777" w:rsidR="006D0762" w:rsidRDefault="006D0762" w:rsidP="00AF3BD6">
      <w:pPr>
        <w:spacing w:after="0" w:line="240" w:lineRule="exact"/>
        <w:ind w:firstLine="187"/>
        <w:jc w:val="both"/>
        <w:rPr>
          <w:rFonts w:ascii="Times New Roman" w:hAnsi="Times New Roman" w:cs="Times New Roman"/>
          <w:sz w:val="20"/>
          <w:szCs w:val="20"/>
        </w:rPr>
      </w:pPr>
    </w:p>
    <w:p w14:paraId="0B592154" w14:textId="511F5C5E" w:rsidR="00AF3BD6" w:rsidRDefault="001009C2" w:rsidP="00AF3BD6">
      <w:pPr>
        <w:spacing w:after="0" w:line="240" w:lineRule="exact"/>
        <w:ind w:firstLine="18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</w:t>
      </w:r>
      <w:r w:rsidR="00AF3BD6" w:rsidRPr="00AF3BD6">
        <w:rPr>
          <w:rFonts w:ascii="Times New Roman" w:hAnsi="Times New Roman" w:cs="Times New Roman"/>
          <w:sz w:val="20"/>
          <w:szCs w:val="20"/>
        </w:rPr>
        <w:t xml:space="preserve"> resultados </w:t>
      </w:r>
      <w:r>
        <w:rPr>
          <w:rFonts w:ascii="Times New Roman" w:hAnsi="Times New Roman" w:cs="Times New Roman"/>
          <w:sz w:val="20"/>
          <w:szCs w:val="20"/>
        </w:rPr>
        <w:t xml:space="preserve">termogravimétricos indicam que </w:t>
      </w:r>
      <w:r w:rsidR="00AF3BD6" w:rsidRPr="00AF3BD6">
        <w:rPr>
          <w:rFonts w:ascii="Times New Roman" w:hAnsi="Times New Roman" w:cs="Times New Roman"/>
          <w:sz w:val="20"/>
          <w:szCs w:val="20"/>
        </w:rPr>
        <w:t>o processo</w:t>
      </w:r>
      <w:r w:rsidR="00AF3BD6">
        <w:rPr>
          <w:rFonts w:ascii="Times New Roman" w:hAnsi="Times New Roman" w:cs="Times New Roman"/>
          <w:sz w:val="20"/>
          <w:szCs w:val="20"/>
        </w:rPr>
        <w:t xml:space="preserve"> </w:t>
      </w:r>
      <w:r w:rsidR="00AF3BD6" w:rsidRPr="00AF3BD6">
        <w:rPr>
          <w:rFonts w:ascii="Times New Roman" w:hAnsi="Times New Roman" w:cs="Times New Roman"/>
          <w:sz w:val="20"/>
          <w:szCs w:val="20"/>
        </w:rPr>
        <w:t>de perda de ânion interlamelar ocorre</w:t>
      </w:r>
      <w:r>
        <w:rPr>
          <w:rFonts w:ascii="Times New Roman" w:hAnsi="Times New Roman" w:cs="Times New Roman"/>
          <w:sz w:val="20"/>
          <w:szCs w:val="20"/>
        </w:rPr>
        <w:t>u</w:t>
      </w:r>
      <w:r w:rsidR="00AF3BD6" w:rsidRPr="00AF3BD6">
        <w:rPr>
          <w:rFonts w:ascii="Times New Roman" w:hAnsi="Times New Roman" w:cs="Times New Roman"/>
          <w:sz w:val="20"/>
          <w:szCs w:val="20"/>
        </w:rPr>
        <w:t xml:space="preserve"> em temperaturas diferentes quando compar</w:t>
      </w:r>
      <w:r>
        <w:rPr>
          <w:rFonts w:ascii="Times New Roman" w:hAnsi="Times New Roman" w:cs="Times New Roman"/>
          <w:sz w:val="20"/>
          <w:szCs w:val="20"/>
        </w:rPr>
        <w:t>ado com</w:t>
      </w:r>
      <w:r w:rsidR="00AF3BD6" w:rsidRPr="00AF3BD6">
        <w:rPr>
          <w:rFonts w:ascii="Times New Roman" w:hAnsi="Times New Roman" w:cs="Times New Roman"/>
          <w:sz w:val="20"/>
          <w:szCs w:val="20"/>
        </w:rPr>
        <w:t xml:space="preserve"> o HDL puro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3C2EFE">
        <w:rPr>
          <w:rFonts w:ascii="Times New Roman" w:hAnsi="Times New Roman" w:cs="Times New Roman"/>
          <w:sz w:val="20"/>
          <w:szCs w:val="20"/>
        </w:rPr>
        <w:t xml:space="preserve">A interlamela decompõe em temperatura menores no HDL </w:t>
      </w:r>
      <w:r w:rsidR="003C2EFE">
        <w:rPr>
          <w:rFonts w:ascii="Times New Roman" w:hAnsi="Times New Roman" w:cs="Times New Roman"/>
          <w:sz w:val="20"/>
          <w:szCs w:val="20"/>
        </w:rPr>
        <w:lastRenderedPageBreak/>
        <w:t>puro, enquanto nas amostras do nanocompósito híbrido decompõe em temperaturas maiores.</w:t>
      </w:r>
    </w:p>
    <w:p w14:paraId="2462215D" w14:textId="77D9B9BA" w:rsidR="00AF3BD6" w:rsidRDefault="00AF3BD6" w:rsidP="00AF3BD6">
      <w:pPr>
        <w:spacing w:after="0" w:line="240" w:lineRule="exact"/>
        <w:ind w:firstLine="187"/>
        <w:jc w:val="both"/>
        <w:rPr>
          <w:rFonts w:ascii="Times New Roman" w:hAnsi="Times New Roman" w:cs="Times New Roman"/>
          <w:sz w:val="20"/>
          <w:szCs w:val="20"/>
        </w:rPr>
      </w:pPr>
      <w:r w:rsidRPr="00AF3BD6">
        <w:rPr>
          <w:rFonts w:ascii="Times New Roman" w:hAnsi="Times New Roman" w:cs="Times New Roman"/>
          <w:sz w:val="20"/>
          <w:szCs w:val="20"/>
        </w:rPr>
        <w:t xml:space="preserve">O resultado da área específica e do volume de poros das amostras </w:t>
      </w:r>
      <w:r w:rsidRPr="006E6E6E">
        <w:rPr>
          <w:rFonts w:ascii="Times New Roman" w:hAnsi="Times New Roman" w:cs="Times New Roman"/>
          <w:sz w:val="20"/>
          <w:szCs w:val="20"/>
        </w:rPr>
        <w:t>é</w:t>
      </w:r>
      <w:r w:rsidRPr="00AF3BD6">
        <w:rPr>
          <w:rFonts w:ascii="Times New Roman" w:hAnsi="Times New Roman" w:cs="Times New Roman"/>
          <w:sz w:val="20"/>
          <w:szCs w:val="20"/>
        </w:rPr>
        <w:t xml:space="preserve"> mostrado na Tabela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AF3BD6">
        <w:rPr>
          <w:rFonts w:ascii="Times New Roman" w:hAnsi="Times New Roman" w:cs="Times New Roman"/>
          <w:sz w:val="20"/>
          <w:szCs w:val="20"/>
        </w:rPr>
        <w:t xml:space="preserve">. </w:t>
      </w:r>
      <w:r w:rsidR="006B117C">
        <w:rPr>
          <w:rFonts w:ascii="Times New Roman" w:hAnsi="Times New Roman" w:cs="Times New Roman"/>
          <w:sz w:val="20"/>
          <w:szCs w:val="20"/>
        </w:rPr>
        <w:t>Na</w:t>
      </w:r>
      <w:r w:rsidRPr="00AF3BD6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F3BD6">
        <w:rPr>
          <w:rFonts w:ascii="Times New Roman" w:hAnsi="Times New Roman" w:cs="Times New Roman"/>
          <w:sz w:val="20"/>
          <w:szCs w:val="20"/>
        </w:rPr>
        <w:t xml:space="preserve">amostras </w:t>
      </w:r>
      <w:r w:rsidR="006B117C">
        <w:rPr>
          <w:rFonts w:ascii="Times New Roman" w:hAnsi="Times New Roman" w:cs="Times New Roman"/>
          <w:sz w:val="20"/>
          <w:szCs w:val="20"/>
        </w:rPr>
        <w:t>de nanocompósito</w:t>
      </w:r>
      <w:r w:rsidRPr="00AF3BD6">
        <w:rPr>
          <w:rFonts w:ascii="Times New Roman" w:hAnsi="Times New Roman" w:cs="Times New Roman"/>
          <w:sz w:val="20"/>
          <w:szCs w:val="20"/>
        </w:rPr>
        <w:t xml:space="preserve"> observ</w:t>
      </w:r>
      <w:r w:rsidR="001009C2">
        <w:rPr>
          <w:rFonts w:ascii="Times New Roman" w:hAnsi="Times New Roman" w:cs="Times New Roman"/>
          <w:sz w:val="20"/>
          <w:szCs w:val="20"/>
        </w:rPr>
        <w:t>ou-se</w:t>
      </w:r>
      <w:r w:rsidRPr="00AF3BD6">
        <w:rPr>
          <w:rFonts w:ascii="Times New Roman" w:hAnsi="Times New Roman" w:cs="Times New Roman"/>
          <w:sz w:val="20"/>
          <w:szCs w:val="20"/>
        </w:rPr>
        <w:t xml:space="preserve"> </w:t>
      </w:r>
      <w:r w:rsidR="001009C2">
        <w:rPr>
          <w:rFonts w:ascii="Times New Roman" w:hAnsi="Times New Roman" w:cs="Times New Roman"/>
          <w:sz w:val="20"/>
          <w:szCs w:val="20"/>
        </w:rPr>
        <w:t xml:space="preserve">que </w:t>
      </w:r>
      <w:r w:rsidR="00975714">
        <w:rPr>
          <w:rFonts w:ascii="Times New Roman" w:hAnsi="Times New Roman" w:cs="Times New Roman"/>
          <w:sz w:val="20"/>
          <w:szCs w:val="20"/>
        </w:rPr>
        <w:t>o</w:t>
      </w:r>
      <w:r w:rsidR="001009C2">
        <w:rPr>
          <w:rFonts w:ascii="Times New Roman" w:hAnsi="Times New Roman" w:cs="Times New Roman"/>
          <w:sz w:val="20"/>
          <w:szCs w:val="20"/>
        </w:rPr>
        <w:t xml:space="preserve"> </w:t>
      </w:r>
      <w:r w:rsidRPr="00AF3BD6">
        <w:rPr>
          <w:rFonts w:ascii="Times New Roman" w:hAnsi="Times New Roman" w:cs="Times New Roman"/>
          <w:sz w:val="20"/>
          <w:szCs w:val="20"/>
        </w:rPr>
        <w:t xml:space="preserve">aumento da concentração da amostra </w:t>
      </w:r>
      <w:r w:rsidR="00975714">
        <w:rPr>
          <w:rFonts w:ascii="Times New Roman" w:hAnsi="Times New Roman" w:cs="Times New Roman"/>
          <w:sz w:val="20"/>
          <w:szCs w:val="20"/>
        </w:rPr>
        <w:t>2,4D/HDL-B</w:t>
      </w:r>
      <w:r w:rsidRPr="00AF3BD6">
        <w:rPr>
          <w:rFonts w:ascii="Times New Roman" w:hAnsi="Times New Roman" w:cs="Times New Roman"/>
          <w:sz w:val="20"/>
          <w:szCs w:val="20"/>
        </w:rPr>
        <w:t xml:space="preserve"> para a </w:t>
      </w:r>
      <w:r w:rsidR="00975714">
        <w:rPr>
          <w:rFonts w:ascii="Times New Roman" w:hAnsi="Times New Roman" w:cs="Times New Roman"/>
          <w:sz w:val="20"/>
          <w:szCs w:val="20"/>
        </w:rPr>
        <w:t>2,4D/HDL-</w:t>
      </w:r>
      <w:r w:rsidRPr="00AF3BD6">
        <w:rPr>
          <w:rFonts w:ascii="Times New Roman" w:hAnsi="Times New Roman" w:cs="Times New Roman"/>
          <w:sz w:val="20"/>
          <w:szCs w:val="20"/>
        </w:rPr>
        <w:t xml:space="preserve">A </w:t>
      </w:r>
      <w:r w:rsidR="00BD3C30">
        <w:rPr>
          <w:rFonts w:ascii="Times New Roman" w:hAnsi="Times New Roman" w:cs="Times New Roman"/>
          <w:sz w:val="20"/>
          <w:szCs w:val="20"/>
        </w:rPr>
        <w:t>levou a</w:t>
      </w:r>
      <w:r w:rsidR="00BD3C30" w:rsidRPr="00AF3BD6">
        <w:rPr>
          <w:rFonts w:ascii="Times New Roman" w:hAnsi="Times New Roman" w:cs="Times New Roman"/>
          <w:sz w:val="20"/>
          <w:szCs w:val="20"/>
        </w:rPr>
        <w:t xml:space="preserve"> </w:t>
      </w:r>
      <w:r w:rsidRPr="00AF3BD6">
        <w:rPr>
          <w:rFonts w:ascii="Times New Roman" w:hAnsi="Times New Roman" w:cs="Times New Roman"/>
          <w:sz w:val="20"/>
          <w:szCs w:val="20"/>
        </w:rPr>
        <w:t xml:space="preserve">um aumento na </w:t>
      </w:r>
      <w:r w:rsidRPr="00DE2AF1">
        <w:rPr>
          <w:rFonts w:ascii="Times New Roman" w:hAnsi="Times New Roman" w:cs="Times New Roman"/>
          <w:sz w:val="20"/>
          <w:szCs w:val="20"/>
        </w:rPr>
        <w:t>área superficial específica</w:t>
      </w:r>
      <w:r w:rsidR="00975714" w:rsidRPr="00DE2AF1">
        <w:rPr>
          <w:rFonts w:ascii="Times New Roman" w:hAnsi="Times New Roman" w:cs="Times New Roman"/>
          <w:sz w:val="20"/>
          <w:szCs w:val="20"/>
        </w:rPr>
        <w:t xml:space="preserve">, podendo ser </w:t>
      </w:r>
      <w:r w:rsidRPr="00DE2AF1">
        <w:rPr>
          <w:rFonts w:ascii="Times New Roman" w:hAnsi="Times New Roman" w:cs="Times New Roman"/>
          <w:sz w:val="20"/>
          <w:szCs w:val="20"/>
        </w:rPr>
        <w:t xml:space="preserve">atribuído </w:t>
      </w:r>
      <w:r w:rsidR="00DE2AF1" w:rsidRPr="00DE2AF1">
        <w:rPr>
          <w:rFonts w:ascii="Times New Roman" w:hAnsi="Times New Roman" w:cs="Times New Roman"/>
          <w:sz w:val="20"/>
          <w:szCs w:val="20"/>
        </w:rPr>
        <w:t>às partículas com tamanhos um pouco menores encontrados na amostra 2,4-D/HDL-A</w:t>
      </w:r>
      <w:r w:rsidRPr="00DE2AF1">
        <w:rPr>
          <w:rFonts w:ascii="Times New Roman" w:hAnsi="Times New Roman" w:cs="Times New Roman"/>
          <w:sz w:val="20"/>
          <w:szCs w:val="20"/>
        </w:rPr>
        <w:t>.</w:t>
      </w:r>
      <w:r w:rsidRPr="00AF3BD6">
        <w:rPr>
          <w:rFonts w:ascii="Times New Roman" w:hAnsi="Times New Roman" w:cs="Times New Roman"/>
          <w:sz w:val="20"/>
          <w:szCs w:val="20"/>
        </w:rPr>
        <w:t xml:space="preserve"> No caso da amostra </w:t>
      </w:r>
      <w:r w:rsidR="00975714">
        <w:rPr>
          <w:rFonts w:ascii="Times New Roman" w:hAnsi="Times New Roman" w:cs="Times New Roman"/>
          <w:sz w:val="20"/>
          <w:szCs w:val="20"/>
        </w:rPr>
        <w:t>2,4D/HDL-</w:t>
      </w:r>
      <w:r w:rsidRPr="00AF3BD6">
        <w:rPr>
          <w:rFonts w:ascii="Times New Roman" w:hAnsi="Times New Roman" w:cs="Times New Roman"/>
          <w:sz w:val="20"/>
          <w:szCs w:val="20"/>
        </w:rPr>
        <w:t xml:space="preserve">C, o valor da área </w:t>
      </w:r>
      <w:r w:rsidR="00975714">
        <w:rPr>
          <w:rFonts w:ascii="Times New Roman" w:hAnsi="Times New Roman" w:cs="Times New Roman"/>
          <w:sz w:val="20"/>
          <w:szCs w:val="20"/>
        </w:rPr>
        <w:t xml:space="preserve">superficial </w:t>
      </w:r>
      <w:r w:rsidRPr="00AF3BD6">
        <w:rPr>
          <w:rFonts w:ascii="Times New Roman" w:hAnsi="Times New Roman" w:cs="Times New Roman"/>
          <w:sz w:val="20"/>
          <w:szCs w:val="20"/>
        </w:rPr>
        <w:t xml:space="preserve">específica </w:t>
      </w:r>
      <w:r w:rsidR="001009C2">
        <w:rPr>
          <w:rFonts w:ascii="Times New Roman" w:hAnsi="Times New Roman" w:cs="Times New Roman"/>
          <w:sz w:val="20"/>
          <w:szCs w:val="20"/>
        </w:rPr>
        <w:t>se deve a mistura das fases cristalinas</w:t>
      </w:r>
      <w:r w:rsidRPr="00AF3BD6">
        <w:rPr>
          <w:rFonts w:ascii="Times New Roman" w:hAnsi="Times New Roman" w:cs="Times New Roman"/>
          <w:sz w:val="20"/>
          <w:szCs w:val="20"/>
        </w:rPr>
        <w:t>, do nanocompósito</w:t>
      </w:r>
      <w:r w:rsidR="00975714">
        <w:rPr>
          <w:rFonts w:ascii="Times New Roman" w:hAnsi="Times New Roman" w:cs="Times New Roman"/>
          <w:sz w:val="20"/>
          <w:szCs w:val="20"/>
        </w:rPr>
        <w:t xml:space="preserve"> 2,4D/HDL</w:t>
      </w:r>
      <w:r w:rsidRPr="00AF3BD6">
        <w:rPr>
          <w:rFonts w:ascii="Times New Roman" w:hAnsi="Times New Roman" w:cs="Times New Roman"/>
          <w:sz w:val="20"/>
          <w:szCs w:val="20"/>
        </w:rPr>
        <w:t xml:space="preserve"> e </w:t>
      </w:r>
      <w:r w:rsidR="001009C2">
        <w:rPr>
          <w:rFonts w:ascii="Times New Roman" w:hAnsi="Times New Roman" w:cs="Times New Roman"/>
          <w:sz w:val="20"/>
          <w:szCs w:val="20"/>
        </w:rPr>
        <w:t>do</w:t>
      </w:r>
      <w:r w:rsidRPr="00AF3BD6">
        <w:rPr>
          <w:rFonts w:ascii="Times New Roman" w:hAnsi="Times New Roman" w:cs="Times New Roman"/>
          <w:sz w:val="20"/>
          <w:szCs w:val="20"/>
        </w:rPr>
        <w:t xml:space="preserve"> ZnO,</w:t>
      </w:r>
      <w:r w:rsidR="001009C2">
        <w:rPr>
          <w:rFonts w:ascii="Times New Roman" w:hAnsi="Times New Roman" w:cs="Times New Roman"/>
          <w:sz w:val="20"/>
          <w:szCs w:val="20"/>
        </w:rPr>
        <w:t xml:space="preserve"> </w:t>
      </w:r>
      <w:r w:rsidRPr="00AF3BD6">
        <w:rPr>
          <w:rFonts w:ascii="Times New Roman" w:hAnsi="Times New Roman" w:cs="Times New Roman"/>
          <w:sz w:val="20"/>
          <w:szCs w:val="20"/>
        </w:rPr>
        <w:t>est</w:t>
      </w:r>
      <w:r w:rsidR="001009C2">
        <w:rPr>
          <w:rFonts w:ascii="Times New Roman" w:hAnsi="Times New Roman" w:cs="Times New Roman"/>
          <w:sz w:val="20"/>
          <w:szCs w:val="20"/>
        </w:rPr>
        <w:t>e</w:t>
      </w:r>
      <w:r w:rsidRPr="00AF3BD6">
        <w:rPr>
          <w:rFonts w:ascii="Times New Roman" w:hAnsi="Times New Roman" w:cs="Times New Roman"/>
          <w:sz w:val="20"/>
          <w:szCs w:val="20"/>
        </w:rPr>
        <w:t xml:space="preserve"> últim</w:t>
      </w:r>
      <w:r w:rsidR="001009C2">
        <w:rPr>
          <w:rFonts w:ascii="Times New Roman" w:hAnsi="Times New Roman" w:cs="Times New Roman"/>
          <w:sz w:val="20"/>
          <w:szCs w:val="20"/>
        </w:rPr>
        <w:t>o</w:t>
      </w:r>
      <w:r w:rsidRPr="00AF3BD6">
        <w:rPr>
          <w:rFonts w:ascii="Times New Roman" w:hAnsi="Times New Roman" w:cs="Times New Roman"/>
          <w:sz w:val="20"/>
          <w:szCs w:val="20"/>
        </w:rPr>
        <w:t xml:space="preserve"> se caracteriza por apresentar pequenas partículas.</w:t>
      </w:r>
    </w:p>
    <w:p w14:paraId="3B286CF7" w14:textId="77777777" w:rsidR="001009C2" w:rsidRDefault="001009C2" w:rsidP="00AF3BD6">
      <w:pPr>
        <w:spacing w:after="0" w:line="240" w:lineRule="exact"/>
        <w:ind w:firstLine="187"/>
        <w:jc w:val="both"/>
        <w:rPr>
          <w:rFonts w:ascii="Times New Roman" w:hAnsi="Times New Roman" w:cs="Times New Roman"/>
          <w:sz w:val="20"/>
          <w:szCs w:val="20"/>
        </w:rPr>
      </w:pPr>
    </w:p>
    <w:p w14:paraId="4B9CB0E7" w14:textId="0BF36C55" w:rsidR="00AF3BD6" w:rsidRPr="00E758E7" w:rsidRDefault="001009C2" w:rsidP="001009C2">
      <w:pPr>
        <w:pStyle w:val="VDTableTitle"/>
        <w:spacing w:after="120"/>
        <w:jc w:val="both"/>
        <w:rPr>
          <w:rFonts w:ascii="Times New Roman" w:hAnsi="Times New Roman"/>
          <w:sz w:val="20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Tabela </w:t>
      </w:r>
      <w:r>
        <w:rPr>
          <w:rFonts w:ascii="Times New Roman" w:hAnsi="Times New Roman"/>
          <w:b/>
          <w:lang w:val="pt-BR"/>
        </w:rPr>
        <w:t>2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Área superficial específica e Volume de poros.</w:t>
      </w:r>
    </w:p>
    <w:tbl>
      <w:tblPr>
        <w:tblW w:w="4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604"/>
        <w:gridCol w:w="1610"/>
      </w:tblGrid>
      <w:tr w:rsidR="00DE0F24" w:rsidRPr="00072C7A" w14:paraId="3B6ACC15" w14:textId="77777777" w:rsidTr="00C46F6A">
        <w:trPr>
          <w:trHeight w:val="569"/>
          <w:jc w:val="center"/>
        </w:trPr>
        <w:tc>
          <w:tcPr>
            <w:tcW w:w="1288" w:type="dxa"/>
            <w:vAlign w:val="center"/>
          </w:tcPr>
          <w:p w14:paraId="37148E9F" w14:textId="77777777" w:rsidR="00DE0F24" w:rsidRPr="005E4B7E" w:rsidRDefault="00DE0F24" w:rsidP="00B333FD">
            <w:pPr>
              <w:pStyle w:val="TCTableBody"/>
              <w:spacing w:after="0" w:line="240" w:lineRule="auto"/>
              <w:jc w:val="center"/>
            </w:pPr>
            <w:r w:rsidRPr="005E4B7E">
              <w:t>Amostra</w:t>
            </w:r>
          </w:p>
        </w:tc>
        <w:tc>
          <w:tcPr>
            <w:tcW w:w="1604" w:type="dxa"/>
            <w:vAlign w:val="center"/>
          </w:tcPr>
          <w:p w14:paraId="43D122A4" w14:textId="3906ADD1" w:rsidR="00DE0F24" w:rsidRPr="005E4B7E" w:rsidRDefault="00DE0F24" w:rsidP="00B333FD">
            <w:pPr>
              <w:pStyle w:val="TCTableBody"/>
              <w:spacing w:after="0" w:line="240" w:lineRule="auto"/>
              <w:jc w:val="center"/>
            </w:pPr>
            <w:r>
              <w:t xml:space="preserve">Área </w:t>
            </w:r>
            <w:r w:rsidR="00227CE3">
              <w:t xml:space="preserve">específica </w:t>
            </w:r>
            <w:r>
              <w:t>(m</w:t>
            </w:r>
            <w:r w:rsidRPr="00DE0F24">
              <w:rPr>
                <w:vertAlign w:val="superscript"/>
              </w:rPr>
              <w:t>2</w:t>
            </w:r>
            <w:r>
              <w:t>/g)</w:t>
            </w:r>
          </w:p>
        </w:tc>
        <w:tc>
          <w:tcPr>
            <w:tcW w:w="1610" w:type="dxa"/>
            <w:vAlign w:val="center"/>
          </w:tcPr>
          <w:p w14:paraId="78F71EF0" w14:textId="148FA23E" w:rsidR="00DE0F24" w:rsidRPr="00E758E7" w:rsidRDefault="00DE0F24" w:rsidP="00DE0F24">
            <w:pPr>
              <w:pStyle w:val="TCTableBody"/>
              <w:spacing w:after="0" w:line="240" w:lineRule="auto"/>
              <w:jc w:val="center"/>
              <w:rPr>
                <w:lang w:val="pt-BR"/>
              </w:rPr>
            </w:pPr>
            <w:r w:rsidRPr="00E758E7">
              <w:rPr>
                <w:lang w:val="pt-BR"/>
              </w:rPr>
              <w:t>Volume de poro</w:t>
            </w:r>
            <w:r w:rsidR="001009C2" w:rsidRPr="00E758E7">
              <w:rPr>
                <w:lang w:val="pt-BR"/>
              </w:rPr>
              <w:t>s</w:t>
            </w:r>
            <w:r w:rsidRPr="00E758E7">
              <w:rPr>
                <w:lang w:val="pt-BR"/>
              </w:rPr>
              <w:t xml:space="preserve"> (cm</w:t>
            </w:r>
            <w:r w:rsidRPr="00E758E7">
              <w:rPr>
                <w:vertAlign w:val="superscript"/>
                <w:lang w:val="pt-BR"/>
              </w:rPr>
              <w:t>3</w:t>
            </w:r>
            <w:r w:rsidRPr="00E758E7">
              <w:rPr>
                <w:lang w:val="pt-BR"/>
              </w:rPr>
              <w:t>/g)</w:t>
            </w:r>
          </w:p>
        </w:tc>
      </w:tr>
      <w:tr w:rsidR="00DE0F24" w:rsidRPr="00072C7A" w14:paraId="4AF400D1" w14:textId="77777777" w:rsidTr="00C46F6A">
        <w:trPr>
          <w:trHeight w:val="224"/>
          <w:jc w:val="center"/>
        </w:trPr>
        <w:tc>
          <w:tcPr>
            <w:tcW w:w="1288" w:type="dxa"/>
            <w:vAlign w:val="center"/>
          </w:tcPr>
          <w:p w14:paraId="03813345" w14:textId="77777777" w:rsidR="00DE0F24" w:rsidRPr="005E4B7E" w:rsidRDefault="00DE0F24" w:rsidP="00B333FD">
            <w:pPr>
              <w:pStyle w:val="TCTableBody"/>
              <w:spacing w:after="0" w:line="240" w:lineRule="auto"/>
              <w:jc w:val="center"/>
            </w:pPr>
            <w:r w:rsidRPr="005E4B7E">
              <w:t>2,4D/HDL-A</w:t>
            </w:r>
          </w:p>
        </w:tc>
        <w:tc>
          <w:tcPr>
            <w:tcW w:w="1604" w:type="dxa"/>
            <w:vAlign w:val="center"/>
          </w:tcPr>
          <w:p w14:paraId="0E98930B" w14:textId="53990E36" w:rsidR="00DE0F24" w:rsidRPr="005E4B7E" w:rsidRDefault="00DE0F24" w:rsidP="00B333FD">
            <w:pPr>
              <w:pStyle w:val="TCTableBody"/>
              <w:spacing w:after="0" w:line="240" w:lineRule="auto"/>
              <w:jc w:val="center"/>
            </w:pPr>
            <w:r>
              <w:t>23,9</w:t>
            </w:r>
          </w:p>
        </w:tc>
        <w:tc>
          <w:tcPr>
            <w:tcW w:w="1610" w:type="dxa"/>
            <w:vAlign w:val="center"/>
          </w:tcPr>
          <w:p w14:paraId="70E2E18E" w14:textId="3F9BBB71" w:rsidR="00DE0F24" w:rsidRPr="005E4B7E" w:rsidRDefault="00DE0F24" w:rsidP="00B333FD">
            <w:pPr>
              <w:pStyle w:val="TCTableBody"/>
              <w:spacing w:after="0" w:line="240" w:lineRule="auto"/>
              <w:jc w:val="center"/>
            </w:pPr>
            <w:r>
              <w:t>0,19</w:t>
            </w:r>
          </w:p>
        </w:tc>
      </w:tr>
      <w:tr w:rsidR="00DE0F24" w:rsidRPr="00072C7A" w14:paraId="78599B5C" w14:textId="77777777" w:rsidTr="00C46F6A">
        <w:trPr>
          <w:trHeight w:val="224"/>
          <w:jc w:val="center"/>
        </w:trPr>
        <w:tc>
          <w:tcPr>
            <w:tcW w:w="1288" w:type="dxa"/>
            <w:vAlign w:val="center"/>
          </w:tcPr>
          <w:p w14:paraId="0DD03210" w14:textId="77777777" w:rsidR="00DE0F24" w:rsidRPr="005E4B7E" w:rsidRDefault="00DE0F24" w:rsidP="00B333FD">
            <w:pPr>
              <w:pStyle w:val="TCTableBody"/>
              <w:spacing w:after="0" w:line="240" w:lineRule="auto"/>
              <w:jc w:val="center"/>
            </w:pPr>
            <w:r w:rsidRPr="005E4B7E">
              <w:t>2,4D/HDL-B</w:t>
            </w:r>
          </w:p>
        </w:tc>
        <w:tc>
          <w:tcPr>
            <w:tcW w:w="1604" w:type="dxa"/>
            <w:vAlign w:val="center"/>
          </w:tcPr>
          <w:p w14:paraId="071D4504" w14:textId="2FFC5D2F" w:rsidR="00DE0F24" w:rsidRPr="005E4B7E" w:rsidRDefault="00DE0F24" w:rsidP="00B333FD">
            <w:pPr>
              <w:pStyle w:val="TCTableBody"/>
              <w:spacing w:after="0" w:line="240" w:lineRule="auto"/>
              <w:jc w:val="center"/>
            </w:pPr>
            <w:r>
              <w:t>13,9</w:t>
            </w:r>
          </w:p>
        </w:tc>
        <w:tc>
          <w:tcPr>
            <w:tcW w:w="1610" w:type="dxa"/>
            <w:vAlign w:val="center"/>
          </w:tcPr>
          <w:p w14:paraId="4BFE5D99" w14:textId="496F3353" w:rsidR="00DE0F24" w:rsidRPr="005E4B7E" w:rsidRDefault="00DE0F24" w:rsidP="00B333FD">
            <w:pPr>
              <w:pStyle w:val="TCTableBody"/>
              <w:spacing w:after="0" w:line="240" w:lineRule="auto"/>
              <w:jc w:val="center"/>
            </w:pPr>
            <w:r>
              <w:t>0,10</w:t>
            </w:r>
          </w:p>
        </w:tc>
      </w:tr>
      <w:tr w:rsidR="00DE0F24" w:rsidRPr="00072C7A" w14:paraId="2DCAF91D" w14:textId="77777777" w:rsidTr="00C46F6A">
        <w:trPr>
          <w:trHeight w:val="224"/>
          <w:jc w:val="center"/>
        </w:trPr>
        <w:tc>
          <w:tcPr>
            <w:tcW w:w="1288" w:type="dxa"/>
            <w:vAlign w:val="center"/>
          </w:tcPr>
          <w:p w14:paraId="20A9FE07" w14:textId="77777777" w:rsidR="00DE0F24" w:rsidRPr="005E4B7E" w:rsidRDefault="00DE0F24" w:rsidP="00B333FD">
            <w:pPr>
              <w:pStyle w:val="TCTableBody"/>
              <w:spacing w:after="0" w:line="240" w:lineRule="auto"/>
              <w:jc w:val="center"/>
            </w:pPr>
            <w:r w:rsidRPr="005E4B7E">
              <w:t>2,4D/HDL-C</w:t>
            </w:r>
          </w:p>
        </w:tc>
        <w:tc>
          <w:tcPr>
            <w:tcW w:w="1604" w:type="dxa"/>
            <w:vAlign w:val="center"/>
          </w:tcPr>
          <w:p w14:paraId="348311B5" w14:textId="4BFED300" w:rsidR="00DE0F24" w:rsidRPr="005E4B7E" w:rsidRDefault="00DE0F24" w:rsidP="00B333FD">
            <w:pPr>
              <w:pStyle w:val="TCTableBody"/>
              <w:spacing w:after="0" w:line="240" w:lineRule="auto"/>
              <w:jc w:val="center"/>
            </w:pPr>
            <w:r>
              <w:t>16,4</w:t>
            </w:r>
          </w:p>
        </w:tc>
        <w:tc>
          <w:tcPr>
            <w:tcW w:w="1610" w:type="dxa"/>
            <w:vAlign w:val="center"/>
          </w:tcPr>
          <w:p w14:paraId="7BDB7957" w14:textId="244E8C8A" w:rsidR="00DE0F24" w:rsidRPr="005E4B7E" w:rsidRDefault="00DE0F24" w:rsidP="00B333FD">
            <w:pPr>
              <w:pStyle w:val="TCTableBody"/>
              <w:spacing w:after="0" w:line="240" w:lineRule="auto"/>
              <w:jc w:val="center"/>
            </w:pPr>
            <w:r>
              <w:t>0,08</w:t>
            </w:r>
          </w:p>
        </w:tc>
      </w:tr>
      <w:tr w:rsidR="00DE0F24" w:rsidRPr="00072C7A" w14:paraId="01265F64" w14:textId="77777777" w:rsidTr="00C46F6A">
        <w:trPr>
          <w:trHeight w:val="246"/>
          <w:jc w:val="center"/>
        </w:trPr>
        <w:tc>
          <w:tcPr>
            <w:tcW w:w="1288" w:type="dxa"/>
            <w:vAlign w:val="center"/>
          </w:tcPr>
          <w:p w14:paraId="5EC3A6C6" w14:textId="77777777" w:rsidR="00DE0F24" w:rsidRPr="005E4B7E" w:rsidRDefault="00DE0F24" w:rsidP="00B333FD">
            <w:pPr>
              <w:pStyle w:val="TCTableBody"/>
              <w:spacing w:after="0" w:line="240" w:lineRule="auto"/>
              <w:jc w:val="center"/>
            </w:pPr>
            <w:r w:rsidRPr="005E4B7E">
              <w:t>HDL puro</w:t>
            </w:r>
          </w:p>
        </w:tc>
        <w:tc>
          <w:tcPr>
            <w:tcW w:w="1604" w:type="dxa"/>
            <w:vAlign w:val="center"/>
          </w:tcPr>
          <w:p w14:paraId="12E1E096" w14:textId="5C0D6CE7" w:rsidR="00DE0F24" w:rsidRPr="005E4B7E" w:rsidRDefault="00DE0F24" w:rsidP="00B333FD">
            <w:pPr>
              <w:pStyle w:val="TCTableBody"/>
              <w:spacing w:after="0" w:line="240" w:lineRule="auto"/>
              <w:jc w:val="center"/>
            </w:pPr>
            <w:r>
              <w:t>28,8</w:t>
            </w:r>
          </w:p>
        </w:tc>
        <w:tc>
          <w:tcPr>
            <w:tcW w:w="1610" w:type="dxa"/>
            <w:vAlign w:val="center"/>
          </w:tcPr>
          <w:p w14:paraId="277651A1" w14:textId="300CAE2A" w:rsidR="00DE0F24" w:rsidRPr="005E4B7E" w:rsidRDefault="00DE0F24" w:rsidP="00B333FD">
            <w:pPr>
              <w:pStyle w:val="TCTableBody"/>
              <w:spacing w:after="0" w:line="240" w:lineRule="auto"/>
              <w:jc w:val="center"/>
            </w:pPr>
            <w:r>
              <w:t>0,14</w:t>
            </w:r>
          </w:p>
        </w:tc>
      </w:tr>
    </w:tbl>
    <w:p w14:paraId="2E274ACC" w14:textId="77777777" w:rsidR="006B2D06" w:rsidRDefault="006B2D06" w:rsidP="00DE0F24">
      <w:pPr>
        <w:spacing w:after="0" w:line="240" w:lineRule="exact"/>
        <w:ind w:firstLine="187"/>
        <w:jc w:val="both"/>
        <w:rPr>
          <w:rFonts w:ascii="Times New Roman" w:hAnsi="Times New Roman" w:cs="Times New Roman"/>
          <w:sz w:val="20"/>
          <w:szCs w:val="20"/>
        </w:rPr>
      </w:pPr>
    </w:p>
    <w:p w14:paraId="043F5315" w14:textId="166D480A" w:rsidR="00B24AC5" w:rsidRDefault="00DE0F24" w:rsidP="00DE0F24">
      <w:pPr>
        <w:spacing w:after="0" w:line="240" w:lineRule="exact"/>
        <w:ind w:firstLine="187"/>
        <w:jc w:val="both"/>
        <w:rPr>
          <w:rFonts w:ascii="Times New Roman" w:hAnsi="Times New Roman" w:cs="Times New Roman"/>
          <w:sz w:val="20"/>
          <w:szCs w:val="20"/>
        </w:rPr>
      </w:pPr>
      <w:r w:rsidRPr="00DE0F24">
        <w:rPr>
          <w:rFonts w:ascii="Times New Roman" w:hAnsi="Times New Roman" w:cs="Times New Roman"/>
          <w:sz w:val="20"/>
          <w:szCs w:val="20"/>
        </w:rPr>
        <w:t xml:space="preserve">Os resultados </w:t>
      </w:r>
      <w:r w:rsidR="00F1691D">
        <w:rPr>
          <w:rFonts w:ascii="Times New Roman" w:hAnsi="Times New Roman" w:cs="Times New Roman"/>
          <w:sz w:val="20"/>
          <w:szCs w:val="20"/>
        </w:rPr>
        <w:t xml:space="preserve">apresentados </w:t>
      </w:r>
      <w:r w:rsidR="006B117C">
        <w:rPr>
          <w:rFonts w:ascii="Times New Roman" w:hAnsi="Times New Roman" w:cs="Times New Roman"/>
          <w:sz w:val="20"/>
          <w:szCs w:val="20"/>
        </w:rPr>
        <w:t>s</w:t>
      </w:r>
      <w:r w:rsidR="00F1691D">
        <w:rPr>
          <w:rFonts w:ascii="Times New Roman" w:hAnsi="Times New Roman" w:cs="Times New Roman"/>
          <w:sz w:val="20"/>
          <w:szCs w:val="20"/>
        </w:rPr>
        <w:t>ão</w:t>
      </w:r>
      <w:r w:rsidRPr="00DE0F24">
        <w:rPr>
          <w:rFonts w:ascii="Times New Roman" w:hAnsi="Times New Roman" w:cs="Times New Roman"/>
          <w:sz w:val="20"/>
          <w:szCs w:val="20"/>
        </w:rPr>
        <w:t xml:space="preserve"> coerentes com o</w:t>
      </w:r>
      <w:r w:rsidR="00B95CBC">
        <w:rPr>
          <w:rFonts w:ascii="Times New Roman" w:hAnsi="Times New Roman" w:cs="Times New Roman"/>
          <w:sz w:val="20"/>
          <w:szCs w:val="20"/>
        </w:rPr>
        <w:t>s</w:t>
      </w:r>
      <w:r w:rsidRPr="00DE0F24">
        <w:rPr>
          <w:rFonts w:ascii="Times New Roman" w:hAnsi="Times New Roman" w:cs="Times New Roman"/>
          <w:sz w:val="20"/>
          <w:szCs w:val="20"/>
        </w:rPr>
        <w:t xml:space="preserve"> </w:t>
      </w:r>
      <w:r w:rsidR="00B95CBC">
        <w:rPr>
          <w:rFonts w:ascii="Times New Roman" w:hAnsi="Times New Roman" w:cs="Times New Roman"/>
          <w:sz w:val="20"/>
          <w:szCs w:val="20"/>
        </w:rPr>
        <w:t xml:space="preserve">encontrados </w:t>
      </w:r>
      <w:r w:rsidR="006B117C">
        <w:rPr>
          <w:rFonts w:ascii="Times New Roman" w:hAnsi="Times New Roman" w:cs="Times New Roman"/>
          <w:sz w:val="20"/>
          <w:szCs w:val="20"/>
        </w:rPr>
        <w:t>n</w:t>
      </w:r>
      <w:r w:rsidR="00B95CBC">
        <w:rPr>
          <w:rFonts w:ascii="Times New Roman" w:hAnsi="Times New Roman" w:cs="Times New Roman"/>
          <w:sz w:val="20"/>
          <w:szCs w:val="20"/>
        </w:rPr>
        <w:t xml:space="preserve">as análises </w:t>
      </w:r>
      <w:r w:rsidR="00BD3C30">
        <w:rPr>
          <w:rFonts w:ascii="Times New Roman" w:hAnsi="Times New Roman" w:cs="Times New Roman"/>
          <w:sz w:val="20"/>
          <w:szCs w:val="20"/>
        </w:rPr>
        <w:t xml:space="preserve">por </w:t>
      </w:r>
      <w:r w:rsidR="00675057">
        <w:rPr>
          <w:rFonts w:ascii="Times New Roman" w:hAnsi="Times New Roman" w:cs="Times New Roman"/>
          <w:sz w:val="20"/>
          <w:szCs w:val="20"/>
        </w:rPr>
        <w:t>difração de raios</w:t>
      </w:r>
      <w:r w:rsidR="00BD3C30">
        <w:rPr>
          <w:rFonts w:ascii="Times New Roman" w:hAnsi="Times New Roman" w:cs="Times New Roman"/>
          <w:sz w:val="20"/>
          <w:szCs w:val="20"/>
        </w:rPr>
        <w:t xml:space="preserve"> </w:t>
      </w:r>
      <w:r w:rsidR="00675057">
        <w:rPr>
          <w:rFonts w:ascii="Times New Roman" w:hAnsi="Times New Roman" w:cs="Times New Roman"/>
          <w:sz w:val="20"/>
          <w:szCs w:val="20"/>
        </w:rPr>
        <w:t>X</w:t>
      </w:r>
      <w:r w:rsidRPr="00DE0F24">
        <w:rPr>
          <w:rFonts w:ascii="Times New Roman" w:hAnsi="Times New Roman" w:cs="Times New Roman"/>
          <w:sz w:val="20"/>
          <w:szCs w:val="20"/>
        </w:rPr>
        <w:t xml:space="preserve">. </w:t>
      </w:r>
      <w:r w:rsidR="00675057">
        <w:rPr>
          <w:rFonts w:ascii="Times New Roman" w:hAnsi="Times New Roman" w:cs="Times New Roman"/>
          <w:sz w:val="20"/>
          <w:szCs w:val="20"/>
        </w:rPr>
        <w:t>O</w:t>
      </w:r>
      <w:r w:rsidRPr="00DE0F24">
        <w:rPr>
          <w:rFonts w:ascii="Times New Roman" w:hAnsi="Times New Roman" w:cs="Times New Roman"/>
          <w:sz w:val="20"/>
          <w:szCs w:val="20"/>
        </w:rPr>
        <w:t xml:space="preserve">s valores encontrados </w:t>
      </w:r>
      <w:r w:rsidR="007B1FB8">
        <w:rPr>
          <w:rFonts w:ascii="Times New Roman" w:hAnsi="Times New Roman" w:cs="Times New Roman"/>
          <w:sz w:val="20"/>
          <w:szCs w:val="20"/>
        </w:rPr>
        <w:t>para 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E0F24">
        <w:rPr>
          <w:rFonts w:ascii="Times New Roman" w:hAnsi="Times New Roman" w:cs="Times New Roman"/>
          <w:sz w:val="20"/>
          <w:szCs w:val="20"/>
        </w:rPr>
        <w:t>volume de poros foram condizentes com os valores da área superficial específica.</w:t>
      </w:r>
    </w:p>
    <w:p w14:paraId="4D8D82C5" w14:textId="643443CF" w:rsidR="00CB6FBB" w:rsidRDefault="00227CE3" w:rsidP="002E5069">
      <w:pPr>
        <w:spacing w:after="0" w:line="240" w:lineRule="exact"/>
        <w:ind w:firstLine="187"/>
        <w:jc w:val="both"/>
      </w:pPr>
      <w:r w:rsidRPr="00227CE3">
        <w:rPr>
          <w:rFonts w:ascii="Times New Roman" w:hAnsi="Times New Roman" w:cs="Times New Roman"/>
          <w:sz w:val="20"/>
          <w:szCs w:val="20"/>
        </w:rPr>
        <w:t>As isotermas dos compostos apresentam curvas do tipo II segundo a classificação da IUPAC, indicando a presença de materiais não-porosos ou macroporosos</w:t>
      </w:r>
      <w:r w:rsidR="006E6E6E">
        <w:rPr>
          <w:rFonts w:ascii="Times New Roman" w:hAnsi="Times New Roman" w:cs="Times New Roman"/>
          <w:sz w:val="20"/>
          <w:szCs w:val="20"/>
        </w:rPr>
        <w:t xml:space="preserve"> (19)</w:t>
      </w:r>
      <w:r w:rsidRPr="00227CE3">
        <w:rPr>
          <w:rFonts w:ascii="Times New Roman" w:hAnsi="Times New Roman" w:cs="Times New Roman"/>
          <w:sz w:val="20"/>
          <w:szCs w:val="20"/>
        </w:rPr>
        <w:t>.</w:t>
      </w:r>
      <w:r w:rsidR="00BD3C3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 HDL puro</w:t>
      </w:r>
      <w:r w:rsidRPr="00227CE3">
        <w:rPr>
          <w:rFonts w:ascii="Times New Roman" w:hAnsi="Times New Roman" w:cs="Times New Roman"/>
          <w:sz w:val="20"/>
          <w:szCs w:val="20"/>
        </w:rPr>
        <w:t xml:space="preserve"> apresenta área específica de 28,8 m</w:t>
      </w:r>
      <w:r w:rsidRPr="00E758E7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227CE3">
        <w:rPr>
          <w:rFonts w:ascii="Times New Roman" w:hAnsi="Times New Roman" w:cs="Times New Roman"/>
          <w:sz w:val="20"/>
          <w:szCs w:val="20"/>
        </w:rPr>
        <w:t>.g</w:t>
      </w:r>
      <w:r w:rsidRPr="00E758E7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227CE3">
        <w:rPr>
          <w:rFonts w:ascii="Times New Roman" w:hAnsi="Times New Roman" w:cs="Times New Roman"/>
          <w:sz w:val="20"/>
          <w:szCs w:val="20"/>
        </w:rPr>
        <w:t xml:space="preserve">. Para os </w:t>
      </w:r>
      <w:r>
        <w:rPr>
          <w:rFonts w:ascii="Times New Roman" w:hAnsi="Times New Roman" w:cs="Times New Roman"/>
          <w:sz w:val="20"/>
          <w:szCs w:val="20"/>
        </w:rPr>
        <w:t xml:space="preserve">demais </w:t>
      </w:r>
      <w:r w:rsidRPr="00227CE3">
        <w:rPr>
          <w:rFonts w:ascii="Times New Roman" w:hAnsi="Times New Roman" w:cs="Times New Roman"/>
          <w:sz w:val="20"/>
          <w:szCs w:val="20"/>
        </w:rPr>
        <w:t xml:space="preserve">materiais, é possível observar a diminuição dos valores de área específica com a formação dos nanocompósitos, em relação </w:t>
      </w:r>
      <w:r>
        <w:rPr>
          <w:rFonts w:ascii="Times New Roman" w:hAnsi="Times New Roman" w:cs="Times New Roman"/>
          <w:sz w:val="20"/>
          <w:szCs w:val="20"/>
        </w:rPr>
        <w:t>ao</w:t>
      </w:r>
      <w:r w:rsidRPr="00227CE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HDL</w:t>
      </w:r>
      <w:r w:rsidRPr="00227CE3">
        <w:rPr>
          <w:rFonts w:ascii="Times New Roman" w:hAnsi="Times New Roman" w:cs="Times New Roman"/>
          <w:sz w:val="20"/>
          <w:szCs w:val="20"/>
        </w:rPr>
        <w:t xml:space="preserve"> pur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227CE3">
        <w:rPr>
          <w:rFonts w:ascii="Times New Roman" w:hAnsi="Times New Roman" w:cs="Times New Roman"/>
          <w:sz w:val="20"/>
          <w:szCs w:val="20"/>
        </w:rPr>
        <w:t xml:space="preserve">. Os </w:t>
      </w:r>
      <w:r>
        <w:rPr>
          <w:rFonts w:ascii="Times New Roman" w:hAnsi="Times New Roman" w:cs="Times New Roman"/>
          <w:sz w:val="20"/>
          <w:szCs w:val="20"/>
        </w:rPr>
        <w:t>nanocompósitos</w:t>
      </w:r>
      <w:r w:rsidRPr="00227CE3">
        <w:rPr>
          <w:rFonts w:ascii="Times New Roman" w:hAnsi="Times New Roman" w:cs="Times New Roman"/>
          <w:sz w:val="20"/>
          <w:szCs w:val="20"/>
        </w:rPr>
        <w:t xml:space="preserve"> também apresentam característica de agregação </w:t>
      </w:r>
      <w:r>
        <w:rPr>
          <w:rFonts w:ascii="Times New Roman" w:hAnsi="Times New Roman" w:cs="Times New Roman"/>
          <w:sz w:val="20"/>
          <w:szCs w:val="20"/>
        </w:rPr>
        <w:t xml:space="preserve">que origina </w:t>
      </w:r>
      <w:r w:rsidRPr="00227CE3">
        <w:rPr>
          <w:rFonts w:ascii="Times New Roman" w:hAnsi="Times New Roman" w:cs="Times New Roman"/>
          <w:sz w:val="20"/>
          <w:szCs w:val="20"/>
        </w:rPr>
        <w:t xml:space="preserve">poros falsos entre </w:t>
      </w:r>
      <w:r>
        <w:rPr>
          <w:rFonts w:ascii="Times New Roman" w:hAnsi="Times New Roman" w:cs="Times New Roman"/>
          <w:sz w:val="20"/>
          <w:szCs w:val="20"/>
        </w:rPr>
        <w:t xml:space="preserve">as </w:t>
      </w:r>
      <w:r w:rsidRPr="00227CE3">
        <w:rPr>
          <w:rFonts w:ascii="Times New Roman" w:hAnsi="Times New Roman" w:cs="Times New Roman"/>
          <w:sz w:val="20"/>
          <w:szCs w:val="20"/>
        </w:rPr>
        <w:t>partículas dos agregados, o que pode ser visto a partir de altos volumes adsorvidos de N</w:t>
      </w:r>
      <w:r w:rsidRPr="00E758E7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227CE3">
        <w:rPr>
          <w:rFonts w:ascii="Times New Roman" w:hAnsi="Times New Roman" w:cs="Times New Roman"/>
          <w:sz w:val="20"/>
          <w:szCs w:val="20"/>
        </w:rPr>
        <w:t>, observado em altas pressões parciais.</w:t>
      </w:r>
    </w:p>
    <w:p w14:paraId="2CD0AD42" w14:textId="26AAACC4" w:rsidR="001E50DD" w:rsidRDefault="001E50DD" w:rsidP="002E5069">
      <w:pPr>
        <w:spacing w:after="0" w:line="240" w:lineRule="auto"/>
        <w:jc w:val="center"/>
      </w:pPr>
      <w:r w:rsidRPr="001E50DD">
        <w:rPr>
          <w:noProof/>
          <w:lang w:eastAsia="pt-BR"/>
        </w:rPr>
        <w:drawing>
          <wp:inline distT="0" distB="0" distL="0" distR="0" wp14:anchorId="7DD63991" wp14:editId="022E9C51">
            <wp:extent cx="2618509" cy="2691205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5" t="5435" r="5106" b="5059"/>
                    <a:stretch/>
                  </pic:blipFill>
                  <pic:spPr bwMode="auto">
                    <a:xfrm>
                      <a:off x="0" y="0"/>
                      <a:ext cx="2647071" cy="272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E13BF6" w14:textId="1754AE30" w:rsidR="006D0762" w:rsidRPr="00F1691D" w:rsidRDefault="006D0762" w:rsidP="006D0762">
      <w:pPr>
        <w:jc w:val="center"/>
        <w:rPr>
          <w:sz w:val="18"/>
          <w:szCs w:val="18"/>
        </w:rPr>
      </w:pPr>
      <w:r w:rsidRPr="00F1691D">
        <w:rPr>
          <w:rFonts w:ascii="Times New Roman" w:hAnsi="Times New Roman"/>
          <w:b/>
          <w:sz w:val="18"/>
          <w:szCs w:val="18"/>
        </w:rPr>
        <w:t xml:space="preserve">Figura </w:t>
      </w:r>
      <w:r w:rsidR="00CC14E9">
        <w:rPr>
          <w:rFonts w:ascii="Times New Roman" w:hAnsi="Times New Roman"/>
          <w:b/>
          <w:sz w:val="18"/>
          <w:szCs w:val="18"/>
        </w:rPr>
        <w:t>5</w:t>
      </w:r>
      <w:r w:rsidRPr="00F1691D">
        <w:rPr>
          <w:rFonts w:ascii="Times New Roman" w:hAnsi="Times New Roman"/>
          <w:b/>
          <w:sz w:val="18"/>
          <w:szCs w:val="18"/>
        </w:rPr>
        <w:t>.</w:t>
      </w:r>
      <w:r w:rsidRPr="00F1691D">
        <w:rPr>
          <w:rFonts w:ascii="Times New Roman" w:hAnsi="Times New Roman"/>
          <w:sz w:val="18"/>
          <w:szCs w:val="18"/>
        </w:rPr>
        <w:t xml:space="preserve"> Isoterma</w:t>
      </w:r>
      <w:r w:rsidR="00016E40">
        <w:rPr>
          <w:rFonts w:ascii="Times New Roman" w:hAnsi="Times New Roman"/>
          <w:sz w:val="18"/>
          <w:szCs w:val="18"/>
        </w:rPr>
        <w:t>s</w:t>
      </w:r>
      <w:r w:rsidRPr="00F1691D">
        <w:rPr>
          <w:rFonts w:ascii="Times New Roman" w:hAnsi="Times New Roman"/>
          <w:sz w:val="18"/>
          <w:szCs w:val="18"/>
        </w:rPr>
        <w:t xml:space="preserve"> de fisissorção de N</w:t>
      </w:r>
      <w:r w:rsidRPr="00F1691D">
        <w:rPr>
          <w:rFonts w:ascii="Times New Roman" w:hAnsi="Times New Roman"/>
          <w:sz w:val="18"/>
          <w:szCs w:val="18"/>
          <w:vertAlign w:val="subscript"/>
        </w:rPr>
        <w:t>2</w:t>
      </w:r>
      <w:r w:rsidRPr="00F1691D">
        <w:rPr>
          <w:rFonts w:ascii="Times New Roman" w:hAnsi="Times New Roman"/>
          <w:sz w:val="18"/>
          <w:szCs w:val="18"/>
        </w:rPr>
        <w:t xml:space="preserve"> das amostras</w:t>
      </w:r>
      <w:r w:rsidR="00A91505">
        <w:rPr>
          <w:rFonts w:ascii="Times New Roman" w:hAnsi="Times New Roman"/>
          <w:sz w:val="18"/>
          <w:szCs w:val="18"/>
        </w:rPr>
        <w:t>.</w:t>
      </w:r>
    </w:p>
    <w:p w14:paraId="20AA905D" w14:textId="7E82E095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4A70FE93" w14:textId="3C4C2ED1" w:rsidR="00EA4E1B" w:rsidRPr="001F25B2" w:rsidRDefault="006D0762" w:rsidP="00E81E7A">
      <w:pPr>
        <w:pStyle w:val="TAMainText"/>
        <w:ind w:firstLine="187"/>
        <w:rPr>
          <w:rFonts w:ascii="Times New Roman" w:hAnsi="Times New Roman"/>
          <w:lang w:val="pt-BR"/>
        </w:rPr>
      </w:pPr>
      <w:r w:rsidRPr="00E758E7">
        <w:rPr>
          <w:lang w:val="pt-BR"/>
        </w:rPr>
        <w:t xml:space="preserve"> </w:t>
      </w:r>
      <w:r w:rsidR="009E7DB7">
        <w:rPr>
          <w:rFonts w:ascii="Times New Roman" w:hAnsi="Times New Roman"/>
          <w:lang w:val="pt-BR"/>
        </w:rPr>
        <w:t>Conclui-se a partir deste trabalho que é possível sintetizar</w:t>
      </w:r>
      <w:r w:rsidR="00AB4975">
        <w:rPr>
          <w:rFonts w:ascii="Times New Roman" w:hAnsi="Times New Roman"/>
          <w:lang w:val="pt-BR"/>
        </w:rPr>
        <w:t xml:space="preserve"> pelo método direto</w:t>
      </w:r>
      <w:r w:rsidR="009E7DB7">
        <w:rPr>
          <w:rFonts w:ascii="Times New Roman" w:hAnsi="Times New Roman"/>
          <w:lang w:val="pt-BR"/>
        </w:rPr>
        <w:t xml:space="preserve"> nanocompósitos híbridos baseados no herbicida 2,4-D como </w:t>
      </w:r>
      <w:r w:rsidR="00AB4975">
        <w:rPr>
          <w:rFonts w:ascii="Times New Roman" w:hAnsi="Times New Roman"/>
          <w:lang w:val="pt-BR"/>
        </w:rPr>
        <w:t xml:space="preserve">molécula </w:t>
      </w:r>
      <w:r w:rsidR="009E7DB7">
        <w:rPr>
          <w:rFonts w:ascii="Times New Roman" w:hAnsi="Times New Roman"/>
          <w:lang w:val="pt-BR"/>
        </w:rPr>
        <w:t>hóspede, dentro da estrutura de um HDL que age como estrutura hospedeira como confirmado pelos resultados de DRX e infravermelho.</w:t>
      </w:r>
      <w:r w:rsidR="00E81E7A">
        <w:rPr>
          <w:rFonts w:ascii="Times New Roman" w:hAnsi="Times New Roman"/>
          <w:lang w:val="pt-BR"/>
        </w:rPr>
        <w:t xml:space="preserve"> A variação da concentração dos sais metálicos influenciou na síntese do nanocompósito.</w:t>
      </w:r>
      <w:r w:rsidR="009E7DB7">
        <w:rPr>
          <w:rFonts w:ascii="Times New Roman" w:hAnsi="Times New Roman"/>
          <w:lang w:val="pt-BR"/>
        </w:rPr>
        <w:t xml:space="preserve"> A fase hidrotalcita </w:t>
      </w:r>
      <w:r w:rsidR="00E81E7A">
        <w:rPr>
          <w:rFonts w:ascii="Times New Roman" w:hAnsi="Times New Roman"/>
          <w:lang w:val="pt-BR"/>
        </w:rPr>
        <w:t>foi</w:t>
      </w:r>
      <w:r w:rsidR="009E7DB7">
        <w:rPr>
          <w:rFonts w:ascii="Times New Roman" w:hAnsi="Times New Roman"/>
          <w:lang w:val="pt-BR"/>
        </w:rPr>
        <w:t xml:space="preserve"> favorecida em concentrações </w:t>
      </w:r>
      <w:r w:rsidR="00AB4975">
        <w:rPr>
          <w:rFonts w:ascii="Times New Roman" w:hAnsi="Times New Roman"/>
          <w:lang w:val="pt-BR"/>
        </w:rPr>
        <w:t>dos sais metálicos acima de 0,75 mol/L</w:t>
      </w:r>
      <w:r w:rsidRPr="00BD3123">
        <w:rPr>
          <w:rFonts w:ascii="Times New Roman" w:hAnsi="Times New Roman"/>
          <w:lang w:val="pt-BR"/>
        </w:rPr>
        <w:t>.</w:t>
      </w:r>
      <w:r w:rsidR="00E81E7A">
        <w:rPr>
          <w:rFonts w:ascii="Times New Roman" w:hAnsi="Times New Roman"/>
          <w:lang w:val="pt-BR"/>
        </w:rPr>
        <w:t xml:space="preserve"> concentrações menores favoreceram a formação da fase ZnO.</w:t>
      </w:r>
      <w:r w:rsidRPr="00BD3123">
        <w:rPr>
          <w:rFonts w:ascii="Times New Roman" w:hAnsi="Times New Roman"/>
          <w:lang w:val="pt-BR"/>
        </w:rPr>
        <w:t xml:space="preserve"> </w:t>
      </w:r>
      <w:r w:rsidR="00AB4975">
        <w:rPr>
          <w:rFonts w:ascii="Times New Roman" w:hAnsi="Times New Roman"/>
          <w:lang w:val="pt-BR"/>
        </w:rPr>
        <w:t>Partículas com formato lamela</w:t>
      </w:r>
      <w:r w:rsidR="00E81E7A">
        <w:rPr>
          <w:rFonts w:ascii="Times New Roman" w:hAnsi="Times New Roman"/>
          <w:lang w:val="pt-BR"/>
        </w:rPr>
        <w:t>r</w:t>
      </w:r>
      <w:r w:rsidR="00AB4975">
        <w:rPr>
          <w:rFonts w:ascii="Times New Roman" w:hAnsi="Times New Roman"/>
          <w:lang w:val="pt-BR"/>
        </w:rPr>
        <w:t xml:space="preserve"> e morfologia </w:t>
      </w:r>
      <w:r w:rsidR="00E81E7A">
        <w:rPr>
          <w:rFonts w:ascii="Times New Roman" w:hAnsi="Times New Roman"/>
          <w:lang w:val="pt-BR"/>
        </w:rPr>
        <w:t>ir</w:t>
      </w:r>
      <w:r w:rsidR="00AB4975">
        <w:rPr>
          <w:rFonts w:ascii="Times New Roman" w:hAnsi="Times New Roman"/>
          <w:lang w:val="pt-BR"/>
        </w:rPr>
        <w:t xml:space="preserve">regular foram encontradas nas amostras que formaram </w:t>
      </w:r>
      <w:r w:rsidR="00E81E7A">
        <w:rPr>
          <w:rFonts w:ascii="Times New Roman" w:hAnsi="Times New Roman"/>
          <w:lang w:val="pt-BR"/>
        </w:rPr>
        <w:t xml:space="preserve">o </w:t>
      </w:r>
      <w:r w:rsidR="00AB4975">
        <w:rPr>
          <w:rFonts w:ascii="Times New Roman" w:hAnsi="Times New Roman"/>
          <w:lang w:val="pt-BR"/>
        </w:rPr>
        <w:t xml:space="preserve">nanocompósito híbrido. A presença do 2,4-D no HDL introduziu mudanças estruturais, morfológicas e texturais, assim como </w:t>
      </w:r>
      <w:r w:rsidR="00E81E7A">
        <w:rPr>
          <w:rFonts w:ascii="Times New Roman" w:hAnsi="Times New Roman"/>
          <w:lang w:val="pt-BR"/>
        </w:rPr>
        <w:t xml:space="preserve">influenciou </w:t>
      </w:r>
      <w:r w:rsidR="00AB4975">
        <w:rPr>
          <w:rFonts w:ascii="Times New Roman" w:hAnsi="Times New Roman"/>
          <w:lang w:val="pt-BR"/>
        </w:rPr>
        <w:t>nas características de decomposição térmica do nanocompósito comparado com o HDL puro.</w:t>
      </w:r>
      <w:r w:rsidR="00E81E7A">
        <w:rPr>
          <w:rFonts w:ascii="Times New Roman" w:hAnsi="Times New Roman"/>
          <w:lang w:val="pt-BR"/>
        </w:rPr>
        <w:t xml:space="preserve"> Os agregados de partículas formados </w:t>
      </w:r>
      <w:r w:rsidR="00227CE3">
        <w:rPr>
          <w:rFonts w:ascii="Times New Roman" w:hAnsi="Times New Roman"/>
          <w:lang w:val="pt-BR"/>
        </w:rPr>
        <w:t>originam poros falsos nos materiais não-porosos ou macroporosos</w:t>
      </w:r>
      <w:r w:rsidRPr="006D0762">
        <w:rPr>
          <w:rFonts w:ascii="Times New Roman" w:hAnsi="Times New Roman"/>
          <w:lang w:val="pt-BR"/>
        </w:rPr>
        <w:t xml:space="preserve">. </w:t>
      </w:r>
    </w:p>
    <w:p w14:paraId="6BE32F7B" w14:textId="4F456A38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571E1E36" w14:textId="77777777" w:rsidR="00E81E7A" w:rsidRDefault="00E81E7A" w:rsidP="006D0762">
      <w:pPr>
        <w:pStyle w:val="TAMainText"/>
        <w:rPr>
          <w:rFonts w:ascii="Times New Roman" w:hAnsi="Times New Roman"/>
          <w:lang w:val="pt-BR"/>
        </w:rPr>
      </w:pPr>
    </w:p>
    <w:p w14:paraId="05A178F9" w14:textId="4E60154E" w:rsidR="00EA4E1B" w:rsidRPr="001F25B2" w:rsidRDefault="00242E43" w:rsidP="006D0762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Os autores agradecem à FAPERJ pelo financiamento do projeto, ao</w:t>
      </w:r>
      <w:r w:rsidR="006D0762" w:rsidRPr="006D0762">
        <w:rPr>
          <w:rFonts w:ascii="Times New Roman" w:hAnsi="Times New Roman"/>
          <w:lang w:val="pt-BR"/>
        </w:rPr>
        <w:t xml:space="preserve"> Laboratório</w:t>
      </w:r>
      <w:r w:rsidR="006D0762">
        <w:rPr>
          <w:rFonts w:ascii="Times New Roman" w:hAnsi="Times New Roman"/>
          <w:lang w:val="pt-BR"/>
        </w:rPr>
        <w:t xml:space="preserve"> </w:t>
      </w:r>
      <w:r w:rsidR="006D0762" w:rsidRPr="006D0762">
        <w:rPr>
          <w:rFonts w:ascii="Times New Roman" w:hAnsi="Times New Roman"/>
          <w:lang w:val="pt-BR"/>
        </w:rPr>
        <w:t>Multiusuário</w:t>
      </w:r>
      <w:r w:rsidR="006D0762">
        <w:rPr>
          <w:rFonts w:ascii="Times New Roman" w:hAnsi="Times New Roman"/>
          <w:lang w:val="pt-BR"/>
        </w:rPr>
        <w:t xml:space="preserve"> </w:t>
      </w:r>
      <w:r w:rsidR="006D0762" w:rsidRPr="006D0762">
        <w:rPr>
          <w:rFonts w:ascii="Times New Roman" w:hAnsi="Times New Roman"/>
          <w:lang w:val="pt-BR"/>
        </w:rPr>
        <w:t>de</w:t>
      </w:r>
      <w:r w:rsidR="006D0762">
        <w:rPr>
          <w:rFonts w:ascii="Times New Roman" w:hAnsi="Times New Roman"/>
          <w:lang w:val="pt-BR"/>
        </w:rPr>
        <w:t xml:space="preserve"> </w:t>
      </w:r>
      <w:r w:rsidR="006D0762" w:rsidRPr="006D0762">
        <w:rPr>
          <w:rFonts w:ascii="Times New Roman" w:hAnsi="Times New Roman"/>
          <w:lang w:val="pt-BR"/>
        </w:rPr>
        <w:t>Nanofabricação</w:t>
      </w:r>
      <w:r w:rsidR="006D0762">
        <w:rPr>
          <w:rFonts w:ascii="Times New Roman" w:hAnsi="Times New Roman"/>
          <w:lang w:val="pt-BR"/>
        </w:rPr>
        <w:t xml:space="preserve"> </w:t>
      </w:r>
      <w:r w:rsidR="006D0762" w:rsidRPr="006D0762">
        <w:rPr>
          <w:rFonts w:ascii="Times New Roman" w:hAnsi="Times New Roman"/>
          <w:lang w:val="pt-BR"/>
        </w:rPr>
        <w:t>e Caracterização de Materiais da UERJ (NANOFAB)</w:t>
      </w:r>
      <w:r>
        <w:rPr>
          <w:rFonts w:ascii="Times New Roman" w:hAnsi="Times New Roman"/>
          <w:lang w:val="pt-BR"/>
        </w:rPr>
        <w:t>; ao</w:t>
      </w:r>
      <w:r w:rsidR="006D0762" w:rsidRPr="006D0762">
        <w:rPr>
          <w:rFonts w:ascii="Times New Roman" w:hAnsi="Times New Roman"/>
          <w:lang w:val="pt-BR"/>
        </w:rPr>
        <w:t xml:space="preserve"> Laboratório de Raios-X do Centro Brasileiro de Pesquisas Físicas (CBPF)</w:t>
      </w:r>
      <w:r>
        <w:rPr>
          <w:rFonts w:ascii="Times New Roman" w:hAnsi="Times New Roman"/>
          <w:lang w:val="pt-BR"/>
        </w:rPr>
        <w:t xml:space="preserve">; ao </w:t>
      </w:r>
      <w:r w:rsidR="006D0762" w:rsidRPr="006D0762">
        <w:rPr>
          <w:rFonts w:ascii="Times New Roman" w:hAnsi="Times New Roman"/>
          <w:lang w:val="pt-BR"/>
        </w:rPr>
        <w:t>Laboratório de Cinética e</w:t>
      </w:r>
      <w:r w:rsidR="006D0762">
        <w:rPr>
          <w:rFonts w:ascii="Times New Roman" w:hAnsi="Times New Roman"/>
          <w:lang w:val="pt-BR"/>
        </w:rPr>
        <w:t xml:space="preserve"> </w:t>
      </w:r>
      <w:r w:rsidR="006D0762" w:rsidRPr="006D0762">
        <w:rPr>
          <w:rFonts w:ascii="Times New Roman" w:hAnsi="Times New Roman"/>
          <w:lang w:val="pt-BR"/>
        </w:rPr>
        <w:t>Catálise (LCC), do Instituto de Química da UERJ</w:t>
      </w:r>
      <w:r>
        <w:rPr>
          <w:rFonts w:ascii="Times New Roman" w:hAnsi="Times New Roman"/>
          <w:lang w:val="pt-BR"/>
        </w:rPr>
        <w:t>, ao</w:t>
      </w:r>
      <w:r w:rsidR="006D0762" w:rsidRPr="006D0762">
        <w:rPr>
          <w:rFonts w:ascii="Times New Roman" w:hAnsi="Times New Roman"/>
          <w:lang w:val="pt-BR"/>
        </w:rPr>
        <w:t xml:space="preserve">  Laboratório  de  Materiais  para  Engenharia Química (</w:t>
      </w:r>
      <w:proofErr w:type="spellStart"/>
      <w:r w:rsidR="006D0762" w:rsidRPr="006D0762">
        <w:rPr>
          <w:rFonts w:ascii="Times New Roman" w:hAnsi="Times New Roman"/>
          <w:lang w:val="pt-BR"/>
        </w:rPr>
        <w:t>LabMEQ</w:t>
      </w:r>
      <w:proofErr w:type="spellEnd"/>
      <w:r w:rsidR="006D0762" w:rsidRPr="006D0762">
        <w:rPr>
          <w:rFonts w:ascii="Times New Roman" w:hAnsi="Times New Roman"/>
          <w:lang w:val="pt-BR"/>
        </w:rPr>
        <w:t>), do Instituto de Química da UERJ</w:t>
      </w:r>
      <w:r>
        <w:rPr>
          <w:rFonts w:ascii="Times New Roman" w:hAnsi="Times New Roman"/>
          <w:lang w:val="pt-BR"/>
        </w:rPr>
        <w:t xml:space="preserve"> e ao </w:t>
      </w:r>
      <w:r w:rsidR="006D0762" w:rsidRPr="006D0762">
        <w:rPr>
          <w:rFonts w:ascii="Times New Roman" w:hAnsi="Times New Roman"/>
          <w:lang w:val="pt-BR"/>
        </w:rPr>
        <w:t>Laboratório Multiusuário de Caracterização de Materiais (LAMATE), do Instituto de Química da Universidade Federal Fluminense (UFF</w:t>
      </w:r>
      <w:r>
        <w:rPr>
          <w:rFonts w:ascii="Times New Roman" w:hAnsi="Times New Roman"/>
          <w:lang w:val="pt-BR"/>
        </w:rPr>
        <w:t xml:space="preserve">). </w:t>
      </w:r>
    </w:p>
    <w:p w14:paraId="1EAAA287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lastRenderedPageBreak/>
        <w:t>Referências</w:t>
      </w:r>
    </w:p>
    <w:p w14:paraId="3CCC50AB" w14:textId="21B8D81A" w:rsidR="00B70386" w:rsidRPr="00B70386" w:rsidRDefault="00B70386" w:rsidP="00EA4E1B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B70386">
        <w:rPr>
          <w:lang w:val="pt-BR"/>
        </w:rPr>
        <w:t xml:space="preserve">P.P. Nadiminti; H. Sharma; R.S. Kada; M.F. </w:t>
      </w:r>
      <w:proofErr w:type="spellStart"/>
      <w:r w:rsidRPr="00B70386">
        <w:rPr>
          <w:lang w:val="pt-BR"/>
        </w:rPr>
        <w:t>Pfeffer</w:t>
      </w:r>
      <w:proofErr w:type="spellEnd"/>
      <w:r w:rsidRPr="00B70386">
        <w:rPr>
          <w:lang w:val="pt-BR"/>
        </w:rPr>
        <w:t xml:space="preserve">; A.L. </w:t>
      </w:r>
      <w:proofErr w:type="spellStart"/>
      <w:r w:rsidRPr="00B70386">
        <w:rPr>
          <w:lang w:val="pt-BR"/>
        </w:rPr>
        <w:t>O’Dell</w:t>
      </w:r>
      <w:proofErr w:type="spellEnd"/>
      <w:r w:rsidRPr="00B70386">
        <w:rPr>
          <w:lang w:val="pt-BR"/>
        </w:rPr>
        <w:t xml:space="preserve">; M. D. </w:t>
      </w:r>
      <w:proofErr w:type="spellStart"/>
      <w:r w:rsidRPr="00B70386">
        <w:rPr>
          <w:lang w:val="pt-BR"/>
        </w:rPr>
        <w:t>Cahill</w:t>
      </w:r>
      <w:proofErr w:type="spellEnd"/>
      <w:r w:rsidRPr="00B70386">
        <w:rPr>
          <w:lang w:val="pt-BR"/>
        </w:rPr>
        <w:t xml:space="preserve">. </w:t>
      </w:r>
      <w:r w:rsidRPr="005121D5">
        <w:rPr>
          <w:i/>
          <w:iCs/>
          <w:lang w:val="pt-BR"/>
        </w:rPr>
        <w:t xml:space="preserve">ACS </w:t>
      </w:r>
      <w:proofErr w:type="spellStart"/>
      <w:r w:rsidRPr="005121D5">
        <w:rPr>
          <w:i/>
          <w:iCs/>
          <w:lang w:val="pt-BR"/>
        </w:rPr>
        <w:t>Sustainable</w:t>
      </w:r>
      <w:proofErr w:type="spellEnd"/>
      <w:r w:rsidRPr="005121D5">
        <w:rPr>
          <w:i/>
          <w:iCs/>
          <w:lang w:val="pt-BR"/>
        </w:rPr>
        <w:t xml:space="preserve"> </w:t>
      </w:r>
      <w:proofErr w:type="spellStart"/>
      <w:r w:rsidRPr="005121D5">
        <w:rPr>
          <w:i/>
          <w:iCs/>
          <w:lang w:val="pt-BR"/>
        </w:rPr>
        <w:t>Chem</w:t>
      </w:r>
      <w:proofErr w:type="spellEnd"/>
      <w:r w:rsidRPr="005121D5">
        <w:rPr>
          <w:i/>
          <w:iCs/>
          <w:lang w:val="pt-BR"/>
        </w:rPr>
        <w:t>. Eng.</w:t>
      </w:r>
      <w:r w:rsidRPr="00B70386">
        <w:rPr>
          <w:lang w:val="pt-BR"/>
        </w:rPr>
        <w:t xml:space="preserve"> </w:t>
      </w:r>
      <w:r w:rsidRPr="005121D5">
        <w:rPr>
          <w:b/>
          <w:bCs/>
          <w:lang w:val="pt-BR"/>
        </w:rPr>
        <w:t>2019,</w:t>
      </w:r>
      <w:r w:rsidRPr="00B70386">
        <w:rPr>
          <w:lang w:val="pt-BR"/>
        </w:rPr>
        <w:t xml:space="preserve"> V.7, p.10962−10970.</w:t>
      </w:r>
    </w:p>
    <w:p w14:paraId="2797165A" w14:textId="004A0072" w:rsidR="00B70386" w:rsidRPr="00E758E7" w:rsidRDefault="005121D5" w:rsidP="00B70386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E758E7">
        <w:rPr>
          <w:rFonts w:ascii="Times New Roman" w:hAnsi="Times New Roman"/>
        </w:rPr>
        <w:t xml:space="preserve">W. </w:t>
      </w:r>
      <w:r w:rsidR="00B70386" w:rsidRPr="00E758E7">
        <w:rPr>
          <w:rFonts w:ascii="Times New Roman" w:hAnsi="Times New Roman"/>
        </w:rPr>
        <w:t>Y</w:t>
      </w:r>
      <w:r w:rsidRPr="00E758E7">
        <w:rPr>
          <w:rFonts w:ascii="Times New Roman" w:hAnsi="Times New Roman"/>
        </w:rPr>
        <w:t>ang</w:t>
      </w:r>
      <w:r w:rsidR="00B70386" w:rsidRPr="00E758E7">
        <w:rPr>
          <w:rFonts w:ascii="Times New Roman" w:hAnsi="Times New Roman"/>
        </w:rPr>
        <w:t>;</w:t>
      </w:r>
      <w:r w:rsidRPr="00E758E7">
        <w:rPr>
          <w:rFonts w:ascii="Times New Roman" w:hAnsi="Times New Roman"/>
        </w:rPr>
        <w:t xml:space="preserve"> F. Jiao</w:t>
      </w:r>
      <w:r w:rsidR="00B70386" w:rsidRPr="00E758E7">
        <w:rPr>
          <w:rFonts w:ascii="Times New Roman" w:hAnsi="Times New Roman"/>
        </w:rPr>
        <w:t>;</w:t>
      </w:r>
      <w:r w:rsidRPr="00E758E7">
        <w:rPr>
          <w:rFonts w:ascii="Times New Roman" w:hAnsi="Times New Roman"/>
        </w:rPr>
        <w:t xml:space="preserve"> L. Zhou</w:t>
      </w:r>
      <w:r w:rsidR="00B70386" w:rsidRPr="00E758E7">
        <w:rPr>
          <w:rFonts w:ascii="Times New Roman" w:hAnsi="Times New Roman"/>
        </w:rPr>
        <w:t xml:space="preserve">; </w:t>
      </w:r>
      <w:r w:rsidRPr="00E758E7">
        <w:rPr>
          <w:rFonts w:ascii="Times New Roman" w:hAnsi="Times New Roman"/>
        </w:rPr>
        <w:t xml:space="preserve">X. </w:t>
      </w:r>
      <w:proofErr w:type="spellStart"/>
      <w:r w:rsidRPr="00E758E7">
        <w:rPr>
          <w:rFonts w:ascii="Times New Roman" w:hAnsi="Times New Roman"/>
        </w:rPr>
        <w:t>Chein</w:t>
      </w:r>
      <w:proofErr w:type="spellEnd"/>
      <w:r w:rsidR="00B70386" w:rsidRPr="00E758E7">
        <w:rPr>
          <w:rFonts w:ascii="Times New Roman" w:hAnsi="Times New Roman"/>
        </w:rPr>
        <w:t xml:space="preserve">; </w:t>
      </w:r>
      <w:r w:rsidRPr="00E758E7">
        <w:rPr>
          <w:rFonts w:ascii="Times New Roman" w:hAnsi="Times New Roman"/>
        </w:rPr>
        <w:t>X. Jiang</w:t>
      </w:r>
      <w:r w:rsidR="00B70386" w:rsidRPr="00E758E7">
        <w:rPr>
          <w:rFonts w:ascii="Times New Roman" w:hAnsi="Times New Roman"/>
        </w:rPr>
        <w:t>.</w:t>
      </w:r>
      <w:r w:rsidRPr="00E758E7">
        <w:rPr>
          <w:rFonts w:ascii="Times New Roman" w:hAnsi="Times New Roman"/>
        </w:rPr>
        <w:t xml:space="preserve"> </w:t>
      </w:r>
      <w:r w:rsidR="00B70386" w:rsidRPr="00E758E7">
        <w:rPr>
          <w:rFonts w:ascii="Times New Roman" w:hAnsi="Times New Roman"/>
          <w:i/>
          <w:iCs/>
        </w:rPr>
        <w:t>Appl Surf Sci</w:t>
      </w:r>
      <w:r w:rsidRPr="00E758E7">
        <w:rPr>
          <w:rFonts w:ascii="Times New Roman" w:hAnsi="Times New Roman"/>
          <w:i/>
          <w:iCs/>
        </w:rPr>
        <w:t>.</w:t>
      </w:r>
      <w:r w:rsidR="00B70386" w:rsidRPr="00E758E7">
        <w:rPr>
          <w:rFonts w:ascii="Times New Roman" w:hAnsi="Times New Roman"/>
        </w:rPr>
        <w:t xml:space="preserve"> </w:t>
      </w:r>
      <w:r w:rsidRPr="00E758E7">
        <w:rPr>
          <w:rFonts w:ascii="Times New Roman" w:hAnsi="Times New Roman"/>
          <w:b/>
          <w:bCs/>
        </w:rPr>
        <w:t>2013,</w:t>
      </w:r>
      <w:r w:rsidRPr="00E758E7">
        <w:rPr>
          <w:rFonts w:ascii="Times New Roman" w:hAnsi="Times New Roman"/>
        </w:rPr>
        <w:t xml:space="preserve"> </w:t>
      </w:r>
      <w:r w:rsidR="00B70386" w:rsidRPr="00E758E7">
        <w:rPr>
          <w:rFonts w:ascii="Times New Roman" w:hAnsi="Times New Roman"/>
        </w:rPr>
        <w:t xml:space="preserve">V.9, p.284-692. </w:t>
      </w:r>
    </w:p>
    <w:p w14:paraId="6A413A75" w14:textId="14054BB3" w:rsidR="00B70386" w:rsidRDefault="005121D5" w:rsidP="00B70386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E758E7">
        <w:rPr>
          <w:rFonts w:ascii="Times New Roman" w:hAnsi="Times New Roman"/>
        </w:rPr>
        <w:t>J. A. Gonzalez</w:t>
      </w:r>
      <w:r w:rsidR="00B70386" w:rsidRPr="00E758E7">
        <w:rPr>
          <w:rFonts w:ascii="Times New Roman" w:hAnsi="Times New Roman"/>
        </w:rPr>
        <w:t>;</w:t>
      </w:r>
      <w:r w:rsidRPr="00E758E7">
        <w:rPr>
          <w:rFonts w:ascii="Times New Roman" w:hAnsi="Times New Roman"/>
        </w:rPr>
        <w:t xml:space="preserve"> A.</w:t>
      </w:r>
      <w:r w:rsidR="00B70386" w:rsidRPr="00E758E7">
        <w:rPr>
          <w:rFonts w:ascii="Times New Roman" w:hAnsi="Times New Roman"/>
        </w:rPr>
        <w:t xml:space="preserve"> G</w:t>
      </w:r>
      <w:r w:rsidRPr="00E758E7">
        <w:rPr>
          <w:rFonts w:ascii="Times New Roman" w:hAnsi="Times New Roman"/>
        </w:rPr>
        <w:t>allego</w:t>
      </w:r>
      <w:r w:rsidR="00B70386" w:rsidRPr="00E758E7">
        <w:rPr>
          <w:rFonts w:ascii="Times New Roman" w:hAnsi="Times New Roman"/>
        </w:rPr>
        <w:t xml:space="preserve">; </w:t>
      </w:r>
      <w:r w:rsidRPr="00E758E7">
        <w:rPr>
          <w:rFonts w:ascii="Times New Roman" w:hAnsi="Times New Roman"/>
        </w:rPr>
        <w:t>L.V. Gemini</w:t>
      </w:r>
      <w:r w:rsidR="00B70386" w:rsidRPr="00E758E7">
        <w:rPr>
          <w:rFonts w:ascii="Times New Roman" w:hAnsi="Times New Roman"/>
        </w:rPr>
        <w:t xml:space="preserve">; </w:t>
      </w:r>
      <w:r w:rsidRPr="00E758E7">
        <w:rPr>
          <w:rFonts w:ascii="Times New Roman" w:hAnsi="Times New Roman"/>
        </w:rPr>
        <w:t>M. Papalia</w:t>
      </w:r>
      <w:r w:rsidR="001D7776" w:rsidRPr="00E758E7">
        <w:rPr>
          <w:rFonts w:ascii="Times New Roman" w:hAnsi="Times New Roman"/>
        </w:rPr>
        <w:t>;</w:t>
      </w:r>
      <w:r w:rsidR="00B70386" w:rsidRPr="00E758E7">
        <w:rPr>
          <w:rFonts w:ascii="Times New Roman" w:hAnsi="Times New Roman"/>
        </w:rPr>
        <w:t xml:space="preserve"> M.</w:t>
      </w:r>
      <w:r w:rsidR="001D7776" w:rsidRPr="00E758E7">
        <w:rPr>
          <w:rFonts w:ascii="Times New Roman" w:hAnsi="Times New Roman"/>
        </w:rPr>
        <w:t xml:space="preserve"> </w:t>
      </w:r>
      <w:proofErr w:type="spellStart"/>
      <w:r w:rsidR="001D7776" w:rsidRPr="00E758E7">
        <w:rPr>
          <w:rFonts w:ascii="Times New Roman" w:hAnsi="Times New Roman"/>
        </w:rPr>
        <w:t>Radice</w:t>
      </w:r>
      <w:proofErr w:type="spellEnd"/>
      <w:r w:rsidR="001D7776" w:rsidRPr="00E758E7">
        <w:rPr>
          <w:rFonts w:ascii="Times New Roman" w:hAnsi="Times New Roman"/>
        </w:rPr>
        <w:t xml:space="preserve">; G. </w:t>
      </w:r>
      <w:r w:rsidR="00B70386" w:rsidRPr="00E758E7">
        <w:rPr>
          <w:rFonts w:ascii="Times New Roman" w:hAnsi="Times New Roman"/>
        </w:rPr>
        <w:t>G</w:t>
      </w:r>
      <w:r w:rsidR="001D7776" w:rsidRPr="00E758E7">
        <w:rPr>
          <w:rFonts w:ascii="Times New Roman" w:hAnsi="Times New Roman"/>
        </w:rPr>
        <w:t xml:space="preserve">utkind; </w:t>
      </w:r>
      <w:r w:rsidR="00B70386" w:rsidRPr="00E758E7">
        <w:rPr>
          <w:rFonts w:ascii="Times New Roman" w:hAnsi="Times New Roman"/>
        </w:rPr>
        <w:t>et al.</w:t>
      </w:r>
      <w:r w:rsidR="001D7776" w:rsidRPr="00E758E7">
        <w:rPr>
          <w:rFonts w:ascii="Times New Roman" w:hAnsi="Times New Roman"/>
        </w:rPr>
        <w:t xml:space="preserve"> </w:t>
      </w:r>
      <w:r w:rsidR="00B70386" w:rsidRPr="00E758E7">
        <w:rPr>
          <w:rFonts w:ascii="Times New Roman" w:hAnsi="Times New Roman"/>
          <w:i/>
          <w:iCs/>
        </w:rPr>
        <w:t xml:space="preserve">Int </w:t>
      </w:r>
      <w:proofErr w:type="spellStart"/>
      <w:r w:rsidR="00B70386" w:rsidRPr="00E758E7">
        <w:rPr>
          <w:rFonts w:ascii="Times New Roman" w:hAnsi="Times New Roman"/>
          <w:i/>
          <w:iCs/>
        </w:rPr>
        <w:t>Biodeter</w:t>
      </w:r>
      <w:proofErr w:type="spellEnd"/>
      <w:r w:rsidR="00B70386" w:rsidRPr="00E758E7">
        <w:rPr>
          <w:rFonts w:ascii="Times New Roman" w:hAnsi="Times New Roman"/>
          <w:i/>
          <w:iCs/>
        </w:rPr>
        <w:t xml:space="preserve"> </w:t>
      </w:r>
      <w:proofErr w:type="spellStart"/>
      <w:r w:rsidR="00B70386" w:rsidRPr="00E758E7">
        <w:rPr>
          <w:rFonts w:ascii="Times New Roman" w:hAnsi="Times New Roman"/>
          <w:i/>
          <w:iCs/>
        </w:rPr>
        <w:t>Biodegr</w:t>
      </w:r>
      <w:proofErr w:type="spellEnd"/>
      <w:r w:rsidR="001D7776" w:rsidRPr="00E758E7">
        <w:rPr>
          <w:rFonts w:ascii="Times New Roman" w:hAnsi="Times New Roman"/>
        </w:rPr>
        <w:t>.</w:t>
      </w:r>
      <w:r w:rsidR="00B70386" w:rsidRPr="00E758E7">
        <w:rPr>
          <w:rFonts w:ascii="Times New Roman" w:hAnsi="Times New Roman"/>
        </w:rPr>
        <w:t xml:space="preserve"> </w:t>
      </w:r>
      <w:r w:rsidR="001D7776" w:rsidRPr="001D7776">
        <w:rPr>
          <w:rFonts w:ascii="Times New Roman" w:hAnsi="Times New Roman"/>
          <w:b/>
          <w:bCs/>
          <w:lang w:val="pt-BR"/>
        </w:rPr>
        <w:t>2012</w:t>
      </w:r>
      <w:r w:rsidR="001D7776">
        <w:rPr>
          <w:rFonts w:ascii="Times New Roman" w:hAnsi="Times New Roman"/>
          <w:b/>
          <w:bCs/>
          <w:lang w:val="pt-BR"/>
        </w:rPr>
        <w:t>,</w:t>
      </w:r>
      <w:r w:rsidR="001D7776">
        <w:rPr>
          <w:rFonts w:ascii="Times New Roman" w:hAnsi="Times New Roman"/>
          <w:lang w:val="pt-BR"/>
        </w:rPr>
        <w:t xml:space="preserve"> </w:t>
      </w:r>
      <w:r w:rsidR="00B70386" w:rsidRPr="00B70386">
        <w:rPr>
          <w:rFonts w:ascii="Times New Roman" w:hAnsi="Times New Roman"/>
          <w:lang w:val="pt-BR"/>
        </w:rPr>
        <w:t>V.66, p.8–13</w:t>
      </w:r>
      <w:r w:rsidR="001D7776">
        <w:rPr>
          <w:rFonts w:ascii="Times New Roman" w:hAnsi="Times New Roman"/>
          <w:lang w:val="pt-BR"/>
        </w:rPr>
        <w:t>.</w:t>
      </w:r>
    </w:p>
    <w:p w14:paraId="636C8A72" w14:textId="6978FA5A" w:rsidR="00B70386" w:rsidRDefault="001D7776" w:rsidP="00B70386">
      <w:pPr>
        <w:pStyle w:val="TAMainText"/>
        <w:numPr>
          <w:ilvl w:val="0"/>
          <w:numId w:val="1"/>
        </w:numPr>
        <w:ind w:left="357" w:hanging="35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K.T.N. </w:t>
      </w:r>
      <w:proofErr w:type="spellStart"/>
      <w:r>
        <w:rPr>
          <w:rFonts w:ascii="Times New Roman" w:hAnsi="Times New Roman"/>
          <w:lang w:val="pt-BR"/>
        </w:rPr>
        <w:t>Phuong</w:t>
      </w:r>
      <w:proofErr w:type="spellEnd"/>
      <w:r>
        <w:rPr>
          <w:rFonts w:ascii="Times New Roman" w:hAnsi="Times New Roman"/>
          <w:lang w:val="pt-BR"/>
        </w:rPr>
        <w:t xml:space="preserve">; N.N.H. Ha; P.T.N. </w:t>
      </w:r>
      <w:proofErr w:type="spellStart"/>
      <w:r>
        <w:rPr>
          <w:rFonts w:ascii="Times New Roman" w:hAnsi="Times New Roman"/>
          <w:lang w:val="pt-BR"/>
        </w:rPr>
        <w:t>Dieu</w:t>
      </w:r>
      <w:proofErr w:type="spellEnd"/>
      <w:r w:rsidR="00B70386" w:rsidRPr="00B70386">
        <w:rPr>
          <w:rFonts w:ascii="Times New Roman" w:hAnsi="Times New Roman"/>
          <w:lang w:val="pt-BR"/>
        </w:rPr>
        <w:t>;</w:t>
      </w:r>
      <w:r>
        <w:rPr>
          <w:rFonts w:ascii="Times New Roman" w:hAnsi="Times New Roman"/>
          <w:lang w:val="pt-BR"/>
        </w:rPr>
        <w:t xml:space="preserve"> T.B. </w:t>
      </w:r>
      <w:proofErr w:type="spellStart"/>
      <w:r>
        <w:rPr>
          <w:rFonts w:ascii="Times New Roman" w:hAnsi="Times New Roman"/>
          <w:lang w:val="pt-BR"/>
        </w:rPr>
        <w:t>Huy</w:t>
      </w:r>
      <w:proofErr w:type="spellEnd"/>
      <w:r w:rsidR="00B70386" w:rsidRPr="00B70386">
        <w:rPr>
          <w:rFonts w:ascii="Times New Roman" w:hAnsi="Times New Roman"/>
          <w:lang w:val="pt-BR"/>
        </w:rPr>
        <w:t xml:space="preserve"> </w:t>
      </w:r>
      <w:proofErr w:type="spellStart"/>
      <w:r w:rsidR="00B70386" w:rsidRPr="001D7776">
        <w:rPr>
          <w:rFonts w:ascii="Times New Roman" w:hAnsi="Times New Roman"/>
          <w:i/>
          <w:iCs/>
          <w:lang w:val="pt-BR"/>
        </w:rPr>
        <w:t>Environ</w:t>
      </w:r>
      <w:proofErr w:type="spellEnd"/>
      <w:r w:rsidR="00B70386" w:rsidRPr="001D7776">
        <w:rPr>
          <w:rFonts w:ascii="Times New Roman" w:hAnsi="Times New Roman"/>
          <w:i/>
          <w:iCs/>
          <w:lang w:val="pt-BR"/>
        </w:rPr>
        <w:t xml:space="preserve"> </w:t>
      </w:r>
      <w:proofErr w:type="spellStart"/>
      <w:r w:rsidR="00B70386" w:rsidRPr="001D7776">
        <w:rPr>
          <w:rFonts w:ascii="Times New Roman" w:hAnsi="Times New Roman"/>
          <w:i/>
          <w:iCs/>
          <w:lang w:val="pt-BR"/>
        </w:rPr>
        <w:t>Sci</w:t>
      </w:r>
      <w:proofErr w:type="spellEnd"/>
      <w:r w:rsidR="00B70386" w:rsidRPr="001D7776">
        <w:rPr>
          <w:rFonts w:ascii="Times New Roman" w:hAnsi="Times New Roman"/>
          <w:i/>
          <w:iCs/>
          <w:lang w:val="pt-BR"/>
        </w:rPr>
        <w:t xml:space="preserve"> </w:t>
      </w:r>
      <w:proofErr w:type="spellStart"/>
      <w:r w:rsidR="00B70386" w:rsidRPr="001D7776">
        <w:rPr>
          <w:rFonts w:ascii="Times New Roman" w:hAnsi="Times New Roman"/>
          <w:i/>
          <w:iCs/>
          <w:lang w:val="pt-BR"/>
        </w:rPr>
        <w:t>Pollut</w:t>
      </w:r>
      <w:proofErr w:type="spellEnd"/>
      <w:r w:rsidR="00B70386" w:rsidRPr="001D7776">
        <w:rPr>
          <w:rFonts w:ascii="Times New Roman" w:hAnsi="Times New Roman"/>
          <w:i/>
          <w:iCs/>
          <w:lang w:val="pt-BR"/>
        </w:rPr>
        <w:t xml:space="preserve"> Res</w:t>
      </w:r>
      <w:r>
        <w:rPr>
          <w:rFonts w:ascii="Times New Roman" w:hAnsi="Times New Roman"/>
          <w:i/>
          <w:iCs/>
          <w:lang w:val="pt-BR"/>
        </w:rPr>
        <w:t xml:space="preserve"> .</w:t>
      </w:r>
      <w:r w:rsidRPr="001D7776">
        <w:rPr>
          <w:rFonts w:ascii="Times New Roman" w:hAnsi="Times New Roman"/>
          <w:b/>
          <w:bCs/>
          <w:lang w:val="pt-BR"/>
        </w:rPr>
        <w:t>2017</w:t>
      </w:r>
      <w:r>
        <w:rPr>
          <w:rFonts w:ascii="Times New Roman" w:hAnsi="Times New Roman"/>
          <w:b/>
          <w:bCs/>
          <w:lang w:val="pt-BR"/>
        </w:rPr>
        <w:t>,</w:t>
      </w:r>
      <w:r w:rsidR="00B70386" w:rsidRPr="00B70386">
        <w:rPr>
          <w:rFonts w:ascii="Times New Roman" w:hAnsi="Times New Roman"/>
          <w:lang w:val="pt-BR"/>
        </w:rPr>
        <w:t xml:space="preserve"> V.24, p.19386 – 19392</w:t>
      </w:r>
      <w:r>
        <w:rPr>
          <w:rFonts w:ascii="Times New Roman" w:hAnsi="Times New Roman"/>
          <w:lang w:val="pt-BR"/>
        </w:rPr>
        <w:t>.</w:t>
      </w:r>
    </w:p>
    <w:p w14:paraId="56081F7D" w14:textId="21DE5B03" w:rsidR="00B70386" w:rsidRPr="00E758E7" w:rsidRDefault="001D7776" w:rsidP="00B70386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lang w:val="pt-BR"/>
        </w:rPr>
        <w:t xml:space="preserve">R. </w:t>
      </w:r>
      <w:proofErr w:type="spellStart"/>
      <w:r>
        <w:rPr>
          <w:rFonts w:ascii="Times New Roman" w:hAnsi="Times New Roman"/>
          <w:lang w:val="pt-BR"/>
        </w:rPr>
        <w:t>Celis</w:t>
      </w:r>
      <w:proofErr w:type="spellEnd"/>
      <w:r>
        <w:rPr>
          <w:rFonts w:ascii="Times New Roman" w:hAnsi="Times New Roman"/>
          <w:lang w:val="pt-BR"/>
        </w:rPr>
        <w:t xml:space="preserve">; C.M. </w:t>
      </w:r>
      <w:proofErr w:type="spellStart"/>
      <w:r>
        <w:rPr>
          <w:rFonts w:ascii="Times New Roman" w:hAnsi="Times New Roman"/>
          <w:lang w:val="pt-BR"/>
        </w:rPr>
        <w:t>Hermosín</w:t>
      </w:r>
      <w:proofErr w:type="spellEnd"/>
      <w:r>
        <w:rPr>
          <w:rFonts w:ascii="Times New Roman" w:hAnsi="Times New Roman"/>
          <w:lang w:val="pt-BR"/>
        </w:rPr>
        <w:t xml:space="preserve">; J.M. </w:t>
      </w:r>
      <w:proofErr w:type="spellStart"/>
      <w:r>
        <w:rPr>
          <w:rFonts w:ascii="Times New Roman" w:hAnsi="Times New Roman"/>
          <w:lang w:val="pt-BR"/>
        </w:rPr>
        <w:t>Carrizosa</w:t>
      </w:r>
      <w:proofErr w:type="spellEnd"/>
      <w:r>
        <w:rPr>
          <w:rFonts w:ascii="Times New Roman" w:hAnsi="Times New Roman"/>
          <w:lang w:val="pt-BR"/>
        </w:rPr>
        <w:t>; J.M. Cornejo.</w:t>
      </w:r>
      <w:r w:rsidR="00B70386" w:rsidRPr="00B70386">
        <w:rPr>
          <w:rFonts w:ascii="Times New Roman" w:hAnsi="Times New Roman"/>
          <w:lang w:val="pt-BR"/>
        </w:rPr>
        <w:t xml:space="preserve"> </w:t>
      </w:r>
      <w:r w:rsidR="00B70386" w:rsidRPr="00E758E7">
        <w:rPr>
          <w:rFonts w:ascii="Times New Roman" w:hAnsi="Times New Roman"/>
          <w:i/>
          <w:iCs/>
        </w:rPr>
        <w:t>J. Agric. Food Chem.</w:t>
      </w:r>
      <w:r w:rsidRPr="00E758E7">
        <w:rPr>
          <w:rFonts w:ascii="Times New Roman" w:hAnsi="Times New Roman"/>
          <w:b/>
          <w:bCs/>
        </w:rPr>
        <w:t>2002</w:t>
      </w:r>
      <w:r w:rsidRPr="00E758E7">
        <w:rPr>
          <w:rFonts w:ascii="Times New Roman" w:hAnsi="Times New Roman"/>
        </w:rPr>
        <w:t>,</w:t>
      </w:r>
      <w:r w:rsidR="0090156E" w:rsidRPr="00E758E7">
        <w:rPr>
          <w:rFonts w:ascii="Times New Roman" w:hAnsi="Times New Roman"/>
        </w:rPr>
        <w:t xml:space="preserve"> </w:t>
      </w:r>
      <w:r w:rsidR="00B70386" w:rsidRPr="00E758E7">
        <w:rPr>
          <w:rFonts w:ascii="Times New Roman" w:hAnsi="Times New Roman"/>
        </w:rPr>
        <w:t>V.50, p.2324- 2330.</w:t>
      </w:r>
    </w:p>
    <w:p w14:paraId="10ACE3B7" w14:textId="7234ED57" w:rsidR="00B70386" w:rsidRDefault="001D7776" w:rsidP="00B70386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E758E7">
        <w:rPr>
          <w:rFonts w:ascii="Times New Roman" w:hAnsi="Times New Roman"/>
        </w:rPr>
        <w:t>N. Hashim</w:t>
      </w:r>
      <w:r w:rsidR="00B70386" w:rsidRPr="00E758E7">
        <w:rPr>
          <w:rFonts w:ascii="Times New Roman" w:hAnsi="Times New Roman"/>
        </w:rPr>
        <w:t xml:space="preserve">; </w:t>
      </w:r>
      <w:r w:rsidRPr="00E758E7">
        <w:rPr>
          <w:rFonts w:ascii="Times New Roman" w:hAnsi="Times New Roman"/>
        </w:rPr>
        <w:t xml:space="preserve">M.N.S. </w:t>
      </w:r>
      <w:r w:rsidR="00B70386" w:rsidRPr="00E758E7">
        <w:rPr>
          <w:rFonts w:ascii="Times New Roman" w:hAnsi="Times New Roman"/>
        </w:rPr>
        <w:t>S</w:t>
      </w:r>
      <w:r w:rsidRPr="00E758E7">
        <w:rPr>
          <w:rFonts w:ascii="Times New Roman" w:hAnsi="Times New Roman"/>
        </w:rPr>
        <w:t>harif</w:t>
      </w:r>
      <w:r w:rsidR="00B70386" w:rsidRPr="00E758E7">
        <w:rPr>
          <w:rFonts w:ascii="Times New Roman" w:hAnsi="Times New Roman"/>
        </w:rPr>
        <w:t>;</w:t>
      </w:r>
      <w:r w:rsidRPr="00E758E7">
        <w:rPr>
          <w:rFonts w:ascii="Times New Roman" w:hAnsi="Times New Roman"/>
        </w:rPr>
        <w:t xml:space="preserve"> Z.M. Hussein</w:t>
      </w:r>
      <w:r w:rsidR="00B70386" w:rsidRPr="00E758E7">
        <w:rPr>
          <w:rFonts w:ascii="Times New Roman" w:hAnsi="Times New Roman"/>
        </w:rPr>
        <w:t xml:space="preserve">; </w:t>
      </w:r>
      <w:r w:rsidRPr="00E758E7">
        <w:rPr>
          <w:rFonts w:ascii="Times New Roman" w:hAnsi="Times New Roman"/>
        </w:rPr>
        <w:t>M.I. Isa</w:t>
      </w:r>
      <w:r w:rsidR="00B70386" w:rsidRPr="00E758E7">
        <w:rPr>
          <w:rFonts w:ascii="Times New Roman" w:hAnsi="Times New Roman"/>
        </w:rPr>
        <w:t>;</w:t>
      </w:r>
      <w:r w:rsidRPr="00E758E7">
        <w:rPr>
          <w:rFonts w:ascii="Times New Roman" w:hAnsi="Times New Roman"/>
        </w:rPr>
        <w:t xml:space="preserve"> A. Kamari;</w:t>
      </w:r>
      <w:r w:rsidR="00B70386" w:rsidRPr="00E758E7">
        <w:rPr>
          <w:rFonts w:ascii="Times New Roman" w:hAnsi="Times New Roman"/>
        </w:rPr>
        <w:t xml:space="preserve"> </w:t>
      </w:r>
      <w:r w:rsidRPr="00E758E7">
        <w:rPr>
          <w:rFonts w:ascii="Times New Roman" w:hAnsi="Times New Roman"/>
        </w:rPr>
        <w:t xml:space="preserve">A. </w:t>
      </w:r>
      <w:r w:rsidR="00B70386" w:rsidRPr="00E758E7">
        <w:rPr>
          <w:rFonts w:ascii="Times New Roman" w:hAnsi="Times New Roman"/>
        </w:rPr>
        <w:t>M</w:t>
      </w:r>
      <w:r w:rsidRPr="00E758E7">
        <w:rPr>
          <w:rFonts w:ascii="Times New Roman" w:hAnsi="Times New Roman"/>
        </w:rPr>
        <w:t>ohamed</w:t>
      </w:r>
      <w:r w:rsidR="00B70386" w:rsidRPr="00E758E7">
        <w:rPr>
          <w:rFonts w:ascii="Times New Roman" w:hAnsi="Times New Roman"/>
        </w:rPr>
        <w:t>;</w:t>
      </w:r>
      <w:r w:rsidRPr="00E758E7">
        <w:rPr>
          <w:rFonts w:ascii="Times New Roman" w:hAnsi="Times New Roman"/>
        </w:rPr>
        <w:t xml:space="preserve"> M.N. Ali</w:t>
      </w:r>
      <w:r w:rsidR="00B70386" w:rsidRPr="00E758E7">
        <w:rPr>
          <w:rFonts w:ascii="Times New Roman" w:hAnsi="Times New Roman"/>
        </w:rPr>
        <w:t>;</w:t>
      </w:r>
      <w:r w:rsidRPr="00E758E7">
        <w:rPr>
          <w:rFonts w:ascii="Times New Roman" w:hAnsi="Times New Roman"/>
        </w:rPr>
        <w:t xml:space="preserve"> A.S. Bakar; M. </w:t>
      </w:r>
      <w:proofErr w:type="spellStart"/>
      <w:r w:rsidRPr="00E758E7">
        <w:rPr>
          <w:rFonts w:ascii="Times New Roman" w:hAnsi="Times New Roman"/>
        </w:rPr>
        <w:t>Mamat</w:t>
      </w:r>
      <w:proofErr w:type="spellEnd"/>
      <w:r w:rsidRPr="00E758E7">
        <w:rPr>
          <w:rFonts w:ascii="Times New Roman" w:hAnsi="Times New Roman"/>
        </w:rPr>
        <w:t>.</w:t>
      </w:r>
      <w:r w:rsidR="00B70386" w:rsidRPr="00E758E7">
        <w:rPr>
          <w:rFonts w:ascii="Times New Roman" w:hAnsi="Times New Roman"/>
        </w:rPr>
        <w:t xml:space="preserve"> </w:t>
      </w:r>
      <w:r w:rsidR="00B70386" w:rsidRPr="001D7776">
        <w:rPr>
          <w:rFonts w:ascii="Times New Roman" w:hAnsi="Times New Roman"/>
          <w:i/>
          <w:iCs/>
          <w:lang w:val="pt-BR"/>
        </w:rPr>
        <w:t xml:space="preserve">Material </w:t>
      </w:r>
      <w:proofErr w:type="spellStart"/>
      <w:r w:rsidR="00B70386" w:rsidRPr="001D7776">
        <w:rPr>
          <w:rFonts w:ascii="Times New Roman" w:hAnsi="Times New Roman"/>
          <w:i/>
          <w:iCs/>
          <w:lang w:val="pt-BR"/>
        </w:rPr>
        <w:t>Research</w:t>
      </w:r>
      <w:proofErr w:type="spellEnd"/>
      <w:r w:rsidR="00B70386" w:rsidRPr="001D7776">
        <w:rPr>
          <w:rFonts w:ascii="Times New Roman" w:hAnsi="Times New Roman"/>
          <w:i/>
          <w:iCs/>
          <w:lang w:val="pt-BR"/>
        </w:rPr>
        <w:t xml:space="preserve"> </w:t>
      </w:r>
      <w:proofErr w:type="spellStart"/>
      <w:r w:rsidR="00B70386" w:rsidRPr="001D7776">
        <w:rPr>
          <w:rFonts w:ascii="Times New Roman" w:hAnsi="Times New Roman"/>
          <w:i/>
          <w:iCs/>
          <w:lang w:val="pt-BR"/>
        </w:rPr>
        <w:t>Innovations</w:t>
      </w:r>
      <w:proofErr w:type="spellEnd"/>
      <w:r>
        <w:rPr>
          <w:rFonts w:ascii="Times New Roman" w:hAnsi="Times New Roman"/>
          <w:i/>
          <w:iCs/>
          <w:lang w:val="pt-BR"/>
        </w:rPr>
        <w:t>.</w:t>
      </w:r>
      <w:r w:rsidR="00B70386" w:rsidRPr="00B70386">
        <w:rPr>
          <w:rFonts w:ascii="Times New Roman" w:hAnsi="Times New Roman"/>
          <w:lang w:val="pt-BR"/>
        </w:rPr>
        <w:t xml:space="preserve"> </w:t>
      </w:r>
      <w:r w:rsidRPr="001D7776">
        <w:rPr>
          <w:rFonts w:ascii="Times New Roman" w:hAnsi="Times New Roman"/>
          <w:b/>
          <w:bCs/>
          <w:lang w:val="pt-BR"/>
        </w:rPr>
        <w:t>2017,</w:t>
      </w:r>
      <w:r>
        <w:rPr>
          <w:rFonts w:ascii="Times New Roman" w:hAnsi="Times New Roman"/>
          <w:lang w:val="pt-BR"/>
        </w:rPr>
        <w:t xml:space="preserve"> </w:t>
      </w:r>
      <w:r w:rsidR="00B70386" w:rsidRPr="00B70386">
        <w:rPr>
          <w:rFonts w:ascii="Times New Roman" w:hAnsi="Times New Roman"/>
          <w:lang w:val="pt-BR"/>
        </w:rPr>
        <w:t>V.21:3, p.129-145</w:t>
      </w:r>
      <w:r>
        <w:rPr>
          <w:rFonts w:ascii="Times New Roman" w:hAnsi="Times New Roman"/>
          <w:lang w:val="pt-BR"/>
        </w:rPr>
        <w:t>.</w:t>
      </w:r>
    </w:p>
    <w:p w14:paraId="53A8AD22" w14:textId="5B96A9DF" w:rsidR="00B70386" w:rsidRPr="00E758E7" w:rsidRDefault="001D7776" w:rsidP="00B70386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lang w:val="pt-BR"/>
        </w:rPr>
        <w:t xml:space="preserve">H. S. </w:t>
      </w:r>
      <w:proofErr w:type="spellStart"/>
      <w:r>
        <w:rPr>
          <w:rFonts w:ascii="Times New Roman" w:hAnsi="Times New Roman"/>
          <w:lang w:val="pt-BR"/>
        </w:rPr>
        <w:t>Sarijo</w:t>
      </w:r>
      <w:proofErr w:type="spellEnd"/>
      <w:r w:rsidR="00B70386" w:rsidRPr="00B70386">
        <w:rPr>
          <w:rFonts w:ascii="Times New Roman" w:hAnsi="Times New Roman"/>
          <w:lang w:val="pt-BR"/>
        </w:rPr>
        <w:t>;</w:t>
      </w:r>
      <w:r>
        <w:rPr>
          <w:rFonts w:ascii="Times New Roman" w:hAnsi="Times New Roman"/>
          <w:lang w:val="pt-BR"/>
        </w:rPr>
        <w:t xml:space="preserve"> M.S.I.A.S. </w:t>
      </w:r>
      <w:proofErr w:type="spellStart"/>
      <w:r>
        <w:rPr>
          <w:rFonts w:ascii="Times New Roman" w:hAnsi="Times New Roman"/>
          <w:lang w:val="pt-BR"/>
        </w:rPr>
        <w:t>Ghazali</w:t>
      </w:r>
      <w:proofErr w:type="spellEnd"/>
      <w:r w:rsidR="00B70386" w:rsidRPr="00B70386">
        <w:rPr>
          <w:rFonts w:ascii="Times New Roman" w:hAnsi="Times New Roman"/>
          <w:lang w:val="pt-BR"/>
        </w:rPr>
        <w:t xml:space="preserve">; </w:t>
      </w:r>
      <w:r>
        <w:rPr>
          <w:rFonts w:ascii="Times New Roman" w:hAnsi="Times New Roman"/>
          <w:lang w:val="pt-BR"/>
        </w:rPr>
        <w:t>Z.M. Husse</w:t>
      </w:r>
      <w:r w:rsidR="00172153">
        <w:rPr>
          <w:rFonts w:ascii="Times New Roman" w:hAnsi="Times New Roman"/>
          <w:lang w:val="pt-BR"/>
        </w:rPr>
        <w:t>in</w:t>
      </w:r>
      <w:r w:rsidR="00B70386" w:rsidRPr="00B70386">
        <w:rPr>
          <w:rFonts w:ascii="Times New Roman" w:hAnsi="Times New Roman"/>
          <w:lang w:val="pt-BR"/>
        </w:rPr>
        <w:t xml:space="preserve">. </w:t>
      </w:r>
      <w:r w:rsidR="00B70386" w:rsidRPr="00E758E7">
        <w:rPr>
          <w:rFonts w:ascii="Times New Roman" w:hAnsi="Times New Roman"/>
          <w:i/>
          <w:iCs/>
        </w:rPr>
        <w:t>J</w:t>
      </w:r>
      <w:r w:rsidR="00172153" w:rsidRPr="00E758E7">
        <w:rPr>
          <w:rFonts w:ascii="Times New Roman" w:hAnsi="Times New Roman"/>
          <w:i/>
          <w:iCs/>
        </w:rPr>
        <w:t>.</w:t>
      </w:r>
      <w:r w:rsidR="00B70386" w:rsidRPr="00E758E7">
        <w:rPr>
          <w:rFonts w:ascii="Times New Roman" w:hAnsi="Times New Roman"/>
          <w:i/>
          <w:iCs/>
        </w:rPr>
        <w:t xml:space="preserve"> Porous Mat</w:t>
      </w:r>
      <w:r w:rsidR="00172153" w:rsidRPr="00E758E7">
        <w:rPr>
          <w:rFonts w:ascii="Times New Roman" w:hAnsi="Times New Roman"/>
          <w:i/>
          <w:iCs/>
        </w:rPr>
        <w:t xml:space="preserve">. </w:t>
      </w:r>
      <w:r w:rsidR="00172153" w:rsidRPr="00E758E7">
        <w:rPr>
          <w:rFonts w:ascii="Times New Roman" w:hAnsi="Times New Roman"/>
          <w:b/>
          <w:bCs/>
        </w:rPr>
        <w:t>2015,</w:t>
      </w:r>
      <w:r w:rsidR="00B70386" w:rsidRPr="00E758E7">
        <w:rPr>
          <w:rFonts w:ascii="Times New Roman" w:hAnsi="Times New Roman"/>
          <w:b/>
          <w:bCs/>
        </w:rPr>
        <w:t xml:space="preserve"> </w:t>
      </w:r>
      <w:r w:rsidR="00B70386" w:rsidRPr="00E758E7">
        <w:rPr>
          <w:rFonts w:ascii="Times New Roman" w:hAnsi="Times New Roman"/>
        </w:rPr>
        <w:t>V.22, p.473-480</w:t>
      </w:r>
      <w:r w:rsidR="00172153" w:rsidRPr="00E758E7">
        <w:rPr>
          <w:rFonts w:ascii="Times New Roman" w:hAnsi="Times New Roman"/>
        </w:rPr>
        <w:t>.</w:t>
      </w:r>
    </w:p>
    <w:p w14:paraId="1A6AD509" w14:textId="6A565329" w:rsidR="00EA4E1B" w:rsidRDefault="00172153" w:rsidP="00B70386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R. </w:t>
      </w:r>
      <w:proofErr w:type="spellStart"/>
      <w:r>
        <w:rPr>
          <w:rFonts w:ascii="Times New Roman" w:hAnsi="Times New Roman"/>
          <w:lang w:val="pt-BR"/>
        </w:rPr>
        <w:t>Celis</w:t>
      </w:r>
      <w:proofErr w:type="spellEnd"/>
      <w:r w:rsidR="00B70386" w:rsidRPr="003C1D50">
        <w:rPr>
          <w:rFonts w:ascii="Times New Roman" w:hAnsi="Times New Roman"/>
          <w:lang w:val="pt-BR"/>
        </w:rPr>
        <w:t>;</w:t>
      </w:r>
      <w:r>
        <w:rPr>
          <w:rFonts w:ascii="Times New Roman" w:hAnsi="Times New Roman"/>
          <w:lang w:val="pt-BR"/>
        </w:rPr>
        <w:t xml:space="preserve"> C.M. </w:t>
      </w:r>
      <w:proofErr w:type="spellStart"/>
      <w:r w:rsidR="00B70386" w:rsidRPr="003C1D50">
        <w:rPr>
          <w:rFonts w:ascii="Times New Roman" w:hAnsi="Times New Roman"/>
          <w:lang w:val="pt-BR"/>
        </w:rPr>
        <w:t>H</w:t>
      </w:r>
      <w:r>
        <w:rPr>
          <w:rFonts w:ascii="Times New Roman" w:hAnsi="Times New Roman"/>
          <w:lang w:val="pt-BR"/>
        </w:rPr>
        <w:t>ermosín</w:t>
      </w:r>
      <w:proofErr w:type="spellEnd"/>
      <w:r>
        <w:rPr>
          <w:rFonts w:ascii="Times New Roman" w:hAnsi="Times New Roman"/>
          <w:lang w:val="pt-BR"/>
        </w:rPr>
        <w:t>; L. Cornejo</w:t>
      </w:r>
      <w:r w:rsidR="00B70386" w:rsidRPr="003C1D50">
        <w:rPr>
          <w:rFonts w:ascii="Times New Roman" w:hAnsi="Times New Roman"/>
          <w:lang w:val="pt-BR"/>
        </w:rPr>
        <w:t>;</w:t>
      </w:r>
      <w:r>
        <w:rPr>
          <w:rFonts w:ascii="Times New Roman" w:hAnsi="Times New Roman"/>
          <w:lang w:val="pt-BR"/>
        </w:rPr>
        <w:t xml:space="preserve"> J.M. </w:t>
      </w:r>
      <w:proofErr w:type="spellStart"/>
      <w:r>
        <w:rPr>
          <w:rFonts w:ascii="Times New Roman" w:hAnsi="Times New Roman"/>
          <w:lang w:val="pt-BR"/>
        </w:rPr>
        <w:t>Carrizosa</w:t>
      </w:r>
      <w:proofErr w:type="spellEnd"/>
      <w:r w:rsidR="00B70386" w:rsidRPr="003C1D50">
        <w:rPr>
          <w:rFonts w:ascii="Times New Roman" w:hAnsi="Times New Roman"/>
          <w:lang w:val="pt-BR"/>
        </w:rPr>
        <w:t>;</w:t>
      </w:r>
      <w:r>
        <w:rPr>
          <w:rFonts w:ascii="Times New Roman" w:hAnsi="Times New Roman"/>
          <w:lang w:val="pt-BR"/>
        </w:rPr>
        <w:t xml:space="preserve"> J. Cornejo.</w:t>
      </w:r>
      <w:r w:rsidR="00B70386" w:rsidRPr="003C1D50">
        <w:rPr>
          <w:rFonts w:ascii="Times New Roman" w:hAnsi="Times New Roman"/>
          <w:lang w:val="pt-BR"/>
        </w:rPr>
        <w:t xml:space="preserve"> </w:t>
      </w:r>
      <w:r w:rsidR="00B70386" w:rsidRPr="00172153">
        <w:rPr>
          <w:rFonts w:ascii="Times New Roman" w:hAnsi="Times New Roman"/>
          <w:i/>
          <w:iCs/>
          <w:lang w:val="pt-BR"/>
        </w:rPr>
        <w:t xml:space="preserve">J. </w:t>
      </w:r>
      <w:proofErr w:type="spellStart"/>
      <w:r w:rsidR="00B70386" w:rsidRPr="00172153">
        <w:rPr>
          <w:rFonts w:ascii="Times New Roman" w:hAnsi="Times New Roman"/>
          <w:i/>
          <w:iCs/>
          <w:lang w:val="pt-BR"/>
        </w:rPr>
        <w:t>Environ</w:t>
      </w:r>
      <w:proofErr w:type="spellEnd"/>
      <w:r w:rsidR="00B70386" w:rsidRPr="00172153">
        <w:rPr>
          <w:rFonts w:ascii="Times New Roman" w:hAnsi="Times New Roman"/>
          <w:i/>
          <w:iCs/>
          <w:lang w:val="pt-BR"/>
        </w:rPr>
        <w:t>. Anal. Chem.</w:t>
      </w:r>
      <w:r w:rsidRPr="00172153">
        <w:rPr>
          <w:rFonts w:ascii="Times New Roman" w:hAnsi="Times New Roman"/>
          <w:b/>
          <w:bCs/>
          <w:lang w:val="pt-BR"/>
        </w:rPr>
        <w:t>2002,</w:t>
      </w:r>
      <w:r w:rsidR="0090156E">
        <w:rPr>
          <w:rFonts w:ascii="Times New Roman" w:hAnsi="Times New Roman"/>
          <w:b/>
          <w:bCs/>
          <w:lang w:val="pt-BR"/>
        </w:rPr>
        <w:t xml:space="preserve"> </w:t>
      </w:r>
      <w:r w:rsidR="00B70386" w:rsidRPr="003C1D50">
        <w:rPr>
          <w:rFonts w:ascii="Times New Roman" w:hAnsi="Times New Roman"/>
          <w:lang w:val="pt-BR"/>
        </w:rPr>
        <w:t>V.82,</w:t>
      </w:r>
      <w:r w:rsidR="0090156E">
        <w:rPr>
          <w:rFonts w:ascii="Times New Roman" w:hAnsi="Times New Roman"/>
          <w:lang w:val="pt-BR"/>
        </w:rPr>
        <w:t xml:space="preserve"> </w:t>
      </w:r>
      <w:r w:rsidR="00B70386" w:rsidRPr="003C1D50">
        <w:rPr>
          <w:rFonts w:ascii="Times New Roman" w:hAnsi="Times New Roman"/>
          <w:lang w:val="pt-BR"/>
        </w:rPr>
        <w:t>p.503-517</w:t>
      </w:r>
      <w:r>
        <w:rPr>
          <w:rFonts w:ascii="Times New Roman" w:hAnsi="Times New Roman"/>
          <w:lang w:val="pt-BR"/>
        </w:rPr>
        <w:t>.</w:t>
      </w:r>
    </w:p>
    <w:p w14:paraId="5CBF68B0" w14:textId="7BF9402C" w:rsidR="009F0F38" w:rsidRPr="00E758E7" w:rsidRDefault="00172153" w:rsidP="009F0F38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E758E7">
        <w:rPr>
          <w:rFonts w:ascii="Times New Roman" w:hAnsi="Times New Roman"/>
        </w:rPr>
        <w:t xml:space="preserve">M. </w:t>
      </w:r>
      <w:proofErr w:type="spellStart"/>
      <w:r w:rsidR="009F0F38" w:rsidRPr="00E758E7">
        <w:rPr>
          <w:rFonts w:ascii="Times New Roman" w:hAnsi="Times New Roman"/>
        </w:rPr>
        <w:t>L</w:t>
      </w:r>
      <w:r w:rsidRPr="00E758E7">
        <w:rPr>
          <w:rFonts w:ascii="Times New Roman" w:hAnsi="Times New Roman"/>
        </w:rPr>
        <w:t>akraimi</w:t>
      </w:r>
      <w:proofErr w:type="spellEnd"/>
      <w:r w:rsidR="009F0F38" w:rsidRPr="00E758E7">
        <w:rPr>
          <w:rFonts w:ascii="Times New Roman" w:hAnsi="Times New Roman"/>
        </w:rPr>
        <w:t>;</w:t>
      </w:r>
      <w:r w:rsidRPr="00E758E7">
        <w:rPr>
          <w:rFonts w:ascii="Times New Roman" w:hAnsi="Times New Roman"/>
        </w:rPr>
        <w:t xml:space="preserve"> A. </w:t>
      </w:r>
      <w:proofErr w:type="spellStart"/>
      <w:r w:rsidRPr="00E758E7">
        <w:rPr>
          <w:rFonts w:ascii="Times New Roman" w:hAnsi="Times New Roman"/>
        </w:rPr>
        <w:t>Legrouri</w:t>
      </w:r>
      <w:proofErr w:type="spellEnd"/>
      <w:r w:rsidR="009F0F38" w:rsidRPr="00E758E7">
        <w:rPr>
          <w:rFonts w:ascii="Times New Roman" w:hAnsi="Times New Roman"/>
        </w:rPr>
        <w:t xml:space="preserve">; </w:t>
      </w:r>
      <w:r w:rsidRPr="00E758E7">
        <w:rPr>
          <w:rFonts w:ascii="Times New Roman" w:hAnsi="Times New Roman"/>
        </w:rPr>
        <w:t xml:space="preserve">A. </w:t>
      </w:r>
      <w:proofErr w:type="spellStart"/>
      <w:r w:rsidRPr="00E758E7">
        <w:rPr>
          <w:rFonts w:ascii="Times New Roman" w:hAnsi="Times New Roman"/>
        </w:rPr>
        <w:t>Barroug</w:t>
      </w:r>
      <w:proofErr w:type="spellEnd"/>
      <w:r w:rsidR="009F0F38" w:rsidRPr="00E758E7">
        <w:rPr>
          <w:rFonts w:ascii="Times New Roman" w:hAnsi="Times New Roman"/>
        </w:rPr>
        <w:t>;</w:t>
      </w:r>
      <w:r w:rsidRPr="00E758E7">
        <w:rPr>
          <w:rFonts w:ascii="Times New Roman" w:hAnsi="Times New Roman"/>
        </w:rPr>
        <w:t xml:space="preserve"> </w:t>
      </w:r>
      <w:r w:rsidR="004662AD" w:rsidRPr="00E758E7">
        <w:rPr>
          <w:rFonts w:ascii="Times New Roman" w:hAnsi="Times New Roman"/>
        </w:rPr>
        <w:t>D. A. Roy</w:t>
      </w:r>
      <w:r w:rsidR="009F0F38" w:rsidRPr="00E758E7">
        <w:rPr>
          <w:rFonts w:ascii="Times New Roman" w:hAnsi="Times New Roman"/>
        </w:rPr>
        <w:t>;</w:t>
      </w:r>
      <w:r w:rsidR="004662AD" w:rsidRPr="00E758E7">
        <w:rPr>
          <w:rFonts w:ascii="Times New Roman" w:hAnsi="Times New Roman"/>
        </w:rPr>
        <w:t xml:space="preserve"> P. J. </w:t>
      </w:r>
      <w:proofErr w:type="spellStart"/>
      <w:r w:rsidR="004662AD" w:rsidRPr="00E758E7">
        <w:rPr>
          <w:rFonts w:ascii="Times New Roman" w:hAnsi="Times New Roman"/>
        </w:rPr>
        <w:t>Besse</w:t>
      </w:r>
      <w:proofErr w:type="spellEnd"/>
      <w:r w:rsidR="004662AD" w:rsidRPr="00E758E7">
        <w:rPr>
          <w:rFonts w:ascii="Times New Roman" w:hAnsi="Times New Roman"/>
        </w:rPr>
        <w:t xml:space="preserve">. </w:t>
      </w:r>
      <w:r w:rsidR="004662AD" w:rsidRPr="00E758E7">
        <w:rPr>
          <w:rFonts w:ascii="Times New Roman" w:hAnsi="Times New Roman"/>
          <w:i/>
          <w:iCs/>
        </w:rPr>
        <w:t>J.</w:t>
      </w:r>
      <w:r w:rsidR="009F0F38" w:rsidRPr="00E758E7">
        <w:rPr>
          <w:rFonts w:ascii="Times New Roman" w:hAnsi="Times New Roman"/>
          <w:i/>
          <w:iCs/>
        </w:rPr>
        <w:t xml:space="preserve"> Mat</w:t>
      </w:r>
      <w:r w:rsidR="004662AD" w:rsidRPr="00E758E7">
        <w:rPr>
          <w:rFonts w:ascii="Times New Roman" w:hAnsi="Times New Roman"/>
          <w:i/>
          <w:iCs/>
        </w:rPr>
        <w:t>.</w:t>
      </w:r>
      <w:r w:rsidR="009F0F38" w:rsidRPr="00E758E7">
        <w:rPr>
          <w:rFonts w:ascii="Times New Roman" w:hAnsi="Times New Roman"/>
          <w:i/>
          <w:iCs/>
        </w:rPr>
        <w:t xml:space="preserve"> Chem</w:t>
      </w:r>
      <w:r w:rsidR="004662AD" w:rsidRPr="00E758E7">
        <w:rPr>
          <w:rFonts w:ascii="Times New Roman" w:hAnsi="Times New Roman"/>
          <w:i/>
          <w:iCs/>
        </w:rPr>
        <w:t>.</w:t>
      </w:r>
      <w:r w:rsidR="004662AD" w:rsidRPr="00E758E7">
        <w:rPr>
          <w:rFonts w:ascii="Times New Roman" w:hAnsi="Times New Roman"/>
        </w:rPr>
        <w:t xml:space="preserve"> </w:t>
      </w:r>
      <w:r w:rsidR="004662AD" w:rsidRPr="00E758E7">
        <w:rPr>
          <w:rFonts w:ascii="Times New Roman" w:hAnsi="Times New Roman"/>
          <w:b/>
          <w:bCs/>
        </w:rPr>
        <w:t>2000,</w:t>
      </w:r>
      <w:r w:rsidR="009F0F38" w:rsidRPr="00E758E7">
        <w:rPr>
          <w:rFonts w:ascii="Times New Roman" w:hAnsi="Times New Roman"/>
        </w:rPr>
        <w:t xml:space="preserve"> v. 10, p.</w:t>
      </w:r>
      <w:r w:rsidR="009F0F38" w:rsidRPr="00986B02">
        <w:t xml:space="preserve"> </w:t>
      </w:r>
      <w:r w:rsidR="009F0F38" w:rsidRPr="00E758E7">
        <w:rPr>
          <w:rFonts w:ascii="Times New Roman" w:hAnsi="Times New Roman"/>
        </w:rPr>
        <w:t>1007-1011.</w:t>
      </w:r>
    </w:p>
    <w:p w14:paraId="70730DA9" w14:textId="7044A1E0" w:rsidR="00B662F4" w:rsidRDefault="004662AD" w:rsidP="00B662F4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E758E7">
        <w:rPr>
          <w:rFonts w:ascii="Times New Roman" w:hAnsi="Times New Roman"/>
        </w:rPr>
        <w:t>M. Hussein</w:t>
      </w:r>
      <w:r w:rsidR="00B662F4" w:rsidRPr="00E758E7">
        <w:rPr>
          <w:rFonts w:ascii="Times New Roman" w:hAnsi="Times New Roman"/>
        </w:rPr>
        <w:t>;</w:t>
      </w:r>
      <w:r w:rsidRPr="00E758E7">
        <w:rPr>
          <w:rFonts w:ascii="Times New Roman" w:hAnsi="Times New Roman"/>
        </w:rPr>
        <w:t xml:space="preserve"> H.A. Yahaya</w:t>
      </w:r>
      <w:r w:rsidR="00B662F4" w:rsidRPr="00E758E7">
        <w:rPr>
          <w:rFonts w:ascii="Times New Roman" w:hAnsi="Times New Roman"/>
        </w:rPr>
        <w:t>;</w:t>
      </w:r>
      <w:r w:rsidRPr="00E758E7">
        <w:rPr>
          <w:rFonts w:ascii="Times New Roman" w:hAnsi="Times New Roman"/>
        </w:rPr>
        <w:t xml:space="preserve"> Z. Zainal</w:t>
      </w:r>
      <w:r w:rsidR="00B662F4" w:rsidRPr="00E758E7">
        <w:rPr>
          <w:rFonts w:ascii="Times New Roman" w:hAnsi="Times New Roman"/>
        </w:rPr>
        <w:t>;</w:t>
      </w:r>
      <w:r w:rsidRPr="00E758E7">
        <w:rPr>
          <w:rFonts w:ascii="Times New Roman" w:hAnsi="Times New Roman"/>
        </w:rPr>
        <w:t xml:space="preserve"> H. L. Kian</w:t>
      </w:r>
      <w:r w:rsidRPr="00E758E7">
        <w:rPr>
          <w:rFonts w:ascii="Times New Roman" w:hAnsi="Times New Roman"/>
          <w:i/>
          <w:iCs/>
        </w:rPr>
        <w:t>.</w:t>
      </w:r>
      <w:r w:rsidR="00B662F4" w:rsidRPr="004662AD">
        <w:rPr>
          <w:i/>
          <w:iCs/>
        </w:rPr>
        <w:t xml:space="preserve"> </w:t>
      </w:r>
      <w:r w:rsidR="00B662F4" w:rsidRPr="00E758E7">
        <w:rPr>
          <w:rFonts w:ascii="Times New Roman" w:hAnsi="Times New Roman"/>
          <w:i/>
          <w:iCs/>
        </w:rPr>
        <w:t>Sci</w:t>
      </w:r>
      <w:r w:rsidRPr="00E758E7">
        <w:rPr>
          <w:rFonts w:ascii="Times New Roman" w:hAnsi="Times New Roman"/>
          <w:i/>
          <w:iCs/>
        </w:rPr>
        <w:t>.</w:t>
      </w:r>
      <w:r w:rsidR="00B662F4" w:rsidRPr="00E758E7">
        <w:rPr>
          <w:rFonts w:ascii="Times New Roman" w:hAnsi="Times New Roman"/>
          <w:i/>
          <w:iCs/>
        </w:rPr>
        <w:t xml:space="preserve"> and </w:t>
      </w:r>
      <w:proofErr w:type="spellStart"/>
      <w:r w:rsidR="00B662F4" w:rsidRPr="00E758E7">
        <w:rPr>
          <w:rFonts w:ascii="Times New Roman" w:hAnsi="Times New Roman"/>
          <w:i/>
          <w:iCs/>
        </w:rPr>
        <w:t>Techn</w:t>
      </w:r>
      <w:proofErr w:type="spellEnd"/>
      <w:r w:rsidRPr="00E758E7">
        <w:rPr>
          <w:rFonts w:ascii="Times New Roman" w:hAnsi="Times New Roman"/>
          <w:i/>
          <w:iCs/>
        </w:rPr>
        <w:t>.</w:t>
      </w:r>
      <w:r w:rsidR="00B662F4" w:rsidRPr="00E758E7">
        <w:rPr>
          <w:rFonts w:ascii="Times New Roman" w:hAnsi="Times New Roman"/>
          <w:i/>
          <w:iCs/>
        </w:rPr>
        <w:t xml:space="preserve"> </w:t>
      </w:r>
      <w:r w:rsidR="00B662F4" w:rsidRPr="004662AD">
        <w:rPr>
          <w:rFonts w:ascii="Times New Roman" w:hAnsi="Times New Roman"/>
          <w:i/>
          <w:iCs/>
          <w:lang w:val="pt-BR"/>
        </w:rPr>
        <w:t>Adv</w:t>
      </w:r>
      <w:r w:rsidRPr="004662AD">
        <w:rPr>
          <w:rFonts w:ascii="Times New Roman" w:hAnsi="Times New Roman"/>
          <w:i/>
          <w:iCs/>
          <w:lang w:val="pt-BR"/>
        </w:rPr>
        <w:t>.</w:t>
      </w:r>
      <w:r w:rsidR="00B662F4" w:rsidRPr="004662AD">
        <w:rPr>
          <w:rFonts w:ascii="Times New Roman" w:hAnsi="Times New Roman"/>
          <w:i/>
          <w:iCs/>
          <w:lang w:val="pt-BR"/>
        </w:rPr>
        <w:t xml:space="preserve"> Mat</w:t>
      </w:r>
      <w:r w:rsidRPr="004662AD">
        <w:rPr>
          <w:rFonts w:ascii="Times New Roman" w:hAnsi="Times New Roman"/>
          <w:i/>
          <w:iCs/>
          <w:lang w:val="pt-BR"/>
        </w:rPr>
        <w:t>.</w:t>
      </w:r>
      <w:r>
        <w:rPr>
          <w:rFonts w:ascii="Times New Roman" w:hAnsi="Times New Roman"/>
          <w:lang w:val="pt-BR"/>
        </w:rPr>
        <w:t xml:space="preserve"> </w:t>
      </w:r>
      <w:r w:rsidRPr="004662AD">
        <w:rPr>
          <w:rFonts w:ascii="Times New Roman" w:hAnsi="Times New Roman"/>
          <w:b/>
          <w:bCs/>
          <w:lang w:val="pt-BR"/>
        </w:rPr>
        <w:t>2005,</w:t>
      </w:r>
      <w:r w:rsidR="00B662F4" w:rsidRPr="00EC060D">
        <w:rPr>
          <w:rFonts w:ascii="Times New Roman" w:hAnsi="Times New Roman"/>
          <w:lang w:val="pt-BR"/>
        </w:rPr>
        <w:t xml:space="preserve"> v. 6, p. 956-962.</w:t>
      </w:r>
    </w:p>
    <w:p w14:paraId="67AF1454" w14:textId="4BB920BC" w:rsidR="00EC060D" w:rsidRPr="007B1FB8" w:rsidRDefault="004662AD" w:rsidP="00EC060D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7B1FB8">
        <w:rPr>
          <w:rFonts w:ascii="Times New Roman" w:hAnsi="Times New Roman"/>
        </w:rPr>
        <w:t>L. D. Paiva; M. G. Lampman</w:t>
      </w:r>
      <w:r w:rsidR="00EC060D" w:rsidRPr="007B1FB8">
        <w:rPr>
          <w:rFonts w:ascii="Times New Roman" w:hAnsi="Times New Roman"/>
        </w:rPr>
        <w:t>;</w:t>
      </w:r>
      <w:r w:rsidRPr="007B1FB8">
        <w:rPr>
          <w:rFonts w:ascii="Times New Roman" w:hAnsi="Times New Roman"/>
        </w:rPr>
        <w:t xml:space="preserve"> S.G. </w:t>
      </w:r>
      <w:proofErr w:type="spellStart"/>
      <w:r w:rsidRPr="007B1FB8">
        <w:rPr>
          <w:rFonts w:ascii="Times New Roman" w:hAnsi="Times New Roman"/>
        </w:rPr>
        <w:t>Kriz</w:t>
      </w:r>
      <w:proofErr w:type="spellEnd"/>
      <w:r w:rsidR="00EC060D" w:rsidRPr="007B1FB8">
        <w:rPr>
          <w:rFonts w:ascii="Times New Roman" w:hAnsi="Times New Roman"/>
        </w:rPr>
        <w:t>;</w:t>
      </w:r>
      <w:r w:rsidRPr="007B1FB8">
        <w:rPr>
          <w:rFonts w:ascii="Times New Roman" w:hAnsi="Times New Roman"/>
        </w:rPr>
        <w:t xml:space="preserve"> </w:t>
      </w:r>
      <w:proofErr w:type="spellStart"/>
      <w:r w:rsidRPr="007B1FB8">
        <w:rPr>
          <w:rFonts w:ascii="Times New Roman" w:hAnsi="Times New Roman"/>
        </w:rPr>
        <w:t>R.</w:t>
      </w:r>
      <w:proofErr w:type="gramStart"/>
      <w:r w:rsidRPr="007B1FB8">
        <w:rPr>
          <w:rFonts w:ascii="Times New Roman" w:hAnsi="Times New Roman"/>
        </w:rPr>
        <w:t>J.Vyvyan</w:t>
      </w:r>
      <w:proofErr w:type="spellEnd"/>
      <w:proofErr w:type="gramEnd"/>
      <w:r w:rsidRPr="007B1FB8">
        <w:rPr>
          <w:rFonts w:ascii="Times New Roman" w:hAnsi="Times New Roman"/>
        </w:rPr>
        <w:t>.</w:t>
      </w:r>
      <w:r w:rsidR="00EC060D" w:rsidRPr="007B1FB8">
        <w:rPr>
          <w:rFonts w:ascii="Times New Roman" w:hAnsi="Times New Roman"/>
        </w:rPr>
        <w:t xml:space="preserve"> </w:t>
      </w:r>
      <w:r w:rsidR="00EC060D" w:rsidRPr="007B1FB8">
        <w:rPr>
          <w:rFonts w:ascii="Times New Roman" w:hAnsi="Times New Roman"/>
          <w:i/>
          <w:iCs/>
        </w:rPr>
        <w:t>Introduction to spectroscopy,</w:t>
      </w:r>
      <w:r w:rsidR="00EC060D" w:rsidRPr="007B1FB8">
        <w:rPr>
          <w:rFonts w:ascii="Times New Roman" w:hAnsi="Times New Roman"/>
        </w:rPr>
        <w:t xml:space="preserve"> 4ª ed, C</w:t>
      </w:r>
      <w:r w:rsidRPr="007B1FB8">
        <w:rPr>
          <w:rFonts w:ascii="Times New Roman" w:hAnsi="Times New Roman"/>
        </w:rPr>
        <w:t>engage</w:t>
      </w:r>
      <w:r w:rsidR="00EC060D" w:rsidRPr="007B1FB8">
        <w:rPr>
          <w:rFonts w:ascii="Times New Roman" w:hAnsi="Times New Roman"/>
        </w:rPr>
        <w:t xml:space="preserve"> Learning, 2008.</w:t>
      </w:r>
    </w:p>
    <w:p w14:paraId="7B3466D8" w14:textId="1E82DA67" w:rsidR="00EC060D" w:rsidRDefault="00F579B0" w:rsidP="00EC060D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E758E7">
        <w:rPr>
          <w:rFonts w:ascii="Times New Roman" w:hAnsi="Times New Roman"/>
        </w:rPr>
        <w:t>J. Meng</w:t>
      </w:r>
      <w:r w:rsidR="00EC060D" w:rsidRPr="00E758E7">
        <w:rPr>
          <w:rFonts w:ascii="Times New Roman" w:hAnsi="Times New Roman"/>
        </w:rPr>
        <w:t>;</w:t>
      </w:r>
      <w:r w:rsidRPr="00E758E7">
        <w:rPr>
          <w:rFonts w:ascii="Times New Roman" w:hAnsi="Times New Roman"/>
        </w:rPr>
        <w:t xml:space="preserve"> H. Zhang</w:t>
      </w:r>
      <w:r w:rsidR="00EC060D" w:rsidRPr="00E758E7">
        <w:rPr>
          <w:rFonts w:ascii="Times New Roman" w:hAnsi="Times New Roman"/>
        </w:rPr>
        <w:t>;</w:t>
      </w:r>
      <w:r w:rsidRPr="00E758E7">
        <w:rPr>
          <w:rFonts w:ascii="Times New Roman" w:hAnsi="Times New Roman"/>
        </w:rPr>
        <w:t xml:space="preserve"> G.D. </w:t>
      </w:r>
      <w:proofErr w:type="spellStart"/>
      <w:r w:rsidRPr="00E758E7">
        <w:rPr>
          <w:rFonts w:ascii="Times New Roman" w:hAnsi="Times New Roman"/>
        </w:rPr>
        <w:t>Egans</w:t>
      </w:r>
      <w:proofErr w:type="spellEnd"/>
      <w:r w:rsidR="00EC060D" w:rsidRPr="00E758E7">
        <w:rPr>
          <w:rFonts w:ascii="Times New Roman" w:hAnsi="Times New Roman"/>
        </w:rPr>
        <w:t>;</w:t>
      </w:r>
      <w:r w:rsidRPr="00E758E7">
        <w:rPr>
          <w:rFonts w:ascii="Times New Roman" w:hAnsi="Times New Roman"/>
        </w:rPr>
        <w:t xml:space="preserve"> X. Duan</w:t>
      </w:r>
      <w:r w:rsidR="00EC060D" w:rsidRPr="00E758E7">
        <w:rPr>
          <w:rFonts w:ascii="Times New Roman" w:hAnsi="Times New Roman"/>
        </w:rPr>
        <w:t>,</w:t>
      </w:r>
      <w:r w:rsidR="00986B02" w:rsidRPr="00E758E7">
        <w:rPr>
          <w:rFonts w:ascii="Times New Roman" w:hAnsi="Times New Roman"/>
        </w:rPr>
        <w:t xml:space="preserve"> </w:t>
      </w:r>
      <w:r w:rsidR="00986B02" w:rsidRPr="00E758E7">
        <w:rPr>
          <w:rFonts w:ascii="Times New Roman" w:hAnsi="Times New Roman"/>
          <w:i/>
          <w:iCs/>
        </w:rPr>
        <w:t>Chinese Science Bulletin</w:t>
      </w:r>
      <w:r w:rsidRPr="00E758E7">
        <w:rPr>
          <w:rFonts w:ascii="Times New Roman" w:hAnsi="Times New Roman"/>
        </w:rPr>
        <w:t xml:space="preserve">. </w:t>
      </w:r>
      <w:r w:rsidRPr="00F579B0">
        <w:rPr>
          <w:rFonts w:ascii="Times New Roman" w:hAnsi="Times New Roman"/>
          <w:b/>
          <w:bCs/>
          <w:lang w:val="pt-BR"/>
        </w:rPr>
        <w:t>2005</w:t>
      </w:r>
      <w:r w:rsidR="00986B02" w:rsidRPr="00F579B0">
        <w:rPr>
          <w:rFonts w:ascii="Times New Roman" w:hAnsi="Times New Roman"/>
          <w:b/>
          <w:bCs/>
          <w:lang w:val="pt-BR"/>
        </w:rPr>
        <w:t>,</w:t>
      </w:r>
      <w:r w:rsidR="00986B02" w:rsidRPr="00986B02">
        <w:rPr>
          <w:rFonts w:ascii="Times New Roman" w:hAnsi="Times New Roman"/>
          <w:lang w:val="pt-BR"/>
        </w:rPr>
        <w:t xml:space="preserve"> v. 50, n. 8, p. 745-751.</w:t>
      </w:r>
    </w:p>
    <w:p w14:paraId="6691287B" w14:textId="62ABCF8E" w:rsidR="00986B02" w:rsidRDefault="00F579B0" w:rsidP="00986B02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E758E7">
        <w:rPr>
          <w:rFonts w:ascii="Times New Roman" w:hAnsi="Times New Roman"/>
        </w:rPr>
        <w:t xml:space="preserve">M. </w:t>
      </w:r>
      <w:proofErr w:type="spellStart"/>
      <w:r w:rsidRPr="00E758E7">
        <w:rPr>
          <w:rFonts w:ascii="Times New Roman" w:hAnsi="Times New Roman"/>
        </w:rPr>
        <w:t>Shabanian</w:t>
      </w:r>
      <w:proofErr w:type="spellEnd"/>
      <w:r w:rsidR="00986B02" w:rsidRPr="00E758E7">
        <w:rPr>
          <w:rFonts w:ascii="Times New Roman" w:hAnsi="Times New Roman"/>
        </w:rPr>
        <w:t>;</w:t>
      </w:r>
      <w:r w:rsidRPr="00E758E7">
        <w:rPr>
          <w:rFonts w:ascii="Times New Roman" w:hAnsi="Times New Roman"/>
        </w:rPr>
        <w:t xml:space="preserve"> M. </w:t>
      </w:r>
      <w:proofErr w:type="spellStart"/>
      <w:r w:rsidRPr="00E758E7">
        <w:rPr>
          <w:rFonts w:ascii="Times New Roman" w:hAnsi="Times New Roman"/>
        </w:rPr>
        <w:t>Hajibeygi</w:t>
      </w:r>
      <w:proofErr w:type="spellEnd"/>
      <w:r w:rsidR="00986B02" w:rsidRPr="00E758E7">
        <w:rPr>
          <w:rFonts w:ascii="Times New Roman" w:hAnsi="Times New Roman"/>
        </w:rPr>
        <w:t>;</w:t>
      </w:r>
      <w:r w:rsidRPr="00E758E7">
        <w:rPr>
          <w:rFonts w:ascii="Times New Roman" w:hAnsi="Times New Roman"/>
        </w:rPr>
        <w:t xml:space="preserve"> A. </w:t>
      </w:r>
      <w:proofErr w:type="spellStart"/>
      <w:r w:rsidRPr="00E758E7">
        <w:rPr>
          <w:rFonts w:ascii="Times New Roman" w:hAnsi="Times New Roman"/>
        </w:rPr>
        <w:t>Raeisi</w:t>
      </w:r>
      <w:proofErr w:type="spellEnd"/>
      <w:r w:rsidRPr="00E758E7">
        <w:rPr>
          <w:rFonts w:ascii="Times New Roman" w:hAnsi="Times New Roman"/>
        </w:rPr>
        <w:t xml:space="preserve">. </w:t>
      </w:r>
      <w:r w:rsidR="00986B02" w:rsidRPr="00E758E7">
        <w:rPr>
          <w:rFonts w:ascii="Times New Roman" w:hAnsi="Times New Roman"/>
        </w:rPr>
        <w:t xml:space="preserve">A. </w:t>
      </w:r>
      <w:r w:rsidR="00986B02" w:rsidRPr="00E758E7">
        <w:rPr>
          <w:rFonts w:ascii="Times New Roman" w:hAnsi="Times New Roman"/>
          <w:i/>
          <w:iCs/>
        </w:rPr>
        <w:t>Layered Double Hydroxide Polymer Nanocomposites</w:t>
      </w:r>
      <w:r w:rsidRPr="00E758E7">
        <w:rPr>
          <w:rFonts w:ascii="Times New Roman" w:hAnsi="Times New Roman"/>
          <w:i/>
          <w:iCs/>
        </w:rPr>
        <w:t xml:space="preserve">. </w:t>
      </w:r>
      <w:r w:rsidRPr="00F579B0">
        <w:rPr>
          <w:rFonts w:ascii="Times New Roman" w:hAnsi="Times New Roman"/>
          <w:b/>
          <w:bCs/>
          <w:lang w:val="pt-BR"/>
        </w:rPr>
        <w:t>2020,</w:t>
      </w:r>
      <w:r w:rsidR="00986B02" w:rsidRPr="00986B02">
        <w:rPr>
          <w:rFonts w:ascii="Times New Roman" w:hAnsi="Times New Roman"/>
          <w:lang w:val="pt-BR"/>
        </w:rPr>
        <w:t xml:space="preserve"> v. 1, p. 77-101</w:t>
      </w:r>
      <w:r>
        <w:rPr>
          <w:rFonts w:ascii="Times New Roman" w:hAnsi="Times New Roman"/>
          <w:lang w:val="pt-BR"/>
        </w:rPr>
        <w:t>.</w:t>
      </w:r>
    </w:p>
    <w:p w14:paraId="3D72A4ED" w14:textId="4779A872" w:rsidR="00986B02" w:rsidRPr="00E758E7" w:rsidRDefault="00F579B0" w:rsidP="00986B02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lang w:val="pt-BR"/>
        </w:rPr>
        <w:t>P.L. Cardoso, R. Celis; J. Cornejo</w:t>
      </w:r>
      <w:r w:rsidR="007E00DB">
        <w:rPr>
          <w:rFonts w:ascii="Times New Roman" w:hAnsi="Times New Roman"/>
          <w:lang w:val="pt-BR"/>
        </w:rPr>
        <w:t>; B.J. Valim.</w:t>
      </w:r>
      <w:r w:rsidR="00986B02" w:rsidRPr="00986B02">
        <w:rPr>
          <w:rFonts w:ascii="Times New Roman" w:hAnsi="Times New Roman"/>
          <w:lang w:val="pt-BR"/>
        </w:rPr>
        <w:t xml:space="preserve">  </w:t>
      </w:r>
      <w:r w:rsidR="00986B02" w:rsidRPr="00E758E7">
        <w:rPr>
          <w:rFonts w:ascii="Times New Roman" w:hAnsi="Times New Roman"/>
          <w:i/>
          <w:iCs/>
        </w:rPr>
        <w:t>J. Agric. Food Chem.</w:t>
      </w:r>
      <w:r w:rsidR="007E00DB" w:rsidRPr="00E758E7">
        <w:rPr>
          <w:rFonts w:ascii="Times New Roman" w:hAnsi="Times New Roman"/>
        </w:rPr>
        <w:t xml:space="preserve"> </w:t>
      </w:r>
      <w:r w:rsidR="007E00DB" w:rsidRPr="00E758E7">
        <w:rPr>
          <w:rFonts w:ascii="Times New Roman" w:hAnsi="Times New Roman"/>
          <w:b/>
          <w:bCs/>
        </w:rPr>
        <w:t>2006,</w:t>
      </w:r>
      <w:r w:rsidR="00986B02" w:rsidRPr="00E758E7">
        <w:rPr>
          <w:rFonts w:ascii="Times New Roman" w:hAnsi="Times New Roman"/>
        </w:rPr>
        <w:t xml:space="preserve"> v. 54, p. 5968–5975</w:t>
      </w:r>
      <w:r w:rsidR="007E00DB" w:rsidRPr="00E758E7">
        <w:rPr>
          <w:rFonts w:ascii="Times New Roman" w:hAnsi="Times New Roman"/>
        </w:rPr>
        <w:t>.</w:t>
      </w:r>
    </w:p>
    <w:p w14:paraId="11E1BA95" w14:textId="6C58AB01" w:rsidR="00986B02" w:rsidRDefault="007E00DB" w:rsidP="00986B02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E758E7">
        <w:rPr>
          <w:rFonts w:ascii="Times New Roman" w:hAnsi="Times New Roman"/>
        </w:rPr>
        <w:t>G. Mishra</w:t>
      </w:r>
      <w:r w:rsidR="00986B02" w:rsidRPr="00E758E7">
        <w:rPr>
          <w:rFonts w:ascii="Times New Roman" w:hAnsi="Times New Roman"/>
        </w:rPr>
        <w:t>;</w:t>
      </w:r>
      <w:r w:rsidRPr="00E758E7">
        <w:rPr>
          <w:rFonts w:ascii="Times New Roman" w:hAnsi="Times New Roman"/>
        </w:rPr>
        <w:t xml:space="preserve"> B. Dash</w:t>
      </w:r>
      <w:r w:rsidR="00986B02" w:rsidRPr="00E758E7">
        <w:rPr>
          <w:rFonts w:ascii="Times New Roman" w:hAnsi="Times New Roman"/>
        </w:rPr>
        <w:t>.</w:t>
      </w:r>
      <w:r w:rsidR="00986B02" w:rsidRPr="00986B02">
        <w:t xml:space="preserve"> </w:t>
      </w:r>
      <w:r w:rsidR="00986B02" w:rsidRPr="00E758E7">
        <w:rPr>
          <w:rFonts w:ascii="Times New Roman" w:hAnsi="Times New Roman"/>
          <w:i/>
          <w:iCs/>
        </w:rPr>
        <w:t>Appl</w:t>
      </w:r>
      <w:r w:rsidRPr="00E758E7">
        <w:rPr>
          <w:rFonts w:ascii="Times New Roman" w:hAnsi="Times New Roman"/>
          <w:i/>
          <w:iCs/>
        </w:rPr>
        <w:t>.</w:t>
      </w:r>
      <w:r w:rsidR="00986B02" w:rsidRPr="00E758E7">
        <w:rPr>
          <w:rFonts w:ascii="Times New Roman" w:hAnsi="Times New Roman"/>
          <w:i/>
          <w:iCs/>
        </w:rPr>
        <w:t xml:space="preserve"> </w:t>
      </w:r>
      <w:r w:rsidR="00986B02" w:rsidRPr="007E00DB">
        <w:rPr>
          <w:rFonts w:ascii="Times New Roman" w:hAnsi="Times New Roman"/>
          <w:i/>
          <w:iCs/>
          <w:lang w:val="pt-BR"/>
        </w:rPr>
        <w:t>Clay Science</w:t>
      </w:r>
      <w:r>
        <w:rPr>
          <w:rFonts w:ascii="Times New Roman" w:hAnsi="Times New Roman"/>
          <w:lang w:val="pt-BR"/>
        </w:rPr>
        <w:t xml:space="preserve">. </w:t>
      </w:r>
      <w:r w:rsidRPr="007E00DB">
        <w:rPr>
          <w:rFonts w:ascii="Times New Roman" w:hAnsi="Times New Roman"/>
          <w:b/>
          <w:bCs/>
          <w:lang w:val="pt-BR"/>
        </w:rPr>
        <w:t>2018</w:t>
      </w:r>
      <w:r>
        <w:rPr>
          <w:rFonts w:ascii="Times New Roman" w:hAnsi="Times New Roman"/>
          <w:lang w:val="pt-BR"/>
        </w:rPr>
        <w:t>,</w:t>
      </w:r>
      <w:r w:rsidR="00986B02" w:rsidRPr="00986B02">
        <w:rPr>
          <w:rFonts w:ascii="Times New Roman" w:hAnsi="Times New Roman"/>
          <w:lang w:val="pt-BR"/>
        </w:rPr>
        <w:t xml:space="preserve"> v. 153, p. 172-186</w:t>
      </w:r>
      <w:r>
        <w:rPr>
          <w:rFonts w:ascii="Times New Roman" w:hAnsi="Times New Roman"/>
          <w:lang w:val="pt-BR"/>
        </w:rPr>
        <w:t>.</w:t>
      </w:r>
    </w:p>
    <w:p w14:paraId="577A03A8" w14:textId="2E4E7A3F" w:rsidR="00986B02" w:rsidRPr="00E758E7" w:rsidRDefault="007E00DB" w:rsidP="00986B02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lang w:val="pt-BR"/>
        </w:rPr>
        <w:t xml:space="preserve">M. </w:t>
      </w:r>
      <w:proofErr w:type="spellStart"/>
      <w:r>
        <w:rPr>
          <w:rFonts w:ascii="Times New Roman" w:hAnsi="Times New Roman"/>
          <w:lang w:val="pt-BR"/>
        </w:rPr>
        <w:t>Carofiglio</w:t>
      </w:r>
      <w:proofErr w:type="spellEnd"/>
      <w:r w:rsidR="00986B02" w:rsidRPr="00986B02">
        <w:rPr>
          <w:rFonts w:ascii="Times New Roman" w:hAnsi="Times New Roman"/>
          <w:lang w:val="pt-BR"/>
        </w:rPr>
        <w:t>;</w:t>
      </w:r>
      <w:r>
        <w:rPr>
          <w:rFonts w:ascii="Times New Roman" w:hAnsi="Times New Roman"/>
          <w:lang w:val="pt-BR"/>
        </w:rPr>
        <w:t xml:space="preserve"> S. </w:t>
      </w:r>
      <w:proofErr w:type="spellStart"/>
      <w:r>
        <w:rPr>
          <w:rFonts w:ascii="Times New Roman" w:hAnsi="Times New Roman"/>
          <w:lang w:val="pt-BR"/>
        </w:rPr>
        <w:t>Barui</w:t>
      </w:r>
      <w:proofErr w:type="spellEnd"/>
      <w:r w:rsidR="00986B02" w:rsidRPr="00986B02">
        <w:rPr>
          <w:rFonts w:ascii="Times New Roman" w:hAnsi="Times New Roman"/>
          <w:lang w:val="pt-BR"/>
        </w:rPr>
        <w:t>;</w:t>
      </w:r>
      <w:r>
        <w:rPr>
          <w:rFonts w:ascii="Times New Roman" w:hAnsi="Times New Roman"/>
          <w:lang w:val="pt-BR"/>
        </w:rPr>
        <w:t xml:space="preserve"> V. Cauda; M. Laurenti. </w:t>
      </w:r>
      <w:r w:rsidR="00986B02" w:rsidRPr="00E758E7">
        <w:rPr>
          <w:rFonts w:ascii="Times New Roman" w:hAnsi="Times New Roman"/>
          <w:i/>
          <w:iCs/>
        </w:rPr>
        <w:t>Appl. Sci.</w:t>
      </w:r>
      <w:r w:rsidR="00986B02" w:rsidRPr="00E758E7">
        <w:rPr>
          <w:rFonts w:ascii="Times New Roman" w:hAnsi="Times New Roman"/>
        </w:rPr>
        <w:t xml:space="preserve"> </w:t>
      </w:r>
      <w:r w:rsidRPr="00E758E7">
        <w:rPr>
          <w:rFonts w:ascii="Times New Roman" w:hAnsi="Times New Roman"/>
          <w:b/>
          <w:bCs/>
        </w:rPr>
        <w:t>2020,</w:t>
      </w:r>
      <w:r w:rsidRPr="00E758E7">
        <w:rPr>
          <w:rFonts w:ascii="Times New Roman" w:hAnsi="Times New Roman"/>
        </w:rPr>
        <w:t xml:space="preserve"> </w:t>
      </w:r>
      <w:r w:rsidR="00986B02" w:rsidRPr="00E758E7">
        <w:rPr>
          <w:rFonts w:ascii="Times New Roman" w:hAnsi="Times New Roman"/>
        </w:rPr>
        <w:t>v. 10,</w:t>
      </w:r>
      <w:r w:rsidR="00986B02" w:rsidRPr="00986B02">
        <w:t xml:space="preserve"> </w:t>
      </w:r>
      <w:r w:rsidR="00986B02" w:rsidRPr="00E758E7">
        <w:rPr>
          <w:rFonts w:ascii="Times New Roman" w:hAnsi="Times New Roman"/>
        </w:rPr>
        <w:t>n. 5194, p. 1-43.</w:t>
      </w:r>
    </w:p>
    <w:p w14:paraId="532620DE" w14:textId="4FCD0761" w:rsidR="00986B02" w:rsidRPr="00E758E7" w:rsidRDefault="007E00DB" w:rsidP="00986B02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E758E7">
        <w:rPr>
          <w:rFonts w:ascii="Times New Roman" w:hAnsi="Times New Roman"/>
        </w:rPr>
        <w:t xml:space="preserve">P. </w:t>
      </w:r>
      <w:proofErr w:type="spellStart"/>
      <w:r w:rsidRPr="00E758E7">
        <w:rPr>
          <w:rFonts w:ascii="Times New Roman" w:hAnsi="Times New Roman"/>
        </w:rPr>
        <w:t>Gabbott</w:t>
      </w:r>
      <w:proofErr w:type="spellEnd"/>
      <w:r w:rsidRPr="00E758E7">
        <w:rPr>
          <w:rFonts w:ascii="Times New Roman" w:hAnsi="Times New Roman"/>
        </w:rPr>
        <w:t>.</w:t>
      </w:r>
      <w:r w:rsidR="00986B02" w:rsidRPr="00E758E7">
        <w:rPr>
          <w:rFonts w:ascii="Times New Roman" w:hAnsi="Times New Roman"/>
        </w:rPr>
        <w:t xml:space="preserve"> </w:t>
      </w:r>
      <w:r w:rsidR="00986B02" w:rsidRPr="00E758E7">
        <w:rPr>
          <w:rFonts w:ascii="Times New Roman" w:hAnsi="Times New Roman"/>
          <w:i/>
          <w:iCs/>
        </w:rPr>
        <w:t>Principles and applications of thermal analysis,</w:t>
      </w:r>
      <w:r w:rsidR="00986B02" w:rsidRPr="00E758E7">
        <w:rPr>
          <w:rFonts w:ascii="Times New Roman" w:hAnsi="Times New Roman"/>
        </w:rPr>
        <w:t xml:space="preserve"> 1ª ed, Blackwell Publishing Ltd,2008.</w:t>
      </w:r>
    </w:p>
    <w:p w14:paraId="382879FA" w14:textId="18DDC096" w:rsidR="00986B02" w:rsidRDefault="007E00DB" w:rsidP="00986B02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E758E7">
        <w:rPr>
          <w:rFonts w:ascii="Times New Roman" w:hAnsi="Times New Roman"/>
        </w:rPr>
        <w:t xml:space="preserve">Z.F. </w:t>
      </w:r>
      <w:proofErr w:type="spellStart"/>
      <w:r w:rsidRPr="00E758E7">
        <w:rPr>
          <w:rFonts w:ascii="Times New Roman" w:hAnsi="Times New Roman"/>
        </w:rPr>
        <w:t>Mahjoubi</w:t>
      </w:r>
      <w:proofErr w:type="spellEnd"/>
      <w:r w:rsidR="00986B02" w:rsidRPr="00E758E7">
        <w:rPr>
          <w:rFonts w:ascii="Times New Roman" w:hAnsi="Times New Roman"/>
        </w:rPr>
        <w:t xml:space="preserve">; </w:t>
      </w:r>
      <w:r w:rsidRPr="00E758E7">
        <w:rPr>
          <w:rFonts w:ascii="Times New Roman" w:hAnsi="Times New Roman"/>
        </w:rPr>
        <w:t xml:space="preserve">A. </w:t>
      </w:r>
      <w:proofErr w:type="spellStart"/>
      <w:r w:rsidRPr="00E758E7">
        <w:rPr>
          <w:rFonts w:ascii="Times New Roman" w:hAnsi="Times New Roman"/>
        </w:rPr>
        <w:t>Khalidi</w:t>
      </w:r>
      <w:proofErr w:type="spellEnd"/>
      <w:r w:rsidR="00986B02" w:rsidRPr="00E758E7">
        <w:rPr>
          <w:rFonts w:ascii="Times New Roman" w:hAnsi="Times New Roman"/>
        </w:rPr>
        <w:t>;</w:t>
      </w:r>
      <w:r w:rsidRPr="00E758E7">
        <w:rPr>
          <w:rFonts w:ascii="Times New Roman" w:hAnsi="Times New Roman"/>
        </w:rPr>
        <w:t xml:space="preserve"> M. </w:t>
      </w:r>
      <w:proofErr w:type="spellStart"/>
      <w:r w:rsidRPr="00E758E7">
        <w:rPr>
          <w:rFonts w:ascii="Times New Roman" w:hAnsi="Times New Roman"/>
        </w:rPr>
        <w:t>Abdennouri</w:t>
      </w:r>
      <w:proofErr w:type="spellEnd"/>
      <w:r w:rsidRPr="00E758E7">
        <w:rPr>
          <w:rFonts w:ascii="Times New Roman" w:hAnsi="Times New Roman"/>
        </w:rPr>
        <w:t>; N. Barka.</w:t>
      </w:r>
      <w:r w:rsidR="00986B02" w:rsidRPr="00986B02">
        <w:t xml:space="preserve"> </w:t>
      </w:r>
      <w:r w:rsidR="00986B02" w:rsidRPr="00E758E7">
        <w:rPr>
          <w:rFonts w:ascii="Times New Roman" w:hAnsi="Times New Roman"/>
          <w:i/>
          <w:iCs/>
        </w:rPr>
        <w:t>Journal of Taibah University for Science</w:t>
      </w:r>
      <w:r w:rsidRPr="00E758E7">
        <w:rPr>
          <w:rFonts w:ascii="Times New Roman" w:hAnsi="Times New Roman"/>
          <w:i/>
          <w:iCs/>
        </w:rPr>
        <w:t>.</w:t>
      </w:r>
      <w:r w:rsidR="00986B02" w:rsidRPr="00E758E7">
        <w:rPr>
          <w:rFonts w:ascii="Times New Roman" w:hAnsi="Times New Roman"/>
        </w:rPr>
        <w:t xml:space="preserve"> </w:t>
      </w:r>
      <w:r w:rsidRPr="007E00DB">
        <w:rPr>
          <w:rFonts w:ascii="Times New Roman" w:hAnsi="Times New Roman"/>
          <w:b/>
          <w:bCs/>
          <w:lang w:val="pt-BR"/>
        </w:rPr>
        <w:t>2017,</w:t>
      </w:r>
      <w:r>
        <w:rPr>
          <w:rFonts w:ascii="Times New Roman" w:hAnsi="Times New Roman"/>
          <w:lang w:val="pt-BR"/>
        </w:rPr>
        <w:t xml:space="preserve"> </w:t>
      </w:r>
      <w:r w:rsidR="00986B02" w:rsidRPr="00986B02">
        <w:rPr>
          <w:rFonts w:ascii="Times New Roman" w:hAnsi="Times New Roman"/>
          <w:lang w:val="pt-BR"/>
        </w:rPr>
        <w:t>v. 11, p.</w:t>
      </w:r>
      <w:r w:rsidR="00986B02" w:rsidRPr="00986B02">
        <w:t xml:space="preserve"> </w:t>
      </w:r>
      <w:r w:rsidR="00986B02" w:rsidRPr="00986B02">
        <w:rPr>
          <w:rFonts w:ascii="Times New Roman" w:hAnsi="Times New Roman"/>
          <w:lang w:val="pt-BR"/>
        </w:rPr>
        <w:t>90-100</w:t>
      </w:r>
      <w:r>
        <w:rPr>
          <w:rFonts w:ascii="Times New Roman" w:hAnsi="Times New Roman"/>
          <w:lang w:val="pt-BR"/>
        </w:rPr>
        <w:t>.</w:t>
      </w:r>
    </w:p>
    <w:p w14:paraId="65C12791" w14:textId="25E81405" w:rsidR="00986B02" w:rsidRDefault="007E00DB" w:rsidP="00986B02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E758E7">
        <w:rPr>
          <w:rFonts w:ascii="Times New Roman" w:hAnsi="Times New Roman"/>
        </w:rPr>
        <w:t>W.S.K. Sing</w:t>
      </w:r>
      <w:r w:rsidR="00986B02" w:rsidRPr="00E758E7">
        <w:rPr>
          <w:rFonts w:ascii="Times New Roman" w:hAnsi="Times New Roman"/>
        </w:rPr>
        <w:t>;</w:t>
      </w:r>
      <w:r w:rsidRPr="00E758E7">
        <w:rPr>
          <w:rFonts w:ascii="Times New Roman" w:hAnsi="Times New Roman"/>
        </w:rPr>
        <w:t xml:space="preserve"> H.D. Everett</w:t>
      </w:r>
      <w:r w:rsidR="00986B02" w:rsidRPr="00E758E7">
        <w:rPr>
          <w:rFonts w:ascii="Times New Roman" w:hAnsi="Times New Roman"/>
        </w:rPr>
        <w:t>;</w:t>
      </w:r>
      <w:r w:rsidRPr="00E758E7">
        <w:rPr>
          <w:rFonts w:ascii="Times New Roman" w:hAnsi="Times New Roman"/>
        </w:rPr>
        <w:t xml:space="preserve"> W.A.R. Haul; L. </w:t>
      </w:r>
      <w:proofErr w:type="spellStart"/>
      <w:r w:rsidRPr="00E758E7">
        <w:rPr>
          <w:rFonts w:ascii="Times New Roman" w:hAnsi="Times New Roman"/>
        </w:rPr>
        <w:t>Moscou</w:t>
      </w:r>
      <w:proofErr w:type="spellEnd"/>
      <w:r w:rsidRPr="00E758E7">
        <w:rPr>
          <w:rFonts w:ascii="Times New Roman" w:hAnsi="Times New Roman"/>
        </w:rPr>
        <w:t xml:space="preserve">; A. </w:t>
      </w:r>
      <w:proofErr w:type="spellStart"/>
      <w:r w:rsidRPr="00E758E7">
        <w:rPr>
          <w:rFonts w:ascii="Times New Roman" w:hAnsi="Times New Roman"/>
        </w:rPr>
        <w:t>Pierotti</w:t>
      </w:r>
      <w:proofErr w:type="spellEnd"/>
      <w:r w:rsidRPr="00E758E7">
        <w:rPr>
          <w:rFonts w:ascii="Times New Roman" w:hAnsi="Times New Roman"/>
        </w:rPr>
        <w:t>;</w:t>
      </w:r>
      <w:r w:rsidR="00986B02" w:rsidRPr="00E758E7">
        <w:rPr>
          <w:rFonts w:ascii="Times New Roman" w:hAnsi="Times New Roman"/>
        </w:rPr>
        <w:t xml:space="preserve"> </w:t>
      </w:r>
      <w:r w:rsidRPr="00E758E7">
        <w:rPr>
          <w:rFonts w:ascii="Times New Roman" w:hAnsi="Times New Roman"/>
        </w:rPr>
        <w:t xml:space="preserve">J. </w:t>
      </w:r>
      <w:proofErr w:type="spellStart"/>
      <w:r w:rsidRPr="00E758E7">
        <w:rPr>
          <w:rFonts w:ascii="Times New Roman" w:hAnsi="Times New Roman"/>
        </w:rPr>
        <w:t>Rouquerol</w:t>
      </w:r>
      <w:proofErr w:type="spellEnd"/>
      <w:r w:rsidRPr="00E758E7">
        <w:rPr>
          <w:rFonts w:ascii="Times New Roman" w:hAnsi="Times New Roman"/>
        </w:rPr>
        <w:t xml:space="preserve">; T. </w:t>
      </w:r>
      <w:proofErr w:type="spellStart"/>
      <w:r w:rsidRPr="00E758E7">
        <w:rPr>
          <w:rFonts w:ascii="Times New Roman" w:hAnsi="Times New Roman"/>
        </w:rPr>
        <w:t>Siemieniewska</w:t>
      </w:r>
      <w:proofErr w:type="spellEnd"/>
      <w:r w:rsidRPr="00E758E7">
        <w:rPr>
          <w:rFonts w:ascii="Times New Roman" w:hAnsi="Times New Roman"/>
        </w:rPr>
        <w:t xml:space="preserve">. </w:t>
      </w:r>
      <w:r w:rsidR="00986B02" w:rsidRPr="007E00DB">
        <w:rPr>
          <w:rFonts w:ascii="Times New Roman" w:hAnsi="Times New Roman"/>
          <w:i/>
          <w:iCs/>
          <w:lang w:val="pt-BR"/>
        </w:rPr>
        <w:t xml:space="preserve">Pure &amp; </w:t>
      </w:r>
      <w:proofErr w:type="spellStart"/>
      <w:r w:rsidR="00986B02" w:rsidRPr="007E00DB">
        <w:rPr>
          <w:rFonts w:ascii="Times New Roman" w:hAnsi="Times New Roman"/>
          <w:i/>
          <w:iCs/>
          <w:lang w:val="pt-BR"/>
        </w:rPr>
        <w:t>Appl</w:t>
      </w:r>
      <w:proofErr w:type="spellEnd"/>
      <w:r w:rsidR="00986B02" w:rsidRPr="007E00DB">
        <w:rPr>
          <w:rFonts w:ascii="Times New Roman" w:hAnsi="Times New Roman"/>
          <w:i/>
          <w:iCs/>
          <w:lang w:val="pt-BR"/>
        </w:rPr>
        <w:t xml:space="preserve">. </w:t>
      </w:r>
      <w:proofErr w:type="spellStart"/>
      <w:r w:rsidR="00986B02" w:rsidRPr="007E00DB">
        <w:rPr>
          <w:rFonts w:ascii="Times New Roman" w:hAnsi="Times New Roman"/>
          <w:i/>
          <w:iCs/>
          <w:lang w:val="pt-BR"/>
        </w:rPr>
        <w:t>Chem</w:t>
      </w:r>
      <w:proofErr w:type="spellEnd"/>
      <w:r w:rsidR="00986B02" w:rsidRPr="007E00DB">
        <w:rPr>
          <w:rFonts w:ascii="Times New Roman" w:hAnsi="Times New Roman"/>
          <w:i/>
          <w:iCs/>
          <w:lang w:val="pt-BR"/>
        </w:rPr>
        <w:t>.</w:t>
      </w:r>
      <w:r w:rsidR="00986B02" w:rsidRPr="00986B02">
        <w:t xml:space="preserve"> </w:t>
      </w:r>
      <w:r w:rsidRPr="007E00DB">
        <w:rPr>
          <w:b/>
          <w:bCs/>
        </w:rPr>
        <w:t>1985,</w:t>
      </w:r>
      <w:r>
        <w:t xml:space="preserve"> </w:t>
      </w:r>
      <w:r w:rsidR="00986B02" w:rsidRPr="00986B02">
        <w:rPr>
          <w:rFonts w:ascii="Times New Roman" w:hAnsi="Times New Roman"/>
          <w:lang w:val="pt-BR"/>
        </w:rPr>
        <w:t>v. 57, n. 4, p. 603-619.</w:t>
      </w:r>
    </w:p>
    <w:p w14:paraId="068CA5CE" w14:textId="04E34E0A" w:rsidR="003C1D50" w:rsidRPr="00E758E7" w:rsidRDefault="003C1D50" w:rsidP="00075DF4">
      <w:pPr>
        <w:pStyle w:val="TAMainText"/>
        <w:ind w:firstLine="0"/>
        <w:rPr>
          <w:rFonts w:ascii="Times New Roman" w:hAnsi="Times New Roman"/>
        </w:rPr>
      </w:pPr>
    </w:p>
    <w:p w14:paraId="58716424" w14:textId="77777777" w:rsidR="007B4B2B" w:rsidRPr="00E758E7" w:rsidRDefault="007B4B2B" w:rsidP="00EA4E1B">
      <w:pPr>
        <w:rPr>
          <w:lang w:val="en-US"/>
        </w:rPr>
      </w:pPr>
    </w:p>
    <w:sectPr w:rsidR="007B4B2B" w:rsidRPr="00E758E7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13798" w14:textId="77777777" w:rsidR="006E0686" w:rsidRDefault="006E0686" w:rsidP="00EA4E1B">
      <w:pPr>
        <w:spacing w:after="0" w:line="240" w:lineRule="auto"/>
      </w:pPr>
      <w:r>
        <w:separator/>
      </w:r>
    </w:p>
  </w:endnote>
  <w:endnote w:type="continuationSeparator" w:id="0">
    <w:p w14:paraId="17CCF200" w14:textId="77777777" w:rsidR="006E0686" w:rsidRDefault="006E0686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14A4E" w14:textId="77777777" w:rsidR="006E0686" w:rsidRDefault="006E0686" w:rsidP="00EA4E1B">
      <w:pPr>
        <w:spacing w:after="0" w:line="240" w:lineRule="auto"/>
      </w:pPr>
      <w:r>
        <w:separator/>
      </w:r>
    </w:p>
  </w:footnote>
  <w:footnote w:type="continuationSeparator" w:id="0">
    <w:p w14:paraId="69467D46" w14:textId="77777777" w:rsidR="006E0686" w:rsidRDefault="006E0686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28B8774" wp14:editId="6C5718AB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81381"/>
    <w:multiLevelType w:val="hybridMultilevel"/>
    <w:tmpl w:val="6CE063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218EB"/>
    <w:multiLevelType w:val="hybridMultilevel"/>
    <w:tmpl w:val="C770A012"/>
    <w:lvl w:ilvl="0" w:tplc="78A4AA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98089541">
    <w:abstractNumId w:val="2"/>
  </w:num>
  <w:num w:numId="2" w16cid:durableId="315260256">
    <w:abstractNumId w:val="1"/>
  </w:num>
  <w:num w:numId="3" w16cid:durableId="1644576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1264A"/>
    <w:rsid w:val="00013708"/>
    <w:rsid w:val="00016E40"/>
    <w:rsid w:val="00061A72"/>
    <w:rsid w:val="00067DF9"/>
    <w:rsid w:val="00075DF4"/>
    <w:rsid w:val="000D3B44"/>
    <w:rsid w:val="000F1D24"/>
    <w:rsid w:val="001009C2"/>
    <w:rsid w:val="001276ED"/>
    <w:rsid w:val="001672BA"/>
    <w:rsid w:val="00171B27"/>
    <w:rsid w:val="00172153"/>
    <w:rsid w:val="0019607D"/>
    <w:rsid w:val="001A63D2"/>
    <w:rsid w:val="001B7950"/>
    <w:rsid w:val="001C37E0"/>
    <w:rsid w:val="001D6D69"/>
    <w:rsid w:val="001D7776"/>
    <w:rsid w:val="001E0842"/>
    <w:rsid w:val="001E50DD"/>
    <w:rsid w:val="001E58A9"/>
    <w:rsid w:val="001E7764"/>
    <w:rsid w:val="001F25B2"/>
    <w:rsid w:val="00200D3B"/>
    <w:rsid w:val="00221D95"/>
    <w:rsid w:val="00222230"/>
    <w:rsid w:val="00227CE3"/>
    <w:rsid w:val="002341FA"/>
    <w:rsid w:val="00242E43"/>
    <w:rsid w:val="00252CB2"/>
    <w:rsid w:val="002679A6"/>
    <w:rsid w:val="00281EC5"/>
    <w:rsid w:val="002874AB"/>
    <w:rsid w:val="00293445"/>
    <w:rsid w:val="002A2C8A"/>
    <w:rsid w:val="002C633D"/>
    <w:rsid w:val="002E5069"/>
    <w:rsid w:val="002F1697"/>
    <w:rsid w:val="00300087"/>
    <w:rsid w:val="00301535"/>
    <w:rsid w:val="0030431F"/>
    <w:rsid w:val="00306A9B"/>
    <w:rsid w:val="00334A35"/>
    <w:rsid w:val="00340B1E"/>
    <w:rsid w:val="0034116C"/>
    <w:rsid w:val="00353371"/>
    <w:rsid w:val="0038670F"/>
    <w:rsid w:val="00397516"/>
    <w:rsid w:val="003C1D50"/>
    <w:rsid w:val="003C2EFE"/>
    <w:rsid w:val="003D423A"/>
    <w:rsid w:val="003E449E"/>
    <w:rsid w:val="00402F3E"/>
    <w:rsid w:val="00414B8A"/>
    <w:rsid w:val="0043556A"/>
    <w:rsid w:val="00447F18"/>
    <w:rsid w:val="0046063A"/>
    <w:rsid w:val="004662AD"/>
    <w:rsid w:val="00475223"/>
    <w:rsid w:val="00481FD9"/>
    <w:rsid w:val="0048373D"/>
    <w:rsid w:val="00491A6C"/>
    <w:rsid w:val="004B3F71"/>
    <w:rsid w:val="004B7F0D"/>
    <w:rsid w:val="004F00A3"/>
    <w:rsid w:val="004F3F42"/>
    <w:rsid w:val="005056C7"/>
    <w:rsid w:val="005121D5"/>
    <w:rsid w:val="0052112E"/>
    <w:rsid w:val="0052654E"/>
    <w:rsid w:val="0054495C"/>
    <w:rsid w:val="00554437"/>
    <w:rsid w:val="005558F4"/>
    <w:rsid w:val="005609B4"/>
    <w:rsid w:val="005907B8"/>
    <w:rsid w:val="005A27C1"/>
    <w:rsid w:val="005C2775"/>
    <w:rsid w:val="005D4F52"/>
    <w:rsid w:val="005D65EB"/>
    <w:rsid w:val="005E4B7E"/>
    <w:rsid w:val="00604718"/>
    <w:rsid w:val="006070D5"/>
    <w:rsid w:val="00607172"/>
    <w:rsid w:val="00615B48"/>
    <w:rsid w:val="00627FBA"/>
    <w:rsid w:val="00636BCF"/>
    <w:rsid w:val="00652815"/>
    <w:rsid w:val="00675057"/>
    <w:rsid w:val="006920A3"/>
    <w:rsid w:val="006B117C"/>
    <w:rsid w:val="006B2D06"/>
    <w:rsid w:val="006D0762"/>
    <w:rsid w:val="006E0686"/>
    <w:rsid w:val="006E6E6E"/>
    <w:rsid w:val="006F599B"/>
    <w:rsid w:val="0071257C"/>
    <w:rsid w:val="0072537B"/>
    <w:rsid w:val="007670A0"/>
    <w:rsid w:val="007724C9"/>
    <w:rsid w:val="00781685"/>
    <w:rsid w:val="007A155E"/>
    <w:rsid w:val="007B1FB8"/>
    <w:rsid w:val="007B4B2B"/>
    <w:rsid w:val="007C7BBA"/>
    <w:rsid w:val="007D0324"/>
    <w:rsid w:val="007D1D79"/>
    <w:rsid w:val="007E00DB"/>
    <w:rsid w:val="007F130D"/>
    <w:rsid w:val="00811CB4"/>
    <w:rsid w:val="0084035F"/>
    <w:rsid w:val="0084253E"/>
    <w:rsid w:val="0085192D"/>
    <w:rsid w:val="00853E00"/>
    <w:rsid w:val="00862532"/>
    <w:rsid w:val="00866822"/>
    <w:rsid w:val="00866DEF"/>
    <w:rsid w:val="00882A6D"/>
    <w:rsid w:val="008918E4"/>
    <w:rsid w:val="00894E5A"/>
    <w:rsid w:val="008B1683"/>
    <w:rsid w:val="008B5315"/>
    <w:rsid w:val="008C1B30"/>
    <w:rsid w:val="008E764D"/>
    <w:rsid w:val="008F7F2E"/>
    <w:rsid w:val="0090156E"/>
    <w:rsid w:val="00933431"/>
    <w:rsid w:val="009372CF"/>
    <w:rsid w:val="009656D9"/>
    <w:rsid w:val="00971EFA"/>
    <w:rsid w:val="00975714"/>
    <w:rsid w:val="00986B02"/>
    <w:rsid w:val="0098768E"/>
    <w:rsid w:val="009C7CB0"/>
    <w:rsid w:val="009D5230"/>
    <w:rsid w:val="009E7DB7"/>
    <w:rsid w:val="009F0F38"/>
    <w:rsid w:val="00A17D85"/>
    <w:rsid w:val="00A34C15"/>
    <w:rsid w:val="00A413F9"/>
    <w:rsid w:val="00A46062"/>
    <w:rsid w:val="00A61B71"/>
    <w:rsid w:val="00A82A88"/>
    <w:rsid w:val="00A87CE8"/>
    <w:rsid w:val="00A91505"/>
    <w:rsid w:val="00A9475D"/>
    <w:rsid w:val="00AA182E"/>
    <w:rsid w:val="00AB4975"/>
    <w:rsid w:val="00AD71D9"/>
    <w:rsid w:val="00AF0400"/>
    <w:rsid w:val="00AF3BD6"/>
    <w:rsid w:val="00AF726A"/>
    <w:rsid w:val="00B2219F"/>
    <w:rsid w:val="00B24AC5"/>
    <w:rsid w:val="00B30AEB"/>
    <w:rsid w:val="00B44E7A"/>
    <w:rsid w:val="00B474EB"/>
    <w:rsid w:val="00B47DE3"/>
    <w:rsid w:val="00B51877"/>
    <w:rsid w:val="00B52A4E"/>
    <w:rsid w:val="00B55861"/>
    <w:rsid w:val="00B662F4"/>
    <w:rsid w:val="00B67D84"/>
    <w:rsid w:val="00B70386"/>
    <w:rsid w:val="00B73D6D"/>
    <w:rsid w:val="00B74C64"/>
    <w:rsid w:val="00B936B6"/>
    <w:rsid w:val="00B95CBC"/>
    <w:rsid w:val="00BA41EB"/>
    <w:rsid w:val="00BA6A6E"/>
    <w:rsid w:val="00BD3123"/>
    <w:rsid w:val="00BD3C30"/>
    <w:rsid w:val="00C10923"/>
    <w:rsid w:val="00C1753A"/>
    <w:rsid w:val="00C30262"/>
    <w:rsid w:val="00C34716"/>
    <w:rsid w:val="00C46F6A"/>
    <w:rsid w:val="00C57C24"/>
    <w:rsid w:val="00C76E54"/>
    <w:rsid w:val="00C83249"/>
    <w:rsid w:val="00C93E6C"/>
    <w:rsid w:val="00C961CE"/>
    <w:rsid w:val="00C97F40"/>
    <w:rsid w:val="00CB6FBB"/>
    <w:rsid w:val="00CC08A9"/>
    <w:rsid w:val="00CC14E9"/>
    <w:rsid w:val="00CC65E3"/>
    <w:rsid w:val="00D059E6"/>
    <w:rsid w:val="00D23317"/>
    <w:rsid w:val="00D467A2"/>
    <w:rsid w:val="00D473C5"/>
    <w:rsid w:val="00D601C3"/>
    <w:rsid w:val="00D6319A"/>
    <w:rsid w:val="00D7403D"/>
    <w:rsid w:val="00D9547E"/>
    <w:rsid w:val="00D96135"/>
    <w:rsid w:val="00DA571B"/>
    <w:rsid w:val="00DA6F0A"/>
    <w:rsid w:val="00DB4F82"/>
    <w:rsid w:val="00DB75DA"/>
    <w:rsid w:val="00DC5163"/>
    <w:rsid w:val="00DE0F24"/>
    <w:rsid w:val="00DE2AF1"/>
    <w:rsid w:val="00DE6FAC"/>
    <w:rsid w:val="00E02A21"/>
    <w:rsid w:val="00E038AF"/>
    <w:rsid w:val="00E17BC0"/>
    <w:rsid w:val="00E3431D"/>
    <w:rsid w:val="00E45B11"/>
    <w:rsid w:val="00E463F2"/>
    <w:rsid w:val="00E7410A"/>
    <w:rsid w:val="00E758E7"/>
    <w:rsid w:val="00E77E25"/>
    <w:rsid w:val="00E81E7A"/>
    <w:rsid w:val="00E828AB"/>
    <w:rsid w:val="00E93E65"/>
    <w:rsid w:val="00EA3B13"/>
    <w:rsid w:val="00EA4E1B"/>
    <w:rsid w:val="00EA719E"/>
    <w:rsid w:val="00EB0093"/>
    <w:rsid w:val="00EB0D7B"/>
    <w:rsid w:val="00EC060D"/>
    <w:rsid w:val="00ED0260"/>
    <w:rsid w:val="00EF171E"/>
    <w:rsid w:val="00F1691D"/>
    <w:rsid w:val="00F30661"/>
    <w:rsid w:val="00F34A2E"/>
    <w:rsid w:val="00F36D81"/>
    <w:rsid w:val="00F56B68"/>
    <w:rsid w:val="00F579B0"/>
    <w:rsid w:val="00F61FAA"/>
    <w:rsid w:val="00F6651D"/>
    <w:rsid w:val="00F71D67"/>
    <w:rsid w:val="00F805AF"/>
    <w:rsid w:val="00F86D40"/>
    <w:rsid w:val="00F917DA"/>
    <w:rsid w:val="00FA2235"/>
    <w:rsid w:val="00FA6911"/>
    <w:rsid w:val="00FB2532"/>
    <w:rsid w:val="00FB5788"/>
    <w:rsid w:val="00FC7B2E"/>
    <w:rsid w:val="00FD1EA7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character" w:styleId="Refdecomentrio">
    <w:name w:val="annotation reference"/>
    <w:basedOn w:val="Fontepargpadro"/>
    <w:uiPriority w:val="99"/>
    <w:semiHidden/>
    <w:unhideWhenUsed/>
    <w:rsid w:val="0043556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556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556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556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556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7B1F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tif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tif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tiff"/><Relationship Id="rId5" Type="http://schemas.openxmlformats.org/officeDocument/2006/relationships/webSettings" Target="webSetting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68792-8C8D-4C07-8699-6A85D645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2896</Words>
  <Characters>15639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José Gregório</cp:lastModifiedBy>
  <cp:revision>2</cp:revision>
  <cp:lastPrinted>2023-04-12T12:05:00Z</cp:lastPrinted>
  <dcterms:created xsi:type="dcterms:W3CDTF">2023-06-20T01:46:00Z</dcterms:created>
  <dcterms:modified xsi:type="dcterms:W3CDTF">2023-06-20T01:46:00Z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