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EB8" w:rsidRDefault="002A10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b/>
          <w:color w:val="000000"/>
          <w:sz w:val="32"/>
          <w:szCs w:val="32"/>
        </w:rPr>
      </w:pPr>
      <w:r w:rsidRPr="002A10AC">
        <w:rPr>
          <w:noProof/>
        </w:rPr>
        <w:pict>
          <v:rect id="Retângulo 3" o:spid="_x0000_s1026" style="position:absolute;left:0;text-align:left;margin-left:0;margin-top:0;width:512.4pt;height:13.2pt;z-index:251660287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" fillcolor="#9a0000" stroked="f" strokeweight="1pt">
            <v:textbox inset=",0,,0">
              <w:txbxContent>
                <w:p w:rsidR="00414B34" w:rsidRPr="008C1B30" w:rsidRDefault="006117E9" w:rsidP="00866822">
                  <w:pPr>
                    <w:spacing w:after="0" w:line="240" w:lineRule="auto"/>
                    <w:rPr>
                      <w:rFonts w:cs="Helvetica"/>
                      <w:bCs/>
                      <w:sz w:val="20"/>
                    </w:rPr>
                  </w:pPr>
                </w:p>
                <w:p w:rsidR="00414B34" w:rsidRPr="008C1B30" w:rsidRDefault="006117E9" w:rsidP="00866822"/>
              </w:txbxContent>
            </v:textbox>
            <w10:wrap anchorx="margin"/>
          </v:rect>
        </w:pic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right="-11"/>
        <w:jc w:val="both"/>
        <w:rPr>
          <w:rFonts w:ascii="Helvetica Neue" w:eastAsia="Helvetica Neue" w:hAnsi="Helvetica Neue" w:cs="Helvetica Neue"/>
          <w:b/>
          <w:color w:val="000000"/>
          <w:sz w:val="32"/>
          <w:szCs w:val="32"/>
        </w:rPr>
      </w:pPr>
      <w:r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>OXIDAÇÃO DO CICLOEXANO A CICLOEXANOL E CICLOEXANONA COM CATALISADORES DE COBRE-NÍQUEL (</w:t>
      </w:r>
      <w:proofErr w:type="spellStart"/>
      <w:proofErr w:type="gramStart"/>
      <w:r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>CuNi</w:t>
      </w:r>
      <w:proofErr w:type="spellEnd"/>
      <w:proofErr w:type="gramEnd"/>
      <w:r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>)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Mateus Vidal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Dias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>1,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>2,*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; Fabio Barboza Passos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>1,*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; Alexandre Barros Gaspar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>2,*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i/>
          <w:color w:val="000000"/>
          <w:sz w:val="20"/>
          <w:szCs w:val="20"/>
          <w:vertAlign w:val="superscript"/>
        </w:rPr>
      </w:pPr>
      <w:proofErr w:type="gramStart"/>
      <w:r>
        <w:rPr>
          <w:rFonts w:ascii="Times" w:eastAsia="Times" w:hAnsi="Times" w:cs="Times"/>
          <w:i/>
          <w:color w:val="000000"/>
          <w:sz w:val="20"/>
          <w:szCs w:val="20"/>
          <w:vertAlign w:val="superscript"/>
        </w:rPr>
        <w:t>1</w:t>
      </w:r>
      <w:r>
        <w:rPr>
          <w:rFonts w:ascii="Times" w:eastAsia="Times" w:hAnsi="Times" w:cs="Times"/>
          <w:i/>
          <w:color w:val="000000"/>
          <w:sz w:val="20"/>
          <w:szCs w:val="20"/>
        </w:rPr>
        <w:t>Universidade</w:t>
      </w:r>
      <w:proofErr w:type="gram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Federal Fluminense – Escola de Engenharia – laboratório RECAT, bloco E, sala 231; Rua Passo da Pátria, 156, Boa Viagem, Niterói – RJ. 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i/>
          <w:color w:val="000000"/>
          <w:sz w:val="20"/>
          <w:szCs w:val="20"/>
        </w:rPr>
      </w:pPr>
      <w:proofErr w:type="gramStart"/>
      <w:r>
        <w:rPr>
          <w:rFonts w:ascii="Times" w:eastAsia="Times" w:hAnsi="Times" w:cs="Times"/>
          <w:i/>
          <w:color w:val="000000"/>
          <w:sz w:val="20"/>
          <w:szCs w:val="20"/>
          <w:vertAlign w:val="superscript"/>
        </w:rPr>
        <w:t>2</w:t>
      </w:r>
      <w:r>
        <w:rPr>
          <w:rFonts w:ascii="Times" w:eastAsia="Times" w:hAnsi="Times" w:cs="Times"/>
          <w:i/>
          <w:color w:val="000000"/>
          <w:sz w:val="20"/>
          <w:szCs w:val="20"/>
        </w:rPr>
        <w:t>Instituto</w:t>
      </w:r>
      <w:proofErr w:type="gram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Nacional de Tecnologia – INT, laboratório LACAT, Divisão DICAP; Av. Venezuela, 82, sala 518, Saúde, Rio de Janeiro – RJ.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i/>
          <w:color w:val="000000"/>
          <w:sz w:val="20"/>
          <w:szCs w:val="20"/>
        </w:rPr>
      </w:pPr>
      <w:r>
        <w:rPr>
          <w:rFonts w:ascii="Times" w:eastAsia="Times" w:hAnsi="Times" w:cs="Times"/>
          <w:i/>
          <w:color w:val="000000"/>
          <w:sz w:val="20"/>
          <w:szCs w:val="20"/>
          <w:vertAlign w:val="superscript"/>
        </w:rPr>
        <w:t>*</w:t>
      </w:r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mateusdias2506@gmail.com; fabiopassos@id.uff.br; </w:t>
      </w:r>
      <w:r w:rsidR="0036277A">
        <w:rPr>
          <w:rFonts w:ascii="Times" w:eastAsia="Times" w:hAnsi="Times" w:cs="Times"/>
          <w:i/>
          <w:color w:val="000000"/>
          <w:sz w:val="20"/>
          <w:szCs w:val="20"/>
        </w:rPr>
        <w:t>alexandre.gaspar@int.gov.br</w:t>
      </w:r>
    </w:p>
    <w:p w:rsidR="007E3EB8" w:rsidRDefault="002A10AC">
      <w:pPr>
        <w:pBdr>
          <w:top w:val="nil"/>
          <w:left w:val="nil"/>
          <w:bottom w:val="single" w:sz="6" w:space="12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A10AC">
        <w:rPr>
          <w:noProof/>
        </w:rPr>
        <w:pict>
          <v:rect id="Retângulo 1" o:spid="_x0000_s1027" style="position:absolute;left:0;text-align:left;margin-left:-.15pt;margin-top:2.75pt;width:512.4pt;height:13.2pt;z-index:251658239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" fillcolor="#9a0000" stroked="f" strokeweight="1pt">
            <v:textbox inset=",0,,0">
              <w:txbxContent>
                <w:p w:rsidR="00414B34" w:rsidRPr="008C1B30" w:rsidRDefault="00490219" w:rsidP="008C1B30">
                  <w:pPr>
                    <w:spacing w:after="0" w:line="240" w:lineRule="auto"/>
                    <w:jc w:val="center"/>
                    <w:rPr>
                      <w:rFonts w:cs="Helvetica"/>
                      <w:bCs/>
                      <w:sz w:val="20"/>
                    </w:rPr>
                  </w:pPr>
                  <w:r w:rsidRPr="008C1B30">
                    <w:rPr>
                      <w:rFonts w:cs="Helvetica"/>
                      <w:bCs/>
                      <w:sz w:val="20"/>
                    </w:rPr>
                    <w:t>Resumo/Abstract</w:t>
                  </w:r>
                </w:p>
                <w:p w:rsidR="00414B34" w:rsidRPr="008C1B30" w:rsidRDefault="006117E9" w:rsidP="008C1B30"/>
              </w:txbxContent>
            </v:textbox>
            <w10:wrap anchorx="margin"/>
          </v:rect>
        </w:pict>
      </w:r>
    </w:p>
    <w:p w:rsidR="007E3EB8" w:rsidRDefault="007E3EB8">
      <w:pPr>
        <w:pBdr>
          <w:top w:val="nil"/>
          <w:left w:val="nil"/>
          <w:bottom w:val="single" w:sz="6" w:space="12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E3EB8" w:rsidRDefault="00490219">
      <w:pPr>
        <w:pBdr>
          <w:top w:val="nil"/>
          <w:left w:val="nil"/>
          <w:bottom w:val="single" w:sz="6" w:space="12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RESUMO – O foco deste trabalho consistiu em efetuar a reação de oxidação do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à mistura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cicloexanol-cicloexanona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com ênfase em catalisadores bimetálicos de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cobre-níquel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que são encontrados em abundância e possuem baixo custo.</w:t>
      </w:r>
      <w:r w:rsidR="00310E26"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 xml:space="preserve"> </w:t>
      </w:r>
      <w:r w:rsidR="00310E26">
        <w:rPr>
          <w:rFonts w:ascii="Times New Roman" w:eastAsia="Times New Roman" w:hAnsi="Times New Roman" w:cs="Times New Roman"/>
          <w:color w:val="000000"/>
          <w:sz w:val="20"/>
          <w:szCs w:val="20"/>
        </w:rPr>
        <w:t>Catalisadores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CuNi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suportados em SiO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carvão ativado, 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TiO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SiO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foram sintetizados</w:t>
      </w:r>
      <w:r w:rsidR="005D4246">
        <w:rPr>
          <w:rFonts w:ascii="Times New Roman" w:eastAsia="Times New Roman" w:hAnsi="Times New Roman" w:cs="Times New Roman"/>
          <w:color w:val="000000"/>
          <w:sz w:val="20"/>
          <w:szCs w:val="20"/>
        </w:rPr>
        <w:t>, sendo que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Siral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foi o que apresentou maior conversão e também maior rendimento</w:t>
      </w:r>
      <w:r w:rsidR="005D4246">
        <w:rPr>
          <w:rFonts w:ascii="Times New Roman" w:eastAsia="Times New Roman" w:hAnsi="Times New Roman" w:cs="Times New Roman"/>
          <w:color w:val="000000"/>
          <w:sz w:val="20"/>
          <w:szCs w:val="20"/>
        </w:rPr>
        <w:t>. Esse resultado foi explicado por uma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maior dispersão do cobre na superfície, maior influência do níquel na interação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cobre-níquel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maior acidez em comparação com os outros catalisadores utilizados neste estudo. </w:t>
      </w:r>
    </w:p>
    <w:p w:rsidR="007E3EB8" w:rsidRDefault="00490219">
      <w:pPr>
        <w:pBdr>
          <w:top w:val="nil"/>
          <w:left w:val="nil"/>
          <w:bottom w:val="single" w:sz="6" w:space="12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Palavras-chave: oxidação do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cicloexano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cicloexanol-cicloexanona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 cobre, níquel, suportes.</w:t>
      </w:r>
    </w:p>
    <w:p w:rsidR="007E3EB8" w:rsidRDefault="007E3EB8">
      <w:pPr>
        <w:pBdr>
          <w:top w:val="nil"/>
          <w:left w:val="nil"/>
          <w:bottom w:val="single" w:sz="6" w:space="12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E3EB8" w:rsidRPr="007E419F" w:rsidRDefault="00490219">
      <w:pPr>
        <w:pBdr>
          <w:top w:val="nil"/>
          <w:left w:val="nil"/>
          <w:bottom w:val="single" w:sz="6" w:space="12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ABSTRACT – The focus of this work was consisted in perform the reaction of cyclohexane oxidation to the </w:t>
      </w:r>
      <w:proofErr w:type="spellStart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cyclohexanol-cyclohexanone</w:t>
      </w:r>
      <w:proofErr w:type="spellEnd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mixture, which emphasis in copper-nickel bimetallic catalysts, which are </w:t>
      </w:r>
      <w:r w:rsidR="005D424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low cost and abundant 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metals.</w:t>
      </w:r>
      <w:r w:rsidRPr="007E419F">
        <w:rPr>
          <w:rFonts w:ascii="Helvetica Neue" w:eastAsia="Helvetica Neue" w:hAnsi="Helvetica Neue" w:cs="Helvetica Neue"/>
          <w:b/>
          <w:color w:val="000000"/>
          <w:sz w:val="18"/>
          <w:szCs w:val="18"/>
          <w:lang w:val="en-US"/>
        </w:rPr>
        <w:t xml:space="preserve"> 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Thus, </w:t>
      </w:r>
      <w:proofErr w:type="spellStart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CuNi</w:t>
      </w:r>
      <w:proofErr w:type="spellEnd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catalysts supported in SiO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/>
        </w:rPr>
        <w:t>2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, activated carbon, Al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/>
        </w:rPr>
        <w:t>2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O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/>
        </w:rPr>
        <w:t>3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, TiO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/>
        </w:rPr>
        <w:t>2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and SiO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/>
        </w:rPr>
        <w:t>2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-Al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/>
        </w:rPr>
        <w:t>2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O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/>
        </w:rPr>
        <w:t>3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were </w:t>
      </w:r>
      <w:proofErr w:type="spellStart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synthetized</w:t>
      </w:r>
      <w:proofErr w:type="spellEnd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,</w:t>
      </w:r>
      <w:r w:rsidR="005D424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and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CuNi</w:t>
      </w:r>
      <w:proofErr w:type="spellEnd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/</w:t>
      </w:r>
      <w:proofErr w:type="spellStart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Siral</w:t>
      </w:r>
      <w:proofErr w:type="spellEnd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presented </w:t>
      </w:r>
      <w:r w:rsidR="005D424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a 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higher conversion and greater yield</w:t>
      </w:r>
      <w:r w:rsidR="005D424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.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5D424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This result was explained by 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higher copper dispersion on the surface, major nickel influence on copper-nickel interaction and highest acidity in comparison with other catalysts utilized in this study.</w:t>
      </w:r>
    </w:p>
    <w:p w:rsidR="007E3EB8" w:rsidRPr="007E419F" w:rsidRDefault="00490219" w:rsidP="007E419F">
      <w:pPr>
        <w:pBdr>
          <w:top w:val="nil"/>
          <w:left w:val="nil"/>
          <w:bottom w:val="single" w:sz="6" w:space="12" w:color="000000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sectPr w:rsidR="007E3EB8" w:rsidRPr="007E419F">
          <w:headerReference w:type="default" r:id="rId7"/>
          <w:pgSz w:w="11906" w:h="16838"/>
          <w:pgMar w:top="1418" w:right="1094" w:bottom="1418" w:left="567" w:header="709" w:footer="709" w:gutter="0"/>
          <w:pgNumType w:start="1"/>
          <w:cols w:space="720"/>
        </w:sectPr>
      </w:pPr>
      <w:r w:rsidRPr="007E419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 xml:space="preserve">Keywords: cyclohexane oxidation, </w:t>
      </w:r>
      <w:proofErr w:type="spellStart"/>
      <w:r w:rsidRPr="007E419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cyclohexanol-cyclohexanone</w:t>
      </w:r>
      <w:proofErr w:type="spellEnd"/>
      <w:r w:rsidRPr="007E419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, copper, nickel, supports.</w:t>
      </w:r>
    </w:p>
    <w:p w:rsidR="007E3EB8" w:rsidRDefault="00490219">
      <w:pPr>
        <w:pStyle w:val="Ttulo2"/>
        <w:spacing w:before="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lastRenderedPageBreak/>
        <w:t>Introdução</w:t>
      </w:r>
    </w:p>
    <w:p w:rsidR="007E3EB8" w:rsidRDefault="007E3E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mistura “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KA-oil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” é formada por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cicloexanona, os quais são álcool e cetona derivados do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Esta mistura é utilizada, principalmente, na rota para a produção do ácido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adípico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a partir da oxidação do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Em escala industrial, esta oxidação é efetuada em temperaturas entre 150 e 160 °C e em pressões de 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(agente oxidante) que se encontram entre 10 e 20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(1). Na indústria, o processo pode ser realizado em batelada, porém a opção preferencial é pelo fluxo contínuo. Geralmente, os catalisadores utilizados nestas condições são homogêneos, com sais de manganês, cromo ou cobalto sendo os mais comuns. Contudo, o rendimento é limitado a 5% para inibir a superoxidação dos produtos desejados (2). Além disso, o uso de catalisadores homogêneos proporciona um custo adicional para separação de catalisadores e produtos da reação.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Ao se comparar metais utilizados como catalisadores, os metais mais ativos </w:t>
      </w:r>
      <w:r w:rsidR="005D42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para essa reação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podem apresentar um custo mais elevado.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Recentemente, houve a elaboração de uma proposta na literatura (3) que consistia em efetuar a oxidação do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através do auxílio de catalisadores bimetálicos de cobre e níquel suportados em alumina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CuNi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sílica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/SiO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 e magnésia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MgO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). A reação ocorreu em um balão de vidro, durante 1 hora, a pressão atmosférica e temperatura de 70 °C. A mistura reacional foi composta por 10 mL de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acetonitrila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(solvente), 0,1 g do catalisador,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mL (0,78 g) de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1 mL de H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30% como agente oxidante. Neste trabalho, os catalisadores foram sintetizados de modo que o teor total de fase metálica fosse igual a 25% (em massa), sendo possível realizar um estudo onde os teores individuais de cobre e níquel fossem variados. Além disso, não houve uma etapa de redução dos catalisadores, uma vez que eles foram utilizados na reação </w:t>
      </w:r>
      <w:r w:rsidR="005D4246">
        <w:rPr>
          <w:rFonts w:ascii="Times New Roman" w:eastAsia="Times New Roman" w:hAnsi="Times New Roman" w:cs="Times New Roman"/>
          <w:color w:val="000000"/>
          <w:sz w:val="20"/>
          <w:szCs w:val="20"/>
        </w:rPr>
        <w:t>após calcinação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O catalisador com teores iguais de cobre e níquel 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25Cu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50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50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 foi o mais efetivo, com 8,5% de conversão. Os principais produtos secundários formados nesta reação foram a 2-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-1-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o 1,2-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cicloexanodiol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o óxido de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cicloexeno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Além disto, foram realizados estudos sobre o rendimento e a seletividade dos catalisadores, onde foi constatado que os maiores valores de seletividade para a mistura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cicloexanol-cicloexanona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foram encontrados nas configurações com maiores teores de cobre, sendo eles próximos dos 100%. Além disso, a cicloexanona foi o produto com maior quantidade formada ao fim da reação de oxidação.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A proposta do presente trabalho consistiu em sintetizar e caracterizar catalisadores bimetálicos, formados por cobre (Cu) e níquel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os quais possuem menor custo e maior abundância. Os suportes para os catalisadores foram todos comerciais, sendo eles: alumina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puralox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(γ- Al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), sílica 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SiO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bscript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Siral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40 (SiO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-Al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 40% de sílica), titânia (TiO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e carvão ativado (CA). Os catalisadores foram avaliados na oxidação do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E3EB8" w:rsidRDefault="00490219">
      <w:pPr>
        <w:pStyle w:val="Ttulo2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Experimental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1. Materiais e Métodos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1.1 – Preparação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das amostras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 metais utilizados nos catalisadores foram cobre (Cu) e níquel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). Foram empregados </w:t>
      </w:r>
      <w:r w:rsidR="005D4246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itrato de cobre tri-hidratado 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.3H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O),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Sigma-Aldrich</w:t>
      </w:r>
      <w:proofErr w:type="spellEnd"/>
      <w:r w:rsidR="005D4246">
        <w:rPr>
          <w:rFonts w:ascii="Times New Roman" w:eastAsia="Times New Roman" w:hAnsi="Times New Roman" w:cs="Times New Roman"/>
          <w:color w:val="000000"/>
          <w:sz w:val="20"/>
          <w:szCs w:val="20"/>
        </w:rPr>
        <w:t>, e 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itrato de níquel hexa-hidratado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(NO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.6H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O),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Sigma-Aldrich</w:t>
      </w:r>
      <w:proofErr w:type="spellEnd"/>
      <w:r w:rsidR="005D4246">
        <w:rPr>
          <w:rFonts w:ascii="Times New Roman" w:eastAsia="Times New Roman" w:hAnsi="Times New Roman" w:cs="Times New Roman"/>
          <w:color w:val="000000"/>
          <w:sz w:val="20"/>
          <w:szCs w:val="20"/>
        </w:rPr>
        <w:t>, como precursores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Os catalisadores foram preparados por impregnação úmida em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rotaevaporador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Os nitratos foram pesados (13,69 g do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.3H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e 2,48 g do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(NO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.6H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O, com o objetivo de se chegar a 25% de fase ativa, com razão Cu/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7,2) e então solubilizados em um béquer com 300 mL de água destilada, sem ajuste de pH. Em seguida, adicionaram-se 5,9 g do suporte e, após agitação (até a total solubilização dos precursores e do suporte), a solução foi transferida para um balão de fundo redondo, o qual foi conectado a um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rotaevaporador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onde foi aquecida até a temperatura de 80 °C e passou por um processo de secagem a vácuo, durante 1 hora. Após essa etapa, o precipitado foi filtrado e levado à estufa para secagem a 120 °C durante 16 horas e, por fim, passou pela etapa de tratamento térmico por meio de calcinação em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mufla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(com exceção do catalisador suportado em carvão ativado, que foi tratado num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calcinador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 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), a 400 °C, com taxa de aquecimento igual a 10 °C/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manutenção da temperatura máxima por 4 horas.</w:t>
      </w:r>
    </w:p>
    <w:p w:rsidR="007E3EB8" w:rsidRDefault="007E3E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1.2 – Caracterização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dos catalisadores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 catalisadores e suportes foram analisados, quanto à textura, num equipamento ASAP 2020, da Micromeritics, onde as áreas específicas foram obtidas pelo método BET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Brunauer-Emmett-Teller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 e o volume de poros, pelo método BJH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Barrett-Joyner-Halenda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espectroscopia de raios-X por dispersão de energia (EDX) foi realizada </w:t>
      </w:r>
      <w:r w:rsidR="00101F5B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um equipamento EDX-720 da SHIMADZU, contendo tubo gerador de raios-X de ródio (Rh), com tensão igual a 50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kV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corrente igual a 38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μA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com 10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para o colimador e janela de berílio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difração de raios-X</w:t>
      </w:r>
      <w:r w:rsidR="00101F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dos catalisadores foi realizada num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difractômetro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Rigaku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Miniflex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II, com radiação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CuK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(λ = 1,540 Å), onde a análise foi efetuada entre os ângulos de 10° e 80° (região de 2θ), com passo de 0,05° e tempo de 2 s por passo.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redução a temperatura programada (TPR) </w:t>
      </w:r>
      <w:r>
        <w:rPr>
          <w:rFonts w:ascii="Times" w:eastAsia="Times" w:hAnsi="Times" w:cs="Times"/>
          <w:color w:val="000000"/>
          <w:sz w:val="20"/>
          <w:szCs w:val="20"/>
        </w:rPr>
        <w:t>foi obtida num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equipamento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AutoChem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II 2920 V3.05 da Micromeritics, que apresenta um detector de condutividade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térmico (TCD)</w:t>
      </w:r>
      <w:r w:rsidR="005838A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Nesta análise, aproximadamente 300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mg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amostra calcinada foram colocados num reator tubular em U, o qual foi inserido no equipamento.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 xml:space="preserve">A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dessorção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à temperatura programada de amônia (TPD-NH</w:t>
      </w:r>
      <w:r>
        <w:rPr>
          <w:rFonts w:ascii="Times" w:eastAsia="Times" w:hAnsi="Times" w:cs="Times"/>
          <w:color w:val="000000"/>
          <w:sz w:val="20"/>
          <w:szCs w:val="20"/>
          <w:vertAlign w:val="subscript"/>
        </w:rPr>
        <w:t>3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) foi usada para determinar a acidez das amostras.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equipamento empregado foi o mesmo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AutoChem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II mencionado no item anterior. Para efetuar esta análise, por volta de 300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mg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amostra calcinada foram colocados num reator tubular em U, o qual foi inserido no equipamento.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desidrogenação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foi realizada numa unidade de avaliação de catalisadores com um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cromatógrafo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Agilent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modelo 6850, com coluna NST-100. Foram empregados os catalisadores reduzidos a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500oC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 H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puro e passivados com ar e banho de 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líquido e gelo. As amostras foram reduzidas com H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puro na unidade a 250ºC, mesma temperatura da reação. As taxas de reação foram calculadas considerando reator diferencial. </w:t>
      </w:r>
    </w:p>
    <w:p w:rsidR="007E3EB8" w:rsidRDefault="007E3E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2 – Oxidação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cicloexano</w:t>
      </w:r>
      <w:proofErr w:type="spellEnd"/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reação foi realizada em fase líquida num balão de vidro de fundo redondo conectado a um sistema com refluxo, à pressão atmosférica. Este sistema era composto por um condensador com refluxo, o qual estava conectado a um banho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ultratermostático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Enquanto isso, o balão estava dentro de um pequeno forno, sobre uma placa de agitação magnética. Para medir a temperatura, dois termopares foram utilizados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um dentro do forno e outro dentro do balão.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Para esta reação, foram utilizados: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mL de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como reagente principal; 1 mL de peróxido de hidrogênio (H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como agente oxidante; 10 mL de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acetonitrila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como solvente e 200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catalisador calcinado. Todos os compostos supracitados foram transferidos para o balão, que por sua vez foi conectado ao sistema com refluxo mencionado anteriormente. A solução foi aquecida até 70 °C e então, a agitação magnética foi acionada, sendo este instante definido como o ponto zero da reação, a qual ocorreu por 2 horas. Ao fim deste tempo, a agitação foi desligada, e uma alíquota foi retirada da solução reacional para ser analisada num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cromatógrafo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sendo antes, filtrada (unidade filtrante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Millex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volume de poros de 0,22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µm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). O equipamento utilizado para análise dos produtos foi um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cromatógrafo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gás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Agilent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7890A GC System com detector de ionização de chama (FID), com coluna do tipo HP-5MS, e espectrômetro de massas acoplado. Curvas de calibração do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dos principais produtos foram realizadas visando à quantificação dos reagentes presentes no meio reacional. Também foi efetuada uma reação em branco (sem catalisador) para confirmar a necessidade da utilização de catalisadores na oxidação do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Após a análise dos resultados, o catalisador com melhor desempenho passou por outros testes catalíticos, os quais foram: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Reuso do catalisador para uma nova reação de 2 horas, onde o catalisador foi filtrado e levado à estufa para secagem antes da reação de reuso;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Teste reacional com a utilização de maior quantidade de agente oxidante 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mL de H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), com a manutenção das demais quantidades dos componentes e condições reacionais;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Teste reacional empregando-se maior tempo de reação (4 horas), com a manutenção das quantidades dos componentes e demais condições reacionais.</w:t>
      </w:r>
    </w:p>
    <w:p w:rsidR="007E3EB8" w:rsidRDefault="00490219">
      <w:pPr>
        <w:pStyle w:val="Ttulo2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Resultados e Discussão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bookmarkStart w:id="0" w:name="_30j0zll" w:colFirst="0" w:colLast="0"/>
      <w:bookmarkEnd w:id="0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1 – Caracterização dos catalisadores</w:t>
      </w:r>
    </w:p>
    <w:p w:rsidR="007E3EB8" w:rsidRDefault="007E3E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objetivo foi sintetizar catalisadores bimetálicos com 25% de fase ativa, sendo 22,0% Cu e 3,0%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com razão Cu/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igual a 7,2 (4). Através desta análise, foi possível obter os teores de Cu 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em cada catalisador sintetizado. Estes resultados são apresentados na tabela 1.</w:t>
      </w:r>
    </w:p>
    <w:p w:rsidR="007E3EB8" w:rsidRDefault="007E3E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120" w:line="20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1" w:name="_1fob9te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Tabela 1.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Teores metálicos dos catalisadores</w:t>
      </w:r>
    </w:p>
    <w:tbl>
      <w:tblPr>
        <w:tblStyle w:val="a"/>
        <w:tblW w:w="490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290"/>
        <w:gridCol w:w="755"/>
        <w:gridCol w:w="725"/>
        <w:gridCol w:w="974"/>
        <w:gridCol w:w="1164"/>
      </w:tblGrid>
      <w:tr w:rsidR="007E3EB8">
        <w:tc>
          <w:tcPr>
            <w:tcW w:w="1290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Catalisador</w:t>
            </w:r>
          </w:p>
        </w:tc>
        <w:tc>
          <w:tcPr>
            <w:tcW w:w="755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Cu (%)</w:t>
            </w:r>
          </w:p>
        </w:tc>
        <w:tc>
          <w:tcPr>
            <w:tcW w:w="725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Ni</w:t>
            </w:r>
            <w:proofErr w:type="spellEnd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974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Cu+</w:t>
            </w:r>
            <w:proofErr w:type="spellStart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Ni</w:t>
            </w:r>
            <w:proofErr w:type="spellEnd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164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Razão Cu/</w:t>
            </w:r>
            <w:proofErr w:type="spellStart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Ni</w:t>
            </w:r>
            <w:proofErr w:type="spellEnd"/>
          </w:p>
        </w:tc>
      </w:tr>
      <w:tr w:rsidR="007E3EB8">
        <w:tc>
          <w:tcPr>
            <w:tcW w:w="1290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CuNi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/Al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O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755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725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4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164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28,3</w:t>
            </w:r>
          </w:p>
        </w:tc>
      </w:tr>
      <w:tr w:rsidR="007E3EB8">
        <w:tc>
          <w:tcPr>
            <w:tcW w:w="1290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CuNi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/SiO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55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725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4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164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6,3</w:t>
            </w:r>
          </w:p>
        </w:tc>
      </w:tr>
      <w:tr w:rsidR="007E3EB8">
        <w:tc>
          <w:tcPr>
            <w:tcW w:w="1290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CuNi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Siral</w:t>
            </w:r>
            <w:proofErr w:type="spellEnd"/>
          </w:p>
        </w:tc>
        <w:tc>
          <w:tcPr>
            <w:tcW w:w="755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725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4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64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11,8</w:t>
            </w:r>
          </w:p>
        </w:tc>
      </w:tr>
      <w:tr w:rsidR="007E3EB8">
        <w:tc>
          <w:tcPr>
            <w:tcW w:w="1290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CuNi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/TiO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55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25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4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64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7,9</w:t>
            </w:r>
          </w:p>
        </w:tc>
      </w:tr>
      <w:tr w:rsidR="007E3EB8">
        <w:trPr>
          <w:trHeight w:val="206"/>
        </w:trPr>
        <w:tc>
          <w:tcPr>
            <w:tcW w:w="1290" w:type="dxa"/>
            <w:tcBorders>
              <w:bottom w:val="single" w:sz="6" w:space="0" w:color="000000"/>
            </w:tcBorders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CuNi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/CA</w:t>
            </w:r>
          </w:p>
        </w:tc>
        <w:tc>
          <w:tcPr>
            <w:tcW w:w="755" w:type="dxa"/>
            <w:tcBorders>
              <w:bottom w:val="single" w:sz="6" w:space="0" w:color="000000"/>
            </w:tcBorders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725" w:type="dxa"/>
            <w:tcBorders>
              <w:bottom w:val="single" w:sz="6" w:space="0" w:color="000000"/>
            </w:tcBorders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8,9</w:t>
            </w:r>
          </w:p>
        </w:tc>
      </w:tr>
    </w:tbl>
    <w:p w:rsidR="007E3EB8" w:rsidRDefault="007E3E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Ao analisar-se a tabela acima, observa-se que os teores de fase ativa (Cu+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dos três primeiros catalisadores apresentaram valores próximos de 25%, porém isto não se repetiu nos catalisadores suportados em </w:t>
      </w:r>
      <w:proofErr w:type="gramStart"/>
      <w:r>
        <w:rPr>
          <w:rFonts w:ascii="Times" w:eastAsia="Times" w:hAnsi="Times" w:cs="Times"/>
          <w:color w:val="000000"/>
          <w:sz w:val="20"/>
          <w:szCs w:val="20"/>
        </w:rPr>
        <w:t>TiO</w:t>
      </w:r>
      <w:r>
        <w:rPr>
          <w:rFonts w:ascii="Times" w:eastAsia="Times" w:hAnsi="Times" w:cs="Times"/>
          <w:color w:val="000000"/>
          <w:sz w:val="20"/>
          <w:szCs w:val="20"/>
          <w:vertAlign w:val="subscript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em carvão ativado, onde as porcentagens de fase ativa presente foram significativamente mais baixas. Uma das possíveis razões para isto ter ocorrido foi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perda de metal em solução a partir do método de impregnação úmida, na etapa de filtração após o tempo mantido no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rotaevaporador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Os suportes </w:t>
      </w:r>
      <w:proofErr w:type="gramStart"/>
      <w:r>
        <w:rPr>
          <w:rFonts w:ascii="Times" w:eastAsia="Times" w:hAnsi="Times" w:cs="Times"/>
          <w:color w:val="000000"/>
          <w:sz w:val="20"/>
          <w:szCs w:val="20"/>
        </w:rPr>
        <w:t>TiO</w:t>
      </w:r>
      <w:r>
        <w:rPr>
          <w:rFonts w:ascii="Times" w:eastAsia="Times" w:hAnsi="Times" w:cs="Times"/>
          <w:color w:val="000000"/>
          <w:sz w:val="20"/>
          <w:szCs w:val="20"/>
          <w:vertAlign w:val="subscript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carvão ativado são compostos nos quais a capacidade de adsorção é influenciada pelo pH da solução. Segundo a literatura, o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ideal para a obtenção da capacidade máxima de adsorção pelo </w:t>
      </w:r>
      <w:r>
        <w:rPr>
          <w:rFonts w:ascii="Times" w:eastAsia="Times" w:hAnsi="Times" w:cs="Times"/>
          <w:color w:val="000000"/>
          <w:sz w:val="20"/>
          <w:szCs w:val="20"/>
        </w:rPr>
        <w:t>TiO</w:t>
      </w:r>
      <w:r>
        <w:rPr>
          <w:rFonts w:ascii="Times" w:eastAsia="Times" w:hAnsi="Times" w:cs="Times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é igual a 10 (5), enquanto para o carvão ativado, o pH ideal é igual a 8 (6). Uma vez que o preparo dos catalisadores acima não previu ajuste de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 solução, a falta desta etapa contribuiu para que a quantidade de fase ativa impregnada em </w:t>
      </w:r>
      <w:r>
        <w:rPr>
          <w:rFonts w:ascii="Times" w:eastAsia="Times" w:hAnsi="Times" w:cs="Times"/>
          <w:color w:val="000000"/>
          <w:sz w:val="20"/>
          <w:szCs w:val="20"/>
        </w:rPr>
        <w:t>TiO</w:t>
      </w:r>
      <w:r>
        <w:rPr>
          <w:rFonts w:ascii="Times" w:eastAsia="Times" w:hAnsi="Times" w:cs="Times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carvão ativado fosse significativamente mais baixa em relação aos outros suportes. Contudo, estes catalisadores também seguiram para as demais técnicas de caracterização e para o teste catalítico na reação principal.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tabela 2 mostra os resultados de área específica (BET) e volume de poros (BJH) obtidos através da análise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textural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dos catalisadores empregados neste trabalho, por meio da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fisissorção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Os resultados dos suportes são apresentados entre parênteses.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Pode-se perceber que, na maioria dos pares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catalisador-suporte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analisados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a área específica diminuiu ao se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impregnar o catalisador no suporte. Este decréscimo pode ser explicado pelo bloqueio parcial nos mesoporos do suporte pela fase ativa do catalisador, como foi observado por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Yadav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D3043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et</w:t>
      </w:r>
      <w:proofErr w:type="spellEnd"/>
      <w:proofErr w:type="gramEnd"/>
      <w:r w:rsidRPr="00D3043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al</w:t>
      </w:r>
      <w:r w:rsidRPr="00D3043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(3).</w:t>
      </w:r>
    </w:p>
    <w:p w:rsidR="00210829" w:rsidRDefault="00210829">
      <w:pPr>
        <w:pBdr>
          <w:top w:val="nil"/>
          <w:left w:val="nil"/>
          <w:bottom w:val="nil"/>
          <w:right w:val="nil"/>
          <w:between w:val="nil"/>
        </w:pBdr>
        <w:spacing w:after="120" w:line="20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120" w:line="20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Tabela 2.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Área específica e volume de poros das amostras.</w:t>
      </w:r>
    </w:p>
    <w:tbl>
      <w:tblPr>
        <w:tblStyle w:val="a0"/>
        <w:tblW w:w="37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365"/>
        <w:gridCol w:w="1201"/>
        <w:gridCol w:w="1201"/>
      </w:tblGrid>
      <w:tr w:rsidR="007E3EB8">
        <w:trPr>
          <w:jc w:val="center"/>
        </w:trPr>
        <w:tc>
          <w:tcPr>
            <w:tcW w:w="1365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Catalisador</w:t>
            </w:r>
          </w:p>
        </w:tc>
        <w:tc>
          <w:tcPr>
            <w:tcW w:w="1201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Área (m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/g)</w:t>
            </w:r>
          </w:p>
        </w:tc>
        <w:tc>
          <w:tcPr>
            <w:tcW w:w="1201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V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  <w:vertAlign w:val="subscript"/>
              </w:rPr>
              <w:t xml:space="preserve">P 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(cm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/g)</w:t>
            </w:r>
          </w:p>
        </w:tc>
      </w:tr>
      <w:tr w:rsidR="007E3EB8">
        <w:trPr>
          <w:jc w:val="center"/>
        </w:trPr>
        <w:tc>
          <w:tcPr>
            <w:tcW w:w="1365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CuNi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/Al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O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201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191 (177)</w:t>
            </w:r>
          </w:p>
        </w:tc>
        <w:tc>
          <w:tcPr>
            <w:tcW w:w="1201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0,489 (0,475)</w:t>
            </w:r>
          </w:p>
        </w:tc>
      </w:tr>
      <w:tr w:rsidR="007E3EB8">
        <w:trPr>
          <w:jc w:val="center"/>
        </w:trPr>
        <w:tc>
          <w:tcPr>
            <w:tcW w:w="1365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CuNi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/SiO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201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306 (342)</w:t>
            </w:r>
          </w:p>
        </w:tc>
        <w:tc>
          <w:tcPr>
            <w:tcW w:w="1201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1,173 (1,251)</w:t>
            </w:r>
          </w:p>
        </w:tc>
      </w:tr>
      <w:tr w:rsidR="007E3EB8">
        <w:trPr>
          <w:jc w:val="center"/>
        </w:trPr>
        <w:tc>
          <w:tcPr>
            <w:tcW w:w="1365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CuNi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Siral</w:t>
            </w:r>
            <w:proofErr w:type="spellEnd"/>
          </w:p>
        </w:tc>
        <w:tc>
          <w:tcPr>
            <w:tcW w:w="1201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348 (431)</w:t>
            </w:r>
          </w:p>
        </w:tc>
        <w:tc>
          <w:tcPr>
            <w:tcW w:w="1201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1,008 (1,593)</w:t>
            </w:r>
          </w:p>
        </w:tc>
      </w:tr>
      <w:tr w:rsidR="007E3EB8">
        <w:trPr>
          <w:jc w:val="center"/>
        </w:trPr>
        <w:tc>
          <w:tcPr>
            <w:tcW w:w="1365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CuNi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/TiO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201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45 (49)</w:t>
            </w:r>
          </w:p>
        </w:tc>
        <w:tc>
          <w:tcPr>
            <w:tcW w:w="1201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0,360 (0,173)</w:t>
            </w:r>
          </w:p>
        </w:tc>
      </w:tr>
      <w:tr w:rsidR="007E3EB8">
        <w:trPr>
          <w:trHeight w:val="250"/>
          <w:jc w:val="center"/>
        </w:trPr>
        <w:tc>
          <w:tcPr>
            <w:tcW w:w="1365" w:type="dxa"/>
            <w:tcBorders>
              <w:bottom w:val="single" w:sz="6" w:space="0" w:color="000000"/>
            </w:tcBorders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CuNi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/CA</w:t>
            </w:r>
          </w:p>
        </w:tc>
        <w:tc>
          <w:tcPr>
            <w:tcW w:w="1201" w:type="dxa"/>
            <w:tcBorders>
              <w:bottom w:val="single" w:sz="6" w:space="0" w:color="000000"/>
            </w:tcBorders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1277 (1311)</w:t>
            </w:r>
          </w:p>
        </w:tc>
        <w:tc>
          <w:tcPr>
            <w:tcW w:w="1201" w:type="dxa"/>
            <w:tcBorders>
              <w:bottom w:val="single" w:sz="6" w:space="0" w:color="000000"/>
            </w:tcBorders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0,717 (0,777)</w:t>
            </w:r>
          </w:p>
        </w:tc>
      </w:tr>
    </w:tbl>
    <w:p w:rsidR="007E3EB8" w:rsidRDefault="007E3E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figura 1 mostra os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difratogramas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nas faixas de 10 a 30° dos catalisadores sintetizados neste estudo. Para os catalisadores de cobre e níquel suportados em 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SiO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bscript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TiO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carvão ativado, percebe-se a ocorrência de picos em 2θ = 14,4°, 17,3° e 25,9°, posições que remetem à presença da fase cristalina do óxido de cobre cúbico (Cu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O) nos planos (110), (111) e (220), respectivamente (JCPDS 34-1354) (7).</w:t>
      </w:r>
    </w:p>
    <w:p w:rsidR="00B16C5A" w:rsidRDefault="00B16C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E3EB8" w:rsidRDefault="00C15F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5F59">
        <w:rPr>
          <w:noProof/>
          <w:szCs w:val="20"/>
        </w:rPr>
        <w:drawing>
          <wp:inline distT="0" distB="0" distL="0" distR="0">
            <wp:extent cx="3081858" cy="2647950"/>
            <wp:effectExtent l="0" t="0" r="4242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788" t="5185" r="5145" b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72" cy="2657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EB8" w:rsidRDefault="0049021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Figura 1.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Difratogramas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dos catalisadores entre 10 e 30°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Não houve formação de picos no catalisador suportado em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Siral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o que pode caracterizar 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amorficidade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 amostra. Outra possível explicação para a não formação de picos seria um tamanho muito pequeno dos cristalitos de Cu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 nesta amostra, sendo menor que o mínimo detectável pela técnica, o que também caracteriza uma maior dispersão da fase ativa na superfície do suporte, em comparação com os demais catalisadores analisados.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tabela 3 mostra os dados obtidos em relação ao consumo de H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ao grau de redução para cada catalisador nesta caracterização. Além disso, a figura 2 mostra os perfis das curvas de TPR.</w:t>
      </w:r>
    </w:p>
    <w:p w:rsidR="00210829" w:rsidRDefault="00210829">
      <w:pPr>
        <w:pBdr>
          <w:top w:val="nil"/>
          <w:left w:val="nil"/>
          <w:bottom w:val="nil"/>
          <w:right w:val="nil"/>
          <w:between w:val="nil"/>
        </w:pBdr>
        <w:spacing w:after="120" w:line="20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120" w:line="20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lastRenderedPageBreak/>
        <w:t>Tabela 3.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Resultados de TPR, TPD-NH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desidrogenação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cicloexano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para os catalisadores.</w:t>
      </w:r>
    </w:p>
    <w:tbl>
      <w:tblPr>
        <w:tblStyle w:val="a1"/>
        <w:tblW w:w="48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314"/>
        <w:gridCol w:w="477"/>
        <w:gridCol w:w="608"/>
        <w:gridCol w:w="566"/>
        <w:gridCol w:w="567"/>
        <w:gridCol w:w="567"/>
        <w:gridCol w:w="707"/>
      </w:tblGrid>
      <w:tr w:rsidR="007E3EB8">
        <w:trPr>
          <w:jc w:val="center"/>
        </w:trPr>
        <w:tc>
          <w:tcPr>
            <w:tcW w:w="1314" w:type="dxa"/>
            <w:vMerge w:val="restart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Catalisador</w:t>
            </w:r>
          </w:p>
        </w:tc>
        <w:tc>
          <w:tcPr>
            <w:tcW w:w="1085" w:type="dxa"/>
            <w:gridSpan w:val="2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TPR</w:t>
            </w:r>
          </w:p>
        </w:tc>
        <w:tc>
          <w:tcPr>
            <w:tcW w:w="1700" w:type="dxa"/>
            <w:gridSpan w:val="3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TPD-NH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707" w:type="dxa"/>
            <w:vMerge w:val="restart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(-</w:t>
            </w: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r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  <w:vertAlign w:val="subscript"/>
              </w:rPr>
              <w:t>CH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)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  <w:vertAlign w:val="superscript"/>
              </w:rPr>
              <w:t>4</w:t>
            </w:r>
          </w:p>
        </w:tc>
      </w:tr>
      <w:tr w:rsidR="007E3EB8">
        <w:trPr>
          <w:jc w:val="center"/>
        </w:trPr>
        <w:tc>
          <w:tcPr>
            <w:tcW w:w="1314" w:type="dxa"/>
            <w:vMerge/>
            <w:vAlign w:val="center"/>
          </w:tcPr>
          <w:p w:rsidR="007E3EB8" w:rsidRDefault="007E3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C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08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GR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66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FR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7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M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7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FO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07" w:type="dxa"/>
            <w:vMerge/>
            <w:vAlign w:val="center"/>
          </w:tcPr>
          <w:p w:rsidR="007E3EB8" w:rsidRDefault="007E3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</w:tr>
      <w:tr w:rsidR="007E3EB8">
        <w:trPr>
          <w:jc w:val="center"/>
        </w:trPr>
        <w:tc>
          <w:tcPr>
            <w:tcW w:w="1314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CuNi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/Al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O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477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596</w:t>
            </w:r>
          </w:p>
        </w:tc>
        <w:tc>
          <w:tcPr>
            <w:tcW w:w="608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89,1</w:t>
            </w:r>
          </w:p>
        </w:tc>
        <w:tc>
          <w:tcPr>
            <w:tcW w:w="566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567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567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707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165,6</w:t>
            </w:r>
          </w:p>
        </w:tc>
      </w:tr>
      <w:tr w:rsidR="007E3EB8">
        <w:trPr>
          <w:jc w:val="center"/>
        </w:trPr>
        <w:tc>
          <w:tcPr>
            <w:tcW w:w="1314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CuNi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/SiO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77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608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566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567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07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20,0</w:t>
            </w:r>
          </w:p>
        </w:tc>
      </w:tr>
      <w:tr w:rsidR="007E3EB8">
        <w:trPr>
          <w:jc w:val="center"/>
        </w:trPr>
        <w:tc>
          <w:tcPr>
            <w:tcW w:w="1314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CuNi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Siral</w:t>
            </w:r>
            <w:proofErr w:type="spellEnd"/>
          </w:p>
        </w:tc>
        <w:tc>
          <w:tcPr>
            <w:tcW w:w="477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608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75,7</w:t>
            </w:r>
          </w:p>
        </w:tc>
        <w:tc>
          <w:tcPr>
            <w:tcW w:w="566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567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211,4</w:t>
            </w:r>
          </w:p>
        </w:tc>
        <w:tc>
          <w:tcPr>
            <w:tcW w:w="567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214,0</w:t>
            </w:r>
          </w:p>
        </w:tc>
        <w:tc>
          <w:tcPr>
            <w:tcW w:w="707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2,6</w:t>
            </w:r>
          </w:p>
        </w:tc>
      </w:tr>
      <w:tr w:rsidR="007E3EB8">
        <w:trPr>
          <w:jc w:val="center"/>
        </w:trPr>
        <w:tc>
          <w:tcPr>
            <w:tcW w:w="1314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CuNi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/TiO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77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08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566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567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118,6</w:t>
            </w:r>
          </w:p>
        </w:tc>
        <w:tc>
          <w:tcPr>
            <w:tcW w:w="567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707" w:type="dxa"/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400,0</w:t>
            </w:r>
          </w:p>
        </w:tc>
      </w:tr>
      <w:tr w:rsidR="007E3EB8">
        <w:trPr>
          <w:trHeight w:val="200"/>
          <w:jc w:val="center"/>
        </w:trPr>
        <w:tc>
          <w:tcPr>
            <w:tcW w:w="1314" w:type="dxa"/>
            <w:tcBorders>
              <w:bottom w:val="single" w:sz="6" w:space="0" w:color="000000"/>
            </w:tcBorders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CuNi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/CA</w:t>
            </w:r>
          </w:p>
        </w:tc>
        <w:tc>
          <w:tcPr>
            <w:tcW w:w="477" w:type="dxa"/>
            <w:tcBorders>
              <w:bottom w:val="single" w:sz="6" w:space="0" w:color="000000"/>
            </w:tcBorders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608" w:type="dxa"/>
            <w:tcBorders>
              <w:bottom w:val="single" w:sz="6" w:space="0" w:color="000000"/>
            </w:tcBorders>
            <w:vAlign w:val="center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bottom w:val="single" w:sz="6" w:space="0" w:color="000000"/>
            </w:tcBorders>
          </w:tcPr>
          <w:p w:rsidR="007E3EB8" w:rsidRDefault="007E3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</w:tr>
    </w:tbl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Consumo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(C) (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μmol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/g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cat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Grau de redução (GR) (%),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Sítios ácidos (FR) Fracos, (M) Médios, (FO) Fortes (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µmol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/g), </w:t>
      </w:r>
      <w:r w:rsidR="00786557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4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Taxa inicial da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desidrogenação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cicloexano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(-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</w:rPr>
        <w:t>CH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 (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mmolsCH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gNi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h).  </w:t>
      </w:r>
    </w:p>
    <w:p w:rsidR="007E3EB8" w:rsidRDefault="007E3E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 perfis de TPR apresentaram duas regiões de consumo de H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acima e abaixo de 450/500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C.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variação nas temperaturas dos picos de redução na região abaixo de 450/500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pode ser explicada pela interação entre o cobre e o níquel presentes nas amostras. Os cátions do cobre (Cu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Cu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 possuem maior potencial de redução quando comparados com o níquel (Ni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o que leva ao maior favorecimento da redução dos mesmos em temperaturas mais baixas.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Lua (10) observaram um pico de redução do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mássico obtido a 377 °C, também inferior aos 500 °C. Além disso, também foi analisada uma amostra com proporções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equimolares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onde os picos de redução se situaram em 235 °C e 345 °C, respectivamente.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 posse destes resultados, conclui-se que a maior influência do cobre na interação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Cu-Ni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proporciona um decréscimo na temperatura do pico de redução, enquanto o níquel é responsável pelo oposto. Além disso, a redução do cobre ocorre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primeiro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em temperaturas mais baixas em relação ao níquel.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CuNi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observa-se um único pico de redução, a 290 °C, correspondente à redução do Cu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para a formação do cobre metálico, como também foi observado na literatura (3). O perfil de redução do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CuNi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/SiO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apresenta dois picos bem próximos, nas temperaturas de 235 e 272 °C. Esses dois picos podem corresponder à redução do cobre do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passando pelo Cu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 antes da formação do cobre metálico (Cu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). Ao se observar o perfil de redução do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CuNi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/TiO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é possível visualizar três picos. Os dois primeiros (166 e 208 °C) respondem pela redução do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Cu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enquanto o terceiro pico (398 °C) é o responsável pela redução do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até 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F36B6" w:rsidRDefault="00CF36B6" w:rsidP="00CF3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Portanto, dentre os catalisadores sintetizados neste trabalho, o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CuNi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Siral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é aquele que possui a maior influência do níquel na interação entre os metais presentes na superfície da amostra. Por outro lado, a predominância do cobre é maior no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CuNi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/TiO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o qual apresentou a menor temperatura para o pico de redução (166 °C).</w:t>
      </w:r>
    </w:p>
    <w:p w:rsidR="00C504CE" w:rsidRDefault="00C504CE" w:rsidP="00C504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figura 2 mostra um segundo pico para dois catalisadores (685 °C para o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CuNi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Siral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637 °C para 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/CA). Para o catalisador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CuNi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/C ativado, o pico pode ser relacionado ao suporte, uma vez que a passagem da corrente gasosa de H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favorece a formação de metano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(CH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). No caso do catalisador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CuNi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Siral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o segundo pico pode corresponder à redução do NiAl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(8, 9).</w:t>
      </w:r>
    </w:p>
    <w:p w:rsidR="007E3EB8" w:rsidRDefault="007E3E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E3EB8" w:rsidRDefault="0043784D" w:rsidP="006C4F7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3784D">
        <w:rPr>
          <w:noProof/>
        </w:rPr>
        <w:drawing>
          <wp:inline distT="0" distB="0" distL="0" distR="0">
            <wp:extent cx="2971910" cy="2354094"/>
            <wp:effectExtent l="0" t="0" r="0" b="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502" t="4839" r="4207" b="6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910" cy="2354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Figura 2.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Perfis das curvas de TPR dos catalisadores analisados.</w:t>
      </w:r>
    </w:p>
    <w:p w:rsidR="007E3EB8" w:rsidRDefault="007E3E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 TPD-NH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foi utilizado para determinar a acidez das amostras. Além disso, os sítios ácidos foram divididos em ácidos fracos (100-250 °C), médios ou moderados (250- 400 °C) e fortes (400-500 °C). A tabela 3 mostra os resultados desta análise.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catalisador responsável pela maior adsorção foi o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CuNi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Siral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O catalisador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CuNi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/CA, não apresentou picos na concentração de amônia detectada no TCD, fenômeno também reportado na literatura (11 e 12). Em trabalho anterior deste grupo de pesquisa (13), os resultados foram de 140, 670 e 40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µmols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/g em sítios ácidos fracos, médios e fortes, respectivamente, para o mesmo carvão ativado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Alphacarbo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G830 Super. 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tabela 3 ainda apresenta as atividades na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desidrogenação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Os catalisadores suportados em 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foram os que apresentaram os maiores valores de taxa de reação considerando apenas o níquel presente na amostra. Conforme a literatura, esta taxa é diretamente proporcional à dispersão da fase ativa na superfície da amostra, o que leva à conclusão de que o catalisador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CuNi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/TiO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foi o que apresentou maior dispersão do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em suas superfícies.</w:t>
      </w:r>
    </w:p>
    <w:p w:rsidR="007E3EB8" w:rsidRDefault="007E3E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2 – Oxidação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cicloexano</w:t>
      </w:r>
      <w:proofErr w:type="spellEnd"/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oxidação do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resultou na formação de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 e cicloexanona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também houve formação de produtos secundários (ou subprodutos), onde os principais foram o óxido de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cicloexeno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 e o 1,2-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cicloexanodiol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diol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), também observados na literatura (3). A tabela 4 mostra resultados de seletividade ao produto de interesse, assim como o rendimento, taxa de reação volumétrica e TOF estimados para cada catalisador.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partir da análise dos resultados, algumas observações puderam ser feitas: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2" w:name="_3znysh7" w:colFirst="0" w:colLast="0"/>
      <w:bookmarkEnd w:id="2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Comparando-se os catalisadores suportados em 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o da literatura (3) apresentou resultados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ligeiramente melhores de conversão e seletividade para os produtos desejados;</w:t>
      </w:r>
    </w:p>
    <w:p w:rsidR="007E419F" w:rsidRDefault="007E41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7E419F">
          <w:type w:val="continuous"/>
          <w:pgSz w:w="11906" w:h="16838"/>
          <w:pgMar w:top="1418" w:right="1094" w:bottom="1418" w:left="567" w:header="709" w:footer="709" w:gutter="0"/>
          <w:cols w:num="2" w:space="720" w:equalWidth="0">
            <w:col w:w="4768" w:space="708"/>
            <w:col w:w="4768" w:space="0"/>
          </w:cols>
        </w:sectPr>
      </w:pPr>
    </w:p>
    <w:p w:rsidR="007E3EB8" w:rsidRDefault="007E3E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sectPr w:rsidR="007E3EB8">
          <w:type w:val="continuous"/>
          <w:pgSz w:w="11906" w:h="16838"/>
          <w:pgMar w:top="1418" w:right="1094" w:bottom="1418" w:left="567" w:header="709" w:footer="709" w:gutter="0"/>
          <w:cols w:num="2" w:space="720" w:equalWidth="0">
            <w:col w:w="4768" w:space="708"/>
            <w:col w:w="4768" w:space="0"/>
          </w:cols>
        </w:sectPr>
      </w:pP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Tabela 4.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Resultados de oxidação do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(tempo de reação = 2 h, T = 70 °C).</w:t>
      </w:r>
    </w:p>
    <w:tbl>
      <w:tblPr>
        <w:tblStyle w:val="a2"/>
        <w:tblW w:w="80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14"/>
        <w:gridCol w:w="543"/>
        <w:gridCol w:w="647"/>
        <w:gridCol w:w="594"/>
        <w:gridCol w:w="608"/>
        <w:gridCol w:w="658"/>
        <w:gridCol w:w="711"/>
        <w:gridCol w:w="712"/>
        <w:gridCol w:w="723"/>
        <w:gridCol w:w="711"/>
        <w:gridCol w:w="709"/>
      </w:tblGrid>
      <w:tr w:rsidR="007E3EB8">
        <w:trPr>
          <w:jc w:val="center"/>
        </w:trPr>
        <w:tc>
          <w:tcPr>
            <w:tcW w:w="1414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Catalisador</w:t>
            </w:r>
          </w:p>
        </w:tc>
        <w:tc>
          <w:tcPr>
            <w:tcW w:w="54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647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ona</w:t>
            </w:r>
            <w:proofErr w:type="spellEnd"/>
          </w:p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594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ol</w:t>
            </w:r>
          </w:p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608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oc</w:t>
            </w:r>
            <w:proofErr w:type="spellEnd"/>
          </w:p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658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diol</w:t>
            </w:r>
            <w:proofErr w:type="spellEnd"/>
          </w:p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711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outros</w:t>
            </w:r>
            <w:proofErr w:type="spellEnd"/>
          </w:p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712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ona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+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ol</w:t>
            </w:r>
            <w:proofErr w:type="spellEnd"/>
          </w:p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72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ona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+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ol</w:t>
            </w:r>
            <w:proofErr w:type="spellEnd"/>
          </w:p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711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CH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,v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TOF</w:t>
            </w:r>
          </w:p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E3EB8">
        <w:trPr>
          <w:jc w:val="center"/>
        </w:trPr>
        <w:tc>
          <w:tcPr>
            <w:tcW w:w="1414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/Al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54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647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594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08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n.i.</w:t>
            </w:r>
            <w:proofErr w:type="spellEnd"/>
          </w:p>
        </w:tc>
        <w:tc>
          <w:tcPr>
            <w:tcW w:w="658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n.i.</w:t>
            </w:r>
            <w:proofErr w:type="spellEnd"/>
          </w:p>
        </w:tc>
        <w:tc>
          <w:tcPr>
            <w:tcW w:w="711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2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711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i.</w:t>
            </w:r>
          </w:p>
        </w:tc>
        <w:tc>
          <w:tcPr>
            <w:tcW w:w="709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i.</w:t>
            </w:r>
          </w:p>
        </w:tc>
      </w:tr>
      <w:tr w:rsidR="007E3EB8">
        <w:trPr>
          <w:jc w:val="center"/>
        </w:trPr>
        <w:tc>
          <w:tcPr>
            <w:tcW w:w="1414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/Al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54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647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594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20,7</w:t>
            </w:r>
          </w:p>
        </w:tc>
        <w:tc>
          <w:tcPr>
            <w:tcW w:w="608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658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711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12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84,9</w:t>
            </w:r>
          </w:p>
        </w:tc>
        <w:tc>
          <w:tcPr>
            <w:tcW w:w="72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711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21,45</w:t>
            </w:r>
          </w:p>
        </w:tc>
        <w:tc>
          <w:tcPr>
            <w:tcW w:w="709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1,62</w:t>
            </w:r>
          </w:p>
        </w:tc>
      </w:tr>
      <w:tr w:rsidR="007E3EB8">
        <w:trPr>
          <w:jc w:val="center"/>
        </w:trPr>
        <w:tc>
          <w:tcPr>
            <w:tcW w:w="1414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/SiO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4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647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594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608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658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711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72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711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15,23</w:t>
            </w:r>
          </w:p>
        </w:tc>
        <w:tc>
          <w:tcPr>
            <w:tcW w:w="709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1,32</w:t>
            </w:r>
          </w:p>
        </w:tc>
      </w:tr>
      <w:tr w:rsidR="007E3EB8">
        <w:trPr>
          <w:jc w:val="center"/>
        </w:trPr>
        <w:tc>
          <w:tcPr>
            <w:tcW w:w="1414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Siral</w:t>
            </w:r>
            <w:proofErr w:type="spellEnd"/>
          </w:p>
        </w:tc>
        <w:tc>
          <w:tcPr>
            <w:tcW w:w="54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647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594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608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658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711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72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711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709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3,93</w:t>
            </w:r>
          </w:p>
        </w:tc>
      </w:tr>
      <w:tr w:rsidR="007E3EB8">
        <w:trPr>
          <w:jc w:val="center"/>
        </w:trPr>
        <w:tc>
          <w:tcPr>
            <w:tcW w:w="1414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/TiO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4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647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594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608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658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711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87,6</w:t>
            </w:r>
          </w:p>
        </w:tc>
        <w:tc>
          <w:tcPr>
            <w:tcW w:w="72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11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5,53</w:t>
            </w:r>
          </w:p>
        </w:tc>
        <w:tc>
          <w:tcPr>
            <w:tcW w:w="709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3,16</w:t>
            </w:r>
          </w:p>
        </w:tc>
      </w:tr>
      <w:tr w:rsidR="007E3EB8">
        <w:trPr>
          <w:jc w:val="center"/>
        </w:trPr>
        <w:tc>
          <w:tcPr>
            <w:tcW w:w="1414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/CA</w:t>
            </w:r>
          </w:p>
        </w:tc>
        <w:tc>
          <w:tcPr>
            <w:tcW w:w="54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47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35,6</w:t>
            </w:r>
          </w:p>
        </w:tc>
        <w:tc>
          <w:tcPr>
            <w:tcW w:w="594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64,4</w:t>
            </w:r>
          </w:p>
        </w:tc>
        <w:tc>
          <w:tcPr>
            <w:tcW w:w="608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8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1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2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2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711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6,04</w:t>
            </w:r>
          </w:p>
        </w:tc>
        <w:tc>
          <w:tcPr>
            <w:tcW w:w="709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3,36</w:t>
            </w:r>
          </w:p>
        </w:tc>
      </w:tr>
    </w:tbl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7E3EB8">
          <w:type w:val="continuous"/>
          <w:pgSz w:w="11906" w:h="16838"/>
          <w:pgMar w:top="1418" w:right="1094" w:bottom="1418" w:left="567" w:header="709" w:footer="709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*</w:t>
      </w:r>
      <w:proofErr w:type="gramStart"/>
      <w:r w:rsidR="00D30437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,</w:t>
      </w:r>
      <w:proofErr w:type="gramEnd"/>
      <w:r w:rsidR="00D30437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n.i. = não informado,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mmol/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L.h.</w:t>
      </w:r>
      <w:proofErr w:type="spellEnd"/>
    </w:p>
    <w:p w:rsidR="007E3EB8" w:rsidRDefault="007E3E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Com exceção da reação com o catalisador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CuNi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/C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ativ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., houve formação de óxido de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cicloexeno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1,2-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cicloexanodiol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como subprodutos em todas as reações com os demais catalisadores;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O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CuNi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Siral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foi o catalisador que apresentou maior conversão do substrato (7,0%), taxa de reação e TOF, sendo que ele também foi o catalisador mais ácido, de acordo com as análises de TPD-NH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A dispersão do níquel neste catalisador é ruim, como mostrado pelos resultados da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desidrogenação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Por outro lado, o cobre é bem disperso neste catalisador, como mostrado pela ausência de raias no DRX, e a influência do níquel na interação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cobre-níquel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 fase ativa é maior em relação aos outros catalisadores, como verificado nas temperaturas de redução obtidas no TPR-H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15F59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Por outro lado, observa-se que os catalisadores com maiores proporções de sítios com acidez mais forte levaram aos maiores valores de conversão, o que indica que a acidez também é um fator influenciador da reação, explicando também os menores valores de conversão e seletividade para o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CuNi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/SiO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quando comparado com o </w:t>
      </w:r>
    </w:p>
    <w:p w:rsidR="00C15F59" w:rsidRDefault="00C15F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15F59" w:rsidRDefault="00C15F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CuNi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Siral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que adsorveram maiores quantidades de amônia no TPD-NH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Dentre os produtos desejados, a cicloexanona foi o produto predominante em todas as reações, com exceção daquela que envolveu o carvão ativado como catalisador (que foi, inclusive, a única que não apresentou formação de subprodutos, ou seja, a seletividade em relação à mistura “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KA-oil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” foi de 100%). Portanto, a tendência mostrada pelos resultados da literatura foi mantida;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Apesar de a seletividade do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CuNi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Siral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(53,3%) não ter sido a maior, o rendimento total do produto desejado foi o maior (3,7%) graças à maior conversão em relação às reações com os demais catalisadores. Logo, este foi escolhido como o melhor catalisador para a oxidação de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cicloexanona, nas condições empregadas neste trabalho.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Além disso, também foi efetuada a reação em branco (sem catalisador), na qual a conversão foi de apenas 0,06%. Outros testes catalíticos foram realizados com variação das condições reacionais de reuso, agente oxidante e tempo da reação e os resultados estão elencados na tabela 5.</w:t>
      </w:r>
    </w:p>
    <w:p w:rsidR="007E419F" w:rsidRDefault="007E41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7E419F">
          <w:type w:val="continuous"/>
          <w:pgSz w:w="11906" w:h="16838"/>
          <w:pgMar w:top="1418" w:right="1094" w:bottom="1418" w:left="567" w:header="709" w:footer="709" w:gutter="0"/>
          <w:cols w:num="2" w:space="720" w:equalWidth="0">
            <w:col w:w="4768" w:space="708"/>
            <w:col w:w="4768" w:space="0"/>
          </w:cols>
        </w:sectPr>
      </w:pPr>
    </w:p>
    <w:p w:rsidR="007E3EB8" w:rsidRDefault="007E3E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7E3EB8">
          <w:type w:val="continuous"/>
          <w:pgSz w:w="11906" w:h="16838"/>
          <w:pgMar w:top="1418" w:right="1094" w:bottom="1418" w:left="567" w:header="709" w:footer="709" w:gutter="0"/>
          <w:cols w:num="2" w:space="720" w:equalWidth="0">
            <w:col w:w="4768" w:space="708"/>
            <w:col w:w="4768" w:space="0"/>
          </w:cols>
        </w:sectPr>
      </w:pP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Tabela 5.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Resultados dos testes complementares de oxidação do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cicloexeno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T = 70 °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proofErr w:type="gramEnd"/>
    </w:p>
    <w:tbl>
      <w:tblPr>
        <w:tblStyle w:val="a3"/>
        <w:tblW w:w="83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45"/>
        <w:gridCol w:w="611"/>
        <w:gridCol w:w="612"/>
        <w:gridCol w:w="613"/>
        <w:gridCol w:w="613"/>
        <w:gridCol w:w="613"/>
        <w:gridCol w:w="690"/>
        <w:gridCol w:w="690"/>
        <w:gridCol w:w="723"/>
        <w:gridCol w:w="1144"/>
        <w:gridCol w:w="690"/>
      </w:tblGrid>
      <w:tr w:rsidR="007E3EB8">
        <w:trPr>
          <w:jc w:val="center"/>
        </w:trPr>
        <w:tc>
          <w:tcPr>
            <w:tcW w:w="1346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Siral</w:t>
            </w:r>
            <w:proofErr w:type="spellEnd"/>
          </w:p>
        </w:tc>
        <w:tc>
          <w:tcPr>
            <w:tcW w:w="611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612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ona</w:t>
            </w:r>
            <w:proofErr w:type="spellEnd"/>
          </w:p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61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ol</w:t>
            </w:r>
          </w:p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61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oc</w:t>
            </w:r>
            <w:proofErr w:type="spellEnd"/>
          </w:p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61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diol</w:t>
            </w:r>
            <w:proofErr w:type="spellEnd"/>
          </w:p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690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ol+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ona</w:t>
            </w:r>
            <w:proofErr w:type="spellEnd"/>
          </w:p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690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ona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+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ol</w:t>
            </w:r>
            <w:proofErr w:type="spellEnd"/>
          </w:p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72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ona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+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ol</w:t>
            </w:r>
            <w:proofErr w:type="spellEnd"/>
          </w:p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144" w:type="dxa"/>
          </w:tcPr>
          <w:p w:rsidR="007E3EB8" w:rsidRPr="007E1D29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1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7E1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7E1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CH,v</w:t>
            </w:r>
            <w:proofErr w:type="spellEnd"/>
            <w:r w:rsidRPr="007E1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7E1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7E1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mmol</w:t>
            </w:r>
            <w:proofErr w:type="spellEnd"/>
            <w:r w:rsidRPr="007E1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7E1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L.h</w:t>
            </w:r>
            <w:proofErr w:type="spellEnd"/>
            <w:r w:rsidRPr="007E1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90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TOF</w:t>
            </w:r>
          </w:p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E3EB8">
        <w:trPr>
          <w:jc w:val="center"/>
        </w:trPr>
        <w:tc>
          <w:tcPr>
            <w:tcW w:w="1346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Principal</w:t>
            </w:r>
          </w:p>
        </w:tc>
        <w:tc>
          <w:tcPr>
            <w:tcW w:w="611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612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61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61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61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690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690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72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144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690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3,93</w:t>
            </w:r>
          </w:p>
        </w:tc>
      </w:tr>
      <w:tr w:rsidR="007E3EB8">
        <w:trPr>
          <w:jc w:val="center"/>
        </w:trPr>
        <w:tc>
          <w:tcPr>
            <w:tcW w:w="1346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Reuso</w:t>
            </w:r>
          </w:p>
        </w:tc>
        <w:tc>
          <w:tcPr>
            <w:tcW w:w="611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612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61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61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61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690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690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72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144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34,14</w:t>
            </w:r>
          </w:p>
        </w:tc>
        <w:tc>
          <w:tcPr>
            <w:tcW w:w="690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3,69</w:t>
            </w:r>
          </w:p>
        </w:tc>
      </w:tr>
      <w:tr w:rsidR="007E3EB8">
        <w:trPr>
          <w:jc w:val="center"/>
        </w:trPr>
        <w:tc>
          <w:tcPr>
            <w:tcW w:w="1346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mL)</w:t>
            </w:r>
          </w:p>
        </w:tc>
        <w:tc>
          <w:tcPr>
            <w:tcW w:w="611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612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61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61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61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690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690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72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144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122,95</w:t>
            </w:r>
          </w:p>
        </w:tc>
        <w:tc>
          <w:tcPr>
            <w:tcW w:w="690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14,41</w:t>
            </w:r>
          </w:p>
        </w:tc>
      </w:tr>
      <w:tr w:rsidR="007E3EB8">
        <w:trPr>
          <w:jc w:val="center"/>
        </w:trPr>
        <w:tc>
          <w:tcPr>
            <w:tcW w:w="1346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Tempo (4 h)</w:t>
            </w:r>
          </w:p>
        </w:tc>
        <w:tc>
          <w:tcPr>
            <w:tcW w:w="611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612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61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61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61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690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54,6</w:t>
            </w:r>
          </w:p>
        </w:tc>
        <w:tc>
          <w:tcPr>
            <w:tcW w:w="690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54,6</w:t>
            </w:r>
          </w:p>
        </w:tc>
        <w:tc>
          <w:tcPr>
            <w:tcW w:w="723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144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40,63</w:t>
            </w:r>
          </w:p>
        </w:tc>
        <w:tc>
          <w:tcPr>
            <w:tcW w:w="690" w:type="dxa"/>
          </w:tcPr>
          <w:p w:rsidR="007E3EB8" w:rsidRDefault="0049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4,40</w:t>
            </w:r>
          </w:p>
        </w:tc>
      </w:tr>
    </w:tbl>
    <w:p w:rsidR="007E3EB8" w:rsidRDefault="007E3E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7E3EB8">
          <w:type w:val="continuous"/>
          <w:pgSz w:w="11906" w:h="16838"/>
          <w:pgMar w:top="1418" w:right="1094" w:bottom="1418" w:left="567" w:header="709" w:footer="709" w:gutter="0"/>
          <w:cols w:space="720"/>
        </w:sectPr>
      </w:pPr>
    </w:p>
    <w:p w:rsidR="00C15F59" w:rsidRDefault="00C15F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504CE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 reuso, o catalisador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CuNi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Siral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apresentou 6,6% de conversão do substrato e seletividade dividida em: 15,6% para 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40,8% para a cicloexanona, 26,7% para o óxido de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cicloexeno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16,8% para o 1,2-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cicloexanodiol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Portanto, a seletividade obtida para a mistura “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KA-oil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” foi igual a 56,4%, e o rendimento da reação para a formação destes produtos, igual a 3,7%. Assim, não houve mudança significativa nos valores de conversão e seletividade em relação à amostra fresca, o que indica que não houve perda de fase ativa do catalisador (Cu 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 durante a reação.</w:t>
      </w:r>
    </w:p>
    <w:p w:rsidR="00C504CE" w:rsidRDefault="00C504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504CE" w:rsidRDefault="00C504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Tabela 5 também apresenta o estudo da variação da quantidade de agente oxidante. Nesta configuração,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mL de H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foram adicionados, em vez de 1 mL na reação original. Após 2 horas, foram obtidos 21,8% de conversão do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Enquanto isso, a seletividade foi dividida em: 9,4% para 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16,2% para a cicloexanona, 64,0% para o óxido de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cicloexeno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10,4% para o 1,2-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cicloexanodiol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Desta forma, a seletividade obtida para a mistura álcool-cetona foi igual a 25,6%, o que gerou um rendimento total de 5,6% para a formação dos produtos desejados. Assim, a adição de maior quantidade de agente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oxidante provocou maior efetividade na reação de oxidação do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mostrada pela atividade TOF mais que triplicada em relação à reação original. Esta alteração favoreceu a formação do óxido de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cicloexeno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como produto predominante (30,0 para 64,0%). Em contrapartida, houve uma queda significativa na seletividade dos produtos desejados, para um valor abaixo da metade do gerado na primeira reação (53,3%). Houve um aumento no rendimento total para a mistura “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KA-oil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”, o qual, porém, não acompanhou o crescimento da conversão devido ao impacto causado pela queda na seletividade.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avaliação final foi de promover a reação por um período de tempo maior, de 4 horas, com todas as demais condições sendo mantidas. Após este tempo, obteve-se 15,0% de conversão do substrato, enquanto a seletividade foi dividida em: 19,2% para 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35,4% para a cicloexanona, 23,6% para o óxido de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cicloexeno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21,8% para o 1,2-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cicloexanodiol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Portanto, a seletividade para a mistura desejada foi igual a 54,6%, valor semelhante ao da reação original. Houve um ligeiro aumento na taxa de reação (36,29 para 40,63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mmol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L.h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 e TOF (3,93 para 4,40 h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-1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). Além disso, não houve alteração significativa na divisão dos produtos desejados, o que de fato mostrou que a oxidação continuou ocorrendo sem grandes mudanças até o tempo definido para este teste catalítico. Embora tenha ocorrido um favorecimento na formação do 1,2-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cicloexanodiol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mostrado pelo aumento da seletividade (17,7 para 21,8%), isto não provocou acréscimo na formação total dos produtos secundários. Como consequência dos dados mostrados acima, o rendimento total em relação à mistura “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KA-oil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” acompanhou o ritmo de crescimento da conversão, chegando a 8,2% ao fim das 4 horas de reação.</w:t>
      </w:r>
    </w:p>
    <w:p w:rsidR="007E3EB8" w:rsidRDefault="00490219">
      <w:pPr>
        <w:pStyle w:val="Ttulo2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Conclusões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Este trabalho teve como objetivo sintetizar catalisadores bimetálicos de cobre e níquel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CuNi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diferentes suportes comerciais e, utilizá-los na reação de oxidação do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cicloexanona. Foi possível verificar a influência do suporte e da interação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Cu-Ni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 atividade e seletividade dos catalisadores.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catalisador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CuNi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Siral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apresentou maior influência do níquel na interação entre os metais da fase ativa, mostrado pela maior temperatura de redução na análise do TPR. Além disso, es</w:t>
      </w:r>
      <w:r w:rsidR="00101F5B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mesma amostra foi a responsável pela maior quantidade de sítios ácidos presentes, mostrado pela análise de TPD-NH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Outros pontos de destaque foram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dispersões dos metais, onde o cobre ficou bem disperso na amostra (mostrado pela ausência de raias no DRX).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Ao se efetuar o teste de reuso do catalisador, não houve perda de fase ativa do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CuNi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Siral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A adição de maior quantidade de agente oxidante aumentou a conversão do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cicloexano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mas ao mesmo tempo reduziu a seletividade para a formação dos produtos desejados. Enquanto isso, o aumento do tempo de reação para 4 horas também possibilitou uma maior conversão do substrato, sendo que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neste caso, a seletividade para a mistura “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KA-oil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” foi mantida em valores próximos aos da reação original.</w:t>
      </w:r>
    </w:p>
    <w:p w:rsidR="007E3EB8" w:rsidRDefault="00490219">
      <w:pPr>
        <w:pStyle w:val="Ttulo2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Agradecimentos</w:t>
      </w:r>
    </w:p>
    <w:p w:rsidR="007E3EB8" w:rsidRDefault="00490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Mateus Vidal Dias agradece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à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CAPES pela bolsa de estudos concedida.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 autores agradecem o auxílio financeiro da FAPERJ (E-26/211.593/2021).</w:t>
      </w:r>
    </w:p>
    <w:p w:rsidR="007E3EB8" w:rsidRDefault="00490219">
      <w:pPr>
        <w:pStyle w:val="Ttulo2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Referências</w:t>
      </w:r>
    </w:p>
    <w:p w:rsidR="007E3EB8" w:rsidRPr="007E419F" w:rsidRDefault="004902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lang w:val="en-US"/>
        </w:rPr>
      </w:pP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A. </w:t>
      </w:r>
      <w:proofErr w:type="spellStart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Abutaleb</w:t>
      </w:r>
      <w:proofErr w:type="spellEnd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; M. Ali, </w:t>
      </w:r>
      <w:r w:rsidRPr="007E419F">
        <w:rPr>
          <w:rFonts w:ascii="Times" w:eastAsia="Times" w:hAnsi="Times" w:cs="Times"/>
          <w:i/>
          <w:color w:val="000000"/>
          <w:sz w:val="20"/>
          <w:szCs w:val="20"/>
          <w:lang w:val="en-US"/>
        </w:rPr>
        <w:t>Reviews in Chemical Engineering</w:t>
      </w:r>
      <w:r w:rsidRPr="007E419F">
        <w:rPr>
          <w:rFonts w:ascii="Times" w:eastAsia="Times" w:hAnsi="Times" w:cs="Times"/>
          <w:color w:val="000000"/>
          <w:sz w:val="20"/>
          <w:szCs w:val="20"/>
          <w:lang w:val="en-US"/>
        </w:rPr>
        <w:t xml:space="preserve">, </w:t>
      </w:r>
      <w:r w:rsidRPr="007E419F">
        <w:rPr>
          <w:rFonts w:ascii="Times" w:eastAsia="Times" w:hAnsi="Times" w:cs="Times"/>
          <w:b/>
          <w:color w:val="000000"/>
          <w:sz w:val="20"/>
          <w:szCs w:val="20"/>
          <w:lang w:val="en-US"/>
        </w:rPr>
        <w:t xml:space="preserve">2021, </w:t>
      </w:r>
      <w:r w:rsidRPr="007E419F">
        <w:rPr>
          <w:rFonts w:ascii="Times" w:eastAsia="Times" w:hAnsi="Times" w:cs="Times"/>
          <w:i/>
          <w:color w:val="000000"/>
          <w:sz w:val="20"/>
          <w:szCs w:val="20"/>
          <w:lang w:val="en-US"/>
        </w:rPr>
        <w:t>37</w:t>
      </w:r>
      <w:r w:rsidRPr="007E419F">
        <w:rPr>
          <w:rFonts w:ascii="Times" w:eastAsia="Times" w:hAnsi="Times" w:cs="Times"/>
          <w:color w:val="000000"/>
          <w:sz w:val="20"/>
          <w:szCs w:val="20"/>
          <w:lang w:val="en-US"/>
        </w:rPr>
        <w:t>.</w:t>
      </w:r>
    </w:p>
    <w:p w:rsidR="007E3EB8" w:rsidRPr="007E419F" w:rsidRDefault="004902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lang w:val="en-US"/>
        </w:rPr>
      </w:pP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C. </w:t>
      </w:r>
      <w:proofErr w:type="spellStart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Crombie</w:t>
      </w:r>
      <w:proofErr w:type="spellEnd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; R. Lewis; D. </w:t>
      </w:r>
      <w:proofErr w:type="spellStart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Kovacic</w:t>
      </w:r>
      <w:proofErr w:type="spellEnd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; D. Morgan; T. Davies; J. Edwards; M. </w:t>
      </w:r>
      <w:proofErr w:type="spellStart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Skjoth</w:t>
      </w:r>
      <w:proofErr w:type="spellEnd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-Rasmussen; G. Hutchings, </w:t>
      </w:r>
      <w:r w:rsidRPr="007E419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Catalysis Letters,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7E419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2021,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7E419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151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, 164-171. </w:t>
      </w:r>
    </w:p>
    <w:p w:rsidR="007E3EB8" w:rsidRPr="007E419F" w:rsidRDefault="004902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lang w:val="en-US"/>
        </w:rPr>
      </w:pP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V. </w:t>
      </w:r>
      <w:proofErr w:type="spellStart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Yadav</w:t>
      </w:r>
      <w:proofErr w:type="spellEnd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; H. </w:t>
      </w:r>
      <w:proofErr w:type="spellStart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Shinde</w:t>
      </w:r>
      <w:proofErr w:type="spellEnd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; T. Das, </w:t>
      </w:r>
      <w:r w:rsidRPr="007E419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Arabian Journal for Science and Engineering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,</w:t>
      </w:r>
      <w:r w:rsidRPr="007E419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 xml:space="preserve"> 2021,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7E419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47,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5601-5612.</w:t>
      </w:r>
    </w:p>
    <w:p w:rsidR="007E3EB8" w:rsidRPr="007E419F" w:rsidRDefault="004902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lang w:val="en-US"/>
        </w:rPr>
      </w:pPr>
      <w:r w:rsidRPr="007E419F">
        <w:rPr>
          <w:rFonts w:ascii="Times" w:eastAsia="Times" w:hAnsi="Times" w:cs="Times"/>
          <w:color w:val="000000"/>
          <w:sz w:val="20"/>
          <w:szCs w:val="20"/>
          <w:lang w:val="en-US"/>
        </w:rPr>
        <w:t xml:space="preserve">C. </w:t>
      </w:r>
      <w:proofErr w:type="spellStart"/>
      <w:r w:rsidRPr="007E419F">
        <w:rPr>
          <w:rFonts w:ascii="Times" w:eastAsia="Times" w:hAnsi="Times" w:cs="Times"/>
          <w:color w:val="000000"/>
          <w:sz w:val="20"/>
          <w:szCs w:val="20"/>
          <w:lang w:val="en-US"/>
        </w:rPr>
        <w:t>Tu</w:t>
      </w:r>
      <w:proofErr w:type="spellEnd"/>
      <w:r w:rsidRPr="007E419F">
        <w:rPr>
          <w:rFonts w:ascii="Times" w:eastAsia="Times" w:hAnsi="Times" w:cs="Times"/>
          <w:color w:val="000000"/>
          <w:sz w:val="20"/>
          <w:szCs w:val="20"/>
          <w:lang w:val="en-US"/>
        </w:rPr>
        <w:t xml:space="preserve">; Y. </w:t>
      </w:r>
      <w:proofErr w:type="spellStart"/>
      <w:r w:rsidRPr="007E419F">
        <w:rPr>
          <w:rFonts w:ascii="Times" w:eastAsia="Times" w:hAnsi="Times" w:cs="Times"/>
          <w:color w:val="000000"/>
          <w:sz w:val="20"/>
          <w:szCs w:val="20"/>
          <w:lang w:val="en-US"/>
        </w:rPr>
        <w:t>Tsou</w:t>
      </w:r>
      <w:proofErr w:type="spellEnd"/>
      <w:r w:rsidRPr="007E419F">
        <w:rPr>
          <w:rFonts w:ascii="Times" w:eastAsia="Times" w:hAnsi="Times" w:cs="Times"/>
          <w:color w:val="000000"/>
          <w:sz w:val="20"/>
          <w:szCs w:val="20"/>
          <w:lang w:val="en-US"/>
        </w:rPr>
        <w:t xml:space="preserve">; T. To; C. Chen; J. Lee; G. Huber; Y. Lin, </w:t>
      </w:r>
      <w:r w:rsidRPr="007E419F">
        <w:rPr>
          <w:rFonts w:ascii="Times" w:eastAsia="Times" w:hAnsi="Times" w:cs="Times"/>
          <w:i/>
          <w:color w:val="000000"/>
          <w:sz w:val="20"/>
          <w:szCs w:val="20"/>
          <w:lang w:val="en-US"/>
        </w:rPr>
        <w:t>ACS Sustainable Chem. Eng.,</w:t>
      </w:r>
      <w:r w:rsidRPr="007E419F">
        <w:rPr>
          <w:rFonts w:ascii="Times" w:eastAsia="Times" w:hAnsi="Times" w:cs="Times"/>
          <w:color w:val="000000"/>
          <w:sz w:val="20"/>
          <w:szCs w:val="20"/>
          <w:lang w:val="en-US"/>
        </w:rPr>
        <w:t xml:space="preserve"> </w:t>
      </w:r>
      <w:r w:rsidRPr="007E419F">
        <w:rPr>
          <w:rFonts w:ascii="Times" w:eastAsia="Times" w:hAnsi="Times" w:cs="Times"/>
          <w:b/>
          <w:color w:val="000000"/>
          <w:sz w:val="20"/>
          <w:szCs w:val="20"/>
          <w:lang w:val="en-US"/>
        </w:rPr>
        <w:t xml:space="preserve">2019, </w:t>
      </w:r>
      <w:r w:rsidRPr="007E419F">
        <w:rPr>
          <w:rFonts w:ascii="Times" w:eastAsia="Times" w:hAnsi="Times" w:cs="Times"/>
          <w:i/>
          <w:color w:val="000000"/>
          <w:sz w:val="20"/>
          <w:szCs w:val="20"/>
          <w:lang w:val="en-US"/>
        </w:rPr>
        <w:t>7, 21,</w:t>
      </w:r>
      <w:r w:rsidRPr="007E419F">
        <w:rPr>
          <w:rFonts w:ascii="Times" w:eastAsia="Times" w:hAnsi="Times" w:cs="Times"/>
          <w:color w:val="000000"/>
          <w:sz w:val="20"/>
          <w:szCs w:val="20"/>
          <w:lang w:val="en-US"/>
        </w:rPr>
        <w:t xml:space="preserve"> 17872-17881.</w:t>
      </w:r>
    </w:p>
    <w:p w:rsidR="007E3EB8" w:rsidRPr="007E419F" w:rsidRDefault="004902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lang w:val="en-US"/>
        </w:rPr>
      </w:pP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S. </w:t>
      </w:r>
      <w:proofErr w:type="spellStart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Bendjabeur</w:t>
      </w:r>
      <w:proofErr w:type="spellEnd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; R. </w:t>
      </w:r>
      <w:proofErr w:type="spellStart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Zouaghi</w:t>
      </w:r>
      <w:proofErr w:type="spellEnd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; O. </w:t>
      </w:r>
      <w:proofErr w:type="spellStart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Kaabeche</w:t>
      </w:r>
      <w:proofErr w:type="spellEnd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; T. </w:t>
      </w:r>
      <w:proofErr w:type="spellStart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Sehili</w:t>
      </w:r>
      <w:proofErr w:type="spellEnd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r w:rsidRPr="007E419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International Journal of Chemical Reactor Engineering,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7E419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2017,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7E419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5, 4,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206-220.</w:t>
      </w:r>
    </w:p>
    <w:p w:rsidR="007E3EB8" w:rsidRPr="007E419F" w:rsidRDefault="004902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lang w:val="en-US"/>
        </w:rPr>
      </w:pP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O. Adam, </w:t>
      </w:r>
      <w:r w:rsidRPr="007E419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American Chemical Science Journal,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7E419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2016,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7E419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16, 1,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1-13.</w:t>
      </w:r>
    </w:p>
    <w:p w:rsidR="007E3EB8" w:rsidRPr="007E419F" w:rsidRDefault="004902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lang w:val="en-US"/>
        </w:rPr>
      </w:pPr>
      <w:r w:rsidRPr="007E419F">
        <w:rPr>
          <w:rFonts w:ascii="Times" w:eastAsia="Times" w:hAnsi="Times" w:cs="Times"/>
          <w:color w:val="000000"/>
          <w:sz w:val="20"/>
          <w:szCs w:val="20"/>
          <w:lang w:val="en-US"/>
        </w:rPr>
        <w:t xml:space="preserve">B. </w:t>
      </w:r>
      <w:proofErr w:type="spellStart"/>
      <w:r w:rsidRPr="007E419F">
        <w:rPr>
          <w:rFonts w:ascii="Times" w:eastAsia="Times" w:hAnsi="Times" w:cs="Times"/>
          <w:color w:val="000000"/>
          <w:sz w:val="20"/>
          <w:szCs w:val="20"/>
          <w:lang w:val="en-US"/>
        </w:rPr>
        <w:t>Dutta</w:t>
      </w:r>
      <w:proofErr w:type="spellEnd"/>
      <w:r w:rsidRPr="007E419F">
        <w:rPr>
          <w:rFonts w:ascii="Times" w:eastAsia="Times" w:hAnsi="Times" w:cs="Times"/>
          <w:color w:val="000000"/>
          <w:sz w:val="20"/>
          <w:szCs w:val="20"/>
          <w:lang w:val="en-US"/>
        </w:rPr>
        <w:t xml:space="preserve">; E. </w:t>
      </w:r>
      <w:proofErr w:type="spellStart"/>
      <w:r w:rsidRPr="007E419F">
        <w:rPr>
          <w:rFonts w:ascii="Times" w:eastAsia="Times" w:hAnsi="Times" w:cs="Times"/>
          <w:color w:val="000000"/>
          <w:sz w:val="20"/>
          <w:szCs w:val="20"/>
          <w:lang w:val="en-US"/>
        </w:rPr>
        <w:t>Kar</w:t>
      </w:r>
      <w:proofErr w:type="spellEnd"/>
      <w:r w:rsidRPr="007E419F">
        <w:rPr>
          <w:rFonts w:ascii="Times" w:eastAsia="Times" w:hAnsi="Times" w:cs="Times"/>
          <w:color w:val="000000"/>
          <w:sz w:val="20"/>
          <w:szCs w:val="20"/>
          <w:lang w:val="en-US"/>
        </w:rPr>
        <w:t xml:space="preserve">; N. Bose; S. </w:t>
      </w:r>
      <w:proofErr w:type="spellStart"/>
      <w:r w:rsidRPr="007E419F">
        <w:rPr>
          <w:rFonts w:ascii="Times" w:eastAsia="Times" w:hAnsi="Times" w:cs="Times"/>
          <w:color w:val="000000"/>
          <w:sz w:val="20"/>
          <w:szCs w:val="20"/>
          <w:lang w:val="en-US"/>
        </w:rPr>
        <w:t>Mukherjee</w:t>
      </w:r>
      <w:proofErr w:type="spellEnd"/>
      <w:r w:rsidRPr="007E419F">
        <w:rPr>
          <w:rFonts w:ascii="Times" w:eastAsia="Times" w:hAnsi="Times" w:cs="Times"/>
          <w:color w:val="000000"/>
          <w:sz w:val="20"/>
          <w:szCs w:val="20"/>
          <w:lang w:val="en-US"/>
        </w:rPr>
        <w:t xml:space="preserve">, </w:t>
      </w:r>
      <w:r w:rsidRPr="007E419F">
        <w:rPr>
          <w:rFonts w:ascii="Times" w:eastAsia="Times" w:hAnsi="Times" w:cs="Times"/>
          <w:i/>
          <w:color w:val="000000"/>
          <w:sz w:val="20"/>
          <w:szCs w:val="20"/>
          <w:lang w:val="en-US"/>
        </w:rPr>
        <w:t>RSC Advances</w:t>
      </w:r>
      <w:r w:rsidRPr="007E419F">
        <w:rPr>
          <w:rFonts w:ascii="Times" w:eastAsia="Times" w:hAnsi="Times" w:cs="Times"/>
          <w:color w:val="000000"/>
          <w:sz w:val="20"/>
          <w:szCs w:val="20"/>
          <w:lang w:val="en-US"/>
        </w:rPr>
        <w:t xml:space="preserve">, </w:t>
      </w:r>
      <w:r w:rsidRPr="007E419F">
        <w:rPr>
          <w:rFonts w:ascii="Times" w:eastAsia="Times" w:hAnsi="Times" w:cs="Times"/>
          <w:b/>
          <w:color w:val="000000"/>
          <w:sz w:val="20"/>
          <w:szCs w:val="20"/>
          <w:lang w:val="en-US"/>
        </w:rPr>
        <w:t>2015,</w:t>
      </w:r>
      <w:r w:rsidRPr="007E419F">
        <w:rPr>
          <w:rFonts w:ascii="Times" w:eastAsia="Times" w:hAnsi="Times" w:cs="Times"/>
          <w:color w:val="000000"/>
          <w:sz w:val="20"/>
          <w:szCs w:val="20"/>
          <w:lang w:val="en-US"/>
        </w:rPr>
        <w:t xml:space="preserve"> </w:t>
      </w:r>
      <w:r w:rsidRPr="007E419F">
        <w:rPr>
          <w:rFonts w:ascii="Times" w:eastAsia="Times" w:hAnsi="Times" w:cs="Times"/>
          <w:i/>
          <w:color w:val="000000"/>
          <w:sz w:val="20"/>
          <w:szCs w:val="20"/>
          <w:lang w:val="en-US"/>
        </w:rPr>
        <w:t>5,</w:t>
      </w:r>
      <w:r w:rsidRPr="007E419F">
        <w:rPr>
          <w:rFonts w:ascii="Times" w:eastAsia="Times" w:hAnsi="Times" w:cs="Times"/>
          <w:color w:val="000000"/>
          <w:sz w:val="20"/>
          <w:szCs w:val="20"/>
          <w:lang w:val="en-US"/>
        </w:rPr>
        <w:t xml:space="preserve"> 105422-105434.</w:t>
      </w:r>
    </w:p>
    <w:p w:rsidR="007E3EB8" w:rsidRPr="007E419F" w:rsidRDefault="004902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lang w:val="en-US"/>
        </w:rPr>
      </w:pP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K. Song; S. </w:t>
      </w:r>
      <w:proofErr w:type="spellStart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Jeong</w:t>
      </w:r>
      <w:proofErr w:type="spellEnd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; B. </w:t>
      </w:r>
      <w:proofErr w:type="spellStart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Jeong</w:t>
      </w:r>
      <w:proofErr w:type="spellEnd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; K. Lee; H. Kim,</w:t>
      </w:r>
      <w:r w:rsidRPr="007E419F">
        <w:rPr>
          <w:rFonts w:ascii="Times" w:eastAsia="Times" w:hAnsi="Times" w:cs="Times"/>
          <w:color w:val="000000"/>
          <w:sz w:val="20"/>
          <w:szCs w:val="20"/>
          <w:lang w:val="en-US"/>
        </w:rPr>
        <w:t xml:space="preserve"> </w:t>
      </w:r>
      <w:r w:rsidRPr="007E419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Catalysts,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7E419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 xml:space="preserve">2021, </w:t>
      </w:r>
      <w:r w:rsidRPr="007E419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11,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323-344.</w:t>
      </w:r>
    </w:p>
    <w:p w:rsidR="007E3EB8" w:rsidRPr="007E419F" w:rsidRDefault="004902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lang w:val="en-US"/>
        </w:rPr>
      </w:pP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M. </w:t>
      </w:r>
      <w:proofErr w:type="spellStart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Mosinska</w:t>
      </w:r>
      <w:proofErr w:type="spellEnd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; N. </w:t>
      </w:r>
      <w:proofErr w:type="spellStart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Stepinska</w:t>
      </w:r>
      <w:proofErr w:type="spellEnd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; W. </w:t>
      </w:r>
      <w:proofErr w:type="spellStart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Maniukiewicz</w:t>
      </w:r>
      <w:proofErr w:type="spellEnd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; J. </w:t>
      </w:r>
      <w:proofErr w:type="spellStart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Rogowski</w:t>
      </w:r>
      <w:proofErr w:type="spellEnd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; A. </w:t>
      </w:r>
      <w:proofErr w:type="spellStart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Mierczynska-Vasilev</w:t>
      </w:r>
      <w:proofErr w:type="spellEnd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; K. </w:t>
      </w:r>
      <w:proofErr w:type="spellStart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Vasilev</w:t>
      </w:r>
      <w:proofErr w:type="spellEnd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; M. </w:t>
      </w:r>
      <w:proofErr w:type="spellStart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Szynkowska</w:t>
      </w:r>
      <w:proofErr w:type="spellEnd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; P. </w:t>
      </w:r>
      <w:proofErr w:type="spellStart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Mierczynski</w:t>
      </w:r>
      <w:proofErr w:type="spellEnd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r w:rsidRPr="007E419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Catalysts,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7E419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2020,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7E419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10,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273-292.</w:t>
      </w:r>
    </w:p>
    <w:p w:rsidR="007E3EB8" w:rsidRPr="007E419F" w:rsidRDefault="004902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lang w:val="en-US"/>
        </w:rPr>
      </w:pP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Y. </w:t>
      </w:r>
      <w:proofErr w:type="spellStart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Shen</w:t>
      </w:r>
      <w:proofErr w:type="spellEnd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; A. </w:t>
      </w:r>
      <w:proofErr w:type="spellStart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Lua</w:t>
      </w:r>
      <w:proofErr w:type="spellEnd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r w:rsidRPr="007E419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RSC Advances,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7E419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2014,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7E419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4,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42159-42167.</w:t>
      </w:r>
    </w:p>
    <w:p w:rsidR="007E3EB8" w:rsidRPr="007E419F" w:rsidRDefault="004902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lang w:val="en-US"/>
        </w:rPr>
      </w:pP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Y. Li; G. </w:t>
      </w:r>
      <w:proofErr w:type="spellStart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Lan</w:t>
      </w:r>
      <w:proofErr w:type="spellEnd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; G. </w:t>
      </w:r>
      <w:proofErr w:type="spellStart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Feng</w:t>
      </w:r>
      <w:proofErr w:type="spellEnd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; G. Jiang; W. Han; H. Tang; H. Liu, </w:t>
      </w:r>
      <w:proofErr w:type="spellStart"/>
      <w:r w:rsidRPr="007E419F">
        <w:rPr>
          <w:rFonts w:ascii="Times" w:eastAsia="Times" w:hAnsi="Times" w:cs="Times"/>
          <w:i/>
          <w:color w:val="000000"/>
          <w:sz w:val="20"/>
          <w:szCs w:val="20"/>
          <w:lang w:val="en-US"/>
        </w:rPr>
        <w:t>ChemCatChem</w:t>
      </w:r>
      <w:proofErr w:type="spellEnd"/>
      <w:r w:rsidRPr="007E419F">
        <w:rPr>
          <w:rFonts w:ascii="Times" w:eastAsia="Times" w:hAnsi="Times" w:cs="Times"/>
          <w:i/>
          <w:color w:val="000000"/>
          <w:sz w:val="20"/>
          <w:szCs w:val="20"/>
          <w:lang w:val="en-US"/>
        </w:rPr>
        <w:t>.,</w:t>
      </w:r>
      <w:r w:rsidRPr="007E419F">
        <w:rPr>
          <w:rFonts w:ascii="Times" w:eastAsia="Times" w:hAnsi="Times" w:cs="Times"/>
          <w:color w:val="000000"/>
          <w:sz w:val="20"/>
          <w:szCs w:val="20"/>
          <w:lang w:val="en-US"/>
        </w:rPr>
        <w:t xml:space="preserve"> </w:t>
      </w:r>
      <w:r w:rsidRPr="007E419F">
        <w:rPr>
          <w:rFonts w:ascii="Times" w:eastAsia="Times" w:hAnsi="Times" w:cs="Times"/>
          <w:b/>
          <w:color w:val="000000"/>
          <w:sz w:val="20"/>
          <w:szCs w:val="20"/>
          <w:lang w:val="en-US"/>
        </w:rPr>
        <w:t>2014,</w:t>
      </w:r>
      <w:r w:rsidRPr="007E419F">
        <w:rPr>
          <w:rFonts w:ascii="Times" w:eastAsia="Times" w:hAnsi="Times" w:cs="Times"/>
          <w:color w:val="000000"/>
          <w:sz w:val="20"/>
          <w:szCs w:val="20"/>
          <w:lang w:val="en-US"/>
        </w:rPr>
        <w:t xml:space="preserve"> </w:t>
      </w:r>
      <w:r w:rsidRPr="007E419F">
        <w:rPr>
          <w:rFonts w:ascii="Times" w:eastAsia="Times" w:hAnsi="Times" w:cs="Times"/>
          <w:i/>
          <w:color w:val="000000"/>
          <w:sz w:val="20"/>
          <w:szCs w:val="20"/>
          <w:lang w:val="en-US"/>
        </w:rPr>
        <w:t>6,</w:t>
      </w:r>
      <w:r w:rsidRPr="007E419F">
        <w:rPr>
          <w:rFonts w:ascii="Times" w:eastAsia="Times" w:hAnsi="Times" w:cs="Times"/>
          <w:color w:val="000000"/>
          <w:sz w:val="20"/>
          <w:szCs w:val="20"/>
          <w:lang w:val="en-US"/>
        </w:rPr>
        <w:t xml:space="preserve"> 572-579.</w:t>
      </w:r>
    </w:p>
    <w:p w:rsidR="007E3EB8" w:rsidRPr="007E419F" w:rsidRDefault="004902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lang w:val="en-US"/>
        </w:rPr>
      </w:pP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J. Ob-eye; P. </w:t>
      </w:r>
      <w:proofErr w:type="spellStart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Praserthdam</w:t>
      </w:r>
      <w:proofErr w:type="spellEnd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; B. </w:t>
      </w:r>
      <w:proofErr w:type="spellStart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Jongsomjit</w:t>
      </w:r>
      <w:proofErr w:type="spellEnd"/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r w:rsidRPr="007E419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Bulletin of Chemical Reaction Engineering &amp; Catalysis,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7E419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2019,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7E419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14, 2,</w:t>
      </w:r>
      <w:r w:rsidRPr="007E419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268-282.</w:t>
      </w:r>
    </w:p>
    <w:p w:rsidR="007E3EB8" w:rsidRDefault="004902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T. Bittencourt; I. Monteiro; I.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Grecy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S. Filho; E. Vasconcelos;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Santos; A. Gaspar, Anais do 18º Congresso Brasileiro de Catálise, Arraial d´Ajuda, 2015.</w:t>
      </w:r>
    </w:p>
    <w:p w:rsidR="007E3EB8" w:rsidRDefault="007E3E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7E3EB8" w:rsidSect="004E08FD">
      <w:type w:val="continuous"/>
      <w:pgSz w:w="11906" w:h="16838"/>
      <w:pgMar w:top="1418" w:right="1094" w:bottom="1418" w:left="567" w:header="709" w:footer="709" w:gutter="0"/>
      <w:cols w:num="2" w:space="720" w:equalWidth="0">
        <w:col w:w="4768" w:space="708"/>
        <w:col w:w="4768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7E9" w:rsidRDefault="006117E9">
      <w:pPr>
        <w:spacing w:after="0" w:line="240" w:lineRule="auto"/>
      </w:pPr>
      <w:r>
        <w:separator/>
      </w:r>
    </w:p>
  </w:endnote>
  <w:endnote w:type="continuationSeparator" w:id="0">
    <w:p w:rsidR="006117E9" w:rsidRDefault="0061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7E9" w:rsidRDefault="006117E9">
      <w:pPr>
        <w:spacing w:after="0" w:line="240" w:lineRule="auto"/>
      </w:pPr>
      <w:r>
        <w:separator/>
      </w:r>
    </w:p>
  </w:footnote>
  <w:footnote w:type="continuationSeparator" w:id="0">
    <w:p w:rsidR="006117E9" w:rsidRDefault="00611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B8" w:rsidRDefault="004902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552733" cy="1069109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5623" t="15704" r="28687" b="16130"/>
                  <a:stretch>
                    <a:fillRect/>
                  </a:stretch>
                </pic:blipFill>
                <pic:spPr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</w:t>
    </w:r>
    <w:r>
      <w:rPr>
        <w:noProof/>
        <w:color w:val="000000"/>
      </w:rPr>
      <w:drawing>
        <wp:inline distT="0" distB="0" distL="0" distR="0">
          <wp:extent cx="1963713" cy="696036"/>
          <wp:effectExtent l="0" t="0" r="0" b="0"/>
          <wp:docPr id="1" name="image1.png" descr="Logo do Si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do Si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3713" cy="6960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F3CF9"/>
    <w:multiLevelType w:val="multilevel"/>
    <w:tmpl w:val="EF02C692"/>
    <w:lvl w:ilvl="0">
      <w:start w:val="1"/>
      <w:numFmt w:val="decimal"/>
      <w:lvlText w:val="%1."/>
      <w:lvlJc w:val="left"/>
      <w:pPr>
        <w:ind w:left="360" w:hanging="360"/>
      </w:pPr>
      <w:rPr>
        <w:rFonts w:ascii="Times" w:hAnsi="Times" w:hint="default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EB8"/>
    <w:rsid w:val="00031C12"/>
    <w:rsid w:val="00042AFD"/>
    <w:rsid w:val="00101F5B"/>
    <w:rsid w:val="001810E4"/>
    <w:rsid w:val="00210829"/>
    <w:rsid w:val="00220314"/>
    <w:rsid w:val="002A10AC"/>
    <w:rsid w:val="00310E26"/>
    <w:rsid w:val="0036277A"/>
    <w:rsid w:val="003C1384"/>
    <w:rsid w:val="0043784D"/>
    <w:rsid w:val="00490219"/>
    <w:rsid w:val="004E08FD"/>
    <w:rsid w:val="0051564B"/>
    <w:rsid w:val="00537749"/>
    <w:rsid w:val="005838AD"/>
    <w:rsid w:val="005D4246"/>
    <w:rsid w:val="005D7E7C"/>
    <w:rsid w:val="00607B23"/>
    <w:rsid w:val="006117E9"/>
    <w:rsid w:val="006C4F72"/>
    <w:rsid w:val="00700717"/>
    <w:rsid w:val="00786557"/>
    <w:rsid w:val="007C5ADB"/>
    <w:rsid w:val="007E1D29"/>
    <w:rsid w:val="007E3EB8"/>
    <w:rsid w:val="007E419F"/>
    <w:rsid w:val="00985C1A"/>
    <w:rsid w:val="009D129A"/>
    <w:rsid w:val="009D2555"/>
    <w:rsid w:val="00A80BB7"/>
    <w:rsid w:val="00B16C5A"/>
    <w:rsid w:val="00C15F59"/>
    <w:rsid w:val="00C504CE"/>
    <w:rsid w:val="00CA2F03"/>
    <w:rsid w:val="00CA3050"/>
    <w:rsid w:val="00CA651B"/>
    <w:rsid w:val="00CE2C58"/>
    <w:rsid w:val="00CF36B6"/>
    <w:rsid w:val="00D30437"/>
    <w:rsid w:val="00D5362F"/>
    <w:rsid w:val="00E513CB"/>
    <w:rsid w:val="00E93A55"/>
    <w:rsid w:val="00EF6490"/>
    <w:rsid w:val="00FD4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1"/>
        <w:szCs w:val="21"/>
        <w:lang w:val="pt-BR" w:eastAsia="pt-BR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8FD"/>
  </w:style>
  <w:style w:type="paragraph" w:styleId="Ttulo1">
    <w:name w:val="heading 1"/>
    <w:basedOn w:val="Normal"/>
    <w:next w:val="Normal"/>
    <w:uiPriority w:val="9"/>
    <w:qFormat/>
    <w:rsid w:val="004E08FD"/>
    <w:pPr>
      <w:keepNext/>
      <w:keepLines/>
      <w:spacing w:before="320" w:after="80" w:line="240" w:lineRule="auto"/>
      <w:jc w:val="center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4E08FD"/>
    <w:pPr>
      <w:keepNext/>
      <w:keepLines/>
      <w:spacing w:before="160" w:after="40" w:line="240" w:lineRule="auto"/>
      <w:jc w:val="center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4E08FD"/>
    <w:pPr>
      <w:keepNext/>
      <w:keepLines/>
      <w:spacing w:before="160" w:after="0" w:line="240" w:lineRule="auto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4E08FD"/>
    <w:pPr>
      <w:keepNext/>
      <w:keepLines/>
      <w:spacing w:before="80" w:after="0"/>
      <w:outlineLvl w:val="3"/>
    </w:pPr>
    <w:rPr>
      <w:i/>
      <w:sz w:val="30"/>
      <w:szCs w:val="30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4E08FD"/>
    <w:pPr>
      <w:keepNext/>
      <w:keepLines/>
      <w:spacing w:before="40" w:after="0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4E08FD"/>
    <w:pPr>
      <w:keepNext/>
      <w:keepLines/>
      <w:spacing w:before="40" w:after="0"/>
      <w:outlineLvl w:val="5"/>
    </w:pPr>
    <w:rPr>
      <w:i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4E08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4E08FD"/>
    <w:pPr>
      <w:pBdr>
        <w:top w:val="single" w:sz="6" w:space="8" w:color="A5A5A5"/>
        <w:bottom w:val="single" w:sz="6" w:space="8" w:color="A5A5A5"/>
      </w:pBdr>
      <w:spacing w:after="400" w:line="240" w:lineRule="auto"/>
      <w:jc w:val="center"/>
    </w:pPr>
    <w:rPr>
      <w:smallCaps/>
      <w:color w:val="44546A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4E08FD"/>
    <w:pPr>
      <w:jc w:val="center"/>
    </w:pPr>
    <w:rPr>
      <w:color w:val="44546A"/>
      <w:sz w:val="28"/>
      <w:szCs w:val="28"/>
    </w:rPr>
  </w:style>
  <w:style w:type="table" w:customStyle="1" w:styleId="a">
    <w:basedOn w:val="TableNormal"/>
    <w:rsid w:val="004E08FD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4E08FD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4E08FD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4E08F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4E08F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1D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4322</Words>
  <Characters>23343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 Dias</dc:creator>
  <cp:lastModifiedBy>kalunga</cp:lastModifiedBy>
  <cp:revision>5</cp:revision>
  <dcterms:created xsi:type="dcterms:W3CDTF">2023-04-17T13:13:00Z</dcterms:created>
  <dcterms:modified xsi:type="dcterms:W3CDTF">2023-04-17T14:01:00Z</dcterms:modified>
</cp:coreProperties>
</file>