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B8" w:rsidRDefault="002A10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 w:rsidRPr="002A10AC">
        <w:rPr>
          <w:noProof/>
        </w:rPr>
        <w:pict>
          <v:rect id="Retângulo 3" o:spid="_x0000_s1026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m8B7AEAALoDAAAOAAAAZHJzL2Uyb0RvYy54bWysU8tu2zAQvBfoPxC815IC10kEy4HhIEWB&#10;9AGk/QCKoiSiFJdd0pbcr++Ssh2jvRXVgeC+hjuzq/XDNBh2UOg12IoXi5wzZSU02nYV//7t6d0d&#10;Zz4I2wgDVlX8qDx/2Lx9sx5dqW6gB9MoZARifTm6ivchuDLLvOzVIPwCnLIUbAEHEcjELmtQjIQ+&#10;mOwmz1fZCNg4BKm8J+/jHOSbhN+2SoYvbetVYKbi1FtIJ6azjme2WYuyQ+F6LU9tiH/oYhDa0qMX&#10;qEcRBNuj/gtq0BLBQxsWEoYM2lZLlTgQmyL/g81LL5xKXEgc7y4y+f8HKz8fXtxXjK179wzyh2cW&#10;dr2wndoiwtgr0dBzRRQqG50vLwXR8FTK6vETNDRasQ+QNJhaHCIgsWNTkvp4kVpNgUlyrt7nt8s7&#10;moikWLG6XS3TLDJRnqsd+vBBwcDipeJIo0zo4vDsQ+xGlOeU1D0Y3TxpY5KBXb0zyA6Cxn6/zelL&#10;BIjkdZqxMdlCLJsRoyfRjMziEvkyTPVEwXitoTkSYYR5jWjt6dID/uJspBWquP+5F6g4Mx8tiXZf&#10;LIkVC8mgC15767NXWEkQFZcBOZuNXZg3dO9Qdz29USTmFrYkcasT+9d+Th3TgiRRTsscN/DaTlmv&#10;v9zmNwAAAP//AwBQSwMEFAAGAAgAAAAhANdEajPbAAAABQEAAA8AAABkcnMvZG93bnJldi54bWxM&#10;j0FLw0AQhe+C/2EZwZvdNISgMZNSKhX0ZvTS2zY7JrHZmZDdtvHfu/WilwfDG977Xrma3aBONPle&#10;GGG5SEARN2J7bhE+3rd396B8MGzNIEwI3+RhVV1flaawcuY3OtWhVTGEfWEQuhDGQmvfdOSMX8hI&#10;HL1PmZwJ8ZxabSdzjuFu0GmS5NqZnmNDZ0badNQc6qNDeJiXsvta54dtk42vu+eXWrKnDeLtzbx+&#10;BBVoDn/PcMGP6FBFpr0c2Xo1IMQh4VcvXpJmccceIc0z0FWp/9NXPwAAAP//AwBQSwECLQAUAAYA&#10;CAAAACEAtoM4kv4AAADhAQAAEwAAAAAAAAAAAAAAAAAAAAAAW0NvbnRlbnRfVHlwZXNdLnhtbFBL&#10;AQItABQABgAIAAAAIQA4/SH/1gAAAJQBAAALAAAAAAAAAAAAAAAAAC8BAABfcmVscy8ucmVsc1BL&#10;AQItABQABgAIAAAAIQD0Bm8B7AEAALoDAAAOAAAAAAAAAAAAAAAAAC4CAABkcnMvZTJvRG9jLnht&#10;bFBLAQItABQABgAIAAAAIQDXRGoz2wAAAAUBAAAPAAAAAAAAAAAAAAAAAEYEAABkcnMvZG93bnJl&#10;di54bWxQSwUGAAAAAAQABADzAAAATgUAAAAA&#10;" fillcolor="#9a0000" stroked="f" strokeweight="1pt">
            <v:textbox inset=",0,,0">
              <w:txbxContent>
                <w:p w:rsidR="00414B34" w:rsidRPr="008C1B30" w:rsidRDefault="006117E9" w:rsidP="00866822">
                  <w:pPr>
                    <w:spacing w:after="0" w:line="240" w:lineRule="auto"/>
                    <w:rPr>
                      <w:rFonts w:cs="Helvetica"/>
                      <w:bCs/>
                      <w:sz w:val="20"/>
                    </w:rPr>
                  </w:pPr>
                </w:p>
                <w:p w:rsidR="00414B34" w:rsidRPr="008C1B30" w:rsidRDefault="006117E9" w:rsidP="00866822"/>
              </w:txbxContent>
            </v:textbox>
            <w10:wrap anchorx="margin"/>
          </v:rect>
        </w:pic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right="-11"/>
        <w:jc w:val="both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OXIDAÇÃO DO CICLOEXANO A CICLOEXANOL E CICLOEXANONA COM CATALISADORES DE COBRE-NÍQUEL (</w:t>
      </w:r>
      <w:proofErr w:type="spellStart"/>
      <w:proofErr w:type="gramStart"/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CuNi</w:t>
      </w:r>
      <w:proofErr w:type="spellEnd"/>
      <w:proofErr w:type="gramEnd"/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)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Mateus Vidal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Dias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2,*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; Fabio Barboza Passos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1,*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; Alexandre Barros Gaspar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2,*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</w:pPr>
      <w:proofErr w:type="gramStart"/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1</w:t>
      </w:r>
      <w:r>
        <w:rPr>
          <w:rFonts w:ascii="Times" w:eastAsia="Times" w:hAnsi="Times" w:cs="Times"/>
          <w:i/>
          <w:color w:val="000000"/>
          <w:sz w:val="20"/>
          <w:szCs w:val="20"/>
        </w:rPr>
        <w:t>Universidade</w:t>
      </w:r>
      <w:proofErr w:type="gram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Federal Fluminense – Escola de Engenharia – laboratório RECAT, bloco E, sala 231; Rua Passo da Pátria, 156, Boa Viagem, Niterói – RJ. 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proofErr w:type="gramStart"/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2</w:t>
      </w:r>
      <w:r>
        <w:rPr>
          <w:rFonts w:ascii="Times" w:eastAsia="Times" w:hAnsi="Times" w:cs="Times"/>
          <w:i/>
          <w:color w:val="000000"/>
          <w:sz w:val="20"/>
          <w:szCs w:val="20"/>
        </w:rPr>
        <w:t>Instituto</w:t>
      </w:r>
      <w:proofErr w:type="gram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Nacional de Tecnologia – INT, laboratório LACAT, Divisão DICAP; Av. Venezuela, 82, sala 518, Saúde, Rio de Janeiro – RJ.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*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mateusdias2506@gmail.com; fabiopassos@id.uff.br; </w:t>
      </w:r>
      <w:r w:rsidR="0036277A">
        <w:rPr>
          <w:rFonts w:ascii="Times" w:eastAsia="Times" w:hAnsi="Times" w:cs="Times"/>
          <w:i/>
          <w:color w:val="000000"/>
          <w:sz w:val="20"/>
          <w:szCs w:val="20"/>
        </w:rPr>
        <w:t>alexandre.gaspar@int.gov.br</w:t>
      </w:r>
    </w:p>
    <w:p w:rsidR="007E3EB8" w:rsidRDefault="002A10AC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A10AC">
        <w:rPr>
          <w:noProof/>
        </w:rPr>
        <w:pict>
          <v:rect id="Retângulo 1" o:spid="_x0000_s1027" style="position:absolute;left:0;text-align:left;margin-left:-.15pt;margin-top:2.75pt;width:512.4pt;height:13.2pt;z-index:251658239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q+7wEAAMEDAAAOAAAAZHJzL2Uyb0RvYy54bWysU8tu2zAQvBfoPxC815IC10kEy4HhIEWB&#10;9AGk/QCKoiSiFJdd0pbcr++Ssh2jvRXVgeAuucOZ2dX6YRoMOyj0GmzFi0XOmbISGm27in//9vTu&#10;jjMfhG2EAasqflSeP2zevlmPrlQ30INpFDICsb4cXcX7EFyZZV72ahB+AU5ZOmwBBxEoxC5rUIyE&#10;PpjsJs9X2QjYOASpvKfs43zINwm/bZUMX9rWq8BMxYlbSCumtY5rtlmLskPhei1PNMQ/sBiEtvTo&#10;BepRBMH2qP+CGrRE8NCGhYQhg7bVUiUNpKbI/1Dz0gunkhYyx7uLTf7/wcrPhxf3FSN1755B/vDM&#10;wq4XtlNbRBh7JRp6rohGZaPz5aUgBp5KWT1+goZaK/YBkgdTi0MEJHVsSlYfL1arKTBJydX7/HZ5&#10;Rx2RdFasblfL1ItMlOdqhz58UDCwuKk4UisTujg8+xDZiPJ8JbEHo5snbUwKsKt3BtlBUNvvtzl9&#10;SQCJvL5mbLxsIZbNiDGTZEZlcYh8GaZ6Yro5eRAzNTRH0o0wTxNNP216wF+cjTRJFfc/9wIVZ+aj&#10;Je/uiyWJYyEFtMHrbH3OCisJouIyIGdzsAvzoO4d6q6nN4pkgIUtOd3qZMIrnxNxmpPkzWmm4yBe&#10;x+nW65+3+Q0AAP//AwBQSwMEFAAGAAgAAAAhAIPoMvHcAAAABwEAAA8AAABkcnMvZG93bnJldi54&#10;bWxMjsFuwjAQRO+V+g/WIvUGTiCgkmaDEBWV2huhF24m3iaBeB3FBtK/rzmV24xmNPOy1WBacaXe&#10;NZYR4kkEgri0uuEK4Xu/Hb+CcF6xVq1lQvglB6v8+SlTqbY33tG18JUII+xShVB736VSurImo9zE&#10;dsQh+7G9UT7YvpK6V7cwblo5jaKFNKrh8FCrjjY1lefiYhCWQ2wPp/XivC2T7uvw8VnY5H2D+DIa&#10;1m8gPA3+vwx3/IAOeWA62gtrJ1qE8SwUEeZzEPc0miZBHRFm8RJknslH/vwPAAD//wMAUEsBAi0A&#10;FAAGAAgAAAAhALaDOJL+AAAA4QEAABMAAAAAAAAAAAAAAAAAAAAAAFtDb250ZW50X1R5cGVzXS54&#10;bWxQSwECLQAUAAYACAAAACEAOP0h/9YAAACUAQAACwAAAAAAAAAAAAAAAAAvAQAAX3JlbHMvLnJl&#10;bHNQSwECLQAUAAYACAAAACEAvUlKvu8BAADBAwAADgAAAAAAAAAAAAAAAAAuAgAAZHJzL2Uyb0Rv&#10;Yy54bWxQSwECLQAUAAYACAAAACEAg+gy8dwAAAAHAQAADwAAAAAAAAAAAAAAAABJBAAAZHJzL2Rv&#10;d25yZXYueG1sUEsFBgAAAAAEAAQA8wAAAFIFAAAAAA==&#10;" fillcolor="#9a0000" stroked="f" strokeweight="1pt">
            <v:textbox inset=",0,,0">
              <w:txbxContent>
                <w:p w:rsidR="00414B34" w:rsidRPr="008C1B30" w:rsidRDefault="00490219" w:rsidP="008C1B30">
                  <w:pPr>
                    <w:spacing w:after="0" w:line="240" w:lineRule="auto"/>
                    <w:jc w:val="center"/>
                    <w:rPr>
                      <w:rFonts w:cs="Helvetica"/>
                      <w:bCs/>
                      <w:sz w:val="20"/>
                    </w:rPr>
                  </w:pPr>
                  <w:r w:rsidRPr="008C1B30">
                    <w:rPr>
                      <w:rFonts w:cs="Helvetica"/>
                      <w:bCs/>
                      <w:sz w:val="20"/>
                    </w:rPr>
                    <w:t>Resumo/Abstract</w:t>
                  </w:r>
                </w:p>
                <w:p w:rsidR="00414B34" w:rsidRPr="008C1B30" w:rsidRDefault="006117E9" w:rsidP="008C1B30"/>
              </w:txbxContent>
            </v:textbox>
            <w10:wrap anchorx="margin"/>
          </v:rect>
        </w:pict>
      </w:r>
    </w:p>
    <w:p w:rsidR="007E3EB8" w:rsidRDefault="007E3EB8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RESUMO – O foco deste trabalho consistiu em efetuar a reação de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à mistura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cicloexanol-cicloexanona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com ênfase em catalisadores bimetálicos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cobre-níquel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que são encontrados em abundância e possuem baixo custo.</w:t>
      </w:r>
      <w:r w:rsidR="00310E26"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 </w:t>
      </w:r>
      <w:r w:rsidR="00310E26">
        <w:rPr>
          <w:rFonts w:ascii="Times New Roman" w:eastAsia="Times New Roman" w:hAnsi="Times New Roman" w:cs="Times New Roman"/>
          <w:color w:val="000000"/>
          <w:sz w:val="20"/>
          <w:szCs w:val="20"/>
        </w:rPr>
        <w:t>Catalisadores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suportados em SiO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carvão ativado, 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SiO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sintetizados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, sendo que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o que apresentou maior conversão e também maior rendimento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. Esse resultado foi explicado por uma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maior dispersão do cobre na superfície, maior influência do níquel na interação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cobre-níquel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maior acidez em comparação com os outros catalisadores utilizados neste estudo. </w:t>
      </w:r>
    </w:p>
    <w:p w:rsidR="007E3EB8" w:rsidRDefault="00490219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Palavras-chave: oxidação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cicloexanol-cicloexanona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cobre, níquel, suportes.</w:t>
      </w:r>
    </w:p>
    <w:p w:rsidR="007E3EB8" w:rsidRDefault="007E3EB8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Pr="007E419F" w:rsidRDefault="00490219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ABSTRACT – The focus of this work was consisted in perform the reaction of cyclohexane oxidation to the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cyclohexanol-cyclohexanone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mixture, which emphasis in copper-nickel bimetallic catalysts, which are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low cost and abundant 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metals.</w:t>
      </w:r>
      <w:r w:rsidRPr="007E419F">
        <w:rPr>
          <w:rFonts w:ascii="Helvetica Neue" w:eastAsia="Helvetica Neue" w:hAnsi="Helvetica Neue" w:cs="Helvetica Neue"/>
          <w:b/>
          <w:color w:val="000000"/>
          <w:sz w:val="18"/>
          <w:szCs w:val="18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Thus,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CuNi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catalysts supported in SiO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activated carbon, Al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TiO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SiO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-Al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were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synthetized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CuNi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/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Siral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presented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a 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higher conversion and greater yield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This result was explained by 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higher copper dispersion on the surface, major nickel influence on copper-nickel interaction and highest acidity in comparison with other catalysts utilized in this study.</w:t>
      </w:r>
    </w:p>
    <w:p w:rsidR="007E3EB8" w:rsidRPr="007E419F" w:rsidRDefault="00490219" w:rsidP="007E419F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sectPr w:rsidR="007E3EB8" w:rsidRPr="007E419F">
          <w:headerReference w:type="default" r:id="rId7"/>
          <w:pgSz w:w="11906" w:h="16838"/>
          <w:pgMar w:top="1418" w:right="1094" w:bottom="1418" w:left="567" w:header="709" w:footer="709" w:gutter="0"/>
          <w:pgNumType w:start="1"/>
          <w:cols w:space="720"/>
        </w:sectPr>
      </w:pP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Keywords: cyclohexane oxidation, </w:t>
      </w:r>
      <w:proofErr w:type="spellStart"/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cyclohexanol-cyclohexanone</w:t>
      </w:r>
      <w:proofErr w:type="spellEnd"/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, copper, nickel, supports.</w:t>
      </w:r>
    </w:p>
    <w:p w:rsidR="007E3EB8" w:rsidRDefault="00490219">
      <w:pPr>
        <w:pStyle w:val="Ttulo2"/>
        <w:spacing w:before="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>Introdução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 é formada por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cicloexanona, os quais são álcool e cetona derivados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Esta mistura é utilizada, principalmente, na rota para a produção do ácido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adípico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 partir da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Em escala industrial, esta oxidação é efetuada em temperaturas entre 150 e 160 °C e em pressões de 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(agente oxidante) que se encontram entre 10 e 20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(1). Na indústria, o processo pode ser realizado em batelada, porém a opção preferencial é pelo fluxo contínuo. Geralmente, os catalisadores utilizados nestas condições são homogêneos, com sais de manganês, cromo ou cobalto sendo os mais comuns. Contudo, o rendimento é limitado a 5% para inibir a superoxidação dos produtos desejados (2). Além disso, o uso de catalisadores homogêneos proporciona um custo adicional para separação de catalisadores e produtos da reação.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Ao se comparar metais utilizados como catalisadores, os metais mais ativos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essa reação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podem apresentar um custo mais elevado.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Recentemente, houve a elaboração de uma proposta na literatura (3) que consistia em efetuar a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através do auxílio de catalisadores bimetálicos de cobre e níquel suportados em alumina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sílica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/SiO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e magnésia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A reação ocorreu em um balão de vidro, durante 1 hora, a pressão atmosférica e temperatura de 70 °C. A mistura reacional foi composta por 10 mL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acetonitrila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(solvente), 0,1 g do catalisador,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mL (0,78 g)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1 mL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30% como agente oxidante. Neste trabalho, os catalisadores foram sintetizados de modo que o teor total de fase metálica fosse igual a 25% (em massa), sendo possível realizar um estudo onde os teores individuais de cobre e níquel fossem variados. Além disso, não houve uma etapa de redução dos catalisadores, uma vez que eles foram utilizados na reação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após calcinação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O catalisador com teores iguais de cobre e níquel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50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50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foi o mais efetivo, com 8,5% de conversão. Os principais produtos secundários formados nesta reação foram a 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-1-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Além disto, foram realizados estudos sobre o rendimento e a seletividade dos catalisadores, onde foi constatado que os maiores valores de seletividade para a mistura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cicloexanol-cicloexanona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encontrados nas configurações com maiores teores de cobre, sendo eles próximos dos 100%. Além disso, a cicloexanona foi o produto com maior quantidade formada ao fim da reação de oxidação.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A proposta do presente trabalho consistiu em sintetizar e caracterizar catalisadores bimetálicos, formados por cobre (Cu) e níquel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os quais possuem menor custo e maior abundância. Os suportes para os catalisadores foram todos comerciais, sendo eles: alumina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puralox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(γ- Al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sílica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40 (SiO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-Al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40% de sílica), titânia (TiO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e carvão ativado (CA). Os catalisadores foram avaliados na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E3EB8" w:rsidRDefault="00490219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Experimental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1. Materiais e Métodos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1.1 – Preparação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das amostras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metais utilizados nos catalisadores foram cobre (Cu) e níquel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Foram empregados </w:t>
      </w:r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itrato de cobre tri-hidratado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.3H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Sigma-Aldrich</w:t>
      </w:r>
      <w:proofErr w:type="spellEnd"/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, e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itrato de níquel hexa-hidratado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.6H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Sigma-Aldrich</w:t>
      </w:r>
      <w:proofErr w:type="spellEnd"/>
      <w:r w:rsidR="005D4246">
        <w:rPr>
          <w:rFonts w:ascii="Times New Roman" w:eastAsia="Times New Roman" w:hAnsi="Times New Roman" w:cs="Times New Roman"/>
          <w:color w:val="000000"/>
          <w:sz w:val="20"/>
          <w:szCs w:val="20"/>
        </w:rPr>
        <w:t>, como precursores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catalisadores foram preparados por impregnação úmida em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rotaevaporador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Os nitratos foram pesados (13,69 g do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.3H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e 2,48 g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.6H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O, com o objetivo de se chegar a 25% de fase ativa, com razão Cu/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7,2) e então solubilizados em um béquer com 300 mL de água destilada, sem ajuste de pH. Em seguida, adicionaram-se 5,9 g do suporte e, após agitação (até a total solubilização dos precursores e do suporte), a solução foi transferida para um balão de fundo redondo, o qual foi conectado a 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rotaevaporador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onde foi aquecida até a temperatura de 80 °C e passou por um processo de secagem a vácuo, durante 1 hora. Após essa etapa, o precipitado foi filtrado e levado à estufa para secagem a 120 °C durante 16 horas e, por fim, passou pela etapa de tratamento térmico por meio de calcinação em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mufla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(com exceção do catalisador suportado em carvão ativado, que foi tratado num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calcinador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a 400 °C, com taxa de aquecimento igual a 10 °C/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manutenção da temperatura máxima por 4 horas.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1.2 – Caracterização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dos catalisadores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catalisadores e suportes foram analisados, quanto à textura, num equipamento ASAP 2020, da Micromeritics, onde as áreas específicas foram obtidas pelo método BET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Brunauer-Emmett-Teller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e o volume de poros, pelo método BJH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Barrett-Joyner-Halenda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espectroscopia de raios-X por dispersão de energia (EDX) foi realizada </w:t>
      </w:r>
      <w:r w:rsidR="00101F5B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um equipamento EDX-720 da SHIMADZU, contendo tubo gerador de raios-X de ródio (Rh), com tensão igual a 50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kV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corrente igual a 38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μA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com 10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para o colimador e janela de berílio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difração de raios-X</w:t>
      </w:r>
      <w:r w:rsidR="00101F5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dos catalisadores foi realizada num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difractômetro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Rigaku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Miniflex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II, com radiação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CuK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α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(λ = 1,540 Å), onde a análise foi efetuada entre os ângulos de 10° e 80° (região de 2θ), com passo de 0,05° e tempo de 2 s por passo.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redução a temperatura programada (TPR) </w:t>
      </w:r>
      <w:r>
        <w:rPr>
          <w:rFonts w:ascii="Times" w:eastAsia="Times" w:hAnsi="Times" w:cs="Times"/>
          <w:color w:val="000000"/>
          <w:sz w:val="20"/>
          <w:szCs w:val="20"/>
        </w:rPr>
        <w:t>foi obtida num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equipamento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AutoChem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II 2920 V3.05 da Micromeritics, que apresenta um detector de condutividade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térmico (TCD)</w:t>
      </w:r>
      <w:r w:rsidR="005838A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Nesta análise, aproximadamente 300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amostra calcinada foram colocados num reator tubular em U, o qual foi inserido no equipamento.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dessorção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à temperatura programada de amônia (TPD-NH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3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) foi usada para determinar a acidez das amostras.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equipamento empregado foi o mesmo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AutoChem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II mencionado no item anterior. Para efetuar esta análise, por volta de 300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amostra calcinada foram colocados num reator tubular em U, o qual foi inserido no equipamento.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desidrogenação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realizada numa unidade de avaliação de catalisadores com 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cromatógrafo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Agilent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modelo 6850, com coluna NST-100. Foram empregados os catalisadores reduzidos a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500oC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puro e passivados com ar e banho de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líquido e gelo. As amostras foram reduzidas com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puro na unidade a 250ºC, mesma temperatura da reação. As taxas de reação foram calculadas considerando reator diferencial. 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2 – Oxidação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cicloexano</w:t>
      </w:r>
      <w:proofErr w:type="spellEnd"/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reação foi realizada em fase líquida num balão de vidro de fundo redondo conectado a um sistema com refluxo, à pressão atmosférica. Este sistema era composto por um condensador com refluxo, o qual estava conectado a um banho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ultratermostático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Enquanto isso, o balão estava dentro de um pequeno forno, sobre uma placa de agitação magnética. Para medir a temperatura, dois termopares foram utilizados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um dentro do forno e outro dentro do balão.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esta reação, foram utilizados: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mL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reagente principal; 1 mL de peróxido de hidrogênio (H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como agente oxidante; 10 mL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acetonitrila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solvente e 200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catalisador calcinado. Todos os compostos supracitados foram transferidos para o balão, que por sua vez foi conectado ao sistema com refluxo mencionado anteriormente. A solução foi aquecida até 70 °C e então, a agitação magnética foi acionada, sendo este instante definido como o ponto zero da reação, a qual ocorreu por 2 horas. Ao fim deste tempo, a agitação foi desligada, e uma alíquota foi retirada da solução reacional para ser analisada num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cromatógrafo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sendo antes, filtrada (unidade filtrante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Millex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volume de poros de 0,22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µm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O equipamento utilizado para análise dos produtos foi 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cromatógrafo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gás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Agilent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7890A GC System com detector de ionização de chama (FID), com coluna do tipo HP-5MS, e espectrômetro de massas acoplado. Curvas de calibração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dos principais produtos foram realizadas visando à quantificação dos reagentes presentes no meio reacional. Também foi efetuada uma reação em branco (sem catalisador) para confirmar a necessidade da utilização de catalisadores na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Após a análise dos resultados, o catalisador com melhor desempenho passou por outros testes catalíticos, os quais foram: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Reuso do catalisador para uma nova reação de 2 horas, onde o catalisador foi filtrado e levado à estufa para secagem antes da reação de reuso;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Teste reacional com a utilização de maior quantidade de agente oxidante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mL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com a manutenção das demais quantidades dos componentes e condições reacionais;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Teste reacional empregando-se maior tempo de reação (4 horas), com a manutenção das quantidades dos componentes e demais condições reacionais.</w:t>
      </w:r>
    </w:p>
    <w:p w:rsidR="007E3EB8" w:rsidRDefault="00490219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Resultados e Discussão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 – Caracterização dos catalisadores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objetivo foi sintetizar catalisadores bimetálicos com 25% de fase ativa, sendo 22,0% Cu e 3,0%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com razão Cu/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igual a 7,2 (4). Através desta análise, foi possível obter os teores de Cu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 cada catalisador sintetizado. Estes resultados são apresentados na tabela 1.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120" w:line="20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_1fob9te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Tabela 1.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Teores metálicos dos catalisadores</w:t>
      </w:r>
    </w:p>
    <w:tbl>
      <w:tblPr>
        <w:tblStyle w:val="a"/>
        <w:tblW w:w="490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90"/>
        <w:gridCol w:w="755"/>
        <w:gridCol w:w="725"/>
        <w:gridCol w:w="974"/>
        <w:gridCol w:w="1164"/>
      </w:tblGrid>
      <w:tr w:rsidR="007E3EB8">
        <w:tc>
          <w:tcPr>
            <w:tcW w:w="12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Catalisador</w:t>
            </w:r>
          </w:p>
        </w:tc>
        <w:tc>
          <w:tcPr>
            <w:tcW w:w="75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 (%)</w:t>
            </w:r>
          </w:p>
        </w:tc>
        <w:tc>
          <w:tcPr>
            <w:tcW w:w="72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Ni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7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Cu+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Ni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16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Razão Cu/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Ni</w:t>
            </w:r>
            <w:proofErr w:type="spellEnd"/>
          </w:p>
        </w:tc>
      </w:tr>
      <w:tr w:rsidR="007E3EB8">
        <w:tc>
          <w:tcPr>
            <w:tcW w:w="12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/Al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5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72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97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116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28,3</w:t>
            </w:r>
          </w:p>
        </w:tc>
      </w:tr>
      <w:tr w:rsidR="007E3EB8">
        <w:tc>
          <w:tcPr>
            <w:tcW w:w="12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/SiO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5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72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7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16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6,3</w:t>
            </w:r>
          </w:p>
        </w:tc>
      </w:tr>
      <w:tr w:rsidR="007E3EB8">
        <w:tc>
          <w:tcPr>
            <w:tcW w:w="12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Siral</w:t>
            </w:r>
            <w:proofErr w:type="spellEnd"/>
          </w:p>
        </w:tc>
        <w:tc>
          <w:tcPr>
            <w:tcW w:w="75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72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7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6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11,8</w:t>
            </w:r>
          </w:p>
        </w:tc>
      </w:tr>
      <w:tr w:rsidR="007E3EB8">
        <w:tc>
          <w:tcPr>
            <w:tcW w:w="12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/TiO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5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72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97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64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7,9</w:t>
            </w:r>
          </w:p>
        </w:tc>
      </w:tr>
      <w:tr w:rsidR="007E3EB8">
        <w:trPr>
          <w:trHeight w:val="206"/>
        </w:trPr>
        <w:tc>
          <w:tcPr>
            <w:tcW w:w="1290" w:type="dxa"/>
            <w:tcBorders>
              <w:bottom w:val="single" w:sz="6" w:space="0" w:color="000000"/>
            </w:tcBorders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/CA</w:t>
            </w:r>
          </w:p>
        </w:tc>
        <w:tc>
          <w:tcPr>
            <w:tcW w:w="755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725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974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8,9</w:t>
            </w:r>
          </w:p>
        </w:tc>
      </w:tr>
    </w:tbl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Ao analisar-se a tabela acima, observa-se que os teores de fase ativa (Cu+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dos três primeiros catalisadores apresentaram valores próximos de 25%, porém isto não se repetiu nos catalisadores suportados em </w:t>
      </w:r>
      <w:proofErr w:type="gramStart"/>
      <w:r>
        <w:rPr>
          <w:rFonts w:ascii="Times" w:eastAsia="Times" w:hAnsi="Times" w:cs="Times"/>
          <w:color w:val="000000"/>
          <w:sz w:val="20"/>
          <w:szCs w:val="20"/>
        </w:rPr>
        <w:t>TiO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em carvão ativado, onde as porcentagens de fase ativa presente foram significativamente mais baixas. Uma das possíveis razões para isto ter ocorrido foi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perda de metal em solução a partir do método de impregnação úmida, na etapa de filtração após o tempo mantido no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rotaevaporador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Os suportes </w:t>
      </w:r>
      <w:proofErr w:type="gramStart"/>
      <w:r>
        <w:rPr>
          <w:rFonts w:ascii="Times" w:eastAsia="Times" w:hAnsi="Times" w:cs="Times"/>
          <w:color w:val="000000"/>
          <w:sz w:val="20"/>
          <w:szCs w:val="20"/>
        </w:rPr>
        <w:t>TiO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carvão ativado são compostos nos quais a capacidade de adsorção é influenciada pelo pH da solução. Segundo a literatura, 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pH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ideal para a obtenção da capacidade máxima de adsorção pelo </w:t>
      </w:r>
      <w:r>
        <w:rPr>
          <w:rFonts w:ascii="Times" w:eastAsia="Times" w:hAnsi="Times" w:cs="Times"/>
          <w:color w:val="000000"/>
          <w:sz w:val="20"/>
          <w:szCs w:val="20"/>
        </w:rPr>
        <w:t>TiO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é igual a 10 (5), enquanto para o carvão ativado, o pH ideal é igual a 8 (6). Uma vez que o preparo dos catalisadores acima não previu ajuste de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pH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solução, a falta desta etapa contribuiu para que a quantidade de fase ativa impregnada em </w:t>
      </w:r>
      <w:r>
        <w:rPr>
          <w:rFonts w:ascii="Times" w:eastAsia="Times" w:hAnsi="Times" w:cs="Times"/>
          <w:color w:val="000000"/>
          <w:sz w:val="20"/>
          <w:szCs w:val="20"/>
        </w:rPr>
        <w:t>TiO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carvão ativado fosse significativamente mais baixa em relação aos outros suportes. Contudo, estes catalisadores também seguiram para as demais técnicas de caracterização e para o teste catalítico na reação principal.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tabela 2 mostra os resultados de área específica (BET) e volume de poros (BJH) obtidos através da análise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textural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dos catalisadores empregados neste trabalho, por meio 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fisissorção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Os resultados dos suportes são apresentados entre parênteses.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Pode-se perceber que, na maioria dos pares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catalisador-suporte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analisados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 área específica diminuiu ao se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impregnar o catalisador no suporte. Este decréscimo pode ser explicado pelo bloqueio parcial nos mesoporos do suporte pela fase ativa do catalisador, como foi observado por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Yadav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D304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et</w:t>
      </w:r>
      <w:proofErr w:type="spellEnd"/>
      <w:proofErr w:type="gramEnd"/>
      <w:r w:rsidRPr="00D304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al</w:t>
      </w:r>
      <w:r w:rsidRPr="00D30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(3).</w:t>
      </w:r>
    </w:p>
    <w:p w:rsidR="00210829" w:rsidRDefault="00210829">
      <w:pPr>
        <w:pBdr>
          <w:top w:val="nil"/>
          <w:left w:val="nil"/>
          <w:bottom w:val="nil"/>
          <w:right w:val="nil"/>
          <w:between w:val="nil"/>
        </w:pBdr>
        <w:spacing w:after="120" w:line="20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120" w:line="20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Tabela 2.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Área específica e volume de poros das amostras.</w:t>
      </w:r>
    </w:p>
    <w:tbl>
      <w:tblPr>
        <w:tblStyle w:val="a0"/>
        <w:tblW w:w="37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365"/>
        <w:gridCol w:w="1201"/>
        <w:gridCol w:w="1201"/>
      </w:tblGrid>
      <w:tr w:rsidR="007E3EB8">
        <w:trPr>
          <w:jc w:val="center"/>
        </w:trPr>
        <w:tc>
          <w:tcPr>
            <w:tcW w:w="1365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Catalisador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Área (m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/g)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V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 xml:space="preserve">P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(cm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/g)</w:t>
            </w:r>
          </w:p>
        </w:tc>
      </w:tr>
      <w:tr w:rsidR="007E3EB8">
        <w:trPr>
          <w:jc w:val="center"/>
        </w:trPr>
        <w:tc>
          <w:tcPr>
            <w:tcW w:w="1365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/Al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191 (177)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0,489 (0,475)</w:t>
            </w:r>
          </w:p>
        </w:tc>
      </w:tr>
      <w:tr w:rsidR="007E3EB8">
        <w:trPr>
          <w:jc w:val="center"/>
        </w:trPr>
        <w:tc>
          <w:tcPr>
            <w:tcW w:w="1365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/SiO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306 (342)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1,173 (1,251)</w:t>
            </w:r>
          </w:p>
        </w:tc>
      </w:tr>
      <w:tr w:rsidR="007E3EB8">
        <w:trPr>
          <w:jc w:val="center"/>
        </w:trPr>
        <w:tc>
          <w:tcPr>
            <w:tcW w:w="1365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Siral</w:t>
            </w:r>
            <w:proofErr w:type="spellEnd"/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348 (431)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1,008 (1,593)</w:t>
            </w:r>
          </w:p>
        </w:tc>
      </w:tr>
      <w:tr w:rsidR="007E3EB8">
        <w:trPr>
          <w:jc w:val="center"/>
        </w:trPr>
        <w:tc>
          <w:tcPr>
            <w:tcW w:w="1365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/TiO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45 (49)</w:t>
            </w:r>
          </w:p>
        </w:tc>
        <w:tc>
          <w:tcPr>
            <w:tcW w:w="1201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0,360 (0,173)</w:t>
            </w:r>
          </w:p>
        </w:tc>
      </w:tr>
      <w:tr w:rsidR="007E3EB8">
        <w:trPr>
          <w:trHeight w:val="250"/>
          <w:jc w:val="center"/>
        </w:trPr>
        <w:tc>
          <w:tcPr>
            <w:tcW w:w="1365" w:type="dxa"/>
            <w:tcBorders>
              <w:bottom w:val="single" w:sz="6" w:space="0" w:color="000000"/>
            </w:tcBorders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/CA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1277 (1311)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0,717 (0,777)</w:t>
            </w:r>
          </w:p>
        </w:tc>
      </w:tr>
    </w:tbl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figura 1 mostra os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difratogramas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nas faixas de 10 a 30° dos catalisadores sintetizados neste estudo. Para os catalisadores de cobre e níquel suportados em 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carvão ativado, percebe-se a ocorrência de picos em 2θ = 14,4°, 17,3° e 25,9°, posições que remetem à presença da fase cristalina do óxido de cobre cúbico (Cu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O) nos planos (110), (111) e (220), respectivamente (JCPDS 34-1354) (7).</w:t>
      </w:r>
    </w:p>
    <w:p w:rsidR="00B16C5A" w:rsidRDefault="00B16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C15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5F59">
        <w:rPr>
          <w:noProof/>
          <w:szCs w:val="20"/>
        </w:rPr>
        <w:drawing>
          <wp:inline distT="0" distB="0" distL="0" distR="0">
            <wp:extent cx="3081858" cy="2647950"/>
            <wp:effectExtent l="0" t="0" r="4242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88" t="5185" r="5145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72" cy="265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EB8" w:rsidRDefault="004902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Figura 1.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Difratogramas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dos catalisadores entre 10 e 30°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Não houve formação de picos no catalisador suportado em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 que pode caracterizar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amorficidade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amostra. Outra possível explicação para a não formação de picos seria um tamanho muito pequeno dos cristalitos de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nesta amostra, sendo menor que o mínimo detectável pela técnica, o que também caracteriza uma maior dispersão da fase ativa na superfície do suporte, em comparação com os demais catalisadores analisados.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tabela 3 mostra os dados obtidos em relação ao consumo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ao grau de redução para cada catalisador nesta caracterização. Além disso, a figura 2 mostra os perfis das curvas de TPR.</w:t>
      </w:r>
    </w:p>
    <w:p w:rsidR="00210829" w:rsidRDefault="00210829">
      <w:pPr>
        <w:pBdr>
          <w:top w:val="nil"/>
          <w:left w:val="nil"/>
          <w:bottom w:val="nil"/>
          <w:right w:val="nil"/>
          <w:between w:val="nil"/>
        </w:pBdr>
        <w:spacing w:after="120" w:line="20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120" w:line="20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lastRenderedPageBreak/>
        <w:t>Tabela 3.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Resultados de TPR, TPD-NH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desidrogenação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para os catalisadores.</w:t>
      </w:r>
    </w:p>
    <w:tbl>
      <w:tblPr>
        <w:tblStyle w:val="a1"/>
        <w:tblW w:w="48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314"/>
        <w:gridCol w:w="477"/>
        <w:gridCol w:w="608"/>
        <w:gridCol w:w="566"/>
        <w:gridCol w:w="567"/>
        <w:gridCol w:w="567"/>
        <w:gridCol w:w="707"/>
      </w:tblGrid>
      <w:tr w:rsidR="007E3EB8">
        <w:trPr>
          <w:jc w:val="center"/>
        </w:trPr>
        <w:tc>
          <w:tcPr>
            <w:tcW w:w="1314" w:type="dxa"/>
            <w:vMerge w:val="restart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Catalisador</w:t>
            </w:r>
          </w:p>
        </w:tc>
        <w:tc>
          <w:tcPr>
            <w:tcW w:w="1085" w:type="dxa"/>
            <w:gridSpan w:val="2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TPR</w:t>
            </w:r>
          </w:p>
        </w:tc>
        <w:tc>
          <w:tcPr>
            <w:tcW w:w="1700" w:type="dxa"/>
            <w:gridSpan w:val="3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TPD-NH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07" w:type="dxa"/>
            <w:vMerge w:val="restart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(-</w:t>
            </w: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r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CH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)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7E3EB8">
        <w:trPr>
          <w:jc w:val="center"/>
        </w:trPr>
        <w:tc>
          <w:tcPr>
            <w:tcW w:w="1314" w:type="dxa"/>
            <w:vMerge/>
            <w:vAlign w:val="center"/>
          </w:tcPr>
          <w:p w:rsidR="007E3EB8" w:rsidRDefault="007E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8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GR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FR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M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FO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07" w:type="dxa"/>
            <w:vMerge/>
            <w:vAlign w:val="center"/>
          </w:tcPr>
          <w:p w:rsidR="007E3EB8" w:rsidRDefault="007E3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7E3EB8">
        <w:trPr>
          <w:jc w:val="center"/>
        </w:trPr>
        <w:tc>
          <w:tcPr>
            <w:tcW w:w="13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/Al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7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608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89,1</w:t>
            </w:r>
          </w:p>
        </w:tc>
        <w:tc>
          <w:tcPr>
            <w:tcW w:w="566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90,9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70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165,6</w:t>
            </w:r>
          </w:p>
        </w:tc>
      </w:tr>
      <w:tr w:rsidR="007E3EB8">
        <w:trPr>
          <w:jc w:val="center"/>
        </w:trPr>
        <w:tc>
          <w:tcPr>
            <w:tcW w:w="13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/SiO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7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608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566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0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20,0</w:t>
            </w:r>
          </w:p>
        </w:tc>
      </w:tr>
      <w:tr w:rsidR="007E3EB8">
        <w:trPr>
          <w:jc w:val="center"/>
        </w:trPr>
        <w:tc>
          <w:tcPr>
            <w:tcW w:w="13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Siral</w:t>
            </w:r>
            <w:proofErr w:type="spellEnd"/>
          </w:p>
        </w:tc>
        <w:tc>
          <w:tcPr>
            <w:tcW w:w="47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08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66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211,4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214,0</w:t>
            </w:r>
          </w:p>
        </w:tc>
        <w:tc>
          <w:tcPr>
            <w:tcW w:w="70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2,6</w:t>
            </w:r>
          </w:p>
        </w:tc>
      </w:tr>
      <w:tr w:rsidR="007E3EB8">
        <w:trPr>
          <w:jc w:val="center"/>
        </w:trPr>
        <w:tc>
          <w:tcPr>
            <w:tcW w:w="13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/TiO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7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8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63,2</w:t>
            </w:r>
          </w:p>
        </w:tc>
        <w:tc>
          <w:tcPr>
            <w:tcW w:w="566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84,7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118,6</w:t>
            </w:r>
          </w:p>
        </w:tc>
        <w:tc>
          <w:tcPr>
            <w:tcW w:w="56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707" w:type="dxa"/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400,0</w:t>
            </w:r>
          </w:p>
        </w:tc>
      </w:tr>
      <w:tr w:rsidR="007E3EB8">
        <w:trPr>
          <w:trHeight w:val="200"/>
          <w:jc w:val="center"/>
        </w:trPr>
        <w:tc>
          <w:tcPr>
            <w:tcW w:w="1314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CuNi</w:t>
            </w:r>
            <w:proofErr w:type="spellEnd"/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/CA</w:t>
            </w:r>
          </w:p>
        </w:tc>
        <w:tc>
          <w:tcPr>
            <w:tcW w:w="477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8" w:type="dxa"/>
            <w:tcBorders>
              <w:bottom w:val="single" w:sz="6" w:space="0" w:color="000000"/>
            </w:tcBorders>
            <w:vAlign w:val="center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 w:rsidR="007E3EB8" w:rsidRDefault="007E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</w:tbl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Consumo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(C) (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μmol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/g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Grau de redução (GR) (%),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Sítios ácidos (FR) Fracos, (M) Médios, (FO) Fortes (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µmol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/g), </w:t>
      </w:r>
      <w:r w:rsidR="0078655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Taxa inicial da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desidrogenação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CH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 (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mmolsCH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gNi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h).  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perfis de TPR apresentaram duas regiões de consumo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acima e abaixo de 450/500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C.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variação nas temperaturas dos picos de redução na região abaixo de 450/500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pode ser explicada pela interação entre o cobre e o níquel presentes nas amostras. Os cátions do cobre (Cu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2+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possuem maior potencial de redução quando comparados com o níquel (Ni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2+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o que leva ao maior favorecimento da redução dos mesmos em temperaturas mais baixas.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Lua (10) observaram um pico de redução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mássico obtido a 377 °C, também inferior aos 500 °C. Além disso, também foi analisada uma amostra com proporções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equimolares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onde os picos de redução se situaram em 235 °C e 345 °C, respectivamente.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 posse destes resultados, conclui-se que a maior influência do cobre na interação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Cu-Ni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proporciona um decréscimo na temperatura do pico de redução, enquanto o níquel é responsável pelo oposto. Além disso, a redução do cobre ocorre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primeiro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em temperaturas mais baixas em relação ao níquel.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observa-se um único pico de redução, a 290 °C, correspondente à redução do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para a formação do cobre metálico, como também foi observado na literatura (3). O perfil de redução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/SiO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apresenta dois picos bem próximos, nas temperaturas de 235 e 272 °C. Esses dois picos podem corresponder à redução do cobre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passando pelo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antes da formação do cobre metálico (Cu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Ao se observar o perfil de redução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é possível visualizar três picos. Os dois primeiros (166 e 208 °C) respondem pela redução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enquanto o terceiro pico (398 °C) é o responsável pela redução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até 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F36B6" w:rsidRDefault="00CF36B6" w:rsidP="00CF3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Portanto, dentre os catalisadores sintetizados neste trabalho, 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é aquele que possui a maior influência do níquel na interação entre os metais presentes na superfície da amostra. Por outro lado, a predominância do cobre é maior no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o qual apresentou a menor temperatura para o pico de redução (166 °C).</w:t>
      </w:r>
    </w:p>
    <w:p w:rsidR="00C504CE" w:rsidRDefault="00C504CE" w:rsidP="00C50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figura 2 mostra um segundo pico para dois catalisadores (685 °C para 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637 °C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/CA). Para 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/C ativado, o pico pode ser relacionado ao suporte, uma vez que a passagem da corrente gasosa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favorece a formação de metano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(CH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No caso do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o segundo pico pode corresponder à redução do NiAl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(8, 9).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3784D" w:rsidP="006C4F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3784D">
        <w:rPr>
          <w:noProof/>
        </w:rPr>
        <w:drawing>
          <wp:inline distT="0" distB="0" distL="0" distR="0">
            <wp:extent cx="2971910" cy="2354094"/>
            <wp:effectExtent l="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02" t="4839" r="4207" b="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10" cy="235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Figura 2.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Perfis das curvas de TPR dos catalisadores analisados.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TPD-NH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utilizado para determinar a acidez das amostras. Além disso, os sítios ácidos foram divididos em ácidos fracos (100-250 °C), médios ou moderados (250- 400 °C) e fortes (400-500 °C). A tabela 3 mostra os resultados desta análise.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catalisador responsável pela maior adsorção foi 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/CA, não apresentou picos na concentração de amônia detectada no TCD, fenômeno também reportado na literatura (11 e 12). Em trabalho anterior deste grupo de pesquisa (13), os resultados foram de 140, 670 e 40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µmols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/g em sítios ácidos fracos, médios e fortes, respectivamente, para o mesmo carvão ativado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Alphacarbo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G830 Super. 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tabela 3 ainda apresenta as atividades 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desidrogenação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Os catalisadores suportados em 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os que apresentaram os maiores valores de taxa de reação considerando apenas o níquel presente na amostra. Conforme a literatura, esta taxa é diretamente proporcional à dispersão da fase ativa na superfície da amostra, o que leva à conclusão de que 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/TiO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o que apresentou maior dispersão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 suas superfícies.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2 – Oxidação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cicloexano</w:t>
      </w:r>
      <w:proofErr w:type="spellEnd"/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resultou na formação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e cicloexanona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também houve formação de produtos secundários (ou subprodutos), onde os principais foram 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e 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também observados na literatura (3). A tabela 4 mostra resultados de seletividade ao produto de interesse, assim como o rendimento, taxa de reação volumétrica e TOF estimados para cada catalisador.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partir da análise dos resultados, algumas observações puderam ser feitas: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Comparando-se os catalisadores suportados em 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o da literatura (3) apresentou resultados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ligeiramente melhores de conversão e seletividade para os produtos desejados;</w:t>
      </w:r>
    </w:p>
    <w:p w:rsidR="007E419F" w:rsidRDefault="007E4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E419F">
          <w:type w:val="continuous"/>
          <w:pgSz w:w="11906" w:h="16838"/>
          <w:pgMar w:top="1418" w:right="1094" w:bottom="1418" w:left="567" w:header="709" w:footer="709" w:gutter="0"/>
          <w:cols w:num="2" w:space="720" w:equalWidth="0">
            <w:col w:w="4768" w:space="708"/>
            <w:col w:w="4768" w:space="0"/>
          </w:cols>
        </w:sectPr>
      </w:pP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7E3EB8">
          <w:type w:val="continuous"/>
          <w:pgSz w:w="11906" w:h="16838"/>
          <w:pgMar w:top="1418" w:right="1094" w:bottom="1418" w:left="567" w:header="709" w:footer="709" w:gutter="0"/>
          <w:cols w:num="2" w:space="720" w:equalWidth="0">
            <w:col w:w="4768" w:space="708"/>
            <w:col w:w="4768" w:space="0"/>
          </w:cols>
        </w:sect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Tabela 4.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Resultados de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(tempo de reação = 2 h, T = 70 °C).</w:t>
      </w:r>
    </w:p>
    <w:tbl>
      <w:tblPr>
        <w:tblStyle w:val="a2"/>
        <w:tblW w:w="8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4"/>
        <w:gridCol w:w="543"/>
        <w:gridCol w:w="647"/>
        <w:gridCol w:w="594"/>
        <w:gridCol w:w="608"/>
        <w:gridCol w:w="658"/>
        <w:gridCol w:w="711"/>
        <w:gridCol w:w="712"/>
        <w:gridCol w:w="723"/>
        <w:gridCol w:w="711"/>
        <w:gridCol w:w="709"/>
      </w:tblGrid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Catalisador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oc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diol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outros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,v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TOF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n.i.</w:t>
            </w:r>
            <w:proofErr w:type="spellEnd"/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n.i.</w:t>
            </w:r>
            <w:proofErr w:type="spellEnd"/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i.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i.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/SiO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Siral</w:t>
            </w:r>
            <w:proofErr w:type="spellEnd"/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36,29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3,93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/TiO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87,6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</w:tr>
      <w:tr w:rsidR="007E3EB8">
        <w:trPr>
          <w:jc w:val="center"/>
        </w:trPr>
        <w:tc>
          <w:tcPr>
            <w:tcW w:w="141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/CA</w:t>
            </w:r>
          </w:p>
        </w:tc>
        <w:tc>
          <w:tcPr>
            <w:tcW w:w="54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647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59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64,4</w:t>
            </w:r>
          </w:p>
        </w:tc>
        <w:tc>
          <w:tcPr>
            <w:tcW w:w="60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8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709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</w:tr>
    </w:tbl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7E3EB8">
          <w:type w:val="continuous"/>
          <w:pgSz w:w="11906" w:h="16838"/>
          <w:pgMar w:top="1418" w:right="1094" w:bottom="1418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</w:t>
      </w:r>
      <w:proofErr w:type="gramStart"/>
      <w:r w:rsidR="00D3043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,</w:t>
      </w:r>
      <w:proofErr w:type="gramEnd"/>
      <w:r w:rsidR="00D3043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n.i. = não informado,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mmol/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L.h.</w:t>
      </w:r>
      <w:proofErr w:type="spellEnd"/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Com exceção da reação com 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/C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ativ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houve formação de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subprodutos em todas as reações com os demais catalisadores;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o catalisador que apresentou maior conversão do substrato (7,0%), taxa de reação e TOF, sendo que ele também foi o catalisador mais ácido, de acordo com as análises de TPD-NH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 dispersão do níquel neste catalisador é ruim, como mostrado pelos resultados 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desidrogenação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Por outro lado, o cobre é bem disperso neste catalisador, como mostrado pela ausência de raias no DRX, e a influência do níquel na interação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cobre-níquel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fase ativa é maior em relação aos outros catalisadores, como verificado nas temperaturas de redução obtidas no TPR-H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15F59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Por outro lado, observa-se que os catalisadores com maiores proporções de sítios com acidez mais forte levaram aos maiores valores de conversão, o que indica que a acidez também é um fator influenciador da reação, explicando também os menores valores de conversão e seletividade para 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/SiO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quando comparado com o </w:t>
      </w:r>
    </w:p>
    <w:p w:rsidR="00C15F59" w:rsidRDefault="00C15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15F59" w:rsidRDefault="00C15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que adsorveram maiores quantidades de amônia no TPD-NH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Dentre os produtos desejados, a cicloexanona foi o produto predominante em todas as reações, com exceção daquela que envolveu o carvão ativado como catalisador (que foi, inclusive, a única que não apresentou formação de subprodutos, ou seja, a seletividade em relação à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 foi de 100%). Portanto, a tendência mostrada pelos resultados da literatura foi mantida;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Apesar de a seletividade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(53,3%) não ter sido a maior, o rendimento total do produto desejado foi o maior (3,7%) graças à maior conversão em relação às reações com os demais catalisadores. Logo, este foi escolhido como o melhor catalisador para a oxidação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cicloexanona, nas condições empregadas neste trabalho.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Além disso, também foi efetuada a reação em branco (sem catalisador), na qual a conversão foi de apenas 0,06%. Outros testes catalíticos foram realizados com variação das condições reacionais de reuso, agente oxidante e tempo da reação e os resultados estão elencados na tabela 5.</w:t>
      </w:r>
    </w:p>
    <w:p w:rsidR="007E419F" w:rsidRDefault="007E4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E419F">
          <w:type w:val="continuous"/>
          <w:pgSz w:w="11906" w:h="16838"/>
          <w:pgMar w:top="1418" w:right="1094" w:bottom="1418" w:left="567" w:header="709" w:footer="709" w:gutter="0"/>
          <w:cols w:num="2" w:space="720" w:equalWidth="0">
            <w:col w:w="4768" w:space="708"/>
            <w:col w:w="4768" w:space="0"/>
          </w:cols>
        </w:sectPr>
      </w:pP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E3EB8">
          <w:type w:val="continuous"/>
          <w:pgSz w:w="11906" w:h="16838"/>
          <w:pgMar w:top="1418" w:right="1094" w:bottom="1418" w:left="567" w:header="709" w:footer="709" w:gutter="0"/>
          <w:cols w:num="2" w:space="720" w:equalWidth="0">
            <w:col w:w="4768" w:space="708"/>
            <w:col w:w="4768" w:space="0"/>
          </w:cols>
        </w:sect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Tabela 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Resultados dos testes complementares de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T = 70 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proofErr w:type="gramEnd"/>
    </w:p>
    <w:tbl>
      <w:tblPr>
        <w:tblStyle w:val="a3"/>
        <w:tblW w:w="83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45"/>
        <w:gridCol w:w="611"/>
        <w:gridCol w:w="612"/>
        <w:gridCol w:w="613"/>
        <w:gridCol w:w="613"/>
        <w:gridCol w:w="613"/>
        <w:gridCol w:w="690"/>
        <w:gridCol w:w="690"/>
        <w:gridCol w:w="723"/>
        <w:gridCol w:w="1144"/>
        <w:gridCol w:w="690"/>
      </w:tblGrid>
      <w:tr w:rsidR="007E3EB8">
        <w:trPr>
          <w:jc w:val="center"/>
        </w:trPr>
        <w:tc>
          <w:tcPr>
            <w:tcW w:w="134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Siral</w:t>
            </w:r>
            <w:proofErr w:type="spellEnd"/>
          </w:p>
        </w:tc>
        <w:tc>
          <w:tcPr>
            <w:tcW w:w="6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oc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diol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ol</w:t>
            </w:r>
            <w:proofErr w:type="spellEnd"/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144" w:type="dxa"/>
          </w:tcPr>
          <w:p w:rsidR="007E3EB8" w:rsidRPr="007E1D29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CH,v</w:t>
            </w:r>
            <w:proofErr w:type="spellEnd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mmol</w:t>
            </w:r>
            <w:proofErr w:type="spellEnd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L.h</w:t>
            </w:r>
            <w:proofErr w:type="spellEnd"/>
            <w:r w:rsidRPr="007E1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TOF</w:t>
            </w:r>
          </w:p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E3EB8">
        <w:trPr>
          <w:jc w:val="center"/>
        </w:trPr>
        <w:tc>
          <w:tcPr>
            <w:tcW w:w="134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6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6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14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36,29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3,93</w:t>
            </w:r>
          </w:p>
        </w:tc>
      </w:tr>
      <w:tr w:rsidR="007E3EB8">
        <w:trPr>
          <w:jc w:val="center"/>
        </w:trPr>
        <w:tc>
          <w:tcPr>
            <w:tcW w:w="134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Reuso</w:t>
            </w:r>
          </w:p>
        </w:tc>
        <w:tc>
          <w:tcPr>
            <w:tcW w:w="6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6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14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34,14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</w:tr>
      <w:tr w:rsidR="007E3EB8">
        <w:trPr>
          <w:jc w:val="center"/>
        </w:trPr>
        <w:tc>
          <w:tcPr>
            <w:tcW w:w="134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mL)</w:t>
            </w:r>
          </w:p>
        </w:tc>
        <w:tc>
          <w:tcPr>
            <w:tcW w:w="6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6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64,0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4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122,95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14,41</w:t>
            </w:r>
          </w:p>
        </w:tc>
      </w:tr>
      <w:tr w:rsidR="007E3EB8">
        <w:trPr>
          <w:jc w:val="center"/>
        </w:trPr>
        <w:tc>
          <w:tcPr>
            <w:tcW w:w="1346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(4 h)</w:t>
            </w:r>
          </w:p>
        </w:tc>
        <w:tc>
          <w:tcPr>
            <w:tcW w:w="611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612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61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723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44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690" w:type="dxa"/>
          </w:tcPr>
          <w:p w:rsidR="007E3EB8" w:rsidRDefault="0049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4,40</w:t>
            </w:r>
          </w:p>
        </w:tc>
      </w:tr>
    </w:tbl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E3EB8">
          <w:type w:val="continuous"/>
          <w:pgSz w:w="11906" w:h="16838"/>
          <w:pgMar w:top="1418" w:right="1094" w:bottom="1418" w:left="567" w:header="709" w:footer="709" w:gutter="0"/>
          <w:cols w:space="720"/>
        </w:sectPr>
      </w:pPr>
    </w:p>
    <w:p w:rsidR="00C15F59" w:rsidRDefault="00C15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04CE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 reuso, 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apresentou 6,6% de conversão do substrato e seletividade dividida em: 15,6%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40,8% para a cicloexanona, 26,7% para 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16,8% para 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Portanto, a seletividade obtida para a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 foi igual a 56,4%, e o rendimento da reação para a formação destes produtos, igual a 3,7%. Assim, não houve mudança significativa nos valores de conversão e seletividade em relação à amostra fresca, o que indica que não houve perda de fase ativa do catalisador (Cu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durante a reação.</w:t>
      </w:r>
    </w:p>
    <w:p w:rsidR="00C504CE" w:rsidRDefault="00C50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04CE" w:rsidRDefault="00C50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Tabela 5 também apresenta o estudo da variação da quantidade de agente oxidante. Nesta configuração,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mL de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adicionados, em vez de 1 mL na reação original. Após 2 horas, foram obtidos 21,8% de conversão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Enquanto isso, a seletividade foi dividida em: 9,4%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16,2% para a cicloexanona, 64,0% para 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10,4% para 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Desta forma, a seletividade obtida para a mistura álcool-cetona foi igual a 25,6%, o que gerou um rendimento total de 5,6% para a formação dos produtos desejados. Assim, a adição de maior quantidade de agente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oxidante provocou maior efetividade na reação de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mostrada pela atividade TOF mais que triplicada em relação à reação original. Esta alteração favoreceu a formação do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produto predominante (30,0 para 64,0%). Em contrapartida, houve uma queda significativa na seletividade dos produtos desejados, para um valor abaixo da metade do gerado na primeira reação (53,3%). Houve um aumento no rendimento total para a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”, o qual, porém, não acompanhou o crescimento da conversão devido ao impacto causado pela queda na seletividade.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avaliação final foi de promover a reação por um período de tempo maior, de 4 horas, com todas as demais condições sendo mantidas. Após este tempo, obteve-se 15,0% de conversão do substrato, enquanto a seletividade foi dividida em: 19,2% para 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35,4% para a cicloexanona, 23,6% para o óxido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21,8% para 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Portanto, a seletividade para a mistura desejada foi igual a 54,6%, valor semelhante ao da reação original. Houve um ligeiro aumento na taxa de reação (36,29 para 40,63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mmol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L.h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e TOF (3,93 para 4,40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 Além disso, não houve alteração significativa na divisão dos produtos desejados, o que de fato mostrou que a oxidação continuou ocorrendo sem grandes mudanças até o tempo definido para este teste catalítico. Embora tenha ocorrido um favorecimento na formação do 1,2-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cicloexanodiol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mostrado pelo aumento da seletividade (17,7 para 21,8%), isto não provocou acréscimo na formação total dos produtos secundários. Como consequência dos dados mostrados acima, o rendimento total em relação à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 acompanhou o ritmo de crescimento da conversão, chegando a 8,2% ao fim das 4 horas de reação.</w:t>
      </w:r>
    </w:p>
    <w:p w:rsidR="007E3EB8" w:rsidRDefault="00490219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Conclusões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Este trabalho teve como objetivo sintetizar catalisadores bimetálicos de cobre e níquel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diferentes suportes comerciais e, utilizá-los na reação de oxidação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cicloexanona. Foi possível verificar a influência do suporte e da interação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Cu-Ni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 atividade e seletividade dos catalisadores.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catalisador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apresentou maior influência do níquel na interação entre os metais da fase ativa, mostrado pela maior temperatura de redução na análise do TPR. Além disso, es</w:t>
      </w:r>
      <w:r w:rsidR="00101F5B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mesma amostra foi a responsável pela maior quantidade de sítios ácidos presentes, mostrado pela análise de TPD-NH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Outros pontos de destaque foram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dispersões dos metais, onde o cobre ficou bem disperso na amostra (mostrado pela ausência de raias no DRX).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Ao se efetuar o teste de reuso do catalisador, não houve perda de fase ativa do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CuNi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Siral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 adição de maior quantidade de agente oxidante aumentou a conversão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cicloexano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mas ao mesmo tempo reduziu a seletividade para a formação dos produtos desejados. Enquanto isso, o aumento do tempo de reação para 4 horas também possibilitou uma maior conversão do substrato, sendo que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neste caso, a seletividade para a mistura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KA-oil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 foi mantida em valores próximos aos da reação original.</w:t>
      </w:r>
    </w:p>
    <w:p w:rsidR="007E3EB8" w:rsidRDefault="00490219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Agradecimentos</w:t>
      </w:r>
    </w:p>
    <w:p w:rsidR="007E3EB8" w:rsidRDefault="00490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Mateus Vidal Dias agradece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CAPES pela bolsa de estudos concedida.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autores agradecem o auxílio financeiro da FAPERJ (E-26/211.593/2021).</w:t>
      </w:r>
    </w:p>
    <w:p w:rsidR="007E3EB8" w:rsidRDefault="00490219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Referências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A.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Abutaleb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M. Ali,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Reviews in Chemical Engineering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" w:eastAsia="Times" w:hAnsi="Times" w:cs="Times"/>
          <w:b/>
          <w:color w:val="000000"/>
          <w:sz w:val="20"/>
          <w:szCs w:val="20"/>
          <w:lang w:val="en-US"/>
        </w:rPr>
        <w:t xml:space="preserve">2021,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37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C.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Crombie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R. Lewis; D.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Kovacic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D. Morgan; T. Davies; J. Edwards; M.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Skjoth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-Rasmussen; G. Hutchings,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Catalysis Letters,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2021,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151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164-171. 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V.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Yadav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H.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Shinde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T. Das,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Arabian Journal for Science and Engineering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2021,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47,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5601-5612.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C. </w:t>
      </w:r>
      <w:proofErr w:type="spellStart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Tu</w:t>
      </w:r>
      <w:proofErr w:type="spellEnd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; Y. </w:t>
      </w:r>
      <w:proofErr w:type="spellStart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Tsou</w:t>
      </w:r>
      <w:proofErr w:type="spellEnd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; T. To; C. Chen; J. Lee; G. Huber; Y. Lin,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ACS Sustainable Chem. Eng.,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" w:eastAsia="Times" w:hAnsi="Times" w:cs="Times"/>
          <w:b/>
          <w:color w:val="000000"/>
          <w:sz w:val="20"/>
          <w:szCs w:val="20"/>
          <w:lang w:val="en-US"/>
        </w:rPr>
        <w:t xml:space="preserve">2019,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7, 21,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17872-17881.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Bendjabeur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R.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Zouaghi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O.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Kaabeche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T.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Sehili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International Journal of Chemical Reactor Engineering,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2017,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5, 4,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206-220.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O. Adam,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American Chemical Science Journal,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2016,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16, 1,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1-13.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B. </w:t>
      </w:r>
      <w:proofErr w:type="spellStart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Dutta</w:t>
      </w:r>
      <w:proofErr w:type="spellEnd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; E. </w:t>
      </w:r>
      <w:proofErr w:type="spellStart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Kar</w:t>
      </w:r>
      <w:proofErr w:type="spellEnd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; N. Bose; S. </w:t>
      </w:r>
      <w:proofErr w:type="spellStart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>Mukherjee</w:t>
      </w:r>
      <w:proofErr w:type="spellEnd"/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RSC Advances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" w:eastAsia="Times" w:hAnsi="Times" w:cs="Times"/>
          <w:b/>
          <w:color w:val="000000"/>
          <w:sz w:val="20"/>
          <w:szCs w:val="20"/>
          <w:lang w:val="en-US"/>
        </w:rPr>
        <w:t>2015,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5,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105422-105434.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K. Song; S.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Jeong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B.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Jeong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; K. Lee; H. Kim,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Catalysts,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2021,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11,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323-344.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M.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Mosinska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N.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Stepinska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W.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Maniukiewicz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J.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Rogowski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A.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Mierczynska-Vasilev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K.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Vasilev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M.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Szynkowska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P.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Mierczynski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Catalysts,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2020,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10,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273-292.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Y.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Shen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A.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Lua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RSC Advances,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2014,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4,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42159-42167.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Y. Li; G.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Lan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G.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Feng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G. Jiang; W. Han; H. Tang; H. Liu, </w:t>
      </w:r>
      <w:proofErr w:type="spellStart"/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ChemCatChem</w:t>
      </w:r>
      <w:proofErr w:type="spellEnd"/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.,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" w:eastAsia="Times" w:hAnsi="Times" w:cs="Times"/>
          <w:b/>
          <w:color w:val="000000"/>
          <w:sz w:val="20"/>
          <w:szCs w:val="20"/>
          <w:lang w:val="en-US"/>
        </w:rPr>
        <w:t>2014,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" w:eastAsia="Times" w:hAnsi="Times" w:cs="Times"/>
          <w:i/>
          <w:color w:val="000000"/>
          <w:sz w:val="20"/>
          <w:szCs w:val="20"/>
          <w:lang w:val="en-US"/>
        </w:rPr>
        <w:t>6,</w:t>
      </w:r>
      <w:r w:rsidRPr="007E419F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572-579.</w:t>
      </w:r>
    </w:p>
    <w:p w:rsidR="007E3EB8" w:rsidRPr="007E419F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en-US"/>
        </w:rPr>
      </w:pP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J. Ob-eye; P.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Praserthdam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B. </w:t>
      </w:r>
      <w:proofErr w:type="spellStart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Jongsomjit</w:t>
      </w:r>
      <w:proofErr w:type="spellEnd"/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Bulletin of Chemical Reaction Engineering &amp; Catalysis,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2019,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E419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14, 2,</w:t>
      </w:r>
      <w:r w:rsidRPr="007E419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268-282.</w:t>
      </w:r>
    </w:p>
    <w:p w:rsidR="007E3EB8" w:rsidRDefault="00490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T. Bittencourt; I. Monteiro; I.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Grecy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S. Filho; E. Vasconcelos;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Santos; A. Gaspar, Anais do 18º Congresso Brasileiro de Catálise, Arraial d´Ajuda, 2015.</w:t>
      </w:r>
    </w:p>
    <w:p w:rsidR="007E3EB8" w:rsidRDefault="007E3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7E3EB8" w:rsidSect="004E08FD">
      <w:type w:val="continuous"/>
      <w:pgSz w:w="11906" w:h="16838"/>
      <w:pgMar w:top="1418" w:right="1094" w:bottom="1418" w:left="567" w:header="709" w:footer="709" w:gutter="0"/>
      <w:cols w:num="2" w:space="720" w:equalWidth="0">
        <w:col w:w="4768" w:space="708"/>
        <w:col w:w="4768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7E9" w:rsidRDefault="006117E9">
      <w:pPr>
        <w:spacing w:after="0" w:line="240" w:lineRule="auto"/>
      </w:pPr>
      <w:r>
        <w:separator/>
      </w:r>
    </w:p>
  </w:endnote>
  <w:endnote w:type="continuationSeparator" w:id="0">
    <w:p w:rsidR="006117E9" w:rsidRDefault="0061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7E9" w:rsidRDefault="006117E9">
      <w:pPr>
        <w:spacing w:after="0" w:line="240" w:lineRule="auto"/>
      </w:pPr>
      <w:r>
        <w:separator/>
      </w:r>
    </w:p>
  </w:footnote>
  <w:footnote w:type="continuationSeparator" w:id="0">
    <w:p w:rsidR="006117E9" w:rsidRDefault="0061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B8" w:rsidRDefault="00490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552733" cy="1069109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5623" t="15704" r="28687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</w:t>
    </w:r>
    <w:r>
      <w:rPr>
        <w:noProof/>
        <w:color w:val="000000"/>
      </w:rPr>
      <w:drawing>
        <wp:inline distT="0" distB="0" distL="0" distR="0">
          <wp:extent cx="1963713" cy="696036"/>
          <wp:effectExtent l="0" t="0" r="0" b="0"/>
          <wp:docPr id="1" name="image1.png" descr="Logo do Si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do Si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F3CF9"/>
    <w:multiLevelType w:val="multilevel"/>
    <w:tmpl w:val="EF02C692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EB8"/>
    <w:rsid w:val="00031C12"/>
    <w:rsid w:val="00042AFD"/>
    <w:rsid w:val="00101F5B"/>
    <w:rsid w:val="001810E4"/>
    <w:rsid w:val="00210829"/>
    <w:rsid w:val="00220314"/>
    <w:rsid w:val="002A10AC"/>
    <w:rsid w:val="00310E26"/>
    <w:rsid w:val="0036277A"/>
    <w:rsid w:val="003C1384"/>
    <w:rsid w:val="0043784D"/>
    <w:rsid w:val="00490219"/>
    <w:rsid w:val="004E08FD"/>
    <w:rsid w:val="0051564B"/>
    <w:rsid w:val="00537749"/>
    <w:rsid w:val="005838AD"/>
    <w:rsid w:val="005D4246"/>
    <w:rsid w:val="005D7E7C"/>
    <w:rsid w:val="00607B23"/>
    <w:rsid w:val="006117E9"/>
    <w:rsid w:val="006C4F72"/>
    <w:rsid w:val="00700717"/>
    <w:rsid w:val="00786557"/>
    <w:rsid w:val="007C5ADB"/>
    <w:rsid w:val="007E1D29"/>
    <w:rsid w:val="007E3EB8"/>
    <w:rsid w:val="007E419F"/>
    <w:rsid w:val="00985C1A"/>
    <w:rsid w:val="009D129A"/>
    <w:rsid w:val="009D2555"/>
    <w:rsid w:val="00A80BB7"/>
    <w:rsid w:val="00B16C5A"/>
    <w:rsid w:val="00C15F59"/>
    <w:rsid w:val="00C504CE"/>
    <w:rsid w:val="00CA2F03"/>
    <w:rsid w:val="00CA3050"/>
    <w:rsid w:val="00CA651B"/>
    <w:rsid w:val="00CE2C58"/>
    <w:rsid w:val="00CF36B6"/>
    <w:rsid w:val="00D30437"/>
    <w:rsid w:val="00D5362F"/>
    <w:rsid w:val="00E513CB"/>
    <w:rsid w:val="00E93A55"/>
    <w:rsid w:val="00EF6490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1"/>
        <w:szCs w:val="21"/>
        <w:lang w:val="pt-BR" w:eastAsia="pt-B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FD"/>
  </w:style>
  <w:style w:type="paragraph" w:styleId="Ttulo1">
    <w:name w:val="heading 1"/>
    <w:basedOn w:val="Normal"/>
    <w:next w:val="Normal"/>
    <w:uiPriority w:val="9"/>
    <w:qFormat/>
    <w:rsid w:val="004E08FD"/>
    <w:pPr>
      <w:keepNext/>
      <w:keepLines/>
      <w:spacing w:before="320" w:after="80" w:line="240" w:lineRule="auto"/>
      <w:jc w:val="center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004E08FD"/>
    <w:pPr>
      <w:keepNext/>
      <w:keepLines/>
      <w:spacing w:before="160" w:after="40" w:line="240" w:lineRule="auto"/>
      <w:jc w:val="center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E08FD"/>
    <w:pPr>
      <w:keepNext/>
      <w:keepLines/>
      <w:spacing w:before="160" w:after="0" w:line="240" w:lineRule="auto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E08FD"/>
    <w:pPr>
      <w:keepNext/>
      <w:keepLines/>
      <w:spacing w:before="80" w:after="0"/>
      <w:outlineLvl w:val="3"/>
    </w:pPr>
    <w:rPr>
      <w:i/>
      <w:sz w:val="30"/>
      <w:szCs w:val="30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E08FD"/>
    <w:pPr>
      <w:keepNext/>
      <w:keepLines/>
      <w:spacing w:before="40" w:after="0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E08FD"/>
    <w:pPr>
      <w:keepNext/>
      <w:keepLines/>
      <w:spacing w:before="40" w:after="0"/>
      <w:outlineLvl w:val="5"/>
    </w:pPr>
    <w:rPr>
      <w:i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E08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E08FD"/>
    <w:pPr>
      <w:pBdr>
        <w:top w:val="single" w:sz="6" w:space="8" w:color="A5A5A5"/>
        <w:bottom w:val="single" w:sz="6" w:space="8" w:color="A5A5A5"/>
      </w:pBdr>
      <w:spacing w:after="400" w:line="240" w:lineRule="auto"/>
      <w:jc w:val="center"/>
    </w:pPr>
    <w:rPr>
      <w:smallCaps/>
      <w:color w:val="44546A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4E08FD"/>
    <w:pPr>
      <w:jc w:val="center"/>
    </w:pPr>
    <w:rPr>
      <w:color w:val="44546A"/>
      <w:sz w:val="28"/>
      <w:szCs w:val="28"/>
    </w:rPr>
  </w:style>
  <w:style w:type="table" w:customStyle="1" w:styleId="a">
    <w:basedOn w:val="TableNormal"/>
    <w:rsid w:val="004E08F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4E08F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4E08F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4E08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4E08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1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4322</Words>
  <Characters>23343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 Dias</dc:creator>
  <cp:lastModifiedBy>kalunga</cp:lastModifiedBy>
  <cp:revision>5</cp:revision>
  <dcterms:created xsi:type="dcterms:W3CDTF">2023-04-17T13:13:00Z</dcterms:created>
  <dcterms:modified xsi:type="dcterms:W3CDTF">2023-04-17T14:01:00Z</dcterms:modified>
</cp:coreProperties>
</file>