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Pr="005F0A3A" w:rsidRDefault="00866822" w:rsidP="00EA4E1B">
      <w:pPr>
        <w:pStyle w:val="BATitle"/>
        <w:spacing w:before="0" w:after="0" w:line="240" w:lineRule="auto"/>
        <w:ind w:right="0"/>
        <w:jc w:val="both"/>
        <w:rPr>
          <w:sz w:val="32"/>
          <w:lang w:val="pt-BR"/>
        </w:rPr>
      </w:pPr>
      <w:bookmarkStart w:id="0" w:name="_Hlk1324517"/>
      <w:bookmarkStart w:id="1" w:name="_Hlk1324670"/>
      <w:r w:rsidRPr="005F0A3A">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4C19D98D" w:rsidR="00EA4E1B" w:rsidRPr="005F0A3A" w:rsidRDefault="002459CF" w:rsidP="00EA4E1B">
      <w:pPr>
        <w:pStyle w:val="BATitle"/>
        <w:spacing w:before="0" w:after="0" w:line="240" w:lineRule="auto"/>
        <w:ind w:right="0"/>
        <w:jc w:val="both"/>
        <w:rPr>
          <w:sz w:val="32"/>
          <w:lang w:val="pt-BR"/>
        </w:rPr>
      </w:pPr>
      <w:r w:rsidRPr="005F0A3A">
        <w:rPr>
          <w:sz w:val="32"/>
          <w:lang w:val="pt-BR"/>
        </w:rPr>
        <w:t>Síntese e caracterização de catalisadores de Au</w:t>
      </w:r>
      <w:r w:rsidR="005E4108" w:rsidRPr="005F0A3A">
        <w:rPr>
          <w:sz w:val="32"/>
          <w:lang w:val="pt-BR"/>
        </w:rPr>
        <w:t>/</w:t>
      </w:r>
      <w:r w:rsidRPr="005F0A3A">
        <w:rPr>
          <w:sz w:val="32"/>
          <w:lang w:val="pt-BR"/>
        </w:rPr>
        <w:t>UiO-66 para conversão de CO</w:t>
      </w:r>
      <w:r w:rsidRPr="005F0A3A">
        <w:rPr>
          <w:sz w:val="32"/>
          <w:vertAlign w:val="subscript"/>
          <w:lang w:val="pt-BR"/>
        </w:rPr>
        <w:t>2</w:t>
      </w:r>
      <w:r w:rsidRPr="005F0A3A">
        <w:rPr>
          <w:sz w:val="32"/>
          <w:lang w:val="pt-BR"/>
        </w:rPr>
        <w:t xml:space="preserve"> </w:t>
      </w:r>
    </w:p>
    <w:p w14:paraId="18735493" w14:textId="7BD7C8C6" w:rsidR="00EA4E1B" w:rsidRPr="005F0A3A" w:rsidRDefault="00F65811" w:rsidP="005F0A3A">
      <w:pPr>
        <w:pStyle w:val="BBAuthorName"/>
        <w:spacing w:before="100" w:after="100"/>
        <w:ind w:right="0"/>
        <w:jc w:val="both"/>
        <w:rPr>
          <w:rFonts w:ascii="Times New Roman" w:hAnsi="Times New Roman"/>
          <w:sz w:val="20"/>
          <w:lang w:val="pt-BR"/>
        </w:rPr>
      </w:pPr>
      <w:r w:rsidRPr="005F0A3A">
        <w:rPr>
          <w:rFonts w:ascii="Times New Roman" w:hAnsi="Times New Roman"/>
          <w:sz w:val="20"/>
          <w:lang w:val="pt-BR"/>
        </w:rPr>
        <w:t>Paola C</w:t>
      </w:r>
      <w:r w:rsidR="009B5791" w:rsidRPr="005F0A3A">
        <w:rPr>
          <w:rFonts w:ascii="Times New Roman" w:hAnsi="Times New Roman"/>
          <w:sz w:val="20"/>
          <w:lang w:val="pt-BR"/>
        </w:rPr>
        <w:t>.</w:t>
      </w:r>
      <w:r w:rsidRPr="005F0A3A">
        <w:rPr>
          <w:rFonts w:ascii="Times New Roman" w:hAnsi="Times New Roman"/>
          <w:sz w:val="20"/>
          <w:lang w:val="pt-BR"/>
        </w:rPr>
        <w:t xml:space="preserve"> Oliveira</w:t>
      </w:r>
      <w:r w:rsidR="00EA4E1B" w:rsidRPr="005F0A3A">
        <w:rPr>
          <w:rFonts w:ascii="Times New Roman" w:hAnsi="Times New Roman"/>
          <w:sz w:val="20"/>
          <w:vertAlign w:val="superscript"/>
          <w:lang w:val="pt-BR"/>
        </w:rPr>
        <w:t>1</w:t>
      </w:r>
      <w:r w:rsidRPr="005F0A3A">
        <w:rPr>
          <w:rFonts w:ascii="Times New Roman" w:hAnsi="Times New Roman"/>
          <w:sz w:val="20"/>
          <w:vertAlign w:val="superscript"/>
          <w:lang w:val="pt-BR"/>
        </w:rPr>
        <w:t>*</w:t>
      </w:r>
      <w:r w:rsidRPr="005F0A3A">
        <w:rPr>
          <w:rFonts w:ascii="Times New Roman" w:hAnsi="Times New Roman"/>
          <w:sz w:val="20"/>
          <w:lang w:val="pt-BR"/>
        </w:rPr>
        <w:t>,</w:t>
      </w:r>
      <w:r w:rsidR="009B5791" w:rsidRPr="005F0A3A">
        <w:rPr>
          <w:rFonts w:ascii="Times New Roman" w:hAnsi="Times New Roman"/>
          <w:sz w:val="20"/>
          <w:lang w:val="pt-BR"/>
        </w:rPr>
        <w:t xml:space="preserve"> Wandson L. N. Amorim</w:t>
      </w:r>
      <w:r w:rsidR="009B5791" w:rsidRPr="005F0A3A">
        <w:rPr>
          <w:rFonts w:ascii="Times New Roman" w:hAnsi="Times New Roman"/>
          <w:sz w:val="20"/>
          <w:vertAlign w:val="superscript"/>
          <w:lang w:val="pt-BR"/>
        </w:rPr>
        <w:t>1</w:t>
      </w:r>
      <w:r w:rsidR="009B5791" w:rsidRPr="005F0A3A">
        <w:rPr>
          <w:rFonts w:ascii="Times New Roman" w:hAnsi="Times New Roman"/>
          <w:sz w:val="20"/>
          <w:lang w:val="pt-BR"/>
        </w:rPr>
        <w:t>,</w:t>
      </w:r>
      <w:r w:rsidRPr="005F0A3A">
        <w:rPr>
          <w:rFonts w:ascii="Times New Roman" w:hAnsi="Times New Roman"/>
          <w:sz w:val="20"/>
          <w:lang w:val="pt-BR"/>
        </w:rPr>
        <w:t xml:space="preserve"> </w:t>
      </w:r>
      <w:r w:rsidR="00291087" w:rsidRPr="005F0A3A">
        <w:rPr>
          <w:rFonts w:ascii="Times New Roman" w:hAnsi="Times New Roman"/>
          <w:sz w:val="20"/>
          <w:lang w:val="pt-BR"/>
        </w:rPr>
        <w:t>Marco A. Fraga</w:t>
      </w:r>
      <w:r w:rsidR="00291087" w:rsidRPr="005F0A3A">
        <w:rPr>
          <w:rFonts w:ascii="Times New Roman" w:hAnsi="Times New Roman"/>
          <w:sz w:val="20"/>
          <w:vertAlign w:val="superscript"/>
          <w:lang w:val="pt-BR"/>
        </w:rPr>
        <w:t>2</w:t>
      </w:r>
      <w:r w:rsidR="00291087" w:rsidRPr="00BC1460">
        <w:rPr>
          <w:rFonts w:ascii="Times New Roman" w:hAnsi="Times New Roman"/>
          <w:sz w:val="20"/>
          <w:lang w:val="pt-BR"/>
        </w:rPr>
        <w:t xml:space="preserve">, </w:t>
      </w:r>
      <w:r w:rsidRPr="005F0A3A">
        <w:rPr>
          <w:rFonts w:ascii="Times New Roman" w:hAnsi="Times New Roman"/>
          <w:sz w:val="20"/>
          <w:lang w:val="pt-BR"/>
        </w:rPr>
        <w:t>Dalmo Mandelli</w:t>
      </w:r>
      <w:r w:rsidRPr="005F0A3A">
        <w:rPr>
          <w:rFonts w:ascii="Times New Roman" w:hAnsi="Times New Roman"/>
          <w:sz w:val="20"/>
          <w:vertAlign w:val="superscript"/>
          <w:lang w:val="pt-BR"/>
        </w:rPr>
        <w:t>1</w:t>
      </w:r>
      <w:r w:rsidRPr="005F0A3A">
        <w:rPr>
          <w:rFonts w:ascii="Times New Roman" w:hAnsi="Times New Roman"/>
          <w:sz w:val="20"/>
          <w:lang w:val="pt-BR"/>
        </w:rPr>
        <w:t xml:space="preserve"> </w:t>
      </w:r>
    </w:p>
    <w:p w14:paraId="22D38595" w14:textId="024558E7" w:rsidR="00EA4E1B" w:rsidRPr="005F0A3A" w:rsidRDefault="00EA4E1B" w:rsidP="005F0A3A">
      <w:pPr>
        <w:pStyle w:val="BCAuthorAddress"/>
        <w:spacing w:after="60"/>
        <w:ind w:right="0"/>
        <w:jc w:val="both"/>
        <w:rPr>
          <w:lang w:val="pt-BR"/>
        </w:rPr>
      </w:pPr>
      <w:r w:rsidRPr="005F0A3A">
        <w:rPr>
          <w:vertAlign w:val="superscript"/>
          <w:lang w:val="pt-BR"/>
        </w:rPr>
        <w:t>1</w:t>
      </w:r>
      <w:r w:rsidR="00F65811" w:rsidRPr="005F0A3A">
        <w:rPr>
          <w:lang w:val="pt-BR"/>
        </w:rPr>
        <w:t>Universidade Federal do ABC, UFABC</w:t>
      </w:r>
      <w:r w:rsidR="00F4729D" w:rsidRPr="005F0A3A">
        <w:rPr>
          <w:lang w:val="pt-BR"/>
        </w:rPr>
        <w:t xml:space="preserve">, </w:t>
      </w:r>
      <w:r w:rsidR="00F65811" w:rsidRPr="005F0A3A">
        <w:rPr>
          <w:vertAlign w:val="superscript"/>
          <w:lang w:val="pt-BR"/>
        </w:rPr>
        <w:t>2</w:t>
      </w:r>
      <w:r w:rsidR="00F65811" w:rsidRPr="005F0A3A">
        <w:rPr>
          <w:lang w:val="pt-BR"/>
        </w:rPr>
        <w:t>Instituto Nacional de Tecnologia, INT.</w:t>
      </w:r>
    </w:p>
    <w:bookmarkEnd w:id="0"/>
    <w:p w14:paraId="238E7EC1" w14:textId="5D4AB3B8" w:rsidR="00AF0400" w:rsidRPr="005F0A3A" w:rsidRDefault="00AF0400" w:rsidP="00EA4E1B">
      <w:pPr>
        <w:pStyle w:val="BDAbstract"/>
        <w:spacing w:before="0" w:after="0" w:line="240" w:lineRule="auto"/>
        <w:rPr>
          <w:rFonts w:ascii="Times New Roman" w:hAnsi="Times New Roman"/>
          <w:b w:val="0"/>
          <w:sz w:val="20"/>
          <w:lang w:val="pt-BR"/>
        </w:rPr>
      </w:pPr>
      <w:r w:rsidRPr="005F0A3A">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F6755C6"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3F6755C6"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5240B2" w:rsidRDefault="00AF0400" w:rsidP="00EA4E1B">
      <w:pPr>
        <w:pStyle w:val="BDAbstract"/>
        <w:spacing w:before="0" w:after="0" w:line="240" w:lineRule="auto"/>
        <w:rPr>
          <w:rFonts w:ascii="Times New Roman" w:hAnsi="Times New Roman"/>
          <w:b w:val="0"/>
          <w:sz w:val="20"/>
          <w:lang w:val="pt-BR"/>
        </w:rPr>
      </w:pPr>
    </w:p>
    <w:p w14:paraId="620D7AD4" w14:textId="3A2E1100" w:rsidR="005240B2" w:rsidRPr="005240B2" w:rsidRDefault="00EA4E1B" w:rsidP="00EA4E1B">
      <w:pPr>
        <w:pStyle w:val="BDAbstract"/>
        <w:spacing w:before="0" w:after="0" w:line="240" w:lineRule="auto"/>
        <w:rPr>
          <w:rFonts w:ascii="Times New Roman" w:hAnsi="Times New Roman"/>
          <w:b w:val="0"/>
          <w:sz w:val="20"/>
          <w:lang w:val="pt-BR"/>
        </w:rPr>
      </w:pPr>
      <w:r w:rsidRPr="005240B2">
        <w:rPr>
          <w:rFonts w:ascii="Times New Roman" w:hAnsi="Times New Roman"/>
          <w:b w:val="0"/>
          <w:sz w:val="20"/>
          <w:lang w:val="pt-BR"/>
        </w:rPr>
        <w:t xml:space="preserve">RESUMO </w:t>
      </w:r>
      <w:r w:rsidR="002154D5" w:rsidRPr="005240B2">
        <w:rPr>
          <w:rFonts w:ascii="Times New Roman" w:hAnsi="Times New Roman"/>
          <w:b w:val="0"/>
          <w:sz w:val="20"/>
          <w:lang w:val="pt-BR"/>
        </w:rPr>
        <w:t>–</w:t>
      </w:r>
      <w:r w:rsidRPr="005240B2">
        <w:rPr>
          <w:rFonts w:ascii="Times New Roman" w:hAnsi="Times New Roman"/>
          <w:b w:val="0"/>
          <w:sz w:val="20"/>
          <w:lang w:val="pt-BR"/>
        </w:rPr>
        <w:t xml:space="preserve"> </w:t>
      </w:r>
      <w:r w:rsidR="002154D5" w:rsidRPr="005240B2">
        <w:rPr>
          <w:rFonts w:ascii="Times New Roman" w:hAnsi="Times New Roman"/>
          <w:b w:val="0"/>
          <w:sz w:val="20"/>
          <w:lang w:val="pt-BR"/>
        </w:rPr>
        <w:t>As emissões de CO</w:t>
      </w:r>
      <w:r w:rsidR="002154D5" w:rsidRPr="005240B2">
        <w:rPr>
          <w:rFonts w:ascii="Times New Roman" w:hAnsi="Times New Roman"/>
          <w:b w:val="0"/>
          <w:sz w:val="20"/>
          <w:vertAlign w:val="subscript"/>
          <w:lang w:val="pt-BR"/>
        </w:rPr>
        <w:t>2</w:t>
      </w:r>
      <w:r w:rsidR="002154D5" w:rsidRPr="005240B2">
        <w:rPr>
          <w:rFonts w:ascii="Times New Roman" w:hAnsi="Times New Roman"/>
          <w:b w:val="0"/>
          <w:sz w:val="20"/>
          <w:lang w:val="pt-BR"/>
        </w:rPr>
        <w:t xml:space="preserve"> tem aumentado ao longo dos anos e, sabendo dos impactos deste aumento é necessário mitigar tais emissões, uma forma promissora é converter este gás em produtos químicos, que podem ser usados na indústria química, farmacêutica,</w:t>
      </w:r>
      <w:r w:rsidR="00D6058B" w:rsidRPr="005240B2">
        <w:rPr>
          <w:rFonts w:ascii="Times New Roman" w:hAnsi="Times New Roman"/>
          <w:b w:val="0"/>
          <w:sz w:val="20"/>
          <w:lang w:val="pt-BR"/>
        </w:rPr>
        <w:t xml:space="preserve"> automob</w:t>
      </w:r>
      <w:r w:rsidR="00813CCF" w:rsidRPr="005240B2">
        <w:rPr>
          <w:rFonts w:ascii="Times New Roman" w:hAnsi="Times New Roman"/>
          <w:b w:val="0"/>
          <w:sz w:val="20"/>
          <w:lang w:val="pt-BR"/>
        </w:rPr>
        <w:t>i</w:t>
      </w:r>
      <w:r w:rsidR="00D6058B" w:rsidRPr="005240B2">
        <w:rPr>
          <w:rFonts w:ascii="Times New Roman" w:hAnsi="Times New Roman"/>
          <w:b w:val="0"/>
          <w:sz w:val="20"/>
          <w:lang w:val="pt-BR"/>
        </w:rPr>
        <w:t>lística, setor energético</w:t>
      </w:r>
      <w:r w:rsidR="002154D5" w:rsidRPr="005240B2">
        <w:rPr>
          <w:rFonts w:ascii="Times New Roman" w:hAnsi="Times New Roman"/>
          <w:b w:val="0"/>
          <w:sz w:val="20"/>
          <w:lang w:val="pt-BR"/>
        </w:rPr>
        <w:t xml:space="preserve"> etc</w:t>
      </w:r>
      <w:r w:rsidRPr="005240B2">
        <w:rPr>
          <w:rFonts w:ascii="Times New Roman" w:hAnsi="Times New Roman"/>
          <w:b w:val="0"/>
          <w:sz w:val="20"/>
          <w:lang w:val="pt-BR"/>
        </w:rPr>
        <w:t>.</w:t>
      </w:r>
      <w:r w:rsidR="002154D5" w:rsidRPr="005240B2">
        <w:rPr>
          <w:rFonts w:ascii="Times New Roman" w:hAnsi="Times New Roman"/>
          <w:b w:val="0"/>
          <w:sz w:val="20"/>
          <w:lang w:val="pt-BR"/>
        </w:rPr>
        <w:t xml:space="preserve"> Neste sentido, catalisadores à base de Au têm se mostrado como uma excelente alternativa </w:t>
      </w:r>
      <w:r w:rsidR="00813CCF" w:rsidRPr="005240B2">
        <w:rPr>
          <w:rFonts w:ascii="Times New Roman" w:hAnsi="Times New Roman"/>
          <w:b w:val="0"/>
          <w:sz w:val="20"/>
          <w:lang w:val="pt-BR"/>
        </w:rPr>
        <w:t>na obtenção de alguns destes produtos como metano, CO, ácido fórmico, entre outro.</w:t>
      </w:r>
      <w:r w:rsidR="002154D5" w:rsidRPr="005240B2">
        <w:rPr>
          <w:rFonts w:ascii="Times New Roman" w:hAnsi="Times New Roman"/>
          <w:b w:val="0"/>
          <w:sz w:val="20"/>
          <w:lang w:val="pt-BR"/>
        </w:rPr>
        <w:t xml:space="preserve"> </w:t>
      </w:r>
      <w:r w:rsidR="00813CCF" w:rsidRPr="005240B2">
        <w:rPr>
          <w:rFonts w:ascii="Times New Roman" w:hAnsi="Times New Roman"/>
          <w:b w:val="0"/>
          <w:sz w:val="20"/>
          <w:lang w:val="pt-BR"/>
        </w:rPr>
        <w:t>S</w:t>
      </w:r>
      <w:r w:rsidR="002154D5" w:rsidRPr="005240B2">
        <w:rPr>
          <w:rFonts w:ascii="Times New Roman" w:hAnsi="Times New Roman"/>
          <w:b w:val="0"/>
          <w:sz w:val="20"/>
          <w:lang w:val="pt-BR"/>
        </w:rPr>
        <w:t xml:space="preserve">omado isso </w:t>
      </w:r>
      <w:proofErr w:type="spellStart"/>
      <w:r w:rsidR="002154D5" w:rsidRPr="005240B2">
        <w:rPr>
          <w:rFonts w:ascii="Times New Roman" w:hAnsi="Times New Roman"/>
          <w:b w:val="0"/>
          <w:sz w:val="20"/>
          <w:lang w:val="pt-BR"/>
        </w:rPr>
        <w:t>MOFs</w:t>
      </w:r>
      <w:proofErr w:type="spellEnd"/>
      <w:r w:rsidR="002154D5" w:rsidRPr="005240B2">
        <w:rPr>
          <w:rFonts w:ascii="Times New Roman" w:hAnsi="Times New Roman"/>
          <w:b w:val="0"/>
          <w:sz w:val="20"/>
          <w:lang w:val="pt-BR"/>
        </w:rPr>
        <w:t xml:space="preserve"> à base de Zr, como a UiO-66 oferecem vantagens frente a catalisadores de óxidos convencionais. </w:t>
      </w:r>
      <w:r w:rsidR="005240B2" w:rsidRPr="005240B2">
        <w:rPr>
          <w:rFonts w:ascii="Times New Roman" w:hAnsi="Times New Roman"/>
          <w:b w:val="0"/>
          <w:sz w:val="20"/>
          <w:lang w:val="pt-BR"/>
        </w:rPr>
        <w:t xml:space="preserve">Por isso, é importante desenvolver rotas sintéticas eficientes para obtenção de catalisadores de </w:t>
      </w:r>
      <w:proofErr w:type="spellStart"/>
      <w:r w:rsidR="005240B2" w:rsidRPr="005240B2">
        <w:rPr>
          <w:rFonts w:ascii="Times New Roman" w:hAnsi="Times New Roman"/>
          <w:b w:val="0"/>
          <w:sz w:val="20"/>
          <w:lang w:val="pt-BR"/>
        </w:rPr>
        <w:t>Au</w:t>
      </w:r>
      <w:proofErr w:type="spellEnd"/>
      <w:r w:rsidR="005240B2" w:rsidRPr="005240B2">
        <w:rPr>
          <w:rFonts w:ascii="Times New Roman" w:hAnsi="Times New Roman"/>
          <w:b w:val="0"/>
          <w:sz w:val="20"/>
          <w:lang w:val="pt-BR"/>
        </w:rPr>
        <w:t xml:space="preserve"> e UiO-66 para converter CO</w:t>
      </w:r>
      <w:r w:rsidR="005240B2" w:rsidRPr="005240B2">
        <w:rPr>
          <w:rFonts w:ascii="Times New Roman" w:hAnsi="Times New Roman"/>
          <w:b w:val="0"/>
          <w:sz w:val="20"/>
          <w:vertAlign w:val="subscript"/>
          <w:lang w:val="pt-BR"/>
        </w:rPr>
        <w:t>2</w:t>
      </w:r>
      <w:r w:rsidR="005240B2" w:rsidRPr="005240B2">
        <w:rPr>
          <w:rFonts w:ascii="Times New Roman" w:hAnsi="Times New Roman"/>
          <w:b w:val="0"/>
          <w:sz w:val="20"/>
          <w:lang w:val="pt-BR"/>
        </w:rPr>
        <w:t xml:space="preserve">. Assim foi explorada a síntese de </w:t>
      </w:r>
      <w:proofErr w:type="spellStart"/>
      <w:r w:rsidR="005240B2" w:rsidRPr="005240B2">
        <w:rPr>
          <w:rFonts w:ascii="Times New Roman" w:hAnsi="Times New Roman"/>
          <w:b w:val="0"/>
          <w:sz w:val="20"/>
          <w:lang w:val="pt-BR"/>
        </w:rPr>
        <w:t>MOFs</w:t>
      </w:r>
      <w:proofErr w:type="spellEnd"/>
      <w:r w:rsidR="005240B2" w:rsidRPr="005240B2">
        <w:rPr>
          <w:rFonts w:ascii="Times New Roman" w:hAnsi="Times New Roman"/>
          <w:b w:val="0"/>
          <w:sz w:val="20"/>
          <w:lang w:val="pt-BR"/>
        </w:rPr>
        <w:t xml:space="preserve"> a partir de um modulador de HCOOH com nanopartículas de </w:t>
      </w:r>
      <w:proofErr w:type="spellStart"/>
      <w:r w:rsidR="005240B2" w:rsidRPr="005240B2">
        <w:rPr>
          <w:rFonts w:ascii="Times New Roman" w:hAnsi="Times New Roman"/>
          <w:b w:val="0"/>
          <w:sz w:val="20"/>
          <w:lang w:val="pt-BR"/>
        </w:rPr>
        <w:t>Au</w:t>
      </w:r>
      <w:proofErr w:type="spellEnd"/>
      <w:r w:rsidR="005240B2" w:rsidRPr="005240B2">
        <w:rPr>
          <w:rFonts w:ascii="Times New Roman" w:hAnsi="Times New Roman"/>
          <w:b w:val="0"/>
          <w:sz w:val="20"/>
          <w:lang w:val="pt-BR"/>
        </w:rPr>
        <w:t>, estudando o impacto nas propriedades físicas da UiO-66.</w:t>
      </w:r>
    </w:p>
    <w:p w14:paraId="09B41B70" w14:textId="6A15D15B" w:rsidR="00EA4E1B" w:rsidRPr="005240B2" w:rsidRDefault="00EA4E1B" w:rsidP="00EA4E1B">
      <w:pPr>
        <w:pStyle w:val="BDAbstract"/>
        <w:spacing w:before="0" w:after="0" w:line="240" w:lineRule="auto"/>
        <w:rPr>
          <w:rFonts w:ascii="Times New Roman" w:hAnsi="Times New Roman"/>
          <w:b w:val="0"/>
          <w:sz w:val="20"/>
          <w:lang w:val="pt-BR"/>
        </w:rPr>
      </w:pPr>
      <w:r w:rsidRPr="005240B2">
        <w:rPr>
          <w:rFonts w:ascii="Times New Roman" w:hAnsi="Times New Roman"/>
          <w:bCs/>
          <w:iCs/>
          <w:sz w:val="20"/>
          <w:lang w:val="pt-BR"/>
        </w:rPr>
        <w:t>Palavras-chave:</w:t>
      </w:r>
      <w:r w:rsidRPr="005240B2">
        <w:rPr>
          <w:rFonts w:ascii="Times New Roman" w:hAnsi="Times New Roman"/>
          <w:b w:val="0"/>
          <w:i/>
          <w:sz w:val="20"/>
          <w:lang w:val="pt-BR"/>
        </w:rPr>
        <w:t xml:space="preserve"> </w:t>
      </w:r>
      <w:r w:rsidR="002B09A0" w:rsidRPr="005240B2">
        <w:rPr>
          <w:rFonts w:ascii="Times New Roman" w:hAnsi="Times New Roman"/>
          <w:b w:val="0"/>
          <w:i/>
          <w:sz w:val="20"/>
          <w:lang w:val="pt-BR"/>
        </w:rPr>
        <w:t>CO</w:t>
      </w:r>
      <w:r w:rsidR="002B09A0" w:rsidRPr="005240B2">
        <w:rPr>
          <w:rFonts w:ascii="Times New Roman" w:hAnsi="Times New Roman"/>
          <w:b w:val="0"/>
          <w:i/>
          <w:sz w:val="20"/>
          <w:vertAlign w:val="subscript"/>
          <w:lang w:val="pt-BR"/>
        </w:rPr>
        <w:t>2</w:t>
      </w:r>
      <w:r w:rsidR="002B09A0" w:rsidRPr="005240B2">
        <w:rPr>
          <w:rFonts w:ascii="Times New Roman" w:hAnsi="Times New Roman"/>
          <w:b w:val="0"/>
          <w:i/>
          <w:sz w:val="20"/>
          <w:lang w:val="pt-BR"/>
        </w:rPr>
        <w:t>, UiO-66, nanopartículas</w:t>
      </w:r>
      <w:r w:rsidR="00D5509C" w:rsidRPr="005240B2">
        <w:rPr>
          <w:rFonts w:ascii="Times New Roman" w:hAnsi="Times New Roman"/>
          <w:b w:val="0"/>
          <w:i/>
          <w:sz w:val="20"/>
          <w:lang w:val="pt-BR"/>
        </w:rPr>
        <w:t>, ouro, conversão</w:t>
      </w:r>
      <w:r w:rsidRPr="005240B2">
        <w:rPr>
          <w:rFonts w:ascii="Times New Roman" w:hAnsi="Times New Roman"/>
          <w:b w:val="0"/>
          <w:i/>
          <w:sz w:val="20"/>
          <w:lang w:val="pt-BR"/>
        </w:rPr>
        <w:t>.</w:t>
      </w:r>
    </w:p>
    <w:p w14:paraId="1E1DEA50" w14:textId="158E7FE6" w:rsidR="00813CCF" w:rsidRPr="005240B2" w:rsidRDefault="00EA4E1B" w:rsidP="00813CCF">
      <w:pPr>
        <w:pStyle w:val="BDAbstract"/>
        <w:spacing w:after="0" w:line="240" w:lineRule="auto"/>
        <w:rPr>
          <w:rFonts w:ascii="Times New Roman" w:hAnsi="Times New Roman"/>
          <w:b w:val="0"/>
          <w:sz w:val="20"/>
        </w:rPr>
      </w:pPr>
      <w:r w:rsidRPr="005240B2">
        <w:rPr>
          <w:rFonts w:ascii="Times New Roman" w:hAnsi="Times New Roman"/>
          <w:b w:val="0"/>
          <w:sz w:val="20"/>
        </w:rPr>
        <w:t xml:space="preserve">ABSTRACT </w:t>
      </w:r>
      <w:r w:rsidR="00D5509C" w:rsidRPr="005240B2">
        <w:rPr>
          <w:rFonts w:ascii="Times New Roman" w:hAnsi="Times New Roman"/>
          <w:b w:val="0"/>
          <w:sz w:val="20"/>
        </w:rPr>
        <w:t>–</w:t>
      </w:r>
      <w:r w:rsidRPr="005240B2">
        <w:rPr>
          <w:rFonts w:ascii="Times New Roman" w:hAnsi="Times New Roman"/>
          <w:b w:val="0"/>
          <w:sz w:val="20"/>
        </w:rPr>
        <w:t xml:space="preserve"> </w:t>
      </w:r>
      <w:r w:rsidR="00813CCF" w:rsidRPr="005240B2">
        <w:rPr>
          <w:rFonts w:ascii="Times New Roman" w:hAnsi="Times New Roman"/>
          <w:b w:val="0"/>
          <w:sz w:val="20"/>
        </w:rPr>
        <w:t>CO</w:t>
      </w:r>
      <w:r w:rsidR="00813CCF" w:rsidRPr="005240B2">
        <w:rPr>
          <w:rFonts w:ascii="Times New Roman" w:hAnsi="Times New Roman"/>
          <w:b w:val="0"/>
          <w:sz w:val="20"/>
          <w:vertAlign w:val="subscript"/>
        </w:rPr>
        <w:t xml:space="preserve">2 </w:t>
      </w:r>
      <w:r w:rsidR="00813CCF" w:rsidRPr="005240B2">
        <w:rPr>
          <w:rFonts w:ascii="Times New Roman" w:hAnsi="Times New Roman"/>
          <w:b w:val="0"/>
          <w:sz w:val="20"/>
        </w:rPr>
        <w:t xml:space="preserve">emissions have increased over the years and, knowing the impacts of this increase it is necessary to mitigate such emissions, one promising way is to convert this gas into chemicals, which can be used in the chemical industry, pharmaceutical, automotive, energy sector etc. In this sense, Au-based catalysts have been shown as an excellent alternative in obtaining some of these products such as methane, CO, formic acid, among others. In addition, Zr-based MOFs, such as UiO-66, offer advantages over conventional oxide catalysts. </w:t>
      </w:r>
      <w:r w:rsidR="005240B2" w:rsidRPr="005240B2">
        <w:rPr>
          <w:rFonts w:ascii="Times New Roman" w:hAnsi="Times New Roman"/>
          <w:b w:val="0"/>
          <w:sz w:val="20"/>
        </w:rPr>
        <w:t>Therefore, it is important to develop efficient synthetic routes to obtain Au and UiO-66 catalysts to convert CO</w:t>
      </w:r>
      <w:r w:rsidR="005240B2" w:rsidRPr="005240B2">
        <w:rPr>
          <w:rFonts w:ascii="Times New Roman" w:hAnsi="Times New Roman"/>
          <w:b w:val="0"/>
          <w:sz w:val="20"/>
          <w:vertAlign w:val="subscript"/>
        </w:rPr>
        <w:t>2</w:t>
      </w:r>
      <w:r w:rsidR="005240B2" w:rsidRPr="005240B2">
        <w:rPr>
          <w:rFonts w:ascii="Times New Roman" w:hAnsi="Times New Roman"/>
          <w:b w:val="0"/>
          <w:sz w:val="20"/>
        </w:rPr>
        <w:t>. Thus, the synthesis of MOFs from a HCOOH modulator with Au nanoparticles was explored, studying the impact on the physical properties of UiO-66.</w:t>
      </w:r>
    </w:p>
    <w:p w14:paraId="48D9B0C4" w14:textId="122484AD" w:rsidR="00EA4E1B" w:rsidRPr="005240B2" w:rsidRDefault="00EA4E1B" w:rsidP="002D364A">
      <w:pPr>
        <w:pStyle w:val="BDAbstract"/>
        <w:spacing w:before="0" w:after="0" w:line="240" w:lineRule="auto"/>
        <w:rPr>
          <w:rFonts w:ascii="Times New Roman" w:hAnsi="Times New Roman"/>
          <w:b w:val="0"/>
          <w:iCs/>
          <w:sz w:val="20"/>
        </w:rPr>
        <w:sectPr w:rsidR="00EA4E1B" w:rsidRPr="005240B2" w:rsidSect="00EA4E1B">
          <w:headerReference w:type="default" r:id="rId8"/>
          <w:endnotePr>
            <w:numFmt w:val="decimal"/>
          </w:endnotePr>
          <w:pgSz w:w="11906" w:h="16838"/>
          <w:pgMar w:top="1418" w:right="1094" w:bottom="1418" w:left="567" w:header="709" w:footer="709" w:gutter="0"/>
          <w:cols w:space="708"/>
          <w:docGrid w:linePitch="360"/>
        </w:sectPr>
      </w:pPr>
      <w:r w:rsidRPr="005240B2">
        <w:rPr>
          <w:rFonts w:ascii="Times New Roman" w:hAnsi="Times New Roman"/>
          <w:bCs/>
          <w:iCs/>
          <w:sz w:val="20"/>
        </w:rPr>
        <w:t>Keywords:</w:t>
      </w:r>
      <w:r w:rsidRPr="005240B2">
        <w:rPr>
          <w:rFonts w:ascii="Times New Roman" w:hAnsi="Times New Roman"/>
          <w:b w:val="0"/>
          <w:i/>
          <w:sz w:val="20"/>
        </w:rPr>
        <w:t xml:space="preserve"> </w:t>
      </w:r>
      <w:r w:rsidR="00D5509C" w:rsidRPr="005240B2">
        <w:rPr>
          <w:rFonts w:ascii="Times New Roman" w:hAnsi="Times New Roman"/>
          <w:b w:val="0"/>
          <w:i/>
          <w:sz w:val="20"/>
        </w:rPr>
        <w:t>CO</w:t>
      </w:r>
      <w:r w:rsidR="00D5509C" w:rsidRPr="005240B2">
        <w:rPr>
          <w:rFonts w:ascii="Times New Roman" w:hAnsi="Times New Roman"/>
          <w:b w:val="0"/>
          <w:i/>
          <w:sz w:val="20"/>
          <w:vertAlign w:val="subscript"/>
        </w:rPr>
        <w:t>2</w:t>
      </w:r>
      <w:r w:rsidR="00D5509C" w:rsidRPr="005240B2">
        <w:rPr>
          <w:rFonts w:ascii="Times New Roman" w:hAnsi="Times New Roman"/>
          <w:b w:val="0"/>
          <w:i/>
          <w:sz w:val="20"/>
        </w:rPr>
        <w:t>, UiO-66, nanoparticles, gold, conversion.</w:t>
      </w:r>
      <w:bookmarkEnd w:id="1"/>
    </w:p>
    <w:p w14:paraId="625F2C0A" w14:textId="225C3106" w:rsidR="00EA4E1B" w:rsidRPr="005240B2" w:rsidRDefault="00EA4E1B" w:rsidP="005F0A3A">
      <w:pPr>
        <w:pStyle w:val="Ttulo2"/>
        <w:spacing w:before="0" w:after="100"/>
        <w:rPr>
          <w:rFonts w:ascii="Helvetica" w:hAnsi="Helvetica" w:cs="Helvetica"/>
          <w:sz w:val="24"/>
          <w:szCs w:val="24"/>
        </w:rPr>
      </w:pPr>
      <w:r w:rsidRPr="005240B2">
        <w:rPr>
          <w:rFonts w:ascii="Helvetica" w:hAnsi="Helvetica" w:cs="Helvetica"/>
          <w:sz w:val="24"/>
          <w:szCs w:val="24"/>
        </w:rPr>
        <w:t>Introdução</w:t>
      </w:r>
    </w:p>
    <w:p w14:paraId="1CA3937D" w14:textId="704737C2" w:rsidR="00DD678C" w:rsidRPr="005F0A3A" w:rsidRDefault="00B00BFE" w:rsidP="006D4D23">
      <w:pPr>
        <w:pStyle w:val="TAMainText"/>
        <w:ind w:firstLine="204"/>
        <w:rPr>
          <w:rFonts w:ascii="Times New Roman" w:hAnsi="Times New Roman"/>
          <w:lang w:val="pt-BR"/>
        </w:rPr>
      </w:pPr>
      <w:r w:rsidRPr="005240B2">
        <w:rPr>
          <w:rFonts w:ascii="Times New Roman" w:hAnsi="Times New Roman"/>
          <w:lang w:val="pt-BR"/>
        </w:rPr>
        <w:t>Apesar da conversão de CO</w:t>
      </w:r>
      <w:r w:rsidRPr="005240B2">
        <w:rPr>
          <w:rFonts w:ascii="Times New Roman" w:hAnsi="Times New Roman"/>
          <w:vertAlign w:val="subscript"/>
          <w:lang w:val="pt-BR"/>
        </w:rPr>
        <w:t>2</w:t>
      </w:r>
      <w:r w:rsidRPr="005240B2">
        <w:rPr>
          <w:rFonts w:ascii="Times New Roman" w:hAnsi="Times New Roman"/>
          <w:lang w:val="pt-BR"/>
        </w:rPr>
        <w:t xml:space="preserve"> em matérias-primas petroquímicas atrair bastante atenção devido a seu papel na diminuição e captura deste gás, além da produção de importantes intermediários químicos, há poucas estratégias para </w:t>
      </w:r>
      <w:r w:rsidR="00813CCF" w:rsidRPr="005240B2">
        <w:rPr>
          <w:rFonts w:ascii="Times New Roman" w:hAnsi="Times New Roman"/>
          <w:lang w:val="pt-BR"/>
        </w:rPr>
        <w:t>obtenção de alguns produtos como por exemplo, compostos oxigenados</w:t>
      </w:r>
      <w:r w:rsidRPr="005240B2">
        <w:rPr>
          <w:rFonts w:ascii="Times New Roman" w:hAnsi="Times New Roman"/>
          <w:lang w:val="pt-BR"/>
        </w:rPr>
        <w:t xml:space="preserve">. </w:t>
      </w:r>
      <w:r w:rsidR="005E4108" w:rsidRPr="005F0A3A">
        <w:rPr>
          <w:rFonts w:ascii="Times New Roman" w:hAnsi="Times New Roman"/>
          <w:lang w:val="pt-BR"/>
        </w:rPr>
        <w:t>Com essa finalidade</w:t>
      </w:r>
      <w:r w:rsidRPr="005F0A3A">
        <w:rPr>
          <w:rFonts w:ascii="Times New Roman" w:hAnsi="Times New Roman"/>
          <w:lang w:val="pt-BR"/>
        </w:rPr>
        <w:t>, catalisadores de óxidos metálicos, suportados ou não, como Au/TiO</w:t>
      </w:r>
      <w:r w:rsidRPr="005F0A3A">
        <w:rPr>
          <w:rFonts w:ascii="Times New Roman" w:hAnsi="Times New Roman"/>
          <w:vertAlign w:val="subscript"/>
          <w:lang w:val="pt-BR"/>
        </w:rPr>
        <w:t>2</w:t>
      </w:r>
      <w:r w:rsidRPr="005F0A3A">
        <w:rPr>
          <w:rFonts w:ascii="Times New Roman" w:hAnsi="Times New Roman"/>
          <w:lang w:val="pt-BR"/>
        </w:rPr>
        <w:t xml:space="preserve"> e Au/SiO</w:t>
      </w:r>
      <w:r w:rsidRPr="005F0A3A">
        <w:rPr>
          <w:rFonts w:ascii="Times New Roman" w:hAnsi="Times New Roman"/>
          <w:vertAlign w:val="subscript"/>
          <w:lang w:val="pt-BR"/>
        </w:rPr>
        <w:t>2</w:t>
      </w:r>
      <w:r w:rsidR="005E4108" w:rsidRPr="005F0A3A">
        <w:rPr>
          <w:rFonts w:ascii="Times New Roman" w:hAnsi="Times New Roman"/>
          <w:lang w:val="pt-BR"/>
        </w:rPr>
        <w:t xml:space="preserve">, podem ser usados; </w:t>
      </w:r>
      <w:r w:rsidRPr="005F0A3A">
        <w:rPr>
          <w:rFonts w:ascii="Times New Roman" w:hAnsi="Times New Roman"/>
          <w:lang w:val="pt-BR"/>
        </w:rPr>
        <w:t xml:space="preserve">porém, o uso destes catalisadores </w:t>
      </w:r>
      <w:r w:rsidR="005E4108" w:rsidRPr="005F0A3A">
        <w:rPr>
          <w:rFonts w:ascii="Times New Roman" w:hAnsi="Times New Roman"/>
          <w:lang w:val="pt-BR"/>
        </w:rPr>
        <w:t>possui limitações,</w:t>
      </w:r>
      <w:r w:rsidRPr="005F0A3A">
        <w:rPr>
          <w:rFonts w:ascii="Times New Roman" w:hAnsi="Times New Roman"/>
          <w:lang w:val="pt-BR"/>
        </w:rPr>
        <w:t xml:space="preserve"> como a baixa conversão, que não atinge 10%, e </w:t>
      </w:r>
      <w:r w:rsidR="005E4108" w:rsidRPr="005F0A3A">
        <w:rPr>
          <w:rFonts w:ascii="Times New Roman" w:hAnsi="Times New Roman"/>
          <w:lang w:val="pt-BR"/>
        </w:rPr>
        <w:t xml:space="preserve">a </w:t>
      </w:r>
      <w:r w:rsidRPr="005F0A3A">
        <w:rPr>
          <w:rFonts w:ascii="Times New Roman" w:hAnsi="Times New Roman"/>
          <w:lang w:val="pt-BR"/>
        </w:rPr>
        <w:t>formação de produtos laterais</w:t>
      </w:r>
      <w:r w:rsidR="005E4108" w:rsidRPr="005F0A3A">
        <w:rPr>
          <w:rFonts w:ascii="Times New Roman" w:hAnsi="Times New Roman"/>
          <w:lang w:val="pt-BR"/>
        </w:rPr>
        <w:t>,</w:t>
      </w:r>
      <w:r w:rsidRPr="005F0A3A">
        <w:rPr>
          <w:rFonts w:ascii="Times New Roman" w:hAnsi="Times New Roman"/>
          <w:lang w:val="pt-BR"/>
        </w:rPr>
        <w:t xml:space="preserve"> que afetam a seletividade para</w:t>
      </w:r>
      <w:r w:rsidR="005E4108" w:rsidRPr="005F0A3A">
        <w:rPr>
          <w:rFonts w:ascii="Times New Roman" w:hAnsi="Times New Roman"/>
          <w:lang w:val="pt-BR"/>
        </w:rPr>
        <w:t xml:space="preserve"> compostos</w:t>
      </w:r>
      <w:r w:rsidRPr="005F0A3A">
        <w:rPr>
          <w:rFonts w:ascii="Times New Roman" w:hAnsi="Times New Roman"/>
          <w:lang w:val="pt-BR"/>
        </w:rPr>
        <w:t xml:space="preserve"> oxigenados (</w:t>
      </w:r>
      <w:r w:rsidR="00D5509C" w:rsidRPr="005F0A3A">
        <w:rPr>
          <w:rFonts w:ascii="Times New Roman" w:hAnsi="Times New Roman"/>
          <w:lang w:val="pt-BR"/>
        </w:rPr>
        <w:t>1-6</w:t>
      </w:r>
      <w:r w:rsidRPr="005F0A3A">
        <w:rPr>
          <w:rFonts w:ascii="Times New Roman" w:hAnsi="Times New Roman"/>
          <w:lang w:val="pt-BR"/>
        </w:rPr>
        <w:t>).</w:t>
      </w:r>
    </w:p>
    <w:p w14:paraId="4C0A90A0" w14:textId="2E20E6C5" w:rsidR="005E4108" w:rsidRDefault="005E4108" w:rsidP="00D5509C">
      <w:pPr>
        <w:pStyle w:val="TAMainText"/>
        <w:rPr>
          <w:rFonts w:ascii="Times New Roman" w:hAnsi="Times New Roman"/>
          <w:lang w:val="pt-BR"/>
        </w:rPr>
      </w:pPr>
      <w:r w:rsidRPr="005F0A3A">
        <w:rPr>
          <w:rFonts w:ascii="Times New Roman" w:hAnsi="Times New Roman"/>
          <w:lang w:val="pt-BR"/>
        </w:rPr>
        <w:t>Nesse sentido</w:t>
      </w:r>
      <w:r w:rsidR="00B00BFE" w:rsidRPr="005F0A3A">
        <w:rPr>
          <w:rFonts w:ascii="Times New Roman" w:hAnsi="Times New Roman"/>
          <w:lang w:val="pt-BR"/>
        </w:rPr>
        <w:t xml:space="preserve">, </w:t>
      </w:r>
      <w:r w:rsidR="006E30C4" w:rsidRPr="005F0A3A">
        <w:rPr>
          <w:rFonts w:ascii="Times New Roman" w:hAnsi="Times New Roman"/>
          <w:lang w:val="pt-BR"/>
        </w:rPr>
        <w:t xml:space="preserve">o uso de </w:t>
      </w:r>
      <w:r w:rsidR="002D364A" w:rsidRPr="005F0A3A">
        <w:rPr>
          <w:rFonts w:ascii="Times New Roman" w:hAnsi="Times New Roman"/>
          <w:lang w:val="pt-BR"/>
        </w:rPr>
        <w:t>redes metal-orgânicas (</w:t>
      </w:r>
      <w:r w:rsidR="00B00BFE" w:rsidRPr="005F0A3A">
        <w:rPr>
          <w:rFonts w:ascii="Times New Roman" w:hAnsi="Times New Roman"/>
          <w:i/>
          <w:iCs/>
          <w:lang w:val="pt-BR"/>
        </w:rPr>
        <w:t>Metal-Organic Frameworks</w:t>
      </w:r>
      <w:r w:rsidR="00594B62" w:rsidRPr="005F0A3A">
        <w:rPr>
          <w:rFonts w:ascii="Times New Roman" w:hAnsi="Times New Roman"/>
          <w:i/>
          <w:iCs/>
          <w:lang w:val="pt-BR"/>
        </w:rPr>
        <w:t xml:space="preserve"> - MOFs</w:t>
      </w:r>
      <w:r w:rsidR="00B00BFE" w:rsidRPr="005F0A3A">
        <w:rPr>
          <w:rFonts w:ascii="Times New Roman" w:hAnsi="Times New Roman"/>
          <w:lang w:val="pt-BR"/>
        </w:rPr>
        <w:t xml:space="preserve">) oferece vantagens por conta de sua alta porosidade e área </w:t>
      </w:r>
      <w:r w:rsidRPr="005F0A3A">
        <w:rPr>
          <w:rFonts w:ascii="Times New Roman" w:hAnsi="Times New Roman"/>
          <w:lang w:val="pt-BR"/>
        </w:rPr>
        <w:t>específica</w:t>
      </w:r>
      <w:r w:rsidR="00B00BFE" w:rsidRPr="005F0A3A">
        <w:rPr>
          <w:rFonts w:ascii="Times New Roman" w:hAnsi="Times New Roman"/>
          <w:lang w:val="pt-BR"/>
        </w:rPr>
        <w:t>, propriedade</w:t>
      </w:r>
      <w:r w:rsidR="006E30C4" w:rsidRPr="005F0A3A">
        <w:rPr>
          <w:rFonts w:ascii="Times New Roman" w:hAnsi="Times New Roman"/>
          <w:lang w:val="pt-BR"/>
        </w:rPr>
        <w:t>s</w:t>
      </w:r>
      <w:r w:rsidR="00B00BFE" w:rsidRPr="005F0A3A">
        <w:rPr>
          <w:rFonts w:ascii="Times New Roman" w:hAnsi="Times New Roman"/>
          <w:lang w:val="pt-BR"/>
        </w:rPr>
        <w:t xml:space="preserve"> controláveis</w:t>
      </w:r>
      <w:r w:rsidR="006E30C4" w:rsidRPr="005F0A3A">
        <w:rPr>
          <w:rFonts w:ascii="Times New Roman" w:hAnsi="Times New Roman"/>
          <w:lang w:val="pt-BR"/>
        </w:rPr>
        <w:t>, como o diâmetro de poros, podendo elevar a conversão para 96% (</w:t>
      </w:r>
      <w:r w:rsidR="00D5509C" w:rsidRPr="005F0A3A">
        <w:rPr>
          <w:rFonts w:ascii="Times New Roman" w:hAnsi="Times New Roman"/>
          <w:lang w:val="pt-BR"/>
        </w:rPr>
        <w:t>7</w:t>
      </w:r>
      <w:r w:rsidR="006E30C4" w:rsidRPr="005F0A3A">
        <w:rPr>
          <w:rFonts w:ascii="Times New Roman" w:hAnsi="Times New Roman"/>
          <w:lang w:val="pt-BR"/>
        </w:rPr>
        <w:t>). MOFs baseadas em Zr</w:t>
      </w:r>
      <w:r w:rsidRPr="005F0A3A">
        <w:rPr>
          <w:rFonts w:ascii="Times New Roman" w:hAnsi="Times New Roman"/>
          <w:lang w:val="pt-BR"/>
        </w:rPr>
        <w:t>, em particular,</w:t>
      </w:r>
      <w:r w:rsidR="006E30C4" w:rsidRPr="005F0A3A">
        <w:rPr>
          <w:rFonts w:ascii="Times New Roman" w:hAnsi="Times New Roman"/>
          <w:lang w:val="pt-BR"/>
        </w:rPr>
        <w:t xml:space="preserve"> atraem atenção por conta de sua alta resistência térmica, química e estr</w:t>
      </w:r>
      <w:r w:rsidR="009051BD" w:rsidRPr="005F0A3A">
        <w:rPr>
          <w:rFonts w:ascii="Times New Roman" w:hAnsi="Times New Roman"/>
          <w:lang w:val="pt-BR"/>
        </w:rPr>
        <w:t>u</w:t>
      </w:r>
      <w:r w:rsidR="006E30C4" w:rsidRPr="005F0A3A">
        <w:rPr>
          <w:rFonts w:ascii="Times New Roman" w:hAnsi="Times New Roman"/>
          <w:lang w:val="pt-BR"/>
        </w:rPr>
        <w:t xml:space="preserve">tural, em comparação </w:t>
      </w:r>
      <w:r w:rsidRPr="005F0A3A">
        <w:rPr>
          <w:rFonts w:ascii="Times New Roman" w:hAnsi="Times New Roman"/>
          <w:lang w:val="pt-BR"/>
        </w:rPr>
        <w:t>à</w:t>
      </w:r>
      <w:r w:rsidR="006E30C4" w:rsidRPr="005F0A3A">
        <w:rPr>
          <w:rFonts w:ascii="Times New Roman" w:hAnsi="Times New Roman"/>
          <w:lang w:val="pt-BR"/>
        </w:rPr>
        <w:t xml:space="preserve"> </w:t>
      </w:r>
      <w:proofErr w:type="spellStart"/>
      <w:r w:rsidR="006E30C4" w:rsidRPr="005F0A3A">
        <w:rPr>
          <w:rFonts w:ascii="Times New Roman" w:hAnsi="Times New Roman"/>
          <w:lang w:val="pt-BR"/>
        </w:rPr>
        <w:t>MOFs</w:t>
      </w:r>
      <w:proofErr w:type="spellEnd"/>
      <w:r w:rsidR="006E30C4" w:rsidRPr="005F0A3A">
        <w:rPr>
          <w:rFonts w:ascii="Times New Roman" w:hAnsi="Times New Roman"/>
          <w:lang w:val="pt-BR"/>
        </w:rPr>
        <w:t xml:space="preserve"> com outros n</w:t>
      </w:r>
      <w:r w:rsidR="00677C35">
        <w:rPr>
          <w:rFonts w:ascii="Times New Roman" w:hAnsi="Times New Roman"/>
          <w:lang w:val="pt-BR"/>
        </w:rPr>
        <w:t>ós</w:t>
      </w:r>
      <w:r w:rsidR="006E30C4" w:rsidRPr="005F0A3A">
        <w:rPr>
          <w:rFonts w:ascii="Times New Roman" w:hAnsi="Times New Roman"/>
          <w:lang w:val="pt-BR"/>
        </w:rPr>
        <w:t xml:space="preserve"> metálicos</w:t>
      </w:r>
      <w:r w:rsidRPr="005F0A3A">
        <w:rPr>
          <w:rFonts w:ascii="Times New Roman" w:hAnsi="Times New Roman"/>
          <w:lang w:val="pt-BR"/>
        </w:rPr>
        <w:t>. Nesse conjunto,</w:t>
      </w:r>
      <w:r w:rsidR="009051BD" w:rsidRPr="005F0A3A">
        <w:rPr>
          <w:rFonts w:ascii="Times New Roman" w:hAnsi="Times New Roman"/>
          <w:lang w:val="pt-BR"/>
        </w:rPr>
        <w:t xml:space="preserve"> destaca-se a UiO-66</w:t>
      </w:r>
      <w:r w:rsidR="00FF12F2" w:rsidRPr="005F0A3A">
        <w:rPr>
          <w:rFonts w:ascii="Times New Roman" w:hAnsi="Times New Roman"/>
          <w:lang w:val="pt-BR"/>
        </w:rPr>
        <w:t xml:space="preserve"> (</w:t>
      </w:r>
      <w:r w:rsidR="00D5509C" w:rsidRPr="005F0A3A">
        <w:rPr>
          <w:rFonts w:ascii="Times New Roman" w:hAnsi="Times New Roman"/>
          <w:lang w:val="pt-BR"/>
        </w:rPr>
        <w:t>8,9</w:t>
      </w:r>
      <w:r w:rsidR="00FF12F2" w:rsidRPr="005F0A3A">
        <w:rPr>
          <w:rFonts w:ascii="Times New Roman" w:hAnsi="Times New Roman"/>
          <w:lang w:val="pt-BR"/>
        </w:rPr>
        <w:t>).</w:t>
      </w:r>
    </w:p>
    <w:p w14:paraId="41BADAF4" w14:textId="10868B59" w:rsidR="00537695" w:rsidRPr="005F0A3A" w:rsidRDefault="00537695" w:rsidP="00D5509C">
      <w:pPr>
        <w:pStyle w:val="TAMainText"/>
        <w:rPr>
          <w:rFonts w:ascii="Times New Roman" w:hAnsi="Times New Roman"/>
          <w:lang w:val="pt-BR"/>
        </w:rPr>
      </w:pPr>
      <w:r w:rsidRPr="005F0A3A">
        <w:rPr>
          <w:rFonts w:ascii="Times New Roman" w:hAnsi="Times New Roman"/>
          <w:lang w:val="pt-BR"/>
        </w:rPr>
        <w:t xml:space="preserve">Com base nas características promissoras do </w:t>
      </w:r>
      <w:proofErr w:type="spellStart"/>
      <w:r w:rsidRPr="005F0A3A">
        <w:rPr>
          <w:rFonts w:ascii="Times New Roman" w:hAnsi="Times New Roman"/>
          <w:lang w:val="pt-BR"/>
        </w:rPr>
        <w:t>Au</w:t>
      </w:r>
      <w:proofErr w:type="spellEnd"/>
      <w:r w:rsidRPr="005F0A3A">
        <w:rPr>
          <w:rFonts w:ascii="Times New Roman" w:hAnsi="Times New Roman"/>
          <w:lang w:val="pt-BR"/>
        </w:rPr>
        <w:t xml:space="preserve"> e da UiO-66 como catalisadores na conversão de CO</w:t>
      </w:r>
      <w:r w:rsidRPr="005F0A3A">
        <w:rPr>
          <w:rFonts w:ascii="Times New Roman" w:hAnsi="Times New Roman"/>
          <w:vertAlign w:val="subscript"/>
          <w:lang w:val="pt-BR"/>
        </w:rPr>
        <w:t>2</w:t>
      </w:r>
      <w:r w:rsidRPr="005F0A3A">
        <w:rPr>
          <w:rFonts w:ascii="Times New Roman" w:hAnsi="Times New Roman"/>
          <w:lang w:val="pt-BR"/>
        </w:rPr>
        <w:t xml:space="preserve">, este trabalho busca explorar a síntese de sistemas </w:t>
      </w:r>
      <w:proofErr w:type="spellStart"/>
      <w:r w:rsidRPr="005F0A3A">
        <w:rPr>
          <w:rFonts w:ascii="Times New Roman" w:hAnsi="Times New Roman"/>
          <w:lang w:val="pt-BR"/>
        </w:rPr>
        <w:t>Au</w:t>
      </w:r>
      <w:proofErr w:type="spellEnd"/>
      <w:r w:rsidRPr="005F0A3A">
        <w:rPr>
          <w:rFonts w:ascii="Times New Roman" w:hAnsi="Times New Roman"/>
          <w:lang w:val="pt-BR"/>
        </w:rPr>
        <w:t xml:space="preserve">/UiO-66, com especial atenção às propriedades da MOF, ajustadas durante a síntese pelo uso de diferentes moduladores, e do </w:t>
      </w:r>
      <w:r w:rsidRPr="005F0A3A">
        <w:rPr>
          <w:rFonts w:ascii="Times New Roman" w:hAnsi="Times New Roman"/>
          <w:lang w:val="pt-BR"/>
        </w:rPr>
        <w:t>tamanho das nanopartículas de ouro a serem suportadas. O domínio dessa arquitetura é de especial interesse à aplicação a que esses sistemas se destinam</w:t>
      </w:r>
      <w:r w:rsidR="00324389">
        <w:rPr>
          <w:rFonts w:ascii="Times New Roman" w:hAnsi="Times New Roman"/>
          <w:lang w:val="pt-BR"/>
        </w:rPr>
        <w:t>.</w:t>
      </w:r>
    </w:p>
    <w:p w14:paraId="3A5FFB73" w14:textId="77777777" w:rsidR="006D4D23" w:rsidRPr="005F0A3A" w:rsidRDefault="006D4D23" w:rsidP="00D5509C">
      <w:pPr>
        <w:pStyle w:val="TAMainText"/>
        <w:jc w:val="center"/>
        <w:rPr>
          <w:rFonts w:ascii="Helvetica" w:hAnsi="Helvetica" w:cs="Helvetica"/>
          <w:sz w:val="24"/>
          <w:szCs w:val="24"/>
          <w:lang w:val="pt-BR"/>
        </w:rPr>
      </w:pPr>
    </w:p>
    <w:p w14:paraId="52FFAC79" w14:textId="3AF74006" w:rsidR="00EA4E1B" w:rsidRPr="005F0A3A" w:rsidRDefault="00EA4E1B" w:rsidP="005F0A3A">
      <w:pPr>
        <w:pStyle w:val="TAMainText"/>
        <w:spacing w:after="100"/>
        <w:ind w:firstLine="204"/>
        <w:jc w:val="center"/>
        <w:rPr>
          <w:rFonts w:ascii="Helvetica" w:hAnsi="Helvetica" w:cs="Helvetica"/>
          <w:sz w:val="24"/>
          <w:szCs w:val="24"/>
          <w:lang w:val="pt-BR"/>
        </w:rPr>
      </w:pPr>
      <w:r w:rsidRPr="005F0A3A">
        <w:rPr>
          <w:rFonts w:ascii="Helvetica" w:hAnsi="Helvetica" w:cs="Helvetica"/>
          <w:sz w:val="24"/>
          <w:szCs w:val="24"/>
          <w:lang w:val="pt-BR"/>
        </w:rPr>
        <w:t>Experimental</w:t>
      </w:r>
    </w:p>
    <w:p w14:paraId="1E78C236" w14:textId="3090AAAF" w:rsidR="00D5509C" w:rsidRPr="005F0A3A" w:rsidRDefault="00F22322" w:rsidP="00D5509C">
      <w:pPr>
        <w:pStyle w:val="TAMainText"/>
        <w:spacing w:after="40"/>
        <w:ind w:firstLine="0"/>
        <w:rPr>
          <w:rFonts w:ascii="Times New Roman" w:hAnsi="Times New Roman"/>
          <w:i/>
          <w:lang w:val="pt-BR"/>
        </w:rPr>
      </w:pPr>
      <w:r w:rsidRPr="005F0A3A">
        <w:rPr>
          <w:rFonts w:ascii="Times New Roman" w:hAnsi="Times New Roman"/>
          <w:i/>
          <w:lang w:val="pt-BR"/>
        </w:rPr>
        <w:t>Síntese d</w:t>
      </w:r>
      <w:r w:rsidR="005E4108" w:rsidRPr="005F0A3A">
        <w:rPr>
          <w:rFonts w:ascii="Times New Roman" w:hAnsi="Times New Roman"/>
          <w:i/>
          <w:lang w:val="pt-BR"/>
        </w:rPr>
        <w:t>a</w:t>
      </w:r>
      <w:r w:rsidRPr="005F0A3A">
        <w:rPr>
          <w:rFonts w:ascii="Times New Roman" w:hAnsi="Times New Roman"/>
          <w:i/>
          <w:lang w:val="pt-BR"/>
        </w:rPr>
        <w:t xml:space="preserve"> UiO-66</w:t>
      </w:r>
    </w:p>
    <w:p w14:paraId="31AECF79" w14:textId="6D3261E9" w:rsidR="00F22322" w:rsidRPr="005F0A3A" w:rsidRDefault="00D5509C" w:rsidP="00094A66">
      <w:pPr>
        <w:pStyle w:val="TAMainText"/>
        <w:spacing w:after="40"/>
        <w:ind w:firstLine="204"/>
        <w:rPr>
          <w:rFonts w:ascii="Times New Roman" w:hAnsi="Times New Roman"/>
          <w:lang w:val="pt-BR"/>
        </w:rPr>
      </w:pPr>
      <w:r w:rsidRPr="005F0A3A">
        <w:rPr>
          <w:rFonts w:ascii="Times New Roman" w:hAnsi="Times New Roman"/>
          <w:lang w:val="pt-BR"/>
        </w:rPr>
        <w:t>A MOF</w:t>
      </w:r>
      <w:r w:rsidR="00594B62" w:rsidRPr="005F0A3A">
        <w:rPr>
          <w:rFonts w:ascii="Times New Roman" w:hAnsi="Times New Roman"/>
          <w:lang w:val="pt-BR"/>
        </w:rPr>
        <w:t xml:space="preserve"> </w:t>
      </w:r>
      <w:r w:rsidR="005E4108" w:rsidRPr="005F0A3A">
        <w:rPr>
          <w:rFonts w:ascii="Times New Roman" w:hAnsi="Times New Roman"/>
          <w:lang w:val="pt-BR"/>
        </w:rPr>
        <w:t xml:space="preserve">UiO-66 </w:t>
      </w:r>
      <w:r w:rsidR="00594B62" w:rsidRPr="005F0A3A">
        <w:rPr>
          <w:rFonts w:ascii="Times New Roman" w:hAnsi="Times New Roman"/>
          <w:lang w:val="pt-BR"/>
        </w:rPr>
        <w:t>foi</w:t>
      </w:r>
      <w:r w:rsidRPr="005F0A3A">
        <w:rPr>
          <w:rFonts w:ascii="Times New Roman" w:hAnsi="Times New Roman"/>
          <w:lang w:val="pt-BR"/>
        </w:rPr>
        <w:t xml:space="preserve"> </w:t>
      </w:r>
      <w:r w:rsidR="005E4108" w:rsidRPr="005F0A3A">
        <w:rPr>
          <w:rFonts w:ascii="Times New Roman" w:hAnsi="Times New Roman"/>
          <w:lang w:val="pt-BR"/>
        </w:rPr>
        <w:t xml:space="preserve">sintetizada </w:t>
      </w:r>
      <w:r w:rsidRPr="005F0A3A">
        <w:rPr>
          <w:rFonts w:ascii="Times New Roman" w:hAnsi="Times New Roman"/>
          <w:lang w:val="pt-BR"/>
        </w:rPr>
        <w:t xml:space="preserve">a partir da metodologia </w:t>
      </w:r>
      <w:r w:rsidR="002D364A" w:rsidRPr="005F0A3A">
        <w:rPr>
          <w:rFonts w:ascii="Times New Roman" w:hAnsi="Times New Roman"/>
          <w:lang w:val="pt-BR"/>
        </w:rPr>
        <w:t>desenvolvida</w:t>
      </w:r>
      <w:r w:rsidRPr="005F0A3A">
        <w:rPr>
          <w:rFonts w:ascii="Times New Roman" w:hAnsi="Times New Roman"/>
          <w:lang w:val="pt-BR"/>
        </w:rPr>
        <w:t xml:space="preserve"> por </w:t>
      </w:r>
      <w:r w:rsidRPr="005F0A3A">
        <w:rPr>
          <w:rFonts w:ascii="Times New Roman" w:hAnsi="Times New Roman"/>
          <w:lang w:val="pt-BR"/>
        </w:rPr>
        <w:fldChar w:fldCharType="begin" w:fldLock="1"/>
      </w:r>
      <w:r w:rsidRPr="005F0A3A">
        <w:rPr>
          <w:rFonts w:ascii="Times New Roman" w:hAnsi="Times New Roman"/>
          <w:lang w:val="pt-BR"/>
        </w:rPr>
        <w:instrText>ADDIN CSL_CITATION {"citationItems":[{"id":"ITEM-1","itemData":{"DOI":"10.1039/c3cc46105j","ISSN":"1364548X","PMID":"24008272","abstract":"A scalable, reproducible method of synthesizing UiO-66- and UiO-67-type MOFs, entailing the addition of HCl to the reaction mixture, has been investigated. The new protocol requires a fraction of the time of previously reported procedures, yields exceptional porosities, and works with a range of linkers. © 2013 The Royal Society of Chemistry.","author":[{"dropping-particle":"","family":"Katz","given":"Michael J.","non-dropping-particle":"","parse-names":false,"suffix":""},{"dropping-particle":"","family":"Brown","given":"Zachary J.","non-dropping-particle":"","parse-names":false,"suffix":""},{"dropping-particle":"","family":"Colón","given":"Yamil J.","non-dropping-particle":"","parse-names":false,"suffix":""},{"dropping-particle":"","family":"Siu","given":"Paul W.","non-dropping-particle":"","parse-names":false,"suffix":""},{"dropping-particle":"","family":"Scheidt","given":"Karl A.","non-dropping-particle":"","parse-names":false,"suffix":""},{"dropping-particle":"","family":"Snurr","given":"Randall Q.","non-dropping-particle":"","parse-names":false,"suffix":""},{"dropping-particle":"","family":"Hupp","given":"Joseph T.","non-dropping-particle":"","parse-names":false,"suffix":""},{"dropping-particle":"","family":"Farha","given":"Omar K.","non-dropping-particle":"","parse-names":false,"suffix":""}],"container-title":"Chemical Communications","id":"ITEM-1","issue":"82","issued":{"date-parts":[["2013"]]},"page":"9449-9451","title":"A facile synthesis of UiO-66, UiO-67 and their derivatives","type":"article-journal","volume":"49"},"uris":["http://www.mendeley.com/documents/?uuid=eeda71c4-a33a-4cf9-a69b-b143f70fb029"]}],"mendeley":{"formattedCitation":"(KATZ et al., 2013)","manualFormatting":"Katz e colaboradores (2013)","plainTextFormattedCitation":"(KATZ et al., 2013)","previouslyFormattedCitation":"(KATZ et al., 2013)"},"properties":{"noteIndex":0},"schema":"https://github.com/citation-style-language/schema/raw/master/csl-citation.json"}</w:instrText>
      </w:r>
      <w:r w:rsidRPr="005F0A3A">
        <w:rPr>
          <w:rFonts w:ascii="Times New Roman" w:hAnsi="Times New Roman"/>
          <w:lang w:val="pt-BR"/>
        </w:rPr>
        <w:fldChar w:fldCharType="separate"/>
      </w:r>
      <w:r w:rsidRPr="005F0A3A">
        <w:rPr>
          <w:rFonts w:ascii="Times New Roman" w:hAnsi="Times New Roman"/>
          <w:noProof/>
          <w:lang w:val="pt-BR"/>
        </w:rPr>
        <w:t>Katz e colaboradores (2013)</w:t>
      </w:r>
      <w:r w:rsidRPr="005F0A3A">
        <w:rPr>
          <w:rFonts w:ascii="Times New Roman" w:hAnsi="Times New Roman"/>
          <w:lang w:val="pt-BR"/>
        </w:rPr>
        <w:fldChar w:fldCharType="end"/>
      </w:r>
      <w:r w:rsidR="005E4108" w:rsidRPr="005F0A3A">
        <w:rPr>
          <w:rFonts w:ascii="Times New Roman" w:hAnsi="Times New Roman"/>
          <w:lang w:val="pt-BR"/>
        </w:rPr>
        <w:t>,</w:t>
      </w:r>
      <w:r w:rsidRPr="005F0A3A">
        <w:rPr>
          <w:rFonts w:ascii="Times New Roman" w:hAnsi="Times New Roman"/>
          <w:lang w:val="pt-BR"/>
        </w:rPr>
        <w:t xml:space="preserve"> </w:t>
      </w:r>
      <w:r w:rsidR="0030284C" w:rsidRPr="005F0A3A">
        <w:rPr>
          <w:rFonts w:ascii="Times New Roman" w:hAnsi="Times New Roman"/>
          <w:lang w:val="pt-BR"/>
        </w:rPr>
        <w:t xml:space="preserve">utilizando </w:t>
      </w:r>
      <w:r w:rsidR="005E4108" w:rsidRPr="005F0A3A">
        <w:rPr>
          <w:rFonts w:ascii="Times New Roman" w:hAnsi="Times New Roman"/>
          <w:lang w:val="pt-BR"/>
        </w:rPr>
        <w:t xml:space="preserve">diferentes </w:t>
      </w:r>
      <w:r w:rsidR="0030284C" w:rsidRPr="005F0A3A">
        <w:rPr>
          <w:rFonts w:ascii="Times New Roman" w:hAnsi="Times New Roman"/>
          <w:lang w:val="pt-BR"/>
        </w:rPr>
        <w:t>modulador</w:t>
      </w:r>
      <w:r w:rsidR="005E4108" w:rsidRPr="005F0A3A">
        <w:rPr>
          <w:rFonts w:ascii="Times New Roman" w:hAnsi="Times New Roman"/>
          <w:lang w:val="pt-BR"/>
        </w:rPr>
        <w:t>es, essencialmente</w:t>
      </w:r>
      <w:r w:rsidR="00141A16" w:rsidRPr="005F0A3A">
        <w:rPr>
          <w:rFonts w:ascii="Times New Roman" w:hAnsi="Times New Roman"/>
          <w:lang w:val="pt-BR"/>
        </w:rPr>
        <w:t xml:space="preserve"> HCl, CH</w:t>
      </w:r>
      <w:r w:rsidR="00141A16" w:rsidRPr="005F0A3A">
        <w:rPr>
          <w:rFonts w:ascii="Times New Roman" w:hAnsi="Times New Roman"/>
          <w:vertAlign w:val="subscript"/>
          <w:lang w:val="pt-BR"/>
        </w:rPr>
        <w:t>3</w:t>
      </w:r>
      <w:r w:rsidR="00141A16" w:rsidRPr="005F0A3A">
        <w:rPr>
          <w:rFonts w:ascii="Times New Roman" w:hAnsi="Times New Roman"/>
          <w:lang w:val="pt-BR"/>
        </w:rPr>
        <w:t>COOH, C</w:t>
      </w:r>
      <w:r w:rsidR="00141A16" w:rsidRPr="005F0A3A">
        <w:rPr>
          <w:rFonts w:ascii="Times New Roman" w:hAnsi="Times New Roman"/>
          <w:vertAlign w:val="subscript"/>
          <w:lang w:val="pt-BR"/>
        </w:rPr>
        <w:t>7</w:t>
      </w:r>
      <w:r w:rsidR="00141A16" w:rsidRPr="005F0A3A">
        <w:rPr>
          <w:rFonts w:ascii="Times New Roman" w:hAnsi="Times New Roman"/>
          <w:lang w:val="pt-BR"/>
        </w:rPr>
        <w:t>H</w:t>
      </w:r>
      <w:r w:rsidR="00141A16" w:rsidRPr="005F0A3A">
        <w:rPr>
          <w:rFonts w:ascii="Times New Roman" w:hAnsi="Times New Roman"/>
          <w:vertAlign w:val="subscript"/>
          <w:lang w:val="pt-BR"/>
        </w:rPr>
        <w:t>6</w:t>
      </w:r>
      <w:r w:rsidR="00141A16" w:rsidRPr="005F0A3A">
        <w:rPr>
          <w:rFonts w:ascii="Times New Roman" w:hAnsi="Times New Roman"/>
          <w:lang w:val="pt-BR"/>
        </w:rPr>
        <w:t>O</w:t>
      </w:r>
      <w:r w:rsidR="00141A16" w:rsidRPr="005F0A3A">
        <w:rPr>
          <w:rFonts w:ascii="Times New Roman" w:hAnsi="Times New Roman"/>
          <w:vertAlign w:val="subscript"/>
          <w:lang w:val="pt-BR"/>
        </w:rPr>
        <w:t>2</w:t>
      </w:r>
      <w:r w:rsidR="00141A16" w:rsidRPr="005F0A3A">
        <w:rPr>
          <w:rFonts w:ascii="Times New Roman" w:hAnsi="Times New Roman"/>
          <w:lang w:val="pt-BR"/>
        </w:rPr>
        <w:t xml:space="preserve"> e HCOOH</w:t>
      </w:r>
      <w:r w:rsidR="00291087">
        <w:rPr>
          <w:rFonts w:ascii="Times New Roman" w:hAnsi="Times New Roman"/>
          <w:lang w:val="pt-BR"/>
        </w:rPr>
        <w:t>.</w:t>
      </w:r>
      <w:r w:rsidR="00BC1460">
        <w:rPr>
          <w:rFonts w:ascii="Times New Roman" w:hAnsi="Times New Roman"/>
          <w:lang w:val="pt-BR"/>
        </w:rPr>
        <w:t xml:space="preserve"> E, a partir da avaliação de alterações nas propriedades físicas, o modulador utilizado para a síntese da MOF utilizada na preparação dos catalisadores foi o HCOOH.</w:t>
      </w:r>
    </w:p>
    <w:p w14:paraId="09E40F0F" w14:textId="77777777" w:rsidR="006D4D23" w:rsidRPr="005F0A3A" w:rsidRDefault="006D4D23" w:rsidP="00D5509C">
      <w:pPr>
        <w:pStyle w:val="TAMainText"/>
        <w:spacing w:after="40"/>
        <w:ind w:firstLine="0"/>
        <w:rPr>
          <w:rFonts w:ascii="Times New Roman" w:hAnsi="Times New Roman"/>
          <w:lang w:val="pt-BR"/>
        </w:rPr>
      </w:pPr>
    </w:p>
    <w:p w14:paraId="3B69CC5F" w14:textId="676156F5" w:rsidR="009306CF" w:rsidRPr="005F0A3A" w:rsidRDefault="009306CF" w:rsidP="009306CF">
      <w:pPr>
        <w:pStyle w:val="TAMainText"/>
        <w:spacing w:after="40"/>
        <w:ind w:firstLine="0"/>
        <w:rPr>
          <w:rFonts w:ascii="Times New Roman" w:hAnsi="Times New Roman"/>
          <w:i/>
          <w:lang w:val="pt-BR"/>
        </w:rPr>
      </w:pPr>
      <w:r w:rsidRPr="005F0A3A">
        <w:rPr>
          <w:rFonts w:ascii="Times New Roman" w:hAnsi="Times New Roman"/>
          <w:i/>
          <w:lang w:val="pt-BR"/>
        </w:rPr>
        <w:t xml:space="preserve">Síntese de nanopartículas de Au </w:t>
      </w:r>
    </w:p>
    <w:p w14:paraId="64D235F2" w14:textId="1C51D810" w:rsidR="009306CF" w:rsidRPr="005F0A3A" w:rsidRDefault="009306CF" w:rsidP="00094A66">
      <w:pPr>
        <w:spacing w:after="40" w:line="240" w:lineRule="auto"/>
        <w:ind w:firstLine="204"/>
        <w:jc w:val="both"/>
        <w:rPr>
          <w:rFonts w:ascii="Times" w:hAnsi="Times" w:cs="Times"/>
          <w:sz w:val="20"/>
          <w:szCs w:val="20"/>
          <w:lang w:eastAsia="pt-BR"/>
        </w:rPr>
      </w:pPr>
      <w:r w:rsidRPr="005F0A3A">
        <w:rPr>
          <w:rFonts w:ascii="Times" w:hAnsi="Times" w:cs="Times"/>
          <w:sz w:val="20"/>
          <w:szCs w:val="20"/>
          <w:lang w:eastAsia="pt-BR"/>
        </w:rPr>
        <w:t xml:space="preserve">As nanopartículas de Au foram </w:t>
      </w:r>
      <w:r w:rsidR="00594B62" w:rsidRPr="005F0A3A">
        <w:rPr>
          <w:rFonts w:ascii="Times" w:hAnsi="Times" w:cs="Times"/>
          <w:sz w:val="20"/>
          <w:szCs w:val="20"/>
          <w:lang w:eastAsia="pt-BR"/>
        </w:rPr>
        <w:t>preparadas a partir de</w:t>
      </w:r>
      <w:r w:rsidRPr="005F0A3A">
        <w:rPr>
          <w:rFonts w:ascii="Times" w:hAnsi="Times" w:cs="Times"/>
          <w:sz w:val="20"/>
          <w:szCs w:val="20"/>
          <w:lang w:eastAsia="pt-BR"/>
        </w:rPr>
        <w:t xml:space="preserve"> uma solução 6</w:t>
      </w:r>
      <w:r w:rsidR="005E4108" w:rsidRPr="005F0A3A">
        <w:rPr>
          <w:rFonts w:ascii="Times" w:hAnsi="Times" w:cs="Times"/>
          <w:sz w:val="20"/>
          <w:szCs w:val="20"/>
          <w:lang w:eastAsia="pt-BR"/>
        </w:rPr>
        <w:t>.</w:t>
      </w:r>
      <w:r w:rsidRPr="005F0A3A">
        <w:rPr>
          <w:rFonts w:ascii="Times" w:hAnsi="Times" w:cs="Times"/>
          <w:sz w:val="20"/>
          <w:szCs w:val="20"/>
          <w:lang w:eastAsia="pt-BR"/>
        </w:rPr>
        <w:t>10</w:t>
      </w:r>
      <w:r w:rsidRPr="005F0A3A">
        <w:rPr>
          <w:rFonts w:ascii="Times" w:hAnsi="Times" w:cs="Times"/>
          <w:sz w:val="20"/>
          <w:szCs w:val="20"/>
          <w:vertAlign w:val="superscript"/>
          <w:lang w:eastAsia="pt-BR"/>
        </w:rPr>
        <w:t>-3</w:t>
      </w:r>
      <w:r w:rsidRPr="005F0A3A">
        <w:rPr>
          <w:rFonts w:ascii="Times" w:hAnsi="Times" w:cs="Times"/>
          <w:sz w:val="20"/>
          <w:szCs w:val="20"/>
          <w:lang w:eastAsia="pt-BR"/>
        </w:rPr>
        <w:t xml:space="preserve"> mol</w:t>
      </w:r>
      <w:r w:rsidR="005E4108" w:rsidRPr="005F0A3A">
        <w:rPr>
          <w:rFonts w:ascii="Times" w:hAnsi="Times" w:cs="Times"/>
          <w:sz w:val="20"/>
          <w:szCs w:val="20"/>
          <w:lang w:eastAsia="pt-BR"/>
        </w:rPr>
        <w:t xml:space="preserve"> </w:t>
      </w:r>
      <w:r w:rsidRPr="005F0A3A">
        <w:rPr>
          <w:rFonts w:ascii="Times" w:hAnsi="Times" w:cs="Times"/>
          <w:sz w:val="20"/>
          <w:szCs w:val="20"/>
          <w:lang w:eastAsia="pt-BR"/>
        </w:rPr>
        <w:t>L</w:t>
      </w:r>
      <w:r w:rsidRPr="005F0A3A">
        <w:rPr>
          <w:rFonts w:ascii="Times" w:hAnsi="Times" w:cs="Times"/>
          <w:sz w:val="20"/>
          <w:szCs w:val="20"/>
          <w:vertAlign w:val="superscript"/>
          <w:lang w:eastAsia="pt-BR"/>
        </w:rPr>
        <w:t>-1</w:t>
      </w:r>
      <w:r w:rsidRPr="005F0A3A">
        <w:rPr>
          <w:rFonts w:ascii="Times" w:hAnsi="Times" w:cs="Times"/>
          <w:sz w:val="20"/>
          <w:szCs w:val="20"/>
          <w:lang w:eastAsia="pt-BR"/>
        </w:rPr>
        <w:t xml:space="preserve"> de HAuCl</w:t>
      </w:r>
      <w:r w:rsidRPr="005F0A3A">
        <w:rPr>
          <w:rFonts w:ascii="Times" w:hAnsi="Times" w:cs="Times"/>
          <w:sz w:val="20"/>
          <w:szCs w:val="20"/>
          <w:vertAlign w:val="subscript"/>
          <w:lang w:eastAsia="pt-BR"/>
        </w:rPr>
        <w:t>4</w:t>
      </w:r>
      <w:r w:rsidR="00594B62" w:rsidRPr="005F0A3A">
        <w:rPr>
          <w:rFonts w:ascii="Times" w:hAnsi="Times" w:cs="Times"/>
          <w:sz w:val="20"/>
          <w:szCs w:val="20"/>
          <w:lang w:eastAsia="pt-BR"/>
        </w:rPr>
        <w:t>,</w:t>
      </w:r>
      <w:r w:rsidR="00E64A2A" w:rsidRPr="005F0A3A">
        <w:rPr>
          <w:rFonts w:ascii="Times" w:hAnsi="Times" w:cs="Times"/>
          <w:sz w:val="20"/>
          <w:szCs w:val="20"/>
          <w:lang w:eastAsia="pt-BR"/>
        </w:rPr>
        <w:t xml:space="preserve"> </w:t>
      </w:r>
      <w:r w:rsidRPr="005F0A3A">
        <w:rPr>
          <w:rFonts w:ascii="Times" w:hAnsi="Times" w:cs="Times"/>
          <w:sz w:val="20"/>
          <w:szCs w:val="20"/>
          <w:lang w:eastAsia="pt-BR"/>
        </w:rPr>
        <w:t>gotejando-a em uma solução contendo polivinilporrolidona (PVP) 55</w:t>
      </w:r>
      <w:r w:rsidR="005E4108" w:rsidRPr="005F0A3A">
        <w:rPr>
          <w:rFonts w:ascii="Times" w:hAnsi="Times" w:cs="Times"/>
          <w:sz w:val="20"/>
          <w:szCs w:val="20"/>
          <w:lang w:eastAsia="pt-BR"/>
        </w:rPr>
        <w:t>.</w:t>
      </w:r>
      <w:r w:rsidRPr="005F0A3A">
        <w:rPr>
          <w:rFonts w:ascii="Times" w:hAnsi="Times" w:cs="Times"/>
          <w:sz w:val="20"/>
          <w:szCs w:val="20"/>
          <w:lang w:eastAsia="pt-BR"/>
        </w:rPr>
        <w:t>000 dispers</w:t>
      </w:r>
      <w:r w:rsidR="00594B62" w:rsidRPr="005F0A3A">
        <w:rPr>
          <w:rFonts w:ascii="Times" w:hAnsi="Times" w:cs="Times"/>
          <w:sz w:val="20"/>
          <w:szCs w:val="20"/>
          <w:lang w:eastAsia="pt-BR"/>
        </w:rPr>
        <w:t>a</w:t>
      </w:r>
      <w:r w:rsidRPr="005F0A3A">
        <w:rPr>
          <w:rFonts w:ascii="Times" w:hAnsi="Times" w:cs="Times"/>
          <w:sz w:val="20"/>
          <w:szCs w:val="20"/>
          <w:lang w:eastAsia="pt-BR"/>
        </w:rPr>
        <w:t xml:space="preserve"> em etanol sob agitação intensa</w:t>
      </w:r>
      <w:r w:rsidR="00594B62" w:rsidRPr="005F0A3A">
        <w:rPr>
          <w:rFonts w:ascii="Times" w:hAnsi="Times" w:cs="Times"/>
          <w:sz w:val="20"/>
          <w:szCs w:val="20"/>
          <w:lang w:eastAsia="pt-BR"/>
        </w:rPr>
        <w:t>.</w:t>
      </w:r>
      <w:r w:rsidR="00712801" w:rsidRPr="005F0A3A">
        <w:rPr>
          <w:rFonts w:ascii="Times" w:hAnsi="Times" w:cs="Times"/>
          <w:sz w:val="20"/>
          <w:szCs w:val="20"/>
          <w:lang w:eastAsia="pt-BR"/>
        </w:rPr>
        <w:t xml:space="preserve"> </w:t>
      </w:r>
      <w:r w:rsidR="00594B62" w:rsidRPr="005F0A3A">
        <w:rPr>
          <w:rFonts w:ascii="Times" w:hAnsi="Times" w:cs="Times"/>
          <w:sz w:val="20"/>
          <w:szCs w:val="20"/>
          <w:lang w:eastAsia="pt-BR"/>
        </w:rPr>
        <w:t>A</w:t>
      </w:r>
      <w:r w:rsidRPr="005F0A3A">
        <w:rPr>
          <w:rFonts w:ascii="Times" w:hAnsi="Times" w:cs="Times"/>
          <w:sz w:val="20"/>
          <w:szCs w:val="20"/>
          <w:lang w:eastAsia="pt-BR"/>
        </w:rPr>
        <w:t>pós o fim do gotejamento, a solução foi mantida sob agitação por 3</w:t>
      </w:r>
      <w:r w:rsidR="005E4108" w:rsidRPr="005F0A3A">
        <w:rPr>
          <w:rFonts w:ascii="Times" w:hAnsi="Times" w:cs="Times"/>
          <w:sz w:val="20"/>
          <w:szCs w:val="20"/>
          <w:lang w:eastAsia="pt-BR"/>
        </w:rPr>
        <w:t xml:space="preserve"> </w:t>
      </w:r>
      <w:r w:rsidRPr="005F0A3A">
        <w:rPr>
          <w:rFonts w:ascii="Times" w:hAnsi="Times" w:cs="Times"/>
          <w:sz w:val="20"/>
          <w:szCs w:val="20"/>
          <w:lang w:eastAsia="pt-BR"/>
        </w:rPr>
        <w:t>h.</w:t>
      </w:r>
    </w:p>
    <w:p w14:paraId="3C87FFA9" w14:textId="77777777" w:rsidR="00F33463" w:rsidRPr="005F0A3A" w:rsidRDefault="00F33463" w:rsidP="009306CF">
      <w:pPr>
        <w:spacing w:after="40" w:line="240" w:lineRule="auto"/>
        <w:jc w:val="both"/>
        <w:rPr>
          <w:rFonts w:ascii="Times" w:hAnsi="Times" w:cs="Times"/>
          <w:sz w:val="20"/>
          <w:szCs w:val="20"/>
          <w:lang w:eastAsia="pt-BR"/>
        </w:rPr>
      </w:pPr>
    </w:p>
    <w:p w14:paraId="79A79E0C" w14:textId="2627968E" w:rsidR="006D4D23" w:rsidRPr="005F0A3A" w:rsidRDefault="009306CF" w:rsidP="009306CF">
      <w:pPr>
        <w:pStyle w:val="TAMainText"/>
        <w:spacing w:after="40"/>
        <w:ind w:firstLine="0"/>
        <w:rPr>
          <w:rFonts w:ascii="Times New Roman" w:hAnsi="Times New Roman"/>
          <w:i/>
          <w:lang w:val="pt-BR"/>
        </w:rPr>
      </w:pPr>
      <w:r w:rsidRPr="005F0A3A">
        <w:rPr>
          <w:rFonts w:ascii="Times New Roman" w:hAnsi="Times New Roman"/>
          <w:i/>
          <w:lang w:val="pt-BR"/>
        </w:rPr>
        <w:t>Síntese de Au</w:t>
      </w:r>
      <w:r w:rsidR="002D364A" w:rsidRPr="005F0A3A">
        <w:rPr>
          <w:rFonts w:ascii="Times New Roman" w:hAnsi="Times New Roman"/>
          <w:i/>
          <w:lang w:val="pt-BR"/>
        </w:rPr>
        <w:t>(NP)</w:t>
      </w:r>
      <w:r w:rsidRPr="005F0A3A">
        <w:rPr>
          <w:rFonts w:ascii="Times New Roman" w:hAnsi="Times New Roman"/>
          <w:i/>
          <w:lang w:val="pt-BR"/>
        </w:rPr>
        <w:t>/UiO-66</w:t>
      </w:r>
    </w:p>
    <w:p w14:paraId="6A3A3ACD" w14:textId="13ABAAFA" w:rsidR="009306CF" w:rsidRPr="005F0A3A" w:rsidRDefault="009306CF" w:rsidP="00094A66">
      <w:pPr>
        <w:pStyle w:val="TAMainText"/>
        <w:spacing w:after="40"/>
        <w:ind w:firstLine="204"/>
        <w:rPr>
          <w:rFonts w:ascii="Times New Roman" w:hAnsi="Times New Roman"/>
          <w:lang w:val="pt-BR"/>
        </w:rPr>
      </w:pPr>
      <w:r w:rsidRPr="005F0A3A">
        <w:rPr>
          <w:rFonts w:ascii="Times New Roman" w:hAnsi="Times New Roman"/>
          <w:lang w:val="pt-BR"/>
        </w:rPr>
        <w:t xml:space="preserve">Uma vez preparadas as nanopartículas, </w:t>
      </w:r>
      <w:r w:rsidR="0075542B" w:rsidRPr="005F0A3A">
        <w:rPr>
          <w:rFonts w:ascii="Times New Roman" w:hAnsi="Times New Roman"/>
          <w:lang w:val="pt-BR"/>
        </w:rPr>
        <w:t xml:space="preserve">aquelas de menor diâmetro médio foram </w:t>
      </w:r>
      <w:r w:rsidRPr="005F0A3A">
        <w:rPr>
          <w:rFonts w:ascii="Times New Roman" w:hAnsi="Times New Roman"/>
          <w:lang w:val="pt-BR"/>
        </w:rPr>
        <w:t>dispers</w:t>
      </w:r>
      <w:r w:rsidR="0075542B" w:rsidRPr="005F0A3A">
        <w:rPr>
          <w:rFonts w:ascii="Times New Roman" w:hAnsi="Times New Roman"/>
          <w:lang w:val="pt-BR"/>
        </w:rPr>
        <w:t xml:space="preserve">as sobre a </w:t>
      </w:r>
      <w:r w:rsidRPr="005F0A3A">
        <w:rPr>
          <w:rFonts w:ascii="Times New Roman" w:hAnsi="Times New Roman"/>
          <w:lang w:val="pt-BR"/>
        </w:rPr>
        <w:t xml:space="preserve">UiO-66 </w:t>
      </w:r>
      <w:r w:rsidR="0075542B" w:rsidRPr="005F0A3A">
        <w:rPr>
          <w:rFonts w:ascii="Times New Roman" w:hAnsi="Times New Roman"/>
          <w:lang w:val="pt-BR"/>
        </w:rPr>
        <w:t xml:space="preserve">suspensa </w:t>
      </w:r>
      <w:r w:rsidRPr="005F0A3A">
        <w:rPr>
          <w:rFonts w:ascii="Times New Roman" w:hAnsi="Times New Roman"/>
          <w:lang w:val="pt-BR"/>
        </w:rPr>
        <w:t>em etanol</w:t>
      </w:r>
      <w:r w:rsidR="0075542B" w:rsidRPr="005F0A3A">
        <w:rPr>
          <w:rFonts w:ascii="Times New Roman" w:hAnsi="Times New Roman"/>
          <w:lang w:val="pt-BR"/>
        </w:rPr>
        <w:t xml:space="preserve">. A </w:t>
      </w:r>
      <w:r w:rsidRPr="005F0A3A">
        <w:rPr>
          <w:rFonts w:ascii="Times New Roman" w:hAnsi="Times New Roman"/>
          <w:lang w:val="pt-BR"/>
        </w:rPr>
        <w:t>solução</w:t>
      </w:r>
      <w:r w:rsidR="0075542B" w:rsidRPr="005F0A3A">
        <w:rPr>
          <w:rFonts w:ascii="Times New Roman" w:hAnsi="Times New Roman"/>
          <w:lang w:val="pt-BR"/>
        </w:rPr>
        <w:t xml:space="preserve"> coloidal</w:t>
      </w:r>
      <w:r w:rsidRPr="005F0A3A">
        <w:rPr>
          <w:rFonts w:ascii="Times New Roman" w:hAnsi="Times New Roman"/>
          <w:lang w:val="pt-BR"/>
        </w:rPr>
        <w:t xml:space="preserve"> contendo NP de Au </w:t>
      </w:r>
      <w:r w:rsidR="0075542B" w:rsidRPr="005F0A3A">
        <w:rPr>
          <w:rFonts w:ascii="Times New Roman" w:hAnsi="Times New Roman"/>
          <w:lang w:val="pt-BR"/>
        </w:rPr>
        <w:t xml:space="preserve">foi </w:t>
      </w:r>
      <w:r w:rsidR="0075542B" w:rsidRPr="005F0A3A">
        <w:rPr>
          <w:rFonts w:ascii="Times New Roman" w:hAnsi="Times New Roman"/>
          <w:lang w:val="pt-BR"/>
        </w:rPr>
        <w:lastRenderedPageBreak/>
        <w:t xml:space="preserve">adicionada </w:t>
      </w:r>
      <w:r w:rsidRPr="005F0A3A">
        <w:rPr>
          <w:rFonts w:ascii="Times New Roman" w:hAnsi="Times New Roman"/>
          <w:lang w:val="pt-BR"/>
        </w:rPr>
        <w:t>gota a gota sob agitação intensa</w:t>
      </w:r>
      <w:r w:rsidR="0075542B" w:rsidRPr="005F0A3A">
        <w:rPr>
          <w:rFonts w:ascii="Times New Roman" w:hAnsi="Times New Roman"/>
          <w:lang w:val="pt-BR"/>
        </w:rPr>
        <w:t>, mantendo-se a suspensão final obtida agitada</w:t>
      </w:r>
      <w:r w:rsidRPr="005F0A3A">
        <w:rPr>
          <w:rFonts w:ascii="Times New Roman" w:hAnsi="Times New Roman"/>
          <w:lang w:val="pt-BR"/>
        </w:rPr>
        <w:t xml:space="preserve"> por </w:t>
      </w:r>
      <w:r w:rsidR="0075542B" w:rsidRPr="005F0A3A">
        <w:rPr>
          <w:rFonts w:ascii="Times New Roman" w:hAnsi="Times New Roman"/>
          <w:lang w:val="pt-BR"/>
        </w:rPr>
        <w:t xml:space="preserve">um período total de </w:t>
      </w:r>
      <w:r w:rsidRPr="005F0A3A">
        <w:rPr>
          <w:rFonts w:ascii="Times New Roman" w:hAnsi="Times New Roman"/>
          <w:lang w:val="pt-BR"/>
        </w:rPr>
        <w:t>24</w:t>
      </w:r>
      <w:r w:rsidR="0075542B" w:rsidRPr="005F0A3A">
        <w:rPr>
          <w:rFonts w:ascii="Times New Roman" w:hAnsi="Times New Roman"/>
          <w:lang w:val="pt-BR"/>
        </w:rPr>
        <w:t xml:space="preserve"> </w:t>
      </w:r>
      <w:r w:rsidRPr="005F0A3A">
        <w:rPr>
          <w:rFonts w:ascii="Times New Roman" w:hAnsi="Times New Roman"/>
          <w:lang w:val="pt-BR"/>
        </w:rPr>
        <w:t xml:space="preserve">h. Ao fim </w:t>
      </w:r>
      <w:r w:rsidR="00594B62" w:rsidRPr="005F0A3A">
        <w:rPr>
          <w:rFonts w:ascii="Times New Roman" w:hAnsi="Times New Roman"/>
          <w:lang w:val="pt-BR"/>
        </w:rPr>
        <w:t xml:space="preserve">desse </w:t>
      </w:r>
      <w:r w:rsidRPr="005F0A3A">
        <w:rPr>
          <w:rFonts w:ascii="Times New Roman" w:hAnsi="Times New Roman"/>
          <w:lang w:val="pt-BR"/>
        </w:rPr>
        <w:t>processo</w:t>
      </w:r>
      <w:r w:rsidR="0075542B" w:rsidRPr="005F0A3A">
        <w:rPr>
          <w:rFonts w:ascii="Times New Roman" w:hAnsi="Times New Roman"/>
          <w:lang w:val="pt-BR"/>
        </w:rPr>
        <w:t>,</w:t>
      </w:r>
      <w:r w:rsidRPr="005F0A3A">
        <w:rPr>
          <w:rFonts w:ascii="Times New Roman" w:hAnsi="Times New Roman"/>
          <w:lang w:val="pt-BR"/>
        </w:rPr>
        <w:t xml:space="preserve"> a </w:t>
      </w:r>
      <w:r w:rsidR="0075542B" w:rsidRPr="005F0A3A">
        <w:rPr>
          <w:rFonts w:ascii="Times New Roman" w:hAnsi="Times New Roman"/>
          <w:lang w:val="pt-BR"/>
        </w:rPr>
        <w:t xml:space="preserve">suspensão </w:t>
      </w:r>
      <w:r w:rsidRPr="005F0A3A">
        <w:rPr>
          <w:rFonts w:ascii="Times New Roman" w:hAnsi="Times New Roman"/>
          <w:lang w:val="pt-BR"/>
        </w:rPr>
        <w:t>foi centrifugad</w:t>
      </w:r>
      <w:r w:rsidR="00594B62" w:rsidRPr="005F0A3A">
        <w:rPr>
          <w:rFonts w:ascii="Times New Roman" w:hAnsi="Times New Roman"/>
          <w:lang w:val="pt-BR"/>
        </w:rPr>
        <w:t>a</w:t>
      </w:r>
      <w:r w:rsidRPr="005F0A3A">
        <w:rPr>
          <w:rFonts w:ascii="Times New Roman" w:hAnsi="Times New Roman"/>
          <w:lang w:val="pt-BR"/>
        </w:rPr>
        <w:t xml:space="preserve"> e o precipitado foi lavado com DMF e etanol e sec</w:t>
      </w:r>
      <w:r w:rsidR="0075542B" w:rsidRPr="005F0A3A">
        <w:rPr>
          <w:rFonts w:ascii="Times New Roman" w:hAnsi="Times New Roman"/>
          <w:lang w:val="pt-BR"/>
        </w:rPr>
        <w:t>ad</w:t>
      </w:r>
      <w:r w:rsidRPr="005F0A3A">
        <w:rPr>
          <w:rFonts w:ascii="Times New Roman" w:hAnsi="Times New Roman"/>
          <w:lang w:val="pt-BR"/>
        </w:rPr>
        <w:t>o a 100 °C por 24</w:t>
      </w:r>
      <w:r w:rsidR="0075542B" w:rsidRPr="005F0A3A">
        <w:rPr>
          <w:rFonts w:ascii="Times New Roman" w:hAnsi="Times New Roman"/>
          <w:lang w:val="pt-BR"/>
        </w:rPr>
        <w:t xml:space="preserve"> </w:t>
      </w:r>
      <w:r w:rsidRPr="005F0A3A">
        <w:rPr>
          <w:rFonts w:ascii="Times New Roman" w:hAnsi="Times New Roman"/>
          <w:lang w:val="pt-BR"/>
        </w:rPr>
        <w:t>h.</w:t>
      </w:r>
    </w:p>
    <w:p w14:paraId="010355CA" w14:textId="184CCC66" w:rsidR="004511F2" w:rsidRPr="005F0A3A" w:rsidRDefault="004511F2" w:rsidP="00094A66">
      <w:pPr>
        <w:pStyle w:val="TAMainText"/>
        <w:spacing w:after="40"/>
        <w:ind w:firstLine="204"/>
        <w:rPr>
          <w:rFonts w:ascii="Times New Roman" w:hAnsi="Times New Roman"/>
          <w:lang w:val="pt-BR"/>
        </w:rPr>
      </w:pPr>
    </w:p>
    <w:p w14:paraId="2FAF0B03" w14:textId="6366DC1C" w:rsidR="004511F2" w:rsidRPr="005F0A3A" w:rsidRDefault="004511F2" w:rsidP="004511F2">
      <w:pPr>
        <w:pStyle w:val="TAMainText"/>
        <w:spacing w:after="40"/>
        <w:ind w:firstLine="0"/>
        <w:rPr>
          <w:rFonts w:ascii="Times New Roman" w:hAnsi="Times New Roman"/>
          <w:i/>
          <w:lang w:val="pt-BR"/>
        </w:rPr>
      </w:pPr>
      <w:r w:rsidRPr="005F0A3A">
        <w:rPr>
          <w:rFonts w:ascii="Times New Roman" w:hAnsi="Times New Roman"/>
          <w:i/>
          <w:lang w:val="pt-BR"/>
        </w:rPr>
        <w:t xml:space="preserve">Síntese de </w:t>
      </w:r>
      <w:proofErr w:type="spellStart"/>
      <w:r w:rsidRPr="005F0A3A">
        <w:rPr>
          <w:rFonts w:ascii="Times New Roman" w:hAnsi="Times New Roman"/>
          <w:i/>
          <w:lang w:val="pt-BR"/>
        </w:rPr>
        <w:t>Au</w:t>
      </w:r>
      <w:proofErr w:type="spellEnd"/>
      <w:r w:rsidRPr="005F0A3A">
        <w:rPr>
          <w:rFonts w:ascii="Times New Roman" w:hAnsi="Times New Roman"/>
          <w:i/>
          <w:lang w:val="pt-BR"/>
        </w:rPr>
        <w:t>/UiO-66</w:t>
      </w:r>
    </w:p>
    <w:p w14:paraId="789948AA" w14:textId="42D5BB07" w:rsidR="007840FD" w:rsidRPr="005F0A3A" w:rsidRDefault="004511F2" w:rsidP="003915B9">
      <w:pPr>
        <w:pStyle w:val="TAMainText"/>
        <w:spacing w:after="40"/>
        <w:ind w:firstLine="204"/>
        <w:rPr>
          <w:rFonts w:ascii="Times New Roman" w:hAnsi="Times New Roman"/>
          <w:lang w:val="pt-BR"/>
        </w:rPr>
      </w:pPr>
      <w:r w:rsidRPr="005F0A3A">
        <w:rPr>
          <w:rFonts w:ascii="Times New Roman" w:hAnsi="Times New Roman"/>
          <w:lang w:val="pt-BR"/>
        </w:rPr>
        <w:t>Inicialmente</w:t>
      </w:r>
      <w:r w:rsidR="00291087">
        <w:rPr>
          <w:rFonts w:ascii="Times New Roman" w:hAnsi="Times New Roman"/>
          <w:lang w:val="pt-BR"/>
        </w:rPr>
        <w:t>,</w:t>
      </w:r>
      <w:r w:rsidRPr="005F0A3A">
        <w:rPr>
          <w:rFonts w:ascii="Times New Roman" w:hAnsi="Times New Roman"/>
          <w:lang w:val="pt-BR"/>
        </w:rPr>
        <w:t xml:space="preserve"> o ponto úmido da MOF</w:t>
      </w:r>
      <w:r w:rsidR="00291087">
        <w:rPr>
          <w:rFonts w:ascii="Times New Roman" w:hAnsi="Times New Roman"/>
          <w:lang w:val="pt-BR"/>
        </w:rPr>
        <w:t xml:space="preserve"> foi determinado. Com isso</w:t>
      </w:r>
      <w:r w:rsidRPr="005F0A3A">
        <w:rPr>
          <w:rFonts w:ascii="Times New Roman" w:hAnsi="Times New Roman"/>
          <w:lang w:val="pt-BR"/>
        </w:rPr>
        <w:t>, preparou-se uma solução aquosa de HAuCl</w:t>
      </w:r>
      <w:r w:rsidRPr="005F0A3A">
        <w:rPr>
          <w:rFonts w:ascii="Times New Roman" w:hAnsi="Times New Roman"/>
          <w:vertAlign w:val="subscript"/>
          <w:lang w:val="pt-BR"/>
        </w:rPr>
        <w:t>4</w:t>
      </w:r>
      <w:r w:rsidRPr="005F0A3A">
        <w:rPr>
          <w:rFonts w:ascii="Times New Roman" w:hAnsi="Times New Roman"/>
          <w:lang w:val="pt-BR"/>
        </w:rPr>
        <w:t xml:space="preserve"> </w:t>
      </w:r>
      <w:r w:rsidR="00291087">
        <w:rPr>
          <w:rFonts w:ascii="Times New Roman" w:hAnsi="Times New Roman"/>
          <w:lang w:val="pt-BR"/>
        </w:rPr>
        <w:t>para</w:t>
      </w:r>
      <w:r w:rsidR="00291087" w:rsidRPr="005F0A3A">
        <w:rPr>
          <w:rFonts w:ascii="Times New Roman" w:hAnsi="Times New Roman"/>
          <w:lang w:val="pt-BR"/>
        </w:rPr>
        <w:t xml:space="preserve"> </w:t>
      </w:r>
      <w:r w:rsidRPr="005F0A3A">
        <w:rPr>
          <w:rFonts w:ascii="Times New Roman" w:hAnsi="Times New Roman"/>
          <w:lang w:val="pt-BR"/>
        </w:rPr>
        <w:t>a preparação d</w:t>
      </w:r>
      <w:r w:rsidR="00291087">
        <w:rPr>
          <w:rFonts w:ascii="Times New Roman" w:hAnsi="Times New Roman"/>
          <w:lang w:val="pt-BR"/>
        </w:rPr>
        <w:t>o</w:t>
      </w:r>
      <w:r w:rsidRPr="005F0A3A">
        <w:rPr>
          <w:rFonts w:ascii="Times New Roman" w:hAnsi="Times New Roman"/>
          <w:lang w:val="pt-BR"/>
        </w:rPr>
        <w:t xml:space="preserve"> catalisador por impregnação úmida</w:t>
      </w:r>
      <w:r w:rsidR="00291087">
        <w:rPr>
          <w:rFonts w:ascii="Times New Roman" w:hAnsi="Times New Roman"/>
          <w:lang w:val="pt-BR"/>
        </w:rPr>
        <w:t xml:space="preserve"> a fim de obter um teor nominal de 2% Au</w:t>
      </w:r>
      <w:r w:rsidRPr="005F0A3A">
        <w:rPr>
          <w:rFonts w:ascii="Times New Roman" w:hAnsi="Times New Roman"/>
          <w:lang w:val="pt-BR"/>
        </w:rPr>
        <w:t>. Após a impregnação, o catalisador foi levado a secagem a 100 °C por 24</w:t>
      </w:r>
      <w:r w:rsidR="00291087">
        <w:rPr>
          <w:rFonts w:ascii="Times New Roman" w:hAnsi="Times New Roman"/>
          <w:lang w:val="pt-BR"/>
        </w:rPr>
        <w:t xml:space="preserve"> </w:t>
      </w:r>
      <w:r w:rsidRPr="005F0A3A">
        <w:rPr>
          <w:rFonts w:ascii="Times New Roman" w:hAnsi="Times New Roman"/>
          <w:lang w:val="pt-BR"/>
        </w:rPr>
        <w:t>h.</w:t>
      </w:r>
    </w:p>
    <w:p w14:paraId="3C32F8AF" w14:textId="77777777" w:rsidR="008A5196" w:rsidRPr="005F0A3A" w:rsidRDefault="008A5196" w:rsidP="0030284C">
      <w:pPr>
        <w:pStyle w:val="TAMainText"/>
        <w:spacing w:after="40"/>
        <w:ind w:firstLine="0"/>
        <w:rPr>
          <w:rFonts w:ascii="Times New Roman" w:hAnsi="Times New Roman"/>
          <w:lang w:val="pt-BR"/>
        </w:rPr>
      </w:pPr>
    </w:p>
    <w:p w14:paraId="3FDE5DA1" w14:textId="3A8FDD8B" w:rsidR="0030284C" w:rsidRPr="005F0A3A" w:rsidRDefault="00F11A19" w:rsidP="0030284C">
      <w:pPr>
        <w:pStyle w:val="TAMainText"/>
        <w:spacing w:after="40"/>
        <w:ind w:firstLine="0"/>
        <w:rPr>
          <w:rFonts w:ascii="Times New Roman" w:hAnsi="Times New Roman"/>
          <w:i/>
          <w:lang w:val="pt-BR"/>
        </w:rPr>
      </w:pPr>
      <w:r w:rsidRPr="005F0A3A">
        <w:rPr>
          <w:rFonts w:ascii="Times New Roman" w:hAnsi="Times New Roman"/>
          <w:i/>
          <w:lang w:val="pt-BR"/>
        </w:rPr>
        <w:t>Caracterização</w:t>
      </w:r>
      <w:r w:rsidR="0075542B" w:rsidRPr="005F0A3A">
        <w:rPr>
          <w:rFonts w:ascii="Times New Roman" w:hAnsi="Times New Roman"/>
          <w:i/>
          <w:lang w:val="pt-BR"/>
        </w:rPr>
        <w:t xml:space="preserve"> físico-química</w:t>
      </w:r>
    </w:p>
    <w:p w14:paraId="53518B1C" w14:textId="149C8716" w:rsidR="00F11A19" w:rsidRDefault="00F11A19" w:rsidP="00594B62">
      <w:pPr>
        <w:pStyle w:val="TAMainText"/>
        <w:spacing w:after="40"/>
        <w:ind w:firstLine="204"/>
        <w:rPr>
          <w:rFonts w:ascii="Times New Roman" w:hAnsi="Times New Roman"/>
          <w:lang w:val="pt-BR"/>
        </w:rPr>
      </w:pPr>
      <w:r w:rsidRPr="005F0A3A">
        <w:rPr>
          <w:rFonts w:ascii="Times New Roman" w:hAnsi="Times New Roman"/>
          <w:lang w:val="pt-BR"/>
        </w:rPr>
        <w:t>Uma vez preparados, os catalisadores foram caracterizados quan</w:t>
      </w:r>
      <w:r w:rsidR="002D364A" w:rsidRPr="005F0A3A">
        <w:rPr>
          <w:rFonts w:ascii="Times New Roman" w:hAnsi="Times New Roman"/>
          <w:lang w:val="pt-BR"/>
        </w:rPr>
        <w:t>t</w:t>
      </w:r>
      <w:r w:rsidRPr="005F0A3A">
        <w:rPr>
          <w:rFonts w:ascii="Times New Roman" w:hAnsi="Times New Roman"/>
          <w:lang w:val="pt-BR"/>
        </w:rPr>
        <w:t xml:space="preserve">o </w:t>
      </w:r>
      <w:r w:rsidR="002D364A" w:rsidRPr="005F0A3A">
        <w:rPr>
          <w:rFonts w:ascii="Times New Roman" w:hAnsi="Times New Roman"/>
          <w:lang w:val="pt-BR"/>
        </w:rPr>
        <w:t>à</w:t>
      </w:r>
      <w:r w:rsidRPr="005F0A3A">
        <w:rPr>
          <w:rFonts w:ascii="Times New Roman" w:hAnsi="Times New Roman"/>
          <w:lang w:val="pt-BR"/>
        </w:rPr>
        <w:t xml:space="preserve"> sua cristalinidade </w:t>
      </w:r>
      <w:r w:rsidR="0075542B" w:rsidRPr="005F0A3A">
        <w:rPr>
          <w:rFonts w:ascii="Times New Roman" w:hAnsi="Times New Roman"/>
          <w:lang w:val="pt-BR"/>
        </w:rPr>
        <w:t>por</w:t>
      </w:r>
      <w:r w:rsidRPr="005F0A3A">
        <w:rPr>
          <w:rFonts w:ascii="Times New Roman" w:hAnsi="Times New Roman"/>
          <w:lang w:val="pt-BR"/>
        </w:rPr>
        <w:t xml:space="preserve"> </w:t>
      </w:r>
      <w:r w:rsidR="0075542B" w:rsidRPr="005F0A3A">
        <w:rPr>
          <w:rFonts w:ascii="Times New Roman" w:hAnsi="Times New Roman"/>
          <w:lang w:val="pt-BR"/>
        </w:rPr>
        <w:t>d</w:t>
      </w:r>
      <w:r w:rsidRPr="005F0A3A">
        <w:rPr>
          <w:rFonts w:ascii="Times New Roman" w:hAnsi="Times New Roman"/>
          <w:lang w:val="pt-BR"/>
        </w:rPr>
        <w:t xml:space="preserve">ifração de </w:t>
      </w:r>
      <w:r w:rsidR="0075542B" w:rsidRPr="005F0A3A">
        <w:rPr>
          <w:rFonts w:ascii="Times New Roman" w:hAnsi="Times New Roman"/>
          <w:lang w:val="pt-BR"/>
        </w:rPr>
        <w:t>r</w:t>
      </w:r>
      <w:r w:rsidRPr="005F0A3A">
        <w:rPr>
          <w:rFonts w:ascii="Times New Roman" w:hAnsi="Times New Roman"/>
          <w:lang w:val="pt-BR"/>
        </w:rPr>
        <w:t>aios</w:t>
      </w:r>
      <w:r w:rsidR="00324389">
        <w:rPr>
          <w:rFonts w:ascii="Times New Roman" w:hAnsi="Times New Roman"/>
          <w:lang w:val="pt-BR"/>
        </w:rPr>
        <w:t xml:space="preserve"> </w:t>
      </w:r>
      <w:r w:rsidRPr="005F0A3A">
        <w:rPr>
          <w:rFonts w:ascii="Times New Roman" w:hAnsi="Times New Roman"/>
          <w:lang w:val="pt-BR"/>
        </w:rPr>
        <w:t xml:space="preserve">X em </w:t>
      </w:r>
      <w:proofErr w:type="spellStart"/>
      <w:r w:rsidRPr="005F0A3A">
        <w:rPr>
          <w:rFonts w:ascii="Times New Roman" w:hAnsi="Times New Roman"/>
          <w:lang w:val="pt-BR"/>
        </w:rPr>
        <w:t>Difratômetro</w:t>
      </w:r>
      <w:proofErr w:type="spellEnd"/>
      <w:r w:rsidRPr="005F0A3A">
        <w:rPr>
          <w:rFonts w:ascii="Times New Roman" w:hAnsi="Times New Roman"/>
          <w:lang w:val="pt-BR"/>
        </w:rPr>
        <w:t xml:space="preserve"> D8 Focus </w:t>
      </w:r>
      <w:proofErr w:type="spellStart"/>
      <w:r w:rsidRPr="005F0A3A">
        <w:rPr>
          <w:rFonts w:ascii="Times New Roman" w:hAnsi="Times New Roman"/>
          <w:lang w:val="pt-BR"/>
        </w:rPr>
        <w:t>Bruker</w:t>
      </w:r>
      <w:proofErr w:type="spellEnd"/>
      <w:r w:rsidRPr="005F0A3A">
        <w:rPr>
          <w:rFonts w:ascii="Times New Roman" w:hAnsi="Times New Roman"/>
          <w:lang w:val="pt-BR"/>
        </w:rPr>
        <w:t xml:space="preserve"> AXS. </w:t>
      </w:r>
      <w:r w:rsidR="002D364A" w:rsidRPr="005F0A3A">
        <w:rPr>
          <w:rFonts w:ascii="Times New Roman" w:hAnsi="Times New Roman"/>
          <w:lang w:val="pt-BR"/>
        </w:rPr>
        <w:t>As propriedades texturais</w:t>
      </w:r>
      <w:r w:rsidRPr="005F0A3A">
        <w:rPr>
          <w:rFonts w:ascii="Times New Roman" w:hAnsi="Times New Roman"/>
          <w:lang w:val="pt-BR"/>
        </w:rPr>
        <w:t xml:space="preserve"> foram determinadas por </w:t>
      </w:r>
      <w:proofErr w:type="spellStart"/>
      <w:r w:rsidRPr="005F0A3A">
        <w:rPr>
          <w:rFonts w:ascii="Times New Roman" w:hAnsi="Times New Roman"/>
          <w:lang w:val="pt-BR"/>
        </w:rPr>
        <w:t>fisissorção</w:t>
      </w:r>
      <w:proofErr w:type="spellEnd"/>
      <w:r w:rsidRPr="005F0A3A">
        <w:rPr>
          <w:rFonts w:ascii="Times New Roman" w:hAnsi="Times New Roman"/>
          <w:lang w:val="pt-BR"/>
        </w:rPr>
        <w:t xml:space="preserve"> de N</w:t>
      </w:r>
      <w:r w:rsidRPr="005F0A3A">
        <w:rPr>
          <w:rFonts w:ascii="Times New Roman" w:hAnsi="Times New Roman"/>
          <w:vertAlign w:val="subscript"/>
          <w:lang w:val="pt-BR"/>
        </w:rPr>
        <w:t>2</w:t>
      </w:r>
      <w:r w:rsidRPr="005F0A3A">
        <w:rPr>
          <w:rFonts w:ascii="Times New Roman" w:hAnsi="Times New Roman"/>
          <w:lang w:val="pt-BR"/>
        </w:rPr>
        <w:t xml:space="preserve"> em Autosorb-1 </w:t>
      </w:r>
      <w:proofErr w:type="spellStart"/>
      <w:r w:rsidRPr="005F0A3A">
        <w:rPr>
          <w:rFonts w:ascii="Times New Roman" w:hAnsi="Times New Roman"/>
          <w:lang w:val="pt-BR"/>
        </w:rPr>
        <w:t>QuantaChrome</w:t>
      </w:r>
      <w:proofErr w:type="spellEnd"/>
      <w:r w:rsidRPr="005F0A3A">
        <w:rPr>
          <w:rFonts w:ascii="Times New Roman" w:hAnsi="Times New Roman"/>
          <w:lang w:val="pt-BR"/>
        </w:rPr>
        <w:t xml:space="preserve"> </w:t>
      </w:r>
      <w:proofErr w:type="spellStart"/>
      <w:r w:rsidRPr="005F0A3A">
        <w:rPr>
          <w:rFonts w:ascii="Times New Roman" w:hAnsi="Times New Roman"/>
          <w:lang w:val="pt-BR"/>
        </w:rPr>
        <w:t>Instruments</w:t>
      </w:r>
      <w:proofErr w:type="spellEnd"/>
      <w:r w:rsidR="0075542B" w:rsidRPr="005F0A3A">
        <w:rPr>
          <w:rFonts w:ascii="Times New Roman" w:hAnsi="Times New Roman"/>
          <w:lang w:val="pt-BR"/>
        </w:rPr>
        <w:t>. A</w:t>
      </w:r>
      <w:r w:rsidRPr="005F0A3A">
        <w:rPr>
          <w:rFonts w:ascii="Times New Roman" w:hAnsi="Times New Roman"/>
          <w:lang w:val="pt-BR"/>
        </w:rPr>
        <w:t xml:space="preserve"> estabilidade térmica foi avaliada por análise termogravimétrica entre 20 e 800 °C em SDT Q600 TA </w:t>
      </w:r>
      <w:proofErr w:type="spellStart"/>
      <w:r w:rsidRPr="005F0A3A">
        <w:rPr>
          <w:rFonts w:ascii="Times New Roman" w:hAnsi="Times New Roman"/>
          <w:lang w:val="pt-BR"/>
        </w:rPr>
        <w:t>Instruments</w:t>
      </w:r>
      <w:proofErr w:type="spellEnd"/>
      <w:r w:rsidR="00094A66" w:rsidRPr="005F0A3A">
        <w:rPr>
          <w:rFonts w:ascii="Times New Roman" w:hAnsi="Times New Roman"/>
          <w:lang w:val="pt-BR"/>
        </w:rPr>
        <w:t xml:space="preserve"> sob atmosfera inerte com uma rampa de 20 °C</w:t>
      </w:r>
      <w:r w:rsidR="0075542B" w:rsidRPr="005F0A3A">
        <w:rPr>
          <w:rFonts w:ascii="Times New Roman" w:hAnsi="Times New Roman"/>
          <w:lang w:val="pt-BR"/>
        </w:rPr>
        <w:t xml:space="preserve"> </w:t>
      </w:r>
      <w:r w:rsidR="00094A66" w:rsidRPr="005F0A3A">
        <w:rPr>
          <w:rFonts w:ascii="Times New Roman" w:hAnsi="Times New Roman"/>
          <w:lang w:val="pt-BR"/>
        </w:rPr>
        <w:t>min</w:t>
      </w:r>
      <w:r w:rsidR="0075542B" w:rsidRPr="005F0A3A">
        <w:rPr>
          <w:rFonts w:ascii="Times New Roman" w:hAnsi="Times New Roman"/>
          <w:vertAlign w:val="superscript"/>
          <w:lang w:val="pt-BR"/>
        </w:rPr>
        <w:t>-1</w:t>
      </w:r>
      <w:r w:rsidRPr="005F0A3A">
        <w:rPr>
          <w:rFonts w:ascii="Times New Roman" w:hAnsi="Times New Roman"/>
          <w:lang w:val="pt-BR"/>
        </w:rPr>
        <w:t xml:space="preserve">. Por fim, a estabilidade </w:t>
      </w:r>
      <w:r w:rsidR="0075542B" w:rsidRPr="005F0A3A">
        <w:rPr>
          <w:rFonts w:ascii="Times New Roman" w:hAnsi="Times New Roman"/>
          <w:lang w:val="pt-BR"/>
        </w:rPr>
        <w:t xml:space="preserve">estrutural </w:t>
      </w:r>
      <w:r w:rsidRPr="005F0A3A">
        <w:rPr>
          <w:rFonts w:ascii="Times New Roman" w:hAnsi="Times New Roman"/>
          <w:lang w:val="pt-BR"/>
        </w:rPr>
        <w:t xml:space="preserve">dos catalisadores foi </w:t>
      </w:r>
      <w:r w:rsidR="002D364A" w:rsidRPr="005F0A3A">
        <w:rPr>
          <w:rFonts w:ascii="Times New Roman" w:hAnsi="Times New Roman"/>
          <w:lang w:val="pt-BR"/>
        </w:rPr>
        <w:t xml:space="preserve">avaliada </w:t>
      </w:r>
      <w:r w:rsidR="0075542B" w:rsidRPr="005F0A3A">
        <w:rPr>
          <w:rFonts w:ascii="Times New Roman" w:hAnsi="Times New Roman"/>
          <w:lang w:val="pt-BR"/>
        </w:rPr>
        <w:t>por</w:t>
      </w:r>
      <w:r w:rsidRPr="005F0A3A">
        <w:rPr>
          <w:rFonts w:ascii="Times New Roman" w:hAnsi="Times New Roman"/>
          <w:lang w:val="pt-BR"/>
        </w:rPr>
        <w:t xml:space="preserve"> </w:t>
      </w:r>
      <w:r w:rsidR="0075542B" w:rsidRPr="005F0A3A">
        <w:rPr>
          <w:rFonts w:ascii="Times New Roman" w:hAnsi="Times New Roman"/>
          <w:lang w:val="pt-BR"/>
        </w:rPr>
        <w:t>e</w:t>
      </w:r>
      <w:r w:rsidRPr="005F0A3A">
        <w:rPr>
          <w:rFonts w:ascii="Times New Roman" w:hAnsi="Times New Roman"/>
          <w:lang w:val="pt-BR"/>
        </w:rPr>
        <w:t>spectroscopia n</w:t>
      </w:r>
      <w:r w:rsidR="002D364A" w:rsidRPr="005F0A3A">
        <w:rPr>
          <w:rFonts w:ascii="Times New Roman" w:hAnsi="Times New Roman"/>
          <w:lang w:val="pt-BR"/>
        </w:rPr>
        <w:t>a região do</w:t>
      </w:r>
      <w:r w:rsidRPr="005F0A3A">
        <w:rPr>
          <w:rFonts w:ascii="Times New Roman" w:hAnsi="Times New Roman"/>
          <w:lang w:val="pt-BR"/>
        </w:rPr>
        <w:t xml:space="preserve"> Infravermelho </w:t>
      </w:r>
      <w:r w:rsidR="002D364A" w:rsidRPr="005F0A3A">
        <w:rPr>
          <w:rFonts w:ascii="Times New Roman" w:hAnsi="Times New Roman"/>
          <w:lang w:val="pt-BR"/>
        </w:rPr>
        <w:t>em modo de reflectância total atenuada (ATR), utilizando</w:t>
      </w:r>
      <w:r w:rsidR="00AA76F9" w:rsidRPr="005F0A3A">
        <w:rPr>
          <w:rFonts w:ascii="Times New Roman" w:hAnsi="Times New Roman"/>
          <w:lang w:val="pt-BR"/>
        </w:rPr>
        <w:t xml:space="preserve"> </w:t>
      </w:r>
      <w:r w:rsidRPr="005F0A3A">
        <w:rPr>
          <w:rFonts w:ascii="Times New Roman" w:hAnsi="Times New Roman"/>
          <w:lang w:val="pt-BR"/>
        </w:rPr>
        <w:t xml:space="preserve">128 </w:t>
      </w:r>
      <w:r w:rsidR="002D364A" w:rsidRPr="005F0A3A">
        <w:rPr>
          <w:rFonts w:ascii="Times New Roman" w:hAnsi="Times New Roman"/>
          <w:lang w:val="pt-BR"/>
        </w:rPr>
        <w:t>varreduras</w:t>
      </w:r>
      <w:r w:rsidRPr="005F0A3A">
        <w:rPr>
          <w:rFonts w:ascii="Times New Roman" w:hAnsi="Times New Roman"/>
          <w:lang w:val="pt-BR"/>
        </w:rPr>
        <w:t>.</w:t>
      </w:r>
    </w:p>
    <w:p w14:paraId="2F4AE33D" w14:textId="77777777" w:rsidR="005F0A3A" w:rsidRPr="005F0A3A" w:rsidRDefault="005F0A3A" w:rsidP="00594B62">
      <w:pPr>
        <w:pStyle w:val="TAMainText"/>
        <w:spacing w:after="40"/>
        <w:ind w:firstLine="204"/>
        <w:rPr>
          <w:rFonts w:ascii="Times New Roman" w:hAnsi="Times New Roman"/>
          <w:lang w:val="pt-BR"/>
        </w:rPr>
      </w:pPr>
    </w:p>
    <w:p w14:paraId="136BD1AC" w14:textId="160DFCFA" w:rsidR="00EA4E1B" w:rsidRPr="005F0A3A" w:rsidRDefault="00EA4E1B" w:rsidP="005F0A3A">
      <w:pPr>
        <w:pStyle w:val="Ttulo2"/>
        <w:spacing w:before="0" w:after="100"/>
        <w:rPr>
          <w:rFonts w:ascii="Helvetica" w:hAnsi="Helvetica" w:cs="Helvetica"/>
          <w:sz w:val="24"/>
          <w:szCs w:val="24"/>
        </w:rPr>
      </w:pPr>
      <w:r w:rsidRPr="005F0A3A">
        <w:rPr>
          <w:rFonts w:ascii="Helvetica" w:hAnsi="Helvetica" w:cs="Helvetica"/>
          <w:sz w:val="24"/>
          <w:szCs w:val="24"/>
        </w:rPr>
        <w:t>Resultados e Discussão</w:t>
      </w:r>
    </w:p>
    <w:p w14:paraId="02C29353" w14:textId="4ADA46EA" w:rsidR="00EA40D1" w:rsidRDefault="00043273" w:rsidP="00EA4E1B">
      <w:pPr>
        <w:pStyle w:val="TAMainText"/>
        <w:ind w:firstLine="187"/>
        <w:rPr>
          <w:rFonts w:ascii="Times New Roman" w:hAnsi="Times New Roman"/>
          <w:lang w:val="pt-BR"/>
        </w:rPr>
      </w:pPr>
      <w:r>
        <w:rPr>
          <w:rFonts w:ascii="Times New Roman" w:hAnsi="Times New Roman"/>
          <w:lang w:val="pt-BR"/>
        </w:rPr>
        <w:t>O</w:t>
      </w:r>
      <w:r w:rsidR="00537695" w:rsidRPr="005F0A3A">
        <w:rPr>
          <w:rFonts w:ascii="Times New Roman" w:hAnsi="Times New Roman"/>
          <w:lang w:val="pt-BR"/>
        </w:rPr>
        <w:t xml:space="preserve"> uso de diferentes moduladores</w:t>
      </w:r>
      <w:r w:rsidR="00537695">
        <w:rPr>
          <w:rFonts w:ascii="Times New Roman" w:hAnsi="Times New Roman"/>
          <w:lang w:val="pt-BR"/>
        </w:rPr>
        <w:t xml:space="preserve"> afeta características como tamanho do cristal, volume de poros e </w:t>
      </w:r>
      <w:proofErr w:type="spellStart"/>
      <w:r w:rsidR="00537695">
        <w:rPr>
          <w:rFonts w:ascii="Times New Roman" w:hAnsi="Times New Roman"/>
          <w:lang w:val="pt-BR"/>
        </w:rPr>
        <w:t>microporos</w:t>
      </w:r>
      <w:proofErr w:type="spellEnd"/>
      <w:r w:rsidR="00537695">
        <w:rPr>
          <w:rFonts w:ascii="Times New Roman" w:hAnsi="Times New Roman"/>
          <w:lang w:val="pt-BR"/>
        </w:rPr>
        <w:t xml:space="preserve">, área específica e, principalmente, a morfologia e quantidade de defeitos na estrutura, de modo que ácidos mais fortes, à exemplo do </w:t>
      </w:r>
      <w:proofErr w:type="spellStart"/>
      <w:r w:rsidR="00537695">
        <w:rPr>
          <w:rFonts w:ascii="Times New Roman" w:hAnsi="Times New Roman"/>
          <w:lang w:val="pt-BR"/>
        </w:rPr>
        <w:t>HCl</w:t>
      </w:r>
      <w:proofErr w:type="spellEnd"/>
      <w:r w:rsidR="00537695">
        <w:rPr>
          <w:rFonts w:ascii="Times New Roman" w:hAnsi="Times New Roman"/>
          <w:lang w:val="pt-BR"/>
        </w:rPr>
        <w:t xml:space="preserve">, levam a cristais menos uniformes e com mais defeitos, devido a aceleração dos processos de nucleação e crescimento de partículas. Assim, para construir </w:t>
      </w:r>
      <w:r>
        <w:rPr>
          <w:rFonts w:ascii="Times New Roman" w:hAnsi="Times New Roman"/>
          <w:lang w:val="pt-BR"/>
        </w:rPr>
        <w:t xml:space="preserve">uma </w:t>
      </w:r>
      <w:r w:rsidR="00537695">
        <w:rPr>
          <w:rFonts w:ascii="Times New Roman" w:hAnsi="Times New Roman"/>
          <w:lang w:val="pt-BR"/>
        </w:rPr>
        <w:t>MOF com altas áreas, uniformidade de morfologia e um menor número de defeitos, o uso de ácidos mais fracos, como o HCOOH, é o ideal</w:t>
      </w:r>
      <w:r w:rsidR="00537695" w:rsidRPr="005F0A3A">
        <w:rPr>
          <w:rFonts w:ascii="Times New Roman" w:hAnsi="Times New Roman"/>
          <w:lang w:val="pt-BR"/>
        </w:rPr>
        <w:t xml:space="preserve">. </w:t>
      </w:r>
      <w:r>
        <w:rPr>
          <w:rFonts w:ascii="Times New Roman" w:hAnsi="Times New Roman"/>
          <w:lang w:val="pt-BR"/>
        </w:rPr>
        <w:t xml:space="preserve">Quanto à preparação de catalisadores utilizando </w:t>
      </w:r>
      <w:proofErr w:type="spellStart"/>
      <w:r>
        <w:rPr>
          <w:rFonts w:ascii="Times New Roman" w:hAnsi="Times New Roman"/>
          <w:lang w:val="pt-BR"/>
        </w:rPr>
        <w:t>Au</w:t>
      </w:r>
      <w:proofErr w:type="spellEnd"/>
      <w:r>
        <w:rPr>
          <w:rFonts w:ascii="Times New Roman" w:hAnsi="Times New Roman"/>
          <w:lang w:val="pt-BR"/>
        </w:rPr>
        <w:t>, a</w:t>
      </w:r>
      <w:r w:rsidR="001C2025">
        <w:rPr>
          <w:rFonts w:ascii="Times New Roman" w:hAnsi="Times New Roman"/>
          <w:lang w:val="pt-BR"/>
        </w:rPr>
        <w:t>mbos os processos de preparação, seja pela</w:t>
      </w:r>
      <w:r w:rsidR="001C2025" w:rsidRPr="005F0A3A">
        <w:rPr>
          <w:rFonts w:ascii="Times New Roman" w:hAnsi="Times New Roman"/>
          <w:lang w:val="pt-BR"/>
        </w:rPr>
        <w:t xml:space="preserve"> </w:t>
      </w:r>
      <w:r w:rsidR="0075542B" w:rsidRPr="005F0A3A">
        <w:rPr>
          <w:rFonts w:ascii="Times New Roman" w:hAnsi="Times New Roman"/>
          <w:lang w:val="pt-BR"/>
        </w:rPr>
        <w:t xml:space="preserve">deposição das </w:t>
      </w:r>
      <w:proofErr w:type="spellStart"/>
      <w:r w:rsidR="0075542B" w:rsidRPr="005F0A3A">
        <w:rPr>
          <w:rFonts w:ascii="Times New Roman" w:hAnsi="Times New Roman"/>
          <w:lang w:val="pt-BR"/>
        </w:rPr>
        <w:t>NPAu</w:t>
      </w:r>
      <w:proofErr w:type="spellEnd"/>
      <w:r w:rsidR="0075542B" w:rsidRPr="005F0A3A">
        <w:rPr>
          <w:rFonts w:ascii="Times New Roman" w:hAnsi="Times New Roman"/>
          <w:lang w:val="pt-BR"/>
        </w:rPr>
        <w:t xml:space="preserve"> sobre a UiO-66</w:t>
      </w:r>
      <w:r w:rsidR="001C2025">
        <w:rPr>
          <w:rFonts w:ascii="Times New Roman" w:hAnsi="Times New Roman"/>
          <w:lang w:val="pt-BR"/>
        </w:rPr>
        <w:t xml:space="preserve"> ou pela impregnação sem o controle do tamanho de NP,</w:t>
      </w:r>
      <w:r w:rsidR="0075542B" w:rsidRPr="005F0A3A">
        <w:rPr>
          <w:rFonts w:ascii="Times New Roman" w:hAnsi="Times New Roman"/>
          <w:lang w:val="pt-BR"/>
        </w:rPr>
        <w:t xml:space="preserve"> lev</w:t>
      </w:r>
      <w:r w:rsidR="001C2025">
        <w:rPr>
          <w:rFonts w:ascii="Times New Roman" w:hAnsi="Times New Roman"/>
          <w:lang w:val="pt-BR"/>
        </w:rPr>
        <w:t>aram</w:t>
      </w:r>
      <w:r w:rsidR="0075542B" w:rsidRPr="005F0A3A">
        <w:rPr>
          <w:rFonts w:ascii="Times New Roman" w:hAnsi="Times New Roman"/>
          <w:lang w:val="pt-BR"/>
        </w:rPr>
        <w:t xml:space="preserve"> a</w:t>
      </w:r>
      <w:r w:rsidR="00EA40D1" w:rsidRPr="005F0A3A">
        <w:rPr>
          <w:rFonts w:ascii="Times New Roman" w:hAnsi="Times New Roman"/>
          <w:lang w:val="pt-BR"/>
        </w:rPr>
        <w:t xml:space="preserve"> alterações </w:t>
      </w:r>
      <w:r w:rsidR="0075542B" w:rsidRPr="005F0A3A">
        <w:rPr>
          <w:rFonts w:ascii="Times New Roman" w:hAnsi="Times New Roman"/>
          <w:lang w:val="pt-BR"/>
        </w:rPr>
        <w:t xml:space="preserve">de algumas propriedades físico-químicas dos catalisadores. </w:t>
      </w:r>
      <w:r w:rsidR="00EA40D1" w:rsidRPr="005F0A3A">
        <w:rPr>
          <w:rFonts w:ascii="Times New Roman" w:hAnsi="Times New Roman"/>
          <w:lang w:val="pt-BR"/>
        </w:rPr>
        <w:t xml:space="preserve">Inicialmente, </w:t>
      </w:r>
      <w:r w:rsidR="00594B62" w:rsidRPr="005F0A3A">
        <w:rPr>
          <w:rFonts w:ascii="Times New Roman" w:hAnsi="Times New Roman"/>
          <w:lang w:val="pt-BR"/>
        </w:rPr>
        <w:t>foi</w:t>
      </w:r>
      <w:r w:rsidR="00EA40D1" w:rsidRPr="005F0A3A">
        <w:rPr>
          <w:rFonts w:ascii="Times New Roman" w:hAnsi="Times New Roman"/>
          <w:lang w:val="pt-BR"/>
        </w:rPr>
        <w:t xml:space="preserve"> possível notar diferenças </w:t>
      </w:r>
      <w:r w:rsidR="0075542B" w:rsidRPr="005F0A3A">
        <w:rPr>
          <w:rFonts w:ascii="Times New Roman" w:hAnsi="Times New Roman"/>
          <w:lang w:val="pt-BR"/>
        </w:rPr>
        <w:t>na</w:t>
      </w:r>
      <w:r w:rsidR="00EA40D1" w:rsidRPr="005F0A3A">
        <w:rPr>
          <w:rFonts w:ascii="Times New Roman" w:hAnsi="Times New Roman"/>
          <w:lang w:val="pt-BR"/>
        </w:rPr>
        <w:t xml:space="preserve"> área </w:t>
      </w:r>
      <w:r w:rsidR="000F4766" w:rsidRPr="005F0A3A">
        <w:rPr>
          <w:rFonts w:ascii="Times New Roman" w:hAnsi="Times New Roman"/>
          <w:lang w:val="pt-BR"/>
        </w:rPr>
        <w:t>específica, conforme</w:t>
      </w:r>
      <w:r w:rsidR="00EA40D1" w:rsidRPr="005F0A3A">
        <w:rPr>
          <w:rFonts w:ascii="Times New Roman" w:hAnsi="Times New Roman"/>
          <w:lang w:val="pt-BR"/>
        </w:rPr>
        <w:t xml:space="preserve"> mostra</w:t>
      </w:r>
      <w:r w:rsidR="00FF4FB7" w:rsidRPr="005F0A3A">
        <w:rPr>
          <w:rFonts w:ascii="Times New Roman" w:hAnsi="Times New Roman"/>
          <w:lang w:val="pt-BR"/>
        </w:rPr>
        <w:t>do</w:t>
      </w:r>
      <w:r w:rsidR="00EA40D1" w:rsidRPr="005F0A3A">
        <w:rPr>
          <w:rFonts w:ascii="Times New Roman" w:hAnsi="Times New Roman"/>
          <w:lang w:val="pt-BR"/>
        </w:rPr>
        <w:t xml:space="preserve"> </w:t>
      </w:r>
      <w:r w:rsidR="0075542B" w:rsidRPr="005F0A3A">
        <w:rPr>
          <w:rFonts w:ascii="Times New Roman" w:hAnsi="Times New Roman"/>
          <w:lang w:val="pt-BR"/>
        </w:rPr>
        <w:t>n</w:t>
      </w:r>
      <w:r w:rsidR="00EA40D1" w:rsidRPr="005F0A3A">
        <w:rPr>
          <w:rFonts w:ascii="Times New Roman" w:hAnsi="Times New Roman"/>
          <w:lang w:val="pt-BR"/>
        </w:rPr>
        <w:t xml:space="preserve">a </w:t>
      </w:r>
      <w:r w:rsidR="00594B62" w:rsidRPr="005F0A3A">
        <w:rPr>
          <w:rFonts w:ascii="Times New Roman" w:hAnsi="Times New Roman"/>
          <w:b/>
          <w:bCs/>
          <w:lang w:val="pt-BR"/>
        </w:rPr>
        <w:t>T</w:t>
      </w:r>
      <w:r w:rsidR="00EA40D1" w:rsidRPr="005F0A3A">
        <w:rPr>
          <w:rFonts w:ascii="Times New Roman" w:hAnsi="Times New Roman"/>
          <w:b/>
          <w:bCs/>
          <w:lang w:val="pt-BR"/>
        </w:rPr>
        <w:t>abela 1</w:t>
      </w:r>
      <w:r w:rsidR="000A34AB" w:rsidRPr="005F0A3A">
        <w:rPr>
          <w:rFonts w:ascii="Times New Roman" w:hAnsi="Times New Roman"/>
          <w:lang w:val="pt-BR"/>
        </w:rPr>
        <w:t>.</w:t>
      </w:r>
    </w:p>
    <w:p w14:paraId="75BD4F36" w14:textId="77777777" w:rsidR="00AA3C71" w:rsidRDefault="00AA3C71" w:rsidP="00EA4E1B">
      <w:pPr>
        <w:pStyle w:val="TAMainText"/>
        <w:ind w:firstLine="187"/>
        <w:rPr>
          <w:rFonts w:ascii="Times New Roman" w:hAnsi="Times New Roman"/>
          <w:lang w:val="pt-BR"/>
        </w:rPr>
      </w:pPr>
    </w:p>
    <w:p w14:paraId="39BFA5D4" w14:textId="77777777" w:rsidR="00AA3C71" w:rsidRDefault="00AA3C71" w:rsidP="00EA4E1B">
      <w:pPr>
        <w:pStyle w:val="TAMainText"/>
        <w:ind w:firstLine="187"/>
        <w:rPr>
          <w:rFonts w:ascii="Times New Roman" w:hAnsi="Times New Roman"/>
          <w:lang w:val="pt-BR"/>
        </w:rPr>
      </w:pPr>
    </w:p>
    <w:p w14:paraId="09379533" w14:textId="77777777" w:rsidR="00AA3C71" w:rsidRDefault="00AA3C71" w:rsidP="00EA4E1B">
      <w:pPr>
        <w:pStyle w:val="TAMainText"/>
        <w:ind w:firstLine="187"/>
        <w:rPr>
          <w:rFonts w:ascii="Times New Roman" w:hAnsi="Times New Roman"/>
          <w:lang w:val="pt-BR"/>
        </w:rPr>
      </w:pPr>
    </w:p>
    <w:p w14:paraId="67E3A47F" w14:textId="77777777" w:rsidR="00AA3C71" w:rsidRDefault="00AA3C71" w:rsidP="00EA4E1B">
      <w:pPr>
        <w:pStyle w:val="TAMainText"/>
        <w:ind w:firstLine="187"/>
        <w:rPr>
          <w:rFonts w:ascii="Times New Roman" w:hAnsi="Times New Roman"/>
          <w:lang w:val="pt-BR"/>
        </w:rPr>
      </w:pPr>
    </w:p>
    <w:p w14:paraId="34270E01" w14:textId="77777777" w:rsidR="00AA3C71" w:rsidRPr="005F0A3A" w:rsidRDefault="00AA3C71" w:rsidP="00EA4E1B">
      <w:pPr>
        <w:pStyle w:val="TAMainText"/>
        <w:ind w:firstLine="187"/>
        <w:rPr>
          <w:rFonts w:ascii="Times New Roman" w:hAnsi="Times New Roman"/>
          <w:lang w:val="pt-BR"/>
        </w:rPr>
      </w:pPr>
    </w:p>
    <w:p w14:paraId="405E3AEB" w14:textId="47274C35" w:rsidR="000A34AB" w:rsidRPr="005F0A3A" w:rsidRDefault="000A34AB" w:rsidP="00EA4E1B">
      <w:pPr>
        <w:pStyle w:val="TAMainText"/>
        <w:ind w:firstLine="187"/>
        <w:rPr>
          <w:rFonts w:ascii="Times New Roman" w:hAnsi="Times New Roman"/>
          <w:lang w:val="pt-BR"/>
        </w:rPr>
      </w:pPr>
    </w:p>
    <w:p w14:paraId="665E8454" w14:textId="55DBF7ED" w:rsidR="007840FD" w:rsidRPr="005F0A3A" w:rsidRDefault="003D664F" w:rsidP="007840FD">
      <w:pPr>
        <w:pStyle w:val="TAMainText"/>
        <w:spacing w:after="120"/>
        <w:ind w:firstLine="187"/>
        <w:rPr>
          <w:rFonts w:ascii="Times New Roman" w:hAnsi="Times New Roman"/>
          <w:lang w:val="pt-BR"/>
        </w:rPr>
      </w:pPr>
      <w:r w:rsidRPr="005F0A3A">
        <w:rPr>
          <w:rFonts w:ascii="Times New Roman" w:hAnsi="Times New Roman"/>
          <w:b/>
          <w:lang w:val="pt-BR"/>
        </w:rPr>
        <w:t>Tabela 1.</w:t>
      </w:r>
      <w:r w:rsidRPr="005F0A3A">
        <w:rPr>
          <w:rFonts w:ascii="Times New Roman" w:hAnsi="Times New Roman"/>
          <w:lang w:val="pt-BR"/>
        </w:rPr>
        <w:t xml:space="preserve"> Propriedades texturais de catalisadores </w:t>
      </w:r>
      <w:r w:rsidR="00594B62" w:rsidRPr="005F0A3A">
        <w:rPr>
          <w:rFonts w:ascii="Times New Roman" w:hAnsi="Times New Roman"/>
          <w:lang w:val="pt-BR"/>
        </w:rPr>
        <w:t>U</w:t>
      </w:r>
      <w:r w:rsidRPr="005F0A3A">
        <w:rPr>
          <w:rFonts w:ascii="Times New Roman" w:hAnsi="Times New Roman"/>
          <w:lang w:val="pt-BR"/>
        </w:rPr>
        <w:t>iO-66 e Au</w:t>
      </w:r>
      <w:r w:rsidR="00594B62" w:rsidRPr="005F0A3A">
        <w:rPr>
          <w:rFonts w:ascii="Times New Roman" w:hAnsi="Times New Roman"/>
          <w:lang w:val="pt-BR"/>
        </w:rPr>
        <w:t>(NP)</w:t>
      </w:r>
      <w:r w:rsidRPr="005F0A3A">
        <w:rPr>
          <w:rFonts w:ascii="Times New Roman" w:hAnsi="Times New Roman"/>
          <w:lang w:val="pt-BR"/>
        </w:rPr>
        <w:t>/UiO-66)</w:t>
      </w:r>
      <w:r w:rsidR="00594B62" w:rsidRPr="005F0A3A">
        <w:rPr>
          <w:rFonts w:ascii="Times New Roman" w:hAnsi="Times New Roman"/>
          <w:lang w:val="pt-BR"/>
        </w:rPr>
        <w:t>.</w:t>
      </w:r>
    </w:p>
    <w:tbl>
      <w:tblPr>
        <w:tblStyle w:val="Tabelacomgrade"/>
        <w:tblW w:w="5044" w:type="dxa"/>
        <w:jc w:val="center"/>
        <w:tblLook w:val="04A0" w:firstRow="1" w:lastRow="0" w:firstColumn="1" w:lastColumn="0" w:noHBand="0" w:noVBand="1"/>
      </w:tblPr>
      <w:tblGrid>
        <w:gridCol w:w="1565"/>
        <w:gridCol w:w="846"/>
        <w:gridCol w:w="679"/>
        <w:gridCol w:w="883"/>
        <w:gridCol w:w="1071"/>
      </w:tblGrid>
      <w:tr w:rsidR="007840FD" w:rsidRPr="005F0A3A" w14:paraId="44D60E2A" w14:textId="77777777" w:rsidTr="005F0A3A">
        <w:trPr>
          <w:trHeight w:val="680"/>
          <w:jc w:val="center"/>
        </w:trPr>
        <w:tc>
          <w:tcPr>
            <w:tcW w:w="1587" w:type="dxa"/>
            <w:tcBorders>
              <w:top w:val="nil"/>
              <w:left w:val="nil"/>
            </w:tcBorders>
            <w:vAlign w:val="center"/>
          </w:tcPr>
          <w:p w14:paraId="04B4B3E0" w14:textId="72A9865C" w:rsidR="00465E8C" w:rsidRPr="005F0A3A" w:rsidRDefault="00465E8C" w:rsidP="007840FD">
            <w:pPr>
              <w:pStyle w:val="TAMainText"/>
              <w:ind w:firstLine="0"/>
              <w:jc w:val="center"/>
              <w:rPr>
                <w:rFonts w:ascii="Times New Roman" w:hAnsi="Times New Roman"/>
                <w:lang w:val="pt-BR"/>
              </w:rPr>
            </w:pPr>
          </w:p>
        </w:tc>
        <w:tc>
          <w:tcPr>
            <w:tcW w:w="850" w:type="dxa"/>
            <w:vAlign w:val="center"/>
          </w:tcPr>
          <w:p w14:paraId="27FB11C6" w14:textId="77777777" w:rsidR="007840FD" w:rsidRPr="005F0A3A" w:rsidRDefault="00465E8C" w:rsidP="007840FD">
            <w:pPr>
              <w:pStyle w:val="TAMainText"/>
              <w:ind w:firstLine="0"/>
              <w:jc w:val="center"/>
              <w:rPr>
                <w:rFonts w:ascii="Times New Roman" w:hAnsi="Times New Roman"/>
                <w:b/>
                <w:bCs/>
                <w:vertAlign w:val="subscript"/>
                <w:lang w:val="pt-BR"/>
              </w:rPr>
            </w:pPr>
            <w:r w:rsidRPr="005F0A3A">
              <w:rPr>
                <w:rFonts w:ascii="Times New Roman" w:hAnsi="Times New Roman"/>
                <w:b/>
                <w:bCs/>
                <w:lang w:val="pt-BR"/>
              </w:rPr>
              <w:t>S</w:t>
            </w:r>
            <w:r w:rsidRPr="005F0A3A">
              <w:rPr>
                <w:rFonts w:ascii="Times New Roman" w:hAnsi="Times New Roman"/>
                <w:b/>
                <w:bCs/>
                <w:vertAlign w:val="subscript"/>
                <w:lang w:val="pt-BR"/>
              </w:rPr>
              <w:t>BET</w:t>
            </w:r>
          </w:p>
          <w:p w14:paraId="34B43329" w14:textId="6EC573DF" w:rsidR="00465E8C" w:rsidRPr="005F0A3A" w:rsidRDefault="00465E8C" w:rsidP="007840FD">
            <w:pPr>
              <w:pStyle w:val="TAMainText"/>
              <w:ind w:firstLine="0"/>
              <w:jc w:val="center"/>
              <w:rPr>
                <w:rFonts w:ascii="Times New Roman" w:hAnsi="Times New Roman"/>
                <w:lang w:val="pt-BR"/>
              </w:rPr>
            </w:pPr>
            <w:r w:rsidRPr="005F0A3A">
              <w:rPr>
                <w:rFonts w:ascii="Times New Roman" w:hAnsi="Times New Roman"/>
                <w:b/>
                <w:bCs/>
                <w:lang w:val="pt-BR"/>
              </w:rPr>
              <w:t>(m</w:t>
            </w:r>
            <w:r w:rsidRPr="005F0A3A">
              <w:rPr>
                <w:rFonts w:ascii="Times New Roman" w:hAnsi="Times New Roman"/>
                <w:b/>
                <w:bCs/>
                <w:vertAlign w:val="superscript"/>
                <w:lang w:val="pt-BR"/>
              </w:rPr>
              <w:t>2</w:t>
            </w:r>
            <w:r w:rsidRPr="005F0A3A">
              <w:rPr>
                <w:rFonts w:ascii="Times New Roman" w:hAnsi="Times New Roman"/>
                <w:b/>
                <w:bCs/>
                <w:lang w:val="pt-BR"/>
              </w:rPr>
              <w:t>/g)</w:t>
            </w:r>
            <w:r w:rsidRPr="005F0A3A">
              <w:rPr>
                <w:rFonts w:ascii="Times New Roman" w:hAnsi="Times New Roman"/>
                <w:b/>
                <w:bCs/>
                <w:vertAlign w:val="superscript"/>
                <w:lang w:val="pt-BR"/>
              </w:rPr>
              <w:t>a</w:t>
            </w:r>
          </w:p>
        </w:tc>
        <w:tc>
          <w:tcPr>
            <w:tcW w:w="680" w:type="dxa"/>
            <w:vAlign w:val="center"/>
          </w:tcPr>
          <w:p w14:paraId="27ED3C92" w14:textId="77777777" w:rsidR="007840FD" w:rsidRPr="005F0A3A" w:rsidRDefault="00465E8C" w:rsidP="007840FD">
            <w:pPr>
              <w:pStyle w:val="TAMainText"/>
              <w:ind w:firstLine="0"/>
              <w:jc w:val="center"/>
              <w:rPr>
                <w:rFonts w:ascii="Times New Roman" w:hAnsi="Times New Roman"/>
                <w:b/>
                <w:bCs/>
                <w:lang w:val="pt-BR"/>
              </w:rPr>
            </w:pPr>
            <w:r w:rsidRPr="005F0A3A">
              <w:rPr>
                <w:rFonts w:ascii="Times New Roman" w:hAnsi="Times New Roman"/>
                <w:b/>
                <w:bCs/>
                <w:lang w:val="pt-BR"/>
              </w:rPr>
              <w:t>D</w:t>
            </w:r>
          </w:p>
          <w:p w14:paraId="2365451C" w14:textId="3F248DC5" w:rsidR="00465E8C" w:rsidRPr="00AA3C71" w:rsidRDefault="00465E8C" w:rsidP="007840FD">
            <w:pPr>
              <w:pStyle w:val="TAMainText"/>
              <w:ind w:firstLine="0"/>
              <w:jc w:val="center"/>
              <w:rPr>
                <w:rFonts w:ascii="Times New Roman" w:hAnsi="Times New Roman"/>
                <w:vertAlign w:val="superscript"/>
                <w:lang w:val="pt-BR"/>
              </w:rPr>
            </w:pPr>
            <w:r w:rsidRPr="005F0A3A">
              <w:rPr>
                <w:rFonts w:ascii="Times New Roman" w:hAnsi="Times New Roman"/>
                <w:b/>
                <w:bCs/>
                <w:lang w:val="pt-BR"/>
              </w:rPr>
              <w:t>(Å)</w:t>
            </w:r>
            <w:r w:rsidR="000F712E">
              <w:rPr>
                <w:rFonts w:ascii="Times New Roman" w:hAnsi="Times New Roman"/>
                <w:b/>
                <w:bCs/>
                <w:vertAlign w:val="superscript"/>
                <w:lang w:val="pt-BR"/>
              </w:rPr>
              <w:t>b</w:t>
            </w:r>
          </w:p>
        </w:tc>
        <w:tc>
          <w:tcPr>
            <w:tcW w:w="850" w:type="dxa"/>
            <w:vAlign w:val="center"/>
          </w:tcPr>
          <w:p w14:paraId="0F24612C" w14:textId="77777777" w:rsidR="007840FD" w:rsidRPr="005F0A3A" w:rsidRDefault="00465E8C" w:rsidP="007840FD">
            <w:pPr>
              <w:pStyle w:val="TAMainText"/>
              <w:ind w:firstLine="0"/>
              <w:jc w:val="center"/>
              <w:rPr>
                <w:rFonts w:ascii="Times New Roman" w:hAnsi="Times New Roman"/>
                <w:b/>
                <w:bCs/>
                <w:vertAlign w:val="subscript"/>
                <w:lang w:val="pt-BR"/>
              </w:rPr>
            </w:pPr>
            <w:r w:rsidRPr="005F0A3A">
              <w:rPr>
                <w:rFonts w:ascii="Times New Roman" w:hAnsi="Times New Roman"/>
                <w:b/>
                <w:bCs/>
                <w:lang w:val="pt-BR"/>
              </w:rPr>
              <w:t>V</w:t>
            </w:r>
            <w:r w:rsidRPr="005F0A3A">
              <w:rPr>
                <w:rFonts w:ascii="Times New Roman" w:hAnsi="Times New Roman"/>
                <w:b/>
                <w:bCs/>
                <w:vertAlign w:val="subscript"/>
                <w:lang w:val="pt-BR"/>
              </w:rPr>
              <w:t>TOTAL</w:t>
            </w:r>
          </w:p>
          <w:p w14:paraId="7F190781" w14:textId="5E92EDC7" w:rsidR="00465E8C" w:rsidRPr="00AA3C71" w:rsidRDefault="00465E8C" w:rsidP="007840FD">
            <w:pPr>
              <w:pStyle w:val="TAMainText"/>
              <w:ind w:firstLine="0"/>
              <w:jc w:val="center"/>
              <w:rPr>
                <w:rFonts w:ascii="Times New Roman" w:hAnsi="Times New Roman"/>
                <w:b/>
                <w:bCs/>
                <w:vertAlign w:val="superscript"/>
                <w:lang w:val="pt-BR"/>
              </w:rPr>
            </w:pPr>
            <w:r w:rsidRPr="005F0A3A">
              <w:rPr>
                <w:rFonts w:ascii="Times New Roman" w:hAnsi="Times New Roman"/>
                <w:b/>
                <w:bCs/>
                <w:lang w:val="pt-BR"/>
              </w:rPr>
              <w:t>(cm</w:t>
            </w:r>
            <w:r w:rsidRPr="005F0A3A">
              <w:rPr>
                <w:rFonts w:ascii="Times New Roman" w:hAnsi="Times New Roman"/>
                <w:b/>
                <w:bCs/>
                <w:vertAlign w:val="superscript"/>
                <w:lang w:val="pt-BR"/>
              </w:rPr>
              <w:t>3</w:t>
            </w:r>
            <w:r w:rsidRPr="005F0A3A">
              <w:rPr>
                <w:rFonts w:ascii="Times New Roman" w:hAnsi="Times New Roman"/>
                <w:b/>
                <w:bCs/>
                <w:lang w:val="pt-BR"/>
              </w:rPr>
              <w:t>/</w:t>
            </w:r>
            <w:proofErr w:type="gramStart"/>
            <w:r w:rsidRPr="005F0A3A">
              <w:rPr>
                <w:rFonts w:ascii="Times New Roman" w:hAnsi="Times New Roman"/>
                <w:b/>
                <w:bCs/>
                <w:lang w:val="pt-BR"/>
              </w:rPr>
              <w:t>g)</w:t>
            </w:r>
            <w:r w:rsidR="0018743A">
              <w:rPr>
                <w:rFonts w:ascii="Times New Roman" w:hAnsi="Times New Roman"/>
                <w:b/>
                <w:bCs/>
                <w:vertAlign w:val="superscript"/>
                <w:lang w:val="pt-BR"/>
              </w:rPr>
              <w:t>c</w:t>
            </w:r>
            <w:proofErr w:type="gramEnd"/>
          </w:p>
        </w:tc>
        <w:tc>
          <w:tcPr>
            <w:tcW w:w="1077" w:type="dxa"/>
            <w:vAlign w:val="center"/>
          </w:tcPr>
          <w:p w14:paraId="17F59282" w14:textId="77777777" w:rsidR="007840FD" w:rsidRPr="005F0A3A" w:rsidRDefault="00465E8C" w:rsidP="007840FD">
            <w:pPr>
              <w:pStyle w:val="TAMainText"/>
              <w:ind w:firstLine="0"/>
              <w:jc w:val="center"/>
              <w:rPr>
                <w:rFonts w:ascii="Times New Roman" w:hAnsi="Times New Roman"/>
                <w:b/>
                <w:bCs/>
                <w:vertAlign w:val="subscript"/>
                <w:lang w:val="pt-BR"/>
              </w:rPr>
            </w:pPr>
            <w:r w:rsidRPr="005F0A3A">
              <w:rPr>
                <w:rFonts w:ascii="Times New Roman" w:hAnsi="Times New Roman"/>
                <w:b/>
                <w:bCs/>
                <w:lang w:val="pt-BR"/>
              </w:rPr>
              <w:t>V</w:t>
            </w:r>
            <w:r w:rsidRPr="005F0A3A">
              <w:rPr>
                <w:rFonts w:ascii="Times New Roman" w:hAnsi="Times New Roman"/>
                <w:b/>
                <w:bCs/>
                <w:vertAlign w:val="subscript"/>
                <w:lang w:val="pt-BR"/>
              </w:rPr>
              <w:t>Microporos</w:t>
            </w:r>
          </w:p>
          <w:p w14:paraId="7E41D2E0" w14:textId="32DF6AFB" w:rsidR="00465E8C" w:rsidRPr="005F0A3A" w:rsidRDefault="00465E8C" w:rsidP="007840FD">
            <w:pPr>
              <w:pStyle w:val="TAMainText"/>
              <w:ind w:firstLine="0"/>
              <w:jc w:val="center"/>
              <w:rPr>
                <w:rFonts w:ascii="Times New Roman" w:hAnsi="Times New Roman"/>
                <w:lang w:val="pt-BR"/>
              </w:rPr>
            </w:pPr>
            <w:r w:rsidRPr="005F0A3A">
              <w:rPr>
                <w:rFonts w:ascii="Times New Roman" w:hAnsi="Times New Roman"/>
                <w:b/>
                <w:bCs/>
                <w:lang w:val="pt-BR"/>
              </w:rPr>
              <w:t>(cm</w:t>
            </w:r>
            <w:r w:rsidRPr="005F0A3A">
              <w:rPr>
                <w:rFonts w:ascii="Times New Roman" w:hAnsi="Times New Roman"/>
                <w:b/>
                <w:bCs/>
                <w:vertAlign w:val="superscript"/>
                <w:lang w:val="pt-BR"/>
              </w:rPr>
              <w:t>3</w:t>
            </w:r>
            <w:r w:rsidRPr="005F0A3A">
              <w:rPr>
                <w:rFonts w:ascii="Times New Roman" w:hAnsi="Times New Roman"/>
                <w:b/>
                <w:bCs/>
                <w:lang w:val="pt-BR"/>
              </w:rPr>
              <w:t>/</w:t>
            </w:r>
            <w:proofErr w:type="gramStart"/>
            <w:r w:rsidRPr="005F0A3A">
              <w:rPr>
                <w:rFonts w:ascii="Times New Roman" w:hAnsi="Times New Roman"/>
                <w:b/>
                <w:bCs/>
                <w:lang w:val="pt-BR"/>
              </w:rPr>
              <w:t>g)</w:t>
            </w:r>
            <w:r w:rsidR="000F712E">
              <w:rPr>
                <w:rFonts w:ascii="Times New Roman" w:hAnsi="Times New Roman"/>
                <w:b/>
                <w:bCs/>
                <w:vertAlign w:val="superscript"/>
                <w:lang w:val="pt-BR"/>
              </w:rPr>
              <w:t>c</w:t>
            </w:r>
            <w:proofErr w:type="gramEnd"/>
          </w:p>
        </w:tc>
      </w:tr>
      <w:tr w:rsidR="007840FD" w:rsidRPr="005F0A3A" w14:paraId="07942A49" w14:textId="77777777" w:rsidTr="005F0A3A">
        <w:trPr>
          <w:trHeight w:val="454"/>
          <w:jc w:val="center"/>
        </w:trPr>
        <w:tc>
          <w:tcPr>
            <w:tcW w:w="1587" w:type="dxa"/>
            <w:vAlign w:val="center"/>
          </w:tcPr>
          <w:p w14:paraId="27248DBF" w14:textId="09F3C231" w:rsidR="00465E8C" w:rsidRPr="005F0A3A" w:rsidRDefault="00465E8C" w:rsidP="007840FD">
            <w:pPr>
              <w:pStyle w:val="TAMainText"/>
              <w:ind w:firstLine="0"/>
              <w:jc w:val="center"/>
              <w:rPr>
                <w:rFonts w:ascii="Times New Roman" w:hAnsi="Times New Roman"/>
                <w:b/>
                <w:bCs/>
                <w:lang w:val="pt-BR"/>
              </w:rPr>
            </w:pPr>
            <w:r w:rsidRPr="005F0A3A">
              <w:rPr>
                <w:rFonts w:ascii="Times New Roman" w:hAnsi="Times New Roman"/>
                <w:b/>
                <w:bCs/>
                <w:lang w:val="pt-BR"/>
              </w:rPr>
              <w:t>UiO-66</w:t>
            </w:r>
          </w:p>
        </w:tc>
        <w:tc>
          <w:tcPr>
            <w:tcW w:w="850" w:type="dxa"/>
            <w:vAlign w:val="center"/>
          </w:tcPr>
          <w:p w14:paraId="3A763403" w14:textId="7D3E0DD8" w:rsidR="00465E8C" w:rsidRPr="005F0A3A" w:rsidRDefault="007840FD" w:rsidP="007840FD">
            <w:pPr>
              <w:pStyle w:val="TAMainText"/>
              <w:ind w:firstLine="0"/>
              <w:jc w:val="center"/>
              <w:rPr>
                <w:rFonts w:ascii="Times New Roman" w:hAnsi="Times New Roman"/>
                <w:lang w:val="pt-BR"/>
              </w:rPr>
            </w:pPr>
            <w:r w:rsidRPr="005F0A3A">
              <w:rPr>
                <w:rFonts w:ascii="Times New Roman" w:hAnsi="Times New Roman"/>
                <w:lang w:val="pt-BR"/>
              </w:rPr>
              <w:t>1538</w:t>
            </w:r>
          </w:p>
        </w:tc>
        <w:tc>
          <w:tcPr>
            <w:tcW w:w="680" w:type="dxa"/>
            <w:vAlign w:val="center"/>
          </w:tcPr>
          <w:p w14:paraId="405E97A0" w14:textId="05967A53" w:rsidR="00465E8C" w:rsidRPr="005F0A3A" w:rsidRDefault="007840FD" w:rsidP="007840FD">
            <w:pPr>
              <w:pStyle w:val="TAMainText"/>
              <w:ind w:firstLine="0"/>
              <w:jc w:val="center"/>
              <w:rPr>
                <w:rFonts w:ascii="Times New Roman" w:hAnsi="Times New Roman"/>
                <w:lang w:val="pt-BR"/>
              </w:rPr>
            </w:pPr>
            <w:r w:rsidRPr="005F0A3A">
              <w:rPr>
                <w:rFonts w:ascii="Times New Roman" w:hAnsi="Times New Roman"/>
                <w:lang w:val="pt-BR"/>
              </w:rPr>
              <w:t>7,872</w:t>
            </w:r>
          </w:p>
        </w:tc>
        <w:tc>
          <w:tcPr>
            <w:tcW w:w="850" w:type="dxa"/>
            <w:vAlign w:val="center"/>
          </w:tcPr>
          <w:p w14:paraId="07EBBAA8" w14:textId="3A1E7CDD" w:rsidR="00465E8C" w:rsidRPr="005F0A3A" w:rsidRDefault="007840FD" w:rsidP="007840FD">
            <w:pPr>
              <w:pStyle w:val="TAMainText"/>
              <w:ind w:firstLine="0"/>
              <w:jc w:val="center"/>
              <w:rPr>
                <w:rFonts w:ascii="Times New Roman" w:hAnsi="Times New Roman"/>
                <w:lang w:val="pt-BR"/>
              </w:rPr>
            </w:pPr>
            <w:r w:rsidRPr="005F0A3A">
              <w:rPr>
                <w:rFonts w:ascii="Times New Roman" w:hAnsi="Times New Roman"/>
                <w:lang w:val="pt-BR"/>
              </w:rPr>
              <w:t>0,604</w:t>
            </w:r>
          </w:p>
        </w:tc>
        <w:tc>
          <w:tcPr>
            <w:tcW w:w="1077" w:type="dxa"/>
            <w:vAlign w:val="center"/>
          </w:tcPr>
          <w:p w14:paraId="79647739" w14:textId="308BEABB" w:rsidR="00465E8C" w:rsidRPr="005F0A3A" w:rsidRDefault="007840FD" w:rsidP="007840FD">
            <w:pPr>
              <w:pStyle w:val="TAMainText"/>
              <w:ind w:firstLine="0"/>
              <w:jc w:val="center"/>
              <w:rPr>
                <w:rFonts w:ascii="Times New Roman" w:hAnsi="Times New Roman"/>
                <w:lang w:val="pt-BR"/>
              </w:rPr>
            </w:pPr>
            <w:r w:rsidRPr="005F0A3A">
              <w:rPr>
                <w:rFonts w:ascii="Times New Roman" w:hAnsi="Times New Roman"/>
                <w:lang w:val="pt-BR"/>
              </w:rPr>
              <w:t>0,594</w:t>
            </w:r>
          </w:p>
        </w:tc>
      </w:tr>
      <w:tr w:rsidR="007840FD" w:rsidRPr="005F0A3A" w14:paraId="724C3AF2" w14:textId="77777777" w:rsidTr="005F0A3A">
        <w:trPr>
          <w:trHeight w:val="454"/>
          <w:jc w:val="center"/>
        </w:trPr>
        <w:tc>
          <w:tcPr>
            <w:tcW w:w="1587" w:type="dxa"/>
            <w:vAlign w:val="center"/>
          </w:tcPr>
          <w:p w14:paraId="6A8E7E21" w14:textId="5B7EB6D3" w:rsidR="00465E8C" w:rsidRPr="005F0A3A" w:rsidRDefault="00465E8C" w:rsidP="007840FD">
            <w:pPr>
              <w:pStyle w:val="TAMainText"/>
              <w:ind w:firstLine="0"/>
              <w:jc w:val="center"/>
              <w:rPr>
                <w:rFonts w:ascii="Times New Roman" w:hAnsi="Times New Roman"/>
                <w:b/>
                <w:bCs/>
                <w:lang w:val="pt-BR"/>
              </w:rPr>
            </w:pPr>
            <w:r w:rsidRPr="005F0A3A">
              <w:rPr>
                <w:rFonts w:ascii="Times New Roman" w:hAnsi="Times New Roman"/>
                <w:b/>
                <w:bCs/>
                <w:lang w:val="pt-BR"/>
              </w:rPr>
              <w:t>Au(NP)/UiO-66</w:t>
            </w:r>
          </w:p>
        </w:tc>
        <w:tc>
          <w:tcPr>
            <w:tcW w:w="850" w:type="dxa"/>
            <w:vAlign w:val="center"/>
          </w:tcPr>
          <w:p w14:paraId="60858EC0" w14:textId="348509D5" w:rsidR="00465E8C" w:rsidRPr="005F0A3A" w:rsidRDefault="007840FD" w:rsidP="007840FD">
            <w:pPr>
              <w:pStyle w:val="TAMainText"/>
              <w:ind w:firstLine="0"/>
              <w:jc w:val="center"/>
              <w:rPr>
                <w:rFonts w:ascii="Times New Roman" w:hAnsi="Times New Roman"/>
                <w:lang w:val="pt-BR"/>
              </w:rPr>
            </w:pPr>
            <w:r w:rsidRPr="005F0A3A">
              <w:rPr>
                <w:rFonts w:ascii="Times New Roman" w:hAnsi="Times New Roman"/>
                <w:lang w:val="pt-BR"/>
              </w:rPr>
              <w:t>1347</w:t>
            </w:r>
          </w:p>
        </w:tc>
        <w:tc>
          <w:tcPr>
            <w:tcW w:w="680" w:type="dxa"/>
            <w:vAlign w:val="center"/>
          </w:tcPr>
          <w:p w14:paraId="7789A4C8" w14:textId="32DCDE1D" w:rsidR="00465E8C" w:rsidRPr="005F0A3A" w:rsidRDefault="007840FD" w:rsidP="007840FD">
            <w:pPr>
              <w:pStyle w:val="TAMainText"/>
              <w:ind w:firstLine="0"/>
              <w:jc w:val="center"/>
              <w:rPr>
                <w:rFonts w:ascii="Times New Roman" w:hAnsi="Times New Roman"/>
                <w:lang w:val="pt-BR"/>
              </w:rPr>
            </w:pPr>
            <w:r w:rsidRPr="005F0A3A">
              <w:rPr>
                <w:rFonts w:ascii="Times New Roman" w:hAnsi="Times New Roman"/>
                <w:lang w:val="pt-BR"/>
              </w:rPr>
              <w:t>7,870</w:t>
            </w:r>
          </w:p>
        </w:tc>
        <w:tc>
          <w:tcPr>
            <w:tcW w:w="850" w:type="dxa"/>
            <w:vAlign w:val="center"/>
          </w:tcPr>
          <w:p w14:paraId="768382F7" w14:textId="1FFE56A1" w:rsidR="00465E8C" w:rsidRPr="005F0A3A" w:rsidRDefault="007840FD" w:rsidP="007840FD">
            <w:pPr>
              <w:pStyle w:val="TAMainText"/>
              <w:ind w:firstLine="0"/>
              <w:jc w:val="center"/>
              <w:rPr>
                <w:rFonts w:ascii="Times New Roman" w:hAnsi="Times New Roman"/>
                <w:lang w:val="pt-BR"/>
              </w:rPr>
            </w:pPr>
            <w:r w:rsidRPr="005F0A3A">
              <w:rPr>
                <w:rFonts w:ascii="Times New Roman" w:hAnsi="Times New Roman"/>
                <w:lang w:val="pt-BR"/>
              </w:rPr>
              <w:t>0,534</w:t>
            </w:r>
          </w:p>
        </w:tc>
        <w:tc>
          <w:tcPr>
            <w:tcW w:w="1077" w:type="dxa"/>
            <w:vAlign w:val="center"/>
          </w:tcPr>
          <w:p w14:paraId="2E4436BE" w14:textId="0C6D79A9" w:rsidR="00465E8C" w:rsidRPr="005F0A3A" w:rsidRDefault="007840FD" w:rsidP="007840FD">
            <w:pPr>
              <w:pStyle w:val="TAMainText"/>
              <w:ind w:firstLine="0"/>
              <w:jc w:val="center"/>
              <w:rPr>
                <w:rFonts w:ascii="Times New Roman" w:hAnsi="Times New Roman"/>
                <w:lang w:val="pt-BR"/>
              </w:rPr>
            </w:pPr>
            <w:r w:rsidRPr="005F0A3A">
              <w:rPr>
                <w:rFonts w:ascii="Times New Roman" w:hAnsi="Times New Roman"/>
                <w:lang w:val="pt-BR"/>
              </w:rPr>
              <w:t>0,520</w:t>
            </w:r>
          </w:p>
        </w:tc>
      </w:tr>
      <w:tr w:rsidR="007840FD" w:rsidRPr="005F0A3A" w14:paraId="4858A18C" w14:textId="77777777" w:rsidTr="005F0A3A">
        <w:trPr>
          <w:trHeight w:val="454"/>
          <w:jc w:val="center"/>
        </w:trPr>
        <w:tc>
          <w:tcPr>
            <w:tcW w:w="1587" w:type="dxa"/>
            <w:vAlign w:val="center"/>
          </w:tcPr>
          <w:p w14:paraId="110ECAE5" w14:textId="7AC8DB96" w:rsidR="00465E8C" w:rsidRPr="005F0A3A" w:rsidRDefault="00465E8C" w:rsidP="007840FD">
            <w:pPr>
              <w:pStyle w:val="TAMainText"/>
              <w:ind w:firstLine="0"/>
              <w:jc w:val="center"/>
              <w:rPr>
                <w:rFonts w:ascii="Times New Roman" w:hAnsi="Times New Roman"/>
                <w:b/>
                <w:bCs/>
                <w:lang w:val="pt-BR"/>
              </w:rPr>
            </w:pPr>
            <w:r w:rsidRPr="005F0A3A">
              <w:rPr>
                <w:rFonts w:ascii="Times New Roman" w:hAnsi="Times New Roman"/>
                <w:b/>
                <w:bCs/>
                <w:lang w:val="pt-BR"/>
              </w:rPr>
              <w:t>Au/UiO-66</w:t>
            </w:r>
          </w:p>
        </w:tc>
        <w:tc>
          <w:tcPr>
            <w:tcW w:w="850" w:type="dxa"/>
            <w:vAlign w:val="center"/>
          </w:tcPr>
          <w:p w14:paraId="7C100DB4" w14:textId="53C8D981" w:rsidR="00465E8C" w:rsidRPr="005F0A3A" w:rsidRDefault="007840FD" w:rsidP="007840FD">
            <w:pPr>
              <w:pStyle w:val="TAMainText"/>
              <w:ind w:firstLine="0"/>
              <w:jc w:val="center"/>
              <w:rPr>
                <w:rFonts w:ascii="Times New Roman" w:hAnsi="Times New Roman"/>
                <w:lang w:val="pt-BR"/>
              </w:rPr>
            </w:pPr>
            <w:r w:rsidRPr="005F0A3A">
              <w:rPr>
                <w:rFonts w:ascii="Times New Roman" w:hAnsi="Times New Roman"/>
                <w:lang w:val="pt-BR"/>
              </w:rPr>
              <w:t>1274</w:t>
            </w:r>
          </w:p>
        </w:tc>
        <w:tc>
          <w:tcPr>
            <w:tcW w:w="680" w:type="dxa"/>
            <w:vAlign w:val="center"/>
          </w:tcPr>
          <w:p w14:paraId="7F8A7FB1" w14:textId="0C65B31C" w:rsidR="00465E8C" w:rsidRPr="005F0A3A" w:rsidRDefault="007840FD" w:rsidP="007840FD">
            <w:pPr>
              <w:pStyle w:val="TAMainText"/>
              <w:ind w:firstLine="0"/>
              <w:jc w:val="center"/>
              <w:rPr>
                <w:rFonts w:ascii="Times New Roman" w:hAnsi="Times New Roman"/>
                <w:lang w:val="pt-BR"/>
              </w:rPr>
            </w:pPr>
            <w:r w:rsidRPr="005F0A3A">
              <w:rPr>
                <w:rFonts w:ascii="Times New Roman" w:hAnsi="Times New Roman"/>
                <w:lang w:val="pt-BR"/>
              </w:rPr>
              <w:t>7,868</w:t>
            </w:r>
          </w:p>
        </w:tc>
        <w:tc>
          <w:tcPr>
            <w:tcW w:w="850" w:type="dxa"/>
            <w:vAlign w:val="center"/>
          </w:tcPr>
          <w:p w14:paraId="7F519498" w14:textId="6554A0B1" w:rsidR="00465E8C" w:rsidRPr="005F0A3A" w:rsidRDefault="007840FD" w:rsidP="007840FD">
            <w:pPr>
              <w:pStyle w:val="TAMainText"/>
              <w:ind w:firstLine="0"/>
              <w:jc w:val="center"/>
              <w:rPr>
                <w:rFonts w:ascii="Times New Roman" w:hAnsi="Times New Roman"/>
                <w:lang w:val="pt-BR"/>
              </w:rPr>
            </w:pPr>
            <w:r w:rsidRPr="005F0A3A">
              <w:rPr>
                <w:rFonts w:ascii="Times New Roman" w:hAnsi="Times New Roman"/>
                <w:lang w:val="pt-BR"/>
              </w:rPr>
              <w:t>0,520</w:t>
            </w:r>
          </w:p>
        </w:tc>
        <w:tc>
          <w:tcPr>
            <w:tcW w:w="1077" w:type="dxa"/>
            <w:vAlign w:val="center"/>
          </w:tcPr>
          <w:p w14:paraId="77BE8F9D" w14:textId="6F51FCBC" w:rsidR="00465E8C" w:rsidRPr="005F0A3A" w:rsidRDefault="007840FD" w:rsidP="007840FD">
            <w:pPr>
              <w:pStyle w:val="TAMainText"/>
              <w:ind w:firstLine="0"/>
              <w:jc w:val="center"/>
              <w:rPr>
                <w:rFonts w:ascii="Times New Roman" w:hAnsi="Times New Roman"/>
                <w:lang w:val="pt-BR"/>
              </w:rPr>
            </w:pPr>
            <w:r w:rsidRPr="005F0A3A">
              <w:rPr>
                <w:rFonts w:ascii="Times New Roman" w:hAnsi="Times New Roman"/>
                <w:lang w:val="pt-BR"/>
              </w:rPr>
              <w:t>0,502</w:t>
            </w:r>
          </w:p>
        </w:tc>
      </w:tr>
    </w:tbl>
    <w:p w14:paraId="675A77E8" w14:textId="71409DCA" w:rsidR="00EA4E1B" w:rsidRPr="005F0A3A" w:rsidRDefault="00AF786B" w:rsidP="000F4766">
      <w:pPr>
        <w:pStyle w:val="TAMainText"/>
        <w:spacing w:before="60"/>
        <w:ind w:firstLine="0"/>
        <w:rPr>
          <w:rFonts w:ascii="Times New Roman" w:hAnsi="Times New Roman"/>
          <w:sz w:val="16"/>
          <w:szCs w:val="16"/>
          <w:lang w:val="pt-BR"/>
        </w:rPr>
      </w:pPr>
      <w:r w:rsidRPr="005F0A3A">
        <w:rPr>
          <w:rFonts w:ascii="Times New Roman" w:hAnsi="Times New Roman"/>
          <w:b/>
          <w:bCs/>
          <w:sz w:val="16"/>
          <w:szCs w:val="16"/>
          <w:lang w:val="pt-BR"/>
        </w:rPr>
        <w:t>a</w:t>
      </w:r>
      <w:r w:rsidR="00712801" w:rsidRPr="005F0A3A">
        <w:rPr>
          <w:rFonts w:ascii="Times New Roman" w:hAnsi="Times New Roman"/>
          <w:b/>
          <w:bCs/>
          <w:sz w:val="16"/>
          <w:szCs w:val="16"/>
          <w:lang w:val="pt-BR"/>
        </w:rPr>
        <w:t>.</w:t>
      </w:r>
      <w:r w:rsidR="00712801" w:rsidRPr="005F0A3A">
        <w:rPr>
          <w:rFonts w:ascii="Times New Roman" w:hAnsi="Times New Roman"/>
          <w:sz w:val="16"/>
          <w:szCs w:val="16"/>
          <w:lang w:val="pt-BR"/>
        </w:rPr>
        <w:t xml:space="preserve"> C</w:t>
      </w:r>
      <w:r w:rsidRPr="005F0A3A">
        <w:rPr>
          <w:rFonts w:ascii="Times New Roman" w:hAnsi="Times New Roman"/>
          <w:sz w:val="16"/>
          <w:szCs w:val="16"/>
          <w:lang w:val="pt-BR"/>
        </w:rPr>
        <w:t>alculad</w:t>
      </w:r>
      <w:r w:rsidR="00712801" w:rsidRPr="005F0A3A">
        <w:rPr>
          <w:rFonts w:ascii="Times New Roman" w:hAnsi="Times New Roman"/>
          <w:sz w:val="16"/>
          <w:szCs w:val="16"/>
          <w:lang w:val="pt-BR"/>
        </w:rPr>
        <w:t>a</w:t>
      </w:r>
      <w:r w:rsidRPr="005F0A3A">
        <w:rPr>
          <w:rFonts w:ascii="Times New Roman" w:hAnsi="Times New Roman"/>
          <w:sz w:val="16"/>
          <w:szCs w:val="16"/>
          <w:lang w:val="pt-BR"/>
        </w:rPr>
        <w:t xml:space="preserve"> pelo método BET</w:t>
      </w:r>
      <w:r w:rsidR="00712801" w:rsidRPr="005F0A3A">
        <w:rPr>
          <w:rFonts w:ascii="Times New Roman" w:hAnsi="Times New Roman"/>
          <w:sz w:val="16"/>
          <w:szCs w:val="16"/>
          <w:lang w:val="pt-BR"/>
        </w:rPr>
        <w:t>;</w:t>
      </w:r>
      <w:r w:rsidR="000F712E">
        <w:rPr>
          <w:rFonts w:ascii="Times New Roman" w:hAnsi="Times New Roman"/>
          <w:sz w:val="16"/>
          <w:szCs w:val="16"/>
          <w:lang w:val="pt-BR"/>
        </w:rPr>
        <w:t xml:space="preserve"> </w:t>
      </w:r>
      <w:r w:rsidR="000F712E" w:rsidRPr="00AA3C71">
        <w:rPr>
          <w:rFonts w:ascii="Times New Roman" w:hAnsi="Times New Roman"/>
          <w:b/>
          <w:bCs/>
          <w:sz w:val="16"/>
          <w:szCs w:val="16"/>
          <w:lang w:val="pt-BR"/>
        </w:rPr>
        <w:t>b.</w:t>
      </w:r>
      <w:r w:rsidR="000F712E">
        <w:rPr>
          <w:rFonts w:ascii="Times New Roman" w:hAnsi="Times New Roman"/>
          <w:sz w:val="16"/>
          <w:szCs w:val="16"/>
          <w:lang w:val="pt-BR"/>
        </w:rPr>
        <w:t xml:space="preserve"> </w:t>
      </w:r>
      <w:r w:rsidR="0018743A">
        <w:rPr>
          <w:rFonts w:ascii="Times New Roman" w:hAnsi="Times New Roman"/>
          <w:sz w:val="16"/>
          <w:szCs w:val="16"/>
          <w:lang w:val="pt-BR"/>
        </w:rPr>
        <w:t>Calculado com base no volume total e área BET</w:t>
      </w:r>
      <w:r w:rsidR="000F712E">
        <w:rPr>
          <w:rFonts w:ascii="Times New Roman" w:hAnsi="Times New Roman"/>
          <w:sz w:val="16"/>
          <w:szCs w:val="16"/>
          <w:lang w:val="pt-BR"/>
        </w:rPr>
        <w:t>;</w:t>
      </w:r>
      <w:r w:rsidR="00F33463" w:rsidRPr="005F0A3A">
        <w:rPr>
          <w:rFonts w:ascii="Times New Roman" w:hAnsi="Times New Roman"/>
          <w:sz w:val="16"/>
          <w:szCs w:val="16"/>
          <w:lang w:val="pt-BR"/>
        </w:rPr>
        <w:t xml:space="preserve"> </w:t>
      </w:r>
      <w:r w:rsidR="000F712E">
        <w:rPr>
          <w:rFonts w:ascii="Times New Roman" w:hAnsi="Times New Roman"/>
          <w:b/>
          <w:bCs/>
          <w:sz w:val="16"/>
          <w:szCs w:val="16"/>
          <w:lang w:val="pt-BR"/>
        </w:rPr>
        <w:t>c.</w:t>
      </w:r>
      <w:r w:rsidR="0018743A">
        <w:rPr>
          <w:rFonts w:ascii="Times New Roman" w:hAnsi="Times New Roman"/>
          <w:b/>
          <w:bCs/>
          <w:sz w:val="16"/>
          <w:szCs w:val="16"/>
          <w:lang w:val="pt-BR"/>
        </w:rPr>
        <w:t xml:space="preserve"> </w:t>
      </w:r>
      <w:r w:rsidR="0018743A">
        <w:rPr>
          <w:rFonts w:ascii="Times New Roman" w:hAnsi="Times New Roman"/>
          <w:sz w:val="16"/>
          <w:szCs w:val="16"/>
          <w:lang w:val="pt-BR"/>
        </w:rPr>
        <w:t xml:space="preserve">Calculado com base na regra de </w:t>
      </w:r>
      <w:proofErr w:type="spellStart"/>
      <w:proofErr w:type="gramStart"/>
      <w:r w:rsidR="0018743A">
        <w:rPr>
          <w:rFonts w:ascii="Times New Roman" w:hAnsi="Times New Roman"/>
          <w:sz w:val="16"/>
          <w:szCs w:val="16"/>
          <w:lang w:val="pt-BR"/>
        </w:rPr>
        <w:t>Gurvich</w:t>
      </w:r>
      <w:proofErr w:type="spellEnd"/>
      <w:r w:rsidR="0018743A">
        <w:rPr>
          <w:rFonts w:ascii="Times New Roman" w:hAnsi="Times New Roman"/>
          <w:sz w:val="16"/>
          <w:szCs w:val="16"/>
          <w:lang w:val="pt-BR"/>
        </w:rPr>
        <w:t xml:space="preserve">; </w:t>
      </w:r>
      <w:r w:rsidR="00712801" w:rsidRPr="005F0A3A">
        <w:rPr>
          <w:rFonts w:ascii="Times New Roman" w:hAnsi="Times New Roman"/>
          <w:sz w:val="16"/>
          <w:szCs w:val="16"/>
          <w:lang w:val="pt-BR"/>
        </w:rPr>
        <w:t xml:space="preserve"> </w:t>
      </w:r>
      <w:r w:rsidR="0018743A" w:rsidRPr="00AA3C71">
        <w:rPr>
          <w:rFonts w:ascii="Times New Roman" w:hAnsi="Times New Roman"/>
          <w:b/>
          <w:bCs/>
          <w:sz w:val="16"/>
          <w:szCs w:val="16"/>
          <w:lang w:val="pt-BR"/>
        </w:rPr>
        <w:t>d.</w:t>
      </w:r>
      <w:proofErr w:type="gramEnd"/>
      <w:r w:rsidR="0018743A">
        <w:rPr>
          <w:rFonts w:ascii="Times New Roman" w:hAnsi="Times New Roman"/>
          <w:b/>
          <w:bCs/>
          <w:sz w:val="16"/>
          <w:szCs w:val="16"/>
          <w:lang w:val="pt-BR"/>
        </w:rPr>
        <w:t xml:space="preserve"> </w:t>
      </w:r>
      <w:r w:rsidR="00712801" w:rsidRPr="005F0A3A">
        <w:rPr>
          <w:rFonts w:ascii="Times New Roman" w:hAnsi="Times New Roman"/>
          <w:sz w:val="16"/>
          <w:szCs w:val="16"/>
          <w:lang w:val="pt-BR"/>
        </w:rPr>
        <w:t>C</w:t>
      </w:r>
      <w:r w:rsidR="009344B7" w:rsidRPr="005F0A3A">
        <w:rPr>
          <w:rFonts w:ascii="Times New Roman" w:hAnsi="Times New Roman"/>
          <w:sz w:val="16"/>
          <w:szCs w:val="16"/>
          <w:lang w:val="pt-BR"/>
        </w:rPr>
        <w:t xml:space="preserve">alculado pelo método </w:t>
      </w:r>
      <w:proofErr w:type="spellStart"/>
      <w:r w:rsidR="009344B7" w:rsidRPr="005F0A3A">
        <w:rPr>
          <w:rFonts w:ascii="Times New Roman" w:hAnsi="Times New Roman"/>
          <w:sz w:val="16"/>
          <w:szCs w:val="16"/>
          <w:lang w:val="pt-BR"/>
        </w:rPr>
        <w:t>Dubinin-Radushkevich</w:t>
      </w:r>
      <w:proofErr w:type="spellEnd"/>
      <w:r w:rsidR="00712801" w:rsidRPr="005F0A3A">
        <w:rPr>
          <w:rFonts w:ascii="Times New Roman" w:hAnsi="Times New Roman"/>
          <w:sz w:val="16"/>
          <w:szCs w:val="16"/>
          <w:lang w:val="pt-BR"/>
        </w:rPr>
        <w:t>.</w:t>
      </w:r>
    </w:p>
    <w:p w14:paraId="14B6F11A" w14:textId="0637D530" w:rsidR="00EA4E1B" w:rsidRDefault="00EA4E1B" w:rsidP="00EA4E1B">
      <w:pPr>
        <w:pStyle w:val="TAMainText"/>
        <w:ind w:firstLine="187"/>
        <w:rPr>
          <w:lang w:val="pt-BR"/>
        </w:rPr>
      </w:pPr>
    </w:p>
    <w:p w14:paraId="307595D3" w14:textId="2F22C83A" w:rsidR="00E038AF" w:rsidRPr="005F0A3A" w:rsidRDefault="006A2ADB" w:rsidP="00EA4E1B">
      <w:pPr>
        <w:pStyle w:val="TAMainText"/>
        <w:ind w:firstLine="187"/>
        <w:rPr>
          <w:lang w:val="pt-BR"/>
        </w:rPr>
      </w:pPr>
      <w:r>
        <w:rPr>
          <w:lang w:val="pt-BR"/>
        </w:rPr>
        <w:t>É</w:t>
      </w:r>
      <w:r w:rsidR="00CA31D3" w:rsidRPr="005F0A3A">
        <w:rPr>
          <w:lang w:val="pt-BR"/>
        </w:rPr>
        <w:t xml:space="preserve"> possível notar uma</w:t>
      </w:r>
      <w:r w:rsidR="009344B7" w:rsidRPr="005F0A3A">
        <w:rPr>
          <w:lang w:val="pt-BR"/>
        </w:rPr>
        <w:t xml:space="preserve"> diminuição </w:t>
      </w:r>
      <w:r>
        <w:rPr>
          <w:lang w:val="pt-BR"/>
        </w:rPr>
        <w:t>nos valores de</w:t>
      </w:r>
      <w:r w:rsidR="009344B7" w:rsidRPr="005F0A3A">
        <w:rPr>
          <w:lang w:val="pt-BR"/>
        </w:rPr>
        <w:t xml:space="preserve"> </w:t>
      </w:r>
      <w:r w:rsidRPr="005F0A3A">
        <w:rPr>
          <w:lang w:val="pt-BR"/>
        </w:rPr>
        <w:t xml:space="preserve">áreas específicas do catalisador sintetizado com NP de </w:t>
      </w:r>
      <w:proofErr w:type="spellStart"/>
      <w:r w:rsidRPr="005F0A3A">
        <w:rPr>
          <w:lang w:val="pt-BR"/>
        </w:rPr>
        <w:t>Au</w:t>
      </w:r>
      <w:proofErr w:type="spellEnd"/>
      <w:r w:rsidRPr="005F0A3A">
        <w:rPr>
          <w:lang w:val="pt-BR"/>
        </w:rPr>
        <w:t xml:space="preserve"> e da MOF</w:t>
      </w:r>
      <w:r>
        <w:rPr>
          <w:lang w:val="pt-BR"/>
        </w:rPr>
        <w:t>, muito provavelmente devido</w:t>
      </w:r>
      <w:r w:rsidRPr="005F0A3A" w:rsidDel="006A2ADB">
        <w:rPr>
          <w:rStyle w:val="Refdecomentrio"/>
          <w:rFonts w:asciiTheme="minorHAnsi" w:eastAsiaTheme="minorEastAsia" w:hAnsiTheme="minorHAnsi" w:cstheme="minorBidi"/>
          <w:lang w:val="pt-BR" w:eastAsia="en-US"/>
        </w:rPr>
        <w:t xml:space="preserve"> </w:t>
      </w:r>
      <w:r w:rsidR="009344B7" w:rsidRPr="005F0A3A">
        <w:rPr>
          <w:lang w:val="pt-BR"/>
        </w:rPr>
        <w:t>a</w:t>
      </w:r>
      <w:r w:rsidR="00712801" w:rsidRPr="005F0A3A">
        <w:rPr>
          <w:lang w:val="pt-BR"/>
        </w:rPr>
        <w:t>os</w:t>
      </w:r>
      <w:r w:rsidR="009344B7" w:rsidRPr="005F0A3A">
        <w:rPr>
          <w:lang w:val="pt-BR"/>
        </w:rPr>
        <w:t xml:space="preserve"> processos físicos e </w:t>
      </w:r>
      <w:r w:rsidR="003D664F" w:rsidRPr="005F0A3A">
        <w:rPr>
          <w:lang w:val="pt-BR"/>
        </w:rPr>
        <w:t xml:space="preserve">pelos quais o catalisador passa para ser </w:t>
      </w:r>
      <w:r w:rsidR="00712801" w:rsidRPr="005F0A3A">
        <w:rPr>
          <w:lang w:val="pt-BR"/>
        </w:rPr>
        <w:t>sintetizado</w:t>
      </w:r>
      <w:r w:rsidR="008A5196" w:rsidRPr="005F0A3A">
        <w:rPr>
          <w:lang w:val="pt-BR"/>
        </w:rPr>
        <w:t>,</w:t>
      </w:r>
      <w:r w:rsidR="00712801" w:rsidRPr="005F0A3A">
        <w:rPr>
          <w:lang w:val="pt-BR"/>
        </w:rPr>
        <w:t xml:space="preserve"> somados </w:t>
      </w:r>
      <w:r>
        <w:rPr>
          <w:lang w:val="pt-BR"/>
        </w:rPr>
        <w:t>à</w:t>
      </w:r>
      <w:r w:rsidR="003D664F" w:rsidRPr="005F0A3A">
        <w:rPr>
          <w:lang w:val="pt-BR"/>
        </w:rPr>
        <w:t xml:space="preserve"> deposição de nanopartículas de Au na superfície da MOF</w:t>
      </w:r>
      <w:r>
        <w:rPr>
          <w:lang w:val="pt-BR"/>
        </w:rPr>
        <w:t>.</w:t>
      </w:r>
      <w:r w:rsidR="003D664F" w:rsidRPr="005F0A3A">
        <w:rPr>
          <w:lang w:val="pt-BR"/>
        </w:rPr>
        <w:t xml:space="preserve"> </w:t>
      </w:r>
      <w:r w:rsidR="00886491">
        <w:rPr>
          <w:lang w:val="pt-BR"/>
        </w:rPr>
        <w:t xml:space="preserve">De fato, </w:t>
      </w:r>
      <w:r w:rsidR="003D664F" w:rsidRPr="005F0A3A">
        <w:rPr>
          <w:lang w:val="pt-BR"/>
        </w:rPr>
        <w:t xml:space="preserve">não </w:t>
      </w:r>
      <w:r w:rsidR="00886491">
        <w:rPr>
          <w:lang w:val="pt-BR"/>
        </w:rPr>
        <w:t xml:space="preserve">é observada </w:t>
      </w:r>
      <w:r w:rsidR="003D664F" w:rsidRPr="005F0A3A">
        <w:rPr>
          <w:lang w:val="pt-BR"/>
        </w:rPr>
        <w:t>apenas a diminuição da área, mas também a diminuição dos volumes total</w:t>
      </w:r>
      <w:r w:rsidR="00712801" w:rsidRPr="005F0A3A">
        <w:rPr>
          <w:lang w:val="pt-BR"/>
        </w:rPr>
        <w:t xml:space="preserve"> de </w:t>
      </w:r>
      <w:r w:rsidR="008A5196" w:rsidRPr="005F0A3A">
        <w:rPr>
          <w:lang w:val="pt-BR"/>
        </w:rPr>
        <w:t>poros e</w:t>
      </w:r>
      <w:r w:rsidR="003D664F" w:rsidRPr="005F0A3A">
        <w:rPr>
          <w:lang w:val="pt-BR"/>
        </w:rPr>
        <w:t xml:space="preserve"> de </w:t>
      </w:r>
      <w:proofErr w:type="spellStart"/>
      <w:r w:rsidR="003D664F" w:rsidRPr="005F0A3A">
        <w:rPr>
          <w:lang w:val="pt-BR"/>
        </w:rPr>
        <w:t>microporos</w:t>
      </w:r>
      <w:proofErr w:type="spellEnd"/>
      <w:r w:rsidR="0028475E" w:rsidRPr="005F0A3A">
        <w:rPr>
          <w:lang w:val="pt-BR"/>
        </w:rPr>
        <w:t>.</w:t>
      </w:r>
      <w:r w:rsidR="003D664F" w:rsidRPr="005F0A3A">
        <w:rPr>
          <w:lang w:val="pt-BR"/>
        </w:rPr>
        <w:t xml:space="preserve"> </w:t>
      </w:r>
      <w:r w:rsidR="0028475E" w:rsidRPr="005F0A3A">
        <w:rPr>
          <w:lang w:val="pt-BR"/>
        </w:rPr>
        <w:t xml:space="preserve">Observou-se </w:t>
      </w:r>
      <w:r w:rsidR="00886491">
        <w:rPr>
          <w:lang w:val="pt-BR"/>
        </w:rPr>
        <w:t>também</w:t>
      </w:r>
      <w:r w:rsidR="00886491" w:rsidRPr="005F0A3A">
        <w:rPr>
          <w:lang w:val="pt-BR"/>
        </w:rPr>
        <w:t xml:space="preserve"> </w:t>
      </w:r>
      <w:r w:rsidR="0028475E" w:rsidRPr="005F0A3A">
        <w:rPr>
          <w:lang w:val="pt-BR"/>
        </w:rPr>
        <w:t xml:space="preserve">que quando não há um </w:t>
      </w:r>
      <w:r w:rsidR="003D664F" w:rsidRPr="005F0A3A">
        <w:rPr>
          <w:lang w:val="pt-BR"/>
        </w:rPr>
        <w:t>controle de tamanho de nanopartículas</w:t>
      </w:r>
      <w:r w:rsidR="0028475E" w:rsidRPr="005F0A3A">
        <w:rPr>
          <w:lang w:val="pt-BR"/>
        </w:rPr>
        <w:t xml:space="preserve"> </w:t>
      </w:r>
      <w:r w:rsidR="00886491">
        <w:rPr>
          <w:lang w:val="pt-BR"/>
        </w:rPr>
        <w:t>(</w:t>
      </w:r>
      <w:proofErr w:type="spellStart"/>
      <w:r w:rsidR="00886491">
        <w:rPr>
          <w:lang w:val="pt-BR"/>
        </w:rPr>
        <w:t>Au</w:t>
      </w:r>
      <w:proofErr w:type="spellEnd"/>
      <w:r w:rsidR="00886491">
        <w:rPr>
          <w:lang w:val="pt-BR"/>
        </w:rPr>
        <w:t xml:space="preserve">/UiO-66) </w:t>
      </w:r>
      <w:r w:rsidR="003D664F" w:rsidRPr="005F0A3A">
        <w:rPr>
          <w:lang w:val="pt-BR"/>
        </w:rPr>
        <w:t xml:space="preserve">a perda de área </w:t>
      </w:r>
      <w:r w:rsidR="00886491">
        <w:rPr>
          <w:lang w:val="pt-BR"/>
        </w:rPr>
        <w:t xml:space="preserve">é ainda maior </w:t>
      </w:r>
      <w:r w:rsidR="003D664F" w:rsidRPr="005F0A3A">
        <w:rPr>
          <w:lang w:val="pt-BR"/>
        </w:rPr>
        <w:t>(</w:t>
      </w:r>
      <w:r w:rsidR="00886491">
        <w:rPr>
          <w:lang w:val="pt-BR"/>
        </w:rPr>
        <w:t>~</w:t>
      </w:r>
      <w:r w:rsidR="003D664F" w:rsidRPr="005F0A3A">
        <w:rPr>
          <w:lang w:val="pt-BR"/>
        </w:rPr>
        <w:t xml:space="preserve">17%), mostrando a importância do controle do tamanho de partícula em relação a superfície de contato disponível. </w:t>
      </w:r>
      <w:r w:rsidR="0018743A">
        <w:rPr>
          <w:lang w:val="pt-BR"/>
        </w:rPr>
        <w:t xml:space="preserve">Quanto ao diâmetro dos poros, </w:t>
      </w:r>
      <w:r w:rsidR="003E2D16">
        <w:rPr>
          <w:lang w:val="pt-BR"/>
        </w:rPr>
        <w:t>pode-se dizer que não há mudanças significativas provocadas pela</w:t>
      </w:r>
      <w:r w:rsidR="0018743A">
        <w:rPr>
          <w:lang w:val="pt-BR"/>
        </w:rPr>
        <w:t xml:space="preserve"> adição de partículas de </w:t>
      </w:r>
      <w:proofErr w:type="spellStart"/>
      <w:r w:rsidR="0018743A">
        <w:rPr>
          <w:lang w:val="pt-BR"/>
        </w:rPr>
        <w:t>Au</w:t>
      </w:r>
      <w:proofErr w:type="spellEnd"/>
      <w:r w:rsidR="0018743A">
        <w:rPr>
          <w:lang w:val="pt-BR"/>
        </w:rPr>
        <w:t xml:space="preserve"> com e sem tamanho controlado</w:t>
      </w:r>
      <w:r w:rsidR="003E2D16">
        <w:rPr>
          <w:lang w:val="pt-BR"/>
        </w:rPr>
        <w:t xml:space="preserve">. </w:t>
      </w:r>
    </w:p>
    <w:p w14:paraId="5DFC237F" w14:textId="4FD2E259" w:rsidR="00D17BAF" w:rsidRPr="005F0A3A" w:rsidRDefault="005F0A3A" w:rsidP="00EA4E1B">
      <w:pPr>
        <w:pStyle w:val="TAMainText"/>
        <w:ind w:firstLine="187"/>
        <w:rPr>
          <w:lang w:val="pt-BR"/>
        </w:rPr>
      </w:pPr>
      <w:r w:rsidRPr="005F0A3A">
        <w:rPr>
          <w:noProof/>
          <w:lang w:val="pt-BR"/>
        </w:rPr>
        <w:drawing>
          <wp:anchor distT="0" distB="0" distL="114300" distR="114300" simplePos="0" relativeHeight="251668479" behindDoc="1" locked="0" layoutInCell="1" allowOverlap="1" wp14:anchorId="07E68DFB" wp14:editId="2A971D3E">
            <wp:simplePos x="0" y="0"/>
            <wp:positionH relativeFrom="margin">
              <wp:posOffset>3536950</wp:posOffset>
            </wp:positionH>
            <wp:positionV relativeFrom="paragraph">
              <wp:posOffset>104775</wp:posOffset>
            </wp:positionV>
            <wp:extent cx="2987675" cy="2397760"/>
            <wp:effectExtent l="0" t="0" r="0" b="2540"/>
            <wp:wrapTight wrapText="bothSides">
              <wp:wrapPolygon edited="0">
                <wp:start x="2066" y="343"/>
                <wp:lineTo x="1928" y="858"/>
                <wp:lineTo x="1790" y="3432"/>
                <wp:lineTo x="413" y="5835"/>
                <wp:lineTo x="413" y="14415"/>
                <wp:lineTo x="1653" y="17161"/>
                <wp:lineTo x="1653" y="19049"/>
                <wp:lineTo x="4683" y="19907"/>
                <wp:lineTo x="9228" y="19907"/>
                <wp:lineTo x="9228" y="20936"/>
                <wp:lineTo x="12258" y="21451"/>
                <wp:lineTo x="13359" y="21451"/>
                <wp:lineTo x="13635" y="20250"/>
                <wp:lineTo x="17904" y="19907"/>
                <wp:lineTo x="21210" y="19049"/>
                <wp:lineTo x="20659" y="343"/>
                <wp:lineTo x="2066" y="343"/>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7675" cy="2397760"/>
                    </a:xfrm>
                    <a:prstGeom prst="rect">
                      <a:avLst/>
                    </a:prstGeom>
                    <a:noFill/>
                  </pic:spPr>
                </pic:pic>
              </a:graphicData>
            </a:graphic>
            <wp14:sizeRelH relativeFrom="margin">
              <wp14:pctWidth>0</wp14:pctWidth>
            </wp14:sizeRelH>
            <wp14:sizeRelV relativeFrom="margin">
              <wp14:pctHeight>0</wp14:pctHeight>
            </wp14:sizeRelV>
          </wp:anchor>
        </w:drawing>
      </w:r>
    </w:p>
    <w:p w14:paraId="221E7559" w14:textId="16775DAC" w:rsidR="006A5345" w:rsidRPr="005F0A3A" w:rsidRDefault="006A5345" w:rsidP="00EA4E1B">
      <w:pPr>
        <w:pStyle w:val="TAMainText"/>
        <w:ind w:firstLine="187"/>
        <w:rPr>
          <w:lang w:val="pt-BR"/>
        </w:rPr>
      </w:pPr>
    </w:p>
    <w:p w14:paraId="3F93D9A3" w14:textId="7A06E9E7" w:rsidR="00D17BAF" w:rsidRPr="005F0A3A" w:rsidRDefault="006A5345" w:rsidP="006A5345">
      <w:pPr>
        <w:pStyle w:val="VAFigureCaption"/>
        <w:spacing w:before="0"/>
        <w:rPr>
          <w:rFonts w:ascii="Times New Roman" w:hAnsi="Times New Roman"/>
          <w:lang w:val="pt-BR"/>
        </w:rPr>
      </w:pPr>
      <w:r w:rsidRPr="005F0A3A">
        <w:rPr>
          <w:rFonts w:ascii="Times New Roman" w:hAnsi="Times New Roman"/>
          <w:b/>
          <w:lang w:val="pt-BR"/>
        </w:rPr>
        <w:t>Figura 1.</w:t>
      </w:r>
      <w:r w:rsidRPr="005F0A3A">
        <w:rPr>
          <w:rFonts w:ascii="Times New Roman" w:hAnsi="Times New Roman"/>
          <w:lang w:val="pt-BR"/>
        </w:rPr>
        <w:t xml:space="preserve"> Difratogramas da MOF UiO-66 e do Au(NP)/UiO-66.</w:t>
      </w:r>
    </w:p>
    <w:p w14:paraId="24EB55E4" w14:textId="451E1796" w:rsidR="003D664F" w:rsidRPr="005F0A3A" w:rsidRDefault="003D664F" w:rsidP="00EA4E1B">
      <w:pPr>
        <w:pStyle w:val="TAMainText"/>
        <w:ind w:firstLine="187"/>
        <w:rPr>
          <w:lang w:val="pt-BR"/>
        </w:rPr>
      </w:pPr>
    </w:p>
    <w:p w14:paraId="2FCEBAFF" w14:textId="5D945F7E" w:rsidR="006A5345" w:rsidRDefault="008A5196" w:rsidP="00BC1460">
      <w:pPr>
        <w:pStyle w:val="TAMainText"/>
        <w:ind w:firstLine="187"/>
        <w:rPr>
          <w:rFonts w:ascii="Times New Roman" w:hAnsi="Times New Roman"/>
          <w:lang w:val="pt-BR"/>
        </w:rPr>
      </w:pPr>
      <w:r w:rsidRPr="005F0A3A">
        <w:rPr>
          <w:lang w:val="pt-BR"/>
        </w:rPr>
        <w:t>A avaliação estrutural da MOF e do</w:t>
      </w:r>
      <w:r w:rsidR="00186730" w:rsidRPr="005F0A3A">
        <w:rPr>
          <w:lang w:val="pt-BR"/>
        </w:rPr>
        <w:t>s</w:t>
      </w:r>
      <w:r w:rsidRPr="005F0A3A">
        <w:rPr>
          <w:lang w:val="pt-BR"/>
        </w:rPr>
        <w:t xml:space="preserve"> catalisador</w:t>
      </w:r>
      <w:r w:rsidR="00186730" w:rsidRPr="005F0A3A">
        <w:rPr>
          <w:lang w:val="pt-BR"/>
        </w:rPr>
        <w:t>es</w:t>
      </w:r>
      <w:r w:rsidRPr="005F0A3A">
        <w:rPr>
          <w:lang w:val="pt-BR"/>
        </w:rPr>
        <w:t xml:space="preserve"> com</w:t>
      </w:r>
      <w:r w:rsidR="00186730" w:rsidRPr="005F0A3A">
        <w:rPr>
          <w:lang w:val="pt-BR"/>
        </w:rPr>
        <w:t xml:space="preserve"> e sem o controle de</w:t>
      </w:r>
      <w:r w:rsidRPr="005F0A3A">
        <w:rPr>
          <w:lang w:val="pt-BR"/>
        </w:rPr>
        <w:t xml:space="preserve"> nanopartículas</w:t>
      </w:r>
      <w:r w:rsidR="00983490">
        <w:rPr>
          <w:lang w:val="pt-BR"/>
        </w:rPr>
        <w:t xml:space="preserve"> foi feita por difração de raios X (Figura 1). Os </w:t>
      </w:r>
      <w:proofErr w:type="spellStart"/>
      <w:r w:rsidR="00983490">
        <w:rPr>
          <w:lang w:val="pt-BR"/>
        </w:rPr>
        <w:t>difratogramas</w:t>
      </w:r>
      <w:proofErr w:type="spellEnd"/>
      <w:r w:rsidRPr="005F0A3A">
        <w:rPr>
          <w:lang w:val="pt-BR"/>
        </w:rPr>
        <w:t xml:space="preserve"> permiti</w:t>
      </w:r>
      <w:r w:rsidR="00983490">
        <w:rPr>
          <w:lang w:val="pt-BR"/>
        </w:rPr>
        <w:t>ram</w:t>
      </w:r>
      <w:r w:rsidRPr="005F0A3A">
        <w:rPr>
          <w:lang w:val="pt-BR"/>
        </w:rPr>
        <w:t xml:space="preserve"> perceber que, </w:t>
      </w:r>
      <w:r w:rsidR="00983490">
        <w:rPr>
          <w:lang w:val="pt-BR"/>
        </w:rPr>
        <w:t xml:space="preserve">apesar das alterações nas propriedades texturais, a deposição da fase metálica, por impregnação ou por deposição de nanopartículas, não afetou a estrutura da MOF </w:t>
      </w:r>
      <w:r w:rsidR="00983490">
        <w:rPr>
          <w:lang w:val="pt-BR"/>
        </w:rPr>
        <w:lastRenderedPageBreak/>
        <w:t xml:space="preserve">mantendo sua </w:t>
      </w:r>
      <w:r w:rsidRPr="005F0A3A">
        <w:rPr>
          <w:lang w:val="pt-BR"/>
        </w:rPr>
        <w:t>identidade cristalográfica (COD ID: 4132633).</w:t>
      </w:r>
      <w:r w:rsidR="00782864">
        <w:rPr>
          <w:lang w:val="pt-BR"/>
        </w:rPr>
        <w:t xml:space="preserve"> No entanto, algumas alterações foram percebidas.</w:t>
      </w:r>
      <w:r w:rsidR="00782864">
        <w:rPr>
          <w:rFonts w:ascii="Times New Roman" w:hAnsi="Times New Roman"/>
          <w:lang w:val="pt-BR"/>
        </w:rPr>
        <w:t xml:space="preserve"> </w:t>
      </w:r>
      <w:r w:rsidR="00D76002">
        <w:rPr>
          <w:rFonts w:ascii="Times New Roman" w:hAnsi="Times New Roman"/>
          <w:lang w:val="pt-BR"/>
        </w:rPr>
        <w:t xml:space="preserve">Na MOF UiO-66 os picos relacionados aos planos (111) e (002) estão em 7,36° e 8,51°, respectivamente, no entanto ao adicionar NP de </w:t>
      </w:r>
      <w:proofErr w:type="spellStart"/>
      <w:r w:rsidR="00D76002">
        <w:rPr>
          <w:rFonts w:ascii="Times New Roman" w:hAnsi="Times New Roman"/>
          <w:lang w:val="pt-BR"/>
        </w:rPr>
        <w:t>Au</w:t>
      </w:r>
      <w:proofErr w:type="spellEnd"/>
      <w:r w:rsidR="00D76002">
        <w:rPr>
          <w:rFonts w:ascii="Times New Roman" w:hAnsi="Times New Roman"/>
          <w:lang w:val="pt-BR"/>
        </w:rPr>
        <w:t xml:space="preserve"> à estrutura, há um deslocamento do plano (111) para 7,29° e do (002) para </w:t>
      </w:r>
      <w:r w:rsidR="00C900E2">
        <w:rPr>
          <w:rFonts w:ascii="Times New Roman" w:hAnsi="Times New Roman"/>
          <w:lang w:val="pt-BR"/>
        </w:rPr>
        <w:t>8,44</w:t>
      </w:r>
      <w:proofErr w:type="gramStart"/>
      <w:r w:rsidR="00C900E2">
        <w:rPr>
          <w:rFonts w:ascii="Times New Roman" w:hAnsi="Times New Roman"/>
          <w:lang w:val="pt-BR"/>
        </w:rPr>
        <w:t xml:space="preserve">° </w:t>
      </w:r>
      <w:r w:rsidR="00782864">
        <w:rPr>
          <w:rFonts w:ascii="Times New Roman" w:hAnsi="Times New Roman"/>
          <w:lang w:val="pt-BR"/>
        </w:rPr>
        <w:t xml:space="preserve"> (</w:t>
      </w:r>
      <w:proofErr w:type="gramEnd"/>
      <w:r w:rsidR="00782864">
        <w:rPr>
          <w:rFonts w:ascii="Times New Roman" w:hAnsi="Times New Roman"/>
          <w:lang w:val="pt-BR"/>
        </w:rPr>
        <w:t>Figura 1 – destaque)</w:t>
      </w:r>
      <w:r w:rsidR="00C900E2">
        <w:rPr>
          <w:rFonts w:ascii="Times New Roman" w:hAnsi="Times New Roman"/>
          <w:lang w:val="pt-BR"/>
        </w:rPr>
        <w:t>, o que</w:t>
      </w:r>
      <w:r w:rsidR="00782864">
        <w:rPr>
          <w:rFonts w:ascii="Times New Roman" w:hAnsi="Times New Roman"/>
          <w:lang w:val="pt-BR"/>
        </w:rPr>
        <w:t xml:space="preserve"> indica uma contração n</w:t>
      </w:r>
      <w:r w:rsidRPr="005F0A3A">
        <w:rPr>
          <w:rFonts w:ascii="Times New Roman" w:hAnsi="Times New Roman"/>
          <w:lang w:val="pt-BR"/>
        </w:rPr>
        <w:t>a célula unitária da MOF</w:t>
      </w:r>
      <w:r w:rsidR="00782864">
        <w:rPr>
          <w:rFonts w:ascii="Times New Roman" w:hAnsi="Times New Roman"/>
          <w:lang w:val="pt-BR"/>
        </w:rPr>
        <w:t xml:space="preserve"> e sugere a inserção, na rede, das NP Au</w:t>
      </w:r>
      <w:r w:rsidRPr="005F0A3A">
        <w:rPr>
          <w:rFonts w:ascii="Times New Roman" w:hAnsi="Times New Roman"/>
          <w:lang w:val="pt-BR"/>
        </w:rPr>
        <w:t>.</w:t>
      </w:r>
      <w:r w:rsidR="00186730" w:rsidRPr="005F0A3A">
        <w:rPr>
          <w:rFonts w:ascii="Times New Roman" w:hAnsi="Times New Roman"/>
          <w:lang w:val="pt-BR"/>
        </w:rPr>
        <w:t xml:space="preserve"> Fenômeno distinto </w:t>
      </w:r>
      <w:r w:rsidR="00782864">
        <w:rPr>
          <w:rFonts w:ascii="Times New Roman" w:hAnsi="Times New Roman"/>
          <w:lang w:val="pt-BR"/>
        </w:rPr>
        <w:t>foi</w:t>
      </w:r>
      <w:r w:rsidR="00186730" w:rsidRPr="005F0A3A">
        <w:rPr>
          <w:rFonts w:ascii="Times New Roman" w:hAnsi="Times New Roman"/>
          <w:lang w:val="pt-BR"/>
        </w:rPr>
        <w:t xml:space="preserve"> observado quando </w:t>
      </w:r>
      <w:r w:rsidR="00782864">
        <w:rPr>
          <w:rFonts w:ascii="Times New Roman" w:hAnsi="Times New Roman"/>
          <w:lang w:val="pt-BR"/>
        </w:rPr>
        <w:t>a preparação ocorreu por impregnação. Nesse caso</w:t>
      </w:r>
      <w:r w:rsidR="00186730" w:rsidRPr="005F0A3A">
        <w:rPr>
          <w:rFonts w:ascii="Times New Roman" w:hAnsi="Times New Roman"/>
          <w:lang w:val="pt-BR"/>
        </w:rPr>
        <w:t>, o deslocamento se d</w:t>
      </w:r>
      <w:r w:rsidR="00782864">
        <w:rPr>
          <w:rFonts w:ascii="Times New Roman" w:hAnsi="Times New Roman"/>
          <w:lang w:val="pt-BR"/>
        </w:rPr>
        <w:t>eu</w:t>
      </w:r>
      <w:r w:rsidR="00186730" w:rsidRPr="005F0A3A">
        <w:rPr>
          <w:rFonts w:ascii="Times New Roman" w:hAnsi="Times New Roman"/>
          <w:lang w:val="pt-BR"/>
        </w:rPr>
        <w:t xml:space="preserve"> para ângulos maiores</w:t>
      </w:r>
      <w:r w:rsidR="00782864">
        <w:rPr>
          <w:rFonts w:ascii="Times New Roman" w:hAnsi="Times New Roman"/>
          <w:lang w:val="pt-BR"/>
        </w:rPr>
        <w:t>, para</w:t>
      </w:r>
      <w:r w:rsidR="001859BB">
        <w:rPr>
          <w:rFonts w:ascii="Times New Roman" w:hAnsi="Times New Roman"/>
          <w:lang w:val="pt-BR"/>
        </w:rPr>
        <w:t xml:space="preserve"> </w:t>
      </w:r>
      <w:r w:rsidR="00186730" w:rsidRPr="005F0A3A">
        <w:rPr>
          <w:rFonts w:ascii="Times New Roman" w:hAnsi="Times New Roman"/>
          <w:lang w:val="pt-BR"/>
        </w:rPr>
        <w:t>7,44° e 8,59°, mostrando um</w:t>
      </w:r>
      <w:r w:rsidR="00782864">
        <w:rPr>
          <w:rFonts w:ascii="Times New Roman" w:hAnsi="Times New Roman"/>
          <w:lang w:val="pt-BR"/>
        </w:rPr>
        <w:t>a</w:t>
      </w:r>
      <w:r w:rsidR="00186730" w:rsidRPr="005F0A3A">
        <w:rPr>
          <w:rFonts w:ascii="Times New Roman" w:hAnsi="Times New Roman"/>
          <w:lang w:val="pt-BR"/>
        </w:rPr>
        <w:t xml:space="preserve"> ligeir</w:t>
      </w:r>
      <w:r w:rsidR="00782864">
        <w:rPr>
          <w:rFonts w:ascii="Times New Roman" w:hAnsi="Times New Roman"/>
          <w:lang w:val="pt-BR"/>
        </w:rPr>
        <w:t>a</w:t>
      </w:r>
      <w:r w:rsidR="00186730" w:rsidRPr="005F0A3A">
        <w:rPr>
          <w:rFonts w:ascii="Times New Roman" w:hAnsi="Times New Roman"/>
          <w:lang w:val="pt-BR"/>
        </w:rPr>
        <w:t xml:space="preserve"> </w:t>
      </w:r>
      <w:r w:rsidR="00782864">
        <w:rPr>
          <w:rFonts w:ascii="Times New Roman" w:hAnsi="Times New Roman"/>
          <w:lang w:val="pt-BR"/>
        </w:rPr>
        <w:t>expansão</w:t>
      </w:r>
      <w:r w:rsidR="00782864" w:rsidRPr="005F0A3A">
        <w:rPr>
          <w:rFonts w:ascii="Times New Roman" w:hAnsi="Times New Roman"/>
          <w:lang w:val="pt-BR"/>
        </w:rPr>
        <w:t xml:space="preserve"> </w:t>
      </w:r>
      <w:r w:rsidR="00186730" w:rsidRPr="005F0A3A">
        <w:rPr>
          <w:rFonts w:ascii="Times New Roman" w:hAnsi="Times New Roman"/>
          <w:lang w:val="pt-BR"/>
        </w:rPr>
        <w:t>na rede.</w:t>
      </w:r>
      <w:r w:rsidR="0008053A" w:rsidRPr="005F0A3A">
        <w:rPr>
          <w:rFonts w:ascii="Times New Roman" w:hAnsi="Times New Roman"/>
          <w:lang w:val="pt-BR"/>
        </w:rPr>
        <w:t xml:space="preserve"> </w:t>
      </w:r>
      <w:r w:rsidR="006A5345" w:rsidRPr="005F0A3A">
        <w:rPr>
          <w:rFonts w:ascii="Times New Roman" w:hAnsi="Times New Roman"/>
          <w:lang w:val="pt-BR"/>
        </w:rPr>
        <w:t>A</w:t>
      </w:r>
      <w:r w:rsidR="0008053A" w:rsidRPr="005F0A3A">
        <w:rPr>
          <w:rFonts w:ascii="Times New Roman" w:hAnsi="Times New Roman"/>
          <w:lang w:val="pt-BR"/>
        </w:rPr>
        <w:t>lém disso há um alargamento dos picos</w:t>
      </w:r>
      <w:r w:rsidR="00186730" w:rsidRPr="005F0A3A">
        <w:rPr>
          <w:rFonts w:ascii="Times New Roman" w:hAnsi="Times New Roman"/>
          <w:lang w:val="pt-BR"/>
        </w:rPr>
        <w:t xml:space="preserve"> no catalisador com NP</w:t>
      </w:r>
      <w:r w:rsidR="0008053A" w:rsidRPr="005F0A3A">
        <w:rPr>
          <w:rFonts w:ascii="Times New Roman" w:hAnsi="Times New Roman"/>
          <w:lang w:val="pt-BR"/>
        </w:rPr>
        <w:t xml:space="preserve"> devido a entrada do Au</w:t>
      </w:r>
      <w:r w:rsidR="0008053A" w:rsidRPr="005F0A3A">
        <w:rPr>
          <w:rFonts w:ascii="Times New Roman" w:hAnsi="Times New Roman"/>
          <w:vertAlign w:val="superscript"/>
          <w:lang w:val="pt-BR"/>
        </w:rPr>
        <w:t xml:space="preserve">0 </w:t>
      </w:r>
      <w:r w:rsidR="0008053A" w:rsidRPr="005F0A3A">
        <w:rPr>
          <w:rFonts w:ascii="Times New Roman" w:hAnsi="Times New Roman"/>
          <w:lang w:val="pt-BR"/>
        </w:rPr>
        <w:t>na rede</w:t>
      </w:r>
      <w:r w:rsidR="00F33463" w:rsidRPr="005F0A3A">
        <w:rPr>
          <w:rFonts w:ascii="Times New Roman" w:hAnsi="Times New Roman"/>
          <w:lang w:val="pt-BR"/>
        </w:rPr>
        <w:t>.</w:t>
      </w:r>
    </w:p>
    <w:p w14:paraId="7F644015" w14:textId="33C6D545" w:rsidR="00EA4E1B" w:rsidRPr="005F0A3A" w:rsidRDefault="003808C6" w:rsidP="00231346">
      <w:pPr>
        <w:pStyle w:val="TAMainText"/>
        <w:ind w:firstLine="187"/>
        <w:rPr>
          <w:rFonts w:ascii="Times New Roman" w:hAnsi="Times New Roman"/>
          <w:lang w:val="pt-BR"/>
        </w:rPr>
      </w:pPr>
      <w:r w:rsidRPr="005F0A3A">
        <w:rPr>
          <w:rFonts w:ascii="Times New Roman" w:hAnsi="Times New Roman"/>
          <w:lang w:val="pt-BR"/>
        </w:rPr>
        <w:t xml:space="preserve">Os espectros de FTIR podem ser visualizados na </w:t>
      </w:r>
      <w:r w:rsidRPr="005F0A3A">
        <w:rPr>
          <w:rFonts w:ascii="Times New Roman" w:hAnsi="Times New Roman"/>
          <w:b/>
          <w:bCs/>
          <w:lang w:val="pt-BR"/>
        </w:rPr>
        <w:t xml:space="preserve">Figura </w:t>
      </w:r>
      <w:r w:rsidR="004C35D1" w:rsidRPr="005F0A3A">
        <w:rPr>
          <w:rFonts w:ascii="Times New Roman" w:hAnsi="Times New Roman"/>
          <w:b/>
          <w:bCs/>
          <w:lang w:val="pt-BR"/>
        </w:rPr>
        <w:t>2</w:t>
      </w:r>
      <w:r w:rsidRPr="005F0A3A">
        <w:rPr>
          <w:rFonts w:ascii="Times New Roman" w:hAnsi="Times New Roman"/>
          <w:b/>
          <w:bCs/>
          <w:lang w:val="pt-BR"/>
        </w:rPr>
        <w:t>.</w:t>
      </w:r>
      <w:r w:rsidR="003915B9" w:rsidRPr="005F0A3A">
        <w:rPr>
          <w:rFonts w:ascii="Times New Roman" w:hAnsi="Times New Roman"/>
          <w:b/>
          <w:bCs/>
          <w:lang w:val="pt-BR"/>
        </w:rPr>
        <w:t>A</w:t>
      </w:r>
      <w:r w:rsidRPr="005F0A3A">
        <w:rPr>
          <w:rFonts w:ascii="Times New Roman" w:hAnsi="Times New Roman"/>
          <w:lang w:val="pt-BR"/>
        </w:rPr>
        <w:t xml:space="preserve"> </w:t>
      </w:r>
      <w:r w:rsidR="00782864">
        <w:rPr>
          <w:rFonts w:ascii="Times New Roman" w:hAnsi="Times New Roman"/>
          <w:lang w:val="pt-BR"/>
        </w:rPr>
        <w:t xml:space="preserve">e mostram </w:t>
      </w:r>
      <w:r w:rsidRPr="005F0A3A">
        <w:rPr>
          <w:rFonts w:ascii="Times New Roman" w:hAnsi="Times New Roman"/>
          <w:lang w:val="pt-BR"/>
        </w:rPr>
        <w:t>a presença de bandas características das ligações da rede cristalina da MOF</w:t>
      </w:r>
      <w:r w:rsidR="004C35D1" w:rsidRPr="005F0A3A">
        <w:rPr>
          <w:rFonts w:ascii="Times New Roman" w:hAnsi="Times New Roman"/>
          <w:lang w:val="pt-BR"/>
        </w:rPr>
        <w:t xml:space="preserve">. </w:t>
      </w:r>
    </w:p>
    <w:p w14:paraId="2900543D" w14:textId="26A712BD" w:rsidR="00231346" w:rsidRDefault="00BC1460" w:rsidP="00231346">
      <w:pPr>
        <w:pStyle w:val="TAMainText"/>
        <w:ind w:firstLine="187"/>
        <w:rPr>
          <w:rFonts w:ascii="Times New Roman" w:hAnsi="Times New Roman"/>
          <w:lang w:val="pt-BR"/>
        </w:rPr>
      </w:pPr>
      <w:r w:rsidRPr="005F0A3A">
        <w:rPr>
          <w:rFonts w:ascii="Times New Roman" w:hAnsi="Times New Roman"/>
          <w:noProof/>
          <w:lang w:val="pt-BR"/>
        </w:rPr>
        <w:drawing>
          <wp:anchor distT="0" distB="0" distL="114300" distR="114300" simplePos="0" relativeHeight="251666431" behindDoc="1" locked="0" layoutInCell="1" allowOverlap="1" wp14:anchorId="4C02A100" wp14:editId="5CEFD676">
            <wp:simplePos x="0" y="0"/>
            <wp:positionH relativeFrom="margin">
              <wp:posOffset>234950</wp:posOffset>
            </wp:positionH>
            <wp:positionV relativeFrom="paragraph">
              <wp:posOffset>12065</wp:posOffset>
            </wp:positionV>
            <wp:extent cx="2879725" cy="4114165"/>
            <wp:effectExtent l="0" t="0" r="0" b="0"/>
            <wp:wrapTight wrapText="bothSides">
              <wp:wrapPolygon edited="0">
                <wp:start x="2429" y="100"/>
                <wp:lineTo x="1286" y="700"/>
                <wp:lineTo x="1286" y="1300"/>
                <wp:lineTo x="2429" y="1900"/>
                <wp:lineTo x="1429" y="2700"/>
                <wp:lineTo x="1143" y="3100"/>
                <wp:lineTo x="1286" y="7201"/>
                <wp:lineTo x="2000" y="8301"/>
                <wp:lineTo x="1715" y="9902"/>
                <wp:lineTo x="1286" y="11102"/>
                <wp:lineTo x="1286" y="11402"/>
                <wp:lineTo x="2286" y="11502"/>
                <wp:lineTo x="1143" y="13102"/>
                <wp:lineTo x="1000" y="17303"/>
                <wp:lineTo x="1429" y="17903"/>
                <wp:lineTo x="2286" y="17903"/>
                <wp:lineTo x="2286" y="19503"/>
                <wp:lineTo x="1572" y="19703"/>
                <wp:lineTo x="2715" y="21103"/>
                <wp:lineTo x="13146" y="21303"/>
                <wp:lineTo x="15575" y="21303"/>
                <wp:lineTo x="15575" y="21103"/>
                <wp:lineTo x="19862" y="20303"/>
                <wp:lineTo x="20862" y="20003"/>
                <wp:lineTo x="20290" y="19503"/>
                <wp:lineTo x="20576" y="9902"/>
                <wp:lineTo x="20290" y="100"/>
                <wp:lineTo x="2429" y="100"/>
              </wp:wrapPolygon>
            </wp:wrapTight>
            <wp:docPr id="15" name="Imagem 15"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Diagrama&#10;&#10;Descrição gerada automaticament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04" r="7652"/>
                    <a:stretch/>
                  </pic:blipFill>
                  <pic:spPr bwMode="auto">
                    <a:xfrm>
                      <a:off x="0" y="0"/>
                      <a:ext cx="2879725" cy="4114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005382" w14:textId="5EEAD943" w:rsidR="00BC1460" w:rsidRDefault="00BC1460" w:rsidP="00231346">
      <w:pPr>
        <w:pStyle w:val="TAMainText"/>
        <w:ind w:firstLine="187"/>
        <w:rPr>
          <w:rFonts w:ascii="Times New Roman" w:hAnsi="Times New Roman"/>
          <w:lang w:val="pt-BR"/>
        </w:rPr>
      </w:pPr>
    </w:p>
    <w:p w14:paraId="729DC77D" w14:textId="5DDD4BFF" w:rsidR="00BC1460" w:rsidRDefault="00BC1460" w:rsidP="00231346">
      <w:pPr>
        <w:pStyle w:val="TAMainText"/>
        <w:ind w:firstLine="187"/>
        <w:rPr>
          <w:rFonts w:ascii="Times New Roman" w:hAnsi="Times New Roman"/>
          <w:lang w:val="pt-BR"/>
        </w:rPr>
      </w:pPr>
    </w:p>
    <w:p w14:paraId="0DB9680E" w14:textId="01841D04" w:rsidR="00BC1460" w:rsidRDefault="00BC1460" w:rsidP="00231346">
      <w:pPr>
        <w:pStyle w:val="TAMainText"/>
        <w:ind w:firstLine="187"/>
        <w:rPr>
          <w:rFonts w:ascii="Times New Roman" w:hAnsi="Times New Roman"/>
          <w:lang w:val="pt-BR"/>
        </w:rPr>
      </w:pPr>
    </w:p>
    <w:p w14:paraId="4459CF56" w14:textId="35B6939F" w:rsidR="00BC1460" w:rsidRDefault="00BC1460" w:rsidP="00231346">
      <w:pPr>
        <w:pStyle w:val="TAMainText"/>
        <w:ind w:firstLine="187"/>
        <w:rPr>
          <w:rFonts w:ascii="Times New Roman" w:hAnsi="Times New Roman"/>
          <w:lang w:val="pt-BR"/>
        </w:rPr>
      </w:pPr>
    </w:p>
    <w:p w14:paraId="3849F8CE" w14:textId="776999D5" w:rsidR="00BC1460" w:rsidRDefault="00BC1460" w:rsidP="00231346">
      <w:pPr>
        <w:pStyle w:val="TAMainText"/>
        <w:ind w:firstLine="187"/>
        <w:rPr>
          <w:rFonts w:ascii="Times New Roman" w:hAnsi="Times New Roman"/>
          <w:lang w:val="pt-BR"/>
        </w:rPr>
      </w:pPr>
    </w:p>
    <w:p w14:paraId="293F7BA3" w14:textId="6A3FC307" w:rsidR="00BC1460" w:rsidRDefault="00BC1460" w:rsidP="00231346">
      <w:pPr>
        <w:pStyle w:val="TAMainText"/>
        <w:ind w:firstLine="187"/>
        <w:rPr>
          <w:rFonts w:ascii="Times New Roman" w:hAnsi="Times New Roman"/>
          <w:lang w:val="pt-BR"/>
        </w:rPr>
      </w:pPr>
    </w:p>
    <w:p w14:paraId="2B29CA92" w14:textId="77777777" w:rsidR="00BC1460" w:rsidRPr="005F0A3A" w:rsidRDefault="00BC1460" w:rsidP="00231346">
      <w:pPr>
        <w:pStyle w:val="TAMainText"/>
        <w:ind w:firstLine="187"/>
        <w:rPr>
          <w:rFonts w:ascii="Times New Roman" w:hAnsi="Times New Roman"/>
          <w:lang w:val="pt-BR"/>
        </w:rPr>
      </w:pPr>
    </w:p>
    <w:p w14:paraId="1F144F61" w14:textId="146AEF54" w:rsidR="00231346" w:rsidRPr="005F0A3A" w:rsidRDefault="00231346" w:rsidP="00231346">
      <w:pPr>
        <w:pStyle w:val="TAMainText"/>
        <w:ind w:firstLine="187"/>
        <w:rPr>
          <w:rFonts w:ascii="Times New Roman" w:hAnsi="Times New Roman"/>
          <w:lang w:val="pt-BR"/>
        </w:rPr>
      </w:pPr>
    </w:p>
    <w:p w14:paraId="165A3EFD" w14:textId="4C764F28" w:rsidR="00231346" w:rsidRPr="005F0A3A" w:rsidRDefault="00231346" w:rsidP="00231346">
      <w:pPr>
        <w:pStyle w:val="TAMainText"/>
        <w:ind w:firstLine="187"/>
        <w:rPr>
          <w:rFonts w:ascii="Times New Roman" w:hAnsi="Times New Roman"/>
          <w:lang w:val="pt-BR"/>
        </w:rPr>
      </w:pPr>
    </w:p>
    <w:p w14:paraId="539371BB" w14:textId="35F1E79A" w:rsidR="00231346" w:rsidRPr="005F0A3A" w:rsidRDefault="00231346" w:rsidP="00231346">
      <w:pPr>
        <w:pStyle w:val="TAMainText"/>
        <w:ind w:firstLine="187"/>
        <w:rPr>
          <w:rFonts w:ascii="Times New Roman" w:hAnsi="Times New Roman"/>
          <w:lang w:val="pt-BR"/>
        </w:rPr>
      </w:pPr>
    </w:p>
    <w:p w14:paraId="144E8D49" w14:textId="70454AAD" w:rsidR="00231346" w:rsidRPr="005F0A3A" w:rsidRDefault="00231346" w:rsidP="00231346">
      <w:pPr>
        <w:pStyle w:val="TAMainText"/>
        <w:ind w:firstLine="187"/>
        <w:rPr>
          <w:rFonts w:ascii="Times New Roman" w:hAnsi="Times New Roman"/>
          <w:lang w:val="pt-BR"/>
        </w:rPr>
      </w:pPr>
    </w:p>
    <w:p w14:paraId="24DCD20D" w14:textId="41F2C31D" w:rsidR="0028475E" w:rsidRPr="005F0A3A" w:rsidRDefault="0028475E" w:rsidP="00FF4FB7">
      <w:pPr>
        <w:spacing w:after="0"/>
        <w:rPr>
          <w:lang w:eastAsia="pt-BR"/>
        </w:rPr>
      </w:pPr>
    </w:p>
    <w:p w14:paraId="1382A965" w14:textId="77777777" w:rsidR="00BC1460" w:rsidRDefault="00BC1460" w:rsidP="00276793">
      <w:pPr>
        <w:spacing w:after="0" w:line="240" w:lineRule="exact"/>
        <w:ind w:firstLine="204"/>
        <w:jc w:val="both"/>
        <w:rPr>
          <w:rFonts w:ascii="Times New Roman" w:hAnsi="Times New Roman"/>
          <w:sz w:val="20"/>
          <w:szCs w:val="20"/>
        </w:rPr>
      </w:pPr>
    </w:p>
    <w:p w14:paraId="35013DA9" w14:textId="77777777" w:rsidR="00BC1460" w:rsidRDefault="00BC1460" w:rsidP="00276793">
      <w:pPr>
        <w:spacing w:after="0" w:line="240" w:lineRule="exact"/>
        <w:ind w:firstLine="204"/>
        <w:jc w:val="both"/>
        <w:rPr>
          <w:rFonts w:ascii="Times New Roman" w:hAnsi="Times New Roman"/>
          <w:sz w:val="20"/>
          <w:szCs w:val="20"/>
        </w:rPr>
      </w:pPr>
    </w:p>
    <w:p w14:paraId="3F3730B6" w14:textId="77777777" w:rsidR="00BC1460" w:rsidRDefault="00BC1460" w:rsidP="00276793">
      <w:pPr>
        <w:spacing w:after="0" w:line="240" w:lineRule="exact"/>
        <w:ind w:firstLine="204"/>
        <w:jc w:val="both"/>
        <w:rPr>
          <w:rFonts w:ascii="Times New Roman" w:hAnsi="Times New Roman"/>
          <w:sz w:val="20"/>
          <w:szCs w:val="20"/>
        </w:rPr>
      </w:pPr>
    </w:p>
    <w:p w14:paraId="095E8853" w14:textId="77777777" w:rsidR="00BC1460" w:rsidRDefault="00BC1460" w:rsidP="00276793">
      <w:pPr>
        <w:spacing w:after="0" w:line="240" w:lineRule="exact"/>
        <w:ind w:firstLine="204"/>
        <w:jc w:val="both"/>
        <w:rPr>
          <w:rFonts w:ascii="Times New Roman" w:hAnsi="Times New Roman"/>
          <w:sz w:val="20"/>
          <w:szCs w:val="20"/>
        </w:rPr>
      </w:pPr>
    </w:p>
    <w:p w14:paraId="057790C1" w14:textId="77777777" w:rsidR="00BC1460" w:rsidRDefault="00BC1460" w:rsidP="00276793">
      <w:pPr>
        <w:spacing w:after="0" w:line="240" w:lineRule="exact"/>
        <w:ind w:firstLine="204"/>
        <w:jc w:val="both"/>
        <w:rPr>
          <w:rFonts w:ascii="Times New Roman" w:hAnsi="Times New Roman"/>
          <w:sz w:val="20"/>
          <w:szCs w:val="20"/>
        </w:rPr>
      </w:pPr>
    </w:p>
    <w:p w14:paraId="1D197F3E" w14:textId="77777777" w:rsidR="00BC1460" w:rsidRDefault="00BC1460" w:rsidP="00276793">
      <w:pPr>
        <w:spacing w:after="0" w:line="240" w:lineRule="exact"/>
        <w:ind w:firstLine="204"/>
        <w:jc w:val="both"/>
        <w:rPr>
          <w:rFonts w:ascii="Times New Roman" w:hAnsi="Times New Roman"/>
          <w:sz w:val="20"/>
          <w:szCs w:val="20"/>
        </w:rPr>
      </w:pPr>
    </w:p>
    <w:p w14:paraId="695F9034" w14:textId="77777777" w:rsidR="00BC1460" w:rsidRDefault="00BC1460" w:rsidP="00276793">
      <w:pPr>
        <w:spacing w:after="0" w:line="240" w:lineRule="exact"/>
        <w:ind w:firstLine="204"/>
        <w:jc w:val="both"/>
        <w:rPr>
          <w:rFonts w:ascii="Times New Roman" w:hAnsi="Times New Roman"/>
          <w:sz w:val="20"/>
          <w:szCs w:val="20"/>
        </w:rPr>
      </w:pPr>
    </w:p>
    <w:p w14:paraId="300F37FB" w14:textId="77777777" w:rsidR="00BC1460" w:rsidRDefault="00BC1460" w:rsidP="00276793">
      <w:pPr>
        <w:spacing w:after="0" w:line="240" w:lineRule="exact"/>
        <w:ind w:firstLine="204"/>
        <w:jc w:val="both"/>
        <w:rPr>
          <w:rFonts w:ascii="Times New Roman" w:hAnsi="Times New Roman"/>
          <w:sz w:val="20"/>
          <w:szCs w:val="20"/>
        </w:rPr>
      </w:pPr>
    </w:p>
    <w:p w14:paraId="71661ED4" w14:textId="77777777" w:rsidR="00BC1460" w:rsidRDefault="00BC1460" w:rsidP="00276793">
      <w:pPr>
        <w:spacing w:after="0" w:line="240" w:lineRule="exact"/>
        <w:ind w:firstLine="204"/>
        <w:jc w:val="both"/>
        <w:rPr>
          <w:rFonts w:ascii="Times New Roman" w:hAnsi="Times New Roman"/>
          <w:sz w:val="20"/>
          <w:szCs w:val="20"/>
        </w:rPr>
      </w:pPr>
    </w:p>
    <w:p w14:paraId="7567AC5A" w14:textId="77777777" w:rsidR="00BC1460" w:rsidRDefault="00BC1460" w:rsidP="00276793">
      <w:pPr>
        <w:spacing w:after="0" w:line="240" w:lineRule="exact"/>
        <w:ind w:firstLine="204"/>
        <w:jc w:val="both"/>
        <w:rPr>
          <w:rFonts w:ascii="Times New Roman" w:hAnsi="Times New Roman"/>
          <w:sz w:val="20"/>
          <w:szCs w:val="20"/>
        </w:rPr>
      </w:pPr>
    </w:p>
    <w:p w14:paraId="76AE4276" w14:textId="77777777" w:rsidR="00BC1460" w:rsidRDefault="00BC1460" w:rsidP="00276793">
      <w:pPr>
        <w:spacing w:after="0" w:line="240" w:lineRule="exact"/>
        <w:ind w:firstLine="204"/>
        <w:jc w:val="both"/>
        <w:rPr>
          <w:rFonts w:ascii="Times New Roman" w:hAnsi="Times New Roman"/>
          <w:sz w:val="20"/>
          <w:szCs w:val="20"/>
        </w:rPr>
      </w:pPr>
    </w:p>
    <w:p w14:paraId="1389EBB6" w14:textId="77777777" w:rsidR="00BC1460" w:rsidRDefault="00BC1460" w:rsidP="00276793">
      <w:pPr>
        <w:spacing w:after="0" w:line="240" w:lineRule="exact"/>
        <w:ind w:firstLine="204"/>
        <w:jc w:val="both"/>
        <w:rPr>
          <w:rFonts w:ascii="Times New Roman" w:hAnsi="Times New Roman"/>
          <w:sz w:val="20"/>
          <w:szCs w:val="20"/>
        </w:rPr>
      </w:pPr>
    </w:p>
    <w:p w14:paraId="1C320FF5" w14:textId="77777777" w:rsidR="00BC1460" w:rsidRDefault="00BC1460" w:rsidP="00276793">
      <w:pPr>
        <w:spacing w:after="0" w:line="240" w:lineRule="exact"/>
        <w:ind w:firstLine="204"/>
        <w:jc w:val="both"/>
        <w:rPr>
          <w:rFonts w:ascii="Times New Roman" w:hAnsi="Times New Roman"/>
          <w:sz w:val="20"/>
          <w:szCs w:val="20"/>
        </w:rPr>
      </w:pPr>
    </w:p>
    <w:p w14:paraId="1107F170" w14:textId="77777777" w:rsidR="00BC1460" w:rsidRDefault="00BC1460" w:rsidP="00276793">
      <w:pPr>
        <w:spacing w:after="0" w:line="240" w:lineRule="exact"/>
        <w:ind w:firstLine="204"/>
        <w:jc w:val="both"/>
        <w:rPr>
          <w:rFonts w:ascii="Times New Roman" w:hAnsi="Times New Roman"/>
          <w:sz w:val="20"/>
          <w:szCs w:val="20"/>
        </w:rPr>
      </w:pPr>
    </w:p>
    <w:p w14:paraId="3C21038D" w14:textId="77777777" w:rsidR="00BC1460" w:rsidRPr="005F0A3A" w:rsidRDefault="00BC1460" w:rsidP="00BC1460">
      <w:pPr>
        <w:pStyle w:val="VAFigureCaption"/>
        <w:spacing w:before="0"/>
        <w:rPr>
          <w:rFonts w:ascii="Times New Roman" w:hAnsi="Times New Roman"/>
          <w:lang w:val="pt-BR"/>
        </w:rPr>
      </w:pPr>
      <w:r w:rsidRPr="005F0A3A">
        <w:rPr>
          <w:rFonts w:ascii="Times New Roman" w:hAnsi="Times New Roman"/>
          <w:b/>
          <w:lang w:val="pt-BR"/>
        </w:rPr>
        <w:t>Figura 2.</w:t>
      </w:r>
      <w:r w:rsidRPr="005F0A3A">
        <w:rPr>
          <w:rFonts w:ascii="Times New Roman" w:hAnsi="Times New Roman"/>
          <w:lang w:val="pt-BR"/>
        </w:rPr>
        <w:t xml:space="preserve"> Espetros FTIR da MOF UiO-66 e do </w:t>
      </w:r>
      <w:proofErr w:type="spellStart"/>
      <w:proofErr w:type="gramStart"/>
      <w:r w:rsidRPr="005F0A3A">
        <w:rPr>
          <w:rFonts w:ascii="Times New Roman" w:hAnsi="Times New Roman"/>
          <w:lang w:val="pt-BR"/>
        </w:rPr>
        <w:t>Au</w:t>
      </w:r>
      <w:proofErr w:type="spellEnd"/>
      <w:r w:rsidRPr="005F0A3A">
        <w:rPr>
          <w:rFonts w:ascii="Times New Roman" w:hAnsi="Times New Roman"/>
          <w:lang w:val="pt-BR"/>
        </w:rPr>
        <w:t>(</w:t>
      </w:r>
      <w:proofErr w:type="gramEnd"/>
      <w:r w:rsidRPr="005F0A3A">
        <w:rPr>
          <w:rFonts w:ascii="Times New Roman" w:hAnsi="Times New Roman"/>
          <w:lang w:val="pt-BR"/>
        </w:rPr>
        <w:t xml:space="preserve">NP)/UiO-66 entre </w:t>
      </w:r>
      <w:r w:rsidRPr="005F0A3A">
        <w:rPr>
          <w:rFonts w:ascii="Times New Roman" w:hAnsi="Times New Roman"/>
          <w:b/>
          <w:bCs/>
          <w:lang w:val="pt-BR"/>
        </w:rPr>
        <w:t>A.</w:t>
      </w:r>
      <w:r w:rsidRPr="005F0A3A">
        <w:rPr>
          <w:rFonts w:ascii="Times New Roman" w:hAnsi="Times New Roman"/>
          <w:lang w:val="pt-BR"/>
        </w:rPr>
        <w:t xml:space="preserve"> 500 e 2000 cm</w:t>
      </w:r>
      <w:r w:rsidRPr="005F0A3A">
        <w:rPr>
          <w:rFonts w:ascii="Times New Roman" w:hAnsi="Times New Roman"/>
          <w:vertAlign w:val="superscript"/>
          <w:lang w:val="pt-BR"/>
        </w:rPr>
        <w:t>-1</w:t>
      </w:r>
      <w:r w:rsidRPr="005F0A3A">
        <w:rPr>
          <w:rFonts w:ascii="Times New Roman" w:hAnsi="Times New Roman"/>
          <w:lang w:val="pt-BR"/>
        </w:rPr>
        <w:t xml:space="preserve"> e entre </w:t>
      </w:r>
      <w:r w:rsidRPr="005F0A3A">
        <w:rPr>
          <w:rFonts w:ascii="Times New Roman" w:hAnsi="Times New Roman"/>
          <w:b/>
          <w:bCs/>
          <w:lang w:val="pt-BR"/>
        </w:rPr>
        <w:t>B.</w:t>
      </w:r>
      <w:r w:rsidRPr="005F0A3A">
        <w:rPr>
          <w:rFonts w:ascii="Times New Roman" w:hAnsi="Times New Roman"/>
          <w:lang w:val="pt-BR"/>
        </w:rPr>
        <w:t xml:space="preserve"> 500 e 1000 cm</w:t>
      </w:r>
      <w:r w:rsidRPr="005F0A3A">
        <w:rPr>
          <w:rFonts w:ascii="Times New Roman" w:hAnsi="Times New Roman"/>
          <w:vertAlign w:val="superscript"/>
          <w:lang w:val="pt-BR"/>
        </w:rPr>
        <w:t>-1</w:t>
      </w:r>
      <w:r w:rsidRPr="005F0A3A">
        <w:rPr>
          <w:rFonts w:ascii="Times New Roman" w:hAnsi="Times New Roman"/>
          <w:lang w:val="pt-BR"/>
        </w:rPr>
        <w:t>.</w:t>
      </w:r>
    </w:p>
    <w:p w14:paraId="0ABD5019" w14:textId="77777777" w:rsidR="00BC1460" w:rsidRDefault="00BC1460" w:rsidP="00276793">
      <w:pPr>
        <w:spacing w:after="0" w:line="240" w:lineRule="exact"/>
        <w:ind w:firstLine="204"/>
        <w:jc w:val="both"/>
        <w:rPr>
          <w:rFonts w:ascii="Times New Roman" w:hAnsi="Times New Roman"/>
          <w:sz w:val="20"/>
          <w:szCs w:val="20"/>
        </w:rPr>
      </w:pPr>
    </w:p>
    <w:p w14:paraId="3A82F3BB" w14:textId="77777777" w:rsidR="008170ED" w:rsidRDefault="00276793" w:rsidP="00BC1460">
      <w:pPr>
        <w:spacing w:after="0" w:line="240" w:lineRule="exact"/>
        <w:ind w:firstLine="204"/>
        <w:jc w:val="both"/>
        <w:rPr>
          <w:rFonts w:ascii="Times New Roman" w:hAnsi="Times New Roman"/>
          <w:sz w:val="20"/>
          <w:szCs w:val="20"/>
        </w:rPr>
      </w:pPr>
      <w:r w:rsidRPr="005F0A3A">
        <w:rPr>
          <w:rFonts w:ascii="Times New Roman" w:hAnsi="Times New Roman"/>
          <w:sz w:val="20"/>
          <w:szCs w:val="20"/>
        </w:rPr>
        <w:t>A banda em torno de 550 cm</w:t>
      </w:r>
      <w:r w:rsidRPr="005F0A3A">
        <w:rPr>
          <w:rFonts w:ascii="Times New Roman" w:hAnsi="Times New Roman"/>
          <w:sz w:val="20"/>
          <w:szCs w:val="20"/>
          <w:vertAlign w:val="superscript"/>
        </w:rPr>
        <w:t>-1</w:t>
      </w:r>
      <w:r w:rsidR="003915B9" w:rsidRPr="005F0A3A">
        <w:rPr>
          <w:rFonts w:ascii="Times New Roman" w:hAnsi="Times New Roman"/>
          <w:sz w:val="20"/>
          <w:szCs w:val="20"/>
        </w:rPr>
        <w:t xml:space="preserve"> é</w:t>
      </w:r>
      <w:r w:rsidRPr="005F0A3A">
        <w:rPr>
          <w:rFonts w:ascii="Times New Roman" w:hAnsi="Times New Roman"/>
          <w:sz w:val="20"/>
          <w:szCs w:val="20"/>
        </w:rPr>
        <w:t xml:space="preserve"> devido às vibrações do estiramento da ligação Zr-(OC) do Zr</w:t>
      </w:r>
      <w:r w:rsidRPr="005F0A3A">
        <w:rPr>
          <w:rFonts w:ascii="Times New Roman" w:hAnsi="Times New Roman"/>
          <w:sz w:val="20"/>
          <w:szCs w:val="20"/>
          <w:vertAlign w:val="subscript"/>
        </w:rPr>
        <w:t>6</w:t>
      </w:r>
      <w:r w:rsidRPr="005F0A3A">
        <w:rPr>
          <w:rFonts w:ascii="Times New Roman" w:hAnsi="Times New Roman"/>
          <w:sz w:val="20"/>
          <w:szCs w:val="20"/>
        </w:rPr>
        <w:t>O</w:t>
      </w:r>
      <w:r w:rsidRPr="005F0A3A">
        <w:rPr>
          <w:rFonts w:ascii="Times New Roman" w:hAnsi="Times New Roman"/>
          <w:sz w:val="20"/>
          <w:szCs w:val="20"/>
          <w:vertAlign w:val="subscript"/>
        </w:rPr>
        <w:t>4</w:t>
      </w:r>
      <w:r w:rsidRPr="005F0A3A">
        <w:rPr>
          <w:rFonts w:ascii="Times New Roman" w:hAnsi="Times New Roman"/>
          <w:sz w:val="20"/>
          <w:szCs w:val="20"/>
        </w:rPr>
        <w:t>(OH)</w:t>
      </w:r>
      <w:r w:rsidRPr="005F0A3A">
        <w:rPr>
          <w:rFonts w:ascii="Times New Roman" w:hAnsi="Times New Roman"/>
          <w:sz w:val="20"/>
          <w:szCs w:val="20"/>
          <w:vertAlign w:val="subscript"/>
        </w:rPr>
        <w:t>4</w:t>
      </w:r>
      <w:r w:rsidRPr="005F0A3A">
        <w:rPr>
          <w:rFonts w:ascii="Times New Roman" w:hAnsi="Times New Roman"/>
          <w:sz w:val="20"/>
          <w:szCs w:val="20"/>
        </w:rPr>
        <w:t>(CO</w:t>
      </w:r>
      <w:r w:rsidRPr="005F0A3A">
        <w:rPr>
          <w:rFonts w:ascii="Times New Roman" w:hAnsi="Times New Roman"/>
          <w:sz w:val="20"/>
          <w:szCs w:val="20"/>
          <w:vertAlign w:val="subscript"/>
        </w:rPr>
        <w:t>2</w:t>
      </w:r>
      <w:r w:rsidRPr="005F0A3A">
        <w:rPr>
          <w:rFonts w:ascii="Times New Roman" w:hAnsi="Times New Roman"/>
          <w:sz w:val="20"/>
          <w:szCs w:val="20"/>
        </w:rPr>
        <w:t>)</w:t>
      </w:r>
      <w:r w:rsidRPr="005F0A3A">
        <w:rPr>
          <w:rFonts w:ascii="Times New Roman" w:hAnsi="Times New Roman"/>
          <w:sz w:val="20"/>
          <w:szCs w:val="20"/>
          <w:vertAlign w:val="subscript"/>
        </w:rPr>
        <w:t>12</w:t>
      </w:r>
      <w:r w:rsidR="00782864">
        <w:rPr>
          <w:rFonts w:ascii="Times New Roman" w:hAnsi="Times New Roman"/>
          <w:sz w:val="20"/>
          <w:szCs w:val="20"/>
        </w:rPr>
        <w:t>.</w:t>
      </w:r>
      <w:r w:rsidRPr="005F0A3A">
        <w:rPr>
          <w:rFonts w:ascii="Times New Roman" w:hAnsi="Times New Roman"/>
          <w:sz w:val="20"/>
          <w:szCs w:val="20"/>
        </w:rPr>
        <w:t xml:space="preserve"> </w:t>
      </w:r>
      <w:r w:rsidR="00782864">
        <w:rPr>
          <w:rFonts w:ascii="Times New Roman" w:hAnsi="Times New Roman"/>
          <w:sz w:val="20"/>
          <w:szCs w:val="20"/>
        </w:rPr>
        <w:t>T</w:t>
      </w:r>
      <w:r w:rsidR="003915B9" w:rsidRPr="005F0A3A">
        <w:rPr>
          <w:rFonts w:ascii="Times New Roman" w:hAnsi="Times New Roman"/>
          <w:sz w:val="20"/>
          <w:szCs w:val="20"/>
        </w:rPr>
        <w:t xml:space="preserve">ambém foram observadas bandas dos modos vibracionais de O-H, C-H e </w:t>
      </w:r>
      <w:proofErr w:type="spellStart"/>
      <w:r w:rsidR="003915B9" w:rsidRPr="005F0A3A">
        <w:rPr>
          <w:rFonts w:ascii="Times New Roman" w:hAnsi="Times New Roman"/>
          <w:sz w:val="20"/>
          <w:szCs w:val="20"/>
        </w:rPr>
        <w:t>Zr-</w:t>
      </w:r>
      <w:proofErr w:type="gramStart"/>
      <w:r w:rsidR="003915B9" w:rsidRPr="005F0A3A">
        <w:rPr>
          <w:rFonts w:ascii="Times New Roman" w:hAnsi="Times New Roman"/>
          <w:sz w:val="20"/>
          <w:szCs w:val="20"/>
        </w:rPr>
        <w:t>O</w:t>
      </w:r>
      <w:proofErr w:type="spellEnd"/>
      <w:r w:rsidR="00782864">
        <w:rPr>
          <w:rFonts w:ascii="Times New Roman" w:hAnsi="Times New Roman"/>
          <w:sz w:val="20"/>
          <w:szCs w:val="20"/>
        </w:rPr>
        <w:t xml:space="preserve"> .</w:t>
      </w:r>
      <w:proofErr w:type="gramEnd"/>
      <w:r w:rsidR="003915B9" w:rsidRPr="005F0A3A">
        <w:rPr>
          <w:rFonts w:ascii="Times New Roman" w:hAnsi="Times New Roman"/>
          <w:sz w:val="20"/>
          <w:szCs w:val="20"/>
        </w:rPr>
        <w:t xml:space="preserve"> </w:t>
      </w:r>
      <w:r w:rsidR="00782864">
        <w:rPr>
          <w:rFonts w:ascii="Times New Roman" w:hAnsi="Times New Roman"/>
          <w:sz w:val="20"/>
          <w:szCs w:val="20"/>
        </w:rPr>
        <w:t>E</w:t>
      </w:r>
      <w:r w:rsidR="003915B9" w:rsidRPr="005F0A3A">
        <w:rPr>
          <w:rFonts w:ascii="Times New Roman" w:hAnsi="Times New Roman"/>
          <w:sz w:val="20"/>
          <w:szCs w:val="20"/>
        </w:rPr>
        <w:t>ntre 710 e 810 cm</w:t>
      </w:r>
      <w:r w:rsidR="003915B9" w:rsidRPr="005F0A3A">
        <w:rPr>
          <w:rFonts w:ascii="Times New Roman" w:hAnsi="Times New Roman"/>
          <w:sz w:val="20"/>
          <w:szCs w:val="20"/>
          <w:vertAlign w:val="superscript"/>
        </w:rPr>
        <w:t>-1</w:t>
      </w:r>
      <w:r w:rsidR="003915B9" w:rsidRPr="005F0A3A">
        <w:rPr>
          <w:rFonts w:ascii="Times New Roman" w:hAnsi="Times New Roman"/>
          <w:sz w:val="20"/>
          <w:szCs w:val="20"/>
        </w:rPr>
        <w:t xml:space="preserve"> </w:t>
      </w:r>
      <w:r w:rsidR="003A19B5">
        <w:rPr>
          <w:rFonts w:ascii="Times New Roman" w:hAnsi="Times New Roman"/>
          <w:sz w:val="20"/>
          <w:szCs w:val="20"/>
        </w:rPr>
        <w:t>são registradas as</w:t>
      </w:r>
      <w:r w:rsidR="003915B9" w:rsidRPr="005F0A3A">
        <w:rPr>
          <w:rFonts w:ascii="Times New Roman" w:hAnsi="Times New Roman"/>
          <w:sz w:val="20"/>
          <w:szCs w:val="20"/>
        </w:rPr>
        <w:t xml:space="preserve"> vibraç</w:t>
      </w:r>
      <w:r w:rsidR="003A19B5">
        <w:rPr>
          <w:rFonts w:ascii="Times New Roman" w:hAnsi="Times New Roman"/>
          <w:sz w:val="20"/>
          <w:szCs w:val="20"/>
        </w:rPr>
        <w:t>ões referentes às ligações</w:t>
      </w:r>
      <w:r w:rsidR="003915B9" w:rsidRPr="005F0A3A">
        <w:rPr>
          <w:rFonts w:ascii="Times New Roman" w:hAnsi="Times New Roman"/>
          <w:sz w:val="20"/>
          <w:szCs w:val="20"/>
        </w:rPr>
        <w:t xml:space="preserve"> C-H, estiramento C=</w:t>
      </w:r>
      <w:proofErr w:type="gramStart"/>
      <w:r w:rsidR="003915B9" w:rsidRPr="005F0A3A">
        <w:rPr>
          <w:rFonts w:ascii="Times New Roman" w:hAnsi="Times New Roman"/>
          <w:sz w:val="20"/>
          <w:szCs w:val="20"/>
        </w:rPr>
        <w:t>C  e</w:t>
      </w:r>
      <w:proofErr w:type="gramEnd"/>
      <w:r w:rsidR="003915B9" w:rsidRPr="005F0A3A">
        <w:rPr>
          <w:rFonts w:ascii="Times New Roman" w:hAnsi="Times New Roman"/>
          <w:sz w:val="20"/>
          <w:szCs w:val="20"/>
        </w:rPr>
        <w:t xml:space="preserve"> O-C-O do ácido </w:t>
      </w:r>
      <w:proofErr w:type="spellStart"/>
      <w:r w:rsidR="003915B9" w:rsidRPr="005F0A3A">
        <w:rPr>
          <w:rFonts w:ascii="Times New Roman" w:hAnsi="Times New Roman"/>
          <w:sz w:val="20"/>
          <w:szCs w:val="20"/>
        </w:rPr>
        <w:t>tereftálico</w:t>
      </w:r>
      <w:proofErr w:type="spellEnd"/>
      <w:r w:rsidR="003915B9" w:rsidRPr="005F0A3A">
        <w:rPr>
          <w:rFonts w:ascii="Times New Roman" w:hAnsi="Times New Roman"/>
          <w:sz w:val="20"/>
          <w:szCs w:val="20"/>
        </w:rPr>
        <w:t xml:space="preserve">. </w:t>
      </w:r>
      <w:r w:rsidRPr="005F0A3A">
        <w:rPr>
          <w:rFonts w:ascii="Times New Roman" w:hAnsi="Times New Roman"/>
          <w:sz w:val="20"/>
          <w:szCs w:val="20"/>
        </w:rPr>
        <w:t>A pequena banda em aproximadamente 1500 cm</w:t>
      </w:r>
      <w:r w:rsidRPr="005F0A3A">
        <w:rPr>
          <w:rFonts w:ascii="Times New Roman" w:hAnsi="Times New Roman"/>
          <w:sz w:val="20"/>
          <w:szCs w:val="20"/>
          <w:vertAlign w:val="superscript"/>
        </w:rPr>
        <w:t>-1</w:t>
      </w:r>
      <w:r w:rsidRPr="005F0A3A">
        <w:rPr>
          <w:rFonts w:ascii="Times New Roman" w:hAnsi="Times New Roman"/>
          <w:sz w:val="20"/>
          <w:szCs w:val="20"/>
        </w:rPr>
        <w:t xml:space="preserve"> em todas as amostras pode </w:t>
      </w:r>
      <w:r w:rsidRPr="005F0A3A">
        <w:rPr>
          <w:rFonts w:ascii="Times New Roman" w:hAnsi="Times New Roman"/>
          <w:sz w:val="20"/>
          <w:szCs w:val="20"/>
        </w:rPr>
        <w:t>estar associada à vibração da ligação C=C do anel benzênico. Aquelas em 1575 e 1390 cm</w:t>
      </w:r>
      <w:r w:rsidRPr="005F0A3A">
        <w:rPr>
          <w:rFonts w:ascii="Times New Roman" w:hAnsi="Times New Roman"/>
          <w:sz w:val="20"/>
          <w:szCs w:val="20"/>
          <w:vertAlign w:val="superscript"/>
        </w:rPr>
        <w:t>-1</w:t>
      </w:r>
      <w:r w:rsidRPr="005F0A3A">
        <w:rPr>
          <w:rFonts w:ascii="Times New Roman" w:hAnsi="Times New Roman"/>
          <w:sz w:val="20"/>
          <w:szCs w:val="20"/>
        </w:rPr>
        <w:t xml:space="preserve"> são devido ao estiramento simétrico e assimétrico, respectivamente, da ligação O-C-O do ácido </w:t>
      </w:r>
      <w:proofErr w:type="spellStart"/>
      <w:r w:rsidRPr="005F0A3A">
        <w:rPr>
          <w:rFonts w:ascii="Times New Roman" w:hAnsi="Times New Roman"/>
          <w:sz w:val="20"/>
          <w:szCs w:val="20"/>
        </w:rPr>
        <w:t>tereftálico</w:t>
      </w:r>
      <w:proofErr w:type="spellEnd"/>
      <w:r w:rsidRPr="005F0A3A">
        <w:rPr>
          <w:rFonts w:ascii="Times New Roman" w:hAnsi="Times New Roman"/>
          <w:sz w:val="20"/>
          <w:szCs w:val="20"/>
        </w:rPr>
        <w:t xml:space="preserve"> usado como </w:t>
      </w:r>
      <w:proofErr w:type="spellStart"/>
      <w:r w:rsidRPr="005F0A3A">
        <w:rPr>
          <w:rFonts w:ascii="Times New Roman" w:hAnsi="Times New Roman"/>
          <w:sz w:val="20"/>
          <w:szCs w:val="20"/>
        </w:rPr>
        <w:t>linker</w:t>
      </w:r>
      <w:proofErr w:type="spellEnd"/>
      <w:r w:rsidRPr="005F0A3A">
        <w:rPr>
          <w:rFonts w:ascii="Times New Roman" w:hAnsi="Times New Roman"/>
          <w:sz w:val="20"/>
          <w:szCs w:val="20"/>
        </w:rPr>
        <w:t>. Já as bandas em 1507 e 1017 cm</w:t>
      </w:r>
      <w:r w:rsidRPr="005F0A3A">
        <w:rPr>
          <w:rFonts w:ascii="Times New Roman" w:hAnsi="Times New Roman"/>
          <w:sz w:val="20"/>
          <w:szCs w:val="20"/>
          <w:vertAlign w:val="superscript"/>
        </w:rPr>
        <w:t>-1</w:t>
      </w:r>
      <w:r w:rsidRPr="005F0A3A">
        <w:rPr>
          <w:rFonts w:ascii="Times New Roman" w:hAnsi="Times New Roman"/>
          <w:sz w:val="20"/>
          <w:szCs w:val="20"/>
        </w:rPr>
        <w:t xml:space="preserve"> pode</w:t>
      </w:r>
      <w:r w:rsidR="003A19B5">
        <w:rPr>
          <w:rFonts w:ascii="Times New Roman" w:hAnsi="Times New Roman"/>
          <w:sz w:val="20"/>
          <w:szCs w:val="20"/>
        </w:rPr>
        <w:t>m</w:t>
      </w:r>
      <w:r w:rsidRPr="005F0A3A">
        <w:rPr>
          <w:rFonts w:ascii="Times New Roman" w:hAnsi="Times New Roman"/>
          <w:sz w:val="20"/>
          <w:szCs w:val="20"/>
        </w:rPr>
        <w:t xml:space="preserve"> ser atribuídas à coordenação do ácido tereftálico com o Zr. Por fim, a banda em 1658 cm</w:t>
      </w:r>
      <w:r w:rsidRPr="005F0A3A">
        <w:rPr>
          <w:rFonts w:ascii="Times New Roman" w:hAnsi="Times New Roman"/>
          <w:sz w:val="20"/>
          <w:szCs w:val="20"/>
          <w:vertAlign w:val="superscript"/>
        </w:rPr>
        <w:t>-1</w:t>
      </w:r>
      <w:r w:rsidRPr="005F0A3A">
        <w:rPr>
          <w:rFonts w:ascii="Times New Roman" w:hAnsi="Times New Roman"/>
          <w:sz w:val="20"/>
          <w:szCs w:val="20"/>
        </w:rPr>
        <w:t xml:space="preserve"> se deve às vibrações de estiramento assimétrico C=O.</w:t>
      </w:r>
    </w:p>
    <w:p w14:paraId="7FCAF620" w14:textId="40615240" w:rsidR="00396C07" w:rsidRPr="005F0A3A" w:rsidRDefault="00276793" w:rsidP="003915B9">
      <w:pPr>
        <w:spacing w:after="0" w:line="240" w:lineRule="exact"/>
        <w:ind w:firstLine="204"/>
        <w:jc w:val="both"/>
        <w:rPr>
          <w:sz w:val="20"/>
          <w:szCs w:val="20"/>
          <w:lang w:eastAsia="pt-BR"/>
        </w:rPr>
      </w:pPr>
      <w:r w:rsidRPr="005F0A3A">
        <w:rPr>
          <w:rFonts w:ascii="Times New Roman" w:hAnsi="Times New Roman"/>
          <w:sz w:val="20"/>
          <w:szCs w:val="20"/>
        </w:rPr>
        <w:t xml:space="preserve">  Também foi possível notar no espectro de FTIR algumas diferenças quanto </w:t>
      </w:r>
      <w:r w:rsidR="003A19B5">
        <w:rPr>
          <w:rFonts w:ascii="Times New Roman" w:hAnsi="Times New Roman"/>
          <w:sz w:val="20"/>
          <w:szCs w:val="20"/>
        </w:rPr>
        <w:t>à</w:t>
      </w:r>
      <w:r w:rsidRPr="005F0A3A">
        <w:rPr>
          <w:rFonts w:ascii="Times New Roman" w:hAnsi="Times New Roman"/>
          <w:sz w:val="20"/>
          <w:szCs w:val="20"/>
        </w:rPr>
        <w:t xml:space="preserve"> composição química da MOF</w:t>
      </w:r>
      <w:r w:rsidR="003A19B5">
        <w:rPr>
          <w:rFonts w:ascii="Times New Roman" w:hAnsi="Times New Roman"/>
          <w:sz w:val="20"/>
          <w:szCs w:val="20"/>
        </w:rPr>
        <w:t>. V</w:t>
      </w:r>
      <w:r w:rsidRPr="005F0A3A">
        <w:rPr>
          <w:rFonts w:ascii="Times New Roman" w:hAnsi="Times New Roman"/>
          <w:sz w:val="20"/>
          <w:szCs w:val="20"/>
        </w:rPr>
        <w:t>ale lembrar que não há alterações nas bandas características do material, porém</w:t>
      </w:r>
      <w:r w:rsidR="003A19B5">
        <w:rPr>
          <w:rFonts w:ascii="Times New Roman" w:hAnsi="Times New Roman"/>
          <w:sz w:val="20"/>
          <w:szCs w:val="20"/>
        </w:rPr>
        <w:t>,</w:t>
      </w:r>
      <w:r w:rsidRPr="005F0A3A">
        <w:rPr>
          <w:rFonts w:ascii="Times New Roman" w:hAnsi="Times New Roman"/>
          <w:sz w:val="20"/>
          <w:szCs w:val="20"/>
        </w:rPr>
        <w:t xml:space="preserve"> há surgimento de novas bandas entre 680 e 750 cm</w:t>
      </w:r>
      <w:r w:rsidRPr="005F0A3A">
        <w:rPr>
          <w:rFonts w:ascii="Times New Roman" w:hAnsi="Times New Roman"/>
          <w:sz w:val="20"/>
          <w:szCs w:val="20"/>
          <w:vertAlign w:val="superscript"/>
        </w:rPr>
        <w:t>-1</w:t>
      </w:r>
      <w:r w:rsidRPr="005F0A3A">
        <w:rPr>
          <w:rFonts w:ascii="Times New Roman" w:hAnsi="Times New Roman"/>
          <w:sz w:val="20"/>
          <w:szCs w:val="20"/>
        </w:rPr>
        <w:t xml:space="preserve"> (</w:t>
      </w:r>
      <w:r w:rsidRPr="005F0A3A">
        <w:rPr>
          <w:rFonts w:ascii="Times New Roman" w:hAnsi="Times New Roman"/>
          <w:b/>
          <w:bCs/>
          <w:sz w:val="20"/>
          <w:szCs w:val="20"/>
        </w:rPr>
        <w:t xml:space="preserve">Figura </w:t>
      </w:r>
      <w:r w:rsidR="003915B9" w:rsidRPr="005F0A3A">
        <w:rPr>
          <w:rFonts w:ascii="Times New Roman" w:hAnsi="Times New Roman"/>
          <w:b/>
          <w:bCs/>
          <w:sz w:val="20"/>
          <w:szCs w:val="20"/>
        </w:rPr>
        <w:t>2.B</w:t>
      </w:r>
      <w:r w:rsidRPr="005F0A3A">
        <w:rPr>
          <w:rFonts w:ascii="Times New Roman" w:hAnsi="Times New Roman"/>
          <w:sz w:val="20"/>
          <w:szCs w:val="20"/>
        </w:rPr>
        <w:t>), o que pode indicar a presença de Au na rede, seja com a sua entrada nos defeitos da MOF ou por troca de nodo metálico (</w:t>
      </w:r>
      <w:r w:rsidRPr="005F0A3A">
        <w:rPr>
          <w:rFonts w:ascii="Times New Roman" w:hAnsi="Times New Roman"/>
          <w:i/>
          <w:iCs/>
          <w:sz w:val="20"/>
          <w:szCs w:val="20"/>
        </w:rPr>
        <w:t>íon-</w:t>
      </w:r>
      <w:proofErr w:type="spellStart"/>
      <w:r w:rsidRPr="005F0A3A">
        <w:rPr>
          <w:rFonts w:ascii="Times New Roman" w:hAnsi="Times New Roman"/>
          <w:i/>
          <w:iCs/>
          <w:sz w:val="20"/>
          <w:szCs w:val="20"/>
        </w:rPr>
        <w:t>exchange</w:t>
      </w:r>
      <w:proofErr w:type="spellEnd"/>
      <w:r w:rsidRPr="005F0A3A">
        <w:rPr>
          <w:rFonts w:ascii="Times New Roman" w:hAnsi="Times New Roman"/>
          <w:sz w:val="20"/>
          <w:szCs w:val="20"/>
        </w:rPr>
        <w:t>)</w:t>
      </w:r>
      <w:r w:rsidR="003A19B5">
        <w:rPr>
          <w:rFonts w:ascii="Times New Roman" w:hAnsi="Times New Roman"/>
          <w:sz w:val="20"/>
          <w:szCs w:val="20"/>
        </w:rPr>
        <w:t xml:space="preserve"> conforme já sugerido com base nos </w:t>
      </w:r>
      <w:proofErr w:type="spellStart"/>
      <w:proofErr w:type="gramStart"/>
      <w:r w:rsidR="003A19B5">
        <w:rPr>
          <w:rFonts w:ascii="Times New Roman" w:hAnsi="Times New Roman"/>
          <w:sz w:val="20"/>
          <w:szCs w:val="20"/>
        </w:rPr>
        <w:t>difratogramas</w:t>
      </w:r>
      <w:r w:rsidRPr="005F0A3A">
        <w:rPr>
          <w:rFonts w:ascii="Times New Roman" w:hAnsi="Times New Roman"/>
          <w:sz w:val="20"/>
          <w:szCs w:val="20"/>
        </w:rPr>
        <w:t>.</w:t>
      </w:r>
      <w:r w:rsidR="00043273">
        <w:rPr>
          <w:rFonts w:ascii="Times New Roman" w:hAnsi="Times New Roman"/>
          <w:sz w:val="20"/>
          <w:szCs w:val="20"/>
        </w:rPr>
        <w:t>A</w:t>
      </w:r>
      <w:proofErr w:type="spellEnd"/>
      <w:proofErr w:type="gramEnd"/>
      <w:r w:rsidR="00043273">
        <w:rPr>
          <w:rFonts w:ascii="Times New Roman" w:hAnsi="Times New Roman"/>
          <w:sz w:val="20"/>
          <w:szCs w:val="20"/>
        </w:rPr>
        <w:t xml:space="preserve"> </w:t>
      </w:r>
      <w:r w:rsidR="00C83F86">
        <w:rPr>
          <w:rFonts w:ascii="Times New Roman" w:hAnsi="Times New Roman"/>
          <w:sz w:val="20"/>
          <w:szCs w:val="20"/>
        </w:rPr>
        <w:t>análise termogravimétrica</w:t>
      </w:r>
      <w:r w:rsidR="00043273">
        <w:rPr>
          <w:rFonts w:ascii="Times New Roman" w:hAnsi="Times New Roman"/>
          <w:sz w:val="20"/>
          <w:szCs w:val="20"/>
        </w:rPr>
        <w:t xml:space="preserve"> permitiu observar que, a </w:t>
      </w:r>
      <w:r w:rsidR="00396C07" w:rsidRPr="005F0A3A">
        <w:rPr>
          <w:rFonts w:ascii="Times New Roman" w:hAnsi="Times New Roman"/>
          <w:sz w:val="20"/>
          <w:szCs w:val="20"/>
        </w:rPr>
        <w:t>MOF possui alta resistência térmica, decompondo-se em 563 °C. Por outro lado, ao incorporar partículas de Au à estrutura</w:t>
      </w:r>
      <w:r w:rsidR="003A19B5">
        <w:rPr>
          <w:rFonts w:ascii="Times New Roman" w:hAnsi="Times New Roman"/>
          <w:sz w:val="20"/>
          <w:szCs w:val="20"/>
        </w:rPr>
        <w:t>,</w:t>
      </w:r>
      <w:r w:rsidR="00396C07" w:rsidRPr="005F0A3A">
        <w:rPr>
          <w:rFonts w:ascii="Times New Roman" w:hAnsi="Times New Roman"/>
          <w:sz w:val="20"/>
          <w:szCs w:val="20"/>
        </w:rPr>
        <w:t xml:space="preserve"> nota-se uma diferença na temperatura de decomposição do esqueleto orgânico, aumentando esta resistência para cerca </w:t>
      </w:r>
      <w:r w:rsidR="003A19B5">
        <w:rPr>
          <w:rFonts w:ascii="Times New Roman" w:hAnsi="Times New Roman"/>
          <w:sz w:val="20"/>
          <w:szCs w:val="20"/>
        </w:rPr>
        <w:t xml:space="preserve">de </w:t>
      </w:r>
      <w:r w:rsidR="00396C07" w:rsidRPr="005F0A3A">
        <w:rPr>
          <w:rFonts w:ascii="Times New Roman" w:hAnsi="Times New Roman"/>
          <w:sz w:val="20"/>
          <w:szCs w:val="20"/>
        </w:rPr>
        <w:t>570 °C, seja controlando ou não o tamanho de nanopartículas</w:t>
      </w:r>
      <w:r w:rsidR="003A19B5">
        <w:rPr>
          <w:rFonts w:ascii="Times New Roman" w:hAnsi="Times New Roman"/>
          <w:sz w:val="20"/>
          <w:szCs w:val="20"/>
        </w:rPr>
        <w:t>. Esses resultados</w:t>
      </w:r>
      <w:r w:rsidR="00396C07" w:rsidRPr="005F0A3A">
        <w:rPr>
          <w:rFonts w:ascii="Times New Roman" w:hAnsi="Times New Roman"/>
          <w:sz w:val="20"/>
          <w:szCs w:val="20"/>
        </w:rPr>
        <w:t xml:space="preserve"> indica</w:t>
      </w:r>
      <w:r w:rsidR="003A19B5">
        <w:rPr>
          <w:rFonts w:ascii="Times New Roman" w:hAnsi="Times New Roman"/>
          <w:sz w:val="20"/>
          <w:szCs w:val="20"/>
        </w:rPr>
        <w:t>m</w:t>
      </w:r>
      <w:r w:rsidR="00396C07" w:rsidRPr="005F0A3A">
        <w:rPr>
          <w:rFonts w:ascii="Times New Roman" w:hAnsi="Times New Roman"/>
          <w:sz w:val="20"/>
          <w:szCs w:val="20"/>
        </w:rPr>
        <w:t xml:space="preserve"> que o uso destes catalisadores em processos de conversão de CO</w:t>
      </w:r>
      <w:r w:rsidR="00396C07" w:rsidRPr="005F0A3A">
        <w:rPr>
          <w:rFonts w:ascii="Times New Roman" w:hAnsi="Times New Roman"/>
          <w:sz w:val="20"/>
          <w:szCs w:val="20"/>
          <w:vertAlign w:val="subscript"/>
        </w:rPr>
        <w:t>2</w:t>
      </w:r>
      <w:r w:rsidR="00396C07" w:rsidRPr="005F0A3A">
        <w:rPr>
          <w:rFonts w:ascii="Times New Roman" w:hAnsi="Times New Roman"/>
          <w:sz w:val="20"/>
          <w:szCs w:val="20"/>
        </w:rPr>
        <w:t xml:space="preserve"> pode ser viável dado que ocorre entre 200 e 250 °C</w:t>
      </w:r>
      <w:r w:rsidR="001C2025">
        <w:rPr>
          <w:rFonts w:ascii="Times New Roman" w:hAnsi="Times New Roman"/>
          <w:sz w:val="20"/>
          <w:szCs w:val="20"/>
        </w:rPr>
        <w:t xml:space="preserve"> (2-4)</w:t>
      </w:r>
      <w:r w:rsidR="00396C07" w:rsidRPr="005F0A3A">
        <w:rPr>
          <w:rFonts w:ascii="Times New Roman" w:hAnsi="Times New Roman"/>
          <w:sz w:val="20"/>
          <w:szCs w:val="20"/>
        </w:rPr>
        <w:t xml:space="preserve">. </w:t>
      </w:r>
    </w:p>
    <w:p w14:paraId="3F00C86B" w14:textId="5B10B15E" w:rsidR="00067638" w:rsidRPr="005F0A3A" w:rsidRDefault="00976CB7" w:rsidP="00067638">
      <w:pPr>
        <w:spacing w:after="0" w:line="240" w:lineRule="exact"/>
        <w:ind w:firstLine="187"/>
        <w:jc w:val="both"/>
        <w:rPr>
          <w:rFonts w:ascii="Times" w:hAnsi="Times" w:cs="Times"/>
          <w:sz w:val="20"/>
          <w:szCs w:val="20"/>
        </w:rPr>
      </w:pPr>
      <w:r w:rsidRPr="005F0A3A">
        <w:rPr>
          <w:rFonts w:ascii="Times" w:hAnsi="Times" w:cs="Times"/>
          <w:sz w:val="20"/>
          <w:szCs w:val="20"/>
        </w:rPr>
        <w:t>.</w:t>
      </w:r>
    </w:p>
    <w:p w14:paraId="20AA905D" w14:textId="09EB3D13" w:rsidR="00EA4E1B" w:rsidRPr="005F0A3A" w:rsidRDefault="00EA4E1B" w:rsidP="005F0A3A">
      <w:pPr>
        <w:pStyle w:val="Ttulo2"/>
        <w:spacing w:before="0" w:after="100"/>
        <w:rPr>
          <w:rFonts w:ascii="Helvetica" w:hAnsi="Helvetica" w:cs="Helvetica"/>
          <w:sz w:val="24"/>
          <w:szCs w:val="24"/>
        </w:rPr>
      </w:pPr>
      <w:r w:rsidRPr="005F0A3A">
        <w:rPr>
          <w:rFonts w:ascii="Helvetica" w:hAnsi="Helvetica" w:cs="Helvetica"/>
          <w:sz w:val="24"/>
          <w:szCs w:val="24"/>
        </w:rPr>
        <w:t>Conclusões</w:t>
      </w:r>
    </w:p>
    <w:p w14:paraId="352329C6" w14:textId="61A27D29" w:rsidR="00F33463" w:rsidRPr="005F0A3A" w:rsidRDefault="00D372C4" w:rsidP="00F33463">
      <w:pPr>
        <w:pStyle w:val="TAMainText"/>
        <w:ind w:firstLine="187"/>
        <w:rPr>
          <w:rFonts w:ascii="Times New Roman" w:hAnsi="Times New Roman"/>
          <w:vertAlign w:val="subscript"/>
          <w:lang w:val="pt-BR"/>
        </w:rPr>
      </w:pPr>
      <w:r w:rsidRPr="005F0A3A">
        <w:rPr>
          <w:rFonts w:ascii="Times New Roman" w:hAnsi="Times New Roman"/>
          <w:lang w:val="pt-BR"/>
        </w:rPr>
        <w:t>A síntese de catalisador à base de nanopartículas de Au para conversão de CO</w:t>
      </w:r>
      <w:r w:rsidRPr="005F0A3A">
        <w:rPr>
          <w:rFonts w:ascii="Times New Roman" w:hAnsi="Times New Roman"/>
          <w:vertAlign w:val="subscript"/>
          <w:lang w:val="pt-BR"/>
        </w:rPr>
        <w:t>2</w:t>
      </w:r>
      <w:r w:rsidRPr="005F0A3A">
        <w:rPr>
          <w:rFonts w:ascii="Times New Roman" w:hAnsi="Times New Roman"/>
          <w:lang w:val="pt-BR"/>
        </w:rPr>
        <w:t xml:space="preserve"> se mostr</w:t>
      </w:r>
      <w:r w:rsidR="007A182B">
        <w:rPr>
          <w:rFonts w:ascii="Times New Roman" w:hAnsi="Times New Roman"/>
          <w:lang w:val="pt-BR"/>
        </w:rPr>
        <w:t>ou</w:t>
      </w:r>
      <w:r w:rsidRPr="005F0A3A">
        <w:rPr>
          <w:rFonts w:ascii="Times New Roman" w:hAnsi="Times New Roman"/>
          <w:lang w:val="pt-BR"/>
        </w:rPr>
        <w:t xml:space="preserve"> satisfatória</w:t>
      </w:r>
      <w:r w:rsidR="007A182B">
        <w:rPr>
          <w:rFonts w:ascii="Times New Roman" w:hAnsi="Times New Roman"/>
          <w:lang w:val="pt-BR"/>
        </w:rPr>
        <w:t xml:space="preserve"> do ponto de vista físico</w:t>
      </w:r>
      <w:r w:rsidRPr="005F0A3A">
        <w:rPr>
          <w:rFonts w:ascii="Times New Roman" w:hAnsi="Times New Roman"/>
          <w:lang w:val="pt-BR"/>
        </w:rPr>
        <w:t xml:space="preserve">, </w:t>
      </w:r>
      <w:r w:rsidR="007A182B">
        <w:rPr>
          <w:rFonts w:ascii="Times New Roman" w:hAnsi="Times New Roman"/>
          <w:lang w:val="pt-BR"/>
        </w:rPr>
        <w:t>uma vez que, não ocorrem</w:t>
      </w:r>
      <w:r w:rsidRPr="005F0A3A">
        <w:rPr>
          <w:rFonts w:ascii="Times New Roman" w:hAnsi="Times New Roman"/>
          <w:lang w:val="pt-BR"/>
        </w:rPr>
        <w:t xml:space="preserve"> mudanças físicas significativas após os processos pós sintéticos tanto do ponto de vista estrutural como do de composição química</w:t>
      </w:r>
      <w:r w:rsidR="007A182B">
        <w:rPr>
          <w:rFonts w:ascii="Times New Roman" w:hAnsi="Times New Roman"/>
          <w:lang w:val="pt-BR"/>
        </w:rPr>
        <w:t>, revelando a estabilidade da MOF a tais processos</w:t>
      </w:r>
      <w:r w:rsidRPr="005F0A3A">
        <w:rPr>
          <w:rFonts w:ascii="Times New Roman" w:hAnsi="Times New Roman"/>
          <w:lang w:val="pt-BR"/>
        </w:rPr>
        <w:t xml:space="preserve">. Além disso, a interação das NP com a MOF se mostra vantajosa por aumentar sua resistência térmica, </w:t>
      </w:r>
      <w:r w:rsidRPr="005F0A3A">
        <w:rPr>
          <w:rFonts w:cs="Times"/>
          <w:lang w:val="pt-BR"/>
        </w:rPr>
        <w:t>pois a interação entre as NP de Au e a MOF faz com que o esqueleto orgânico seja decomposto mais dificilmente</w:t>
      </w:r>
      <w:r w:rsidRPr="005F0A3A">
        <w:rPr>
          <w:rFonts w:ascii="Times New Roman" w:hAnsi="Times New Roman"/>
          <w:vertAlign w:val="subscript"/>
          <w:lang w:val="pt-BR"/>
        </w:rPr>
        <w:t>.</w:t>
      </w:r>
    </w:p>
    <w:p w14:paraId="0A21A872" w14:textId="77777777" w:rsidR="00F33463" w:rsidRPr="005F0A3A" w:rsidRDefault="00F33463" w:rsidP="00F33463">
      <w:pPr>
        <w:pStyle w:val="TAMainText"/>
        <w:ind w:firstLine="187"/>
        <w:rPr>
          <w:rFonts w:ascii="Times New Roman" w:hAnsi="Times New Roman"/>
          <w:lang w:val="pt-BR"/>
        </w:rPr>
      </w:pPr>
    </w:p>
    <w:p w14:paraId="6B53AAD8" w14:textId="77777777" w:rsidR="00F33463" w:rsidRPr="005F0A3A" w:rsidRDefault="00EA4E1B" w:rsidP="005F0A3A">
      <w:pPr>
        <w:pStyle w:val="TAMainText"/>
        <w:spacing w:after="100"/>
        <w:ind w:firstLine="187"/>
        <w:jc w:val="center"/>
        <w:rPr>
          <w:rFonts w:ascii="Helvetica" w:hAnsi="Helvetica" w:cs="Helvetica"/>
          <w:sz w:val="24"/>
          <w:szCs w:val="24"/>
          <w:lang w:val="pt-BR"/>
        </w:rPr>
      </w:pPr>
      <w:r w:rsidRPr="005F0A3A">
        <w:rPr>
          <w:rFonts w:ascii="Helvetica" w:hAnsi="Helvetica" w:cs="Helvetica"/>
          <w:sz w:val="24"/>
          <w:szCs w:val="24"/>
          <w:lang w:val="pt-BR"/>
        </w:rPr>
        <w:t>Agradecimentos</w:t>
      </w:r>
    </w:p>
    <w:p w14:paraId="2CA34797" w14:textId="2799A751" w:rsidR="003808C6" w:rsidRPr="005F0A3A" w:rsidRDefault="003808C6" w:rsidP="00F33463">
      <w:pPr>
        <w:pStyle w:val="TAMainText"/>
        <w:ind w:firstLine="187"/>
        <w:rPr>
          <w:rFonts w:ascii="Times New Roman" w:hAnsi="Times New Roman"/>
          <w:lang w:val="pt-BR"/>
        </w:rPr>
      </w:pPr>
      <w:r w:rsidRPr="005F0A3A">
        <w:rPr>
          <w:rFonts w:ascii="Times New Roman" w:hAnsi="Times New Roman"/>
          <w:lang w:val="pt-BR"/>
        </w:rPr>
        <w:t>À FAPESP</w:t>
      </w:r>
      <w:r w:rsidR="003A19B5">
        <w:rPr>
          <w:rFonts w:ascii="Times New Roman" w:hAnsi="Times New Roman"/>
          <w:lang w:val="pt-BR"/>
        </w:rPr>
        <w:t xml:space="preserve"> (</w:t>
      </w:r>
      <w:r w:rsidRPr="005F0A3A">
        <w:rPr>
          <w:rFonts w:ascii="Times New Roman" w:hAnsi="Times New Roman"/>
          <w:lang w:val="pt-BR"/>
        </w:rPr>
        <w:t>2016/05006-5, 2018/01258-5 e 2021/12342-0), ao CNPq</w:t>
      </w:r>
      <w:r w:rsidR="003A19B5">
        <w:rPr>
          <w:rFonts w:ascii="Times New Roman" w:hAnsi="Times New Roman"/>
          <w:lang w:val="pt-BR"/>
        </w:rPr>
        <w:t xml:space="preserve"> (</w:t>
      </w:r>
      <w:r w:rsidRPr="005F0A3A">
        <w:rPr>
          <w:rFonts w:ascii="Times New Roman" w:hAnsi="Times New Roman"/>
          <w:lang w:val="pt-BR"/>
        </w:rPr>
        <w:t>404843/2018-2 e 312288/2019-0), à CAPES, ao PPG-CTQ/UFABC, à Central Multiusuário da Universidade Federal do ABC (CEM-UFABC)</w:t>
      </w:r>
      <w:r w:rsidR="003A19B5">
        <w:rPr>
          <w:rFonts w:ascii="Times New Roman" w:hAnsi="Times New Roman"/>
          <w:lang w:val="pt-BR"/>
        </w:rPr>
        <w:t xml:space="preserve"> e</w:t>
      </w:r>
      <w:r w:rsidRPr="005F0A3A">
        <w:rPr>
          <w:rFonts w:ascii="Times New Roman" w:hAnsi="Times New Roman"/>
          <w:lang w:val="pt-BR"/>
        </w:rPr>
        <w:t xml:space="preserve"> ao MCTI/</w:t>
      </w:r>
      <w:proofErr w:type="spellStart"/>
      <w:r w:rsidRPr="005F0A3A">
        <w:rPr>
          <w:rFonts w:ascii="Times New Roman" w:hAnsi="Times New Roman"/>
          <w:lang w:val="pt-BR"/>
        </w:rPr>
        <w:t>SisNANO</w:t>
      </w:r>
      <w:proofErr w:type="spellEnd"/>
      <w:r w:rsidRPr="005F0A3A">
        <w:rPr>
          <w:rFonts w:ascii="Times New Roman" w:hAnsi="Times New Roman"/>
          <w:lang w:val="pt-BR"/>
        </w:rPr>
        <w:t>/INT-CENANO-CNP</w:t>
      </w:r>
      <w:r w:rsidR="003A19B5">
        <w:rPr>
          <w:rFonts w:ascii="Times New Roman" w:hAnsi="Times New Roman"/>
          <w:lang w:val="pt-BR"/>
        </w:rPr>
        <w:t>q</w:t>
      </w:r>
      <w:r w:rsidR="00813CCF">
        <w:rPr>
          <w:rFonts w:ascii="Times New Roman" w:hAnsi="Times New Roman"/>
          <w:lang w:val="pt-BR"/>
        </w:rPr>
        <w:t xml:space="preserve"> </w:t>
      </w:r>
      <w:r w:rsidR="003A19B5">
        <w:rPr>
          <w:rFonts w:ascii="Times New Roman" w:hAnsi="Times New Roman"/>
          <w:lang w:val="pt-BR"/>
        </w:rPr>
        <w:t>(</w:t>
      </w:r>
      <w:r w:rsidRPr="005F0A3A">
        <w:rPr>
          <w:rFonts w:ascii="Times New Roman" w:hAnsi="Times New Roman"/>
          <w:lang w:val="pt-BR"/>
        </w:rPr>
        <w:t>Proc</w:t>
      </w:r>
      <w:r w:rsidR="003A19B5">
        <w:rPr>
          <w:rFonts w:ascii="Times New Roman" w:hAnsi="Times New Roman"/>
          <w:lang w:val="pt-BR"/>
        </w:rPr>
        <w:t>.</w:t>
      </w:r>
      <w:r w:rsidRPr="005F0A3A">
        <w:rPr>
          <w:rFonts w:ascii="Times New Roman" w:hAnsi="Times New Roman"/>
          <w:lang w:val="pt-BR"/>
        </w:rPr>
        <w:t>442604/2019-0</w:t>
      </w:r>
      <w:r w:rsidR="003A19B5">
        <w:rPr>
          <w:rFonts w:ascii="Times New Roman" w:hAnsi="Times New Roman"/>
          <w:lang w:val="pt-BR"/>
        </w:rPr>
        <w:t>)</w:t>
      </w:r>
      <w:r w:rsidRPr="005F0A3A">
        <w:rPr>
          <w:rFonts w:ascii="Times New Roman" w:hAnsi="Times New Roman"/>
          <w:lang w:val="pt-BR"/>
        </w:rPr>
        <w:t xml:space="preserve">. </w:t>
      </w:r>
    </w:p>
    <w:p w14:paraId="158D911D" w14:textId="68553EBE" w:rsidR="00EA4E1B" w:rsidRPr="005F0A3A" w:rsidRDefault="00EA4E1B" w:rsidP="00D372C4">
      <w:pPr>
        <w:pStyle w:val="Ttulo2"/>
      </w:pPr>
      <w:r w:rsidRPr="005F0A3A">
        <w:rPr>
          <w:rFonts w:ascii="Helvetica" w:hAnsi="Helvetica" w:cs="Helvetica"/>
          <w:sz w:val="24"/>
          <w:szCs w:val="24"/>
        </w:rPr>
        <w:t>Referências</w:t>
      </w:r>
    </w:p>
    <w:p w14:paraId="22EEB638" w14:textId="4F94438B" w:rsidR="00EA72EB" w:rsidRPr="00BC1460" w:rsidRDefault="00EA72EB" w:rsidP="00EA4E1B">
      <w:pPr>
        <w:pStyle w:val="TAMainText"/>
        <w:numPr>
          <w:ilvl w:val="0"/>
          <w:numId w:val="1"/>
        </w:numPr>
      </w:pPr>
      <w:r w:rsidRPr="00BC1460">
        <w:t>LIPPI, R. et al.</w:t>
      </w:r>
      <w:r w:rsidR="008268E4" w:rsidRPr="00BC1460">
        <w:t xml:space="preserve">, </w:t>
      </w:r>
      <w:r w:rsidRPr="00BC1460">
        <w:rPr>
          <w:i/>
          <w:iCs/>
        </w:rPr>
        <w:t>Journal of Materials Chemistry A</w:t>
      </w:r>
      <w:r w:rsidRPr="00BC1460">
        <w:t>,</w:t>
      </w:r>
      <w:r w:rsidR="008268E4" w:rsidRPr="00BC1460">
        <w:t xml:space="preserve"> </w:t>
      </w:r>
      <w:r w:rsidR="008268E4" w:rsidRPr="00BC1460">
        <w:rPr>
          <w:b/>
          <w:bCs/>
        </w:rPr>
        <w:t>2017</w:t>
      </w:r>
      <w:r w:rsidRPr="00BC1460">
        <w:t xml:space="preserve"> </w:t>
      </w:r>
      <w:r w:rsidRPr="00BC1460">
        <w:rPr>
          <w:i/>
          <w:iCs/>
        </w:rPr>
        <w:t>5</w:t>
      </w:r>
      <w:r w:rsidRPr="00BC1460">
        <w:t>, 25, 12990–12997</w:t>
      </w:r>
      <w:r w:rsidR="00231346" w:rsidRPr="00BC1460">
        <w:t>;</w:t>
      </w:r>
    </w:p>
    <w:p w14:paraId="245A4073" w14:textId="44C17332" w:rsidR="00EA72EB" w:rsidRPr="005F0A3A" w:rsidRDefault="00EA72EB" w:rsidP="00EA4E1B">
      <w:pPr>
        <w:pStyle w:val="TAMainText"/>
        <w:numPr>
          <w:ilvl w:val="0"/>
          <w:numId w:val="1"/>
        </w:numPr>
        <w:rPr>
          <w:lang w:val="pt-BR"/>
        </w:rPr>
      </w:pPr>
      <w:r w:rsidRPr="00BC1460">
        <w:t xml:space="preserve">AHLERS, S. J. et al. </w:t>
      </w:r>
      <w:proofErr w:type="spellStart"/>
      <w:r w:rsidRPr="005F0A3A">
        <w:rPr>
          <w:i/>
          <w:iCs/>
          <w:lang w:val="pt-BR"/>
        </w:rPr>
        <w:t>ChemSusChem</w:t>
      </w:r>
      <w:proofErr w:type="spellEnd"/>
      <w:r w:rsidRPr="005F0A3A">
        <w:rPr>
          <w:lang w:val="pt-BR"/>
        </w:rPr>
        <w:t xml:space="preserve">, </w:t>
      </w:r>
      <w:r w:rsidR="008268E4" w:rsidRPr="005F0A3A">
        <w:rPr>
          <w:b/>
          <w:bCs/>
          <w:lang w:val="pt-BR"/>
        </w:rPr>
        <w:t>2014</w:t>
      </w:r>
      <w:r w:rsidR="008268E4" w:rsidRPr="005F0A3A">
        <w:rPr>
          <w:lang w:val="pt-BR"/>
        </w:rPr>
        <w:t>,</w:t>
      </w:r>
      <w:r w:rsidRPr="005F0A3A">
        <w:rPr>
          <w:lang w:val="pt-BR"/>
        </w:rPr>
        <w:t xml:space="preserve"> 1–10</w:t>
      </w:r>
      <w:r w:rsidR="00231346" w:rsidRPr="005F0A3A">
        <w:rPr>
          <w:lang w:val="pt-BR"/>
        </w:rPr>
        <w:t>;</w:t>
      </w:r>
    </w:p>
    <w:p w14:paraId="2FDBFE41" w14:textId="3F14F4E9" w:rsidR="00EA72EB" w:rsidRPr="005F0A3A" w:rsidRDefault="00EA72EB" w:rsidP="00EA4E1B">
      <w:pPr>
        <w:pStyle w:val="TAMainText"/>
        <w:numPr>
          <w:ilvl w:val="0"/>
          <w:numId w:val="1"/>
        </w:numPr>
        <w:rPr>
          <w:lang w:val="pt-BR"/>
        </w:rPr>
      </w:pPr>
      <w:r w:rsidRPr="00BC1460">
        <w:t xml:space="preserve">AHLERS, S. J. et al. </w:t>
      </w:r>
      <w:proofErr w:type="spellStart"/>
      <w:r w:rsidRPr="005F0A3A">
        <w:rPr>
          <w:i/>
          <w:iCs/>
          <w:lang w:val="pt-BR"/>
        </w:rPr>
        <w:t>Catalysis</w:t>
      </w:r>
      <w:proofErr w:type="spellEnd"/>
      <w:r w:rsidRPr="005F0A3A">
        <w:rPr>
          <w:i/>
          <w:iCs/>
          <w:lang w:val="pt-BR"/>
        </w:rPr>
        <w:t xml:space="preserve"> Today</w:t>
      </w:r>
      <w:r w:rsidRPr="005F0A3A">
        <w:rPr>
          <w:lang w:val="pt-BR"/>
        </w:rPr>
        <w:t xml:space="preserve">, </w:t>
      </w:r>
      <w:r w:rsidRPr="005F0A3A">
        <w:rPr>
          <w:b/>
          <w:bCs/>
          <w:lang w:val="pt-BR"/>
        </w:rPr>
        <w:t>2015</w:t>
      </w:r>
      <w:r w:rsidR="00231346" w:rsidRPr="005F0A3A">
        <w:rPr>
          <w:lang w:val="pt-BR"/>
        </w:rPr>
        <w:t>;</w:t>
      </w:r>
    </w:p>
    <w:p w14:paraId="0B52249B" w14:textId="36EC1902" w:rsidR="00EA72EB" w:rsidRPr="00BC1460" w:rsidRDefault="00EA72EB" w:rsidP="00EA4E1B">
      <w:pPr>
        <w:pStyle w:val="TAMainText"/>
        <w:numPr>
          <w:ilvl w:val="0"/>
          <w:numId w:val="1"/>
        </w:numPr>
      </w:pPr>
      <w:r w:rsidRPr="00BC1460">
        <w:t xml:space="preserve">HEYL, D. et al. </w:t>
      </w:r>
      <w:proofErr w:type="spellStart"/>
      <w:r w:rsidRPr="00BC1460">
        <w:rPr>
          <w:i/>
          <w:iCs/>
        </w:rPr>
        <w:t>ChemSusChem</w:t>
      </w:r>
      <w:proofErr w:type="spellEnd"/>
      <w:r w:rsidRPr="00BC1460">
        <w:t xml:space="preserve">, </w:t>
      </w:r>
      <w:r w:rsidR="008268E4" w:rsidRPr="00BC1460">
        <w:rPr>
          <w:b/>
          <w:bCs/>
        </w:rPr>
        <w:t>2019</w:t>
      </w:r>
      <w:r w:rsidR="008268E4" w:rsidRPr="00BC1460">
        <w:t xml:space="preserve">, </w:t>
      </w:r>
      <w:r w:rsidRPr="00BC1460">
        <w:rPr>
          <w:i/>
          <w:iCs/>
        </w:rPr>
        <w:t>12</w:t>
      </w:r>
      <w:r w:rsidRPr="00BC1460">
        <w:t>, 651–660</w:t>
      </w:r>
      <w:r w:rsidR="00231346" w:rsidRPr="00BC1460">
        <w:t>;</w:t>
      </w:r>
    </w:p>
    <w:p w14:paraId="51482F38" w14:textId="015A9076" w:rsidR="00EA72EB" w:rsidRPr="005F0A3A" w:rsidRDefault="00EA72EB" w:rsidP="00EA4E1B">
      <w:pPr>
        <w:pStyle w:val="TAMainText"/>
        <w:numPr>
          <w:ilvl w:val="0"/>
          <w:numId w:val="1"/>
        </w:numPr>
        <w:rPr>
          <w:lang w:val="pt-BR"/>
        </w:rPr>
      </w:pPr>
      <w:r w:rsidRPr="00BC1460">
        <w:lastRenderedPageBreak/>
        <w:t>MAVLYANKARIEV, S. A. et al</w:t>
      </w:r>
      <w:r w:rsidR="008268E4" w:rsidRPr="00BC1460">
        <w:t>.</w:t>
      </w:r>
      <w:r w:rsidRPr="00BC1460">
        <w:t xml:space="preserve"> </w:t>
      </w:r>
      <w:r w:rsidRPr="005F0A3A">
        <w:rPr>
          <w:i/>
          <w:iCs/>
          <w:lang w:val="pt-BR"/>
        </w:rPr>
        <w:t xml:space="preserve">ACS </w:t>
      </w:r>
      <w:proofErr w:type="spellStart"/>
      <w:r w:rsidRPr="005F0A3A">
        <w:rPr>
          <w:i/>
          <w:iCs/>
          <w:lang w:val="pt-BR"/>
        </w:rPr>
        <w:t>Catalysis</w:t>
      </w:r>
      <w:proofErr w:type="spellEnd"/>
      <w:r w:rsidR="008268E4" w:rsidRPr="005F0A3A">
        <w:rPr>
          <w:lang w:val="pt-BR"/>
        </w:rPr>
        <w:t xml:space="preserve">, </w:t>
      </w:r>
      <w:r w:rsidR="008268E4" w:rsidRPr="005F0A3A">
        <w:rPr>
          <w:b/>
          <w:bCs/>
          <w:lang w:val="pt-BR"/>
        </w:rPr>
        <w:t>2016</w:t>
      </w:r>
      <w:r w:rsidRPr="005F0A3A">
        <w:rPr>
          <w:b/>
          <w:bCs/>
          <w:lang w:val="pt-BR"/>
        </w:rPr>
        <w:t xml:space="preserve"> </w:t>
      </w:r>
      <w:r w:rsidRPr="005F0A3A">
        <w:rPr>
          <w:i/>
          <w:iCs/>
          <w:lang w:val="pt-BR"/>
        </w:rPr>
        <w:t>6</w:t>
      </w:r>
      <w:r w:rsidRPr="005F0A3A">
        <w:rPr>
          <w:lang w:val="pt-BR"/>
        </w:rPr>
        <w:t>, 5, 3317–3325</w:t>
      </w:r>
      <w:r w:rsidR="00231346" w:rsidRPr="005F0A3A">
        <w:rPr>
          <w:lang w:val="pt-BR"/>
        </w:rPr>
        <w:t>;</w:t>
      </w:r>
    </w:p>
    <w:p w14:paraId="2CC5B410" w14:textId="39B1D416" w:rsidR="00EA72EB" w:rsidRPr="00BC1460" w:rsidRDefault="00EA72EB" w:rsidP="00EA4E1B">
      <w:pPr>
        <w:pStyle w:val="TAMainText"/>
        <w:numPr>
          <w:ilvl w:val="0"/>
          <w:numId w:val="1"/>
        </w:numPr>
      </w:pPr>
      <w:r w:rsidRPr="00BC1460">
        <w:t xml:space="preserve">XIE, Z.; GOMEZ, E.; CHEN, J. G. </w:t>
      </w:r>
      <w:r w:rsidRPr="00BC1460">
        <w:rPr>
          <w:i/>
          <w:iCs/>
        </w:rPr>
        <w:t>AIChE Journal</w:t>
      </w:r>
      <w:r w:rsidR="008268E4" w:rsidRPr="00BC1460">
        <w:t xml:space="preserve">, </w:t>
      </w:r>
      <w:r w:rsidR="008268E4" w:rsidRPr="00BC1460">
        <w:rPr>
          <w:b/>
          <w:bCs/>
        </w:rPr>
        <w:t>2021</w:t>
      </w:r>
      <w:r w:rsidR="008268E4" w:rsidRPr="00BC1460">
        <w:t xml:space="preserve">, </w:t>
      </w:r>
      <w:r w:rsidRPr="00BC1460">
        <w:rPr>
          <w:i/>
          <w:iCs/>
        </w:rPr>
        <w:t>67</w:t>
      </w:r>
      <w:r w:rsidRPr="00BC1460">
        <w:t>, 5, 1–11</w:t>
      </w:r>
      <w:r w:rsidR="00231346" w:rsidRPr="00BC1460">
        <w:t>;</w:t>
      </w:r>
    </w:p>
    <w:p w14:paraId="72A94228" w14:textId="515F3ED0" w:rsidR="008268E4" w:rsidRPr="005F0A3A" w:rsidRDefault="008268E4" w:rsidP="00EA4E1B">
      <w:pPr>
        <w:pStyle w:val="TAMainText"/>
        <w:numPr>
          <w:ilvl w:val="0"/>
          <w:numId w:val="1"/>
        </w:numPr>
        <w:rPr>
          <w:lang w:val="pt-BR"/>
        </w:rPr>
      </w:pPr>
      <w:r w:rsidRPr="00BC1460">
        <w:t xml:space="preserve">SHI, Y. et al. </w:t>
      </w:r>
      <w:r w:rsidRPr="00BC1460">
        <w:rPr>
          <w:i/>
          <w:iCs/>
        </w:rPr>
        <w:t>Springer International Publishing</w:t>
      </w:r>
      <w:r w:rsidRPr="00BC1460">
        <w:t xml:space="preserve">, </w:t>
      </w:r>
      <w:r w:rsidRPr="00BC1460">
        <w:rPr>
          <w:b/>
          <w:bCs/>
        </w:rPr>
        <w:t>2020</w:t>
      </w:r>
      <w:r w:rsidRPr="00BC1460">
        <w:t xml:space="preserve">. </w:t>
      </w:r>
      <w:r w:rsidRPr="005F0A3A">
        <w:rPr>
          <w:i/>
          <w:iCs/>
          <w:lang w:val="pt-BR"/>
        </w:rPr>
        <w:t>378</w:t>
      </w:r>
      <w:r w:rsidR="00231346" w:rsidRPr="005F0A3A">
        <w:rPr>
          <w:i/>
          <w:iCs/>
          <w:lang w:val="pt-BR"/>
        </w:rPr>
        <w:t>;</w:t>
      </w:r>
    </w:p>
    <w:p w14:paraId="2D7D7592" w14:textId="29FDE01F" w:rsidR="008268E4" w:rsidRPr="00BC1460" w:rsidRDefault="008268E4" w:rsidP="00EA4E1B">
      <w:pPr>
        <w:pStyle w:val="TAMainText"/>
        <w:numPr>
          <w:ilvl w:val="0"/>
          <w:numId w:val="1"/>
        </w:numPr>
      </w:pPr>
      <w:r w:rsidRPr="00BC1460">
        <w:t xml:space="preserve">HUANG, J. et al. </w:t>
      </w:r>
      <w:r w:rsidRPr="00BC1460">
        <w:rPr>
          <w:i/>
          <w:iCs/>
        </w:rPr>
        <w:t>ACS Applied Materials and Interfaces</w:t>
      </w:r>
      <w:r w:rsidRPr="00BC1460">
        <w:t xml:space="preserve">, </w:t>
      </w:r>
      <w:r w:rsidRPr="00BC1460">
        <w:rPr>
          <w:b/>
          <w:bCs/>
        </w:rPr>
        <w:t>2019</w:t>
      </w:r>
      <w:r w:rsidR="009B5791" w:rsidRPr="00BC1460">
        <w:t>,</w:t>
      </w:r>
      <w:r w:rsidRPr="00BC1460">
        <w:t xml:space="preserve"> </w:t>
      </w:r>
      <w:r w:rsidRPr="00BC1460">
        <w:rPr>
          <w:i/>
          <w:iCs/>
        </w:rPr>
        <w:t>11</w:t>
      </w:r>
      <w:r w:rsidRPr="00BC1460">
        <w:t>, 36, 33263–33272</w:t>
      </w:r>
      <w:r w:rsidR="00231346" w:rsidRPr="00BC1460">
        <w:t>;</w:t>
      </w:r>
    </w:p>
    <w:p w14:paraId="24F87984" w14:textId="502AE223" w:rsidR="008268E4" w:rsidRPr="005F0A3A" w:rsidRDefault="008268E4" w:rsidP="00EA4E1B">
      <w:pPr>
        <w:pStyle w:val="TAMainText"/>
        <w:numPr>
          <w:ilvl w:val="0"/>
          <w:numId w:val="1"/>
        </w:numPr>
        <w:rPr>
          <w:lang w:val="pt-BR"/>
        </w:rPr>
      </w:pPr>
      <w:r w:rsidRPr="00BC1460">
        <w:t xml:space="preserve">KATZ, M. J. et al. </w:t>
      </w:r>
      <w:r w:rsidRPr="005F0A3A">
        <w:rPr>
          <w:i/>
          <w:iCs/>
          <w:lang w:val="pt-BR"/>
        </w:rPr>
        <w:t>Chemical Communications</w:t>
      </w:r>
      <w:r w:rsidRPr="005F0A3A">
        <w:rPr>
          <w:lang w:val="pt-BR"/>
        </w:rPr>
        <w:t>,</w:t>
      </w:r>
      <w:r w:rsidR="009B5791" w:rsidRPr="005F0A3A">
        <w:rPr>
          <w:lang w:val="pt-BR"/>
        </w:rPr>
        <w:t xml:space="preserve"> </w:t>
      </w:r>
      <w:r w:rsidR="009B5791" w:rsidRPr="005F0A3A">
        <w:rPr>
          <w:b/>
          <w:bCs/>
          <w:lang w:val="pt-BR"/>
        </w:rPr>
        <w:t>2013</w:t>
      </w:r>
      <w:r w:rsidR="009B5791" w:rsidRPr="005F0A3A">
        <w:rPr>
          <w:lang w:val="pt-BR"/>
        </w:rPr>
        <w:t>,</w:t>
      </w:r>
      <w:r w:rsidRPr="005F0A3A">
        <w:rPr>
          <w:lang w:val="pt-BR"/>
        </w:rPr>
        <w:t xml:space="preserve"> </w:t>
      </w:r>
      <w:r w:rsidRPr="005F0A3A">
        <w:rPr>
          <w:i/>
          <w:iCs/>
          <w:lang w:val="pt-BR"/>
        </w:rPr>
        <w:t>49</w:t>
      </w:r>
      <w:r w:rsidRPr="005F0A3A">
        <w:rPr>
          <w:lang w:val="pt-BR"/>
        </w:rPr>
        <w:t>, 82, 9449–9451</w:t>
      </w:r>
      <w:r w:rsidR="009B5791" w:rsidRPr="005F0A3A">
        <w:rPr>
          <w:lang w:val="pt-BR"/>
        </w:rPr>
        <w:t>.</w:t>
      </w:r>
    </w:p>
    <w:sectPr w:rsidR="008268E4" w:rsidRPr="005F0A3A"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2645" w14:textId="77777777" w:rsidR="008301A3" w:rsidRDefault="008301A3" w:rsidP="00EA4E1B">
      <w:pPr>
        <w:spacing w:after="0" w:line="240" w:lineRule="auto"/>
      </w:pPr>
      <w:r>
        <w:separator/>
      </w:r>
    </w:p>
  </w:endnote>
  <w:endnote w:type="continuationSeparator" w:id="0">
    <w:p w14:paraId="7F38341E" w14:textId="77777777" w:rsidR="008301A3" w:rsidRDefault="008301A3"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27CB" w14:textId="77777777" w:rsidR="008301A3" w:rsidRDefault="008301A3" w:rsidP="00EA4E1B">
      <w:pPr>
        <w:spacing w:after="0" w:line="240" w:lineRule="auto"/>
      </w:pPr>
      <w:r>
        <w:separator/>
      </w:r>
    </w:p>
  </w:footnote>
  <w:footnote w:type="continuationSeparator" w:id="0">
    <w:p w14:paraId="193E7595" w14:textId="77777777" w:rsidR="008301A3" w:rsidRDefault="008301A3"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19" name="Imagem 1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53AD"/>
    <w:multiLevelType w:val="hybridMultilevel"/>
    <w:tmpl w:val="D96473C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445959D1"/>
    <w:multiLevelType w:val="hybridMultilevel"/>
    <w:tmpl w:val="C3CC0F40"/>
    <w:lvl w:ilvl="0" w:tplc="E74E3662">
      <w:start w:val="1"/>
      <w:numFmt w:val="lowerLetter"/>
      <w:lvlText w:val="%1-"/>
      <w:lvlJc w:val="left"/>
      <w:pPr>
        <w:ind w:left="547" w:hanging="360"/>
      </w:pPr>
      <w:rPr>
        <w:rFonts w:hint="default"/>
      </w:rPr>
    </w:lvl>
    <w:lvl w:ilvl="1" w:tplc="04160019" w:tentative="1">
      <w:start w:val="1"/>
      <w:numFmt w:val="lowerLetter"/>
      <w:lvlText w:val="%2."/>
      <w:lvlJc w:val="left"/>
      <w:pPr>
        <w:ind w:left="1267" w:hanging="360"/>
      </w:pPr>
    </w:lvl>
    <w:lvl w:ilvl="2" w:tplc="0416001B" w:tentative="1">
      <w:start w:val="1"/>
      <w:numFmt w:val="lowerRoman"/>
      <w:lvlText w:val="%3."/>
      <w:lvlJc w:val="right"/>
      <w:pPr>
        <w:ind w:left="1987" w:hanging="180"/>
      </w:pPr>
    </w:lvl>
    <w:lvl w:ilvl="3" w:tplc="0416000F" w:tentative="1">
      <w:start w:val="1"/>
      <w:numFmt w:val="decimal"/>
      <w:lvlText w:val="%4."/>
      <w:lvlJc w:val="left"/>
      <w:pPr>
        <w:ind w:left="2707" w:hanging="360"/>
      </w:pPr>
    </w:lvl>
    <w:lvl w:ilvl="4" w:tplc="04160019" w:tentative="1">
      <w:start w:val="1"/>
      <w:numFmt w:val="lowerLetter"/>
      <w:lvlText w:val="%5."/>
      <w:lvlJc w:val="left"/>
      <w:pPr>
        <w:ind w:left="3427" w:hanging="360"/>
      </w:pPr>
    </w:lvl>
    <w:lvl w:ilvl="5" w:tplc="0416001B" w:tentative="1">
      <w:start w:val="1"/>
      <w:numFmt w:val="lowerRoman"/>
      <w:lvlText w:val="%6."/>
      <w:lvlJc w:val="right"/>
      <w:pPr>
        <w:ind w:left="4147" w:hanging="180"/>
      </w:pPr>
    </w:lvl>
    <w:lvl w:ilvl="6" w:tplc="0416000F" w:tentative="1">
      <w:start w:val="1"/>
      <w:numFmt w:val="decimal"/>
      <w:lvlText w:val="%7."/>
      <w:lvlJc w:val="left"/>
      <w:pPr>
        <w:ind w:left="4867" w:hanging="360"/>
      </w:pPr>
    </w:lvl>
    <w:lvl w:ilvl="7" w:tplc="04160019" w:tentative="1">
      <w:start w:val="1"/>
      <w:numFmt w:val="lowerLetter"/>
      <w:lvlText w:val="%8."/>
      <w:lvlJc w:val="left"/>
      <w:pPr>
        <w:ind w:left="5587" w:hanging="360"/>
      </w:pPr>
    </w:lvl>
    <w:lvl w:ilvl="8" w:tplc="0416001B" w:tentative="1">
      <w:start w:val="1"/>
      <w:numFmt w:val="lowerRoman"/>
      <w:lvlText w:val="%9."/>
      <w:lvlJc w:val="right"/>
      <w:pPr>
        <w:ind w:left="6307" w:hanging="180"/>
      </w:pPr>
    </w:lvl>
  </w:abstractNum>
  <w:num w:numId="1" w16cid:durableId="1672374415">
    <w:abstractNumId w:val="1"/>
  </w:num>
  <w:num w:numId="2" w16cid:durableId="1780023769">
    <w:abstractNumId w:val="2"/>
  </w:num>
  <w:num w:numId="3" w16cid:durableId="24433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401B2"/>
    <w:rsid w:val="00043273"/>
    <w:rsid w:val="00061A72"/>
    <w:rsid w:val="00066123"/>
    <w:rsid w:val="00067638"/>
    <w:rsid w:val="0008053A"/>
    <w:rsid w:val="00094A66"/>
    <w:rsid w:val="000A34AB"/>
    <w:rsid w:val="000F1D24"/>
    <w:rsid w:val="000F4766"/>
    <w:rsid w:val="000F712E"/>
    <w:rsid w:val="00141A16"/>
    <w:rsid w:val="00180069"/>
    <w:rsid w:val="00180EC7"/>
    <w:rsid w:val="001859BB"/>
    <w:rsid w:val="00186730"/>
    <w:rsid w:val="0018743A"/>
    <w:rsid w:val="001C2025"/>
    <w:rsid w:val="001C4BFA"/>
    <w:rsid w:val="001E58A9"/>
    <w:rsid w:val="001F25B2"/>
    <w:rsid w:val="002154D5"/>
    <w:rsid w:val="00222230"/>
    <w:rsid w:val="00231346"/>
    <w:rsid w:val="002459CF"/>
    <w:rsid w:val="00267AA0"/>
    <w:rsid w:val="002704F9"/>
    <w:rsid w:val="00276793"/>
    <w:rsid w:val="00276CCE"/>
    <w:rsid w:val="0028475E"/>
    <w:rsid w:val="00291087"/>
    <w:rsid w:val="002B09A0"/>
    <w:rsid w:val="002D364A"/>
    <w:rsid w:val="0030284C"/>
    <w:rsid w:val="00302AED"/>
    <w:rsid w:val="00314F1A"/>
    <w:rsid w:val="00324389"/>
    <w:rsid w:val="00340B1E"/>
    <w:rsid w:val="003808C6"/>
    <w:rsid w:val="003915B9"/>
    <w:rsid w:val="00396C07"/>
    <w:rsid w:val="003A19B5"/>
    <w:rsid w:val="003D664F"/>
    <w:rsid w:val="003E2D16"/>
    <w:rsid w:val="00402F3E"/>
    <w:rsid w:val="00406C08"/>
    <w:rsid w:val="004511F2"/>
    <w:rsid w:val="00465E8C"/>
    <w:rsid w:val="004A0D6F"/>
    <w:rsid w:val="004B52C2"/>
    <w:rsid w:val="004C35D1"/>
    <w:rsid w:val="004F3F42"/>
    <w:rsid w:val="0052112E"/>
    <w:rsid w:val="005240B2"/>
    <w:rsid w:val="00537695"/>
    <w:rsid w:val="005874E3"/>
    <w:rsid w:val="00594B62"/>
    <w:rsid w:val="005A5048"/>
    <w:rsid w:val="005C12A5"/>
    <w:rsid w:val="005C2775"/>
    <w:rsid w:val="005D65EB"/>
    <w:rsid w:val="005E4108"/>
    <w:rsid w:val="005F0A3A"/>
    <w:rsid w:val="00600B9E"/>
    <w:rsid w:val="00604718"/>
    <w:rsid w:val="00610864"/>
    <w:rsid w:val="00652815"/>
    <w:rsid w:val="00677C35"/>
    <w:rsid w:val="00686F9F"/>
    <w:rsid w:val="006A2ADB"/>
    <w:rsid w:val="006A5345"/>
    <w:rsid w:val="006D4D23"/>
    <w:rsid w:val="006E30C4"/>
    <w:rsid w:val="006E6CC2"/>
    <w:rsid w:val="006F599B"/>
    <w:rsid w:val="00712801"/>
    <w:rsid w:val="00744E18"/>
    <w:rsid w:val="0075542B"/>
    <w:rsid w:val="007670A0"/>
    <w:rsid w:val="00781685"/>
    <w:rsid w:val="00782864"/>
    <w:rsid w:val="007840FD"/>
    <w:rsid w:val="007A182B"/>
    <w:rsid w:val="007B4B2B"/>
    <w:rsid w:val="007C2B17"/>
    <w:rsid w:val="00813CCF"/>
    <w:rsid w:val="008170ED"/>
    <w:rsid w:val="008268E4"/>
    <w:rsid w:val="008301A3"/>
    <w:rsid w:val="0085663E"/>
    <w:rsid w:val="00866822"/>
    <w:rsid w:val="00886491"/>
    <w:rsid w:val="00894D4C"/>
    <w:rsid w:val="008A5196"/>
    <w:rsid w:val="008B1683"/>
    <w:rsid w:val="008C1B30"/>
    <w:rsid w:val="009051BD"/>
    <w:rsid w:val="00905302"/>
    <w:rsid w:val="009306CF"/>
    <w:rsid w:val="009344B7"/>
    <w:rsid w:val="009656D9"/>
    <w:rsid w:val="00976CB7"/>
    <w:rsid w:val="00983490"/>
    <w:rsid w:val="009B5791"/>
    <w:rsid w:val="009C7CB0"/>
    <w:rsid w:val="00A17D85"/>
    <w:rsid w:val="00A87CE8"/>
    <w:rsid w:val="00AA182E"/>
    <w:rsid w:val="00AA3C71"/>
    <w:rsid w:val="00AA76F9"/>
    <w:rsid w:val="00AF0400"/>
    <w:rsid w:val="00AF786B"/>
    <w:rsid w:val="00B00BFE"/>
    <w:rsid w:val="00B24A87"/>
    <w:rsid w:val="00B30AEB"/>
    <w:rsid w:val="00B61215"/>
    <w:rsid w:val="00B64B69"/>
    <w:rsid w:val="00BA6A6E"/>
    <w:rsid w:val="00BC1460"/>
    <w:rsid w:val="00BE5ECF"/>
    <w:rsid w:val="00C07812"/>
    <w:rsid w:val="00C1663A"/>
    <w:rsid w:val="00C3057F"/>
    <w:rsid w:val="00C50AD5"/>
    <w:rsid w:val="00C76E54"/>
    <w:rsid w:val="00C83F86"/>
    <w:rsid w:val="00C900E2"/>
    <w:rsid w:val="00CA31D3"/>
    <w:rsid w:val="00CD083E"/>
    <w:rsid w:val="00CE37C3"/>
    <w:rsid w:val="00D17BAF"/>
    <w:rsid w:val="00D372C4"/>
    <w:rsid w:val="00D5509C"/>
    <w:rsid w:val="00D6058B"/>
    <w:rsid w:val="00D76002"/>
    <w:rsid w:val="00D96135"/>
    <w:rsid w:val="00DA0459"/>
    <w:rsid w:val="00DD678C"/>
    <w:rsid w:val="00E02A21"/>
    <w:rsid w:val="00E038AF"/>
    <w:rsid w:val="00E5651A"/>
    <w:rsid w:val="00E64A2A"/>
    <w:rsid w:val="00EA40D1"/>
    <w:rsid w:val="00EA4E1B"/>
    <w:rsid w:val="00EA72EB"/>
    <w:rsid w:val="00EE6018"/>
    <w:rsid w:val="00F11A19"/>
    <w:rsid w:val="00F136EA"/>
    <w:rsid w:val="00F22322"/>
    <w:rsid w:val="00F30661"/>
    <w:rsid w:val="00F33463"/>
    <w:rsid w:val="00F4729D"/>
    <w:rsid w:val="00F65811"/>
    <w:rsid w:val="00F91034"/>
    <w:rsid w:val="00F917DA"/>
    <w:rsid w:val="00FF12F2"/>
    <w:rsid w:val="00FF1E47"/>
    <w:rsid w:val="00FF4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8268E4"/>
    <w:pPr>
      <w:ind w:left="720"/>
      <w:contextualSpacing/>
    </w:pPr>
  </w:style>
  <w:style w:type="table" w:styleId="Tabelacomgrade">
    <w:name w:val="Table Grid"/>
    <w:basedOn w:val="Tabelanormal"/>
    <w:uiPriority w:val="39"/>
    <w:rsid w:val="00AF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2D364A"/>
    <w:pPr>
      <w:spacing w:after="0" w:line="240" w:lineRule="auto"/>
    </w:pPr>
  </w:style>
  <w:style w:type="character" w:styleId="Refdecomentrio">
    <w:name w:val="annotation reference"/>
    <w:basedOn w:val="Fontepargpadro"/>
    <w:uiPriority w:val="99"/>
    <w:semiHidden/>
    <w:unhideWhenUsed/>
    <w:rsid w:val="002D364A"/>
    <w:rPr>
      <w:sz w:val="16"/>
      <w:szCs w:val="16"/>
    </w:rPr>
  </w:style>
  <w:style w:type="paragraph" w:styleId="Textodecomentrio">
    <w:name w:val="annotation text"/>
    <w:basedOn w:val="Normal"/>
    <w:link w:val="TextodecomentrioChar"/>
    <w:uiPriority w:val="99"/>
    <w:unhideWhenUsed/>
    <w:rsid w:val="002D364A"/>
    <w:pPr>
      <w:spacing w:line="240" w:lineRule="auto"/>
    </w:pPr>
    <w:rPr>
      <w:sz w:val="20"/>
      <w:szCs w:val="20"/>
    </w:rPr>
  </w:style>
  <w:style w:type="character" w:customStyle="1" w:styleId="TextodecomentrioChar">
    <w:name w:val="Texto de comentário Char"/>
    <w:basedOn w:val="Fontepargpadro"/>
    <w:link w:val="Textodecomentrio"/>
    <w:uiPriority w:val="99"/>
    <w:rsid w:val="002D364A"/>
    <w:rPr>
      <w:sz w:val="20"/>
      <w:szCs w:val="20"/>
    </w:rPr>
  </w:style>
  <w:style w:type="paragraph" w:styleId="Assuntodocomentrio">
    <w:name w:val="annotation subject"/>
    <w:basedOn w:val="Textodecomentrio"/>
    <w:next w:val="Textodecomentrio"/>
    <w:link w:val="AssuntodocomentrioChar"/>
    <w:uiPriority w:val="99"/>
    <w:semiHidden/>
    <w:unhideWhenUsed/>
    <w:rsid w:val="002D364A"/>
    <w:rPr>
      <w:b/>
      <w:bCs/>
    </w:rPr>
  </w:style>
  <w:style w:type="character" w:customStyle="1" w:styleId="AssuntodocomentrioChar">
    <w:name w:val="Assunto do comentário Char"/>
    <w:basedOn w:val="TextodecomentrioChar"/>
    <w:link w:val="Assuntodocomentrio"/>
    <w:uiPriority w:val="99"/>
    <w:semiHidden/>
    <w:rsid w:val="002D36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5975-29D2-436D-88D7-A70CE0237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2234</Words>
  <Characters>12066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MANOELA LEAL DA CUNHA</cp:lastModifiedBy>
  <cp:revision>2</cp:revision>
  <dcterms:created xsi:type="dcterms:W3CDTF">2023-06-16T17:09:00Z</dcterms:created>
  <dcterms:modified xsi:type="dcterms:W3CDTF">2023-06-16T17:09:00Z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http://www.zotero.org/styles/associacao-brasileira-de-normas-tecnicas</vt:lpwstr>
  </property>
  <property fmtid="{D5CDD505-2E9C-101B-9397-08002B2CF9AE}" pid="11" name="Mendeley Recent Style Name 4_1">
    <vt:lpwstr>Associação Brasileira de Normas Técnicas (Português - Brasil)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e4272dd0-b292-3b72-b158-11e37e75ca6d</vt:lpwstr>
  </property>
  <property fmtid="{D5CDD505-2E9C-101B-9397-08002B2CF9AE}" pid="24" name="Mendeley Citation Style_1">
    <vt:lpwstr>http://www.zotero.org/styles/associacao-brasileira-de-normas-tecnicas</vt:lpwstr>
  </property>
</Properties>
</file>