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24517"/>
    <w:bookmarkStart w:id="1" w:name="_Hlk1324670"/>
    <w:p w14:paraId="6AB1E6B6" w14:textId="77777777" w:rsidR="00CC2FF8" w:rsidRDefault="00866822" w:rsidP="00CC2FF8">
      <w:pPr>
        <w:pStyle w:val="BATitle"/>
        <w:spacing w:before="0" w:after="0" w:line="240" w:lineRule="auto"/>
        <w:ind w:right="0"/>
        <w:jc w:val="both"/>
        <w:rPr>
          <w:sz w:val="32"/>
          <w:lang w:val="pt-BR"/>
        </w:rPr>
      </w:pPr>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1985B450" w14:textId="51800135" w:rsidR="00CC2FF8" w:rsidRPr="00CC2FF8" w:rsidRDefault="00CC2FF8" w:rsidP="00CC2FF8">
      <w:pPr>
        <w:pStyle w:val="BATitle"/>
        <w:spacing w:before="0" w:after="0" w:line="240" w:lineRule="auto"/>
        <w:ind w:right="0"/>
        <w:jc w:val="both"/>
        <w:rPr>
          <w:sz w:val="32"/>
          <w:lang w:val="pt-BR"/>
        </w:rPr>
      </w:pPr>
      <w:r w:rsidRPr="00CC2FF8">
        <w:rPr>
          <w:sz w:val="32"/>
          <w:lang w:val="pt-BR"/>
        </w:rPr>
        <w:t xml:space="preserve">Explorando a conversão do resíduo de biomassa Amazônica </w:t>
      </w:r>
      <w:r w:rsidR="006766CF">
        <w:rPr>
          <w:sz w:val="32"/>
          <w:lang w:val="pt-BR"/>
        </w:rPr>
        <w:t>na</w:t>
      </w:r>
      <w:r w:rsidRPr="00CC2FF8">
        <w:rPr>
          <w:sz w:val="32"/>
          <w:lang w:val="pt-BR"/>
        </w:rPr>
        <w:t xml:space="preserve"> produção de biocarvões e sua </w:t>
      </w:r>
      <w:r w:rsidR="00331C19">
        <w:rPr>
          <w:sz w:val="32"/>
          <w:lang w:val="pt-BR"/>
        </w:rPr>
        <w:t>utilização</w:t>
      </w:r>
      <w:r w:rsidRPr="00CC2FF8">
        <w:rPr>
          <w:sz w:val="32"/>
          <w:lang w:val="pt-BR"/>
        </w:rPr>
        <w:t xml:space="preserve"> na remoção de corante</w:t>
      </w:r>
    </w:p>
    <w:p w14:paraId="050D20D3" w14:textId="45ECC30C" w:rsidR="00EA4E1B" w:rsidRDefault="00EA4E1B" w:rsidP="00EA4E1B">
      <w:pPr>
        <w:pStyle w:val="BATitle"/>
        <w:spacing w:before="0" w:after="0" w:line="240" w:lineRule="auto"/>
        <w:ind w:right="0"/>
        <w:jc w:val="both"/>
        <w:rPr>
          <w:sz w:val="32"/>
          <w:lang w:val="pt-BR"/>
        </w:rPr>
      </w:pPr>
    </w:p>
    <w:bookmarkEnd w:id="0"/>
    <w:p w14:paraId="1341BC57" w14:textId="5B2F9F19" w:rsidR="00CC2FF8" w:rsidRPr="00A66EA5" w:rsidRDefault="00CC2FF8" w:rsidP="00CC2FF8">
      <w:pPr>
        <w:pStyle w:val="BBAuthorName"/>
        <w:spacing w:after="120"/>
        <w:ind w:right="39"/>
        <w:jc w:val="both"/>
        <w:rPr>
          <w:rFonts w:ascii="Times New Roman" w:hAnsi="Times New Roman"/>
          <w:b w:val="0"/>
          <w:sz w:val="20"/>
          <w:vertAlign w:val="superscript"/>
          <w:lang w:val="pt-BR"/>
        </w:rPr>
      </w:pPr>
      <w:r w:rsidRPr="00D7582A">
        <w:rPr>
          <w:rFonts w:ascii="Times New Roman" w:hAnsi="Times New Roman"/>
          <w:b w:val="0"/>
          <w:sz w:val="20"/>
          <w:lang w:val="pt-BR"/>
        </w:rPr>
        <w:t>Leandro S. Queiroza</w:t>
      </w:r>
      <w:r w:rsidRPr="00D7582A">
        <w:rPr>
          <w:rFonts w:ascii="Times New Roman" w:hAnsi="Times New Roman"/>
          <w:b w:val="0"/>
          <w:sz w:val="20"/>
          <w:vertAlign w:val="superscript"/>
          <w:lang w:val="pt-BR"/>
        </w:rPr>
        <w:t>1</w:t>
      </w:r>
      <w:r>
        <w:rPr>
          <w:rFonts w:ascii="Times New Roman" w:hAnsi="Times New Roman"/>
          <w:b w:val="0"/>
          <w:sz w:val="20"/>
          <w:vertAlign w:val="superscript"/>
          <w:lang w:val="pt-BR"/>
        </w:rPr>
        <w:t>,2*</w:t>
      </w:r>
      <w:r w:rsidRPr="00D7582A">
        <w:rPr>
          <w:rFonts w:ascii="Times New Roman" w:hAnsi="Times New Roman"/>
          <w:b w:val="0"/>
          <w:sz w:val="20"/>
          <w:lang w:val="pt-BR"/>
        </w:rPr>
        <w:t xml:space="preserve">, Carlos E. F. </w:t>
      </w:r>
      <w:proofErr w:type="spellStart"/>
      <w:r w:rsidRPr="00D7582A">
        <w:rPr>
          <w:rFonts w:ascii="Times New Roman" w:hAnsi="Times New Roman"/>
          <w:b w:val="0"/>
          <w:sz w:val="20"/>
          <w:lang w:val="pt-BR"/>
        </w:rPr>
        <w:t>da</w:t>
      </w:r>
      <w:proofErr w:type="spellEnd"/>
      <w:r w:rsidRPr="00D7582A">
        <w:rPr>
          <w:rFonts w:ascii="Times New Roman" w:hAnsi="Times New Roman"/>
          <w:b w:val="0"/>
          <w:sz w:val="20"/>
          <w:lang w:val="pt-BR"/>
        </w:rPr>
        <w:t xml:space="preserve"> Costaa</w:t>
      </w:r>
      <w:r w:rsidRPr="00D7582A">
        <w:rPr>
          <w:rFonts w:ascii="Times New Roman" w:hAnsi="Times New Roman"/>
          <w:b w:val="0"/>
          <w:sz w:val="20"/>
          <w:vertAlign w:val="superscript"/>
          <w:lang w:val="pt-BR"/>
        </w:rPr>
        <w:t>1</w:t>
      </w:r>
      <w:r w:rsidRPr="00521621">
        <w:rPr>
          <w:rFonts w:ascii="Times New Roman" w:hAnsi="Times New Roman"/>
          <w:b w:val="0"/>
          <w:sz w:val="20"/>
          <w:lang w:val="pt-BR"/>
        </w:rPr>
        <w:t xml:space="preserve">, </w:t>
      </w:r>
      <w:r w:rsidRPr="00D7582A">
        <w:rPr>
          <w:rFonts w:ascii="Times New Roman" w:hAnsi="Times New Roman"/>
          <w:b w:val="0"/>
          <w:sz w:val="20"/>
          <w:lang w:val="pt-BR"/>
        </w:rPr>
        <w:t>Luiz K. C. de Souza</w:t>
      </w:r>
      <w:r>
        <w:rPr>
          <w:rFonts w:ascii="Times New Roman" w:hAnsi="Times New Roman"/>
          <w:b w:val="0"/>
          <w:sz w:val="20"/>
          <w:vertAlign w:val="superscript"/>
          <w:lang w:val="pt-BR"/>
        </w:rPr>
        <w:t>3</w:t>
      </w:r>
      <w:r w:rsidR="00521621" w:rsidRPr="00521621">
        <w:rPr>
          <w:rFonts w:ascii="Times New Roman" w:hAnsi="Times New Roman"/>
          <w:b w:val="0"/>
          <w:sz w:val="20"/>
          <w:lang w:val="pt-BR"/>
        </w:rPr>
        <w:t>,</w:t>
      </w:r>
      <w:r w:rsidRPr="00D7582A">
        <w:rPr>
          <w:lang w:val="pt-BR"/>
        </w:rPr>
        <w:t xml:space="preserve"> </w:t>
      </w:r>
      <w:r w:rsidRPr="00D7582A">
        <w:rPr>
          <w:rFonts w:ascii="Times New Roman" w:hAnsi="Times New Roman"/>
          <w:b w:val="0"/>
          <w:sz w:val="20"/>
          <w:lang w:val="pt-BR"/>
        </w:rPr>
        <w:t>Luís Adriano Santos do Nascimento</w:t>
      </w:r>
      <w:r>
        <w:rPr>
          <w:rFonts w:ascii="Times New Roman" w:hAnsi="Times New Roman"/>
          <w:b w:val="0"/>
          <w:sz w:val="20"/>
          <w:vertAlign w:val="superscript"/>
          <w:lang w:val="pt-BR"/>
        </w:rPr>
        <w:t>1</w:t>
      </w:r>
      <w:r w:rsidRPr="00D7582A">
        <w:rPr>
          <w:rFonts w:ascii="Times New Roman" w:hAnsi="Times New Roman"/>
          <w:b w:val="0"/>
          <w:sz w:val="20"/>
          <w:lang w:val="pt-BR"/>
        </w:rPr>
        <w:t>, Geraldo Narciso da Rocha Filho</w:t>
      </w:r>
      <w:r>
        <w:rPr>
          <w:rFonts w:ascii="Times New Roman" w:hAnsi="Times New Roman"/>
          <w:b w:val="0"/>
          <w:sz w:val="20"/>
          <w:vertAlign w:val="superscript"/>
          <w:lang w:val="pt-BR"/>
        </w:rPr>
        <w:t>1</w:t>
      </w:r>
      <w:r w:rsidRPr="00D7582A">
        <w:rPr>
          <w:rFonts w:ascii="Times New Roman" w:hAnsi="Times New Roman"/>
          <w:b w:val="0"/>
          <w:sz w:val="20"/>
          <w:lang w:val="pt-BR"/>
        </w:rPr>
        <w:t>, José Roberto Zamian</w:t>
      </w:r>
      <w:r>
        <w:rPr>
          <w:rFonts w:ascii="Times New Roman" w:hAnsi="Times New Roman"/>
          <w:b w:val="0"/>
          <w:sz w:val="20"/>
          <w:vertAlign w:val="superscript"/>
          <w:lang w:val="pt-BR"/>
        </w:rPr>
        <w:t>1</w:t>
      </w:r>
    </w:p>
    <w:p w14:paraId="5BE31C09" w14:textId="77777777" w:rsidR="00CC2FF8" w:rsidRDefault="00CC2FF8" w:rsidP="00CC2FF8">
      <w:pPr>
        <w:spacing w:after="0"/>
        <w:jc w:val="both"/>
        <w:rPr>
          <w:rFonts w:ascii="Times New Roman" w:hAnsi="Times New Roman" w:cs="Times New Roman"/>
          <w:i/>
          <w:iCs/>
          <w:sz w:val="20"/>
          <w:szCs w:val="20"/>
          <w:lang w:eastAsia="pt-BR"/>
        </w:rPr>
      </w:pPr>
      <w:bookmarkStart w:id="2" w:name="_Hlk139886786"/>
      <w:r w:rsidRPr="00A66EA5">
        <w:rPr>
          <w:rFonts w:ascii="Times New Roman" w:hAnsi="Times New Roman" w:cs="Times New Roman"/>
          <w:i/>
          <w:iCs/>
          <w:sz w:val="20"/>
          <w:szCs w:val="20"/>
          <w:vertAlign w:val="superscript"/>
          <w:lang w:eastAsia="pt-BR"/>
        </w:rPr>
        <w:t>1</w:t>
      </w:r>
      <w:r w:rsidRPr="00A66EA5">
        <w:rPr>
          <w:rFonts w:ascii="Times New Roman" w:hAnsi="Times New Roman" w:cs="Times New Roman"/>
          <w:i/>
          <w:iCs/>
          <w:sz w:val="20"/>
          <w:szCs w:val="20"/>
          <w:lang w:eastAsia="pt-BR"/>
        </w:rPr>
        <w:t xml:space="preserve">Laboratório de Pesquisa e Análise de Combustíveis, Laboratório de Óleos da Amazônia </w:t>
      </w:r>
      <w:bookmarkEnd w:id="2"/>
      <w:r w:rsidRPr="00A66EA5">
        <w:rPr>
          <w:rFonts w:ascii="Times New Roman" w:hAnsi="Times New Roman" w:cs="Times New Roman"/>
          <w:i/>
          <w:iCs/>
          <w:sz w:val="20"/>
          <w:szCs w:val="20"/>
          <w:lang w:eastAsia="pt-BR"/>
        </w:rPr>
        <w:t>e Programa de Pós-Graduação em Química, Universidade Federal do Pará, CEP 66075-110, Belém, Pará, Brasil</w:t>
      </w:r>
      <w:r>
        <w:rPr>
          <w:rFonts w:ascii="Times New Roman" w:hAnsi="Times New Roman" w:cs="Times New Roman"/>
          <w:i/>
          <w:iCs/>
          <w:sz w:val="20"/>
          <w:szCs w:val="20"/>
          <w:lang w:eastAsia="pt-BR"/>
        </w:rPr>
        <w:t>.</w:t>
      </w:r>
    </w:p>
    <w:p w14:paraId="32B77B95" w14:textId="77777777" w:rsidR="00CC2FF8" w:rsidRPr="00A66EA5" w:rsidRDefault="00CC2FF8" w:rsidP="00CC2FF8">
      <w:pPr>
        <w:spacing w:after="0"/>
        <w:jc w:val="both"/>
        <w:rPr>
          <w:rFonts w:ascii="Times New Roman" w:hAnsi="Times New Roman" w:cs="Times New Roman"/>
          <w:i/>
          <w:iCs/>
          <w:sz w:val="20"/>
          <w:szCs w:val="20"/>
          <w:lang w:eastAsia="pt-BR"/>
        </w:rPr>
      </w:pPr>
      <w:r>
        <w:rPr>
          <w:rFonts w:ascii="Times New Roman" w:hAnsi="Times New Roman" w:cs="Times New Roman"/>
          <w:i/>
          <w:iCs/>
          <w:sz w:val="20"/>
          <w:szCs w:val="20"/>
          <w:vertAlign w:val="superscript"/>
          <w:lang w:eastAsia="pt-BR"/>
        </w:rPr>
        <w:t>2</w:t>
      </w:r>
      <w:r w:rsidRPr="00A66EA5">
        <w:t xml:space="preserve"> </w:t>
      </w:r>
      <w:r w:rsidRPr="00A66EA5">
        <w:rPr>
          <w:rFonts w:ascii="Times New Roman" w:hAnsi="Times New Roman" w:cs="Times New Roman"/>
          <w:i/>
          <w:iCs/>
          <w:sz w:val="20"/>
          <w:szCs w:val="20"/>
          <w:lang w:eastAsia="pt-BR"/>
        </w:rPr>
        <w:t>Universidade Federal do Amazonas, Instituto de Ciências Exatas e Tecnologia, Itacoatiara, Amazonas, Brasil.</w:t>
      </w:r>
    </w:p>
    <w:p w14:paraId="440CD5B3" w14:textId="77777777" w:rsidR="00CC2FF8" w:rsidRPr="00A66EA5" w:rsidRDefault="00CC2FF8" w:rsidP="00CC2FF8">
      <w:pPr>
        <w:spacing w:after="0"/>
        <w:jc w:val="both"/>
        <w:rPr>
          <w:rFonts w:ascii="Times New Roman" w:hAnsi="Times New Roman" w:cs="Times New Roman"/>
          <w:i/>
          <w:iCs/>
          <w:sz w:val="20"/>
          <w:szCs w:val="20"/>
          <w:lang w:eastAsia="pt-BR"/>
        </w:rPr>
      </w:pPr>
      <w:r>
        <w:rPr>
          <w:rFonts w:ascii="Times New Roman" w:hAnsi="Times New Roman" w:cs="Times New Roman"/>
          <w:i/>
          <w:iCs/>
          <w:sz w:val="20"/>
          <w:szCs w:val="20"/>
          <w:vertAlign w:val="superscript"/>
          <w:lang w:eastAsia="pt-BR"/>
        </w:rPr>
        <w:t>3</w:t>
      </w:r>
      <w:r w:rsidRPr="00A66EA5">
        <w:rPr>
          <w:rFonts w:ascii="Times New Roman" w:hAnsi="Times New Roman" w:cs="Times New Roman"/>
          <w:i/>
          <w:iCs/>
          <w:sz w:val="20"/>
          <w:szCs w:val="20"/>
          <w:lang w:eastAsia="pt-BR"/>
        </w:rPr>
        <w:t>Universidade Federal do Amazonas, Departamento de Química, Instituto de Ciências Exatas, Manaus, Amazonas, Brasil</w:t>
      </w:r>
      <w:r w:rsidRPr="00A66EA5">
        <w:rPr>
          <w:rFonts w:ascii="Times New Roman" w:hAnsi="Times New Roman" w:cs="Times New Roman"/>
          <w:sz w:val="20"/>
          <w:szCs w:val="20"/>
          <w:lang w:eastAsia="pt-BR"/>
        </w:rPr>
        <w:t>.</w:t>
      </w:r>
    </w:p>
    <w:p w14:paraId="3B6F1450" w14:textId="77777777" w:rsidR="00CC2FF8" w:rsidRPr="00A66EA5" w:rsidRDefault="00CC2FF8" w:rsidP="00CC2FF8">
      <w:pPr>
        <w:jc w:val="both"/>
        <w:rPr>
          <w:rFonts w:ascii="Times New Roman" w:hAnsi="Times New Roman" w:cs="Times New Roman"/>
          <w:sz w:val="20"/>
          <w:szCs w:val="20"/>
          <w:lang w:eastAsia="pt-BR"/>
        </w:rPr>
      </w:pPr>
      <w:r>
        <w:rPr>
          <w:rFonts w:ascii="Times New Roman" w:hAnsi="Times New Roman" w:cs="Times New Roman"/>
          <w:sz w:val="20"/>
          <w:szCs w:val="20"/>
          <w:lang w:eastAsia="pt-BR"/>
        </w:rPr>
        <w:t>*</w:t>
      </w:r>
      <w:r w:rsidRPr="00A66EA5">
        <w:rPr>
          <w:rFonts w:ascii="Times New Roman" w:hAnsi="Times New Roman" w:cs="Times New Roman"/>
          <w:i/>
          <w:iCs/>
          <w:sz w:val="20"/>
          <w:szCs w:val="20"/>
          <w:lang w:eastAsia="pt-BR"/>
        </w:rPr>
        <w:t>Autor para correspondência (leandrosq18@gmail.com)</w:t>
      </w:r>
    </w:p>
    <w:p w14:paraId="238E7EC1" w14:textId="5D4AB3B8" w:rsidR="00AF0400"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178C7D9E" w:rsidR="008C1B30" w:rsidRPr="008C1B30" w:rsidRDefault="008C1B30" w:rsidP="008C1B30">
                            <w:pPr>
                              <w:pStyle w:val="BDAbstract"/>
                              <w:spacing w:before="0" w:after="0" w:line="240" w:lineRule="auto"/>
                              <w:jc w:val="center"/>
                              <w:rPr>
                                <w:rFonts w:cs="Helvetica"/>
                                <w:bCs/>
                                <w:sz w:val="20"/>
                                <w:lang w:val="pt-BR"/>
                              </w:rPr>
                            </w:pPr>
                            <w:r w:rsidRPr="00CC2FF8">
                              <w:rPr>
                                <w:rFonts w:cs="Helvetica"/>
                                <w:bCs/>
                                <w:sz w:val="24"/>
                                <w:szCs w:val="24"/>
                                <w:lang w:val="pt-BR"/>
                              </w:rPr>
                              <w:t>Resumo/Abstract</w:t>
                            </w:r>
                            <w:r w:rsidRPr="008C1B30">
                              <w:rPr>
                                <w:rFonts w:cs="Helvetica"/>
                                <w:bCs/>
                                <w:sz w:val="20"/>
                                <w:lang w:val="pt-BR"/>
                              </w:rPr>
                              <w:t xml:space="preserve"> </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178C7D9E" w:rsidR="008C1B30" w:rsidRPr="008C1B30" w:rsidRDefault="008C1B30" w:rsidP="008C1B30">
                      <w:pPr>
                        <w:pStyle w:val="BDAbstract"/>
                        <w:spacing w:before="0" w:after="0" w:line="240" w:lineRule="auto"/>
                        <w:jc w:val="center"/>
                        <w:rPr>
                          <w:rFonts w:cs="Helvetica"/>
                          <w:bCs/>
                          <w:sz w:val="20"/>
                          <w:lang w:val="pt-BR"/>
                        </w:rPr>
                      </w:pPr>
                      <w:r w:rsidRPr="00CC2FF8">
                        <w:rPr>
                          <w:rFonts w:cs="Helvetica"/>
                          <w:bCs/>
                          <w:sz w:val="24"/>
                          <w:szCs w:val="24"/>
                          <w:lang w:val="pt-BR"/>
                        </w:rPr>
                        <w:t>Resumo/Abstract</w:t>
                      </w:r>
                      <w:r w:rsidRPr="008C1B30">
                        <w:rPr>
                          <w:rFonts w:cs="Helvetica"/>
                          <w:bCs/>
                          <w:sz w:val="20"/>
                          <w:lang w:val="pt-BR"/>
                        </w:rPr>
                        <w:t xml:space="preserve"> </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bookmarkEnd w:id="1"/>
    <w:p w14:paraId="3B02B7FF" w14:textId="77777777" w:rsidR="00CC2FF8" w:rsidRDefault="00CC2FF8" w:rsidP="00CC2FF8">
      <w:pPr>
        <w:spacing w:after="0"/>
        <w:jc w:val="both"/>
        <w:rPr>
          <w:rFonts w:ascii="Times New Roman" w:eastAsiaTheme="minorHAnsi" w:hAnsi="Times New Roman" w:cs="Times New Roman"/>
          <w:kern w:val="2"/>
          <w:sz w:val="20"/>
          <w:szCs w:val="20"/>
          <w14:ligatures w14:val="standardContextual"/>
        </w:rPr>
      </w:pPr>
      <w:r>
        <w:rPr>
          <w:rFonts w:ascii="Times New Roman" w:hAnsi="Times New Roman"/>
          <w:sz w:val="20"/>
        </w:rPr>
        <w:t xml:space="preserve">RESUMO - </w:t>
      </w:r>
      <w:r w:rsidRPr="002F1628">
        <w:rPr>
          <w:rFonts w:ascii="Times New Roman" w:eastAsiaTheme="minorHAnsi" w:hAnsi="Times New Roman" w:cs="Times New Roman"/>
          <w:kern w:val="2"/>
          <w:sz w:val="20"/>
          <w:szCs w:val="20"/>
          <w14:ligatures w14:val="standardContextual"/>
        </w:rPr>
        <w:t>O trabalho apresenta uma análise comparativa do potencial do uso de biocarvões produzidos através do processo de torrefação para adsorção do corante azul de metileno. Os biocarvões foram produzidos a partir do caroço do inajá em temperaturas de 200, 250 e 300°C com tempo de residência 0, 30 e 60 minutos. Foi realizado a composição química dos caroços do Inajá e para as amostras torrificadas foram determinados o teor de umidade, carbono fixo, rendimento mássico e analise elementar de (C, H e O). Por fim será feito a comparação de adsorção de azul de metileno entre as amostras sintetizadas com um carvão ativado comercial.</w:t>
      </w:r>
    </w:p>
    <w:p w14:paraId="72597AEA" w14:textId="77777777" w:rsidR="00CC2FF8" w:rsidRPr="00705C8B" w:rsidRDefault="00CC2FF8" w:rsidP="00CC2FF8">
      <w:pPr>
        <w:spacing w:after="0"/>
        <w:jc w:val="both"/>
        <w:rPr>
          <w:rFonts w:eastAsiaTheme="minorHAnsi"/>
          <w:kern w:val="2"/>
          <w:sz w:val="22"/>
          <w:szCs w:val="22"/>
          <w14:ligatures w14:val="standardContextual"/>
        </w:rPr>
      </w:pPr>
      <w:r w:rsidRPr="00870522">
        <w:rPr>
          <w:rFonts w:ascii="Times New Roman" w:hAnsi="Times New Roman"/>
          <w:i/>
          <w:sz w:val="20"/>
        </w:rPr>
        <w:t>Palavras-chave</w:t>
      </w:r>
      <w:r w:rsidRPr="00705C8B">
        <w:rPr>
          <w:rFonts w:ascii="Times New Roman" w:hAnsi="Times New Roman"/>
          <w:i/>
          <w:sz w:val="20"/>
        </w:rPr>
        <w:t>: Biocarvões, Torrefação, Inajá e Adsorvente</w:t>
      </w:r>
    </w:p>
    <w:p w14:paraId="6DCD5592" w14:textId="77777777" w:rsidR="00CC2FF8" w:rsidRPr="00DA4DFC" w:rsidRDefault="00CC2FF8" w:rsidP="00CC2FF8">
      <w:pPr>
        <w:pStyle w:val="BDAbstract"/>
        <w:spacing w:before="0" w:after="0" w:line="240" w:lineRule="auto"/>
        <w:rPr>
          <w:rFonts w:ascii="Times New Roman" w:hAnsi="Times New Roman"/>
          <w:b w:val="0"/>
          <w:sz w:val="20"/>
          <w:lang w:val="pt-BR"/>
        </w:rPr>
      </w:pPr>
    </w:p>
    <w:p w14:paraId="7958B7E6" w14:textId="77777777" w:rsidR="00CC2FF8" w:rsidRDefault="00CC2FF8" w:rsidP="00CC2FF8">
      <w:pPr>
        <w:pStyle w:val="BDAbstract"/>
        <w:spacing w:before="0" w:after="0" w:line="240" w:lineRule="auto"/>
        <w:rPr>
          <w:rFonts w:ascii="Times New Roman" w:hAnsi="Times New Roman"/>
          <w:b w:val="0"/>
          <w:sz w:val="20"/>
        </w:rPr>
      </w:pPr>
      <w:r w:rsidRPr="00705C8B">
        <w:rPr>
          <w:rFonts w:ascii="Times New Roman" w:hAnsi="Times New Roman"/>
          <w:b w:val="0"/>
          <w:sz w:val="20"/>
        </w:rPr>
        <w:t xml:space="preserve">ABSTRACT - The work presents a comparative analysis of the potential use of </w:t>
      </w:r>
      <w:proofErr w:type="spellStart"/>
      <w:r w:rsidRPr="00705C8B">
        <w:rPr>
          <w:rFonts w:ascii="Times New Roman" w:hAnsi="Times New Roman"/>
          <w:b w:val="0"/>
          <w:sz w:val="20"/>
        </w:rPr>
        <w:t>biochars</w:t>
      </w:r>
      <w:proofErr w:type="spellEnd"/>
      <w:r w:rsidRPr="00705C8B">
        <w:rPr>
          <w:rFonts w:ascii="Times New Roman" w:hAnsi="Times New Roman"/>
          <w:b w:val="0"/>
          <w:sz w:val="20"/>
        </w:rPr>
        <w:t xml:space="preserve"> produced through the torrefaction process for the adsorption of methylene blue dye. The </w:t>
      </w:r>
      <w:proofErr w:type="spellStart"/>
      <w:r w:rsidRPr="00705C8B">
        <w:rPr>
          <w:rFonts w:ascii="Times New Roman" w:hAnsi="Times New Roman"/>
          <w:b w:val="0"/>
          <w:sz w:val="20"/>
        </w:rPr>
        <w:t>biochars</w:t>
      </w:r>
      <w:proofErr w:type="spellEnd"/>
      <w:r w:rsidRPr="00705C8B">
        <w:rPr>
          <w:rFonts w:ascii="Times New Roman" w:hAnsi="Times New Roman"/>
          <w:b w:val="0"/>
          <w:sz w:val="20"/>
        </w:rPr>
        <w:t xml:space="preserve"> were produced from the inajá seed at temperatures of 200, 250 and 300°C with residence time 0, 30 and 60 minutes. The chemical composition of the Inajá seeds was carried out and for the roasted samples the moisture content, fixed carbon, mass yield and elemental analysis of (C, H and O) were determined. Finally, a comparison of methylene blue adsorption between samples synthesized with a commercial activated carbon will be made.</w:t>
      </w:r>
    </w:p>
    <w:p w14:paraId="29B5963B" w14:textId="26B48512" w:rsidR="00CC2FF8" w:rsidRPr="00705C8B" w:rsidRDefault="00CC2FF8" w:rsidP="00CC2FF8">
      <w:pPr>
        <w:pStyle w:val="BDAbstract"/>
        <w:spacing w:before="0" w:after="0" w:line="240" w:lineRule="auto"/>
        <w:rPr>
          <w:rFonts w:ascii="Times New Roman" w:hAnsi="Times New Roman"/>
          <w:b w:val="0"/>
          <w:sz w:val="20"/>
        </w:rPr>
      </w:pPr>
      <w:r w:rsidRPr="00CC2FF8">
        <w:rPr>
          <w:rFonts w:ascii="Times New Roman" w:hAnsi="Times New Roman"/>
          <w:b w:val="0"/>
          <w:sz w:val="20"/>
        </w:rPr>
        <w:t xml:space="preserve">Keywords:  </w:t>
      </w:r>
      <w:proofErr w:type="spellStart"/>
      <w:r w:rsidRPr="00CC2FF8">
        <w:rPr>
          <w:rFonts w:ascii="Times New Roman" w:hAnsi="Times New Roman"/>
          <w:b w:val="0"/>
          <w:sz w:val="20"/>
        </w:rPr>
        <w:t>Biochars</w:t>
      </w:r>
      <w:proofErr w:type="spellEnd"/>
      <w:r w:rsidRPr="00CC2FF8">
        <w:rPr>
          <w:rFonts w:ascii="Times New Roman" w:hAnsi="Times New Roman"/>
          <w:b w:val="0"/>
          <w:sz w:val="20"/>
        </w:rPr>
        <w:t>, Torrefaction, Inajá and Adsorbent</w:t>
      </w:r>
    </w:p>
    <w:p w14:paraId="48D9B0C4" w14:textId="77FCC76D" w:rsidR="00EA4E1B" w:rsidRPr="00CC2FF8" w:rsidRDefault="00EA4E1B" w:rsidP="00CC2FF8">
      <w:pPr>
        <w:rPr>
          <w:lang w:val="en-US"/>
        </w:rPr>
        <w:sectPr w:rsidR="00EA4E1B" w:rsidRPr="00CC2FF8" w:rsidSect="00EA4E1B">
          <w:headerReference w:type="default" r:id="rId8"/>
          <w:endnotePr>
            <w:numFmt w:val="decimal"/>
          </w:endnotePr>
          <w:pgSz w:w="11906" w:h="16838"/>
          <w:pgMar w:top="1418" w:right="1094" w:bottom="1418" w:left="567" w:header="709" w:footer="709" w:gutter="0"/>
          <w:cols w:space="708"/>
          <w:docGrid w:linePitch="360"/>
        </w:sectPr>
      </w:pPr>
    </w:p>
    <w:p w14:paraId="625F2C0A" w14:textId="18C109F7" w:rsidR="00EA4E1B" w:rsidRPr="001F25B2" w:rsidRDefault="00EA4E1B" w:rsidP="00EA4E1B">
      <w:pPr>
        <w:pStyle w:val="Ttulo2"/>
        <w:spacing w:before="0"/>
        <w:rPr>
          <w:rFonts w:ascii="Helvetica" w:hAnsi="Helvetica" w:cs="Helvetica"/>
          <w:sz w:val="24"/>
          <w:szCs w:val="24"/>
        </w:rPr>
      </w:pPr>
      <w:r w:rsidRPr="00CC2FF8">
        <w:rPr>
          <w:rFonts w:ascii="Helvetica" w:hAnsi="Helvetica" w:cs="Helvetica"/>
          <w:sz w:val="24"/>
          <w:szCs w:val="24"/>
        </w:rPr>
        <w:t>Introduçã</w:t>
      </w:r>
      <w:r w:rsidRPr="001F25B2">
        <w:rPr>
          <w:rFonts w:ascii="Helvetica" w:hAnsi="Helvetica" w:cs="Helvetica"/>
          <w:sz w:val="24"/>
          <w:szCs w:val="24"/>
        </w:rPr>
        <w:t>o</w:t>
      </w:r>
    </w:p>
    <w:p w14:paraId="217A9CB3" w14:textId="57AE2885" w:rsidR="00B87106" w:rsidRDefault="00B87106" w:rsidP="00B87106">
      <w:pPr>
        <w:pStyle w:val="TAMainText"/>
        <w:rPr>
          <w:rFonts w:ascii="Times New Roman" w:hAnsi="Times New Roman"/>
          <w:lang w:val="pt-BR"/>
        </w:rPr>
      </w:pPr>
      <w:r w:rsidRPr="00A746E8">
        <w:rPr>
          <w:rFonts w:ascii="Times New Roman" w:hAnsi="Times New Roman"/>
          <w:lang w:val="pt-BR"/>
        </w:rPr>
        <w:t>Os biocarvões têm grande potencial como adsorvente de baixo custo devido à sua disponibilidade e estrutura de poros</w:t>
      </w:r>
      <w:sdt>
        <w:sdtPr>
          <w:rPr>
            <w:rFonts w:ascii="Times New Roman" w:hAnsi="Times New Roman"/>
            <w:color w:val="000000"/>
            <w:lang w:val="pt-BR"/>
          </w:rPr>
          <w:tag w:val="MENDELEY_CITATION_v3_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"/>
          <w:id w:val="916067021"/>
          <w:placeholder>
            <w:docPart w:val="DefaultPlaceholder_-1854013440"/>
          </w:placeholder>
        </w:sdtPr>
        <w:sdtContent>
          <w:r w:rsidR="007B2E80">
            <w:rPr>
              <w:rFonts w:ascii="Times New Roman" w:hAnsi="Times New Roman"/>
              <w:color w:val="000000"/>
              <w:lang w:val="pt-BR"/>
            </w:rPr>
            <w:t>(</w:t>
          </w:r>
          <w:r w:rsidR="007B2E80" w:rsidRPr="007B2E80">
            <w:rPr>
              <w:rFonts w:ascii="Times New Roman" w:hAnsi="Times New Roman"/>
              <w:color w:val="000000"/>
              <w:lang w:val="pt-BR"/>
            </w:rPr>
            <w:t>1</w:t>
          </w:r>
          <w:r w:rsidR="007B2E80">
            <w:rPr>
              <w:rFonts w:ascii="Times New Roman" w:hAnsi="Times New Roman"/>
              <w:color w:val="000000"/>
              <w:lang w:val="pt-BR"/>
            </w:rPr>
            <w:t>)</w:t>
          </w:r>
        </w:sdtContent>
      </w:sdt>
      <w:r w:rsidRPr="00A746E8">
        <w:rPr>
          <w:rFonts w:ascii="Times New Roman" w:hAnsi="Times New Roman"/>
          <w:lang w:val="pt-BR"/>
        </w:rPr>
        <w:t>. As matérias-primas</w:t>
      </w:r>
      <w:r>
        <w:rPr>
          <w:rFonts w:ascii="Times New Roman" w:hAnsi="Times New Roman"/>
          <w:lang w:val="pt-BR"/>
        </w:rPr>
        <w:t>,</w:t>
      </w:r>
      <w:r w:rsidRPr="00A746E8">
        <w:rPr>
          <w:rFonts w:ascii="Times New Roman" w:hAnsi="Times New Roman"/>
          <w:lang w:val="pt-BR"/>
        </w:rPr>
        <w:t xml:space="preserve"> </w:t>
      </w:r>
      <w:r>
        <w:rPr>
          <w:rFonts w:ascii="Times New Roman" w:hAnsi="Times New Roman"/>
          <w:lang w:val="pt-BR"/>
        </w:rPr>
        <w:t xml:space="preserve">resíduos de </w:t>
      </w:r>
      <w:r w:rsidRPr="00A746E8">
        <w:rPr>
          <w:rFonts w:ascii="Times New Roman" w:hAnsi="Times New Roman"/>
          <w:lang w:val="pt-BR"/>
        </w:rPr>
        <w:t>biomassa</w:t>
      </w:r>
      <w:r>
        <w:rPr>
          <w:rFonts w:ascii="Times New Roman" w:hAnsi="Times New Roman"/>
          <w:lang w:val="pt-BR"/>
        </w:rPr>
        <w:t xml:space="preserve">s, </w:t>
      </w:r>
      <w:r w:rsidRPr="00A746E8">
        <w:rPr>
          <w:rFonts w:ascii="Times New Roman" w:hAnsi="Times New Roman"/>
          <w:lang w:val="pt-BR"/>
        </w:rPr>
        <w:t>são materiais relativamente baratos e sustentáveis</w:t>
      </w:r>
      <w:r>
        <w:rPr>
          <w:rFonts w:ascii="Times New Roman" w:hAnsi="Times New Roman"/>
          <w:lang w:val="pt-BR"/>
        </w:rPr>
        <w:t xml:space="preserve"> que podem ser utilizados para preparação desses materiais</w:t>
      </w:r>
      <w:r w:rsidRPr="00A746E8">
        <w:rPr>
          <w:rFonts w:ascii="Times New Roman" w:hAnsi="Times New Roman"/>
          <w:lang w:val="pt-BR"/>
        </w:rPr>
        <w:t xml:space="preserve">. Biocarvões são materiais porosos ricos em carbono, que </w:t>
      </w:r>
      <w:r>
        <w:rPr>
          <w:rFonts w:ascii="Times New Roman" w:hAnsi="Times New Roman"/>
          <w:lang w:val="pt-BR"/>
        </w:rPr>
        <w:t>são</w:t>
      </w:r>
      <w:r w:rsidRPr="00A746E8">
        <w:rPr>
          <w:rFonts w:ascii="Times New Roman" w:hAnsi="Times New Roman"/>
          <w:lang w:val="pt-BR"/>
        </w:rPr>
        <w:t xml:space="preserve"> produzidos através da conversão termoquímica como a torrefação. A torrefação consiste no aquecimento da biomassa em temperatura de 200 a 300°C sob atmosfera e tempo controlados, este procedimento produz um biocarvão em condições brandas de temperatura e tempo comparad</w:t>
      </w:r>
      <w:r>
        <w:rPr>
          <w:rFonts w:ascii="Times New Roman" w:hAnsi="Times New Roman"/>
          <w:lang w:val="pt-BR"/>
        </w:rPr>
        <w:t>o</w:t>
      </w:r>
      <w:r w:rsidRPr="00A746E8">
        <w:rPr>
          <w:rFonts w:ascii="Times New Roman" w:hAnsi="Times New Roman"/>
          <w:lang w:val="pt-BR"/>
        </w:rPr>
        <w:t>s aos outros processos termoquímicos</w:t>
      </w:r>
      <w:r w:rsidR="008156F4">
        <w:rPr>
          <w:rFonts w:ascii="Times New Roman" w:hAnsi="Times New Roman"/>
          <w:lang w:val="pt-BR"/>
        </w:rPr>
        <w:t xml:space="preserve"> </w:t>
      </w:r>
      <w:sdt>
        <w:sdtPr>
          <w:rPr>
            <w:rFonts w:ascii="Times New Roman" w:hAnsi="Times New Roman"/>
            <w:color w:val="000000"/>
            <w:lang w:val="pt-BR"/>
          </w:rPr>
          <w:tag w:val="MENDELEY_CITATION_v3_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"/>
          <w:id w:val="1739047186"/>
          <w:placeholder>
            <w:docPart w:val="DefaultPlaceholder_-1854013440"/>
          </w:placeholder>
        </w:sdtPr>
        <w:sdtContent>
          <w:r w:rsidR="007B2E80">
            <w:rPr>
              <w:rFonts w:ascii="Times New Roman" w:hAnsi="Times New Roman"/>
              <w:color w:val="000000"/>
              <w:lang w:val="pt-BR"/>
            </w:rPr>
            <w:t>(</w:t>
          </w:r>
          <w:r w:rsidR="007B2E80" w:rsidRPr="007B2E80">
            <w:rPr>
              <w:rFonts w:ascii="Times New Roman" w:hAnsi="Times New Roman"/>
              <w:color w:val="000000"/>
              <w:lang w:val="pt-BR"/>
            </w:rPr>
            <w:t>2</w:t>
          </w:r>
          <w:r w:rsidR="007B2E80">
            <w:rPr>
              <w:rFonts w:ascii="Times New Roman" w:hAnsi="Times New Roman"/>
              <w:color w:val="000000"/>
              <w:lang w:val="pt-BR"/>
            </w:rPr>
            <w:t>)</w:t>
          </w:r>
        </w:sdtContent>
      </w:sdt>
      <w:r w:rsidRPr="00A746E8">
        <w:rPr>
          <w:rFonts w:ascii="Times New Roman" w:hAnsi="Times New Roman"/>
          <w:lang w:val="pt-BR"/>
        </w:rPr>
        <w:t>.</w:t>
      </w:r>
    </w:p>
    <w:p w14:paraId="77DA5544" w14:textId="77777777" w:rsidR="00B87106" w:rsidRDefault="00B87106" w:rsidP="00B87106">
      <w:pPr>
        <w:pStyle w:val="TAMainText"/>
        <w:rPr>
          <w:rFonts w:ascii="Times New Roman" w:hAnsi="Times New Roman"/>
          <w:lang w:val="pt-BR"/>
        </w:rPr>
      </w:pPr>
      <w:r>
        <w:rPr>
          <w:rFonts w:ascii="Times New Roman" w:hAnsi="Times New Roman"/>
          <w:lang w:val="pt-BR"/>
        </w:rPr>
        <w:t>Assim o trabalho tem como objetivo produzir biocarvões através do processo de torrefação para utilização com adsorvente na remoção de azul de metileno e comparar com um carvão ativado comercial.</w:t>
      </w:r>
    </w:p>
    <w:p w14:paraId="52FFAC79" w14:textId="14759332" w:rsidR="00EA4E1B" w:rsidRPr="001F25B2" w:rsidRDefault="00B87106" w:rsidP="00EA4E1B">
      <w:pPr>
        <w:pStyle w:val="Ttulo2"/>
        <w:rPr>
          <w:rFonts w:ascii="Helvetica" w:hAnsi="Helvetica" w:cs="Helvetica"/>
          <w:sz w:val="24"/>
          <w:szCs w:val="24"/>
        </w:rPr>
      </w:pPr>
      <w:r>
        <w:rPr>
          <w:rFonts w:ascii="Helvetica" w:hAnsi="Helvetica" w:cs="Helvetica"/>
          <w:sz w:val="24"/>
          <w:szCs w:val="24"/>
        </w:rPr>
        <w:t>E</w:t>
      </w:r>
      <w:r w:rsidR="00EA4E1B" w:rsidRPr="001F25B2">
        <w:rPr>
          <w:rFonts w:ascii="Helvetica" w:hAnsi="Helvetica" w:cs="Helvetica"/>
          <w:sz w:val="24"/>
          <w:szCs w:val="24"/>
        </w:rPr>
        <w:t>xperimental</w:t>
      </w:r>
    </w:p>
    <w:p w14:paraId="3C4B904E" w14:textId="77777777" w:rsidR="00B87106" w:rsidRPr="001F25B2" w:rsidRDefault="00B87106" w:rsidP="00B87106">
      <w:pPr>
        <w:pStyle w:val="TAMainText"/>
        <w:ind w:firstLine="0"/>
        <w:rPr>
          <w:rFonts w:ascii="Times New Roman" w:hAnsi="Times New Roman"/>
          <w:i/>
          <w:lang w:val="pt-BR"/>
        </w:rPr>
      </w:pPr>
      <w:bookmarkStart w:id="3" w:name="_Hlk139881947"/>
      <w:r>
        <w:rPr>
          <w:rFonts w:ascii="Times New Roman" w:hAnsi="Times New Roman"/>
          <w:i/>
          <w:lang w:val="pt-BR"/>
        </w:rPr>
        <w:t>Preparo da amostra</w:t>
      </w:r>
      <w:r w:rsidRPr="001F25B2">
        <w:rPr>
          <w:rFonts w:ascii="Times New Roman" w:hAnsi="Times New Roman"/>
          <w:i/>
          <w:lang w:val="pt-BR"/>
        </w:rPr>
        <w:t>.</w:t>
      </w:r>
    </w:p>
    <w:p w14:paraId="39EBDAA0" w14:textId="77777777" w:rsidR="00B87106" w:rsidRPr="00B87106" w:rsidRDefault="00B87106" w:rsidP="00B87106">
      <w:pPr>
        <w:pStyle w:val="Ttulo2"/>
        <w:jc w:val="both"/>
        <w:rPr>
          <w:rFonts w:ascii="Times New Roman" w:eastAsia="Times New Roman" w:hAnsi="Times New Roman" w:cs="Times New Roman"/>
          <w:sz w:val="20"/>
          <w:szCs w:val="20"/>
          <w:lang w:eastAsia="pt-BR"/>
        </w:rPr>
      </w:pPr>
      <w:r w:rsidRPr="00E54907">
        <w:rPr>
          <w:rFonts w:ascii="Times New Roman" w:eastAsia="Times New Roman" w:hAnsi="Times New Roman" w:cs="Times New Roman"/>
          <w:sz w:val="20"/>
          <w:szCs w:val="20"/>
          <w:lang w:eastAsia="pt-BR"/>
        </w:rPr>
        <w:t xml:space="preserve">Os caroços </w:t>
      </w:r>
      <w:r w:rsidRPr="00B87106">
        <w:rPr>
          <w:rFonts w:ascii="Times New Roman" w:eastAsia="Times New Roman" w:hAnsi="Times New Roman" w:cs="Times New Roman"/>
          <w:sz w:val="20"/>
          <w:szCs w:val="20"/>
          <w:lang w:eastAsia="pt-BR"/>
        </w:rPr>
        <w:t xml:space="preserve">do </w:t>
      </w:r>
      <w:r w:rsidRPr="00E54907">
        <w:rPr>
          <w:rFonts w:ascii="Times New Roman" w:eastAsia="Times New Roman" w:hAnsi="Times New Roman" w:cs="Times New Roman"/>
          <w:sz w:val="20"/>
          <w:szCs w:val="20"/>
          <w:lang w:eastAsia="pt-BR"/>
        </w:rPr>
        <w:t>Inajá foram coletados na cidade de Manaus</w:t>
      </w:r>
      <w:r w:rsidRPr="00B87106">
        <w:rPr>
          <w:rFonts w:ascii="Times New Roman" w:eastAsia="Times New Roman" w:hAnsi="Times New Roman" w:cs="Times New Roman"/>
          <w:sz w:val="20"/>
          <w:szCs w:val="20"/>
          <w:lang w:eastAsia="pt-BR"/>
        </w:rPr>
        <w:t xml:space="preserve"> -</w:t>
      </w:r>
      <w:r w:rsidRPr="00E54907">
        <w:rPr>
          <w:rFonts w:ascii="Times New Roman" w:eastAsia="Times New Roman" w:hAnsi="Times New Roman" w:cs="Times New Roman"/>
          <w:sz w:val="20"/>
          <w:szCs w:val="20"/>
          <w:lang w:eastAsia="pt-BR"/>
        </w:rPr>
        <w:t>A</w:t>
      </w:r>
      <w:r w:rsidRPr="00B87106">
        <w:rPr>
          <w:rFonts w:ascii="Times New Roman" w:eastAsia="Times New Roman" w:hAnsi="Times New Roman" w:cs="Times New Roman"/>
          <w:sz w:val="20"/>
          <w:szCs w:val="20"/>
          <w:lang w:eastAsia="pt-BR"/>
        </w:rPr>
        <w:t>M</w:t>
      </w:r>
      <w:r w:rsidRPr="00E54907">
        <w:rPr>
          <w:rFonts w:ascii="Times New Roman" w:eastAsia="Times New Roman" w:hAnsi="Times New Roman" w:cs="Times New Roman"/>
          <w:sz w:val="20"/>
          <w:szCs w:val="20"/>
          <w:lang w:eastAsia="pt-BR"/>
        </w:rPr>
        <w:t>. As biomassas foram secas a 100 °C por 24 horas e trituradas em um moinho de facas, seguida por peneiração, modelo Granutest, Tyler de mesh 35 mesh conforme descrito por (Santos, 2022).</w:t>
      </w:r>
    </w:p>
    <w:p w14:paraId="282F013F" w14:textId="77777777" w:rsidR="00B87106" w:rsidRPr="00B87106" w:rsidRDefault="00B87106" w:rsidP="00B87106">
      <w:pPr>
        <w:jc w:val="both"/>
        <w:rPr>
          <w:rFonts w:ascii="Times New Roman" w:hAnsi="Times New Roman" w:cs="Times New Roman"/>
          <w:i/>
          <w:iCs/>
          <w:sz w:val="20"/>
          <w:szCs w:val="20"/>
          <w:lang w:eastAsia="pt-BR"/>
        </w:rPr>
      </w:pPr>
      <w:r w:rsidRPr="00B87106">
        <w:rPr>
          <w:rFonts w:ascii="Times New Roman" w:hAnsi="Times New Roman" w:cs="Times New Roman"/>
          <w:i/>
          <w:iCs/>
          <w:sz w:val="20"/>
          <w:szCs w:val="20"/>
          <w:lang w:eastAsia="pt-BR"/>
        </w:rPr>
        <w:t>Experimentos de torrefação das biomassas</w:t>
      </w:r>
    </w:p>
    <w:p w14:paraId="06AE0921" w14:textId="2E4F8E8D" w:rsidR="00B87106" w:rsidRPr="00B87106" w:rsidRDefault="00B87106" w:rsidP="00B87106">
      <w:pPr>
        <w:jc w:val="both"/>
        <w:rPr>
          <w:rFonts w:ascii="Times New Roman" w:hAnsi="Times New Roman" w:cs="Times New Roman"/>
        </w:rPr>
      </w:pPr>
      <w:r w:rsidRPr="00B87106">
        <w:rPr>
          <w:rFonts w:ascii="Times New Roman" w:hAnsi="Times New Roman" w:cs="Times New Roman"/>
          <w:sz w:val="20"/>
          <w:szCs w:val="20"/>
          <w:lang w:eastAsia="pt-BR"/>
        </w:rPr>
        <w:t>Os experimentos de torrefação das biomassas foram realizados via seca em condições inerte em um forno tubular em atmosfera de N</w:t>
      </w:r>
      <w:r w:rsidRPr="00B87106">
        <w:rPr>
          <w:rFonts w:ascii="Times New Roman" w:hAnsi="Times New Roman" w:cs="Times New Roman"/>
          <w:sz w:val="20"/>
          <w:szCs w:val="20"/>
          <w:vertAlign w:val="subscript"/>
          <w:lang w:eastAsia="pt-BR"/>
        </w:rPr>
        <w:t>2</w:t>
      </w:r>
      <w:r w:rsidRPr="00B87106">
        <w:rPr>
          <w:rFonts w:ascii="Times New Roman" w:hAnsi="Times New Roman" w:cs="Times New Roman"/>
          <w:sz w:val="20"/>
          <w:szCs w:val="20"/>
          <w:lang w:eastAsia="pt-BR"/>
        </w:rPr>
        <w:t xml:space="preserve"> com fluxo de 160 mL.min</w:t>
      </w:r>
      <w:r w:rsidRPr="00B87106">
        <w:rPr>
          <w:rFonts w:ascii="Times New Roman" w:hAnsi="Times New Roman" w:cs="Times New Roman"/>
          <w:sz w:val="20"/>
          <w:szCs w:val="20"/>
          <w:vertAlign w:val="superscript"/>
          <w:lang w:eastAsia="pt-BR"/>
        </w:rPr>
        <w:t>-1</w:t>
      </w:r>
      <w:r w:rsidRPr="00B87106">
        <w:rPr>
          <w:rFonts w:ascii="Times New Roman" w:hAnsi="Times New Roman" w:cs="Times New Roman"/>
          <w:sz w:val="20"/>
          <w:szCs w:val="20"/>
          <w:lang w:eastAsia="pt-BR"/>
        </w:rPr>
        <w:t>, utilizando as temperaturas de 200, 250 e 300 °C e 0, 30 e 60 minutos de tempo de residência, com taxa de aquecimento de 10 °C.min</w:t>
      </w:r>
      <w:r w:rsidRPr="00B87106">
        <w:rPr>
          <w:rFonts w:ascii="Times New Roman" w:hAnsi="Times New Roman" w:cs="Times New Roman"/>
          <w:sz w:val="20"/>
          <w:szCs w:val="20"/>
          <w:vertAlign w:val="superscript"/>
          <w:lang w:eastAsia="pt-BR"/>
        </w:rPr>
        <w:t>-1</w:t>
      </w:r>
      <w:r w:rsidRPr="00B87106">
        <w:rPr>
          <w:rFonts w:ascii="Times New Roman" w:hAnsi="Times New Roman" w:cs="Times New Roman"/>
          <w:sz w:val="20"/>
          <w:szCs w:val="20"/>
          <w:lang w:eastAsia="pt-BR"/>
        </w:rPr>
        <w:t>. As amostras foram rotuladas como IST-A-B, onde A corresponde a temperatura e B o tempo de torrefação.</w:t>
      </w:r>
      <w:bookmarkEnd w:id="3"/>
    </w:p>
    <w:p w14:paraId="136BD1AC" w14:textId="24096374" w:rsidR="00EA4E1B" w:rsidRDefault="00EA4E1B" w:rsidP="00B87106">
      <w:pPr>
        <w:pStyle w:val="Ttulo2"/>
        <w:rPr>
          <w:rFonts w:ascii="Helvetica" w:hAnsi="Helvetica" w:cs="Helvetica"/>
          <w:sz w:val="24"/>
          <w:szCs w:val="24"/>
        </w:rPr>
      </w:pPr>
      <w:r w:rsidRPr="001F25B2">
        <w:rPr>
          <w:rFonts w:ascii="Helvetica" w:hAnsi="Helvetica" w:cs="Helvetica"/>
          <w:sz w:val="24"/>
          <w:szCs w:val="24"/>
        </w:rPr>
        <w:lastRenderedPageBreak/>
        <w:t>Resultados e Discussão</w:t>
      </w:r>
    </w:p>
    <w:p w14:paraId="03A4FC6F" w14:textId="5BB0CA91" w:rsidR="007651C6" w:rsidRPr="00F231FC" w:rsidRDefault="007651C6" w:rsidP="007651C6">
      <w:pPr>
        <w:pStyle w:val="TAMainText"/>
        <w:ind w:firstLine="187"/>
        <w:rPr>
          <w:rFonts w:ascii="Times New Roman" w:hAnsi="Times New Roman"/>
          <w:lang w:val="pt-BR"/>
        </w:rPr>
      </w:pPr>
      <w:r w:rsidRPr="00F231FC">
        <w:rPr>
          <w:rFonts w:ascii="Times New Roman" w:hAnsi="Times New Roman"/>
          <w:lang w:val="pt-BR"/>
        </w:rPr>
        <w:t xml:space="preserve">A composição química dos caroços do inajá está apresentada </w:t>
      </w:r>
      <w:r w:rsidRPr="002F01BA">
        <w:rPr>
          <w:rFonts w:ascii="Times New Roman" w:hAnsi="Times New Roman"/>
          <w:b/>
          <w:bCs/>
          <w:lang w:val="pt-BR"/>
        </w:rPr>
        <w:t>Tabela 1</w:t>
      </w:r>
      <w:r w:rsidRPr="00F231FC">
        <w:rPr>
          <w:rFonts w:ascii="Times New Roman" w:hAnsi="Times New Roman"/>
          <w:lang w:val="pt-BR"/>
        </w:rPr>
        <w:t>. Observa-se um teor de 10,95% de extrativo</w:t>
      </w:r>
      <w:r w:rsidR="002F01BA">
        <w:rPr>
          <w:rFonts w:ascii="Times New Roman" w:hAnsi="Times New Roman"/>
          <w:lang w:val="pt-BR"/>
        </w:rPr>
        <w:t xml:space="preserve">. </w:t>
      </w:r>
      <w:r w:rsidRPr="00F231FC">
        <w:rPr>
          <w:rFonts w:ascii="Times New Roman" w:hAnsi="Times New Roman"/>
          <w:lang w:val="pt-BR"/>
        </w:rPr>
        <w:t>O teor de hemicelulose ficou em torno de 24,28%, que está de acordo com a faixa de 15-35% reportada para biomassas lignocelulósicas. Já o teor de celulose foi de 27,29% e por fim o teor de lignina foi de 40,87%, valor acima do que os reportados para biomassas lignocelulósicas 8-30%.</w:t>
      </w:r>
    </w:p>
    <w:p w14:paraId="6B74E671" w14:textId="77777777" w:rsidR="007651C6" w:rsidRDefault="007651C6" w:rsidP="007651C6">
      <w:pPr>
        <w:pStyle w:val="TAMainText"/>
        <w:rPr>
          <w:lang w:val="pt-BR"/>
        </w:rPr>
      </w:pPr>
    </w:p>
    <w:p w14:paraId="7EB97F1F" w14:textId="176AD58A" w:rsidR="007651C6" w:rsidRDefault="007651C6" w:rsidP="007651C6">
      <w:pPr>
        <w:pStyle w:val="VDTableTitle"/>
        <w:spacing w:after="120"/>
        <w:jc w:val="both"/>
        <w:rPr>
          <w:rFonts w:ascii="Times New Roman" w:hAnsi="Times New Roman"/>
          <w:lang w:val="pt-BR"/>
        </w:rPr>
      </w:pPr>
      <w:r w:rsidRPr="00E038AF">
        <w:rPr>
          <w:rFonts w:ascii="Times New Roman" w:hAnsi="Times New Roman"/>
          <w:b/>
          <w:lang w:val="pt-BR"/>
        </w:rPr>
        <w:t>Tabela 1.</w:t>
      </w:r>
      <w:r w:rsidRPr="00E038AF">
        <w:rPr>
          <w:rFonts w:ascii="Times New Roman" w:hAnsi="Times New Roman"/>
          <w:lang w:val="pt-BR"/>
        </w:rPr>
        <w:t xml:space="preserve"> </w:t>
      </w:r>
      <w:r>
        <w:rPr>
          <w:rFonts w:ascii="Times New Roman" w:hAnsi="Times New Roman"/>
          <w:lang w:val="pt-BR"/>
        </w:rPr>
        <w:t>Composição química dos caroços do Inajá</w:t>
      </w:r>
    </w:p>
    <w:tbl>
      <w:tblPr>
        <w:tblpPr w:leftFromText="141" w:rightFromText="141" w:vertAnchor="text" w:horzAnchor="margin" w:tblpY="-55"/>
        <w:tblW w:w="4676" w:type="dxa"/>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2266"/>
        <w:gridCol w:w="2410"/>
      </w:tblGrid>
      <w:tr w:rsidR="007651C6" w:rsidRPr="009F5BA2" w14:paraId="712CA514" w14:textId="77777777" w:rsidTr="007651C6">
        <w:trPr>
          <w:trHeight w:val="20"/>
        </w:trPr>
        <w:tc>
          <w:tcPr>
            <w:tcW w:w="2266" w:type="dxa"/>
            <w:vAlign w:val="center"/>
          </w:tcPr>
          <w:p w14:paraId="3443E75C" w14:textId="77777777" w:rsidR="007651C6" w:rsidRPr="009F5BA2" w:rsidRDefault="007651C6" w:rsidP="007651C6">
            <w:pPr>
              <w:spacing w:after="0" w:line="200" w:lineRule="exact"/>
              <w:jc w:val="center"/>
              <w:rPr>
                <w:rFonts w:ascii="Times New Roman" w:eastAsia="Times New Roman" w:hAnsi="Times New Roman" w:cs="Times New Roman"/>
                <w:sz w:val="20"/>
                <w:szCs w:val="20"/>
                <w:lang w:eastAsia="pt-BR"/>
              </w:rPr>
            </w:pPr>
            <w:r w:rsidRPr="009F5BA2">
              <w:rPr>
                <w:rFonts w:ascii="Times New Roman" w:eastAsia="Arial" w:hAnsi="Times New Roman" w:cs="Times New Roman"/>
                <w:sz w:val="20"/>
                <w:szCs w:val="20"/>
                <w:lang w:val="en-US" w:eastAsia="pt-BR"/>
              </w:rPr>
              <w:t>Análises</w:t>
            </w:r>
          </w:p>
        </w:tc>
        <w:tc>
          <w:tcPr>
            <w:tcW w:w="2410" w:type="dxa"/>
            <w:vAlign w:val="center"/>
          </w:tcPr>
          <w:p w14:paraId="2C0F7D67" w14:textId="77777777" w:rsidR="007651C6" w:rsidRPr="009F5BA2" w:rsidRDefault="007651C6" w:rsidP="007651C6">
            <w:pPr>
              <w:spacing w:after="0" w:line="259" w:lineRule="auto"/>
              <w:jc w:val="center"/>
              <w:rPr>
                <w:rFonts w:ascii="Times New Roman" w:eastAsia="Arial" w:hAnsi="Times New Roman" w:cs="Times New Roman"/>
                <w:sz w:val="20"/>
                <w:szCs w:val="20"/>
              </w:rPr>
            </w:pPr>
            <w:r w:rsidRPr="009F5BA2">
              <w:rPr>
                <w:rFonts w:ascii="Times New Roman" w:eastAsia="Arial" w:hAnsi="Times New Roman" w:cs="Times New Roman"/>
                <w:sz w:val="20"/>
                <w:szCs w:val="20"/>
              </w:rPr>
              <w:t>Inajá</w:t>
            </w:r>
          </w:p>
          <w:p w14:paraId="694AAF1C" w14:textId="77777777" w:rsidR="007651C6" w:rsidRPr="009F5BA2" w:rsidRDefault="007651C6" w:rsidP="007651C6">
            <w:pPr>
              <w:spacing w:after="0" w:line="200" w:lineRule="exact"/>
              <w:jc w:val="center"/>
              <w:rPr>
                <w:rFonts w:ascii="Times New Roman" w:eastAsia="Times New Roman" w:hAnsi="Times New Roman" w:cs="Times New Roman"/>
                <w:sz w:val="20"/>
                <w:szCs w:val="20"/>
                <w:lang w:eastAsia="pt-BR"/>
              </w:rPr>
            </w:pPr>
            <w:r w:rsidRPr="009F5BA2">
              <w:rPr>
                <w:rFonts w:ascii="Times New Roman" w:eastAsia="Arial" w:hAnsi="Times New Roman" w:cs="Times New Roman"/>
                <w:sz w:val="20"/>
                <w:szCs w:val="20"/>
                <w:lang w:eastAsia="pt-BR"/>
              </w:rPr>
              <w:t>(%m/m base seca)</w:t>
            </w:r>
          </w:p>
        </w:tc>
      </w:tr>
      <w:tr w:rsidR="007651C6" w:rsidRPr="009F5BA2" w14:paraId="26E7EEF5" w14:textId="77777777" w:rsidTr="007651C6">
        <w:trPr>
          <w:trHeight w:val="20"/>
        </w:trPr>
        <w:tc>
          <w:tcPr>
            <w:tcW w:w="2266" w:type="dxa"/>
            <w:vAlign w:val="bottom"/>
          </w:tcPr>
          <w:p w14:paraId="58C5DD49" w14:textId="77777777" w:rsidR="007651C6" w:rsidRPr="009F5BA2" w:rsidRDefault="007651C6" w:rsidP="007651C6">
            <w:pPr>
              <w:spacing w:after="0" w:line="200" w:lineRule="exact"/>
              <w:jc w:val="center"/>
              <w:rPr>
                <w:rFonts w:ascii="Times New Roman" w:eastAsia="Times New Roman" w:hAnsi="Times New Roman" w:cs="Times New Roman"/>
                <w:sz w:val="20"/>
                <w:szCs w:val="20"/>
                <w:lang w:eastAsia="pt-BR"/>
              </w:rPr>
            </w:pPr>
            <w:r w:rsidRPr="009F5BA2">
              <w:rPr>
                <w:rFonts w:ascii="Times New Roman" w:eastAsia="Arial" w:hAnsi="Times New Roman" w:cs="Times New Roman"/>
                <w:sz w:val="20"/>
                <w:szCs w:val="20"/>
                <w:lang w:val="en-US" w:eastAsia="pt-BR"/>
              </w:rPr>
              <w:t>Extrativo</w:t>
            </w:r>
          </w:p>
        </w:tc>
        <w:tc>
          <w:tcPr>
            <w:tcW w:w="2410" w:type="dxa"/>
            <w:vAlign w:val="bottom"/>
          </w:tcPr>
          <w:p w14:paraId="39C71E73" w14:textId="77777777" w:rsidR="007651C6" w:rsidRPr="009F5BA2" w:rsidRDefault="007651C6" w:rsidP="007651C6">
            <w:pPr>
              <w:spacing w:after="0" w:line="200" w:lineRule="exact"/>
              <w:jc w:val="center"/>
              <w:rPr>
                <w:rFonts w:ascii="Times New Roman" w:eastAsia="Times New Roman" w:hAnsi="Times New Roman" w:cs="Times New Roman"/>
                <w:sz w:val="20"/>
                <w:szCs w:val="20"/>
                <w:lang w:eastAsia="pt-BR"/>
              </w:rPr>
            </w:pPr>
            <w:r w:rsidRPr="009F5BA2">
              <w:rPr>
                <w:rFonts w:ascii="Times New Roman" w:eastAsia="Arial" w:hAnsi="Times New Roman" w:cs="Times New Roman"/>
                <w:sz w:val="20"/>
                <w:szCs w:val="20"/>
                <w:lang w:val="en-US" w:eastAsia="pt-BR"/>
              </w:rPr>
              <w:t xml:space="preserve">10,95 </w:t>
            </w:r>
            <w:r w:rsidRPr="009F5BA2">
              <w:rPr>
                <w:rFonts w:ascii="Times New Roman" w:eastAsia="Arial" w:hAnsi="Times New Roman" w:cs="Times New Roman"/>
                <w:sz w:val="20"/>
                <w:szCs w:val="20"/>
                <w:u w:val="single"/>
                <w:lang w:val="en-US" w:eastAsia="pt-BR"/>
              </w:rPr>
              <w:t>+</w:t>
            </w:r>
            <w:r w:rsidRPr="009F5BA2">
              <w:rPr>
                <w:rFonts w:ascii="Times New Roman" w:eastAsia="Arial" w:hAnsi="Times New Roman" w:cs="Times New Roman"/>
                <w:sz w:val="20"/>
                <w:szCs w:val="20"/>
                <w:lang w:val="en-US" w:eastAsia="pt-BR"/>
              </w:rPr>
              <w:t xml:space="preserve"> 0,92</w:t>
            </w:r>
          </w:p>
        </w:tc>
      </w:tr>
      <w:tr w:rsidR="007651C6" w:rsidRPr="009F5BA2" w14:paraId="7321A36A" w14:textId="77777777" w:rsidTr="007651C6">
        <w:trPr>
          <w:trHeight w:val="20"/>
        </w:trPr>
        <w:tc>
          <w:tcPr>
            <w:tcW w:w="2266" w:type="dxa"/>
            <w:vAlign w:val="bottom"/>
          </w:tcPr>
          <w:p w14:paraId="2AC6E3EE" w14:textId="77777777" w:rsidR="007651C6" w:rsidRPr="009F5BA2" w:rsidRDefault="007651C6" w:rsidP="007651C6">
            <w:pPr>
              <w:spacing w:after="0" w:line="200" w:lineRule="exact"/>
              <w:jc w:val="center"/>
              <w:rPr>
                <w:rFonts w:ascii="Times New Roman" w:eastAsia="Times New Roman" w:hAnsi="Times New Roman" w:cs="Times New Roman"/>
                <w:sz w:val="20"/>
                <w:szCs w:val="20"/>
                <w:lang w:eastAsia="pt-BR"/>
              </w:rPr>
            </w:pPr>
            <w:r w:rsidRPr="009F5BA2">
              <w:rPr>
                <w:rFonts w:ascii="Times New Roman" w:eastAsia="Arial" w:hAnsi="Times New Roman" w:cs="Times New Roman"/>
                <w:sz w:val="20"/>
                <w:szCs w:val="20"/>
                <w:lang w:val="en-US" w:eastAsia="pt-BR"/>
              </w:rPr>
              <w:t>Hemicelulose</w:t>
            </w:r>
          </w:p>
        </w:tc>
        <w:tc>
          <w:tcPr>
            <w:tcW w:w="2410" w:type="dxa"/>
            <w:vAlign w:val="bottom"/>
          </w:tcPr>
          <w:p w14:paraId="2B22DA68" w14:textId="77777777" w:rsidR="007651C6" w:rsidRPr="009F5BA2" w:rsidRDefault="007651C6" w:rsidP="007651C6">
            <w:pPr>
              <w:spacing w:after="0" w:line="200" w:lineRule="exact"/>
              <w:jc w:val="center"/>
              <w:rPr>
                <w:rFonts w:ascii="Times New Roman" w:eastAsia="Times New Roman" w:hAnsi="Times New Roman" w:cs="Times New Roman"/>
                <w:sz w:val="20"/>
                <w:szCs w:val="20"/>
                <w:lang w:eastAsia="pt-BR"/>
              </w:rPr>
            </w:pPr>
            <w:r w:rsidRPr="009F5BA2">
              <w:rPr>
                <w:rFonts w:ascii="Times New Roman" w:eastAsia="Arial" w:hAnsi="Times New Roman" w:cs="Times New Roman"/>
                <w:sz w:val="20"/>
                <w:szCs w:val="20"/>
                <w:lang w:val="en-US" w:eastAsia="pt-BR"/>
              </w:rPr>
              <w:t xml:space="preserve">24,28 </w:t>
            </w:r>
            <w:r w:rsidRPr="009F5BA2">
              <w:rPr>
                <w:rFonts w:ascii="Times New Roman" w:eastAsia="Arial" w:hAnsi="Times New Roman" w:cs="Times New Roman"/>
                <w:sz w:val="20"/>
                <w:szCs w:val="20"/>
                <w:u w:val="single"/>
                <w:lang w:val="en-US" w:eastAsia="pt-BR"/>
              </w:rPr>
              <w:t>+</w:t>
            </w:r>
            <w:r w:rsidRPr="009F5BA2">
              <w:rPr>
                <w:rFonts w:ascii="Times New Roman" w:eastAsia="Arial" w:hAnsi="Times New Roman" w:cs="Times New Roman"/>
                <w:sz w:val="20"/>
                <w:szCs w:val="20"/>
                <w:lang w:val="en-US" w:eastAsia="pt-BR"/>
              </w:rPr>
              <w:t xml:space="preserve"> 2,69</w:t>
            </w:r>
          </w:p>
        </w:tc>
      </w:tr>
      <w:tr w:rsidR="007651C6" w:rsidRPr="009F5BA2" w14:paraId="5553E063" w14:textId="77777777" w:rsidTr="007651C6">
        <w:trPr>
          <w:trHeight w:val="20"/>
        </w:trPr>
        <w:tc>
          <w:tcPr>
            <w:tcW w:w="2266" w:type="dxa"/>
            <w:vAlign w:val="bottom"/>
          </w:tcPr>
          <w:p w14:paraId="6C871F54" w14:textId="77777777" w:rsidR="007651C6" w:rsidRPr="009F5BA2" w:rsidRDefault="007651C6" w:rsidP="007651C6">
            <w:pPr>
              <w:spacing w:after="0" w:line="200" w:lineRule="exact"/>
              <w:jc w:val="center"/>
              <w:rPr>
                <w:rFonts w:ascii="Times New Roman" w:eastAsia="Times New Roman" w:hAnsi="Times New Roman" w:cs="Times New Roman"/>
                <w:sz w:val="20"/>
                <w:szCs w:val="20"/>
                <w:lang w:eastAsia="pt-BR"/>
              </w:rPr>
            </w:pPr>
            <w:r w:rsidRPr="009F5BA2">
              <w:rPr>
                <w:rFonts w:ascii="Times New Roman" w:eastAsia="Arial" w:hAnsi="Times New Roman" w:cs="Times New Roman"/>
                <w:sz w:val="20"/>
                <w:szCs w:val="20"/>
                <w:lang w:val="en-US" w:eastAsia="pt-BR"/>
              </w:rPr>
              <w:t>Celulose</w:t>
            </w:r>
          </w:p>
        </w:tc>
        <w:tc>
          <w:tcPr>
            <w:tcW w:w="2410" w:type="dxa"/>
            <w:vAlign w:val="bottom"/>
          </w:tcPr>
          <w:p w14:paraId="16C9C33E" w14:textId="77777777" w:rsidR="007651C6" w:rsidRPr="009F5BA2" w:rsidRDefault="007651C6" w:rsidP="007651C6">
            <w:pPr>
              <w:spacing w:after="0" w:line="200" w:lineRule="exact"/>
              <w:jc w:val="center"/>
              <w:rPr>
                <w:rFonts w:ascii="Times New Roman" w:eastAsia="Times New Roman" w:hAnsi="Times New Roman" w:cs="Times New Roman"/>
                <w:sz w:val="20"/>
                <w:szCs w:val="20"/>
                <w:lang w:eastAsia="pt-BR"/>
              </w:rPr>
            </w:pPr>
            <w:r w:rsidRPr="009F5BA2">
              <w:rPr>
                <w:rFonts w:ascii="Times New Roman" w:eastAsia="Arial" w:hAnsi="Times New Roman" w:cs="Times New Roman"/>
                <w:sz w:val="20"/>
                <w:szCs w:val="20"/>
                <w:lang w:val="en-US" w:eastAsia="pt-BR"/>
              </w:rPr>
              <w:t xml:space="preserve">27,29 </w:t>
            </w:r>
            <w:r w:rsidRPr="009F5BA2">
              <w:rPr>
                <w:rFonts w:ascii="Times New Roman" w:eastAsia="Arial" w:hAnsi="Times New Roman" w:cs="Times New Roman"/>
                <w:sz w:val="20"/>
                <w:szCs w:val="20"/>
                <w:u w:val="single"/>
                <w:lang w:val="en-US" w:eastAsia="pt-BR"/>
              </w:rPr>
              <w:t>+</w:t>
            </w:r>
            <w:r w:rsidRPr="009F5BA2">
              <w:rPr>
                <w:rFonts w:ascii="Times New Roman" w:eastAsia="Arial" w:hAnsi="Times New Roman" w:cs="Times New Roman"/>
                <w:sz w:val="20"/>
                <w:szCs w:val="20"/>
                <w:lang w:val="en-US" w:eastAsia="pt-BR"/>
              </w:rPr>
              <w:t xml:space="preserve"> 3,18</w:t>
            </w:r>
          </w:p>
        </w:tc>
      </w:tr>
      <w:tr w:rsidR="007651C6" w:rsidRPr="009F5BA2" w14:paraId="0388036D" w14:textId="77777777" w:rsidTr="007651C6">
        <w:trPr>
          <w:trHeight w:val="20"/>
        </w:trPr>
        <w:tc>
          <w:tcPr>
            <w:tcW w:w="2266" w:type="dxa"/>
            <w:vAlign w:val="bottom"/>
          </w:tcPr>
          <w:p w14:paraId="0DD41F05" w14:textId="77777777" w:rsidR="007651C6" w:rsidRPr="009F5BA2" w:rsidRDefault="007651C6" w:rsidP="007651C6">
            <w:pPr>
              <w:spacing w:after="0" w:line="200" w:lineRule="exact"/>
              <w:jc w:val="center"/>
              <w:rPr>
                <w:rFonts w:ascii="Times New Roman" w:eastAsia="Times New Roman" w:hAnsi="Times New Roman" w:cs="Times New Roman"/>
                <w:sz w:val="20"/>
                <w:szCs w:val="20"/>
                <w:lang w:eastAsia="pt-BR"/>
              </w:rPr>
            </w:pPr>
            <w:r w:rsidRPr="009F5BA2">
              <w:rPr>
                <w:rFonts w:ascii="Times New Roman" w:eastAsia="Arial" w:hAnsi="Times New Roman" w:cs="Times New Roman"/>
                <w:sz w:val="20"/>
                <w:szCs w:val="20"/>
                <w:lang w:val="en-US" w:eastAsia="pt-BR"/>
              </w:rPr>
              <w:t>Lignina</w:t>
            </w:r>
          </w:p>
        </w:tc>
        <w:tc>
          <w:tcPr>
            <w:tcW w:w="2410" w:type="dxa"/>
            <w:vAlign w:val="bottom"/>
          </w:tcPr>
          <w:p w14:paraId="1DB6A942" w14:textId="77777777" w:rsidR="007651C6" w:rsidRPr="009F5BA2" w:rsidRDefault="007651C6" w:rsidP="007651C6">
            <w:pPr>
              <w:spacing w:after="0" w:line="200" w:lineRule="exact"/>
              <w:jc w:val="center"/>
              <w:rPr>
                <w:rFonts w:ascii="Times New Roman" w:eastAsia="Times New Roman" w:hAnsi="Times New Roman" w:cs="Times New Roman"/>
                <w:sz w:val="20"/>
                <w:szCs w:val="20"/>
                <w:lang w:eastAsia="pt-BR"/>
              </w:rPr>
            </w:pPr>
            <w:r w:rsidRPr="009F5BA2">
              <w:rPr>
                <w:rFonts w:ascii="Times New Roman" w:eastAsia="Arial" w:hAnsi="Times New Roman" w:cs="Times New Roman"/>
                <w:sz w:val="20"/>
                <w:szCs w:val="20"/>
                <w:lang w:val="en-US" w:eastAsia="pt-BR"/>
              </w:rPr>
              <w:t xml:space="preserve">40,87 </w:t>
            </w:r>
            <w:r w:rsidRPr="009F5BA2">
              <w:rPr>
                <w:rFonts w:ascii="Times New Roman" w:eastAsia="Arial" w:hAnsi="Times New Roman" w:cs="Times New Roman"/>
                <w:sz w:val="20"/>
                <w:szCs w:val="20"/>
                <w:u w:val="single"/>
                <w:lang w:val="en-US" w:eastAsia="pt-BR"/>
              </w:rPr>
              <w:t>+</w:t>
            </w:r>
            <w:r w:rsidRPr="009F5BA2">
              <w:rPr>
                <w:rFonts w:ascii="Times New Roman" w:eastAsia="Arial" w:hAnsi="Times New Roman" w:cs="Times New Roman"/>
                <w:sz w:val="20"/>
                <w:szCs w:val="20"/>
                <w:lang w:val="en-US" w:eastAsia="pt-BR"/>
              </w:rPr>
              <w:t xml:space="preserve"> 0,06</w:t>
            </w:r>
          </w:p>
        </w:tc>
      </w:tr>
    </w:tbl>
    <w:p w14:paraId="0E3214B9" w14:textId="7D957E5B" w:rsidR="00DE7266" w:rsidRDefault="002F01BA" w:rsidP="008221FB">
      <w:pPr>
        <w:ind w:firstLine="142"/>
        <w:jc w:val="both"/>
        <w:rPr>
          <w:rFonts w:ascii="Times New Roman" w:hAnsi="Times New Roman" w:cs="Times New Roman"/>
          <w:sz w:val="20"/>
          <w:szCs w:val="20"/>
        </w:rPr>
      </w:pPr>
      <w:r w:rsidRPr="00591412">
        <w:rPr>
          <w:rFonts w:ascii="Times New Roman" w:eastAsia="Times New Roman" w:hAnsi="Times New Roman" w:cs="Times New Roman"/>
          <w:noProof/>
          <w:sz w:val="24"/>
          <w:szCs w:val="24"/>
          <w:lang w:eastAsia="pt-BR"/>
        </w:rPr>
        <w:drawing>
          <wp:anchor distT="0" distB="0" distL="0" distR="0" simplePos="0" relativeHeight="251662335" behindDoc="1" locked="0" layoutInCell="1" hidden="0" allowOverlap="1" wp14:anchorId="11A9FFFF" wp14:editId="42354CDF">
            <wp:simplePos x="0" y="0"/>
            <wp:positionH relativeFrom="margin">
              <wp:align>left</wp:align>
            </wp:positionH>
            <wp:positionV relativeFrom="page">
              <wp:posOffset>5054803</wp:posOffset>
            </wp:positionV>
            <wp:extent cx="3003211" cy="1548000"/>
            <wp:effectExtent l="0" t="0" r="6985" b="0"/>
            <wp:wrapNone/>
            <wp:docPr id="107"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9"/>
                    <a:srcRect/>
                    <a:stretch>
                      <a:fillRect/>
                    </a:stretch>
                  </pic:blipFill>
                  <pic:spPr>
                    <a:xfrm>
                      <a:off x="0" y="0"/>
                      <a:ext cx="3003211" cy="1548000"/>
                    </a:xfrm>
                    <a:prstGeom prst="rect">
                      <a:avLst/>
                    </a:prstGeom>
                    <a:ln/>
                  </pic:spPr>
                </pic:pic>
              </a:graphicData>
            </a:graphic>
            <wp14:sizeRelH relativeFrom="margin">
              <wp14:pctWidth>0</wp14:pctWidth>
            </wp14:sizeRelH>
            <wp14:sizeRelV relativeFrom="margin">
              <wp14:pctHeight>0</wp14:pctHeight>
            </wp14:sizeRelV>
          </wp:anchor>
        </w:drawing>
      </w:r>
      <w:r w:rsidR="00DE7266" w:rsidRPr="007A77D5">
        <w:rPr>
          <w:rFonts w:ascii="Times New Roman" w:hAnsi="Times New Roman" w:cs="Times New Roman"/>
          <w:sz w:val="20"/>
          <w:szCs w:val="20"/>
        </w:rPr>
        <w:t xml:space="preserve">Na </w:t>
      </w:r>
      <w:r w:rsidR="00DE7266" w:rsidRPr="00591412">
        <w:rPr>
          <w:rFonts w:ascii="Times New Roman" w:hAnsi="Times New Roman" w:cs="Times New Roman"/>
          <w:b/>
          <w:bCs/>
          <w:sz w:val="20"/>
          <w:szCs w:val="20"/>
        </w:rPr>
        <w:t xml:space="preserve">Figura </w:t>
      </w:r>
      <w:r w:rsidR="00DE7266">
        <w:rPr>
          <w:rFonts w:ascii="Times New Roman" w:hAnsi="Times New Roman" w:cs="Times New Roman"/>
          <w:b/>
          <w:bCs/>
          <w:sz w:val="20"/>
          <w:szCs w:val="20"/>
        </w:rPr>
        <w:t>1</w:t>
      </w:r>
      <w:r w:rsidR="00DE7266" w:rsidRPr="007A77D5">
        <w:rPr>
          <w:rFonts w:ascii="Times New Roman" w:hAnsi="Times New Roman" w:cs="Times New Roman"/>
          <w:sz w:val="20"/>
          <w:szCs w:val="20"/>
        </w:rPr>
        <w:t xml:space="preserve"> é observado que o caroço do inajá apresenta 5,18 % de teor de umidade, e após o processo de torrefação o teor de umidade, no geral, diminui. Este está relacionado à perda de grupos funcionais oxigenados da biomassa, tornando-a mais hidrofóbica</w:t>
      </w:r>
      <w:r w:rsidR="00DE7266">
        <w:rPr>
          <w:rFonts w:ascii="Times New Roman" w:hAnsi="Times New Roman" w:cs="Times New Roman"/>
          <w:sz w:val="20"/>
          <w:szCs w:val="20"/>
        </w:rPr>
        <w:t xml:space="preserve">. </w:t>
      </w:r>
    </w:p>
    <w:p w14:paraId="70F1DB72" w14:textId="6B24CB3B" w:rsidR="00B87106" w:rsidRDefault="00B87106" w:rsidP="00B87106"/>
    <w:p w14:paraId="0CCFBE37" w14:textId="77777777" w:rsidR="00B87106" w:rsidRPr="00B87106" w:rsidRDefault="00B87106" w:rsidP="00B87106"/>
    <w:p w14:paraId="14B6F11A" w14:textId="41A36EEA" w:rsidR="00EA4E1B" w:rsidRDefault="00EA4E1B" w:rsidP="00EA4E1B">
      <w:pPr>
        <w:pStyle w:val="TAMainText"/>
        <w:ind w:firstLine="187"/>
        <w:rPr>
          <w:lang w:val="pt-BR"/>
        </w:rPr>
      </w:pPr>
    </w:p>
    <w:p w14:paraId="307595D3" w14:textId="46348335" w:rsidR="00E038AF" w:rsidRDefault="00E038AF" w:rsidP="00EA4E1B">
      <w:pPr>
        <w:pStyle w:val="TAMainText"/>
        <w:ind w:firstLine="187"/>
        <w:rPr>
          <w:lang w:val="pt-BR"/>
        </w:rPr>
      </w:pPr>
    </w:p>
    <w:p w14:paraId="2718D071" w14:textId="77777777" w:rsidR="00DE7266" w:rsidRDefault="00DE7266" w:rsidP="00EA4E1B">
      <w:pPr>
        <w:jc w:val="center"/>
        <w:rPr>
          <w:rFonts w:ascii="Times New Roman" w:hAnsi="Times New Roman" w:cs="Times New Roman"/>
        </w:rPr>
      </w:pPr>
    </w:p>
    <w:p w14:paraId="14D2F378" w14:textId="6E176B9B" w:rsidR="00DE7266" w:rsidRDefault="00DE7266" w:rsidP="00EA4E1B">
      <w:pPr>
        <w:jc w:val="center"/>
        <w:rPr>
          <w:rFonts w:ascii="Times New Roman" w:hAnsi="Times New Roman" w:cs="Times New Roman"/>
        </w:rPr>
      </w:pPr>
    </w:p>
    <w:p w14:paraId="14878457" w14:textId="6C7F785C" w:rsidR="00E4644E" w:rsidRDefault="00DE7266" w:rsidP="00E4644E">
      <w:pPr>
        <w:pStyle w:val="Ttulo2"/>
        <w:jc w:val="both"/>
        <w:rPr>
          <w:rFonts w:ascii="Times New Roman" w:hAnsi="Times New Roman" w:cs="Times New Roman"/>
          <w:sz w:val="20"/>
          <w:szCs w:val="20"/>
        </w:rPr>
      </w:pPr>
      <w:r w:rsidRPr="00591412">
        <w:rPr>
          <w:rFonts w:ascii="Times New Roman" w:hAnsi="Times New Roman" w:cs="Times New Roman"/>
          <w:b/>
          <w:bCs/>
          <w:sz w:val="20"/>
          <w:szCs w:val="20"/>
        </w:rPr>
        <w:t>Figura 1.</w:t>
      </w:r>
      <w:r w:rsidRPr="00591412">
        <w:rPr>
          <w:rFonts w:ascii="Times New Roman" w:hAnsi="Times New Roman" w:cs="Times New Roman"/>
          <w:sz w:val="20"/>
          <w:szCs w:val="20"/>
        </w:rPr>
        <w:t xml:space="preserve"> </w:t>
      </w:r>
      <w:r>
        <w:rPr>
          <w:rFonts w:ascii="Times New Roman" w:hAnsi="Times New Roman" w:cs="Times New Roman"/>
          <w:sz w:val="20"/>
          <w:szCs w:val="20"/>
        </w:rPr>
        <w:t xml:space="preserve">Teor de umidade do caroço do inajá e suas amostras torrificadas. </w:t>
      </w:r>
    </w:p>
    <w:p w14:paraId="0D91C8F1" w14:textId="14DB5125" w:rsidR="008221FB" w:rsidRDefault="008221FB" w:rsidP="008221FB">
      <w:pPr>
        <w:ind w:firstLine="142"/>
        <w:jc w:val="both"/>
        <w:rPr>
          <w:rFonts w:ascii="Times New Roman" w:hAnsi="Times New Roman" w:cs="Times New Roman"/>
          <w:sz w:val="20"/>
          <w:szCs w:val="20"/>
        </w:rPr>
      </w:pPr>
      <w:r w:rsidRPr="00F231FC">
        <w:rPr>
          <w:rFonts w:ascii="Times New Roman" w:hAnsi="Times New Roman" w:cs="Times New Roman"/>
          <w:sz w:val="20"/>
          <w:szCs w:val="20"/>
        </w:rPr>
        <w:t>O teor de carbono fixo</w:t>
      </w:r>
      <w:r w:rsidR="00B87894">
        <w:rPr>
          <w:rFonts w:ascii="Times New Roman" w:hAnsi="Times New Roman" w:cs="Times New Roman"/>
          <w:sz w:val="20"/>
          <w:szCs w:val="20"/>
        </w:rPr>
        <w:t xml:space="preserve">, </w:t>
      </w:r>
      <w:r w:rsidR="00B87894" w:rsidRPr="00B87894">
        <w:rPr>
          <w:rFonts w:ascii="Times New Roman" w:hAnsi="Times New Roman" w:cs="Times New Roman"/>
          <w:b/>
          <w:bCs/>
          <w:sz w:val="20"/>
          <w:szCs w:val="20"/>
        </w:rPr>
        <w:t>Figura 2</w:t>
      </w:r>
      <w:r w:rsidR="00B87894">
        <w:rPr>
          <w:rFonts w:ascii="Times New Roman" w:hAnsi="Times New Roman" w:cs="Times New Roman"/>
          <w:sz w:val="20"/>
          <w:szCs w:val="20"/>
        </w:rPr>
        <w:t xml:space="preserve">, </w:t>
      </w:r>
      <w:r w:rsidRPr="00F231FC">
        <w:rPr>
          <w:rFonts w:ascii="Times New Roman" w:hAnsi="Times New Roman" w:cs="Times New Roman"/>
          <w:sz w:val="20"/>
          <w:szCs w:val="20"/>
        </w:rPr>
        <w:t>ficou em torno de 25,26% para o inajá, evidentemente à medida que a temperatura e o tempo aumentam o teor de carbono fixo aumenta, alcançando valor máximo de 46,8% IST-300-60.</w:t>
      </w:r>
    </w:p>
    <w:p w14:paraId="3292A56C" w14:textId="32134807" w:rsidR="00E4644E" w:rsidRDefault="00B87894" w:rsidP="00E4644E">
      <w:pPr>
        <w:ind w:firstLine="142"/>
        <w:jc w:val="both"/>
        <w:rPr>
          <w:rFonts w:ascii="Times New Roman" w:hAnsi="Times New Roman" w:cs="Times New Roman"/>
          <w:sz w:val="20"/>
          <w:szCs w:val="20"/>
        </w:rPr>
      </w:pPr>
      <w:r>
        <w:rPr>
          <w:rFonts w:ascii="Times New Roman" w:hAnsi="Times New Roman" w:cs="Times New Roman"/>
          <w:sz w:val="20"/>
          <w:szCs w:val="20"/>
        </w:rPr>
        <w:t>O</w:t>
      </w:r>
      <w:r w:rsidR="00E4644E">
        <w:rPr>
          <w:rFonts w:ascii="Times New Roman" w:hAnsi="Times New Roman" w:cs="Times New Roman"/>
          <w:sz w:val="20"/>
          <w:szCs w:val="20"/>
        </w:rPr>
        <w:t xml:space="preserve"> rendimento mássico </w:t>
      </w:r>
      <w:r w:rsidR="00E4644E" w:rsidRPr="00791A9E">
        <w:rPr>
          <w:rFonts w:ascii="Times New Roman" w:hAnsi="Times New Roman" w:cs="Times New Roman"/>
          <w:b/>
          <w:bCs/>
          <w:sz w:val="20"/>
          <w:szCs w:val="20"/>
        </w:rPr>
        <w:t>Figura 3</w:t>
      </w:r>
      <w:r w:rsidR="00E4644E">
        <w:rPr>
          <w:rFonts w:ascii="Times New Roman" w:hAnsi="Times New Roman" w:cs="Times New Roman"/>
          <w:sz w:val="20"/>
          <w:szCs w:val="20"/>
        </w:rPr>
        <w:t xml:space="preserve">, </w:t>
      </w:r>
      <w:r w:rsidR="00E4644E" w:rsidRPr="00791A9E">
        <w:rPr>
          <w:rFonts w:ascii="Times New Roman" w:hAnsi="Times New Roman" w:cs="Times New Roman"/>
          <w:sz w:val="20"/>
          <w:szCs w:val="20"/>
        </w:rPr>
        <w:t>é influenciado pela temperatur</w:t>
      </w:r>
      <w:r w:rsidR="00E4644E">
        <w:rPr>
          <w:rFonts w:ascii="Times New Roman" w:hAnsi="Times New Roman" w:cs="Times New Roman"/>
          <w:sz w:val="20"/>
          <w:szCs w:val="20"/>
        </w:rPr>
        <w:t>a,</w:t>
      </w:r>
      <w:r w:rsidR="00E4644E" w:rsidRPr="00791A9E">
        <w:rPr>
          <w:rFonts w:ascii="Times New Roman" w:hAnsi="Times New Roman" w:cs="Times New Roman"/>
          <w:sz w:val="20"/>
          <w:szCs w:val="20"/>
        </w:rPr>
        <w:t xml:space="preserve"> </w:t>
      </w:r>
      <w:r w:rsidR="00E4644E">
        <w:rPr>
          <w:rFonts w:ascii="Times New Roman" w:hAnsi="Times New Roman" w:cs="Times New Roman"/>
          <w:sz w:val="20"/>
          <w:szCs w:val="20"/>
        </w:rPr>
        <w:t>q</w:t>
      </w:r>
      <w:r w:rsidR="00E4644E" w:rsidRPr="00791A9E">
        <w:rPr>
          <w:rFonts w:ascii="Times New Roman" w:hAnsi="Times New Roman" w:cs="Times New Roman"/>
          <w:sz w:val="20"/>
          <w:szCs w:val="20"/>
        </w:rPr>
        <w:t xml:space="preserve">uando </w:t>
      </w:r>
      <w:r w:rsidR="00E4644E">
        <w:rPr>
          <w:rFonts w:ascii="Times New Roman" w:hAnsi="Times New Roman" w:cs="Times New Roman"/>
          <w:sz w:val="20"/>
          <w:szCs w:val="20"/>
        </w:rPr>
        <w:t>ela</w:t>
      </w:r>
      <w:r w:rsidR="00E4644E" w:rsidRPr="00791A9E">
        <w:rPr>
          <w:rFonts w:ascii="Times New Roman" w:hAnsi="Times New Roman" w:cs="Times New Roman"/>
          <w:sz w:val="20"/>
          <w:szCs w:val="20"/>
        </w:rPr>
        <w:t xml:space="preserve"> aumenta de 200 para 300°C o rendimento mássico diminui de 93,4 e 71,3 % para o </w:t>
      </w:r>
      <w:r w:rsidR="00CA0536" w:rsidRPr="00791A9E">
        <w:rPr>
          <w:rFonts w:ascii="Times New Roman" w:hAnsi="Times New Roman" w:cs="Times New Roman"/>
          <w:sz w:val="20"/>
          <w:szCs w:val="20"/>
        </w:rPr>
        <w:t>inajá</w:t>
      </w:r>
      <w:r w:rsidR="00CA0536">
        <w:rPr>
          <w:rFonts w:ascii="Times New Roman" w:hAnsi="Times New Roman" w:cs="Times New Roman"/>
          <w:sz w:val="20"/>
          <w:szCs w:val="20"/>
        </w:rPr>
        <w:t>.</w:t>
      </w:r>
    </w:p>
    <w:p w14:paraId="124CFFEE" w14:textId="77777777" w:rsidR="00B87894" w:rsidRPr="00296C20" w:rsidRDefault="00B87894" w:rsidP="00B87894">
      <w:pPr>
        <w:jc w:val="both"/>
        <w:rPr>
          <w:rFonts w:ascii="Times New Roman" w:hAnsi="Times New Roman" w:cs="Times New Roman"/>
          <w:sz w:val="20"/>
          <w:szCs w:val="20"/>
        </w:rPr>
      </w:pPr>
      <w:r w:rsidRPr="00296C20">
        <w:rPr>
          <w:rFonts w:ascii="Times New Roman" w:hAnsi="Times New Roman" w:cs="Times New Roman"/>
          <w:sz w:val="20"/>
          <w:szCs w:val="20"/>
        </w:rPr>
        <w:t xml:space="preserve">As razões molares O/C e H/C </w:t>
      </w:r>
      <w:r>
        <w:rPr>
          <w:rFonts w:ascii="Times New Roman" w:hAnsi="Times New Roman" w:cs="Times New Roman"/>
          <w:sz w:val="20"/>
          <w:szCs w:val="20"/>
        </w:rPr>
        <w:t xml:space="preserve">estão apresentadas na </w:t>
      </w:r>
      <w:r w:rsidRPr="00296C20">
        <w:rPr>
          <w:rFonts w:ascii="Times New Roman" w:hAnsi="Times New Roman" w:cs="Times New Roman"/>
          <w:b/>
          <w:bCs/>
          <w:sz w:val="20"/>
          <w:szCs w:val="20"/>
        </w:rPr>
        <w:t>Tabela 2</w:t>
      </w:r>
      <w:r>
        <w:rPr>
          <w:rFonts w:ascii="Times New Roman" w:hAnsi="Times New Roman" w:cs="Times New Roman"/>
          <w:sz w:val="20"/>
          <w:szCs w:val="20"/>
        </w:rPr>
        <w:t>, como pode ser visto as razões diminuem com aumento do tempo e temperatura devido a perda de grupos funcionais na superfície da biomassa.</w:t>
      </w:r>
    </w:p>
    <w:p w14:paraId="499FCB74" w14:textId="2C926699" w:rsidR="00B87894" w:rsidRDefault="00B87894" w:rsidP="00E4644E">
      <w:pPr>
        <w:ind w:firstLine="142"/>
        <w:jc w:val="both"/>
        <w:rPr>
          <w:rFonts w:ascii="Times New Roman" w:hAnsi="Times New Roman" w:cs="Times New Roman"/>
          <w:sz w:val="20"/>
          <w:szCs w:val="20"/>
        </w:rPr>
      </w:pPr>
    </w:p>
    <w:p w14:paraId="45CBBCCB" w14:textId="63E23424" w:rsidR="00B87894" w:rsidRPr="00F231FC" w:rsidRDefault="00B87894" w:rsidP="00E4644E">
      <w:pPr>
        <w:ind w:firstLine="142"/>
        <w:jc w:val="both"/>
        <w:rPr>
          <w:rFonts w:ascii="Times New Roman" w:hAnsi="Times New Roman" w:cs="Times New Roman"/>
          <w:sz w:val="20"/>
          <w:szCs w:val="20"/>
        </w:rPr>
      </w:pPr>
    </w:p>
    <w:p w14:paraId="65BB5D12" w14:textId="77F7356C" w:rsidR="00E4644E" w:rsidRDefault="002F01BA" w:rsidP="008221FB">
      <w:pPr>
        <w:ind w:firstLine="142"/>
        <w:jc w:val="both"/>
        <w:rPr>
          <w:rFonts w:ascii="Times New Roman" w:hAnsi="Times New Roman" w:cs="Times New Roman"/>
          <w:sz w:val="20"/>
          <w:szCs w:val="20"/>
        </w:rPr>
      </w:pPr>
      <w:r w:rsidRPr="00F231FC">
        <w:rPr>
          <w:rFonts w:ascii="Times New Roman" w:eastAsia="Times New Roman" w:hAnsi="Times New Roman" w:cs="Times New Roman"/>
          <w:noProof/>
          <w:sz w:val="24"/>
          <w:szCs w:val="24"/>
          <w:lang w:eastAsia="pt-BR"/>
        </w:rPr>
        <w:drawing>
          <wp:anchor distT="0" distB="0" distL="0" distR="0" simplePos="0" relativeHeight="251664383" behindDoc="1" locked="0" layoutInCell="1" hidden="0" allowOverlap="1" wp14:anchorId="61C96319" wp14:editId="6B8D6050">
            <wp:simplePos x="0" y="0"/>
            <wp:positionH relativeFrom="margin">
              <wp:posOffset>3477260</wp:posOffset>
            </wp:positionH>
            <wp:positionV relativeFrom="paragraph">
              <wp:posOffset>0</wp:posOffset>
            </wp:positionV>
            <wp:extent cx="3028950" cy="1440000"/>
            <wp:effectExtent l="0" t="0" r="0" b="8255"/>
            <wp:wrapNone/>
            <wp:docPr id="124" name="image25.jpg"/>
            <wp:cNvGraphicFramePr/>
            <a:graphic xmlns:a="http://schemas.openxmlformats.org/drawingml/2006/main">
              <a:graphicData uri="http://schemas.openxmlformats.org/drawingml/2006/picture">
                <pic:pic xmlns:pic="http://schemas.openxmlformats.org/drawingml/2006/picture">
                  <pic:nvPicPr>
                    <pic:cNvPr id="0" name="image25.jpg"/>
                    <pic:cNvPicPr preferRelativeResize="0"/>
                  </pic:nvPicPr>
                  <pic:blipFill>
                    <a:blip r:embed="rId10"/>
                    <a:srcRect/>
                    <a:stretch>
                      <a:fillRect/>
                    </a:stretch>
                  </pic:blipFill>
                  <pic:spPr>
                    <a:xfrm>
                      <a:off x="0" y="0"/>
                      <a:ext cx="3028950" cy="1440000"/>
                    </a:xfrm>
                    <a:prstGeom prst="rect">
                      <a:avLst/>
                    </a:prstGeom>
                    <a:ln/>
                  </pic:spPr>
                </pic:pic>
              </a:graphicData>
            </a:graphic>
            <wp14:sizeRelH relativeFrom="margin">
              <wp14:pctWidth>0</wp14:pctWidth>
            </wp14:sizeRelH>
            <wp14:sizeRelV relativeFrom="margin">
              <wp14:pctHeight>0</wp14:pctHeight>
            </wp14:sizeRelV>
          </wp:anchor>
        </w:drawing>
      </w:r>
    </w:p>
    <w:p w14:paraId="53122C8D" w14:textId="4EAF37E3" w:rsidR="00E4644E" w:rsidRDefault="00E4644E" w:rsidP="008221FB">
      <w:pPr>
        <w:ind w:firstLine="142"/>
        <w:jc w:val="both"/>
        <w:rPr>
          <w:rFonts w:ascii="Times New Roman" w:hAnsi="Times New Roman" w:cs="Times New Roman"/>
          <w:sz w:val="20"/>
          <w:szCs w:val="20"/>
        </w:rPr>
      </w:pPr>
    </w:p>
    <w:p w14:paraId="08245F79" w14:textId="76176D5F" w:rsidR="00DE7266" w:rsidRDefault="00DE7266" w:rsidP="00EA4E1B">
      <w:pPr>
        <w:jc w:val="center"/>
        <w:rPr>
          <w:rFonts w:ascii="Times New Roman" w:hAnsi="Times New Roman" w:cs="Times New Roman"/>
        </w:rPr>
      </w:pPr>
    </w:p>
    <w:p w14:paraId="715806BE" w14:textId="77777777" w:rsidR="00B87894" w:rsidRDefault="00B87894" w:rsidP="00E4644E">
      <w:pPr>
        <w:jc w:val="both"/>
        <w:rPr>
          <w:rFonts w:ascii="Times New Roman" w:hAnsi="Times New Roman" w:cs="Times New Roman"/>
          <w:b/>
          <w:bCs/>
          <w:sz w:val="20"/>
          <w:szCs w:val="20"/>
        </w:rPr>
      </w:pPr>
    </w:p>
    <w:p w14:paraId="197848AF" w14:textId="77777777" w:rsidR="002F01BA" w:rsidRDefault="002F01BA" w:rsidP="00E4644E">
      <w:pPr>
        <w:jc w:val="both"/>
        <w:rPr>
          <w:rFonts w:ascii="Times New Roman" w:hAnsi="Times New Roman" w:cs="Times New Roman"/>
          <w:b/>
          <w:bCs/>
          <w:sz w:val="20"/>
          <w:szCs w:val="20"/>
        </w:rPr>
      </w:pPr>
    </w:p>
    <w:p w14:paraId="47D78E2D" w14:textId="7F9F3319" w:rsidR="00E4644E" w:rsidRDefault="00E4644E" w:rsidP="00E4644E">
      <w:pPr>
        <w:jc w:val="both"/>
        <w:rPr>
          <w:rFonts w:ascii="Times New Roman" w:hAnsi="Times New Roman" w:cs="Times New Roman"/>
          <w:sz w:val="20"/>
          <w:szCs w:val="20"/>
        </w:rPr>
      </w:pPr>
      <w:r w:rsidRPr="00E95F67">
        <w:rPr>
          <w:rFonts w:ascii="Times New Roman" w:hAnsi="Times New Roman" w:cs="Times New Roman"/>
          <w:b/>
          <w:bCs/>
          <w:sz w:val="20"/>
          <w:szCs w:val="20"/>
        </w:rPr>
        <w:t>Figura 2</w:t>
      </w:r>
      <w:r w:rsidRPr="00E95F67">
        <w:rPr>
          <w:rFonts w:ascii="Times New Roman" w:hAnsi="Times New Roman" w:cs="Times New Roman"/>
          <w:sz w:val="20"/>
          <w:szCs w:val="20"/>
        </w:rPr>
        <w:t>. Teor de carbono fixo do caroço do inajá e suas amostras torrificadas.</w:t>
      </w:r>
    </w:p>
    <w:p w14:paraId="1B906BD2" w14:textId="4A176543" w:rsidR="00E4644E" w:rsidRDefault="00E4644E" w:rsidP="00B87106">
      <w:pPr>
        <w:pStyle w:val="Ttulo2"/>
        <w:rPr>
          <w:rFonts w:ascii="Helvetica" w:hAnsi="Helvetica" w:cs="Helvetica"/>
          <w:sz w:val="24"/>
          <w:szCs w:val="24"/>
        </w:rPr>
      </w:pPr>
      <w:r w:rsidRPr="00E95F67">
        <w:rPr>
          <w:rFonts w:ascii="Arial" w:eastAsia="Arial" w:hAnsi="Arial" w:cs="Arial"/>
          <w:b/>
          <w:noProof/>
          <w:color w:val="000000"/>
          <w:sz w:val="24"/>
          <w:szCs w:val="24"/>
          <w:lang w:eastAsia="pt-BR"/>
        </w:rPr>
        <w:drawing>
          <wp:inline distT="0" distB="0" distL="0" distR="0" wp14:anchorId="2B5E2AB8" wp14:editId="43AEB6B4">
            <wp:extent cx="2997642" cy="1440000"/>
            <wp:effectExtent l="0" t="0" r="0" b="8255"/>
            <wp:docPr id="111"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11"/>
                    <a:srcRect/>
                    <a:stretch>
                      <a:fillRect/>
                    </a:stretch>
                  </pic:blipFill>
                  <pic:spPr>
                    <a:xfrm>
                      <a:off x="0" y="0"/>
                      <a:ext cx="2997642" cy="1440000"/>
                    </a:xfrm>
                    <a:prstGeom prst="rect">
                      <a:avLst/>
                    </a:prstGeom>
                    <a:ln/>
                  </pic:spPr>
                </pic:pic>
              </a:graphicData>
            </a:graphic>
          </wp:inline>
        </w:drawing>
      </w:r>
    </w:p>
    <w:p w14:paraId="1A65998F" w14:textId="77777777" w:rsidR="00E4644E" w:rsidRPr="000E7900" w:rsidRDefault="00E4644E" w:rsidP="00E4644E">
      <w:pPr>
        <w:pStyle w:val="Ttulo2"/>
        <w:jc w:val="both"/>
        <w:rPr>
          <w:rFonts w:ascii="Times New Roman" w:hAnsi="Times New Roman" w:cs="Times New Roman"/>
          <w:sz w:val="20"/>
          <w:szCs w:val="20"/>
        </w:rPr>
      </w:pPr>
      <w:r w:rsidRPr="00E95F67">
        <w:rPr>
          <w:rFonts w:ascii="Times New Roman" w:hAnsi="Times New Roman" w:cs="Times New Roman"/>
          <w:b/>
          <w:bCs/>
          <w:sz w:val="20"/>
          <w:szCs w:val="20"/>
        </w:rPr>
        <w:t xml:space="preserve">Figura </w:t>
      </w:r>
      <w:r>
        <w:rPr>
          <w:rFonts w:ascii="Times New Roman" w:hAnsi="Times New Roman" w:cs="Times New Roman"/>
          <w:b/>
          <w:bCs/>
          <w:sz w:val="20"/>
          <w:szCs w:val="20"/>
        </w:rPr>
        <w:t>3</w:t>
      </w:r>
      <w:r w:rsidRPr="00E95F67">
        <w:rPr>
          <w:rFonts w:ascii="Times New Roman" w:hAnsi="Times New Roman" w:cs="Times New Roman"/>
          <w:b/>
          <w:bCs/>
          <w:sz w:val="20"/>
          <w:szCs w:val="20"/>
        </w:rPr>
        <w:t>.</w:t>
      </w:r>
      <w:r w:rsidRPr="00E95F67">
        <w:rPr>
          <w:rFonts w:ascii="Times New Roman" w:hAnsi="Times New Roman" w:cs="Times New Roman"/>
          <w:sz w:val="20"/>
          <w:szCs w:val="20"/>
        </w:rPr>
        <w:t xml:space="preserve"> Rendimento mássico para o inajá </w:t>
      </w:r>
      <w:r>
        <w:rPr>
          <w:rFonts w:ascii="Times New Roman" w:hAnsi="Times New Roman" w:cs="Times New Roman"/>
          <w:sz w:val="20"/>
          <w:szCs w:val="20"/>
        </w:rPr>
        <w:t>e amostras torrificadas.</w:t>
      </w:r>
    </w:p>
    <w:tbl>
      <w:tblPr>
        <w:tblpPr w:leftFromText="141" w:rightFromText="141" w:vertAnchor="text" w:horzAnchor="margin" w:tblpXSpec="right" w:tblpY="659"/>
        <w:tblW w:w="4536" w:type="dxa"/>
        <w:tblBorders>
          <w:top w:val="single" w:sz="4" w:space="0" w:color="7F7F7F"/>
          <w:left w:val="nil"/>
          <w:bottom w:val="single" w:sz="4" w:space="0" w:color="7F7F7F"/>
          <w:right w:val="nil"/>
          <w:insideH w:val="nil"/>
          <w:insideV w:val="nil"/>
        </w:tblBorders>
        <w:tblLayout w:type="fixed"/>
        <w:tblLook w:val="0400" w:firstRow="0" w:lastRow="0" w:firstColumn="0" w:lastColumn="0" w:noHBand="0" w:noVBand="1"/>
      </w:tblPr>
      <w:tblGrid>
        <w:gridCol w:w="2032"/>
        <w:gridCol w:w="1229"/>
        <w:gridCol w:w="1275"/>
      </w:tblGrid>
      <w:tr w:rsidR="002F01BA" w:rsidRPr="00A979EB" w14:paraId="0E319C16" w14:textId="77777777" w:rsidTr="002F01BA">
        <w:trPr>
          <w:trHeight w:val="20"/>
        </w:trPr>
        <w:tc>
          <w:tcPr>
            <w:tcW w:w="2032" w:type="dxa"/>
          </w:tcPr>
          <w:p w14:paraId="54015F71" w14:textId="77777777" w:rsidR="002F01BA" w:rsidRPr="00A979EB" w:rsidRDefault="002F01BA" w:rsidP="002F01BA">
            <w:pPr>
              <w:spacing w:after="0" w:line="240" w:lineRule="auto"/>
              <w:rPr>
                <w:rFonts w:ascii="Times New Roman" w:eastAsia="Arial" w:hAnsi="Times New Roman" w:cs="Times New Roman"/>
                <w:b/>
                <w:sz w:val="20"/>
                <w:szCs w:val="20"/>
                <w:lang w:eastAsia="pt-BR"/>
              </w:rPr>
            </w:pPr>
            <w:r w:rsidRPr="00A979EB">
              <w:rPr>
                <w:rFonts w:ascii="Times New Roman" w:eastAsia="Arial" w:hAnsi="Times New Roman" w:cs="Times New Roman"/>
                <w:b/>
                <w:sz w:val="20"/>
                <w:szCs w:val="20"/>
                <w:lang w:eastAsia="pt-BR"/>
              </w:rPr>
              <w:t xml:space="preserve">Nome </w:t>
            </w:r>
          </w:p>
        </w:tc>
        <w:tc>
          <w:tcPr>
            <w:tcW w:w="1229" w:type="dxa"/>
          </w:tcPr>
          <w:p w14:paraId="53B758C7" w14:textId="77777777" w:rsidR="002F01BA" w:rsidRPr="00A979EB" w:rsidRDefault="002F01BA" w:rsidP="002F01BA">
            <w:pPr>
              <w:spacing w:after="0" w:line="240" w:lineRule="auto"/>
              <w:rPr>
                <w:rFonts w:ascii="Times New Roman" w:eastAsia="Arial" w:hAnsi="Times New Roman" w:cs="Times New Roman"/>
                <w:b/>
                <w:bCs/>
                <w:sz w:val="20"/>
                <w:szCs w:val="20"/>
                <w:lang w:eastAsia="pt-BR"/>
              </w:rPr>
            </w:pPr>
            <w:r w:rsidRPr="00A979EB">
              <w:rPr>
                <w:rFonts w:ascii="Times New Roman" w:eastAsia="Times New Roman" w:hAnsi="Times New Roman" w:cs="Times New Roman"/>
                <w:b/>
                <w:bCs/>
                <w:sz w:val="20"/>
                <w:szCs w:val="20"/>
                <w:lang w:eastAsia="pt-BR"/>
              </w:rPr>
              <w:t>O/C</w:t>
            </w:r>
          </w:p>
        </w:tc>
        <w:tc>
          <w:tcPr>
            <w:tcW w:w="1275" w:type="dxa"/>
          </w:tcPr>
          <w:p w14:paraId="3BD5A542" w14:textId="77777777" w:rsidR="002F01BA" w:rsidRPr="00A979EB" w:rsidRDefault="002F01BA" w:rsidP="002F01BA">
            <w:pPr>
              <w:spacing w:after="0" w:line="240" w:lineRule="auto"/>
              <w:rPr>
                <w:rFonts w:ascii="Times New Roman" w:eastAsia="Arial" w:hAnsi="Times New Roman" w:cs="Times New Roman"/>
                <w:b/>
                <w:bCs/>
                <w:sz w:val="20"/>
                <w:szCs w:val="20"/>
                <w:lang w:eastAsia="pt-BR"/>
              </w:rPr>
            </w:pPr>
            <w:r w:rsidRPr="00A979EB">
              <w:rPr>
                <w:rFonts w:ascii="Times New Roman" w:eastAsia="Times New Roman" w:hAnsi="Times New Roman" w:cs="Times New Roman"/>
                <w:b/>
                <w:bCs/>
                <w:sz w:val="20"/>
                <w:szCs w:val="20"/>
                <w:lang w:eastAsia="pt-BR"/>
              </w:rPr>
              <w:t>H/C</w:t>
            </w:r>
          </w:p>
        </w:tc>
      </w:tr>
      <w:tr w:rsidR="002F01BA" w:rsidRPr="00A979EB" w14:paraId="15C7CC3B" w14:textId="77777777" w:rsidTr="002F01BA">
        <w:trPr>
          <w:trHeight w:val="20"/>
        </w:trPr>
        <w:tc>
          <w:tcPr>
            <w:tcW w:w="2032" w:type="dxa"/>
          </w:tcPr>
          <w:p w14:paraId="203DB9EE" w14:textId="77777777" w:rsidR="002F01BA" w:rsidRPr="00A979EB" w:rsidRDefault="002F01BA" w:rsidP="002F01BA">
            <w:pPr>
              <w:spacing w:after="0" w:line="240" w:lineRule="auto"/>
              <w:rPr>
                <w:rFonts w:ascii="Times New Roman" w:eastAsia="Arial" w:hAnsi="Times New Roman" w:cs="Times New Roman"/>
                <w:sz w:val="20"/>
                <w:szCs w:val="20"/>
                <w:lang w:eastAsia="pt-BR"/>
              </w:rPr>
            </w:pPr>
            <w:r w:rsidRPr="00A979EB">
              <w:rPr>
                <w:rFonts w:ascii="Times New Roman" w:eastAsia="Times New Roman" w:hAnsi="Times New Roman" w:cs="Times New Roman"/>
                <w:sz w:val="20"/>
                <w:szCs w:val="20"/>
                <w:lang w:eastAsia="pt-BR"/>
              </w:rPr>
              <w:t>Inajá</w:t>
            </w:r>
          </w:p>
        </w:tc>
        <w:tc>
          <w:tcPr>
            <w:tcW w:w="1229" w:type="dxa"/>
          </w:tcPr>
          <w:p w14:paraId="7B12B34D" w14:textId="77777777" w:rsidR="002F01BA" w:rsidRPr="00A979EB" w:rsidRDefault="002F01BA" w:rsidP="002F01BA">
            <w:pPr>
              <w:spacing w:after="0" w:line="240" w:lineRule="auto"/>
              <w:rPr>
                <w:rFonts w:ascii="Times New Roman" w:eastAsia="Arial" w:hAnsi="Times New Roman" w:cs="Times New Roman"/>
                <w:sz w:val="20"/>
                <w:szCs w:val="20"/>
                <w:lang w:eastAsia="pt-BR"/>
              </w:rPr>
            </w:pPr>
            <w:r w:rsidRPr="00A979EB">
              <w:rPr>
                <w:rFonts w:ascii="Times New Roman" w:eastAsia="Times New Roman" w:hAnsi="Times New Roman" w:cs="Times New Roman"/>
                <w:sz w:val="20"/>
                <w:szCs w:val="20"/>
                <w:lang w:eastAsia="pt-BR"/>
              </w:rPr>
              <w:t>0,65</w:t>
            </w:r>
          </w:p>
        </w:tc>
        <w:tc>
          <w:tcPr>
            <w:tcW w:w="1275" w:type="dxa"/>
          </w:tcPr>
          <w:p w14:paraId="17759AFE" w14:textId="77777777" w:rsidR="002F01BA" w:rsidRPr="00A979EB" w:rsidRDefault="002F01BA" w:rsidP="002F01BA">
            <w:pPr>
              <w:spacing w:after="0" w:line="240" w:lineRule="auto"/>
              <w:rPr>
                <w:rFonts w:ascii="Times New Roman" w:eastAsia="Arial" w:hAnsi="Times New Roman" w:cs="Times New Roman"/>
                <w:sz w:val="20"/>
                <w:szCs w:val="20"/>
                <w:lang w:eastAsia="pt-BR"/>
              </w:rPr>
            </w:pPr>
            <w:r w:rsidRPr="00A979EB">
              <w:rPr>
                <w:rFonts w:ascii="Times New Roman" w:eastAsia="Times New Roman" w:hAnsi="Times New Roman" w:cs="Times New Roman"/>
                <w:sz w:val="20"/>
                <w:szCs w:val="20"/>
                <w:lang w:eastAsia="pt-BR"/>
              </w:rPr>
              <w:t>1,41</w:t>
            </w:r>
          </w:p>
        </w:tc>
      </w:tr>
      <w:tr w:rsidR="002F01BA" w:rsidRPr="00A979EB" w14:paraId="1EFC5326" w14:textId="77777777" w:rsidTr="002F01BA">
        <w:trPr>
          <w:trHeight w:val="20"/>
        </w:trPr>
        <w:tc>
          <w:tcPr>
            <w:tcW w:w="2032" w:type="dxa"/>
          </w:tcPr>
          <w:p w14:paraId="2CF2B1A0" w14:textId="77777777" w:rsidR="002F01BA" w:rsidRPr="00A979EB" w:rsidRDefault="002F01BA" w:rsidP="002F01BA">
            <w:pPr>
              <w:spacing w:after="0" w:line="240" w:lineRule="auto"/>
              <w:rPr>
                <w:rFonts w:ascii="Times New Roman" w:eastAsia="Arial" w:hAnsi="Times New Roman" w:cs="Times New Roman"/>
                <w:sz w:val="20"/>
                <w:szCs w:val="20"/>
                <w:lang w:eastAsia="pt-BR"/>
              </w:rPr>
            </w:pPr>
            <w:r w:rsidRPr="00A979EB">
              <w:rPr>
                <w:rFonts w:ascii="Times New Roman" w:eastAsia="Times New Roman" w:hAnsi="Times New Roman" w:cs="Times New Roman"/>
                <w:sz w:val="20"/>
                <w:szCs w:val="20"/>
                <w:lang w:eastAsia="pt-BR"/>
              </w:rPr>
              <w:t>IST-200-0</w:t>
            </w:r>
          </w:p>
        </w:tc>
        <w:tc>
          <w:tcPr>
            <w:tcW w:w="1229" w:type="dxa"/>
          </w:tcPr>
          <w:p w14:paraId="759517D2" w14:textId="77777777" w:rsidR="002F01BA" w:rsidRPr="00A979EB" w:rsidRDefault="002F01BA" w:rsidP="002F01BA">
            <w:pPr>
              <w:spacing w:after="0" w:line="240" w:lineRule="auto"/>
              <w:rPr>
                <w:rFonts w:ascii="Times New Roman" w:eastAsia="Arial" w:hAnsi="Times New Roman" w:cs="Times New Roman"/>
                <w:sz w:val="20"/>
                <w:szCs w:val="20"/>
                <w:lang w:eastAsia="pt-BR"/>
              </w:rPr>
            </w:pPr>
            <w:r w:rsidRPr="00A979EB">
              <w:rPr>
                <w:rFonts w:ascii="Times New Roman" w:eastAsia="Times New Roman" w:hAnsi="Times New Roman" w:cs="Times New Roman"/>
                <w:sz w:val="20"/>
                <w:szCs w:val="20"/>
                <w:lang w:eastAsia="pt-BR"/>
              </w:rPr>
              <w:t>0,65</w:t>
            </w:r>
          </w:p>
        </w:tc>
        <w:tc>
          <w:tcPr>
            <w:tcW w:w="1275" w:type="dxa"/>
          </w:tcPr>
          <w:p w14:paraId="73BFC52D" w14:textId="77777777" w:rsidR="002F01BA" w:rsidRPr="00A979EB" w:rsidRDefault="002F01BA" w:rsidP="002F01BA">
            <w:pPr>
              <w:spacing w:after="0" w:line="240" w:lineRule="auto"/>
              <w:rPr>
                <w:rFonts w:ascii="Times New Roman" w:eastAsia="Arial" w:hAnsi="Times New Roman" w:cs="Times New Roman"/>
                <w:sz w:val="20"/>
                <w:szCs w:val="20"/>
                <w:lang w:eastAsia="pt-BR"/>
              </w:rPr>
            </w:pPr>
            <w:r w:rsidRPr="00A979EB">
              <w:rPr>
                <w:rFonts w:ascii="Times New Roman" w:eastAsia="Times New Roman" w:hAnsi="Times New Roman" w:cs="Times New Roman"/>
                <w:sz w:val="20"/>
                <w:szCs w:val="20"/>
                <w:lang w:eastAsia="pt-BR"/>
              </w:rPr>
              <w:t>1,41</w:t>
            </w:r>
          </w:p>
        </w:tc>
      </w:tr>
      <w:tr w:rsidR="002F01BA" w:rsidRPr="00A979EB" w14:paraId="21E7ADBA" w14:textId="77777777" w:rsidTr="002F01BA">
        <w:trPr>
          <w:trHeight w:val="20"/>
        </w:trPr>
        <w:tc>
          <w:tcPr>
            <w:tcW w:w="2032" w:type="dxa"/>
          </w:tcPr>
          <w:p w14:paraId="510E9FC3" w14:textId="77777777" w:rsidR="002F01BA" w:rsidRPr="00A979EB" w:rsidRDefault="002F01BA" w:rsidP="002F01BA">
            <w:pPr>
              <w:spacing w:after="0" w:line="240" w:lineRule="auto"/>
              <w:rPr>
                <w:rFonts w:ascii="Times New Roman" w:eastAsia="Arial" w:hAnsi="Times New Roman" w:cs="Times New Roman"/>
                <w:sz w:val="20"/>
                <w:szCs w:val="20"/>
                <w:lang w:eastAsia="pt-BR"/>
              </w:rPr>
            </w:pPr>
            <w:r w:rsidRPr="00A979EB">
              <w:rPr>
                <w:rFonts w:ascii="Times New Roman" w:eastAsia="Times New Roman" w:hAnsi="Times New Roman" w:cs="Times New Roman"/>
                <w:sz w:val="20"/>
                <w:szCs w:val="20"/>
                <w:lang w:eastAsia="pt-BR"/>
              </w:rPr>
              <w:t>IST-200-30</w:t>
            </w:r>
          </w:p>
        </w:tc>
        <w:tc>
          <w:tcPr>
            <w:tcW w:w="1229" w:type="dxa"/>
          </w:tcPr>
          <w:p w14:paraId="3913D634" w14:textId="77777777" w:rsidR="002F01BA" w:rsidRPr="00A979EB" w:rsidRDefault="002F01BA" w:rsidP="002F01BA">
            <w:pPr>
              <w:spacing w:after="0" w:line="240" w:lineRule="auto"/>
              <w:rPr>
                <w:rFonts w:ascii="Times New Roman" w:eastAsia="Arial" w:hAnsi="Times New Roman" w:cs="Times New Roman"/>
                <w:sz w:val="20"/>
                <w:szCs w:val="20"/>
                <w:lang w:eastAsia="pt-BR"/>
              </w:rPr>
            </w:pPr>
            <w:r w:rsidRPr="00A979EB">
              <w:rPr>
                <w:rFonts w:ascii="Times New Roman" w:eastAsia="Times New Roman" w:hAnsi="Times New Roman" w:cs="Times New Roman"/>
                <w:sz w:val="20"/>
                <w:szCs w:val="20"/>
                <w:lang w:eastAsia="pt-BR"/>
              </w:rPr>
              <w:t>0,63</w:t>
            </w:r>
          </w:p>
        </w:tc>
        <w:tc>
          <w:tcPr>
            <w:tcW w:w="1275" w:type="dxa"/>
          </w:tcPr>
          <w:p w14:paraId="490D64FA" w14:textId="77777777" w:rsidR="002F01BA" w:rsidRPr="00A979EB" w:rsidRDefault="002F01BA" w:rsidP="002F01BA">
            <w:pPr>
              <w:spacing w:after="0" w:line="240" w:lineRule="auto"/>
              <w:rPr>
                <w:rFonts w:ascii="Times New Roman" w:eastAsia="Arial" w:hAnsi="Times New Roman" w:cs="Times New Roman"/>
                <w:sz w:val="20"/>
                <w:szCs w:val="20"/>
                <w:lang w:eastAsia="pt-BR"/>
              </w:rPr>
            </w:pPr>
            <w:r w:rsidRPr="00A979EB">
              <w:rPr>
                <w:rFonts w:ascii="Times New Roman" w:eastAsia="Times New Roman" w:hAnsi="Times New Roman" w:cs="Times New Roman"/>
                <w:sz w:val="20"/>
                <w:szCs w:val="20"/>
                <w:lang w:eastAsia="pt-BR"/>
              </w:rPr>
              <w:t>1,38</w:t>
            </w:r>
          </w:p>
        </w:tc>
      </w:tr>
      <w:tr w:rsidR="002F01BA" w:rsidRPr="00A979EB" w14:paraId="65578751" w14:textId="77777777" w:rsidTr="002F01BA">
        <w:trPr>
          <w:trHeight w:val="20"/>
        </w:trPr>
        <w:tc>
          <w:tcPr>
            <w:tcW w:w="2032" w:type="dxa"/>
          </w:tcPr>
          <w:p w14:paraId="5000896B" w14:textId="77777777" w:rsidR="002F01BA" w:rsidRPr="00A979EB" w:rsidRDefault="002F01BA" w:rsidP="002F01BA">
            <w:pPr>
              <w:spacing w:after="0" w:line="240" w:lineRule="auto"/>
              <w:rPr>
                <w:rFonts w:ascii="Times New Roman" w:eastAsia="Arial" w:hAnsi="Times New Roman" w:cs="Times New Roman"/>
                <w:sz w:val="20"/>
                <w:szCs w:val="20"/>
                <w:lang w:eastAsia="pt-BR"/>
              </w:rPr>
            </w:pPr>
            <w:r w:rsidRPr="00A979EB">
              <w:rPr>
                <w:rFonts w:ascii="Times New Roman" w:eastAsia="Times New Roman" w:hAnsi="Times New Roman" w:cs="Times New Roman"/>
                <w:sz w:val="20"/>
                <w:szCs w:val="20"/>
                <w:lang w:eastAsia="pt-BR"/>
              </w:rPr>
              <w:t>IST-200-60</w:t>
            </w:r>
          </w:p>
        </w:tc>
        <w:tc>
          <w:tcPr>
            <w:tcW w:w="1229" w:type="dxa"/>
          </w:tcPr>
          <w:p w14:paraId="3FA4A756" w14:textId="77777777" w:rsidR="002F01BA" w:rsidRPr="00A979EB" w:rsidRDefault="002F01BA" w:rsidP="002F01BA">
            <w:pPr>
              <w:spacing w:after="0" w:line="240" w:lineRule="auto"/>
              <w:rPr>
                <w:rFonts w:ascii="Times New Roman" w:eastAsia="Arial" w:hAnsi="Times New Roman" w:cs="Times New Roman"/>
                <w:sz w:val="20"/>
                <w:szCs w:val="20"/>
                <w:lang w:eastAsia="pt-BR"/>
              </w:rPr>
            </w:pPr>
            <w:r w:rsidRPr="00A979EB">
              <w:rPr>
                <w:rFonts w:ascii="Times New Roman" w:eastAsia="Times New Roman" w:hAnsi="Times New Roman" w:cs="Times New Roman"/>
                <w:sz w:val="20"/>
                <w:szCs w:val="20"/>
                <w:lang w:eastAsia="pt-BR"/>
              </w:rPr>
              <w:t>0,62</w:t>
            </w:r>
          </w:p>
        </w:tc>
        <w:tc>
          <w:tcPr>
            <w:tcW w:w="1275" w:type="dxa"/>
          </w:tcPr>
          <w:p w14:paraId="2AB46370" w14:textId="77777777" w:rsidR="002F01BA" w:rsidRPr="00A979EB" w:rsidRDefault="002F01BA" w:rsidP="002F01BA">
            <w:pPr>
              <w:spacing w:after="0" w:line="240" w:lineRule="auto"/>
              <w:rPr>
                <w:rFonts w:ascii="Times New Roman" w:eastAsia="Arial" w:hAnsi="Times New Roman" w:cs="Times New Roman"/>
                <w:sz w:val="20"/>
                <w:szCs w:val="20"/>
                <w:lang w:eastAsia="pt-BR"/>
              </w:rPr>
            </w:pPr>
            <w:r w:rsidRPr="00A979EB">
              <w:rPr>
                <w:rFonts w:ascii="Times New Roman" w:eastAsia="Times New Roman" w:hAnsi="Times New Roman" w:cs="Times New Roman"/>
                <w:sz w:val="20"/>
                <w:szCs w:val="20"/>
                <w:lang w:eastAsia="pt-BR"/>
              </w:rPr>
              <w:t>1,37</w:t>
            </w:r>
          </w:p>
        </w:tc>
      </w:tr>
      <w:tr w:rsidR="002F01BA" w:rsidRPr="00A979EB" w14:paraId="6D51883F" w14:textId="77777777" w:rsidTr="002F01BA">
        <w:trPr>
          <w:trHeight w:val="20"/>
        </w:trPr>
        <w:tc>
          <w:tcPr>
            <w:tcW w:w="2032" w:type="dxa"/>
          </w:tcPr>
          <w:p w14:paraId="69EF2124" w14:textId="77777777" w:rsidR="002F01BA" w:rsidRPr="00A979EB" w:rsidRDefault="002F01BA" w:rsidP="002F01BA">
            <w:pPr>
              <w:spacing w:after="0" w:line="240" w:lineRule="auto"/>
              <w:rPr>
                <w:rFonts w:ascii="Times New Roman" w:eastAsia="Arial" w:hAnsi="Times New Roman" w:cs="Times New Roman"/>
                <w:sz w:val="20"/>
                <w:szCs w:val="20"/>
                <w:lang w:eastAsia="pt-BR"/>
              </w:rPr>
            </w:pPr>
            <w:r w:rsidRPr="00A979EB">
              <w:rPr>
                <w:rFonts w:ascii="Times New Roman" w:eastAsia="Times New Roman" w:hAnsi="Times New Roman" w:cs="Times New Roman"/>
                <w:sz w:val="20"/>
                <w:szCs w:val="20"/>
                <w:lang w:eastAsia="pt-BR"/>
              </w:rPr>
              <w:t>IST-250-0</w:t>
            </w:r>
          </w:p>
        </w:tc>
        <w:tc>
          <w:tcPr>
            <w:tcW w:w="1229" w:type="dxa"/>
          </w:tcPr>
          <w:p w14:paraId="15D73F71" w14:textId="77777777" w:rsidR="002F01BA" w:rsidRPr="00A979EB" w:rsidRDefault="002F01BA" w:rsidP="002F01BA">
            <w:pPr>
              <w:spacing w:after="0" w:line="240" w:lineRule="auto"/>
              <w:rPr>
                <w:rFonts w:ascii="Times New Roman" w:eastAsia="Arial" w:hAnsi="Times New Roman" w:cs="Times New Roman"/>
                <w:sz w:val="20"/>
                <w:szCs w:val="20"/>
                <w:lang w:eastAsia="pt-BR"/>
              </w:rPr>
            </w:pPr>
            <w:r w:rsidRPr="00A979EB">
              <w:rPr>
                <w:rFonts w:ascii="Times New Roman" w:eastAsia="Times New Roman" w:hAnsi="Times New Roman" w:cs="Times New Roman"/>
                <w:sz w:val="20"/>
                <w:szCs w:val="20"/>
                <w:lang w:eastAsia="pt-BR"/>
              </w:rPr>
              <w:t>0,63</w:t>
            </w:r>
          </w:p>
        </w:tc>
        <w:tc>
          <w:tcPr>
            <w:tcW w:w="1275" w:type="dxa"/>
          </w:tcPr>
          <w:p w14:paraId="7DA991F6" w14:textId="77777777" w:rsidR="002F01BA" w:rsidRPr="00A979EB" w:rsidRDefault="002F01BA" w:rsidP="002F01BA">
            <w:pPr>
              <w:spacing w:after="0" w:line="240" w:lineRule="auto"/>
              <w:rPr>
                <w:rFonts w:ascii="Times New Roman" w:eastAsia="Arial" w:hAnsi="Times New Roman" w:cs="Times New Roman"/>
                <w:sz w:val="20"/>
                <w:szCs w:val="20"/>
                <w:lang w:eastAsia="pt-BR"/>
              </w:rPr>
            </w:pPr>
            <w:r w:rsidRPr="00A979EB">
              <w:rPr>
                <w:rFonts w:ascii="Times New Roman" w:eastAsia="Times New Roman" w:hAnsi="Times New Roman" w:cs="Times New Roman"/>
                <w:sz w:val="20"/>
                <w:szCs w:val="20"/>
                <w:lang w:eastAsia="pt-BR"/>
              </w:rPr>
              <w:t>1,38</w:t>
            </w:r>
          </w:p>
        </w:tc>
      </w:tr>
      <w:tr w:rsidR="002F01BA" w:rsidRPr="00A979EB" w14:paraId="1AB66338" w14:textId="77777777" w:rsidTr="002F01BA">
        <w:trPr>
          <w:trHeight w:val="20"/>
        </w:trPr>
        <w:tc>
          <w:tcPr>
            <w:tcW w:w="2032" w:type="dxa"/>
          </w:tcPr>
          <w:p w14:paraId="6BE4B8B8" w14:textId="77777777" w:rsidR="002F01BA" w:rsidRPr="00A979EB" w:rsidRDefault="002F01BA" w:rsidP="002F01BA">
            <w:pPr>
              <w:spacing w:after="0" w:line="240" w:lineRule="auto"/>
              <w:rPr>
                <w:rFonts w:ascii="Times New Roman" w:eastAsia="Arial" w:hAnsi="Times New Roman" w:cs="Times New Roman"/>
                <w:sz w:val="20"/>
                <w:szCs w:val="20"/>
                <w:lang w:eastAsia="pt-BR"/>
              </w:rPr>
            </w:pPr>
            <w:r w:rsidRPr="00A979EB">
              <w:rPr>
                <w:rFonts w:ascii="Times New Roman" w:eastAsia="Times New Roman" w:hAnsi="Times New Roman" w:cs="Times New Roman"/>
                <w:sz w:val="20"/>
                <w:szCs w:val="20"/>
                <w:lang w:eastAsia="pt-BR"/>
              </w:rPr>
              <w:t>IST-250-30</w:t>
            </w:r>
          </w:p>
        </w:tc>
        <w:tc>
          <w:tcPr>
            <w:tcW w:w="1229" w:type="dxa"/>
          </w:tcPr>
          <w:p w14:paraId="408F50F9" w14:textId="77777777" w:rsidR="002F01BA" w:rsidRPr="00A979EB" w:rsidRDefault="002F01BA" w:rsidP="002F01BA">
            <w:pPr>
              <w:spacing w:after="0" w:line="240" w:lineRule="auto"/>
              <w:rPr>
                <w:rFonts w:ascii="Times New Roman" w:eastAsia="Arial" w:hAnsi="Times New Roman" w:cs="Times New Roman"/>
                <w:sz w:val="20"/>
                <w:szCs w:val="20"/>
                <w:lang w:eastAsia="pt-BR"/>
              </w:rPr>
            </w:pPr>
            <w:r w:rsidRPr="00A979EB">
              <w:rPr>
                <w:rFonts w:ascii="Times New Roman" w:eastAsia="Times New Roman" w:hAnsi="Times New Roman" w:cs="Times New Roman"/>
                <w:sz w:val="20"/>
                <w:szCs w:val="20"/>
                <w:lang w:eastAsia="pt-BR"/>
              </w:rPr>
              <w:t>0,60</w:t>
            </w:r>
          </w:p>
        </w:tc>
        <w:tc>
          <w:tcPr>
            <w:tcW w:w="1275" w:type="dxa"/>
          </w:tcPr>
          <w:p w14:paraId="55222A1C" w14:textId="77777777" w:rsidR="002F01BA" w:rsidRPr="00A979EB" w:rsidRDefault="002F01BA" w:rsidP="002F01BA">
            <w:pPr>
              <w:spacing w:after="0" w:line="240" w:lineRule="auto"/>
              <w:rPr>
                <w:rFonts w:ascii="Times New Roman" w:eastAsia="Arial" w:hAnsi="Times New Roman" w:cs="Times New Roman"/>
                <w:sz w:val="20"/>
                <w:szCs w:val="20"/>
                <w:lang w:eastAsia="pt-BR"/>
              </w:rPr>
            </w:pPr>
            <w:r w:rsidRPr="00A979EB">
              <w:rPr>
                <w:rFonts w:ascii="Times New Roman" w:eastAsia="Times New Roman" w:hAnsi="Times New Roman" w:cs="Times New Roman"/>
                <w:sz w:val="20"/>
                <w:szCs w:val="20"/>
                <w:lang w:eastAsia="pt-BR"/>
              </w:rPr>
              <w:t>1,35</w:t>
            </w:r>
          </w:p>
        </w:tc>
      </w:tr>
      <w:tr w:rsidR="002F01BA" w:rsidRPr="00A979EB" w14:paraId="263B4993" w14:textId="77777777" w:rsidTr="002F01BA">
        <w:trPr>
          <w:trHeight w:val="20"/>
        </w:trPr>
        <w:tc>
          <w:tcPr>
            <w:tcW w:w="2032" w:type="dxa"/>
          </w:tcPr>
          <w:p w14:paraId="62091629" w14:textId="77777777" w:rsidR="002F01BA" w:rsidRPr="00A979EB" w:rsidRDefault="002F01BA" w:rsidP="002F01BA">
            <w:pPr>
              <w:spacing w:after="0" w:line="240" w:lineRule="auto"/>
              <w:rPr>
                <w:rFonts w:ascii="Times New Roman" w:eastAsia="Arial" w:hAnsi="Times New Roman" w:cs="Times New Roman"/>
                <w:sz w:val="20"/>
                <w:szCs w:val="20"/>
                <w:lang w:eastAsia="pt-BR"/>
              </w:rPr>
            </w:pPr>
            <w:r w:rsidRPr="00A979EB">
              <w:rPr>
                <w:rFonts w:ascii="Times New Roman" w:eastAsia="Times New Roman" w:hAnsi="Times New Roman" w:cs="Times New Roman"/>
                <w:sz w:val="20"/>
                <w:szCs w:val="20"/>
                <w:lang w:eastAsia="pt-BR"/>
              </w:rPr>
              <w:t>IST-250-60</w:t>
            </w:r>
          </w:p>
        </w:tc>
        <w:tc>
          <w:tcPr>
            <w:tcW w:w="1229" w:type="dxa"/>
          </w:tcPr>
          <w:p w14:paraId="11A4134A" w14:textId="77777777" w:rsidR="002F01BA" w:rsidRPr="00A979EB" w:rsidRDefault="002F01BA" w:rsidP="002F01BA">
            <w:pPr>
              <w:spacing w:after="0" w:line="240" w:lineRule="auto"/>
              <w:rPr>
                <w:rFonts w:ascii="Times New Roman" w:eastAsia="Arial" w:hAnsi="Times New Roman" w:cs="Times New Roman"/>
                <w:sz w:val="20"/>
                <w:szCs w:val="20"/>
                <w:lang w:eastAsia="pt-BR"/>
              </w:rPr>
            </w:pPr>
            <w:r w:rsidRPr="00A979EB">
              <w:rPr>
                <w:rFonts w:ascii="Times New Roman" w:eastAsia="Times New Roman" w:hAnsi="Times New Roman" w:cs="Times New Roman"/>
                <w:sz w:val="20"/>
                <w:szCs w:val="20"/>
                <w:lang w:eastAsia="pt-BR"/>
              </w:rPr>
              <w:t>0,59</w:t>
            </w:r>
          </w:p>
        </w:tc>
        <w:tc>
          <w:tcPr>
            <w:tcW w:w="1275" w:type="dxa"/>
          </w:tcPr>
          <w:p w14:paraId="5E84C30A" w14:textId="77777777" w:rsidR="002F01BA" w:rsidRPr="00A979EB" w:rsidRDefault="002F01BA" w:rsidP="002F01BA">
            <w:pPr>
              <w:spacing w:after="0" w:line="240" w:lineRule="auto"/>
              <w:rPr>
                <w:rFonts w:ascii="Times New Roman" w:eastAsia="Arial" w:hAnsi="Times New Roman" w:cs="Times New Roman"/>
                <w:sz w:val="20"/>
                <w:szCs w:val="20"/>
                <w:lang w:eastAsia="pt-BR"/>
              </w:rPr>
            </w:pPr>
            <w:r w:rsidRPr="00A979EB">
              <w:rPr>
                <w:rFonts w:ascii="Times New Roman" w:eastAsia="Times New Roman" w:hAnsi="Times New Roman" w:cs="Times New Roman"/>
                <w:sz w:val="20"/>
                <w:szCs w:val="20"/>
                <w:lang w:eastAsia="pt-BR"/>
              </w:rPr>
              <w:t>1,33</w:t>
            </w:r>
          </w:p>
        </w:tc>
      </w:tr>
      <w:tr w:rsidR="002F01BA" w:rsidRPr="00A979EB" w14:paraId="77416518" w14:textId="77777777" w:rsidTr="002F01BA">
        <w:trPr>
          <w:trHeight w:val="20"/>
        </w:trPr>
        <w:tc>
          <w:tcPr>
            <w:tcW w:w="2032" w:type="dxa"/>
          </w:tcPr>
          <w:p w14:paraId="4B82584E" w14:textId="77777777" w:rsidR="002F01BA" w:rsidRPr="00A979EB" w:rsidRDefault="002F01BA" w:rsidP="002F01BA">
            <w:pPr>
              <w:spacing w:after="0" w:line="240" w:lineRule="auto"/>
              <w:rPr>
                <w:rFonts w:ascii="Times New Roman" w:eastAsia="Arial" w:hAnsi="Times New Roman" w:cs="Times New Roman"/>
                <w:sz w:val="20"/>
                <w:szCs w:val="20"/>
                <w:lang w:eastAsia="pt-BR"/>
              </w:rPr>
            </w:pPr>
            <w:r w:rsidRPr="00A979EB">
              <w:rPr>
                <w:rFonts w:ascii="Times New Roman" w:eastAsia="Times New Roman" w:hAnsi="Times New Roman" w:cs="Times New Roman"/>
                <w:sz w:val="20"/>
                <w:szCs w:val="20"/>
                <w:lang w:eastAsia="pt-BR"/>
              </w:rPr>
              <w:t>IST-300-0</w:t>
            </w:r>
          </w:p>
        </w:tc>
        <w:tc>
          <w:tcPr>
            <w:tcW w:w="1229" w:type="dxa"/>
          </w:tcPr>
          <w:p w14:paraId="62828240" w14:textId="77777777" w:rsidR="002F01BA" w:rsidRPr="00A979EB" w:rsidRDefault="002F01BA" w:rsidP="002F01BA">
            <w:pPr>
              <w:spacing w:after="0" w:line="240" w:lineRule="auto"/>
              <w:rPr>
                <w:rFonts w:ascii="Times New Roman" w:eastAsia="Arial" w:hAnsi="Times New Roman" w:cs="Times New Roman"/>
                <w:sz w:val="20"/>
                <w:szCs w:val="20"/>
                <w:lang w:eastAsia="pt-BR"/>
              </w:rPr>
            </w:pPr>
            <w:r w:rsidRPr="00A979EB">
              <w:rPr>
                <w:rFonts w:ascii="Times New Roman" w:eastAsia="Times New Roman" w:hAnsi="Times New Roman" w:cs="Times New Roman"/>
                <w:sz w:val="20"/>
                <w:szCs w:val="20"/>
                <w:lang w:eastAsia="pt-BR"/>
              </w:rPr>
              <w:t>0,60</w:t>
            </w:r>
          </w:p>
        </w:tc>
        <w:tc>
          <w:tcPr>
            <w:tcW w:w="1275" w:type="dxa"/>
          </w:tcPr>
          <w:p w14:paraId="43CBA9E4" w14:textId="77777777" w:rsidR="002F01BA" w:rsidRPr="00A979EB" w:rsidRDefault="002F01BA" w:rsidP="002F01BA">
            <w:pPr>
              <w:spacing w:after="0" w:line="240" w:lineRule="auto"/>
              <w:rPr>
                <w:rFonts w:ascii="Times New Roman" w:eastAsia="Arial" w:hAnsi="Times New Roman" w:cs="Times New Roman"/>
                <w:sz w:val="20"/>
                <w:szCs w:val="20"/>
                <w:lang w:eastAsia="pt-BR"/>
              </w:rPr>
            </w:pPr>
            <w:r w:rsidRPr="00A979EB">
              <w:rPr>
                <w:rFonts w:ascii="Times New Roman" w:eastAsia="Times New Roman" w:hAnsi="Times New Roman" w:cs="Times New Roman"/>
                <w:sz w:val="20"/>
                <w:szCs w:val="20"/>
                <w:lang w:eastAsia="pt-BR"/>
              </w:rPr>
              <w:t>1,34</w:t>
            </w:r>
          </w:p>
        </w:tc>
      </w:tr>
      <w:tr w:rsidR="002F01BA" w:rsidRPr="00A979EB" w14:paraId="3B1278B0" w14:textId="77777777" w:rsidTr="002F01BA">
        <w:trPr>
          <w:trHeight w:val="20"/>
        </w:trPr>
        <w:tc>
          <w:tcPr>
            <w:tcW w:w="2032" w:type="dxa"/>
          </w:tcPr>
          <w:p w14:paraId="22D03EAF" w14:textId="77777777" w:rsidR="002F01BA" w:rsidRPr="00A979EB" w:rsidRDefault="002F01BA" w:rsidP="002F01BA">
            <w:pPr>
              <w:spacing w:after="0" w:line="240" w:lineRule="auto"/>
              <w:rPr>
                <w:rFonts w:ascii="Times New Roman" w:eastAsia="Arial" w:hAnsi="Times New Roman" w:cs="Times New Roman"/>
                <w:sz w:val="20"/>
                <w:szCs w:val="20"/>
                <w:lang w:eastAsia="pt-BR"/>
              </w:rPr>
            </w:pPr>
            <w:r w:rsidRPr="00A979EB">
              <w:rPr>
                <w:rFonts w:ascii="Times New Roman" w:eastAsia="Times New Roman" w:hAnsi="Times New Roman" w:cs="Times New Roman"/>
                <w:sz w:val="20"/>
                <w:szCs w:val="20"/>
                <w:lang w:eastAsia="pt-BR"/>
              </w:rPr>
              <w:t>IST-300-30</w:t>
            </w:r>
          </w:p>
        </w:tc>
        <w:tc>
          <w:tcPr>
            <w:tcW w:w="1229" w:type="dxa"/>
          </w:tcPr>
          <w:p w14:paraId="2A0187E2" w14:textId="77777777" w:rsidR="002F01BA" w:rsidRPr="00A979EB" w:rsidRDefault="002F01BA" w:rsidP="002F01BA">
            <w:pPr>
              <w:spacing w:after="0" w:line="240" w:lineRule="auto"/>
              <w:rPr>
                <w:rFonts w:ascii="Times New Roman" w:eastAsia="Arial" w:hAnsi="Times New Roman" w:cs="Times New Roman"/>
                <w:sz w:val="20"/>
                <w:szCs w:val="20"/>
                <w:lang w:eastAsia="pt-BR"/>
              </w:rPr>
            </w:pPr>
            <w:r w:rsidRPr="00A979EB">
              <w:rPr>
                <w:rFonts w:ascii="Times New Roman" w:eastAsia="Times New Roman" w:hAnsi="Times New Roman" w:cs="Times New Roman"/>
                <w:sz w:val="20"/>
                <w:szCs w:val="20"/>
                <w:lang w:eastAsia="pt-BR"/>
              </w:rPr>
              <w:t>0,56</w:t>
            </w:r>
          </w:p>
        </w:tc>
        <w:tc>
          <w:tcPr>
            <w:tcW w:w="1275" w:type="dxa"/>
          </w:tcPr>
          <w:p w14:paraId="17C6A772" w14:textId="77777777" w:rsidR="002F01BA" w:rsidRPr="00A979EB" w:rsidRDefault="002F01BA" w:rsidP="002F01BA">
            <w:pPr>
              <w:spacing w:after="0" w:line="240" w:lineRule="auto"/>
              <w:rPr>
                <w:rFonts w:ascii="Times New Roman" w:eastAsia="Arial" w:hAnsi="Times New Roman" w:cs="Times New Roman"/>
                <w:sz w:val="20"/>
                <w:szCs w:val="20"/>
                <w:lang w:eastAsia="pt-BR"/>
              </w:rPr>
            </w:pPr>
            <w:r w:rsidRPr="00A979EB">
              <w:rPr>
                <w:rFonts w:ascii="Times New Roman" w:eastAsia="Times New Roman" w:hAnsi="Times New Roman" w:cs="Times New Roman"/>
                <w:sz w:val="20"/>
                <w:szCs w:val="20"/>
                <w:lang w:eastAsia="pt-BR"/>
              </w:rPr>
              <w:t>1,27</w:t>
            </w:r>
          </w:p>
        </w:tc>
      </w:tr>
      <w:tr w:rsidR="002F01BA" w:rsidRPr="00A979EB" w14:paraId="3DBB7F74" w14:textId="77777777" w:rsidTr="002F01BA">
        <w:trPr>
          <w:trHeight w:val="20"/>
        </w:trPr>
        <w:tc>
          <w:tcPr>
            <w:tcW w:w="2032" w:type="dxa"/>
          </w:tcPr>
          <w:p w14:paraId="4EACBB39" w14:textId="77777777" w:rsidR="002F01BA" w:rsidRPr="00A979EB" w:rsidRDefault="002F01BA" w:rsidP="002F01BA">
            <w:pPr>
              <w:spacing w:after="0" w:line="240" w:lineRule="auto"/>
              <w:rPr>
                <w:rFonts w:ascii="Times New Roman" w:eastAsia="Arial" w:hAnsi="Times New Roman" w:cs="Times New Roman"/>
                <w:sz w:val="20"/>
                <w:szCs w:val="20"/>
                <w:lang w:eastAsia="pt-BR"/>
              </w:rPr>
            </w:pPr>
            <w:r w:rsidRPr="00A979EB">
              <w:rPr>
                <w:rFonts w:ascii="Times New Roman" w:eastAsia="Times New Roman" w:hAnsi="Times New Roman" w:cs="Times New Roman"/>
                <w:sz w:val="20"/>
                <w:szCs w:val="20"/>
                <w:lang w:eastAsia="pt-BR"/>
              </w:rPr>
              <w:t>IST-300-60</w:t>
            </w:r>
          </w:p>
        </w:tc>
        <w:tc>
          <w:tcPr>
            <w:tcW w:w="1229" w:type="dxa"/>
          </w:tcPr>
          <w:p w14:paraId="539757E4" w14:textId="77777777" w:rsidR="002F01BA" w:rsidRPr="00A979EB" w:rsidRDefault="002F01BA" w:rsidP="002F01BA">
            <w:pPr>
              <w:spacing w:after="0" w:line="240" w:lineRule="auto"/>
              <w:rPr>
                <w:rFonts w:ascii="Times New Roman" w:eastAsia="Arial" w:hAnsi="Times New Roman" w:cs="Times New Roman"/>
                <w:sz w:val="20"/>
                <w:szCs w:val="20"/>
                <w:lang w:eastAsia="pt-BR"/>
              </w:rPr>
            </w:pPr>
            <w:r w:rsidRPr="00A979EB">
              <w:rPr>
                <w:rFonts w:ascii="Times New Roman" w:eastAsia="Times New Roman" w:hAnsi="Times New Roman" w:cs="Times New Roman"/>
                <w:sz w:val="20"/>
                <w:szCs w:val="20"/>
                <w:lang w:eastAsia="pt-BR"/>
              </w:rPr>
              <w:t>0,54</w:t>
            </w:r>
          </w:p>
        </w:tc>
        <w:tc>
          <w:tcPr>
            <w:tcW w:w="1275" w:type="dxa"/>
          </w:tcPr>
          <w:p w14:paraId="7013AC07" w14:textId="77777777" w:rsidR="002F01BA" w:rsidRPr="00A979EB" w:rsidRDefault="002F01BA" w:rsidP="002F01BA">
            <w:pPr>
              <w:spacing w:after="0" w:line="240" w:lineRule="auto"/>
              <w:rPr>
                <w:rFonts w:ascii="Times New Roman" w:eastAsia="Arial" w:hAnsi="Times New Roman" w:cs="Times New Roman"/>
                <w:sz w:val="20"/>
                <w:szCs w:val="20"/>
                <w:lang w:eastAsia="pt-BR"/>
              </w:rPr>
            </w:pPr>
            <w:r w:rsidRPr="00A979EB">
              <w:rPr>
                <w:rFonts w:ascii="Times New Roman" w:eastAsia="Times New Roman" w:hAnsi="Times New Roman" w:cs="Times New Roman"/>
                <w:sz w:val="20"/>
                <w:szCs w:val="20"/>
                <w:lang w:eastAsia="pt-BR"/>
              </w:rPr>
              <w:t>1,25</w:t>
            </w:r>
          </w:p>
        </w:tc>
      </w:tr>
    </w:tbl>
    <w:p w14:paraId="69994B7A" w14:textId="77777777" w:rsidR="00E4644E" w:rsidRDefault="00E4644E" w:rsidP="00E4644E">
      <w:pPr>
        <w:jc w:val="both"/>
        <w:rPr>
          <w:rFonts w:ascii="Times New Roman" w:hAnsi="Times New Roman" w:cs="Times New Roman"/>
          <w:sz w:val="20"/>
          <w:szCs w:val="20"/>
        </w:rPr>
      </w:pPr>
      <w:r w:rsidRPr="001C7BE0">
        <w:rPr>
          <w:rFonts w:ascii="Times New Roman" w:hAnsi="Times New Roman" w:cs="Times New Roman"/>
          <w:b/>
          <w:bCs/>
          <w:sz w:val="20"/>
          <w:szCs w:val="20"/>
        </w:rPr>
        <w:t xml:space="preserve">Tabela </w:t>
      </w:r>
      <w:r>
        <w:rPr>
          <w:rFonts w:ascii="Times New Roman" w:hAnsi="Times New Roman" w:cs="Times New Roman"/>
          <w:b/>
          <w:bCs/>
          <w:sz w:val="20"/>
          <w:szCs w:val="20"/>
        </w:rPr>
        <w:t>2</w:t>
      </w:r>
      <w:r w:rsidRPr="001C7BE0">
        <w:rPr>
          <w:rFonts w:ascii="Times New Roman" w:hAnsi="Times New Roman" w:cs="Times New Roman"/>
          <w:b/>
          <w:bCs/>
          <w:sz w:val="20"/>
          <w:szCs w:val="20"/>
        </w:rPr>
        <w:t>.</w:t>
      </w:r>
      <w:r w:rsidRPr="001C7BE0">
        <w:rPr>
          <w:rFonts w:ascii="Times New Roman" w:hAnsi="Times New Roman" w:cs="Times New Roman"/>
          <w:sz w:val="20"/>
          <w:szCs w:val="20"/>
        </w:rPr>
        <w:t xml:space="preserve"> Razoes molar</w:t>
      </w:r>
      <w:r>
        <w:rPr>
          <w:rFonts w:ascii="Times New Roman" w:hAnsi="Times New Roman" w:cs="Times New Roman"/>
          <w:sz w:val="20"/>
          <w:szCs w:val="20"/>
        </w:rPr>
        <w:t>es</w:t>
      </w:r>
      <w:r w:rsidRPr="001C7BE0">
        <w:rPr>
          <w:rFonts w:ascii="Times New Roman" w:hAnsi="Times New Roman" w:cs="Times New Roman"/>
          <w:sz w:val="20"/>
          <w:szCs w:val="20"/>
        </w:rPr>
        <w:t xml:space="preserve"> O/C e H/C para o inajá e amostras torrificadas.</w:t>
      </w:r>
    </w:p>
    <w:p w14:paraId="20AA905D" w14:textId="6AECF83C" w:rsidR="00EA4E1B" w:rsidRPr="001F25B2" w:rsidRDefault="00EA4E1B" w:rsidP="00B87106">
      <w:pPr>
        <w:pStyle w:val="Ttulo2"/>
        <w:rPr>
          <w:rFonts w:ascii="Helvetica" w:hAnsi="Helvetica" w:cs="Helvetica"/>
          <w:sz w:val="24"/>
          <w:szCs w:val="24"/>
        </w:rPr>
      </w:pPr>
      <w:r w:rsidRPr="001F25B2">
        <w:rPr>
          <w:rFonts w:ascii="Helvetica" w:hAnsi="Helvetica" w:cs="Helvetica"/>
          <w:sz w:val="24"/>
          <w:szCs w:val="24"/>
        </w:rPr>
        <w:t>Conclusões</w:t>
      </w:r>
    </w:p>
    <w:p w14:paraId="4A70FE93" w14:textId="3DFC7FF8" w:rsidR="00EA4E1B" w:rsidRPr="001F25B2" w:rsidRDefault="0087705E" w:rsidP="00EA4E1B">
      <w:pPr>
        <w:pStyle w:val="TAMainText"/>
        <w:ind w:firstLine="187"/>
        <w:rPr>
          <w:rFonts w:ascii="Times New Roman" w:hAnsi="Times New Roman"/>
          <w:lang w:val="pt-BR"/>
        </w:rPr>
      </w:pPr>
      <w:r>
        <w:rPr>
          <w:rFonts w:ascii="Times New Roman" w:hAnsi="Times New Roman"/>
          <w:lang w:val="pt-BR"/>
        </w:rPr>
        <w:t xml:space="preserve">O trabalho mostrou que a biomassa residual o caroço do inajá pode ser utilizado para produção de biocarvões através do processo de torrefação. Os resultados de adsorção serão </w:t>
      </w:r>
      <w:r w:rsidR="002F01BA">
        <w:rPr>
          <w:rFonts w:ascii="Times New Roman" w:hAnsi="Times New Roman"/>
          <w:lang w:val="pt-BR"/>
        </w:rPr>
        <w:t>apresentados</w:t>
      </w:r>
      <w:r>
        <w:rPr>
          <w:rFonts w:ascii="Times New Roman" w:hAnsi="Times New Roman"/>
          <w:lang w:val="pt-BR"/>
        </w:rPr>
        <w:t xml:space="preserve"> no 22° </w:t>
      </w:r>
      <w:proofErr w:type="spellStart"/>
      <w:r>
        <w:rPr>
          <w:rFonts w:ascii="Times New Roman" w:hAnsi="Times New Roman"/>
          <w:lang w:val="pt-BR"/>
        </w:rPr>
        <w:t>CBCat</w:t>
      </w:r>
      <w:proofErr w:type="spellEnd"/>
      <w:r>
        <w:rPr>
          <w:rFonts w:ascii="Times New Roman" w:hAnsi="Times New Roman"/>
          <w:lang w:val="pt-BR"/>
        </w:rPr>
        <w:t>.</w:t>
      </w:r>
    </w:p>
    <w:p w14:paraId="6BE32F7B" w14:textId="4F456A38" w:rsidR="00EA4E1B" w:rsidRDefault="00EA4E1B" w:rsidP="00EA4E1B">
      <w:pPr>
        <w:pStyle w:val="Ttulo2"/>
        <w:rPr>
          <w:rFonts w:ascii="Helvetica" w:hAnsi="Helvetica" w:cs="Helvetica"/>
          <w:sz w:val="24"/>
          <w:szCs w:val="24"/>
        </w:rPr>
      </w:pPr>
      <w:r w:rsidRPr="001F25B2">
        <w:rPr>
          <w:rFonts w:ascii="Helvetica" w:hAnsi="Helvetica" w:cs="Helvetica"/>
          <w:sz w:val="24"/>
          <w:szCs w:val="24"/>
        </w:rPr>
        <w:t>Agradecimentos</w:t>
      </w:r>
    </w:p>
    <w:p w14:paraId="193D7D5C" w14:textId="790282A0" w:rsidR="0087705E" w:rsidRPr="0087705E" w:rsidRDefault="0087705E" w:rsidP="0087705E">
      <w:pPr>
        <w:pStyle w:val="Ttulo2"/>
        <w:jc w:val="both"/>
        <w:rPr>
          <w:rFonts w:ascii="Times New Roman" w:hAnsi="Times New Roman" w:cs="Times New Roman"/>
          <w:sz w:val="20"/>
          <w:szCs w:val="20"/>
          <w:lang w:eastAsia="pt-BR"/>
        </w:rPr>
      </w:pPr>
      <w:r w:rsidRPr="0087705E">
        <w:rPr>
          <w:rFonts w:ascii="Times New Roman" w:hAnsi="Times New Roman" w:cs="Times New Roman"/>
          <w:sz w:val="20"/>
          <w:szCs w:val="20"/>
          <w:lang w:eastAsia="pt-BR"/>
        </w:rPr>
        <w:t xml:space="preserve">Laboratório de Óleos da Amazônia </w:t>
      </w:r>
      <w:r>
        <w:rPr>
          <w:rFonts w:ascii="Times New Roman" w:hAnsi="Times New Roman" w:cs="Times New Roman"/>
          <w:sz w:val="20"/>
          <w:szCs w:val="20"/>
          <w:lang w:eastAsia="pt-BR"/>
        </w:rPr>
        <w:t xml:space="preserve">(LOA), </w:t>
      </w:r>
      <w:r w:rsidRPr="0087705E">
        <w:rPr>
          <w:rFonts w:ascii="Times New Roman" w:hAnsi="Times New Roman" w:cs="Times New Roman"/>
          <w:sz w:val="20"/>
          <w:szCs w:val="20"/>
          <w:lang w:eastAsia="pt-BR"/>
        </w:rPr>
        <w:t>Laboratório de Pesquisa e Análise de Combustíveis</w:t>
      </w:r>
      <w:r>
        <w:rPr>
          <w:rFonts w:ascii="Times New Roman" w:hAnsi="Times New Roman" w:cs="Times New Roman"/>
          <w:sz w:val="20"/>
          <w:szCs w:val="20"/>
          <w:lang w:eastAsia="pt-BR"/>
        </w:rPr>
        <w:t xml:space="preserve"> (LAPAC), </w:t>
      </w:r>
      <w:r w:rsidRPr="0087705E">
        <w:rPr>
          <w:rFonts w:ascii="Times New Roman" w:hAnsi="Times New Roman" w:cs="Times New Roman"/>
          <w:sz w:val="20"/>
          <w:szCs w:val="20"/>
          <w:lang w:eastAsia="pt-BR"/>
        </w:rPr>
        <w:t xml:space="preserve">Laboratório de Pesquisa e </w:t>
      </w:r>
      <w:r>
        <w:rPr>
          <w:rFonts w:ascii="Times New Roman" w:hAnsi="Times New Roman" w:cs="Times New Roman"/>
          <w:sz w:val="20"/>
          <w:szCs w:val="20"/>
          <w:lang w:eastAsia="pt-BR"/>
        </w:rPr>
        <w:t xml:space="preserve">Ensaios </w:t>
      </w:r>
      <w:r w:rsidR="00FB5112">
        <w:rPr>
          <w:rFonts w:ascii="Times New Roman" w:hAnsi="Times New Roman" w:cs="Times New Roman"/>
          <w:sz w:val="20"/>
          <w:szCs w:val="20"/>
          <w:lang w:eastAsia="pt-BR"/>
        </w:rPr>
        <w:t xml:space="preserve">de </w:t>
      </w:r>
      <w:r w:rsidR="00FB5112" w:rsidRPr="0087705E">
        <w:rPr>
          <w:rFonts w:ascii="Times New Roman" w:hAnsi="Times New Roman" w:cs="Times New Roman"/>
          <w:sz w:val="20"/>
          <w:szCs w:val="20"/>
          <w:lang w:eastAsia="pt-BR"/>
        </w:rPr>
        <w:t>Combustíveis</w:t>
      </w:r>
      <w:r>
        <w:rPr>
          <w:rFonts w:ascii="Times New Roman" w:hAnsi="Times New Roman" w:cs="Times New Roman"/>
          <w:sz w:val="20"/>
          <w:szCs w:val="20"/>
          <w:lang w:eastAsia="pt-BR"/>
        </w:rPr>
        <w:t xml:space="preserve"> (LAPEC) e UFPA.</w:t>
      </w:r>
    </w:p>
    <w:p w14:paraId="158D911D" w14:textId="11D2E3ED" w:rsidR="00EA4E1B" w:rsidRPr="007B2E80" w:rsidRDefault="00EA4E1B" w:rsidP="00FB5112">
      <w:pPr>
        <w:pStyle w:val="Ttulo2"/>
        <w:rPr>
          <w:rFonts w:ascii="Helvetica" w:hAnsi="Helvetica" w:cs="Helvetica"/>
          <w:sz w:val="24"/>
          <w:szCs w:val="24"/>
          <w:lang w:val="en-US"/>
        </w:rPr>
      </w:pPr>
      <w:proofErr w:type="spellStart"/>
      <w:r w:rsidRPr="007B2E80">
        <w:rPr>
          <w:rFonts w:ascii="Helvetica" w:hAnsi="Helvetica" w:cs="Helvetica"/>
          <w:sz w:val="24"/>
          <w:szCs w:val="24"/>
          <w:lang w:val="en-US"/>
        </w:rPr>
        <w:t>Referências</w:t>
      </w:r>
      <w:proofErr w:type="spellEnd"/>
    </w:p>
    <w:p w14:paraId="1F291512" w14:textId="6EEF8D04" w:rsidR="003627D8" w:rsidRPr="00B533F4" w:rsidRDefault="003627D8" w:rsidP="003627D8">
      <w:pPr>
        <w:spacing w:line="240" w:lineRule="auto"/>
        <w:jc w:val="both"/>
        <w:rPr>
          <w:rFonts w:ascii="Times New Roman" w:hAnsi="Times New Roman" w:cs="Times New Roman"/>
          <w:sz w:val="12"/>
          <w:szCs w:val="12"/>
          <w:lang w:val="en-US"/>
        </w:rPr>
      </w:pPr>
      <w:r w:rsidRPr="003627D8">
        <w:rPr>
          <w:rFonts w:ascii="Times New Roman" w:hAnsi="Times New Roman" w:cs="Times New Roman"/>
          <w:sz w:val="12"/>
          <w:szCs w:val="12"/>
          <w:lang w:val="en-US"/>
        </w:rPr>
        <w:t xml:space="preserve">1. </w:t>
      </w:r>
      <w:r w:rsidRPr="00B533F4">
        <w:rPr>
          <w:rFonts w:ascii="Times New Roman" w:hAnsi="Times New Roman" w:cs="Times New Roman"/>
          <w:sz w:val="12"/>
          <w:szCs w:val="12"/>
          <w:lang w:val="en-US"/>
        </w:rPr>
        <w:t xml:space="preserve">R. S. </w:t>
      </w:r>
      <w:proofErr w:type="spellStart"/>
      <w:r w:rsidRPr="00B533F4">
        <w:rPr>
          <w:rFonts w:ascii="Times New Roman" w:hAnsi="Times New Roman" w:cs="Times New Roman"/>
          <w:sz w:val="12"/>
          <w:szCs w:val="12"/>
          <w:lang w:val="en-US"/>
        </w:rPr>
        <w:t>Monisha</w:t>
      </w:r>
      <w:proofErr w:type="spellEnd"/>
      <w:r w:rsidRPr="00B533F4">
        <w:rPr>
          <w:rFonts w:ascii="Times New Roman" w:hAnsi="Times New Roman" w:cs="Times New Roman"/>
          <w:sz w:val="12"/>
          <w:szCs w:val="12"/>
          <w:lang w:val="en-US"/>
        </w:rPr>
        <w:t xml:space="preserve">, R. L. Mani, B. </w:t>
      </w:r>
      <w:proofErr w:type="spellStart"/>
      <w:r w:rsidRPr="00B533F4">
        <w:rPr>
          <w:rFonts w:ascii="Times New Roman" w:hAnsi="Times New Roman" w:cs="Times New Roman"/>
          <w:sz w:val="12"/>
          <w:szCs w:val="12"/>
          <w:lang w:val="en-US"/>
        </w:rPr>
        <w:t>Sivaprakash</w:t>
      </w:r>
      <w:proofErr w:type="spellEnd"/>
      <w:r w:rsidRPr="00B533F4">
        <w:rPr>
          <w:rFonts w:ascii="Times New Roman" w:hAnsi="Times New Roman" w:cs="Times New Roman"/>
          <w:sz w:val="12"/>
          <w:szCs w:val="12"/>
          <w:lang w:val="en-US"/>
        </w:rPr>
        <w:t xml:space="preserve">, N. </w:t>
      </w:r>
      <w:proofErr w:type="spellStart"/>
      <w:r w:rsidRPr="00B533F4">
        <w:rPr>
          <w:rFonts w:ascii="Times New Roman" w:hAnsi="Times New Roman" w:cs="Times New Roman"/>
          <w:sz w:val="12"/>
          <w:szCs w:val="12"/>
          <w:lang w:val="en-US"/>
        </w:rPr>
        <w:t>Rajamohan</w:t>
      </w:r>
      <w:proofErr w:type="spellEnd"/>
      <w:r w:rsidRPr="00B533F4">
        <w:rPr>
          <w:rFonts w:ascii="Times New Roman" w:hAnsi="Times New Roman" w:cs="Times New Roman"/>
          <w:sz w:val="12"/>
          <w:szCs w:val="12"/>
          <w:lang w:val="en-US"/>
        </w:rPr>
        <w:t xml:space="preserve">, and D. V. N. Vo, “Green remediation of pharmaceutical wastes using biochar: a review,” </w:t>
      </w:r>
      <w:r w:rsidRPr="00B533F4">
        <w:rPr>
          <w:rFonts w:ascii="Times New Roman" w:hAnsi="Times New Roman" w:cs="Times New Roman"/>
          <w:i/>
          <w:iCs/>
          <w:sz w:val="12"/>
          <w:szCs w:val="12"/>
          <w:lang w:val="en-US"/>
        </w:rPr>
        <w:t>Environmental Chemistry Letters</w:t>
      </w:r>
      <w:r w:rsidRPr="00B533F4">
        <w:rPr>
          <w:rFonts w:ascii="Times New Roman" w:hAnsi="Times New Roman" w:cs="Times New Roman"/>
          <w:sz w:val="12"/>
          <w:szCs w:val="12"/>
          <w:lang w:val="en-US"/>
        </w:rPr>
        <w:t xml:space="preserve">. </w:t>
      </w:r>
      <w:r w:rsidRPr="00B533F4">
        <w:rPr>
          <w:rFonts w:ascii="Times New Roman" w:hAnsi="Times New Roman" w:cs="Times New Roman"/>
          <w:b/>
          <w:bCs/>
          <w:sz w:val="12"/>
          <w:szCs w:val="12"/>
          <w:lang w:val="en-US"/>
        </w:rPr>
        <w:t>2023</w:t>
      </w:r>
      <w:r w:rsidRPr="00B533F4">
        <w:rPr>
          <w:rFonts w:ascii="Times New Roman" w:hAnsi="Times New Roman" w:cs="Times New Roman"/>
          <w:sz w:val="12"/>
          <w:szCs w:val="12"/>
          <w:lang w:val="en-US"/>
        </w:rPr>
        <w:t>, 20, 1</w:t>
      </w:r>
    </w:p>
    <w:p w14:paraId="061A1627" w14:textId="77777777" w:rsidR="003627D8" w:rsidRPr="00B533F4" w:rsidRDefault="003627D8" w:rsidP="003627D8">
      <w:pPr>
        <w:spacing w:line="240" w:lineRule="auto"/>
        <w:jc w:val="both"/>
        <w:rPr>
          <w:rFonts w:ascii="Times New Roman" w:hAnsi="Times New Roman" w:cs="Times New Roman"/>
          <w:sz w:val="12"/>
          <w:szCs w:val="12"/>
          <w:lang w:val="en-US"/>
        </w:rPr>
      </w:pPr>
      <w:r w:rsidRPr="00B533F4">
        <w:rPr>
          <w:rFonts w:ascii="Times New Roman" w:hAnsi="Times New Roman" w:cs="Times New Roman"/>
          <w:sz w:val="12"/>
          <w:szCs w:val="12"/>
          <w:lang w:val="en-US"/>
        </w:rPr>
        <w:t xml:space="preserve">2. M. </w:t>
      </w:r>
      <w:proofErr w:type="spellStart"/>
      <w:r w:rsidRPr="00B533F4">
        <w:rPr>
          <w:rFonts w:ascii="Times New Roman" w:hAnsi="Times New Roman" w:cs="Times New Roman"/>
          <w:sz w:val="12"/>
          <w:szCs w:val="12"/>
          <w:lang w:val="en-US"/>
        </w:rPr>
        <w:t>Preradovic</w:t>
      </w:r>
      <w:proofErr w:type="spellEnd"/>
      <w:r w:rsidRPr="00B533F4">
        <w:rPr>
          <w:rFonts w:ascii="Times New Roman" w:hAnsi="Times New Roman" w:cs="Times New Roman"/>
          <w:sz w:val="12"/>
          <w:szCs w:val="12"/>
          <w:lang w:val="en-US"/>
        </w:rPr>
        <w:t xml:space="preserve">, S. </w:t>
      </w:r>
      <w:proofErr w:type="spellStart"/>
      <w:r w:rsidRPr="00B533F4">
        <w:rPr>
          <w:rFonts w:ascii="Times New Roman" w:hAnsi="Times New Roman" w:cs="Times New Roman"/>
          <w:sz w:val="12"/>
          <w:szCs w:val="12"/>
          <w:lang w:val="en-US"/>
        </w:rPr>
        <w:t>Papuga</w:t>
      </w:r>
      <w:proofErr w:type="spellEnd"/>
      <w:r w:rsidRPr="00B533F4">
        <w:rPr>
          <w:rFonts w:ascii="Times New Roman" w:hAnsi="Times New Roman" w:cs="Times New Roman"/>
          <w:sz w:val="12"/>
          <w:szCs w:val="12"/>
          <w:lang w:val="en-US"/>
        </w:rPr>
        <w:t xml:space="preserve">, and A. </w:t>
      </w:r>
      <w:proofErr w:type="spellStart"/>
      <w:r w:rsidRPr="00B533F4">
        <w:rPr>
          <w:rFonts w:ascii="Times New Roman" w:hAnsi="Times New Roman" w:cs="Times New Roman"/>
          <w:sz w:val="12"/>
          <w:szCs w:val="12"/>
          <w:lang w:val="en-US"/>
        </w:rPr>
        <w:t>Kolundžija</w:t>
      </w:r>
      <w:proofErr w:type="spellEnd"/>
      <w:r w:rsidRPr="00B533F4">
        <w:rPr>
          <w:rFonts w:ascii="Times New Roman" w:hAnsi="Times New Roman" w:cs="Times New Roman"/>
          <w:sz w:val="12"/>
          <w:szCs w:val="12"/>
          <w:lang w:val="en-US"/>
        </w:rPr>
        <w:t xml:space="preserve">, “Torrefaction: Process Review,” </w:t>
      </w:r>
      <w:proofErr w:type="spellStart"/>
      <w:r w:rsidRPr="00B533F4">
        <w:rPr>
          <w:rFonts w:ascii="Times New Roman" w:hAnsi="Times New Roman" w:cs="Times New Roman"/>
          <w:i/>
          <w:iCs/>
          <w:sz w:val="12"/>
          <w:szCs w:val="12"/>
          <w:lang w:val="en-US"/>
        </w:rPr>
        <w:t>Periodica</w:t>
      </w:r>
      <w:proofErr w:type="spellEnd"/>
      <w:r w:rsidRPr="00B533F4">
        <w:rPr>
          <w:rFonts w:ascii="Times New Roman" w:hAnsi="Times New Roman" w:cs="Times New Roman"/>
          <w:i/>
          <w:iCs/>
          <w:sz w:val="12"/>
          <w:szCs w:val="12"/>
          <w:lang w:val="en-US"/>
        </w:rPr>
        <w:t xml:space="preserve"> </w:t>
      </w:r>
      <w:proofErr w:type="spellStart"/>
      <w:r w:rsidRPr="00B533F4">
        <w:rPr>
          <w:rFonts w:ascii="Times New Roman" w:hAnsi="Times New Roman" w:cs="Times New Roman"/>
          <w:i/>
          <w:iCs/>
          <w:sz w:val="12"/>
          <w:szCs w:val="12"/>
          <w:lang w:val="en-US"/>
        </w:rPr>
        <w:t>Polytechnica</w:t>
      </w:r>
      <w:proofErr w:type="spellEnd"/>
      <w:r w:rsidRPr="00B533F4">
        <w:rPr>
          <w:rFonts w:ascii="Times New Roman" w:hAnsi="Times New Roman" w:cs="Times New Roman"/>
          <w:i/>
          <w:iCs/>
          <w:sz w:val="12"/>
          <w:szCs w:val="12"/>
          <w:lang w:val="en-US"/>
        </w:rPr>
        <w:t xml:space="preserve"> Chemical Engineering</w:t>
      </w:r>
      <w:r w:rsidRPr="00B533F4">
        <w:rPr>
          <w:rFonts w:ascii="Times New Roman" w:hAnsi="Times New Roman" w:cs="Times New Roman"/>
          <w:sz w:val="12"/>
          <w:szCs w:val="12"/>
          <w:lang w:val="en-US"/>
        </w:rPr>
        <w:t xml:space="preserve">. </w:t>
      </w:r>
      <w:r w:rsidRPr="00B533F4">
        <w:rPr>
          <w:rFonts w:ascii="Times New Roman" w:hAnsi="Times New Roman" w:cs="Times New Roman"/>
          <w:b/>
          <w:bCs/>
          <w:sz w:val="12"/>
          <w:szCs w:val="12"/>
          <w:lang w:val="en-US"/>
        </w:rPr>
        <w:t>2023,</w:t>
      </w:r>
      <w:r w:rsidRPr="00B533F4">
        <w:rPr>
          <w:rFonts w:ascii="Times New Roman" w:hAnsi="Times New Roman" w:cs="Times New Roman"/>
          <w:sz w:val="12"/>
          <w:szCs w:val="12"/>
          <w:lang w:val="en-US"/>
        </w:rPr>
        <w:t xml:space="preserve"> 67, 0324-5853</w:t>
      </w:r>
    </w:p>
    <w:sectPr w:rsidR="003627D8" w:rsidRPr="00B533F4"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430C3" w14:textId="77777777" w:rsidR="00F27A68" w:rsidRDefault="00F27A68" w:rsidP="00EA4E1B">
      <w:pPr>
        <w:spacing w:after="0" w:line="240" w:lineRule="auto"/>
      </w:pPr>
      <w:r>
        <w:separator/>
      </w:r>
    </w:p>
  </w:endnote>
  <w:endnote w:type="continuationSeparator" w:id="0">
    <w:p w14:paraId="3CE30C43" w14:textId="77777777" w:rsidR="00F27A68" w:rsidRDefault="00F27A68"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7F6BC" w14:textId="77777777" w:rsidR="00F27A68" w:rsidRDefault="00F27A68" w:rsidP="00EA4E1B">
      <w:pPr>
        <w:spacing w:after="0" w:line="240" w:lineRule="auto"/>
      </w:pPr>
      <w:r>
        <w:separator/>
      </w:r>
    </w:p>
  </w:footnote>
  <w:footnote w:type="continuationSeparator" w:id="0">
    <w:p w14:paraId="0F5DF364" w14:textId="77777777" w:rsidR="00F27A68" w:rsidRDefault="00F27A68"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1889463940" name="Imagem 1889463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1072280498" name="Imagem 1072280498"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81143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1264A"/>
    <w:rsid w:val="00061A72"/>
    <w:rsid w:val="000D74D7"/>
    <w:rsid w:val="000F1D24"/>
    <w:rsid w:val="001E58A9"/>
    <w:rsid w:val="001F25B2"/>
    <w:rsid w:val="00222230"/>
    <w:rsid w:val="002F01BA"/>
    <w:rsid w:val="00331C19"/>
    <w:rsid w:val="00340B1E"/>
    <w:rsid w:val="003627D8"/>
    <w:rsid w:val="00402F3E"/>
    <w:rsid w:val="004F3F42"/>
    <w:rsid w:val="0052112E"/>
    <w:rsid w:val="00521621"/>
    <w:rsid w:val="005C2775"/>
    <w:rsid w:val="005D65EB"/>
    <w:rsid w:val="005F739F"/>
    <w:rsid w:val="00604718"/>
    <w:rsid w:val="006465FD"/>
    <w:rsid w:val="00652815"/>
    <w:rsid w:val="006766CF"/>
    <w:rsid w:val="006F599B"/>
    <w:rsid w:val="007651C6"/>
    <w:rsid w:val="007670A0"/>
    <w:rsid w:val="00781685"/>
    <w:rsid w:val="007B2E80"/>
    <w:rsid w:val="007B4B2B"/>
    <w:rsid w:val="008156F4"/>
    <w:rsid w:val="008221FB"/>
    <w:rsid w:val="00866822"/>
    <w:rsid w:val="0087705E"/>
    <w:rsid w:val="008B1683"/>
    <w:rsid w:val="008B521C"/>
    <w:rsid w:val="008C1B30"/>
    <w:rsid w:val="00930113"/>
    <w:rsid w:val="009656D9"/>
    <w:rsid w:val="009C7CB0"/>
    <w:rsid w:val="00AA182E"/>
    <w:rsid w:val="00AF0400"/>
    <w:rsid w:val="00B30AEB"/>
    <w:rsid w:val="00B81121"/>
    <w:rsid w:val="00B87106"/>
    <w:rsid w:val="00B87894"/>
    <w:rsid w:val="00BA6A6E"/>
    <w:rsid w:val="00C35056"/>
    <w:rsid w:val="00C76E54"/>
    <w:rsid w:val="00CA0536"/>
    <w:rsid w:val="00CC2FF8"/>
    <w:rsid w:val="00D96135"/>
    <w:rsid w:val="00DA4998"/>
    <w:rsid w:val="00DD7C45"/>
    <w:rsid w:val="00DE7266"/>
    <w:rsid w:val="00E02A21"/>
    <w:rsid w:val="00E038AF"/>
    <w:rsid w:val="00E4644E"/>
    <w:rsid w:val="00EA4E1B"/>
    <w:rsid w:val="00F27A68"/>
    <w:rsid w:val="00F30661"/>
    <w:rsid w:val="00F83333"/>
    <w:rsid w:val="00F917DA"/>
    <w:rsid w:val="00FB5112"/>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character" w:styleId="TextodoEspaoReservado">
    <w:name w:val="Placeholder Text"/>
    <w:basedOn w:val="Fontepargpadro"/>
    <w:uiPriority w:val="99"/>
    <w:semiHidden/>
    <w:rsid w:val="008156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447">
      <w:bodyDiv w:val="1"/>
      <w:marLeft w:val="0"/>
      <w:marRight w:val="0"/>
      <w:marTop w:val="0"/>
      <w:marBottom w:val="0"/>
      <w:divBdr>
        <w:top w:val="none" w:sz="0" w:space="0" w:color="auto"/>
        <w:left w:val="none" w:sz="0" w:space="0" w:color="auto"/>
        <w:bottom w:val="none" w:sz="0" w:space="0" w:color="auto"/>
        <w:right w:val="none" w:sz="0" w:space="0" w:color="auto"/>
      </w:divBdr>
      <w:divsChild>
        <w:div w:id="65803626">
          <w:marLeft w:val="640"/>
          <w:marRight w:val="0"/>
          <w:marTop w:val="0"/>
          <w:marBottom w:val="0"/>
          <w:divBdr>
            <w:top w:val="none" w:sz="0" w:space="0" w:color="auto"/>
            <w:left w:val="none" w:sz="0" w:space="0" w:color="auto"/>
            <w:bottom w:val="none" w:sz="0" w:space="0" w:color="auto"/>
            <w:right w:val="none" w:sz="0" w:space="0" w:color="auto"/>
          </w:divBdr>
        </w:div>
        <w:div w:id="75905972">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g"/><Relationship Id="rId5" Type="http://schemas.openxmlformats.org/officeDocument/2006/relationships/webSettings" Target="webSettings.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ral"/>
          <w:gallery w:val="placeholder"/>
        </w:category>
        <w:types>
          <w:type w:val="bbPlcHdr"/>
        </w:types>
        <w:behaviors>
          <w:behavior w:val="content"/>
        </w:behaviors>
        <w:guid w:val="{9E3D926B-7321-412F-B0E1-5047457CCA90}"/>
      </w:docPartPr>
      <w:docPartBody>
        <w:p w:rsidR="001C6354" w:rsidRDefault="00112AAE">
          <w:r w:rsidRPr="00031C0D">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AAE"/>
    <w:rsid w:val="00112AAE"/>
    <w:rsid w:val="001C6354"/>
    <w:rsid w:val="00326FD6"/>
    <w:rsid w:val="009923BA"/>
    <w:rsid w:val="00BD14EC"/>
    <w:rsid w:val="00ED22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12AA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9350E80-071A-4A9B-BE7A-2CE5912EC73B}">
  <we:reference id="wa104382081" version="1.55.1.0" store="pt-BR" storeType="OMEX"/>
  <we:alternateReferences>
    <we:reference id="WA104382081" version="1.55.1.0" store="pt-BR" storeType="OMEX"/>
  </we:alternateReferences>
  <we:properties>
    <we:property name="MENDELEY_CITATIONS" value="[{&quot;citationID&quot;:&quot;MENDELEY_CITATION_f1365582-3414-4023-aaae-57a6b14f33f0&quot;,&quot;properties&quot;:{&quot;noteIndex&quot;:0},&quot;isEdited&quot;:false,&quot;manualOverride&quot;:{&quot;isManuallyOverridden&quot;:false,&quot;citeprocText&quot;:&quot;[1]&quot;,&quot;manualOverrideText&quot;:&quot;&quot;},&quot;citationTag&quot;:&quot;MENDELEY_CITATION_v3_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&quot;,&quot;citationItems&quot;:[{&quot;id&quot;:&quot;e4dfc33a-cabc-33b5-8171-2f53c6792515&quot;,&quot;itemData&quot;:{&quot;type&quot;:&quot;article&quot;,&quot;id&quot;:&quot;e4dfc33a-cabc-33b5-8171-2f53c6792515&quot;,&quot;title&quot;:&quot;Green remediation of pharmaceutical wastes using biochar: a review&quot;,&quot;author&quot;:[{&quot;family&quot;:&quot;Monisha&quot;,&quot;given&quot;:&quot;Ravichandran Swathy&quot;,&quot;parse-names&quot;:false,&quot;dropping-particle&quot;:&quot;&quot;,&quot;non-dropping-particle&quot;:&quot;&quot;},{&quot;family&quot;:&quot;Mani&quot;,&quot;given&quot;:&quot;Ragupathy Lakshmi&quot;,&quot;parse-names&quot;:false,&quot;dropping-particle&quot;:&quot;&quot;,&quot;non-dropping-particle&quot;:&quot;&quot;},{&quot;family&quot;:&quot;Sivaprakash&quot;,&quot;given&quot;:&quot;Baskaran&quot;,&quot;parse-names&quot;:false,&quot;dropping-particle&quot;:&quot;&quot;,&quot;non-dropping-particle&quot;:&quot;&quot;},{&quot;family&quot;:&quot;Rajamohan&quot;,&quot;given&quot;:&quot;Natarajan&quot;,&quot;parse-names&quot;:false,&quot;dropping-particle&quot;:&quot;&quot;,&quot;non-dropping-particle&quot;:&quot;&quot;},{&quot;family&quot;:&quot;Vo&quot;,&quot;given&quot;:&quot;Dai Viet N.&quot;,&quot;parse-names&quot;:false,&quot;dropping-particle&quot;:&quot;&quot;,&quot;non-dropping-particle&quot;:&quot;&quot;}],&quot;container-title&quot;:&quot;Environmental Chemistry Letters&quot;,&quot;container-title-short&quot;:&quot;Environ Chem Lett&quot;,&quot;DOI&quot;:&quot;10.1007/s10311-021-01348-y&quot;,&quot;ISSN&quot;:&quot;16103661&quot;,&quot;issued&quot;:{&quot;date-parts&quot;:[[2022,2,1]]},&quot;page&quot;:&quot;681-704&quot;,&quot;abstract&quot;:&quot;Pharmaceutical waste generation in domestic and industrial discharges is a major challenge requiring adapted treatment solutions. Antibiotics, pain killers, lifesaving drugs, birth control pills, and tetracycline are released by human activities. Biochar has recently drawn attention as an adsorbents to remove pharmaceutical pollutants. Here we review biochar applications for the treatment of tetracycline, sulfonamides, quinolones and non-steroidal anti-inflammatory drugs. We discuss production methods, biochar properties, post-treatment methods and agents for biochar activation, adsorption mechanisms involved, performance of the biochar with respect to the sorbate, and operating conditions. Biochars from renewable materials show 100% recovery of pharmaceutical pollutants. Unlike other adsorbents, biochar can be recycled up to 8 times with a very low decline of efficiency. The highest recoveries of pharmaceutical pollutants using biochars is 1163 mg/g for tetracycline by biochar from Eucommia ulmoides; 400 mg/g for sulfamethoxazole with sugarcane bagasse biochar; 596 mg/g for naproxen by peanut shell biochar, and 698.6 mg/g for norfloxacin by corncob-derived biochar.&quot;,&quot;publisher&quot;:&quot;Springer Science and Business Media Deutschland GmbH&quot;,&quot;issue&quot;:&quot;1&quot;,&quot;volume&quot;:&quot;20&quot;},&quot;isTemporary&quot;:false}]},{&quot;citationID&quot;:&quot;MENDELEY_CITATION_c6b245a9-b5e4-4d71-b227-acdd645fca41&quot;,&quot;properties&quot;:{&quot;noteIndex&quot;:0},&quot;isEdited&quot;:false,&quot;manualOverride&quot;:{&quot;isManuallyOverridden&quot;:false,&quot;citeprocText&quot;:&quot;[2]&quot;,&quot;manualOverrideText&quot;:&quot;&quot;},&quot;citationTag&quot;:&quot;MENDELEY_CITATION_v3_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&quot;,&quot;citationItems&quot;:[{&quot;id&quot;:&quot;b28ba26b-cee5-3d2a-8251-b5f86de480ef&quot;,&quot;itemData&quot;:{&quot;type&quot;:&quot;article-journal&quot;,&quot;id&quot;:&quot;b28ba26b-cee5-3d2a-8251-b5f86de480ef&quot;,&quot;title&quot;:&quot;Torrefaction: Process Review&quot;,&quot;author&quot;:[{&quot;family&quot;:&quot;Preradovic&quot;,&quot;given&quot;:&quot;Milica&quot;,&quot;parse-names&quot;:false,&quot;dropping-particle&quot;:&quot;&quot;,&quot;non-dropping-particle&quot;:&quot;&quot;},{&quot;family&quot;:&quot;Papuga&quot;,&quot;given&quot;:&quot;Saša&quot;,&quot;parse-names&quot;:false,&quot;dropping-particle&quot;:&quot;&quot;,&quot;non-dropping-particle&quot;:&quot;&quot;},{&quot;family&quot;:&quot;Kolundžija&quot;,&quot;given&quot;:&quot;Aleksandra&quot;,&quot;parse-names&quot;:false,&quot;dropping-particle&quot;:&quot;&quot;,&quot;non-dropping-particle&quot;:&quot;&quot;}],&quot;container-title&quot;:&quot;Periodica Polytechnica Chemical Engineering&quot;,&quot;DOI&quot;:&quot;10.3311/ppch.20636&quot;,&quot;ISSN&quot;:&quot;0324-5853&quot;,&quot;issued&quot;:{&quot;date-parts&quot;:[[2023,2,1]]},&quot;abstract&quot;:&quot;There is an urgent need for replacement of fossil fuels worldwide. Raw biomass has a low energy density, contains too much moisture, can rot, and it is hygroscopic. This paper presents a very prominent thermal technology that could overcome mentioned deficiencies of raw biomass. This technology is known as torrefaction. Torrefaction is mainly used to convert lignocellulosic materials into 'fuels' that can be used in power plants, combustion units, or gasifiers.&quot;,&quot;publisher&quot;:&quot;Periodica Polytechnica Budapest University of Technology and Economics&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999</Words>
  <Characters>5398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leandro queiroz</cp:lastModifiedBy>
  <cp:revision>6</cp:revision>
  <dcterms:created xsi:type="dcterms:W3CDTF">2023-07-10T17:27:00Z</dcterms:created>
  <dcterms:modified xsi:type="dcterms:W3CDTF">2023-07-10T18:00:00Z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