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FC82" w14:textId="77777777" w:rsidR="006E59C0" w:rsidRDefault="00DF5D48" w:rsidP="1CA66DC2">
      <w:pPr>
        <w:pStyle w:val="BATitle"/>
        <w:spacing w:before="0" w:after="0" w:line="240" w:lineRule="auto"/>
        <w:ind w:right="0"/>
        <w:jc w:val="both"/>
        <w:rPr>
          <w:sz w:val="32"/>
          <w:szCs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DA51BEC">
                <wp:simplePos x="0" y="0"/>
                <wp:positionH relativeFrom="margin">
                  <wp:posOffset>0</wp:posOffset>
                </wp:positionH>
                <wp:positionV relativeFrom="paragraph">
                  <wp:posOffset>-9525</wp:posOffset>
                </wp:positionV>
                <wp:extent cx="6507480" cy="167640"/>
                <wp:effectExtent l="0" t="0" r="0" b="0"/>
                <wp:wrapNone/>
                <wp:docPr id="39" name="Retâ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3B8E7" w14:textId="77777777" w:rsidR="00866822" w:rsidRPr="008C1B30" w:rsidRDefault="00866822" w:rsidP="00866822">
                            <w:pPr>
                              <w:pStyle w:val="BDAbstract"/>
                              <w:spacing w:before="0" w:after="0" w:line="240" w:lineRule="auto"/>
                              <w:rPr>
                                <w:rFonts w:cs="Helvetica"/>
                                <w:bCs/>
                                <w:sz w:val="20"/>
                                <w:lang w:val="pt-BR"/>
                              </w:rPr>
                            </w:pPr>
                          </w:p>
                          <w:p w14:paraId="0F19304A"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51BEC" id="Retângulo 39" o:spid="_x0000_s1026" style="position:absolute;left:0;text-align:left;margin-left:0;margin-top:-.75pt;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" fillcolor="#9a0000" stroked="f" strokeweight="1pt">
                <v:textbox inset=",0,,0">
                  <w:txbxContent>
                    <w:p w14:paraId="2643B8E7" w14:textId="77777777" w:rsidR="00866822" w:rsidRPr="008C1B30" w:rsidRDefault="00866822" w:rsidP="00866822">
                      <w:pPr>
                        <w:pStyle w:val="BDAbstract"/>
                        <w:spacing w:before="0" w:after="0" w:line="240" w:lineRule="auto"/>
                        <w:rPr>
                          <w:rFonts w:cs="Helvetica"/>
                          <w:bCs/>
                          <w:sz w:val="20"/>
                          <w:lang w:val="pt-BR"/>
                        </w:rPr>
                      </w:pPr>
                    </w:p>
                    <w:p w14:paraId="0F19304A" w14:textId="77777777" w:rsidR="00866822" w:rsidRPr="008C1B30" w:rsidRDefault="00866822" w:rsidP="00866822">
                      <w:pPr>
                        <w:pStyle w:val="SemEspaamento"/>
                      </w:pPr>
                    </w:p>
                  </w:txbxContent>
                </v:textbox>
                <w10:wrap anchorx="margin"/>
              </v:rect>
            </w:pict>
          </mc:Fallback>
        </mc:AlternateContent>
      </w:r>
    </w:p>
    <w:p w14:paraId="3B05DEAB" w14:textId="77777777" w:rsidR="00AF0400" w:rsidRDefault="00EA5F57" w:rsidP="1CA66DC2">
      <w:pPr>
        <w:pStyle w:val="BATitle"/>
        <w:spacing w:before="0" w:after="0" w:line="240" w:lineRule="auto"/>
        <w:ind w:right="0"/>
        <w:jc w:val="both"/>
        <w:rPr>
          <w:sz w:val="32"/>
          <w:szCs w:val="32"/>
          <w:lang w:val="pt-BR"/>
        </w:rPr>
      </w:pPr>
      <w:r w:rsidRPr="1CA66DC2">
        <w:rPr>
          <w:sz w:val="32"/>
          <w:szCs w:val="32"/>
          <w:lang w:val="pt-BR"/>
        </w:rPr>
        <w:t xml:space="preserve">Avaliação da eficiência do </w:t>
      </w:r>
      <w:r w:rsidR="000A4A7D" w:rsidRPr="1CA66DC2">
        <w:rPr>
          <w:sz w:val="32"/>
          <w:szCs w:val="32"/>
          <w:lang w:val="pt-BR"/>
        </w:rPr>
        <w:t xml:space="preserve">uso de </w:t>
      </w:r>
      <w:r w:rsidRPr="1CA66DC2">
        <w:rPr>
          <w:sz w:val="32"/>
          <w:szCs w:val="32"/>
          <w:lang w:val="pt-BR"/>
        </w:rPr>
        <w:t xml:space="preserve">catalisador para produção de mirceno a partir da isomerização do </w:t>
      </w:r>
      <w:r w:rsidRPr="1CA66DC2">
        <w:rPr>
          <w:rFonts w:cs="Helvetica"/>
          <w:sz w:val="32"/>
          <w:szCs w:val="32"/>
          <w:lang w:val="pt-BR"/>
        </w:rPr>
        <w:t>β</w:t>
      </w:r>
      <w:r w:rsidRPr="1CA66DC2">
        <w:rPr>
          <w:sz w:val="32"/>
          <w:szCs w:val="32"/>
          <w:lang w:val="pt-BR"/>
        </w:rPr>
        <w:t>-pineno</w:t>
      </w:r>
    </w:p>
    <w:p w14:paraId="6B3C1EFC" w14:textId="77777777" w:rsidR="00EA4E1B" w:rsidRPr="0091401E" w:rsidRDefault="00F53DAD" w:rsidP="1A2EB2A5">
      <w:pPr>
        <w:pStyle w:val="BBAuthorName"/>
        <w:spacing w:after="120"/>
        <w:ind w:right="0"/>
        <w:jc w:val="both"/>
        <w:rPr>
          <w:rFonts w:ascii="Times New Roman" w:hAnsi="Times New Roman"/>
          <w:sz w:val="20"/>
          <w:lang w:val="pt-BR"/>
        </w:rPr>
      </w:pPr>
      <w:r w:rsidRPr="1A2EB2A5">
        <w:rPr>
          <w:rFonts w:ascii="Times New Roman" w:hAnsi="Times New Roman"/>
          <w:sz w:val="20"/>
          <w:lang w:val="pt-BR"/>
        </w:rPr>
        <w:t>Mônica Beatriz Kolicheski</w:t>
      </w:r>
      <w:r w:rsidRPr="1A2EB2A5">
        <w:rPr>
          <w:rFonts w:ascii="Times New Roman" w:hAnsi="Times New Roman"/>
          <w:sz w:val="20"/>
          <w:vertAlign w:val="superscript"/>
          <w:lang w:val="pt-BR"/>
        </w:rPr>
        <w:t>1</w:t>
      </w:r>
      <w:r w:rsidR="711B6057" w:rsidRPr="1A2EB2A5">
        <w:rPr>
          <w:rFonts w:ascii="Times New Roman" w:hAnsi="Times New Roman"/>
          <w:sz w:val="20"/>
          <w:vertAlign w:val="superscript"/>
          <w:lang w:val="pt-BR"/>
        </w:rPr>
        <w:t>,</w:t>
      </w:r>
      <w:r w:rsidR="00E1507A" w:rsidRPr="1A2EB2A5">
        <w:rPr>
          <w:rFonts w:ascii="Times New Roman" w:hAnsi="Times New Roman"/>
          <w:sz w:val="20"/>
          <w:vertAlign w:val="superscript"/>
          <w:lang w:val="pt-BR"/>
        </w:rPr>
        <w:t>3</w:t>
      </w:r>
      <w:r w:rsidRPr="1A2EB2A5">
        <w:rPr>
          <w:rFonts w:ascii="Times New Roman" w:hAnsi="Times New Roman"/>
          <w:sz w:val="20"/>
          <w:lang w:val="pt-BR"/>
        </w:rPr>
        <w:t>, Marcelle Guth de Freitas Batista</w:t>
      </w:r>
      <w:r w:rsidRPr="1A2EB2A5">
        <w:rPr>
          <w:rFonts w:ascii="Times New Roman" w:hAnsi="Times New Roman"/>
          <w:sz w:val="20"/>
          <w:vertAlign w:val="superscript"/>
          <w:lang w:val="pt-BR"/>
        </w:rPr>
        <w:t>1</w:t>
      </w:r>
      <w:r w:rsidRPr="1A2EB2A5">
        <w:rPr>
          <w:rFonts w:ascii="Times New Roman" w:hAnsi="Times New Roman"/>
          <w:sz w:val="20"/>
          <w:lang w:val="pt-BR"/>
        </w:rPr>
        <w:t xml:space="preserve">, </w:t>
      </w:r>
      <w:r w:rsidR="0091401E" w:rsidRPr="1A2EB2A5">
        <w:rPr>
          <w:rFonts w:ascii="Times New Roman" w:hAnsi="Times New Roman"/>
          <w:sz w:val="20"/>
          <w:lang w:val="pt-BR"/>
        </w:rPr>
        <w:t>Demian Pacheco do Nascimento</w:t>
      </w:r>
      <w:r w:rsidR="0091401E" w:rsidRPr="1A2EB2A5">
        <w:rPr>
          <w:rFonts w:ascii="Times New Roman" w:hAnsi="Times New Roman"/>
          <w:sz w:val="20"/>
          <w:vertAlign w:val="superscript"/>
          <w:lang w:val="pt-BR"/>
        </w:rPr>
        <w:t>1</w:t>
      </w:r>
      <w:r w:rsidR="0091401E" w:rsidRPr="1A2EB2A5">
        <w:rPr>
          <w:rFonts w:ascii="Times New Roman" w:hAnsi="Times New Roman"/>
          <w:sz w:val="20"/>
          <w:lang w:val="pt-BR"/>
        </w:rPr>
        <w:t>, Lucas Hideki Minamida</w:t>
      </w:r>
      <w:r w:rsidR="00EA4E1B" w:rsidRPr="1A2EB2A5">
        <w:rPr>
          <w:rFonts w:ascii="Times New Roman" w:hAnsi="Times New Roman"/>
          <w:sz w:val="20"/>
          <w:vertAlign w:val="superscript"/>
          <w:lang w:val="pt-BR"/>
        </w:rPr>
        <w:t>1</w:t>
      </w:r>
      <w:r w:rsidR="0091401E" w:rsidRPr="1A2EB2A5">
        <w:rPr>
          <w:rFonts w:ascii="Times New Roman" w:hAnsi="Times New Roman"/>
          <w:sz w:val="20"/>
          <w:lang w:val="pt-BR"/>
        </w:rPr>
        <w:t>, Al</w:t>
      </w:r>
      <w:r w:rsidR="79A7C66D" w:rsidRPr="1A2EB2A5">
        <w:rPr>
          <w:rFonts w:ascii="Times New Roman" w:hAnsi="Times New Roman"/>
          <w:sz w:val="20"/>
          <w:lang w:val="pt-BR"/>
        </w:rPr>
        <w:t>l</w:t>
      </w:r>
      <w:r w:rsidR="0091401E" w:rsidRPr="1A2EB2A5">
        <w:rPr>
          <w:rFonts w:ascii="Times New Roman" w:hAnsi="Times New Roman"/>
          <w:sz w:val="20"/>
          <w:lang w:val="pt-BR"/>
        </w:rPr>
        <w:t>an</w:t>
      </w:r>
      <w:r w:rsidR="001D7C2F" w:rsidRPr="1A2EB2A5">
        <w:rPr>
          <w:rFonts w:ascii="Times New Roman" w:hAnsi="Times New Roman"/>
          <w:sz w:val="20"/>
          <w:lang w:val="pt-BR"/>
        </w:rPr>
        <w:t xml:space="preserve"> </w:t>
      </w:r>
      <w:r w:rsidR="50241100" w:rsidRPr="1A2EB2A5">
        <w:rPr>
          <w:rFonts w:ascii="Times New Roman" w:hAnsi="Times New Roman"/>
          <w:sz w:val="20"/>
          <w:lang w:val="pt-BR"/>
        </w:rPr>
        <w:t>Ribeiro da</w:t>
      </w:r>
      <w:r w:rsidR="00B371B8" w:rsidRPr="1A2EB2A5">
        <w:rPr>
          <w:rFonts w:ascii="Times New Roman" w:hAnsi="Times New Roman"/>
          <w:sz w:val="20"/>
          <w:lang w:val="pt-BR"/>
        </w:rPr>
        <w:t xml:space="preserve"> Silva</w:t>
      </w:r>
      <w:r w:rsidR="0091401E" w:rsidRPr="1A2EB2A5">
        <w:rPr>
          <w:rFonts w:ascii="Times New Roman" w:hAnsi="Times New Roman"/>
          <w:sz w:val="20"/>
          <w:vertAlign w:val="superscript"/>
          <w:lang w:val="pt-BR"/>
        </w:rPr>
        <w:t>2</w:t>
      </w:r>
      <w:r w:rsidR="0091401E" w:rsidRPr="1A2EB2A5">
        <w:rPr>
          <w:rFonts w:ascii="Times New Roman" w:hAnsi="Times New Roman"/>
          <w:sz w:val="20"/>
          <w:lang w:val="pt-BR"/>
        </w:rPr>
        <w:t>, Vitor</w:t>
      </w:r>
      <w:r w:rsidR="001D7C2F" w:rsidRPr="1A2EB2A5">
        <w:rPr>
          <w:rFonts w:ascii="Times New Roman" w:hAnsi="Times New Roman"/>
          <w:sz w:val="20"/>
          <w:lang w:val="pt-BR"/>
        </w:rPr>
        <w:t xml:space="preserve"> Thomé Salvador</w:t>
      </w:r>
      <w:r w:rsidR="0091401E" w:rsidRPr="1A2EB2A5">
        <w:rPr>
          <w:rFonts w:ascii="Times New Roman" w:hAnsi="Times New Roman"/>
          <w:sz w:val="20"/>
          <w:vertAlign w:val="superscript"/>
          <w:lang w:val="pt-BR"/>
        </w:rPr>
        <w:t>2</w:t>
      </w:r>
    </w:p>
    <w:p w14:paraId="7C7D93B8" w14:textId="77777777" w:rsidR="00EA4E1B" w:rsidRDefault="00EA4E1B" w:rsidP="00EA4E1B">
      <w:pPr>
        <w:pStyle w:val="BCAuthorAddress"/>
        <w:spacing w:after="0"/>
        <w:ind w:right="0"/>
        <w:jc w:val="both"/>
        <w:rPr>
          <w:lang w:val="pt-BR"/>
        </w:rPr>
      </w:pPr>
      <w:r w:rsidRPr="1A2EB2A5">
        <w:rPr>
          <w:vertAlign w:val="superscript"/>
          <w:lang w:val="pt-BR"/>
        </w:rPr>
        <w:t>1</w:t>
      </w:r>
      <w:r w:rsidR="0091401E" w:rsidRPr="1A2EB2A5">
        <w:rPr>
          <w:lang w:val="pt-BR"/>
        </w:rPr>
        <w:t xml:space="preserve">Universidade Federal do Paraná, Departamento de Engenharia Química, Avenida Coronel </w:t>
      </w:r>
      <w:r w:rsidR="00377CFE" w:rsidRPr="1A2EB2A5">
        <w:rPr>
          <w:lang w:val="pt-BR"/>
        </w:rPr>
        <w:t>Heráclito</w:t>
      </w:r>
      <w:r w:rsidR="0091401E" w:rsidRPr="1A2EB2A5">
        <w:rPr>
          <w:lang w:val="pt-BR"/>
        </w:rPr>
        <w:t xml:space="preserve"> dos Santos, 100, Jardim das Américas, Curitiba, Paraná. </w:t>
      </w:r>
    </w:p>
    <w:p w14:paraId="7898E284" w14:textId="77777777" w:rsidR="0091401E" w:rsidRDefault="0091401E" w:rsidP="0091401E">
      <w:pPr>
        <w:pStyle w:val="BCAuthorAddress"/>
        <w:spacing w:after="0"/>
        <w:ind w:right="0"/>
        <w:jc w:val="both"/>
        <w:rPr>
          <w:lang w:val="pt-BR"/>
        </w:rPr>
      </w:pPr>
      <w:r w:rsidRPr="1A2EB2A5">
        <w:rPr>
          <w:vertAlign w:val="superscript"/>
          <w:lang w:val="pt-BR"/>
        </w:rPr>
        <w:t>2</w:t>
      </w:r>
      <w:r w:rsidR="6557E3CE" w:rsidRPr="1A2EB2A5">
        <w:rPr>
          <w:rFonts w:ascii="Times New Roman" w:eastAsiaTheme="minorEastAsia" w:hAnsi="Times New Roman"/>
          <w:lang w:val="pt-BR" w:eastAsia="en-US"/>
        </w:rPr>
        <w:t>SOCER BRASIL INDÚSTRIA E COMÉRCIO LTDA</w:t>
      </w:r>
      <w:r w:rsidR="6557E3CE" w:rsidRPr="1A2EB2A5">
        <w:rPr>
          <w:lang w:val="pt-BR"/>
        </w:rPr>
        <w:t xml:space="preserve"> </w:t>
      </w:r>
      <w:r w:rsidR="00377CFE" w:rsidRPr="1A2EB2A5">
        <w:rPr>
          <w:lang w:val="pt-BR"/>
        </w:rPr>
        <w:t>–</w:t>
      </w:r>
      <w:r w:rsidR="00B371B8" w:rsidRPr="1A2EB2A5">
        <w:rPr>
          <w:lang w:val="pt-BR"/>
        </w:rPr>
        <w:t xml:space="preserve"> </w:t>
      </w:r>
      <w:r w:rsidR="00377CFE" w:rsidRPr="1A2EB2A5">
        <w:rPr>
          <w:lang w:val="pt-BR"/>
        </w:rPr>
        <w:t xml:space="preserve">Estrada do Guarujá, 3150, Jardim Marília, Salto, </w:t>
      </w:r>
      <w:r w:rsidR="00B371B8" w:rsidRPr="1A2EB2A5">
        <w:rPr>
          <w:lang w:val="pt-BR"/>
        </w:rPr>
        <w:t>São Paulo</w:t>
      </w:r>
      <w:r w:rsidRPr="1A2EB2A5">
        <w:rPr>
          <w:lang w:val="pt-BR"/>
        </w:rPr>
        <w:t xml:space="preserve">. </w:t>
      </w:r>
    </w:p>
    <w:p w14:paraId="1C36D8B8" w14:textId="77777777" w:rsidR="00E1507A" w:rsidRPr="00E1507A" w:rsidRDefault="27A5F969" w:rsidP="1A2EB2A5">
      <w:pPr>
        <w:rPr>
          <w:rFonts w:ascii="Times New Roman" w:hAnsi="Times New Roman" w:cs="Times New Roman"/>
          <w:i/>
          <w:iCs/>
          <w:sz w:val="20"/>
          <w:szCs w:val="20"/>
          <w:lang w:eastAsia="pt-BR"/>
        </w:rPr>
      </w:pPr>
      <w:r w:rsidRPr="1A2EB2A5">
        <w:rPr>
          <w:rFonts w:ascii="Times" w:eastAsia="Times New Roman" w:hAnsi="Times" w:cs="Times New Roman"/>
          <w:i/>
          <w:iCs/>
          <w:sz w:val="20"/>
          <w:szCs w:val="20"/>
          <w:vertAlign w:val="superscript"/>
          <w:lang w:eastAsia="pt-BR"/>
        </w:rPr>
        <w:t>3</w:t>
      </w:r>
      <w:r w:rsidR="00E1507A" w:rsidRPr="1A2EB2A5">
        <w:rPr>
          <w:rFonts w:ascii="Times New Roman" w:hAnsi="Times New Roman" w:cs="Times New Roman"/>
          <w:i/>
          <w:iCs/>
          <w:sz w:val="20"/>
          <w:szCs w:val="20"/>
          <w:lang w:eastAsia="pt-BR"/>
        </w:rPr>
        <w:t>monica.beatriz@ufpr.br</w:t>
      </w:r>
    </w:p>
    <w:bookmarkEnd w:id="0"/>
    <w:p w14:paraId="7F24BA92" w14:textId="77777777" w:rsidR="00AF0400" w:rsidRDefault="00DF5D48" w:rsidP="00EA4E1B">
      <w:pPr>
        <w:pStyle w:val="BDAbstract"/>
        <w:spacing w:before="0" w:after="0" w:line="240" w:lineRule="auto"/>
        <w:rPr>
          <w:rFonts w:ascii="Times New Roman" w:hAnsi="Times New Roman"/>
          <w:b w:val="0"/>
          <w:sz w:val="20"/>
          <w:lang w:val="pt-BR"/>
        </w:rPr>
      </w:pPr>
      <w:r>
        <w:rPr>
          <w:noProof/>
          <w:sz w:val="32"/>
          <w:highlight w:val="yellow"/>
          <w:lang w:val="pt-BR"/>
        </w:rPr>
        <mc:AlternateContent>
          <mc:Choice Requires="wps">
            <w:drawing>
              <wp:anchor distT="0" distB="0" distL="114300" distR="114300" simplePos="0" relativeHeight="251658239" behindDoc="0" locked="0" layoutInCell="1" allowOverlap="1" wp14:anchorId="122CD25A">
                <wp:simplePos x="0" y="0"/>
                <wp:positionH relativeFrom="margin">
                  <wp:align>right</wp:align>
                </wp:positionH>
                <wp:positionV relativeFrom="paragraph">
                  <wp:posOffset>34925</wp:posOffset>
                </wp:positionV>
                <wp:extent cx="6507480" cy="167640"/>
                <wp:effectExtent l="0" t="0" r="0" b="0"/>
                <wp:wrapNone/>
                <wp:docPr id="38" name="Retâ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EAC1E" w14:textId="77777777"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CD25A" id="Retângulo 38"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" fillcolor="#9a0000" stroked="f" strokeweight="1pt">
                <v:textbox inset=",0,,0">
                  <w:txbxContent>
                    <w:p w14:paraId="40CEAC1E" w14:textId="77777777" w:rsidR="00AF0400" w:rsidRPr="008C1B30" w:rsidRDefault="00AF0400" w:rsidP="008C1B30">
                      <w:pPr>
                        <w:pStyle w:val="SemEspaamento"/>
                      </w:pPr>
                    </w:p>
                  </w:txbxContent>
                </v:textbox>
                <w10:wrap anchorx="margin"/>
              </v:rect>
            </w:pict>
          </mc:Fallback>
        </mc:AlternateContent>
      </w:r>
    </w:p>
    <w:p w14:paraId="3F1667ED" w14:textId="77777777" w:rsidR="00AF0400" w:rsidRDefault="00AF0400" w:rsidP="00EA4E1B">
      <w:pPr>
        <w:pStyle w:val="BDAbstract"/>
        <w:spacing w:before="0" w:after="0" w:line="240" w:lineRule="auto"/>
        <w:rPr>
          <w:rFonts w:ascii="Times New Roman" w:hAnsi="Times New Roman"/>
          <w:b w:val="0"/>
          <w:sz w:val="20"/>
          <w:lang w:val="pt-BR"/>
        </w:rPr>
      </w:pPr>
    </w:p>
    <w:p w14:paraId="599DD6B9" w14:textId="77777777" w:rsidR="00F469DD"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F469DD">
        <w:rPr>
          <w:rFonts w:ascii="Times New Roman" w:hAnsi="Times New Roman"/>
          <w:b w:val="0"/>
          <w:sz w:val="20"/>
          <w:lang w:val="pt-BR"/>
        </w:rPr>
        <w:t>–</w:t>
      </w:r>
      <w:r>
        <w:rPr>
          <w:rFonts w:ascii="Times New Roman" w:hAnsi="Times New Roman"/>
          <w:b w:val="0"/>
          <w:sz w:val="20"/>
          <w:lang w:val="pt-BR"/>
        </w:rPr>
        <w:t xml:space="preserve"> </w:t>
      </w:r>
      <w:r w:rsidR="00F469DD">
        <w:rPr>
          <w:rFonts w:ascii="Times New Roman" w:hAnsi="Times New Roman"/>
          <w:b w:val="0"/>
          <w:sz w:val="20"/>
          <w:lang w:val="pt-BR"/>
        </w:rPr>
        <w:t xml:space="preserve">Os terpenos são matéria-prima natural e sustentável para a indústria de química fina, sendo fonte para produção de aromas e fragrâncias. O mirceno é um importante </w:t>
      </w:r>
      <w:r w:rsidR="00234996">
        <w:rPr>
          <w:rFonts w:ascii="Times New Roman" w:hAnsi="Times New Roman"/>
          <w:b w:val="0"/>
          <w:sz w:val="20"/>
          <w:lang w:val="pt-BR"/>
        </w:rPr>
        <w:t>intermediário</w:t>
      </w:r>
      <w:r w:rsidR="00F469DD">
        <w:rPr>
          <w:rFonts w:ascii="Times New Roman" w:hAnsi="Times New Roman"/>
          <w:b w:val="0"/>
          <w:sz w:val="20"/>
          <w:lang w:val="pt-BR"/>
        </w:rPr>
        <w:t xml:space="preserve"> para a produção comercial de álcoois terpênicos, como </w:t>
      </w:r>
      <w:r w:rsidR="00234996">
        <w:rPr>
          <w:rFonts w:ascii="Times New Roman" w:hAnsi="Times New Roman"/>
          <w:b w:val="0"/>
          <w:sz w:val="20"/>
          <w:lang w:val="pt-BR"/>
        </w:rPr>
        <w:t xml:space="preserve">o </w:t>
      </w:r>
      <w:r w:rsidR="00F469DD">
        <w:rPr>
          <w:rFonts w:ascii="Times New Roman" w:hAnsi="Times New Roman"/>
          <w:b w:val="0"/>
          <w:sz w:val="20"/>
          <w:lang w:val="pt-BR"/>
        </w:rPr>
        <w:t xml:space="preserve">geraniol e </w:t>
      </w:r>
      <w:r w:rsidR="00234996">
        <w:rPr>
          <w:rFonts w:ascii="Times New Roman" w:hAnsi="Times New Roman"/>
          <w:b w:val="0"/>
          <w:sz w:val="20"/>
          <w:lang w:val="pt-BR"/>
        </w:rPr>
        <w:t xml:space="preserve">o </w:t>
      </w:r>
      <w:r w:rsidR="00F469DD">
        <w:rPr>
          <w:rFonts w:ascii="Times New Roman" w:hAnsi="Times New Roman"/>
          <w:b w:val="0"/>
          <w:sz w:val="20"/>
          <w:lang w:val="pt-BR"/>
        </w:rPr>
        <w:t xml:space="preserve">nerol, </w:t>
      </w:r>
      <w:r w:rsidR="00234996">
        <w:rPr>
          <w:rFonts w:ascii="Times New Roman" w:hAnsi="Times New Roman"/>
          <w:b w:val="0"/>
          <w:sz w:val="20"/>
          <w:lang w:val="pt-BR"/>
        </w:rPr>
        <w:t>além</w:t>
      </w:r>
      <w:r w:rsidR="00F469DD">
        <w:rPr>
          <w:rFonts w:ascii="Times New Roman" w:hAnsi="Times New Roman"/>
          <w:b w:val="0"/>
          <w:sz w:val="20"/>
          <w:lang w:val="pt-BR"/>
        </w:rPr>
        <w:t xml:space="preserve"> de compostos aromatizantes como </w:t>
      </w:r>
      <w:r w:rsidR="00234996">
        <w:rPr>
          <w:rFonts w:ascii="Times New Roman" w:hAnsi="Times New Roman"/>
          <w:b w:val="0"/>
          <w:sz w:val="20"/>
          <w:lang w:val="pt-BR"/>
        </w:rPr>
        <w:t xml:space="preserve">o </w:t>
      </w:r>
      <w:r w:rsidR="00F469DD">
        <w:rPr>
          <w:rFonts w:ascii="Times New Roman" w:hAnsi="Times New Roman"/>
          <w:b w:val="0"/>
          <w:sz w:val="20"/>
          <w:lang w:val="pt-BR"/>
        </w:rPr>
        <w:t xml:space="preserve">citral e </w:t>
      </w:r>
      <w:r w:rsidR="00234996">
        <w:rPr>
          <w:rFonts w:ascii="Times New Roman" w:hAnsi="Times New Roman"/>
          <w:b w:val="0"/>
          <w:sz w:val="20"/>
          <w:lang w:val="pt-BR"/>
        </w:rPr>
        <w:t xml:space="preserve">o </w:t>
      </w:r>
      <w:r w:rsidR="00F469DD">
        <w:rPr>
          <w:rFonts w:ascii="Times New Roman" w:hAnsi="Times New Roman"/>
          <w:b w:val="0"/>
          <w:sz w:val="20"/>
          <w:lang w:val="pt-BR"/>
        </w:rPr>
        <w:t xml:space="preserve">mentol, e para síntese das vitaminas A e E. </w:t>
      </w:r>
      <w:r w:rsidR="00BB2C2F">
        <w:rPr>
          <w:rFonts w:ascii="Times New Roman" w:hAnsi="Times New Roman"/>
          <w:b w:val="0"/>
          <w:sz w:val="20"/>
          <w:lang w:val="pt-BR"/>
        </w:rPr>
        <w:t>Desta forma o</w:t>
      </w:r>
      <w:r w:rsidR="00F469DD">
        <w:rPr>
          <w:rFonts w:ascii="Times New Roman" w:hAnsi="Times New Roman"/>
          <w:b w:val="0"/>
          <w:sz w:val="20"/>
          <w:lang w:val="pt-BR"/>
        </w:rPr>
        <w:t xml:space="preserve"> objetivo </w:t>
      </w:r>
      <w:r w:rsidR="00B35024">
        <w:rPr>
          <w:rFonts w:ascii="Times New Roman" w:hAnsi="Times New Roman"/>
          <w:b w:val="0"/>
          <w:sz w:val="20"/>
          <w:lang w:val="pt-BR"/>
        </w:rPr>
        <w:t xml:space="preserve">deste trabalho </w:t>
      </w:r>
      <w:r w:rsidR="00234996">
        <w:rPr>
          <w:rFonts w:ascii="Times New Roman" w:hAnsi="Times New Roman"/>
          <w:b w:val="0"/>
          <w:sz w:val="20"/>
          <w:lang w:val="pt-BR"/>
        </w:rPr>
        <w:t>foi</w:t>
      </w:r>
      <w:r w:rsidR="00F469DD">
        <w:rPr>
          <w:rFonts w:ascii="Times New Roman" w:hAnsi="Times New Roman"/>
          <w:b w:val="0"/>
          <w:sz w:val="20"/>
          <w:lang w:val="pt-BR"/>
        </w:rPr>
        <w:t xml:space="preserve"> avaliar a eficiência do catalisador </w:t>
      </w:r>
      <w:r w:rsidR="000A4A7D">
        <w:rPr>
          <w:rFonts w:ascii="Times New Roman" w:hAnsi="Times New Roman"/>
          <w:b w:val="0"/>
          <w:sz w:val="20"/>
          <w:lang w:val="pt-BR"/>
        </w:rPr>
        <w:t xml:space="preserve">a base </w:t>
      </w:r>
      <w:r w:rsidR="00F469DD">
        <w:rPr>
          <w:rFonts w:ascii="Times New Roman" w:hAnsi="Times New Roman"/>
          <w:b w:val="0"/>
          <w:sz w:val="20"/>
          <w:lang w:val="pt-BR"/>
        </w:rPr>
        <w:t>de cobre para</w:t>
      </w:r>
      <w:r w:rsidR="00234996">
        <w:rPr>
          <w:rFonts w:ascii="Times New Roman" w:hAnsi="Times New Roman"/>
          <w:b w:val="0"/>
          <w:sz w:val="20"/>
          <w:lang w:val="pt-BR"/>
        </w:rPr>
        <w:t xml:space="preserve"> a</w:t>
      </w:r>
      <w:r w:rsidR="00F469DD">
        <w:rPr>
          <w:rFonts w:ascii="Times New Roman" w:hAnsi="Times New Roman"/>
          <w:b w:val="0"/>
          <w:sz w:val="20"/>
          <w:lang w:val="pt-BR"/>
        </w:rPr>
        <w:t xml:space="preserve"> </w:t>
      </w:r>
      <w:r w:rsidR="00234996">
        <w:rPr>
          <w:rFonts w:ascii="Times New Roman" w:hAnsi="Times New Roman"/>
          <w:b w:val="0"/>
          <w:sz w:val="20"/>
          <w:lang w:val="pt-BR"/>
        </w:rPr>
        <w:t>síntese</w:t>
      </w:r>
      <w:r w:rsidR="00F469DD">
        <w:rPr>
          <w:rFonts w:ascii="Times New Roman" w:hAnsi="Times New Roman"/>
          <w:b w:val="0"/>
          <w:sz w:val="20"/>
          <w:lang w:val="pt-BR"/>
        </w:rPr>
        <w:t xml:space="preserve"> de mirceno a partir da isomerização do </w:t>
      </w:r>
      <w:r w:rsidR="00FB5230">
        <w:rPr>
          <w:rFonts w:ascii="Symbol" w:hAnsi="Symbol"/>
          <w:b w:val="0"/>
          <w:i/>
          <w:iCs/>
          <w:sz w:val="20"/>
          <w:lang w:val="pt-BR"/>
        </w:rPr>
        <w:t></w:t>
      </w:r>
      <w:r w:rsidR="00F469DD">
        <w:rPr>
          <w:rFonts w:ascii="Times New Roman" w:hAnsi="Times New Roman"/>
          <w:b w:val="0"/>
          <w:sz w:val="20"/>
          <w:lang w:val="pt-BR"/>
        </w:rPr>
        <w:t>-pineno</w:t>
      </w:r>
      <w:r w:rsidR="00630DEE">
        <w:rPr>
          <w:rFonts w:ascii="Times New Roman" w:hAnsi="Times New Roman"/>
          <w:b w:val="0"/>
          <w:sz w:val="20"/>
          <w:lang w:val="pt-BR"/>
        </w:rPr>
        <w:t xml:space="preserve"> via pirólise</w:t>
      </w:r>
      <w:r w:rsidR="00F469DD">
        <w:rPr>
          <w:rFonts w:ascii="Times New Roman" w:hAnsi="Times New Roman"/>
          <w:b w:val="0"/>
          <w:sz w:val="20"/>
          <w:lang w:val="pt-BR"/>
        </w:rPr>
        <w:t xml:space="preserve">. Os ensaios foram realizados em </w:t>
      </w:r>
      <w:r w:rsidR="00234996">
        <w:rPr>
          <w:rFonts w:ascii="Times New Roman" w:hAnsi="Times New Roman"/>
          <w:b w:val="0"/>
          <w:sz w:val="20"/>
          <w:lang w:val="pt-BR"/>
        </w:rPr>
        <w:t xml:space="preserve">uma unidade de pirólise </w:t>
      </w:r>
      <w:r w:rsidR="00F469DD">
        <w:rPr>
          <w:rFonts w:ascii="Times New Roman" w:hAnsi="Times New Roman"/>
          <w:b w:val="0"/>
          <w:sz w:val="20"/>
          <w:lang w:val="pt-BR"/>
        </w:rPr>
        <w:t>de bancada</w:t>
      </w:r>
      <w:r w:rsidR="00234996">
        <w:rPr>
          <w:rFonts w:ascii="Times New Roman" w:hAnsi="Times New Roman"/>
          <w:b w:val="0"/>
          <w:sz w:val="20"/>
          <w:lang w:val="pt-BR"/>
        </w:rPr>
        <w:t>. A temperatura do forno de pirólise foi mantida em</w:t>
      </w:r>
      <w:r w:rsidR="00F469DD">
        <w:rPr>
          <w:rFonts w:ascii="Times New Roman" w:hAnsi="Times New Roman"/>
          <w:b w:val="0"/>
          <w:sz w:val="20"/>
          <w:lang w:val="pt-BR"/>
        </w:rPr>
        <w:t xml:space="preserve"> 500 </w:t>
      </w:r>
      <w:r w:rsidR="00AE5402" w:rsidRPr="00AE5402">
        <w:rPr>
          <w:rFonts w:ascii="Times New Roman" w:hAnsi="Times New Roman"/>
          <w:sz w:val="20"/>
          <w:lang w:val="pt-BR"/>
        </w:rPr>
        <w:t>°</w:t>
      </w:r>
      <w:r w:rsidR="00F469DD">
        <w:rPr>
          <w:rFonts w:ascii="Times New Roman" w:hAnsi="Times New Roman"/>
          <w:b w:val="0"/>
          <w:sz w:val="20"/>
          <w:lang w:val="pt-BR"/>
        </w:rPr>
        <w:t xml:space="preserve">C e </w:t>
      </w:r>
      <w:r w:rsidR="00234996">
        <w:rPr>
          <w:rFonts w:ascii="Times New Roman" w:hAnsi="Times New Roman"/>
          <w:b w:val="0"/>
          <w:sz w:val="20"/>
          <w:lang w:val="pt-BR"/>
        </w:rPr>
        <w:t>a temperatura no interior do reator foi avaliada entre 40</w:t>
      </w:r>
      <w:r w:rsidR="00074215">
        <w:rPr>
          <w:rFonts w:ascii="Times New Roman" w:hAnsi="Times New Roman"/>
          <w:b w:val="0"/>
          <w:sz w:val="20"/>
          <w:lang w:val="pt-BR"/>
        </w:rPr>
        <w:t>7</w:t>
      </w:r>
      <w:r w:rsidR="00234996">
        <w:rPr>
          <w:rFonts w:ascii="Times New Roman" w:hAnsi="Times New Roman"/>
          <w:b w:val="0"/>
          <w:sz w:val="20"/>
          <w:lang w:val="pt-BR"/>
        </w:rPr>
        <w:t xml:space="preserve"> </w:t>
      </w:r>
      <w:r w:rsidR="00AE5402" w:rsidRPr="00AE5402">
        <w:rPr>
          <w:rFonts w:ascii="Times New Roman" w:hAnsi="Times New Roman"/>
          <w:sz w:val="20"/>
          <w:lang w:val="pt-BR"/>
        </w:rPr>
        <w:t>°</w:t>
      </w:r>
      <w:r w:rsidR="00234996">
        <w:rPr>
          <w:rFonts w:ascii="Times New Roman" w:hAnsi="Times New Roman"/>
          <w:b w:val="0"/>
          <w:sz w:val="20"/>
          <w:lang w:val="pt-BR"/>
        </w:rPr>
        <w:t>C e 5</w:t>
      </w:r>
      <w:r w:rsidR="00074215">
        <w:rPr>
          <w:rFonts w:ascii="Times New Roman" w:hAnsi="Times New Roman"/>
          <w:b w:val="0"/>
          <w:sz w:val="20"/>
          <w:lang w:val="pt-BR"/>
        </w:rPr>
        <w:t>4</w:t>
      </w:r>
      <w:r w:rsidR="00234996">
        <w:rPr>
          <w:rFonts w:ascii="Times New Roman" w:hAnsi="Times New Roman"/>
          <w:b w:val="0"/>
          <w:sz w:val="20"/>
          <w:lang w:val="pt-BR"/>
        </w:rPr>
        <w:t xml:space="preserve">0 </w:t>
      </w:r>
      <w:r w:rsidR="00AE5402" w:rsidRPr="00AE5402">
        <w:rPr>
          <w:rFonts w:ascii="Times New Roman" w:hAnsi="Times New Roman"/>
          <w:sz w:val="20"/>
          <w:lang w:val="pt-BR"/>
        </w:rPr>
        <w:t>°</w:t>
      </w:r>
      <w:r w:rsidR="00234996">
        <w:rPr>
          <w:rFonts w:ascii="Times New Roman" w:hAnsi="Times New Roman"/>
          <w:b w:val="0"/>
          <w:sz w:val="20"/>
          <w:lang w:val="pt-BR"/>
        </w:rPr>
        <w:t>C</w:t>
      </w:r>
      <w:r w:rsidR="00074215">
        <w:rPr>
          <w:rFonts w:ascii="Times New Roman" w:hAnsi="Times New Roman"/>
          <w:b w:val="0"/>
          <w:sz w:val="20"/>
          <w:lang w:val="pt-BR"/>
        </w:rPr>
        <w:t xml:space="preserve">, para tal variou-se a </w:t>
      </w:r>
      <w:r w:rsidR="00F469DD">
        <w:rPr>
          <w:rFonts w:ascii="Times New Roman" w:hAnsi="Times New Roman"/>
          <w:b w:val="0"/>
          <w:sz w:val="20"/>
          <w:lang w:val="pt-BR"/>
        </w:rPr>
        <w:t xml:space="preserve">vazão de alimentação de </w:t>
      </w:r>
      <w:r w:rsidR="00074215">
        <w:rPr>
          <w:rFonts w:ascii="Times New Roman" w:hAnsi="Times New Roman"/>
          <w:b w:val="0"/>
          <w:sz w:val="20"/>
          <w:lang w:val="pt-BR"/>
        </w:rPr>
        <w:t>7</w:t>
      </w:r>
      <w:r w:rsidR="00F469DD">
        <w:rPr>
          <w:rFonts w:ascii="Times New Roman" w:hAnsi="Times New Roman"/>
          <w:b w:val="0"/>
          <w:sz w:val="20"/>
          <w:lang w:val="pt-BR"/>
        </w:rPr>
        <w:t>,6 mL/min</w:t>
      </w:r>
      <w:r w:rsidR="00074215">
        <w:rPr>
          <w:rFonts w:ascii="Times New Roman" w:hAnsi="Times New Roman"/>
          <w:b w:val="0"/>
          <w:sz w:val="20"/>
          <w:lang w:val="pt-BR"/>
        </w:rPr>
        <w:t xml:space="preserve"> a 15,1 mL/min</w:t>
      </w:r>
      <w:r w:rsidR="00F469DD">
        <w:rPr>
          <w:rFonts w:ascii="Times New Roman" w:hAnsi="Times New Roman"/>
          <w:b w:val="0"/>
          <w:sz w:val="20"/>
          <w:lang w:val="pt-BR"/>
        </w:rPr>
        <w:t xml:space="preserve"> de </w:t>
      </w:r>
      <w:r w:rsidR="00FB5230">
        <w:rPr>
          <w:rFonts w:ascii="Symbol" w:hAnsi="Symbol"/>
          <w:b w:val="0"/>
          <w:i/>
          <w:iCs/>
          <w:sz w:val="20"/>
          <w:lang w:val="pt-BR"/>
        </w:rPr>
        <w:t></w:t>
      </w:r>
      <w:r w:rsidR="00F469DD">
        <w:rPr>
          <w:rFonts w:ascii="Times New Roman" w:hAnsi="Times New Roman"/>
          <w:b w:val="0"/>
          <w:sz w:val="20"/>
          <w:lang w:val="pt-BR"/>
        </w:rPr>
        <w:t>-pineno</w:t>
      </w:r>
      <w:r w:rsidR="00234996">
        <w:rPr>
          <w:rFonts w:ascii="Times New Roman" w:hAnsi="Times New Roman"/>
          <w:b w:val="0"/>
          <w:sz w:val="20"/>
          <w:lang w:val="pt-BR"/>
        </w:rPr>
        <w:t xml:space="preserve">. Os </w:t>
      </w:r>
      <w:r w:rsidR="00074215">
        <w:rPr>
          <w:rFonts w:ascii="Times New Roman" w:hAnsi="Times New Roman"/>
          <w:b w:val="0"/>
          <w:sz w:val="20"/>
          <w:lang w:val="pt-BR"/>
        </w:rPr>
        <w:t>ensaios</w:t>
      </w:r>
      <w:r w:rsidR="00234996">
        <w:rPr>
          <w:rFonts w:ascii="Times New Roman" w:hAnsi="Times New Roman"/>
          <w:b w:val="0"/>
          <w:sz w:val="20"/>
          <w:lang w:val="pt-BR"/>
        </w:rPr>
        <w:t xml:space="preserve"> foram realizados na presença e ausência d</w:t>
      </w:r>
      <w:r w:rsidR="00F469DD">
        <w:rPr>
          <w:rFonts w:ascii="Times New Roman" w:hAnsi="Times New Roman"/>
          <w:b w:val="0"/>
          <w:sz w:val="20"/>
          <w:lang w:val="pt-BR"/>
        </w:rPr>
        <w:t xml:space="preserve">e catalisador </w:t>
      </w:r>
      <w:r w:rsidR="000A4A7D">
        <w:rPr>
          <w:rFonts w:ascii="Times New Roman" w:hAnsi="Times New Roman"/>
          <w:b w:val="0"/>
          <w:sz w:val="20"/>
          <w:lang w:val="pt-BR"/>
        </w:rPr>
        <w:t xml:space="preserve">a base </w:t>
      </w:r>
      <w:r w:rsidR="00F469DD">
        <w:rPr>
          <w:rFonts w:ascii="Times New Roman" w:hAnsi="Times New Roman"/>
          <w:b w:val="0"/>
          <w:sz w:val="20"/>
          <w:lang w:val="pt-BR"/>
        </w:rPr>
        <w:t xml:space="preserve">de Cu. Os resultados indicaram </w:t>
      </w:r>
      <w:r w:rsidR="00074215">
        <w:rPr>
          <w:rFonts w:ascii="Times New Roman" w:hAnsi="Times New Roman"/>
          <w:b w:val="0"/>
          <w:sz w:val="20"/>
          <w:lang w:val="pt-BR"/>
        </w:rPr>
        <w:t xml:space="preserve">a </w:t>
      </w:r>
      <w:r w:rsidR="00F469DD">
        <w:rPr>
          <w:rFonts w:ascii="Times New Roman" w:hAnsi="Times New Roman"/>
          <w:b w:val="0"/>
          <w:sz w:val="20"/>
          <w:lang w:val="pt-BR"/>
        </w:rPr>
        <w:t>diminuição de energia de ativação de 191,5</w:t>
      </w:r>
      <w:r w:rsidR="00234996">
        <w:rPr>
          <w:rFonts w:ascii="Times New Roman" w:hAnsi="Times New Roman"/>
          <w:b w:val="0"/>
          <w:sz w:val="20"/>
          <w:lang w:val="pt-BR"/>
        </w:rPr>
        <w:t xml:space="preserve"> kJ/mol</w:t>
      </w:r>
      <w:r w:rsidR="00F469DD">
        <w:rPr>
          <w:rFonts w:ascii="Times New Roman" w:hAnsi="Times New Roman"/>
          <w:b w:val="0"/>
          <w:sz w:val="20"/>
          <w:lang w:val="pt-BR"/>
        </w:rPr>
        <w:t xml:space="preserve"> para 180,4 kJ/mol</w:t>
      </w:r>
      <w:r w:rsidR="00234996">
        <w:rPr>
          <w:rFonts w:ascii="Times New Roman" w:hAnsi="Times New Roman"/>
          <w:b w:val="0"/>
          <w:sz w:val="20"/>
          <w:lang w:val="pt-BR"/>
        </w:rPr>
        <w:t>, a obtenção de mirceno</w:t>
      </w:r>
      <w:r w:rsidR="00074215">
        <w:rPr>
          <w:rFonts w:ascii="Times New Roman" w:hAnsi="Times New Roman"/>
          <w:b w:val="0"/>
          <w:sz w:val="20"/>
          <w:lang w:val="pt-BR"/>
        </w:rPr>
        <w:t xml:space="preserve"> na presença do catalisador</w:t>
      </w:r>
      <w:r w:rsidR="00234996">
        <w:rPr>
          <w:rFonts w:ascii="Times New Roman" w:hAnsi="Times New Roman"/>
          <w:b w:val="0"/>
          <w:sz w:val="20"/>
          <w:lang w:val="pt-BR"/>
        </w:rPr>
        <w:t xml:space="preserve"> em tempera</w:t>
      </w:r>
      <w:r w:rsidR="00074215">
        <w:rPr>
          <w:rFonts w:ascii="Times New Roman" w:hAnsi="Times New Roman"/>
          <w:b w:val="0"/>
          <w:sz w:val="20"/>
          <w:lang w:val="pt-BR"/>
        </w:rPr>
        <w:t>ras mais baixas em relação aos ensaios sem catalisador</w:t>
      </w:r>
      <w:r w:rsidR="00F469DD">
        <w:rPr>
          <w:rFonts w:ascii="Times New Roman" w:hAnsi="Times New Roman"/>
          <w:b w:val="0"/>
          <w:sz w:val="20"/>
          <w:lang w:val="pt-BR"/>
        </w:rPr>
        <w:t xml:space="preserve"> e </w:t>
      </w:r>
      <w:r w:rsidR="00074215">
        <w:rPr>
          <w:rFonts w:ascii="Times New Roman" w:hAnsi="Times New Roman"/>
          <w:b w:val="0"/>
          <w:sz w:val="20"/>
          <w:lang w:val="pt-BR"/>
        </w:rPr>
        <w:t xml:space="preserve">a </w:t>
      </w:r>
      <w:r w:rsidR="00F469DD">
        <w:rPr>
          <w:rFonts w:ascii="Times New Roman" w:hAnsi="Times New Roman"/>
          <w:b w:val="0"/>
          <w:sz w:val="20"/>
          <w:lang w:val="pt-BR"/>
        </w:rPr>
        <w:t>inibição d</w:t>
      </w:r>
      <w:r w:rsidR="00074215">
        <w:rPr>
          <w:rFonts w:ascii="Times New Roman" w:hAnsi="Times New Roman"/>
          <w:b w:val="0"/>
          <w:sz w:val="20"/>
          <w:lang w:val="pt-BR"/>
        </w:rPr>
        <w:t>a</w:t>
      </w:r>
      <w:r w:rsidR="00F469DD">
        <w:rPr>
          <w:rFonts w:ascii="Times New Roman" w:hAnsi="Times New Roman"/>
          <w:b w:val="0"/>
          <w:sz w:val="20"/>
          <w:lang w:val="pt-BR"/>
        </w:rPr>
        <w:t xml:space="preserve"> produção d</w:t>
      </w:r>
      <w:r w:rsidR="00074215">
        <w:rPr>
          <w:rFonts w:ascii="Times New Roman" w:hAnsi="Times New Roman"/>
          <w:b w:val="0"/>
          <w:sz w:val="20"/>
          <w:lang w:val="pt-BR"/>
        </w:rPr>
        <w:t xml:space="preserve">os </w:t>
      </w:r>
      <w:r w:rsidR="00F469DD">
        <w:rPr>
          <w:rFonts w:ascii="Times New Roman" w:hAnsi="Times New Roman"/>
          <w:b w:val="0"/>
          <w:sz w:val="20"/>
          <w:lang w:val="pt-BR"/>
        </w:rPr>
        <w:t>subprodutos</w:t>
      </w:r>
      <w:r w:rsidR="00074215">
        <w:rPr>
          <w:rFonts w:ascii="Times New Roman" w:hAnsi="Times New Roman"/>
          <w:b w:val="0"/>
          <w:sz w:val="20"/>
          <w:lang w:val="pt-BR"/>
        </w:rPr>
        <w:t xml:space="preserve"> da reação</w:t>
      </w:r>
      <w:r w:rsidR="00F469DD">
        <w:rPr>
          <w:rFonts w:ascii="Times New Roman" w:hAnsi="Times New Roman"/>
          <w:b w:val="0"/>
          <w:sz w:val="20"/>
          <w:lang w:val="pt-BR"/>
        </w:rPr>
        <w:t xml:space="preserve">. </w:t>
      </w:r>
    </w:p>
    <w:p w14:paraId="17435911" w14:textId="77777777" w:rsidR="00F469DD" w:rsidRDefault="00EA4E1B" w:rsidP="00EA4E1B">
      <w:pPr>
        <w:pStyle w:val="BDAbstract"/>
        <w:spacing w:before="0" w:after="0" w:line="240" w:lineRule="auto"/>
        <w:rPr>
          <w:rFonts w:ascii="Times New Roman" w:hAnsi="Times New Roman"/>
          <w:b w:val="0"/>
          <w:i/>
          <w:sz w:val="20"/>
          <w:lang w:val="pt-BR"/>
        </w:rPr>
      </w:pPr>
      <w:r w:rsidRPr="00870522">
        <w:rPr>
          <w:rFonts w:ascii="Times New Roman" w:hAnsi="Times New Roman"/>
          <w:b w:val="0"/>
          <w:i/>
          <w:sz w:val="20"/>
          <w:lang w:val="pt-BR"/>
        </w:rPr>
        <w:t xml:space="preserve">Palavras-chave: </w:t>
      </w:r>
      <w:r w:rsidR="00F469DD">
        <w:rPr>
          <w:rFonts w:ascii="Times New Roman" w:hAnsi="Times New Roman"/>
          <w:b w:val="0"/>
          <w:i/>
          <w:sz w:val="20"/>
          <w:lang w:val="pt-BR"/>
        </w:rPr>
        <w:t>catálise, terpenos, pirólise, cobre</w:t>
      </w:r>
    </w:p>
    <w:p w14:paraId="0DBC9D32" w14:textId="77777777" w:rsidR="00B9115A" w:rsidRPr="00B9115A" w:rsidRDefault="00EA4E1B" w:rsidP="1A2EB2A5">
      <w:pPr>
        <w:pStyle w:val="BDAbstract"/>
        <w:spacing w:after="0" w:line="240" w:lineRule="auto"/>
        <w:rPr>
          <w:rFonts w:ascii="Times New Roman" w:hAnsi="Times New Roman"/>
          <w:b w:val="0"/>
          <w:sz w:val="20"/>
        </w:rPr>
      </w:pPr>
      <w:r w:rsidRPr="1A2EB2A5">
        <w:rPr>
          <w:rFonts w:ascii="Times New Roman" w:hAnsi="Times New Roman"/>
          <w:b w:val="0"/>
          <w:sz w:val="20"/>
        </w:rPr>
        <w:t xml:space="preserve">ABSTRACT - </w:t>
      </w:r>
      <w:r w:rsidR="00B9115A" w:rsidRPr="1A2EB2A5">
        <w:rPr>
          <w:rFonts w:ascii="Times New Roman" w:hAnsi="Times New Roman"/>
          <w:b w:val="0"/>
          <w:sz w:val="20"/>
        </w:rPr>
        <w:t xml:space="preserve">Terpenes are a natural and sustainable raw material for the fine chemicals industry, a source </w:t>
      </w:r>
      <w:r w:rsidR="2EF8FE8F" w:rsidRPr="1A2EB2A5">
        <w:rPr>
          <w:rFonts w:ascii="Times New Roman" w:hAnsi="Times New Roman"/>
          <w:b w:val="0"/>
          <w:sz w:val="20"/>
        </w:rPr>
        <w:t>to produce</w:t>
      </w:r>
      <w:r w:rsidR="00B9115A" w:rsidRPr="1A2EB2A5">
        <w:rPr>
          <w:rFonts w:ascii="Times New Roman" w:hAnsi="Times New Roman"/>
          <w:b w:val="0"/>
          <w:sz w:val="20"/>
        </w:rPr>
        <w:t xml:space="preserve"> flavor and fragrances. Myrcene is an important intermediate for the commercial terpene alcohols production, as geraniol and nerol, flavoring compounds, citral and menthol, and for the synthesis of vitamins A and E. The objective was to evaluate the efficiency of the copper-based catalyst for myrcene synthesis from </w:t>
      </w:r>
      <w:r w:rsidR="003E67B8" w:rsidRPr="003E67B8">
        <w:rPr>
          <w:rFonts w:ascii="Times New Roman" w:hAnsi="Times New Roman"/>
          <w:b w:val="0"/>
          <w:i/>
          <w:iCs/>
          <w:sz w:val="20"/>
        </w:rPr>
        <w:t>β</w:t>
      </w:r>
      <w:r w:rsidR="00B9115A" w:rsidRPr="1A2EB2A5">
        <w:rPr>
          <w:rFonts w:ascii="Times New Roman" w:hAnsi="Times New Roman"/>
          <w:b w:val="0"/>
          <w:sz w:val="20"/>
        </w:rPr>
        <w:t xml:space="preserve">-pinene isomerization. The experiments were performed in a bench top pyrolysis unit. The pyrolysis oven temperature was maintained at 500 </w:t>
      </w:r>
      <w:r w:rsidR="00AE5402" w:rsidRPr="1A2EB2A5">
        <w:rPr>
          <w:rFonts w:ascii="Times New Roman" w:hAnsi="Times New Roman"/>
          <w:sz w:val="20"/>
        </w:rPr>
        <w:t>°</w:t>
      </w:r>
      <w:r w:rsidR="00B9115A" w:rsidRPr="1A2EB2A5">
        <w:rPr>
          <w:rFonts w:ascii="Times New Roman" w:hAnsi="Times New Roman"/>
          <w:b w:val="0"/>
          <w:sz w:val="20"/>
        </w:rPr>
        <w:t xml:space="preserve">C and the temperature inside the reactor was evaluated between 407 </w:t>
      </w:r>
      <w:r w:rsidR="00AE5402" w:rsidRPr="1A2EB2A5">
        <w:rPr>
          <w:rFonts w:ascii="Times New Roman" w:hAnsi="Times New Roman"/>
          <w:sz w:val="20"/>
        </w:rPr>
        <w:t>°</w:t>
      </w:r>
      <w:r w:rsidR="00B9115A" w:rsidRPr="1A2EB2A5">
        <w:rPr>
          <w:rFonts w:ascii="Times New Roman" w:hAnsi="Times New Roman"/>
          <w:b w:val="0"/>
          <w:sz w:val="20"/>
        </w:rPr>
        <w:t xml:space="preserve">C and 540 </w:t>
      </w:r>
      <w:r w:rsidR="00AE5402" w:rsidRPr="1A2EB2A5">
        <w:rPr>
          <w:rFonts w:ascii="Times New Roman" w:hAnsi="Times New Roman"/>
          <w:sz w:val="20"/>
        </w:rPr>
        <w:t>°</w:t>
      </w:r>
      <w:r w:rsidR="00B9115A" w:rsidRPr="1A2EB2A5">
        <w:rPr>
          <w:rFonts w:ascii="Times New Roman" w:hAnsi="Times New Roman"/>
          <w:b w:val="0"/>
          <w:sz w:val="20"/>
        </w:rPr>
        <w:t xml:space="preserve">C, for this purpose the feed flow rate was varied from 7.6 mL/min to 15.1 mL/min of </w:t>
      </w:r>
      <w:r w:rsidR="003E67B8" w:rsidRPr="003E67B8">
        <w:rPr>
          <w:rFonts w:ascii="Times New Roman" w:hAnsi="Times New Roman"/>
          <w:b w:val="0"/>
          <w:i/>
          <w:iCs/>
          <w:sz w:val="20"/>
        </w:rPr>
        <w:t>β</w:t>
      </w:r>
      <w:r w:rsidR="00B9115A" w:rsidRPr="1A2EB2A5">
        <w:rPr>
          <w:rFonts w:ascii="Times New Roman" w:hAnsi="Times New Roman"/>
          <w:b w:val="0"/>
          <w:sz w:val="20"/>
        </w:rPr>
        <w:t>-pinene. The experiments were performed in the presence and absence of Cu-based catalyst. The results indicated a decrease in activation energy from 191.5 kJ/mol to 180.4 kJ/mol, the obtainment of myrcene in the presence of catalyst at lower temperatures compared to the tests without catalyst and the inhibition of the production of reaction byproducts.</w:t>
      </w:r>
    </w:p>
    <w:p w14:paraId="17E74D99" w14:textId="77777777" w:rsidR="00EA4E1B" w:rsidRPr="00F469DD" w:rsidRDefault="00EA4E1B" w:rsidP="00EA4E1B">
      <w:pPr>
        <w:pStyle w:val="BDAbstract"/>
        <w:spacing w:before="0" w:after="120" w:line="240" w:lineRule="auto"/>
        <w:rPr>
          <w:rFonts w:ascii="Times New Roman" w:hAnsi="Times New Roman"/>
          <w:b w:val="0"/>
          <w:i/>
          <w:sz w:val="20"/>
        </w:rPr>
      </w:pPr>
      <w:r w:rsidRPr="00F469DD">
        <w:rPr>
          <w:rFonts w:ascii="Times New Roman" w:hAnsi="Times New Roman"/>
          <w:b w:val="0"/>
          <w:i/>
          <w:sz w:val="20"/>
        </w:rPr>
        <w:t xml:space="preserve">Keywords: </w:t>
      </w:r>
      <w:r w:rsidR="00F469DD" w:rsidRPr="00F469DD">
        <w:rPr>
          <w:rFonts w:ascii="Times New Roman" w:hAnsi="Times New Roman"/>
          <w:b w:val="0"/>
          <w:i/>
          <w:sz w:val="20"/>
        </w:rPr>
        <w:t>catalysis, terpenes, pyrolysis, copper</w:t>
      </w:r>
    </w:p>
    <w:bookmarkEnd w:id="1"/>
    <w:p w14:paraId="1F98B688" w14:textId="77777777" w:rsidR="00EA4E1B" w:rsidRPr="00F469DD" w:rsidRDefault="00EA4E1B" w:rsidP="00EA4E1B">
      <w:pPr>
        <w:rPr>
          <w:lang w:val="en-US"/>
        </w:rPr>
        <w:sectPr w:rsidR="00EA4E1B" w:rsidRPr="00F469DD" w:rsidSect="00EA4E1B">
          <w:headerReference w:type="default" r:id="rId11"/>
          <w:endnotePr>
            <w:numFmt w:val="decimal"/>
          </w:endnotePr>
          <w:pgSz w:w="11906" w:h="16838"/>
          <w:pgMar w:top="1418" w:right="1094" w:bottom="1418" w:left="567" w:header="709" w:footer="709" w:gutter="0"/>
          <w:cols w:space="708"/>
          <w:docGrid w:linePitch="360"/>
        </w:sectPr>
      </w:pPr>
    </w:p>
    <w:p w14:paraId="409F51FA" w14:textId="77777777" w:rsidR="00EA4E1B" w:rsidRPr="00B2287E" w:rsidRDefault="00EA4E1B" w:rsidP="00EA4E1B">
      <w:pPr>
        <w:pStyle w:val="Ttulo2"/>
        <w:spacing w:before="0"/>
        <w:rPr>
          <w:rFonts w:ascii="Helvetica" w:hAnsi="Helvetica" w:cs="Helvetica"/>
          <w:sz w:val="24"/>
          <w:szCs w:val="24"/>
          <w:lang w:val="en-US"/>
        </w:rPr>
      </w:pPr>
      <w:r w:rsidRPr="00B2287E">
        <w:rPr>
          <w:rFonts w:ascii="Helvetica" w:hAnsi="Helvetica" w:cs="Helvetica"/>
          <w:sz w:val="24"/>
          <w:szCs w:val="24"/>
          <w:lang w:val="en-US"/>
        </w:rPr>
        <w:t>Introdução</w:t>
      </w:r>
    </w:p>
    <w:p w14:paraId="3B18C41B" w14:textId="77777777" w:rsidR="009E4862" w:rsidRPr="00B2287E" w:rsidRDefault="009E4862" w:rsidP="00EA4E1B">
      <w:pPr>
        <w:pStyle w:val="TAMainText"/>
        <w:rPr>
          <w:rFonts w:ascii="Times New Roman" w:hAnsi="Times New Roman"/>
        </w:rPr>
      </w:pPr>
    </w:p>
    <w:p w14:paraId="402802F2" w14:textId="77777777" w:rsidR="00BC2726" w:rsidRPr="00BC2726" w:rsidRDefault="00BC2726" w:rsidP="00F93838">
      <w:pPr>
        <w:pStyle w:val="TAMainText"/>
        <w:spacing w:line="240" w:lineRule="auto"/>
        <w:ind w:firstLine="227"/>
        <w:rPr>
          <w:rFonts w:ascii="Times New Roman" w:hAnsi="Times New Roman"/>
          <w:lang w:val="pt-BR"/>
        </w:rPr>
      </w:pPr>
      <w:r w:rsidRPr="00373E5E">
        <w:rPr>
          <w:rFonts w:ascii="Times New Roman" w:hAnsi="Times New Roman"/>
          <w:lang w:val="pt-BR"/>
        </w:rPr>
        <w:t>Os compostos terpênicos ou terpenóides</w:t>
      </w:r>
      <w:r w:rsidR="001B5CD9">
        <w:rPr>
          <w:rFonts w:ascii="Times New Roman" w:hAnsi="Times New Roman"/>
          <w:lang w:val="pt-BR"/>
        </w:rPr>
        <w:t xml:space="preserve">, que </w:t>
      </w:r>
      <w:r w:rsidR="00914F03" w:rsidRPr="00373E5E">
        <w:rPr>
          <w:rFonts w:ascii="Times New Roman" w:hAnsi="Times New Roman"/>
          <w:lang w:val="pt-BR"/>
        </w:rPr>
        <w:t>compõem</w:t>
      </w:r>
      <w:r w:rsidR="001B5CD9">
        <w:rPr>
          <w:rFonts w:ascii="Times New Roman" w:hAnsi="Times New Roman"/>
          <w:lang w:val="pt-BR"/>
        </w:rPr>
        <w:t xml:space="preserve"> os óleos essenciais,</w:t>
      </w:r>
      <w:r w:rsidRPr="00373E5E">
        <w:rPr>
          <w:rFonts w:ascii="Times New Roman" w:hAnsi="Times New Roman"/>
          <w:lang w:val="pt-BR"/>
        </w:rPr>
        <w:t xml:space="preserve"> </w:t>
      </w:r>
      <w:r w:rsidR="001B5CD9">
        <w:rPr>
          <w:rFonts w:ascii="Times New Roman" w:hAnsi="Times New Roman"/>
          <w:lang w:val="pt-BR"/>
        </w:rPr>
        <w:t>s</w:t>
      </w:r>
      <w:r w:rsidR="00914F03" w:rsidRPr="00373E5E">
        <w:rPr>
          <w:rFonts w:ascii="Times New Roman" w:hAnsi="Times New Roman"/>
          <w:lang w:val="pt-BR"/>
        </w:rPr>
        <w:t>ão</w:t>
      </w:r>
      <w:r w:rsidRPr="00373E5E">
        <w:rPr>
          <w:rFonts w:ascii="Times New Roman" w:hAnsi="Times New Roman"/>
          <w:lang w:val="pt-BR"/>
        </w:rPr>
        <w:t xml:space="preserve"> constituídos por múltiplos da molécula do isopreno (C</w:t>
      </w:r>
      <w:r w:rsidRPr="00373E5E">
        <w:rPr>
          <w:rFonts w:ascii="Times New Roman" w:hAnsi="Times New Roman"/>
          <w:vertAlign w:val="subscript"/>
          <w:lang w:val="pt-BR"/>
        </w:rPr>
        <w:t>5</w:t>
      </w:r>
      <w:r w:rsidRPr="00373E5E">
        <w:rPr>
          <w:rFonts w:ascii="Times New Roman" w:hAnsi="Times New Roman"/>
          <w:lang w:val="pt-BR"/>
        </w:rPr>
        <w:t>H</w:t>
      </w:r>
      <w:r w:rsidRPr="00373E5E">
        <w:rPr>
          <w:rFonts w:ascii="Times New Roman" w:hAnsi="Times New Roman"/>
          <w:vertAlign w:val="subscript"/>
          <w:lang w:val="pt-BR"/>
        </w:rPr>
        <w:t>8</w:t>
      </w:r>
      <w:r w:rsidR="001B5CD9">
        <w:rPr>
          <w:rFonts w:ascii="Times New Roman" w:hAnsi="Times New Roman"/>
          <w:lang w:val="pt-BR"/>
        </w:rPr>
        <w:t xml:space="preserve">) </w:t>
      </w:r>
      <w:r w:rsidR="00373E5E" w:rsidRPr="00373E5E">
        <w:rPr>
          <w:rFonts w:ascii="Times New Roman" w:hAnsi="Times New Roman"/>
          <w:lang w:val="pt-BR"/>
        </w:rPr>
        <w:t xml:space="preserve">e </w:t>
      </w:r>
      <w:r w:rsidRPr="00373E5E">
        <w:rPr>
          <w:rFonts w:ascii="Times New Roman" w:hAnsi="Times New Roman"/>
          <w:lang w:val="pt-BR"/>
        </w:rPr>
        <w:t>podem ser encontrados nas formas cíclica e li</w:t>
      </w:r>
      <w:r w:rsidR="00914F03" w:rsidRPr="00373E5E">
        <w:rPr>
          <w:rFonts w:ascii="Times New Roman" w:hAnsi="Times New Roman"/>
          <w:lang w:val="pt-BR"/>
        </w:rPr>
        <w:t>near</w:t>
      </w:r>
      <w:r w:rsidR="00373E5E" w:rsidRPr="00373E5E">
        <w:rPr>
          <w:rFonts w:ascii="Times New Roman" w:hAnsi="Times New Roman"/>
          <w:lang w:val="pt-BR"/>
        </w:rPr>
        <w:t xml:space="preserve"> </w:t>
      </w:r>
      <w:r w:rsidR="00AC0A7E" w:rsidRPr="00373E5E">
        <w:rPr>
          <w:rFonts w:ascii="Times New Roman" w:hAnsi="Times New Roman"/>
          <w:lang w:val="pt-BR"/>
        </w:rPr>
        <w:fldChar w:fldCharType="begin" w:fldLock="1"/>
      </w:r>
      <w:r w:rsidR="00373E5E" w:rsidRPr="00373E5E">
        <w:rPr>
          <w:rFonts w:ascii="Times New Roman" w:hAnsi="Times New Roman"/>
          <w:lang w:val="pt-BR"/>
        </w:rPr>
        <w:instrText>ADDIN CSL_CITATION {"citationItems":[{"id":"ITEM-1","itemData":{"abstract":"A terebintina sulfatada é um subproduto do processo Kraft gerado pela indústria de papel, composto de terpenos e terpenóides de grande importância industrial, pois seus principais componentes, o α-pineno e o β-pineno, são materiais de partida para a síntese de uma enorme gama de terpenóides componentes de produtos de higiene, cosméticos, farmacêuticos, alimentícios, entre outros. No Brasil esta não é utilizada com estes fins devido a apresentar compostos de enxofre inerentes ao processamento Kraft da madeira de pinus que causam uma coloração escura e odor forte. Neste trabalho apresentam-se os resultados da destilação da terebintina sulfatada desodorizada, e a sua utilização na síntese de α-terpineol.Determinou-se que a destilação da terebintina sulfatada desodorizada é um processo eficaz de refino, sendo que o α-pineno e o β-pineno são obtidos no destilado e as substâncias contaminantes permanecem no produto de fundo da destilação. A hidratação do produto destilado utilizando o ácido sulfúrico como catalisador em meio de excesso de acetona produziu uma série de terpenos, sendo o principal, o α-terpineol, com uma seletividade máxima de 70%. A conversão alcançada para os pinenos foi superior a 99% no tempo de 4 horas de reação e temperatura do meio reacional de 85ºC. O produto assim obtido apresentou excelente pureza, tendo potencialidade para ser utilizado no mercado de intermediários para a síntese química, além de usos diretos como produtos de limpeza entre outros. Com este trabalho procurou-se demonstrar a possibilidade de sínteses realizadas com a terebintina sulfatada no Brasil, demonstrando que a purificação pode ser feita com tecnologia simples e acessível, incentivando o desenvolvimento de tecnologia adequada à sua utilização.","author":[{"dropping-particle":"","family":"Santos","given":"M.","non-dropping-particle":"","parse-names":false,"suffix":""}],"id":"ITEM-1","issued":{"date-parts":[["2005"]]},"page":"116","title":"Refino da terebintina sulfatada desodorizada por destilação e sua utilização na síntese do a-terpineol","type":"article-journal"},"uris":["http://www.mendeley.com/documents/?uuid=45d0b54c-57ef-49fc-bf8a-ed2f8490f55e"]},{"id":"ITEM-2","itemData":{"DOI":"10.1016/j.jaap.2016.12.020","ISSN":"01652370","abstract":"Myrcene, an important intermediate for the production of fine chemicals and pharmaceuticals, is mainly produced by the pyrolysis of β-pinene in the industry. The study of the direct pyrolysis of β-pinene was carried out without a catalyst and carrier gas at 573–873 K and under low pressure. In order to clarify the reaction mechanism, the primary intermediates of β-pinene pyrolysis including myrcene and limonene were also used as raw materials for further pyrolysis. The identification of some small molecules and C10H16isomers in the products proves that both decomposition reaction and ene reaction take place during the pyrolysis process. Based on the qualitative and quantitative analysis of reaction products, a reaction scheme for the pyrolysis of β-pinene was proposed. With appropriate simplification of the reaction scheme, a phenomenological kinetic model of the competitive parallel and consecutive first-order reaction was built, and exhibited good agreement with the experimental data. The activation energy (Ea) and pre-exponential factor (k0) for each pathway were also determined.","author":[{"dropping-particle":"","family":"Zheng","given":"Huidong","non-dropping-particle":"","parse-names":false,"suffix":""},{"dropping-particle":"","family":"Chen","given":"Jinliang","non-dropping-particle":"","parse-names":false,"suffix":""},{"dropping-particle":"","family":"Li","given":"Chao","non-dropping-particle":"","parse-names":false,"suffix":""},{"dropping-particle":"","family":"Chen","given":"Jingjing","non-dropping-particle":"","parse-names":false,"suffix":""},{"dropping-particle":"","family":"Wang","given":"Yingshu","non-dropping-particle":"","parse-names":false,"suffix":""},{"dropping-particle":"","family":"Zhao","given":"Suying","non-dropping-particle":"","parse-names":false,"suffix":""},{"dropping-particle":"","family":"Zeng","given":"Yanru","non-dropping-particle":"","parse-names":false,"suffix":""}],"container-title":"Journal of Analytical and Applied Pyrolysis","id":"ITEM-2","issued":{"date-parts":[["2017"]]},"page":"99-106","publisher":"Elsevier B.V.","title":"Mechanism and kinetics of the pyrolysis of Β-pinene to myrcene","type":"article-journal","volume":"123"},"uris":["http://www.mendeley.com/documents/?uuid=177d2512-2274-4c1f-8554-d63f0782a906"]},{"id":"ITEM-3","itemData":{"DOI":"10.1016/j.jaap.2007.01.005","ISSN":"01652370","abstract":"Turpentine, an important source of terpenes, is composed mainly of α- and β-pinene. It is possible to pyrolyze β-pinene to form myrcene, which is used as an intermediate for the production of various terpenic alcohols and chemical aromas, as well as vitamins A and E. In the current work we develop a theoretical equilibrium model of the main synthesis reactions that have been described in the literature plus postulated decomposition reactions. The model predicts that 93.5% yields of myrcene from β-pinene would be possible whereas the highest reported yield is 85%. In order to investigate the less than theoretical yields, we investigated the decomposition of myrcene experimentally. The various degradation products that appeared were consistent with a degradation mechanism involving breakage next to conjugated double bonds, producing an alkyl radical. Decomposition of myrcene by this route would form 1,3-butadiene (C4H6) and 4-methyl-1,3-pentadiene (C6H10), which then further decompose into various other products. These results contribute to a better understanding of the production of myrcene by pyrolysis of β-pinene and could form the basis for optimization of product yields. © 2007 Elsevier B.V. All rights reserved.","author":[{"dropping-particle":"","family":"Kolicheski","given":"M. B.","non-dropping-particle":"","parse-names":false,"suffix":""},{"dropping-particle":"","family":"Cocco","given":"L. C.","non-dropping-particle":"","parse-names":false,"suffix":""},{"dropping-particle":"","family":"Mitchell","given":"D. A.","non-dropping-particle":"","parse-names":false,"suffix":""},{"dropping-particle":"","family":"Kaminski","given":"M.","non-dropping-particle":"","parse-names":false,"suffix":""}],"container-title":"Journal of Analytical and Applied Pyrolysis","id":"ITEM-3","issue":"1","issued":{"date-parts":[["2007"]]},"page":"92-100","title":"Synthesis of myrcene by pyrolysis of β-pinene: Analysis of decomposition reactions","type":"article-journal","volume":"80"},"uris":["http://www.mendeley.com/documents/?uuid=a8821361-3828-4410-9041-f0cbdffa7b60"]},{"id":"ITEM-4","itemData":{"DOI":"10.1023/B:TOCA.0000013549.60930.da","ISSN":"10225528","abstract":"A review covering some of the key catalytic transformations of the major monoterpene feedstocks. Monoterpenes are key ingredients in the flavor and fragrance industry, with α and β-pinene (obtained from turpentine) being some of the most important. The review focuses on the hydrocarbons; pinene, limonene, carene, and the interconversion of the monooxygenates; geraniol/nerol, citronellol, citral, and citronellal. The major areas covered are catalytic hydrogenation/hydrogenolysis, dehydrogenation, rearrangement/isomerization/aromatization, reactions with carbon monoxide, epoxidation, and the addition of alcohols and acids. © 2004 Plenum Publishing Corporation.","author":[{"dropping-particle":"","family":"Swift","given":"Karl A.D.","non-dropping-particle":"","parse-names":false,"suffix":""}],"container-title":"Topics in Catalysis","id":"ITEM-4","issue":"1-4","issued":{"date-parts":[["2004"]]},"page":"143-155","title":"Catalytic transformations of the major terpene feedstocks","type":"article-journal","volume":"27"},"uris":["http://www.mendeley.com/documents/?uuid=75112b44-859c-4b1e-b5c6-d8d421f6aa33"]}],"mendeley":{"formattedCitation":"[1]–[4]","plainTextFormattedCitation":"[1]–[4]","previouslyFormattedCitation":"[1]"},"properties":{"noteIndex":0},"schema":"https://github.com/citation-style-language/schema/raw/master/csl-citation.json"}</w:instrText>
      </w:r>
      <w:r w:rsidR="00AC0A7E" w:rsidRPr="00373E5E">
        <w:rPr>
          <w:rFonts w:ascii="Times New Roman" w:hAnsi="Times New Roman"/>
          <w:lang w:val="pt-BR"/>
        </w:rPr>
        <w:fldChar w:fldCharType="separate"/>
      </w:r>
      <w:r w:rsidR="009E0C0A">
        <w:rPr>
          <w:rFonts w:ascii="Times New Roman" w:hAnsi="Times New Roman"/>
          <w:noProof/>
          <w:lang w:val="pt-BR"/>
        </w:rPr>
        <w:t>(</w:t>
      </w:r>
      <w:r w:rsidR="00373E5E" w:rsidRPr="00373E5E">
        <w:rPr>
          <w:rFonts w:ascii="Times New Roman" w:hAnsi="Times New Roman"/>
          <w:noProof/>
          <w:lang w:val="pt-BR"/>
        </w:rPr>
        <w:t>1</w:t>
      </w:r>
      <w:r w:rsidR="009842E5">
        <w:rPr>
          <w:rFonts w:ascii="Times New Roman" w:hAnsi="Times New Roman"/>
          <w:noProof/>
          <w:lang w:val="pt-BR"/>
        </w:rPr>
        <w:t>-</w:t>
      </w:r>
      <w:r w:rsidR="00373E5E" w:rsidRPr="00373E5E">
        <w:rPr>
          <w:rFonts w:ascii="Times New Roman" w:hAnsi="Times New Roman"/>
          <w:noProof/>
          <w:lang w:val="pt-BR"/>
        </w:rPr>
        <w:t>4</w:t>
      </w:r>
      <w:r w:rsidR="009E0C0A">
        <w:rPr>
          <w:rFonts w:ascii="Times New Roman" w:hAnsi="Times New Roman"/>
          <w:noProof/>
          <w:lang w:val="pt-BR"/>
        </w:rPr>
        <w:t>)</w:t>
      </w:r>
      <w:r w:rsidR="00AC0A7E" w:rsidRPr="00373E5E">
        <w:rPr>
          <w:rFonts w:ascii="Times New Roman" w:hAnsi="Times New Roman"/>
          <w:lang w:val="pt-BR"/>
        </w:rPr>
        <w:fldChar w:fldCharType="end"/>
      </w:r>
      <w:r w:rsidRPr="00373E5E">
        <w:rPr>
          <w:rFonts w:ascii="Times New Roman" w:hAnsi="Times New Roman"/>
          <w:lang w:val="pt-BR"/>
        </w:rPr>
        <w:t>.</w:t>
      </w:r>
    </w:p>
    <w:p w14:paraId="5A05CE29" w14:textId="77777777" w:rsidR="0095763B" w:rsidRDefault="00200A0A" w:rsidP="00F93838">
      <w:pPr>
        <w:pStyle w:val="TAMainText"/>
        <w:spacing w:line="240" w:lineRule="auto"/>
        <w:ind w:firstLine="227"/>
        <w:rPr>
          <w:rFonts w:ascii="Times New Roman" w:hAnsi="Times New Roman"/>
          <w:lang w:val="pt-BR"/>
        </w:rPr>
      </w:pPr>
      <w:r>
        <w:rPr>
          <w:rFonts w:ascii="Times New Roman" w:hAnsi="Times New Roman"/>
          <w:lang w:val="pt-BR"/>
        </w:rPr>
        <w:t>Os terpenos são matéria-prima natural para a indústria de química fina, sendo uma importante fonte para produção de aromas e fragrâncias</w:t>
      </w:r>
      <w:r w:rsidR="009E4862">
        <w:rPr>
          <w:rFonts w:ascii="Times New Roman" w:hAnsi="Times New Roman"/>
          <w:lang w:val="pt-BR"/>
        </w:rPr>
        <w:t xml:space="preserve"> </w:t>
      </w:r>
      <w:r w:rsidR="00AC0A7E">
        <w:rPr>
          <w:rFonts w:ascii="Times New Roman" w:hAnsi="Times New Roman"/>
          <w:lang w:val="pt-BR"/>
        </w:rPr>
        <w:fldChar w:fldCharType="begin" w:fldLock="1"/>
      </w:r>
      <w:r w:rsidR="00D448C4">
        <w:rPr>
          <w:rFonts w:ascii="Times New Roman" w:hAnsi="Times New Roman"/>
          <w:lang w:val="pt-BR"/>
        </w:rPr>
        <w:instrText>ADDIN CSL_CITATION {"citationItems":[{"id":"ITEM-1","itemData":{"DOI":"10.1023/B:TOCA.0000013549.60930.da","ISSN":"10225528","abstract":"A review covering some of the key catalytic transformations of the major monoterpene feedstocks. Monoterpenes are key ingredients in the flavor and fragrance industry, with α and β-pinene (obtained from turpentine) being some of the most important. The review focuses on the hydrocarbons; pinene, limonene, carene, and the interconversion of the monooxygenates; geraniol/nerol, citronellol, citral, and citronellal. The major areas covered are catalytic hydrogenation/hydrogenolysis, dehydrogenation, rearrangement/isomerization/aromatization, reactions with carbon monoxide, epoxidation, and the addition of alcohols and acids. © 2004 Plenum Publishing Corporation.","author":[{"dropping-particle":"","family":"Swift","given":"Karl A.D.","non-dropping-particle":"","parse-names":false,"suffix":""}],"container-title":"Topics in Catalysis","id":"ITEM-1","issue":"1-4","issued":{"date-parts":[["2004"]]},"page":"143-155","title":"Catalytic transformations of the major terpene feedstocks","type":"article-journal","volume":"27"},"uris":["http://www.mendeley.com/documents/?uuid=75112b44-859c-4b1e-b5c6-d8d421f6aa33"]}],"mendeley":{"formattedCitation":"[4]","plainTextFormattedCitation":"[4]","previouslyFormattedCitation":"[2]"},"properties":{"noteIndex":0},"schema":"https://github.com/citation-style-language/schema/raw/master/csl-citation.json"}</w:instrText>
      </w:r>
      <w:r w:rsidR="00AC0A7E">
        <w:rPr>
          <w:rFonts w:ascii="Times New Roman" w:hAnsi="Times New Roman"/>
          <w:lang w:val="pt-BR"/>
        </w:rPr>
        <w:fldChar w:fldCharType="separate"/>
      </w:r>
      <w:r w:rsidR="009E0C0A">
        <w:rPr>
          <w:rFonts w:ascii="Times New Roman" w:hAnsi="Times New Roman"/>
          <w:noProof/>
          <w:lang w:val="pt-BR"/>
        </w:rPr>
        <w:t>(</w:t>
      </w:r>
      <w:r w:rsidR="00D448C4" w:rsidRPr="00D448C4">
        <w:rPr>
          <w:rFonts w:ascii="Times New Roman" w:hAnsi="Times New Roman"/>
          <w:noProof/>
          <w:lang w:val="pt-BR"/>
        </w:rPr>
        <w:t>4</w:t>
      </w:r>
      <w:r w:rsidR="00AC0A7E">
        <w:rPr>
          <w:rFonts w:ascii="Times New Roman" w:hAnsi="Times New Roman"/>
          <w:lang w:val="pt-BR"/>
        </w:rPr>
        <w:fldChar w:fldCharType="end"/>
      </w:r>
      <w:r w:rsidR="009E0C0A">
        <w:rPr>
          <w:rFonts w:ascii="Times New Roman" w:hAnsi="Times New Roman"/>
          <w:lang w:val="pt-BR"/>
        </w:rPr>
        <w:t>)</w:t>
      </w:r>
      <w:r>
        <w:rPr>
          <w:rFonts w:ascii="Times New Roman" w:hAnsi="Times New Roman"/>
          <w:lang w:val="pt-BR"/>
        </w:rPr>
        <w:t>.</w:t>
      </w:r>
      <w:r w:rsidR="009E4862">
        <w:rPr>
          <w:rFonts w:ascii="Times New Roman" w:hAnsi="Times New Roman"/>
          <w:lang w:val="pt-BR"/>
        </w:rPr>
        <w:t xml:space="preserve"> O </w:t>
      </w:r>
      <w:r w:rsidR="003E67B8" w:rsidRPr="003E67B8">
        <w:rPr>
          <w:rFonts w:ascii="Symbol" w:hAnsi="Symbol"/>
          <w:i/>
          <w:iCs/>
          <w:lang w:val="pt-BR"/>
        </w:rPr>
        <w:t></w:t>
      </w:r>
      <w:r w:rsidR="009E4862">
        <w:rPr>
          <w:rFonts w:ascii="Times New Roman" w:hAnsi="Times New Roman"/>
          <w:lang w:val="pt-BR"/>
        </w:rPr>
        <w:t>-pineno</w:t>
      </w:r>
      <w:r w:rsidR="0095763B">
        <w:rPr>
          <w:rFonts w:ascii="Times New Roman" w:hAnsi="Times New Roman"/>
          <w:lang w:val="pt-BR"/>
        </w:rPr>
        <w:t xml:space="preserve"> (C</w:t>
      </w:r>
      <w:r w:rsidR="0095763B">
        <w:rPr>
          <w:rFonts w:ascii="Times New Roman" w:hAnsi="Times New Roman"/>
          <w:vertAlign w:val="subscript"/>
          <w:lang w:val="pt-BR"/>
        </w:rPr>
        <w:t>10</w:t>
      </w:r>
      <w:r w:rsidR="0095763B">
        <w:rPr>
          <w:rFonts w:ascii="Times New Roman" w:hAnsi="Times New Roman"/>
          <w:lang w:val="pt-BR"/>
        </w:rPr>
        <w:t>H</w:t>
      </w:r>
      <w:r w:rsidR="0095763B">
        <w:rPr>
          <w:rFonts w:ascii="Times New Roman" w:hAnsi="Times New Roman"/>
          <w:vertAlign w:val="subscript"/>
          <w:lang w:val="pt-BR"/>
        </w:rPr>
        <w:t>16</w:t>
      </w:r>
      <w:r w:rsidR="0095763B">
        <w:rPr>
          <w:rFonts w:ascii="Times New Roman" w:hAnsi="Times New Roman"/>
          <w:lang w:val="pt-BR"/>
        </w:rPr>
        <w:t>)</w:t>
      </w:r>
      <w:r w:rsidR="009E4862">
        <w:rPr>
          <w:rFonts w:ascii="Times New Roman" w:hAnsi="Times New Roman"/>
          <w:lang w:val="pt-BR"/>
        </w:rPr>
        <w:t xml:space="preserve"> é uma matéria-prima sustentável para sínteses químicas, </w:t>
      </w:r>
      <w:r w:rsidR="00074215">
        <w:rPr>
          <w:rFonts w:ascii="Times New Roman" w:hAnsi="Times New Roman"/>
          <w:lang w:val="pt-BR"/>
        </w:rPr>
        <w:t xml:space="preserve">pois é </w:t>
      </w:r>
      <w:r w:rsidR="009E4862">
        <w:rPr>
          <w:rFonts w:ascii="Times New Roman" w:hAnsi="Times New Roman"/>
          <w:lang w:val="pt-BR"/>
        </w:rPr>
        <w:t>obtido de fontes naturais</w:t>
      </w:r>
      <w:r w:rsidR="00074215">
        <w:rPr>
          <w:rFonts w:ascii="Times New Roman" w:hAnsi="Times New Roman"/>
          <w:lang w:val="pt-BR"/>
        </w:rPr>
        <w:t xml:space="preserve"> –</w:t>
      </w:r>
      <w:r w:rsidR="005C1ED7">
        <w:rPr>
          <w:rFonts w:ascii="Times New Roman" w:hAnsi="Times New Roman"/>
          <w:lang w:val="pt-BR"/>
        </w:rPr>
        <w:t xml:space="preserve"> </w:t>
      </w:r>
      <w:r w:rsidR="005C1ED7" w:rsidRPr="008B51F7">
        <w:rPr>
          <w:rFonts w:ascii="Times New Roman" w:hAnsi="Times New Roman"/>
          <w:lang w:val="pt-BR"/>
        </w:rPr>
        <w:t xml:space="preserve">no Brasil utiliza-se majoritariamente </w:t>
      </w:r>
      <w:r w:rsidR="00074215" w:rsidRPr="00074215">
        <w:rPr>
          <w:rFonts w:ascii="Times New Roman" w:hAnsi="Times New Roman"/>
          <w:i/>
          <w:iCs/>
          <w:lang w:val="pt-BR"/>
        </w:rPr>
        <w:t>Pinus eliottii</w:t>
      </w:r>
      <w:r w:rsidR="00074215">
        <w:rPr>
          <w:rFonts w:ascii="Times New Roman" w:hAnsi="Times New Roman"/>
          <w:lang w:val="pt-BR"/>
        </w:rPr>
        <w:t xml:space="preserve"> – por meio</w:t>
      </w:r>
      <w:r w:rsidR="009E4862">
        <w:rPr>
          <w:rFonts w:ascii="Times New Roman" w:hAnsi="Times New Roman"/>
          <w:lang w:val="pt-BR"/>
        </w:rPr>
        <w:t xml:space="preserve"> da destilação da terebintina</w:t>
      </w:r>
      <w:r w:rsidR="00074215">
        <w:rPr>
          <w:rFonts w:ascii="Times New Roman" w:hAnsi="Times New Roman"/>
          <w:lang w:val="pt-BR"/>
        </w:rPr>
        <w:t xml:space="preserve">, que separa esse do </w:t>
      </w:r>
      <w:r w:rsidR="00074215" w:rsidRPr="00164963">
        <w:rPr>
          <w:rFonts w:ascii="Symbol" w:hAnsi="Symbol"/>
          <w:i/>
          <w:lang w:val="pt-BR"/>
        </w:rPr>
        <w:t></w:t>
      </w:r>
      <w:r w:rsidR="00074215">
        <w:rPr>
          <w:rFonts w:ascii="Times New Roman" w:hAnsi="Times New Roman"/>
          <w:lang w:val="pt-BR"/>
        </w:rPr>
        <w:t>-pineno</w:t>
      </w:r>
      <w:r w:rsidR="005C0C16">
        <w:rPr>
          <w:rFonts w:ascii="Times New Roman" w:hAnsi="Times New Roman"/>
          <w:lang w:val="pt-BR"/>
        </w:rPr>
        <w:t xml:space="preserve"> (C</w:t>
      </w:r>
      <w:r w:rsidR="005C0C16">
        <w:rPr>
          <w:rFonts w:ascii="Times New Roman" w:hAnsi="Times New Roman"/>
          <w:vertAlign w:val="subscript"/>
          <w:lang w:val="pt-BR"/>
        </w:rPr>
        <w:t>10</w:t>
      </w:r>
      <w:r w:rsidR="005C0C16">
        <w:rPr>
          <w:rFonts w:ascii="Times New Roman" w:hAnsi="Times New Roman"/>
          <w:lang w:val="pt-BR"/>
        </w:rPr>
        <w:t>H</w:t>
      </w:r>
      <w:r w:rsidR="005C0C16">
        <w:rPr>
          <w:rFonts w:ascii="Times New Roman" w:hAnsi="Times New Roman"/>
          <w:vertAlign w:val="subscript"/>
          <w:lang w:val="pt-BR"/>
        </w:rPr>
        <w:t>16</w:t>
      </w:r>
      <w:r w:rsidR="005C0C16">
        <w:rPr>
          <w:rFonts w:ascii="Times New Roman" w:hAnsi="Times New Roman"/>
          <w:lang w:val="pt-BR"/>
        </w:rPr>
        <w:t xml:space="preserve">) </w:t>
      </w:r>
      <w:r w:rsidR="009E0C0A">
        <w:rPr>
          <w:rFonts w:ascii="Times New Roman" w:hAnsi="Times New Roman"/>
          <w:lang w:val="pt-BR"/>
        </w:rPr>
        <w:t>(</w:t>
      </w:r>
      <w:r w:rsidR="00AF07ED">
        <w:rPr>
          <w:rFonts w:ascii="Times New Roman" w:hAnsi="Times New Roman"/>
          <w:lang w:val="pt-BR"/>
        </w:rPr>
        <w:t>5</w:t>
      </w:r>
      <w:r w:rsidR="009842E5">
        <w:rPr>
          <w:rFonts w:ascii="Times New Roman" w:hAnsi="Times New Roman"/>
          <w:lang w:val="pt-BR"/>
        </w:rPr>
        <w:t>-</w:t>
      </w:r>
      <w:r w:rsidR="00AF07ED">
        <w:rPr>
          <w:rFonts w:ascii="Times New Roman" w:hAnsi="Times New Roman"/>
          <w:lang w:val="pt-BR"/>
        </w:rPr>
        <w:t>6</w:t>
      </w:r>
      <w:r w:rsidR="009E0C0A">
        <w:rPr>
          <w:rFonts w:ascii="Times New Roman" w:hAnsi="Times New Roman"/>
          <w:lang w:val="pt-BR"/>
        </w:rPr>
        <w:t>)</w:t>
      </w:r>
      <w:r w:rsidR="009E4862">
        <w:rPr>
          <w:rFonts w:ascii="Times New Roman" w:hAnsi="Times New Roman"/>
          <w:lang w:val="pt-BR"/>
        </w:rPr>
        <w:t>. Após uma etapa de isomerização</w:t>
      </w:r>
      <w:r w:rsidR="00330605">
        <w:rPr>
          <w:rFonts w:ascii="Times New Roman" w:hAnsi="Times New Roman"/>
          <w:lang w:val="pt-BR"/>
        </w:rPr>
        <w:t xml:space="preserve"> térmica</w:t>
      </w:r>
      <w:r w:rsidR="00630DEE">
        <w:rPr>
          <w:rFonts w:ascii="Times New Roman" w:hAnsi="Times New Roman"/>
          <w:lang w:val="pt-BR"/>
        </w:rPr>
        <w:t xml:space="preserve"> – pirólise –</w:t>
      </w:r>
      <w:r w:rsidR="00330605">
        <w:rPr>
          <w:rFonts w:ascii="Times New Roman" w:hAnsi="Times New Roman"/>
          <w:lang w:val="pt-BR"/>
        </w:rPr>
        <w:t xml:space="preserve"> </w:t>
      </w:r>
      <w:r w:rsidR="009E4862">
        <w:rPr>
          <w:rFonts w:ascii="Times New Roman" w:hAnsi="Times New Roman"/>
          <w:lang w:val="pt-BR"/>
        </w:rPr>
        <w:t xml:space="preserve">é possível obter mirceno a partir do </w:t>
      </w:r>
      <w:r w:rsidR="009E4862" w:rsidRPr="00164963">
        <w:rPr>
          <w:rFonts w:ascii="Symbol" w:hAnsi="Symbol"/>
          <w:i/>
          <w:lang w:val="pt-BR"/>
        </w:rPr>
        <w:t></w:t>
      </w:r>
      <w:r w:rsidR="009E4862">
        <w:rPr>
          <w:rFonts w:ascii="Times New Roman" w:hAnsi="Times New Roman"/>
          <w:lang w:val="pt-BR"/>
        </w:rPr>
        <w:t xml:space="preserve">-pineno </w:t>
      </w:r>
      <w:r w:rsidR="00AC0A7E">
        <w:rPr>
          <w:rFonts w:ascii="Times New Roman" w:hAnsi="Times New Roman"/>
          <w:lang w:val="pt-BR"/>
        </w:rPr>
        <w:fldChar w:fldCharType="begin" w:fldLock="1"/>
      </w:r>
      <w:r w:rsidR="00D448C4">
        <w:rPr>
          <w:rFonts w:ascii="Times New Roman" w:hAnsi="Times New Roman"/>
          <w:lang w:val="pt-BR"/>
        </w:rPr>
        <w:instrText>ADDIN CSL_CITATION {"citationItems":[{"id":"ITEM-1","itemData":{"DOI":"10.1016/j.jaap.2008.06.001","ISSN":"01652370","abstract":"The production of myrcene (2) is an industrially important reaction because 2 is a building block for the syntheses of various fine chemicals. The production of 2 through rearrangement of β-pinene (1) is a process carried out at elevated temperatures in flow-type reactors made of quartz or stainless steel with residence times below 1 s. Herein the thermal rearrangements of 1 and 2 are investigated in a quartz flow-type reactor using N2 as carrier gas. Experiments were carried out in a temperature range of 300-600 °C with residence times of 0.5-2.5 s. Results showed that the main product 2 can be formed with a maximal overall yield of 77%. Consecutive reactions of 2 lead to a decrease in yield due to the formation of isomerization products. Neither the formation of gaseous or lower molecular products was observed nor polymerizations occurred in the temperature range investigated. Kinetic experiments allow for the calculation of activation parameters for the initial reactions. A reaction model of competitive parallel first-order reactions describes well the thermal reaction network of C10H16 hydrocarbons based on 1. © 2008 Elsevier B.V. All rights reserved.","author":[{"dropping-particle":"","family":"Stolle","given":"A.","non-dropping-particle":"","parse-names":false,"suffix":""},{"dropping-particle":"","family":"Bonrath","given":"W.","non-dropping-particle":"","parse-names":false,"suffix":""},{"dropping-particle":"","family":"Ondruschka","given":"B.","non-dropping-particle":"","parse-names":false,"suffix":""}],"container-title":"Journal of Analytical and Applied Pyrolysis","id":"ITEM-1","issue":"1","issued":{"date-parts":[["2008"]]},"page":"26-36","title":"Kinetic and mechanistic aspects of myrcene production via thermal-induced β-pinene rearrangement","type":"article-journal","volume":"83"},"uris":["http://www.mendeley.com/documents/?uuid=871d2c5e-6d93-447a-a6d5-eb55a89b9582"]},{"id":"ITEM-2","itemData":{"DOI":"10.1016/j.jaap.2007.01.005","ISSN":"01652370","abstract":"Turpentine, an important source of terpenes, is composed mainly of α- and β-pinene. It is possible to pyrolyze β-pinene to form myrcene, which is used as an intermediate for the production of various terpenic alcohols and chemical aromas, as well as vitamins A and E. In the current work we develop a theoretical equilibrium model of the main synthesis reactions that have been described in the literature plus postulated decomposition reactions. The model predicts that 93.5% yields of myrcene from β-pinene would be possible whereas the highest reported yield is 85%. In order to investigate the less than theoretical yields, we investigated the decomposition of myrcene experimentally. The various degradation products that appeared were consistent with a degradation mechanism involving breakage next to conjugated double bonds, producing an alkyl radical. Decomposition of myrcene by this route would form 1,3-butadiene (C4H6) and 4-methyl-1,3-pentadiene (C6H10), which then further decompose into various other products. These results contribute to a better understanding of the production of myrcene by pyrolysis of β-pinene and could form the basis for optimization of product yields. © 2007 Elsevier B.V. All rights reserved.","author":[{"dropping-particle":"","family":"Kolicheski","given":"M. B.","non-dropping-particle":"","parse-names":false,"suffix":""},{"dropping-particle":"","family":"Cocco","given":"L. C.","non-dropping-particle":"","parse-names":false,"suffix":""},{"dropping-particle":"","family":"Mitchell","given":"D. A.","non-dropping-particle":"","parse-names":false,"suffix":""},{"dropping-particle":"","family":"Kaminski","given":"M.","non-dropping-particle":"","parse-names":false,"suffix":""}],"container-title":"Journal of Analytical and Applied Pyrolysis","id":"ITEM-2","issue":"1","issued":{"date-parts":[["2007"]]},"page":"92-100","title":"Synthesis of myrcene by pyrolysis of β-pinene: Analysis of decomposition reactions","type":"article-journal","volume":"80"},"uris":["http://www.mendeley.com/documents/?uuid=a8821361-3828-4410-9041-f0cbdffa7b60"]},{"id":"ITEM-3","itemData":{"DOI":"10.1023/B:TOCA.0000013549.60930.da","ISSN":"10225528","abstract":"A review covering some of the key catalytic transformations of the major monoterpene feedstocks. Monoterpenes are key ingredients in the flavor and fragrance industry, with α and β-pinene (obtained from turpentine) being some of the most important. The review focuses on the hydrocarbons; pinene, limonene, carene, and the interconversion of the monooxygenates; geraniol/nerol, citronellol, citral, and citronellal. The major areas covered are catalytic hydrogenation/hydrogenolysis, dehydrogenation, rearrangement/isomerization/aromatization, reactions with carbon monoxide, epoxidation, and the addition of alcohols and acids. © 2004 Plenum Publishing Corporation.","author":[{"dropping-particle":"","family":"Swift","given":"Karl A.D.","non-dropping-particle":"","parse-names":false,"suffix":""}],"container-title":"Topics in Catalysis","id":"ITEM-3","issue":"1-4","issued":{"date-parts":[["2004"]]},"page":"143-155","title":"Catalytic transformations of the major terpene feedstocks","type":"article-journal","volume":"27"},"uris":["http://www.mendeley.com/documents/?uuid=75112b44-859c-4b1e-b5c6-d8d421f6aa33"]}],"mendeley":{"formattedCitation":"[3]–[5]","plainTextFormattedCitation":"[3]–[5]","previouslyFormattedCitation":"[2]–[4]"},"properties":{"noteIndex":0},"schema":"https://github.com/citation-style-language/schema/raw/master/csl-citation.json"}</w:instrText>
      </w:r>
      <w:r w:rsidR="00AC0A7E">
        <w:rPr>
          <w:rFonts w:ascii="Times New Roman" w:hAnsi="Times New Roman"/>
          <w:lang w:val="pt-BR"/>
        </w:rPr>
        <w:fldChar w:fldCharType="separate"/>
      </w:r>
      <w:r w:rsidR="009E0C0A">
        <w:rPr>
          <w:rFonts w:ascii="Times New Roman" w:hAnsi="Times New Roman"/>
          <w:noProof/>
          <w:lang w:val="pt-BR"/>
        </w:rPr>
        <w:t>(</w:t>
      </w:r>
      <w:r w:rsidR="00D448C4" w:rsidRPr="00D448C4">
        <w:rPr>
          <w:rFonts w:ascii="Times New Roman" w:hAnsi="Times New Roman"/>
          <w:noProof/>
          <w:lang w:val="pt-BR"/>
        </w:rPr>
        <w:t>3</w:t>
      </w:r>
      <w:r w:rsidR="009842E5">
        <w:rPr>
          <w:rFonts w:ascii="Times New Roman" w:hAnsi="Times New Roman"/>
          <w:noProof/>
          <w:lang w:val="pt-BR"/>
        </w:rPr>
        <w:t>-</w:t>
      </w:r>
      <w:r w:rsidR="00AF07ED">
        <w:rPr>
          <w:rFonts w:ascii="Times New Roman" w:hAnsi="Times New Roman"/>
          <w:noProof/>
          <w:lang w:val="pt-BR"/>
        </w:rPr>
        <w:t>7</w:t>
      </w:r>
      <w:r w:rsidR="00AC0A7E">
        <w:rPr>
          <w:rFonts w:ascii="Times New Roman" w:hAnsi="Times New Roman"/>
          <w:lang w:val="pt-BR"/>
        </w:rPr>
        <w:fldChar w:fldCharType="end"/>
      </w:r>
      <w:r w:rsidR="009E0C0A">
        <w:rPr>
          <w:rFonts w:ascii="Times New Roman" w:hAnsi="Times New Roman"/>
          <w:lang w:val="pt-BR"/>
        </w:rPr>
        <w:t>)</w:t>
      </w:r>
      <w:r w:rsidR="009E4862">
        <w:rPr>
          <w:rFonts w:ascii="Times New Roman" w:hAnsi="Times New Roman"/>
          <w:lang w:val="pt-BR"/>
        </w:rPr>
        <w:t>.</w:t>
      </w:r>
      <w:r w:rsidR="009E4862" w:rsidRPr="009E4862">
        <w:rPr>
          <w:rFonts w:ascii="Times New Roman" w:hAnsi="Times New Roman"/>
          <w:lang w:val="pt-BR"/>
        </w:rPr>
        <w:t xml:space="preserve"> </w:t>
      </w:r>
      <w:r w:rsidR="00630DEE" w:rsidRPr="00630DEE">
        <w:rPr>
          <w:rFonts w:ascii="Times New Roman" w:hAnsi="Times New Roman"/>
          <w:lang w:val="pt-BR"/>
        </w:rPr>
        <w:t xml:space="preserve">A pirólise é um processo de craqueamento a altas </w:t>
      </w:r>
      <w:r w:rsidR="00630DEE" w:rsidRPr="00630DEE">
        <w:rPr>
          <w:rFonts w:ascii="Times New Roman" w:hAnsi="Times New Roman"/>
          <w:lang w:val="pt-BR"/>
        </w:rPr>
        <w:t xml:space="preserve">temperaturas, </w:t>
      </w:r>
      <w:r w:rsidR="00630DEE">
        <w:rPr>
          <w:rFonts w:ascii="Times New Roman" w:hAnsi="Times New Roman"/>
          <w:lang w:val="pt-BR"/>
        </w:rPr>
        <w:t>que permite a conversão</w:t>
      </w:r>
      <w:r w:rsidR="00630DEE" w:rsidRPr="00630DEE">
        <w:rPr>
          <w:rFonts w:ascii="Times New Roman" w:hAnsi="Times New Roman"/>
          <w:lang w:val="pt-BR"/>
        </w:rPr>
        <w:t xml:space="preserve"> </w:t>
      </w:r>
      <w:r w:rsidR="00630DEE">
        <w:rPr>
          <w:rFonts w:ascii="Times New Roman" w:hAnsi="Times New Roman"/>
          <w:lang w:val="pt-BR"/>
        </w:rPr>
        <w:t xml:space="preserve">do </w:t>
      </w:r>
      <w:r w:rsidR="00630DEE" w:rsidRPr="00164963">
        <w:rPr>
          <w:rFonts w:ascii="Symbol" w:hAnsi="Symbol"/>
          <w:i/>
          <w:lang w:val="pt-BR"/>
        </w:rPr>
        <w:t></w:t>
      </w:r>
      <w:r w:rsidR="00630DEE">
        <w:rPr>
          <w:rFonts w:ascii="Times New Roman" w:hAnsi="Times New Roman"/>
          <w:lang w:val="pt-BR"/>
        </w:rPr>
        <w:t>-pineno em</w:t>
      </w:r>
      <w:r w:rsidR="00630DEE" w:rsidRPr="00630DEE">
        <w:rPr>
          <w:rFonts w:ascii="Times New Roman" w:hAnsi="Times New Roman"/>
          <w:lang w:val="pt-BR"/>
        </w:rPr>
        <w:t xml:space="preserve"> mirceno na ausência de oxigênio</w:t>
      </w:r>
    </w:p>
    <w:p w14:paraId="2BC2E957" w14:textId="77777777" w:rsidR="0095763B" w:rsidRPr="00B2287E" w:rsidRDefault="009E4862" w:rsidP="0095763B">
      <w:pPr>
        <w:pStyle w:val="TAMainText"/>
        <w:spacing w:line="240" w:lineRule="auto"/>
        <w:ind w:firstLine="227"/>
        <w:rPr>
          <w:rFonts w:ascii="Times New Roman" w:hAnsi="Times New Roman"/>
          <w:lang w:val="pt-BR"/>
        </w:rPr>
      </w:pPr>
      <w:r>
        <w:rPr>
          <w:rFonts w:ascii="Times New Roman" w:hAnsi="Times New Roman"/>
          <w:lang w:val="pt-BR"/>
        </w:rPr>
        <w:t xml:space="preserve">O mirceno é um importante </w:t>
      </w:r>
      <w:r w:rsidR="00F51448">
        <w:rPr>
          <w:rFonts w:ascii="Times New Roman" w:hAnsi="Times New Roman"/>
          <w:lang w:val="pt-BR"/>
        </w:rPr>
        <w:t xml:space="preserve">composto acíclico que </w:t>
      </w:r>
      <w:r w:rsidR="0095763B">
        <w:rPr>
          <w:rFonts w:ascii="Times New Roman" w:hAnsi="Times New Roman"/>
          <w:lang w:val="pt-BR"/>
        </w:rPr>
        <w:t>pode ser</w:t>
      </w:r>
      <w:r w:rsidR="00F51448">
        <w:rPr>
          <w:rFonts w:ascii="Times New Roman" w:hAnsi="Times New Roman"/>
          <w:lang w:val="pt-BR"/>
        </w:rPr>
        <w:t xml:space="preserve"> utilizado como </w:t>
      </w:r>
      <w:r w:rsidR="00E5680B">
        <w:rPr>
          <w:rFonts w:ascii="Times New Roman" w:hAnsi="Times New Roman"/>
          <w:lang w:val="pt-BR"/>
        </w:rPr>
        <w:t>intermediário</w:t>
      </w:r>
      <w:r>
        <w:rPr>
          <w:rFonts w:ascii="Times New Roman" w:hAnsi="Times New Roman"/>
          <w:lang w:val="pt-BR"/>
        </w:rPr>
        <w:t xml:space="preserve"> para a produção comercial de álcoois terpênicos</w:t>
      </w:r>
      <w:r w:rsidR="000F7112">
        <w:rPr>
          <w:rFonts w:ascii="Times New Roman" w:hAnsi="Times New Roman"/>
          <w:lang w:val="pt-BR"/>
        </w:rPr>
        <w:t xml:space="preserve"> </w:t>
      </w:r>
      <w:r w:rsidR="00A66D6C">
        <w:rPr>
          <w:rFonts w:ascii="Times New Roman" w:hAnsi="Times New Roman"/>
          <w:lang w:val="pt-BR"/>
        </w:rPr>
        <w:t>–</w:t>
      </w:r>
      <w:r>
        <w:rPr>
          <w:rFonts w:ascii="Times New Roman" w:hAnsi="Times New Roman"/>
          <w:lang w:val="pt-BR"/>
        </w:rPr>
        <w:t xml:space="preserve"> geraniol</w:t>
      </w:r>
      <w:r w:rsidR="00A66D6C">
        <w:rPr>
          <w:rFonts w:ascii="Times New Roman" w:hAnsi="Times New Roman"/>
          <w:lang w:val="pt-BR"/>
        </w:rPr>
        <w:t>,</w:t>
      </w:r>
      <w:r>
        <w:rPr>
          <w:rFonts w:ascii="Times New Roman" w:hAnsi="Times New Roman"/>
          <w:lang w:val="pt-BR"/>
        </w:rPr>
        <w:t xml:space="preserve"> nerol</w:t>
      </w:r>
      <w:r w:rsidR="00B677C4">
        <w:rPr>
          <w:rFonts w:ascii="Times New Roman" w:hAnsi="Times New Roman"/>
          <w:lang w:val="pt-BR"/>
        </w:rPr>
        <w:t xml:space="preserve">, linalol </w:t>
      </w:r>
      <w:r w:rsidR="00A66D6C">
        <w:rPr>
          <w:rFonts w:ascii="Times New Roman" w:hAnsi="Times New Roman"/>
          <w:lang w:val="pt-BR"/>
        </w:rPr>
        <w:t xml:space="preserve">e mentol – e aldeídos terpênicos - geranial e citral – que são </w:t>
      </w:r>
      <w:r w:rsidR="000F7112">
        <w:rPr>
          <w:rFonts w:ascii="Times New Roman" w:hAnsi="Times New Roman"/>
          <w:lang w:val="pt-BR"/>
        </w:rPr>
        <w:t>utilizados como fragrâncias</w:t>
      </w:r>
      <w:r w:rsidR="00A66D6C">
        <w:rPr>
          <w:rFonts w:ascii="Times New Roman" w:hAnsi="Times New Roman"/>
          <w:lang w:val="pt-BR"/>
        </w:rPr>
        <w:t>,</w:t>
      </w:r>
      <w:r w:rsidR="000F7112">
        <w:rPr>
          <w:rFonts w:ascii="Times New Roman" w:hAnsi="Times New Roman"/>
          <w:lang w:val="pt-BR"/>
        </w:rPr>
        <w:t xml:space="preserve"> flavorizantes </w:t>
      </w:r>
      <w:r w:rsidR="00A66D6C">
        <w:rPr>
          <w:rFonts w:ascii="Times New Roman" w:hAnsi="Times New Roman"/>
          <w:lang w:val="pt-BR"/>
        </w:rPr>
        <w:t xml:space="preserve">e também como auxiliares quirais para sínteses químicas, como por exemplo para sintetizar as </w:t>
      </w:r>
      <w:r>
        <w:rPr>
          <w:rFonts w:ascii="Times New Roman" w:hAnsi="Times New Roman"/>
          <w:lang w:val="pt-BR"/>
        </w:rPr>
        <w:t>vitaminas</w:t>
      </w:r>
      <w:r w:rsidR="000F7112">
        <w:rPr>
          <w:rFonts w:ascii="Times New Roman" w:hAnsi="Times New Roman"/>
          <w:lang w:val="pt-BR"/>
        </w:rPr>
        <w:t xml:space="preserve"> A e E </w:t>
      </w:r>
      <w:r w:rsidR="009E0C0A">
        <w:rPr>
          <w:rFonts w:ascii="Times New Roman" w:hAnsi="Times New Roman"/>
          <w:lang w:val="pt-BR"/>
        </w:rPr>
        <w:t>(</w:t>
      </w:r>
      <w:r w:rsidR="00E5680B">
        <w:rPr>
          <w:rFonts w:ascii="Times New Roman" w:hAnsi="Times New Roman"/>
          <w:lang w:val="pt-BR"/>
        </w:rPr>
        <w:t>5,</w:t>
      </w:r>
      <w:r w:rsidR="00AC0A7E">
        <w:rPr>
          <w:rFonts w:ascii="Times New Roman" w:hAnsi="Times New Roman"/>
          <w:lang w:val="pt-BR"/>
        </w:rPr>
        <w:fldChar w:fldCharType="begin" w:fldLock="1"/>
      </w:r>
      <w:r w:rsidR="00D448C4">
        <w:rPr>
          <w:rFonts w:ascii="Times New Roman" w:hAnsi="Times New Roman"/>
          <w:lang w:val="pt-BR"/>
        </w:rPr>
        <w:instrText>ADDIN CSL_CITATION {"citationItems":[{"id":"ITEM-1","itemData":{"DOI":"10.1016/j.jaap.2008.06.001","ISSN":"01652370","abstract":"The production of myrcene (2) is an industrially important reaction because 2 is a building block for the syntheses of various fine chemicals. The production of 2 through rearrangement of β-pinene (1) is a process carried out at elevated temperatures in flow-type reactors made of quartz or stainless steel with residence times below 1 s. Herein the thermal rearrangements of 1 and 2 are investigated in a quartz flow-type reactor using N2 as carrier gas. Experiments were carried out in a temperature range of 300-600 °C with residence times of 0.5-2.5 s. Results showed that the main product 2 can be formed with a maximal overall yield of 77%. Consecutive reactions of 2 lead to a decrease in yield due to the formation of isomerization products. Neither the formation of gaseous or lower molecular products was observed nor polymerizations occurred in the temperature range investigated. Kinetic experiments allow for the calculation of activation parameters for the initial reactions. A reaction model of competitive parallel first-order reactions describes well the thermal reaction network of C10H16 hydrocarbons based on 1. © 2008 Elsevier B.V. All rights reserved.","author":[{"dropping-particle":"","family":"Stolle","given":"A.","non-dropping-particle":"","parse-names":false,"suffix":""},{"dropping-particle":"","family":"Bonrath","given":"W.","non-dropping-particle":"","parse-names":false,"suffix":""},{"dropping-particle":"","family":"Ondruschka","given":"B.","non-dropping-particle":"","parse-names":false,"suffix":""}],"container-title":"Journal of Analytical and Applied Pyrolysis","id":"ITEM-1","issue":"1","issued":{"date-parts":[["2008"]]},"page":"26-36","title":"Kinetic and mechanistic aspects of myrcene production via thermal-induced β-pinene rearrangement","type":"article-journal","volume":"83"},"uris":["http://www.mendeley.com/documents/?uuid=871d2c5e-6d93-447a-a6d5-eb55a89b9582"]}],"mendeley":{"formattedCitation":"[5]","plainTextFormattedCitation":"[5]","previouslyFormattedCitation":"[3]"},"properties":{"noteIndex":0},"schema":"https://github.com/citation-style-language/schema/raw/master/csl-citation.json"}</w:instrText>
      </w:r>
      <w:r w:rsidR="00AC0A7E">
        <w:rPr>
          <w:rFonts w:ascii="Times New Roman" w:hAnsi="Times New Roman"/>
          <w:lang w:val="pt-BR"/>
        </w:rPr>
        <w:fldChar w:fldCharType="separate"/>
      </w:r>
      <w:r w:rsidR="00AF07ED">
        <w:rPr>
          <w:rFonts w:ascii="Times New Roman" w:hAnsi="Times New Roman"/>
          <w:noProof/>
          <w:lang w:val="pt-BR"/>
        </w:rPr>
        <w:t>7</w:t>
      </w:r>
      <w:r w:rsidR="00AC0A7E">
        <w:rPr>
          <w:rFonts w:ascii="Times New Roman" w:hAnsi="Times New Roman"/>
          <w:lang w:val="pt-BR"/>
        </w:rPr>
        <w:fldChar w:fldCharType="end"/>
      </w:r>
      <w:r w:rsidR="0095763B">
        <w:rPr>
          <w:rFonts w:ascii="Times New Roman" w:hAnsi="Times New Roman"/>
          <w:lang w:val="pt-BR"/>
        </w:rPr>
        <w:t>-8</w:t>
      </w:r>
      <w:r w:rsidR="009E0C0A">
        <w:rPr>
          <w:rFonts w:ascii="Times New Roman" w:hAnsi="Times New Roman"/>
          <w:lang w:val="pt-BR"/>
        </w:rPr>
        <w:t>)</w:t>
      </w:r>
      <w:r>
        <w:rPr>
          <w:rFonts w:ascii="Times New Roman" w:hAnsi="Times New Roman"/>
          <w:lang w:val="pt-BR"/>
        </w:rPr>
        <w:t>.</w:t>
      </w:r>
      <w:r w:rsidR="0095763B">
        <w:rPr>
          <w:rFonts w:ascii="Times New Roman" w:hAnsi="Times New Roman"/>
          <w:lang w:val="pt-BR"/>
        </w:rPr>
        <w:t xml:space="preserve"> Outros compostos acíclicos como o ocimeno e alloocimeno que podem ser sintetizados a partir do </w:t>
      </w:r>
      <w:r w:rsidR="003E67B8" w:rsidRPr="003E67B8">
        <w:rPr>
          <w:rFonts w:ascii="Symbol" w:hAnsi="Symbol"/>
          <w:i/>
          <w:iCs/>
          <w:lang w:val="pt-BR"/>
        </w:rPr>
        <w:t></w:t>
      </w:r>
      <w:r w:rsidR="0095763B">
        <w:rPr>
          <w:rFonts w:ascii="Times New Roman" w:hAnsi="Times New Roman"/>
          <w:lang w:val="pt-BR"/>
        </w:rPr>
        <w:t xml:space="preserve">-pineno, além do </w:t>
      </w:r>
      <w:r w:rsidR="003E67B8" w:rsidRPr="003E67B8">
        <w:rPr>
          <w:rFonts w:ascii="Symbol" w:hAnsi="Symbol"/>
          <w:i/>
          <w:iCs/>
          <w:lang w:val="pt-BR"/>
        </w:rPr>
        <w:t></w:t>
      </w:r>
      <w:r w:rsidR="0095763B">
        <w:rPr>
          <w:rFonts w:ascii="Times New Roman" w:hAnsi="Times New Roman"/>
          <w:lang w:val="pt-BR"/>
        </w:rPr>
        <w:t>-citronel</w:t>
      </w:r>
      <w:r w:rsidR="005C0C16">
        <w:rPr>
          <w:rFonts w:ascii="Times New Roman" w:hAnsi="Times New Roman"/>
          <w:lang w:val="pt-BR"/>
        </w:rPr>
        <w:t>a</w:t>
      </w:r>
      <w:r w:rsidR="0095763B">
        <w:rPr>
          <w:rFonts w:ascii="Times New Roman" w:hAnsi="Times New Roman"/>
          <w:lang w:val="pt-BR"/>
        </w:rPr>
        <w:t xml:space="preserve">no e </w:t>
      </w:r>
      <w:r w:rsidR="003E67B8" w:rsidRPr="003E67B8">
        <w:rPr>
          <w:rFonts w:ascii="Times New Roman" w:hAnsi="Times New Roman"/>
          <w:i/>
          <w:iCs/>
          <w:lang w:val="pt-BR"/>
        </w:rPr>
        <w:t>iso</w:t>
      </w:r>
      <w:r w:rsidR="0095763B">
        <w:rPr>
          <w:rFonts w:ascii="Times New Roman" w:hAnsi="Times New Roman"/>
          <w:lang w:val="pt-BR"/>
        </w:rPr>
        <w:t>-citronel</w:t>
      </w:r>
      <w:r w:rsidR="005C0C16">
        <w:rPr>
          <w:rFonts w:ascii="Times New Roman" w:hAnsi="Times New Roman"/>
          <w:lang w:val="pt-BR"/>
        </w:rPr>
        <w:t>a</w:t>
      </w:r>
      <w:r w:rsidR="0095763B">
        <w:rPr>
          <w:rFonts w:ascii="Times New Roman" w:hAnsi="Times New Roman"/>
          <w:lang w:val="pt-BR"/>
        </w:rPr>
        <w:t xml:space="preserve">no que são obtidos a partir dos isômeros </w:t>
      </w:r>
      <w:r w:rsidR="0095763B" w:rsidRPr="00B2287E">
        <w:rPr>
          <w:rFonts w:ascii="Times New Roman" w:hAnsi="Times New Roman"/>
          <w:i/>
          <w:iCs/>
          <w:lang w:val="pt-BR"/>
        </w:rPr>
        <w:t>cis</w:t>
      </w:r>
      <w:r w:rsidR="0095763B" w:rsidRPr="00B2287E">
        <w:rPr>
          <w:rFonts w:ascii="Times New Roman" w:hAnsi="Times New Roman"/>
          <w:lang w:val="pt-BR"/>
        </w:rPr>
        <w:t xml:space="preserve">- e </w:t>
      </w:r>
      <w:r w:rsidR="0095763B" w:rsidRPr="00B2287E">
        <w:rPr>
          <w:rFonts w:ascii="Times New Roman" w:hAnsi="Times New Roman"/>
          <w:i/>
          <w:iCs/>
          <w:lang w:val="pt-BR"/>
        </w:rPr>
        <w:t>trans</w:t>
      </w:r>
      <w:r w:rsidR="0095763B" w:rsidRPr="00B2287E">
        <w:rPr>
          <w:rFonts w:ascii="Times New Roman" w:hAnsi="Times New Roman"/>
          <w:lang w:val="pt-BR"/>
        </w:rPr>
        <w:t>-pinano (C</w:t>
      </w:r>
      <w:r w:rsidR="0095763B" w:rsidRPr="00B2287E">
        <w:rPr>
          <w:rFonts w:ascii="Times New Roman" w:hAnsi="Times New Roman"/>
          <w:vertAlign w:val="subscript"/>
          <w:lang w:val="pt-BR"/>
        </w:rPr>
        <w:t>10</w:t>
      </w:r>
      <w:r w:rsidR="0095763B" w:rsidRPr="00B2287E">
        <w:rPr>
          <w:rFonts w:ascii="Times New Roman" w:hAnsi="Times New Roman"/>
          <w:lang w:val="pt-BR"/>
        </w:rPr>
        <w:t>H</w:t>
      </w:r>
      <w:r w:rsidR="0095763B" w:rsidRPr="00B2287E">
        <w:rPr>
          <w:rFonts w:ascii="Times New Roman" w:hAnsi="Times New Roman"/>
          <w:vertAlign w:val="subscript"/>
          <w:lang w:val="pt-BR"/>
        </w:rPr>
        <w:t>18</w:t>
      </w:r>
      <w:r w:rsidR="0095763B" w:rsidRPr="00B2287E">
        <w:rPr>
          <w:rFonts w:ascii="Times New Roman" w:hAnsi="Times New Roman"/>
          <w:lang w:val="pt-BR"/>
        </w:rPr>
        <w:t xml:space="preserve">) </w:t>
      </w:r>
      <w:r w:rsidR="009E0C0A">
        <w:rPr>
          <w:rFonts w:ascii="Times New Roman" w:hAnsi="Times New Roman"/>
          <w:lang w:val="pt-BR"/>
        </w:rPr>
        <w:t>(</w:t>
      </w:r>
      <w:r w:rsidR="005C0C16" w:rsidRPr="00B2287E">
        <w:rPr>
          <w:rFonts w:ascii="Times New Roman" w:hAnsi="Times New Roman"/>
          <w:lang w:val="pt-BR"/>
        </w:rPr>
        <w:t>8</w:t>
      </w:r>
      <w:r w:rsidR="009E0C0A">
        <w:rPr>
          <w:rFonts w:ascii="Times New Roman" w:hAnsi="Times New Roman"/>
          <w:lang w:val="pt-BR"/>
        </w:rPr>
        <w:t>)</w:t>
      </w:r>
      <w:r w:rsidR="005C0C16" w:rsidRPr="00B2287E">
        <w:rPr>
          <w:rFonts w:ascii="Times New Roman" w:hAnsi="Times New Roman"/>
          <w:lang w:val="pt-BR"/>
        </w:rPr>
        <w:t>.</w:t>
      </w:r>
    </w:p>
    <w:p w14:paraId="6F7E7E67" w14:textId="77777777" w:rsidR="005C0C16" w:rsidRPr="00AF2AFC" w:rsidRDefault="00233F6A" w:rsidP="00AF2AFC">
      <w:pPr>
        <w:pStyle w:val="TAMainText"/>
        <w:spacing w:line="240" w:lineRule="auto"/>
        <w:ind w:firstLine="227"/>
        <w:rPr>
          <w:rFonts w:ascii="Times New Roman" w:hAnsi="Times New Roman"/>
          <w:lang w:val="pt-BR"/>
        </w:rPr>
      </w:pPr>
      <w:r w:rsidRPr="00AF2AFC">
        <w:rPr>
          <w:rFonts w:ascii="Times New Roman" w:hAnsi="Times New Roman"/>
          <w:lang w:val="pt-BR"/>
        </w:rPr>
        <w:t>A literatura</w:t>
      </w:r>
      <w:r w:rsidR="00AF2AFC" w:rsidRPr="00AF2AFC">
        <w:rPr>
          <w:rFonts w:ascii="Times New Roman" w:hAnsi="Times New Roman"/>
          <w:lang w:val="pt-BR"/>
        </w:rPr>
        <w:t xml:space="preserve"> </w:t>
      </w:r>
      <w:r w:rsidR="009E0C0A">
        <w:rPr>
          <w:rFonts w:ascii="Times New Roman" w:hAnsi="Times New Roman"/>
          <w:lang w:val="pt-BR"/>
        </w:rPr>
        <w:t>(</w:t>
      </w:r>
      <w:r w:rsidR="00E82C00">
        <w:rPr>
          <w:rFonts w:ascii="Times New Roman" w:hAnsi="Times New Roman"/>
          <w:lang w:val="pt-BR"/>
        </w:rPr>
        <w:t>2-3,5,7-9</w:t>
      </w:r>
      <w:r w:rsidR="009E0C0A">
        <w:rPr>
          <w:rFonts w:ascii="Times New Roman" w:hAnsi="Times New Roman"/>
          <w:lang w:val="pt-BR"/>
        </w:rPr>
        <w:t>)</w:t>
      </w:r>
      <w:r w:rsidRPr="00AF2AFC">
        <w:rPr>
          <w:rFonts w:ascii="Times New Roman" w:hAnsi="Times New Roman"/>
          <w:lang w:val="pt-BR"/>
        </w:rPr>
        <w:t xml:space="preserve"> descreve </w:t>
      </w:r>
      <w:r w:rsidR="00C81748" w:rsidRPr="00AF2AFC">
        <w:rPr>
          <w:rFonts w:ascii="Times New Roman" w:hAnsi="Times New Roman"/>
          <w:lang w:val="pt-BR"/>
        </w:rPr>
        <w:t xml:space="preserve">a obtenção de mirceno </w:t>
      </w:r>
      <w:r w:rsidRPr="00AF2AFC">
        <w:rPr>
          <w:rFonts w:ascii="Times New Roman" w:hAnsi="Times New Roman"/>
          <w:lang w:val="pt-BR"/>
        </w:rPr>
        <w:t xml:space="preserve">como uma reação </w:t>
      </w:r>
      <w:r w:rsidR="00E82C00">
        <w:rPr>
          <w:rFonts w:ascii="Times New Roman" w:hAnsi="Times New Roman"/>
          <w:lang w:val="pt-BR"/>
        </w:rPr>
        <w:t xml:space="preserve">do tipo </w:t>
      </w:r>
      <w:r w:rsidRPr="00AF2AFC">
        <w:rPr>
          <w:rFonts w:ascii="Times New Roman" w:hAnsi="Times New Roman"/>
          <w:lang w:val="pt-BR"/>
        </w:rPr>
        <w:t>série</w:t>
      </w:r>
      <w:r w:rsidR="00E82C00">
        <w:rPr>
          <w:rFonts w:ascii="Times New Roman" w:hAnsi="Times New Roman"/>
          <w:lang w:val="pt-BR"/>
        </w:rPr>
        <w:t>-</w:t>
      </w:r>
      <w:r w:rsidRPr="00AF2AFC">
        <w:rPr>
          <w:rFonts w:ascii="Times New Roman" w:hAnsi="Times New Roman"/>
          <w:lang w:val="pt-BR"/>
        </w:rPr>
        <w:t>paralelo</w:t>
      </w:r>
      <w:r w:rsidR="005C0C16" w:rsidRPr="00AF2AFC">
        <w:rPr>
          <w:rFonts w:ascii="Times New Roman" w:hAnsi="Times New Roman"/>
          <w:lang w:val="pt-BR"/>
        </w:rPr>
        <w:t xml:space="preserve"> (Figura 1)</w:t>
      </w:r>
      <w:r w:rsidR="00AF2AFC" w:rsidRPr="00AF2AFC">
        <w:rPr>
          <w:rFonts w:ascii="Times New Roman" w:hAnsi="Times New Roman"/>
          <w:lang w:val="pt-BR"/>
        </w:rPr>
        <w:t>. O mirceno (</w:t>
      </w:r>
      <w:r w:rsidR="00F84B9F">
        <w:rPr>
          <w:rFonts w:ascii="Times New Roman" w:hAnsi="Times New Roman"/>
          <w:b/>
          <w:bCs/>
          <w:lang w:val="pt-BR"/>
        </w:rPr>
        <w:t>M</w:t>
      </w:r>
      <w:r w:rsidR="00AF2AFC" w:rsidRPr="00AF2AFC">
        <w:rPr>
          <w:rFonts w:ascii="Times New Roman" w:hAnsi="Times New Roman"/>
          <w:lang w:val="pt-BR"/>
        </w:rPr>
        <w:t>) e os coprodutos limoneno (</w:t>
      </w:r>
      <w:r w:rsidR="00F84B9F">
        <w:rPr>
          <w:rFonts w:ascii="Times New Roman" w:hAnsi="Times New Roman"/>
          <w:b/>
          <w:bCs/>
          <w:lang w:val="pt-BR"/>
        </w:rPr>
        <w:t>L</w:t>
      </w:r>
      <w:r w:rsidR="00AF2AFC" w:rsidRPr="00AF2AFC">
        <w:rPr>
          <w:rFonts w:ascii="Times New Roman" w:hAnsi="Times New Roman"/>
          <w:lang w:val="pt-BR"/>
        </w:rPr>
        <w:t xml:space="preserve">) e </w:t>
      </w:r>
      <w:r w:rsidR="003E67B8" w:rsidRPr="003E67B8">
        <w:rPr>
          <w:rFonts w:ascii="Times New Roman" w:hAnsi="Times New Roman"/>
          <w:i/>
          <w:iCs/>
          <w:lang w:val="pt-BR"/>
        </w:rPr>
        <w:t>ψ</w:t>
      </w:r>
      <w:r w:rsidR="00AF2AFC" w:rsidRPr="00AF2AFC">
        <w:rPr>
          <w:rFonts w:ascii="Times New Roman" w:hAnsi="Times New Roman"/>
          <w:lang w:val="pt-BR"/>
        </w:rPr>
        <w:t>-limoneno (</w:t>
      </w:r>
      <w:r w:rsidR="00F84B9F">
        <w:rPr>
          <w:rFonts w:ascii="Times New Roman" w:hAnsi="Times New Roman"/>
          <w:b/>
          <w:bCs/>
          <w:lang w:val="pt-BR"/>
        </w:rPr>
        <w:t>Y</w:t>
      </w:r>
      <w:r w:rsidR="00AF2AFC" w:rsidRPr="00AF2AFC">
        <w:rPr>
          <w:rFonts w:ascii="Times New Roman" w:hAnsi="Times New Roman"/>
          <w:lang w:val="pt-BR"/>
        </w:rPr>
        <w:t xml:space="preserve">) são gerados a partir do </w:t>
      </w:r>
      <w:r w:rsidR="00AF2AFC" w:rsidRPr="00164963">
        <w:rPr>
          <w:rFonts w:ascii="Times New Roman" w:hAnsi="Times New Roman"/>
          <w:i/>
          <w:lang w:val="pt-BR"/>
        </w:rPr>
        <w:t>β</w:t>
      </w:r>
      <w:r w:rsidR="00AF2AFC" w:rsidRPr="00AF2AFC">
        <w:rPr>
          <w:rFonts w:ascii="Times New Roman" w:hAnsi="Times New Roman"/>
          <w:lang w:val="pt-BR"/>
        </w:rPr>
        <w:t>-pineno (</w:t>
      </w:r>
      <w:r w:rsidR="00F84B9F">
        <w:rPr>
          <w:rFonts w:ascii="Times New Roman" w:hAnsi="Times New Roman"/>
          <w:b/>
          <w:bCs/>
          <w:lang w:val="pt-BR"/>
        </w:rPr>
        <w:t>B</w:t>
      </w:r>
      <w:r w:rsidR="00AF2AFC" w:rsidRPr="00AF2AFC">
        <w:rPr>
          <w:rFonts w:ascii="Times New Roman" w:hAnsi="Times New Roman"/>
          <w:lang w:val="pt-BR"/>
        </w:rPr>
        <w:t xml:space="preserve">). </w:t>
      </w:r>
      <w:r w:rsidR="00CA0F7D" w:rsidRPr="00573A36">
        <w:rPr>
          <w:rFonts w:ascii="Times New Roman" w:hAnsi="Times New Roman"/>
          <w:lang w:val="pt-BR"/>
        </w:rPr>
        <w:t xml:space="preserve">O mirceno se </w:t>
      </w:r>
      <w:r w:rsidR="00CA0F7D" w:rsidRPr="00573A36">
        <w:rPr>
          <w:rFonts w:ascii="Times New Roman" w:hAnsi="Times New Roman"/>
          <w:lang w:val="pt-BR"/>
        </w:rPr>
        <w:lastRenderedPageBreak/>
        <w:t>decompõe</w:t>
      </w:r>
      <w:r w:rsidR="00573A36">
        <w:rPr>
          <w:rFonts w:ascii="Times New Roman" w:hAnsi="Times New Roman"/>
          <w:lang w:val="pt-BR"/>
        </w:rPr>
        <w:t xml:space="preserve"> </w:t>
      </w:r>
      <w:r w:rsidR="00AF2AFC" w:rsidRPr="00AF2AFC">
        <w:rPr>
          <w:rFonts w:ascii="Times New Roman" w:hAnsi="Times New Roman"/>
          <w:lang w:val="pt-BR"/>
        </w:rPr>
        <w:t xml:space="preserve">formando </w:t>
      </w:r>
      <w:r w:rsidRPr="00AF2AFC">
        <w:rPr>
          <w:rFonts w:ascii="Times New Roman" w:hAnsi="Times New Roman"/>
          <w:lang w:val="pt-BR"/>
        </w:rPr>
        <w:t>dois produtos cíclicos</w:t>
      </w:r>
      <w:r w:rsidR="006F667D">
        <w:rPr>
          <w:rFonts w:ascii="Times New Roman" w:hAnsi="Times New Roman"/>
          <w:lang w:val="pt-BR"/>
        </w:rPr>
        <w:t xml:space="preserve"> </w:t>
      </w:r>
      <w:r w:rsidR="00E82C00">
        <w:rPr>
          <w:rFonts w:ascii="Times New Roman" w:hAnsi="Times New Roman"/>
          <w:lang w:val="pt-BR"/>
        </w:rPr>
        <w:t>do tipo</w:t>
      </w:r>
      <w:r w:rsidR="006F667D">
        <w:rPr>
          <w:rFonts w:ascii="Times New Roman" w:hAnsi="Times New Roman"/>
          <w:lang w:val="pt-BR"/>
        </w:rPr>
        <w:t xml:space="preserve"> ciclopentanos (</w:t>
      </w:r>
      <w:r w:rsidR="00F84B9F">
        <w:rPr>
          <w:rFonts w:ascii="Times New Roman" w:hAnsi="Times New Roman"/>
          <w:b/>
          <w:bCs/>
          <w:lang w:val="pt-BR"/>
        </w:rPr>
        <w:t>S</w:t>
      </w:r>
      <w:r w:rsidR="006F667D">
        <w:rPr>
          <w:rFonts w:ascii="Times New Roman" w:hAnsi="Times New Roman"/>
          <w:lang w:val="pt-BR"/>
        </w:rPr>
        <w:t>) e ciclohe</w:t>
      </w:r>
      <w:r w:rsidR="00E82C00">
        <w:rPr>
          <w:rFonts w:ascii="Times New Roman" w:hAnsi="Times New Roman"/>
          <w:lang w:val="pt-BR"/>
        </w:rPr>
        <w:t>p</w:t>
      </w:r>
      <w:r w:rsidR="006F667D">
        <w:rPr>
          <w:rFonts w:ascii="Times New Roman" w:hAnsi="Times New Roman"/>
          <w:lang w:val="pt-BR"/>
        </w:rPr>
        <w:t>tanos (</w:t>
      </w:r>
      <w:r w:rsidR="00F84B9F">
        <w:rPr>
          <w:rFonts w:ascii="Times New Roman" w:hAnsi="Times New Roman"/>
          <w:b/>
          <w:bCs/>
          <w:lang w:val="pt-BR"/>
        </w:rPr>
        <w:t>Z</w:t>
      </w:r>
      <w:r w:rsidR="006F667D">
        <w:rPr>
          <w:rFonts w:ascii="Times New Roman" w:hAnsi="Times New Roman"/>
          <w:lang w:val="pt-BR"/>
        </w:rPr>
        <w:t>).</w:t>
      </w:r>
    </w:p>
    <w:p w14:paraId="62C4206A" w14:textId="77777777" w:rsidR="005C0C16" w:rsidRDefault="00164963" w:rsidP="00F93838">
      <w:pPr>
        <w:pStyle w:val="Default"/>
        <w:ind w:firstLine="227"/>
        <w:jc w:val="both"/>
        <w:rPr>
          <w:rFonts w:ascii="Times New Roman" w:hAnsi="Times New Roman"/>
          <w:sz w:val="20"/>
          <w:szCs w:val="20"/>
        </w:rPr>
      </w:pPr>
      <w:r w:rsidRPr="00164963">
        <w:rPr>
          <w:rFonts w:ascii="Times New Roman" w:hAnsi="Times New Roman"/>
          <w:sz w:val="20"/>
          <w:szCs w:val="20"/>
        </w:rPr>
        <w:t xml:space="preserve">Alguns estudos </w:t>
      </w:r>
      <w:r w:rsidR="003E67B8" w:rsidRPr="00164963">
        <w:rPr>
          <w:rFonts w:ascii="Times New Roman" w:hAnsi="Times New Roman"/>
          <w:sz w:val="20"/>
          <w:szCs w:val="20"/>
        </w:rPr>
        <w:t>(2,7-8) utiliza</w:t>
      </w:r>
      <w:r w:rsidRPr="00164963">
        <w:rPr>
          <w:rFonts w:ascii="Times New Roman" w:hAnsi="Times New Roman"/>
          <w:sz w:val="20"/>
          <w:szCs w:val="20"/>
        </w:rPr>
        <w:t>ram</w:t>
      </w:r>
      <w:r w:rsidR="00381E75" w:rsidRPr="1A2EB2A5">
        <w:rPr>
          <w:rFonts w:ascii="Times New Roman" w:hAnsi="Times New Roman"/>
          <w:sz w:val="20"/>
          <w:szCs w:val="20"/>
        </w:rPr>
        <w:t xml:space="preserve"> reatores de quartzo com alimentação com </w:t>
      </w:r>
      <w:r w:rsidR="003E67B8" w:rsidRPr="003E67B8">
        <w:rPr>
          <w:rFonts w:ascii="Symbol" w:hAnsi="Symbol"/>
          <w:i/>
          <w:iCs/>
          <w:sz w:val="20"/>
          <w:szCs w:val="20"/>
        </w:rPr>
        <w:t></w:t>
      </w:r>
      <w:r w:rsidR="00381E75" w:rsidRPr="1A2EB2A5">
        <w:rPr>
          <w:rFonts w:ascii="Times New Roman" w:hAnsi="Times New Roman"/>
          <w:sz w:val="20"/>
          <w:szCs w:val="20"/>
        </w:rPr>
        <w:t>-pineno a 99% de pureza e inerte N</w:t>
      </w:r>
      <w:r w:rsidR="00381E75" w:rsidRPr="1A2EB2A5">
        <w:rPr>
          <w:rFonts w:ascii="Times New Roman" w:hAnsi="Times New Roman"/>
          <w:sz w:val="20"/>
          <w:szCs w:val="20"/>
          <w:vertAlign w:val="subscript"/>
        </w:rPr>
        <w:t>2</w:t>
      </w:r>
      <w:r w:rsidR="00381E75" w:rsidRPr="1A2EB2A5">
        <w:rPr>
          <w:rFonts w:ascii="Times New Roman" w:hAnsi="Times New Roman"/>
          <w:sz w:val="20"/>
          <w:szCs w:val="20"/>
        </w:rPr>
        <w:t>. Os ensaios foram realizados a pressão atmosférica (1 atm) e temperatura na faixa de 450</w:t>
      </w:r>
      <w:r w:rsidR="00381E75" w:rsidRPr="1A2EB2A5">
        <w:rPr>
          <w:rFonts w:ascii="Times New Roman" w:hAnsi="Times New Roman" w:cs="Times New Roman"/>
          <w:sz w:val="20"/>
          <w:szCs w:val="20"/>
        </w:rPr>
        <w:t>°</w:t>
      </w:r>
      <w:r w:rsidR="00381E75" w:rsidRPr="1A2EB2A5">
        <w:rPr>
          <w:rFonts w:ascii="Times New Roman" w:hAnsi="Times New Roman"/>
          <w:sz w:val="20"/>
          <w:szCs w:val="20"/>
        </w:rPr>
        <w:t>C a 550</w:t>
      </w:r>
      <w:r w:rsidR="00630CE1">
        <w:rPr>
          <w:rFonts w:ascii="Times New Roman" w:hAnsi="Times New Roman" w:cs="Times New Roman"/>
          <w:sz w:val="20"/>
          <w:szCs w:val="20"/>
        </w:rPr>
        <w:t xml:space="preserve"> °C</w:t>
      </w:r>
      <w:r w:rsidR="00381E75" w:rsidRPr="1A2EB2A5">
        <w:rPr>
          <w:rFonts w:ascii="Times New Roman" w:hAnsi="Times New Roman"/>
          <w:sz w:val="20"/>
          <w:szCs w:val="20"/>
        </w:rPr>
        <w:t>. Nas condições ótimas de operação (475</w:t>
      </w:r>
      <w:r w:rsidR="00630CE1">
        <w:rPr>
          <w:rFonts w:ascii="Times New Roman" w:hAnsi="Times New Roman" w:cs="Times New Roman"/>
          <w:sz w:val="20"/>
          <w:szCs w:val="20"/>
        </w:rPr>
        <w:t xml:space="preserve"> °C</w:t>
      </w:r>
      <w:r w:rsidR="00381E75" w:rsidRPr="1A2EB2A5">
        <w:rPr>
          <w:rFonts w:ascii="Times New Roman" w:hAnsi="Times New Roman"/>
          <w:sz w:val="20"/>
          <w:szCs w:val="20"/>
        </w:rPr>
        <w:t xml:space="preserve"> e 500 ms) a seletividade para o mirceno foi de 82% e </w:t>
      </w:r>
      <w:r w:rsidR="58FA3906" w:rsidRPr="1A2EB2A5">
        <w:rPr>
          <w:rFonts w:ascii="Times New Roman" w:hAnsi="Times New Roman"/>
          <w:sz w:val="20"/>
          <w:szCs w:val="20"/>
        </w:rPr>
        <w:t>o rendimento</w:t>
      </w:r>
      <w:r w:rsidR="00381E75" w:rsidRPr="1A2EB2A5">
        <w:rPr>
          <w:rFonts w:ascii="Times New Roman" w:hAnsi="Times New Roman"/>
          <w:sz w:val="20"/>
          <w:szCs w:val="20"/>
        </w:rPr>
        <w:t xml:space="preserve"> de 79,5% </w:t>
      </w:r>
      <w:r w:rsidR="00AC0A7E" w:rsidRPr="1A2EB2A5">
        <w:rPr>
          <w:rFonts w:ascii="Times New Roman" w:hAnsi="Times New Roman"/>
          <w:sz w:val="20"/>
          <w:szCs w:val="20"/>
        </w:rPr>
        <w:fldChar w:fldCharType="begin" w:fldLock="1"/>
      </w:r>
      <w:r w:rsidR="00381E75" w:rsidRPr="1A2EB2A5">
        <w:rPr>
          <w:rFonts w:ascii="Times New Roman" w:hAnsi="Times New Roman"/>
          <w:sz w:val="20"/>
          <w:szCs w:val="20"/>
        </w:rPr>
        <w:instrText>ADDIN CSL_CITATION {"citationItems":[{"id":"ITEM-1","itemData":{"DOI":"10.1016/j.jaap.2008.06.001","ISSN":"01652370","abstract":"The production of myrcene (2) is an industrially important reaction because 2 is a building block for the syntheses of various fine chemicals. The production of 2 through rearrangement of β-pinene (1) is a process carried out at elevated temperatures in flow-type reactors made of quartz or stainless steel with residence times below 1 s. Herein the thermal rearrangements of 1 and 2 are investigated in a quartz flow-type reactor using N2 as carrier gas. Experiments were carried out in a temperature range of 300-600 °C with residence times of 0.5-2.5 s. Results showed that the main product 2 can be formed with a maximal overall yield of 77%. Consecutive reactions of 2 lead to a decrease in yield due to the formation of isomerization products. Neither the formation of gaseous or lower molecular products was observed nor polymerizations occurred in the temperature range investigated. Kinetic experiments allow for the calculation of activation parameters for the initial reactions. A reaction model of competitive parallel first-order reactions describes well the thermal reaction network of C10H16 hydrocarbons based on 1. © 2008 Elsevier B.V. All rights reserved.","author":[{"dropping-particle":"","family":"Stolle","given":"A.","non-dropping-particle":"","parse-names":false,"suffix":""},{"dropping-particle":"","family":"Bonrath","given":"W.","non-dropping-particle":"","parse-names":false,"suffix":""},{"dropping-particle":"","family":"Ondruschka","given":"B.","non-dropping-particle":"","parse-names":false,"suffix":""}],"container-title":"Journal of Analytical and Applied Pyrolysis","id":"ITEM-1","issue":"1","issued":{"date-parts":[["2008"]]},"page":"26-36","title":"Kinetic and mechanistic aspects of myrcene production via thermal-induced β-pinene rearrangement","type":"article-journal","volume":"83"},"uris":["http://www.mendeley.com/documents/?uuid=871d2c5e-6d93-447a-a6d5-eb55a89b9582"]}],"mendeley":{"formattedCitation":"[5]","plainTextFormattedCitation":"[5]","previouslyFormattedCitation":"[3]"},"properties":{"noteIndex":0},"schema":"https://github.com/citation-style-language/schema/raw/master/csl-citation.json"}</w:instrText>
      </w:r>
      <w:r w:rsidR="00AC0A7E" w:rsidRPr="1A2EB2A5">
        <w:rPr>
          <w:rFonts w:ascii="Times New Roman" w:hAnsi="Times New Roman"/>
          <w:sz w:val="20"/>
          <w:szCs w:val="20"/>
        </w:rPr>
        <w:fldChar w:fldCharType="separate"/>
      </w:r>
      <w:r w:rsidR="00381E75" w:rsidRPr="1A2EB2A5">
        <w:rPr>
          <w:rFonts w:ascii="Times New Roman" w:hAnsi="Times New Roman"/>
          <w:noProof/>
          <w:sz w:val="20"/>
          <w:szCs w:val="20"/>
        </w:rPr>
        <w:t>(2</w:t>
      </w:r>
      <w:r w:rsidR="00AC0A7E" w:rsidRPr="1A2EB2A5">
        <w:rPr>
          <w:rFonts w:ascii="Times New Roman" w:hAnsi="Times New Roman"/>
          <w:sz w:val="20"/>
          <w:szCs w:val="20"/>
        </w:rPr>
        <w:fldChar w:fldCharType="end"/>
      </w:r>
      <w:r w:rsidR="00381E75" w:rsidRPr="1A2EB2A5">
        <w:rPr>
          <w:rFonts w:ascii="Times New Roman" w:hAnsi="Times New Roman"/>
          <w:sz w:val="20"/>
          <w:szCs w:val="20"/>
        </w:rPr>
        <w:t>).</w:t>
      </w:r>
    </w:p>
    <w:p w14:paraId="191C6B09" w14:textId="77777777" w:rsidR="00FB5230" w:rsidRPr="00FB5230" w:rsidRDefault="00FB5230" w:rsidP="00F93838">
      <w:pPr>
        <w:pStyle w:val="Default"/>
        <w:ind w:firstLine="227"/>
        <w:jc w:val="both"/>
        <w:rPr>
          <w:rFonts w:ascii="Times New Roman" w:hAnsi="Times New Roman"/>
          <w:sz w:val="20"/>
          <w:szCs w:val="20"/>
        </w:rPr>
      </w:pPr>
    </w:p>
    <w:p w14:paraId="7242FAA7" w14:textId="77777777" w:rsidR="005C0C16" w:rsidRDefault="002F2AAD" w:rsidP="1A2EB2A5">
      <w:pPr>
        <w:pStyle w:val="Default"/>
        <w:ind w:firstLine="227"/>
        <w:jc w:val="center"/>
        <w:rPr>
          <w:rFonts w:asciiTheme="majorHAnsi" w:hAnsiTheme="majorHAnsi" w:cstheme="majorBidi"/>
          <w:sz w:val="18"/>
          <w:szCs w:val="18"/>
        </w:rPr>
      </w:pPr>
      <w:r w:rsidRPr="00C71F1C">
        <w:rPr>
          <w:rFonts w:asciiTheme="majorHAnsi" w:hAnsiTheme="majorHAnsi" w:cstheme="majorHAnsi"/>
          <w:noProof/>
          <w:sz w:val="18"/>
          <w:szCs w:val="18"/>
        </w:rPr>
        <w:object w:dxaOrig="4428" w:dyaOrig="4356" w14:anchorId="5C8E8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 style="width:178.2pt;height:172.8pt;mso-width-percent:0;mso-height-percent:0;mso-width-percent:0;mso-height-percent:0" o:ole="">
            <v:imagedata r:id="rId12" o:title=""/>
          </v:shape>
          <o:OLEObject Type="Embed" ProgID="ACD.ChemSketch.20" ShapeID="_x0000_i1058" DrawAspect="Content" ObjectID="_1748618885" r:id="rId13"/>
        </w:object>
      </w:r>
    </w:p>
    <w:p w14:paraId="0E96D653" w14:textId="77777777" w:rsidR="00AF2AFC" w:rsidRPr="00B35024" w:rsidRDefault="00AF2AFC" w:rsidP="00AF2AFC">
      <w:pPr>
        <w:pStyle w:val="Legenda"/>
        <w:spacing w:after="0"/>
        <w:rPr>
          <w:rFonts w:ascii="Times New Roman" w:hAnsi="Times New Roman" w:cs="Times New Roman"/>
          <w:b w:val="0"/>
          <w:color w:val="auto"/>
          <w:sz w:val="18"/>
        </w:rPr>
      </w:pPr>
      <w:r w:rsidRPr="00F12B2D">
        <w:rPr>
          <w:rFonts w:ascii="Times New Roman" w:hAnsi="Times New Roman" w:cs="Times New Roman"/>
          <w:color w:val="auto"/>
          <w:sz w:val="18"/>
        </w:rPr>
        <w:t xml:space="preserve">Figura </w:t>
      </w:r>
      <w:r w:rsidR="00AC0A7E" w:rsidRPr="00F12B2D">
        <w:rPr>
          <w:rFonts w:ascii="Times New Roman" w:hAnsi="Times New Roman" w:cs="Times New Roman"/>
          <w:color w:val="auto"/>
          <w:sz w:val="18"/>
        </w:rPr>
        <w:fldChar w:fldCharType="begin"/>
      </w:r>
      <w:r w:rsidRPr="00F12B2D">
        <w:rPr>
          <w:rFonts w:ascii="Times New Roman" w:hAnsi="Times New Roman" w:cs="Times New Roman"/>
          <w:color w:val="auto"/>
          <w:sz w:val="18"/>
        </w:rPr>
        <w:instrText xml:space="preserve"> SEQ Figura \* ARABIC </w:instrText>
      </w:r>
      <w:r w:rsidR="00AC0A7E" w:rsidRPr="00F12B2D">
        <w:rPr>
          <w:rFonts w:ascii="Times New Roman" w:hAnsi="Times New Roman" w:cs="Times New Roman"/>
          <w:color w:val="auto"/>
          <w:sz w:val="18"/>
        </w:rPr>
        <w:fldChar w:fldCharType="separate"/>
      </w:r>
      <w:r w:rsidRPr="00F12B2D">
        <w:rPr>
          <w:rFonts w:ascii="Times New Roman" w:hAnsi="Times New Roman" w:cs="Times New Roman"/>
          <w:noProof/>
          <w:color w:val="auto"/>
          <w:sz w:val="18"/>
        </w:rPr>
        <w:t>1</w:t>
      </w:r>
      <w:r w:rsidR="00AC0A7E" w:rsidRPr="00F12B2D">
        <w:rPr>
          <w:rFonts w:ascii="Times New Roman" w:hAnsi="Times New Roman" w:cs="Times New Roman"/>
          <w:color w:val="auto"/>
          <w:sz w:val="18"/>
        </w:rPr>
        <w:fldChar w:fldCharType="end"/>
      </w:r>
      <w:r w:rsidRPr="00F12B2D">
        <w:rPr>
          <w:rFonts w:ascii="Times New Roman" w:hAnsi="Times New Roman" w:cs="Times New Roman"/>
          <w:color w:val="auto"/>
          <w:sz w:val="18"/>
        </w:rPr>
        <w:t>.</w:t>
      </w:r>
      <w:r>
        <w:rPr>
          <w:rFonts w:ascii="Times New Roman" w:hAnsi="Times New Roman" w:cs="Times New Roman"/>
          <w:b w:val="0"/>
          <w:color w:val="auto"/>
          <w:sz w:val="18"/>
        </w:rPr>
        <w:t xml:space="preserve"> </w:t>
      </w:r>
      <w:r w:rsidRPr="00B35024">
        <w:rPr>
          <w:rFonts w:ascii="Times New Roman" w:hAnsi="Times New Roman" w:cs="Times New Roman"/>
          <w:b w:val="0"/>
          <w:color w:val="auto"/>
          <w:sz w:val="18"/>
        </w:rPr>
        <w:t xml:space="preserve">Isomerização </w:t>
      </w:r>
      <w:r w:rsidRPr="00B35024">
        <w:rPr>
          <w:rFonts w:ascii="Times New Roman" w:hAnsi="Times New Roman" w:cs="Times New Roman"/>
          <w:b w:val="0"/>
          <w:color w:val="auto"/>
          <w:sz w:val="18"/>
          <w:szCs w:val="18"/>
        </w:rPr>
        <w:t xml:space="preserve">térmica do </w:t>
      </w:r>
      <w:r w:rsidR="00B35024" w:rsidRPr="00B35024">
        <w:rPr>
          <w:rFonts w:ascii="Times New Roman" w:hAnsi="Times New Roman" w:cs="Times New Roman"/>
          <w:b w:val="0"/>
          <w:i/>
          <w:color w:val="auto"/>
          <w:sz w:val="18"/>
          <w:szCs w:val="18"/>
        </w:rPr>
        <w:t>β</w:t>
      </w:r>
      <w:r w:rsidR="00B35024" w:rsidRPr="00B35024">
        <w:rPr>
          <w:rFonts w:ascii="Times New Roman" w:hAnsi="Times New Roman" w:cs="Times New Roman"/>
          <w:b w:val="0"/>
          <w:color w:val="auto"/>
          <w:sz w:val="18"/>
          <w:szCs w:val="18"/>
        </w:rPr>
        <w:t>-pineno</w:t>
      </w:r>
      <w:r w:rsidR="00B35024" w:rsidRPr="00B35024">
        <w:rPr>
          <w:rFonts w:ascii="Times New Roman" w:hAnsi="Times New Roman" w:cs="Times New Roman"/>
          <w:color w:val="auto"/>
          <w:sz w:val="20"/>
          <w:szCs w:val="20"/>
        </w:rPr>
        <w:t xml:space="preserve"> </w:t>
      </w:r>
    </w:p>
    <w:p w14:paraId="4BA8F928" w14:textId="77777777" w:rsidR="000A4A7D" w:rsidRDefault="000A4A7D" w:rsidP="009842E5">
      <w:pPr>
        <w:pStyle w:val="Default"/>
        <w:ind w:firstLine="227"/>
        <w:jc w:val="both"/>
        <w:rPr>
          <w:rFonts w:ascii="Times New Roman" w:hAnsi="Times New Roman"/>
          <w:sz w:val="20"/>
          <w:szCs w:val="20"/>
        </w:rPr>
      </w:pPr>
    </w:p>
    <w:p w14:paraId="2C6B468E" w14:textId="77777777" w:rsidR="000A4A7D" w:rsidRDefault="000A4A7D" w:rsidP="00F93838">
      <w:pPr>
        <w:pStyle w:val="Default"/>
        <w:ind w:firstLine="227"/>
        <w:jc w:val="both"/>
        <w:rPr>
          <w:rFonts w:ascii="Times New Roman" w:hAnsi="Times New Roman"/>
          <w:sz w:val="20"/>
          <w:szCs w:val="20"/>
        </w:rPr>
      </w:pPr>
      <w:r>
        <w:rPr>
          <w:rFonts w:ascii="Times New Roman" w:hAnsi="Times New Roman"/>
          <w:sz w:val="20"/>
          <w:szCs w:val="20"/>
        </w:rPr>
        <w:t xml:space="preserve">Em outros </w:t>
      </w:r>
      <w:r w:rsidR="009842E5">
        <w:rPr>
          <w:rFonts w:ascii="Times New Roman" w:hAnsi="Times New Roman"/>
          <w:sz w:val="20"/>
          <w:szCs w:val="20"/>
        </w:rPr>
        <w:t xml:space="preserve">estudos </w:t>
      </w:r>
      <w:r w:rsidR="009E0C0A">
        <w:rPr>
          <w:rFonts w:ascii="Times New Roman" w:hAnsi="Times New Roman"/>
          <w:sz w:val="20"/>
          <w:szCs w:val="20"/>
        </w:rPr>
        <w:t>(</w:t>
      </w:r>
      <w:r w:rsidR="009842E5">
        <w:rPr>
          <w:rFonts w:ascii="Times New Roman" w:hAnsi="Times New Roman"/>
          <w:sz w:val="20"/>
          <w:szCs w:val="20"/>
        </w:rPr>
        <w:t>3,5</w:t>
      </w:r>
      <w:r w:rsidR="009E0C0A">
        <w:rPr>
          <w:rFonts w:ascii="Times New Roman" w:hAnsi="Times New Roman"/>
          <w:sz w:val="20"/>
          <w:szCs w:val="20"/>
        </w:rPr>
        <w:t>)</w:t>
      </w:r>
      <w:r>
        <w:rPr>
          <w:rFonts w:ascii="Times New Roman" w:hAnsi="Times New Roman"/>
          <w:sz w:val="20"/>
          <w:szCs w:val="20"/>
        </w:rPr>
        <w:t xml:space="preserve"> a reação foi conduzida sem a presença de inertes e em reator de aço inoxidável, porém foi utilizado </w:t>
      </w:r>
      <w:r w:rsidR="003E67B8" w:rsidRPr="003E67B8">
        <w:rPr>
          <w:rFonts w:ascii="Symbol" w:hAnsi="Symbol"/>
          <w:i/>
          <w:iCs/>
          <w:sz w:val="20"/>
          <w:szCs w:val="20"/>
        </w:rPr>
        <w:t></w:t>
      </w:r>
      <w:r>
        <w:rPr>
          <w:rFonts w:ascii="Times New Roman" w:hAnsi="Times New Roman"/>
          <w:sz w:val="20"/>
          <w:szCs w:val="20"/>
        </w:rPr>
        <w:t>-pineno comercial (9</w:t>
      </w:r>
      <w:r w:rsidR="00EB07F6">
        <w:rPr>
          <w:rFonts w:ascii="Times New Roman" w:hAnsi="Times New Roman"/>
          <w:sz w:val="20"/>
          <w:szCs w:val="20"/>
        </w:rPr>
        <w:t>7</w:t>
      </w:r>
      <w:r>
        <w:rPr>
          <w:rFonts w:ascii="Times New Roman" w:hAnsi="Times New Roman"/>
          <w:sz w:val="20"/>
          <w:szCs w:val="20"/>
        </w:rPr>
        <w:t xml:space="preserve">% de pureza). Estes autores obtiveram </w:t>
      </w:r>
      <w:r w:rsidR="00EB07F6">
        <w:rPr>
          <w:rFonts w:ascii="Times New Roman" w:hAnsi="Times New Roman"/>
          <w:sz w:val="20"/>
          <w:szCs w:val="20"/>
        </w:rPr>
        <w:t>nas melhores condições (515</w:t>
      </w:r>
      <w:r w:rsidR="00630CE1">
        <w:rPr>
          <w:rFonts w:ascii="Times New Roman" w:hAnsi="Times New Roman" w:cs="Times New Roman"/>
          <w:sz w:val="20"/>
          <w:szCs w:val="20"/>
        </w:rPr>
        <w:t xml:space="preserve"> °C</w:t>
      </w:r>
      <w:r w:rsidR="00EB07F6">
        <w:rPr>
          <w:rFonts w:ascii="Times New Roman" w:hAnsi="Times New Roman"/>
          <w:sz w:val="20"/>
          <w:szCs w:val="20"/>
        </w:rPr>
        <w:t>) 83% de seletividade e 95,5% de rendimento.</w:t>
      </w:r>
    </w:p>
    <w:p w14:paraId="2A7E72F4" w14:textId="77777777" w:rsidR="00A2364E" w:rsidRDefault="00EB07F6" w:rsidP="00F93838">
      <w:pPr>
        <w:pStyle w:val="Default"/>
        <w:ind w:firstLine="227"/>
        <w:jc w:val="both"/>
        <w:rPr>
          <w:rFonts w:ascii="Times New Roman" w:hAnsi="Times New Roman"/>
          <w:sz w:val="20"/>
          <w:szCs w:val="20"/>
        </w:rPr>
      </w:pPr>
      <w:r>
        <w:rPr>
          <w:rFonts w:ascii="Times New Roman" w:hAnsi="Times New Roman"/>
          <w:sz w:val="20"/>
          <w:szCs w:val="20"/>
        </w:rPr>
        <w:t xml:space="preserve">O </w:t>
      </w:r>
      <w:r w:rsidR="001B5CD9">
        <w:rPr>
          <w:rFonts w:ascii="Times New Roman" w:hAnsi="Times New Roman"/>
          <w:sz w:val="20"/>
          <w:szCs w:val="20"/>
        </w:rPr>
        <w:t>uso do</w:t>
      </w:r>
      <w:r w:rsidR="00A2364E">
        <w:rPr>
          <w:rFonts w:ascii="Times New Roman" w:hAnsi="Times New Roman"/>
          <w:sz w:val="20"/>
          <w:szCs w:val="20"/>
        </w:rPr>
        <w:t xml:space="preserve"> catalisador CuO</w:t>
      </w:r>
      <w:r w:rsidR="00B866D8">
        <w:rPr>
          <w:rFonts w:ascii="Times New Roman" w:hAnsi="Times New Roman"/>
          <w:sz w:val="20"/>
          <w:szCs w:val="20"/>
        </w:rPr>
        <w:t xml:space="preserve"> foi reportado na literatura</w:t>
      </w:r>
      <w:r w:rsidR="00E82C00">
        <w:rPr>
          <w:rFonts w:ascii="Times New Roman" w:hAnsi="Times New Roman"/>
          <w:sz w:val="20"/>
          <w:szCs w:val="20"/>
        </w:rPr>
        <w:t xml:space="preserve"> </w:t>
      </w:r>
      <w:r w:rsidR="00AC0A7E">
        <w:rPr>
          <w:rFonts w:ascii="Times New Roman" w:hAnsi="Times New Roman"/>
          <w:sz w:val="20"/>
          <w:szCs w:val="20"/>
        </w:rPr>
        <w:fldChar w:fldCharType="begin" w:fldLock="1"/>
      </w:r>
      <w:r w:rsidR="00E82C00">
        <w:rPr>
          <w:rFonts w:ascii="Times New Roman" w:hAnsi="Times New Roman"/>
          <w:sz w:val="20"/>
          <w:szCs w:val="20"/>
        </w:rPr>
        <w:instrText>ADDIN CSL_CITATION {"citationItems":[{"id":"ITEM-1","itemData":{"abstract":"121","author":[{"dropping-particle":"","family":"STRUG","given":"MARIA CRISTINA ANDRADE","non-dropping-particle":"","parse-names":false,"suffix":""}],"id":"ITEM-1","issued":{"date-parts":[["203"]]},"title":"Catalização Do Bpineno.Pdf","type":"article"},"uris":["http://www.mendeley.com/documents/?uuid=b0cfb908-d7b1-42c7-8ab4-65fce67c02d9"]}],"mendeley":{"formattedCitation":"[6]","plainTextFormattedCitation":"[6]","previouslyFormattedCitation":"[5]"},"properties":{"noteIndex":0},"schema":"https://github.com/citation-style-language/schema/raw/master/csl-citation.json"}</w:instrText>
      </w:r>
      <w:r w:rsidR="00AC0A7E">
        <w:rPr>
          <w:rFonts w:ascii="Times New Roman" w:hAnsi="Times New Roman"/>
          <w:sz w:val="20"/>
          <w:szCs w:val="20"/>
        </w:rPr>
        <w:fldChar w:fldCharType="separate"/>
      </w:r>
      <w:r w:rsidR="009E0C0A">
        <w:rPr>
          <w:rFonts w:ascii="Times New Roman" w:hAnsi="Times New Roman"/>
          <w:noProof/>
          <w:sz w:val="20"/>
          <w:szCs w:val="20"/>
        </w:rPr>
        <w:t>(</w:t>
      </w:r>
      <w:r w:rsidR="00E82C00">
        <w:rPr>
          <w:rFonts w:ascii="Times New Roman" w:hAnsi="Times New Roman"/>
          <w:noProof/>
          <w:sz w:val="20"/>
          <w:szCs w:val="20"/>
        </w:rPr>
        <w:t>9</w:t>
      </w:r>
      <w:r w:rsidR="00AC0A7E">
        <w:rPr>
          <w:rFonts w:ascii="Times New Roman" w:hAnsi="Times New Roman"/>
          <w:sz w:val="20"/>
          <w:szCs w:val="20"/>
        </w:rPr>
        <w:fldChar w:fldCharType="end"/>
      </w:r>
      <w:r w:rsidR="009E0C0A">
        <w:rPr>
          <w:rFonts w:ascii="Times New Roman" w:hAnsi="Times New Roman"/>
          <w:sz w:val="20"/>
          <w:szCs w:val="20"/>
        </w:rPr>
        <w:t>)</w:t>
      </w:r>
      <w:r>
        <w:rPr>
          <w:rFonts w:ascii="Times New Roman" w:hAnsi="Times New Roman"/>
          <w:sz w:val="20"/>
          <w:szCs w:val="20"/>
        </w:rPr>
        <w:t xml:space="preserve"> e </w:t>
      </w:r>
      <w:r w:rsidR="001B5CD9">
        <w:rPr>
          <w:rFonts w:ascii="Times New Roman" w:hAnsi="Times New Roman"/>
          <w:sz w:val="20"/>
          <w:szCs w:val="20"/>
        </w:rPr>
        <w:t xml:space="preserve">se </w:t>
      </w:r>
      <w:r>
        <w:rPr>
          <w:rFonts w:ascii="Times New Roman" w:hAnsi="Times New Roman"/>
          <w:sz w:val="20"/>
          <w:szCs w:val="20"/>
        </w:rPr>
        <w:t>obteve</w:t>
      </w:r>
      <w:r w:rsidR="00B866D8">
        <w:rPr>
          <w:rFonts w:ascii="Times New Roman" w:hAnsi="Times New Roman"/>
          <w:sz w:val="20"/>
          <w:szCs w:val="20"/>
        </w:rPr>
        <w:t xml:space="preserve"> a conversão</w:t>
      </w:r>
      <w:r w:rsidR="00E45057">
        <w:rPr>
          <w:rFonts w:ascii="Times New Roman" w:hAnsi="Times New Roman"/>
          <w:sz w:val="20"/>
          <w:szCs w:val="20"/>
        </w:rPr>
        <w:t xml:space="preserve"> </w:t>
      </w:r>
      <w:r w:rsidR="00B866D8">
        <w:rPr>
          <w:rFonts w:ascii="Times New Roman" w:hAnsi="Times New Roman"/>
          <w:sz w:val="20"/>
          <w:szCs w:val="20"/>
        </w:rPr>
        <w:t xml:space="preserve">de 97% </w:t>
      </w:r>
      <w:r w:rsidR="00CA0F7D" w:rsidRPr="001B5CD9">
        <w:rPr>
          <w:rFonts w:ascii="Times New Roman" w:hAnsi="Times New Roman"/>
          <w:sz w:val="20"/>
          <w:szCs w:val="20"/>
        </w:rPr>
        <w:t xml:space="preserve">de </w:t>
      </w:r>
      <w:r w:rsidR="00E93715" w:rsidRPr="00164963">
        <w:rPr>
          <w:rFonts w:ascii="Times New Roman" w:hAnsi="Times New Roman" w:cs="Times New Roman"/>
          <w:i/>
          <w:sz w:val="20"/>
          <w:szCs w:val="20"/>
        </w:rPr>
        <w:t>β</w:t>
      </w:r>
      <w:r w:rsidR="00CA0F7D" w:rsidRPr="001B5CD9">
        <w:rPr>
          <w:rFonts w:ascii="Times New Roman" w:hAnsi="Times New Roman"/>
          <w:sz w:val="20"/>
          <w:szCs w:val="20"/>
        </w:rPr>
        <w:t>-pineno</w:t>
      </w:r>
      <w:r w:rsidR="00B866D8">
        <w:rPr>
          <w:rFonts w:ascii="Times New Roman" w:hAnsi="Times New Roman"/>
          <w:sz w:val="20"/>
          <w:szCs w:val="20"/>
        </w:rPr>
        <w:t xml:space="preserve"> e seletividade de 74% em mirceno para </w:t>
      </w:r>
      <w:r w:rsidR="00E509EE">
        <w:rPr>
          <w:rFonts w:ascii="Times New Roman" w:hAnsi="Times New Roman"/>
          <w:sz w:val="20"/>
          <w:szCs w:val="20"/>
        </w:rPr>
        <w:t>a síntese do mirceno</w:t>
      </w:r>
      <w:r w:rsidR="00B156A4">
        <w:rPr>
          <w:rFonts w:ascii="Times New Roman" w:hAnsi="Times New Roman"/>
          <w:sz w:val="20"/>
          <w:szCs w:val="20"/>
        </w:rPr>
        <w:t xml:space="preserve"> </w:t>
      </w:r>
      <w:r w:rsidR="00E45057">
        <w:rPr>
          <w:rFonts w:ascii="Times New Roman" w:hAnsi="Times New Roman"/>
          <w:sz w:val="20"/>
          <w:szCs w:val="20"/>
        </w:rPr>
        <w:t xml:space="preserve">ocorrendo </w:t>
      </w:r>
      <w:r w:rsidR="00B866D8">
        <w:rPr>
          <w:rFonts w:ascii="Times New Roman" w:hAnsi="Times New Roman"/>
          <w:sz w:val="20"/>
          <w:szCs w:val="20"/>
        </w:rPr>
        <w:t>a 500</w:t>
      </w:r>
      <w:r w:rsidR="00630CE1">
        <w:rPr>
          <w:rFonts w:ascii="Times New Roman" w:hAnsi="Times New Roman" w:cs="Times New Roman"/>
          <w:sz w:val="20"/>
          <w:szCs w:val="20"/>
        </w:rPr>
        <w:t xml:space="preserve"> °C</w:t>
      </w:r>
      <w:r w:rsidR="00B866D8">
        <w:rPr>
          <w:rFonts w:ascii="Times New Roman" w:hAnsi="Times New Roman"/>
          <w:sz w:val="20"/>
          <w:szCs w:val="20"/>
        </w:rPr>
        <w:t xml:space="preserve">. </w:t>
      </w:r>
      <w:r w:rsidR="00E45057">
        <w:rPr>
          <w:rFonts w:ascii="Times New Roman" w:hAnsi="Times New Roman"/>
          <w:sz w:val="20"/>
          <w:szCs w:val="20"/>
        </w:rPr>
        <w:t>Este estudo indicou que a</w:t>
      </w:r>
      <w:r w:rsidR="00B866D8">
        <w:rPr>
          <w:rFonts w:ascii="Times New Roman" w:hAnsi="Times New Roman"/>
          <w:sz w:val="20"/>
          <w:szCs w:val="20"/>
        </w:rPr>
        <w:t xml:space="preserve"> seletividade atinge </w:t>
      </w:r>
      <w:r w:rsidR="00E45057">
        <w:rPr>
          <w:rFonts w:ascii="Times New Roman" w:hAnsi="Times New Roman"/>
          <w:sz w:val="20"/>
          <w:szCs w:val="20"/>
        </w:rPr>
        <w:t xml:space="preserve">o valor </w:t>
      </w:r>
      <w:r w:rsidR="00B866D8">
        <w:rPr>
          <w:rFonts w:ascii="Times New Roman" w:hAnsi="Times New Roman"/>
          <w:sz w:val="20"/>
          <w:szCs w:val="20"/>
        </w:rPr>
        <w:t xml:space="preserve">máximo de 85% </w:t>
      </w:r>
      <w:r w:rsidR="00E45057">
        <w:rPr>
          <w:rFonts w:ascii="Times New Roman" w:hAnsi="Times New Roman"/>
          <w:sz w:val="20"/>
          <w:szCs w:val="20"/>
        </w:rPr>
        <w:t>a</w:t>
      </w:r>
      <w:r w:rsidR="00B866D8">
        <w:rPr>
          <w:rFonts w:ascii="Times New Roman" w:hAnsi="Times New Roman"/>
          <w:sz w:val="20"/>
          <w:szCs w:val="20"/>
        </w:rPr>
        <w:t xml:space="preserve"> 523</w:t>
      </w:r>
      <w:r w:rsidR="00630CE1">
        <w:rPr>
          <w:rFonts w:ascii="Times New Roman" w:hAnsi="Times New Roman" w:cs="Times New Roman"/>
          <w:sz w:val="20"/>
          <w:szCs w:val="20"/>
        </w:rPr>
        <w:t xml:space="preserve"> °C</w:t>
      </w:r>
      <w:r w:rsidR="00E45057">
        <w:rPr>
          <w:rFonts w:ascii="Times New Roman" w:hAnsi="Times New Roman"/>
          <w:sz w:val="20"/>
          <w:szCs w:val="20"/>
        </w:rPr>
        <w:t>, porém a conversão reduz</w:t>
      </w:r>
      <w:r w:rsidR="005369BA">
        <w:rPr>
          <w:rFonts w:ascii="Times New Roman" w:hAnsi="Times New Roman"/>
          <w:sz w:val="20"/>
          <w:szCs w:val="20"/>
        </w:rPr>
        <w:t>.</w:t>
      </w:r>
      <w:r w:rsidR="00A2364E">
        <w:rPr>
          <w:rFonts w:ascii="Times New Roman" w:hAnsi="Times New Roman"/>
          <w:sz w:val="20"/>
          <w:szCs w:val="20"/>
        </w:rPr>
        <w:t xml:space="preserve"> </w:t>
      </w:r>
    </w:p>
    <w:p w14:paraId="500CCB6A" w14:textId="77777777" w:rsidR="005369BA" w:rsidRPr="003C7C5D" w:rsidRDefault="005369BA" w:rsidP="00F93838">
      <w:pPr>
        <w:pStyle w:val="Default"/>
        <w:ind w:firstLine="227"/>
        <w:jc w:val="both"/>
        <w:rPr>
          <w:rFonts w:ascii="Times New Roman" w:hAnsi="Times New Roman"/>
          <w:sz w:val="20"/>
          <w:szCs w:val="20"/>
        </w:rPr>
      </w:pPr>
      <w:r>
        <w:rPr>
          <w:rFonts w:ascii="Times New Roman" w:hAnsi="Times New Roman"/>
          <w:sz w:val="20"/>
          <w:szCs w:val="20"/>
        </w:rPr>
        <w:t xml:space="preserve">Assim, o objetivo deste </w:t>
      </w:r>
      <w:r w:rsidR="00E45057">
        <w:rPr>
          <w:rFonts w:ascii="Times New Roman" w:hAnsi="Times New Roman"/>
          <w:sz w:val="20"/>
          <w:szCs w:val="20"/>
        </w:rPr>
        <w:t>estudo</w:t>
      </w:r>
      <w:r>
        <w:rPr>
          <w:rFonts w:ascii="Times New Roman" w:hAnsi="Times New Roman"/>
          <w:sz w:val="20"/>
          <w:szCs w:val="20"/>
        </w:rPr>
        <w:t xml:space="preserve"> </w:t>
      </w:r>
      <w:r w:rsidR="00E45057">
        <w:rPr>
          <w:rFonts w:ascii="Times New Roman" w:hAnsi="Times New Roman"/>
          <w:sz w:val="20"/>
          <w:szCs w:val="20"/>
        </w:rPr>
        <w:t>foi</w:t>
      </w:r>
      <w:r>
        <w:rPr>
          <w:rFonts w:ascii="Times New Roman" w:hAnsi="Times New Roman"/>
          <w:sz w:val="20"/>
          <w:szCs w:val="20"/>
        </w:rPr>
        <w:t xml:space="preserve"> avaliar a eficiência d</w:t>
      </w:r>
      <w:r w:rsidR="00E45057">
        <w:rPr>
          <w:rFonts w:ascii="Times New Roman" w:hAnsi="Times New Roman"/>
          <w:sz w:val="20"/>
          <w:szCs w:val="20"/>
        </w:rPr>
        <w:t>e</w:t>
      </w:r>
      <w:r>
        <w:rPr>
          <w:rFonts w:ascii="Times New Roman" w:hAnsi="Times New Roman"/>
          <w:sz w:val="20"/>
          <w:szCs w:val="20"/>
        </w:rPr>
        <w:t xml:space="preserve"> catalisador </w:t>
      </w:r>
      <w:r w:rsidR="00E45057">
        <w:rPr>
          <w:rFonts w:ascii="Times New Roman" w:hAnsi="Times New Roman"/>
          <w:sz w:val="20"/>
          <w:szCs w:val="20"/>
        </w:rPr>
        <w:t xml:space="preserve">a base </w:t>
      </w:r>
      <w:r>
        <w:rPr>
          <w:rFonts w:ascii="Times New Roman" w:hAnsi="Times New Roman"/>
          <w:sz w:val="20"/>
          <w:szCs w:val="20"/>
        </w:rPr>
        <w:t>de cobre para produção de mirceno</w:t>
      </w:r>
      <w:r w:rsidR="00F469DD">
        <w:rPr>
          <w:rFonts w:ascii="Times New Roman" w:hAnsi="Times New Roman"/>
          <w:sz w:val="20"/>
          <w:szCs w:val="20"/>
        </w:rPr>
        <w:t xml:space="preserve"> a partir da isomerização</w:t>
      </w:r>
      <w:r w:rsidR="00E45057">
        <w:rPr>
          <w:rFonts w:ascii="Times New Roman" w:hAnsi="Times New Roman"/>
          <w:sz w:val="20"/>
          <w:szCs w:val="20"/>
        </w:rPr>
        <w:t xml:space="preserve"> térmica</w:t>
      </w:r>
      <w:r w:rsidR="00F469DD">
        <w:rPr>
          <w:rFonts w:ascii="Times New Roman" w:hAnsi="Times New Roman"/>
          <w:sz w:val="20"/>
          <w:szCs w:val="20"/>
        </w:rPr>
        <w:t xml:space="preserve"> do </w:t>
      </w:r>
      <w:r w:rsidR="00FB5230" w:rsidRPr="00FB5230">
        <w:rPr>
          <w:rFonts w:ascii="Symbol" w:hAnsi="Symbol"/>
          <w:bCs/>
          <w:i/>
          <w:iCs/>
          <w:sz w:val="20"/>
        </w:rPr>
        <w:t></w:t>
      </w:r>
      <w:r w:rsidR="00FB5230" w:rsidRPr="00FB5230">
        <w:rPr>
          <w:rFonts w:ascii="Times New Roman" w:hAnsi="Times New Roman"/>
          <w:bCs/>
          <w:sz w:val="20"/>
          <w:szCs w:val="20"/>
        </w:rPr>
        <w:t xml:space="preserve"> </w:t>
      </w:r>
      <w:r w:rsidR="00F469DD">
        <w:rPr>
          <w:rFonts w:ascii="Times New Roman" w:hAnsi="Times New Roman"/>
          <w:sz w:val="20"/>
          <w:szCs w:val="20"/>
        </w:rPr>
        <w:t>-pineno</w:t>
      </w:r>
      <w:r>
        <w:rPr>
          <w:rFonts w:ascii="Times New Roman" w:hAnsi="Times New Roman"/>
          <w:sz w:val="20"/>
          <w:szCs w:val="20"/>
        </w:rPr>
        <w:t>.</w:t>
      </w:r>
    </w:p>
    <w:p w14:paraId="15E47402" w14:textId="77777777" w:rsidR="009E4862" w:rsidRDefault="009E4862" w:rsidP="00EA4E1B">
      <w:pPr>
        <w:pStyle w:val="TAMainText"/>
        <w:rPr>
          <w:rFonts w:ascii="Times New Roman" w:hAnsi="Times New Roman"/>
          <w:lang w:val="pt-BR"/>
        </w:rPr>
      </w:pPr>
    </w:p>
    <w:p w14:paraId="784323AD"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42BC9178" w14:textId="77777777" w:rsidR="009E0C0A" w:rsidRDefault="009E0C0A" w:rsidP="00EA4E1B">
      <w:pPr>
        <w:pStyle w:val="TAMainText"/>
        <w:ind w:firstLine="0"/>
        <w:rPr>
          <w:rFonts w:ascii="Times New Roman" w:hAnsi="Times New Roman"/>
          <w:i/>
          <w:lang w:val="pt-BR"/>
        </w:rPr>
      </w:pPr>
    </w:p>
    <w:p w14:paraId="5725788B" w14:textId="77777777" w:rsidR="00F0608A" w:rsidRDefault="00F0608A" w:rsidP="00EA4E1B">
      <w:pPr>
        <w:pStyle w:val="TAMainText"/>
        <w:ind w:firstLine="0"/>
        <w:rPr>
          <w:rFonts w:ascii="Times New Roman" w:hAnsi="Times New Roman"/>
          <w:i/>
          <w:lang w:val="pt-BR"/>
        </w:rPr>
      </w:pPr>
      <w:r>
        <w:rPr>
          <w:rFonts w:ascii="Times New Roman" w:hAnsi="Times New Roman"/>
          <w:i/>
          <w:lang w:val="pt-BR"/>
        </w:rPr>
        <w:t>Materiais</w:t>
      </w:r>
      <w:r w:rsidR="00815A19">
        <w:rPr>
          <w:rFonts w:ascii="Times New Roman" w:hAnsi="Times New Roman"/>
          <w:i/>
          <w:lang w:val="pt-BR"/>
        </w:rPr>
        <w:t xml:space="preserve"> e equipamentos</w:t>
      </w:r>
    </w:p>
    <w:p w14:paraId="538E3F11" w14:textId="77777777" w:rsidR="00A15ED0" w:rsidRDefault="009F65F8" w:rsidP="00A15ED0">
      <w:pPr>
        <w:autoSpaceDE w:val="0"/>
        <w:autoSpaceDN w:val="0"/>
        <w:adjustRightInd w:val="0"/>
        <w:spacing w:after="0" w:line="240" w:lineRule="auto"/>
        <w:ind w:firstLine="204"/>
        <w:jc w:val="both"/>
        <w:rPr>
          <w:rFonts w:ascii="Times New Roman" w:hAnsi="Times New Roman" w:cs="Times New Roman"/>
          <w:sz w:val="20"/>
          <w:szCs w:val="20"/>
        </w:rPr>
      </w:pPr>
      <w:r w:rsidRPr="00A15ED0">
        <w:rPr>
          <w:rFonts w:ascii="Times" w:hAnsi="Times" w:cs="Times New Roman"/>
          <w:sz w:val="20"/>
          <w:szCs w:val="20"/>
        </w:rPr>
        <w:t xml:space="preserve">Os ensaios cinéticos foram realizados </w:t>
      </w:r>
      <w:r w:rsidR="001A3F33" w:rsidRPr="00A15ED0">
        <w:rPr>
          <w:rFonts w:ascii="Times" w:hAnsi="Times" w:cs="Times New Roman"/>
          <w:sz w:val="20"/>
          <w:szCs w:val="20"/>
        </w:rPr>
        <w:t>na unidade de pirólise de bancada pertencente ao Laboratório de Catálise e Processos Químicos da UFPR. A unidade conta com um</w:t>
      </w:r>
      <w:r w:rsidRPr="00A15ED0">
        <w:rPr>
          <w:rFonts w:ascii="Times" w:hAnsi="Times" w:cs="Times New Roman"/>
          <w:sz w:val="20"/>
          <w:szCs w:val="20"/>
        </w:rPr>
        <w:t xml:space="preserve"> reator tubular</w:t>
      </w:r>
      <w:r w:rsidR="00472414" w:rsidRPr="00A15ED0">
        <w:rPr>
          <w:rFonts w:ascii="Times" w:hAnsi="Times" w:cs="Times New Roman"/>
          <w:sz w:val="20"/>
          <w:szCs w:val="20"/>
        </w:rPr>
        <w:t xml:space="preserve"> de</w:t>
      </w:r>
      <w:r w:rsidR="00A15ED0">
        <w:rPr>
          <w:rFonts w:ascii="Times" w:hAnsi="Times" w:cs="Times New Roman"/>
          <w:sz w:val="20"/>
          <w:szCs w:val="20"/>
        </w:rPr>
        <w:t xml:space="preserve"> </w:t>
      </w:r>
      <w:r w:rsidR="00A15ED0">
        <w:rPr>
          <w:rFonts w:ascii="Times New Roman" w:hAnsi="Times New Roman" w:cs="Times New Roman"/>
          <w:sz w:val="20"/>
          <w:szCs w:val="20"/>
        </w:rPr>
        <w:t>AISI 304 com</w:t>
      </w:r>
      <w:r w:rsidR="00472414" w:rsidRPr="00A15ED0">
        <w:rPr>
          <w:rFonts w:ascii="Times" w:hAnsi="Times" w:cs="Times New Roman"/>
          <w:sz w:val="20"/>
          <w:szCs w:val="20"/>
        </w:rPr>
        <w:t xml:space="preserve"> 10 mm de diâmetro interno e 13 mm de diâmetro externo</w:t>
      </w:r>
      <w:r w:rsidR="001A3F33" w:rsidRPr="00A15ED0">
        <w:rPr>
          <w:rFonts w:ascii="Times" w:hAnsi="Times" w:cs="Times New Roman"/>
          <w:sz w:val="20"/>
          <w:szCs w:val="20"/>
        </w:rPr>
        <w:t xml:space="preserve"> acoplado a um forno elétrico (Figura 2). O forno</w:t>
      </w:r>
      <w:r w:rsidR="003C0C79">
        <w:rPr>
          <w:rFonts w:ascii="Times" w:hAnsi="Times" w:cs="Times New Roman"/>
          <w:sz w:val="20"/>
          <w:szCs w:val="20"/>
        </w:rPr>
        <w:t xml:space="preserve"> elétrico</w:t>
      </w:r>
      <w:r w:rsidR="001A3F33" w:rsidRPr="00A15ED0">
        <w:rPr>
          <w:rFonts w:ascii="Times" w:hAnsi="Times" w:cs="Times New Roman"/>
          <w:sz w:val="20"/>
          <w:szCs w:val="20"/>
        </w:rPr>
        <w:t xml:space="preserve"> possui duas secções, uma de aquecimento (forno) de 470 mm e outra de reação de 130 mm. </w:t>
      </w:r>
      <w:r w:rsidR="00A15ED0">
        <w:rPr>
          <w:rFonts w:ascii="Times New Roman" w:hAnsi="Times New Roman" w:cs="Times New Roman"/>
          <w:sz w:val="20"/>
          <w:szCs w:val="20"/>
        </w:rPr>
        <w:t>O controle de vazão da unidade de pirólise é realizado por bomba peristáltica (Watson Marlon, modelo 120s) e d</w:t>
      </w:r>
      <w:r w:rsidR="00AE5402">
        <w:rPr>
          <w:rFonts w:ascii="Times New Roman" w:hAnsi="Times New Roman" w:cs="Times New Roman"/>
          <w:sz w:val="20"/>
          <w:szCs w:val="20"/>
        </w:rPr>
        <w:t>e</w:t>
      </w:r>
      <w:r w:rsidR="00A15ED0">
        <w:rPr>
          <w:rFonts w:ascii="Times New Roman" w:hAnsi="Times New Roman" w:cs="Times New Roman"/>
          <w:sz w:val="20"/>
          <w:szCs w:val="20"/>
        </w:rPr>
        <w:t xml:space="preserve"> temperatura no interior do reator por um termopar tipo K (1 mm de diâmetro).</w:t>
      </w:r>
    </w:p>
    <w:p w14:paraId="13164F76" w14:textId="77777777" w:rsidR="0025357E" w:rsidRDefault="0025357E" w:rsidP="0025357E">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Para os ensaios com </w:t>
      </w:r>
      <w:r w:rsidR="00E509EE">
        <w:rPr>
          <w:rFonts w:ascii="Times New Roman" w:hAnsi="Times New Roman" w:cs="Times New Roman"/>
          <w:sz w:val="20"/>
          <w:szCs w:val="20"/>
        </w:rPr>
        <w:t xml:space="preserve">o </w:t>
      </w:r>
      <w:r>
        <w:rPr>
          <w:rFonts w:ascii="Times New Roman" w:hAnsi="Times New Roman" w:cs="Times New Roman"/>
          <w:sz w:val="20"/>
          <w:szCs w:val="20"/>
        </w:rPr>
        <w:t>catalisador</w:t>
      </w:r>
      <w:r w:rsidR="00E509EE">
        <w:rPr>
          <w:rFonts w:ascii="Times New Roman" w:hAnsi="Times New Roman" w:cs="Times New Roman"/>
          <w:sz w:val="20"/>
          <w:szCs w:val="20"/>
        </w:rPr>
        <w:t xml:space="preserve"> sólido</w:t>
      </w:r>
      <w:r>
        <w:rPr>
          <w:rFonts w:ascii="Times New Roman" w:hAnsi="Times New Roman" w:cs="Times New Roman"/>
          <w:sz w:val="20"/>
          <w:szCs w:val="20"/>
        </w:rPr>
        <w:t xml:space="preserve"> este foi acoplado no interior </w:t>
      </w:r>
      <w:r w:rsidR="00954ACA">
        <w:rPr>
          <w:rFonts w:ascii="Times New Roman" w:hAnsi="Times New Roman" w:cs="Times New Roman"/>
          <w:sz w:val="20"/>
          <w:szCs w:val="20"/>
        </w:rPr>
        <w:t>do reator - n</w:t>
      </w:r>
      <w:r>
        <w:rPr>
          <w:rFonts w:ascii="Times New Roman" w:hAnsi="Times New Roman" w:cs="Times New Roman"/>
          <w:sz w:val="20"/>
          <w:szCs w:val="20"/>
        </w:rPr>
        <w:t>a secção de reação</w:t>
      </w:r>
      <w:r w:rsidR="00954ACA">
        <w:rPr>
          <w:rFonts w:ascii="Times New Roman" w:hAnsi="Times New Roman" w:cs="Times New Roman"/>
          <w:sz w:val="20"/>
          <w:szCs w:val="20"/>
        </w:rPr>
        <w:t xml:space="preserve"> -</w:t>
      </w:r>
      <w:r>
        <w:rPr>
          <w:rFonts w:ascii="Times New Roman" w:hAnsi="Times New Roman" w:cs="Times New Roman"/>
          <w:sz w:val="20"/>
          <w:szCs w:val="20"/>
        </w:rPr>
        <w:t xml:space="preserve">, de forma a garantir o contato do </w:t>
      </w:r>
      <w:r w:rsidR="003E67B8" w:rsidRPr="003E67B8">
        <w:rPr>
          <w:rFonts w:ascii="Symbol" w:hAnsi="Symbol" w:cs="Times New Roman"/>
          <w:i/>
          <w:iCs/>
          <w:sz w:val="20"/>
          <w:szCs w:val="20"/>
        </w:rPr>
        <w:t></w:t>
      </w:r>
      <w:r>
        <w:rPr>
          <w:rFonts w:ascii="Times New Roman" w:hAnsi="Times New Roman" w:cs="Times New Roman"/>
          <w:sz w:val="20"/>
          <w:szCs w:val="20"/>
        </w:rPr>
        <w:t xml:space="preserve">-pineno </w:t>
      </w:r>
      <w:r w:rsidR="00525036">
        <w:rPr>
          <w:rFonts w:ascii="Times New Roman" w:hAnsi="Times New Roman" w:cs="Times New Roman"/>
          <w:sz w:val="20"/>
          <w:szCs w:val="20"/>
        </w:rPr>
        <w:t xml:space="preserve">em fase vapor </w:t>
      </w:r>
      <w:r>
        <w:rPr>
          <w:rFonts w:ascii="Times New Roman" w:hAnsi="Times New Roman" w:cs="Times New Roman"/>
          <w:sz w:val="20"/>
          <w:szCs w:val="20"/>
        </w:rPr>
        <w:t>com o catali</w:t>
      </w:r>
      <w:r w:rsidR="00E509EE">
        <w:rPr>
          <w:rFonts w:ascii="Times New Roman" w:hAnsi="Times New Roman" w:cs="Times New Roman"/>
          <w:sz w:val="20"/>
          <w:szCs w:val="20"/>
        </w:rPr>
        <w:t>s</w:t>
      </w:r>
      <w:r>
        <w:rPr>
          <w:rFonts w:ascii="Times New Roman" w:hAnsi="Times New Roman" w:cs="Times New Roman"/>
          <w:sz w:val="20"/>
          <w:szCs w:val="20"/>
        </w:rPr>
        <w:t>ador a base de cobre.</w:t>
      </w:r>
    </w:p>
    <w:p w14:paraId="59F32500" w14:textId="77777777" w:rsidR="001A3F33" w:rsidRPr="007D23AF" w:rsidRDefault="001A3F33" w:rsidP="001A3F33">
      <w:pPr>
        <w:spacing w:before="120" w:after="120" w:line="240" w:lineRule="auto"/>
        <w:rPr>
          <w:rFonts w:asciiTheme="majorHAnsi" w:hAnsiTheme="majorHAnsi" w:cstheme="majorHAnsi"/>
        </w:rPr>
      </w:pPr>
      <w:r w:rsidRPr="007D23AF">
        <w:rPr>
          <w:rFonts w:asciiTheme="majorHAnsi" w:hAnsiTheme="majorHAnsi" w:cstheme="majorHAnsi"/>
          <w:noProof/>
          <w:lang w:eastAsia="pt-BR"/>
        </w:rPr>
        <w:drawing>
          <wp:inline distT="0" distB="0" distL="0" distR="0" wp14:anchorId="61FFEF7F" wp14:editId="3293D725">
            <wp:extent cx="3096539" cy="1442357"/>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5124" cy="1446356"/>
                    </a:xfrm>
                    <a:prstGeom prst="rect">
                      <a:avLst/>
                    </a:prstGeom>
                    <a:noFill/>
                    <a:ln>
                      <a:noFill/>
                    </a:ln>
                  </pic:spPr>
                </pic:pic>
              </a:graphicData>
            </a:graphic>
          </wp:inline>
        </w:drawing>
      </w:r>
    </w:p>
    <w:p w14:paraId="5FDF679C" w14:textId="77777777" w:rsidR="001A3F33" w:rsidRPr="00F12B2D" w:rsidRDefault="001A3F33" w:rsidP="001A3F33">
      <w:pPr>
        <w:pStyle w:val="Legenda"/>
        <w:spacing w:after="0"/>
        <w:rPr>
          <w:rFonts w:ascii="Times New Roman" w:hAnsi="Times New Roman" w:cs="Times New Roman"/>
          <w:b w:val="0"/>
          <w:color w:val="auto"/>
          <w:sz w:val="18"/>
        </w:rPr>
      </w:pPr>
      <w:r w:rsidRPr="00F12B2D">
        <w:rPr>
          <w:rFonts w:ascii="Times New Roman" w:hAnsi="Times New Roman" w:cs="Times New Roman"/>
          <w:color w:val="auto"/>
          <w:sz w:val="18"/>
        </w:rPr>
        <w:t xml:space="preserve">Figura </w:t>
      </w:r>
      <w:r>
        <w:rPr>
          <w:rFonts w:ascii="Times New Roman" w:hAnsi="Times New Roman" w:cs="Times New Roman"/>
          <w:color w:val="auto"/>
          <w:sz w:val="18"/>
        </w:rPr>
        <w:t>2</w:t>
      </w:r>
      <w:r w:rsidRPr="00F12B2D">
        <w:rPr>
          <w:rFonts w:ascii="Times New Roman" w:hAnsi="Times New Roman" w:cs="Times New Roman"/>
          <w:color w:val="auto"/>
          <w:sz w:val="18"/>
        </w:rPr>
        <w:t>.</w:t>
      </w:r>
      <w:r>
        <w:rPr>
          <w:rFonts w:ascii="Times New Roman" w:hAnsi="Times New Roman" w:cs="Times New Roman"/>
          <w:b w:val="0"/>
          <w:color w:val="auto"/>
          <w:sz w:val="18"/>
        </w:rPr>
        <w:t xml:space="preserve"> Unidade de pirólise de bancada</w:t>
      </w:r>
    </w:p>
    <w:p w14:paraId="1896BA1E" w14:textId="77777777" w:rsidR="00A15ED0" w:rsidRDefault="00A15ED0" w:rsidP="00472414">
      <w:pPr>
        <w:autoSpaceDE w:val="0"/>
        <w:autoSpaceDN w:val="0"/>
        <w:adjustRightInd w:val="0"/>
        <w:spacing w:after="0" w:line="240" w:lineRule="auto"/>
        <w:ind w:firstLine="204"/>
        <w:jc w:val="both"/>
        <w:rPr>
          <w:rFonts w:ascii="Times New Roman" w:hAnsi="Times New Roman" w:cs="Times New Roman"/>
          <w:sz w:val="20"/>
          <w:szCs w:val="20"/>
        </w:rPr>
      </w:pPr>
    </w:p>
    <w:p w14:paraId="696EE0B2" w14:textId="77777777" w:rsidR="00472414" w:rsidRPr="009F65F8" w:rsidRDefault="00F0608A" w:rsidP="00472414">
      <w:pPr>
        <w:autoSpaceDE w:val="0"/>
        <w:autoSpaceDN w:val="0"/>
        <w:adjustRightInd w:val="0"/>
        <w:spacing w:after="0" w:line="240" w:lineRule="auto"/>
        <w:ind w:firstLine="204"/>
        <w:jc w:val="both"/>
        <w:rPr>
          <w:rFonts w:ascii="Times New Roman" w:hAnsi="Times New Roman" w:cs="Times New Roman"/>
          <w:sz w:val="20"/>
          <w:szCs w:val="20"/>
        </w:rPr>
      </w:pPr>
      <w:r>
        <w:rPr>
          <w:rFonts w:ascii="Times New Roman" w:hAnsi="Times New Roman" w:cs="Times New Roman"/>
          <w:sz w:val="20"/>
          <w:szCs w:val="20"/>
        </w:rPr>
        <w:t xml:space="preserve">A matéria-prima utilizada foi </w:t>
      </w:r>
      <w:r w:rsidRPr="00164963">
        <w:rPr>
          <w:rFonts w:ascii="Times New Roman" w:hAnsi="Times New Roman" w:cs="Times New Roman"/>
          <w:i/>
          <w:sz w:val="20"/>
          <w:szCs w:val="20"/>
        </w:rPr>
        <w:t>β</w:t>
      </w:r>
      <w:r w:rsidRPr="009F65F8">
        <w:rPr>
          <w:rFonts w:ascii="Times New Roman" w:hAnsi="Times New Roman" w:cs="Times New Roman"/>
          <w:sz w:val="20"/>
          <w:szCs w:val="20"/>
        </w:rPr>
        <w:t>-pineno</w:t>
      </w:r>
      <w:r>
        <w:rPr>
          <w:rFonts w:ascii="Times New Roman" w:hAnsi="Times New Roman" w:cs="Times New Roman"/>
          <w:sz w:val="20"/>
          <w:szCs w:val="20"/>
        </w:rPr>
        <w:t xml:space="preserve"> (S</w:t>
      </w:r>
      <w:r w:rsidR="001A3F33">
        <w:rPr>
          <w:rFonts w:ascii="Times New Roman" w:hAnsi="Times New Roman" w:cs="Times New Roman"/>
          <w:sz w:val="20"/>
          <w:szCs w:val="20"/>
        </w:rPr>
        <w:t>OCER</w:t>
      </w:r>
      <w:r w:rsidR="00B677C4">
        <w:rPr>
          <w:rFonts w:ascii="Times New Roman" w:hAnsi="Times New Roman" w:cs="Times New Roman"/>
          <w:sz w:val="20"/>
          <w:szCs w:val="20"/>
        </w:rPr>
        <w:t>)</w:t>
      </w:r>
      <w:r>
        <w:rPr>
          <w:rFonts w:ascii="Times New Roman" w:hAnsi="Times New Roman" w:cs="Times New Roman"/>
          <w:sz w:val="20"/>
          <w:szCs w:val="20"/>
        </w:rPr>
        <w:t xml:space="preserve"> </w:t>
      </w:r>
      <w:r w:rsidR="001A3F33">
        <w:rPr>
          <w:rFonts w:ascii="Times New Roman" w:hAnsi="Times New Roman" w:cs="Times New Roman"/>
          <w:sz w:val="20"/>
          <w:szCs w:val="20"/>
        </w:rPr>
        <w:t xml:space="preserve">com </w:t>
      </w:r>
      <w:r w:rsidR="00704144">
        <w:rPr>
          <w:rFonts w:ascii="Times New Roman" w:hAnsi="Times New Roman" w:cs="Times New Roman"/>
          <w:sz w:val="20"/>
          <w:szCs w:val="20"/>
        </w:rPr>
        <w:t>94,8</w:t>
      </w:r>
      <w:r>
        <w:rPr>
          <w:rFonts w:ascii="Times New Roman" w:hAnsi="Times New Roman" w:cs="Times New Roman"/>
          <w:sz w:val="20"/>
          <w:szCs w:val="20"/>
        </w:rPr>
        <w:t>% de pureza</w:t>
      </w:r>
      <w:r w:rsidR="00B677C4">
        <w:rPr>
          <w:rFonts w:ascii="Times New Roman" w:hAnsi="Times New Roman" w:cs="Times New Roman"/>
          <w:sz w:val="20"/>
          <w:szCs w:val="20"/>
        </w:rPr>
        <w:t>, a pureza foi determinada por cromatografia gasosa (CG)</w:t>
      </w:r>
      <w:r>
        <w:rPr>
          <w:rFonts w:ascii="Times New Roman" w:hAnsi="Times New Roman" w:cs="Times New Roman"/>
          <w:sz w:val="20"/>
          <w:szCs w:val="20"/>
        </w:rPr>
        <w:t xml:space="preserve">. </w:t>
      </w:r>
    </w:p>
    <w:p w14:paraId="5DAEF7A9" w14:textId="77777777" w:rsidR="00472414" w:rsidRDefault="00472414" w:rsidP="009F65F8">
      <w:pPr>
        <w:autoSpaceDE w:val="0"/>
        <w:autoSpaceDN w:val="0"/>
        <w:adjustRightInd w:val="0"/>
        <w:spacing w:after="0" w:line="240" w:lineRule="auto"/>
        <w:ind w:firstLine="204"/>
        <w:jc w:val="both"/>
        <w:rPr>
          <w:rFonts w:ascii="Times New Roman" w:hAnsi="Times New Roman" w:cs="Times New Roman"/>
          <w:sz w:val="20"/>
          <w:szCs w:val="20"/>
        </w:rPr>
      </w:pPr>
    </w:p>
    <w:p w14:paraId="1C5FF6EC" w14:textId="77777777" w:rsidR="00472414" w:rsidRDefault="0068639E" w:rsidP="00472414">
      <w:pPr>
        <w:autoSpaceDE w:val="0"/>
        <w:autoSpaceDN w:val="0"/>
        <w:adjustRightInd w:val="0"/>
        <w:spacing w:after="0" w:line="240" w:lineRule="auto"/>
        <w:jc w:val="both"/>
        <w:rPr>
          <w:rFonts w:ascii="Times New Roman" w:hAnsi="Times New Roman" w:cs="Times New Roman"/>
          <w:sz w:val="20"/>
          <w:szCs w:val="20"/>
        </w:rPr>
      </w:pPr>
      <w:bookmarkStart w:id="2" w:name="_Hlk137057639"/>
      <w:r>
        <w:rPr>
          <w:rFonts w:ascii="Times New Roman" w:hAnsi="Times New Roman" w:cs="Times New Roman"/>
          <w:i/>
          <w:sz w:val="20"/>
          <w:szCs w:val="20"/>
        </w:rPr>
        <w:t>Ensaios</w:t>
      </w:r>
    </w:p>
    <w:bookmarkEnd w:id="2"/>
    <w:p w14:paraId="28907E1F" w14:textId="77777777" w:rsidR="00FC5048" w:rsidRDefault="009F65F8" w:rsidP="00E45057">
      <w:pPr>
        <w:autoSpaceDE w:val="0"/>
        <w:autoSpaceDN w:val="0"/>
        <w:adjustRightInd w:val="0"/>
        <w:spacing w:after="0" w:line="240" w:lineRule="auto"/>
        <w:ind w:firstLine="204"/>
        <w:jc w:val="both"/>
        <w:rPr>
          <w:rFonts w:ascii="Times New Roman" w:hAnsi="Times New Roman" w:cs="Times New Roman"/>
          <w:sz w:val="20"/>
          <w:szCs w:val="20"/>
        </w:rPr>
      </w:pPr>
      <w:r w:rsidRPr="009F65F8">
        <w:rPr>
          <w:rFonts w:ascii="Times New Roman" w:hAnsi="Times New Roman" w:cs="Times New Roman"/>
          <w:sz w:val="20"/>
          <w:szCs w:val="20"/>
        </w:rPr>
        <w:t xml:space="preserve">Os experimentos foram conduzidos </w:t>
      </w:r>
      <w:r w:rsidR="00472414" w:rsidRPr="009F65F8">
        <w:rPr>
          <w:rFonts w:ascii="Times New Roman" w:hAnsi="Times New Roman" w:cs="Times New Roman"/>
          <w:sz w:val="20"/>
          <w:szCs w:val="20"/>
        </w:rPr>
        <w:t>à</w:t>
      </w:r>
      <w:r w:rsidRPr="009F65F8">
        <w:rPr>
          <w:rFonts w:ascii="Times New Roman" w:hAnsi="Times New Roman" w:cs="Times New Roman"/>
          <w:sz w:val="20"/>
          <w:szCs w:val="20"/>
        </w:rPr>
        <w:t xml:space="preserve"> temperatura de </w:t>
      </w:r>
      <w:r w:rsidR="00914F03" w:rsidRPr="1A2EB2A5">
        <w:rPr>
          <w:rFonts w:ascii="Times New Roman" w:hAnsi="Times New Roman" w:cs="Times New Roman"/>
          <w:i/>
          <w:iCs/>
          <w:sz w:val="20"/>
          <w:szCs w:val="20"/>
        </w:rPr>
        <w:t>set point</w:t>
      </w:r>
      <w:r w:rsidR="00914F03">
        <w:rPr>
          <w:rFonts w:ascii="Times New Roman" w:hAnsi="Times New Roman" w:cs="Times New Roman"/>
          <w:sz w:val="20"/>
          <w:szCs w:val="20"/>
        </w:rPr>
        <w:t xml:space="preserve"> do forno </w:t>
      </w:r>
      <w:r w:rsidR="00472414">
        <w:rPr>
          <w:rFonts w:ascii="Times New Roman" w:hAnsi="Times New Roman" w:cs="Times New Roman"/>
          <w:sz w:val="20"/>
          <w:szCs w:val="20"/>
        </w:rPr>
        <w:t xml:space="preserve">de </w:t>
      </w:r>
      <w:r w:rsidRPr="009F65F8">
        <w:rPr>
          <w:rFonts w:ascii="Times New Roman" w:hAnsi="Times New Roman" w:cs="Times New Roman"/>
          <w:sz w:val="20"/>
          <w:szCs w:val="20"/>
        </w:rPr>
        <w:t>5</w:t>
      </w:r>
      <w:r w:rsidR="00164963">
        <w:rPr>
          <w:rFonts w:ascii="Times New Roman" w:hAnsi="Times New Roman" w:cs="Times New Roman"/>
          <w:sz w:val="20"/>
          <w:szCs w:val="20"/>
        </w:rPr>
        <w:t>00</w:t>
      </w:r>
      <w:r w:rsidR="00630CE1">
        <w:rPr>
          <w:rFonts w:ascii="Times New Roman" w:hAnsi="Times New Roman" w:cs="Times New Roman"/>
          <w:sz w:val="20"/>
          <w:szCs w:val="20"/>
        </w:rPr>
        <w:t xml:space="preserve"> °C</w:t>
      </w:r>
      <w:r w:rsidR="001A3F33">
        <w:rPr>
          <w:rFonts w:ascii="Times New Roman" w:hAnsi="Times New Roman" w:cs="Times New Roman"/>
          <w:sz w:val="20"/>
          <w:szCs w:val="20"/>
        </w:rPr>
        <w:t xml:space="preserve"> – aquecimento e reação </w:t>
      </w:r>
      <w:r w:rsidR="00E305AB">
        <w:rPr>
          <w:rFonts w:ascii="Times New Roman" w:hAnsi="Times New Roman" w:cs="Times New Roman"/>
          <w:sz w:val="20"/>
          <w:szCs w:val="20"/>
        </w:rPr>
        <w:t>–</w:t>
      </w:r>
      <w:r w:rsidR="001A3F33">
        <w:rPr>
          <w:rFonts w:ascii="Times New Roman" w:hAnsi="Times New Roman" w:cs="Times New Roman"/>
          <w:sz w:val="20"/>
          <w:szCs w:val="20"/>
        </w:rPr>
        <w:t xml:space="preserve"> a </w:t>
      </w:r>
      <w:r w:rsidR="00472414">
        <w:rPr>
          <w:rFonts w:ascii="Times New Roman" w:hAnsi="Times New Roman" w:cs="Times New Roman"/>
          <w:sz w:val="20"/>
          <w:szCs w:val="20"/>
        </w:rPr>
        <w:t xml:space="preserve">vazão </w:t>
      </w:r>
      <w:r w:rsidR="00A15ED0" w:rsidRPr="00A15ED0">
        <w:rPr>
          <w:rFonts w:ascii="Times New Roman" w:hAnsi="Times New Roman" w:cs="Times New Roman"/>
          <w:sz w:val="20"/>
          <w:szCs w:val="20"/>
        </w:rPr>
        <w:t>de</w:t>
      </w:r>
      <w:r w:rsidR="00000B8E">
        <w:rPr>
          <w:rFonts w:ascii="Times New Roman" w:hAnsi="Times New Roman" w:cs="Times New Roman"/>
          <w:sz w:val="20"/>
          <w:szCs w:val="20"/>
        </w:rPr>
        <w:t xml:space="preserve"> alimentação de</w:t>
      </w:r>
      <w:r w:rsidR="00A15ED0" w:rsidRPr="00A15ED0">
        <w:rPr>
          <w:rFonts w:ascii="Times New Roman" w:hAnsi="Times New Roman" w:cs="Times New Roman"/>
          <w:sz w:val="20"/>
          <w:szCs w:val="20"/>
        </w:rPr>
        <w:t xml:space="preserve"> </w:t>
      </w:r>
      <w:r w:rsidR="00A15ED0" w:rsidRPr="00164963">
        <w:rPr>
          <w:rFonts w:ascii="Times New Roman" w:hAnsi="Times New Roman" w:cs="Times New Roman"/>
          <w:i/>
          <w:sz w:val="20"/>
          <w:szCs w:val="20"/>
        </w:rPr>
        <w:t>β</w:t>
      </w:r>
      <w:r w:rsidR="00A15ED0" w:rsidRPr="00A15ED0">
        <w:rPr>
          <w:rFonts w:ascii="Times New Roman" w:hAnsi="Times New Roman" w:cs="Times New Roman"/>
          <w:sz w:val="20"/>
          <w:szCs w:val="20"/>
        </w:rPr>
        <w:t>-pineno</w:t>
      </w:r>
      <w:r w:rsidR="00A15ED0">
        <w:rPr>
          <w:rFonts w:ascii="Times New Roman" w:hAnsi="Times New Roman" w:cs="Times New Roman"/>
          <w:sz w:val="20"/>
          <w:szCs w:val="20"/>
        </w:rPr>
        <w:t xml:space="preserve"> </w:t>
      </w:r>
      <w:r w:rsidR="00000B8E">
        <w:rPr>
          <w:rFonts w:ascii="Times New Roman" w:hAnsi="Times New Roman"/>
        </w:rPr>
        <w:t>(</w:t>
      </w:r>
      <w:r w:rsidR="002F2AAD" w:rsidRPr="00000B8E">
        <w:rPr>
          <w:rFonts w:ascii="Times New Roman" w:hAnsi="Times New Roman"/>
          <w:noProof/>
          <w:position w:val="-12"/>
        </w:rPr>
        <w:object w:dxaOrig="380" w:dyaOrig="360" w14:anchorId="6CB17184">
          <v:shape id="_x0000_i1057" type="#_x0000_t75" alt="" style="width:15.6pt;height:15.6pt;mso-width-percent:0;mso-height-percent:0;mso-width-percent:0;mso-height-percent:0" o:ole="">
            <v:imagedata r:id="rId15" o:title=""/>
          </v:shape>
          <o:OLEObject Type="Embed" ProgID="Equation.DSMT4" ShapeID="_x0000_i1057" DrawAspect="Content" ObjectID="_1748618886" r:id="rId16"/>
        </w:object>
      </w:r>
      <w:r w:rsidR="00000B8E">
        <w:rPr>
          <w:rFonts w:ascii="Times New Roman" w:hAnsi="Times New Roman"/>
        </w:rPr>
        <w:t xml:space="preserve">) </w:t>
      </w:r>
      <w:r w:rsidR="00A15ED0">
        <w:rPr>
          <w:rFonts w:ascii="Times New Roman" w:hAnsi="Times New Roman" w:cs="Times New Roman"/>
          <w:sz w:val="20"/>
          <w:szCs w:val="20"/>
        </w:rPr>
        <w:t xml:space="preserve">variou </w:t>
      </w:r>
      <w:r w:rsidR="00472414">
        <w:rPr>
          <w:rFonts w:ascii="Times New Roman" w:hAnsi="Times New Roman" w:cs="Times New Roman"/>
          <w:sz w:val="20"/>
          <w:szCs w:val="20"/>
        </w:rPr>
        <w:t xml:space="preserve">de </w:t>
      </w:r>
      <w:bookmarkStart w:id="3" w:name="_Hlk137057085"/>
      <w:r w:rsidR="00A15ED0">
        <w:rPr>
          <w:rFonts w:ascii="Times New Roman" w:hAnsi="Times New Roman" w:cs="Times New Roman"/>
          <w:sz w:val="20"/>
          <w:szCs w:val="20"/>
        </w:rPr>
        <w:t>7</w:t>
      </w:r>
      <w:r w:rsidR="00472414">
        <w:rPr>
          <w:rFonts w:ascii="Times New Roman" w:hAnsi="Times New Roman" w:cs="Times New Roman"/>
          <w:sz w:val="20"/>
          <w:szCs w:val="20"/>
        </w:rPr>
        <w:t>,6 mL/min</w:t>
      </w:r>
      <w:r w:rsidR="00A15ED0">
        <w:rPr>
          <w:rFonts w:ascii="Times New Roman" w:hAnsi="Times New Roman" w:cs="Times New Roman"/>
          <w:sz w:val="20"/>
          <w:szCs w:val="20"/>
        </w:rPr>
        <w:t xml:space="preserve"> </w:t>
      </w:r>
      <w:r w:rsidR="00A15ED0" w:rsidRPr="00A15ED0">
        <w:rPr>
          <w:rFonts w:ascii="Times New Roman" w:hAnsi="Times New Roman" w:cs="Times New Roman"/>
          <w:sz w:val="20"/>
          <w:szCs w:val="20"/>
        </w:rPr>
        <w:t>a 15,1 mL/min.</w:t>
      </w:r>
      <w:r w:rsidR="007346AC">
        <w:rPr>
          <w:rFonts w:ascii="Times New Roman" w:hAnsi="Times New Roman" w:cs="Times New Roman"/>
          <w:sz w:val="20"/>
          <w:szCs w:val="20"/>
        </w:rPr>
        <w:t xml:space="preserve"> </w:t>
      </w:r>
      <w:bookmarkEnd w:id="3"/>
      <w:r w:rsidR="001B5CD9">
        <w:rPr>
          <w:rFonts w:ascii="Times New Roman" w:hAnsi="Times New Roman" w:cs="Times New Roman"/>
          <w:sz w:val="20"/>
          <w:szCs w:val="20"/>
        </w:rPr>
        <w:t>A temperatura</w:t>
      </w:r>
      <w:r w:rsidR="00815A19">
        <w:rPr>
          <w:rFonts w:ascii="Times New Roman" w:hAnsi="Times New Roman" w:cs="Times New Roman"/>
          <w:sz w:val="20"/>
          <w:szCs w:val="20"/>
        </w:rPr>
        <w:t xml:space="preserve"> média </w:t>
      </w:r>
      <w:r w:rsidR="007346AC">
        <w:rPr>
          <w:rFonts w:ascii="Times New Roman" w:hAnsi="Times New Roman" w:cs="Times New Roman"/>
          <w:sz w:val="20"/>
          <w:szCs w:val="20"/>
        </w:rPr>
        <w:t xml:space="preserve">de reação foi obtida a partir </w:t>
      </w:r>
      <w:r w:rsidR="00FD5566">
        <w:rPr>
          <w:rFonts w:ascii="Times New Roman" w:hAnsi="Times New Roman" w:cs="Times New Roman"/>
          <w:sz w:val="20"/>
          <w:szCs w:val="20"/>
        </w:rPr>
        <w:t>de duas medições da temperatura</w:t>
      </w:r>
      <w:r w:rsidR="00815A19">
        <w:rPr>
          <w:rFonts w:ascii="Times New Roman" w:hAnsi="Times New Roman" w:cs="Times New Roman"/>
          <w:sz w:val="20"/>
          <w:szCs w:val="20"/>
        </w:rPr>
        <w:t xml:space="preserve"> pelo termopar</w:t>
      </w:r>
      <w:r w:rsidR="007346AC">
        <w:rPr>
          <w:rFonts w:ascii="Times New Roman" w:hAnsi="Times New Roman" w:cs="Times New Roman"/>
          <w:sz w:val="20"/>
          <w:szCs w:val="20"/>
        </w:rPr>
        <w:t xml:space="preserve"> acoplado no interior do reato</w:t>
      </w:r>
      <w:r w:rsidR="00FD5566">
        <w:rPr>
          <w:rFonts w:ascii="Times New Roman" w:hAnsi="Times New Roman" w:cs="Times New Roman"/>
          <w:sz w:val="20"/>
          <w:szCs w:val="20"/>
        </w:rPr>
        <w:t>r</w:t>
      </w:r>
      <w:r w:rsidR="007346AC">
        <w:rPr>
          <w:rFonts w:ascii="Times New Roman" w:hAnsi="Times New Roman" w:cs="Times New Roman"/>
          <w:sz w:val="20"/>
          <w:szCs w:val="20"/>
        </w:rPr>
        <w:t xml:space="preserve"> e localizado</w:t>
      </w:r>
      <w:r w:rsidR="001B5CD9">
        <w:rPr>
          <w:rFonts w:ascii="Times New Roman" w:hAnsi="Times New Roman" w:cs="Times New Roman"/>
          <w:sz w:val="20"/>
          <w:szCs w:val="20"/>
        </w:rPr>
        <w:t xml:space="preserve"> </w:t>
      </w:r>
      <w:r w:rsidR="007346AC">
        <w:rPr>
          <w:rFonts w:ascii="Times New Roman" w:hAnsi="Times New Roman" w:cs="Times New Roman"/>
          <w:sz w:val="20"/>
          <w:szCs w:val="20"/>
        </w:rPr>
        <w:t xml:space="preserve">no ponto central da secção de reação, esta variou de 410 </w:t>
      </w:r>
      <w:r w:rsidR="007346AC" w:rsidRPr="007346AC">
        <w:rPr>
          <w:rFonts w:ascii="Times New Roman" w:hAnsi="Times New Roman" w:cs="Times New Roman"/>
          <w:sz w:val="20"/>
          <w:szCs w:val="20"/>
          <w:vertAlign w:val="superscript"/>
        </w:rPr>
        <w:t>o</w:t>
      </w:r>
      <w:r w:rsidR="007346AC">
        <w:rPr>
          <w:rFonts w:ascii="Times New Roman" w:hAnsi="Times New Roman" w:cs="Times New Roman"/>
          <w:sz w:val="20"/>
          <w:szCs w:val="20"/>
        </w:rPr>
        <w:t>C a 5</w:t>
      </w:r>
      <w:r w:rsidR="00FD5566">
        <w:rPr>
          <w:rFonts w:ascii="Times New Roman" w:hAnsi="Times New Roman" w:cs="Times New Roman"/>
          <w:sz w:val="20"/>
          <w:szCs w:val="20"/>
        </w:rPr>
        <w:t>40</w:t>
      </w:r>
      <w:r w:rsidR="007346AC">
        <w:rPr>
          <w:rFonts w:ascii="Times New Roman" w:hAnsi="Times New Roman" w:cs="Times New Roman"/>
          <w:sz w:val="20"/>
          <w:szCs w:val="20"/>
        </w:rPr>
        <w:t xml:space="preserve"> </w:t>
      </w:r>
      <w:r w:rsidR="007346AC" w:rsidRPr="007346AC">
        <w:rPr>
          <w:rFonts w:ascii="Times New Roman" w:hAnsi="Times New Roman" w:cs="Times New Roman"/>
          <w:sz w:val="20"/>
          <w:szCs w:val="20"/>
          <w:vertAlign w:val="superscript"/>
        </w:rPr>
        <w:t>o</w:t>
      </w:r>
      <w:r w:rsidR="007346AC">
        <w:rPr>
          <w:rFonts w:ascii="Times New Roman" w:hAnsi="Times New Roman" w:cs="Times New Roman"/>
          <w:sz w:val="20"/>
          <w:szCs w:val="20"/>
        </w:rPr>
        <w:t>C</w:t>
      </w:r>
      <w:r w:rsidR="00815A19">
        <w:rPr>
          <w:rFonts w:ascii="Times New Roman" w:hAnsi="Times New Roman" w:cs="Times New Roman"/>
          <w:sz w:val="20"/>
          <w:szCs w:val="20"/>
        </w:rPr>
        <w:t xml:space="preserve">. Os </w:t>
      </w:r>
      <w:r w:rsidR="00815A19" w:rsidRPr="00A15ED0">
        <w:rPr>
          <w:rFonts w:ascii="Times New Roman" w:hAnsi="Times New Roman" w:cs="Times New Roman"/>
          <w:sz w:val="20"/>
          <w:szCs w:val="20"/>
        </w:rPr>
        <w:t>ensaios com e sem catalisador foram conduzidos utilizando a mesma metodologia.</w:t>
      </w:r>
      <w:r w:rsidR="00A15ED0" w:rsidRPr="00A15ED0">
        <w:rPr>
          <w:rFonts w:ascii="Times New Roman" w:hAnsi="Times New Roman" w:cs="Times New Roman"/>
          <w:sz w:val="20"/>
          <w:szCs w:val="20"/>
        </w:rPr>
        <w:t xml:space="preserve"> </w:t>
      </w:r>
      <w:r w:rsidR="00FC5048">
        <w:rPr>
          <w:rFonts w:ascii="Times New Roman" w:hAnsi="Times New Roman" w:cs="Times New Roman"/>
          <w:sz w:val="20"/>
          <w:szCs w:val="20"/>
        </w:rPr>
        <w:t xml:space="preserve">O estudo foi </w:t>
      </w:r>
      <w:r w:rsidR="00FC5048" w:rsidRPr="009F65F8">
        <w:rPr>
          <w:rFonts w:ascii="Times New Roman" w:hAnsi="Times New Roman" w:cs="Times New Roman"/>
          <w:sz w:val="20"/>
          <w:szCs w:val="20"/>
        </w:rPr>
        <w:t>realiz</w:t>
      </w:r>
      <w:r w:rsidR="00FC5048">
        <w:rPr>
          <w:rFonts w:ascii="Times New Roman" w:hAnsi="Times New Roman" w:cs="Times New Roman"/>
          <w:sz w:val="20"/>
          <w:szCs w:val="20"/>
        </w:rPr>
        <w:t xml:space="preserve">ado em </w:t>
      </w:r>
      <w:r w:rsidR="00071C45">
        <w:rPr>
          <w:rFonts w:ascii="Times New Roman" w:hAnsi="Times New Roman" w:cs="Times New Roman"/>
          <w:sz w:val="20"/>
          <w:szCs w:val="20"/>
        </w:rPr>
        <w:t>dupli</w:t>
      </w:r>
      <w:r w:rsidR="00FC5048">
        <w:rPr>
          <w:rFonts w:ascii="Times New Roman" w:hAnsi="Times New Roman" w:cs="Times New Roman"/>
          <w:sz w:val="20"/>
          <w:szCs w:val="20"/>
        </w:rPr>
        <w:t xml:space="preserve">cata e totalizou </w:t>
      </w:r>
      <w:r w:rsidR="00DF0FE5">
        <w:rPr>
          <w:rFonts w:ascii="Times New Roman" w:hAnsi="Times New Roman" w:cs="Times New Roman"/>
          <w:sz w:val="20"/>
          <w:szCs w:val="20"/>
        </w:rPr>
        <w:t>3</w:t>
      </w:r>
      <w:r w:rsidR="00FD5566">
        <w:rPr>
          <w:rFonts w:ascii="Times New Roman" w:hAnsi="Times New Roman" w:cs="Times New Roman"/>
          <w:sz w:val="20"/>
          <w:szCs w:val="20"/>
        </w:rPr>
        <w:t>6</w:t>
      </w:r>
      <w:r w:rsidR="00FC5048">
        <w:rPr>
          <w:rFonts w:ascii="Times New Roman" w:hAnsi="Times New Roman" w:cs="Times New Roman"/>
          <w:sz w:val="20"/>
          <w:szCs w:val="20"/>
        </w:rPr>
        <w:t xml:space="preserve"> ensaios de pirólise.</w:t>
      </w:r>
    </w:p>
    <w:p w14:paraId="4A43428E" w14:textId="77777777" w:rsidR="00A02D8F" w:rsidRDefault="00A15ED0" w:rsidP="00E45057">
      <w:pPr>
        <w:autoSpaceDE w:val="0"/>
        <w:autoSpaceDN w:val="0"/>
        <w:adjustRightInd w:val="0"/>
        <w:spacing w:after="0" w:line="240" w:lineRule="auto"/>
        <w:ind w:firstLine="204"/>
        <w:jc w:val="both"/>
        <w:rPr>
          <w:rFonts w:ascii="Times New Roman" w:hAnsi="Times New Roman" w:cs="Times New Roman"/>
          <w:sz w:val="20"/>
          <w:szCs w:val="20"/>
        </w:rPr>
      </w:pPr>
      <w:r w:rsidRPr="00A15ED0">
        <w:rPr>
          <w:rFonts w:ascii="Times New Roman" w:hAnsi="Times New Roman" w:cs="Times New Roman"/>
          <w:sz w:val="20"/>
          <w:szCs w:val="20"/>
        </w:rPr>
        <w:t>O produto obtido foi condensado e todas as amostras coletadas</w:t>
      </w:r>
      <w:r>
        <w:rPr>
          <w:rFonts w:ascii="Times New Roman" w:hAnsi="Times New Roman" w:cs="Times New Roman"/>
          <w:sz w:val="20"/>
          <w:szCs w:val="20"/>
        </w:rPr>
        <w:t xml:space="preserve"> </w:t>
      </w:r>
      <w:r w:rsidRPr="00A15ED0">
        <w:rPr>
          <w:rFonts w:ascii="Times New Roman" w:hAnsi="Times New Roman" w:cs="Times New Roman"/>
          <w:sz w:val="20"/>
          <w:szCs w:val="20"/>
        </w:rPr>
        <w:t>receberam 0,5% de BHT para evitar a decomposição de mirceno a temperatura ambiente.</w:t>
      </w:r>
      <w:r>
        <w:rPr>
          <w:rFonts w:ascii="Times New Roman" w:hAnsi="Times New Roman" w:cs="Times New Roman"/>
          <w:sz w:val="20"/>
          <w:szCs w:val="20"/>
        </w:rPr>
        <w:t xml:space="preserve"> As amostras foram armazenadas a temperatura ambiente em local livre de luz até o momento da análise. </w:t>
      </w:r>
    </w:p>
    <w:p w14:paraId="115D0C84" w14:textId="77777777" w:rsidR="00A02D8F" w:rsidRDefault="00A02D8F" w:rsidP="00E45057">
      <w:pPr>
        <w:autoSpaceDE w:val="0"/>
        <w:autoSpaceDN w:val="0"/>
        <w:adjustRightInd w:val="0"/>
        <w:spacing w:after="0" w:line="240" w:lineRule="auto"/>
        <w:ind w:firstLine="204"/>
        <w:jc w:val="both"/>
        <w:rPr>
          <w:rFonts w:ascii="Times New Roman" w:hAnsi="Times New Roman" w:cs="Times New Roman"/>
          <w:sz w:val="20"/>
          <w:szCs w:val="20"/>
        </w:rPr>
      </w:pPr>
    </w:p>
    <w:p w14:paraId="39B5F002" w14:textId="77777777" w:rsidR="0068639E" w:rsidRPr="0068639E" w:rsidRDefault="0068639E" w:rsidP="0068639E">
      <w:pPr>
        <w:autoSpaceDE w:val="0"/>
        <w:autoSpaceDN w:val="0"/>
        <w:adjustRightInd w:val="0"/>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Modelo </w:t>
      </w:r>
      <w:r w:rsidR="00FD133D">
        <w:rPr>
          <w:rFonts w:ascii="Times New Roman" w:hAnsi="Times New Roman" w:cs="Times New Roman"/>
          <w:i/>
          <w:sz w:val="20"/>
          <w:szCs w:val="20"/>
        </w:rPr>
        <w:t>cinético</w:t>
      </w:r>
    </w:p>
    <w:p w14:paraId="13C53E38" w14:textId="77777777" w:rsidR="00503F09" w:rsidRDefault="00A04F2D" w:rsidP="00E02013">
      <w:pPr>
        <w:pStyle w:val="TAMainText"/>
        <w:spacing w:line="240" w:lineRule="auto"/>
        <w:ind w:firstLine="227"/>
        <w:rPr>
          <w:rFonts w:ascii="Times New Roman" w:hAnsi="Times New Roman"/>
          <w:lang w:val="pt-BR"/>
        </w:rPr>
      </w:pPr>
      <w:r>
        <w:rPr>
          <w:rFonts w:ascii="Times New Roman" w:hAnsi="Times New Roman"/>
          <w:lang w:val="pt-BR"/>
        </w:rPr>
        <w:t>O reator de bancada utilizado neste estudo é do tipo tubular com escoamento laminar e o modelo</w:t>
      </w:r>
      <w:r w:rsidR="002E40D4">
        <w:rPr>
          <w:rFonts w:ascii="Times New Roman" w:hAnsi="Times New Roman"/>
          <w:lang w:val="pt-BR"/>
        </w:rPr>
        <w:t xml:space="preserve"> cinético</w:t>
      </w:r>
      <w:r>
        <w:rPr>
          <w:rFonts w:ascii="Times New Roman" w:hAnsi="Times New Roman"/>
          <w:lang w:val="pt-BR"/>
        </w:rPr>
        <w:t xml:space="preserve"> foi desenvolvido considerando o reator como sendo PFR</w:t>
      </w:r>
      <w:r w:rsidR="002E40D4">
        <w:rPr>
          <w:rFonts w:ascii="Times New Roman" w:hAnsi="Times New Roman"/>
          <w:lang w:val="pt-BR"/>
        </w:rPr>
        <w:t xml:space="preserve"> com a correção </w:t>
      </w:r>
      <w:r w:rsidR="00630DEE">
        <w:rPr>
          <w:rFonts w:ascii="Times New Roman" w:hAnsi="Times New Roman"/>
          <w:lang w:val="pt-BR"/>
        </w:rPr>
        <w:t>do escoamento</w:t>
      </w:r>
      <w:r w:rsidR="002E40D4">
        <w:rPr>
          <w:rFonts w:ascii="Times New Roman" w:hAnsi="Times New Roman"/>
          <w:lang w:val="pt-BR"/>
        </w:rPr>
        <w:t xml:space="preserve"> pela distribuição do tempo de residência</w:t>
      </w:r>
      <w:r w:rsidR="00503F09">
        <w:rPr>
          <w:rFonts w:ascii="Times New Roman" w:hAnsi="Times New Roman"/>
          <w:lang w:val="pt-BR"/>
        </w:rPr>
        <w:t xml:space="preserve"> (DTR)</w:t>
      </w:r>
      <w:r w:rsidR="002E40D4">
        <w:rPr>
          <w:rFonts w:ascii="Times New Roman" w:hAnsi="Times New Roman"/>
          <w:lang w:val="pt-BR"/>
        </w:rPr>
        <w:t xml:space="preserve"> </w:t>
      </w:r>
      <w:r w:rsidR="009E0C0A">
        <w:rPr>
          <w:rFonts w:ascii="Times New Roman" w:hAnsi="Times New Roman"/>
          <w:lang w:val="pt-BR"/>
        </w:rPr>
        <w:t>(</w:t>
      </w:r>
      <w:r w:rsidR="002E40D4">
        <w:rPr>
          <w:rFonts w:ascii="Times New Roman" w:hAnsi="Times New Roman"/>
          <w:lang w:val="pt-BR"/>
        </w:rPr>
        <w:t>10</w:t>
      </w:r>
      <w:r w:rsidR="009E0C0A">
        <w:rPr>
          <w:rFonts w:ascii="Times New Roman" w:hAnsi="Times New Roman"/>
          <w:lang w:val="pt-BR"/>
        </w:rPr>
        <w:t>)</w:t>
      </w:r>
      <w:r>
        <w:rPr>
          <w:rFonts w:ascii="Times New Roman" w:hAnsi="Times New Roman"/>
          <w:lang w:val="pt-BR"/>
        </w:rPr>
        <w:t xml:space="preserve">. </w:t>
      </w:r>
      <w:r w:rsidR="00630DEE">
        <w:rPr>
          <w:rFonts w:ascii="Times New Roman" w:hAnsi="Times New Roman"/>
          <w:lang w:val="pt-BR"/>
        </w:rPr>
        <w:t>A partir da</w:t>
      </w:r>
      <w:r w:rsidR="00503F09">
        <w:rPr>
          <w:rFonts w:ascii="Times New Roman" w:hAnsi="Times New Roman"/>
          <w:lang w:val="pt-BR"/>
        </w:rPr>
        <w:t xml:space="preserve"> DTR foi determinado o tempo de permanência média na unidade de pirólise (</w:t>
      </w:r>
      <w:r w:rsidR="002F2AAD" w:rsidRPr="002F2AAD">
        <w:rPr>
          <w:rFonts w:ascii="Times New Roman" w:hAnsi="Times New Roman"/>
          <w:noProof/>
          <w:position w:val="-12"/>
          <w:lang w:val="pt-BR"/>
        </w:rPr>
        <w:object w:dxaOrig="220" w:dyaOrig="360" w14:anchorId="6E5CD54E">
          <v:shape id="_x0000_i1056" type="#_x0000_t75" alt="" style="width:9pt;height:15.6pt;mso-width-percent:0;mso-height-percent:0;mso-width-percent:0;mso-height-percent:0" o:ole="">
            <v:imagedata r:id="rId17" o:title=""/>
          </v:shape>
          <o:OLEObject Type="Embed" ProgID="Equation.DSMT4" ShapeID="_x0000_i1056" DrawAspect="Content" ObjectID="_1748618887" r:id="rId18"/>
        </w:object>
      </w:r>
      <w:r w:rsidR="00503F09" w:rsidRPr="00503F09">
        <w:rPr>
          <w:rFonts w:ascii="Times New Roman" w:hAnsi="Times New Roman"/>
          <w:lang w:val="pt-BR"/>
        </w:rPr>
        <w:t>)</w:t>
      </w:r>
      <w:r w:rsidR="00B950B5">
        <w:rPr>
          <w:rFonts w:ascii="Times New Roman" w:hAnsi="Times New Roman"/>
          <w:lang w:val="pt-BR"/>
        </w:rPr>
        <w:t xml:space="preserve"> e o fator de correção (</w:t>
      </w:r>
      <w:r w:rsidR="002F2AAD" w:rsidRPr="00000B8E">
        <w:rPr>
          <w:noProof/>
          <w:position w:val="-10"/>
        </w:rPr>
        <w:object w:dxaOrig="300" w:dyaOrig="320" w14:anchorId="7A6FF104">
          <v:shape id="_x0000_i1055" type="#_x0000_t75" alt="" style="width:15pt;height:15.6pt;mso-width-percent:0;mso-height-percent:0;mso-width-percent:0;mso-height-percent:0" o:ole="">
            <v:imagedata r:id="rId19" o:title=""/>
          </v:shape>
          <o:OLEObject Type="Embed" ProgID="Equation.DSMT4" ShapeID="_x0000_i1055" DrawAspect="Content" ObjectID="_1748618888" r:id="rId20"/>
        </w:object>
      </w:r>
      <w:r w:rsidR="00B950B5">
        <w:rPr>
          <w:rFonts w:ascii="Times New Roman" w:hAnsi="Times New Roman"/>
          <w:lang w:val="pt-BR"/>
        </w:rPr>
        <w:t>) do escoamento. C</w:t>
      </w:r>
      <w:r w:rsidR="00503F09" w:rsidRPr="00503F09">
        <w:rPr>
          <w:rFonts w:ascii="Times New Roman" w:hAnsi="Times New Roman"/>
          <w:lang w:val="pt-BR"/>
        </w:rPr>
        <w:t>om as</w:t>
      </w:r>
      <w:r w:rsidR="00503F09">
        <w:rPr>
          <w:rFonts w:ascii="Times New Roman" w:hAnsi="Times New Roman"/>
          <w:lang w:val="pt-BR"/>
        </w:rPr>
        <w:t xml:space="preserve"> dimensões do </w:t>
      </w:r>
      <w:r w:rsidR="00000B8E">
        <w:rPr>
          <w:rFonts w:ascii="Times New Roman" w:hAnsi="Times New Roman"/>
          <w:lang w:val="pt-BR"/>
        </w:rPr>
        <w:t>tubo nas secções de aquecimento de reação</w:t>
      </w:r>
      <w:r w:rsidR="00503F09">
        <w:rPr>
          <w:rFonts w:ascii="Times New Roman" w:hAnsi="Times New Roman"/>
          <w:lang w:val="pt-BR"/>
        </w:rPr>
        <w:t xml:space="preserve"> e </w:t>
      </w:r>
      <w:r w:rsidR="00000B8E">
        <w:rPr>
          <w:rFonts w:ascii="Times New Roman" w:hAnsi="Times New Roman"/>
          <w:lang w:val="pt-BR"/>
        </w:rPr>
        <w:t xml:space="preserve">a </w:t>
      </w:r>
      <w:r w:rsidR="00503F09">
        <w:rPr>
          <w:rFonts w:ascii="Times New Roman" w:hAnsi="Times New Roman"/>
          <w:lang w:val="pt-BR"/>
        </w:rPr>
        <w:t xml:space="preserve">vazão de </w:t>
      </w:r>
      <w:r w:rsidR="00FB5230" w:rsidRPr="00FB5230">
        <w:rPr>
          <w:rFonts w:ascii="Symbol" w:hAnsi="Symbol"/>
          <w:bCs/>
          <w:i/>
          <w:iCs/>
          <w:lang w:val="pt-BR"/>
        </w:rPr>
        <w:t></w:t>
      </w:r>
      <w:r w:rsidR="00000B8E" w:rsidRPr="00A15ED0">
        <w:rPr>
          <w:rFonts w:ascii="Times New Roman" w:hAnsi="Times New Roman"/>
          <w:lang w:val="pt-BR"/>
        </w:rPr>
        <w:t>-pineno</w:t>
      </w:r>
      <w:r w:rsidR="00503F09">
        <w:rPr>
          <w:rFonts w:ascii="Times New Roman" w:hAnsi="Times New Roman"/>
          <w:lang w:val="pt-BR"/>
        </w:rPr>
        <w:t xml:space="preserve"> foi calculado</w:t>
      </w:r>
      <w:r w:rsidR="00503F09" w:rsidRPr="00503F09">
        <w:rPr>
          <w:rFonts w:ascii="Times New Roman" w:hAnsi="Times New Roman"/>
          <w:lang w:val="pt-BR"/>
        </w:rPr>
        <w:t xml:space="preserve"> </w:t>
      </w:r>
      <w:r w:rsidR="00503F09">
        <w:rPr>
          <w:rFonts w:ascii="Times New Roman" w:hAnsi="Times New Roman"/>
          <w:lang w:val="pt-BR"/>
        </w:rPr>
        <w:t>o tempo espacial da unidade de pirólise (</w:t>
      </w:r>
      <w:r w:rsidR="002F2AAD" w:rsidRPr="002F2AAD">
        <w:rPr>
          <w:rFonts w:ascii="Times New Roman" w:hAnsi="Times New Roman"/>
          <w:noProof/>
          <w:position w:val="-16"/>
          <w:lang w:val="pt-BR"/>
        </w:rPr>
        <w:object w:dxaOrig="800" w:dyaOrig="400" w14:anchorId="337E2502">
          <v:shape id="_x0000_i1054" type="#_x0000_t75" alt="" style="width:35.4pt;height:16.8pt;mso-width-percent:0;mso-height-percent:0;mso-width-percent:0;mso-height-percent:0" o:ole="">
            <v:imagedata r:id="rId21" o:title=""/>
          </v:shape>
          <o:OLEObject Type="Embed" ProgID="Equation.DSMT4" ShapeID="_x0000_i1054" DrawAspect="Content" ObjectID="_1748618889" r:id="rId22"/>
        </w:object>
      </w:r>
      <w:r w:rsidR="00503F09">
        <w:rPr>
          <w:rFonts w:ascii="Times New Roman" w:hAnsi="Times New Roman"/>
          <w:lang w:val="pt-BR"/>
        </w:rPr>
        <w:t>)</w:t>
      </w:r>
      <w:r w:rsidR="00000B8E">
        <w:rPr>
          <w:rFonts w:ascii="Times New Roman" w:hAnsi="Times New Roman"/>
          <w:lang w:val="pt-BR"/>
        </w:rPr>
        <w:t>.</w:t>
      </w:r>
      <w:r w:rsidR="00503F09" w:rsidRPr="00503F09">
        <w:rPr>
          <w:rFonts w:ascii="Times New Roman" w:hAnsi="Times New Roman"/>
          <w:lang w:val="pt-BR"/>
        </w:rPr>
        <w:t xml:space="preserve"> </w:t>
      </w:r>
      <w:r w:rsidR="00000B8E">
        <w:rPr>
          <w:rFonts w:ascii="Times New Roman" w:hAnsi="Times New Roman"/>
          <w:lang w:val="pt-BR"/>
        </w:rPr>
        <w:t xml:space="preserve">Para se obter o tempo espacial somente da seção de reação </w:t>
      </w:r>
      <w:r w:rsidR="00B950B5">
        <w:rPr>
          <w:rFonts w:ascii="Times New Roman" w:hAnsi="Times New Roman"/>
          <w:lang w:val="pt-BR"/>
        </w:rPr>
        <w:t>(</w:t>
      </w:r>
      <w:r w:rsidR="002F2AAD" w:rsidRPr="002F2AAD">
        <w:rPr>
          <w:rFonts w:ascii="Times New Roman" w:hAnsi="Times New Roman"/>
          <w:noProof/>
          <w:position w:val="-6"/>
          <w:lang w:val="pt-BR"/>
        </w:rPr>
        <w:object w:dxaOrig="200" w:dyaOrig="220" w14:anchorId="095E8FA0">
          <v:shape id="_x0000_i1053" type="#_x0000_t75" alt="" style="width:9pt;height:9pt;mso-width-percent:0;mso-height-percent:0;mso-width-percent:0;mso-height-percent:0" o:ole="">
            <v:imagedata r:id="rId23" o:title=""/>
          </v:shape>
          <o:OLEObject Type="Embed" ProgID="Equation.DSMT4" ShapeID="_x0000_i1053" DrawAspect="Content" ObjectID="_1748618890" r:id="rId24"/>
        </w:object>
      </w:r>
      <w:r w:rsidR="00B950B5">
        <w:rPr>
          <w:rFonts w:ascii="Times New Roman" w:hAnsi="Times New Roman"/>
          <w:lang w:val="pt-BR"/>
        </w:rPr>
        <w:t xml:space="preserve">) </w:t>
      </w:r>
      <w:r w:rsidR="00000B8E">
        <w:rPr>
          <w:rFonts w:ascii="Times New Roman" w:hAnsi="Times New Roman"/>
          <w:lang w:val="pt-BR"/>
        </w:rPr>
        <w:t xml:space="preserve">foi utilizada </w:t>
      </w:r>
      <w:r w:rsidR="00503F09">
        <w:rPr>
          <w:rFonts w:ascii="Times New Roman" w:hAnsi="Times New Roman"/>
          <w:lang w:val="pt-BR"/>
        </w:rPr>
        <w:t>a Equação 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679"/>
      </w:tblGrid>
      <w:tr w:rsidR="00000B8E" w14:paraId="5A4A6288" w14:textId="77777777" w:rsidTr="1A2EB2A5">
        <w:tc>
          <w:tcPr>
            <w:tcW w:w="4219" w:type="dxa"/>
            <w:vAlign w:val="center"/>
          </w:tcPr>
          <w:p w14:paraId="10F09462" w14:textId="77777777" w:rsidR="00000B8E" w:rsidRDefault="002F2AAD" w:rsidP="0025357E">
            <w:pPr>
              <w:pStyle w:val="TAMainText"/>
              <w:spacing w:line="240" w:lineRule="auto"/>
              <w:ind w:firstLine="0"/>
              <w:jc w:val="center"/>
              <w:rPr>
                <w:rFonts w:ascii="Times New Roman" w:hAnsi="Times New Roman"/>
                <w:lang w:val="pt-BR"/>
              </w:rPr>
            </w:pPr>
            <w:r w:rsidRPr="00000B8E">
              <w:rPr>
                <w:noProof/>
                <w:position w:val="-14"/>
              </w:rPr>
              <w:object w:dxaOrig="1060" w:dyaOrig="400" w14:anchorId="0BB8B50F">
                <v:shape id="_x0000_i1052" type="#_x0000_t75" alt="" style="width:51pt;height:19.2pt;mso-width-percent:0;mso-height-percent:0;mso-width-percent:0;mso-height-percent:0" o:ole="">
                  <v:imagedata r:id="rId25" o:title=""/>
                </v:shape>
                <o:OLEObject Type="Embed" ProgID="Equation.DSMT4" ShapeID="_x0000_i1052" DrawAspect="Content" ObjectID="_1748618891" r:id="rId26"/>
              </w:object>
            </w:r>
          </w:p>
        </w:tc>
        <w:tc>
          <w:tcPr>
            <w:tcW w:w="689" w:type="dxa"/>
            <w:vAlign w:val="center"/>
          </w:tcPr>
          <w:p w14:paraId="78792341" w14:textId="77777777" w:rsidR="00000B8E" w:rsidRPr="00000B8E" w:rsidRDefault="00000B8E" w:rsidP="00DB5CB6">
            <w:pPr>
              <w:pStyle w:val="TAMainText"/>
              <w:spacing w:line="240" w:lineRule="auto"/>
              <w:ind w:firstLine="0"/>
              <w:jc w:val="right"/>
              <w:rPr>
                <w:position w:val="-24"/>
              </w:rPr>
            </w:pPr>
            <w:r w:rsidRPr="00000B8E">
              <w:rPr>
                <w:position w:val="-24"/>
              </w:rPr>
              <w:t>(1)</w:t>
            </w:r>
          </w:p>
        </w:tc>
      </w:tr>
    </w:tbl>
    <w:p w14:paraId="72B2E73A" w14:textId="77777777" w:rsidR="00503F09" w:rsidRDefault="00503F09" w:rsidP="00503F09">
      <w:pPr>
        <w:pStyle w:val="TAMainText"/>
        <w:ind w:firstLine="0"/>
        <w:jc w:val="left"/>
        <w:rPr>
          <w:rFonts w:ascii="Times New Roman" w:hAnsi="Times New Roman"/>
          <w:lang w:val="pt-BR"/>
        </w:rPr>
      </w:pPr>
      <w:r>
        <w:rPr>
          <w:rFonts w:ascii="Times New Roman" w:hAnsi="Times New Roman"/>
          <w:lang w:val="pt-BR"/>
        </w:rPr>
        <w:t>Na qual:</w:t>
      </w:r>
    </w:p>
    <w:p w14:paraId="545D8485" w14:textId="77777777" w:rsidR="00503F09" w:rsidRDefault="002F2AAD" w:rsidP="00503F09">
      <w:pPr>
        <w:pStyle w:val="TAMainText"/>
        <w:ind w:firstLine="0"/>
        <w:jc w:val="left"/>
        <w:rPr>
          <w:lang w:val="pt-BR"/>
        </w:rPr>
      </w:pPr>
      <w:r w:rsidRPr="00000B8E">
        <w:rPr>
          <w:noProof/>
          <w:position w:val="-10"/>
        </w:rPr>
        <w:object w:dxaOrig="300" w:dyaOrig="320" w14:anchorId="4806C250">
          <v:shape id="_x0000_i1051" type="#_x0000_t75" alt="" style="width:15pt;height:15.6pt;mso-width-percent:0;mso-height-percent:0;mso-width-percent:0;mso-height-percent:0" o:ole="">
            <v:imagedata r:id="rId19" o:title=""/>
          </v:shape>
          <o:OLEObject Type="Embed" ProgID="Equation.DSMT4" ShapeID="_x0000_i1051" DrawAspect="Content" ObjectID="_1748618892" r:id="rId27"/>
        </w:object>
      </w:r>
      <w:r w:rsidR="00503F09" w:rsidRPr="00704144">
        <w:rPr>
          <w:lang w:val="pt-BR"/>
        </w:rPr>
        <w:t xml:space="preserve">= </w:t>
      </w:r>
      <w:r w:rsidR="00000B8E">
        <w:rPr>
          <w:lang w:val="pt-BR"/>
        </w:rPr>
        <w:t>fator de correção obtido com a DTR.</w:t>
      </w:r>
    </w:p>
    <w:p w14:paraId="22B1C440" w14:textId="77777777" w:rsidR="00000B8E" w:rsidRDefault="00000B8E" w:rsidP="00E02013">
      <w:pPr>
        <w:pStyle w:val="TAMainText"/>
        <w:spacing w:line="240" w:lineRule="auto"/>
        <w:ind w:firstLine="227"/>
        <w:rPr>
          <w:rFonts w:ascii="Times New Roman" w:hAnsi="Times New Roman"/>
          <w:lang w:val="pt-BR"/>
        </w:rPr>
      </w:pPr>
    </w:p>
    <w:p w14:paraId="18C28E3D" w14:textId="77777777" w:rsidR="00DB5CB6" w:rsidRDefault="004B5F3F" w:rsidP="00DB5CB6">
      <w:pPr>
        <w:pStyle w:val="TAMainText"/>
        <w:spacing w:line="240" w:lineRule="auto"/>
        <w:ind w:firstLine="227"/>
        <w:rPr>
          <w:lang w:val="pt-BR"/>
        </w:rPr>
      </w:pPr>
      <w:r>
        <w:rPr>
          <w:rFonts w:ascii="Times New Roman" w:hAnsi="Times New Roman"/>
          <w:lang w:val="pt-BR"/>
        </w:rPr>
        <w:t>Inicialmente foi calculada a vazão molar da matéria-prima</w:t>
      </w:r>
      <w:r w:rsidR="00DB5CB6">
        <w:rPr>
          <w:rFonts w:ascii="Times New Roman" w:hAnsi="Times New Roman"/>
          <w:lang w:val="pt-BR"/>
        </w:rPr>
        <w:t xml:space="preserve"> (</w:t>
      </w:r>
      <w:r w:rsidR="002F2AAD" w:rsidRPr="008D3913">
        <w:rPr>
          <w:noProof/>
          <w:position w:val="-10"/>
        </w:rPr>
        <w:object w:dxaOrig="360" w:dyaOrig="340" w14:anchorId="465943F0">
          <v:shape id="_x0000_i1050" type="#_x0000_t75" alt="" style="width:18pt;height:16.8pt;mso-width-percent:0;mso-height-percent:0;mso-width-percent:0;mso-height-percent:0" o:ole="">
            <v:imagedata r:id="rId28" o:title=""/>
          </v:shape>
          <o:OLEObject Type="Embed" ProgID="Equation.DSMT4" ShapeID="_x0000_i1050" DrawAspect="Content" ObjectID="_1748618893" r:id="rId29"/>
        </w:object>
      </w:r>
      <w:r w:rsidR="00DB5CB6" w:rsidRPr="00B2287E">
        <w:rPr>
          <w:lang w:val="pt-BR"/>
        </w:rPr>
        <w:t>)</w:t>
      </w:r>
      <w:r>
        <w:rPr>
          <w:rFonts w:ascii="Times New Roman" w:hAnsi="Times New Roman"/>
          <w:lang w:val="pt-BR"/>
        </w:rPr>
        <w:t xml:space="preserve"> em fase líquida a partir da vazão volumétrica</w:t>
      </w:r>
      <w:r w:rsidR="00273C2D">
        <w:rPr>
          <w:rFonts w:ascii="Times New Roman" w:hAnsi="Times New Roman"/>
          <w:lang w:val="pt-BR"/>
        </w:rPr>
        <w:t xml:space="preserve"> e </w:t>
      </w:r>
      <w:r w:rsidR="00DB5CB6">
        <w:rPr>
          <w:lang w:val="pt-BR"/>
        </w:rPr>
        <w:t>da massa específica (</w:t>
      </w:r>
      <w:r w:rsidR="002F2AAD" w:rsidRPr="008554AE">
        <w:rPr>
          <w:noProof/>
          <w:position w:val="-10"/>
        </w:rPr>
        <w:object w:dxaOrig="320" w:dyaOrig="340" w14:anchorId="699035F6">
          <v:shape id="_x0000_i1049" type="#_x0000_t75" alt="" style="width:15.6pt;height:16.8pt;mso-width-percent:0;mso-height-percent:0;mso-width-percent:0;mso-height-percent:0" o:ole="">
            <v:imagedata r:id="rId30" o:title=""/>
          </v:shape>
          <o:OLEObject Type="Embed" ProgID="Equation.DSMT4" ShapeID="_x0000_i1049" DrawAspect="Content" ObjectID="_1748618894" r:id="rId31"/>
        </w:object>
      </w:r>
      <w:r w:rsidR="00DB5CB6">
        <w:rPr>
          <w:lang w:val="pt-BR"/>
        </w:rPr>
        <w:t>) e da massa molecular (</w:t>
      </w:r>
      <w:r w:rsidR="002F2AAD" w:rsidRPr="008D3913">
        <w:rPr>
          <w:noProof/>
          <w:position w:val="-10"/>
        </w:rPr>
        <w:object w:dxaOrig="660" w:dyaOrig="340" w14:anchorId="5C730E29">
          <v:shape id="_x0000_i1048" type="#_x0000_t75" alt="" style="width:29.4pt;height:15.6pt;mso-width-percent:0;mso-height-percent:0;mso-width-percent:0;mso-height-percent:0" o:ole="">
            <v:imagedata r:id="rId32" o:title=""/>
          </v:shape>
          <o:OLEObject Type="Embed" ProgID="Equation.DSMT4" ShapeID="_x0000_i1048" DrawAspect="Content" ObjectID="_1748618895" r:id="rId33"/>
        </w:object>
      </w:r>
      <w:r w:rsidR="00DB5CB6">
        <w:rPr>
          <w:lang w:val="pt-BR"/>
        </w:rPr>
        <w:t>) da mesma conforme Equação 2:</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677"/>
      </w:tblGrid>
      <w:tr w:rsidR="00DB5CB6" w14:paraId="1AFDDF35" w14:textId="77777777" w:rsidTr="00FB5230">
        <w:tc>
          <w:tcPr>
            <w:tcW w:w="4091" w:type="dxa"/>
            <w:vAlign w:val="center"/>
          </w:tcPr>
          <w:p w14:paraId="7AD77C78" w14:textId="77777777" w:rsidR="00DB5CB6" w:rsidRDefault="002F2AAD" w:rsidP="0025357E">
            <w:pPr>
              <w:pStyle w:val="TAMainText"/>
              <w:spacing w:line="240" w:lineRule="auto"/>
              <w:ind w:firstLine="0"/>
              <w:jc w:val="center"/>
              <w:rPr>
                <w:rFonts w:ascii="Times New Roman" w:hAnsi="Times New Roman"/>
                <w:lang w:val="pt-BR"/>
              </w:rPr>
            </w:pPr>
            <w:r w:rsidRPr="008D3913">
              <w:rPr>
                <w:rFonts w:ascii="Calibri Light" w:hAnsi="Calibri Light" w:cs="Calibri Light"/>
                <w:noProof/>
                <w:position w:val="-30"/>
              </w:rPr>
              <w:object w:dxaOrig="1680" w:dyaOrig="680" w14:anchorId="44F31509">
                <v:shape id="_x0000_i1047" type="#_x0000_t75" alt="" style="width:76.8pt;height:32.4pt;mso-width-percent:0;mso-height-percent:0;mso-width-percent:0;mso-height-percent:0" o:ole="">
                  <v:imagedata r:id="rId34" o:title=""/>
                </v:shape>
                <o:OLEObject Type="Embed" ProgID="Equation.DSMT4" ShapeID="_x0000_i1047" DrawAspect="Content" ObjectID="_1748618896" r:id="rId35"/>
              </w:object>
            </w:r>
          </w:p>
        </w:tc>
        <w:tc>
          <w:tcPr>
            <w:tcW w:w="677" w:type="dxa"/>
            <w:vAlign w:val="center"/>
          </w:tcPr>
          <w:p w14:paraId="37CEFE48" w14:textId="77777777" w:rsidR="00DB5CB6" w:rsidRPr="00000B8E" w:rsidRDefault="00DB5CB6" w:rsidP="00DB5CB6">
            <w:pPr>
              <w:pStyle w:val="TAMainText"/>
              <w:spacing w:line="240" w:lineRule="auto"/>
              <w:ind w:firstLine="0"/>
              <w:jc w:val="right"/>
              <w:rPr>
                <w:position w:val="-24"/>
              </w:rPr>
            </w:pPr>
            <w:r w:rsidRPr="00000B8E">
              <w:rPr>
                <w:position w:val="-24"/>
              </w:rPr>
              <w:t>(</w:t>
            </w:r>
            <w:r>
              <w:rPr>
                <w:position w:val="-24"/>
              </w:rPr>
              <w:t>2</w:t>
            </w:r>
            <w:r w:rsidRPr="00000B8E">
              <w:rPr>
                <w:position w:val="-24"/>
              </w:rPr>
              <w:t>)</w:t>
            </w:r>
          </w:p>
        </w:tc>
      </w:tr>
    </w:tbl>
    <w:p w14:paraId="1868BFEF" w14:textId="77777777" w:rsidR="00DB5CB6" w:rsidRPr="00DB5CB6" w:rsidRDefault="00DB5CB6" w:rsidP="00DB5CB6">
      <w:pPr>
        <w:pStyle w:val="TAMainText"/>
        <w:spacing w:line="240" w:lineRule="auto"/>
        <w:ind w:firstLine="227"/>
        <w:rPr>
          <w:rFonts w:ascii="Times New Roman" w:hAnsi="Times New Roman"/>
          <w:lang w:val="pt-BR"/>
        </w:rPr>
      </w:pPr>
      <w:r>
        <w:rPr>
          <w:rFonts w:ascii="Times New Roman" w:hAnsi="Times New Roman"/>
          <w:lang w:val="pt-BR"/>
        </w:rPr>
        <w:t>Como a</w:t>
      </w:r>
      <w:r w:rsidR="00936E45">
        <w:rPr>
          <w:rFonts w:ascii="Times New Roman" w:hAnsi="Times New Roman"/>
          <w:lang w:val="pt-BR"/>
        </w:rPr>
        <w:t>s condições do reator,</w:t>
      </w:r>
      <w:r>
        <w:rPr>
          <w:rFonts w:ascii="Times New Roman" w:hAnsi="Times New Roman"/>
          <w:lang w:val="pt-BR"/>
        </w:rPr>
        <w:t xml:space="preserve"> pressão</w:t>
      </w:r>
      <w:r w:rsidR="00936E45">
        <w:rPr>
          <w:rFonts w:ascii="Times New Roman" w:hAnsi="Times New Roman"/>
          <w:lang w:val="pt-BR"/>
        </w:rPr>
        <w:t xml:space="preserve"> (</w:t>
      </w:r>
      <w:r w:rsidR="002F2AAD" w:rsidRPr="002F2AAD">
        <w:rPr>
          <w:rFonts w:ascii="Times New Roman" w:hAnsi="Times New Roman"/>
          <w:noProof/>
          <w:position w:val="-12"/>
          <w:lang w:val="pt-BR"/>
        </w:rPr>
        <w:object w:dxaOrig="380" w:dyaOrig="360" w14:anchorId="3C7AC174">
          <v:shape id="_x0000_i1046" type="#_x0000_t75" alt="" style="width:16.8pt;height:16.8pt;mso-width-percent:0;mso-height-percent:0;mso-width-percent:0;mso-height-percent:0" o:ole="">
            <v:imagedata r:id="rId36" o:title=""/>
          </v:shape>
          <o:OLEObject Type="Embed" ProgID="Equation.DSMT4" ShapeID="_x0000_i1046" DrawAspect="Content" ObjectID="_1748618897" r:id="rId37"/>
        </w:object>
      </w:r>
      <w:r w:rsidR="00936E45">
        <w:rPr>
          <w:rFonts w:ascii="Times New Roman" w:hAnsi="Times New Roman"/>
          <w:lang w:val="pt-BR"/>
        </w:rPr>
        <w:t xml:space="preserve">) </w:t>
      </w:r>
      <w:r>
        <w:rPr>
          <w:rFonts w:ascii="Times New Roman" w:hAnsi="Times New Roman"/>
          <w:lang w:val="pt-BR"/>
        </w:rPr>
        <w:t>baixa (aprox. 1 atm) e temperatura</w:t>
      </w:r>
      <w:r w:rsidR="00936E45">
        <w:rPr>
          <w:rFonts w:ascii="Times New Roman" w:hAnsi="Times New Roman"/>
          <w:lang w:val="pt-BR"/>
        </w:rPr>
        <w:t xml:space="preserve"> (</w:t>
      </w:r>
      <w:r w:rsidR="002F2AAD" w:rsidRPr="002F2AAD">
        <w:rPr>
          <w:rFonts w:ascii="Times New Roman" w:hAnsi="Times New Roman"/>
          <w:noProof/>
          <w:position w:val="-12"/>
          <w:lang w:val="pt-BR"/>
        </w:rPr>
        <w:object w:dxaOrig="279" w:dyaOrig="360" w14:anchorId="4C5C480C">
          <v:shape id="_x0000_i1045" type="#_x0000_t75" alt="" style="width:12pt;height:16.8pt;mso-width-percent:0;mso-height-percent:0;mso-width-percent:0;mso-height-percent:0" o:ole="">
            <v:imagedata r:id="rId38" o:title=""/>
          </v:shape>
          <o:OLEObject Type="Embed" ProgID="Equation.DSMT4" ShapeID="_x0000_i1045" DrawAspect="Content" ObjectID="_1748618898" r:id="rId39"/>
        </w:object>
      </w:r>
      <w:r w:rsidR="00936E45">
        <w:rPr>
          <w:rFonts w:ascii="Times New Roman" w:hAnsi="Times New Roman"/>
          <w:lang w:val="pt-BR"/>
        </w:rPr>
        <w:t>)</w:t>
      </w:r>
      <w:r>
        <w:rPr>
          <w:rFonts w:ascii="Times New Roman" w:hAnsi="Times New Roman"/>
          <w:lang w:val="pt-BR"/>
        </w:rPr>
        <w:t xml:space="preserve"> elevada</w:t>
      </w:r>
      <w:r w:rsidR="00936E45">
        <w:rPr>
          <w:rFonts w:ascii="Times New Roman" w:hAnsi="Times New Roman"/>
          <w:lang w:val="pt-BR"/>
        </w:rPr>
        <w:t xml:space="preserve"> </w:t>
      </w:r>
      <w:r>
        <w:rPr>
          <w:rFonts w:ascii="Times New Roman" w:hAnsi="Times New Roman"/>
          <w:lang w:val="pt-BR"/>
        </w:rPr>
        <w:t>(acima de 450</w:t>
      </w:r>
      <w:r w:rsidRPr="00DB5CB6">
        <w:rPr>
          <w:rFonts w:ascii="Times New Roman" w:hAnsi="Times New Roman"/>
          <w:vertAlign w:val="superscript"/>
          <w:lang w:val="pt-BR"/>
        </w:rPr>
        <w:t>o</w:t>
      </w:r>
      <w:r>
        <w:rPr>
          <w:rFonts w:ascii="Times New Roman" w:hAnsi="Times New Roman"/>
          <w:lang w:val="pt-BR"/>
        </w:rPr>
        <w:t xml:space="preserve">C), </w:t>
      </w:r>
      <w:r w:rsidRPr="00DB5CB6">
        <w:rPr>
          <w:rFonts w:ascii="Times New Roman" w:hAnsi="Times New Roman"/>
          <w:lang w:val="pt-BR"/>
        </w:rPr>
        <w:t>a concentração</w:t>
      </w:r>
      <w:r w:rsidR="00936E45">
        <w:rPr>
          <w:rFonts w:ascii="Times New Roman" w:hAnsi="Times New Roman"/>
          <w:lang w:val="pt-BR"/>
        </w:rPr>
        <w:t xml:space="preserve"> d</w:t>
      </w:r>
      <w:r w:rsidR="00936E45" w:rsidRPr="00DB5CB6">
        <w:rPr>
          <w:rFonts w:ascii="Times New Roman" w:hAnsi="Times New Roman"/>
          <w:lang w:val="pt-BR"/>
        </w:rPr>
        <w:t>o vapor</w:t>
      </w:r>
      <w:r w:rsidR="00936E45">
        <w:rPr>
          <w:rFonts w:ascii="Times New Roman" w:hAnsi="Times New Roman"/>
          <w:lang w:val="pt-BR"/>
        </w:rPr>
        <w:t xml:space="preserve"> (</w:t>
      </w:r>
      <w:r w:rsidR="00FB5230">
        <w:rPr>
          <w:rFonts w:ascii="Symbol" w:hAnsi="Symbol"/>
          <w:i/>
          <w:lang w:val="pt-BR"/>
        </w:rPr>
        <w:t></w:t>
      </w:r>
      <w:r w:rsidR="00936E45">
        <w:rPr>
          <w:rFonts w:ascii="Times New Roman" w:hAnsi="Times New Roman"/>
          <w:lang w:val="pt-BR"/>
        </w:rPr>
        <w:t>-pineno)</w:t>
      </w:r>
      <w:r w:rsidRPr="00DB5CB6">
        <w:rPr>
          <w:rFonts w:ascii="Times New Roman" w:hAnsi="Times New Roman"/>
          <w:lang w:val="pt-BR"/>
        </w:rPr>
        <w:t xml:space="preserve"> na entrada da secção de reação (</w:t>
      </w:r>
      <w:r w:rsidR="002F2AAD" w:rsidRPr="002F2AAD">
        <w:rPr>
          <w:rFonts w:ascii="Times New Roman" w:hAnsi="Times New Roman"/>
          <w:noProof/>
          <w:position w:val="-12"/>
          <w:lang w:val="pt-BR"/>
        </w:rPr>
        <w:object w:dxaOrig="400" w:dyaOrig="360" w14:anchorId="0B44C416">
          <v:shape id="_x0000_i1044" type="#_x0000_t75" alt="" style="width:19.2pt;height:17.4pt;mso-width-percent:0;mso-height-percent:0;mso-width-percent:0;mso-height-percent:0" o:ole="">
            <v:imagedata r:id="rId40" o:title=""/>
          </v:shape>
          <o:OLEObject Type="Embed" ProgID="Equation.DSMT4" ShapeID="_x0000_i1044" DrawAspect="Content" ObjectID="_1748618899" r:id="rId41"/>
        </w:object>
      </w:r>
      <w:r w:rsidRPr="00DB5CB6">
        <w:rPr>
          <w:rFonts w:ascii="Times New Roman" w:hAnsi="Times New Roman"/>
          <w:lang w:val="pt-BR"/>
        </w:rPr>
        <w:t>) pode ser obtid</w:t>
      </w:r>
      <w:r w:rsidR="00F84B9F">
        <w:rPr>
          <w:rFonts w:ascii="Times New Roman" w:hAnsi="Times New Roman"/>
          <w:lang w:val="pt-BR"/>
        </w:rPr>
        <w:t>a</w:t>
      </w:r>
      <w:r w:rsidRPr="00DB5CB6">
        <w:rPr>
          <w:rFonts w:ascii="Times New Roman" w:hAnsi="Times New Roman"/>
          <w:lang w:val="pt-BR"/>
        </w:rPr>
        <w:t xml:space="preserve"> pela Equação 3.</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679"/>
      </w:tblGrid>
      <w:tr w:rsidR="00DB5CB6" w14:paraId="3FACCBBF" w14:textId="77777777" w:rsidTr="1A2EB2A5">
        <w:tc>
          <w:tcPr>
            <w:tcW w:w="4219" w:type="dxa"/>
            <w:vAlign w:val="center"/>
          </w:tcPr>
          <w:p w14:paraId="0597F8D6" w14:textId="77777777" w:rsidR="00DB5CB6" w:rsidRDefault="002F2AAD" w:rsidP="0025357E">
            <w:pPr>
              <w:pStyle w:val="TAMainText"/>
              <w:spacing w:line="240" w:lineRule="auto"/>
              <w:ind w:firstLine="0"/>
              <w:jc w:val="center"/>
              <w:rPr>
                <w:rFonts w:ascii="Times New Roman" w:hAnsi="Times New Roman"/>
                <w:lang w:val="pt-BR"/>
              </w:rPr>
            </w:pPr>
            <w:r w:rsidRPr="00F2595A">
              <w:rPr>
                <w:rFonts w:ascii="Calibri Light" w:hAnsi="Calibri Light" w:cs="Calibri Light"/>
                <w:noProof/>
                <w:position w:val="-30"/>
              </w:rPr>
              <w:object w:dxaOrig="1080" w:dyaOrig="680" w14:anchorId="68233DA8">
                <v:shape id="_x0000_i1043" type="#_x0000_t75" alt="" style="width:49.8pt;height:31.2pt;mso-width-percent:0;mso-height-percent:0;mso-width-percent:0;mso-height-percent:0" o:ole="">
                  <v:imagedata r:id="rId42" o:title=""/>
                </v:shape>
                <o:OLEObject Type="Embed" ProgID="Equation.DSMT4" ShapeID="_x0000_i1043" DrawAspect="Content" ObjectID="_1748618900" r:id="rId43"/>
              </w:object>
            </w:r>
          </w:p>
        </w:tc>
        <w:tc>
          <w:tcPr>
            <w:tcW w:w="689" w:type="dxa"/>
            <w:vAlign w:val="center"/>
          </w:tcPr>
          <w:p w14:paraId="3231E862" w14:textId="77777777" w:rsidR="00DB5CB6" w:rsidRPr="00000B8E" w:rsidRDefault="00DB5CB6" w:rsidP="009239FC">
            <w:pPr>
              <w:pStyle w:val="TAMainText"/>
              <w:spacing w:line="240" w:lineRule="auto"/>
              <w:ind w:firstLine="0"/>
              <w:jc w:val="right"/>
              <w:rPr>
                <w:position w:val="-24"/>
              </w:rPr>
            </w:pPr>
            <w:r w:rsidRPr="00000B8E">
              <w:rPr>
                <w:position w:val="-24"/>
              </w:rPr>
              <w:t>(</w:t>
            </w:r>
            <w:r>
              <w:rPr>
                <w:position w:val="-24"/>
              </w:rPr>
              <w:t>3</w:t>
            </w:r>
            <w:r w:rsidRPr="00000B8E">
              <w:rPr>
                <w:position w:val="-24"/>
              </w:rPr>
              <w:t>)</w:t>
            </w:r>
          </w:p>
        </w:tc>
      </w:tr>
    </w:tbl>
    <w:p w14:paraId="6311378D" w14:textId="77777777" w:rsidR="00DB5CB6" w:rsidRPr="00DB5CB6" w:rsidRDefault="00DB5CB6" w:rsidP="00DB5CB6">
      <w:pPr>
        <w:pStyle w:val="TAMainText"/>
        <w:spacing w:line="240" w:lineRule="auto"/>
        <w:ind w:firstLine="227"/>
        <w:rPr>
          <w:rFonts w:ascii="Times New Roman" w:hAnsi="Times New Roman"/>
          <w:lang w:val="pt-BR"/>
        </w:rPr>
      </w:pPr>
      <w:r w:rsidRPr="00DB5CB6">
        <w:rPr>
          <w:rFonts w:ascii="Times New Roman" w:hAnsi="Times New Roman"/>
          <w:lang w:val="pt-BR"/>
        </w:rPr>
        <w:t>Na qual:</w:t>
      </w:r>
    </w:p>
    <w:p w14:paraId="268CFBE8" w14:textId="77777777" w:rsidR="00DB5CB6" w:rsidRPr="00DB5CB6" w:rsidRDefault="002F2AAD" w:rsidP="00DB5CB6">
      <w:pPr>
        <w:pStyle w:val="TAMainText"/>
        <w:spacing w:line="240" w:lineRule="auto"/>
        <w:ind w:firstLine="227"/>
        <w:rPr>
          <w:rFonts w:ascii="Times New Roman" w:hAnsi="Times New Roman"/>
          <w:lang w:val="pt-BR"/>
        </w:rPr>
      </w:pPr>
      <w:r w:rsidRPr="002F2AAD">
        <w:rPr>
          <w:rFonts w:ascii="Times New Roman" w:hAnsi="Times New Roman"/>
          <w:noProof/>
          <w:position w:val="-4"/>
          <w:lang w:val="pt-BR"/>
        </w:rPr>
        <w:object w:dxaOrig="240" w:dyaOrig="260" w14:anchorId="2B0142AE">
          <v:shape id="_x0000_i1042" type="#_x0000_t75" alt="" style="width:12pt;height:13pt;mso-width-percent:0;mso-height-percent:0;mso-width-percent:0;mso-height-percent:0" o:ole="">
            <v:imagedata r:id="rId44" o:title=""/>
          </v:shape>
          <o:OLEObject Type="Embed" ProgID="Equation.DSMT4" ShapeID="_x0000_i1042" DrawAspect="Content" ObjectID="_1748618901" r:id="rId45"/>
        </w:object>
      </w:r>
      <w:r w:rsidR="00DB5CB6" w:rsidRPr="00DB5CB6">
        <w:rPr>
          <w:rFonts w:ascii="Times New Roman" w:hAnsi="Times New Roman"/>
          <w:lang w:val="pt-BR"/>
        </w:rPr>
        <w:t xml:space="preserve"> = </w:t>
      </w:r>
      <w:r w:rsidR="002370D1">
        <w:rPr>
          <w:rFonts w:ascii="Times New Roman" w:hAnsi="Times New Roman"/>
          <w:lang w:val="pt-BR"/>
        </w:rPr>
        <w:t>C</w:t>
      </w:r>
      <w:r w:rsidR="00DB5CB6" w:rsidRPr="00DB5CB6">
        <w:rPr>
          <w:rFonts w:ascii="Times New Roman" w:hAnsi="Times New Roman"/>
          <w:lang w:val="pt-BR"/>
        </w:rPr>
        <w:t>onstante dos gases ideias</w:t>
      </w:r>
      <w:r w:rsidR="00DB5CB6">
        <w:rPr>
          <w:rFonts w:ascii="Times New Roman" w:hAnsi="Times New Roman"/>
          <w:lang w:val="pt-BR"/>
        </w:rPr>
        <w:t>.</w:t>
      </w:r>
    </w:p>
    <w:p w14:paraId="09A8CB67" w14:textId="77777777" w:rsidR="00DB5CB6" w:rsidRDefault="00DB5CB6" w:rsidP="00DB5CB6">
      <w:pPr>
        <w:pStyle w:val="TAMainText"/>
        <w:spacing w:line="240" w:lineRule="auto"/>
        <w:ind w:firstLine="227"/>
        <w:rPr>
          <w:rFonts w:ascii="Times New Roman" w:hAnsi="Times New Roman"/>
          <w:lang w:val="pt-BR"/>
        </w:rPr>
      </w:pPr>
    </w:p>
    <w:p w14:paraId="2B8FD2E9" w14:textId="77777777" w:rsidR="00381E75" w:rsidRDefault="00936E45" w:rsidP="00E02013">
      <w:pPr>
        <w:pStyle w:val="TAMainText"/>
        <w:spacing w:line="240" w:lineRule="auto"/>
        <w:ind w:firstLine="227"/>
        <w:rPr>
          <w:rFonts w:ascii="Times New Roman" w:hAnsi="Times New Roman"/>
          <w:lang w:val="pt-BR"/>
        </w:rPr>
      </w:pPr>
      <w:r>
        <w:rPr>
          <w:rFonts w:ascii="Times New Roman" w:hAnsi="Times New Roman"/>
          <w:lang w:val="pt-BR"/>
        </w:rPr>
        <w:t>No</w:t>
      </w:r>
      <w:r w:rsidR="008D3913">
        <w:rPr>
          <w:rFonts w:ascii="Times New Roman" w:hAnsi="Times New Roman"/>
          <w:lang w:val="pt-BR"/>
        </w:rPr>
        <w:t xml:space="preserve"> modelo cinético </w:t>
      </w:r>
      <w:r>
        <w:rPr>
          <w:rFonts w:ascii="Times New Roman" w:hAnsi="Times New Roman"/>
          <w:lang w:val="pt-BR"/>
        </w:rPr>
        <w:t xml:space="preserve">adotado para a isomerização do </w:t>
      </w:r>
      <w:r w:rsidR="001B5CD9" w:rsidRPr="003E67B8">
        <w:rPr>
          <w:rFonts w:ascii="Symbol" w:hAnsi="Symbol"/>
          <w:i/>
          <w:iCs/>
        </w:rPr>
        <w:t></w:t>
      </w:r>
      <w:r w:rsidR="00B950B5">
        <w:rPr>
          <w:rFonts w:ascii="Times New Roman" w:hAnsi="Times New Roman"/>
          <w:lang w:val="pt-BR"/>
        </w:rPr>
        <w:t>-</w:t>
      </w:r>
      <w:r>
        <w:rPr>
          <w:rFonts w:ascii="Times New Roman" w:hAnsi="Times New Roman"/>
          <w:lang w:val="pt-BR"/>
        </w:rPr>
        <w:t>pineno</w:t>
      </w:r>
      <w:r w:rsidR="008D3913">
        <w:rPr>
          <w:rFonts w:ascii="Times New Roman" w:hAnsi="Times New Roman"/>
          <w:lang w:val="pt-BR"/>
        </w:rPr>
        <w:t xml:space="preserve"> </w:t>
      </w:r>
      <w:r w:rsidR="002370D1">
        <w:rPr>
          <w:rFonts w:ascii="Times New Roman" w:hAnsi="Times New Roman"/>
          <w:lang w:val="pt-BR"/>
        </w:rPr>
        <w:t xml:space="preserve">(Esquema 1) </w:t>
      </w:r>
      <w:r w:rsidR="00DB5CB6">
        <w:rPr>
          <w:rFonts w:ascii="Times New Roman" w:hAnsi="Times New Roman"/>
          <w:lang w:val="pt-BR"/>
        </w:rPr>
        <w:t xml:space="preserve">as reações </w:t>
      </w:r>
      <w:r>
        <w:rPr>
          <w:rFonts w:ascii="Times New Roman" w:hAnsi="Times New Roman"/>
          <w:lang w:val="pt-BR"/>
        </w:rPr>
        <w:t>foram consideradas</w:t>
      </w:r>
      <w:r w:rsidR="00DB5CB6">
        <w:rPr>
          <w:rFonts w:ascii="Times New Roman" w:hAnsi="Times New Roman"/>
          <w:lang w:val="pt-BR"/>
        </w:rPr>
        <w:t xml:space="preserve"> de primeira ordem</w:t>
      </w:r>
      <w:r w:rsidR="00381E75">
        <w:rPr>
          <w:rFonts w:ascii="Times New Roman" w:hAnsi="Times New Roman"/>
          <w:lang w:val="pt-BR"/>
        </w:rPr>
        <w:t xml:space="preserve"> (Equação 4)</w:t>
      </w:r>
      <w:r w:rsidR="00DB5CB6">
        <w:rPr>
          <w:rFonts w:ascii="Times New Roman" w:hAnsi="Times New Roman"/>
          <w:lang w:val="pt-BR"/>
        </w:rPr>
        <w:t xml:space="preserve">. </w:t>
      </w:r>
    </w:p>
    <w:p w14:paraId="479AF9BA" w14:textId="77777777" w:rsidR="00381E75" w:rsidRDefault="00381E75" w:rsidP="00E02013">
      <w:pPr>
        <w:pStyle w:val="TAMainText"/>
        <w:spacing w:line="240" w:lineRule="auto"/>
        <w:ind w:firstLine="227"/>
        <w:rPr>
          <w:rFonts w:ascii="Times New Roman" w:hAnsi="Times New Roman"/>
          <w:lang w:val="pt-BR"/>
        </w:rPr>
      </w:pPr>
    </w:p>
    <w:p w14:paraId="1F6B408B" w14:textId="77777777" w:rsidR="00DB5CB6" w:rsidRDefault="002F2AAD" w:rsidP="1A2EB2A5">
      <w:pPr>
        <w:pStyle w:val="Default"/>
        <w:jc w:val="center"/>
        <w:rPr>
          <w:rFonts w:asciiTheme="majorHAnsi" w:hAnsiTheme="majorHAnsi" w:cstheme="majorBidi"/>
          <w:sz w:val="18"/>
          <w:szCs w:val="18"/>
        </w:rPr>
      </w:pPr>
      <w:r w:rsidRPr="00C71F1C">
        <w:rPr>
          <w:rFonts w:asciiTheme="majorHAnsi" w:hAnsiTheme="majorHAnsi" w:cstheme="majorHAnsi"/>
          <w:noProof/>
          <w:sz w:val="18"/>
          <w:szCs w:val="18"/>
        </w:rPr>
        <w:object w:dxaOrig="1524" w:dyaOrig="2544" w14:anchorId="6A67CF38">
          <v:shape id="_x0000_i1041" type="#_x0000_t75" alt="" style="width:60pt;height:70pt;mso-width-percent:0;mso-height-percent:0;mso-width-percent:0;mso-height-percent:0" o:ole="">
            <v:imagedata r:id="rId46" o:title=""/>
          </v:shape>
          <o:OLEObject Type="Embed" ProgID="ACD.ChemSketch.20" ShapeID="_x0000_i1041" DrawAspect="Content" ObjectID="_1748618902" r:id="rId47"/>
        </w:object>
      </w:r>
    </w:p>
    <w:p w14:paraId="7097E484" w14:textId="77777777" w:rsidR="00DB5CB6" w:rsidRPr="00F12B2D" w:rsidRDefault="002370D1" w:rsidP="00DB5CB6">
      <w:pPr>
        <w:pStyle w:val="Legenda"/>
        <w:spacing w:after="0"/>
        <w:rPr>
          <w:rFonts w:ascii="Times New Roman" w:hAnsi="Times New Roman" w:cs="Times New Roman"/>
          <w:b w:val="0"/>
          <w:color w:val="auto"/>
          <w:sz w:val="18"/>
        </w:rPr>
      </w:pPr>
      <w:r>
        <w:rPr>
          <w:rFonts w:ascii="Times New Roman" w:hAnsi="Times New Roman" w:cs="Times New Roman"/>
          <w:color w:val="auto"/>
          <w:sz w:val="18"/>
        </w:rPr>
        <w:t>Esquema 1</w:t>
      </w:r>
      <w:r w:rsidR="00DB5CB6" w:rsidRPr="00F12B2D">
        <w:rPr>
          <w:rFonts w:ascii="Times New Roman" w:hAnsi="Times New Roman" w:cs="Times New Roman"/>
          <w:color w:val="auto"/>
          <w:sz w:val="18"/>
        </w:rPr>
        <w:t>.</w:t>
      </w:r>
      <w:r w:rsidR="00DB5CB6">
        <w:rPr>
          <w:rFonts w:ascii="Times New Roman" w:hAnsi="Times New Roman" w:cs="Times New Roman"/>
          <w:b w:val="0"/>
          <w:color w:val="auto"/>
          <w:sz w:val="18"/>
        </w:rPr>
        <w:t xml:space="preserve"> </w:t>
      </w:r>
      <w:r>
        <w:rPr>
          <w:rFonts w:ascii="Times New Roman" w:hAnsi="Times New Roman" w:cs="Times New Roman"/>
          <w:b w:val="0"/>
          <w:color w:val="auto"/>
          <w:sz w:val="18"/>
        </w:rPr>
        <w:t>Reações consideradas no presente estudo</w:t>
      </w:r>
      <w:r w:rsidR="00DB5CB6">
        <w:rPr>
          <w:rFonts w:ascii="Times New Roman" w:hAnsi="Times New Roman" w:cs="Times New Roman"/>
          <w:b w:val="0"/>
          <w:color w:val="auto"/>
          <w:sz w:val="18"/>
        </w:rPr>
        <w:t xml:space="preserve"> </w:t>
      </w:r>
    </w:p>
    <w:p w14:paraId="0E269BDC" w14:textId="77777777" w:rsidR="00DB5CB6" w:rsidRDefault="00DB5CB6" w:rsidP="00E02013">
      <w:pPr>
        <w:pStyle w:val="TAMainText"/>
        <w:spacing w:line="240" w:lineRule="auto"/>
        <w:ind w:firstLine="227"/>
        <w:rPr>
          <w:rFonts w:ascii="Times New Roman" w:hAnsi="Times New Roman"/>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679"/>
      </w:tblGrid>
      <w:tr w:rsidR="002370D1" w14:paraId="3CFAB19D" w14:textId="77777777" w:rsidTr="1A2EB2A5">
        <w:tc>
          <w:tcPr>
            <w:tcW w:w="4219" w:type="dxa"/>
            <w:vAlign w:val="center"/>
          </w:tcPr>
          <w:p w14:paraId="7A35FCCB" w14:textId="77777777" w:rsidR="002370D1" w:rsidRDefault="002F2AAD" w:rsidP="00E82CB6">
            <w:pPr>
              <w:pStyle w:val="TAMainText"/>
              <w:spacing w:line="240" w:lineRule="auto"/>
              <w:ind w:firstLine="0"/>
              <w:jc w:val="center"/>
              <w:rPr>
                <w:rFonts w:ascii="Times New Roman" w:hAnsi="Times New Roman"/>
                <w:lang w:val="pt-BR"/>
              </w:rPr>
            </w:pPr>
            <w:r w:rsidRPr="00381E75">
              <w:rPr>
                <w:rFonts w:ascii="Calibri Light" w:hAnsi="Calibri Light" w:cs="Calibri Light"/>
                <w:noProof/>
                <w:position w:val="-14"/>
              </w:rPr>
              <w:object w:dxaOrig="840" w:dyaOrig="380" w14:anchorId="2B859886">
                <v:shape id="_x0000_i1040" type="#_x0000_t75" alt="" style="width:39pt;height:17pt;mso-width-percent:0;mso-height-percent:0;mso-width-percent:0;mso-height-percent:0" o:ole="">
                  <v:imagedata r:id="rId48" o:title=""/>
                </v:shape>
                <o:OLEObject Type="Embed" ProgID="Equation.DSMT4" ShapeID="_x0000_i1040" DrawAspect="Content" ObjectID="_1748618903" r:id="rId49"/>
              </w:object>
            </w:r>
          </w:p>
        </w:tc>
        <w:tc>
          <w:tcPr>
            <w:tcW w:w="689" w:type="dxa"/>
            <w:vAlign w:val="center"/>
          </w:tcPr>
          <w:p w14:paraId="042FE898" w14:textId="77777777" w:rsidR="002370D1" w:rsidRPr="00000B8E" w:rsidRDefault="002370D1" w:rsidP="00E82CB6">
            <w:pPr>
              <w:pStyle w:val="TAMainText"/>
              <w:spacing w:line="240" w:lineRule="auto"/>
              <w:ind w:firstLine="0"/>
              <w:jc w:val="right"/>
              <w:rPr>
                <w:position w:val="-24"/>
              </w:rPr>
            </w:pPr>
            <w:r w:rsidRPr="00000B8E">
              <w:rPr>
                <w:position w:val="-24"/>
              </w:rPr>
              <w:t>(</w:t>
            </w:r>
            <w:r>
              <w:rPr>
                <w:position w:val="-24"/>
              </w:rPr>
              <w:t>4</w:t>
            </w:r>
            <w:r w:rsidRPr="00000B8E">
              <w:rPr>
                <w:position w:val="-24"/>
              </w:rPr>
              <w:t>)</w:t>
            </w:r>
          </w:p>
        </w:tc>
      </w:tr>
    </w:tbl>
    <w:p w14:paraId="787C95D2" w14:textId="77777777" w:rsidR="002370D1" w:rsidRPr="00DB5CB6" w:rsidRDefault="002370D1" w:rsidP="002370D1">
      <w:pPr>
        <w:pStyle w:val="TAMainText"/>
        <w:spacing w:line="240" w:lineRule="auto"/>
        <w:ind w:firstLine="227"/>
        <w:rPr>
          <w:rFonts w:ascii="Times New Roman" w:hAnsi="Times New Roman"/>
          <w:lang w:val="pt-BR"/>
        </w:rPr>
      </w:pPr>
      <w:r w:rsidRPr="00DB5CB6">
        <w:rPr>
          <w:rFonts w:ascii="Times New Roman" w:hAnsi="Times New Roman"/>
          <w:lang w:val="pt-BR"/>
        </w:rPr>
        <w:t>Na qual:</w:t>
      </w:r>
    </w:p>
    <w:p w14:paraId="5E8C858F" w14:textId="77777777" w:rsidR="002370D1" w:rsidRPr="00DB5CB6" w:rsidRDefault="002F2AAD" w:rsidP="002370D1">
      <w:pPr>
        <w:pStyle w:val="TAMainText"/>
        <w:spacing w:line="240" w:lineRule="auto"/>
        <w:ind w:firstLine="227"/>
        <w:rPr>
          <w:rFonts w:ascii="Times New Roman" w:hAnsi="Times New Roman"/>
          <w:lang w:val="pt-BR"/>
        </w:rPr>
      </w:pPr>
      <w:r w:rsidRPr="002F2AAD">
        <w:rPr>
          <w:rFonts w:ascii="Times New Roman" w:hAnsi="Times New Roman"/>
          <w:noProof/>
          <w:position w:val="-12"/>
          <w:lang w:val="pt-BR"/>
        </w:rPr>
        <w:object w:dxaOrig="180" w:dyaOrig="360" w14:anchorId="3F3905DA">
          <v:shape id="_x0000_i1039" type="#_x0000_t75" alt="" style="width:8pt;height:18pt;mso-width-percent:0;mso-height-percent:0;mso-width-percent:0;mso-height-percent:0" o:ole="">
            <v:imagedata r:id="rId50" o:title=""/>
          </v:shape>
          <o:OLEObject Type="Embed" ProgID="Equation.DSMT4" ShapeID="_x0000_i1039" DrawAspect="Content" ObjectID="_1748618904" r:id="rId51"/>
        </w:object>
      </w:r>
      <w:r w:rsidR="002370D1" w:rsidRPr="00DB5CB6">
        <w:rPr>
          <w:rFonts w:ascii="Times New Roman" w:hAnsi="Times New Roman"/>
          <w:lang w:val="pt-BR"/>
        </w:rPr>
        <w:t xml:space="preserve">= </w:t>
      </w:r>
      <w:r w:rsidR="002370D1">
        <w:rPr>
          <w:rFonts w:ascii="Times New Roman" w:hAnsi="Times New Roman"/>
          <w:lang w:val="pt-BR"/>
        </w:rPr>
        <w:t>Taxa de reação da espécie i</w:t>
      </w:r>
    </w:p>
    <w:p w14:paraId="4FECAAEC" w14:textId="77777777" w:rsidR="002370D1" w:rsidRPr="00DB5CB6" w:rsidRDefault="002F2AAD" w:rsidP="002370D1">
      <w:pPr>
        <w:pStyle w:val="TAMainText"/>
        <w:spacing w:line="240" w:lineRule="auto"/>
        <w:ind w:firstLine="227"/>
        <w:rPr>
          <w:rFonts w:ascii="Times New Roman" w:hAnsi="Times New Roman"/>
          <w:lang w:val="pt-BR"/>
        </w:rPr>
      </w:pPr>
      <w:r w:rsidRPr="002F2AAD">
        <w:rPr>
          <w:rFonts w:ascii="Times New Roman" w:hAnsi="Times New Roman"/>
          <w:noProof/>
          <w:position w:val="-12"/>
          <w:lang w:val="pt-BR"/>
        </w:rPr>
        <w:object w:dxaOrig="279" w:dyaOrig="360" w14:anchorId="09A24661">
          <v:shape id="_x0000_i1038" type="#_x0000_t75" alt="" style="width:12pt;height:16pt;mso-width-percent:0;mso-height-percent:0;mso-width-percent:0;mso-height-percent:0" o:ole="">
            <v:imagedata r:id="rId52" o:title=""/>
          </v:shape>
          <o:OLEObject Type="Embed" ProgID="Equation.DSMT4" ShapeID="_x0000_i1038" DrawAspect="Content" ObjectID="_1748618905" r:id="rId53"/>
        </w:object>
      </w:r>
      <w:r w:rsidR="002370D1" w:rsidRPr="00DB5CB6">
        <w:rPr>
          <w:rFonts w:ascii="Times New Roman" w:hAnsi="Times New Roman"/>
          <w:lang w:val="pt-BR"/>
        </w:rPr>
        <w:t xml:space="preserve">= </w:t>
      </w:r>
      <w:r w:rsidR="002370D1">
        <w:rPr>
          <w:rFonts w:ascii="Times New Roman" w:hAnsi="Times New Roman"/>
          <w:lang w:val="pt-BR"/>
        </w:rPr>
        <w:t>Concentração da espécie i.</w:t>
      </w:r>
    </w:p>
    <w:p w14:paraId="4565EFC2" w14:textId="77777777" w:rsidR="002370D1" w:rsidRPr="00DB5CB6" w:rsidRDefault="002F2AAD" w:rsidP="002370D1">
      <w:pPr>
        <w:pStyle w:val="TAMainText"/>
        <w:spacing w:line="240" w:lineRule="auto"/>
        <w:ind w:firstLine="227"/>
        <w:rPr>
          <w:rFonts w:ascii="Times New Roman" w:hAnsi="Times New Roman"/>
          <w:lang w:val="pt-BR"/>
        </w:rPr>
      </w:pPr>
      <w:r w:rsidRPr="002F2AAD">
        <w:rPr>
          <w:rFonts w:ascii="Times New Roman" w:hAnsi="Times New Roman"/>
          <w:noProof/>
          <w:position w:val="-14"/>
          <w:lang w:val="pt-BR"/>
        </w:rPr>
        <w:object w:dxaOrig="260" w:dyaOrig="380" w14:anchorId="3172A3F9">
          <v:shape id="_x0000_i1037" type="#_x0000_t75" alt="" style="width:12pt;height:18pt;mso-width-percent:0;mso-height-percent:0;mso-width-percent:0;mso-height-percent:0" o:ole="">
            <v:imagedata r:id="rId54" o:title=""/>
          </v:shape>
          <o:OLEObject Type="Embed" ProgID="Equation.DSMT4" ShapeID="_x0000_i1037" DrawAspect="Content" ObjectID="_1748618906" r:id="rId55"/>
        </w:object>
      </w:r>
      <w:r w:rsidR="002370D1" w:rsidRPr="00DB5CB6">
        <w:rPr>
          <w:rFonts w:ascii="Times New Roman" w:hAnsi="Times New Roman"/>
          <w:lang w:val="pt-BR"/>
        </w:rPr>
        <w:t xml:space="preserve"> = </w:t>
      </w:r>
      <w:r w:rsidR="002370D1">
        <w:rPr>
          <w:rFonts w:ascii="Times New Roman" w:hAnsi="Times New Roman"/>
          <w:lang w:val="pt-BR"/>
        </w:rPr>
        <w:t>C</w:t>
      </w:r>
      <w:r w:rsidR="002370D1" w:rsidRPr="00DB5CB6">
        <w:rPr>
          <w:rFonts w:ascii="Times New Roman" w:hAnsi="Times New Roman"/>
          <w:lang w:val="pt-BR"/>
        </w:rPr>
        <w:t xml:space="preserve">onstante </w:t>
      </w:r>
      <w:r w:rsidR="002370D1">
        <w:rPr>
          <w:rFonts w:ascii="Times New Roman" w:hAnsi="Times New Roman"/>
          <w:lang w:val="pt-BR"/>
        </w:rPr>
        <w:t>de taxa para a reação j.</w:t>
      </w:r>
    </w:p>
    <w:p w14:paraId="72ABBF03" w14:textId="77777777" w:rsidR="002370D1" w:rsidRDefault="002370D1" w:rsidP="002370D1">
      <w:pPr>
        <w:pStyle w:val="TAMainText"/>
        <w:spacing w:line="240" w:lineRule="auto"/>
        <w:ind w:firstLine="227"/>
        <w:rPr>
          <w:rFonts w:ascii="Times New Roman" w:hAnsi="Times New Roman"/>
          <w:lang w:val="pt-BR"/>
        </w:rPr>
      </w:pPr>
    </w:p>
    <w:p w14:paraId="41CBD89D" w14:textId="77777777" w:rsidR="00DB662B" w:rsidRDefault="002370D1" w:rsidP="00DB662B">
      <w:pPr>
        <w:pStyle w:val="TAMainText"/>
        <w:spacing w:line="240" w:lineRule="auto"/>
        <w:ind w:firstLine="227"/>
        <w:rPr>
          <w:rFonts w:ascii="Times New Roman" w:hAnsi="Times New Roman"/>
          <w:lang w:val="pt-BR"/>
        </w:rPr>
      </w:pPr>
      <w:r>
        <w:rPr>
          <w:rFonts w:ascii="Times New Roman" w:hAnsi="Times New Roman"/>
          <w:lang w:val="pt-BR"/>
        </w:rPr>
        <w:t>A constante de taxa foi obtida pela equaç</w:t>
      </w:r>
      <w:r w:rsidR="00DB662B">
        <w:rPr>
          <w:rFonts w:ascii="Times New Roman" w:hAnsi="Times New Roman"/>
          <w:lang w:val="pt-BR"/>
        </w:rPr>
        <w:t>ão</w:t>
      </w:r>
      <w:r>
        <w:rPr>
          <w:rFonts w:ascii="Times New Roman" w:hAnsi="Times New Roman"/>
          <w:lang w:val="pt-BR"/>
        </w:rPr>
        <w:t xml:space="preserve"> de Arrhenius (Equação 5)</w:t>
      </w:r>
      <w:r w:rsidR="00DB662B">
        <w:rPr>
          <w:rFonts w:ascii="Times New Roman" w:hAnsi="Times New Roman"/>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676"/>
      </w:tblGrid>
      <w:tr w:rsidR="00DB662B" w14:paraId="452E8D22" w14:textId="77777777" w:rsidTr="1A2EB2A5">
        <w:tc>
          <w:tcPr>
            <w:tcW w:w="4219" w:type="dxa"/>
            <w:vAlign w:val="center"/>
          </w:tcPr>
          <w:p w14:paraId="4441E90F" w14:textId="77777777" w:rsidR="00DB662B" w:rsidRDefault="002F2AAD" w:rsidP="00E82CB6">
            <w:pPr>
              <w:pStyle w:val="TAMainText"/>
              <w:spacing w:line="240" w:lineRule="auto"/>
              <w:ind w:firstLine="0"/>
              <w:jc w:val="center"/>
              <w:rPr>
                <w:rFonts w:ascii="Times New Roman" w:hAnsi="Times New Roman"/>
                <w:lang w:val="pt-BR"/>
              </w:rPr>
            </w:pPr>
            <w:r w:rsidRPr="00C00298">
              <w:rPr>
                <w:rFonts w:ascii="Calibri Light" w:hAnsi="Calibri Light" w:cs="Calibri Light"/>
                <w:noProof/>
                <w:position w:val="-32"/>
              </w:rPr>
              <w:object w:dxaOrig="1939" w:dyaOrig="760" w14:anchorId="16094BCB">
                <v:shape id="_x0000_i1036" type="#_x0000_t75" alt="" style="width:84pt;height:32pt;mso-width-percent:0;mso-height-percent:0;mso-width-percent:0;mso-height-percent:0" o:ole="">
                  <v:imagedata r:id="rId56" o:title=""/>
                </v:shape>
                <o:OLEObject Type="Embed" ProgID="Equation.DSMT4" ShapeID="_x0000_i1036" DrawAspect="Content" ObjectID="_1748618907" r:id="rId57"/>
              </w:object>
            </w:r>
          </w:p>
        </w:tc>
        <w:tc>
          <w:tcPr>
            <w:tcW w:w="689" w:type="dxa"/>
            <w:vAlign w:val="center"/>
          </w:tcPr>
          <w:p w14:paraId="2F96BF1D" w14:textId="77777777" w:rsidR="00DB662B" w:rsidRPr="00000B8E" w:rsidRDefault="00DB662B" w:rsidP="00E82CB6">
            <w:pPr>
              <w:pStyle w:val="TAMainText"/>
              <w:spacing w:line="240" w:lineRule="auto"/>
              <w:ind w:firstLine="0"/>
              <w:jc w:val="right"/>
              <w:rPr>
                <w:position w:val="-24"/>
              </w:rPr>
            </w:pPr>
            <w:r w:rsidRPr="00000B8E">
              <w:rPr>
                <w:position w:val="-24"/>
              </w:rPr>
              <w:t>(</w:t>
            </w:r>
            <w:r>
              <w:rPr>
                <w:position w:val="-24"/>
              </w:rPr>
              <w:t>5</w:t>
            </w:r>
            <w:r w:rsidRPr="00000B8E">
              <w:rPr>
                <w:position w:val="-24"/>
              </w:rPr>
              <w:t>)</w:t>
            </w:r>
          </w:p>
        </w:tc>
      </w:tr>
    </w:tbl>
    <w:p w14:paraId="25E923C6" w14:textId="77777777" w:rsidR="00F84B9F" w:rsidRDefault="00BB3C87" w:rsidP="00DB662B">
      <w:pPr>
        <w:pStyle w:val="TAMainText"/>
        <w:spacing w:line="240" w:lineRule="auto"/>
        <w:ind w:firstLine="227"/>
        <w:rPr>
          <w:rFonts w:ascii="Times New Roman" w:hAnsi="Times New Roman"/>
          <w:lang w:val="pt-BR"/>
        </w:rPr>
      </w:pPr>
      <w:r>
        <w:rPr>
          <w:rFonts w:ascii="Times New Roman" w:hAnsi="Times New Roman"/>
          <w:lang w:val="pt-BR"/>
        </w:rPr>
        <w:t xml:space="preserve">Os parâmetros cinéticos - </w:t>
      </w:r>
      <w:r w:rsidR="008D3913">
        <w:rPr>
          <w:rFonts w:ascii="Times New Roman" w:hAnsi="Times New Roman"/>
          <w:lang w:val="pt-BR"/>
        </w:rPr>
        <w:t>energia de ativação (</w:t>
      </w:r>
      <w:r w:rsidR="002F2AAD" w:rsidRPr="002F2AAD">
        <w:rPr>
          <w:rFonts w:ascii="Times New Roman" w:hAnsi="Times New Roman"/>
          <w:noProof/>
          <w:position w:val="-14"/>
          <w:lang w:val="pt-BR"/>
        </w:rPr>
        <w:object w:dxaOrig="300" w:dyaOrig="380" w14:anchorId="7DAD7765">
          <v:shape id="_x0000_i1035" type="#_x0000_t75" alt="" style="width:11pt;height:16pt;mso-width-percent:0;mso-height-percent:0;mso-width-percent:0;mso-height-percent:0" o:ole="">
            <v:imagedata r:id="rId58" o:title=""/>
          </v:shape>
          <o:OLEObject Type="Embed" ProgID="Equation.DSMT4" ShapeID="_x0000_i1035" DrawAspect="Content" ObjectID="_1748618908" r:id="rId59"/>
        </w:object>
      </w:r>
      <w:r w:rsidR="008D3913">
        <w:rPr>
          <w:rFonts w:ascii="Times New Roman" w:hAnsi="Times New Roman"/>
          <w:lang w:val="pt-BR"/>
        </w:rPr>
        <w:t>)</w:t>
      </w:r>
      <w:r>
        <w:rPr>
          <w:rFonts w:ascii="Times New Roman" w:hAnsi="Times New Roman"/>
          <w:lang w:val="pt-BR"/>
        </w:rPr>
        <w:t xml:space="preserve"> e</w:t>
      </w:r>
      <w:r w:rsidR="00DB662B">
        <w:rPr>
          <w:rFonts w:ascii="Times New Roman" w:hAnsi="Times New Roman"/>
          <w:lang w:val="pt-BR"/>
        </w:rPr>
        <w:t xml:space="preserve"> </w:t>
      </w:r>
      <w:r w:rsidR="008D3913">
        <w:rPr>
          <w:rFonts w:ascii="Times New Roman" w:hAnsi="Times New Roman"/>
          <w:lang w:val="pt-BR"/>
        </w:rPr>
        <w:t>fator pré-exponencial (</w:t>
      </w:r>
      <w:r w:rsidR="002F2AAD" w:rsidRPr="002F2AAD">
        <w:rPr>
          <w:rFonts w:ascii="Times New Roman" w:hAnsi="Times New Roman"/>
          <w:noProof/>
          <w:position w:val="-14"/>
          <w:lang w:val="pt-BR"/>
        </w:rPr>
        <w:object w:dxaOrig="300" w:dyaOrig="380" w14:anchorId="02CA56EE">
          <v:shape id="_x0000_i1034" type="#_x0000_t75" alt="" style="width:13pt;height:17pt;mso-width-percent:0;mso-height-percent:0;mso-width-percent:0;mso-height-percent:0" o:ole="">
            <v:imagedata r:id="rId60" o:title=""/>
          </v:shape>
          <o:OLEObject Type="Embed" ProgID="Equation.DSMT4" ShapeID="_x0000_i1034" DrawAspect="Content" ObjectID="_1748618909" r:id="rId61"/>
        </w:object>
      </w:r>
      <w:r w:rsidR="008D3913">
        <w:rPr>
          <w:rFonts w:ascii="Times New Roman" w:hAnsi="Times New Roman"/>
          <w:lang w:val="pt-BR"/>
        </w:rPr>
        <w:t>)</w:t>
      </w:r>
      <w:r>
        <w:rPr>
          <w:rFonts w:ascii="Times New Roman" w:hAnsi="Times New Roman"/>
          <w:lang w:val="pt-BR"/>
        </w:rPr>
        <w:t xml:space="preserve"> -</w:t>
      </w:r>
      <w:r w:rsidR="00DB662B">
        <w:rPr>
          <w:rFonts w:ascii="Times New Roman" w:hAnsi="Times New Roman"/>
          <w:lang w:val="pt-BR"/>
        </w:rPr>
        <w:t xml:space="preserve"> </w:t>
      </w:r>
      <w:r w:rsidR="008D3913">
        <w:rPr>
          <w:rFonts w:ascii="Times New Roman" w:hAnsi="Times New Roman"/>
          <w:lang w:val="pt-BR"/>
        </w:rPr>
        <w:t>fo</w:t>
      </w:r>
      <w:r>
        <w:rPr>
          <w:rFonts w:ascii="Times New Roman" w:hAnsi="Times New Roman"/>
          <w:lang w:val="pt-BR"/>
        </w:rPr>
        <w:t>ram</w:t>
      </w:r>
      <w:r w:rsidR="008D3913">
        <w:rPr>
          <w:rFonts w:ascii="Times New Roman" w:hAnsi="Times New Roman"/>
          <w:lang w:val="pt-BR"/>
        </w:rPr>
        <w:t xml:space="preserve"> obtid</w:t>
      </w:r>
      <w:r w:rsidR="00DB662B">
        <w:rPr>
          <w:rFonts w:ascii="Times New Roman" w:hAnsi="Times New Roman"/>
          <w:lang w:val="pt-BR"/>
        </w:rPr>
        <w:t>o</w:t>
      </w:r>
      <w:r>
        <w:rPr>
          <w:rFonts w:ascii="Times New Roman" w:hAnsi="Times New Roman"/>
          <w:lang w:val="pt-BR"/>
        </w:rPr>
        <w:t>s, para cada reação</w:t>
      </w:r>
      <w:r w:rsidR="00721604">
        <w:rPr>
          <w:rFonts w:ascii="Times New Roman" w:hAnsi="Times New Roman"/>
          <w:lang w:val="pt-BR"/>
        </w:rPr>
        <w:t>,</w:t>
      </w:r>
      <w:r w:rsidR="008D3913">
        <w:rPr>
          <w:rFonts w:ascii="Times New Roman" w:hAnsi="Times New Roman"/>
          <w:lang w:val="pt-BR"/>
        </w:rPr>
        <w:t xml:space="preserve"> </w:t>
      </w:r>
      <w:r w:rsidR="00721604">
        <w:rPr>
          <w:rFonts w:ascii="Times New Roman" w:hAnsi="Times New Roman"/>
          <w:lang w:val="pt-BR"/>
        </w:rPr>
        <w:t xml:space="preserve">utilizando </w:t>
      </w:r>
      <w:bookmarkStart w:id="4" w:name="_Hlk137048888"/>
      <w:r w:rsidR="00721604">
        <w:rPr>
          <w:rFonts w:ascii="Times New Roman" w:hAnsi="Times New Roman"/>
          <w:lang w:val="pt-BR"/>
        </w:rPr>
        <w:t>o</w:t>
      </w:r>
      <w:r w:rsidR="00A04F2D">
        <w:rPr>
          <w:rFonts w:ascii="Times New Roman" w:hAnsi="Times New Roman"/>
          <w:lang w:val="pt-BR"/>
        </w:rPr>
        <w:t xml:space="preserve"> método dos mínimos quadrados com ajuste linear múltiplo</w:t>
      </w:r>
      <w:r w:rsidR="00A02D8F">
        <w:rPr>
          <w:rFonts w:ascii="Times New Roman" w:hAnsi="Times New Roman"/>
          <w:lang w:val="pt-BR"/>
        </w:rPr>
        <w:t xml:space="preserve"> </w:t>
      </w:r>
      <w:bookmarkEnd w:id="4"/>
      <w:r w:rsidR="00A02D8F">
        <w:rPr>
          <w:rFonts w:ascii="Times New Roman" w:hAnsi="Times New Roman"/>
          <w:lang w:val="pt-BR"/>
        </w:rPr>
        <w:t>(</w:t>
      </w:r>
      <w:r>
        <w:rPr>
          <w:rFonts w:ascii="Times New Roman" w:hAnsi="Times New Roman"/>
          <w:lang w:val="pt-BR"/>
        </w:rPr>
        <w:t>10)</w:t>
      </w:r>
      <w:r w:rsidR="00DB662B">
        <w:rPr>
          <w:rFonts w:ascii="Times New Roman" w:hAnsi="Times New Roman"/>
          <w:lang w:val="pt-BR"/>
        </w:rPr>
        <w:t>.</w:t>
      </w:r>
    </w:p>
    <w:p w14:paraId="7C0E3546" w14:textId="77777777" w:rsidR="00EB07F6" w:rsidRDefault="00EB07F6" w:rsidP="00F84B9F">
      <w:pPr>
        <w:pStyle w:val="TAMainText"/>
        <w:spacing w:line="240" w:lineRule="auto"/>
        <w:ind w:firstLine="227"/>
        <w:rPr>
          <w:rFonts w:ascii="Times New Roman" w:hAnsi="Times New Roman"/>
          <w:lang w:val="pt-BR"/>
        </w:rPr>
      </w:pPr>
      <w:r w:rsidRPr="00F84B9F">
        <w:rPr>
          <w:rFonts w:ascii="Times New Roman" w:hAnsi="Times New Roman"/>
          <w:lang w:val="pt-BR"/>
        </w:rPr>
        <w:t xml:space="preserve">O rendimento </w:t>
      </w:r>
      <w:r w:rsidR="00F84B9F" w:rsidRPr="00F84B9F">
        <w:rPr>
          <w:rFonts w:ascii="Times New Roman" w:hAnsi="Times New Roman"/>
          <w:lang w:val="pt-BR"/>
        </w:rPr>
        <w:t>e a seletividade</w:t>
      </w:r>
      <w:r w:rsidR="00F84B9F">
        <w:rPr>
          <w:rFonts w:ascii="Times New Roman" w:hAnsi="Times New Roman"/>
          <w:lang w:val="pt-BR"/>
        </w:rPr>
        <w:t xml:space="preserve"> em mirceno</w:t>
      </w:r>
      <w:r w:rsidR="00F84B9F" w:rsidRPr="00F84B9F">
        <w:rPr>
          <w:rFonts w:ascii="Times New Roman" w:hAnsi="Times New Roman"/>
          <w:lang w:val="pt-BR"/>
        </w:rPr>
        <w:t xml:space="preserve"> foram</w:t>
      </w:r>
      <w:r w:rsidRPr="00F84B9F">
        <w:rPr>
          <w:rFonts w:ascii="Times New Roman" w:hAnsi="Times New Roman"/>
          <w:lang w:val="pt-BR"/>
        </w:rPr>
        <w:t xml:space="preserve"> calculado</w:t>
      </w:r>
      <w:r w:rsidR="00F84B9F" w:rsidRPr="00F84B9F">
        <w:rPr>
          <w:rFonts w:ascii="Times New Roman" w:hAnsi="Times New Roman"/>
          <w:lang w:val="pt-BR"/>
        </w:rPr>
        <w:t>s</w:t>
      </w:r>
      <w:r w:rsidRPr="00F84B9F">
        <w:rPr>
          <w:rFonts w:ascii="Times New Roman" w:hAnsi="Times New Roman"/>
          <w:lang w:val="pt-BR"/>
        </w:rPr>
        <w:t xml:space="preserve"> p</w:t>
      </w:r>
      <w:r w:rsidR="00F84B9F" w:rsidRPr="00F84B9F">
        <w:rPr>
          <w:rFonts w:ascii="Times New Roman" w:hAnsi="Times New Roman"/>
          <w:lang w:val="pt-BR"/>
        </w:rPr>
        <w:t xml:space="preserve">elas Equações </w:t>
      </w:r>
      <w:r w:rsidR="00381E75">
        <w:rPr>
          <w:rFonts w:ascii="Times New Roman" w:hAnsi="Times New Roman"/>
          <w:lang w:val="pt-BR"/>
        </w:rPr>
        <w:t>6</w:t>
      </w:r>
      <w:r w:rsidR="00F84B9F" w:rsidRPr="00F84B9F">
        <w:rPr>
          <w:rFonts w:ascii="Times New Roman" w:hAnsi="Times New Roman"/>
          <w:lang w:val="pt-BR"/>
        </w:rPr>
        <w:t xml:space="preserve"> e </w:t>
      </w:r>
      <w:r w:rsidR="00381E75">
        <w:rPr>
          <w:rFonts w:ascii="Times New Roman" w:hAnsi="Times New Roman"/>
          <w:lang w:val="pt-BR"/>
        </w:rPr>
        <w:t>7</w:t>
      </w:r>
      <w:r w:rsidR="00F84B9F" w:rsidRPr="00F84B9F">
        <w:rPr>
          <w:rFonts w:ascii="Times New Roman" w:hAnsi="Times New Roman"/>
          <w:lang w:val="pt-BR"/>
        </w:rPr>
        <w:t>, respectivamente.</w:t>
      </w:r>
      <w:r w:rsidRPr="00F84B9F">
        <w:rPr>
          <w:rFonts w:ascii="Times New Roman" w:hAnsi="Times New Roman"/>
          <w:lang w:val="pt-BR"/>
        </w:rPr>
        <w:t xml:space="preserve"> </w:t>
      </w:r>
    </w:p>
    <w:p w14:paraId="481EB02C" w14:textId="77777777" w:rsidR="00793FE5" w:rsidRPr="00793FE5" w:rsidRDefault="00793FE5" w:rsidP="00F84B9F">
      <w:pPr>
        <w:pStyle w:val="TAMainText"/>
        <w:spacing w:line="240" w:lineRule="auto"/>
        <w:ind w:firstLine="227"/>
        <w:rPr>
          <w:rFonts w:ascii="Times New Roman" w:hAnsi="Times New Roman"/>
          <w:sz w:val="10"/>
          <w:szCs w:val="10"/>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935"/>
      </w:tblGrid>
      <w:tr w:rsidR="00F84B9F" w14:paraId="3CB76125" w14:textId="77777777" w:rsidTr="1A2EB2A5">
        <w:tc>
          <w:tcPr>
            <w:tcW w:w="3936" w:type="dxa"/>
            <w:vAlign w:val="center"/>
          </w:tcPr>
          <w:p w14:paraId="5C5957A2" w14:textId="77777777" w:rsidR="00F84B9F" w:rsidRDefault="002F2AAD" w:rsidP="0025357E">
            <w:pPr>
              <w:pStyle w:val="TAMainText"/>
              <w:spacing w:line="240" w:lineRule="auto"/>
              <w:ind w:firstLine="0"/>
              <w:jc w:val="center"/>
              <w:rPr>
                <w:rFonts w:ascii="Times New Roman" w:hAnsi="Times New Roman"/>
                <w:color w:val="000000"/>
                <w:lang w:val="pt-BR"/>
              </w:rPr>
            </w:pPr>
            <w:r w:rsidRPr="002F2AAD">
              <w:rPr>
                <w:rFonts w:ascii="Times New Roman" w:hAnsi="Times New Roman"/>
                <w:noProof/>
                <w:color w:val="000000"/>
                <w:position w:val="-28"/>
                <w:lang w:val="pt-BR"/>
              </w:rPr>
              <w:object w:dxaOrig="3320" w:dyaOrig="660" w14:anchorId="2775980B">
                <v:shape id="_x0000_i1033" type="#_x0000_t75" alt="" style="width:113pt;height:24pt;mso-width-percent:0;mso-height-percent:0;mso-width-percent:0;mso-height-percent:0" o:ole="">
                  <v:imagedata r:id="rId62" o:title=""/>
                </v:shape>
                <o:OLEObject Type="Embed" ProgID="Equation.DSMT4" ShapeID="_x0000_i1033" DrawAspect="Content" ObjectID="_1748618910" r:id="rId63"/>
              </w:object>
            </w:r>
          </w:p>
          <w:p w14:paraId="6A83BEE9" w14:textId="77777777" w:rsidR="007E33D4" w:rsidRPr="007E33D4" w:rsidRDefault="007E33D4" w:rsidP="0025357E">
            <w:pPr>
              <w:pStyle w:val="TAMainText"/>
              <w:spacing w:line="240" w:lineRule="auto"/>
              <w:ind w:firstLine="0"/>
              <w:jc w:val="center"/>
              <w:rPr>
                <w:rFonts w:ascii="Times New Roman" w:hAnsi="Times New Roman"/>
                <w:sz w:val="6"/>
                <w:szCs w:val="6"/>
                <w:lang w:val="pt-BR"/>
              </w:rPr>
            </w:pPr>
          </w:p>
        </w:tc>
        <w:tc>
          <w:tcPr>
            <w:tcW w:w="972" w:type="dxa"/>
            <w:vAlign w:val="center"/>
          </w:tcPr>
          <w:p w14:paraId="5B3FE169" w14:textId="77777777" w:rsidR="00F84B9F" w:rsidRPr="00000B8E" w:rsidRDefault="00F84B9F" w:rsidP="009239FC">
            <w:pPr>
              <w:pStyle w:val="TAMainText"/>
              <w:spacing w:line="240" w:lineRule="auto"/>
              <w:ind w:firstLine="0"/>
              <w:jc w:val="right"/>
              <w:rPr>
                <w:position w:val="-24"/>
              </w:rPr>
            </w:pPr>
            <w:r w:rsidRPr="00000B8E">
              <w:rPr>
                <w:position w:val="-24"/>
              </w:rPr>
              <w:t>(</w:t>
            </w:r>
            <w:r w:rsidR="00381E75">
              <w:rPr>
                <w:position w:val="-24"/>
              </w:rPr>
              <w:t>6</w:t>
            </w:r>
            <w:r w:rsidRPr="00000B8E">
              <w:rPr>
                <w:position w:val="-24"/>
              </w:rPr>
              <w:t>)</w:t>
            </w:r>
          </w:p>
        </w:tc>
      </w:tr>
      <w:tr w:rsidR="00F84B9F" w14:paraId="63A1F0D8" w14:textId="77777777" w:rsidTr="1A2EB2A5">
        <w:tc>
          <w:tcPr>
            <w:tcW w:w="3936" w:type="dxa"/>
            <w:vAlign w:val="center"/>
          </w:tcPr>
          <w:p w14:paraId="6216A6C6" w14:textId="77777777" w:rsidR="00F84B9F" w:rsidRPr="00F84B9F" w:rsidRDefault="002F2AAD" w:rsidP="0025357E">
            <w:pPr>
              <w:pStyle w:val="TAMainText"/>
              <w:spacing w:line="240" w:lineRule="auto"/>
              <w:ind w:firstLine="0"/>
              <w:jc w:val="center"/>
              <w:rPr>
                <w:rFonts w:ascii="Times New Roman" w:hAnsi="Times New Roman"/>
                <w:color w:val="000000"/>
                <w:lang w:val="pt-BR"/>
              </w:rPr>
            </w:pPr>
            <w:r w:rsidRPr="002F2AAD">
              <w:rPr>
                <w:rFonts w:ascii="Times New Roman" w:hAnsi="Times New Roman"/>
                <w:noProof/>
                <w:position w:val="-28"/>
                <w:lang w:val="pt-BR"/>
              </w:rPr>
              <w:object w:dxaOrig="1860" w:dyaOrig="660" w14:anchorId="65569E96">
                <v:shape id="_x0000_i1032" type="#_x0000_t75" alt="" style="width:67pt;height:23pt;mso-width-percent:0;mso-height-percent:0;mso-width-percent:0;mso-height-percent:0" o:ole="">
                  <v:imagedata r:id="rId64" o:title=""/>
                </v:shape>
                <o:OLEObject Type="Embed" ProgID="Equation.DSMT4" ShapeID="_x0000_i1032" DrawAspect="Content" ObjectID="_1748618911" r:id="rId65"/>
              </w:object>
            </w:r>
          </w:p>
        </w:tc>
        <w:tc>
          <w:tcPr>
            <w:tcW w:w="972" w:type="dxa"/>
            <w:vAlign w:val="center"/>
          </w:tcPr>
          <w:p w14:paraId="1A08EE12" w14:textId="77777777" w:rsidR="00F84B9F" w:rsidRPr="00000B8E" w:rsidRDefault="00F84B9F" w:rsidP="009239FC">
            <w:pPr>
              <w:pStyle w:val="TAMainText"/>
              <w:spacing w:line="240" w:lineRule="auto"/>
              <w:ind w:firstLine="0"/>
              <w:jc w:val="right"/>
              <w:rPr>
                <w:position w:val="-24"/>
              </w:rPr>
            </w:pPr>
            <w:r w:rsidRPr="00000B8E">
              <w:rPr>
                <w:position w:val="-24"/>
              </w:rPr>
              <w:t>(</w:t>
            </w:r>
            <w:r w:rsidR="00381E75">
              <w:rPr>
                <w:position w:val="-24"/>
              </w:rPr>
              <w:t>7</w:t>
            </w:r>
            <w:r w:rsidRPr="00000B8E">
              <w:rPr>
                <w:position w:val="-24"/>
              </w:rPr>
              <w:t>)</w:t>
            </w:r>
          </w:p>
        </w:tc>
      </w:tr>
    </w:tbl>
    <w:p w14:paraId="56A1732C" w14:textId="77777777" w:rsidR="00793FE5" w:rsidRPr="00793FE5" w:rsidRDefault="00793FE5" w:rsidP="00793FE5">
      <w:pPr>
        <w:autoSpaceDE w:val="0"/>
        <w:autoSpaceDN w:val="0"/>
        <w:adjustRightInd w:val="0"/>
        <w:spacing w:after="0" w:line="240" w:lineRule="auto"/>
        <w:ind w:firstLine="204"/>
        <w:jc w:val="both"/>
        <w:rPr>
          <w:rFonts w:ascii="Times New Roman" w:hAnsi="Times New Roman" w:cs="Times New Roman"/>
          <w:sz w:val="10"/>
          <w:szCs w:val="10"/>
        </w:rPr>
      </w:pPr>
    </w:p>
    <w:p w14:paraId="0ACC3D9F" w14:textId="77777777" w:rsidR="00793FE5" w:rsidRDefault="00793FE5" w:rsidP="00793FE5">
      <w:pPr>
        <w:autoSpaceDE w:val="0"/>
        <w:autoSpaceDN w:val="0"/>
        <w:adjustRightInd w:val="0"/>
        <w:spacing w:after="0" w:line="240" w:lineRule="auto"/>
        <w:ind w:firstLine="204"/>
        <w:jc w:val="both"/>
        <w:rPr>
          <w:rFonts w:ascii="Times New Roman" w:hAnsi="Times New Roman" w:cs="Times New Roman"/>
          <w:sz w:val="20"/>
          <w:szCs w:val="20"/>
        </w:rPr>
      </w:pPr>
      <w:r w:rsidRPr="00DB662B">
        <w:rPr>
          <w:rFonts w:ascii="Times New Roman" w:hAnsi="Times New Roman" w:cs="Times New Roman"/>
          <w:sz w:val="20"/>
          <w:szCs w:val="20"/>
        </w:rPr>
        <w:t xml:space="preserve">Para comparar </w:t>
      </w:r>
      <w:r>
        <w:rPr>
          <w:rFonts w:ascii="Times New Roman" w:hAnsi="Times New Roman" w:cs="Times New Roman"/>
          <w:sz w:val="20"/>
          <w:szCs w:val="20"/>
        </w:rPr>
        <w:t>a seletividade e rendimento obtidos com os dados</w:t>
      </w:r>
      <w:r w:rsidRPr="00DB662B">
        <w:rPr>
          <w:rFonts w:ascii="Times New Roman" w:hAnsi="Times New Roman" w:cs="Times New Roman"/>
          <w:sz w:val="20"/>
          <w:szCs w:val="20"/>
        </w:rPr>
        <w:t xml:space="preserve"> </w:t>
      </w:r>
      <w:r>
        <w:rPr>
          <w:rFonts w:ascii="Times New Roman" w:hAnsi="Times New Roman" w:cs="Times New Roman"/>
          <w:sz w:val="20"/>
          <w:szCs w:val="20"/>
        </w:rPr>
        <w:t>experimentais com os obtidos pelo</w:t>
      </w:r>
      <w:r w:rsidRPr="00DB662B">
        <w:rPr>
          <w:rFonts w:ascii="Times New Roman" w:hAnsi="Times New Roman" w:cs="Times New Roman"/>
          <w:sz w:val="20"/>
          <w:szCs w:val="20"/>
        </w:rPr>
        <w:t xml:space="preserve"> </w:t>
      </w:r>
      <w:r w:rsidRPr="00793FE5">
        <w:rPr>
          <w:rFonts w:ascii="Times New Roman" w:hAnsi="Times New Roman" w:cs="Times New Roman"/>
          <w:sz w:val="20"/>
          <w:szCs w:val="20"/>
        </w:rPr>
        <w:t>modelo proposto</w:t>
      </w:r>
      <w:r>
        <w:rPr>
          <w:rFonts w:ascii="Times New Roman" w:hAnsi="Times New Roman" w:cs="Times New Roman"/>
          <w:sz w:val="20"/>
          <w:szCs w:val="20"/>
        </w:rPr>
        <w:t xml:space="preserve"> </w:t>
      </w:r>
      <w:r w:rsidRPr="00793FE5">
        <w:rPr>
          <w:rFonts w:ascii="Times New Roman" w:hAnsi="Times New Roman" w:cs="Times New Roman"/>
          <w:sz w:val="20"/>
          <w:szCs w:val="20"/>
        </w:rPr>
        <w:t>(Equações 4 e 5) considerando a presença de catalisador foi realizada uma análise estatística (Teste F).</w:t>
      </w:r>
    </w:p>
    <w:p w14:paraId="5864C00C" w14:textId="77777777" w:rsidR="007E33D4" w:rsidRDefault="007E33D4" w:rsidP="00FD133D">
      <w:pPr>
        <w:autoSpaceDE w:val="0"/>
        <w:autoSpaceDN w:val="0"/>
        <w:adjustRightInd w:val="0"/>
        <w:spacing w:after="0" w:line="240" w:lineRule="auto"/>
        <w:jc w:val="both"/>
        <w:rPr>
          <w:rFonts w:ascii="Times New Roman" w:hAnsi="Times New Roman" w:cs="Times New Roman"/>
          <w:i/>
          <w:sz w:val="20"/>
          <w:szCs w:val="20"/>
          <w:highlight w:val="yellow"/>
        </w:rPr>
      </w:pPr>
    </w:p>
    <w:p w14:paraId="2C286A8C" w14:textId="77777777" w:rsidR="00FD133D" w:rsidRPr="008B51F7" w:rsidRDefault="00FD133D" w:rsidP="00FD133D">
      <w:pPr>
        <w:autoSpaceDE w:val="0"/>
        <w:autoSpaceDN w:val="0"/>
        <w:adjustRightInd w:val="0"/>
        <w:spacing w:after="0" w:line="240" w:lineRule="auto"/>
        <w:jc w:val="both"/>
        <w:rPr>
          <w:rFonts w:ascii="Times New Roman" w:hAnsi="Times New Roman" w:cs="Times New Roman"/>
          <w:sz w:val="20"/>
          <w:szCs w:val="20"/>
        </w:rPr>
      </w:pPr>
      <w:r w:rsidRPr="008B51F7">
        <w:rPr>
          <w:rFonts w:ascii="Times New Roman" w:hAnsi="Times New Roman" w:cs="Times New Roman"/>
          <w:i/>
          <w:sz w:val="20"/>
          <w:szCs w:val="20"/>
        </w:rPr>
        <w:t xml:space="preserve">Análises cromatográficas </w:t>
      </w:r>
    </w:p>
    <w:p w14:paraId="16BF0EBD" w14:textId="6FBB7668" w:rsidR="002B3BEA" w:rsidRDefault="00FD133D" w:rsidP="001B6511">
      <w:pPr>
        <w:pStyle w:val="Textodecomentrio"/>
        <w:jc w:val="both"/>
        <w:rPr>
          <w:rFonts w:ascii="Times New Roman" w:eastAsia="Times New Roman" w:hAnsi="Times New Roman" w:cs="Times New Roman"/>
          <w:lang w:eastAsia="pt-BR"/>
        </w:rPr>
      </w:pPr>
      <w:r w:rsidRPr="008B51F7">
        <w:rPr>
          <w:rFonts w:ascii="Times New Roman" w:eastAsia="Times New Roman" w:hAnsi="Times New Roman" w:cs="Times New Roman"/>
          <w:lang w:eastAsia="pt-BR"/>
        </w:rPr>
        <w:t>As a</w:t>
      </w:r>
      <w:r w:rsidR="00DB662B" w:rsidRPr="008B51F7">
        <w:rPr>
          <w:rFonts w:ascii="Times New Roman" w:eastAsia="Times New Roman" w:hAnsi="Times New Roman" w:cs="Times New Roman"/>
          <w:lang w:eastAsia="pt-BR"/>
        </w:rPr>
        <w:t xml:space="preserve">mostras dos produtos de pirólise </w:t>
      </w:r>
      <w:r w:rsidRPr="008B51F7">
        <w:rPr>
          <w:rFonts w:ascii="Times New Roman" w:eastAsia="Times New Roman" w:hAnsi="Times New Roman" w:cs="Times New Roman"/>
          <w:lang w:eastAsia="pt-BR"/>
        </w:rPr>
        <w:t>foram</w:t>
      </w:r>
      <w:r w:rsidR="0004222C">
        <w:rPr>
          <w:rFonts w:ascii="Times New Roman" w:eastAsia="Times New Roman" w:hAnsi="Times New Roman" w:cs="Times New Roman"/>
          <w:lang w:eastAsia="pt-BR"/>
        </w:rPr>
        <w:t xml:space="preserve"> diluídas em </w:t>
      </w:r>
      <w:r w:rsidR="00200457">
        <w:rPr>
          <w:rFonts w:ascii="Times New Roman" w:eastAsia="Times New Roman" w:hAnsi="Times New Roman" w:cs="Times New Roman"/>
          <w:lang w:eastAsia="pt-BR"/>
        </w:rPr>
        <w:t>tolueno</w:t>
      </w:r>
      <w:r w:rsidR="002B3BEA">
        <w:rPr>
          <w:rFonts w:ascii="Times New Roman" w:eastAsia="Times New Roman" w:hAnsi="Times New Roman" w:cs="Times New Roman"/>
          <w:lang w:eastAsia="pt-BR"/>
        </w:rPr>
        <w:t xml:space="preserve">, </w:t>
      </w:r>
      <w:r w:rsidR="0004222C">
        <w:rPr>
          <w:rFonts w:ascii="Times New Roman" w:eastAsia="Times New Roman" w:hAnsi="Times New Roman" w:cs="Times New Roman"/>
          <w:lang w:eastAsia="pt-BR"/>
        </w:rPr>
        <w:t>grau cromatográfico</w:t>
      </w:r>
      <w:r w:rsidR="002B3BEA">
        <w:rPr>
          <w:rFonts w:ascii="Times New Roman" w:eastAsia="Times New Roman" w:hAnsi="Times New Roman" w:cs="Times New Roman"/>
          <w:lang w:eastAsia="pt-BR"/>
        </w:rPr>
        <w:t xml:space="preserve">, </w:t>
      </w:r>
      <w:r w:rsidR="00D3686D">
        <w:rPr>
          <w:rFonts w:ascii="Times New Roman" w:eastAsia="Times New Roman" w:hAnsi="Times New Roman" w:cs="Times New Roman"/>
          <w:lang w:eastAsia="pt-BR"/>
        </w:rPr>
        <w:t>(</w:t>
      </w:r>
      <w:r w:rsidR="002B3BEA">
        <w:rPr>
          <w:rFonts w:ascii="Times New Roman" w:eastAsia="Times New Roman" w:hAnsi="Times New Roman" w:cs="Times New Roman"/>
          <w:lang w:eastAsia="pt-BR"/>
        </w:rPr>
        <w:t>0,1 g/mL</w:t>
      </w:r>
      <w:r w:rsidR="00D3686D">
        <w:rPr>
          <w:rFonts w:ascii="Times New Roman" w:eastAsia="Times New Roman" w:hAnsi="Times New Roman" w:cs="Times New Roman"/>
          <w:lang w:eastAsia="pt-BR"/>
        </w:rPr>
        <w:t>)</w:t>
      </w:r>
      <w:r w:rsidR="0004222C">
        <w:rPr>
          <w:rFonts w:ascii="Times New Roman" w:eastAsia="Times New Roman" w:hAnsi="Times New Roman" w:cs="Times New Roman"/>
          <w:lang w:eastAsia="pt-BR"/>
        </w:rPr>
        <w:t xml:space="preserve"> e</w:t>
      </w:r>
      <w:r w:rsidRPr="008B51F7">
        <w:rPr>
          <w:rFonts w:ascii="Times New Roman" w:eastAsia="Times New Roman" w:hAnsi="Times New Roman" w:cs="Times New Roman"/>
          <w:lang w:eastAsia="pt-BR"/>
        </w:rPr>
        <w:t xml:space="preserve"> </w:t>
      </w:r>
      <w:r w:rsidR="00D3686D">
        <w:rPr>
          <w:rFonts w:ascii="Times New Roman" w:eastAsia="Times New Roman" w:hAnsi="Times New Roman" w:cs="Times New Roman"/>
          <w:lang w:eastAsia="pt-BR"/>
        </w:rPr>
        <w:t xml:space="preserve">analisados </w:t>
      </w:r>
      <w:r w:rsidR="00D3686D" w:rsidRPr="00D3686D">
        <w:rPr>
          <w:rFonts w:ascii="Times New Roman" w:eastAsia="Times New Roman" w:hAnsi="Times New Roman" w:cs="Times New Roman"/>
          <w:lang w:eastAsia="pt-BR"/>
        </w:rPr>
        <w:t>por</w:t>
      </w:r>
      <w:r w:rsidR="00D3686D">
        <w:rPr>
          <w:rFonts w:ascii="Times New Roman" w:eastAsia="Times New Roman" w:hAnsi="Times New Roman" w:cs="Times New Roman"/>
          <w:lang w:eastAsia="pt-BR"/>
        </w:rPr>
        <w:t xml:space="preserve"> </w:t>
      </w:r>
      <w:r w:rsidR="00D3686D" w:rsidRPr="00D3686D">
        <w:rPr>
          <w:rFonts w:ascii="Times New Roman" w:eastAsia="Times New Roman" w:hAnsi="Times New Roman" w:cs="Times New Roman"/>
          <w:lang w:eastAsia="pt-BR"/>
        </w:rPr>
        <w:t>CG-MS</w:t>
      </w:r>
      <w:r w:rsidR="00B7601C">
        <w:rPr>
          <w:rFonts w:ascii="Times New Roman" w:eastAsia="Times New Roman" w:hAnsi="Times New Roman" w:cs="Times New Roman"/>
          <w:lang w:eastAsia="pt-BR"/>
        </w:rPr>
        <w:t xml:space="preserve"> em</w:t>
      </w:r>
      <w:r w:rsidR="00D3686D">
        <w:rPr>
          <w:rFonts w:ascii="Times New Roman" w:eastAsia="Times New Roman" w:hAnsi="Times New Roman" w:cs="Times New Roman"/>
          <w:lang w:eastAsia="pt-BR"/>
        </w:rPr>
        <w:t xml:space="preserve"> cromatógrafo</w:t>
      </w:r>
      <w:r w:rsidR="002B3BEA">
        <w:rPr>
          <w:rFonts w:ascii="Times New Roman" w:eastAsia="Times New Roman" w:hAnsi="Times New Roman" w:cs="Times New Roman"/>
          <w:lang w:eastAsia="pt-BR"/>
        </w:rPr>
        <w:t xml:space="preserve"> </w:t>
      </w:r>
      <w:r w:rsidR="002B3BEA" w:rsidRPr="008B51F7">
        <w:rPr>
          <w:rFonts w:ascii="Times New Roman" w:eastAsia="Times New Roman" w:hAnsi="Times New Roman" w:cs="Times New Roman"/>
          <w:lang w:eastAsia="pt-BR"/>
        </w:rPr>
        <w:t>Shimadzu</w:t>
      </w:r>
      <w:r w:rsidR="002B3BEA">
        <w:rPr>
          <w:rFonts w:ascii="Times New Roman" w:eastAsia="Times New Roman" w:hAnsi="Times New Roman" w:cs="Times New Roman"/>
          <w:lang w:eastAsia="pt-BR"/>
        </w:rPr>
        <w:t xml:space="preserve"> (CG</w:t>
      </w:r>
      <w:r w:rsidRPr="008B51F7">
        <w:rPr>
          <w:rFonts w:ascii="Times New Roman" w:eastAsia="Times New Roman" w:hAnsi="Times New Roman" w:cs="Times New Roman"/>
          <w:lang w:eastAsia="pt-BR"/>
        </w:rPr>
        <w:t>-MS</w:t>
      </w:r>
      <w:r w:rsidR="002B3BEA">
        <w:rPr>
          <w:rFonts w:ascii="Times New Roman" w:eastAsia="Times New Roman" w:hAnsi="Times New Roman" w:cs="Times New Roman"/>
          <w:lang w:eastAsia="pt-BR"/>
        </w:rPr>
        <w:t>-</w:t>
      </w:r>
      <w:r w:rsidR="008B51F7" w:rsidRPr="008B51F7">
        <w:rPr>
          <w:rFonts w:ascii="Times New Roman" w:eastAsia="Times New Roman" w:hAnsi="Times New Roman" w:cs="Times New Roman"/>
          <w:lang w:eastAsia="pt-BR"/>
        </w:rPr>
        <w:t>QP2010 SE</w:t>
      </w:r>
      <w:r w:rsidR="002B3BEA">
        <w:rPr>
          <w:rFonts w:ascii="Times New Roman" w:eastAsia="Times New Roman" w:hAnsi="Times New Roman" w:cs="Times New Roman"/>
          <w:lang w:eastAsia="pt-BR"/>
        </w:rPr>
        <w:t>)</w:t>
      </w:r>
      <w:r w:rsidR="007F5459">
        <w:rPr>
          <w:rFonts w:ascii="Times New Roman" w:eastAsia="Times New Roman" w:hAnsi="Times New Roman" w:cs="Times New Roman"/>
          <w:lang w:eastAsia="pt-BR"/>
        </w:rPr>
        <w:t xml:space="preserve">; coluna HP5-MS </w:t>
      </w:r>
      <w:r w:rsidR="007F5459" w:rsidRPr="002B3BEA">
        <w:rPr>
          <w:rFonts w:ascii="Times New Roman" w:eastAsia="Times New Roman" w:hAnsi="Times New Roman" w:cs="Times New Roman"/>
          <w:lang w:eastAsia="pt-BR"/>
        </w:rPr>
        <w:t xml:space="preserve">MS (30 m </w:t>
      </w:r>
      <w:r w:rsidR="007F5459">
        <w:rPr>
          <w:rFonts w:ascii="Times New Roman" w:eastAsia="Times New Roman" w:hAnsi="Times New Roman" w:cs="Times New Roman"/>
          <w:lang w:eastAsia="pt-BR"/>
        </w:rPr>
        <w:t>x</w:t>
      </w:r>
      <w:r w:rsidR="007F5459" w:rsidRPr="002B3BEA">
        <w:rPr>
          <w:rFonts w:ascii="Times New Roman" w:eastAsia="Times New Roman" w:hAnsi="Times New Roman" w:cs="Times New Roman"/>
          <w:lang w:eastAsia="pt-BR"/>
        </w:rPr>
        <w:t xml:space="preserve"> 0,250 mm x 0,25 µm)</w:t>
      </w:r>
      <w:r w:rsidR="00B7601C">
        <w:rPr>
          <w:rFonts w:ascii="Times New Roman" w:eastAsia="Times New Roman" w:hAnsi="Times New Roman" w:cs="Times New Roman"/>
          <w:lang w:eastAsia="pt-BR"/>
        </w:rPr>
        <w:t>. O</w:t>
      </w:r>
      <w:r w:rsidR="00D3686D">
        <w:rPr>
          <w:rFonts w:ascii="Times New Roman" w:eastAsia="Times New Roman" w:hAnsi="Times New Roman" w:cs="Times New Roman"/>
          <w:lang w:eastAsia="pt-BR"/>
        </w:rPr>
        <w:t xml:space="preserve"> gás de arraste foi o</w:t>
      </w:r>
      <w:r w:rsidR="007F5459">
        <w:rPr>
          <w:rFonts w:ascii="Times New Roman" w:eastAsia="Times New Roman" w:hAnsi="Times New Roman" w:cs="Times New Roman"/>
          <w:lang w:eastAsia="pt-BR"/>
        </w:rPr>
        <w:t xml:space="preserve"> He (57,4 kPa; </w:t>
      </w:r>
      <w:r w:rsidR="007F5459" w:rsidRPr="002B3BEA">
        <w:rPr>
          <w:rFonts w:ascii="Times New Roman" w:eastAsia="Times New Roman" w:hAnsi="Times New Roman" w:cs="Times New Roman"/>
          <w:lang w:eastAsia="pt-BR"/>
        </w:rPr>
        <w:t>fluxo de entrada</w:t>
      </w:r>
      <w:r w:rsidR="00B7601C">
        <w:rPr>
          <w:rFonts w:ascii="Times New Roman" w:eastAsia="Times New Roman" w:hAnsi="Times New Roman" w:cs="Times New Roman"/>
          <w:lang w:eastAsia="pt-BR"/>
        </w:rPr>
        <w:t xml:space="preserve"> de</w:t>
      </w:r>
      <w:r w:rsidR="007F5459" w:rsidRPr="002B3BEA">
        <w:rPr>
          <w:rFonts w:ascii="Times New Roman" w:eastAsia="Times New Roman" w:hAnsi="Times New Roman" w:cs="Times New Roman"/>
          <w:lang w:eastAsia="pt-BR"/>
        </w:rPr>
        <w:t xml:space="preserve"> </w:t>
      </w:r>
      <w:r w:rsidR="001B6511">
        <w:rPr>
          <w:rFonts w:ascii="Times New Roman" w:eastAsia="Times New Roman" w:hAnsi="Times New Roman" w:cs="Times New Roman"/>
          <w:lang w:eastAsia="pt-BR"/>
        </w:rPr>
        <w:t>1,05</w:t>
      </w:r>
      <w:r w:rsidR="007F5459" w:rsidRPr="002B3BEA">
        <w:rPr>
          <w:rFonts w:ascii="Times New Roman" w:eastAsia="Times New Roman" w:hAnsi="Times New Roman" w:cs="Times New Roman"/>
          <w:lang w:eastAsia="pt-BR"/>
        </w:rPr>
        <w:t xml:space="preserve"> mL/min</w:t>
      </w:r>
      <w:r w:rsidR="00B7601C">
        <w:rPr>
          <w:rFonts w:ascii="Times New Roman" w:eastAsia="Times New Roman" w:hAnsi="Times New Roman" w:cs="Times New Roman"/>
          <w:lang w:eastAsia="pt-BR"/>
        </w:rPr>
        <w:t xml:space="preserve">, </w:t>
      </w:r>
      <w:r w:rsidR="007F5459" w:rsidRPr="002B3BEA">
        <w:rPr>
          <w:rFonts w:ascii="Times New Roman" w:eastAsia="Times New Roman" w:hAnsi="Times New Roman" w:cs="Times New Roman"/>
          <w:lang w:eastAsia="pt-BR"/>
        </w:rPr>
        <w:t xml:space="preserve">fluxo total </w:t>
      </w:r>
      <w:r w:rsidR="00B7601C">
        <w:rPr>
          <w:rFonts w:ascii="Times New Roman" w:eastAsia="Times New Roman" w:hAnsi="Times New Roman" w:cs="Times New Roman"/>
          <w:lang w:eastAsia="pt-BR"/>
        </w:rPr>
        <w:t xml:space="preserve">de </w:t>
      </w:r>
      <w:r w:rsidR="001B6511">
        <w:rPr>
          <w:rFonts w:ascii="Times New Roman" w:eastAsia="Times New Roman" w:hAnsi="Times New Roman" w:cs="Times New Roman"/>
          <w:lang w:eastAsia="pt-BR"/>
        </w:rPr>
        <w:t>112,2</w:t>
      </w:r>
      <w:r w:rsidR="007F5459" w:rsidRPr="002B3BEA">
        <w:rPr>
          <w:rFonts w:ascii="Times New Roman" w:eastAsia="Times New Roman" w:hAnsi="Times New Roman" w:cs="Times New Roman"/>
          <w:lang w:eastAsia="pt-BR"/>
        </w:rPr>
        <w:t xml:space="preserve"> mL/min</w:t>
      </w:r>
      <w:r w:rsidR="00B7601C">
        <w:rPr>
          <w:rFonts w:ascii="Times New Roman" w:eastAsia="Times New Roman" w:hAnsi="Times New Roman" w:cs="Times New Roman"/>
          <w:lang w:eastAsia="pt-BR"/>
        </w:rPr>
        <w:t xml:space="preserve"> e split 1:100</w:t>
      </w:r>
      <w:r w:rsidR="001B6511">
        <w:rPr>
          <w:rFonts w:ascii="Times New Roman" w:eastAsia="Times New Roman" w:hAnsi="Times New Roman" w:cs="Times New Roman"/>
          <w:lang w:eastAsia="pt-BR"/>
        </w:rPr>
        <w:t xml:space="preserve">). </w:t>
      </w:r>
      <w:r w:rsidR="007F5459" w:rsidRPr="002B3BEA">
        <w:rPr>
          <w:rFonts w:ascii="Times New Roman" w:eastAsia="Times New Roman" w:hAnsi="Times New Roman" w:cs="Times New Roman"/>
          <w:lang w:eastAsia="pt-BR"/>
        </w:rPr>
        <w:t xml:space="preserve">O </w:t>
      </w:r>
      <w:r w:rsidR="00B7601C">
        <w:rPr>
          <w:rFonts w:ascii="Times New Roman" w:eastAsia="Times New Roman" w:hAnsi="Times New Roman" w:cs="Times New Roman"/>
          <w:lang w:eastAsia="pt-BR"/>
        </w:rPr>
        <w:t>aquecimento</w:t>
      </w:r>
      <w:r w:rsidR="007F5459" w:rsidRPr="002B3BEA">
        <w:rPr>
          <w:rFonts w:ascii="Times New Roman" w:eastAsia="Times New Roman" w:hAnsi="Times New Roman" w:cs="Times New Roman"/>
          <w:lang w:eastAsia="pt-BR"/>
        </w:rPr>
        <w:t xml:space="preserve"> foi: </w:t>
      </w:r>
      <w:r w:rsidR="001B6511">
        <w:rPr>
          <w:rFonts w:ascii="Times New Roman" w:eastAsia="Times New Roman" w:hAnsi="Times New Roman" w:cs="Times New Roman"/>
          <w:lang w:eastAsia="pt-BR"/>
        </w:rPr>
        <w:t>5</w:t>
      </w:r>
      <w:r w:rsidR="007F5459" w:rsidRPr="002B3BEA">
        <w:rPr>
          <w:rFonts w:ascii="Times New Roman" w:eastAsia="Times New Roman" w:hAnsi="Times New Roman" w:cs="Times New Roman"/>
          <w:lang w:eastAsia="pt-BR"/>
        </w:rPr>
        <w:t>0</w:t>
      </w:r>
      <w:r w:rsidR="001B6511">
        <w:rPr>
          <w:rFonts w:ascii="Times New Roman" w:eastAsia="Times New Roman" w:hAnsi="Times New Roman" w:cs="Times New Roman"/>
          <w:lang w:eastAsia="pt-BR"/>
        </w:rPr>
        <w:t xml:space="preserve"> </w:t>
      </w:r>
      <w:r w:rsidR="007F5459" w:rsidRPr="002B3BEA">
        <w:rPr>
          <w:rFonts w:ascii="Times New Roman" w:eastAsia="Times New Roman" w:hAnsi="Times New Roman" w:cs="Times New Roman"/>
          <w:lang w:eastAsia="pt-BR"/>
        </w:rPr>
        <w:t>°C (</w:t>
      </w:r>
      <w:r w:rsidR="001B6511">
        <w:rPr>
          <w:rFonts w:ascii="Times New Roman" w:eastAsia="Times New Roman" w:hAnsi="Times New Roman" w:cs="Times New Roman"/>
          <w:lang w:eastAsia="pt-BR"/>
        </w:rPr>
        <w:t>1</w:t>
      </w:r>
      <w:r w:rsidR="007F5459" w:rsidRPr="002B3BEA">
        <w:rPr>
          <w:rFonts w:ascii="Times New Roman" w:eastAsia="Times New Roman" w:hAnsi="Times New Roman" w:cs="Times New Roman"/>
          <w:lang w:eastAsia="pt-BR"/>
        </w:rPr>
        <w:t xml:space="preserve"> min) a 1</w:t>
      </w:r>
      <w:r w:rsidR="001B6511">
        <w:rPr>
          <w:rFonts w:ascii="Times New Roman" w:eastAsia="Times New Roman" w:hAnsi="Times New Roman" w:cs="Times New Roman"/>
          <w:lang w:eastAsia="pt-BR"/>
        </w:rPr>
        <w:t>2</w:t>
      </w:r>
      <w:r w:rsidR="007F5459" w:rsidRPr="002B3BEA">
        <w:rPr>
          <w:rFonts w:ascii="Times New Roman" w:eastAsia="Times New Roman" w:hAnsi="Times New Roman" w:cs="Times New Roman"/>
          <w:lang w:eastAsia="pt-BR"/>
        </w:rPr>
        <w:t>0</w:t>
      </w:r>
      <w:r w:rsidR="001B6511">
        <w:rPr>
          <w:rFonts w:ascii="Times New Roman" w:eastAsia="Times New Roman" w:hAnsi="Times New Roman" w:cs="Times New Roman"/>
          <w:lang w:eastAsia="pt-BR"/>
        </w:rPr>
        <w:t xml:space="preserve"> </w:t>
      </w:r>
      <w:r w:rsidR="007F5459" w:rsidRPr="002B3BEA">
        <w:rPr>
          <w:rFonts w:ascii="Times New Roman" w:eastAsia="Times New Roman" w:hAnsi="Times New Roman" w:cs="Times New Roman"/>
          <w:lang w:eastAsia="pt-BR"/>
        </w:rPr>
        <w:t xml:space="preserve">°C à </w:t>
      </w:r>
      <w:r w:rsidR="001B6511">
        <w:rPr>
          <w:rFonts w:ascii="Times New Roman" w:eastAsia="Times New Roman" w:hAnsi="Times New Roman" w:cs="Times New Roman"/>
          <w:lang w:eastAsia="pt-BR"/>
        </w:rPr>
        <w:t xml:space="preserve">10 </w:t>
      </w:r>
      <w:r w:rsidR="007F5459" w:rsidRPr="002B3BEA">
        <w:rPr>
          <w:rFonts w:ascii="Times New Roman" w:eastAsia="Times New Roman" w:hAnsi="Times New Roman" w:cs="Times New Roman"/>
          <w:lang w:eastAsia="pt-BR"/>
        </w:rPr>
        <w:t>°C/min, 1</w:t>
      </w:r>
      <w:r w:rsidR="001B6511">
        <w:rPr>
          <w:rFonts w:ascii="Times New Roman" w:eastAsia="Times New Roman" w:hAnsi="Times New Roman" w:cs="Times New Roman"/>
          <w:lang w:eastAsia="pt-BR"/>
        </w:rPr>
        <w:t>4</w:t>
      </w:r>
      <w:r w:rsidR="007F5459" w:rsidRPr="002B3BEA">
        <w:rPr>
          <w:rFonts w:ascii="Times New Roman" w:eastAsia="Times New Roman" w:hAnsi="Times New Roman" w:cs="Times New Roman"/>
          <w:lang w:eastAsia="pt-BR"/>
        </w:rPr>
        <w:t>0-2</w:t>
      </w:r>
      <w:r w:rsidR="001B6511">
        <w:rPr>
          <w:rFonts w:ascii="Times New Roman" w:eastAsia="Times New Roman" w:hAnsi="Times New Roman" w:cs="Times New Roman"/>
          <w:lang w:eastAsia="pt-BR"/>
        </w:rPr>
        <w:t>5</w:t>
      </w:r>
      <w:r w:rsidR="007F5459" w:rsidRPr="002B3BEA">
        <w:rPr>
          <w:rFonts w:ascii="Times New Roman" w:eastAsia="Times New Roman" w:hAnsi="Times New Roman" w:cs="Times New Roman"/>
          <w:lang w:eastAsia="pt-BR"/>
        </w:rPr>
        <w:t xml:space="preserve">0°C à </w:t>
      </w:r>
      <w:r w:rsidR="001B6511">
        <w:rPr>
          <w:rFonts w:ascii="Times New Roman" w:eastAsia="Times New Roman" w:hAnsi="Times New Roman" w:cs="Times New Roman"/>
          <w:lang w:eastAsia="pt-BR"/>
        </w:rPr>
        <w:t xml:space="preserve">15 </w:t>
      </w:r>
      <w:r w:rsidR="007F5459" w:rsidRPr="002B3BEA">
        <w:rPr>
          <w:rFonts w:ascii="Times New Roman" w:eastAsia="Times New Roman" w:hAnsi="Times New Roman" w:cs="Times New Roman"/>
          <w:lang w:eastAsia="pt-BR"/>
        </w:rPr>
        <w:t>°C/min, 250</w:t>
      </w:r>
      <w:r w:rsidR="001B6511">
        <w:rPr>
          <w:rFonts w:ascii="Times New Roman" w:eastAsia="Times New Roman" w:hAnsi="Times New Roman" w:cs="Times New Roman"/>
          <w:lang w:eastAsia="pt-BR"/>
        </w:rPr>
        <w:t xml:space="preserve"> </w:t>
      </w:r>
      <w:r w:rsidR="007F5459" w:rsidRPr="002B3BEA">
        <w:rPr>
          <w:rFonts w:ascii="Times New Roman" w:eastAsia="Times New Roman" w:hAnsi="Times New Roman" w:cs="Times New Roman"/>
          <w:lang w:eastAsia="pt-BR"/>
        </w:rPr>
        <w:t>°C (</w:t>
      </w:r>
      <w:r w:rsidR="001B6511">
        <w:rPr>
          <w:rFonts w:ascii="Times New Roman" w:eastAsia="Times New Roman" w:hAnsi="Times New Roman" w:cs="Times New Roman"/>
          <w:lang w:eastAsia="pt-BR"/>
        </w:rPr>
        <w:t>2</w:t>
      </w:r>
      <w:r w:rsidR="007F5459" w:rsidRPr="002B3BEA">
        <w:rPr>
          <w:rFonts w:ascii="Times New Roman" w:eastAsia="Times New Roman" w:hAnsi="Times New Roman" w:cs="Times New Roman"/>
          <w:lang w:eastAsia="pt-BR"/>
        </w:rPr>
        <w:t xml:space="preserve">0 min). </w:t>
      </w:r>
      <w:r w:rsidR="00B7601C" w:rsidRPr="00B7601C">
        <w:rPr>
          <w:rFonts w:ascii="Times New Roman" w:eastAsia="Times New Roman" w:hAnsi="Times New Roman" w:cs="Times New Roman"/>
          <w:lang w:eastAsia="pt-BR"/>
        </w:rPr>
        <w:t>A temperatura do injetor e do detector foram mantidas a 250 °C.</w:t>
      </w:r>
      <w:r w:rsidR="00B7601C">
        <w:rPr>
          <w:rFonts w:ascii="Times New Roman" w:eastAsia="Times New Roman" w:hAnsi="Times New Roman" w:cs="Times New Roman"/>
          <w:lang w:eastAsia="pt-BR"/>
        </w:rPr>
        <w:t xml:space="preserve"> </w:t>
      </w:r>
      <w:r w:rsidR="00B7601C" w:rsidRPr="00B7601C">
        <w:rPr>
          <w:rFonts w:ascii="Times New Roman" w:eastAsia="Times New Roman" w:hAnsi="Times New Roman" w:cs="Times New Roman"/>
          <w:lang w:eastAsia="pt-BR"/>
        </w:rPr>
        <w:t xml:space="preserve">Os espectros de massa foram obtidos por ionização eletrônica na faixa de m/z </w:t>
      </w:r>
      <w:r w:rsidR="001B6511">
        <w:rPr>
          <w:rFonts w:ascii="Times New Roman" w:eastAsia="Times New Roman" w:hAnsi="Times New Roman" w:cs="Times New Roman"/>
          <w:lang w:eastAsia="pt-BR"/>
        </w:rPr>
        <w:t xml:space="preserve">50 – 400 </w:t>
      </w:r>
      <w:r w:rsidR="001B6511" w:rsidRPr="002B3BEA">
        <w:rPr>
          <w:rFonts w:ascii="Times New Roman" w:eastAsia="Times New Roman" w:hAnsi="Times New Roman" w:cs="Times New Roman"/>
          <w:lang w:eastAsia="pt-BR"/>
        </w:rPr>
        <w:t>eV, a temperatura da fonte de íon foi mantida em 2</w:t>
      </w:r>
      <w:r w:rsidR="001B6511">
        <w:rPr>
          <w:rFonts w:ascii="Times New Roman" w:eastAsia="Times New Roman" w:hAnsi="Times New Roman" w:cs="Times New Roman"/>
          <w:lang w:eastAsia="pt-BR"/>
        </w:rPr>
        <w:t>0</w:t>
      </w:r>
      <w:r w:rsidR="001B6511" w:rsidRPr="002B3BEA">
        <w:rPr>
          <w:rFonts w:ascii="Times New Roman" w:eastAsia="Times New Roman" w:hAnsi="Times New Roman" w:cs="Times New Roman"/>
          <w:lang w:eastAsia="pt-BR"/>
        </w:rPr>
        <w:t>0 °C.</w:t>
      </w:r>
      <w:r w:rsidR="001B6511">
        <w:rPr>
          <w:rFonts w:ascii="Times New Roman" w:eastAsia="Times New Roman" w:hAnsi="Times New Roman" w:cs="Times New Roman"/>
          <w:lang w:eastAsia="pt-BR"/>
        </w:rPr>
        <w:t xml:space="preserve"> </w:t>
      </w:r>
      <w:r w:rsidR="00B7601C">
        <w:rPr>
          <w:rFonts w:ascii="Times New Roman" w:eastAsia="Times New Roman" w:hAnsi="Times New Roman" w:cs="Times New Roman"/>
          <w:lang w:eastAsia="pt-BR"/>
        </w:rPr>
        <w:t>Com base nos</w:t>
      </w:r>
      <w:r w:rsidR="001B6511">
        <w:rPr>
          <w:rFonts w:ascii="Times New Roman" w:eastAsia="Times New Roman" w:hAnsi="Times New Roman" w:cs="Times New Roman"/>
          <w:lang w:eastAsia="pt-BR"/>
        </w:rPr>
        <w:t xml:space="preserve"> cromatogramas obtidos</w:t>
      </w:r>
      <w:r w:rsidR="001B6511" w:rsidRPr="008B51F7">
        <w:rPr>
          <w:rFonts w:ascii="Times New Roman" w:eastAsia="Times New Roman" w:hAnsi="Times New Roman" w:cs="Times New Roman"/>
          <w:lang w:eastAsia="pt-BR"/>
        </w:rPr>
        <w:t xml:space="preserve"> foi determinada a fração (por porcentagem de área) de cada componente presente no produto da pirólise.</w:t>
      </w:r>
      <w:r w:rsidR="001B6511">
        <w:rPr>
          <w:rFonts w:ascii="Times New Roman" w:eastAsia="Times New Roman" w:hAnsi="Times New Roman" w:cs="Times New Roman"/>
          <w:lang w:eastAsia="pt-BR"/>
        </w:rPr>
        <w:t xml:space="preserve"> </w:t>
      </w:r>
      <w:r w:rsidR="0004222C">
        <w:rPr>
          <w:rFonts w:ascii="Times New Roman" w:eastAsia="Times New Roman" w:hAnsi="Times New Roman" w:cs="Times New Roman"/>
          <w:lang w:eastAsia="pt-BR"/>
        </w:rPr>
        <w:t>Para a identificação dos compostos identificados foi utilizada a biblioteca NIST</w:t>
      </w:r>
      <w:r w:rsidR="00B7601C">
        <w:rPr>
          <w:rFonts w:ascii="Times New Roman" w:eastAsia="Times New Roman" w:hAnsi="Times New Roman" w:cs="Times New Roman"/>
          <w:lang w:eastAsia="pt-BR"/>
        </w:rPr>
        <w:t xml:space="preserve">, sendo </w:t>
      </w:r>
      <w:r w:rsidR="0004222C">
        <w:rPr>
          <w:rFonts w:ascii="Times New Roman" w:eastAsia="Times New Roman" w:hAnsi="Times New Roman" w:cs="Times New Roman"/>
          <w:lang w:eastAsia="pt-BR"/>
        </w:rPr>
        <w:t>considerados os que possuíam similaridade igual ou superior a 90%.</w:t>
      </w:r>
    </w:p>
    <w:p w14:paraId="3AA52ECB"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6E00FC2F" w14:textId="77777777" w:rsidR="004E79DB" w:rsidRDefault="004E79DB" w:rsidP="00472414">
      <w:pPr>
        <w:pStyle w:val="Default"/>
        <w:ind w:firstLine="227"/>
        <w:jc w:val="both"/>
        <w:rPr>
          <w:rFonts w:ascii="Times New Roman" w:hAnsi="Times New Roman" w:cs="Times New Roman"/>
          <w:sz w:val="20"/>
          <w:szCs w:val="20"/>
        </w:rPr>
      </w:pPr>
    </w:p>
    <w:p w14:paraId="36D77A21" w14:textId="77777777" w:rsidR="00E305AB" w:rsidRDefault="00E305AB" w:rsidP="00472414">
      <w:pPr>
        <w:pStyle w:val="Default"/>
        <w:ind w:firstLine="227"/>
        <w:jc w:val="both"/>
        <w:rPr>
          <w:rFonts w:ascii="Times New Roman" w:hAnsi="Times New Roman" w:cs="Times New Roman"/>
          <w:sz w:val="20"/>
          <w:szCs w:val="20"/>
        </w:rPr>
      </w:pPr>
      <w:r>
        <w:rPr>
          <w:rFonts w:ascii="Times New Roman" w:hAnsi="Times New Roman" w:cs="Times New Roman"/>
          <w:sz w:val="20"/>
          <w:szCs w:val="20"/>
        </w:rPr>
        <w:t xml:space="preserve">Para comparar a isomerização térmica </w:t>
      </w:r>
      <w:r w:rsidRPr="00E305AB">
        <w:rPr>
          <w:rFonts w:ascii="Times New Roman" w:hAnsi="Times New Roman" w:cs="Times New Roman"/>
          <w:sz w:val="20"/>
          <w:szCs w:val="20"/>
        </w:rPr>
        <w:t xml:space="preserve">do </w:t>
      </w:r>
      <w:r w:rsidRPr="00164963">
        <w:rPr>
          <w:rFonts w:ascii="Times New Roman" w:hAnsi="Times New Roman" w:cs="Times New Roman"/>
          <w:i/>
          <w:sz w:val="20"/>
          <w:szCs w:val="20"/>
        </w:rPr>
        <w:t>β</w:t>
      </w:r>
      <w:r w:rsidRPr="00E305AB">
        <w:rPr>
          <w:rFonts w:ascii="Times New Roman" w:hAnsi="Times New Roman" w:cs="Times New Roman"/>
          <w:sz w:val="20"/>
          <w:szCs w:val="20"/>
        </w:rPr>
        <w:t>-pineno</w:t>
      </w:r>
      <w:r>
        <w:rPr>
          <w:rFonts w:ascii="Times New Roman" w:hAnsi="Times New Roman" w:cs="Times New Roman"/>
          <w:sz w:val="20"/>
          <w:szCs w:val="20"/>
        </w:rPr>
        <w:t xml:space="preserve"> com e sem catalisador a base de cobre foram realizados ensaios com as mesmas condições de vazão de alimentação e temperatura do forno (500</w:t>
      </w:r>
      <w:r w:rsidR="00FB5230">
        <w:rPr>
          <w:rFonts w:ascii="Times New Roman" w:hAnsi="Times New Roman" w:cs="Times New Roman"/>
          <w:sz w:val="20"/>
          <w:szCs w:val="20"/>
        </w:rPr>
        <w:t xml:space="preserve"> </w:t>
      </w:r>
      <w:r w:rsidRPr="00E305AB">
        <w:rPr>
          <w:rFonts w:ascii="Times New Roman" w:hAnsi="Times New Roman" w:cs="Times New Roman"/>
          <w:sz w:val="20"/>
          <w:szCs w:val="20"/>
          <w:vertAlign w:val="superscript"/>
        </w:rPr>
        <w:t>o</w:t>
      </w:r>
      <w:r>
        <w:rPr>
          <w:rFonts w:ascii="Times New Roman" w:hAnsi="Times New Roman" w:cs="Times New Roman"/>
          <w:sz w:val="20"/>
          <w:szCs w:val="20"/>
        </w:rPr>
        <w:t xml:space="preserve">C). Os melhores resultados </w:t>
      </w:r>
      <w:r w:rsidR="00177E20">
        <w:rPr>
          <w:rFonts w:ascii="Times New Roman" w:hAnsi="Times New Roman" w:cs="Times New Roman"/>
          <w:sz w:val="20"/>
          <w:szCs w:val="20"/>
        </w:rPr>
        <w:t xml:space="preserve">(Tabela 1) </w:t>
      </w:r>
      <w:r>
        <w:rPr>
          <w:rFonts w:ascii="Times New Roman" w:hAnsi="Times New Roman" w:cs="Times New Roman"/>
          <w:sz w:val="20"/>
          <w:szCs w:val="20"/>
        </w:rPr>
        <w:t>foram obtidos para a vazão de 10,6 mL</w:t>
      </w:r>
      <w:r w:rsidR="00177E20">
        <w:rPr>
          <w:rFonts w:ascii="Times New Roman" w:hAnsi="Times New Roman" w:cs="Times New Roman"/>
          <w:sz w:val="20"/>
          <w:szCs w:val="20"/>
        </w:rPr>
        <w:t xml:space="preserve">/min, ou seja, </w:t>
      </w:r>
      <w:r w:rsidR="00177E20" w:rsidRPr="00876B13">
        <w:rPr>
          <w:rFonts w:ascii="Times New Roman" w:hAnsi="Times New Roman" w:cs="Times New Roman"/>
          <w:sz w:val="20"/>
          <w:szCs w:val="20"/>
        </w:rPr>
        <w:t>216 ms</w:t>
      </w:r>
      <w:r w:rsidR="00177E20">
        <w:rPr>
          <w:rFonts w:ascii="Times New Roman" w:hAnsi="Times New Roman" w:cs="Times New Roman"/>
          <w:sz w:val="20"/>
          <w:szCs w:val="20"/>
        </w:rPr>
        <w:t xml:space="preserve">. </w:t>
      </w:r>
      <w:r w:rsidR="007E33D4">
        <w:rPr>
          <w:rFonts w:ascii="Times New Roman" w:hAnsi="Times New Roman" w:cs="Times New Roman"/>
          <w:sz w:val="20"/>
          <w:szCs w:val="20"/>
        </w:rPr>
        <w:t>A Tabela 1 mostra também a seletividade, rendimento e conversão para os ensaios realizados.</w:t>
      </w:r>
    </w:p>
    <w:p w14:paraId="037522ED" w14:textId="77777777" w:rsidR="007E33D4" w:rsidRDefault="007E33D4" w:rsidP="00472414">
      <w:pPr>
        <w:pStyle w:val="Default"/>
        <w:ind w:firstLine="227"/>
        <w:jc w:val="both"/>
        <w:rPr>
          <w:rFonts w:ascii="Times New Roman" w:hAnsi="Times New Roman" w:cs="Times New Roman"/>
          <w:sz w:val="20"/>
          <w:szCs w:val="20"/>
        </w:rPr>
      </w:pPr>
    </w:p>
    <w:p w14:paraId="3FC996E5" w14:textId="77777777" w:rsidR="00177E20" w:rsidRDefault="004E79DB" w:rsidP="00177E20">
      <w:pPr>
        <w:pStyle w:val="VDTableTitle"/>
        <w:spacing w:after="120"/>
        <w:jc w:val="both"/>
        <w:rPr>
          <w:rFonts w:ascii="Times New Roman" w:hAnsi="Times New Roman"/>
          <w:highlight w:val="magenta"/>
          <w:lang w:val="pt-BR"/>
        </w:rPr>
      </w:pPr>
      <w:r w:rsidRPr="00E038AF">
        <w:rPr>
          <w:rFonts w:ascii="Times New Roman" w:hAnsi="Times New Roman"/>
          <w:b/>
          <w:lang w:val="pt-BR"/>
        </w:rPr>
        <w:t>Tabela 1.</w:t>
      </w:r>
      <w:r w:rsidRPr="00E038AF">
        <w:rPr>
          <w:rFonts w:ascii="Times New Roman" w:hAnsi="Times New Roman"/>
          <w:lang w:val="pt-BR"/>
        </w:rPr>
        <w:t xml:space="preserve"> </w:t>
      </w:r>
      <w:r w:rsidR="00177E20" w:rsidRPr="00815A19">
        <w:rPr>
          <w:szCs w:val="18"/>
          <w:lang w:val="pt-BR"/>
        </w:rPr>
        <w:t>Produ</w:t>
      </w:r>
      <w:r w:rsidR="007E33D4">
        <w:rPr>
          <w:szCs w:val="18"/>
          <w:lang w:val="pt-BR"/>
        </w:rPr>
        <w:t>tos da pirólise</w:t>
      </w:r>
      <w:r w:rsidR="00177E20" w:rsidRPr="00815A19">
        <w:rPr>
          <w:szCs w:val="18"/>
          <w:lang w:val="pt-BR"/>
        </w:rPr>
        <w:t xml:space="preserve"> com e sem catalisador (</w:t>
      </w:r>
      <w:r w:rsidR="00177E20" w:rsidRPr="00BB3C87">
        <w:rPr>
          <w:rFonts w:cs="Times"/>
          <w:szCs w:val="18"/>
          <w:lang w:val="pt-BR"/>
        </w:rPr>
        <w:t>216 ms</w:t>
      </w:r>
      <w:r w:rsidR="00177E20" w:rsidRPr="00815A19">
        <w:rPr>
          <w:szCs w:val="18"/>
          <w:lang w:val="pt-BR"/>
        </w:rPr>
        <w:t>; T</w:t>
      </w:r>
      <w:r w:rsidR="00177E20" w:rsidRPr="00815A19">
        <w:rPr>
          <w:szCs w:val="18"/>
          <w:vertAlign w:val="subscript"/>
          <w:lang w:val="pt-BR"/>
        </w:rPr>
        <w:t>FORNO</w:t>
      </w:r>
      <w:r w:rsidR="00177E20" w:rsidRPr="00815A19">
        <w:rPr>
          <w:szCs w:val="18"/>
          <w:lang w:val="pt-BR"/>
        </w:rPr>
        <w:t xml:space="preserve"> = 500 </w:t>
      </w:r>
      <w:r w:rsidR="00177E20" w:rsidRPr="00815A19">
        <w:rPr>
          <w:rFonts w:cs="Times"/>
          <w:szCs w:val="18"/>
          <w:lang w:val="pt-BR"/>
        </w:rPr>
        <w:t>°</w:t>
      </w:r>
      <w:r w:rsidR="00177E20" w:rsidRPr="00815A19">
        <w:rPr>
          <w:szCs w:val="18"/>
          <w:lang w:val="pt-BR"/>
        </w:rPr>
        <w:t xml:space="preserve">C) </w:t>
      </w:r>
    </w:p>
    <w:tbl>
      <w:tblPr>
        <w:tblW w:w="5000"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584"/>
        <w:gridCol w:w="1592"/>
        <w:gridCol w:w="1592"/>
      </w:tblGrid>
      <w:tr w:rsidR="00177E20" w:rsidRPr="00177E20" w14:paraId="67F207E8" w14:textId="77777777" w:rsidTr="1A2EB2A5">
        <w:trPr>
          <w:trHeight w:val="20"/>
          <w:jc w:val="center"/>
        </w:trPr>
        <w:tc>
          <w:tcPr>
            <w:tcW w:w="1662" w:type="pct"/>
            <w:tcBorders>
              <w:top w:val="single" w:sz="4" w:space="0" w:color="auto"/>
              <w:bottom w:val="single" w:sz="4" w:space="0" w:color="auto"/>
            </w:tcBorders>
            <w:vAlign w:val="center"/>
          </w:tcPr>
          <w:p w14:paraId="33AE9CE5" w14:textId="77777777" w:rsidR="00177E20" w:rsidRPr="00177E20" w:rsidRDefault="00177E20" w:rsidP="000022D1">
            <w:pPr>
              <w:pStyle w:val="TCTableBody"/>
              <w:spacing w:after="0" w:line="360" w:lineRule="auto"/>
              <w:jc w:val="center"/>
              <w:rPr>
                <w:rFonts w:ascii="Times New Roman" w:hAnsi="Times New Roman"/>
                <w:b/>
                <w:szCs w:val="18"/>
                <w:lang w:val="pt-BR"/>
              </w:rPr>
            </w:pPr>
            <w:r w:rsidRPr="00177E20">
              <w:rPr>
                <w:rFonts w:ascii="Times New Roman" w:hAnsi="Times New Roman"/>
                <w:b/>
                <w:szCs w:val="18"/>
                <w:lang w:val="pt-BR"/>
              </w:rPr>
              <w:t>Catalisador</w:t>
            </w:r>
          </w:p>
        </w:tc>
        <w:tc>
          <w:tcPr>
            <w:tcW w:w="1669" w:type="pct"/>
            <w:tcBorders>
              <w:top w:val="single" w:sz="4" w:space="0" w:color="auto"/>
              <w:bottom w:val="single" w:sz="4" w:space="0" w:color="auto"/>
            </w:tcBorders>
            <w:vAlign w:val="center"/>
          </w:tcPr>
          <w:p w14:paraId="4CC5BE87" w14:textId="77777777" w:rsidR="00177E20" w:rsidRPr="00177E20" w:rsidRDefault="00177E20" w:rsidP="000022D1">
            <w:pPr>
              <w:pStyle w:val="TCTableBody"/>
              <w:spacing w:after="0" w:line="360" w:lineRule="auto"/>
              <w:jc w:val="center"/>
              <w:rPr>
                <w:rFonts w:ascii="Times New Roman" w:hAnsi="Times New Roman"/>
                <w:b/>
                <w:szCs w:val="18"/>
                <w:lang w:val="pt-BR"/>
              </w:rPr>
            </w:pPr>
            <w:r w:rsidRPr="00177E20">
              <w:rPr>
                <w:rFonts w:ascii="Times New Roman" w:hAnsi="Times New Roman"/>
                <w:b/>
                <w:szCs w:val="18"/>
                <w:lang w:val="pt-BR"/>
              </w:rPr>
              <w:t>Sim</w:t>
            </w:r>
          </w:p>
        </w:tc>
        <w:tc>
          <w:tcPr>
            <w:tcW w:w="1670" w:type="pct"/>
            <w:tcBorders>
              <w:top w:val="single" w:sz="4" w:space="0" w:color="auto"/>
              <w:bottom w:val="single" w:sz="4" w:space="0" w:color="auto"/>
            </w:tcBorders>
            <w:vAlign w:val="center"/>
          </w:tcPr>
          <w:p w14:paraId="592B29DE" w14:textId="77777777" w:rsidR="00177E20" w:rsidRPr="00177E20" w:rsidRDefault="00177E20" w:rsidP="000022D1">
            <w:pPr>
              <w:pStyle w:val="TCTableBody"/>
              <w:spacing w:after="0" w:line="360" w:lineRule="auto"/>
              <w:jc w:val="center"/>
              <w:rPr>
                <w:rFonts w:ascii="Times New Roman" w:hAnsi="Times New Roman"/>
                <w:b/>
                <w:szCs w:val="18"/>
                <w:lang w:val="pt-BR"/>
              </w:rPr>
            </w:pPr>
            <w:r w:rsidRPr="00177E20">
              <w:rPr>
                <w:rFonts w:ascii="Times New Roman" w:hAnsi="Times New Roman"/>
                <w:b/>
                <w:szCs w:val="18"/>
                <w:lang w:val="pt-BR"/>
              </w:rPr>
              <w:t>Não</w:t>
            </w:r>
          </w:p>
        </w:tc>
      </w:tr>
      <w:tr w:rsidR="00177E20" w:rsidRPr="00177E20" w14:paraId="49821585" w14:textId="77777777" w:rsidTr="1A2EB2A5">
        <w:trPr>
          <w:trHeight w:val="20"/>
          <w:jc w:val="center"/>
        </w:trPr>
        <w:tc>
          <w:tcPr>
            <w:tcW w:w="1662" w:type="pct"/>
            <w:tcBorders>
              <w:top w:val="single" w:sz="4" w:space="0" w:color="auto"/>
              <w:bottom w:val="single" w:sz="4" w:space="0" w:color="auto"/>
            </w:tcBorders>
            <w:vAlign w:val="center"/>
          </w:tcPr>
          <w:p w14:paraId="4B263C74" w14:textId="77777777" w:rsidR="00177E20" w:rsidRPr="007E33D4" w:rsidRDefault="002F2AAD" w:rsidP="1A2EB2A5">
            <w:pPr>
              <w:pStyle w:val="TCTableBody"/>
              <w:spacing w:after="0" w:line="360" w:lineRule="auto"/>
              <w:jc w:val="center"/>
              <w:rPr>
                <w:rFonts w:ascii="Times New Roman" w:hAnsi="Times New Roman"/>
                <w:lang w:val="pt-BR"/>
              </w:rPr>
            </w:pPr>
            <w:r w:rsidRPr="002F2AAD">
              <w:rPr>
                <w:rFonts w:ascii="Times New Roman" w:hAnsi="Times New Roman"/>
                <w:noProof/>
                <w:position w:val="-14"/>
                <w:szCs w:val="18"/>
                <w:lang w:val="pt-BR"/>
              </w:rPr>
              <w:object w:dxaOrig="540" w:dyaOrig="380" w14:anchorId="470EC100">
                <v:shape id="_x0000_i1031" type="#_x0000_t75" alt="" style="width:21pt;height:16pt;mso-width-percent:0;mso-height-percent:0;mso-width-percent:0;mso-height-percent:0" o:ole="">
                  <v:imagedata r:id="rId66" o:title=""/>
                </v:shape>
                <o:OLEObject Type="Embed" ProgID="Equation.DSMT4" ShapeID="_x0000_i1031" DrawAspect="Content" ObjectID="_1748618912" r:id="rId67"/>
              </w:object>
            </w:r>
            <w:r w:rsidR="00177E20" w:rsidRPr="1A2EB2A5">
              <w:rPr>
                <w:rFonts w:ascii="Times New Roman" w:hAnsi="Times New Roman"/>
                <w:lang w:val="pt-BR"/>
              </w:rPr>
              <w:t>(°C)</w:t>
            </w:r>
          </w:p>
        </w:tc>
        <w:tc>
          <w:tcPr>
            <w:tcW w:w="1669" w:type="pct"/>
            <w:tcBorders>
              <w:top w:val="single" w:sz="4" w:space="0" w:color="auto"/>
              <w:bottom w:val="single" w:sz="4" w:space="0" w:color="auto"/>
            </w:tcBorders>
            <w:vAlign w:val="center"/>
          </w:tcPr>
          <w:p w14:paraId="14E9FA92" w14:textId="77777777" w:rsidR="00177E20" w:rsidRPr="007E33D4" w:rsidRDefault="00177E20" w:rsidP="000022D1">
            <w:pPr>
              <w:pStyle w:val="TCTableBody"/>
              <w:spacing w:after="0" w:line="360" w:lineRule="auto"/>
              <w:jc w:val="center"/>
              <w:rPr>
                <w:rFonts w:ascii="Times New Roman" w:hAnsi="Times New Roman"/>
                <w:bCs/>
                <w:szCs w:val="18"/>
                <w:lang w:val="pt-BR"/>
              </w:rPr>
            </w:pPr>
            <w:r w:rsidRPr="007E33D4">
              <w:rPr>
                <w:rFonts w:ascii="Times New Roman" w:hAnsi="Times New Roman"/>
                <w:bCs/>
                <w:szCs w:val="18"/>
                <w:lang w:val="pt-BR"/>
              </w:rPr>
              <w:t>464,00</w:t>
            </w:r>
          </w:p>
        </w:tc>
        <w:tc>
          <w:tcPr>
            <w:tcW w:w="1670" w:type="pct"/>
            <w:tcBorders>
              <w:top w:val="single" w:sz="4" w:space="0" w:color="auto"/>
              <w:bottom w:val="single" w:sz="4" w:space="0" w:color="auto"/>
            </w:tcBorders>
            <w:vAlign w:val="center"/>
          </w:tcPr>
          <w:p w14:paraId="6F3E7101" w14:textId="77777777" w:rsidR="00177E20" w:rsidRPr="007E33D4" w:rsidRDefault="00177E20" w:rsidP="000022D1">
            <w:pPr>
              <w:pStyle w:val="TCTableBody"/>
              <w:spacing w:after="0" w:line="360" w:lineRule="auto"/>
              <w:jc w:val="center"/>
              <w:rPr>
                <w:rFonts w:ascii="Times New Roman" w:hAnsi="Times New Roman"/>
                <w:bCs/>
                <w:szCs w:val="18"/>
                <w:lang w:val="pt-BR"/>
              </w:rPr>
            </w:pPr>
            <w:r w:rsidRPr="007E33D4">
              <w:rPr>
                <w:rFonts w:ascii="Times New Roman" w:hAnsi="Times New Roman"/>
                <w:bCs/>
                <w:szCs w:val="18"/>
                <w:lang w:val="pt-BR"/>
              </w:rPr>
              <w:t>472,75</w:t>
            </w:r>
          </w:p>
        </w:tc>
      </w:tr>
      <w:tr w:rsidR="00177E20" w:rsidRPr="00177E20" w14:paraId="7DA70483" w14:textId="77777777" w:rsidTr="1A2EB2A5">
        <w:trPr>
          <w:trHeight w:val="20"/>
          <w:jc w:val="center"/>
        </w:trPr>
        <w:tc>
          <w:tcPr>
            <w:tcW w:w="1662" w:type="pct"/>
            <w:tcBorders>
              <w:top w:val="single" w:sz="4" w:space="0" w:color="auto"/>
              <w:bottom w:val="nil"/>
            </w:tcBorders>
            <w:vAlign w:val="center"/>
          </w:tcPr>
          <w:p w14:paraId="1E80675C" w14:textId="77777777" w:rsidR="00177E20" w:rsidRPr="00177E20" w:rsidRDefault="00177E20" w:rsidP="000022D1">
            <w:pPr>
              <w:pStyle w:val="TCTableBody"/>
              <w:spacing w:after="0" w:line="360" w:lineRule="auto"/>
              <w:jc w:val="center"/>
              <w:rPr>
                <w:rFonts w:ascii="Times New Roman" w:eastAsiaTheme="minorEastAsia" w:hAnsi="Times New Roman"/>
                <w:color w:val="000000"/>
                <w:szCs w:val="18"/>
                <w:lang w:val="pt-BR" w:eastAsia="en-US"/>
              </w:rPr>
            </w:pPr>
            <w:r w:rsidRPr="00177E20">
              <w:rPr>
                <w:rFonts w:ascii="Times New Roman" w:eastAsiaTheme="minorEastAsia" w:hAnsi="Times New Roman"/>
                <w:color w:val="000000"/>
                <w:szCs w:val="18"/>
                <w:lang w:val="pt-BR" w:eastAsia="en-US"/>
              </w:rPr>
              <w:t>Mirceno</w:t>
            </w:r>
          </w:p>
        </w:tc>
        <w:tc>
          <w:tcPr>
            <w:tcW w:w="1669" w:type="pct"/>
            <w:tcBorders>
              <w:top w:val="single" w:sz="4" w:space="0" w:color="auto"/>
              <w:bottom w:val="nil"/>
            </w:tcBorders>
            <w:vAlign w:val="center"/>
          </w:tcPr>
          <w:p w14:paraId="3F09F84F"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60,13%</w:t>
            </w:r>
          </w:p>
        </w:tc>
        <w:tc>
          <w:tcPr>
            <w:tcW w:w="1670" w:type="pct"/>
            <w:tcBorders>
              <w:top w:val="single" w:sz="4" w:space="0" w:color="auto"/>
              <w:bottom w:val="nil"/>
            </w:tcBorders>
            <w:vAlign w:val="center"/>
          </w:tcPr>
          <w:p w14:paraId="7C87B7E7"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61,75%</w:t>
            </w:r>
          </w:p>
        </w:tc>
      </w:tr>
      <w:tr w:rsidR="00177E20" w:rsidRPr="00177E20" w14:paraId="5BBA596C" w14:textId="77777777" w:rsidTr="1A2EB2A5">
        <w:trPr>
          <w:trHeight w:val="20"/>
          <w:jc w:val="center"/>
        </w:trPr>
        <w:tc>
          <w:tcPr>
            <w:tcW w:w="1662" w:type="pct"/>
            <w:tcBorders>
              <w:top w:val="nil"/>
              <w:bottom w:val="nil"/>
            </w:tcBorders>
            <w:vAlign w:val="center"/>
          </w:tcPr>
          <w:p w14:paraId="0B650F80" w14:textId="77777777" w:rsidR="00177E20" w:rsidRPr="00177E20" w:rsidRDefault="00177E20" w:rsidP="000022D1">
            <w:pPr>
              <w:pStyle w:val="TCTableBody"/>
              <w:spacing w:after="0" w:line="360" w:lineRule="auto"/>
              <w:jc w:val="center"/>
              <w:rPr>
                <w:rFonts w:ascii="Times New Roman" w:eastAsiaTheme="minorEastAsia" w:hAnsi="Times New Roman"/>
                <w:color w:val="000000"/>
                <w:szCs w:val="18"/>
                <w:lang w:val="pt-BR" w:eastAsia="en-US"/>
              </w:rPr>
            </w:pPr>
            <w:r w:rsidRPr="00177E20">
              <w:rPr>
                <w:rFonts w:ascii="Times New Roman" w:eastAsiaTheme="minorEastAsia" w:hAnsi="Times New Roman"/>
                <w:color w:val="000000"/>
                <w:szCs w:val="18"/>
                <w:lang w:val="pt-BR" w:eastAsia="en-US"/>
              </w:rPr>
              <w:t>Limoneno</w:t>
            </w:r>
          </w:p>
        </w:tc>
        <w:tc>
          <w:tcPr>
            <w:tcW w:w="1669" w:type="pct"/>
            <w:tcBorders>
              <w:top w:val="nil"/>
              <w:bottom w:val="nil"/>
            </w:tcBorders>
            <w:vAlign w:val="center"/>
          </w:tcPr>
          <w:p w14:paraId="3F10695B"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15,90</w:t>
            </w:r>
            <w:r>
              <w:rPr>
                <w:rFonts w:ascii="Times New Roman" w:hAnsi="Times New Roman"/>
                <w:szCs w:val="18"/>
                <w:lang w:val="pt-BR"/>
              </w:rPr>
              <w:t>%</w:t>
            </w:r>
          </w:p>
        </w:tc>
        <w:tc>
          <w:tcPr>
            <w:tcW w:w="1670" w:type="pct"/>
            <w:tcBorders>
              <w:top w:val="nil"/>
              <w:bottom w:val="nil"/>
            </w:tcBorders>
            <w:vAlign w:val="center"/>
          </w:tcPr>
          <w:p w14:paraId="73A6A950"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16,39</w:t>
            </w:r>
            <w:r>
              <w:rPr>
                <w:rFonts w:ascii="Times New Roman" w:hAnsi="Times New Roman"/>
                <w:szCs w:val="18"/>
                <w:lang w:val="pt-BR"/>
              </w:rPr>
              <w:t>%</w:t>
            </w:r>
          </w:p>
        </w:tc>
      </w:tr>
      <w:tr w:rsidR="00177E20" w:rsidRPr="00177E20" w14:paraId="40B0EEE0" w14:textId="77777777" w:rsidTr="1A2EB2A5">
        <w:trPr>
          <w:trHeight w:val="20"/>
          <w:jc w:val="center"/>
        </w:trPr>
        <w:tc>
          <w:tcPr>
            <w:tcW w:w="1662" w:type="pct"/>
            <w:tcBorders>
              <w:top w:val="nil"/>
              <w:bottom w:val="single" w:sz="4" w:space="0" w:color="auto"/>
            </w:tcBorders>
            <w:vAlign w:val="center"/>
          </w:tcPr>
          <w:p w14:paraId="17056BB7" w14:textId="77777777" w:rsidR="00177E20" w:rsidRPr="00177E20" w:rsidRDefault="00177E20" w:rsidP="000022D1">
            <w:pPr>
              <w:pStyle w:val="TCTableBody"/>
              <w:spacing w:after="0" w:line="360" w:lineRule="auto"/>
              <w:jc w:val="center"/>
              <w:rPr>
                <w:rFonts w:ascii="Times New Roman" w:eastAsiaTheme="minorEastAsia" w:hAnsi="Times New Roman"/>
                <w:color w:val="000000"/>
                <w:szCs w:val="18"/>
                <w:lang w:val="pt-BR" w:eastAsia="en-US"/>
              </w:rPr>
            </w:pPr>
            <w:r w:rsidRPr="00164963">
              <w:rPr>
                <w:rFonts w:ascii="Symbol" w:eastAsiaTheme="minorEastAsia" w:hAnsi="Symbol"/>
                <w:i/>
                <w:color w:val="000000"/>
                <w:szCs w:val="18"/>
                <w:lang w:val="pt-BR" w:eastAsia="en-US"/>
              </w:rPr>
              <w:t></w:t>
            </w:r>
            <w:r w:rsidRPr="00177E20">
              <w:rPr>
                <w:rFonts w:ascii="Times New Roman" w:eastAsiaTheme="minorEastAsia" w:hAnsi="Times New Roman"/>
                <w:color w:val="000000"/>
                <w:szCs w:val="18"/>
                <w:lang w:val="pt-BR" w:eastAsia="en-US"/>
              </w:rPr>
              <w:t>-Limoneno</w:t>
            </w:r>
          </w:p>
        </w:tc>
        <w:tc>
          <w:tcPr>
            <w:tcW w:w="1669" w:type="pct"/>
            <w:tcBorders>
              <w:top w:val="nil"/>
              <w:bottom w:val="single" w:sz="4" w:space="0" w:color="auto"/>
            </w:tcBorders>
            <w:vAlign w:val="center"/>
          </w:tcPr>
          <w:p w14:paraId="4601F909"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4,70</w:t>
            </w:r>
            <w:r>
              <w:rPr>
                <w:rFonts w:ascii="Times New Roman" w:hAnsi="Times New Roman"/>
                <w:szCs w:val="18"/>
                <w:lang w:val="pt-BR"/>
              </w:rPr>
              <w:t>%</w:t>
            </w:r>
          </w:p>
        </w:tc>
        <w:tc>
          <w:tcPr>
            <w:tcW w:w="1670" w:type="pct"/>
            <w:tcBorders>
              <w:top w:val="nil"/>
              <w:bottom w:val="single" w:sz="4" w:space="0" w:color="auto"/>
            </w:tcBorders>
            <w:vAlign w:val="center"/>
          </w:tcPr>
          <w:p w14:paraId="54BBB8E4"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4,73</w:t>
            </w:r>
            <w:r>
              <w:rPr>
                <w:rFonts w:ascii="Times New Roman" w:hAnsi="Times New Roman"/>
                <w:szCs w:val="18"/>
                <w:lang w:val="pt-BR"/>
              </w:rPr>
              <w:t>%</w:t>
            </w:r>
          </w:p>
        </w:tc>
      </w:tr>
      <w:tr w:rsidR="00177E20" w:rsidRPr="00177E20" w14:paraId="570DB1F8" w14:textId="77777777" w:rsidTr="1A2EB2A5">
        <w:trPr>
          <w:trHeight w:val="20"/>
          <w:jc w:val="center"/>
        </w:trPr>
        <w:tc>
          <w:tcPr>
            <w:tcW w:w="1662" w:type="pct"/>
            <w:tcBorders>
              <w:top w:val="single" w:sz="4" w:space="0" w:color="auto"/>
            </w:tcBorders>
            <w:vAlign w:val="center"/>
          </w:tcPr>
          <w:p w14:paraId="5EC8DE5D"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Seletividade</w:t>
            </w:r>
          </w:p>
        </w:tc>
        <w:tc>
          <w:tcPr>
            <w:tcW w:w="1669" w:type="pct"/>
            <w:tcBorders>
              <w:top w:val="single" w:sz="4" w:space="0" w:color="auto"/>
            </w:tcBorders>
            <w:vAlign w:val="center"/>
          </w:tcPr>
          <w:p w14:paraId="5B079191" w14:textId="77777777" w:rsidR="00177E20" w:rsidRPr="00177E20" w:rsidRDefault="00177E20" w:rsidP="000022D1">
            <w:pPr>
              <w:pStyle w:val="TCTableBody"/>
              <w:spacing w:after="0" w:line="360" w:lineRule="auto"/>
              <w:jc w:val="center"/>
              <w:rPr>
                <w:rFonts w:ascii="Times New Roman" w:hAnsi="Times New Roman"/>
                <w:szCs w:val="18"/>
                <w:lang w:val="pt-BR"/>
              </w:rPr>
            </w:pPr>
            <w:r>
              <w:rPr>
                <w:rFonts w:ascii="Times New Roman" w:hAnsi="Times New Roman"/>
                <w:szCs w:val="18"/>
                <w:lang w:val="pt-BR"/>
              </w:rPr>
              <w:t>2,92</w:t>
            </w:r>
          </w:p>
        </w:tc>
        <w:tc>
          <w:tcPr>
            <w:tcW w:w="1670" w:type="pct"/>
            <w:tcBorders>
              <w:top w:val="single" w:sz="4" w:space="0" w:color="auto"/>
            </w:tcBorders>
            <w:vAlign w:val="center"/>
          </w:tcPr>
          <w:p w14:paraId="4C684436" w14:textId="77777777" w:rsidR="00177E20" w:rsidRPr="00177E20" w:rsidRDefault="00177E20" w:rsidP="000022D1">
            <w:pPr>
              <w:pStyle w:val="TCTableBody"/>
              <w:spacing w:after="0" w:line="360" w:lineRule="auto"/>
              <w:jc w:val="center"/>
              <w:rPr>
                <w:rFonts w:ascii="Times New Roman" w:hAnsi="Times New Roman"/>
                <w:szCs w:val="18"/>
                <w:lang w:val="pt-BR"/>
              </w:rPr>
            </w:pPr>
            <w:r>
              <w:rPr>
                <w:rFonts w:ascii="Times New Roman" w:hAnsi="Times New Roman"/>
                <w:szCs w:val="18"/>
                <w:lang w:val="pt-BR"/>
              </w:rPr>
              <w:t>2,92</w:t>
            </w:r>
          </w:p>
        </w:tc>
      </w:tr>
      <w:tr w:rsidR="00177E20" w:rsidRPr="00177E20" w14:paraId="6416F4EA" w14:textId="77777777" w:rsidTr="1A2EB2A5">
        <w:trPr>
          <w:trHeight w:val="20"/>
          <w:jc w:val="center"/>
        </w:trPr>
        <w:tc>
          <w:tcPr>
            <w:tcW w:w="1662" w:type="pct"/>
            <w:vAlign w:val="center"/>
          </w:tcPr>
          <w:p w14:paraId="43715594"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Rendimento</w:t>
            </w:r>
          </w:p>
        </w:tc>
        <w:tc>
          <w:tcPr>
            <w:tcW w:w="1669" w:type="pct"/>
            <w:vAlign w:val="center"/>
          </w:tcPr>
          <w:p w14:paraId="6DECEA7A"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68,0</w:t>
            </w:r>
            <w:r w:rsidR="007E33D4">
              <w:rPr>
                <w:rFonts w:ascii="Times New Roman" w:hAnsi="Times New Roman"/>
                <w:szCs w:val="18"/>
                <w:lang w:val="pt-BR"/>
              </w:rPr>
              <w:t>%</w:t>
            </w:r>
          </w:p>
        </w:tc>
        <w:tc>
          <w:tcPr>
            <w:tcW w:w="1670" w:type="pct"/>
            <w:vAlign w:val="center"/>
          </w:tcPr>
          <w:p w14:paraId="34EC30C0"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69,</w:t>
            </w:r>
            <w:r w:rsidR="007E33D4">
              <w:rPr>
                <w:rFonts w:ascii="Times New Roman" w:hAnsi="Times New Roman"/>
                <w:szCs w:val="18"/>
                <w:lang w:val="pt-BR"/>
              </w:rPr>
              <w:t>5%</w:t>
            </w:r>
          </w:p>
        </w:tc>
      </w:tr>
      <w:tr w:rsidR="00177E20" w:rsidRPr="00177E20" w14:paraId="4D224A9D" w14:textId="77777777" w:rsidTr="1A2EB2A5">
        <w:trPr>
          <w:trHeight w:val="20"/>
          <w:jc w:val="center"/>
        </w:trPr>
        <w:tc>
          <w:tcPr>
            <w:tcW w:w="1662" w:type="pct"/>
            <w:vAlign w:val="center"/>
          </w:tcPr>
          <w:p w14:paraId="5FBE9391"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Conversão</w:t>
            </w:r>
          </w:p>
        </w:tc>
        <w:tc>
          <w:tcPr>
            <w:tcW w:w="1669" w:type="pct"/>
            <w:vAlign w:val="center"/>
          </w:tcPr>
          <w:p w14:paraId="2D30045C"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92,</w:t>
            </w:r>
            <w:r w:rsidR="007E33D4">
              <w:rPr>
                <w:rFonts w:ascii="Times New Roman" w:hAnsi="Times New Roman"/>
                <w:szCs w:val="18"/>
                <w:lang w:val="pt-BR"/>
              </w:rPr>
              <w:t>7%</w:t>
            </w:r>
          </w:p>
        </w:tc>
        <w:tc>
          <w:tcPr>
            <w:tcW w:w="1670" w:type="pct"/>
            <w:vAlign w:val="center"/>
          </w:tcPr>
          <w:p w14:paraId="2623F95E" w14:textId="77777777" w:rsidR="00177E20" w:rsidRPr="00177E20" w:rsidRDefault="00177E20" w:rsidP="000022D1">
            <w:pPr>
              <w:pStyle w:val="TCTableBody"/>
              <w:spacing w:after="0" w:line="360" w:lineRule="auto"/>
              <w:jc w:val="center"/>
              <w:rPr>
                <w:rFonts w:ascii="Times New Roman" w:hAnsi="Times New Roman"/>
                <w:szCs w:val="18"/>
                <w:lang w:val="pt-BR"/>
              </w:rPr>
            </w:pPr>
            <w:r w:rsidRPr="00177E20">
              <w:rPr>
                <w:rFonts w:ascii="Times New Roman" w:hAnsi="Times New Roman"/>
                <w:szCs w:val="18"/>
                <w:lang w:val="pt-BR"/>
              </w:rPr>
              <w:t>93,2</w:t>
            </w:r>
            <w:r w:rsidR="007E33D4">
              <w:rPr>
                <w:rFonts w:ascii="Times New Roman" w:hAnsi="Times New Roman"/>
                <w:szCs w:val="18"/>
                <w:lang w:val="pt-BR"/>
              </w:rPr>
              <w:t>%</w:t>
            </w:r>
          </w:p>
        </w:tc>
      </w:tr>
    </w:tbl>
    <w:p w14:paraId="37953D1B" w14:textId="77777777" w:rsidR="007E33D4" w:rsidRDefault="007E33D4" w:rsidP="007E33D4">
      <w:pPr>
        <w:pStyle w:val="Default"/>
        <w:ind w:firstLine="227"/>
        <w:jc w:val="both"/>
        <w:rPr>
          <w:rFonts w:ascii="Times New Roman" w:hAnsi="Times New Roman" w:cs="Times New Roman"/>
          <w:sz w:val="20"/>
          <w:szCs w:val="20"/>
        </w:rPr>
      </w:pPr>
    </w:p>
    <w:p w14:paraId="73560701" w14:textId="77777777" w:rsidR="00FB5230" w:rsidRDefault="007E33D4" w:rsidP="00D81F3C">
      <w:pPr>
        <w:pStyle w:val="Default"/>
        <w:ind w:firstLine="227"/>
        <w:jc w:val="both"/>
        <w:rPr>
          <w:rFonts w:ascii="Times New Roman" w:hAnsi="Times New Roman" w:cs="Times New Roman"/>
          <w:sz w:val="20"/>
          <w:szCs w:val="20"/>
        </w:rPr>
      </w:pPr>
      <w:r w:rsidRPr="00472414">
        <w:rPr>
          <w:rFonts w:ascii="Times New Roman" w:hAnsi="Times New Roman" w:cs="Times New Roman"/>
          <w:sz w:val="20"/>
          <w:szCs w:val="20"/>
        </w:rPr>
        <w:t>A presença do catalisador não alterou a composição dos produtos d</w:t>
      </w:r>
      <w:r>
        <w:rPr>
          <w:rFonts w:ascii="Times New Roman" w:hAnsi="Times New Roman" w:cs="Times New Roman"/>
          <w:sz w:val="20"/>
          <w:szCs w:val="20"/>
        </w:rPr>
        <w:t>a</w:t>
      </w:r>
      <w:r w:rsidRPr="00472414">
        <w:rPr>
          <w:rFonts w:ascii="Times New Roman" w:hAnsi="Times New Roman" w:cs="Times New Roman"/>
          <w:sz w:val="20"/>
          <w:szCs w:val="20"/>
        </w:rPr>
        <w:t xml:space="preserve"> pirólise </w:t>
      </w:r>
      <w:r>
        <w:rPr>
          <w:rFonts w:ascii="Times New Roman" w:hAnsi="Times New Roman" w:cs="Times New Roman"/>
          <w:sz w:val="20"/>
          <w:szCs w:val="20"/>
        </w:rPr>
        <w:t xml:space="preserve">do </w:t>
      </w:r>
      <w:r w:rsidRPr="00164963">
        <w:rPr>
          <w:rFonts w:ascii="Symbol" w:hAnsi="Symbol" w:cs="Times New Roman"/>
          <w:i/>
          <w:sz w:val="20"/>
          <w:szCs w:val="20"/>
        </w:rPr>
        <w:t></w:t>
      </w:r>
      <w:r>
        <w:rPr>
          <w:rFonts w:ascii="Times New Roman" w:hAnsi="Times New Roman" w:cs="Times New Roman"/>
          <w:sz w:val="20"/>
          <w:szCs w:val="20"/>
        </w:rPr>
        <w:t xml:space="preserve">-pineno. A seletividade em mirceno foi igual e </w:t>
      </w:r>
      <w:r w:rsidRPr="00472414">
        <w:rPr>
          <w:rFonts w:ascii="Times New Roman" w:hAnsi="Times New Roman" w:cs="Times New Roman"/>
          <w:sz w:val="20"/>
          <w:szCs w:val="20"/>
        </w:rPr>
        <w:t>a máxima produção de mirceno</w:t>
      </w:r>
      <w:r w:rsidR="000022D1">
        <w:rPr>
          <w:rFonts w:ascii="Times New Roman" w:hAnsi="Times New Roman" w:cs="Times New Roman"/>
          <w:sz w:val="20"/>
          <w:szCs w:val="20"/>
        </w:rPr>
        <w:t xml:space="preserve"> foi similar. C</w:t>
      </w:r>
      <w:r w:rsidRPr="00472414">
        <w:rPr>
          <w:rFonts w:ascii="Times New Roman" w:hAnsi="Times New Roman" w:cs="Times New Roman"/>
          <w:sz w:val="20"/>
          <w:szCs w:val="20"/>
        </w:rPr>
        <w:t xml:space="preserve">ontudo na presença do catalisador foi </w:t>
      </w:r>
      <w:r w:rsidR="000022D1">
        <w:rPr>
          <w:rFonts w:ascii="Times New Roman" w:hAnsi="Times New Roman" w:cs="Times New Roman"/>
          <w:sz w:val="20"/>
          <w:szCs w:val="20"/>
        </w:rPr>
        <w:t>possível obter em torno de 60% de mirceno em</w:t>
      </w:r>
      <w:r w:rsidRPr="00472414">
        <w:rPr>
          <w:rFonts w:ascii="Times New Roman" w:hAnsi="Times New Roman" w:cs="Times New Roman"/>
          <w:sz w:val="20"/>
          <w:szCs w:val="20"/>
        </w:rPr>
        <w:t xml:space="preserve"> temperaturas mais baixas</w:t>
      </w:r>
      <w:r w:rsidR="00D81F3C">
        <w:rPr>
          <w:rFonts w:ascii="Times New Roman" w:hAnsi="Times New Roman" w:cs="Times New Roman"/>
          <w:sz w:val="20"/>
          <w:szCs w:val="20"/>
        </w:rPr>
        <w:t>, desta forma o uso do catalisador reduz o consumo de energia para obter a mesma quantidade de mirceno.</w:t>
      </w:r>
      <w:r w:rsidR="000022D1">
        <w:rPr>
          <w:rFonts w:ascii="Times New Roman" w:hAnsi="Times New Roman" w:cs="Times New Roman"/>
          <w:sz w:val="20"/>
          <w:szCs w:val="20"/>
        </w:rPr>
        <w:t xml:space="preserve"> </w:t>
      </w:r>
    </w:p>
    <w:p w14:paraId="4657952B" w14:textId="77777777" w:rsidR="00DF4809" w:rsidRDefault="000022D1" w:rsidP="00D81F3C">
      <w:pPr>
        <w:pStyle w:val="Default"/>
        <w:ind w:firstLine="227"/>
        <w:jc w:val="both"/>
        <w:rPr>
          <w:rFonts w:ascii="Times New Roman" w:hAnsi="Times New Roman" w:cs="Times New Roman"/>
          <w:sz w:val="20"/>
          <w:szCs w:val="20"/>
        </w:rPr>
      </w:pPr>
      <w:r>
        <w:rPr>
          <w:rFonts w:ascii="Times New Roman" w:hAnsi="Times New Roman" w:cs="Times New Roman"/>
          <w:sz w:val="20"/>
          <w:szCs w:val="20"/>
        </w:rPr>
        <w:lastRenderedPageBreak/>
        <w:t>Este comportamento foi observado</w:t>
      </w:r>
      <w:r w:rsidR="00D81F3C">
        <w:rPr>
          <w:rFonts w:ascii="Times New Roman" w:hAnsi="Times New Roman" w:cs="Times New Roman"/>
          <w:sz w:val="20"/>
          <w:szCs w:val="20"/>
        </w:rPr>
        <w:t xml:space="preserve"> para </w:t>
      </w:r>
      <w:r>
        <w:rPr>
          <w:rFonts w:ascii="Times New Roman" w:hAnsi="Times New Roman" w:cs="Times New Roman"/>
          <w:sz w:val="20"/>
          <w:szCs w:val="20"/>
        </w:rPr>
        <w:t>as demais vazões de alimentação e temperaturas do reator avaliadas, como ilustra a Figura 3.</w:t>
      </w:r>
      <w:r w:rsidR="00D81F3C">
        <w:rPr>
          <w:rFonts w:ascii="Times New Roman" w:hAnsi="Times New Roman" w:cs="Times New Roman"/>
          <w:sz w:val="20"/>
          <w:szCs w:val="20"/>
        </w:rPr>
        <w:t xml:space="preserve"> Nesta também</w:t>
      </w:r>
      <w:r w:rsidR="00D81F3C" w:rsidRPr="00472414">
        <w:rPr>
          <w:rFonts w:ascii="Times New Roman" w:hAnsi="Times New Roman" w:cs="Times New Roman"/>
          <w:sz w:val="20"/>
          <w:szCs w:val="20"/>
        </w:rPr>
        <w:t xml:space="preserve"> é possível observar que para a mesma temperatura a produção de mirceno é aproximadamente 5% </w:t>
      </w:r>
      <w:r w:rsidR="00FC50B4">
        <w:rPr>
          <w:rFonts w:ascii="Times New Roman" w:hAnsi="Times New Roman" w:cs="Times New Roman"/>
          <w:sz w:val="20"/>
          <w:szCs w:val="20"/>
        </w:rPr>
        <w:t xml:space="preserve">(p &lt; 0,05) </w:t>
      </w:r>
      <w:r w:rsidR="00D81F3C" w:rsidRPr="00472414">
        <w:rPr>
          <w:rFonts w:ascii="Times New Roman" w:hAnsi="Times New Roman" w:cs="Times New Roman"/>
          <w:sz w:val="20"/>
          <w:szCs w:val="20"/>
        </w:rPr>
        <w:t>maior na presença de catalisador</w:t>
      </w:r>
      <w:r w:rsidR="00D81F3C">
        <w:rPr>
          <w:rFonts w:ascii="Times New Roman" w:hAnsi="Times New Roman" w:cs="Times New Roman"/>
          <w:sz w:val="20"/>
          <w:szCs w:val="20"/>
        </w:rPr>
        <w:t xml:space="preserve"> </w:t>
      </w:r>
      <w:r w:rsidR="00D81F3C" w:rsidRPr="00472414">
        <w:rPr>
          <w:rFonts w:ascii="Times New Roman" w:hAnsi="Times New Roman" w:cs="Times New Roman"/>
          <w:sz w:val="20"/>
          <w:szCs w:val="20"/>
        </w:rPr>
        <w:t>(</w:t>
      </w:r>
      <w:r w:rsidR="00D81F3C">
        <w:rPr>
          <w:rFonts w:ascii="Times New Roman" w:hAnsi="Times New Roman" w:cs="Times New Roman"/>
          <w:sz w:val="20"/>
          <w:szCs w:val="20"/>
        </w:rPr>
        <w:t xml:space="preserve">ver a faixa </w:t>
      </w:r>
      <w:r w:rsidR="00164963">
        <w:rPr>
          <w:rFonts w:ascii="Times New Roman" w:hAnsi="Times New Roman" w:cs="Times New Roman"/>
          <w:sz w:val="20"/>
          <w:szCs w:val="20"/>
        </w:rPr>
        <w:t>entre 440 e 450</w:t>
      </w:r>
      <w:r w:rsidR="00630CE1">
        <w:rPr>
          <w:rFonts w:ascii="Times New Roman" w:hAnsi="Times New Roman" w:cs="Times New Roman"/>
          <w:sz w:val="20"/>
          <w:szCs w:val="20"/>
        </w:rPr>
        <w:t xml:space="preserve"> °C</w:t>
      </w:r>
      <w:r w:rsidR="00D81F3C" w:rsidRPr="00472414">
        <w:rPr>
          <w:rFonts w:ascii="Times New Roman" w:hAnsi="Times New Roman" w:cs="Times New Roman"/>
          <w:sz w:val="20"/>
          <w:szCs w:val="20"/>
        </w:rPr>
        <w:t xml:space="preserve">). </w:t>
      </w:r>
    </w:p>
    <w:p w14:paraId="29026A5D" w14:textId="77777777" w:rsidR="00DF4809" w:rsidRDefault="00D81F3C" w:rsidP="00DF4809">
      <w:pPr>
        <w:pStyle w:val="Default"/>
        <w:ind w:firstLine="227"/>
        <w:jc w:val="both"/>
        <w:rPr>
          <w:rFonts w:ascii="Times New Roman" w:hAnsi="Times New Roman"/>
        </w:rPr>
      </w:pPr>
      <w:r>
        <w:rPr>
          <w:rFonts w:ascii="Times New Roman" w:hAnsi="Times New Roman" w:cs="Times New Roman"/>
          <w:sz w:val="20"/>
          <w:szCs w:val="20"/>
        </w:rPr>
        <w:t>O mesmo não ocorreu para a</w:t>
      </w:r>
      <w:r w:rsidRPr="00472414">
        <w:rPr>
          <w:rFonts w:ascii="Times New Roman" w:hAnsi="Times New Roman" w:cs="Times New Roman"/>
          <w:sz w:val="20"/>
          <w:szCs w:val="20"/>
        </w:rPr>
        <w:t xml:space="preserve"> produção de limoneno e </w:t>
      </w:r>
      <w:r w:rsidRPr="00164963">
        <w:rPr>
          <w:rFonts w:ascii="Times New Roman" w:hAnsi="Times New Roman" w:cs="Times New Roman"/>
          <w:i/>
          <w:sz w:val="20"/>
          <w:szCs w:val="20"/>
        </w:rPr>
        <w:t>ψ</w:t>
      </w:r>
      <w:r w:rsidRPr="00472414">
        <w:rPr>
          <w:rFonts w:ascii="Times New Roman" w:hAnsi="Times New Roman" w:cs="Times New Roman"/>
          <w:sz w:val="20"/>
          <w:szCs w:val="20"/>
        </w:rPr>
        <w:t>-limone</w:t>
      </w:r>
      <w:r>
        <w:rPr>
          <w:rFonts w:ascii="Times New Roman" w:hAnsi="Times New Roman" w:cs="Times New Roman"/>
          <w:sz w:val="20"/>
          <w:szCs w:val="20"/>
        </w:rPr>
        <w:t xml:space="preserve">no </w:t>
      </w:r>
      <w:r w:rsidR="00FD5566">
        <w:rPr>
          <w:rFonts w:ascii="Times New Roman" w:hAnsi="Times New Roman" w:cs="Times New Roman"/>
          <w:sz w:val="20"/>
          <w:szCs w:val="20"/>
        </w:rPr>
        <w:t xml:space="preserve">(p &gt; 0,05) </w:t>
      </w:r>
      <w:r>
        <w:rPr>
          <w:rFonts w:ascii="Times New Roman" w:hAnsi="Times New Roman" w:cs="Times New Roman"/>
          <w:sz w:val="20"/>
          <w:szCs w:val="20"/>
        </w:rPr>
        <w:t>indicando que o catalisador atua somente na isomerização do mirceno.</w:t>
      </w:r>
      <w:r w:rsidR="00DF4809">
        <w:rPr>
          <w:rFonts w:ascii="Times New Roman" w:hAnsi="Times New Roman" w:cs="Times New Roman"/>
          <w:sz w:val="20"/>
          <w:szCs w:val="20"/>
        </w:rPr>
        <w:t xml:space="preserve"> </w:t>
      </w:r>
      <w:r w:rsidRPr="00DF4809">
        <w:rPr>
          <w:rFonts w:ascii="Times New Roman" w:hAnsi="Times New Roman" w:cs="Times New Roman"/>
          <w:sz w:val="20"/>
          <w:szCs w:val="20"/>
        </w:rPr>
        <w:t xml:space="preserve">Estes resultados estão de acordo com os obtidos na literatura </w:t>
      </w:r>
      <w:r w:rsidR="00AC0A7E" w:rsidRPr="00DF4809">
        <w:rPr>
          <w:rFonts w:ascii="Times New Roman" w:hAnsi="Times New Roman" w:cs="Times New Roman"/>
          <w:sz w:val="20"/>
          <w:szCs w:val="20"/>
        </w:rPr>
        <w:fldChar w:fldCharType="begin" w:fldLock="1"/>
      </w:r>
      <w:r w:rsidRPr="00DF4809">
        <w:rPr>
          <w:rFonts w:ascii="Times New Roman" w:hAnsi="Times New Roman" w:cs="Times New Roman"/>
          <w:sz w:val="20"/>
          <w:szCs w:val="20"/>
        </w:rPr>
        <w:instrText>ADDIN CSL_CITATION {"citationItems":[{"id":"ITEM-1","itemData":{"abstract":"121","author":[{"dropping-particle":"","family":"STRUG","given":"MARIA CRISTINA ANDRADE","non-dropping-particle":"","parse-names":false,"suffix":""}],"id":"ITEM-1","issued":{"date-parts":[["203"]]},"title":"Catalização Do Bpineno.Pdf","type":"article"},"uris":["http://www.mendeley.com/documents/?uuid=b0cfb908-d7b1-42c7-8ab4-65fce67c02d9"]}],"mendeley":{"formattedCitation":"[6]","plainTextFormattedCitation":"[6]","previouslyFormattedCitation":"[5]"},"properties":{"noteIndex":0},"schema":"https://github.com/citation-style-language/schema/raw/master/csl-citation.json"}</w:instrText>
      </w:r>
      <w:r w:rsidR="00AC0A7E" w:rsidRPr="00DF4809">
        <w:rPr>
          <w:rFonts w:ascii="Times New Roman" w:hAnsi="Times New Roman" w:cs="Times New Roman"/>
          <w:sz w:val="20"/>
          <w:szCs w:val="20"/>
        </w:rPr>
        <w:fldChar w:fldCharType="separate"/>
      </w:r>
      <w:r w:rsidRPr="00DF4809">
        <w:rPr>
          <w:rFonts w:ascii="Times New Roman" w:hAnsi="Times New Roman" w:cs="Times New Roman"/>
          <w:sz w:val="20"/>
          <w:szCs w:val="20"/>
        </w:rPr>
        <w:t>(9</w:t>
      </w:r>
      <w:r w:rsidR="00AC0A7E" w:rsidRPr="00DF4809">
        <w:rPr>
          <w:rFonts w:ascii="Times New Roman" w:hAnsi="Times New Roman" w:cs="Times New Roman"/>
          <w:sz w:val="20"/>
          <w:szCs w:val="20"/>
        </w:rPr>
        <w:fldChar w:fldCharType="end"/>
      </w:r>
      <w:r w:rsidRPr="00DF4809">
        <w:rPr>
          <w:rFonts w:ascii="Times New Roman" w:hAnsi="Times New Roman" w:cs="Times New Roman"/>
          <w:sz w:val="20"/>
          <w:szCs w:val="20"/>
        </w:rPr>
        <w:t xml:space="preserve">), os estudos realizados com catalisador também a base de cobre - óxido cúprico – obteve-se 8% a mais de mirceno em comparação aos ensaios sem catalisador para a mesma temperatura. </w:t>
      </w:r>
    </w:p>
    <w:p w14:paraId="5CB74029" w14:textId="77777777" w:rsidR="00D81F3C" w:rsidRPr="00FB5230" w:rsidRDefault="00D81F3C" w:rsidP="00DF4809">
      <w:pPr>
        <w:pStyle w:val="Default"/>
        <w:ind w:firstLine="227"/>
        <w:jc w:val="both"/>
        <w:rPr>
          <w:rFonts w:ascii="Times New Roman" w:hAnsi="Times New Roman" w:cs="Times New Roman"/>
          <w:sz w:val="20"/>
          <w:szCs w:val="20"/>
        </w:rPr>
      </w:pPr>
      <w:r w:rsidRPr="00FB5230">
        <w:rPr>
          <w:rFonts w:ascii="Times New Roman" w:hAnsi="Times New Roman" w:cs="Times New Roman"/>
          <w:sz w:val="20"/>
          <w:szCs w:val="20"/>
        </w:rPr>
        <w:t xml:space="preserve">Ainda de acordo com a literatura </w:t>
      </w:r>
      <w:r w:rsidR="00AC0A7E" w:rsidRPr="00FB5230">
        <w:rPr>
          <w:rFonts w:ascii="Times New Roman" w:hAnsi="Times New Roman" w:cs="Times New Roman"/>
          <w:sz w:val="20"/>
          <w:szCs w:val="20"/>
        </w:rPr>
        <w:fldChar w:fldCharType="begin" w:fldLock="1"/>
      </w:r>
      <w:r w:rsidRPr="00FB5230">
        <w:rPr>
          <w:rFonts w:ascii="Times New Roman" w:hAnsi="Times New Roman" w:cs="Times New Roman"/>
          <w:sz w:val="20"/>
          <w:szCs w:val="20"/>
        </w:rPr>
        <w:instrText>ADDIN CSL_CITATION {"citationItems":[{"id":"ITEM-1","itemData":{"abstract":"121","author":[{"dropping-particle":"","family":"STRUG","given":"MARIA CRISTINA ANDRADE","non-dropping-particle":"","parse-names":false,"suffix":""}],"id":"ITEM-1","issued":{"date-parts":[["203"]]},"title":"Catalização Do Bpineno.Pdf","type":"article"},"uris":["http://www.mendeley.com/documents/?uuid=b0cfb908-d7b1-42c7-8ab4-65fce67c02d9"]}],"mendeley":{"formattedCitation":"[6]","plainTextFormattedCitation":"[6]","previouslyFormattedCitation":"[5]"},"properties":{"noteIndex":0},"schema":"https://github.com/citation-style-language/schema/raw/master/csl-citation.json"}</w:instrText>
      </w:r>
      <w:r w:rsidR="00AC0A7E" w:rsidRPr="00FB5230">
        <w:rPr>
          <w:rFonts w:ascii="Times New Roman" w:hAnsi="Times New Roman" w:cs="Times New Roman"/>
          <w:sz w:val="20"/>
          <w:szCs w:val="20"/>
        </w:rPr>
        <w:fldChar w:fldCharType="separate"/>
      </w:r>
      <w:r w:rsidRPr="00FB5230">
        <w:rPr>
          <w:rFonts w:ascii="Times New Roman" w:hAnsi="Times New Roman" w:cs="Times New Roman"/>
          <w:sz w:val="20"/>
          <w:szCs w:val="20"/>
        </w:rPr>
        <w:t>(9</w:t>
      </w:r>
      <w:r w:rsidR="00AC0A7E" w:rsidRPr="00FB5230">
        <w:rPr>
          <w:rFonts w:ascii="Times New Roman" w:hAnsi="Times New Roman" w:cs="Times New Roman"/>
          <w:sz w:val="20"/>
          <w:szCs w:val="20"/>
        </w:rPr>
        <w:fldChar w:fldCharType="end"/>
      </w:r>
      <w:r w:rsidRPr="00FB5230">
        <w:rPr>
          <w:rFonts w:ascii="Times New Roman" w:hAnsi="Times New Roman" w:cs="Times New Roman"/>
          <w:sz w:val="20"/>
          <w:szCs w:val="20"/>
        </w:rPr>
        <w:t>)</w:t>
      </w:r>
      <w:r w:rsidR="00164963" w:rsidRPr="00FB5230">
        <w:rPr>
          <w:rFonts w:ascii="Times New Roman" w:hAnsi="Times New Roman" w:cs="Times New Roman"/>
          <w:sz w:val="20"/>
          <w:szCs w:val="20"/>
        </w:rPr>
        <w:t xml:space="preserve"> abaixo de 350</w:t>
      </w:r>
      <w:r w:rsidR="00630CE1" w:rsidRPr="00FB5230">
        <w:rPr>
          <w:rFonts w:ascii="Times New Roman" w:hAnsi="Times New Roman" w:cs="Times New Roman"/>
          <w:sz w:val="20"/>
          <w:szCs w:val="20"/>
        </w:rPr>
        <w:t xml:space="preserve"> °C</w:t>
      </w:r>
      <w:r w:rsidRPr="00FB5230">
        <w:rPr>
          <w:rFonts w:ascii="Times New Roman" w:hAnsi="Times New Roman" w:cs="Times New Roman"/>
          <w:sz w:val="20"/>
          <w:szCs w:val="20"/>
        </w:rPr>
        <w:t xml:space="preserve"> </w:t>
      </w:r>
      <w:r w:rsidR="00D548C1">
        <w:rPr>
          <w:rFonts w:ascii="Times New Roman" w:hAnsi="Times New Roman" w:cs="Times New Roman"/>
          <w:sz w:val="20"/>
          <w:szCs w:val="20"/>
        </w:rPr>
        <w:t>apenas traços</w:t>
      </w:r>
      <w:r w:rsidRPr="00FB5230">
        <w:rPr>
          <w:rFonts w:ascii="Times New Roman" w:hAnsi="Times New Roman" w:cs="Times New Roman"/>
          <w:sz w:val="20"/>
          <w:szCs w:val="20"/>
        </w:rPr>
        <w:t xml:space="preserve"> de </w:t>
      </w:r>
      <w:r w:rsidRPr="00FB5230">
        <w:rPr>
          <w:rFonts w:ascii="Times New Roman" w:hAnsi="Times New Roman" w:cs="Times New Roman"/>
          <w:i/>
          <w:iCs/>
          <w:sz w:val="20"/>
          <w:szCs w:val="20"/>
        </w:rPr>
        <w:t>β</w:t>
      </w:r>
      <w:r w:rsidRPr="00FB5230">
        <w:rPr>
          <w:rFonts w:ascii="Times New Roman" w:hAnsi="Times New Roman" w:cs="Times New Roman"/>
          <w:sz w:val="20"/>
          <w:szCs w:val="20"/>
        </w:rPr>
        <w:t xml:space="preserve">-pineno </w:t>
      </w:r>
      <w:r w:rsidR="006F204F" w:rsidRPr="00FB5230">
        <w:rPr>
          <w:rFonts w:ascii="Times New Roman" w:hAnsi="Times New Roman" w:cs="Times New Roman"/>
          <w:sz w:val="20"/>
          <w:szCs w:val="20"/>
        </w:rPr>
        <w:t>fo</w:t>
      </w:r>
      <w:r w:rsidR="00567559">
        <w:rPr>
          <w:rFonts w:ascii="Times New Roman" w:hAnsi="Times New Roman" w:cs="Times New Roman"/>
          <w:sz w:val="20"/>
          <w:szCs w:val="20"/>
        </w:rPr>
        <w:t>ram</w:t>
      </w:r>
      <w:r w:rsidRPr="00FB5230">
        <w:rPr>
          <w:rFonts w:ascii="Times New Roman" w:hAnsi="Times New Roman" w:cs="Times New Roman"/>
          <w:sz w:val="20"/>
          <w:szCs w:val="20"/>
        </w:rPr>
        <w:t xml:space="preserve"> convertido</w:t>
      </w:r>
      <w:r w:rsidR="00567559">
        <w:rPr>
          <w:rFonts w:ascii="Times New Roman" w:hAnsi="Times New Roman" w:cs="Times New Roman"/>
          <w:sz w:val="20"/>
          <w:szCs w:val="20"/>
        </w:rPr>
        <w:t>s</w:t>
      </w:r>
      <w:r w:rsidRPr="00FB5230">
        <w:rPr>
          <w:rFonts w:ascii="Times New Roman" w:hAnsi="Times New Roman" w:cs="Times New Roman"/>
          <w:sz w:val="20"/>
          <w:szCs w:val="20"/>
        </w:rPr>
        <w:t xml:space="preserve"> em produtos, porém </w:t>
      </w:r>
      <w:r w:rsidR="006F204F" w:rsidRPr="00FB5230">
        <w:rPr>
          <w:rFonts w:ascii="Times New Roman" w:hAnsi="Times New Roman" w:cs="Times New Roman"/>
          <w:sz w:val="20"/>
          <w:szCs w:val="20"/>
        </w:rPr>
        <w:t xml:space="preserve">a produção </w:t>
      </w:r>
      <w:r w:rsidRPr="00FB5230">
        <w:rPr>
          <w:rFonts w:ascii="Times New Roman" w:hAnsi="Times New Roman" w:cs="Times New Roman"/>
          <w:sz w:val="20"/>
          <w:szCs w:val="20"/>
        </w:rPr>
        <w:t>aumenta com o</w:t>
      </w:r>
      <w:r w:rsidR="00164963" w:rsidRPr="00FB5230">
        <w:rPr>
          <w:rFonts w:ascii="Times New Roman" w:hAnsi="Times New Roman" w:cs="Times New Roman"/>
          <w:sz w:val="20"/>
          <w:szCs w:val="20"/>
        </w:rPr>
        <w:t xml:space="preserve"> aumento da temperatura até 500</w:t>
      </w:r>
      <w:r w:rsidR="00630CE1" w:rsidRPr="00FB5230">
        <w:rPr>
          <w:rFonts w:ascii="Times New Roman" w:hAnsi="Times New Roman" w:cs="Times New Roman"/>
          <w:sz w:val="20"/>
          <w:szCs w:val="20"/>
        </w:rPr>
        <w:t xml:space="preserve"> °C</w:t>
      </w:r>
      <w:r w:rsidRPr="00FB5230">
        <w:rPr>
          <w:rFonts w:ascii="Times New Roman" w:hAnsi="Times New Roman" w:cs="Times New Roman"/>
          <w:sz w:val="20"/>
          <w:szCs w:val="20"/>
        </w:rPr>
        <w:t>, temperatura na qual a conversão ating</w:t>
      </w:r>
      <w:r w:rsidR="006F204F" w:rsidRPr="00FB5230">
        <w:rPr>
          <w:rFonts w:ascii="Times New Roman" w:hAnsi="Times New Roman" w:cs="Times New Roman"/>
          <w:sz w:val="20"/>
          <w:szCs w:val="20"/>
        </w:rPr>
        <w:t>iu</w:t>
      </w:r>
      <w:r w:rsidRPr="00FB5230">
        <w:rPr>
          <w:rFonts w:ascii="Times New Roman" w:hAnsi="Times New Roman" w:cs="Times New Roman"/>
          <w:sz w:val="20"/>
          <w:szCs w:val="20"/>
        </w:rPr>
        <w:t xml:space="preserve"> um máximo de 97% e a seletividade em mirceno </w:t>
      </w:r>
      <w:r w:rsidR="006F204F" w:rsidRPr="00FB5230">
        <w:rPr>
          <w:rFonts w:ascii="Times New Roman" w:hAnsi="Times New Roman" w:cs="Times New Roman"/>
          <w:sz w:val="20"/>
          <w:szCs w:val="20"/>
        </w:rPr>
        <w:t>foi</w:t>
      </w:r>
      <w:r w:rsidRPr="00FB5230">
        <w:rPr>
          <w:rFonts w:ascii="Times New Roman" w:hAnsi="Times New Roman" w:cs="Times New Roman"/>
          <w:sz w:val="20"/>
          <w:szCs w:val="20"/>
        </w:rPr>
        <w:t xml:space="preserve"> de 74%</w:t>
      </w:r>
      <w:r w:rsidR="006F204F" w:rsidRPr="00FB5230">
        <w:rPr>
          <w:rFonts w:ascii="Times New Roman" w:hAnsi="Times New Roman" w:cs="Times New Roman"/>
          <w:sz w:val="20"/>
          <w:szCs w:val="20"/>
        </w:rPr>
        <w:t>, valores superiores aos obtidos no presente estudo.</w:t>
      </w:r>
    </w:p>
    <w:p w14:paraId="7D253E95" w14:textId="77777777" w:rsidR="00AD41DD" w:rsidRPr="00815A19" w:rsidRDefault="00AD41DD" w:rsidP="00D81F3C">
      <w:pPr>
        <w:pStyle w:val="TAMainText"/>
        <w:spacing w:line="240" w:lineRule="auto"/>
        <w:ind w:firstLine="227"/>
        <w:rPr>
          <w:rFonts w:ascii="Times New Roman" w:hAnsi="Times New Roman"/>
          <w:lang w:val="pt-BR"/>
        </w:rPr>
      </w:pPr>
    </w:p>
    <w:p w14:paraId="18DEC43B" w14:textId="77777777" w:rsidR="000022D1" w:rsidRDefault="000022D1" w:rsidP="00D81F3C">
      <w:pPr>
        <w:pStyle w:val="Default"/>
        <w:jc w:val="both"/>
        <w:rPr>
          <w:rFonts w:ascii="Times New Roman" w:hAnsi="Times New Roman" w:cs="Times New Roman"/>
          <w:sz w:val="20"/>
          <w:szCs w:val="20"/>
        </w:rPr>
      </w:pPr>
      <w:r w:rsidRPr="0057126B">
        <w:rPr>
          <w:rFonts w:asciiTheme="majorHAnsi" w:hAnsiTheme="majorHAnsi" w:cstheme="majorHAnsi"/>
          <w:noProof/>
          <w:lang w:eastAsia="pt-BR"/>
        </w:rPr>
        <w:drawing>
          <wp:inline distT="0" distB="0" distL="0" distR="0" wp14:anchorId="1C0EF50B" wp14:editId="04DB6AE3">
            <wp:extent cx="2851785" cy="2509218"/>
            <wp:effectExtent l="0" t="0" r="0" b="0"/>
            <wp:docPr id="50" name="Gráfico 5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351AC6B4" w14:textId="77777777" w:rsidR="000022D1" w:rsidRPr="00F12B2D" w:rsidRDefault="000022D1" w:rsidP="000022D1">
      <w:pPr>
        <w:pStyle w:val="Legenda"/>
        <w:spacing w:after="0"/>
        <w:rPr>
          <w:rFonts w:ascii="Times New Roman" w:hAnsi="Times New Roman" w:cs="Times New Roman"/>
          <w:b w:val="0"/>
          <w:color w:val="auto"/>
          <w:sz w:val="18"/>
        </w:rPr>
      </w:pPr>
      <w:r w:rsidRPr="00F12B2D">
        <w:rPr>
          <w:rFonts w:ascii="Times New Roman" w:hAnsi="Times New Roman" w:cs="Times New Roman"/>
          <w:color w:val="auto"/>
          <w:sz w:val="18"/>
        </w:rPr>
        <w:t>Figura</w:t>
      </w:r>
      <w:r>
        <w:rPr>
          <w:rFonts w:ascii="Times New Roman" w:hAnsi="Times New Roman" w:cs="Times New Roman"/>
          <w:color w:val="auto"/>
          <w:sz w:val="18"/>
        </w:rPr>
        <w:t xml:space="preserve"> 3</w:t>
      </w:r>
      <w:r w:rsidRPr="00F12B2D">
        <w:rPr>
          <w:rFonts w:ascii="Times New Roman" w:hAnsi="Times New Roman" w:cs="Times New Roman"/>
          <w:color w:val="auto"/>
          <w:sz w:val="18"/>
        </w:rPr>
        <w:t>.</w:t>
      </w:r>
      <w:r>
        <w:rPr>
          <w:rFonts w:ascii="Times New Roman" w:hAnsi="Times New Roman" w:cs="Times New Roman"/>
          <w:b w:val="0"/>
          <w:color w:val="auto"/>
          <w:sz w:val="18"/>
        </w:rPr>
        <w:t xml:space="preserve"> </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Produção</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 xml:space="preserve"> </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de</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 xml:space="preserve"> </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mirceno</w:t>
      </w:r>
      <w:r w:rsidR="007A30FD">
        <w:rPr>
          <w:rFonts w:ascii="Times New Roman" w:hAnsi="Times New Roman" w:cs="Times New Roman"/>
          <w:b w:val="0"/>
          <w:color w:val="auto"/>
          <w:sz w:val="18"/>
        </w:rPr>
        <w:t xml:space="preserve">  </w:t>
      </w:r>
      <w:r w:rsidR="00E7294F">
        <w:rPr>
          <w:rFonts w:ascii="Times New Roman" w:hAnsi="Times New Roman" w:cs="Times New Roman"/>
          <w:b w:val="0"/>
          <w:color w:val="auto"/>
          <w:sz w:val="18"/>
        </w:rPr>
        <w:t xml:space="preserve"> (</w:t>
      </w:r>
      <w:r w:rsidR="00E7294F" w:rsidRPr="00E7294F">
        <w:rPr>
          <w:rFonts w:ascii="Monotype Corsiva" w:hAnsi="Monotype Corsiva" w:cs="Times New Roman"/>
          <w:b w:val="0"/>
          <w:color w:val="ED7D31" w:themeColor="accent2"/>
          <w:sz w:val="18"/>
        </w:rPr>
        <w:t>—</w:t>
      </w:r>
      <w:r w:rsidR="00E7294F">
        <w:rPr>
          <w:rFonts w:ascii="Times New Roman" w:hAnsi="Times New Roman" w:cs="Times New Roman"/>
          <w:b w:val="0"/>
          <w:color w:val="auto"/>
          <w:sz w:val="18"/>
        </w:rPr>
        <w:t>)</w:t>
      </w:r>
      <w:r w:rsidRPr="00F12B2D">
        <w:rPr>
          <w:rFonts w:ascii="Times New Roman" w:hAnsi="Times New Roman" w:cs="Times New Roman"/>
          <w:b w:val="0"/>
          <w:color w:val="auto"/>
          <w:sz w:val="18"/>
        </w:rPr>
        <w:t>,</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 xml:space="preserve"> </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limoneno</w:t>
      </w:r>
      <w:r w:rsidR="007A30FD">
        <w:rPr>
          <w:rFonts w:ascii="Times New Roman" w:hAnsi="Times New Roman" w:cs="Times New Roman"/>
          <w:b w:val="0"/>
          <w:color w:val="auto"/>
          <w:sz w:val="18"/>
        </w:rPr>
        <w:t xml:space="preserve">  </w:t>
      </w:r>
      <w:r w:rsidR="00E7294F">
        <w:rPr>
          <w:rFonts w:ascii="Times New Roman" w:hAnsi="Times New Roman" w:cs="Times New Roman"/>
          <w:b w:val="0"/>
          <w:color w:val="auto"/>
          <w:sz w:val="18"/>
        </w:rPr>
        <w:t xml:space="preserve"> (</w:t>
      </w:r>
      <w:r w:rsidR="00E7294F" w:rsidRPr="00E7294F">
        <w:rPr>
          <w:rFonts w:ascii="Monotype Corsiva" w:hAnsi="Monotype Corsiva" w:cs="Times New Roman"/>
          <w:b w:val="0"/>
          <w:color w:val="4472C4" w:themeColor="accent1"/>
          <w:sz w:val="18"/>
        </w:rPr>
        <w:t>—</w:t>
      </w:r>
      <w:r w:rsidR="00E7294F">
        <w:rPr>
          <w:rFonts w:ascii="Times New Roman" w:hAnsi="Times New Roman" w:cs="Times New Roman"/>
          <w:b w:val="0"/>
          <w:color w:val="auto"/>
          <w:sz w:val="18"/>
        </w:rPr>
        <w:t>)</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e</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 xml:space="preserve"> ψ-limoneno</w:t>
      </w:r>
      <w:r w:rsidR="00E7294F">
        <w:rPr>
          <w:rFonts w:ascii="Times New Roman" w:hAnsi="Times New Roman" w:cs="Times New Roman"/>
          <w:b w:val="0"/>
          <w:color w:val="auto"/>
          <w:sz w:val="18"/>
        </w:rPr>
        <w:t xml:space="preserve"> </w:t>
      </w:r>
      <w:r w:rsidR="007A30FD">
        <w:rPr>
          <w:rFonts w:ascii="Times New Roman" w:hAnsi="Times New Roman" w:cs="Times New Roman"/>
          <w:b w:val="0"/>
          <w:color w:val="auto"/>
          <w:sz w:val="18"/>
        </w:rPr>
        <w:t xml:space="preserve"> </w:t>
      </w:r>
      <w:r w:rsidR="00E7294F">
        <w:rPr>
          <w:rFonts w:ascii="Times New Roman" w:hAnsi="Times New Roman" w:cs="Times New Roman"/>
          <w:b w:val="0"/>
          <w:color w:val="auto"/>
          <w:sz w:val="18"/>
        </w:rPr>
        <w:t>(</w:t>
      </w:r>
      <w:r w:rsidR="00E7294F" w:rsidRPr="00E7294F">
        <w:rPr>
          <w:rFonts w:ascii="Monotype Corsiva" w:hAnsi="Monotype Corsiva" w:cs="Times New Roman"/>
          <w:b w:val="0"/>
          <w:color w:val="70AD47" w:themeColor="accent6"/>
          <w:sz w:val="18"/>
        </w:rPr>
        <w:t>—</w:t>
      </w:r>
      <w:r w:rsidR="00E7294F">
        <w:rPr>
          <w:rFonts w:ascii="Times New Roman" w:hAnsi="Times New Roman" w:cs="Times New Roman"/>
          <w:b w:val="0"/>
          <w:color w:val="auto"/>
          <w:sz w:val="18"/>
        </w:rPr>
        <w:t>)</w:t>
      </w:r>
      <w:r w:rsidRPr="00F12B2D">
        <w:rPr>
          <w:rFonts w:ascii="Times New Roman" w:hAnsi="Times New Roman" w:cs="Times New Roman"/>
          <w:b w:val="0"/>
          <w:color w:val="auto"/>
          <w:sz w:val="18"/>
        </w:rPr>
        <w:t xml:space="preserve"> </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 xml:space="preserve">com </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e</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 xml:space="preserve"> sem</w:t>
      </w:r>
      <w:r w:rsidR="007A30FD">
        <w:rPr>
          <w:rFonts w:ascii="Times New Roman" w:hAnsi="Times New Roman" w:cs="Times New Roman"/>
          <w:b w:val="0"/>
          <w:color w:val="auto"/>
          <w:sz w:val="18"/>
        </w:rPr>
        <w:t xml:space="preserve"> </w:t>
      </w:r>
      <w:r w:rsidRPr="00F12B2D">
        <w:rPr>
          <w:rFonts w:ascii="Times New Roman" w:hAnsi="Times New Roman" w:cs="Times New Roman"/>
          <w:b w:val="0"/>
          <w:color w:val="auto"/>
          <w:sz w:val="18"/>
        </w:rPr>
        <w:t xml:space="preserve"> catalisador</w:t>
      </w:r>
      <w:r>
        <w:rPr>
          <w:rFonts w:ascii="Times New Roman" w:hAnsi="Times New Roman" w:cs="Times New Roman"/>
          <w:b w:val="0"/>
          <w:color w:val="auto"/>
          <w:sz w:val="18"/>
        </w:rPr>
        <w:t xml:space="preserve">. </w:t>
      </w:r>
    </w:p>
    <w:p w14:paraId="5F45B4DD" w14:textId="77777777" w:rsidR="000022D1" w:rsidRDefault="000022D1" w:rsidP="007E33D4">
      <w:pPr>
        <w:pStyle w:val="Default"/>
        <w:ind w:firstLine="227"/>
        <w:jc w:val="both"/>
        <w:rPr>
          <w:rFonts w:ascii="Times New Roman" w:hAnsi="Times New Roman" w:cs="Times New Roman"/>
          <w:sz w:val="20"/>
          <w:szCs w:val="20"/>
        </w:rPr>
      </w:pPr>
    </w:p>
    <w:p w14:paraId="10387B73" w14:textId="77777777" w:rsidR="00E4485E" w:rsidRDefault="00721604" w:rsidP="006F204F">
      <w:pPr>
        <w:pStyle w:val="Default"/>
        <w:ind w:firstLine="227"/>
        <w:jc w:val="both"/>
        <w:rPr>
          <w:rFonts w:ascii="Times New Roman" w:hAnsi="Times New Roman" w:cs="Times New Roman"/>
          <w:sz w:val="20"/>
          <w:szCs w:val="20"/>
        </w:rPr>
      </w:pPr>
      <w:r>
        <w:rPr>
          <w:rFonts w:ascii="Times New Roman" w:hAnsi="Times New Roman" w:cs="Times New Roman"/>
          <w:sz w:val="20"/>
          <w:szCs w:val="20"/>
        </w:rPr>
        <w:t>Pela Figura 3 também foi possível observar a decomposição do mirceno em outros produtos</w:t>
      </w:r>
      <w:r w:rsidR="00D548C1">
        <w:rPr>
          <w:rFonts w:ascii="Times New Roman" w:hAnsi="Times New Roman" w:cs="Times New Roman"/>
          <w:sz w:val="20"/>
          <w:szCs w:val="20"/>
        </w:rPr>
        <w:t>,</w:t>
      </w:r>
      <w:r>
        <w:rPr>
          <w:rFonts w:ascii="Times New Roman" w:hAnsi="Times New Roman" w:cs="Times New Roman"/>
          <w:sz w:val="20"/>
          <w:szCs w:val="20"/>
        </w:rPr>
        <w:t xml:space="preserve"> o que está de acordo com o esquema reacional ilustrado na Figura 1. </w:t>
      </w:r>
      <w:r w:rsidR="00D548C1">
        <w:rPr>
          <w:rFonts w:ascii="Times New Roman" w:hAnsi="Times New Roman" w:cs="Times New Roman"/>
          <w:sz w:val="20"/>
          <w:szCs w:val="20"/>
        </w:rPr>
        <w:t>Na Figura 3 observa-se que a</w:t>
      </w:r>
      <w:r>
        <w:rPr>
          <w:rFonts w:ascii="Times New Roman" w:hAnsi="Times New Roman" w:cs="Times New Roman"/>
          <w:sz w:val="20"/>
          <w:szCs w:val="20"/>
        </w:rPr>
        <w:t xml:space="preserve"> decomposição do mirceno ocorre</w:t>
      </w:r>
      <w:r w:rsidR="00D548C1">
        <w:rPr>
          <w:rFonts w:ascii="Times New Roman" w:hAnsi="Times New Roman" w:cs="Times New Roman"/>
          <w:sz w:val="20"/>
          <w:szCs w:val="20"/>
        </w:rPr>
        <w:t xml:space="preserve">u em </w:t>
      </w:r>
      <w:r>
        <w:rPr>
          <w:rFonts w:ascii="Times New Roman" w:hAnsi="Times New Roman" w:cs="Times New Roman"/>
          <w:sz w:val="20"/>
          <w:szCs w:val="20"/>
        </w:rPr>
        <w:t>temperaturas superiores a 475</w:t>
      </w:r>
      <w:r w:rsidR="00630CE1">
        <w:rPr>
          <w:rFonts w:ascii="Times New Roman" w:hAnsi="Times New Roman" w:cs="Times New Roman"/>
          <w:sz w:val="20"/>
          <w:szCs w:val="20"/>
          <w:vertAlign w:val="superscript"/>
        </w:rPr>
        <w:t xml:space="preserve"> °</w:t>
      </w:r>
      <w:r w:rsidR="00630CE1" w:rsidRPr="00630CE1">
        <w:rPr>
          <w:rFonts w:ascii="Times New Roman" w:hAnsi="Times New Roman" w:cs="Times New Roman"/>
          <w:sz w:val="20"/>
          <w:szCs w:val="20"/>
        </w:rPr>
        <w:t>C</w:t>
      </w:r>
      <w:r>
        <w:rPr>
          <w:rFonts w:ascii="Times New Roman" w:hAnsi="Times New Roman" w:cs="Times New Roman"/>
          <w:sz w:val="20"/>
          <w:szCs w:val="20"/>
        </w:rPr>
        <w:t xml:space="preserve">, </w:t>
      </w:r>
      <w:r w:rsidR="00D548C1">
        <w:rPr>
          <w:rFonts w:ascii="Times New Roman" w:hAnsi="Times New Roman" w:cs="Times New Roman"/>
          <w:sz w:val="20"/>
          <w:szCs w:val="20"/>
        </w:rPr>
        <w:t>fato que corrobora com os estudos de</w:t>
      </w:r>
      <w:r>
        <w:rPr>
          <w:rFonts w:ascii="Times New Roman" w:hAnsi="Times New Roman" w:cs="Times New Roman"/>
          <w:sz w:val="20"/>
          <w:szCs w:val="20"/>
        </w:rPr>
        <w:t xml:space="preserve"> (2,5,7-8)</w:t>
      </w:r>
      <w:r w:rsidR="00645033">
        <w:rPr>
          <w:rFonts w:ascii="Times New Roman" w:hAnsi="Times New Roman" w:cs="Times New Roman"/>
          <w:sz w:val="20"/>
          <w:szCs w:val="20"/>
        </w:rPr>
        <w:t>. A</w:t>
      </w:r>
      <w:r>
        <w:rPr>
          <w:rFonts w:ascii="Times New Roman" w:hAnsi="Times New Roman" w:cs="Times New Roman"/>
          <w:sz w:val="20"/>
          <w:szCs w:val="20"/>
        </w:rPr>
        <w:t xml:space="preserve"> presença do catalisador não reduziu os produtos de decomposição de mirceno.</w:t>
      </w:r>
      <w:r w:rsidR="00FB5230">
        <w:rPr>
          <w:rFonts w:ascii="Times New Roman" w:hAnsi="Times New Roman" w:cs="Times New Roman"/>
          <w:sz w:val="20"/>
          <w:szCs w:val="20"/>
        </w:rPr>
        <w:t xml:space="preserve"> </w:t>
      </w:r>
    </w:p>
    <w:p w14:paraId="61E4933D" w14:textId="77777777" w:rsidR="004E79DB" w:rsidRPr="004E79DB" w:rsidRDefault="006F204F" w:rsidP="006F204F">
      <w:pPr>
        <w:pStyle w:val="Default"/>
        <w:ind w:firstLine="227"/>
        <w:jc w:val="both"/>
        <w:rPr>
          <w:rFonts w:ascii="Times New Roman" w:hAnsi="Times New Roman" w:cs="Times New Roman"/>
          <w:sz w:val="20"/>
          <w:szCs w:val="20"/>
        </w:rPr>
      </w:pPr>
      <w:r>
        <w:rPr>
          <w:rFonts w:ascii="Times New Roman" w:hAnsi="Times New Roman" w:cs="Times New Roman"/>
          <w:sz w:val="20"/>
          <w:szCs w:val="20"/>
        </w:rPr>
        <w:t xml:space="preserve">Com os ensaios realizados </w:t>
      </w:r>
      <w:r w:rsidR="004E79DB">
        <w:rPr>
          <w:rFonts w:ascii="Times New Roman" w:hAnsi="Times New Roman" w:cs="Times New Roman"/>
          <w:sz w:val="20"/>
          <w:szCs w:val="20"/>
        </w:rPr>
        <w:t>foi possível obter as constantes cinéticas</w:t>
      </w:r>
      <w:r>
        <w:rPr>
          <w:rFonts w:ascii="Times New Roman" w:hAnsi="Times New Roman" w:cs="Times New Roman"/>
          <w:sz w:val="20"/>
          <w:szCs w:val="20"/>
        </w:rPr>
        <w:t xml:space="preserve"> </w:t>
      </w:r>
      <w:r w:rsidR="00E4485E">
        <w:rPr>
          <w:rFonts w:ascii="Times New Roman" w:hAnsi="Times New Roman" w:cs="Times New Roman"/>
          <w:sz w:val="20"/>
          <w:szCs w:val="20"/>
        </w:rPr>
        <w:t>(</w:t>
      </w:r>
      <w:r w:rsidR="002F2AAD" w:rsidRPr="00721604">
        <w:rPr>
          <w:rFonts w:ascii="Times New Roman" w:hAnsi="Times New Roman"/>
          <w:noProof/>
          <w:position w:val="-14"/>
        </w:rPr>
        <w:object w:dxaOrig="300" w:dyaOrig="380" w14:anchorId="70A0294E">
          <v:shape id="_x0000_i1030" type="#_x0000_t75" alt="" style="width:13pt;height:17pt;mso-width-percent:0;mso-height-percent:0;mso-width-percent:0;mso-height-percent:0" o:ole="">
            <v:imagedata r:id="rId69" o:title=""/>
          </v:shape>
          <o:OLEObject Type="Embed" ProgID="Equation.DSMT4" ShapeID="_x0000_i1030" DrawAspect="Content" ObjectID="_1748618913" r:id="rId70"/>
        </w:object>
      </w:r>
      <w:r w:rsidR="004E79DB" w:rsidRPr="1A2EB2A5">
        <w:rPr>
          <w:rFonts w:ascii="Times New Roman" w:hAnsi="Times New Roman" w:cs="Times New Roman"/>
          <w:i/>
          <w:iCs/>
          <w:sz w:val="20"/>
          <w:szCs w:val="20"/>
        </w:rPr>
        <w:t xml:space="preserve"> </w:t>
      </w:r>
      <w:r w:rsidR="004E79DB" w:rsidRPr="1A2EB2A5">
        <w:rPr>
          <w:rFonts w:ascii="Times New Roman" w:hAnsi="Times New Roman" w:cs="Times New Roman"/>
          <w:sz w:val="20"/>
          <w:szCs w:val="20"/>
        </w:rPr>
        <w:t>e</w:t>
      </w:r>
      <w:r w:rsidR="004E79DB" w:rsidRPr="1A2EB2A5">
        <w:rPr>
          <w:rFonts w:ascii="Times New Roman" w:hAnsi="Times New Roman" w:cs="Times New Roman"/>
          <w:i/>
          <w:iCs/>
          <w:sz w:val="20"/>
          <w:szCs w:val="20"/>
        </w:rPr>
        <w:t xml:space="preserve"> </w:t>
      </w:r>
      <w:r w:rsidR="002F2AAD" w:rsidRPr="00C00298">
        <w:rPr>
          <w:rFonts w:ascii="Times New Roman" w:hAnsi="Times New Roman"/>
          <w:noProof/>
          <w:position w:val="-14"/>
        </w:rPr>
        <w:object w:dxaOrig="300" w:dyaOrig="380" w14:anchorId="4B5D80EF">
          <v:shape id="_x0000_i1029" type="#_x0000_t75" alt="" style="width:11pt;height:16pt;mso-width-percent:0;mso-height-percent:0;mso-width-percent:0;mso-height-percent:0" o:ole="">
            <v:imagedata r:id="rId58" o:title=""/>
          </v:shape>
          <o:OLEObject Type="Embed" ProgID="Equation.DSMT4" ShapeID="_x0000_i1029" DrawAspect="Content" ObjectID="_1748618914" r:id="rId71"/>
        </w:object>
      </w:r>
      <w:r w:rsidR="00E4485E">
        <w:rPr>
          <w:rFonts w:ascii="Times New Roman" w:hAnsi="Times New Roman"/>
        </w:rPr>
        <w:t>)</w:t>
      </w:r>
      <w:r>
        <w:rPr>
          <w:rFonts w:ascii="Times New Roman" w:hAnsi="Times New Roman" w:cs="Times New Roman"/>
          <w:sz w:val="20"/>
          <w:szCs w:val="20"/>
        </w:rPr>
        <w:t xml:space="preserve"> </w:t>
      </w:r>
      <w:r w:rsidR="004E79DB">
        <w:rPr>
          <w:rFonts w:ascii="Times New Roman" w:hAnsi="Times New Roman" w:cs="Times New Roman"/>
          <w:sz w:val="20"/>
          <w:szCs w:val="20"/>
        </w:rPr>
        <w:t xml:space="preserve">e compará-las com </w:t>
      </w:r>
      <w:r>
        <w:rPr>
          <w:rFonts w:ascii="Times New Roman" w:hAnsi="Times New Roman" w:cs="Times New Roman"/>
          <w:sz w:val="20"/>
          <w:szCs w:val="20"/>
        </w:rPr>
        <w:t>dados</w:t>
      </w:r>
      <w:r w:rsidR="004E79DB">
        <w:rPr>
          <w:rFonts w:ascii="Times New Roman" w:hAnsi="Times New Roman" w:cs="Times New Roman"/>
          <w:sz w:val="20"/>
          <w:szCs w:val="20"/>
        </w:rPr>
        <w:t xml:space="preserve"> disponíveis na literatura (2). A Tabela 2 mostra que</w:t>
      </w:r>
      <w:r w:rsidR="004226D1">
        <w:rPr>
          <w:rFonts w:ascii="Times New Roman" w:hAnsi="Times New Roman" w:cs="Times New Roman"/>
          <w:sz w:val="20"/>
          <w:szCs w:val="20"/>
        </w:rPr>
        <w:t xml:space="preserve"> as constantes obtidas para produção de mirceno, produto de interesse deste estudo, est</w:t>
      </w:r>
      <w:r w:rsidR="00E4485E">
        <w:rPr>
          <w:rFonts w:ascii="Times New Roman" w:hAnsi="Times New Roman" w:cs="Times New Roman"/>
          <w:sz w:val="20"/>
          <w:szCs w:val="20"/>
        </w:rPr>
        <w:t>ão</w:t>
      </w:r>
      <w:r w:rsidR="004226D1">
        <w:rPr>
          <w:rFonts w:ascii="Times New Roman" w:hAnsi="Times New Roman" w:cs="Times New Roman"/>
          <w:sz w:val="20"/>
          <w:szCs w:val="20"/>
        </w:rPr>
        <w:t xml:space="preserve"> de acordo com o obtido na literatura.</w:t>
      </w:r>
      <w:r w:rsidR="00D773CA">
        <w:rPr>
          <w:rFonts w:ascii="Times New Roman" w:hAnsi="Times New Roman" w:cs="Times New Roman"/>
          <w:sz w:val="20"/>
          <w:szCs w:val="20"/>
        </w:rPr>
        <w:t xml:space="preserve"> </w:t>
      </w:r>
    </w:p>
    <w:p w14:paraId="18F1684C" w14:textId="77777777" w:rsidR="00FB5230" w:rsidRDefault="00FB5230" w:rsidP="00FB5230">
      <w:pPr>
        <w:pStyle w:val="Default"/>
        <w:ind w:firstLine="227"/>
        <w:jc w:val="both"/>
        <w:rPr>
          <w:rFonts w:ascii="Times New Roman" w:hAnsi="Times New Roman" w:cs="Times New Roman"/>
          <w:sz w:val="20"/>
          <w:szCs w:val="20"/>
        </w:rPr>
      </w:pPr>
      <w:r w:rsidRPr="1A2EB2A5">
        <w:rPr>
          <w:rFonts w:ascii="Times New Roman" w:hAnsi="Times New Roman" w:cs="Times New Roman"/>
          <w:sz w:val="20"/>
          <w:szCs w:val="20"/>
        </w:rPr>
        <w:t xml:space="preserve">Analisando as constantes sem e com catalisador (Tabela 2) é possível observar </w:t>
      </w:r>
      <w:r w:rsidR="00BB3490">
        <w:rPr>
          <w:rFonts w:ascii="Times New Roman" w:hAnsi="Times New Roman" w:cs="Times New Roman"/>
          <w:sz w:val="20"/>
          <w:szCs w:val="20"/>
        </w:rPr>
        <w:t>não ocorreu alteração</w:t>
      </w:r>
      <w:r w:rsidRPr="1A2EB2A5">
        <w:rPr>
          <w:rFonts w:ascii="Times New Roman" w:hAnsi="Times New Roman" w:cs="Times New Roman"/>
          <w:sz w:val="20"/>
          <w:szCs w:val="20"/>
        </w:rPr>
        <w:t xml:space="preserve"> na energia de </w:t>
      </w:r>
      <w:r w:rsidRPr="1A2EB2A5">
        <w:rPr>
          <w:rFonts w:ascii="Times New Roman" w:hAnsi="Times New Roman" w:cs="Times New Roman"/>
          <w:sz w:val="20"/>
          <w:szCs w:val="20"/>
        </w:rPr>
        <w:t>ativação</w:t>
      </w:r>
      <w:r w:rsidR="009C70DB">
        <w:rPr>
          <w:rFonts w:ascii="Times New Roman" w:hAnsi="Times New Roman" w:cs="Times New Roman"/>
          <w:sz w:val="20"/>
          <w:szCs w:val="20"/>
        </w:rPr>
        <w:t>, porém um aumento de 2</w:t>
      </w:r>
      <w:r w:rsidR="00BB3490">
        <w:rPr>
          <w:rFonts w:ascii="Times New Roman" w:hAnsi="Times New Roman" w:cs="Times New Roman"/>
          <w:sz w:val="20"/>
          <w:szCs w:val="20"/>
        </w:rPr>
        <w:t>8,9</w:t>
      </w:r>
      <w:r w:rsidR="009C70DB">
        <w:rPr>
          <w:rFonts w:ascii="Times New Roman" w:hAnsi="Times New Roman" w:cs="Times New Roman"/>
          <w:sz w:val="20"/>
          <w:szCs w:val="20"/>
        </w:rPr>
        <w:t>%</w:t>
      </w:r>
      <w:r w:rsidRPr="1A2EB2A5">
        <w:rPr>
          <w:rFonts w:ascii="Times New Roman" w:hAnsi="Times New Roman" w:cs="Times New Roman"/>
          <w:sz w:val="20"/>
          <w:szCs w:val="20"/>
        </w:rPr>
        <w:t xml:space="preserve"> no fator pré-exponencial para a reação 1 – síntese do mirceno – o que indica que a presença do catalisador influência de forma mais significativa o fator pré-exponencial. O mesmo não ocorreu para a formação de limoneno e </w:t>
      </w:r>
      <w:r w:rsidRPr="00164963">
        <w:rPr>
          <w:rFonts w:ascii="Symbol" w:hAnsi="Symbol" w:cs="Times New Roman"/>
          <w:i/>
          <w:sz w:val="20"/>
          <w:szCs w:val="20"/>
        </w:rPr>
        <w:t></w:t>
      </w:r>
      <w:r w:rsidRPr="1A2EB2A5">
        <w:rPr>
          <w:rFonts w:ascii="Times New Roman" w:hAnsi="Times New Roman" w:cs="Times New Roman"/>
          <w:sz w:val="20"/>
          <w:szCs w:val="20"/>
        </w:rPr>
        <w:t xml:space="preserve">-limoneno, sendo que a pequena variação para o </w:t>
      </w:r>
      <w:r w:rsidRPr="00164963">
        <w:rPr>
          <w:rFonts w:ascii="Symbol" w:hAnsi="Symbol" w:cs="Times New Roman"/>
          <w:i/>
          <w:sz w:val="20"/>
          <w:szCs w:val="20"/>
        </w:rPr>
        <w:t></w:t>
      </w:r>
      <w:r w:rsidRPr="1A2EB2A5">
        <w:rPr>
          <w:rFonts w:ascii="Times New Roman" w:hAnsi="Times New Roman" w:cs="Times New Roman"/>
          <w:sz w:val="20"/>
          <w:szCs w:val="20"/>
        </w:rPr>
        <w:t>-limoneno pode ser explicada devido ao erro experimental.</w:t>
      </w:r>
    </w:p>
    <w:p w14:paraId="003AFCFC" w14:textId="77777777" w:rsidR="00FB5230" w:rsidRDefault="00FB5230" w:rsidP="00FB5230">
      <w:pPr>
        <w:spacing w:after="0" w:line="240" w:lineRule="auto"/>
        <w:ind w:firstLine="227"/>
        <w:jc w:val="both"/>
        <w:rPr>
          <w:rFonts w:ascii="Times New Roman" w:hAnsi="Times New Roman" w:cs="Times New Roman"/>
          <w:sz w:val="20"/>
          <w:szCs w:val="22"/>
        </w:rPr>
      </w:pPr>
      <w:r>
        <w:rPr>
          <w:rFonts w:ascii="Times New Roman" w:hAnsi="Times New Roman" w:cs="Times New Roman"/>
          <w:sz w:val="20"/>
          <w:szCs w:val="22"/>
        </w:rPr>
        <w:t>Vale ressaltar ainda que n</w:t>
      </w:r>
      <w:r w:rsidRPr="00953FA5">
        <w:rPr>
          <w:rFonts w:ascii="Times New Roman" w:hAnsi="Times New Roman" w:cs="Times New Roman"/>
          <w:sz w:val="20"/>
          <w:szCs w:val="22"/>
        </w:rPr>
        <w:t>a presença do catalisador o reator apresentou maior estabilidade</w:t>
      </w:r>
      <w:r w:rsidR="00D20A7A">
        <w:rPr>
          <w:rFonts w:ascii="Times New Roman" w:hAnsi="Times New Roman" w:cs="Times New Roman"/>
          <w:sz w:val="20"/>
          <w:szCs w:val="22"/>
        </w:rPr>
        <w:t xml:space="preserve"> operacional</w:t>
      </w:r>
      <w:r w:rsidRPr="00953FA5">
        <w:rPr>
          <w:rFonts w:ascii="Times New Roman" w:hAnsi="Times New Roman" w:cs="Times New Roman"/>
          <w:sz w:val="20"/>
          <w:szCs w:val="22"/>
        </w:rPr>
        <w:t xml:space="preserve">, </w:t>
      </w:r>
      <w:r>
        <w:rPr>
          <w:rFonts w:ascii="Times New Roman" w:hAnsi="Times New Roman" w:cs="Times New Roman"/>
          <w:sz w:val="20"/>
          <w:szCs w:val="22"/>
        </w:rPr>
        <w:t>em</w:t>
      </w:r>
      <w:r w:rsidRPr="00953FA5">
        <w:rPr>
          <w:rFonts w:ascii="Times New Roman" w:hAnsi="Times New Roman" w:cs="Times New Roman"/>
          <w:sz w:val="20"/>
          <w:szCs w:val="22"/>
        </w:rPr>
        <w:t xml:space="preserve"> </w:t>
      </w:r>
      <w:r>
        <w:rPr>
          <w:rFonts w:ascii="Times New Roman" w:hAnsi="Times New Roman" w:cs="Times New Roman"/>
          <w:sz w:val="20"/>
          <w:szCs w:val="22"/>
        </w:rPr>
        <w:t xml:space="preserve">relação </w:t>
      </w:r>
      <w:r w:rsidRPr="00953FA5">
        <w:rPr>
          <w:rFonts w:ascii="Times New Roman" w:hAnsi="Times New Roman" w:cs="Times New Roman"/>
          <w:sz w:val="20"/>
          <w:szCs w:val="22"/>
        </w:rPr>
        <w:t>a temperatura</w:t>
      </w:r>
      <w:r>
        <w:rPr>
          <w:rFonts w:ascii="Times New Roman" w:hAnsi="Times New Roman" w:cs="Times New Roman"/>
          <w:sz w:val="20"/>
          <w:szCs w:val="22"/>
        </w:rPr>
        <w:t xml:space="preserve"> do reator</w:t>
      </w:r>
      <w:r w:rsidR="009C70DB">
        <w:rPr>
          <w:rFonts w:ascii="Times New Roman" w:hAnsi="Times New Roman" w:cs="Times New Roman"/>
          <w:sz w:val="20"/>
          <w:szCs w:val="22"/>
        </w:rPr>
        <w:t xml:space="preserve"> cuja oscilação foi menor</w:t>
      </w:r>
      <w:r>
        <w:rPr>
          <w:rFonts w:ascii="Times New Roman" w:hAnsi="Times New Roman" w:cs="Times New Roman"/>
          <w:sz w:val="20"/>
          <w:szCs w:val="22"/>
        </w:rPr>
        <w:t>. F</w:t>
      </w:r>
      <w:r w:rsidRPr="00953FA5">
        <w:rPr>
          <w:rFonts w:ascii="Times New Roman" w:hAnsi="Times New Roman" w:cs="Times New Roman"/>
          <w:sz w:val="20"/>
          <w:szCs w:val="22"/>
        </w:rPr>
        <w:t xml:space="preserve">ato confirmado com o bom ajuste </w:t>
      </w:r>
      <w:r>
        <w:rPr>
          <w:rFonts w:ascii="Times New Roman" w:hAnsi="Times New Roman" w:cs="Times New Roman"/>
          <w:sz w:val="20"/>
          <w:szCs w:val="22"/>
        </w:rPr>
        <w:t xml:space="preserve">para a obtenção das constantes cinéticas, por exemplo para a determinação das constantes da reação 1 – formação do mirceno – a incerteza </w:t>
      </w:r>
      <w:r w:rsidRPr="00953FA5">
        <w:rPr>
          <w:rFonts w:ascii="Times New Roman" w:hAnsi="Times New Roman" w:cs="Times New Roman"/>
          <w:sz w:val="20"/>
          <w:szCs w:val="22"/>
        </w:rPr>
        <w:t xml:space="preserve">passou de </w:t>
      </w:r>
      <w:r>
        <w:rPr>
          <w:rFonts w:ascii="Times New Roman" w:hAnsi="Times New Roman" w:cs="Times New Roman"/>
          <w:sz w:val="20"/>
          <w:szCs w:val="22"/>
        </w:rPr>
        <w:t>σ = 2,819 para σ</w:t>
      </w:r>
      <w:r w:rsidRPr="002F1FC4">
        <w:rPr>
          <w:rFonts w:ascii="Symbol" w:hAnsi="Symbol" w:cs="Times New Roman"/>
          <w:sz w:val="20"/>
          <w:szCs w:val="22"/>
        </w:rPr>
        <w:t></w:t>
      </w:r>
      <w:r w:rsidRPr="00953FA5">
        <w:rPr>
          <w:rFonts w:ascii="Times New Roman" w:hAnsi="Times New Roman" w:cs="Times New Roman"/>
          <w:sz w:val="20"/>
          <w:szCs w:val="22"/>
        </w:rPr>
        <w:t>=</w:t>
      </w:r>
      <w:r w:rsidRPr="002F1FC4">
        <w:rPr>
          <w:rFonts w:ascii="Symbol" w:hAnsi="Symbol" w:cs="Times New Roman"/>
          <w:sz w:val="20"/>
          <w:szCs w:val="22"/>
        </w:rPr>
        <w:t></w:t>
      </w:r>
      <w:r w:rsidRPr="00953FA5">
        <w:rPr>
          <w:rFonts w:ascii="Times New Roman" w:hAnsi="Times New Roman" w:cs="Times New Roman"/>
          <w:sz w:val="20"/>
          <w:szCs w:val="22"/>
        </w:rPr>
        <w:t>0,00</w:t>
      </w:r>
      <w:r w:rsidR="00BB3490">
        <w:rPr>
          <w:rFonts w:ascii="Times New Roman" w:hAnsi="Times New Roman" w:cs="Times New Roman"/>
          <w:sz w:val="20"/>
          <w:szCs w:val="22"/>
        </w:rPr>
        <w:t>8</w:t>
      </w:r>
      <w:r>
        <w:rPr>
          <w:rFonts w:ascii="Times New Roman" w:hAnsi="Times New Roman" w:cs="Times New Roman"/>
          <w:sz w:val="20"/>
          <w:szCs w:val="22"/>
        </w:rPr>
        <w:t>.</w:t>
      </w:r>
      <w:r w:rsidRPr="00953FA5">
        <w:rPr>
          <w:rFonts w:ascii="Times New Roman" w:hAnsi="Times New Roman" w:cs="Times New Roman"/>
          <w:sz w:val="20"/>
          <w:szCs w:val="22"/>
        </w:rPr>
        <w:t xml:space="preserve"> </w:t>
      </w:r>
    </w:p>
    <w:p w14:paraId="72080D0F" w14:textId="77777777" w:rsidR="00FD13CF" w:rsidRDefault="00FD13CF" w:rsidP="00472414">
      <w:pPr>
        <w:pStyle w:val="Default"/>
        <w:ind w:firstLine="227"/>
        <w:jc w:val="both"/>
        <w:rPr>
          <w:rFonts w:ascii="Times New Roman" w:hAnsi="Times New Roman" w:cs="Times New Roman"/>
          <w:sz w:val="20"/>
          <w:szCs w:val="20"/>
          <w:highlight w:val="yellow"/>
        </w:rPr>
      </w:pPr>
    </w:p>
    <w:p w14:paraId="39E9FD86" w14:textId="77777777" w:rsidR="004E79DB" w:rsidRDefault="004E79DB" w:rsidP="004E79DB">
      <w:pPr>
        <w:pStyle w:val="VDTableTitle"/>
        <w:spacing w:after="120"/>
        <w:jc w:val="both"/>
        <w:rPr>
          <w:rFonts w:ascii="Times New Roman" w:hAnsi="Times New Roman"/>
          <w:highlight w:val="magenta"/>
          <w:lang w:val="pt-BR"/>
        </w:rPr>
      </w:pPr>
      <w:r>
        <w:rPr>
          <w:rFonts w:ascii="Times New Roman" w:hAnsi="Times New Roman"/>
          <w:b/>
          <w:lang w:val="pt-BR"/>
        </w:rPr>
        <w:t>Tabela 2</w:t>
      </w:r>
      <w:r w:rsidRPr="00E038AF">
        <w:rPr>
          <w:rFonts w:ascii="Times New Roman" w:hAnsi="Times New Roman"/>
          <w:b/>
          <w:lang w:val="pt-BR"/>
        </w:rPr>
        <w:t>.</w:t>
      </w:r>
      <w:r w:rsidRPr="00E038AF">
        <w:rPr>
          <w:rFonts w:ascii="Times New Roman" w:hAnsi="Times New Roman"/>
          <w:lang w:val="pt-BR"/>
        </w:rPr>
        <w:t xml:space="preserve"> </w:t>
      </w:r>
      <w:r>
        <w:rPr>
          <w:szCs w:val="18"/>
          <w:lang w:val="pt-BR"/>
        </w:rPr>
        <w:t>Comparação das constantes cinéticas obtidas no estudo atual e na literatura.</w:t>
      </w:r>
      <w:r w:rsidRPr="00815A19">
        <w:rPr>
          <w:szCs w:val="18"/>
          <w:lang w:val="pt-BR"/>
        </w:rPr>
        <w:t xml:space="preserve"> </w:t>
      </w:r>
    </w:p>
    <w:tbl>
      <w:tblPr>
        <w:tblW w:w="4966"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08"/>
        <w:gridCol w:w="992"/>
        <w:gridCol w:w="1087"/>
        <w:gridCol w:w="898"/>
        <w:gridCol w:w="1181"/>
      </w:tblGrid>
      <w:tr w:rsidR="00FD13CF" w:rsidRPr="00C6367F" w14:paraId="10AC4F61" w14:textId="77777777" w:rsidTr="1A2EB2A5">
        <w:trPr>
          <w:trHeight w:val="20"/>
          <w:jc w:val="center"/>
        </w:trPr>
        <w:tc>
          <w:tcPr>
            <w:tcW w:w="808" w:type="dxa"/>
            <w:tcBorders>
              <w:top w:val="single" w:sz="4" w:space="0" w:color="auto"/>
              <w:bottom w:val="single" w:sz="4" w:space="0" w:color="auto"/>
            </w:tcBorders>
            <w:vAlign w:val="center"/>
          </w:tcPr>
          <w:p w14:paraId="60AFD651" w14:textId="77777777" w:rsidR="00FD13CF" w:rsidRPr="006F204F" w:rsidRDefault="00FD13CF" w:rsidP="0025357E">
            <w:pPr>
              <w:pStyle w:val="TCTableBody"/>
              <w:spacing w:after="0" w:line="360" w:lineRule="auto"/>
              <w:jc w:val="center"/>
              <w:rPr>
                <w:b/>
                <w:lang w:val="pt-BR"/>
              </w:rPr>
            </w:pPr>
            <w:r w:rsidRPr="006F204F">
              <w:rPr>
                <w:b/>
                <w:lang w:val="pt-BR"/>
              </w:rPr>
              <w:t>Estudo</w:t>
            </w:r>
          </w:p>
        </w:tc>
        <w:tc>
          <w:tcPr>
            <w:tcW w:w="2079" w:type="dxa"/>
            <w:gridSpan w:val="2"/>
            <w:tcBorders>
              <w:top w:val="single" w:sz="4" w:space="0" w:color="auto"/>
              <w:bottom w:val="single" w:sz="4" w:space="0" w:color="auto"/>
            </w:tcBorders>
            <w:vAlign w:val="center"/>
          </w:tcPr>
          <w:p w14:paraId="54BDDD0E" w14:textId="77777777" w:rsidR="00FD13CF" w:rsidRDefault="00D773CA" w:rsidP="004E79DB">
            <w:pPr>
              <w:pStyle w:val="TCTableBody"/>
              <w:spacing w:after="0" w:line="360" w:lineRule="auto"/>
              <w:jc w:val="center"/>
              <w:rPr>
                <w:b/>
                <w:lang w:val="pt-BR"/>
              </w:rPr>
            </w:pPr>
            <w:r>
              <w:rPr>
                <w:b/>
                <w:lang w:val="pt-BR"/>
              </w:rPr>
              <w:t>Sem</w:t>
            </w:r>
            <w:r w:rsidR="006F204F">
              <w:rPr>
                <w:b/>
                <w:lang w:val="pt-BR"/>
              </w:rPr>
              <w:t xml:space="preserve"> catalisador</w:t>
            </w:r>
          </w:p>
          <w:p w14:paraId="12D6570D" w14:textId="77777777" w:rsidR="006F204F" w:rsidRPr="00D773CA" w:rsidRDefault="00D773CA" w:rsidP="004E79DB">
            <w:pPr>
              <w:pStyle w:val="TCTableBody"/>
              <w:spacing w:after="0" w:line="360" w:lineRule="auto"/>
              <w:jc w:val="center"/>
              <w:rPr>
                <w:b/>
                <w:i/>
                <w:iCs/>
                <w:lang w:val="pt-BR"/>
              </w:rPr>
            </w:pPr>
            <w:r w:rsidRPr="00D773CA">
              <w:rPr>
                <w:b/>
                <w:i/>
                <w:iCs/>
                <w:lang w:val="pt-BR"/>
              </w:rPr>
              <w:t>Co</w:t>
            </w:r>
            <w:r w:rsidR="006F204F" w:rsidRPr="00D773CA">
              <w:rPr>
                <w:b/>
                <w:i/>
                <w:iCs/>
                <w:lang w:val="pt-BR"/>
              </w:rPr>
              <w:t>m catalisador</w:t>
            </w:r>
          </w:p>
        </w:tc>
        <w:tc>
          <w:tcPr>
            <w:tcW w:w="2079" w:type="dxa"/>
            <w:gridSpan w:val="2"/>
            <w:tcBorders>
              <w:top w:val="single" w:sz="4" w:space="0" w:color="auto"/>
              <w:bottom w:val="single" w:sz="4" w:space="0" w:color="auto"/>
            </w:tcBorders>
            <w:vAlign w:val="center"/>
          </w:tcPr>
          <w:p w14:paraId="43D655F4" w14:textId="77777777" w:rsidR="00FD13CF" w:rsidRPr="00C6367F" w:rsidRDefault="00D548C1" w:rsidP="00FD13CF">
            <w:pPr>
              <w:pStyle w:val="TCTableBody"/>
              <w:spacing w:after="0" w:line="360" w:lineRule="auto"/>
              <w:jc w:val="center"/>
              <w:rPr>
                <w:b/>
                <w:lang w:val="pt-BR"/>
              </w:rPr>
            </w:pPr>
            <w:r w:rsidRPr="00D548C1">
              <w:rPr>
                <w:b/>
                <w:lang w:val="pt-BR"/>
              </w:rPr>
              <w:t xml:space="preserve">Zheng </w:t>
            </w:r>
            <w:r w:rsidRPr="00D548C1">
              <w:rPr>
                <w:b/>
                <w:i/>
                <w:iCs/>
                <w:lang w:val="pt-BR"/>
              </w:rPr>
              <w:t>et al</w:t>
            </w:r>
            <w:r>
              <w:rPr>
                <w:b/>
                <w:lang w:val="pt-BR"/>
              </w:rPr>
              <w:t>, 2017</w:t>
            </w:r>
            <w:r w:rsidR="004E79DB">
              <w:rPr>
                <w:b/>
                <w:lang w:val="pt-BR"/>
              </w:rPr>
              <w:t xml:space="preserve"> (2)</w:t>
            </w:r>
          </w:p>
        </w:tc>
      </w:tr>
      <w:tr w:rsidR="00FD13CF" w:rsidRPr="006F204F" w14:paraId="05185F4B" w14:textId="77777777" w:rsidTr="1A2EB2A5">
        <w:trPr>
          <w:trHeight w:val="20"/>
          <w:jc w:val="center"/>
        </w:trPr>
        <w:tc>
          <w:tcPr>
            <w:tcW w:w="808" w:type="dxa"/>
            <w:tcBorders>
              <w:top w:val="single" w:sz="4" w:space="0" w:color="auto"/>
              <w:bottom w:val="single" w:sz="4" w:space="0" w:color="auto"/>
            </w:tcBorders>
            <w:vAlign w:val="center"/>
          </w:tcPr>
          <w:p w14:paraId="3D6DF8A2" w14:textId="77777777" w:rsidR="00FD13CF" w:rsidRPr="006F204F" w:rsidRDefault="00FD13CF" w:rsidP="00645033">
            <w:pPr>
              <w:pStyle w:val="TCTableBody"/>
              <w:spacing w:after="0" w:line="360" w:lineRule="auto"/>
              <w:jc w:val="center"/>
              <w:rPr>
                <w:b/>
                <w:lang w:val="pt-BR"/>
              </w:rPr>
            </w:pPr>
            <w:r w:rsidRPr="006F204F">
              <w:rPr>
                <w:b/>
                <w:lang w:val="pt-BR"/>
              </w:rPr>
              <w:t>Reação</w:t>
            </w:r>
          </w:p>
        </w:tc>
        <w:tc>
          <w:tcPr>
            <w:tcW w:w="992" w:type="dxa"/>
            <w:tcBorders>
              <w:top w:val="single" w:sz="4" w:space="0" w:color="auto"/>
              <w:bottom w:val="single" w:sz="4" w:space="0" w:color="auto"/>
            </w:tcBorders>
            <w:vAlign w:val="center"/>
          </w:tcPr>
          <w:p w14:paraId="3EE821C3" w14:textId="77777777" w:rsidR="00FD13CF" w:rsidRPr="006F204F" w:rsidRDefault="002F2AAD" w:rsidP="1A2EB2A5">
            <w:pPr>
              <w:pStyle w:val="TCTableBody"/>
              <w:spacing w:after="0" w:line="360" w:lineRule="auto"/>
              <w:jc w:val="center"/>
              <w:rPr>
                <w:rFonts w:ascii="Times New Roman" w:hAnsi="Times New Roman"/>
                <w:b/>
                <w:bCs/>
                <w:lang w:val="pt-BR"/>
              </w:rPr>
            </w:pPr>
            <w:r w:rsidRPr="00721604">
              <w:rPr>
                <w:rFonts w:ascii="Times New Roman" w:hAnsi="Times New Roman"/>
                <w:noProof/>
                <w:position w:val="-14"/>
              </w:rPr>
              <w:object w:dxaOrig="300" w:dyaOrig="380" w14:anchorId="5D28245E">
                <v:shape id="_x0000_i1028" type="#_x0000_t75" alt="" style="width:13.2pt;height:16.8pt;mso-width-percent:0;mso-height-percent:0;mso-width-percent:0;mso-height-percent:0" o:ole="">
                  <v:imagedata r:id="rId69" o:title=""/>
                </v:shape>
                <o:OLEObject Type="Embed" ProgID="Equation.DSMT4" ShapeID="_x0000_i1028" DrawAspect="Content" ObjectID="_1748618915" r:id="rId72"/>
              </w:object>
            </w:r>
            <w:r w:rsidR="1034D9AD" w:rsidRPr="1A2EB2A5">
              <w:rPr>
                <w:rFonts w:ascii="Symbol" w:hAnsi="Symbol"/>
                <w:b/>
                <w:bCs/>
                <w:lang w:val="pt-BR"/>
              </w:rPr>
              <w:t></w:t>
            </w:r>
            <w:r w:rsidR="1034D9AD" w:rsidRPr="1A2EB2A5">
              <w:rPr>
                <w:rFonts w:ascii="Symbol" w:hAnsi="Symbol"/>
                <w:b/>
                <w:bCs/>
                <w:lang w:val="pt-BR"/>
              </w:rPr>
              <w:t></w:t>
            </w:r>
            <w:r w:rsidR="1034D9AD" w:rsidRPr="1A2EB2A5">
              <w:rPr>
                <w:rFonts w:ascii="Times New Roman" w:hAnsi="Times New Roman"/>
                <w:b/>
                <w:bCs/>
                <w:lang w:val="pt-BR"/>
              </w:rPr>
              <w:t>ms</w:t>
            </w:r>
            <w:r w:rsidR="1034D9AD" w:rsidRPr="1A2EB2A5">
              <w:rPr>
                <w:rFonts w:ascii="Times New Roman" w:hAnsi="Times New Roman"/>
                <w:b/>
                <w:bCs/>
                <w:vertAlign w:val="superscript"/>
                <w:lang w:val="pt-BR"/>
              </w:rPr>
              <w:t>-1</w:t>
            </w:r>
            <w:r w:rsidR="1034D9AD" w:rsidRPr="1A2EB2A5">
              <w:rPr>
                <w:rFonts w:ascii="Times New Roman" w:hAnsi="Times New Roman"/>
                <w:b/>
                <w:bCs/>
                <w:lang w:val="pt-BR"/>
              </w:rPr>
              <w:t>)</w:t>
            </w:r>
          </w:p>
        </w:tc>
        <w:tc>
          <w:tcPr>
            <w:tcW w:w="1087" w:type="dxa"/>
            <w:tcBorders>
              <w:top w:val="single" w:sz="4" w:space="0" w:color="auto"/>
              <w:bottom w:val="single" w:sz="4" w:space="0" w:color="auto"/>
            </w:tcBorders>
            <w:vAlign w:val="center"/>
          </w:tcPr>
          <w:p w14:paraId="6A64178B" w14:textId="77777777" w:rsidR="00FD13CF" w:rsidRPr="006F204F" w:rsidRDefault="002F2AAD" w:rsidP="1A2EB2A5">
            <w:pPr>
              <w:pStyle w:val="TCTableBody"/>
              <w:spacing w:after="0" w:line="360" w:lineRule="auto"/>
              <w:jc w:val="center"/>
              <w:rPr>
                <w:rFonts w:ascii="Times New Roman" w:hAnsi="Times New Roman"/>
                <w:b/>
                <w:bCs/>
                <w:lang w:val="pt-BR"/>
              </w:rPr>
            </w:pPr>
            <w:r w:rsidRPr="00C00298">
              <w:rPr>
                <w:rFonts w:ascii="Times New Roman" w:hAnsi="Times New Roman"/>
                <w:noProof/>
                <w:position w:val="-14"/>
              </w:rPr>
              <w:object w:dxaOrig="300" w:dyaOrig="380" w14:anchorId="6808184A">
                <v:shape id="_x0000_i1027" type="#_x0000_t75" alt="" style="width:11.4pt;height:15.6pt;mso-width-percent:0;mso-height-percent:0;mso-width-percent:0;mso-height-percent:0" o:ole="">
                  <v:imagedata r:id="rId58" o:title=""/>
                </v:shape>
                <o:OLEObject Type="Embed" ProgID="Equation.DSMT4" ShapeID="_x0000_i1027" DrawAspect="Content" ObjectID="_1748618916" r:id="rId73"/>
              </w:object>
            </w:r>
            <w:r w:rsidR="1034D9AD" w:rsidRPr="1A2EB2A5">
              <w:rPr>
                <w:b/>
                <w:bCs/>
                <w:i/>
                <w:iCs/>
                <w:lang w:val="pt-BR"/>
              </w:rPr>
              <w:t xml:space="preserve"> </w:t>
            </w:r>
            <w:r w:rsidR="1034D9AD" w:rsidRPr="1A2EB2A5">
              <w:rPr>
                <w:b/>
                <w:bCs/>
                <w:lang w:val="pt-BR"/>
              </w:rPr>
              <w:t>(kJ/mol)</w:t>
            </w:r>
          </w:p>
        </w:tc>
        <w:tc>
          <w:tcPr>
            <w:tcW w:w="898" w:type="dxa"/>
            <w:tcBorders>
              <w:top w:val="single" w:sz="4" w:space="0" w:color="auto"/>
              <w:bottom w:val="single" w:sz="4" w:space="0" w:color="auto"/>
            </w:tcBorders>
            <w:vAlign w:val="center"/>
          </w:tcPr>
          <w:p w14:paraId="1CE82A4E" w14:textId="77777777" w:rsidR="00FD13CF" w:rsidRPr="006F204F" w:rsidRDefault="002F2AAD" w:rsidP="1A2EB2A5">
            <w:pPr>
              <w:pStyle w:val="TCTableBody"/>
              <w:spacing w:after="0" w:line="360" w:lineRule="auto"/>
              <w:jc w:val="center"/>
              <w:rPr>
                <w:b/>
                <w:bCs/>
                <w:lang w:val="pt-BR"/>
              </w:rPr>
            </w:pPr>
            <w:r w:rsidRPr="00721604">
              <w:rPr>
                <w:rFonts w:ascii="Times New Roman" w:hAnsi="Times New Roman"/>
                <w:noProof/>
                <w:position w:val="-14"/>
              </w:rPr>
              <w:object w:dxaOrig="300" w:dyaOrig="380" w14:anchorId="1998CF8A">
                <v:shape id="_x0000_i1026" type="#_x0000_t75" alt="" style="width:13.2pt;height:16.8pt;mso-width-percent:0;mso-height-percent:0;mso-width-percent:0;mso-height-percent:0" o:ole="">
                  <v:imagedata r:id="rId69" o:title=""/>
                </v:shape>
                <o:OLEObject Type="Embed" ProgID="Equation.DSMT4" ShapeID="_x0000_i1026" DrawAspect="Content" ObjectID="_1748618917" r:id="rId74"/>
              </w:object>
            </w:r>
            <w:r w:rsidR="1034D9AD" w:rsidRPr="1A2EB2A5">
              <w:rPr>
                <w:rFonts w:ascii="Symbol" w:hAnsi="Symbol"/>
                <w:b/>
                <w:bCs/>
                <w:lang w:val="pt-BR"/>
              </w:rPr>
              <w:t></w:t>
            </w:r>
            <w:r w:rsidR="1034D9AD" w:rsidRPr="1A2EB2A5">
              <w:rPr>
                <w:rFonts w:ascii="Symbol" w:hAnsi="Symbol"/>
                <w:b/>
                <w:bCs/>
                <w:lang w:val="pt-BR"/>
              </w:rPr>
              <w:t></w:t>
            </w:r>
            <w:r w:rsidR="1034D9AD" w:rsidRPr="1A2EB2A5">
              <w:rPr>
                <w:rFonts w:ascii="Times New Roman" w:hAnsi="Times New Roman"/>
                <w:b/>
                <w:bCs/>
                <w:lang w:val="pt-BR"/>
              </w:rPr>
              <w:t>ms</w:t>
            </w:r>
            <w:r w:rsidR="1034D9AD" w:rsidRPr="1A2EB2A5">
              <w:rPr>
                <w:rFonts w:ascii="Times New Roman" w:hAnsi="Times New Roman"/>
                <w:b/>
                <w:bCs/>
                <w:vertAlign w:val="superscript"/>
                <w:lang w:val="pt-BR"/>
              </w:rPr>
              <w:t>-1</w:t>
            </w:r>
            <w:r w:rsidR="1034D9AD" w:rsidRPr="1A2EB2A5">
              <w:rPr>
                <w:rFonts w:ascii="Times New Roman" w:hAnsi="Times New Roman"/>
                <w:b/>
                <w:bCs/>
                <w:lang w:val="pt-BR"/>
              </w:rPr>
              <w:t>)</w:t>
            </w:r>
          </w:p>
        </w:tc>
        <w:tc>
          <w:tcPr>
            <w:tcW w:w="1181" w:type="dxa"/>
            <w:tcBorders>
              <w:top w:val="single" w:sz="4" w:space="0" w:color="auto"/>
              <w:bottom w:val="single" w:sz="4" w:space="0" w:color="auto"/>
            </w:tcBorders>
            <w:vAlign w:val="center"/>
          </w:tcPr>
          <w:p w14:paraId="11ABC104" w14:textId="77777777" w:rsidR="00FD13CF" w:rsidRPr="006F204F" w:rsidRDefault="002F2AAD" w:rsidP="1A2EB2A5">
            <w:pPr>
              <w:pStyle w:val="TCTableBody"/>
              <w:spacing w:after="0" w:line="360" w:lineRule="auto"/>
              <w:jc w:val="center"/>
              <w:rPr>
                <w:b/>
                <w:bCs/>
                <w:lang w:val="pt-BR"/>
              </w:rPr>
            </w:pPr>
            <w:r w:rsidRPr="00C00298">
              <w:rPr>
                <w:rFonts w:ascii="Times New Roman" w:hAnsi="Times New Roman"/>
                <w:noProof/>
                <w:position w:val="-14"/>
              </w:rPr>
              <w:object w:dxaOrig="300" w:dyaOrig="380" w14:anchorId="165E8FE4">
                <v:shape id="_x0000_i1025" type="#_x0000_t75" alt="" style="width:11.4pt;height:15.6pt;mso-width-percent:0;mso-height-percent:0;mso-width-percent:0;mso-height-percent:0" o:ole="">
                  <v:imagedata r:id="rId58" o:title=""/>
                </v:shape>
                <o:OLEObject Type="Embed" ProgID="Equation.DSMT4" ShapeID="_x0000_i1025" DrawAspect="Content" ObjectID="_1748618918" r:id="rId75"/>
              </w:object>
            </w:r>
            <w:r w:rsidR="1034D9AD" w:rsidRPr="1A2EB2A5">
              <w:rPr>
                <w:b/>
                <w:bCs/>
                <w:i/>
                <w:iCs/>
                <w:lang w:val="pt-BR"/>
              </w:rPr>
              <w:t xml:space="preserve"> </w:t>
            </w:r>
            <w:r w:rsidR="1034D9AD" w:rsidRPr="1A2EB2A5">
              <w:rPr>
                <w:b/>
                <w:bCs/>
                <w:lang w:val="pt-BR"/>
              </w:rPr>
              <w:t>(kJ/mol)</w:t>
            </w:r>
          </w:p>
        </w:tc>
      </w:tr>
      <w:tr w:rsidR="00FD13CF" w:rsidRPr="00072C7A" w14:paraId="5DFCBBF6" w14:textId="77777777" w:rsidTr="1A2EB2A5">
        <w:trPr>
          <w:trHeight w:val="20"/>
          <w:jc w:val="center"/>
        </w:trPr>
        <w:tc>
          <w:tcPr>
            <w:tcW w:w="808" w:type="dxa"/>
            <w:tcBorders>
              <w:top w:val="single" w:sz="4" w:space="0" w:color="auto"/>
            </w:tcBorders>
            <w:vAlign w:val="center"/>
          </w:tcPr>
          <w:p w14:paraId="130C7380" w14:textId="77777777" w:rsidR="00FD13CF" w:rsidRPr="006F204F" w:rsidRDefault="00FD13CF" w:rsidP="0025357E">
            <w:pPr>
              <w:pStyle w:val="TCTableBody"/>
              <w:spacing w:after="0" w:line="360" w:lineRule="auto"/>
              <w:jc w:val="center"/>
              <w:rPr>
                <w:b/>
                <w:lang w:val="pt-BR"/>
              </w:rPr>
            </w:pPr>
            <w:r w:rsidRPr="006F204F">
              <w:rPr>
                <w:b/>
                <w:lang w:val="pt-BR"/>
              </w:rPr>
              <w:t>1</w:t>
            </w:r>
          </w:p>
        </w:tc>
        <w:tc>
          <w:tcPr>
            <w:tcW w:w="992" w:type="dxa"/>
            <w:tcBorders>
              <w:top w:val="single" w:sz="4" w:space="0" w:color="auto"/>
            </w:tcBorders>
            <w:vAlign w:val="center"/>
          </w:tcPr>
          <w:p w14:paraId="5FB7B244" w14:textId="77777777" w:rsidR="00FD13CF" w:rsidRDefault="00FD13CF" w:rsidP="0025357E">
            <w:pPr>
              <w:pStyle w:val="TCTableBody"/>
              <w:spacing w:after="0" w:line="360" w:lineRule="auto"/>
              <w:jc w:val="center"/>
              <w:rPr>
                <w:lang w:val="pt-BR"/>
              </w:rPr>
            </w:pPr>
            <w:r>
              <w:rPr>
                <w:lang w:val="pt-BR"/>
              </w:rPr>
              <w:t>5,08x10</w:t>
            </w:r>
            <w:r w:rsidRPr="0022152D">
              <w:rPr>
                <w:vertAlign w:val="superscript"/>
                <w:lang w:val="pt-BR"/>
              </w:rPr>
              <w:t>11</w:t>
            </w:r>
          </w:p>
          <w:p w14:paraId="253EC075" w14:textId="77777777" w:rsidR="006F204F" w:rsidRPr="00D773CA" w:rsidRDefault="00E4485E" w:rsidP="0025357E">
            <w:pPr>
              <w:pStyle w:val="TCTableBody"/>
              <w:spacing w:after="0" w:line="360" w:lineRule="auto"/>
              <w:jc w:val="center"/>
              <w:rPr>
                <w:i/>
                <w:iCs/>
                <w:lang w:val="pt-BR"/>
              </w:rPr>
            </w:pPr>
            <w:r>
              <w:rPr>
                <w:i/>
                <w:iCs/>
                <w:lang w:val="pt-BR"/>
              </w:rPr>
              <w:t>6</w:t>
            </w:r>
            <w:r w:rsidR="006F204F" w:rsidRPr="00D773CA">
              <w:rPr>
                <w:i/>
                <w:iCs/>
                <w:lang w:val="pt-BR"/>
              </w:rPr>
              <w:t>,</w:t>
            </w:r>
            <w:r w:rsidR="00BB3490">
              <w:rPr>
                <w:i/>
                <w:iCs/>
                <w:lang w:val="pt-BR"/>
              </w:rPr>
              <w:t>5</w:t>
            </w:r>
            <w:r w:rsidR="006F204F" w:rsidRPr="00D773CA">
              <w:rPr>
                <w:i/>
                <w:iCs/>
                <w:lang w:val="pt-BR"/>
              </w:rPr>
              <w:t>5x10</w:t>
            </w:r>
            <w:r w:rsidR="006F204F" w:rsidRPr="00D773CA">
              <w:rPr>
                <w:i/>
                <w:iCs/>
                <w:vertAlign w:val="superscript"/>
                <w:lang w:val="pt-BR"/>
              </w:rPr>
              <w:t>11</w:t>
            </w:r>
          </w:p>
        </w:tc>
        <w:tc>
          <w:tcPr>
            <w:tcW w:w="1087" w:type="dxa"/>
            <w:tcBorders>
              <w:top w:val="single" w:sz="4" w:space="0" w:color="auto"/>
            </w:tcBorders>
            <w:vAlign w:val="center"/>
          </w:tcPr>
          <w:p w14:paraId="736A159A" w14:textId="77777777" w:rsidR="00FD13CF" w:rsidRDefault="00FD13CF" w:rsidP="0025357E">
            <w:pPr>
              <w:pStyle w:val="TCTableBody"/>
              <w:spacing w:after="0" w:line="360" w:lineRule="auto"/>
              <w:jc w:val="center"/>
              <w:rPr>
                <w:lang w:val="pt-BR"/>
              </w:rPr>
            </w:pPr>
            <w:r>
              <w:rPr>
                <w:lang w:val="pt-BR"/>
              </w:rPr>
              <w:t>191,5</w:t>
            </w:r>
          </w:p>
          <w:p w14:paraId="47CBB1A0" w14:textId="77777777" w:rsidR="006F204F" w:rsidRPr="00D773CA" w:rsidRDefault="006F204F" w:rsidP="0025357E">
            <w:pPr>
              <w:pStyle w:val="TCTableBody"/>
              <w:spacing w:after="0" w:line="360" w:lineRule="auto"/>
              <w:jc w:val="center"/>
              <w:rPr>
                <w:i/>
                <w:iCs/>
                <w:lang w:val="pt-BR"/>
              </w:rPr>
            </w:pPr>
            <w:r w:rsidRPr="00D773CA">
              <w:rPr>
                <w:i/>
                <w:iCs/>
                <w:lang w:val="pt-BR"/>
              </w:rPr>
              <w:t>1</w:t>
            </w:r>
            <w:r w:rsidR="00E4485E">
              <w:rPr>
                <w:i/>
                <w:iCs/>
                <w:lang w:val="pt-BR"/>
              </w:rPr>
              <w:t>9</w:t>
            </w:r>
            <w:r w:rsidR="00BB3490">
              <w:rPr>
                <w:i/>
                <w:iCs/>
                <w:lang w:val="pt-BR"/>
              </w:rPr>
              <w:t>1</w:t>
            </w:r>
            <w:r w:rsidRPr="00D773CA">
              <w:rPr>
                <w:i/>
                <w:iCs/>
                <w:lang w:val="pt-BR"/>
              </w:rPr>
              <w:t>,</w:t>
            </w:r>
            <w:r w:rsidR="00BB3490">
              <w:rPr>
                <w:i/>
                <w:iCs/>
                <w:lang w:val="pt-BR"/>
              </w:rPr>
              <w:t>6</w:t>
            </w:r>
          </w:p>
        </w:tc>
        <w:tc>
          <w:tcPr>
            <w:tcW w:w="898" w:type="dxa"/>
            <w:tcBorders>
              <w:top w:val="single" w:sz="4" w:space="0" w:color="auto"/>
            </w:tcBorders>
            <w:vAlign w:val="center"/>
          </w:tcPr>
          <w:p w14:paraId="6C6A2A8D" w14:textId="77777777" w:rsidR="00FD13CF" w:rsidRDefault="00FD13CF" w:rsidP="006F204F">
            <w:pPr>
              <w:pStyle w:val="TCTableBody"/>
              <w:spacing w:after="0" w:line="360" w:lineRule="auto"/>
              <w:jc w:val="center"/>
              <w:rPr>
                <w:lang w:val="pt-BR"/>
              </w:rPr>
            </w:pPr>
            <w:r>
              <w:rPr>
                <w:lang w:val="pt-BR"/>
              </w:rPr>
              <w:t>5,01x10</w:t>
            </w:r>
            <w:r w:rsidRPr="00FD13CF">
              <w:rPr>
                <w:vertAlign w:val="superscript"/>
                <w:lang w:val="pt-BR"/>
              </w:rPr>
              <w:t>11</w:t>
            </w:r>
          </w:p>
        </w:tc>
        <w:tc>
          <w:tcPr>
            <w:tcW w:w="1181" w:type="dxa"/>
            <w:tcBorders>
              <w:top w:val="single" w:sz="4" w:space="0" w:color="auto"/>
            </w:tcBorders>
            <w:vAlign w:val="center"/>
          </w:tcPr>
          <w:p w14:paraId="3FEF64D9" w14:textId="77777777" w:rsidR="00FD13CF" w:rsidRDefault="00FD13CF" w:rsidP="006F204F">
            <w:pPr>
              <w:pStyle w:val="TCTableBody"/>
              <w:spacing w:after="0" w:line="360" w:lineRule="auto"/>
              <w:jc w:val="center"/>
              <w:rPr>
                <w:lang w:val="pt-BR"/>
              </w:rPr>
            </w:pPr>
            <w:r>
              <w:rPr>
                <w:lang w:val="pt-BR"/>
              </w:rPr>
              <w:t>192,5</w:t>
            </w:r>
          </w:p>
        </w:tc>
      </w:tr>
      <w:tr w:rsidR="00FD13CF" w:rsidRPr="00072C7A" w14:paraId="7F839186" w14:textId="77777777" w:rsidTr="1A2EB2A5">
        <w:trPr>
          <w:trHeight w:val="20"/>
          <w:jc w:val="center"/>
        </w:trPr>
        <w:tc>
          <w:tcPr>
            <w:tcW w:w="808" w:type="dxa"/>
            <w:vAlign w:val="center"/>
          </w:tcPr>
          <w:p w14:paraId="43C3B21F" w14:textId="77777777" w:rsidR="00FD13CF" w:rsidRPr="006F204F" w:rsidRDefault="00FD13CF" w:rsidP="0025357E">
            <w:pPr>
              <w:pStyle w:val="TCTableBody"/>
              <w:spacing w:after="0" w:line="360" w:lineRule="auto"/>
              <w:jc w:val="center"/>
              <w:rPr>
                <w:b/>
                <w:lang w:val="pt-BR"/>
              </w:rPr>
            </w:pPr>
            <w:r w:rsidRPr="006F204F">
              <w:rPr>
                <w:b/>
                <w:lang w:val="pt-BR"/>
              </w:rPr>
              <w:t>2</w:t>
            </w:r>
          </w:p>
        </w:tc>
        <w:tc>
          <w:tcPr>
            <w:tcW w:w="992" w:type="dxa"/>
            <w:vAlign w:val="center"/>
          </w:tcPr>
          <w:p w14:paraId="45951C5D" w14:textId="77777777" w:rsidR="00FD13CF" w:rsidRDefault="00FD13CF" w:rsidP="0025357E">
            <w:pPr>
              <w:pStyle w:val="TCTableBody"/>
              <w:spacing w:after="0" w:line="360" w:lineRule="auto"/>
              <w:jc w:val="center"/>
              <w:rPr>
                <w:lang w:val="pt-BR"/>
              </w:rPr>
            </w:pPr>
            <w:r>
              <w:rPr>
                <w:lang w:val="pt-BR"/>
              </w:rPr>
              <w:t>6,15x10</w:t>
            </w:r>
            <w:r w:rsidRPr="0022152D">
              <w:rPr>
                <w:vertAlign w:val="superscript"/>
                <w:lang w:val="pt-BR"/>
              </w:rPr>
              <w:t>10</w:t>
            </w:r>
          </w:p>
          <w:p w14:paraId="046DF21B" w14:textId="77777777" w:rsidR="006F204F" w:rsidRPr="00D773CA" w:rsidRDefault="006F204F" w:rsidP="0025357E">
            <w:pPr>
              <w:pStyle w:val="TCTableBody"/>
              <w:spacing w:after="0" w:line="360" w:lineRule="auto"/>
              <w:jc w:val="center"/>
              <w:rPr>
                <w:i/>
                <w:iCs/>
                <w:lang w:val="pt-BR"/>
              </w:rPr>
            </w:pPr>
            <w:r w:rsidRPr="00D773CA">
              <w:rPr>
                <w:i/>
                <w:iCs/>
                <w:lang w:val="pt-BR"/>
              </w:rPr>
              <w:t>6,15x10</w:t>
            </w:r>
            <w:r w:rsidRPr="00D773CA">
              <w:rPr>
                <w:i/>
                <w:iCs/>
                <w:vertAlign w:val="superscript"/>
                <w:lang w:val="pt-BR"/>
              </w:rPr>
              <w:t>10</w:t>
            </w:r>
          </w:p>
        </w:tc>
        <w:tc>
          <w:tcPr>
            <w:tcW w:w="1087" w:type="dxa"/>
            <w:vAlign w:val="center"/>
          </w:tcPr>
          <w:p w14:paraId="08EDB2E1" w14:textId="77777777" w:rsidR="00FD13CF" w:rsidRDefault="00FD13CF" w:rsidP="0025357E">
            <w:pPr>
              <w:pStyle w:val="TCTableBody"/>
              <w:spacing w:after="0" w:line="360" w:lineRule="auto"/>
              <w:jc w:val="center"/>
              <w:rPr>
                <w:lang w:val="pt-BR"/>
              </w:rPr>
            </w:pPr>
            <w:r>
              <w:rPr>
                <w:lang w:val="pt-BR"/>
              </w:rPr>
              <w:t>187,0</w:t>
            </w:r>
          </w:p>
          <w:p w14:paraId="21F416A4" w14:textId="77777777" w:rsidR="006F204F" w:rsidRPr="00D773CA" w:rsidRDefault="006F204F" w:rsidP="0025357E">
            <w:pPr>
              <w:pStyle w:val="TCTableBody"/>
              <w:spacing w:after="0" w:line="360" w:lineRule="auto"/>
              <w:jc w:val="center"/>
              <w:rPr>
                <w:i/>
                <w:iCs/>
                <w:lang w:val="pt-BR"/>
              </w:rPr>
            </w:pPr>
            <w:r w:rsidRPr="00D773CA">
              <w:rPr>
                <w:i/>
                <w:iCs/>
                <w:lang w:val="pt-BR"/>
              </w:rPr>
              <w:t>187,0</w:t>
            </w:r>
          </w:p>
        </w:tc>
        <w:tc>
          <w:tcPr>
            <w:tcW w:w="898" w:type="dxa"/>
            <w:vAlign w:val="center"/>
          </w:tcPr>
          <w:p w14:paraId="2C154E32" w14:textId="77777777" w:rsidR="00FD13CF" w:rsidRDefault="00FD13CF" w:rsidP="006F204F">
            <w:pPr>
              <w:pStyle w:val="TCTableBody"/>
              <w:spacing w:after="0" w:line="360" w:lineRule="auto"/>
              <w:jc w:val="center"/>
              <w:rPr>
                <w:lang w:val="pt-BR"/>
              </w:rPr>
            </w:pPr>
            <w:r>
              <w:rPr>
                <w:lang w:val="pt-BR"/>
              </w:rPr>
              <w:t>6,31x10</w:t>
            </w:r>
            <w:r w:rsidRPr="00FD13CF">
              <w:rPr>
                <w:vertAlign w:val="superscript"/>
                <w:lang w:val="pt-BR"/>
              </w:rPr>
              <w:t>10</w:t>
            </w:r>
          </w:p>
        </w:tc>
        <w:tc>
          <w:tcPr>
            <w:tcW w:w="1181" w:type="dxa"/>
            <w:vAlign w:val="center"/>
          </w:tcPr>
          <w:p w14:paraId="4865ABFB" w14:textId="77777777" w:rsidR="00FD13CF" w:rsidRDefault="00FD13CF" w:rsidP="006F204F">
            <w:pPr>
              <w:pStyle w:val="TCTableBody"/>
              <w:spacing w:after="0" w:line="360" w:lineRule="auto"/>
              <w:jc w:val="center"/>
              <w:rPr>
                <w:lang w:val="pt-BR"/>
              </w:rPr>
            </w:pPr>
            <w:r>
              <w:rPr>
                <w:lang w:val="pt-BR"/>
              </w:rPr>
              <w:t>197,5</w:t>
            </w:r>
          </w:p>
        </w:tc>
      </w:tr>
      <w:tr w:rsidR="00FD13CF" w:rsidRPr="00072C7A" w14:paraId="1141159F" w14:textId="77777777" w:rsidTr="1A2EB2A5">
        <w:trPr>
          <w:trHeight w:val="20"/>
          <w:jc w:val="center"/>
        </w:trPr>
        <w:tc>
          <w:tcPr>
            <w:tcW w:w="808" w:type="dxa"/>
            <w:vAlign w:val="center"/>
          </w:tcPr>
          <w:p w14:paraId="7572BD9C" w14:textId="77777777" w:rsidR="00FD13CF" w:rsidRPr="006F204F" w:rsidRDefault="00FD13CF" w:rsidP="0025357E">
            <w:pPr>
              <w:pStyle w:val="TCTableBody"/>
              <w:spacing w:after="0" w:line="360" w:lineRule="auto"/>
              <w:jc w:val="center"/>
              <w:rPr>
                <w:b/>
                <w:lang w:val="pt-BR"/>
              </w:rPr>
            </w:pPr>
            <w:r w:rsidRPr="006F204F">
              <w:rPr>
                <w:b/>
                <w:lang w:val="pt-BR"/>
              </w:rPr>
              <w:t>3</w:t>
            </w:r>
          </w:p>
        </w:tc>
        <w:tc>
          <w:tcPr>
            <w:tcW w:w="992" w:type="dxa"/>
            <w:vAlign w:val="center"/>
          </w:tcPr>
          <w:p w14:paraId="4DE0F44B" w14:textId="77777777" w:rsidR="00FD13CF" w:rsidRDefault="00FD13CF" w:rsidP="0025357E">
            <w:pPr>
              <w:pStyle w:val="TCTableBody"/>
              <w:spacing w:after="0" w:line="360" w:lineRule="auto"/>
              <w:jc w:val="center"/>
              <w:rPr>
                <w:lang w:val="pt-BR"/>
              </w:rPr>
            </w:pPr>
            <w:r>
              <w:rPr>
                <w:lang w:val="pt-BR"/>
              </w:rPr>
              <w:t>4,65x10</w:t>
            </w:r>
            <w:r w:rsidRPr="0022152D">
              <w:rPr>
                <w:vertAlign w:val="superscript"/>
                <w:lang w:val="pt-BR"/>
              </w:rPr>
              <w:t>10</w:t>
            </w:r>
          </w:p>
          <w:p w14:paraId="4A08CD5E" w14:textId="77777777" w:rsidR="006F204F" w:rsidRPr="00D773CA" w:rsidRDefault="006F204F" w:rsidP="0025357E">
            <w:pPr>
              <w:pStyle w:val="TCTableBody"/>
              <w:spacing w:after="0" w:line="360" w:lineRule="auto"/>
              <w:jc w:val="center"/>
              <w:rPr>
                <w:i/>
                <w:iCs/>
                <w:lang w:val="pt-BR"/>
              </w:rPr>
            </w:pPr>
            <w:r w:rsidRPr="00D773CA">
              <w:rPr>
                <w:i/>
                <w:iCs/>
                <w:lang w:val="pt-BR"/>
              </w:rPr>
              <w:t>4,72x10</w:t>
            </w:r>
            <w:r w:rsidRPr="00D773CA">
              <w:rPr>
                <w:i/>
                <w:iCs/>
                <w:vertAlign w:val="superscript"/>
                <w:lang w:val="pt-BR"/>
              </w:rPr>
              <w:t>10</w:t>
            </w:r>
          </w:p>
        </w:tc>
        <w:tc>
          <w:tcPr>
            <w:tcW w:w="1087" w:type="dxa"/>
            <w:vAlign w:val="center"/>
          </w:tcPr>
          <w:p w14:paraId="4EBB6D1C" w14:textId="77777777" w:rsidR="00FD13CF" w:rsidRDefault="00FD13CF" w:rsidP="0025357E">
            <w:pPr>
              <w:pStyle w:val="TCTableBody"/>
              <w:spacing w:after="0" w:line="360" w:lineRule="auto"/>
              <w:jc w:val="center"/>
              <w:rPr>
                <w:lang w:val="pt-BR"/>
              </w:rPr>
            </w:pPr>
            <w:r>
              <w:rPr>
                <w:lang w:val="pt-BR"/>
              </w:rPr>
              <w:t>193,0</w:t>
            </w:r>
          </w:p>
          <w:p w14:paraId="07559C79" w14:textId="77777777" w:rsidR="006F204F" w:rsidRPr="00D773CA" w:rsidRDefault="006F204F" w:rsidP="0025357E">
            <w:pPr>
              <w:pStyle w:val="TCTableBody"/>
              <w:spacing w:after="0" w:line="360" w:lineRule="auto"/>
              <w:jc w:val="center"/>
              <w:rPr>
                <w:i/>
                <w:iCs/>
                <w:lang w:val="pt-BR"/>
              </w:rPr>
            </w:pPr>
            <w:r w:rsidRPr="00D773CA">
              <w:rPr>
                <w:i/>
                <w:iCs/>
                <w:lang w:val="pt-BR"/>
              </w:rPr>
              <w:t>192,5</w:t>
            </w:r>
          </w:p>
        </w:tc>
        <w:tc>
          <w:tcPr>
            <w:tcW w:w="898" w:type="dxa"/>
            <w:vAlign w:val="center"/>
          </w:tcPr>
          <w:p w14:paraId="7A608480" w14:textId="77777777" w:rsidR="00FD13CF" w:rsidRDefault="00FD13CF" w:rsidP="006F204F">
            <w:pPr>
              <w:pStyle w:val="TCTableBody"/>
              <w:spacing w:after="0" w:line="360" w:lineRule="auto"/>
              <w:jc w:val="center"/>
              <w:rPr>
                <w:lang w:val="pt-BR"/>
              </w:rPr>
            </w:pPr>
            <w:r>
              <w:rPr>
                <w:lang w:val="pt-BR"/>
              </w:rPr>
              <w:t>2,51x10</w:t>
            </w:r>
            <w:r w:rsidRPr="00FD13CF">
              <w:rPr>
                <w:vertAlign w:val="superscript"/>
                <w:lang w:val="pt-BR"/>
              </w:rPr>
              <w:t>9</w:t>
            </w:r>
          </w:p>
        </w:tc>
        <w:tc>
          <w:tcPr>
            <w:tcW w:w="1181" w:type="dxa"/>
            <w:vAlign w:val="center"/>
          </w:tcPr>
          <w:p w14:paraId="63C82BB1" w14:textId="77777777" w:rsidR="00FD13CF" w:rsidRDefault="00FD13CF" w:rsidP="006F204F">
            <w:pPr>
              <w:pStyle w:val="TCTableBody"/>
              <w:spacing w:after="0" w:line="360" w:lineRule="auto"/>
              <w:jc w:val="center"/>
              <w:rPr>
                <w:lang w:val="pt-BR"/>
              </w:rPr>
            </w:pPr>
            <w:r>
              <w:rPr>
                <w:lang w:val="pt-BR"/>
              </w:rPr>
              <w:t>173,5</w:t>
            </w:r>
          </w:p>
        </w:tc>
      </w:tr>
    </w:tbl>
    <w:p w14:paraId="08E732F5" w14:textId="77777777" w:rsidR="00FD13CF" w:rsidRDefault="00FD13CF" w:rsidP="00472414">
      <w:pPr>
        <w:pStyle w:val="Default"/>
        <w:ind w:firstLine="227"/>
        <w:jc w:val="both"/>
        <w:rPr>
          <w:rFonts w:ascii="Times New Roman" w:hAnsi="Times New Roman" w:cs="Times New Roman"/>
          <w:sz w:val="20"/>
          <w:szCs w:val="20"/>
          <w:highlight w:val="yellow"/>
        </w:rPr>
      </w:pPr>
    </w:p>
    <w:p w14:paraId="289A8B57" w14:textId="77777777" w:rsidR="00876B13" w:rsidRDefault="00876B13" w:rsidP="00876B13">
      <w:pPr>
        <w:spacing w:after="0" w:line="240" w:lineRule="auto"/>
        <w:ind w:firstLine="227"/>
        <w:jc w:val="both"/>
        <w:rPr>
          <w:rFonts w:ascii="Times New Roman" w:hAnsi="Times New Roman" w:cs="Times New Roman"/>
          <w:sz w:val="20"/>
          <w:szCs w:val="20"/>
        </w:rPr>
      </w:pPr>
      <w:r w:rsidRPr="00876B13">
        <w:rPr>
          <w:rFonts w:ascii="Times New Roman" w:hAnsi="Times New Roman" w:cs="Times New Roman"/>
          <w:sz w:val="20"/>
          <w:szCs w:val="20"/>
        </w:rPr>
        <w:t xml:space="preserve">Uma comparação </w:t>
      </w:r>
      <w:r w:rsidR="004A4FCA">
        <w:rPr>
          <w:rFonts w:ascii="Times New Roman" w:hAnsi="Times New Roman" w:cs="Times New Roman"/>
          <w:sz w:val="20"/>
          <w:szCs w:val="20"/>
        </w:rPr>
        <w:t>da isomerização do mirceno utilizando o</w:t>
      </w:r>
      <w:r w:rsidRPr="00876B13">
        <w:rPr>
          <w:rFonts w:ascii="Times New Roman" w:hAnsi="Times New Roman" w:cs="Times New Roman"/>
          <w:sz w:val="20"/>
          <w:szCs w:val="20"/>
        </w:rPr>
        <w:t xml:space="preserve"> modelo </w:t>
      </w:r>
      <w:r w:rsidR="004A4FCA">
        <w:rPr>
          <w:rFonts w:ascii="Times New Roman" w:hAnsi="Times New Roman" w:cs="Times New Roman"/>
          <w:sz w:val="20"/>
          <w:szCs w:val="20"/>
        </w:rPr>
        <w:t xml:space="preserve">proposto com as constantes cinéticas obtidas para a pirólise na presença de catalisador em relação aos dados </w:t>
      </w:r>
      <w:r w:rsidRPr="00876B13">
        <w:rPr>
          <w:rFonts w:ascii="Times New Roman" w:hAnsi="Times New Roman" w:cs="Times New Roman"/>
          <w:sz w:val="20"/>
          <w:szCs w:val="20"/>
        </w:rPr>
        <w:t>experimentais foi feita para a temperatura de 464</w:t>
      </w:r>
      <w:r w:rsidR="00630CE1">
        <w:rPr>
          <w:rFonts w:ascii="Times New Roman" w:hAnsi="Times New Roman"/>
        </w:rPr>
        <w:t xml:space="preserve"> °C</w:t>
      </w:r>
      <w:r w:rsidRPr="00876B13">
        <w:rPr>
          <w:rFonts w:ascii="Times New Roman" w:hAnsi="Times New Roman" w:cs="Times New Roman"/>
          <w:sz w:val="20"/>
          <w:szCs w:val="20"/>
        </w:rPr>
        <w:t xml:space="preserve"> e tempo espacial de 216 ms</w:t>
      </w:r>
      <w:r w:rsidR="004A4FCA">
        <w:rPr>
          <w:rFonts w:ascii="Times New Roman" w:hAnsi="Times New Roman" w:cs="Times New Roman"/>
          <w:sz w:val="20"/>
          <w:szCs w:val="20"/>
        </w:rPr>
        <w:t xml:space="preserve">. Os resultados </w:t>
      </w:r>
      <w:r w:rsidRPr="00876B13">
        <w:rPr>
          <w:rFonts w:ascii="Times New Roman" w:hAnsi="Times New Roman" w:cs="Times New Roman"/>
          <w:sz w:val="20"/>
          <w:szCs w:val="20"/>
        </w:rPr>
        <w:t xml:space="preserve">obtidos estão mostrados na Tabela </w:t>
      </w:r>
      <w:r w:rsidR="004A4FCA">
        <w:rPr>
          <w:rFonts w:ascii="Times New Roman" w:hAnsi="Times New Roman" w:cs="Times New Roman"/>
          <w:sz w:val="20"/>
          <w:szCs w:val="20"/>
        </w:rPr>
        <w:t>3</w:t>
      </w:r>
      <w:r>
        <w:rPr>
          <w:rFonts w:ascii="Times New Roman" w:hAnsi="Times New Roman" w:cs="Times New Roman"/>
          <w:sz w:val="20"/>
          <w:szCs w:val="20"/>
        </w:rPr>
        <w:t>.</w:t>
      </w:r>
    </w:p>
    <w:p w14:paraId="4BE05422" w14:textId="77777777" w:rsidR="00876B13" w:rsidRDefault="00876B13" w:rsidP="00876B13">
      <w:pPr>
        <w:spacing w:after="0" w:line="240" w:lineRule="auto"/>
        <w:ind w:firstLine="227"/>
        <w:jc w:val="both"/>
        <w:rPr>
          <w:rFonts w:ascii="Times New Roman" w:hAnsi="Times New Roman" w:cs="Times New Roman"/>
          <w:sz w:val="20"/>
          <w:szCs w:val="20"/>
        </w:rPr>
      </w:pPr>
    </w:p>
    <w:p w14:paraId="780879C9" w14:textId="77777777" w:rsidR="00876B13" w:rsidRPr="00876B13" w:rsidRDefault="00876B13" w:rsidP="00876B13">
      <w:pPr>
        <w:pStyle w:val="VDTableTitle"/>
        <w:spacing w:after="0"/>
        <w:jc w:val="both"/>
        <w:rPr>
          <w:rFonts w:ascii="Times New Roman" w:hAnsi="Times New Roman"/>
          <w:szCs w:val="18"/>
          <w:highlight w:val="magenta"/>
          <w:lang w:val="pt-BR"/>
        </w:rPr>
      </w:pPr>
      <w:r w:rsidRPr="00876B13">
        <w:rPr>
          <w:rFonts w:ascii="Times New Roman" w:hAnsi="Times New Roman"/>
          <w:b/>
          <w:szCs w:val="18"/>
          <w:lang w:val="pt-BR"/>
        </w:rPr>
        <w:t xml:space="preserve">Tabela </w:t>
      </w:r>
      <w:r w:rsidR="004A4FCA">
        <w:rPr>
          <w:rFonts w:ascii="Times New Roman" w:hAnsi="Times New Roman"/>
          <w:b/>
          <w:szCs w:val="18"/>
          <w:lang w:val="pt-BR"/>
        </w:rPr>
        <w:t>3</w:t>
      </w:r>
      <w:r w:rsidRPr="00876B13">
        <w:rPr>
          <w:rFonts w:ascii="Times New Roman" w:hAnsi="Times New Roman"/>
          <w:b/>
          <w:szCs w:val="18"/>
          <w:lang w:val="pt-BR"/>
        </w:rPr>
        <w:t>.</w:t>
      </w:r>
      <w:r w:rsidRPr="00876B13">
        <w:rPr>
          <w:rFonts w:ascii="Times New Roman" w:hAnsi="Times New Roman"/>
          <w:szCs w:val="18"/>
          <w:lang w:val="pt-BR"/>
        </w:rPr>
        <w:t xml:space="preserve"> Comparação dos dados experimentais e modelados para a produção de mirceno e principais subprodutos</w:t>
      </w:r>
      <w:r w:rsidR="00BB3490">
        <w:rPr>
          <w:rFonts w:ascii="Times New Roman" w:hAnsi="Times New Roman"/>
          <w:szCs w:val="18"/>
          <w:lang w:val="pt-BR"/>
        </w:rPr>
        <w:t xml:space="preserve"> (com catalisador)</w:t>
      </w:r>
      <w:r w:rsidRPr="00876B13">
        <w:rPr>
          <w:rFonts w:ascii="Times New Roman" w:hAnsi="Times New Roman"/>
          <w:szCs w:val="18"/>
          <w:lang w:val="pt-BR"/>
        </w:rPr>
        <w:t>.</w:t>
      </w:r>
    </w:p>
    <w:tbl>
      <w:tblPr>
        <w:tblW w:w="5000"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446"/>
        <w:gridCol w:w="1593"/>
        <w:gridCol w:w="1729"/>
      </w:tblGrid>
      <w:tr w:rsidR="00876B13" w:rsidRPr="00C6367F" w14:paraId="18229911" w14:textId="77777777" w:rsidTr="004A4FCA">
        <w:trPr>
          <w:trHeight w:val="20"/>
          <w:jc w:val="center"/>
        </w:trPr>
        <w:tc>
          <w:tcPr>
            <w:tcW w:w="1516" w:type="pct"/>
            <w:tcBorders>
              <w:bottom w:val="single" w:sz="4" w:space="0" w:color="auto"/>
            </w:tcBorders>
            <w:vAlign w:val="center"/>
          </w:tcPr>
          <w:p w14:paraId="78350143" w14:textId="77777777" w:rsidR="00876B13" w:rsidRPr="00C6367F" w:rsidRDefault="00876B13" w:rsidP="00F4229C">
            <w:pPr>
              <w:pStyle w:val="TCTableBody"/>
              <w:spacing w:after="0" w:line="360" w:lineRule="auto"/>
              <w:jc w:val="left"/>
              <w:rPr>
                <w:b/>
                <w:lang w:val="pt-BR"/>
              </w:rPr>
            </w:pPr>
            <w:r>
              <w:rPr>
                <w:b/>
                <w:lang w:val="pt-BR"/>
              </w:rPr>
              <w:t>Produção</w:t>
            </w:r>
          </w:p>
        </w:tc>
        <w:tc>
          <w:tcPr>
            <w:tcW w:w="1671" w:type="pct"/>
            <w:tcBorders>
              <w:bottom w:val="single" w:sz="4" w:space="0" w:color="auto"/>
            </w:tcBorders>
            <w:vAlign w:val="center"/>
          </w:tcPr>
          <w:p w14:paraId="247E6140" w14:textId="77777777" w:rsidR="00876B13" w:rsidRPr="00C6367F" w:rsidRDefault="00876B13" w:rsidP="00F4229C">
            <w:pPr>
              <w:pStyle w:val="TCTableBody"/>
              <w:spacing w:after="0" w:line="360" w:lineRule="auto"/>
              <w:jc w:val="center"/>
              <w:rPr>
                <w:b/>
                <w:lang w:val="pt-BR"/>
              </w:rPr>
            </w:pPr>
            <w:r>
              <w:rPr>
                <w:b/>
                <w:lang w:val="pt-BR"/>
              </w:rPr>
              <w:t>Dados experimentais</w:t>
            </w:r>
          </w:p>
        </w:tc>
        <w:tc>
          <w:tcPr>
            <w:tcW w:w="1813" w:type="pct"/>
            <w:tcBorders>
              <w:bottom w:val="single" w:sz="4" w:space="0" w:color="auto"/>
            </w:tcBorders>
            <w:vAlign w:val="center"/>
          </w:tcPr>
          <w:p w14:paraId="1F659C1C" w14:textId="77777777" w:rsidR="00876B13" w:rsidRPr="00C6367F" w:rsidRDefault="00876B13" w:rsidP="00F4229C">
            <w:pPr>
              <w:pStyle w:val="TCTableBody"/>
              <w:spacing w:after="0" w:line="360" w:lineRule="auto"/>
              <w:jc w:val="center"/>
              <w:rPr>
                <w:b/>
                <w:lang w:val="pt-BR"/>
              </w:rPr>
            </w:pPr>
            <w:r>
              <w:rPr>
                <w:b/>
                <w:lang w:val="pt-BR"/>
              </w:rPr>
              <w:t>Dados obtidos pelo modelo</w:t>
            </w:r>
          </w:p>
        </w:tc>
      </w:tr>
      <w:tr w:rsidR="00876B13" w:rsidRPr="00072C7A" w14:paraId="651A61C1" w14:textId="77777777" w:rsidTr="004A4FCA">
        <w:trPr>
          <w:trHeight w:val="20"/>
          <w:jc w:val="center"/>
        </w:trPr>
        <w:tc>
          <w:tcPr>
            <w:tcW w:w="1516" w:type="pct"/>
            <w:tcBorders>
              <w:top w:val="single" w:sz="4" w:space="0" w:color="auto"/>
              <w:bottom w:val="nil"/>
            </w:tcBorders>
            <w:vAlign w:val="center"/>
          </w:tcPr>
          <w:p w14:paraId="0256F22D" w14:textId="77777777" w:rsidR="00876B13" w:rsidRDefault="00876B13" w:rsidP="00F4229C">
            <w:pPr>
              <w:pStyle w:val="TCTableBody"/>
              <w:spacing w:after="0" w:line="360" w:lineRule="auto"/>
              <w:jc w:val="left"/>
              <w:rPr>
                <w:lang w:val="pt-BR"/>
              </w:rPr>
            </w:pPr>
            <w:r>
              <w:rPr>
                <w:lang w:val="pt-BR"/>
              </w:rPr>
              <w:t>Seletividade</w:t>
            </w:r>
          </w:p>
        </w:tc>
        <w:tc>
          <w:tcPr>
            <w:tcW w:w="1671" w:type="pct"/>
            <w:tcBorders>
              <w:top w:val="single" w:sz="4" w:space="0" w:color="auto"/>
              <w:bottom w:val="nil"/>
            </w:tcBorders>
            <w:vAlign w:val="center"/>
          </w:tcPr>
          <w:p w14:paraId="5C956962" w14:textId="77777777" w:rsidR="00876B13" w:rsidRDefault="004A4FCA" w:rsidP="00F4229C">
            <w:pPr>
              <w:pStyle w:val="TCTableBody"/>
              <w:spacing w:after="0" w:line="360" w:lineRule="auto"/>
              <w:jc w:val="center"/>
              <w:rPr>
                <w:lang w:val="pt-BR"/>
              </w:rPr>
            </w:pPr>
            <w:r>
              <w:rPr>
                <w:lang w:val="pt-BR"/>
              </w:rPr>
              <w:t>2,9</w:t>
            </w:r>
            <w:r w:rsidR="00833BD7">
              <w:rPr>
                <w:lang w:val="pt-BR"/>
              </w:rPr>
              <w:t>2</w:t>
            </w:r>
          </w:p>
        </w:tc>
        <w:tc>
          <w:tcPr>
            <w:tcW w:w="1813" w:type="pct"/>
            <w:tcBorders>
              <w:top w:val="single" w:sz="4" w:space="0" w:color="auto"/>
              <w:bottom w:val="nil"/>
            </w:tcBorders>
            <w:vAlign w:val="center"/>
          </w:tcPr>
          <w:p w14:paraId="6AF8C7EB" w14:textId="77777777" w:rsidR="00876B13" w:rsidRDefault="004A4FCA" w:rsidP="00F4229C">
            <w:pPr>
              <w:pStyle w:val="TCTableBody"/>
              <w:spacing w:after="0" w:line="360" w:lineRule="auto"/>
              <w:jc w:val="center"/>
              <w:rPr>
                <w:lang w:val="pt-BR"/>
              </w:rPr>
            </w:pPr>
            <w:r>
              <w:rPr>
                <w:lang w:val="pt-BR"/>
              </w:rPr>
              <w:t>3,59</w:t>
            </w:r>
          </w:p>
        </w:tc>
      </w:tr>
      <w:tr w:rsidR="00876B13" w:rsidRPr="00072C7A" w14:paraId="657DE24A" w14:textId="77777777" w:rsidTr="004A4FCA">
        <w:trPr>
          <w:trHeight w:val="20"/>
          <w:jc w:val="center"/>
        </w:trPr>
        <w:tc>
          <w:tcPr>
            <w:tcW w:w="1516" w:type="pct"/>
            <w:tcBorders>
              <w:top w:val="nil"/>
            </w:tcBorders>
            <w:vAlign w:val="center"/>
          </w:tcPr>
          <w:p w14:paraId="40250BCB" w14:textId="77777777" w:rsidR="00876B13" w:rsidRDefault="00876B13" w:rsidP="00F4229C">
            <w:pPr>
              <w:pStyle w:val="TCTableBody"/>
              <w:spacing w:after="0" w:line="360" w:lineRule="auto"/>
              <w:jc w:val="left"/>
              <w:rPr>
                <w:lang w:val="pt-BR"/>
              </w:rPr>
            </w:pPr>
            <w:r>
              <w:rPr>
                <w:lang w:val="pt-BR"/>
              </w:rPr>
              <w:t>Rendimento (%)</w:t>
            </w:r>
          </w:p>
        </w:tc>
        <w:tc>
          <w:tcPr>
            <w:tcW w:w="1671" w:type="pct"/>
            <w:tcBorders>
              <w:top w:val="nil"/>
            </w:tcBorders>
            <w:vAlign w:val="center"/>
          </w:tcPr>
          <w:p w14:paraId="68424D0D" w14:textId="77777777" w:rsidR="00876B13" w:rsidRDefault="00833BD7" w:rsidP="00F4229C">
            <w:pPr>
              <w:pStyle w:val="TCTableBody"/>
              <w:spacing w:after="0" w:line="360" w:lineRule="auto"/>
              <w:jc w:val="center"/>
              <w:rPr>
                <w:lang w:val="pt-BR"/>
              </w:rPr>
            </w:pPr>
            <w:r>
              <w:rPr>
                <w:lang w:val="pt-BR"/>
              </w:rPr>
              <w:t>68</w:t>
            </w:r>
            <w:r w:rsidR="00BB3490">
              <w:rPr>
                <w:lang w:val="pt-BR"/>
              </w:rPr>
              <w:t>,</w:t>
            </w:r>
            <w:r>
              <w:rPr>
                <w:lang w:val="pt-BR"/>
              </w:rPr>
              <w:t>04</w:t>
            </w:r>
          </w:p>
        </w:tc>
        <w:tc>
          <w:tcPr>
            <w:tcW w:w="1813" w:type="pct"/>
            <w:tcBorders>
              <w:top w:val="nil"/>
            </w:tcBorders>
            <w:vAlign w:val="center"/>
          </w:tcPr>
          <w:p w14:paraId="5292D18D" w14:textId="77777777" w:rsidR="00876B13" w:rsidRDefault="00E47E50" w:rsidP="00F4229C">
            <w:pPr>
              <w:pStyle w:val="TCTableBody"/>
              <w:spacing w:after="0" w:line="360" w:lineRule="auto"/>
              <w:jc w:val="center"/>
              <w:rPr>
                <w:lang w:val="pt-BR"/>
              </w:rPr>
            </w:pPr>
            <w:r>
              <w:rPr>
                <w:lang w:val="pt-BR"/>
              </w:rPr>
              <w:t>72,78</w:t>
            </w:r>
          </w:p>
        </w:tc>
      </w:tr>
      <w:tr w:rsidR="00876B13" w:rsidRPr="00072C7A" w14:paraId="301C6C59" w14:textId="77777777" w:rsidTr="004A4FCA">
        <w:trPr>
          <w:trHeight w:val="20"/>
          <w:jc w:val="center"/>
        </w:trPr>
        <w:tc>
          <w:tcPr>
            <w:tcW w:w="1516" w:type="pct"/>
            <w:vAlign w:val="center"/>
          </w:tcPr>
          <w:p w14:paraId="295F2972" w14:textId="77777777" w:rsidR="00876B13" w:rsidRDefault="00876B13" w:rsidP="00F4229C">
            <w:pPr>
              <w:pStyle w:val="TCTableBody"/>
              <w:spacing w:after="0" w:line="360" w:lineRule="auto"/>
              <w:jc w:val="left"/>
              <w:rPr>
                <w:lang w:val="pt-BR"/>
              </w:rPr>
            </w:pPr>
            <w:r>
              <w:rPr>
                <w:lang w:val="pt-BR"/>
              </w:rPr>
              <w:t>Conversão (%)</w:t>
            </w:r>
          </w:p>
        </w:tc>
        <w:tc>
          <w:tcPr>
            <w:tcW w:w="1671" w:type="pct"/>
            <w:vAlign w:val="center"/>
          </w:tcPr>
          <w:p w14:paraId="42C5B7DB" w14:textId="77777777" w:rsidR="00876B13" w:rsidRDefault="00833BD7" w:rsidP="00F4229C">
            <w:pPr>
              <w:pStyle w:val="TCTableBody"/>
              <w:spacing w:after="0" w:line="360" w:lineRule="auto"/>
              <w:jc w:val="center"/>
              <w:rPr>
                <w:lang w:val="pt-BR"/>
              </w:rPr>
            </w:pPr>
            <w:r>
              <w:rPr>
                <w:lang w:val="pt-BR"/>
              </w:rPr>
              <w:t>92</w:t>
            </w:r>
            <w:r w:rsidR="00BB3490">
              <w:rPr>
                <w:lang w:val="pt-BR"/>
              </w:rPr>
              <w:t>,1</w:t>
            </w:r>
            <w:r>
              <w:rPr>
                <w:lang w:val="pt-BR"/>
              </w:rPr>
              <w:t>69</w:t>
            </w:r>
          </w:p>
        </w:tc>
        <w:tc>
          <w:tcPr>
            <w:tcW w:w="1813" w:type="pct"/>
            <w:vAlign w:val="center"/>
          </w:tcPr>
          <w:p w14:paraId="362B244D" w14:textId="77777777" w:rsidR="00876B13" w:rsidRDefault="00E47E50" w:rsidP="00F4229C">
            <w:pPr>
              <w:pStyle w:val="TCTableBody"/>
              <w:spacing w:after="0" w:line="360" w:lineRule="auto"/>
              <w:jc w:val="center"/>
              <w:rPr>
                <w:lang w:val="pt-BR"/>
              </w:rPr>
            </w:pPr>
            <w:r>
              <w:rPr>
                <w:lang w:val="pt-BR"/>
              </w:rPr>
              <w:t>98,97</w:t>
            </w:r>
          </w:p>
        </w:tc>
      </w:tr>
    </w:tbl>
    <w:p w14:paraId="4D756C05" w14:textId="77777777" w:rsidR="00876B13" w:rsidRDefault="00876B13" w:rsidP="00876B13">
      <w:pPr>
        <w:spacing w:after="0" w:line="240" w:lineRule="auto"/>
        <w:ind w:firstLine="227"/>
        <w:jc w:val="both"/>
        <w:rPr>
          <w:rFonts w:ascii="Times New Roman" w:hAnsi="Times New Roman" w:cs="Times New Roman"/>
          <w:sz w:val="20"/>
          <w:szCs w:val="20"/>
        </w:rPr>
      </w:pPr>
    </w:p>
    <w:p w14:paraId="2CBDE5EB" w14:textId="77777777" w:rsidR="004A4FCA" w:rsidRDefault="00103F8A" w:rsidP="00876B13">
      <w:pPr>
        <w:spacing w:after="0" w:line="240" w:lineRule="auto"/>
        <w:ind w:firstLine="227"/>
        <w:jc w:val="both"/>
        <w:rPr>
          <w:rFonts w:ascii="Times New Roman" w:hAnsi="Times New Roman" w:cs="Times New Roman"/>
          <w:sz w:val="20"/>
          <w:szCs w:val="20"/>
        </w:rPr>
      </w:pPr>
      <w:r w:rsidRPr="00103F8A">
        <w:rPr>
          <w:rFonts w:ascii="Times New Roman" w:hAnsi="Times New Roman" w:cs="Times New Roman"/>
          <w:sz w:val="20"/>
          <w:szCs w:val="20"/>
        </w:rPr>
        <w:t>Uma análise estatística</w:t>
      </w:r>
      <w:r w:rsidR="004A4FCA">
        <w:rPr>
          <w:rFonts w:ascii="Times New Roman" w:hAnsi="Times New Roman" w:cs="Times New Roman"/>
          <w:sz w:val="20"/>
          <w:szCs w:val="20"/>
        </w:rPr>
        <w:t xml:space="preserve"> (Teste F)</w:t>
      </w:r>
      <w:r w:rsidRPr="00103F8A">
        <w:rPr>
          <w:rFonts w:ascii="Times New Roman" w:hAnsi="Times New Roman" w:cs="Times New Roman"/>
          <w:sz w:val="20"/>
          <w:szCs w:val="20"/>
        </w:rPr>
        <w:t xml:space="preserve"> foi realizada para os dados experimentais e modelados e foi verificado que não existe diferença significativa</w:t>
      </w:r>
      <w:r w:rsidR="004A4FCA">
        <w:rPr>
          <w:rFonts w:ascii="Times New Roman" w:hAnsi="Times New Roman" w:cs="Times New Roman"/>
          <w:sz w:val="20"/>
          <w:szCs w:val="20"/>
        </w:rPr>
        <w:t xml:space="preserve">, com 95% de confiança, </w:t>
      </w:r>
      <w:r w:rsidRPr="00103F8A">
        <w:rPr>
          <w:rFonts w:ascii="Times New Roman" w:hAnsi="Times New Roman" w:cs="Times New Roman"/>
          <w:sz w:val="20"/>
          <w:szCs w:val="20"/>
        </w:rPr>
        <w:t>entre o modelo e os dados experimentais</w:t>
      </w:r>
      <w:r w:rsidR="004A4FCA">
        <w:rPr>
          <w:rFonts w:ascii="Times New Roman" w:hAnsi="Times New Roman" w:cs="Times New Roman"/>
          <w:sz w:val="20"/>
          <w:szCs w:val="20"/>
        </w:rPr>
        <w:t xml:space="preserve"> para a produção de mirceno.</w:t>
      </w:r>
    </w:p>
    <w:p w14:paraId="0C2A23A5" w14:textId="77777777" w:rsidR="00103F8A" w:rsidRDefault="004A4FCA" w:rsidP="00876B13">
      <w:pPr>
        <w:spacing w:after="0" w:line="240" w:lineRule="auto"/>
        <w:ind w:firstLine="227"/>
        <w:jc w:val="both"/>
        <w:rPr>
          <w:rFonts w:ascii="Times New Roman" w:hAnsi="Times New Roman" w:cs="Times New Roman"/>
          <w:sz w:val="20"/>
          <w:szCs w:val="20"/>
        </w:rPr>
      </w:pPr>
      <w:r>
        <w:rPr>
          <w:rFonts w:ascii="Times New Roman" w:hAnsi="Times New Roman" w:cs="Times New Roman"/>
          <w:sz w:val="20"/>
          <w:szCs w:val="20"/>
        </w:rPr>
        <w:t xml:space="preserve">Ainda para </w:t>
      </w:r>
      <w:r w:rsidR="00470343">
        <w:rPr>
          <w:rFonts w:ascii="Times New Roman" w:hAnsi="Times New Roman" w:cs="Times New Roman"/>
          <w:sz w:val="20"/>
          <w:szCs w:val="20"/>
        </w:rPr>
        <w:t xml:space="preserve">avaliar a performance do reator do tipo PFR na presença de catalisador de cobre </w:t>
      </w:r>
      <w:r w:rsidR="00833BD7">
        <w:rPr>
          <w:rFonts w:ascii="Times New Roman" w:hAnsi="Times New Roman" w:cs="Times New Roman"/>
          <w:sz w:val="20"/>
          <w:szCs w:val="20"/>
        </w:rPr>
        <w:t>o</w:t>
      </w:r>
      <w:r w:rsidR="00470343">
        <w:rPr>
          <w:rFonts w:ascii="Times New Roman" w:hAnsi="Times New Roman" w:cs="Times New Roman"/>
          <w:sz w:val="20"/>
          <w:szCs w:val="20"/>
        </w:rPr>
        <w:t xml:space="preserve"> modelo </w:t>
      </w:r>
      <w:r w:rsidR="00833BD7">
        <w:rPr>
          <w:rFonts w:ascii="Times New Roman" w:hAnsi="Times New Roman" w:cs="Times New Roman"/>
          <w:sz w:val="20"/>
          <w:szCs w:val="20"/>
        </w:rPr>
        <w:t xml:space="preserve">foi </w:t>
      </w:r>
      <w:r w:rsidR="00833BD7">
        <w:rPr>
          <w:rFonts w:ascii="Times New Roman" w:hAnsi="Times New Roman" w:cs="Times New Roman"/>
          <w:sz w:val="20"/>
          <w:szCs w:val="20"/>
        </w:rPr>
        <w:lastRenderedPageBreak/>
        <w:t xml:space="preserve">comparado com a </w:t>
      </w:r>
      <w:r w:rsidR="00470343">
        <w:rPr>
          <w:rFonts w:ascii="Times New Roman" w:hAnsi="Times New Roman" w:cs="Times New Roman"/>
          <w:sz w:val="20"/>
          <w:szCs w:val="20"/>
        </w:rPr>
        <w:t>utiliza</w:t>
      </w:r>
      <w:r w:rsidR="00833BD7">
        <w:rPr>
          <w:rFonts w:ascii="Times New Roman" w:hAnsi="Times New Roman" w:cs="Times New Roman"/>
          <w:sz w:val="20"/>
          <w:szCs w:val="20"/>
        </w:rPr>
        <w:t>ção</w:t>
      </w:r>
      <w:r w:rsidR="00470343">
        <w:rPr>
          <w:rFonts w:ascii="Times New Roman" w:hAnsi="Times New Roman" w:cs="Times New Roman"/>
          <w:sz w:val="20"/>
          <w:szCs w:val="20"/>
        </w:rPr>
        <w:t xml:space="preserve"> </w:t>
      </w:r>
      <w:r w:rsidR="00833BD7">
        <w:rPr>
          <w:rFonts w:ascii="Times New Roman" w:hAnsi="Times New Roman" w:cs="Times New Roman"/>
          <w:sz w:val="20"/>
          <w:szCs w:val="20"/>
        </w:rPr>
        <w:t>d</w:t>
      </w:r>
      <w:r w:rsidR="00470343">
        <w:rPr>
          <w:rFonts w:ascii="Times New Roman" w:hAnsi="Times New Roman" w:cs="Times New Roman"/>
          <w:sz w:val="20"/>
          <w:szCs w:val="20"/>
        </w:rPr>
        <w:t xml:space="preserve">as constantes cinéticas obtidas neste estudo (Tabela 2). </w:t>
      </w:r>
      <w:r w:rsidR="00103F8A" w:rsidRPr="00103F8A">
        <w:rPr>
          <w:rFonts w:ascii="Times New Roman" w:hAnsi="Times New Roman" w:cs="Times New Roman"/>
          <w:sz w:val="20"/>
          <w:szCs w:val="20"/>
        </w:rPr>
        <w:t xml:space="preserve">A Figura </w:t>
      </w:r>
      <w:r w:rsidR="00470343">
        <w:rPr>
          <w:rFonts w:ascii="Times New Roman" w:hAnsi="Times New Roman" w:cs="Times New Roman"/>
          <w:sz w:val="20"/>
          <w:szCs w:val="20"/>
        </w:rPr>
        <w:t>4</w:t>
      </w:r>
      <w:r w:rsidR="00103F8A" w:rsidRPr="00103F8A">
        <w:rPr>
          <w:rFonts w:ascii="Times New Roman" w:hAnsi="Times New Roman" w:cs="Times New Roman"/>
          <w:sz w:val="20"/>
          <w:szCs w:val="20"/>
        </w:rPr>
        <w:t xml:space="preserve"> mostra </w:t>
      </w:r>
      <w:r w:rsidR="00833BD7">
        <w:rPr>
          <w:rFonts w:ascii="Times New Roman" w:hAnsi="Times New Roman" w:cs="Times New Roman"/>
          <w:sz w:val="20"/>
          <w:szCs w:val="20"/>
        </w:rPr>
        <w:t>o resultado obtido</w:t>
      </w:r>
      <w:r w:rsidR="00470343">
        <w:rPr>
          <w:rFonts w:ascii="Times New Roman" w:hAnsi="Times New Roman" w:cs="Times New Roman"/>
          <w:sz w:val="20"/>
          <w:szCs w:val="20"/>
        </w:rPr>
        <w:t xml:space="preserve"> para </w:t>
      </w:r>
      <w:r w:rsidR="00470343" w:rsidRPr="00103F8A">
        <w:rPr>
          <w:rFonts w:ascii="Times New Roman" w:hAnsi="Times New Roman" w:cs="Times New Roman"/>
          <w:sz w:val="20"/>
          <w:szCs w:val="20"/>
        </w:rPr>
        <w:t>as temperaturas de 450</w:t>
      </w:r>
      <w:r w:rsidR="00630CE1">
        <w:rPr>
          <w:rFonts w:ascii="Times New Roman" w:hAnsi="Times New Roman"/>
        </w:rPr>
        <w:t xml:space="preserve"> °C</w:t>
      </w:r>
      <w:r w:rsidR="00470343" w:rsidRPr="00103F8A">
        <w:rPr>
          <w:rFonts w:ascii="Times New Roman" w:hAnsi="Times New Roman" w:cs="Times New Roman"/>
          <w:sz w:val="20"/>
          <w:szCs w:val="20"/>
        </w:rPr>
        <w:t>, 475</w:t>
      </w:r>
      <w:r w:rsidR="00630CE1" w:rsidRPr="00630CE1">
        <w:rPr>
          <w:rFonts w:ascii="Symbol" w:hAnsi="Symbol"/>
        </w:rPr>
        <w:t></w:t>
      </w:r>
      <w:r w:rsidR="00630CE1">
        <w:rPr>
          <w:rFonts w:ascii="Times New Roman" w:hAnsi="Times New Roman"/>
        </w:rPr>
        <w:t>°C</w:t>
      </w:r>
      <w:r w:rsidR="00470343" w:rsidRPr="00103F8A">
        <w:rPr>
          <w:rFonts w:ascii="Times New Roman" w:hAnsi="Times New Roman" w:cs="Times New Roman"/>
          <w:sz w:val="20"/>
          <w:szCs w:val="20"/>
        </w:rPr>
        <w:t xml:space="preserve"> e 500</w:t>
      </w:r>
      <w:r w:rsidR="00630CE1">
        <w:rPr>
          <w:rFonts w:ascii="Times New Roman" w:hAnsi="Times New Roman"/>
        </w:rPr>
        <w:t xml:space="preserve"> °C</w:t>
      </w:r>
      <w:r w:rsidR="00470343" w:rsidRPr="00103F8A">
        <w:rPr>
          <w:rFonts w:ascii="Times New Roman" w:hAnsi="Times New Roman" w:cs="Times New Roman"/>
          <w:sz w:val="20"/>
          <w:szCs w:val="20"/>
        </w:rPr>
        <w:t>.</w:t>
      </w:r>
    </w:p>
    <w:p w14:paraId="47A6180E" w14:textId="77777777" w:rsidR="00FB5230" w:rsidRDefault="00FB5230" w:rsidP="00876B13">
      <w:pPr>
        <w:spacing w:after="0" w:line="240" w:lineRule="auto"/>
        <w:ind w:firstLine="227"/>
        <w:jc w:val="both"/>
        <w:rPr>
          <w:rFonts w:ascii="Times New Roman" w:hAnsi="Times New Roman" w:cs="Times New Roman"/>
          <w:sz w:val="20"/>
          <w:szCs w:val="20"/>
        </w:rPr>
      </w:pPr>
      <w:r>
        <w:rPr>
          <w:rFonts w:ascii="Times New Roman" w:hAnsi="Times New Roman" w:cs="Times New Roman"/>
          <w:color w:val="000000"/>
          <w:sz w:val="20"/>
          <w:szCs w:val="20"/>
        </w:rPr>
        <w:t>Para as 3 temperaturas avaliadas a produção de mirceno foi superior, c</w:t>
      </w:r>
      <w:r w:rsidRPr="00AC1A84">
        <w:rPr>
          <w:rFonts w:ascii="Times New Roman" w:hAnsi="Times New Roman" w:cs="Times New Roman"/>
          <w:color w:val="000000"/>
          <w:sz w:val="20"/>
          <w:szCs w:val="20"/>
        </w:rPr>
        <w:t>omo esperado</w:t>
      </w:r>
      <w:r>
        <w:rPr>
          <w:rFonts w:ascii="Times New Roman" w:hAnsi="Times New Roman" w:cs="Times New Roman"/>
          <w:color w:val="000000"/>
          <w:sz w:val="20"/>
          <w:szCs w:val="20"/>
        </w:rPr>
        <w:t xml:space="preserve">, na presença de catalisador a base de cobre, sendo que a </w:t>
      </w:r>
      <w:r w:rsidRPr="00AC1A84">
        <w:rPr>
          <w:rFonts w:ascii="Times New Roman" w:hAnsi="Times New Roman" w:cs="Times New Roman"/>
          <w:color w:val="000000"/>
          <w:sz w:val="20"/>
          <w:szCs w:val="20"/>
        </w:rPr>
        <w:t>produç</w:t>
      </w:r>
      <w:r>
        <w:rPr>
          <w:rFonts w:ascii="Times New Roman" w:hAnsi="Times New Roman" w:cs="Times New Roman"/>
          <w:color w:val="000000"/>
          <w:sz w:val="20"/>
          <w:szCs w:val="20"/>
        </w:rPr>
        <w:t>ão</w:t>
      </w:r>
      <w:r w:rsidRPr="00AC1A84">
        <w:rPr>
          <w:rFonts w:ascii="Times New Roman" w:hAnsi="Times New Roman" w:cs="Times New Roman"/>
          <w:color w:val="000000"/>
          <w:sz w:val="20"/>
          <w:szCs w:val="20"/>
        </w:rPr>
        <w:t xml:space="preserve"> de mirceno</w:t>
      </w:r>
      <w:r>
        <w:rPr>
          <w:rFonts w:ascii="Times New Roman" w:hAnsi="Times New Roman" w:cs="Times New Roman"/>
          <w:color w:val="000000"/>
          <w:sz w:val="20"/>
          <w:szCs w:val="20"/>
        </w:rPr>
        <w:t xml:space="preserve"> foi</w:t>
      </w:r>
      <w:r w:rsidRPr="00AC1A84">
        <w:rPr>
          <w:rFonts w:ascii="Times New Roman" w:hAnsi="Times New Roman" w:cs="Times New Roman"/>
          <w:color w:val="000000"/>
          <w:sz w:val="20"/>
          <w:szCs w:val="20"/>
        </w:rPr>
        <w:t xml:space="preserve"> em torno de 70%, valor</w:t>
      </w:r>
      <w:r>
        <w:rPr>
          <w:rFonts w:ascii="Times New Roman" w:hAnsi="Times New Roman" w:cs="Times New Roman"/>
          <w:color w:val="000000"/>
          <w:sz w:val="20"/>
          <w:szCs w:val="20"/>
        </w:rPr>
        <w:t xml:space="preserve"> superior ao obtido experimentalmente (aproximadamente 60%), porém</w:t>
      </w:r>
      <w:r w:rsidRPr="00AC1A84">
        <w:rPr>
          <w:rFonts w:ascii="Times New Roman" w:hAnsi="Times New Roman" w:cs="Times New Roman"/>
          <w:color w:val="000000"/>
          <w:sz w:val="20"/>
          <w:szCs w:val="20"/>
        </w:rPr>
        <w:t xml:space="preserve"> inferior aos 80% citados na literatura</w:t>
      </w:r>
      <w:r>
        <w:rPr>
          <w:rFonts w:ascii="Times New Roman" w:hAnsi="Times New Roman" w:cs="Times New Roman"/>
          <w:color w:val="000000"/>
          <w:sz w:val="20"/>
          <w:szCs w:val="20"/>
        </w:rPr>
        <w:t xml:space="preserve"> (2,7)</w:t>
      </w:r>
      <w:r w:rsidRPr="00AC1A84">
        <w:rPr>
          <w:rFonts w:ascii="Times New Roman" w:hAnsi="Times New Roman" w:cs="Times New Roman"/>
          <w:color w:val="000000"/>
          <w:sz w:val="20"/>
          <w:szCs w:val="20"/>
        </w:rPr>
        <w:t xml:space="preserve"> que utilizaram </w:t>
      </w:r>
      <w:r w:rsidRPr="00FB5230">
        <w:rPr>
          <w:rFonts w:ascii="Symbol" w:hAnsi="Symbol" w:cs="Times New Roman"/>
          <w:i/>
          <w:iCs/>
          <w:color w:val="000000"/>
          <w:sz w:val="20"/>
          <w:szCs w:val="20"/>
        </w:rPr>
        <w:t></w:t>
      </w:r>
      <w:r w:rsidRPr="00AC1A84">
        <w:rPr>
          <w:rFonts w:ascii="Times New Roman" w:hAnsi="Times New Roman" w:cs="Times New Roman"/>
          <w:color w:val="000000"/>
          <w:sz w:val="20"/>
          <w:szCs w:val="20"/>
        </w:rPr>
        <w:t>-pineno com pureza superior a 99</w:t>
      </w:r>
      <w:r>
        <w:rPr>
          <w:rFonts w:ascii="Times New Roman" w:hAnsi="Times New Roman" w:cs="Times New Roman"/>
          <w:color w:val="000000"/>
          <w:sz w:val="20"/>
          <w:szCs w:val="20"/>
        </w:rPr>
        <w:t>%.</w:t>
      </w:r>
    </w:p>
    <w:p w14:paraId="49F5A3E2" w14:textId="77777777" w:rsidR="00103F8A" w:rsidRDefault="00103F8A" w:rsidP="00AC1A84">
      <w:pPr>
        <w:spacing w:after="0" w:line="240" w:lineRule="auto"/>
        <w:jc w:val="center"/>
        <w:rPr>
          <w:rFonts w:ascii="Times New Roman" w:hAnsi="Times New Roman" w:cs="Times New Roman"/>
          <w:sz w:val="20"/>
          <w:szCs w:val="20"/>
        </w:rPr>
      </w:pPr>
    </w:p>
    <w:p w14:paraId="6F9CE3EC" w14:textId="77777777" w:rsidR="00AC1A84" w:rsidRDefault="00545BE0" w:rsidP="00AC1A84">
      <w:pPr>
        <w:spacing w:after="0" w:line="240" w:lineRule="auto"/>
        <w:jc w:val="center"/>
        <w:rPr>
          <w:rFonts w:ascii="Times New Roman" w:hAnsi="Times New Roman" w:cs="Times New Roman"/>
          <w:sz w:val="20"/>
          <w:szCs w:val="20"/>
        </w:rPr>
      </w:pPr>
      <w:r>
        <w:rPr>
          <w:noProof/>
          <w:lang w:eastAsia="pt-BR"/>
        </w:rPr>
        <w:drawing>
          <wp:inline distT="0" distB="0" distL="0" distR="0" wp14:anchorId="44C2DE7E" wp14:editId="02DE5840">
            <wp:extent cx="2638425" cy="1986280"/>
            <wp:effectExtent l="0" t="0" r="0" b="0"/>
            <wp:docPr id="1" name="Gráfico 1">
              <a:extLst xmlns:a="http://schemas.openxmlformats.org/drawingml/2006/main">
                <a:ext uri="{FF2B5EF4-FFF2-40B4-BE49-F238E27FC236}">
                  <a16:creationId xmlns:a16="http://schemas.microsoft.com/office/drawing/2014/main" id="{8D1DE086-7986-CBCA-C041-B2353DEB6E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70E0D83B" w14:textId="77777777" w:rsidR="00AC1A84" w:rsidRPr="00AC1A84" w:rsidRDefault="00AC1A84" w:rsidP="00AC1A84">
      <w:pPr>
        <w:pStyle w:val="Default"/>
        <w:jc w:val="both"/>
        <w:rPr>
          <w:rFonts w:ascii="Times New Roman" w:hAnsi="Times New Roman" w:cs="Times New Roman"/>
          <w:sz w:val="18"/>
          <w:szCs w:val="18"/>
        </w:rPr>
      </w:pPr>
      <w:r w:rsidRPr="1A2EB2A5">
        <w:rPr>
          <w:rFonts w:ascii="Times New Roman" w:hAnsi="Times New Roman"/>
          <w:b/>
          <w:bCs/>
          <w:sz w:val="18"/>
          <w:szCs w:val="18"/>
        </w:rPr>
        <w:t xml:space="preserve">Figura </w:t>
      </w:r>
      <w:r w:rsidR="007154F8" w:rsidRPr="1A2EB2A5">
        <w:rPr>
          <w:rFonts w:ascii="Times New Roman" w:hAnsi="Times New Roman"/>
          <w:b/>
          <w:bCs/>
          <w:sz w:val="18"/>
          <w:szCs w:val="18"/>
        </w:rPr>
        <w:t>4</w:t>
      </w:r>
      <w:r w:rsidRPr="1A2EB2A5">
        <w:rPr>
          <w:rFonts w:ascii="Times New Roman" w:hAnsi="Times New Roman"/>
          <w:b/>
          <w:bCs/>
          <w:sz w:val="18"/>
          <w:szCs w:val="18"/>
        </w:rPr>
        <w:t>.</w:t>
      </w:r>
      <w:r w:rsidRPr="1A2EB2A5">
        <w:rPr>
          <w:rFonts w:ascii="Times New Roman" w:hAnsi="Times New Roman"/>
          <w:sz w:val="18"/>
          <w:szCs w:val="18"/>
        </w:rPr>
        <w:t xml:space="preserve"> </w:t>
      </w:r>
      <w:r w:rsidRPr="1A2EB2A5">
        <w:rPr>
          <w:rFonts w:ascii="Times New Roman" w:hAnsi="Times New Roman" w:cs="Times New Roman"/>
          <w:sz w:val="18"/>
          <w:szCs w:val="18"/>
        </w:rPr>
        <w:t xml:space="preserve">Comparação dos modelos com e sem catalisador para a </w:t>
      </w:r>
      <w:r w:rsidR="00037653" w:rsidRPr="1A2EB2A5">
        <w:rPr>
          <w:rFonts w:ascii="Times New Roman" w:hAnsi="Times New Roman" w:cs="Times New Roman"/>
          <w:sz w:val="18"/>
          <w:szCs w:val="18"/>
        </w:rPr>
        <w:t xml:space="preserve">máxima </w:t>
      </w:r>
      <w:r w:rsidRPr="1A2EB2A5">
        <w:rPr>
          <w:rFonts w:ascii="Times New Roman" w:hAnsi="Times New Roman" w:cs="Times New Roman"/>
          <w:sz w:val="18"/>
          <w:szCs w:val="18"/>
        </w:rPr>
        <w:t>produção de mirceno em diferentes temperaturas</w:t>
      </w:r>
      <w:r w:rsidR="00037653" w:rsidRPr="1A2EB2A5">
        <w:rPr>
          <w:rFonts w:ascii="Times New Roman" w:hAnsi="Times New Roman" w:cs="Times New Roman"/>
          <w:sz w:val="18"/>
          <w:szCs w:val="18"/>
        </w:rPr>
        <w:t>.</w:t>
      </w:r>
      <w:r w:rsidRPr="1A2EB2A5">
        <w:rPr>
          <w:rFonts w:ascii="Times New Roman" w:hAnsi="Times New Roman" w:cs="Times New Roman"/>
          <w:sz w:val="18"/>
          <w:szCs w:val="18"/>
        </w:rPr>
        <w:t xml:space="preserve"> </w:t>
      </w:r>
    </w:p>
    <w:p w14:paraId="7CD4473E" w14:textId="77777777" w:rsidR="1A2EB2A5" w:rsidRDefault="1A2EB2A5" w:rsidP="1A2EB2A5">
      <w:pPr>
        <w:spacing w:after="0" w:line="240" w:lineRule="auto"/>
        <w:ind w:firstLine="227"/>
        <w:jc w:val="both"/>
        <w:rPr>
          <w:rFonts w:ascii="Times New Roman" w:hAnsi="Times New Roman" w:cs="Times New Roman"/>
          <w:color w:val="000000" w:themeColor="text1"/>
          <w:sz w:val="20"/>
          <w:szCs w:val="20"/>
        </w:rPr>
      </w:pPr>
    </w:p>
    <w:p w14:paraId="76BE0071" w14:textId="77777777" w:rsidR="00AC1A84" w:rsidRPr="00AC1A84" w:rsidRDefault="00564A1C" w:rsidP="00AC1A84">
      <w:pPr>
        <w:autoSpaceDE w:val="0"/>
        <w:autoSpaceDN w:val="0"/>
        <w:adjustRightInd w:val="0"/>
        <w:spacing w:after="0" w:line="240" w:lineRule="auto"/>
        <w:ind w:firstLine="22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Esta </w:t>
      </w:r>
      <w:r w:rsidR="00AC1A84" w:rsidRPr="00AC1A84">
        <w:rPr>
          <w:rFonts w:ascii="Times New Roman" w:hAnsi="Times New Roman" w:cs="Times New Roman"/>
          <w:color w:val="000000"/>
          <w:sz w:val="20"/>
          <w:szCs w:val="20"/>
        </w:rPr>
        <w:t xml:space="preserve">produção </w:t>
      </w:r>
      <w:r>
        <w:rPr>
          <w:rFonts w:ascii="Times New Roman" w:hAnsi="Times New Roman" w:cs="Times New Roman"/>
          <w:color w:val="000000"/>
          <w:sz w:val="20"/>
          <w:szCs w:val="20"/>
        </w:rPr>
        <w:t>foi</w:t>
      </w:r>
      <w:r w:rsidR="00AC1A84" w:rsidRPr="00AC1A84">
        <w:rPr>
          <w:rFonts w:ascii="Times New Roman" w:hAnsi="Times New Roman" w:cs="Times New Roman"/>
          <w:color w:val="000000"/>
          <w:sz w:val="20"/>
          <w:szCs w:val="20"/>
        </w:rPr>
        <w:t xml:space="preserve"> obtid</w:t>
      </w:r>
      <w:r>
        <w:rPr>
          <w:rFonts w:ascii="Times New Roman" w:hAnsi="Times New Roman" w:cs="Times New Roman"/>
          <w:color w:val="000000"/>
          <w:sz w:val="20"/>
          <w:szCs w:val="20"/>
        </w:rPr>
        <w:t>a</w:t>
      </w:r>
      <w:r w:rsidR="00AC1A84" w:rsidRPr="00AC1A84">
        <w:rPr>
          <w:rFonts w:ascii="Times New Roman" w:hAnsi="Times New Roman" w:cs="Times New Roman"/>
          <w:color w:val="000000"/>
          <w:sz w:val="20"/>
          <w:szCs w:val="20"/>
        </w:rPr>
        <w:t xml:space="preserve"> entre </w:t>
      </w:r>
      <w:r w:rsidR="00AC776E">
        <w:rPr>
          <w:rFonts w:ascii="Times New Roman" w:hAnsi="Times New Roman" w:cs="Times New Roman"/>
          <w:color w:val="000000"/>
          <w:sz w:val="20"/>
          <w:szCs w:val="20"/>
        </w:rPr>
        <w:t>4</w:t>
      </w:r>
      <w:r w:rsidR="00AC1A84" w:rsidRPr="00AC1A84">
        <w:rPr>
          <w:rFonts w:ascii="Times New Roman" w:hAnsi="Times New Roman" w:cs="Times New Roman"/>
          <w:color w:val="000000"/>
          <w:sz w:val="20"/>
          <w:szCs w:val="20"/>
        </w:rPr>
        <w:t xml:space="preserve">0 a 250 ms, dependendo da temperatura da reação. </w:t>
      </w:r>
      <w:r w:rsidR="00793FE5">
        <w:rPr>
          <w:rFonts w:ascii="Times New Roman" w:hAnsi="Times New Roman" w:cs="Times New Roman"/>
          <w:color w:val="000000"/>
          <w:sz w:val="20"/>
          <w:szCs w:val="20"/>
        </w:rPr>
        <w:t>A máxima produção</w:t>
      </w:r>
      <w:r w:rsidR="00AC776E">
        <w:rPr>
          <w:rFonts w:ascii="Times New Roman" w:hAnsi="Times New Roman" w:cs="Times New Roman"/>
          <w:color w:val="000000"/>
          <w:sz w:val="20"/>
          <w:szCs w:val="20"/>
        </w:rPr>
        <w:t xml:space="preserve"> </w:t>
      </w:r>
      <w:r w:rsidR="00793FE5">
        <w:rPr>
          <w:rFonts w:ascii="Times New Roman" w:hAnsi="Times New Roman" w:cs="Times New Roman"/>
          <w:color w:val="000000"/>
          <w:sz w:val="20"/>
          <w:szCs w:val="20"/>
        </w:rPr>
        <w:t xml:space="preserve">foi </w:t>
      </w:r>
      <w:r>
        <w:rPr>
          <w:rFonts w:ascii="Times New Roman" w:hAnsi="Times New Roman" w:cs="Times New Roman"/>
          <w:color w:val="000000"/>
          <w:sz w:val="20"/>
          <w:szCs w:val="20"/>
        </w:rPr>
        <w:t>alcançada nas temperaturas de</w:t>
      </w:r>
      <w:r w:rsidR="00793FE5">
        <w:rPr>
          <w:rFonts w:ascii="Times New Roman" w:hAnsi="Times New Roman" w:cs="Times New Roman"/>
          <w:color w:val="000000"/>
          <w:sz w:val="20"/>
          <w:szCs w:val="20"/>
        </w:rPr>
        <w:t xml:space="preserve"> </w:t>
      </w:r>
      <w:r w:rsidR="00793FE5" w:rsidRPr="00AC1A84">
        <w:rPr>
          <w:rFonts w:ascii="Times New Roman" w:hAnsi="Times New Roman" w:cs="Times New Roman"/>
          <w:color w:val="000000"/>
          <w:sz w:val="20"/>
          <w:szCs w:val="20"/>
        </w:rPr>
        <w:t>475</w:t>
      </w:r>
      <w:r w:rsidR="00630CE1">
        <w:rPr>
          <w:rFonts w:ascii="Times New Roman" w:hAnsi="Times New Roman"/>
        </w:rPr>
        <w:t xml:space="preserve"> °C</w:t>
      </w:r>
      <w:r>
        <w:rPr>
          <w:rFonts w:ascii="Times New Roman" w:hAnsi="Times New Roman" w:cs="Times New Roman"/>
          <w:color w:val="000000"/>
          <w:sz w:val="20"/>
          <w:szCs w:val="20"/>
        </w:rPr>
        <w:t xml:space="preserve"> (95 ms)</w:t>
      </w:r>
      <w:r w:rsidR="00793FE5" w:rsidRPr="00AC1A84">
        <w:rPr>
          <w:rFonts w:ascii="Times New Roman" w:hAnsi="Times New Roman" w:cs="Times New Roman"/>
          <w:color w:val="000000"/>
          <w:sz w:val="20"/>
          <w:szCs w:val="20"/>
        </w:rPr>
        <w:t xml:space="preserve"> e 500</w:t>
      </w:r>
      <w:r w:rsidR="00630CE1">
        <w:rPr>
          <w:rFonts w:ascii="Times New Roman" w:hAnsi="Times New Roman"/>
        </w:rPr>
        <w:t xml:space="preserve"> °C</w:t>
      </w:r>
      <w:r>
        <w:rPr>
          <w:rFonts w:ascii="Times New Roman" w:hAnsi="Times New Roman" w:cs="Times New Roman"/>
          <w:color w:val="000000"/>
          <w:sz w:val="20"/>
          <w:szCs w:val="20"/>
        </w:rPr>
        <w:t xml:space="preserve"> (40 ms)</w:t>
      </w:r>
      <w:r w:rsidR="00793FE5">
        <w:rPr>
          <w:rFonts w:ascii="Times New Roman" w:hAnsi="Times New Roman" w:cs="Times New Roman"/>
          <w:color w:val="000000"/>
          <w:sz w:val="20"/>
          <w:szCs w:val="20"/>
        </w:rPr>
        <w:t>, para 450</w:t>
      </w:r>
      <w:r w:rsidR="00630CE1">
        <w:rPr>
          <w:rFonts w:ascii="Times New Roman" w:hAnsi="Times New Roman" w:cs="Times New Roman"/>
          <w:color w:val="000000"/>
          <w:sz w:val="20"/>
          <w:szCs w:val="20"/>
        </w:rPr>
        <w:t xml:space="preserve"> </w:t>
      </w:r>
      <w:r w:rsidR="00793FE5" w:rsidRPr="00793FE5">
        <w:rPr>
          <w:rFonts w:ascii="Times New Roman" w:hAnsi="Times New Roman" w:cs="Times New Roman"/>
          <w:color w:val="000000"/>
          <w:sz w:val="20"/>
          <w:szCs w:val="20"/>
          <w:vertAlign w:val="superscript"/>
        </w:rPr>
        <w:t>o</w:t>
      </w:r>
      <w:r w:rsidR="00793FE5">
        <w:rPr>
          <w:rFonts w:ascii="Times New Roman" w:hAnsi="Times New Roman" w:cs="Times New Roman"/>
          <w:color w:val="000000"/>
          <w:sz w:val="20"/>
          <w:szCs w:val="20"/>
        </w:rPr>
        <w:t>C a produção foi um pouco inferior</w:t>
      </w:r>
      <w:r>
        <w:rPr>
          <w:rFonts w:ascii="Times New Roman" w:hAnsi="Times New Roman" w:cs="Times New Roman"/>
          <w:color w:val="000000"/>
          <w:sz w:val="20"/>
          <w:szCs w:val="20"/>
        </w:rPr>
        <w:t xml:space="preserve"> (68,5% em 250 ms)</w:t>
      </w:r>
      <w:r w:rsidR="00793FE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 que indica que </w:t>
      </w:r>
      <w:r w:rsidR="00793FE5">
        <w:rPr>
          <w:rFonts w:ascii="Times New Roman" w:hAnsi="Times New Roman" w:cs="Times New Roman"/>
          <w:color w:val="000000"/>
          <w:sz w:val="20"/>
          <w:szCs w:val="20"/>
        </w:rPr>
        <w:t xml:space="preserve">pequenas variações na </w:t>
      </w:r>
      <w:r>
        <w:rPr>
          <w:rFonts w:ascii="Times New Roman" w:hAnsi="Times New Roman" w:cs="Times New Roman"/>
          <w:color w:val="000000"/>
          <w:sz w:val="20"/>
          <w:szCs w:val="20"/>
        </w:rPr>
        <w:t xml:space="preserve">temperatura e tempo de reação </w:t>
      </w:r>
      <w:r w:rsidR="00793FE5">
        <w:rPr>
          <w:rFonts w:ascii="Times New Roman" w:hAnsi="Times New Roman" w:cs="Times New Roman"/>
          <w:color w:val="000000"/>
          <w:sz w:val="20"/>
          <w:szCs w:val="20"/>
        </w:rPr>
        <w:t>afeta</w:t>
      </w:r>
      <w:r>
        <w:rPr>
          <w:rFonts w:ascii="Times New Roman" w:hAnsi="Times New Roman" w:cs="Times New Roman"/>
          <w:color w:val="000000"/>
          <w:sz w:val="20"/>
          <w:szCs w:val="20"/>
        </w:rPr>
        <w:t xml:space="preserve">m </w:t>
      </w:r>
      <w:r w:rsidR="00793FE5">
        <w:rPr>
          <w:rFonts w:ascii="Times New Roman" w:hAnsi="Times New Roman" w:cs="Times New Roman"/>
          <w:color w:val="000000"/>
          <w:sz w:val="20"/>
          <w:szCs w:val="20"/>
        </w:rPr>
        <w:t>a produção de mirceno.</w:t>
      </w:r>
    </w:p>
    <w:p w14:paraId="7223F70B" w14:textId="77777777" w:rsidR="00AC1A84" w:rsidRPr="00AC1A84" w:rsidRDefault="00AC1A84" w:rsidP="00AC1A84">
      <w:pPr>
        <w:spacing w:after="0" w:line="240" w:lineRule="auto"/>
        <w:ind w:firstLine="227"/>
        <w:jc w:val="both"/>
        <w:rPr>
          <w:rFonts w:ascii="Times New Roman" w:hAnsi="Times New Roman" w:cs="Times New Roman"/>
          <w:sz w:val="20"/>
          <w:szCs w:val="20"/>
        </w:rPr>
      </w:pPr>
    </w:p>
    <w:p w14:paraId="68C954E8" w14:textId="77777777" w:rsidR="00EA4E1B"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0ECB487D" w14:textId="77777777" w:rsidR="009E0C0A" w:rsidRDefault="009E0C0A" w:rsidP="004B7DE5">
      <w:pPr>
        <w:spacing w:after="0" w:line="240" w:lineRule="auto"/>
        <w:ind w:firstLine="227"/>
        <w:jc w:val="both"/>
        <w:rPr>
          <w:rFonts w:ascii="Times New Roman" w:hAnsi="Times New Roman" w:cs="Times New Roman"/>
          <w:sz w:val="20"/>
          <w:szCs w:val="20"/>
        </w:rPr>
      </w:pPr>
    </w:p>
    <w:p w14:paraId="27A88EB8" w14:textId="77777777" w:rsidR="00DC7E8F" w:rsidRPr="003C7C5D" w:rsidRDefault="004B7DE5" w:rsidP="00DC7E8F">
      <w:pPr>
        <w:spacing w:after="0" w:line="240" w:lineRule="auto"/>
        <w:ind w:firstLine="227"/>
        <w:jc w:val="both"/>
        <w:rPr>
          <w:rFonts w:ascii="Times New Roman" w:hAnsi="Times New Roman"/>
          <w:sz w:val="20"/>
          <w:szCs w:val="20"/>
        </w:rPr>
      </w:pPr>
      <w:r w:rsidRPr="004B7DE5">
        <w:rPr>
          <w:rFonts w:ascii="Times New Roman" w:hAnsi="Times New Roman" w:cs="Times New Roman"/>
          <w:sz w:val="20"/>
          <w:szCs w:val="20"/>
        </w:rPr>
        <w:t>O</w:t>
      </w:r>
      <w:r w:rsidR="00DC7E8F">
        <w:rPr>
          <w:rFonts w:ascii="Times New Roman" w:hAnsi="Times New Roman" w:cs="Times New Roman"/>
          <w:sz w:val="20"/>
          <w:szCs w:val="20"/>
        </w:rPr>
        <w:t xml:space="preserve">s resultados obtidos neste estudo indicaram a redução no consumo energético do processo de isomerização térmica do </w:t>
      </w:r>
      <w:r w:rsidR="00DC7E8F" w:rsidRPr="00164963">
        <w:rPr>
          <w:rFonts w:ascii="Symbol" w:hAnsi="Symbol" w:cs="Times New Roman"/>
          <w:i/>
          <w:sz w:val="20"/>
          <w:szCs w:val="20"/>
        </w:rPr>
        <w:t></w:t>
      </w:r>
      <w:r w:rsidR="00DC7E8F">
        <w:rPr>
          <w:rFonts w:ascii="Times New Roman" w:hAnsi="Times New Roman" w:cs="Times New Roman"/>
          <w:sz w:val="20"/>
          <w:szCs w:val="20"/>
        </w:rPr>
        <w:t>-pineno quando</w:t>
      </w:r>
      <w:r w:rsidRPr="004B7DE5">
        <w:rPr>
          <w:rFonts w:ascii="Times New Roman" w:hAnsi="Times New Roman" w:cs="Times New Roman"/>
          <w:sz w:val="20"/>
          <w:szCs w:val="20"/>
        </w:rPr>
        <w:t xml:space="preserve"> catalisador</w:t>
      </w:r>
      <w:r w:rsidR="00DC7E8F">
        <w:rPr>
          <w:rFonts w:ascii="Times New Roman" w:hAnsi="Times New Roman" w:cs="Times New Roman"/>
          <w:sz w:val="20"/>
          <w:szCs w:val="20"/>
        </w:rPr>
        <w:t>es</w:t>
      </w:r>
      <w:r w:rsidRPr="004B7DE5">
        <w:rPr>
          <w:rFonts w:ascii="Times New Roman" w:hAnsi="Times New Roman" w:cs="Times New Roman"/>
          <w:sz w:val="20"/>
          <w:szCs w:val="20"/>
        </w:rPr>
        <w:t xml:space="preserve"> </w:t>
      </w:r>
      <w:r w:rsidR="00DC7E8F">
        <w:rPr>
          <w:rFonts w:ascii="Times New Roman" w:hAnsi="Times New Roman" w:cs="Times New Roman"/>
          <w:sz w:val="20"/>
          <w:szCs w:val="20"/>
        </w:rPr>
        <w:t>são utilizados</w:t>
      </w:r>
      <w:r w:rsidR="00DC7E8F">
        <w:rPr>
          <w:rFonts w:ascii="Times New Roman" w:hAnsi="Times New Roman"/>
          <w:sz w:val="20"/>
          <w:szCs w:val="20"/>
        </w:rPr>
        <w:t>. Verificou-se uma produção de mirceno de 5 a 8% superior</w:t>
      </w:r>
      <w:r w:rsidR="00DC7E8F">
        <w:rPr>
          <w:rFonts w:ascii="Times New Roman" w:hAnsi="Times New Roman" w:cs="Times New Roman"/>
          <w:sz w:val="20"/>
          <w:szCs w:val="20"/>
        </w:rPr>
        <w:t xml:space="preserve"> - para a mesma temperatura – na presença de </w:t>
      </w:r>
      <w:r w:rsidR="00DC7E8F" w:rsidRPr="004B7DE5">
        <w:rPr>
          <w:rFonts w:ascii="Times New Roman" w:hAnsi="Times New Roman" w:cs="Times New Roman"/>
          <w:sz w:val="20"/>
          <w:szCs w:val="20"/>
        </w:rPr>
        <w:t>catalisador</w:t>
      </w:r>
      <w:r w:rsidR="00DC7E8F">
        <w:rPr>
          <w:rFonts w:ascii="Times New Roman" w:hAnsi="Times New Roman" w:cs="Times New Roman"/>
          <w:sz w:val="20"/>
          <w:szCs w:val="20"/>
        </w:rPr>
        <w:t>es</w:t>
      </w:r>
      <w:r w:rsidR="00DC7E8F" w:rsidRPr="004B7DE5">
        <w:rPr>
          <w:rFonts w:ascii="Times New Roman" w:hAnsi="Times New Roman" w:cs="Times New Roman"/>
          <w:sz w:val="20"/>
          <w:szCs w:val="20"/>
        </w:rPr>
        <w:t xml:space="preserve"> </w:t>
      </w:r>
      <w:r w:rsidR="00DC7E8F">
        <w:rPr>
          <w:rFonts w:ascii="Times New Roman" w:hAnsi="Times New Roman" w:cs="Times New Roman"/>
          <w:sz w:val="20"/>
          <w:szCs w:val="20"/>
        </w:rPr>
        <w:t xml:space="preserve">a base </w:t>
      </w:r>
      <w:r w:rsidR="00DC7E8F" w:rsidRPr="004B7DE5">
        <w:rPr>
          <w:rFonts w:ascii="Times New Roman" w:hAnsi="Times New Roman" w:cs="Times New Roman"/>
          <w:sz w:val="20"/>
          <w:szCs w:val="20"/>
        </w:rPr>
        <w:t>de cobre</w:t>
      </w:r>
      <w:r w:rsidR="00DC7E8F">
        <w:rPr>
          <w:rFonts w:ascii="Times New Roman" w:hAnsi="Times New Roman" w:cs="Times New Roman"/>
          <w:sz w:val="20"/>
          <w:szCs w:val="20"/>
        </w:rPr>
        <w:t xml:space="preserve">, mostrando que os mesmos são eficientes e o uso destes tipos de catalisadores é indicado. O efeito </w:t>
      </w:r>
      <w:r w:rsidR="00AD41DD">
        <w:rPr>
          <w:rFonts w:ascii="Times New Roman" w:hAnsi="Times New Roman" w:cs="Times New Roman"/>
          <w:sz w:val="20"/>
          <w:szCs w:val="20"/>
        </w:rPr>
        <w:t>catalítico</w:t>
      </w:r>
      <w:r w:rsidR="00DC7E8F">
        <w:rPr>
          <w:rFonts w:ascii="Times New Roman" w:hAnsi="Times New Roman" w:cs="Times New Roman"/>
          <w:sz w:val="20"/>
          <w:szCs w:val="20"/>
        </w:rPr>
        <w:t xml:space="preserve"> não foi evidenciado na </w:t>
      </w:r>
      <w:r w:rsidR="00AD41DD">
        <w:rPr>
          <w:rFonts w:ascii="Times New Roman" w:hAnsi="Times New Roman" w:cs="Times New Roman"/>
          <w:sz w:val="20"/>
          <w:szCs w:val="20"/>
        </w:rPr>
        <w:t>formação dos subprodutos da reação.</w:t>
      </w:r>
    </w:p>
    <w:p w14:paraId="0878023D" w14:textId="77777777" w:rsidR="00DC7E8F" w:rsidRPr="004B7DE5" w:rsidRDefault="00DC7E8F" w:rsidP="004B7DE5">
      <w:pPr>
        <w:spacing w:after="0" w:line="240" w:lineRule="auto"/>
        <w:ind w:firstLine="227"/>
        <w:jc w:val="both"/>
        <w:rPr>
          <w:rFonts w:ascii="Times New Roman" w:hAnsi="Times New Roman" w:cs="Times New Roman"/>
          <w:sz w:val="20"/>
          <w:szCs w:val="20"/>
        </w:rPr>
      </w:pPr>
    </w:p>
    <w:p w14:paraId="7EFA8605"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6BF45FEE" w14:textId="77777777" w:rsidR="009E0C0A" w:rsidRDefault="009E0C0A" w:rsidP="00EA4E1B">
      <w:pPr>
        <w:pStyle w:val="TAMainText"/>
        <w:rPr>
          <w:rFonts w:ascii="Times New Roman" w:hAnsi="Times New Roman"/>
          <w:highlight w:val="yellow"/>
          <w:lang w:val="pt-BR"/>
        </w:rPr>
      </w:pPr>
    </w:p>
    <w:p w14:paraId="19111FE1" w14:textId="77777777" w:rsidR="00EA4E1B" w:rsidRDefault="00AD41DD" w:rsidP="00EA4E1B">
      <w:pPr>
        <w:pStyle w:val="TAMainText"/>
        <w:rPr>
          <w:rFonts w:ascii="Times New Roman" w:hAnsi="Times New Roman"/>
          <w:lang w:val="pt-BR"/>
        </w:rPr>
      </w:pPr>
      <w:r w:rsidRPr="1A2EB2A5">
        <w:rPr>
          <w:rFonts w:ascii="Times New Roman" w:hAnsi="Times New Roman"/>
          <w:lang w:val="pt-BR"/>
        </w:rPr>
        <w:t xml:space="preserve">Agradecemos </w:t>
      </w:r>
      <w:r w:rsidRPr="1A2EB2A5">
        <w:rPr>
          <w:rFonts w:ascii="Times New Roman" w:eastAsiaTheme="minorEastAsia" w:hAnsi="Times New Roman"/>
          <w:lang w:val="pt-BR" w:eastAsia="en-US"/>
        </w:rPr>
        <w:t xml:space="preserve">a SOCER BRASIL INDÚSTRIA E COMÉRCIO LTDA que forneceu a matéria-prima para a </w:t>
      </w:r>
      <w:r w:rsidRPr="1A2EB2A5">
        <w:rPr>
          <w:rFonts w:ascii="Times New Roman" w:eastAsiaTheme="minorEastAsia" w:hAnsi="Times New Roman"/>
          <w:lang w:val="pt-BR" w:eastAsia="en-US"/>
        </w:rPr>
        <w:t>execução dos ensaios de pirólise e realizou as análises cromatográficas dos produtos de pirólise.</w:t>
      </w:r>
    </w:p>
    <w:p w14:paraId="4100BC4D" w14:textId="77777777" w:rsidR="00AD41DD" w:rsidRPr="001F25B2" w:rsidRDefault="00AD41DD" w:rsidP="00EA4E1B">
      <w:pPr>
        <w:pStyle w:val="TAMainText"/>
        <w:rPr>
          <w:rFonts w:ascii="Times New Roman" w:hAnsi="Times New Roman"/>
          <w:lang w:val="pt-BR"/>
        </w:rPr>
      </w:pPr>
    </w:p>
    <w:p w14:paraId="5444AD57" w14:textId="77777777" w:rsidR="00EA4E1B"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69BAB480" w14:textId="77777777" w:rsidR="00D448C4" w:rsidRPr="00D448C4" w:rsidRDefault="00AC0A7E" w:rsidP="000D060E">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6765A7">
        <w:rPr>
          <w:rFonts w:ascii="Times New Roman" w:hAnsi="Times New Roman" w:cs="Times New Roman"/>
          <w:sz w:val="20"/>
          <w:szCs w:val="20"/>
        </w:rPr>
        <w:fldChar w:fldCharType="begin" w:fldLock="1"/>
      </w:r>
      <w:r w:rsidR="00E438B9" w:rsidRPr="00E438B9">
        <w:rPr>
          <w:rFonts w:ascii="Times New Roman" w:hAnsi="Times New Roman" w:cs="Times New Roman"/>
          <w:sz w:val="20"/>
          <w:szCs w:val="20"/>
        </w:rPr>
        <w:instrText xml:space="preserve">ADDIN Mendeley Bibliography CSL_BIBLIOGRAPHY </w:instrText>
      </w:r>
      <w:r w:rsidRPr="006765A7">
        <w:rPr>
          <w:rFonts w:ascii="Times New Roman" w:hAnsi="Times New Roman" w:cs="Times New Roman"/>
          <w:sz w:val="20"/>
          <w:szCs w:val="20"/>
        </w:rPr>
        <w:fldChar w:fldCharType="separate"/>
      </w:r>
      <w:r w:rsidR="00D448C4" w:rsidRPr="00D448C4">
        <w:rPr>
          <w:rFonts w:ascii="Times New Roman" w:hAnsi="Times New Roman" w:cs="Times New Roman"/>
          <w:noProof/>
          <w:sz w:val="20"/>
          <w:szCs w:val="24"/>
        </w:rPr>
        <w:t>1</w:t>
      </w:r>
      <w:r w:rsidR="009E0C0A">
        <w:rPr>
          <w:rFonts w:ascii="Times New Roman" w:hAnsi="Times New Roman" w:cs="Times New Roman"/>
          <w:noProof/>
          <w:sz w:val="20"/>
          <w:szCs w:val="24"/>
        </w:rPr>
        <w:t>.</w:t>
      </w:r>
      <w:r w:rsidR="00D448C4" w:rsidRPr="00D448C4">
        <w:rPr>
          <w:rFonts w:ascii="Times New Roman" w:hAnsi="Times New Roman" w:cs="Times New Roman"/>
          <w:noProof/>
          <w:sz w:val="20"/>
          <w:szCs w:val="24"/>
        </w:rPr>
        <w:tab/>
        <w:t xml:space="preserve">M. </w:t>
      </w:r>
      <w:r w:rsidR="006765A7">
        <w:rPr>
          <w:rFonts w:ascii="Times New Roman" w:hAnsi="Times New Roman" w:cs="Times New Roman"/>
          <w:noProof/>
          <w:sz w:val="20"/>
          <w:szCs w:val="24"/>
        </w:rPr>
        <w:t xml:space="preserve">G. </w:t>
      </w:r>
      <w:r w:rsidR="00D448C4" w:rsidRPr="00D448C4">
        <w:rPr>
          <w:rFonts w:ascii="Times New Roman" w:hAnsi="Times New Roman" w:cs="Times New Roman"/>
          <w:noProof/>
          <w:sz w:val="20"/>
          <w:szCs w:val="24"/>
        </w:rPr>
        <w:t xml:space="preserve">Santos, </w:t>
      </w:r>
      <w:r w:rsidR="006765A7">
        <w:rPr>
          <w:rFonts w:ascii="Times New Roman" w:hAnsi="Times New Roman" w:cs="Times New Roman"/>
          <w:noProof/>
          <w:sz w:val="20"/>
          <w:szCs w:val="24"/>
        </w:rPr>
        <w:t>Dissertação de Mestrado, Universidade Federal de Santa Catarina,</w:t>
      </w:r>
      <w:r w:rsidR="00D448C4" w:rsidRPr="00D448C4">
        <w:rPr>
          <w:rFonts w:ascii="Times New Roman" w:hAnsi="Times New Roman" w:cs="Times New Roman"/>
          <w:noProof/>
          <w:sz w:val="20"/>
          <w:szCs w:val="24"/>
        </w:rPr>
        <w:t xml:space="preserve"> 2005.</w:t>
      </w:r>
    </w:p>
    <w:p w14:paraId="3AAB80CC" w14:textId="77777777" w:rsidR="00D448C4" w:rsidRPr="00B2287E" w:rsidRDefault="00D448C4" w:rsidP="00D448C4">
      <w:pPr>
        <w:widowControl w:val="0"/>
        <w:autoSpaceDE w:val="0"/>
        <w:autoSpaceDN w:val="0"/>
        <w:adjustRightInd w:val="0"/>
        <w:spacing w:after="0" w:line="240" w:lineRule="auto"/>
        <w:ind w:left="640" w:hanging="640"/>
        <w:rPr>
          <w:rFonts w:ascii="Times New Roman" w:hAnsi="Times New Roman" w:cs="Times New Roman"/>
          <w:noProof/>
          <w:sz w:val="20"/>
          <w:szCs w:val="24"/>
          <w:lang w:val="en-US"/>
        </w:rPr>
      </w:pPr>
      <w:r w:rsidRPr="00B2287E">
        <w:rPr>
          <w:rFonts w:ascii="Times New Roman" w:hAnsi="Times New Roman" w:cs="Times New Roman"/>
          <w:noProof/>
          <w:sz w:val="20"/>
          <w:szCs w:val="24"/>
          <w:lang w:val="en-US"/>
        </w:rPr>
        <w:t>2</w:t>
      </w:r>
      <w:r w:rsidR="009E0C0A">
        <w:rPr>
          <w:rFonts w:ascii="Times New Roman" w:hAnsi="Times New Roman" w:cs="Times New Roman"/>
          <w:noProof/>
          <w:sz w:val="20"/>
          <w:szCs w:val="24"/>
          <w:lang w:val="en-US"/>
        </w:rPr>
        <w:t>.</w:t>
      </w:r>
      <w:r w:rsidRPr="00B2287E">
        <w:rPr>
          <w:rFonts w:ascii="Times New Roman" w:hAnsi="Times New Roman" w:cs="Times New Roman"/>
          <w:noProof/>
          <w:sz w:val="20"/>
          <w:szCs w:val="24"/>
          <w:lang w:val="en-US"/>
        </w:rPr>
        <w:tab/>
        <w:t>H. Zheng</w:t>
      </w:r>
      <w:r w:rsidR="003546CF">
        <w:rPr>
          <w:rFonts w:ascii="Times New Roman" w:hAnsi="Times New Roman" w:cs="Times New Roman"/>
          <w:noProof/>
          <w:sz w:val="20"/>
          <w:szCs w:val="24"/>
          <w:lang w:val="en-US"/>
        </w:rPr>
        <w:t xml:space="preserve"> </w:t>
      </w:r>
      <w:r w:rsidR="003546CF" w:rsidRPr="003546CF">
        <w:rPr>
          <w:rFonts w:ascii="Times New Roman" w:hAnsi="Times New Roman" w:cs="Times New Roman"/>
          <w:i/>
          <w:noProof/>
          <w:sz w:val="20"/>
          <w:szCs w:val="24"/>
          <w:lang w:val="en-US"/>
        </w:rPr>
        <w:t>et al.</w:t>
      </w:r>
      <w:r w:rsidR="0095763B" w:rsidRPr="00B2287E">
        <w:rPr>
          <w:rFonts w:ascii="Times New Roman" w:hAnsi="Times New Roman" w:cs="Times New Roman"/>
          <w:noProof/>
          <w:sz w:val="20"/>
          <w:szCs w:val="24"/>
          <w:lang w:val="en-US"/>
        </w:rPr>
        <w:t>,</w:t>
      </w:r>
      <w:r w:rsidRPr="00B2287E">
        <w:rPr>
          <w:rFonts w:ascii="Times New Roman" w:hAnsi="Times New Roman" w:cs="Times New Roman"/>
          <w:noProof/>
          <w:sz w:val="20"/>
          <w:szCs w:val="24"/>
          <w:lang w:val="en-US"/>
        </w:rPr>
        <w:t xml:space="preserve"> </w:t>
      </w:r>
      <w:r w:rsidRPr="00B2287E">
        <w:rPr>
          <w:rFonts w:ascii="Times New Roman" w:hAnsi="Times New Roman" w:cs="Times New Roman"/>
          <w:i/>
          <w:iCs/>
          <w:noProof/>
          <w:sz w:val="20"/>
          <w:szCs w:val="24"/>
          <w:lang w:val="en-US"/>
        </w:rPr>
        <w:t>J. Anal. Appl. Pyrolysis</w:t>
      </w:r>
      <w:r w:rsidRPr="00B2287E">
        <w:rPr>
          <w:rFonts w:ascii="Times New Roman" w:hAnsi="Times New Roman" w:cs="Times New Roman"/>
          <w:noProof/>
          <w:sz w:val="20"/>
          <w:szCs w:val="24"/>
          <w:lang w:val="en-US"/>
        </w:rPr>
        <w:t xml:space="preserve">, </w:t>
      </w:r>
      <w:r w:rsidR="003546CF">
        <w:rPr>
          <w:rFonts w:ascii="Times New Roman" w:hAnsi="Times New Roman" w:cs="Times New Roman"/>
          <w:noProof/>
          <w:sz w:val="20"/>
          <w:szCs w:val="24"/>
          <w:lang w:val="en-US"/>
        </w:rPr>
        <w:t xml:space="preserve"> </w:t>
      </w:r>
      <w:r w:rsidR="003546CF" w:rsidRPr="003546CF">
        <w:rPr>
          <w:rFonts w:ascii="Times New Roman" w:hAnsi="Times New Roman" w:cs="Times New Roman"/>
          <w:b/>
          <w:noProof/>
          <w:sz w:val="20"/>
          <w:szCs w:val="24"/>
          <w:lang w:val="en-US"/>
        </w:rPr>
        <w:t>2017</w:t>
      </w:r>
      <w:r w:rsidR="003546CF">
        <w:rPr>
          <w:rFonts w:ascii="Times New Roman" w:hAnsi="Times New Roman" w:cs="Times New Roman"/>
          <w:noProof/>
          <w:sz w:val="20"/>
          <w:szCs w:val="24"/>
          <w:lang w:val="en-US"/>
        </w:rPr>
        <w:t xml:space="preserve">, </w:t>
      </w:r>
      <w:r w:rsidRPr="00B2287E">
        <w:rPr>
          <w:rFonts w:ascii="Times New Roman" w:hAnsi="Times New Roman" w:cs="Times New Roman"/>
          <w:noProof/>
          <w:sz w:val="20"/>
          <w:szCs w:val="24"/>
          <w:lang w:val="en-US"/>
        </w:rPr>
        <w:t xml:space="preserve">vol. 123, </w:t>
      </w:r>
      <w:r w:rsidR="003546CF">
        <w:rPr>
          <w:rFonts w:ascii="Times New Roman" w:hAnsi="Times New Roman" w:cs="Times New Roman"/>
          <w:noProof/>
          <w:sz w:val="20"/>
          <w:szCs w:val="24"/>
          <w:lang w:val="en-US"/>
        </w:rPr>
        <w:t xml:space="preserve"> 99–106.</w:t>
      </w:r>
    </w:p>
    <w:p w14:paraId="6078D3F8" w14:textId="77777777" w:rsidR="00074215" w:rsidRPr="00B2287E" w:rsidRDefault="00D448C4" w:rsidP="00074215">
      <w:pPr>
        <w:widowControl w:val="0"/>
        <w:autoSpaceDE w:val="0"/>
        <w:autoSpaceDN w:val="0"/>
        <w:adjustRightInd w:val="0"/>
        <w:spacing w:after="0" w:line="240" w:lineRule="auto"/>
        <w:ind w:left="640" w:hanging="640"/>
        <w:rPr>
          <w:rFonts w:ascii="Times New Roman" w:hAnsi="Times New Roman" w:cs="Times New Roman"/>
          <w:noProof/>
          <w:sz w:val="20"/>
          <w:szCs w:val="24"/>
          <w:lang w:val="en-US"/>
        </w:rPr>
      </w:pPr>
      <w:r w:rsidRPr="00B2287E">
        <w:rPr>
          <w:rFonts w:ascii="Times New Roman" w:hAnsi="Times New Roman" w:cs="Times New Roman"/>
          <w:noProof/>
          <w:sz w:val="20"/>
          <w:szCs w:val="24"/>
          <w:lang w:val="en-US"/>
        </w:rPr>
        <w:t>3</w:t>
      </w:r>
      <w:r w:rsidR="009E0C0A">
        <w:rPr>
          <w:rFonts w:ascii="Times New Roman" w:hAnsi="Times New Roman" w:cs="Times New Roman"/>
          <w:noProof/>
          <w:sz w:val="20"/>
          <w:szCs w:val="24"/>
          <w:lang w:val="en-US"/>
        </w:rPr>
        <w:t>.</w:t>
      </w:r>
      <w:r w:rsidRPr="00B2287E">
        <w:rPr>
          <w:rFonts w:ascii="Times New Roman" w:hAnsi="Times New Roman" w:cs="Times New Roman"/>
          <w:noProof/>
          <w:sz w:val="20"/>
          <w:szCs w:val="24"/>
          <w:lang w:val="en-US"/>
        </w:rPr>
        <w:tab/>
        <w:t xml:space="preserve">M. B. Kolicheski, </w:t>
      </w:r>
      <w:r w:rsidR="003546CF">
        <w:rPr>
          <w:rFonts w:ascii="Times New Roman" w:hAnsi="Times New Roman" w:cs="Times New Roman"/>
          <w:noProof/>
          <w:sz w:val="20"/>
          <w:szCs w:val="24"/>
          <w:lang w:val="en-US"/>
        </w:rPr>
        <w:t>L. C. Cocco, D. A. Mitchell,</w:t>
      </w:r>
      <w:r w:rsidRPr="00B2287E">
        <w:rPr>
          <w:rFonts w:ascii="Times New Roman" w:hAnsi="Times New Roman" w:cs="Times New Roman"/>
          <w:noProof/>
          <w:sz w:val="20"/>
          <w:szCs w:val="24"/>
          <w:lang w:val="en-US"/>
        </w:rPr>
        <w:t xml:space="preserve"> M. Kaminski, </w:t>
      </w:r>
      <w:r w:rsidRPr="00B2287E">
        <w:rPr>
          <w:rFonts w:ascii="Times New Roman" w:hAnsi="Times New Roman" w:cs="Times New Roman"/>
          <w:i/>
          <w:iCs/>
          <w:noProof/>
          <w:sz w:val="20"/>
          <w:szCs w:val="24"/>
          <w:lang w:val="en-US"/>
        </w:rPr>
        <w:t>J. Anal. Appl. Pyrolysis</w:t>
      </w:r>
      <w:r w:rsidRPr="00B2287E">
        <w:rPr>
          <w:rFonts w:ascii="Times New Roman" w:hAnsi="Times New Roman" w:cs="Times New Roman"/>
          <w:noProof/>
          <w:sz w:val="20"/>
          <w:szCs w:val="24"/>
          <w:lang w:val="en-US"/>
        </w:rPr>
        <w:t xml:space="preserve">, </w:t>
      </w:r>
      <w:r w:rsidR="003546CF" w:rsidRPr="003546CF">
        <w:rPr>
          <w:rFonts w:ascii="Times New Roman" w:hAnsi="Times New Roman" w:cs="Times New Roman"/>
          <w:b/>
          <w:noProof/>
          <w:sz w:val="20"/>
          <w:szCs w:val="24"/>
          <w:lang w:val="en-US"/>
        </w:rPr>
        <w:t>2007</w:t>
      </w:r>
      <w:r w:rsidR="003546CF">
        <w:rPr>
          <w:rFonts w:ascii="Times New Roman" w:hAnsi="Times New Roman" w:cs="Times New Roman"/>
          <w:noProof/>
          <w:sz w:val="20"/>
          <w:szCs w:val="24"/>
          <w:lang w:val="en-US"/>
        </w:rPr>
        <w:t xml:space="preserve">, </w:t>
      </w:r>
      <w:r w:rsidRPr="00B2287E">
        <w:rPr>
          <w:rFonts w:ascii="Times New Roman" w:hAnsi="Times New Roman" w:cs="Times New Roman"/>
          <w:noProof/>
          <w:sz w:val="20"/>
          <w:szCs w:val="24"/>
          <w:lang w:val="en-US"/>
        </w:rPr>
        <w:t>80,</w:t>
      </w:r>
      <w:r w:rsidR="003546CF">
        <w:rPr>
          <w:rFonts w:ascii="Times New Roman" w:hAnsi="Times New Roman" w:cs="Times New Roman"/>
          <w:noProof/>
          <w:sz w:val="20"/>
          <w:szCs w:val="24"/>
          <w:lang w:val="en-US"/>
        </w:rPr>
        <w:t xml:space="preserve"> 92–100</w:t>
      </w:r>
      <w:r w:rsidRPr="00B2287E">
        <w:rPr>
          <w:rFonts w:ascii="Times New Roman" w:hAnsi="Times New Roman" w:cs="Times New Roman"/>
          <w:noProof/>
          <w:sz w:val="20"/>
          <w:szCs w:val="24"/>
          <w:lang w:val="en-US"/>
        </w:rPr>
        <w:t>.</w:t>
      </w:r>
    </w:p>
    <w:p w14:paraId="1668C456" w14:textId="77777777" w:rsidR="00D448C4" w:rsidRDefault="00D448C4" w:rsidP="00D448C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B2287E">
        <w:rPr>
          <w:rFonts w:ascii="Times New Roman" w:hAnsi="Times New Roman" w:cs="Times New Roman"/>
          <w:noProof/>
          <w:sz w:val="20"/>
          <w:szCs w:val="24"/>
          <w:lang w:val="en-US"/>
        </w:rPr>
        <w:t>4</w:t>
      </w:r>
      <w:r w:rsidR="009E0C0A">
        <w:rPr>
          <w:rFonts w:ascii="Times New Roman" w:hAnsi="Times New Roman" w:cs="Times New Roman"/>
          <w:noProof/>
          <w:sz w:val="20"/>
          <w:szCs w:val="24"/>
          <w:lang w:val="en-US"/>
        </w:rPr>
        <w:t>.</w:t>
      </w:r>
      <w:r w:rsidR="003546CF">
        <w:rPr>
          <w:rFonts w:ascii="Times New Roman" w:hAnsi="Times New Roman" w:cs="Times New Roman"/>
          <w:noProof/>
          <w:sz w:val="20"/>
          <w:szCs w:val="24"/>
          <w:lang w:val="en-US"/>
        </w:rPr>
        <w:tab/>
        <w:t>K. A. D. Swift,</w:t>
      </w:r>
      <w:r w:rsidRPr="00B2287E">
        <w:rPr>
          <w:rFonts w:ascii="Times New Roman" w:hAnsi="Times New Roman" w:cs="Times New Roman"/>
          <w:noProof/>
          <w:sz w:val="20"/>
          <w:szCs w:val="24"/>
          <w:lang w:val="en-US"/>
        </w:rPr>
        <w:t xml:space="preserve"> </w:t>
      </w:r>
      <w:r w:rsidRPr="00B2287E">
        <w:rPr>
          <w:rFonts w:ascii="Times New Roman" w:hAnsi="Times New Roman" w:cs="Times New Roman"/>
          <w:i/>
          <w:iCs/>
          <w:noProof/>
          <w:sz w:val="20"/>
          <w:szCs w:val="24"/>
          <w:lang w:val="en-US"/>
        </w:rPr>
        <w:t xml:space="preserve">Top. </w:t>
      </w:r>
      <w:r w:rsidRPr="00D448C4">
        <w:rPr>
          <w:rFonts w:ascii="Times New Roman" w:hAnsi="Times New Roman" w:cs="Times New Roman"/>
          <w:i/>
          <w:iCs/>
          <w:noProof/>
          <w:sz w:val="20"/>
          <w:szCs w:val="24"/>
        </w:rPr>
        <w:t>Catal.</w:t>
      </w:r>
      <w:r w:rsidRPr="00D448C4">
        <w:rPr>
          <w:rFonts w:ascii="Times New Roman" w:hAnsi="Times New Roman" w:cs="Times New Roman"/>
          <w:noProof/>
          <w:sz w:val="20"/>
          <w:szCs w:val="24"/>
        </w:rPr>
        <w:t xml:space="preserve">, </w:t>
      </w:r>
      <w:r w:rsidR="003546CF" w:rsidRPr="003546CF">
        <w:rPr>
          <w:rFonts w:ascii="Times New Roman" w:hAnsi="Times New Roman" w:cs="Times New Roman"/>
          <w:b/>
          <w:noProof/>
          <w:sz w:val="20"/>
          <w:szCs w:val="24"/>
        </w:rPr>
        <w:t>2004</w:t>
      </w:r>
      <w:r w:rsidR="003546CF">
        <w:rPr>
          <w:rFonts w:ascii="Times New Roman" w:hAnsi="Times New Roman" w:cs="Times New Roman"/>
          <w:noProof/>
          <w:sz w:val="20"/>
          <w:szCs w:val="24"/>
        </w:rPr>
        <w:t xml:space="preserve">, </w:t>
      </w:r>
      <w:r w:rsidRPr="00D448C4">
        <w:rPr>
          <w:rFonts w:ascii="Times New Roman" w:hAnsi="Times New Roman" w:cs="Times New Roman"/>
          <w:noProof/>
          <w:sz w:val="20"/>
          <w:szCs w:val="24"/>
        </w:rPr>
        <w:t>27, 143–155</w:t>
      </w:r>
      <w:r w:rsidR="003546CF">
        <w:rPr>
          <w:rFonts w:ascii="Times New Roman" w:hAnsi="Times New Roman" w:cs="Times New Roman"/>
          <w:noProof/>
          <w:sz w:val="20"/>
          <w:szCs w:val="24"/>
        </w:rPr>
        <w:t>.</w:t>
      </w:r>
    </w:p>
    <w:p w14:paraId="4C40D8A7" w14:textId="77777777" w:rsidR="00AF07ED" w:rsidRDefault="00AF07ED" w:rsidP="00D448C4">
      <w:pPr>
        <w:widowControl w:val="0"/>
        <w:autoSpaceDE w:val="0"/>
        <w:autoSpaceDN w:val="0"/>
        <w:adjustRightInd w:val="0"/>
        <w:spacing w:after="0" w:line="240" w:lineRule="auto"/>
        <w:ind w:left="640" w:hanging="640"/>
        <w:rPr>
          <w:rFonts w:ascii="Times New Roman" w:hAnsi="Times New Roman" w:cs="Times New Roman"/>
          <w:noProof/>
          <w:sz w:val="20"/>
          <w:szCs w:val="24"/>
        </w:rPr>
      </w:pPr>
      <w:r>
        <w:rPr>
          <w:rFonts w:ascii="Times New Roman" w:hAnsi="Times New Roman" w:cs="Times New Roman"/>
          <w:noProof/>
          <w:sz w:val="20"/>
          <w:szCs w:val="24"/>
        </w:rPr>
        <w:t>5</w:t>
      </w:r>
      <w:r w:rsidR="009E0C0A">
        <w:rPr>
          <w:rFonts w:ascii="Times New Roman" w:hAnsi="Times New Roman" w:cs="Times New Roman"/>
          <w:noProof/>
          <w:sz w:val="20"/>
          <w:szCs w:val="24"/>
        </w:rPr>
        <w:t>.</w:t>
      </w:r>
      <w:r>
        <w:rPr>
          <w:rFonts w:ascii="Times New Roman" w:hAnsi="Times New Roman" w:cs="Times New Roman"/>
          <w:noProof/>
          <w:sz w:val="20"/>
          <w:szCs w:val="24"/>
        </w:rPr>
        <w:tab/>
      </w:r>
      <w:r w:rsidRPr="00D448C4">
        <w:rPr>
          <w:rFonts w:ascii="Times New Roman" w:hAnsi="Times New Roman" w:cs="Times New Roman"/>
          <w:noProof/>
          <w:sz w:val="20"/>
          <w:szCs w:val="24"/>
        </w:rPr>
        <w:t>M. B. Kolicheski</w:t>
      </w:r>
      <w:r>
        <w:rPr>
          <w:rFonts w:ascii="Times New Roman" w:hAnsi="Times New Roman" w:cs="Times New Roman"/>
          <w:noProof/>
          <w:sz w:val="20"/>
          <w:szCs w:val="24"/>
        </w:rPr>
        <w:t xml:space="preserve">. </w:t>
      </w:r>
      <w:r w:rsidR="003546CF">
        <w:rPr>
          <w:rFonts w:ascii="Times New Roman" w:hAnsi="Times New Roman" w:cs="Times New Roman"/>
          <w:noProof/>
          <w:sz w:val="20"/>
          <w:szCs w:val="24"/>
        </w:rPr>
        <w:t>Tese de Doutorado</w:t>
      </w:r>
      <w:r>
        <w:rPr>
          <w:rFonts w:ascii="Times New Roman" w:hAnsi="Times New Roman" w:cs="Times New Roman"/>
          <w:noProof/>
          <w:sz w:val="20"/>
          <w:szCs w:val="24"/>
        </w:rPr>
        <w:t>,</w:t>
      </w:r>
      <w:r w:rsidR="003546CF">
        <w:rPr>
          <w:rFonts w:ascii="Times New Roman" w:hAnsi="Times New Roman" w:cs="Times New Roman"/>
          <w:noProof/>
          <w:sz w:val="20"/>
          <w:szCs w:val="24"/>
        </w:rPr>
        <w:t xml:space="preserve"> Universidade Federal do Paraná</w:t>
      </w:r>
      <w:r w:rsidR="00330605">
        <w:rPr>
          <w:rFonts w:ascii="Times New Roman" w:hAnsi="Times New Roman" w:cs="Times New Roman"/>
          <w:noProof/>
          <w:sz w:val="20"/>
          <w:szCs w:val="24"/>
        </w:rPr>
        <w:t>,</w:t>
      </w:r>
      <w:r>
        <w:rPr>
          <w:rFonts w:ascii="Times New Roman" w:hAnsi="Times New Roman" w:cs="Times New Roman"/>
          <w:noProof/>
          <w:sz w:val="20"/>
          <w:szCs w:val="24"/>
        </w:rPr>
        <w:t xml:space="preserve"> 2006.</w:t>
      </w:r>
    </w:p>
    <w:p w14:paraId="6EC46E75" w14:textId="77777777" w:rsidR="00AF07ED" w:rsidRPr="00B2287E" w:rsidRDefault="00AF07ED" w:rsidP="00AF07ED">
      <w:pPr>
        <w:widowControl w:val="0"/>
        <w:autoSpaceDE w:val="0"/>
        <w:autoSpaceDN w:val="0"/>
        <w:adjustRightInd w:val="0"/>
        <w:spacing w:after="0" w:line="240" w:lineRule="auto"/>
        <w:ind w:left="640" w:hanging="640"/>
        <w:rPr>
          <w:rFonts w:ascii="Times New Roman" w:hAnsi="Times New Roman" w:cs="Times New Roman"/>
          <w:noProof/>
          <w:sz w:val="20"/>
          <w:szCs w:val="24"/>
          <w:lang w:val="en-US"/>
        </w:rPr>
      </w:pPr>
      <w:r w:rsidRPr="00B2287E">
        <w:rPr>
          <w:rFonts w:ascii="Times New Roman" w:hAnsi="Times New Roman" w:cs="Times New Roman"/>
          <w:noProof/>
          <w:sz w:val="20"/>
          <w:szCs w:val="24"/>
          <w:lang w:val="en-US"/>
        </w:rPr>
        <w:t>6</w:t>
      </w:r>
      <w:r w:rsidR="009E0C0A">
        <w:rPr>
          <w:rFonts w:ascii="Times New Roman" w:hAnsi="Times New Roman" w:cs="Times New Roman"/>
          <w:noProof/>
          <w:sz w:val="20"/>
          <w:szCs w:val="24"/>
          <w:lang w:val="en-US"/>
        </w:rPr>
        <w:t>.</w:t>
      </w:r>
      <w:r w:rsidRPr="00B2287E">
        <w:rPr>
          <w:rFonts w:ascii="Times New Roman" w:hAnsi="Times New Roman" w:cs="Times New Roman"/>
          <w:noProof/>
          <w:sz w:val="20"/>
          <w:szCs w:val="24"/>
          <w:lang w:val="en-US"/>
        </w:rPr>
        <w:t xml:space="preserve"> </w:t>
      </w:r>
      <w:r w:rsidRPr="00B2287E">
        <w:rPr>
          <w:rFonts w:ascii="Times New Roman" w:hAnsi="Times New Roman" w:cs="Times New Roman"/>
          <w:noProof/>
          <w:sz w:val="20"/>
          <w:szCs w:val="24"/>
          <w:lang w:val="en-US"/>
        </w:rPr>
        <w:tab/>
      </w:r>
      <w:r w:rsidRPr="006765A7">
        <w:rPr>
          <w:rFonts w:ascii="Times New Roman" w:hAnsi="Times New Roman" w:cs="Times New Roman"/>
          <w:noProof/>
          <w:sz w:val="20"/>
          <w:szCs w:val="24"/>
          <w:lang w:val="en-US"/>
        </w:rPr>
        <w:t>S. R. Buddoo</w:t>
      </w:r>
      <w:r w:rsidR="003546CF" w:rsidRPr="006765A7">
        <w:rPr>
          <w:rFonts w:ascii="Times New Roman" w:hAnsi="Times New Roman" w:cs="Times New Roman"/>
          <w:noProof/>
          <w:sz w:val="20"/>
          <w:szCs w:val="24"/>
          <w:lang w:val="en-US"/>
        </w:rPr>
        <w:t xml:space="preserve">, N. Siyakatshana, B. Zeelie, J. Dudas, </w:t>
      </w:r>
      <w:r w:rsidR="006765A7" w:rsidRPr="006765A7">
        <w:rPr>
          <w:rFonts w:ascii="Times New Roman" w:hAnsi="Times New Roman" w:cs="Times New Roman"/>
          <w:i/>
          <w:noProof/>
          <w:sz w:val="20"/>
          <w:szCs w:val="24"/>
          <w:lang w:val="en-US"/>
        </w:rPr>
        <w:t>J. Eng. and Proc.</w:t>
      </w:r>
      <w:r w:rsidR="006765A7" w:rsidRPr="006765A7">
        <w:rPr>
          <w:rFonts w:ascii="Times New Roman" w:hAnsi="Times New Roman" w:cs="Times New Roman"/>
          <w:noProof/>
          <w:sz w:val="20"/>
          <w:szCs w:val="24"/>
          <w:lang w:val="en-US"/>
        </w:rPr>
        <w:t xml:space="preserve">, </w:t>
      </w:r>
      <w:r w:rsidR="006765A7" w:rsidRPr="006765A7">
        <w:rPr>
          <w:rFonts w:ascii="Times New Roman" w:hAnsi="Times New Roman" w:cs="Times New Roman"/>
          <w:b/>
          <w:noProof/>
          <w:sz w:val="20"/>
          <w:szCs w:val="24"/>
          <w:lang w:val="en-US"/>
        </w:rPr>
        <w:t>2008</w:t>
      </w:r>
      <w:r w:rsidR="006765A7" w:rsidRPr="006765A7">
        <w:rPr>
          <w:rFonts w:ascii="Times New Roman" w:hAnsi="Times New Roman" w:cs="Times New Roman"/>
          <w:noProof/>
          <w:sz w:val="20"/>
          <w:szCs w:val="24"/>
          <w:lang w:val="en-US"/>
        </w:rPr>
        <w:t>, 1419-1426</w:t>
      </w:r>
      <w:r w:rsidR="00330605" w:rsidRPr="006765A7">
        <w:rPr>
          <w:rFonts w:ascii="Times New Roman" w:hAnsi="Times New Roman" w:cs="Times New Roman"/>
          <w:noProof/>
          <w:sz w:val="20"/>
          <w:szCs w:val="24"/>
          <w:lang w:val="en-US"/>
        </w:rPr>
        <w:t>.</w:t>
      </w:r>
      <w:r w:rsidRPr="00B2287E">
        <w:rPr>
          <w:rFonts w:ascii="Times New Roman" w:hAnsi="Times New Roman" w:cs="Times New Roman"/>
          <w:noProof/>
          <w:sz w:val="20"/>
          <w:szCs w:val="24"/>
          <w:lang w:val="en-US"/>
        </w:rPr>
        <w:t xml:space="preserve"> </w:t>
      </w:r>
    </w:p>
    <w:p w14:paraId="00CE7F03" w14:textId="77777777" w:rsidR="00D448C4" w:rsidRPr="00B2287E" w:rsidRDefault="00AF07ED" w:rsidP="00D448C4">
      <w:pPr>
        <w:widowControl w:val="0"/>
        <w:autoSpaceDE w:val="0"/>
        <w:autoSpaceDN w:val="0"/>
        <w:adjustRightInd w:val="0"/>
        <w:spacing w:after="0" w:line="240" w:lineRule="auto"/>
        <w:ind w:left="640" w:hanging="640"/>
        <w:rPr>
          <w:rFonts w:ascii="Times New Roman" w:hAnsi="Times New Roman" w:cs="Times New Roman"/>
          <w:noProof/>
          <w:sz w:val="20"/>
          <w:szCs w:val="24"/>
          <w:lang w:val="en-US"/>
        </w:rPr>
      </w:pPr>
      <w:r w:rsidRPr="00B2287E">
        <w:rPr>
          <w:rFonts w:ascii="Times New Roman" w:hAnsi="Times New Roman" w:cs="Times New Roman"/>
          <w:noProof/>
          <w:sz w:val="20"/>
          <w:szCs w:val="24"/>
          <w:lang w:val="en-US"/>
        </w:rPr>
        <w:t>7</w:t>
      </w:r>
      <w:r w:rsidR="009E0C0A">
        <w:rPr>
          <w:rFonts w:ascii="Times New Roman" w:hAnsi="Times New Roman" w:cs="Times New Roman"/>
          <w:noProof/>
          <w:sz w:val="20"/>
          <w:szCs w:val="24"/>
          <w:lang w:val="en-US"/>
        </w:rPr>
        <w:t>.</w:t>
      </w:r>
      <w:r w:rsidR="00D448C4" w:rsidRPr="00B2287E">
        <w:rPr>
          <w:rFonts w:ascii="Times New Roman" w:hAnsi="Times New Roman" w:cs="Times New Roman"/>
          <w:noProof/>
          <w:sz w:val="20"/>
          <w:szCs w:val="24"/>
          <w:lang w:val="en-US"/>
        </w:rPr>
        <w:tab/>
        <w:t xml:space="preserve">A. Stolle, W. Bonrath, and B. Ondruschka, </w:t>
      </w:r>
      <w:r w:rsidR="00D448C4" w:rsidRPr="00B2287E">
        <w:rPr>
          <w:rFonts w:ascii="Times New Roman" w:hAnsi="Times New Roman" w:cs="Times New Roman"/>
          <w:i/>
          <w:iCs/>
          <w:noProof/>
          <w:sz w:val="20"/>
          <w:szCs w:val="24"/>
          <w:lang w:val="en-US"/>
        </w:rPr>
        <w:t>J. Anal. Appl. Pyrolysis</w:t>
      </w:r>
      <w:r w:rsidR="00D448C4" w:rsidRPr="00B2287E">
        <w:rPr>
          <w:rFonts w:ascii="Times New Roman" w:hAnsi="Times New Roman" w:cs="Times New Roman"/>
          <w:noProof/>
          <w:sz w:val="20"/>
          <w:szCs w:val="24"/>
          <w:lang w:val="en-US"/>
        </w:rPr>
        <w:t xml:space="preserve">, </w:t>
      </w:r>
      <w:r w:rsidR="003546CF" w:rsidRPr="003546CF">
        <w:rPr>
          <w:rFonts w:ascii="Times New Roman" w:hAnsi="Times New Roman" w:cs="Times New Roman"/>
          <w:b/>
          <w:noProof/>
          <w:sz w:val="20"/>
          <w:szCs w:val="24"/>
          <w:lang w:val="en-US"/>
        </w:rPr>
        <w:t>2008</w:t>
      </w:r>
      <w:r w:rsidR="003546CF">
        <w:rPr>
          <w:rFonts w:ascii="Times New Roman" w:hAnsi="Times New Roman" w:cs="Times New Roman"/>
          <w:noProof/>
          <w:sz w:val="20"/>
          <w:szCs w:val="24"/>
          <w:lang w:val="en-US"/>
        </w:rPr>
        <w:t xml:space="preserve">, </w:t>
      </w:r>
      <w:r w:rsidR="00D448C4" w:rsidRPr="00B2287E">
        <w:rPr>
          <w:rFonts w:ascii="Times New Roman" w:hAnsi="Times New Roman" w:cs="Times New Roman"/>
          <w:noProof/>
          <w:sz w:val="20"/>
          <w:szCs w:val="24"/>
          <w:lang w:val="en-US"/>
        </w:rPr>
        <w:t>83,26–36.</w:t>
      </w:r>
    </w:p>
    <w:p w14:paraId="0CEB36FD" w14:textId="77777777" w:rsidR="00F51448" w:rsidRPr="00B2287E" w:rsidRDefault="00F51448" w:rsidP="00F51448">
      <w:pPr>
        <w:widowControl w:val="0"/>
        <w:autoSpaceDE w:val="0"/>
        <w:autoSpaceDN w:val="0"/>
        <w:adjustRightInd w:val="0"/>
        <w:spacing w:after="0" w:line="240" w:lineRule="auto"/>
        <w:ind w:left="640" w:hanging="640"/>
        <w:rPr>
          <w:rFonts w:ascii="Times New Roman" w:hAnsi="Times New Roman" w:cs="Times New Roman"/>
          <w:noProof/>
          <w:sz w:val="20"/>
          <w:szCs w:val="24"/>
          <w:lang w:val="en-US"/>
        </w:rPr>
      </w:pPr>
      <w:r w:rsidRPr="00B2287E">
        <w:rPr>
          <w:rFonts w:ascii="Times New Roman" w:hAnsi="Times New Roman" w:cs="Times New Roman"/>
          <w:noProof/>
          <w:sz w:val="20"/>
          <w:szCs w:val="24"/>
          <w:lang w:val="en-US"/>
        </w:rPr>
        <w:t>8</w:t>
      </w:r>
      <w:r w:rsidR="009E0C0A">
        <w:rPr>
          <w:rFonts w:ascii="Times New Roman" w:hAnsi="Times New Roman" w:cs="Times New Roman"/>
          <w:noProof/>
          <w:sz w:val="20"/>
          <w:szCs w:val="24"/>
          <w:lang w:val="en-US"/>
        </w:rPr>
        <w:t>.</w:t>
      </w:r>
      <w:r w:rsidRPr="00B2287E">
        <w:rPr>
          <w:rFonts w:ascii="Times New Roman" w:hAnsi="Times New Roman" w:cs="Times New Roman"/>
          <w:noProof/>
          <w:sz w:val="20"/>
          <w:szCs w:val="24"/>
          <w:lang w:val="en-US"/>
        </w:rPr>
        <w:tab/>
        <w:t>A. Stolle, B. Ondruschka, and H. H</w:t>
      </w:r>
      <w:r w:rsidR="0095763B" w:rsidRPr="00B2287E">
        <w:rPr>
          <w:rFonts w:ascii="Times New Roman" w:hAnsi="Times New Roman" w:cs="Times New Roman"/>
          <w:noProof/>
          <w:sz w:val="20"/>
          <w:szCs w:val="24"/>
          <w:lang w:val="en-US"/>
        </w:rPr>
        <w:t>opf</w:t>
      </w:r>
      <w:r w:rsidRPr="00B2287E">
        <w:rPr>
          <w:rFonts w:ascii="Times New Roman" w:hAnsi="Times New Roman" w:cs="Times New Roman"/>
          <w:noProof/>
          <w:sz w:val="20"/>
          <w:szCs w:val="24"/>
          <w:lang w:val="en-US"/>
        </w:rPr>
        <w:t xml:space="preserve">, </w:t>
      </w:r>
      <w:r w:rsidRPr="00B2287E">
        <w:rPr>
          <w:rFonts w:ascii="Times New Roman" w:hAnsi="Times New Roman" w:cs="Times New Roman"/>
          <w:i/>
          <w:iCs/>
          <w:noProof/>
          <w:sz w:val="20"/>
          <w:szCs w:val="24"/>
          <w:lang w:val="en-US"/>
        </w:rPr>
        <w:t>Helvetica Chimica Acta</w:t>
      </w:r>
      <w:r w:rsidRPr="00B2287E">
        <w:rPr>
          <w:rFonts w:ascii="Times New Roman" w:hAnsi="Times New Roman" w:cs="Times New Roman"/>
          <w:noProof/>
          <w:sz w:val="20"/>
          <w:szCs w:val="24"/>
          <w:lang w:val="en-US"/>
        </w:rPr>
        <w:t xml:space="preserve">, </w:t>
      </w:r>
      <w:r w:rsidR="003546CF" w:rsidRPr="003546CF">
        <w:rPr>
          <w:rFonts w:ascii="Times New Roman" w:hAnsi="Times New Roman" w:cs="Times New Roman"/>
          <w:b/>
          <w:noProof/>
          <w:sz w:val="20"/>
          <w:szCs w:val="24"/>
          <w:lang w:val="en-US"/>
        </w:rPr>
        <w:t>2009</w:t>
      </w:r>
      <w:r w:rsidR="003546CF">
        <w:rPr>
          <w:rFonts w:ascii="Times New Roman" w:hAnsi="Times New Roman" w:cs="Times New Roman"/>
          <w:noProof/>
          <w:sz w:val="20"/>
          <w:szCs w:val="24"/>
          <w:lang w:val="en-US"/>
        </w:rPr>
        <w:t xml:space="preserve">, </w:t>
      </w:r>
      <w:r w:rsidRPr="00B2287E">
        <w:rPr>
          <w:rFonts w:ascii="Times New Roman" w:hAnsi="Times New Roman" w:cs="Times New Roman"/>
          <w:noProof/>
          <w:sz w:val="20"/>
          <w:szCs w:val="24"/>
          <w:lang w:val="en-US"/>
        </w:rPr>
        <w:t>92, 1673-1719</w:t>
      </w:r>
      <w:r w:rsidR="003546CF">
        <w:rPr>
          <w:rFonts w:ascii="Times New Roman" w:hAnsi="Times New Roman" w:cs="Times New Roman"/>
          <w:noProof/>
          <w:sz w:val="20"/>
          <w:szCs w:val="24"/>
          <w:lang w:val="en-US"/>
        </w:rPr>
        <w:t>.</w:t>
      </w:r>
    </w:p>
    <w:p w14:paraId="36A9316C" w14:textId="77777777" w:rsidR="00D448C4" w:rsidRDefault="0095763B" w:rsidP="00D448C4">
      <w:pPr>
        <w:widowControl w:val="0"/>
        <w:autoSpaceDE w:val="0"/>
        <w:autoSpaceDN w:val="0"/>
        <w:adjustRightInd w:val="0"/>
        <w:spacing w:after="0" w:line="240" w:lineRule="auto"/>
        <w:ind w:left="640" w:hanging="640"/>
        <w:rPr>
          <w:rFonts w:ascii="Times New Roman" w:hAnsi="Times New Roman" w:cs="Times New Roman"/>
          <w:noProof/>
          <w:sz w:val="20"/>
          <w:szCs w:val="24"/>
        </w:rPr>
      </w:pPr>
      <w:r>
        <w:rPr>
          <w:rFonts w:ascii="Times New Roman" w:hAnsi="Times New Roman" w:cs="Times New Roman"/>
          <w:noProof/>
          <w:sz w:val="20"/>
          <w:szCs w:val="24"/>
        </w:rPr>
        <w:t>9</w:t>
      </w:r>
      <w:r w:rsidR="009E0C0A">
        <w:rPr>
          <w:rFonts w:ascii="Times New Roman" w:hAnsi="Times New Roman" w:cs="Times New Roman"/>
          <w:noProof/>
          <w:sz w:val="20"/>
          <w:szCs w:val="24"/>
        </w:rPr>
        <w:t>.</w:t>
      </w:r>
      <w:r w:rsidR="00D448C4" w:rsidRPr="00D448C4">
        <w:rPr>
          <w:rFonts w:ascii="Times New Roman" w:hAnsi="Times New Roman" w:cs="Times New Roman"/>
          <w:noProof/>
          <w:sz w:val="20"/>
          <w:szCs w:val="24"/>
        </w:rPr>
        <w:tab/>
        <w:t>M. C. A. S</w:t>
      </w:r>
      <w:r w:rsidR="00AF07ED" w:rsidRPr="00D448C4">
        <w:rPr>
          <w:rFonts w:ascii="Times New Roman" w:hAnsi="Times New Roman" w:cs="Times New Roman"/>
          <w:noProof/>
          <w:sz w:val="20"/>
          <w:szCs w:val="24"/>
        </w:rPr>
        <w:t>trug</w:t>
      </w:r>
      <w:r w:rsidR="00AF07ED">
        <w:rPr>
          <w:rFonts w:ascii="Times New Roman" w:hAnsi="Times New Roman" w:cs="Times New Roman"/>
          <w:noProof/>
          <w:sz w:val="20"/>
          <w:szCs w:val="24"/>
        </w:rPr>
        <w:t>o</w:t>
      </w:r>
      <w:r w:rsidR="00D448C4" w:rsidRPr="00D448C4">
        <w:rPr>
          <w:rFonts w:ascii="Times New Roman" w:hAnsi="Times New Roman" w:cs="Times New Roman"/>
          <w:noProof/>
          <w:sz w:val="20"/>
          <w:szCs w:val="24"/>
        </w:rPr>
        <w:t>,</w:t>
      </w:r>
      <w:r w:rsidR="003546CF">
        <w:rPr>
          <w:rFonts w:ascii="Times New Roman" w:hAnsi="Times New Roman" w:cs="Times New Roman"/>
          <w:noProof/>
          <w:sz w:val="20"/>
          <w:szCs w:val="24"/>
        </w:rPr>
        <w:t xml:space="preserve"> Dissertação de Mestrado, Universidade Federal do Paraná,</w:t>
      </w:r>
      <w:r w:rsidR="00330605">
        <w:rPr>
          <w:rFonts w:ascii="Times New Roman" w:hAnsi="Times New Roman" w:cs="Times New Roman"/>
          <w:noProof/>
          <w:sz w:val="20"/>
          <w:szCs w:val="24"/>
        </w:rPr>
        <w:t xml:space="preserve"> 2003</w:t>
      </w:r>
      <w:r w:rsidR="00D448C4" w:rsidRPr="00D448C4">
        <w:rPr>
          <w:rFonts w:ascii="Times New Roman" w:hAnsi="Times New Roman" w:cs="Times New Roman"/>
          <w:noProof/>
          <w:sz w:val="20"/>
          <w:szCs w:val="24"/>
        </w:rPr>
        <w:t>.</w:t>
      </w:r>
    </w:p>
    <w:p w14:paraId="13D9D357" w14:textId="77777777" w:rsidR="002E40D4" w:rsidRPr="002E40D4" w:rsidRDefault="002E40D4" w:rsidP="002E40D4">
      <w:pPr>
        <w:widowControl w:val="0"/>
        <w:autoSpaceDE w:val="0"/>
        <w:autoSpaceDN w:val="0"/>
        <w:adjustRightInd w:val="0"/>
        <w:spacing w:after="0" w:line="240" w:lineRule="auto"/>
        <w:ind w:left="640" w:hanging="640"/>
        <w:rPr>
          <w:rFonts w:ascii="Times New Roman" w:hAnsi="Times New Roman" w:cs="Times New Roman"/>
          <w:noProof/>
          <w:sz w:val="20"/>
          <w:szCs w:val="24"/>
        </w:rPr>
      </w:pPr>
      <w:r>
        <w:rPr>
          <w:rFonts w:ascii="Times New Roman" w:hAnsi="Times New Roman" w:cs="Times New Roman"/>
          <w:noProof/>
          <w:sz w:val="20"/>
          <w:szCs w:val="24"/>
        </w:rPr>
        <w:t>10</w:t>
      </w:r>
      <w:r w:rsidR="009E0C0A">
        <w:rPr>
          <w:rFonts w:ascii="Times New Roman" w:hAnsi="Times New Roman" w:cs="Times New Roman"/>
          <w:noProof/>
          <w:sz w:val="20"/>
          <w:szCs w:val="24"/>
        </w:rPr>
        <w:t>.</w:t>
      </w:r>
      <w:r>
        <w:rPr>
          <w:rFonts w:ascii="Times New Roman" w:hAnsi="Times New Roman" w:cs="Times New Roman"/>
          <w:noProof/>
          <w:sz w:val="20"/>
          <w:szCs w:val="24"/>
        </w:rPr>
        <w:tab/>
      </w:r>
      <w:r w:rsidR="00721604">
        <w:rPr>
          <w:rFonts w:ascii="Times New Roman" w:hAnsi="Times New Roman" w:cs="Times New Roman"/>
          <w:noProof/>
          <w:sz w:val="20"/>
          <w:szCs w:val="24"/>
        </w:rPr>
        <w:t xml:space="preserve">H. S. </w:t>
      </w:r>
      <w:r w:rsidRPr="002E40D4">
        <w:rPr>
          <w:rFonts w:ascii="Times New Roman" w:hAnsi="Times New Roman" w:cs="Times New Roman"/>
          <w:noProof/>
          <w:sz w:val="20"/>
          <w:szCs w:val="24"/>
        </w:rPr>
        <w:t>F</w:t>
      </w:r>
      <w:r w:rsidR="00721604" w:rsidRPr="002E40D4">
        <w:rPr>
          <w:rFonts w:ascii="Times New Roman" w:hAnsi="Times New Roman" w:cs="Times New Roman"/>
          <w:noProof/>
          <w:sz w:val="20"/>
          <w:szCs w:val="24"/>
        </w:rPr>
        <w:t>ogler</w:t>
      </w:r>
      <w:r w:rsidR="003546CF">
        <w:rPr>
          <w:rFonts w:ascii="Times New Roman" w:hAnsi="Times New Roman" w:cs="Times New Roman"/>
          <w:noProof/>
          <w:sz w:val="20"/>
          <w:szCs w:val="24"/>
        </w:rPr>
        <w:t xml:space="preserve"> in</w:t>
      </w:r>
      <w:r w:rsidRPr="002E40D4">
        <w:rPr>
          <w:rFonts w:ascii="Times New Roman" w:hAnsi="Times New Roman" w:cs="Times New Roman"/>
          <w:noProof/>
          <w:sz w:val="20"/>
          <w:szCs w:val="24"/>
        </w:rPr>
        <w:t xml:space="preserve"> </w:t>
      </w:r>
      <w:r w:rsidRPr="003546CF">
        <w:rPr>
          <w:rFonts w:ascii="Times New Roman" w:hAnsi="Times New Roman" w:cs="Times New Roman"/>
          <w:i/>
          <w:noProof/>
          <w:sz w:val="20"/>
          <w:szCs w:val="24"/>
        </w:rPr>
        <w:t>Elementos de</w:t>
      </w:r>
      <w:r w:rsidR="003546CF">
        <w:rPr>
          <w:rFonts w:ascii="Times New Roman" w:hAnsi="Times New Roman" w:cs="Times New Roman"/>
          <w:i/>
          <w:noProof/>
          <w:sz w:val="20"/>
          <w:szCs w:val="24"/>
        </w:rPr>
        <w:t xml:space="preserve"> Engenharia das Reações Químicas, </w:t>
      </w:r>
      <w:r w:rsidRPr="002E40D4">
        <w:rPr>
          <w:rFonts w:ascii="Times New Roman" w:hAnsi="Times New Roman" w:cs="Times New Roman"/>
          <w:noProof/>
          <w:sz w:val="20"/>
          <w:szCs w:val="24"/>
        </w:rPr>
        <w:t xml:space="preserve"> </w:t>
      </w:r>
      <w:r w:rsidR="003546CF">
        <w:rPr>
          <w:rFonts w:ascii="Times New Roman" w:hAnsi="Times New Roman" w:cs="Times New Roman"/>
          <w:noProof/>
          <w:sz w:val="20"/>
          <w:szCs w:val="24"/>
        </w:rPr>
        <w:t>LTC,</w:t>
      </w:r>
      <w:r w:rsidR="000D060E">
        <w:rPr>
          <w:rFonts w:ascii="Times New Roman" w:hAnsi="Times New Roman" w:cs="Times New Roman"/>
          <w:noProof/>
          <w:sz w:val="20"/>
          <w:szCs w:val="24"/>
        </w:rPr>
        <w:t xml:space="preserve"> </w:t>
      </w:r>
      <w:r w:rsidR="003546CF">
        <w:rPr>
          <w:rFonts w:ascii="Times New Roman" w:hAnsi="Times New Roman" w:cs="Times New Roman"/>
          <w:noProof/>
          <w:sz w:val="20"/>
          <w:szCs w:val="24"/>
        </w:rPr>
        <w:t>Rio de Janeiro,</w:t>
      </w:r>
      <w:r w:rsidRPr="002E40D4">
        <w:rPr>
          <w:rFonts w:ascii="Times New Roman" w:hAnsi="Times New Roman" w:cs="Times New Roman"/>
          <w:noProof/>
          <w:sz w:val="20"/>
          <w:szCs w:val="24"/>
        </w:rPr>
        <w:t> 2009.</w:t>
      </w:r>
    </w:p>
    <w:p w14:paraId="268D7D55" w14:textId="77777777" w:rsidR="002E40D4" w:rsidRPr="00F51448" w:rsidRDefault="002E40D4" w:rsidP="00D448C4">
      <w:pPr>
        <w:widowControl w:val="0"/>
        <w:autoSpaceDE w:val="0"/>
        <w:autoSpaceDN w:val="0"/>
        <w:adjustRightInd w:val="0"/>
        <w:spacing w:after="0" w:line="240" w:lineRule="auto"/>
        <w:ind w:left="640" w:hanging="640"/>
        <w:rPr>
          <w:rFonts w:ascii="Times New Roman" w:hAnsi="Times New Roman" w:cs="Times New Roman"/>
          <w:noProof/>
          <w:sz w:val="20"/>
          <w:szCs w:val="24"/>
        </w:rPr>
      </w:pPr>
    </w:p>
    <w:p w14:paraId="1D0DFFB8" w14:textId="77777777" w:rsidR="00E438B9" w:rsidRPr="006765A7" w:rsidRDefault="00AC0A7E" w:rsidP="006765A7">
      <w:pPr>
        <w:pStyle w:val="TAMainText"/>
        <w:ind w:left="284" w:firstLine="0"/>
        <w:rPr>
          <w:rFonts w:ascii="Times New Roman" w:hAnsi="Times New Roman"/>
        </w:rPr>
      </w:pPr>
      <w:r w:rsidRPr="006765A7">
        <w:rPr>
          <w:rFonts w:ascii="Times New Roman" w:hAnsi="Times New Roman"/>
        </w:rPr>
        <w:fldChar w:fldCharType="end"/>
      </w:r>
    </w:p>
    <w:p w14:paraId="3D180784" w14:textId="77777777" w:rsidR="003546CF" w:rsidRPr="00E438B9" w:rsidRDefault="003546CF" w:rsidP="00E438B9">
      <w:pPr>
        <w:spacing w:after="0"/>
        <w:ind w:left="284" w:hanging="284"/>
        <w:jc w:val="both"/>
      </w:pPr>
    </w:p>
    <w:p w14:paraId="5DE52C57" w14:textId="77777777" w:rsidR="007B4B2B" w:rsidRDefault="007B4B2B" w:rsidP="00EA4E1B"/>
    <w:p w14:paraId="3BE2FA32" w14:textId="77777777" w:rsidR="00141AE1" w:rsidRPr="00EA4E1B" w:rsidRDefault="00141AE1" w:rsidP="00EA4E1B"/>
    <w:sectPr w:rsidR="00141AE1"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52BA8" w14:textId="77777777" w:rsidR="002F2AAD" w:rsidRDefault="002F2AAD" w:rsidP="00EA4E1B">
      <w:pPr>
        <w:spacing w:after="0" w:line="240" w:lineRule="auto"/>
      </w:pPr>
      <w:r>
        <w:separator/>
      </w:r>
    </w:p>
  </w:endnote>
  <w:endnote w:type="continuationSeparator" w:id="0">
    <w:p w14:paraId="472EAE25" w14:textId="77777777" w:rsidR="002F2AAD" w:rsidRDefault="002F2AAD"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Monotype Corsiva">
    <w:panose1 w:val="030101010102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626D" w14:textId="77777777" w:rsidR="002F2AAD" w:rsidRDefault="002F2AAD" w:rsidP="00EA4E1B">
      <w:pPr>
        <w:spacing w:after="0" w:line="240" w:lineRule="auto"/>
      </w:pPr>
      <w:r>
        <w:separator/>
      </w:r>
    </w:p>
  </w:footnote>
  <w:footnote w:type="continuationSeparator" w:id="0">
    <w:p w14:paraId="68A66031" w14:textId="77777777" w:rsidR="002F2AAD" w:rsidRDefault="002F2AAD"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39AE" w14:textId="77777777" w:rsidR="00EA4E1B" w:rsidRDefault="00AF0400" w:rsidP="00EA4E1B">
    <w:pPr>
      <w:pStyle w:val="Cabealho"/>
      <w:jc w:val="center"/>
    </w:pPr>
    <w:r>
      <w:rPr>
        <w:noProof/>
        <w:lang w:eastAsia="pt-BR"/>
      </w:rPr>
      <w:drawing>
        <wp:inline distT="0" distB="0" distL="0" distR="0" wp14:anchorId="4F924087" wp14:editId="38C25C9A">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3674675" wp14:editId="7C06A70E">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334E7EB6"/>
    <w:multiLevelType w:val="hybridMultilevel"/>
    <w:tmpl w:val="C3F2AEDA"/>
    <w:lvl w:ilvl="0" w:tplc="937A167E">
      <w:start w:val="1"/>
      <w:numFmt w:val="bullet"/>
      <w:lvlText w:val="•"/>
      <w:lvlJc w:val="left"/>
      <w:pPr>
        <w:tabs>
          <w:tab w:val="num" w:pos="720"/>
        </w:tabs>
        <w:ind w:left="720" w:hanging="360"/>
      </w:pPr>
      <w:rPr>
        <w:rFonts w:ascii="Arial" w:hAnsi="Arial" w:hint="default"/>
      </w:rPr>
    </w:lvl>
    <w:lvl w:ilvl="1" w:tplc="24541ED8" w:tentative="1">
      <w:start w:val="1"/>
      <w:numFmt w:val="bullet"/>
      <w:lvlText w:val="•"/>
      <w:lvlJc w:val="left"/>
      <w:pPr>
        <w:tabs>
          <w:tab w:val="num" w:pos="1440"/>
        </w:tabs>
        <w:ind w:left="1440" w:hanging="360"/>
      </w:pPr>
      <w:rPr>
        <w:rFonts w:ascii="Arial" w:hAnsi="Arial" w:hint="default"/>
      </w:rPr>
    </w:lvl>
    <w:lvl w:ilvl="2" w:tplc="8D7E94BA" w:tentative="1">
      <w:start w:val="1"/>
      <w:numFmt w:val="bullet"/>
      <w:lvlText w:val="•"/>
      <w:lvlJc w:val="left"/>
      <w:pPr>
        <w:tabs>
          <w:tab w:val="num" w:pos="2160"/>
        </w:tabs>
        <w:ind w:left="2160" w:hanging="360"/>
      </w:pPr>
      <w:rPr>
        <w:rFonts w:ascii="Arial" w:hAnsi="Arial" w:hint="default"/>
      </w:rPr>
    </w:lvl>
    <w:lvl w:ilvl="3" w:tplc="07C437D4" w:tentative="1">
      <w:start w:val="1"/>
      <w:numFmt w:val="bullet"/>
      <w:lvlText w:val="•"/>
      <w:lvlJc w:val="left"/>
      <w:pPr>
        <w:tabs>
          <w:tab w:val="num" w:pos="2880"/>
        </w:tabs>
        <w:ind w:left="2880" w:hanging="360"/>
      </w:pPr>
      <w:rPr>
        <w:rFonts w:ascii="Arial" w:hAnsi="Arial" w:hint="default"/>
      </w:rPr>
    </w:lvl>
    <w:lvl w:ilvl="4" w:tplc="0FEAF84A" w:tentative="1">
      <w:start w:val="1"/>
      <w:numFmt w:val="bullet"/>
      <w:lvlText w:val="•"/>
      <w:lvlJc w:val="left"/>
      <w:pPr>
        <w:tabs>
          <w:tab w:val="num" w:pos="3600"/>
        </w:tabs>
        <w:ind w:left="3600" w:hanging="360"/>
      </w:pPr>
      <w:rPr>
        <w:rFonts w:ascii="Arial" w:hAnsi="Arial" w:hint="default"/>
      </w:rPr>
    </w:lvl>
    <w:lvl w:ilvl="5" w:tplc="CCBCF7C4" w:tentative="1">
      <w:start w:val="1"/>
      <w:numFmt w:val="bullet"/>
      <w:lvlText w:val="•"/>
      <w:lvlJc w:val="left"/>
      <w:pPr>
        <w:tabs>
          <w:tab w:val="num" w:pos="4320"/>
        </w:tabs>
        <w:ind w:left="4320" w:hanging="360"/>
      </w:pPr>
      <w:rPr>
        <w:rFonts w:ascii="Arial" w:hAnsi="Arial" w:hint="default"/>
      </w:rPr>
    </w:lvl>
    <w:lvl w:ilvl="6" w:tplc="D9A64662" w:tentative="1">
      <w:start w:val="1"/>
      <w:numFmt w:val="bullet"/>
      <w:lvlText w:val="•"/>
      <w:lvlJc w:val="left"/>
      <w:pPr>
        <w:tabs>
          <w:tab w:val="num" w:pos="5040"/>
        </w:tabs>
        <w:ind w:left="5040" w:hanging="360"/>
      </w:pPr>
      <w:rPr>
        <w:rFonts w:ascii="Arial" w:hAnsi="Arial" w:hint="default"/>
      </w:rPr>
    </w:lvl>
    <w:lvl w:ilvl="7" w:tplc="AF50065E" w:tentative="1">
      <w:start w:val="1"/>
      <w:numFmt w:val="bullet"/>
      <w:lvlText w:val="•"/>
      <w:lvlJc w:val="left"/>
      <w:pPr>
        <w:tabs>
          <w:tab w:val="num" w:pos="5760"/>
        </w:tabs>
        <w:ind w:left="5760" w:hanging="360"/>
      </w:pPr>
      <w:rPr>
        <w:rFonts w:ascii="Arial" w:hAnsi="Arial" w:hint="default"/>
      </w:rPr>
    </w:lvl>
    <w:lvl w:ilvl="8" w:tplc="8590553E" w:tentative="1">
      <w:start w:val="1"/>
      <w:numFmt w:val="bullet"/>
      <w:lvlText w:val="•"/>
      <w:lvlJc w:val="left"/>
      <w:pPr>
        <w:tabs>
          <w:tab w:val="num" w:pos="6480"/>
        </w:tabs>
        <w:ind w:left="6480" w:hanging="360"/>
      </w:pPr>
      <w:rPr>
        <w:rFonts w:ascii="Arial" w:hAnsi="Arial" w:hint="default"/>
      </w:rPr>
    </w:lvl>
  </w:abstractNum>
  <w:num w:numId="1" w16cid:durableId="1503274713">
    <w:abstractNumId w:val="0"/>
  </w:num>
  <w:num w:numId="2" w16cid:durableId="1426851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B8E"/>
    <w:rsid w:val="000022D1"/>
    <w:rsid w:val="0001264A"/>
    <w:rsid w:val="00037653"/>
    <w:rsid w:val="0004222C"/>
    <w:rsid w:val="000472D0"/>
    <w:rsid w:val="00052A71"/>
    <w:rsid w:val="00061A72"/>
    <w:rsid w:val="00067CEE"/>
    <w:rsid w:val="00071C45"/>
    <w:rsid w:val="00074215"/>
    <w:rsid w:val="000A4A7D"/>
    <w:rsid w:val="000A6FBB"/>
    <w:rsid w:val="000A758F"/>
    <w:rsid w:val="000C2D03"/>
    <w:rsid w:val="000C7673"/>
    <w:rsid w:val="000D060E"/>
    <w:rsid w:val="000E4B02"/>
    <w:rsid w:val="000F1D24"/>
    <w:rsid w:val="000F689C"/>
    <w:rsid w:val="000F7112"/>
    <w:rsid w:val="00103F8A"/>
    <w:rsid w:val="00131A1A"/>
    <w:rsid w:val="00141AE1"/>
    <w:rsid w:val="0014699B"/>
    <w:rsid w:val="001608F9"/>
    <w:rsid w:val="00164963"/>
    <w:rsid w:val="00177E20"/>
    <w:rsid w:val="001939F7"/>
    <w:rsid w:val="001A3F33"/>
    <w:rsid w:val="001B5CD9"/>
    <w:rsid w:val="001B6511"/>
    <w:rsid w:val="001C1C14"/>
    <w:rsid w:val="001D7C2F"/>
    <w:rsid w:val="001E58A9"/>
    <w:rsid w:val="001E75E9"/>
    <w:rsid w:val="001F25B2"/>
    <w:rsid w:val="00200457"/>
    <w:rsid w:val="00200A0A"/>
    <w:rsid w:val="0022152D"/>
    <w:rsid w:val="00222230"/>
    <w:rsid w:val="00233F6A"/>
    <w:rsid w:val="00234996"/>
    <w:rsid w:val="002370D1"/>
    <w:rsid w:val="0025357E"/>
    <w:rsid w:val="0027018B"/>
    <w:rsid w:val="002702AB"/>
    <w:rsid w:val="00273C2D"/>
    <w:rsid w:val="002B3BEA"/>
    <w:rsid w:val="002C371F"/>
    <w:rsid w:val="002E40D4"/>
    <w:rsid w:val="002F1FC4"/>
    <w:rsid w:val="002F2AAD"/>
    <w:rsid w:val="002F6DB3"/>
    <w:rsid w:val="00330605"/>
    <w:rsid w:val="00331376"/>
    <w:rsid w:val="0033367F"/>
    <w:rsid w:val="00340B1E"/>
    <w:rsid w:val="003546CF"/>
    <w:rsid w:val="00373E5E"/>
    <w:rsid w:val="00377CFE"/>
    <w:rsid w:val="00381E75"/>
    <w:rsid w:val="003855B3"/>
    <w:rsid w:val="003B2A38"/>
    <w:rsid w:val="003C0C79"/>
    <w:rsid w:val="003C7C5D"/>
    <w:rsid w:val="003D0481"/>
    <w:rsid w:val="003E4D6E"/>
    <w:rsid w:val="003E67B8"/>
    <w:rsid w:val="003F3275"/>
    <w:rsid w:val="0040250B"/>
    <w:rsid w:val="00402F3E"/>
    <w:rsid w:val="00413FAD"/>
    <w:rsid w:val="004226D1"/>
    <w:rsid w:val="004655B3"/>
    <w:rsid w:val="00467CC2"/>
    <w:rsid w:val="00470343"/>
    <w:rsid w:val="00472414"/>
    <w:rsid w:val="00474FDC"/>
    <w:rsid w:val="004A4FCA"/>
    <w:rsid w:val="004B5F3F"/>
    <w:rsid w:val="004B7DE5"/>
    <w:rsid w:val="004E79DB"/>
    <w:rsid w:val="004F3F42"/>
    <w:rsid w:val="00503F09"/>
    <w:rsid w:val="0052112E"/>
    <w:rsid w:val="00523CA9"/>
    <w:rsid w:val="00525036"/>
    <w:rsid w:val="005369BA"/>
    <w:rsid w:val="00545BE0"/>
    <w:rsid w:val="00552605"/>
    <w:rsid w:val="00556AF6"/>
    <w:rsid w:val="00564A1C"/>
    <w:rsid w:val="00566B12"/>
    <w:rsid w:val="00567559"/>
    <w:rsid w:val="00572168"/>
    <w:rsid w:val="00572FCE"/>
    <w:rsid w:val="00573A36"/>
    <w:rsid w:val="00591965"/>
    <w:rsid w:val="005B1B4F"/>
    <w:rsid w:val="005B1EDE"/>
    <w:rsid w:val="005C0C16"/>
    <w:rsid w:val="005C1ED7"/>
    <w:rsid w:val="005C2775"/>
    <w:rsid w:val="005C3DF9"/>
    <w:rsid w:val="005D65EB"/>
    <w:rsid w:val="005D7840"/>
    <w:rsid w:val="00604718"/>
    <w:rsid w:val="006149E0"/>
    <w:rsid w:val="00627013"/>
    <w:rsid w:val="00630CE1"/>
    <w:rsid w:val="00630DEE"/>
    <w:rsid w:val="0063179B"/>
    <w:rsid w:val="00645033"/>
    <w:rsid w:val="00652815"/>
    <w:rsid w:val="006765A7"/>
    <w:rsid w:val="0068639E"/>
    <w:rsid w:val="006A5924"/>
    <w:rsid w:val="006E59C0"/>
    <w:rsid w:val="006F204F"/>
    <w:rsid w:val="006F599B"/>
    <w:rsid w:val="006F667D"/>
    <w:rsid w:val="00702170"/>
    <w:rsid w:val="00704144"/>
    <w:rsid w:val="007154F8"/>
    <w:rsid w:val="00721604"/>
    <w:rsid w:val="007346AC"/>
    <w:rsid w:val="0076074C"/>
    <w:rsid w:val="007670A0"/>
    <w:rsid w:val="00781685"/>
    <w:rsid w:val="00792A9B"/>
    <w:rsid w:val="00793FE5"/>
    <w:rsid w:val="007A30FD"/>
    <w:rsid w:val="007B4B2B"/>
    <w:rsid w:val="007E33D4"/>
    <w:rsid w:val="007F03FD"/>
    <w:rsid w:val="007F5459"/>
    <w:rsid w:val="00804175"/>
    <w:rsid w:val="008056EF"/>
    <w:rsid w:val="00815A19"/>
    <w:rsid w:val="00816B51"/>
    <w:rsid w:val="00827B8A"/>
    <w:rsid w:val="00830681"/>
    <w:rsid w:val="00833BD7"/>
    <w:rsid w:val="00845818"/>
    <w:rsid w:val="00861E57"/>
    <w:rsid w:val="00866822"/>
    <w:rsid w:val="00876B13"/>
    <w:rsid w:val="0088259C"/>
    <w:rsid w:val="008863D8"/>
    <w:rsid w:val="008B1683"/>
    <w:rsid w:val="008B24DF"/>
    <w:rsid w:val="008B51F7"/>
    <w:rsid w:val="008C079B"/>
    <w:rsid w:val="008C118D"/>
    <w:rsid w:val="008C1B30"/>
    <w:rsid w:val="008D3913"/>
    <w:rsid w:val="008F23F0"/>
    <w:rsid w:val="00910FF3"/>
    <w:rsid w:val="0091401E"/>
    <w:rsid w:val="00914F03"/>
    <w:rsid w:val="00924E71"/>
    <w:rsid w:val="00936E45"/>
    <w:rsid w:val="00953FA5"/>
    <w:rsid w:val="00954ACA"/>
    <w:rsid w:val="00954E09"/>
    <w:rsid w:val="0095763B"/>
    <w:rsid w:val="009652AA"/>
    <w:rsid w:val="009656D9"/>
    <w:rsid w:val="009842E5"/>
    <w:rsid w:val="009A6F81"/>
    <w:rsid w:val="009B0B3D"/>
    <w:rsid w:val="009B5677"/>
    <w:rsid w:val="009C14C6"/>
    <w:rsid w:val="009C70DB"/>
    <w:rsid w:val="009C7CB0"/>
    <w:rsid w:val="009D3BBF"/>
    <w:rsid w:val="009E0C0A"/>
    <w:rsid w:val="009E4862"/>
    <w:rsid w:val="009F5D0F"/>
    <w:rsid w:val="009F65F8"/>
    <w:rsid w:val="00A02D8F"/>
    <w:rsid w:val="00A04F2D"/>
    <w:rsid w:val="00A05422"/>
    <w:rsid w:val="00A15ED0"/>
    <w:rsid w:val="00A17D85"/>
    <w:rsid w:val="00A2364E"/>
    <w:rsid w:val="00A66D6C"/>
    <w:rsid w:val="00A77251"/>
    <w:rsid w:val="00A87CE8"/>
    <w:rsid w:val="00AA182E"/>
    <w:rsid w:val="00AC0A7E"/>
    <w:rsid w:val="00AC1A84"/>
    <w:rsid w:val="00AC776E"/>
    <w:rsid w:val="00AC7FD4"/>
    <w:rsid w:val="00AD41DD"/>
    <w:rsid w:val="00AE5402"/>
    <w:rsid w:val="00AF0400"/>
    <w:rsid w:val="00AF07ED"/>
    <w:rsid w:val="00AF2AFC"/>
    <w:rsid w:val="00B156A4"/>
    <w:rsid w:val="00B2287E"/>
    <w:rsid w:val="00B30AEB"/>
    <w:rsid w:val="00B35024"/>
    <w:rsid w:val="00B371B8"/>
    <w:rsid w:val="00B61B4E"/>
    <w:rsid w:val="00B6625A"/>
    <w:rsid w:val="00B677C4"/>
    <w:rsid w:val="00B7601C"/>
    <w:rsid w:val="00B845B1"/>
    <w:rsid w:val="00B85B70"/>
    <w:rsid w:val="00B866D8"/>
    <w:rsid w:val="00B9115A"/>
    <w:rsid w:val="00B950B5"/>
    <w:rsid w:val="00BA6A6E"/>
    <w:rsid w:val="00BB2C2F"/>
    <w:rsid w:val="00BB3490"/>
    <w:rsid w:val="00BB3C87"/>
    <w:rsid w:val="00BC2726"/>
    <w:rsid w:val="00C00298"/>
    <w:rsid w:val="00C01CB7"/>
    <w:rsid w:val="00C071A4"/>
    <w:rsid w:val="00C12003"/>
    <w:rsid w:val="00C27B22"/>
    <w:rsid w:val="00C6367F"/>
    <w:rsid w:val="00C76E54"/>
    <w:rsid w:val="00C81748"/>
    <w:rsid w:val="00C95329"/>
    <w:rsid w:val="00CA0F7D"/>
    <w:rsid w:val="00CA10E3"/>
    <w:rsid w:val="00CB0720"/>
    <w:rsid w:val="00D20A7A"/>
    <w:rsid w:val="00D33833"/>
    <w:rsid w:val="00D3686D"/>
    <w:rsid w:val="00D43FC1"/>
    <w:rsid w:val="00D448C4"/>
    <w:rsid w:val="00D548C1"/>
    <w:rsid w:val="00D749FA"/>
    <w:rsid w:val="00D773CA"/>
    <w:rsid w:val="00D81F3C"/>
    <w:rsid w:val="00D96135"/>
    <w:rsid w:val="00DB5CB6"/>
    <w:rsid w:val="00DB662B"/>
    <w:rsid w:val="00DC7E8F"/>
    <w:rsid w:val="00DF0FE5"/>
    <w:rsid w:val="00DF2E11"/>
    <w:rsid w:val="00DF4809"/>
    <w:rsid w:val="00DF5D48"/>
    <w:rsid w:val="00E02013"/>
    <w:rsid w:val="00E02A21"/>
    <w:rsid w:val="00E038AF"/>
    <w:rsid w:val="00E11E41"/>
    <w:rsid w:val="00E1507A"/>
    <w:rsid w:val="00E305AB"/>
    <w:rsid w:val="00E438B9"/>
    <w:rsid w:val="00E4485E"/>
    <w:rsid w:val="00E45057"/>
    <w:rsid w:val="00E47E50"/>
    <w:rsid w:val="00E50134"/>
    <w:rsid w:val="00E509EE"/>
    <w:rsid w:val="00E5680B"/>
    <w:rsid w:val="00E64E38"/>
    <w:rsid w:val="00E7294F"/>
    <w:rsid w:val="00E82C00"/>
    <w:rsid w:val="00E93715"/>
    <w:rsid w:val="00EA1956"/>
    <w:rsid w:val="00EA4E1B"/>
    <w:rsid w:val="00EA5F57"/>
    <w:rsid w:val="00EB07F6"/>
    <w:rsid w:val="00EE7AA5"/>
    <w:rsid w:val="00F006D7"/>
    <w:rsid w:val="00F0608A"/>
    <w:rsid w:val="00F12B2D"/>
    <w:rsid w:val="00F30661"/>
    <w:rsid w:val="00F36407"/>
    <w:rsid w:val="00F43544"/>
    <w:rsid w:val="00F469DD"/>
    <w:rsid w:val="00F51448"/>
    <w:rsid w:val="00F53DAD"/>
    <w:rsid w:val="00F65902"/>
    <w:rsid w:val="00F72603"/>
    <w:rsid w:val="00F84B9F"/>
    <w:rsid w:val="00F9124D"/>
    <w:rsid w:val="00F917DA"/>
    <w:rsid w:val="00F92578"/>
    <w:rsid w:val="00F93838"/>
    <w:rsid w:val="00FB5230"/>
    <w:rsid w:val="00FC44ED"/>
    <w:rsid w:val="00FC5048"/>
    <w:rsid w:val="00FC50B4"/>
    <w:rsid w:val="00FD133D"/>
    <w:rsid w:val="00FD13CF"/>
    <w:rsid w:val="00FD5566"/>
    <w:rsid w:val="00FE123E"/>
    <w:rsid w:val="00FF1E47"/>
    <w:rsid w:val="019C5A9C"/>
    <w:rsid w:val="066C6C7A"/>
    <w:rsid w:val="1034D9AD"/>
    <w:rsid w:val="1A2EB2A5"/>
    <w:rsid w:val="1CA66DC2"/>
    <w:rsid w:val="234A781D"/>
    <w:rsid w:val="27A5F969"/>
    <w:rsid w:val="2EF8FE8F"/>
    <w:rsid w:val="4506B593"/>
    <w:rsid w:val="47E4BE26"/>
    <w:rsid w:val="4E946F7C"/>
    <w:rsid w:val="50241100"/>
    <w:rsid w:val="58FA3906"/>
    <w:rsid w:val="5B806DC0"/>
    <w:rsid w:val="6557E3CE"/>
    <w:rsid w:val="711B6057"/>
    <w:rsid w:val="71D56F62"/>
    <w:rsid w:val="72B730B8"/>
    <w:rsid w:val="79A7C6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A48FE"/>
  <w15:docId w15:val="{FFF1EA0A-F32C-4707-B5C7-1805D85A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semiHidden/>
    <w:rsid w:val="00EA4E1B"/>
    <w:rPr>
      <w:vertAlign w:val="superscript"/>
    </w:rPr>
  </w:style>
  <w:style w:type="paragraph" w:styleId="Textodenotaderodap">
    <w:name w:val="footnote text"/>
    <w:basedOn w:val="Normal"/>
    <w:next w:val="Normal"/>
    <w:link w:val="TextodenotaderodapChar"/>
    <w:uiPriority w:val="99"/>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uiPriority w:val="99"/>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customStyle="1" w:styleId="Default">
    <w:name w:val="Default"/>
    <w:rsid w:val="00F9383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AF07ED"/>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15ED0"/>
  </w:style>
  <w:style w:type="table" w:styleId="Tabelacomgrade">
    <w:name w:val="Table Grid"/>
    <w:basedOn w:val="Tabelanormal"/>
    <w:uiPriority w:val="39"/>
    <w:rsid w:val="00000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861E57"/>
    <w:rPr>
      <w:color w:val="808080"/>
    </w:rPr>
  </w:style>
  <w:style w:type="character" w:styleId="Refdecomentrio">
    <w:name w:val="annotation reference"/>
    <w:basedOn w:val="Fontepargpadro"/>
    <w:uiPriority w:val="99"/>
    <w:semiHidden/>
    <w:unhideWhenUsed/>
    <w:rsid w:val="00572FCE"/>
    <w:rPr>
      <w:sz w:val="16"/>
      <w:szCs w:val="16"/>
    </w:rPr>
  </w:style>
  <w:style w:type="paragraph" w:styleId="Textodecomentrio">
    <w:name w:val="annotation text"/>
    <w:basedOn w:val="Normal"/>
    <w:link w:val="TextodecomentrioChar"/>
    <w:uiPriority w:val="99"/>
    <w:unhideWhenUsed/>
    <w:rsid w:val="00572FCE"/>
    <w:pPr>
      <w:spacing w:line="240" w:lineRule="auto"/>
    </w:pPr>
    <w:rPr>
      <w:sz w:val="20"/>
      <w:szCs w:val="20"/>
    </w:rPr>
  </w:style>
  <w:style w:type="character" w:customStyle="1" w:styleId="TextodecomentrioChar">
    <w:name w:val="Texto de comentário Char"/>
    <w:basedOn w:val="Fontepargpadro"/>
    <w:link w:val="Textodecomentrio"/>
    <w:uiPriority w:val="99"/>
    <w:rsid w:val="00572FCE"/>
    <w:rPr>
      <w:sz w:val="20"/>
      <w:szCs w:val="20"/>
    </w:rPr>
  </w:style>
  <w:style w:type="paragraph" w:styleId="Assuntodocomentrio">
    <w:name w:val="annotation subject"/>
    <w:basedOn w:val="Textodecomentrio"/>
    <w:next w:val="Textodecomentrio"/>
    <w:link w:val="AssuntodocomentrioChar"/>
    <w:uiPriority w:val="99"/>
    <w:semiHidden/>
    <w:unhideWhenUsed/>
    <w:rsid w:val="00572FCE"/>
    <w:rPr>
      <w:b/>
      <w:bCs/>
    </w:rPr>
  </w:style>
  <w:style w:type="character" w:customStyle="1" w:styleId="AssuntodocomentrioChar">
    <w:name w:val="Assunto do comentário Char"/>
    <w:basedOn w:val="TextodecomentrioChar"/>
    <w:link w:val="Assuntodocomentrio"/>
    <w:uiPriority w:val="99"/>
    <w:semiHidden/>
    <w:rsid w:val="00572FCE"/>
    <w:rPr>
      <w:b/>
      <w:bCs/>
      <w:sz w:val="20"/>
      <w:szCs w:val="20"/>
    </w:rPr>
  </w:style>
  <w:style w:type="paragraph" w:styleId="Reviso">
    <w:name w:val="Revision"/>
    <w:hidden/>
    <w:uiPriority w:val="99"/>
    <w:semiHidden/>
    <w:rsid w:val="0027018B"/>
    <w:pPr>
      <w:spacing w:after="0" w:line="240" w:lineRule="auto"/>
    </w:pPr>
  </w:style>
  <w:style w:type="paragraph" w:styleId="NormalWeb">
    <w:name w:val="Normal (Web)"/>
    <w:basedOn w:val="Normal"/>
    <w:uiPriority w:val="99"/>
    <w:semiHidden/>
    <w:unhideWhenUsed/>
    <w:rsid w:val="00D3686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228506">
      <w:bodyDiv w:val="1"/>
      <w:marLeft w:val="0"/>
      <w:marRight w:val="0"/>
      <w:marTop w:val="0"/>
      <w:marBottom w:val="0"/>
      <w:divBdr>
        <w:top w:val="none" w:sz="0" w:space="0" w:color="auto"/>
        <w:left w:val="none" w:sz="0" w:space="0" w:color="auto"/>
        <w:bottom w:val="none" w:sz="0" w:space="0" w:color="auto"/>
        <w:right w:val="none" w:sz="0" w:space="0" w:color="auto"/>
      </w:divBdr>
    </w:div>
    <w:div w:id="1783723946">
      <w:bodyDiv w:val="1"/>
      <w:marLeft w:val="0"/>
      <w:marRight w:val="0"/>
      <w:marTop w:val="0"/>
      <w:marBottom w:val="0"/>
      <w:divBdr>
        <w:top w:val="none" w:sz="0" w:space="0" w:color="auto"/>
        <w:left w:val="none" w:sz="0" w:space="0" w:color="auto"/>
        <w:bottom w:val="none" w:sz="0" w:space="0" w:color="auto"/>
        <w:right w:val="none" w:sz="0" w:space="0" w:color="auto"/>
      </w:divBdr>
    </w:div>
    <w:div w:id="1857958857">
      <w:bodyDiv w:val="1"/>
      <w:marLeft w:val="0"/>
      <w:marRight w:val="0"/>
      <w:marTop w:val="0"/>
      <w:marBottom w:val="0"/>
      <w:divBdr>
        <w:top w:val="none" w:sz="0" w:space="0" w:color="auto"/>
        <w:left w:val="none" w:sz="0" w:space="0" w:color="auto"/>
        <w:bottom w:val="none" w:sz="0" w:space="0" w:color="auto"/>
        <w:right w:val="none" w:sz="0" w:space="0" w:color="auto"/>
      </w:divBdr>
    </w:div>
    <w:div w:id="1977296706">
      <w:bodyDiv w:val="1"/>
      <w:marLeft w:val="0"/>
      <w:marRight w:val="0"/>
      <w:marTop w:val="0"/>
      <w:marBottom w:val="0"/>
      <w:divBdr>
        <w:top w:val="none" w:sz="0" w:space="0" w:color="auto"/>
        <w:left w:val="none" w:sz="0" w:space="0" w:color="auto"/>
        <w:bottom w:val="none" w:sz="0" w:space="0" w:color="auto"/>
        <w:right w:val="none" w:sz="0" w:space="0" w:color="auto"/>
      </w:divBdr>
      <w:divsChild>
        <w:div w:id="3480231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chart" Target="charts/chart1.xml"/><Relationship Id="rId16" Type="http://schemas.openxmlformats.org/officeDocument/2006/relationships/oleObject" Target="embeddings/oleObject2.bin"/><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image" Target="media/image13.wmf"/><Relationship Id="rId37" Type="http://schemas.openxmlformats.org/officeDocument/2006/relationships/oleObject" Target="embeddings/oleObject13.bin"/><Relationship Id="rId40" Type="http://schemas.openxmlformats.org/officeDocument/2006/relationships/image" Target="media/image17.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oleObject" Target="embeddings/oleObject33.bin"/><Relationship Id="rId5" Type="http://schemas.openxmlformats.org/officeDocument/2006/relationships/numbering" Target="numbering.xml"/><Relationship Id="rId61" Type="http://schemas.openxmlformats.org/officeDocument/2006/relationships/oleObject" Target="embeddings/oleObject25.bin"/><Relationship Id="rId19" Type="http://schemas.openxmlformats.org/officeDocument/2006/relationships/image" Target="media/image7.wmf"/><Relationship Id="rId14" Type="http://schemas.openxmlformats.org/officeDocument/2006/relationships/image" Target="media/image4.jpeg"/><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image" Target="media/image31.wmf"/><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1.bin"/><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image" Target="media/image20.e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29.bin"/><Relationship Id="rId75"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endnotes" Target="endnotes.xml"/><Relationship Id="rId31" Type="http://schemas.openxmlformats.org/officeDocument/2006/relationships/oleObject" Target="embeddings/oleObject10.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7.bin"/><Relationship Id="rId73" Type="http://schemas.openxmlformats.org/officeDocument/2006/relationships/oleObject" Target="embeddings/oleObject32.bin"/><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2.bin"/><Relationship Id="rId76" Type="http://schemas.openxmlformats.org/officeDocument/2006/relationships/chart" Target="charts/chart2.xml"/><Relationship Id="rId7" Type="http://schemas.openxmlformats.org/officeDocument/2006/relationships/settings" Target="settings.xml"/><Relationship Id="rId71" Type="http://schemas.openxmlformats.org/officeDocument/2006/relationships/oleObject" Target="embeddings/oleObject30.bin"/><Relationship Id="rId2" Type="http://schemas.openxmlformats.org/officeDocument/2006/relationships/customXml" Target="../customXml/item2.xml"/><Relationship Id="rId29" Type="http://schemas.openxmlformats.org/officeDocument/2006/relationships/oleObject" Target="embeddings/oleObject9.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https://ufprbr0.sharepoint.com/sites/EstudosobreterpenosUFPR_SOCER/Documentos%20Compartilhados/Experimentos/An&#225;lise%20cin&#233;tica/Catalise%20-%20Relat&#243;ri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84826665962076"/>
          <c:y val="5.6325748179769382E-2"/>
          <c:w val="0.78808394546319294"/>
          <c:h val="0.8134256666604035"/>
        </c:manualLayout>
      </c:layout>
      <c:scatterChart>
        <c:scatterStyle val="lineMarker"/>
        <c:varyColors val="0"/>
        <c:ser>
          <c:idx val="3"/>
          <c:order val="0"/>
          <c:tx>
            <c:v>com catalisador</c:v>
          </c:tx>
          <c:spPr>
            <a:ln w="25400">
              <a:noFill/>
            </a:ln>
          </c:spPr>
          <c:marker>
            <c:symbol val="diamond"/>
            <c:size val="3"/>
            <c:spPr>
              <a:solidFill>
                <a:schemeClr val="tx1"/>
              </a:solidFill>
              <a:ln>
                <a:solidFill>
                  <a:schemeClr val="tx1"/>
                </a:solidFill>
              </a:ln>
            </c:spPr>
          </c:marker>
          <c:trendline>
            <c:spPr>
              <a:ln w="12700">
                <a:solidFill>
                  <a:schemeClr val="accent2"/>
                </a:solidFill>
                <a:prstDash val="solid"/>
              </a:ln>
            </c:spPr>
            <c:trendlineType val="poly"/>
            <c:order val="4"/>
            <c:dispRSqr val="0"/>
            <c:dispEq val="0"/>
          </c:trendline>
          <c:xVal>
            <c:numRef>
              <c:f>Análise!$J$8:$U$8</c:f>
              <c:numCache>
                <c:formatCode>General</c:formatCode>
                <c:ptCount val="12"/>
                <c:pt idx="0">
                  <c:v>409.5</c:v>
                </c:pt>
                <c:pt idx="1">
                  <c:v>407.5</c:v>
                </c:pt>
                <c:pt idx="2">
                  <c:v>465.5</c:v>
                </c:pt>
                <c:pt idx="3">
                  <c:v>462.5</c:v>
                </c:pt>
                <c:pt idx="4">
                  <c:v>542.5</c:v>
                </c:pt>
                <c:pt idx="5">
                  <c:v>536</c:v>
                </c:pt>
                <c:pt idx="6">
                  <c:v>428.5</c:v>
                </c:pt>
                <c:pt idx="7">
                  <c:v>423</c:v>
                </c:pt>
                <c:pt idx="8">
                  <c:v>448.5</c:v>
                </c:pt>
                <c:pt idx="9">
                  <c:v>445</c:v>
                </c:pt>
                <c:pt idx="10">
                  <c:v>501.5</c:v>
                </c:pt>
                <c:pt idx="11">
                  <c:v>498</c:v>
                </c:pt>
              </c:numCache>
            </c:numRef>
          </c:xVal>
          <c:yVal>
            <c:numRef>
              <c:f>Análise!$J$18:$U$18</c:f>
              <c:numCache>
                <c:formatCode>0.00000</c:formatCode>
                <c:ptCount val="12"/>
                <c:pt idx="0">
                  <c:v>33.850650005038794</c:v>
                </c:pt>
                <c:pt idx="1">
                  <c:v>33.665860540104838</c:v>
                </c:pt>
                <c:pt idx="2">
                  <c:v>60.702614379085013</c:v>
                </c:pt>
                <c:pt idx="3">
                  <c:v>59.558748075936336</c:v>
                </c:pt>
                <c:pt idx="4">
                  <c:v>36.164325244785076</c:v>
                </c:pt>
                <c:pt idx="5">
                  <c:v>33.001166118944134</c:v>
                </c:pt>
                <c:pt idx="6">
                  <c:v>47.466369980782851</c:v>
                </c:pt>
                <c:pt idx="7">
                  <c:v>45.253773680478183</c:v>
                </c:pt>
                <c:pt idx="8">
                  <c:v>57.073220270133042</c:v>
                </c:pt>
                <c:pt idx="9">
                  <c:v>54.861322767448947</c:v>
                </c:pt>
                <c:pt idx="10">
                  <c:v>53.052459351671949</c:v>
                </c:pt>
                <c:pt idx="11">
                  <c:v>53.054136874361596</c:v>
                </c:pt>
              </c:numCache>
            </c:numRef>
          </c:yVal>
          <c:smooth val="0"/>
          <c:extLst>
            <c:ext xmlns:c16="http://schemas.microsoft.com/office/drawing/2014/chart" uri="{C3380CC4-5D6E-409C-BE32-E72D297353CC}">
              <c16:uniqueId val="{00000001-8119-4C89-B4D5-68B46D7F3B25}"/>
            </c:ext>
          </c:extLst>
        </c:ser>
        <c:ser>
          <c:idx val="4"/>
          <c:order val="1"/>
          <c:tx>
            <c:v>sem catalisador</c:v>
          </c:tx>
          <c:spPr>
            <a:ln w="25400">
              <a:noFill/>
            </a:ln>
          </c:spPr>
          <c:marker>
            <c:symbol val="star"/>
            <c:size val="4"/>
            <c:spPr>
              <a:noFill/>
              <a:ln>
                <a:solidFill>
                  <a:schemeClr val="tx1"/>
                </a:solidFill>
              </a:ln>
            </c:spPr>
          </c:marker>
          <c:xVal>
            <c:numRef>
              <c:f>Análise!$V$8:$AE$8</c:f>
              <c:numCache>
                <c:formatCode>General</c:formatCode>
                <c:ptCount val="10"/>
                <c:pt idx="0">
                  <c:v>437.5</c:v>
                </c:pt>
                <c:pt idx="1">
                  <c:v>435.5</c:v>
                </c:pt>
                <c:pt idx="2">
                  <c:v>475</c:v>
                </c:pt>
                <c:pt idx="3">
                  <c:v>470.5</c:v>
                </c:pt>
                <c:pt idx="4">
                  <c:v>442.5</c:v>
                </c:pt>
                <c:pt idx="5">
                  <c:v>441.5</c:v>
                </c:pt>
                <c:pt idx="6">
                  <c:v>459</c:v>
                </c:pt>
                <c:pt idx="7">
                  <c:v>457.5</c:v>
                </c:pt>
                <c:pt idx="8">
                  <c:v>541.5</c:v>
                </c:pt>
                <c:pt idx="9">
                  <c:v>538.5</c:v>
                </c:pt>
              </c:numCache>
            </c:numRef>
          </c:xVal>
          <c:yVal>
            <c:numRef>
              <c:f>Análise!$V$18:$AE$18</c:f>
              <c:numCache>
                <c:formatCode>0.00000</c:formatCode>
                <c:ptCount val="10"/>
                <c:pt idx="0">
                  <c:v>47.721531777306247</c:v>
                </c:pt>
                <c:pt idx="1">
                  <c:v>45.225826007881182</c:v>
                </c:pt>
                <c:pt idx="2">
                  <c:v>60.936543562538255</c:v>
                </c:pt>
                <c:pt idx="3">
                  <c:v>62.557356989905173</c:v>
                </c:pt>
                <c:pt idx="4">
                  <c:v>48.817858954845214</c:v>
                </c:pt>
                <c:pt idx="5">
                  <c:v>51.435236839436037</c:v>
                </c:pt>
                <c:pt idx="6">
                  <c:v>61.323051948052012</c:v>
                </c:pt>
                <c:pt idx="7">
                  <c:v>62.077024692612426</c:v>
                </c:pt>
                <c:pt idx="8">
                  <c:v>37.628326000419072</c:v>
                </c:pt>
                <c:pt idx="9">
                  <c:v>38.345391632588914</c:v>
                </c:pt>
              </c:numCache>
            </c:numRef>
          </c:yVal>
          <c:smooth val="0"/>
          <c:extLst>
            <c:ext xmlns:c16="http://schemas.microsoft.com/office/drawing/2014/chart" uri="{C3380CC4-5D6E-409C-BE32-E72D297353CC}">
              <c16:uniqueId val="{00000003-8119-4C89-B4D5-68B46D7F3B25}"/>
            </c:ext>
          </c:extLst>
        </c:ser>
        <c:ser>
          <c:idx val="5"/>
          <c:order val="2"/>
          <c:spPr>
            <a:ln w="25400" cap="rnd">
              <a:noFill/>
              <a:round/>
            </a:ln>
            <a:effectLst/>
          </c:spPr>
          <c:marker>
            <c:symbol val="diamond"/>
            <c:size val="3"/>
            <c:spPr>
              <a:solidFill>
                <a:schemeClr val="tx1"/>
              </a:solidFill>
              <a:ln>
                <a:solidFill>
                  <a:schemeClr val="tx1"/>
                </a:solidFill>
              </a:ln>
            </c:spPr>
          </c:marker>
          <c:trendline>
            <c:spPr>
              <a:ln w="12700">
                <a:solidFill>
                  <a:schemeClr val="accent1"/>
                </a:solidFill>
                <a:prstDash val="solid"/>
              </a:ln>
            </c:spPr>
            <c:trendlineType val="linear"/>
            <c:dispRSqr val="0"/>
            <c:dispEq val="0"/>
          </c:trendline>
          <c:xVal>
            <c:numRef>
              <c:f>Análise!$J$8:$U$8</c:f>
              <c:numCache>
                <c:formatCode>General</c:formatCode>
                <c:ptCount val="12"/>
                <c:pt idx="0">
                  <c:v>409.5</c:v>
                </c:pt>
                <c:pt idx="1">
                  <c:v>407.5</c:v>
                </c:pt>
                <c:pt idx="2">
                  <c:v>465.5</c:v>
                </c:pt>
                <c:pt idx="3">
                  <c:v>462.5</c:v>
                </c:pt>
                <c:pt idx="4">
                  <c:v>542.5</c:v>
                </c:pt>
                <c:pt idx="5">
                  <c:v>536</c:v>
                </c:pt>
                <c:pt idx="6">
                  <c:v>428.5</c:v>
                </c:pt>
                <c:pt idx="7">
                  <c:v>423</c:v>
                </c:pt>
                <c:pt idx="8">
                  <c:v>448.5</c:v>
                </c:pt>
                <c:pt idx="9">
                  <c:v>445</c:v>
                </c:pt>
                <c:pt idx="10">
                  <c:v>501.5</c:v>
                </c:pt>
                <c:pt idx="11">
                  <c:v>498</c:v>
                </c:pt>
              </c:numCache>
            </c:numRef>
          </c:xVal>
          <c:yVal>
            <c:numRef>
              <c:f>Análise!$J$19:$U$19</c:f>
              <c:numCache>
                <c:formatCode>0.00000</c:formatCode>
                <c:ptCount val="12"/>
                <c:pt idx="0">
                  <c:v>8.1023883906076772</c:v>
                </c:pt>
                <c:pt idx="1">
                  <c:v>7.4264409512293428</c:v>
                </c:pt>
                <c:pt idx="2">
                  <c:v>15.369689542483687</c:v>
                </c:pt>
                <c:pt idx="3">
                  <c:v>16.42893791688045</c:v>
                </c:pt>
                <c:pt idx="4">
                  <c:v>24.584929757343527</c:v>
                </c:pt>
                <c:pt idx="5">
                  <c:v>26.810134633732627</c:v>
                </c:pt>
                <c:pt idx="6">
                  <c:v>12.025892586224346</c:v>
                </c:pt>
                <c:pt idx="7">
                  <c:v>10.789180427514946</c:v>
                </c:pt>
                <c:pt idx="8">
                  <c:v>12.978572153955518</c:v>
                </c:pt>
                <c:pt idx="9">
                  <c:v>13.329269531646856</c:v>
                </c:pt>
                <c:pt idx="10">
                  <c:v>16.954698844462627</c:v>
                </c:pt>
                <c:pt idx="11">
                  <c:v>16.72114402451481</c:v>
                </c:pt>
              </c:numCache>
            </c:numRef>
          </c:yVal>
          <c:smooth val="0"/>
          <c:extLst>
            <c:ext xmlns:c16="http://schemas.microsoft.com/office/drawing/2014/chart" uri="{C3380CC4-5D6E-409C-BE32-E72D297353CC}">
              <c16:uniqueId val="{00000005-8119-4C89-B4D5-68B46D7F3B25}"/>
            </c:ext>
          </c:extLst>
        </c:ser>
        <c:ser>
          <c:idx val="6"/>
          <c:order val="3"/>
          <c:spPr>
            <a:ln w="25400" cap="rnd">
              <a:noFill/>
              <a:round/>
            </a:ln>
            <a:effectLst/>
          </c:spPr>
          <c:marker>
            <c:symbol val="star"/>
            <c:size val="4"/>
            <c:spPr>
              <a:ln>
                <a:solidFill>
                  <a:schemeClr val="tx1"/>
                </a:solidFill>
              </a:ln>
            </c:spPr>
          </c:marker>
          <c:xVal>
            <c:numRef>
              <c:f>Análise!$V$8:$AE$8</c:f>
              <c:numCache>
                <c:formatCode>General</c:formatCode>
                <c:ptCount val="10"/>
                <c:pt idx="0">
                  <c:v>437.5</c:v>
                </c:pt>
                <c:pt idx="1">
                  <c:v>435.5</c:v>
                </c:pt>
                <c:pt idx="2">
                  <c:v>475</c:v>
                </c:pt>
                <c:pt idx="3">
                  <c:v>470.5</c:v>
                </c:pt>
                <c:pt idx="4">
                  <c:v>442.5</c:v>
                </c:pt>
                <c:pt idx="5">
                  <c:v>441.5</c:v>
                </c:pt>
                <c:pt idx="6">
                  <c:v>459</c:v>
                </c:pt>
                <c:pt idx="7">
                  <c:v>457.5</c:v>
                </c:pt>
                <c:pt idx="8">
                  <c:v>541.5</c:v>
                </c:pt>
                <c:pt idx="9">
                  <c:v>538.5</c:v>
                </c:pt>
              </c:numCache>
            </c:numRef>
          </c:xVal>
          <c:yVal>
            <c:numRef>
              <c:f>Análise!$V$19:$AE$19</c:f>
              <c:numCache>
                <c:formatCode>0.00000</c:formatCode>
                <c:ptCount val="10"/>
                <c:pt idx="0">
                  <c:v>11.92280489037082</c:v>
                </c:pt>
                <c:pt idx="1">
                  <c:v>12.094574113367697</c:v>
                </c:pt>
                <c:pt idx="2">
                  <c:v>16.486431340542715</c:v>
                </c:pt>
                <c:pt idx="3">
                  <c:v>16.294483532170872</c:v>
                </c:pt>
                <c:pt idx="4">
                  <c:v>15.312024353120258</c:v>
                </c:pt>
                <c:pt idx="5">
                  <c:v>12.242620955472148</c:v>
                </c:pt>
                <c:pt idx="6">
                  <c:v>15.48295454545455</c:v>
                </c:pt>
                <c:pt idx="7">
                  <c:v>16.888527588659663</c:v>
                </c:pt>
                <c:pt idx="8">
                  <c:v>22.983448564843876</c:v>
                </c:pt>
                <c:pt idx="9">
                  <c:v>25.14417531718572</c:v>
                </c:pt>
              </c:numCache>
            </c:numRef>
          </c:yVal>
          <c:smooth val="0"/>
          <c:extLst>
            <c:ext xmlns:c16="http://schemas.microsoft.com/office/drawing/2014/chart" uri="{C3380CC4-5D6E-409C-BE32-E72D297353CC}">
              <c16:uniqueId val="{00000007-8119-4C89-B4D5-68B46D7F3B25}"/>
            </c:ext>
          </c:extLst>
        </c:ser>
        <c:ser>
          <c:idx val="0"/>
          <c:order val="4"/>
          <c:spPr>
            <a:ln w="25400" cap="rnd">
              <a:noFill/>
              <a:round/>
            </a:ln>
            <a:effectLst/>
          </c:spPr>
          <c:marker>
            <c:symbol val="diamond"/>
            <c:size val="3"/>
            <c:spPr>
              <a:solidFill>
                <a:schemeClr val="tx1"/>
              </a:solidFill>
              <a:ln w="9525">
                <a:solidFill>
                  <a:schemeClr val="tx1"/>
                </a:solidFill>
              </a:ln>
              <a:effectLst/>
            </c:spPr>
          </c:marker>
          <c:trendline>
            <c:spPr>
              <a:ln w="12700">
                <a:solidFill>
                  <a:schemeClr val="accent6"/>
                </a:solidFill>
                <a:prstDash val="solid"/>
              </a:ln>
            </c:spPr>
            <c:trendlineType val="linear"/>
            <c:dispRSqr val="0"/>
            <c:dispEq val="0"/>
          </c:trendline>
          <c:xVal>
            <c:numRef>
              <c:f>Análise!$J$8:$U$8</c:f>
              <c:numCache>
                <c:formatCode>General</c:formatCode>
                <c:ptCount val="12"/>
                <c:pt idx="0">
                  <c:v>409.5</c:v>
                </c:pt>
                <c:pt idx="1">
                  <c:v>407.5</c:v>
                </c:pt>
                <c:pt idx="2">
                  <c:v>465.5</c:v>
                </c:pt>
                <c:pt idx="3">
                  <c:v>462.5</c:v>
                </c:pt>
                <c:pt idx="4">
                  <c:v>542.5</c:v>
                </c:pt>
                <c:pt idx="5">
                  <c:v>536</c:v>
                </c:pt>
                <c:pt idx="6">
                  <c:v>428.5</c:v>
                </c:pt>
                <c:pt idx="7">
                  <c:v>423</c:v>
                </c:pt>
                <c:pt idx="8">
                  <c:v>448.5</c:v>
                </c:pt>
                <c:pt idx="9">
                  <c:v>445</c:v>
                </c:pt>
                <c:pt idx="10">
                  <c:v>501.5</c:v>
                </c:pt>
                <c:pt idx="11">
                  <c:v>498</c:v>
                </c:pt>
              </c:numCache>
            </c:numRef>
          </c:xVal>
          <c:yVal>
            <c:numRef>
              <c:f>Análise!$J$20:$U$20</c:f>
              <c:numCache>
                <c:formatCode>0.00000</c:formatCode>
                <c:ptCount val="12"/>
                <c:pt idx="0">
                  <c:v>2.0155195001511634</c:v>
                </c:pt>
                <c:pt idx="1">
                  <c:v>1.9548569125352691</c:v>
                </c:pt>
                <c:pt idx="2">
                  <c:v>4.5445261437908506</c:v>
                </c:pt>
                <c:pt idx="3">
                  <c:v>4.8537711646998494</c:v>
                </c:pt>
                <c:pt idx="4">
                  <c:v>7.3329076202639385</c:v>
                </c:pt>
                <c:pt idx="5">
                  <c:v>7.4631612424467297</c:v>
                </c:pt>
                <c:pt idx="6">
                  <c:v>3.0039445736826162</c:v>
                </c:pt>
                <c:pt idx="7">
                  <c:v>2.8872454665180807</c:v>
                </c:pt>
                <c:pt idx="8">
                  <c:v>3.8793541180054847</c:v>
                </c:pt>
                <c:pt idx="9">
                  <c:v>3.799654576856649</c:v>
                </c:pt>
                <c:pt idx="10">
                  <c:v>5.7061049187033435</c:v>
                </c:pt>
                <c:pt idx="11">
                  <c:v>5.6077630234933693</c:v>
                </c:pt>
              </c:numCache>
            </c:numRef>
          </c:yVal>
          <c:smooth val="0"/>
          <c:extLst>
            <c:ext xmlns:c16="http://schemas.microsoft.com/office/drawing/2014/chart" uri="{C3380CC4-5D6E-409C-BE32-E72D297353CC}">
              <c16:uniqueId val="{0000000A-8119-4C89-B4D5-68B46D7F3B25}"/>
            </c:ext>
          </c:extLst>
        </c:ser>
        <c:ser>
          <c:idx val="1"/>
          <c:order val="5"/>
          <c:spPr>
            <a:ln w="25400" cap="rnd">
              <a:noFill/>
              <a:round/>
            </a:ln>
            <a:effectLst/>
          </c:spPr>
          <c:marker>
            <c:symbol val="star"/>
            <c:size val="4"/>
            <c:spPr>
              <a:noFill/>
              <a:ln w="9525">
                <a:solidFill>
                  <a:schemeClr val="tx1"/>
                </a:solidFill>
              </a:ln>
              <a:effectLst/>
            </c:spPr>
          </c:marker>
          <c:xVal>
            <c:numRef>
              <c:f>Análise!$V$8:$AE$8</c:f>
              <c:numCache>
                <c:formatCode>General</c:formatCode>
                <c:ptCount val="10"/>
                <c:pt idx="0">
                  <c:v>437.5</c:v>
                </c:pt>
                <c:pt idx="1">
                  <c:v>435.5</c:v>
                </c:pt>
                <c:pt idx="2">
                  <c:v>475</c:v>
                </c:pt>
                <c:pt idx="3">
                  <c:v>470.5</c:v>
                </c:pt>
                <c:pt idx="4">
                  <c:v>442.5</c:v>
                </c:pt>
                <c:pt idx="5">
                  <c:v>441.5</c:v>
                </c:pt>
                <c:pt idx="6">
                  <c:v>459</c:v>
                </c:pt>
                <c:pt idx="7">
                  <c:v>457.5</c:v>
                </c:pt>
                <c:pt idx="8">
                  <c:v>541.5</c:v>
                </c:pt>
                <c:pt idx="9">
                  <c:v>538.5</c:v>
                </c:pt>
              </c:numCache>
            </c:numRef>
          </c:xVal>
          <c:yVal>
            <c:numRef>
              <c:f>Análise!$V$20:$AE$20</c:f>
              <c:numCache>
                <c:formatCode>0.00000</c:formatCode>
                <c:ptCount val="10"/>
                <c:pt idx="0">
                  <c:v>3.041325654238658</c:v>
                </c:pt>
                <c:pt idx="1">
                  <c:v>2.9705971506517153</c:v>
                </c:pt>
                <c:pt idx="2">
                  <c:v>4.9581718016731324</c:v>
                </c:pt>
                <c:pt idx="3">
                  <c:v>4.506984806770669</c:v>
                </c:pt>
                <c:pt idx="4">
                  <c:v>3.2876712328767179</c:v>
                </c:pt>
                <c:pt idx="5">
                  <c:v>3.3877675220610612</c:v>
                </c:pt>
                <c:pt idx="6">
                  <c:v>4.3323863636363615</c:v>
                </c:pt>
                <c:pt idx="7">
                  <c:v>4.3085052332079998</c:v>
                </c:pt>
                <c:pt idx="8">
                  <c:v>7.2176827990781494</c:v>
                </c:pt>
                <c:pt idx="9">
                  <c:v>6.6897347174163775</c:v>
                </c:pt>
              </c:numCache>
            </c:numRef>
          </c:yVal>
          <c:smooth val="0"/>
          <c:extLst>
            <c:ext xmlns:c16="http://schemas.microsoft.com/office/drawing/2014/chart" uri="{C3380CC4-5D6E-409C-BE32-E72D297353CC}">
              <c16:uniqueId val="{0000000B-8119-4C89-B4D5-68B46D7F3B25}"/>
            </c:ext>
          </c:extLst>
        </c:ser>
        <c:dLbls>
          <c:showLegendKey val="0"/>
          <c:showVal val="0"/>
          <c:showCatName val="0"/>
          <c:showSerName val="0"/>
          <c:showPercent val="0"/>
          <c:showBubbleSize val="0"/>
        </c:dLbls>
        <c:axId val="157210112"/>
        <c:axId val="157211648"/>
      </c:scatterChart>
      <c:valAx>
        <c:axId val="157210112"/>
        <c:scaling>
          <c:orientation val="minMax"/>
          <c:max val="550"/>
          <c:min val="40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pt-BR"/>
                  <a:t>Temperatura (</a:t>
                </a:r>
                <a:r>
                  <a:rPr lang="pt-BR" baseline="30000"/>
                  <a:t>o</a:t>
                </a:r>
                <a:r>
                  <a:rPr lang="pt-BR"/>
                  <a:t>C)</a:t>
                </a:r>
              </a:p>
            </c:rich>
          </c:tx>
          <c:layout>
            <c:manualLayout>
              <c:xMode val="edge"/>
              <c:yMode val="edge"/>
              <c:x val="0.40725836283887368"/>
              <c:y val="0.93202012885384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pt-BR"/>
          </a:p>
        </c:txPr>
        <c:crossAx val="157211648"/>
        <c:crosses val="autoZero"/>
        <c:crossBetween val="midCat"/>
        <c:majorUnit val="25"/>
        <c:minorUnit val="5"/>
      </c:valAx>
      <c:valAx>
        <c:axId val="157211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pt-BR"/>
                  <a:t>Produção (%)</a:t>
                </a: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pt-BR"/>
          </a:p>
        </c:txPr>
        <c:crossAx val="157210112"/>
        <c:crosses val="autoZero"/>
        <c:crossBetween val="midCat"/>
      </c:valAx>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19338303821062439"/>
          <c:y val="2.5256986074831351E-4"/>
          <c:w val="0.80276004614287866"/>
          <c:h val="6.6573205795576254E-2"/>
        </c:manualLayout>
      </c:layout>
      <c:overlay val="0"/>
      <c:spPr>
        <a:noFill/>
        <a:ln>
          <a:noFill/>
        </a:ln>
        <a:effectLst/>
      </c:spPr>
      <c:txPr>
        <a:bodyPr rot="0" vert="horz"/>
        <a:lstStyle/>
        <a:p>
          <a:pPr>
            <a:defRPr/>
          </a:pPr>
          <a:endParaRPr lang="pt-BR"/>
        </a:p>
      </c:txPr>
    </c:legend>
    <c:plotVisOnly val="1"/>
    <c:dispBlanksAs val="gap"/>
    <c:showDLblsOverMax val="0"/>
    <c:extLst/>
  </c:chart>
  <c:spPr>
    <a:ln>
      <a:noFill/>
    </a:ln>
  </c:spPr>
  <c:txPr>
    <a:bodyPr/>
    <a:lstStyle/>
    <a:p>
      <a:pPr>
        <a:defRPr sz="800" b="0">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0757093739525234"/>
          <c:y val="4.2145593869731802E-2"/>
          <c:w val="0.75767380339247192"/>
          <c:h val="0.76271322034641353"/>
        </c:manualLayout>
      </c:layout>
      <c:barChart>
        <c:barDir val="col"/>
        <c:grouping val="clustered"/>
        <c:varyColors val="0"/>
        <c:ser>
          <c:idx val="0"/>
          <c:order val="0"/>
          <c:tx>
            <c:strRef>
              <c:f>Planilha1!$C$3</c:f>
              <c:strCache>
                <c:ptCount val="1"/>
                <c:pt idx="0">
                  <c:v>com catalisador</c:v>
                </c:pt>
              </c:strCache>
            </c:strRef>
          </c:tx>
          <c:spPr>
            <a:solidFill>
              <a:schemeClr val="dk1">
                <a:tint val="88500"/>
              </a:schemeClr>
            </a:solidFill>
            <a:ln>
              <a:noFill/>
            </a:ln>
            <a:effectLst/>
          </c:spPr>
          <c:invertIfNegative val="0"/>
          <c:cat>
            <c:numRef>
              <c:f>Planilha1!$B$4:$B$6</c:f>
              <c:numCache>
                <c:formatCode>General</c:formatCode>
                <c:ptCount val="3"/>
                <c:pt idx="0">
                  <c:v>450</c:v>
                </c:pt>
                <c:pt idx="1">
                  <c:v>475</c:v>
                </c:pt>
                <c:pt idx="2">
                  <c:v>500</c:v>
                </c:pt>
              </c:numCache>
            </c:numRef>
          </c:cat>
          <c:val>
            <c:numRef>
              <c:f>Planilha1!$C$4:$C$6</c:f>
              <c:numCache>
                <c:formatCode>General</c:formatCode>
                <c:ptCount val="3"/>
                <c:pt idx="0">
                  <c:v>70</c:v>
                </c:pt>
                <c:pt idx="1">
                  <c:v>69.8</c:v>
                </c:pt>
                <c:pt idx="2">
                  <c:v>68.5</c:v>
                </c:pt>
              </c:numCache>
            </c:numRef>
          </c:val>
          <c:extLst>
            <c:ext xmlns:c16="http://schemas.microsoft.com/office/drawing/2014/chart" uri="{C3380CC4-5D6E-409C-BE32-E72D297353CC}">
              <c16:uniqueId val="{00000000-47F3-46CA-850B-B50388189842}"/>
            </c:ext>
          </c:extLst>
        </c:ser>
        <c:ser>
          <c:idx val="1"/>
          <c:order val="1"/>
          <c:tx>
            <c:strRef>
              <c:f>Planilha1!$D$3</c:f>
              <c:strCache>
                <c:ptCount val="1"/>
                <c:pt idx="0">
                  <c:v>sem catalisador</c:v>
                </c:pt>
              </c:strCache>
            </c:strRef>
          </c:tx>
          <c:spPr>
            <a:solidFill>
              <a:schemeClr val="dk1">
                <a:tint val="55000"/>
              </a:schemeClr>
            </a:solidFill>
            <a:ln>
              <a:noFill/>
            </a:ln>
            <a:effectLst/>
          </c:spPr>
          <c:invertIfNegative val="0"/>
          <c:cat>
            <c:numRef>
              <c:f>Planilha1!$B$4:$B$6</c:f>
              <c:numCache>
                <c:formatCode>General</c:formatCode>
                <c:ptCount val="3"/>
                <c:pt idx="0">
                  <c:v>450</c:v>
                </c:pt>
                <c:pt idx="1">
                  <c:v>475</c:v>
                </c:pt>
                <c:pt idx="2">
                  <c:v>500</c:v>
                </c:pt>
              </c:numCache>
            </c:numRef>
          </c:cat>
          <c:val>
            <c:numRef>
              <c:f>Planilha1!$D$4:$D$6</c:f>
              <c:numCache>
                <c:formatCode>General</c:formatCode>
                <c:ptCount val="3"/>
                <c:pt idx="0">
                  <c:v>66</c:v>
                </c:pt>
                <c:pt idx="1">
                  <c:v>64</c:v>
                </c:pt>
                <c:pt idx="2">
                  <c:v>62</c:v>
                </c:pt>
              </c:numCache>
            </c:numRef>
          </c:val>
          <c:extLst>
            <c:ext xmlns:c16="http://schemas.microsoft.com/office/drawing/2014/chart" uri="{C3380CC4-5D6E-409C-BE32-E72D297353CC}">
              <c16:uniqueId val="{00000001-47F3-46CA-850B-B50388189842}"/>
            </c:ext>
          </c:extLst>
        </c:ser>
        <c:dLbls>
          <c:showLegendKey val="0"/>
          <c:showVal val="0"/>
          <c:showCatName val="0"/>
          <c:showSerName val="0"/>
          <c:showPercent val="0"/>
          <c:showBubbleSize val="0"/>
        </c:dLbls>
        <c:gapWidth val="219"/>
        <c:overlap val="-27"/>
        <c:axId val="158368128"/>
        <c:axId val="158370048"/>
      </c:barChart>
      <c:catAx>
        <c:axId val="158368128"/>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Temperatura (</a:t>
                </a:r>
                <a:r>
                  <a:rPr lang="en-US" baseline="30000"/>
                  <a:t>o</a:t>
                </a:r>
                <a:r>
                  <a:rPr lang="en-US"/>
                  <a:t>C)</a:t>
                </a:r>
              </a:p>
            </c:rich>
          </c:tx>
          <c:layout>
            <c:manualLayout>
              <c:xMode val="edge"/>
              <c:yMode val="edge"/>
              <c:x val="0.39726667482904277"/>
              <c:y val="0.8936476364254063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58370048"/>
        <c:crosses val="autoZero"/>
        <c:auto val="1"/>
        <c:lblAlgn val="ctr"/>
        <c:lblOffset val="100"/>
        <c:noMultiLvlLbl val="0"/>
      </c:catAx>
      <c:valAx>
        <c:axId val="158370048"/>
        <c:scaling>
          <c:orientation val="minMax"/>
          <c:max val="71"/>
          <c:min val="6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Produção de mirceno (%)</a:t>
                </a:r>
              </a:p>
            </c:rich>
          </c:tx>
          <c:layout>
            <c:manualLayout>
              <c:xMode val="edge"/>
              <c:yMode val="edge"/>
              <c:x val="3.4755259212277283E-2"/>
              <c:y val="0.12336029231081529"/>
            </c:manualLayout>
          </c:layout>
          <c:overlay val="0"/>
          <c:spPr>
            <a:noFill/>
            <a:ln>
              <a:noFill/>
            </a:ln>
            <a:effectLst/>
          </c:spPr>
        </c:title>
        <c:numFmt formatCode="General" sourceLinked="1"/>
        <c:majorTickMark val="in"/>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58368128"/>
        <c:crosses val="autoZero"/>
        <c:crossBetween val="between"/>
      </c:valAx>
      <c:spPr>
        <a:noFill/>
        <a:ln>
          <a:noFill/>
        </a:ln>
        <a:effectLst/>
      </c:spPr>
    </c:plotArea>
    <c:legend>
      <c:legendPos val="r"/>
      <c:layout>
        <c:manualLayout>
          <c:xMode val="edge"/>
          <c:yMode val="edge"/>
          <c:x val="0.67165856116060962"/>
          <c:y val="1.9869336210856976E-2"/>
          <c:w val="0.29105236431222337"/>
          <c:h val="0.15971858673703815"/>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8d5f19-642f-4454-adad-666b2793b8a2" xsi:nil="true"/>
    <lcf76f155ced4ddcb4097134ff3c332f xmlns="938f5437-400d-4fad-b4dd-31a59ee4ccb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55717E76F735A4589F68E6AC074B2E3" ma:contentTypeVersion="13" ma:contentTypeDescription="Crie um novo documento." ma:contentTypeScope="" ma:versionID="96ddc4d4a216e3910dbaa50b9b3013d2">
  <xsd:schema xmlns:xsd="http://www.w3.org/2001/XMLSchema" xmlns:xs="http://www.w3.org/2001/XMLSchema" xmlns:p="http://schemas.microsoft.com/office/2006/metadata/properties" xmlns:ns2="938f5437-400d-4fad-b4dd-31a59ee4ccbd" xmlns:ns3="5f8d5f19-642f-4454-adad-666b2793b8a2" targetNamespace="http://schemas.microsoft.com/office/2006/metadata/properties" ma:root="true" ma:fieldsID="cde039abd1f400bc40aef2b99aa97684" ns2:_="" ns3:_="">
    <xsd:import namespace="938f5437-400d-4fad-b4dd-31a59ee4ccbd"/>
    <xsd:import namespace="5f8d5f19-642f-4454-adad-666b2793b8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f5437-400d-4fad-b4dd-31a59ee4c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a5e3a396-6ff9-41c4-9ea6-a3ac188d4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d5f19-642f-4454-adad-666b2793b8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76de8e-0269-4c76-a135-7349f4aeec54}" ma:internalName="TaxCatchAll" ma:showField="CatchAllData" ma:web="5f8d5f19-642f-4454-adad-666b2793b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AFCA0-8D23-468A-AAAA-448A5CF9EAE8}">
  <ds:schemaRefs>
    <ds:schemaRef ds:uri="http://schemas.openxmlformats.org/officeDocument/2006/bibliography"/>
  </ds:schemaRefs>
</ds:datastoreItem>
</file>

<file path=customXml/itemProps2.xml><?xml version="1.0" encoding="utf-8"?>
<ds:datastoreItem xmlns:ds="http://schemas.openxmlformats.org/officeDocument/2006/customXml" ds:itemID="{7C4D3B81-CD72-4A29-935E-A59382F17532}">
  <ds:schemaRefs>
    <ds:schemaRef ds:uri="http://schemas.microsoft.com/sharepoint/v3/contenttype/forms"/>
  </ds:schemaRefs>
</ds:datastoreItem>
</file>

<file path=customXml/itemProps3.xml><?xml version="1.0" encoding="utf-8"?>
<ds:datastoreItem xmlns:ds="http://schemas.openxmlformats.org/officeDocument/2006/customXml" ds:itemID="{731AF93B-EE72-40A3-8CC4-029BD0F607BA}">
  <ds:schemaRefs>
    <ds:schemaRef ds:uri="http://schemas.microsoft.com/office/2006/metadata/properties"/>
    <ds:schemaRef ds:uri="http://schemas.microsoft.com/office/infopath/2007/PartnerControls"/>
    <ds:schemaRef ds:uri="5f8d5f19-642f-4454-adad-666b2793b8a2"/>
    <ds:schemaRef ds:uri="938f5437-400d-4fad-b4dd-31a59ee4ccbd"/>
  </ds:schemaRefs>
</ds:datastoreItem>
</file>

<file path=customXml/itemProps4.xml><?xml version="1.0" encoding="utf-8"?>
<ds:datastoreItem xmlns:ds="http://schemas.openxmlformats.org/officeDocument/2006/customXml" ds:itemID="{492B36D8-3A8A-4BE5-B0DF-92A77E79E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f5437-400d-4fad-b4dd-31a59ee4ccbd"/>
    <ds:schemaRef ds:uri="5f8d5f19-642f-4454-adad-666b2793b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6381</Words>
  <Characters>34461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José Gregório</cp:lastModifiedBy>
  <cp:revision>2</cp:revision>
  <dcterms:created xsi:type="dcterms:W3CDTF">2023-06-18T21:41:00Z</dcterms:created>
  <dcterms:modified xsi:type="dcterms:W3CDTF">2023-06-18T21:41:00Z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http://www.zotero.org/styles/associacao-brasileira-de-normas-tecnicas</vt:lpwstr>
  </property>
  <property fmtid="{D5CDD505-2E9C-101B-9397-08002B2CF9AE}" pid="9" name="Mendeley Recent Style Name 3_1">
    <vt:lpwstr>Associação Brasileira de Normas Técnicas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http://csl.mendeley.com/styles/476133871/Teste1-2</vt:lpwstr>
  </property>
  <property fmtid="{D5CDD505-2E9C-101B-9397-08002B2CF9AE}" pid="17" name="Mendeley Recent Style Name 7_1">
    <vt:lpwstr>Teste1 - Ana Queren Azevedo</vt:lpwstr>
  </property>
  <property fmtid="{D5CDD505-2E9C-101B-9397-08002B2CF9AE}" pid="18" name="Mendeley Recent Style Id 8_1">
    <vt:lpwstr>http://www.zotero.org/styles/the-journal-of-supercritical-fluids</vt:lpwstr>
  </property>
  <property fmtid="{D5CDD505-2E9C-101B-9397-08002B2CF9AE}" pid="19" name="Mendeley Recent Style Name 8_1">
    <vt:lpwstr>The Journal of Supercritical Fluids</vt:lpwstr>
  </property>
  <property fmtid="{D5CDD505-2E9C-101B-9397-08002B2CF9AE}" pid="20" name="Mendeley Recent Style Id 9_1">
    <vt:lpwstr>http://www.zotero.org/styles/universidade-federal-do-espirito-santo-abnt-initials</vt:lpwstr>
  </property>
  <property fmtid="{D5CDD505-2E9C-101B-9397-08002B2CF9AE}" pid="21" name="Mendeley Recent Style Name 9_1">
    <vt:lpwstr>Universidade Federal do Espírito Santo - ABNT (autoria abreviada) (Portuguese - Brazil)</vt:lpwstr>
  </property>
  <property fmtid="{D5CDD505-2E9C-101B-9397-08002B2CF9AE}" pid="22" name="Mendeley Document_1">
    <vt:lpwstr>True</vt:lpwstr>
  </property>
  <property fmtid="{D5CDD505-2E9C-101B-9397-08002B2CF9AE}" pid="23" name="Mendeley Unique User Id_1">
    <vt:lpwstr>8a41c445-87f2-3ca6-b00b-b9492dbb18fd</vt:lpwstr>
  </property>
  <property fmtid="{D5CDD505-2E9C-101B-9397-08002B2CF9AE}" pid="24" name="Mendeley Citation Style_1">
    <vt:lpwstr>http://www.zotero.org/styles/ieee</vt:lpwstr>
  </property>
  <property fmtid="{D5CDD505-2E9C-101B-9397-08002B2CF9AE}" pid="25" name="ContentTypeId">
    <vt:lpwstr>0x010100D55717E76F735A4589F68E6AC074B2E3</vt:lpwstr>
  </property>
  <property fmtid="{D5CDD505-2E9C-101B-9397-08002B2CF9AE}" pid="26" name="MediaServiceImageTags">
    <vt:lpwstr/>
  </property>
</Properties>
</file>