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i w:val="0"/>
          <w:smallCaps w:val="0"/>
          <w:strike w:val="0"/>
          <w:color w:val="000000"/>
          <w:sz w:val="32"/>
          <w:szCs w:val="32"/>
          <w:u w:val="none"/>
          <w:shd w:fill="auto" w:val="clear"/>
          <w:vertAlign w:val="baseline"/>
        </w:rPr>
      </w:pPr>
      <w:bookmarkStart w:colFirst="0" w:colLast="0" w:name="_heading=h.gjdgxs" w:id="0"/>
      <w:bookmarkEnd w:id="0"/>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517005" cy="177165"/>
                <wp:effectExtent b="0" l="0" r="0" t="0"/>
                <wp:wrapNone/>
                <wp:docPr id="11" name=""/>
                <a:graphic>
                  <a:graphicData uri="http://schemas.microsoft.com/office/word/2010/wordprocessingShape">
                    <wps:wsp>
                      <wps:cNvSpPr/>
                      <wps:cNvPr id="3" name="Shape 3"/>
                      <wps:spPr>
                        <a:xfrm>
                          <a:off x="2092260" y="3696180"/>
                          <a:ext cx="6507480" cy="167640"/>
                        </a:xfrm>
                        <a:prstGeom prst="rect">
                          <a:avLst/>
                        </a:prstGeom>
                        <a:solidFill>
                          <a:srgbClr val="9A0000"/>
                        </a:solidFill>
                        <a:ln>
                          <a:noFill/>
                        </a:ln>
                      </wps:spPr>
                      <wps:txbx>
                        <w:txbxContent>
                          <w:p w:rsidR="00000000" w:rsidDel="00000000" w:rsidP="00000000" w:rsidRDefault="00000000" w:rsidRPr="00000000">
                            <w:pPr>
                              <w:spacing w:after="0" w:before="0" w:line="240"/>
                              <w:ind w:left="0" w:right="0" w:firstLine="0"/>
                              <w:jc w:val="both"/>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Helvetica Neue" w:cs="Helvetica Neue" w:eastAsia="Helvetica Neue" w:hAnsi="Helvetica Neue"/>
                                <w:b w:val="1"/>
                                <w:i w:val="0"/>
                                <w:smallCaps w:val="0"/>
                                <w:strike w:val="0"/>
                                <w:color w:val="000000"/>
                                <w:sz w:val="20"/>
                                <w:vertAlign w:val="baseline"/>
                              </w:rPr>
                            </w:r>
                          </w:p>
                        </w:txbxContent>
                      </wps:txbx>
                      <wps:bodyPr anchorCtr="0" anchor="ctr"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517005" cy="177165"/>
                <wp:effectExtent b="0" l="0" r="0" t="0"/>
                <wp:wrapNone/>
                <wp:docPr id="1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517005" cy="177165"/>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i w:val="1"/>
          <w:sz w:val="32"/>
          <w:szCs w:val="32"/>
        </w:rPr>
      </w:pPr>
      <w:r w:rsidDel="00000000" w:rsidR="00000000" w:rsidRPr="00000000">
        <w:rPr>
          <w:rFonts w:ascii="Helvetica Neue" w:cs="Helvetica Neue" w:eastAsia="Helvetica Neue" w:hAnsi="Helvetica Neue"/>
          <w:b w:val="1"/>
          <w:sz w:val="32"/>
          <w:szCs w:val="32"/>
          <w:rtl w:val="0"/>
        </w:rPr>
        <w:t xml:space="preserve">Descarboxilação catalítica redutiva para produção de combustíveis avançados</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Elon F. Silva </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Johnathan H. F. da Silva </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 Monique E. S. </w:t>
      </w:r>
      <w:r w:rsidDel="00000000" w:rsidR="00000000" w:rsidRPr="00000000">
        <w:rPr>
          <w:rFonts w:ascii="Times New Roman" w:cs="Times New Roman" w:eastAsia="Times New Roman" w:hAnsi="Times New Roman"/>
          <w:b w:val="1"/>
          <w:sz w:val="20"/>
          <w:szCs w:val="20"/>
          <w:rtl w:val="0"/>
        </w:rPr>
        <w:t xml:space="preserve">A.</w:t>
      </w:r>
      <w:r w:rsidDel="00000000" w:rsidR="00000000" w:rsidRPr="00000000">
        <w:rPr>
          <w:rFonts w:ascii="Times New Roman" w:cs="Times New Roman" w:eastAsia="Times New Roman" w:hAnsi="Times New Roman"/>
          <w:b w:val="1"/>
          <w:sz w:val="20"/>
          <w:szCs w:val="20"/>
          <w:rtl w:val="0"/>
        </w:rPr>
        <w:t xml:space="preserve"> Furtado </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Rauan</w:t>
      </w:r>
      <w:r w:rsidDel="00000000" w:rsidR="00000000" w:rsidRPr="00000000">
        <w:rPr>
          <w:rFonts w:ascii="Times New Roman" w:cs="Times New Roman" w:eastAsia="Times New Roman" w:hAnsi="Times New Roman"/>
          <w:b w:val="1"/>
          <w:sz w:val="20"/>
          <w:szCs w:val="20"/>
          <w:rtl w:val="0"/>
        </w:rPr>
        <w:t xml:space="preserve"> D. C. Barros</w:t>
      </w:r>
      <w:r w:rsidDel="00000000" w:rsidR="00000000" w:rsidRPr="00000000">
        <w:rPr>
          <w:rFonts w:ascii="Times New Roman" w:cs="Times New Roman" w:eastAsia="Times New Roman" w:hAnsi="Times New Roman"/>
          <w:b w:val="1"/>
          <w:sz w:val="20"/>
          <w:szCs w:val="20"/>
          <w:vertAlign w:val="superscript"/>
          <w:rtl w:val="0"/>
        </w:rPr>
        <w:t xml:space="preserve"> 1</w:t>
      </w:r>
      <w:r w:rsidDel="00000000" w:rsidR="00000000" w:rsidRPr="00000000">
        <w:rPr>
          <w:rFonts w:ascii="Times New Roman" w:cs="Times New Roman" w:eastAsia="Times New Roman" w:hAnsi="Times New Roman"/>
          <w:b w:val="1"/>
          <w:sz w:val="20"/>
          <w:szCs w:val="20"/>
          <w:rtl w:val="0"/>
        </w:rPr>
        <w:t xml:space="preserve">, Lorena C. P. Sales </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 Amanda M.  de Azevêdo </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 Amanda D. Gondim </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 Carlos A. M. Huitle </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 Aruzza M. M. Araújo </w:t>
      </w:r>
      <w:r w:rsidDel="00000000" w:rsidR="00000000" w:rsidRPr="00000000">
        <w:rPr>
          <w:rFonts w:ascii="Times New Roman" w:cs="Times New Roman" w:eastAsia="Times New Roman" w:hAnsi="Times New Roman"/>
          <w:b w:val="1"/>
          <w:sz w:val="20"/>
          <w:szCs w:val="20"/>
          <w:vertAlign w:val="superscript"/>
          <w:rtl w:val="0"/>
        </w:rPr>
        <w:t xml:space="preserve">1 </w:t>
      </w:r>
      <w:r w:rsidDel="00000000" w:rsidR="00000000" w:rsidRPr="00000000">
        <w:rPr>
          <w:rFonts w:ascii="Times New Roman" w:cs="Times New Roman" w:eastAsia="Times New Roman" w:hAnsi="Times New Roman"/>
          <w:b w:val="1"/>
          <w:sz w:val="20"/>
          <w:szCs w:val="20"/>
          <w:rtl w:val="0"/>
        </w:rPr>
        <w:t xml:space="preserve">e Lívia N. Cavalcanti </w:t>
      </w:r>
      <w:r w:rsidDel="00000000" w:rsidR="00000000" w:rsidRPr="00000000">
        <w:rPr>
          <w:rFonts w:ascii="Times New Roman" w:cs="Times New Roman" w:eastAsia="Times New Roman" w:hAnsi="Times New Roman"/>
          <w:b w:val="1"/>
          <w:sz w:val="20"/>
          <w:szCs w:val="20"/>
          <w:vertAlign w:val="superscript"/>
          <w:rtl w:val="0"/>
        </w:rPr>
        <w:t xml:space="preserve">1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1"/>
          <w:color w:val="202124"/>
          <w:sz w:val="20"/>
          <w:szCs w:val="20"/>
          <w:highlight w:val="white"/>
        </w:rPr>
      </w:pPr>
      <w:r w:rsidDel="00000000" w:rsidR="00000000" w:rsidRPr="00000000">
        <w:rPr>
          <w:rFonts w:ascii="Times New Roman" w:cs="Times New Roman" w:eastAsia="Times New Roman" w:hAnsi="Times New Roman"/>
          <w:i w:val="1"/>
          <w:sz w:val="20"/>
          <w:szCs w:val="20"/>
          <w:rtl w:val="0"/>
        </w:rPr>
        <w:t xml:space="preserve">Universidade Federal do Rio Grande do Norte, Instituto de Química,</w:t>
      </w:r>
      <w:r w:rsidDel="00000000" w:rsidR="00000000" w:rsidRPr="00000000">
        <w:rPr>
          <w:rFonts w:ascii="Times New Roman" w:cs="Times New Roman" w:eastAsia="Times New Roman" w:hAnsi="Times New Roman"/>
          <w:i w:val="1"/>
          <w:color w:val="202124"/>
          <w:sz w:val="20"/>
          <w:szCs w:val="20"/>
          <w:highlight w:val="white"/>
          <w:rtl w:val="0"/>
        </w:rPr>
        <w:t xml:space="preserve"> Núcleo de Processamento Primário e Reuso de Água Produzida e Resíduos (NUPPRAR), 59072-970, Natal, RN, Brasil. E-mail: </w:t>
      </w:r>
      <w:hyperlink r:id="rId8">
        <w:r w:rsidDel="00000000" w:rsidR="00000000" w:rsidRPr="00000000">
          <w:rPr>
            <w:rFonts w:ascii="Times New Roman" w:cs="Times New Roman" w:eastAsia="Times New Roman" w:hAnsi="Times New Roman"/>
            <w:i w:val="1"/>
            <w:color w:val="1155cc"/>
            <w:sz w:val="20"/>
            <w:szCs w:val="20"/>
            <w:highlight w:val="white"/>
            <w:u w:val="single"/>
            <w:rtl w:val="0"/>
          </w:rPr>
          <w:t xml:space="preserve">elonfernandes19@gmail.com</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i w:val="1"/>
          <w:sz w:val="20"/>
          <w:szCs w:val="20"/>
          <w:vertAlign w:val="superscript"/>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color="000000" w:space="12" w:sz="6" w:val="single"/>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6515100" cy="180975"/>
                <wp:effectExtent b="0" l="0" r="0" t="0"/>
                <wp:wrapNone/>
                <wp:docPr id="10" name=""/>
                <a:graphic>
                  <a:graphicData uri="http://schemas.microsoft.com/office/word/2010/wordprocessingShape">
                    <wps:wsp>
                      <wps:cNvSpPr/>
                      <wps:cNvPr id="2" name="Shape 2"/>
                      <wps:spPr>
                        <a:xfrm>
                          <a:off x="2092260" y="3696180"/>
                          <a:ext cx="6507480" cy="167640"/>
                        </a:xfrm>
                        <a:prstGeom prst="rect">
                          <a:avLst/>
                        </a:prstGeom>
                        <a:solidFill>
                          <a:srgbClr val="9A0000"/>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Helvetica Neue" w:cs="Helvetica Neue" w:eastAsia="Helvetica Neue" w:hAnsi="Helvetica Neue"/>
                                <w:b w:val="1"/>
                                <w:i w:val="0"/>
                                <w:smallCaps w:val="0"/>
                                <w:strike w:val="0"/>
                                <w:color w:val="000000"/>
                                <w:sz w:val="20"/>
                                <w:vertAlign w:val="baseline"/>
                              </w:rPr>
                            </w:r>
                          </w:p>
                        </w:txbxContent>
                      </wps:txbx>
                      <wps:bodyPr anchorCtr="0" anchor="ctr"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6515100" cy="180975"/>
                <wp:effectExtent b="0" l="0" r="0" t="0"/>
                <wp:wrapNone/>
                <wp:docPr id="10"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6515100" cy="180975"/>
                        </a:xfrm>
                        <a:prstGeom prst="rect"/>
                        <a:ln/>
                      </pic:spPr>
                    </pic:pic>
                  </a:graphicData>
                </a:graphic>
              </wp:anchor>
            </w:drawing>
          </mc:Fallback>
        </mc:AlternateContent>
      </w:r>
    </w:p>
    <w:p w:rsidR="00000000" w:rsidDel="00000000" w:rsidP="00000000" w:rsidRDefault="00000000" w:rsidRPr="00000000" w14:paraId="00000007">
      <w:pPr>
        <w:keepNext w:val="0"/>
        <w:keepLines w:val="0"/>
        <w:pageBreakBefore w:val="0"/>
        <w:widowControl w:val="1"/>
        <w:pBdr>
          <w:top w:space="0" w:sz="0" w:val="nil"/>
          <w:left w:space="0" w:sz="0" w:val="nil"/>
          <w:bottom w:color="000000" w:space="12" w:sz="6" w:val="single"/>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color="000000" w:space="12" w:sz="6" w:val="single"/>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Resumo</w:t>
      </w:r>
    </w:p>
    <w:p w:rsidR="00000000" w:rsidDel="00000000" w:rsidP="00000000" w:rsidRDefault="00000000" w:rsidRPr="00000000" w14:paraId="00000009">
      <w:pPr>
        <w:keepNext w:val="0"/>
        <w:keepLines w:val="0"/>
        <w:pageBreakBefore w:val="0"/>
        <w:widowControl w:val="1"/>
        <w:pBdr>
          <w:top w:space="0" w:sz="0" w:val="nil"/>
          <w:left w:space="0" w:sz="0" w:val="nil"/>
          <w:bottom w:color="000000" w:space="12" w:sz="6" w:val="single"/>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sz w:val="20"/>
          <w:szCs w:val="20"/>
          <w:rtl w:val="0"/>
        </w:rPr>
        <w:t xml:space="preserve">O uso de combustíveis advindos de matrizes renováveis vem tendo notório destaque para diminuição da poluição global e diversificação da matriz energética mundial. O uso de bio-óleos para a produção de combustíveis de origem renovável já se destaca em trabalhos da literatura. Contudo, o uso de tal matéria-prima passa pela etapa de descarboxilação via pirólise catalítica. Na tentativa de contornar as adversidades atreladas a tal técnica, como o uso de H</w:t>
      </w:r>
      <w:r w:rsidDel="00000000" w:rsidR="00000000" w:rsidRPr="00000000">
        <w:rPr>
          <w:rFonts w:ascii="Times New Roman" w:cs="Times New Roman" w:eastAsia="Times New Roman" w:hAnsi="Times New Roman"/>
          <w:sz w:val="20"/>
          <w:szCs w:val="20"/>
          <w:vertAlign w:val="subscript"/>
          <w:rtl w:val="0"/>
        </w:rPr>
        <w:t xml:space="preserve">2</w:t>
      </w:r>
      <w:r w:rsidDel="00000000" w:rsidR="00000000" w:rsidRPr="00000000">
        <w:rPr>
          <w:rFonts w:ascii="Times New Roman" w:cs="Times New Roman" w:eastAsia="Times New Roman" w:hAnsi="Times New Roman"/>
          <w:sz w:val="20"/>
          <w:szCs w:val="20"/>
          <w:rtl w:val="0"/>
        </w:rPr>
        <w:t xml:space="preserve"> de fontes fósseis em altas pressões e temperaturas, a busca por métodos inovadores de desoxigenação de bio-óleos ganha grande visibilidade, buscando-se viabilizar tais materiais como biocombustíveis. No presente trabalho, apresenta-se uma nova estratégia para a descarboxilação dos ésteres de ácidos graxos derivados de bio-óleos, valendo-se da técnica de catálise redutiva com catalisadores comerciais. As reações foram realizadas na própria bancada, em condições brandas e utilizando um silano como fonte de hidrogênio de baixo custo, permitindo a obtenção de hidrocarbonetos renováveis com alta seletividade. A caracterização dos produtos obtidos se procedeu através de análise por cromatografia gasosa acoplada com espectrometria de massas.</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color="000000" w:space="12" w:sz="6" w:val="single"/>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Palavras-chave: descarboxilação, catálise, metais de transição, ácidos graxos, biocombustíveis drop-in.</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B">
      <w:pPr>
        <w:widowControl w:val="1"/>
        <w:pBdr>
          <w:bottom w:color="000000" w:space="12" w:sz="6" w:val="single"/>
        </w:pBdr>
        <w:spacing w:after="0" w:line="240" w:lineRule="auto"/>
        <w:jc w:val="center"/>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00C">
      <w:pPr>
        <w:widowControl w:val="1"/>
        <w:pBdr>
          <w:bottom w:color="000000" w:space="12" w:sz="6" w:val="single"/>
        </w:pBdr>
        <w:spacing w:after="0" w:line="240" w:lineRule="auto"/>
        <w:jc w:val="center"/>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Abstract</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color="000000" w:space="12" w:sz="6" w:val="single"/>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sz w:val="20"/>
          <w:szCs w:val="20"/>
          <w:rtl w:val="0"/>
        </w:rPr>
        <w:t xml:space="preserve">The use of fuels from renewable sources has been highlighted for the reduction of global pollution and diversification of the world's energy matrix. The use of bio-oils for the production of renewable fuels has already been highlighted in works in the literature. However, the use of such raw material goes through the decarboxylation step via catalytic pyrolysis. In an attempt to circumvent the adversities linked to such a technique, such as the use of H2 from fossil sources at high pressures and temperatures, the search for innovative methods of deoxygenation of bio-oils gains great visibility, seeking to make such materials viable as biofuels. In the present work, a new strategy for the decarboxylation of fatty acid esters derived from bio-oils is presented, using the technique of reductive catalysis with commercial catalysts. The reactions were carried out on the bench itself, under mild conditions and using a silane as a low-cost hydrogen source, allowing to obtain renewable hydrocarbons with high selectivity. The characterization of the products obtained was carried out through analysis by gas chromatography coupled with mass spectrometry.</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color="000000" w:space="12" w:sz="6" w:val="single"/>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1"/>
          <w:sz w:val="20"/>
          <w:szCs w:val="20"/>
        </w:rPr>
        <w:sectPr>
          <w:headerReference r:id="rId10" w:type="default"/>
          <w:pgSz w:h="16838" w:w="11906" w:orient="portrait"/>
          <w:pgMar w:bottom="1418" w:top="1418" w:left="567" w:right="1094" w:header="709" w:footer="709"/>
          <w:pgNumType w:start="1"/>
        </w:sectPr>
      </w:pPr>
      <w:r w:rsidDel="00000000" w:rsidR="00000000" w:rsidRPr="00000000">
        <w:rPr>
          <w:rFonts w:ascii="Times New Roman" w:cs="Times New Roman" w:eastAsia="Times New Roman" w:hAnsi="Times New Roman"/>
          <w:i w:val="1"/>
          <w:sz w:val="20"/>
          <w:szCs w:val="20"/>
          <w:rtl w:val="0"/>
        </w:rPr>
        <w:t xml:space="preserve">Keywords: decarboxylation, catalysis, transition metals, fatty acids, drop-in biofuels.</w:t>
      </w:r>
    </w:p>
    <w:p w:rsidR="00000000" w:rsidDel="00000000" w:rsidP="00000000" w:rsidRDefault="00000000" w:rsidRPr="00000000" w14:paraId="0000000F">
      <w:pPr>
        <w:pStyle w:val="Heading2"/>
        <w:widowControl w:val="1"/>
        <w:spacing w:after="0" w:before="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Introdução</w:t>
      </w:r>
    </w:p>
    <w:p w:rsidR="00000000" w:rsidDel="00000000" w:rsidP="00000000" w:rsidRDefault="00000000" w:rsidRPr="00000000" w14:paraId="00000010">
      <w:pPr>
        <w:spacing w:after="0" w:line="240" w:lineRule="auto"/>
        <w:rPr/>
      </w:pPr>
      <w:r w:rsidDel="00000000" w:rsidR="00000000" w:rsidRPr="00000000">
        <w:rPr>
          <w:rtl w:val="0"/>
        </w:rPr>
      </w:r>
    </w:p>
    <w:p w:rsidR="00000000" w:rsidDel="00000000" w:rsidP="00000000" w:rsidRDefault="00000000" w:rsidRPr="00000000" w14:paraId="00000011">
      <w:pPr>
        <w:spacing w:after="0" w:line="24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combustíveis fósseis </w:t>
      </w:r>
      <w:r w:rsidDel="00000000" w:rsidR="00000000" w:rsidRPr="00000000">
        <w:rPr>
          <w:rFonts w:ascii="Times New Roman" w:cs="Times New Roman" w:eastAsia="Times New Roman" w:hAnsi="Times New Roman"/>
          <w:sz w:val="20"/>
          <w:szCs w:val="20"/>
          <w:rtl w:val="0"/>
        </w:rPr>
        <w:t xml:space="preserve">representaram</w:t>
      </w:r>
      <w:r w:rsidDel="00000000" w:rsidR="00000000" w:rsidRPr="00000000">
        <w:rPr>
          <w:rFonts w:ascii="Times New Roman" w:cs="Times New Roman" w:eastAsia="Times New Roman" w:hAnsi="Times New Roman"/>
          <w:sz w:val="20"/>
          <w:szCs w:val="20"/>
          <w:rtl w:val="0"/>
        </w:rPr>
        <w:t xml:space="preserve"> grande parte da demanda global de energia primária ao longo d</w:t>
      </w:r>
      <w:r w:rsidDel="00000000" w:rsidR="00000000" w:rsidRPr="00000000">
        <w:rPr>
          <w:rFonts w:ascii="Times New Roman" w:cs="Times New Roman" w:eastAsia="Times New Roman" w:hAnsi="Times New Roman"/>
          <w:sz w:val="20"/>
          <w:szCs w:val="20"/>
          <w:rtl w:val="0"/>
        </w:rPr>
        <w:t xml:space="preserve">os últimos anos (1). Consequentemente, observa-se uma crescente preocupação com o meio ambiente, assim como uma maior procura por biocombustíveis, que por sua vez são cotados como pilares da transição energética (2-3). </w:t>
      </w:r>
    </w:p>
    <w:p w:rsidR="00000000" w:rsidDel="00000000" w:rsidP="00000000" w:rsidRDefault="00000000" w:rsidRPr="00000000" w14:paraId="00000012">
      <w:pPr>
        <w:spacing w:after="0" w:line="24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biocombustíveis podem ser obtidos a partir de uma vasta gama de processos de desoxigenação de ácidos graxos advindos de biomassa (4). A pirólise catalítica tem sido uma rota bastante estudada (5). Todavia, embora tal protocolo seja bem estabelecido, o uso de reatores específicos, H</w:t>
      </w:r>
      <w:r w:rsidDel="00000000" w:rsidR="00000000" w:rsidRPr="00000000">
        <w:rPr>
          <w:rFonts w:ascii="Times New Roman" w:cs="Times New Roman" w:eastAsia="Times New Roman" w:hAnsi="Times New Roman"/>
          <w:sz w:val="20"/>
          <w:szCs w:val="20"/>
          <w:vertAlign w:val="subscript"/>
          <w:rtl w:val="0"/>
        </w:rPr>
        <w:t xml:space="preserve">2</w:t>
      </w:r>
      <w:r w:rsidDel="00000000" w:rsidR="00000000" w:rsidRPr="00000000">
        <w:rPr>
          <w:rFonts w:ascii="Times New Roman" w:cs="Times New Roman" w:eastAsia="Times New Roman" w:hAnsi="Times New Roman"/>
          <w:sz w:val="20"/>
          <w:szCs w:val="20"/>
          <w:rtl w:val="0"/>
        </w:rPr>
        <w:t xml:space="preserve"> de origem fóssil e alta pressão e temperatura, além da necessidade da preparação prévia de catalisadores e da mistura complexa de produtos obtidos, faz com que o estudo de novas metodologias para promover a desoxigenação seja bastante desejável. </w:t>
      </w:r>
    </w:p>
    <w:p w:rsidR="00000000" w:rsidDel="00000000" w:rsidP="00000000" w:rsidRDefault="00000000" w:rsidRPr="00000000" w14:paraId="00000013">
      <w:pPr>
        <w:spacing w:after="0" w:line="24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Nessa perspectiva, a descarboxilação de ésteres redox-ativos derivados dos ácidos graxos via catálise redutiva, utilizando catalisadores comerciais de metais de transição, se configura como um método promissor e inovador para obtenção de hidrocarbonetos renováveis na faixa do bioquerosene de aviação e do diesel verde.</w:t>
      </w:r>
    </w:p>
    <w:p w:rsidR="00000000" w:rsidDel="00000000" w:rsidP="00000000" w:rsidRDefault="00000000" w:rsidRPr="00000000" w14:paraId="00000014">
      <w:pPr>
        <w:spacing w:after="0" w:line="24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5">
      <w:pPr>
        <w:pStyle w:val="Heading2"/>
        <w:widowControl w:val="1"/>
        <w:spacing w:after="0" w:before="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Experimental</w:t>
      </w:r>
    </w:p>
    <w:p w:rsidR="00000000" w:rsidDel="00000000" w:rsidP="00000000" w:rsidRDefault="00000000" w:rsidRPr="00000000" w14:paraId="00000016">
      <w:pPr>
        <w:spacing w:after="0" w:line="240" w:lineRule="auto"/>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Síntese do éster redox-ativo</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éster redox-ativo foi sintetizado a partir de uma adaptação dos métodos de Qin e seus colaboradores (6).</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Descarboxilação catalítica redutiva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um tubo de vidro contendo barra magnética, foram adicionados o éster redox-ativo do ácido láurico, agente redutor e solvente. Essa mistura foi a aquecimento, sob agitação, e uma suspensão de catalisador em DMF foi adicionada, sendo inserido na sequência o silano. O sistema foi fechado e mantido em aquecimento por 24h.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Após conclusão das reações, uma </w:t>
      </w:r>
      <w:r w:rsidDel="00000000" w:rsidR="00000000" w:rsidRPr="00000000">
        <w:rPr>
          <w:rFonts w:ascii="Times New Roman" w:cs="Times New Roman" w:eastAsia="Times New Roman" w:hAnsi="Times New Roman"/>
          <w:sz w:val="20"/>
          <w:szCs w:val="20"/>
          <w:rtl w:val="0"/>
        </w:rPr>
        <w:t xml:space="preserve">alíquota</w:t>
      </w:r>
      <w:r w:rsidDel="00000000" w:rsidR="00000000" w:rsidRPr="00000000">
        <w:rPr>
          <w:rFonts w:ascii="Times New Roman" w:cs="Times New Roman" w:eastAsia="Times New Roman" w:hAnsi="Times New Roman"/>
          <w:sz w:val="20"/>
          <w:szCs w:val="20"/>
          <w:highlight w:val="white"/>
          <w:rtl w:val="0"/>
        </w:rPr>
        <w:t xml:space="preserve"> do meio reacional foi diluída em hexano e, a esta mistura, adicionou-se hexadecano, sendo este o padrão interno.</w:t>
      </w:r>
      <w:r w:rsidDel="00000000" w:rsidR="00000000" w:rsidRPr="00000000">
        <w:rPr>
          <w:rFonts w:ascii="Times New Roman" w:cs="Times New Roman" w:eastAsia="Times New Roman" w:hAnsi="Times New Roman"/>
          <w:sz w:val="20"/>
          <w:szCs w:val="20"/>
          <w:rtl w:val="0"/>
        </w:rPr>
        <w:t xml:space="preserve"> A mistura</w:t>
      </w:r>
      <w:r w:rsidDel="00000000" w:rsidR="00000000" w:rsidRPr="00000000">
        <w:rPr>
          <w:rFonts w:ascii="Times New Roman" w:cs="Times New Roman" w:eastAsia="Times New Roman" w:hAnsi="Times New Roman"/>
          <w:sz w:val="20"/>
          <w:szCs w:val="20"/>
          <w:rtl w:val="0"/>
        </w:rPr>
        <w:t xml:space="preserve"> foi filtrada em plug de sílica gel e celite, em pipeta pasteur, diretamente em vial para subsequente análise através de CG/EM. O procedimento descrito é válido para todos os catalisadores, no entanto, com processamentos individuais.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otimização das reações está sendo feita seguindo este método geral, variando solvente, catalisador, fonte de hidrogênio e aditivos,  para obtenção das melhores condições reacionais.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1">
      <w:pPr>
        <w:pStyle w:val="Heading2"/>
        <w:spacing w:after="0" w:before="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Resultados e Discussão</w:t>
      </w:r>
    </w:p>
    <w:p w:rsidR="00000000" w:rsidDel="00000000" w:rsidP="00000000" w:rsidRDefault="00000000" w:rsidRPr="00000000" w14:paraId="00000022">
      <w:pPr>
        <w:spacing w:after="0" w:line="240" w:lineRule="auto"/>
        <w:rPr/>
      </w:pPr>
      <w:r w:rsidDel="00000000" w:rsidR="00000000" w:rsidRPr="00000000">
        <w:rPr>
          <w:rtl w:val="0"/>
        </w:rPr>
      </w:r>
    </w:p>
    <w:p w:rsidR="00000000" w:rsidDel="00000000" w:rsidP="00000000" w:rsidRDefault="00000000" w:rsidRPr="00000000" w14:paraId="00000023">
      <w:pPr>
        <w:spacing w:after="0" w:before="0" w:line="240" w:lineRule="auto"/>
        <w:ind w:firstLine="72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0"/>
          <w:szCs w:val="20"/>
          <w:rtl w:val="0"/>
        </w:rPr>
        <w:t xml:space="preserve">Seguindo o procedimento relatado pelo grupo de Qin, o éster redox-ativo do ácido láurico, foi sintetizado com êxito, alcançando rendimento máximo de 78%.</w:t>
      </w:r>
      <w:r w:rsidDel="00000000" w:rsidR="00000000" w:rsidRPr="00000000">
        <w:rPr>
          <w:rtl w:val="0"/>
        </w:rPr>
      </w:r>
    </w:p>
    <w:p w:rsidR="00000000" w:rsidDel="00000000" w:rsidP="00000000" w:rsidRDefault="00000000" w:rsidRPr="00000000" w14:paraId="00000024">
      <w:pPr>
        <w:spacing w:after="0" w:before="0" w:line="240" w:lineRule="auto"/>
        <w:ind w:left="0" w:firstLine="720"/>
        <w:jc w:val="both"/>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Começamos a nossa investigação de um método de descarboxilação redutiva </w:t>
      </w:r>
      <w:r w:rsidDel="00000000" w:rsidR="00000000" w:rsidRPr="00000000">
        <w:rPr>
          <w:rFonts w:ascii="Times New Roman" w:cs="Times New Roman" w:eastAsia="Times New Roman" w:hAnsi="Times New Roman"/>
          <w:sz w:val="20"/>
          <w:szCs w:val="20"/>
          <w:rtl w:val="0"/>
        </w:rPr>
        <w:t xml:space="preserve">catalisada</w:t>
      </w:r>
      <w:r w:rsidDel="00000000" w:rsidR="00000000" w:rsidRPr="00000000">
        <w:rPr>
          <w:rFonts w:ascii="Times New Roman" w:cs="Times New Roman" w:eastAsia="Times New Roman" w:hAnsi="Times New Roman"/>
          <w:sz w:val="20"/>
          <w:szCs w:val="20"/>
          <w:rtl w:val="0"/>
        </w:rPr>
        <w:t xml:space="preserve"> por metais de transição de ésteres derivados de ácidos graxos utilizando uma adaptação do protocolo descrito por Silva (7). A partir de tais parâmetros, iniciamos nossos testes iniciais com o uso de alguns sais metálicos comercialmente disponíveis (Fe, Co, Mn e Cu), um  silano como fonte de hidrogênio, solvente e alguns aditivos a 40ºC por 24h.</w:t>
      </w:r>
      <w:r w:rsidDel="00000000" w:rsidR="00000000" w:rsidRPr="00000000">
        <w:rPr>
          <w:rtl w:val="0"/>
        </w:rPr>
      </w:r>
    </w:p>
    <w:p w:rsidR="00000000" w:rsidDel="00000000" w:rsidP="00000000" w:rsidRDefault="00000000" w:rsidRPr="00000000" w14:paraId="00000025">
      <w:pPr>
        <w:spacing w:after="0" w:line="24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Nessas primeiras tentativas, a caracterização dos produtos se deu através de cromatografia gasosa acoplada com espectrometria de massas (CG/EM), utilizando hexadecano como padrão interno. Através dos cromatogramas obtidos foi possível visualizar que houve formação do undecano,  produto da descarboxilação do ácido láurico, que se encontra na faixa do bioquerosene de aviação, e do docosano, produto de homoacoplamento das cadeias, que se encontra na faixa do diesel verde,  nas reações envolvendo os catalisadores de ferro e cobalto.</w:t>
      </w:r>
    </w:p>
    <w:p w:rsidR="00000000" w:rsidDel="00000000" w:rsidP="00000000" w:rsidRDefault="00000000" w:rsidRPr="00000000" w14:paraId="00000026">
      <w:pPr>
        <w:spacing w:after="0" w:line="24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Embora se tenha obtido prontamente o produto desejado, o undecano, um processo de otimização na busca por melhores condições reacionais se faz necessário, de modo a se obter uma maior seletividade e favorecer a formação do produto principal. Atualmente nosso grupo está concentrado seus esforços na otimização do solvente das reações que utilizam dos catalisadores de Fe e Co.</w:t>
      </w:r>
    </w:p>
    <w:p w:rsidR="00000000" w:rsidDel="00000000" w:rsidP="00000000" w:rsidRDefault="00000000" w:rsidRPr="00000000" w14:paraId="00000027">
      <w:pPr>
        <w:spacing w:after="0" w:line="240" w:lineRule="auto"/>
        <w:ind w:firstLine="7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8">
      <w:pPr>
        <w:pStyle w:val="Heading2"/>
        <w:spacing w:after="0" w:before="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Conclusões</w:t>
      </w:r>
    </w:p>
    <w:p w:rsidR="00000000" w:rsidDel="00000000" w:rsidP="00000000" w:rsidRDefault="00000000" w:rsidRPr="00000000" w14:paraId="00000029">
      <w:pPr>
        <w:spacing w:after="0" w:line="240" w:lineRule="auto"/>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derivatização do ácido graxo estudado em éster redox-ativo se mostrou uma via eficiente para a produção de hidrocarbonetos renováveis. Tal conversão possibilitou que o processo fosse realizado em bancada, sob procedimentos operacionalmente simples, valendo-se de  condições brandas e pressão ambiente.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que se refere ao processo de descarboxilação, a utilização de catalisadores de Fe e Co, assim como de um silano não tóxico como fonte de hidrogênio alternativa se mostrou uma via promissora para a obtenção de biocombustíveis drop-in.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que tange o nosso conhecimento, ainda não foi relatado na literatura um protocolo para a produção de biocombustíveis drop-in utilizando as condições reportadas neste trabalho.</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pStyle w:val="Heading2"/>
        <w:spacing w:after="0" w:before="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Agradecimentos</w:t>
      </w:r>
    </w:p>
    <w:p w:rsidR="00000000" w:rsidDel="00000000" w:rsidP="00000000" w:rsidRDefault="00000000" w:rsidRPr="00000000" w14:paraId="0000002F">
      <w:pPr>
        <w:spacing w:after="0" w:line="240" w:lineRule="auto"/>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Os autores agradecem ao Programa de Recursos Humanos da Agência Nacional de Petróleo (PRH 37.1/ANP) pelas bolsas ofertadas. Os autores também são gratos ao </w:t>
      </w:r>
      <w:r w:rsidDel="00000000" w:rsidR="00000000" w:rsidRPr="00000000">
        <w:rPr>
          <w:rFonts w:ascii="Times New Roman" w:cs="Times New Roman" w:eastAsia="Times New Roman" w:hAnsi="Times New Roman"/>
          <w:sz w:val="20"/>
          <w:szCs w:val="20"/>
          <w:highlight w:val="white"/>
          <w:rtl w:val="0"/>
        </w:rPr>
        <w:t xml:space="preserve">Núcleo de Processamento Primário e Reuso de Água Produzida e Resíduos (NUPPRAR) e ao </w:t>
      </w:r>
      <w:r w:rsidDel="00000000" w:rsidR="00000000" w:rsidRPr="00000000">
        <w:rPr>
          <w:rFonts w:ascii="Times New Roman" w:cs="Times New Roman" w:eastAsia="Times New Roman" w:hAnsi="Times New Roman"/>
          <w:sz w:val="20"/>
          <w:szCs w:val="20"/>
          <w:rtl w:val="0"/>
        </w:rPr>
        <w:t xml:space="preserve">Programa de Pós-Graduação em Química da Universidade Federal do Rio Grande do Norte (PPGQ/UFRN) </w:t>
      </w:r>
      <w:r w:rsidDel="00000000" w:rsidR="00000000" w:rsidRPr="00000000">
        <w:rPr>
          <w:rFonts w:ascii="Times New Roman" w:cs="Times New Roman" w:eastAsia="Times New Roman" w:hAnsi="Times New Roman"/>
          <w:sz w:val="20"/>
          <w:szCs w:val="20"/>
          <w:highlight w:val="white"/>
          <w:rtl w:val="0"/>
        </w:rPr>
        <w:t xml:space="preserve">pela disponibilidade dos instrumentos necessários para realização dos procedimentos e análises.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2"/>
        <w:jc w:val="both"/>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032">
      <w:pPr>
        <w:pStyle w:val="Heading2"/>
        <w:spacing w:after="0" w:before="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Referências</w:t>
      </w:r>
    </w:p>
    <w:p w:rsidR="00000000" w:rsidDel="00000000" w:rsidP="00000000" w:rsidRDefault="00000000" w:rsidRPr="00000000" w14:paraId="00000033">
      <w:pPr>
        <w:spacing w:after="0" w:before="0" w:line="240" w:lineRule="auto"/>
        <w:rPr/>
      </w:pPr>
      <w:r w:rsidDel="00000000" w:rsidR="00000000" w:rsidRPr="00000000">
        <w:rPr>
          <w:rtl w:val="0"/>
        </w:rPr>
      </w:r>
    </w:p>
    <w:p w:rsidR="00000000" w:rsidDel="00000000" w:rsidP="00000000" w:rsidRDefault="00000000" w:rsidRPr="00000000" w14:paraId="00000034">
      <w:pPr>
        <w:numPr>
          <w:ilvl w:val="0"/>
          <w:numId w:val="1"/>
        </w:numPr>
        <w:spacing w:after="0" w:before="0" w:line="240" w:lineRule="auto"/>
        <w:ind w:left="720" w:hanging="360"/>
        <w:jc w:val="both"/>
        <w:rPr>
          <w:sz w:val="20"/>
          <w:szCs w:val="20"/>
        </w:rPr>
      </w:pPr>
      <w:r w:rsidDel="00000000" w:rsidR="00000000" w:rsidRPr="00000000">
        <w:rPr>
          <w:rFonts w:ascii="Times New Roman" w:cs="Times New Roman" w:eastAsia="Times New Roman" w:hAnsi="Times New Roman"/>
          <w:color w:val="222222"/>
          <w:sz w:val="20"/>
          <w:szCs w:val="20"/>
          <w:rtl w:val="0"/>
        </w:rPr>
        <w:t xml:space="preserve">S. O'neill, </w:t>
      </w:r>
      <w:r w:rsidDel="00000000" w:rsidR="00000000" w:rsidRPr="00000000">
        <w:rPr>
          <w:rFonts w:ascii="Times New Roman" w:cs="Times New Roman" w:eastAsia="Times New Roman" w:hAnsi="Times New Roman"/>
          <w:i w:val="1"/>
          <w:color w:val="222222"/>
          <w:sz w:val="20"/>
          <w:szCs w:val="20"/>
          <w:rtl w:val="0"/>
        </w:rPr>
        <w:t xml:space="preserve">Engineering</w:t>
      </w:r>
      <w:r w:rsidDel="00000000" w:rsidR="00000000" w:rsidRPr="00000000">
        <w:rPr>
          <w:rFonts w:ascii="Times New Roman" w:cs="Times New Roman" w:eastAsia="Times New Roman" w:hAnsi="Times New Roman"/>
          <w:color w:val="222222"/>
          <w:sz w:val="20"/>
          <w:szCs w:val="20"/>
          <w:rtl w:val="0"/>
        </w:rPr>
        <w:t xml:space="preserve">, </w:t>
      </w:r>
      <w:r w:rsidDel="00000000" w:rsidR="00000000" w:rsidRPr="00000000">
        <w:rPr>
          <w:rFonts w:ascii="Times New Roman" w:cs="Times New Roman" w:eastAsia="Times New Roman" w:hAnsi="Times New Roman"/>
          <w:b w:val="1"/>
          <w:color w:val="222222"/>
          <w:sz w:val="20"/>
          <w:szCs w:val="20"/>
          <w:rtl w:val="0"/>
        </w:rPr>
        <w:t xml:space="preserve">2020</w:t>
      </w:r>
      <w:r w:rsidDel="00000000" w:rsidR="00000000" w:rsidRPr="00000000">
        <w:rPr>
          <w:rFonts w:ascii="Times New Roman" w:cs="Times New Roman" w:eastAsia="Times New Roman" w:hAnsi="Times New Roman"/>
          <w:color w:val="222222"/>
          <w:sz w:val="20"/>
          <w:szCs w:val="20"/>
          <w:rtl w:val="0"/>
        </w:rPr>
        <w:t xml:space="preserve">, </w:t>
      </w:r>
      <w:r w:rsidDel="00000000" w:rsidR="00000000" w:rsidRPr="00000000">
        <w:rPr>
          <w:rFonts w:ascii="Times New Roman" w:cs="Times New Roman" w:eastAsia="Times New Roman" w:hAnsi="Times New Roman"/>
          <w:i w:val="1"/>
          <w:color w:val="222222"/>
          <w:sz w:val="20"/>
          <w:szCs w:val="20"/>
          <w:rtl w:val="0"/>
        </w:rPr>
        <w:t xml:space="preserve">6</w:t>
      </w:r>
      <w:r w:rsidDel="00000000" w:rsidR="00000000" w:rsidRPr="00000000">
        <w:rPr>
          <w:rFonts w:ascii="Times New Roman" w:cs="Times New Roman" w:eastAsia="Times New Roman" w:hAnsi="Times New Roman"/>
          <w:color w:val="222222"/>
          <w:sz w:val="20"/>
          <w:szCs w:val="20"/>
          <w:rtl w:val="0"/>
        </w:rPr>
        <w:t xml:space="preserve">, 958.</w:t>
      </w:r>
    </w:p>
    <w:p w:rsidR="00000000" w:rsidDel="00000000" w:rsidP="00000000" w:rsidRDefault="00000000" w:rsidRPr="00000000" w14:paraId="00000035">
      <w:pPr>
        <w:numPr>
          <w:ilvl w:val="0"/>
          <w:numId w:val="1"/>
        </w:numPr>
        <w:spacing w:after="0" w:line="240" w:lineRule="auto"/>
        <w:ind w:left="720" w:hanging="360"/>
        <w:jc w:val="both"/>
        <w:rPr>
          <w:sz w:val="20"/>
          <w:szCs w:val="20"/>
        </w:rPr>
      </w:pPr>
      <w:r w:rsidDel="00000000" w:rsidR="00000000" w:rsidRPr="00000000">
        <w:rPr>
          <w:rFonts w:ascii="Times New Roman" w:cs="Times New Roman" w:eastAsia="Times New Roman" w:hAnsi="Times New Roman"/>
          <w:color w:val="222222"/>
          <w:sz w:val="20"/>
          <w:szCs w:val="20"/>
          <w:rtl w:val="0"/>
        </w:rPr>
        <w:t xml:space="preserve">K. Kumar; D. Das, </w:t>
      </w:r>
      <w:r w:rsidDel="00000000" w:rsidR="00000000" w:rsidRPr="00000000">
        <w:rPr>
          <w:rFonts w:ascii="Times New Roman" w:cs="Times New Roman" w:eastAsia="Times New Roman" w:hAnsi="Times New Roman"/>
          <w:i w:val="1"/>
          <w:color w:val="222222"/>
          <w:sz w:val="20"/>
          <w:szCs w:val="20"/>
          <w:rtl w:val="0"/>
        </w:rPr>
        <w:t xml:space="preserve">Heidelberg: Springer</w:t>
      </w:r>
      <w:r w:rsidDel="00000000" w:rsidR="00000000" w:rsidRPr="00000000">
        <w:rPr>
          <w:rFonts w:ascii="Times New Roman" w:cs="Times New Roman" w:eastAsia="Times New Roman" w:hAnsi="Times New Roman"/>
          <w:color w:val="222222"/>
          <w:sz w:val="20"/>
          <w:szCs w:val="20"/>
          <w:rtl w:val="0"/>
        </w:rPr>
        <w:t xml:space="preserve">, </w:t>
      </w:r>
      <w:r w:rsidDel="00000000" w:rsidR="00000000" w:rsidRPr="00000000">
        <w:rPr>
          <w:rFonts w:ascii="Times New Roman" w:cs="Times New Roman" w:eastAsia="Times New Roman" w:hAnsi="Times New Roman"/>
          <w:b w:val="1"/>
          <w:color w:val="222222"/>
          <w:sz w:val="20"/>
          <w:szCs w:val="20"/>
          <w:rtl w:val="0"/>
        </w:rPr>
        <w:t xml:space="preserve">2014</w:t>
      </w:r>
      <w:r w:rsidDel="00000000" w:rsidR="00000000" w:rsidRPr="00000000">
        <w:rPr>
          <w:rFonts w:ascii="Times New Roman" w:cs="Times New Roman" w:eastAsia="Times New Roman" w:hAnsi="Times New Roman"/>
          <w:color w:val="222222"/>
          <w:sz w:val="20"/>
          <w:szCs w:val="20"/>
          <w:rtl w:val="0"/>
        </w:rPr>
        <w:t xml:space="preserve">, 303–334.</w:t>
      </w:r>
    </w:p>
    <w:p w:rsidR="00000000" w:rsidDel="00000000" w:rsidP="00000000" w:rsidRDefault="00000000" w:rsidRPr="00000000" w14:paraId="00000036">
      <w:pPr>
        <w:numPr>
          <w:ilvl w:val="0"/>
          <w:numId w:val="1"/>
        </w:numPr>
        <w:spacing w:after="0" w:line="240" w:lineRule="auto"/>
        <w:ind w:left="720" w:hanging="360"/>
        <w:jc w:val="both"/>
        <w:rPr>
          <w:sz w:val="20"/>
          <w:szCs w:val="20"/>
        </w:rPr>
      </w:pPr>
      <w:r w:rsidDel="00000000" w:rsidR="00000000" w:rsidRPr="00000000">
        <w:rPr>
          <w:rFonts w:ascii="Times New Roman" w:cs="Times New Roman" w:eastAsia="Times New Roman" w:hAnsi="Times New Roman"/>
          <w:sz w:val="20"/>
          <w:szCs w:val="20"/>
          <w:rtl w:val="0"/>
        </w:rPr>
        <w:t xml:space="preserve">M. C. D. Silva; L. M. Silva; N. A. Santos; M. M. Conceição; A. G. Souza; A. O. Santos, </w:t>
      </w:r>
      <w:r w:rsidDel="00000000" w:rsidR="00000000" w:rsidRPr="00000000">
        <w:rPr>
          <w:rFonts w:ascii="Times New Roman" w:cs="Times New Roman" w:eastAsia="Times New Roman" w:hAnsi="Times New Roman"/>
          <w:i w:val="1"/>
          <w:sz w:val="20"/>
          <w:szCs w:val="20"/>
          <w:rtl w:val="0"/>
        </w:rPr>
        <w:t xml:space="preserve">J. of Ther. Analy. and Calori. </w:t>
      </w:r>
      <w:r w:rsidDel="00000000" w:rsidR="00000000" w:rsidRPr="00000000">
        <w:rPr>
          <w:rFonts w:ascii="Times New Roman" w:cs="Times New Roman" w:eastAsia="Times New Roman" w:hAnsi="Times New Roman"/>
          <w:b w:val="1"/>
          <w:sz w:val="20"/>
          <w:szCs w:val="20"/>
          <w:rtl w:val="0"/>
        </w:rPr>
        <w:t xml:space="preserve"> 2011</w:t>
      </w:r>
      <w:r w:rsidDel="00000000" w:rsidR="00000000" w:rsidRPr="00000000">
        <w:rPr>
          <w:rFonts w:ascii="Times New Roman" w:cs="Times New Roman" w:eastAsia="Times New Roman" w:hAnsi="Times New Roman"/>
          <w:sz w:val="20"/>
          <w:szCs w:val="20"/>
          <w:rtl w:val="0"/>
        </w:rPr>
        <w:t xml:space="preserve">, 106, 363-367.</w:t>
      </w:r>
    </w:p>
    <w:p w:rsidR="00000000" w:rsidDel="00000000" w:rsidP="00000000" w:rsidRDefault="00000000" w:rsidRPr="00000000" w14:paraId="00000037">
      <w:pPr>
        <w:numPr>
          <w:ilvl w:val="0"/>
          <w:numId w:val="1"/>
        </w:numPr>
        <w:spacing w:after="0" w:line="240" w:lineRule="auto"/>
        <w:ind w:left="720" w:hanging="360"/>
        <w:jc w:val="both"/>
        <w:rPr>
          <w:sz w:val="20"/>
          <w:szCs w:val="20"/>
        </w:rPr>
      </w:pPr>
      <w:r w:rsidDel="00000000" w:rsidR="00000000" w:rsidRPr="00000000">
        <w:rPr>
          <w:rFonts w:ascii="Times New Roman" w:cs="Times New Roman" w:eastAsia="Times New Roman" w:hAnsi="Times New Roman"/>
          <w:color w:val="222222"/>
          <w:sz w:val="20"/>
          <w:szCs w:val="20"/>
          <w:rtl w:val="0"/>
        </w:rPr>
        <w:t xml:space="preserve">B. P. Pattanaik; R. D. Misra, </w:t>
      </w:r>
      <w:r w:rsidDel="00000000" w:rsidR="00000000" w:rsidRPr="00000000">
        <w:rPr>
          <w:rFonts w:ascii="Times New Roman" w:cs="Times New Roman" w:eastAsia="Times New Roman" w:hAnsi="Times New Roman"/>
          <w:i w:val="1"/>
          <w:color w:val="222222"/>
          <w:sz w:val="20"/>
          <w:szCs w:val="20"/>
          <w:rtl w:val="0"/>
        </w:rPr>
        <w:t xml:space="preserve">Ener. Rev.</w:t>
      </w:r>
      <w:r w:rsidDel="00000000" w:rsidR="00000000" w:rsidRPr="00000000">
        <w:rPr>
          <w:rFonts w:ascii="Times New Roman" w:cs="Times New Roman" w:eastAsia="Times New Roman" w:hAnsi="Times New Roman"/>
          <w:color w:val="222222"/>
          <w:sz w:val="20"/>
          <w:szCs w:val="20"/>
          <w:rtl w:val="0"/>
        </w:rPr>
        <w:t xml:space="preserve"> </w:t>
      </w:r>
      <w:r w:rsidDel="00000000" w:rsidR="00000000" w:rsidRPr="00000000">
        <w:rPr>
          <w:rFonts w:ascii="Times New Roman" w:cs="Times New Roman" w:eastAsia="Times New Roman" w:hAnsi="Times New Roman"/>
          <w:b w:val="1"/>
          <w:color w:val="222222"/>
          <w:sz w:val="20"/>
          <w:szCs w:val="20"/>
          <w:rtl w:val="0"/>
        </w:rPr>
        <w:t xml:space="preserve">2017</w:t>
      </w:r>
      <w:r w:rsidDel="00000000" w:rsidR="00000000" w:rsidRPr="00000000">
        <w:rPr>
          <w:rFonts w:ascii="Times New Roman" w:cs="Times New Roman" w:eastAsia="Times New Roman" w:hAnsi="Times New Roman"/>
          <w:color w:val="222222"/>
          <w:sz w:val="20"/>
          <w:szCs w:val="20"/>
          <w:rtl w:val="0"/>
        </w:rPr>
        <w:t xml:space="preserve">, </w:t>
      </w:r>
      <w:r w:rsidDel="00000000" w:rsidR="00000000" w:rsidRPr="00000000">
        <w:rPr>
          <w:rFonts w:ascii="Times New Roman" w:cs="Times New Roman" w:eastAsia="Times New Roman" w:hAnsi="Times New Roman"/>
          <w:i w:val="1"/>
          <w:color w:val="222222"/>
          <w:sz w:val="20"/>
          <w:szCs w:val="20"/>
          <w:rtl w:val="0"/>
        </w:rPr>
        <w:t xml:space="preserve">73</w:t>
      </w:r>
      <w:r w:rsidDel="00000000" w:rsidR="00000000" w:rsidRPr="00000000">
        <w:rPr>
          <w:rFonts w:ascii="Times New Roman" w:cs="Times New Roman" w:eastAsia="Times New Roman" w:hAnsi="Times New Roman"/>
          <w:color w:val="222222"/>
          <w:sz w:val="20"/>
          <w:szCs w:val="20"/>
          <w:rtl w:val="0"/>
        </w:rPr>
        <w:t xml:space="preserve">, 545–557.</w:t>
      </w:r>
      <w:r w:rsidDel="00000000" w:rsidR="00000000" w:rsidRPr="00000000">
        <w:rPr>
          <w:rtl w:val="0"/>
        </w:rPr>
      </w:r>
    </w:p>
    <w:p w:rsidR="00000000" w:rsidDel="00000000" w:rsidP="00000000" w:rsidRDefault="00000000" w:rsidRPr="00000000" w14:paraId="00000038">
      <w:pPr>
        <w:numPr>
          <w:ilvl w:val="0"/>
          <w:numId w:val="1"/>
        </w:numPr>
        <w:spacing w:after="0" w:line="240" w:lineRule="auto"/>
        <w:ind w:left="720" w:hanging="360"/>
        <w:jc w:val="both"/>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sz w:val="20"/>
          <w:szCs w:val="20"/>
          <w:rtl w:val="0"/>
        </w:rPr>
        <w:t xml:space="preserve">P. H. M. Araújo; A. S.  Maia; A. M. T. M.  Cordeiro; A. D.  Gondim; N. A.  Santos, </w:t>
      </w:r>
      <w:r w:rsidDel="00000000" w:rsidR="00000000" w:rsidRPr="00000000">
        <w:rPr>
          <w:rFonts w:ascii="Times New Roman" w:cs="Times New Roman" w:eastAsia="Times New Roman" w:hAnsi="Times New Roman"/>
          <w:i w:val="1"/>
          <w:sz w:val="20"/>
          <w:szCs w:val="20"/>
          <w:rtl w:val="0"/>
        </w:rPr>
        <w:t xml:space="preserve">ACS Ome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2019</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4</w:t>
      </w:r>
      <w:r w:rsidDel="00000000" w:rsidR="00000000" w:rsidRPr="00000000">
        <w:rPr>
          <w:rFonts w:ascii="Times New Roman" w:cs="Times New Roman" w:eastAsia="Times New Roman" w:hAnsi="Times New Roman"/>
          <w:sz w:val="20"/>
          <w:szCs w:val="20"/>
          <w:rtl w:val="0"/>
        </w:rPr>
        <w:t xml:space="preserve">, 15849-15855.</w:t>
      </w:r>
    </w:p>
    <w:p w:rsidR="00000000" w:rsidDel="00000000" w:rsidP="00000000" w:rsidRDefault="00000000" w:rsidRPr="00000000" w14:paraId="00000039">
      <w:pPr>
        <w:numPr>
          <w:ilvl w:val="0"/>
          <w:numId w:val="1"/>
        </w:numPr>
        <w:spacing w:after="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rtl w:val="0"/>
        </w:rPr>
        <w:t xml:space="preserve">T. Qin; L. R. Malins; J. T. Edwards; R. R. Merchant; A. J. E. Novak; J. Z.  Zhong; R. B. Mills; M. Yan; C. Yuan; M. D. Eastgate; P. S. Baran, </w:t>
      </w:r>
      <w:r w:rsidDel="00000000" w:rsidR="00000000" w:rsidRPr="00000000">
        <w:rPr>
          <w:rFonts w:ascii="Times New Roman" w:cs="Times New Roman" w:eastAsia="Times New Roman" w:hAnsi="Times New Roman"/>
          <w:i w:val="1"/>
          <w:color w:val="222222"/>
          <w:sz w:val="20"/>
          <w:szCs w:val="20"/>
          <w:rtl w:val="0"/>
        </w:rPr>
        <w:t xml:space="preserve">Angew. Chem</w:t>
      </w:r>
      <w:r w:rsidDel="00000000" w:rsidR="00000000" w:rsidRPr="00000000">
        <w:rPr>
          <w:rFonts w:ascii="Times New Roman" w:cs="Times New Roman" w:eastAsia="Times New Roman" w:hAnsi="Times New Roman"/>
          <w:color w:val="222222"/>
          <w:sz w:val="20"/>
          <w:szCs w:val="20"/>
          <w:rtl w:val="0"/>
        </w:rPr>
        <w:t xml:space="preserve">. </w:t>
      </w:r>
      <w:r w:rsidDel="00000000" w:rsidR="00000000" w:rsidRPr="00000000">
        <w:rPr>
          <w:rFonts w:ascii="Times New Roman" w:cs="Times New Roman" w:eastAsia="Times New Roman" w:hAnsi="Times New Roman"/>
          <w:b w:val="1"/>
          <w:color w:val="222222"/>
          <w:sz w:val="20"/>
          <w:szCs w:val="20"/>
          <w:rtl w:val="0"/>
        </w:rPr>
        <w:t xml:space="preserve">2017</w:t>
      </w:r>
      <w:r w:rsidDel="00000000" w:rsidR="00000000" w:rsidRPr="00000000">
        <w:rPr>
          <w:rFonts w:ascii="Times New Roman" w:cs="Times New Roman" w:eastAsia="Times New Roman" w:hAnsi="Times New Roman"/>
          <w:color w:val="222222"/>
          <w:sz w:val="20"/>
          <w:szCs w:val="20"/>
          <w:rtl w:val="0"/>
        </w:rPr>
        <w:t xml:space="preserve">, </w:t>
      </w:r>
      <w:r w:rsidDel="00000000" w:rsidR="00000000" w:rsidRPr="00000000">
        <w:rPr>
          <w:rFonts w:ascii="Times New Roman" w:cs="Times New Roman" w:eastAsia="Times New Roman" w:hAnsi="Times New Roman"/>
          <w:i w:val="1"/>
          <w:color w:val="222222"/>
          <w:sz w:val="20"/>
          <w:szCs w:val="20"/>
          <w:rtl w:val="0"/>
        </w:rPr>
        <w:t xml:space="preserve">56</w:t>
      </w:r>
      <w:r w:rsidDel="00000000" w:rsidR="00000000" w:rsidRPr="00000000">
        <w:rPr>
          <w:rFonts w:ascii="Times New Roman" w:cs="Times New Roman" w:eastAsia="Times New Roman" w:hAnsi="Times New Roman"/>
          <w:color w:val="222222"/>
          <w:sz w:val="20"/>
          <w:szCs w:val="20"/>
          <w:rtl w:val="0"/>
        </w:rPr>
        <w:t xml:space="preserve">, 260-265.</w:t>
      </w:r>
    </w:p>
    <w:p w:rsidR="00000000" w:rsidDel="00000000" w:rsidP="00000000" w:rsidRDefault="00000000" w:rsidRPr="00000000" w14:paraId="0000003A">
      <w:pPr>
        <w:numPr>
          <w:ilvl w:val="0"/>
          <w:numId w:val="1"/>
        </w:numPr>
        <w:spacing w:after="0" w:line="240" w:lineRule="auto"/>
        <w:ind w:left="720" w:hanging="360"/>
        <w:jc w:val="both"/>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M. S. B. Silva; J. G. L. Araújo; J. C. C. V. Bento; A. M. Azevedo; C. R. O. Souto; A. C. D. Anjos; A. M. M. Araújo; D. R. Silva; F. G. Menezes; A. D. Gondim; L. N. Cavalcanti,  </w:t>
      </w:r>
      <w:r w:rsidDel="00000000" w:rsidR="00000000" w:rsidRPr="00000000">
        <w:rPr>
          <w:rFonts w:ascii="Times New Roman" w:cs="Times New Roman" w:eastAsia="Times New Roman" w:hAnsi="Times New Roman"/>
          <w:i w:val="1"/>
          <w:color w:val="222222"/>
          <w:sz w:val="20"/>
          <w:szCs w:val="20"/>
          <w:rtl w:val="0"/>
        </w:rPr>
        <w:t xml:space="preserve">RSC Advanc</w:t>
      </w:r>
      <w:r w:rsidDel="00000000" w:rsidR="00000000" w:rsidRPr="00000000">
        <w:rPr>
          <w:rFonts w:ascii="Times New Roman" w:cs="Times New Roman" w:eastAsia="Times New Roman" w:hAnsi="Times New Roman"/>
          <w:color w:val="222222"/>
          <w:sz w:val="20"/>
          <w:szCs w:val="20"/>
          <w:rtl w:val="0"/>
        </w:rPr>
        <w:t xml:space="preserve">. </w:t>
      </w:r>
      <w:r w:rsidDel="00000000" w:rsidR="00000000" w:rsidRPr="00000000">
        <w:rPr>
          <w:rFonts w:ascii="Times New Roman" w:cs="Times New Roman" w:eastAsia="Times New Roman" w:hAnsi="Times New Roman"/>
          <w:b w:val="1"/>
          <w:color w:val="222222"/>
          <w:sz w:val="20"/>
          <w:szCs w:val="20"/>
          <w:rtl w:val="0"/>
        </w:rPr>
        <w:t xml:space="preserve">2022</w:t>
      </w:r>
      <w:r w:rsidDel="00000000" w:rsidR="00000000" w:rsidRPr="00000000">
        <w:rPr>
          <w:rFonts w:ascii="Times New Roman" w:cs="Times New Roman" w:eastAsia="Times New Roman" w:hAnsi="Times New Roman"/>
          <w:color w:val="222222"/>
          <w:sz w:val="20"/>
          <w:szCs w:val="20"/>
          <w:rtl w:val="0"/>
        </w:rPr>
        <w:t xml:space="preserve">, </w:t>
      </w:r>
      <w:r w:rsidDel="00000000" w:rsidR="00000000" w:rsidRPr="00000000">
        <w:rPr>
          <w:rFonts w:ascii="Times New Roman" w:cs="Times New Roman" w:eastAsia="Times New Roman" w:hAnsi="Times New Roman"/>
          <w:i w:val="1"/>
          <w:color w:val="222222"/>
          <w:sz w:val="20"/>
          <w:szCs w:val="20"/>
          <w:rtl w:val="0"/>
        </w:rPr>
        <w:t xml:space="preserve">12</w:t>
      </w:r>
      <w:r w:rsidDel="00000000" w:rsidR="00000000" w:rsidRPr="00000000">
        <w:rPr>
          <w:rFonts w:ascii="Times New Roman" w:cs="Times New Roman" w:eastAsia="Times New Roman" w:hAnsi="Times New Roman"/>
          <w:color w:val="222222"/>
          <w:sz w:val="20"/>
          <w:szCs w:val="20"/>
          <w:rtl w:val="0"/>
        </w:rPr>
        <w:t xml:space="preserve">,  27889-27894.</w:t>
      </w:r>
      <w:r w:rsidDel="00000000" w:rsidR="00000000" w:rsidRPr="00000000">
        <w:rPr>
          <w:rtl w:val="0"/>
        </w:rPr>
      </w:r>
    </w:p>
    <w:sectPr>
      <w:type w:val="continuous"/>
      <w:pgSz w:h="16838" w:w="11906" w:orient="portrait"/>
      <w:pgMar w:bottom="1418" w:top="1418" w:left="567" w:right="1094" w:header="709" w:footer="709"/>
      <w:cols w:equalWidth="0" w:num="2">
        <w:col w:space="708" w:w="4768.499999999999"/>
        <w:col w:space="0" w:w="4768.49999999999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Pr>
      <w:drawing>
        <wp:inline distB="0" distT="0" distL="0" distR="0">
          <wp:extent cx="1552733" cy="1069109"/>
          <wp:effectExtent b="0" l="0" r="0" t="0"/>
          <wp:docPr id="12" name="image1.jpg"/>
          <a:graphic>
            <a:graphicData uri="http://schemas.openxmlformats.org/drawingml/2006/picture">
              <pic:pic>
                <pic:nvPicPr>
                  <pic:cNvPr id="0" name="image1.jpg"/>
                  <pic:cNvPicPr preferRelativeResize="0"/>
                </pic:nvPicPr>
                <pic:blipFill>
                  <a:blip r:embed="rId1"/>
                  <a:srcRect b="16130" l="15623" r="28687" t="15704"/>
                  <a:stretch>
                    <a:fillRect/>
                  </a:stretch>
                </pic:blipFill>
                <pic:spPr>
                  <a:xfrm>
                    <a:off x="0" y="0"/>
                    <a:ext cx="1552733" cy="1069109"/>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Pr>
      <w:drawing>
        <wp:inline distB="0" distT="0" distL="0" distR="0">
          <wp:extent cx="1963713" cy="696036"/>
          <wp:effectExtent b="0" l="0" r="0" t="0"/>
          <wp:docPr descr="Logo do Site" id="13" name="image2.png"/>
          <a:graphic>
            <a:graphicData uri="http://schemas.openxmlformats.org/drawingml/2006/picture">
              <pic:pic>
                <pic:nvPicPr>
                  <pic:cNvPr descr="Logo do Site" id="0" name="image2.png"/>
                  <pic:cNvPicPr preferRelativeResize="0"/>
                </pic:nvPicPr>
                <pic:blipFill>
                  <a:blip r:embed="rId2"/>
                  <a:srcRect b="0" l="0" r="0" t="0"/>
                  <a:stretch>
                    <a:fillRect/>
                  </a:stretch>
                </pic:blipFill>
                <pic:spPr>
                  <a:xfrm>
                    <a:off x="0" y="0"/>
                    <a:ext cx="1963713" cy="69603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1"/>
        <w:szCs w:val="21"/>
        <w:lang w:val="pt-BR"/>
      </w:rPr>
    </w:rPrDefault>
    <w:pPrDefault>
      <w:pPr>
        <w:spacing w:after="160" w:line="3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20" w:line="240" w:lineRule="auto"/>
      <w:jc w:val="center"/>
    </w:pPr>
    <w:rPr>
      <w:rFonts w:ascii="Calibri" w:cs="Calibri" w:eastAsia="Calibri" w:hAnsi="Calibri"/>
      <w:color w:val="2f5496"/>
      <w:sz w:val="40"/>
      <w:szCs w:val="40"/>
    </w:rPr>
  </w:style>
  <w:style w:type="paragraph" w:styleId="Heading2">
    <w:name w:val="heading 2"/>
    <w:basedOn w:val="Normal"/>
    <w:next w:val="Normal"/>
    <w:pPr>
      <w:keepNext w:val="1"/>
      <w:keepLines w:val="1"/>
      <w:spacing w:after="40" w:before="160" w:line="240" w:lineRule="auto"/>
      <w:jc w:val="center"/>
    </w:pPr>
    <w:rPr>
      <w:rFonts w:ascii="Calibri" w:cs="Calibri" w:eastAsia="Calibri" w:hAnsi="Calibri"/>
      <w:sz w:val="32"/>
      <w:szCs w:val="32"/>
    </w:rPr>
  </w:style>
  <w:style w:type="paragraph" w:styleId="Heading3">
    <w:name w:val="heading 3"/>
    <w:basedOn w:val="Normal"/>
    <w:next w:val="Normal"/>
    <w:pPr>
      <w:keepNext w:val="1"/>
      <w:keepLines w:val="1"/>
      <w:spacing w:after="0" w:before="160" w:line="240" w:lineRule="auto"/>
    </w:pPr>
    <w:rPr>
      <w:rFonts w:ascii="Calibri" w:cs="Calibri" w:eastAsia="Calibri" w:hAnsi="Calibri"/>
      <w:sz w:val="32"/>
      <w:szCs w:val="32"/>
    </w:rPr>
  </w:style>
  <w:style w:type="paragraph" w:styleId="Heading4">
    <w:name w:val="heading 4"/>
    <w:basedOn w:val="Normal"/>
    <w:next w:val="Normal"/>
    <w:pPr>
      <w:keepNext w:val="1"/>
      <w:keepLines w:val="1"/>
      <w:spacing w:after="0" w:before="80" w:lineRule="auto"/>
    </w:pPr>
    <w:rPr>
      <w:rFonts w:ascii="Calibri" w:cs="Calibri" w:eastAsia="Calibri" w:hAnsi="Calibri"/>
      <w:i w:val="1"/>
      <w:sz w:val="30"/>
      <w:szCs w:val="30"/>
    </w:rPr>
  </w:style>
  <w:style w:type="paragraph" w:styleId="Heading5">
    <w:name w:val="heading 5"/>
    <w:basedOn w:val="Normal"/>
    <w:next w:val="Normal"/>
    <w:pPr>
      <w:keepNext w:val="1"/>
      <w:keepLines w:val="1"/>
      <w:spacing w:after="0" w:before="40" w:lineRule="auto"/>
    </w:pPr>
    <w:rPr>
      <w:rFonts w:ascii="Calibri" w:cs="Calibri" w:eastAsia="Calibri" w:hAnsi="Calibri"/>
      <w:sz w:val="28"/>
      <w:szCs w:val="28"/>
    </w:rPr>
  </w:style>
  <w:style w:type="paragraph" w:styleId="Heading6">
    <w:name w:val="heading 6"/>
    <w:basedOn w:val="Normal"/>
    <w:next w:val="Normal"/>
    <w:pPr>
      <w:keepNext w:val="1"/>
      <w:keepLines w:val="1"/>
      <w:spacing w:after="0" w:before="40" w:lineRule="auto"/>
    </w:pPr>
    <w:rPr>
      <w:rFonts w:ascii="Calibri" w:cs="Calibri" w:eastAsia="Calibri" w:hAnsi="Calibri"/>
      <w:i w:val="1"/>
      <w:sz w:val="26"/>
      <w:szCs w:val="26"/>
    </w:rPr>
  </w:style>
  <w:style w:type="paragraph" w:styleId="Title">
    <w:name w:val="Title"/>
    <w:basedOn w:val="Normal"/>
    <w:next w:val="Normal"/>
    <w:pPr>
      <w:pBdr>
        <w:top w:color="a5a5a5" w:space="8" w:sz="6" w:val="single"/>
        <w:bottom w:color="a5a5a5" w:space="8" w:sz="6" w:val="single"/>
      </w:pBdr>
      <w:spacing w:after="400" w:line="240" w:lineRule="auto"/>
      <w:jc w:val="center"/>
    </w:pPr>
    <w:rPr>
      <w:rFonts w:ascii="Calibri" w:cs="Calibri" w:eastAsia="Calibri" w:hAnsi="Calibri"/>
      <w:smallCaps w:val="1"/>
      <w:color w:val="44546a"/>
      <w:sz w:val="72"/>
      <w:szCs w:val="72"/>
    </w:rPr>
  </w:style>
  <w:style w:type="paragraph" w:styleId="Normal" w:default="1">
    <w:name w:val="Normal"/>
    <w:qFormat w:val="1"/>
    <w:rsid w:val="001F25B2"/>
  </w:style>
  <w:style w:type="paragraph" w:styleId="Ttulo1">
    <w:name w:val="heading 1"/>
    <w:basedOn w:val="Normal"/>
    <w:next w:val="Normal"/>
    <w:link w:val="Ttulo1Char"/>
    <w:uiPriority w:val="9"/>
    <w:qFormat w:val="1"/>
    <w:rsid w:val="001F25B2"/>
    <w:pPr>
      <w:keepNext w:val="1"/>
      <w:keepLines w:val="1"/>
      <w:spacing w:after="80" w:before="320" w:line="240" w:lineRule="auto"/>
      <w:jc w:val="center"/>
      <w:outlineLvl w:val="0"/>
    </w:pPr>
    <w:rPr>
      <w:rFonts w:asciiTheme="majorHAnsi" w:cstheme="majorBidi" w:eastAsiaTheme="majorEastAsia" w:hAnsiTheme="majorHAnsi"/>
      <w:color w:val="2f5496" w:themeColor="accent1" w:themeShade="0000BF"/>
      <w:sz w:val="40"/>
      <w:szCs w:val="40"/>
    </w:rPr>
  </w:style>
  <w:style w:type="paragraph" w:styleId="Ttulo2">
    <w:name w:val="heading 2"/>
    <w:basedOn w:val="Normal"/>
    <w:next w:val="Normal"/>
    <w:link w:val="Ttulo2Char"/>
    <w:uiPriority w:val="9"/>
    <w:unhideWhenUsed w:val="1"/>
    <w:qFormat w:val="1"/>
    <w:rsid w:val="001F25B2"/>
    <w:pPr>
      <w:keepNext w:val="1"/>
      <w:keepLines w:val="1"/>
      <w:spacing w:after="40" w:before="160" w:line="240" w:lineRule="auto"/>
      <w:jc w:val="center"/>
      <w:outlineLvl w:val="1"/>
    </w:pPr>
    <w:rPr>
      <w:rFonts w:asciiTheme="majorHAnsi" w:cstheme="majorBidi" w:eastAsiaTheme="majorEastAsia" w:hAnsiTheme="majorHAnsi"/>
      <w:sz w:val="32"/>
      <w:szCs w:val="32"/>
    </w:rPr>
  </w:style>
  <w:style w:type="paragraph" w:styleId="Ttulo3">
    <w:name w:val="heading 3"/>
    <w:basedOn w:val="Normal"/>
    <w:next w:val="Normal"/>
    <w:link w:val="Ttulo3Char"/>
    <w:uiPriority w:val="9"/>
    <w:semiHidden w:val="1"/>
    <w:unhideWhenUsed w:val="1"/>
    <w:qFormat w:val="1"/>
    <w:rsid w:val="001F25B2"/>
    <w:pPr>
      <w:keepNext w:val="1"/>
      <w:keepLines w:val="1"/>
      <w:spacing w:after="0" w:before="160" w:line="240" w:lineRule="auto"/>
      <w:outlineLvl w:val="2"/>
    </w:pPr>
    <w:rPr>
      <w:rFonts w:asciiTheme="majorHAnsi" w:cstheme="majorBidi" w:eastAsiaTheme="majorEastAsia" w:hAnsiTheme="majorHAnsi"/>
      <w:sz w:val="32"/>
      <w:szCs w:val="32"/>
    </w:rPr>
  </w:style>
  <w:style w:type="paragraph" w:styleId="Ttulo4">
    <w:name w:val="heading 4"/>
    <w:basedOn w:val="Normal"/>
    <w:next w:val="Normal"/>
    <w:link w:val="Ttulo4Char"/>
    <w:uiPriority w:val="9"/>
    <w:semiHidden w:val="1"/>
    <w:unhideWhenUsed w:val="1"/>
    <w:qFormat w:val="1"/>
    <w:rsid w:val="001F25B2"/>
    <w:pPr>
      <w:keepNext w:val="1"/>
      <w:keepLines w:val="1"/>
      <w:spacing w:after="0" w:before="80"/>
      <w:outlineLvl w:val="3"/>
    </w:pPr>
    <w:rPr>
      <w:rFonts w:asciiTheme="majorHAnsi" w:cstheme="majorBidi" w:eastAsiaTheme="majorEastAsia" w:hAnsiTheme="majorHAnsi"/>
      <w:i w:val="1"/>
      <w:iCs w:val="1"/>
      <w:sz w:val="30"/>
      <w:szCs w:val="30"/>
    </w:rPr>
  </w:style>
  <w:style w:type="paragraph" w:styleId="Ttulo5">
    <w:name w:val="heading 5"/>
    <w:basedOn w:val="Normal"/>
    <w:next w:val="Normal"/>
    <w:link w:val="Ttulo5Char"/>
    <w:uiPriority w:val="9"/>
    <w:semiHidden w:val="1"/>
    <w:unhideWhenUsed w:val="1"/>
    <w:qFormat w:val="1"/>
    <w:rsid w:val="001F25B2"/>
    <w:pPr>
      <w:keepNext w:val="1"/>
      <w:keepLines w:val="1"/>
      <w:spacing w:after="0" w:before="40"/>
      <w:outlineLvl w:val="4"/>
    </w:pPr>
    <w:rPr>
      <w:rFonts w:asciiTheme="majorHAnsi" w:cstheme="majorBidi" w:eastAsiaTheme="majorEastAsia" w:hAnsiTheme="majorHAnsi"/>
      <w:sz w:val="28"/>
      <w:szCs w:val="28"/>
    </w:rPr>
  </w:style>
  <w:style w:type="paragraph" w:styleId="Ttulo6">
    <w:name w:val="heading 6"/>
    <w:basedOn w:val="Normal"/>
    <w:next w:val="Normal"/>
    <w:link w:val="Ttulo6Char"/>
    <w:uiPriority w:val="9"/>
    <w:semiHidden w:val="1"/>
    <w:unhideWhenUsed w:val="1"/>
    <w:qFormat w:val="1"/>
    <w:rsid w:val="001F25B2"/>
    <w:pPr>
      <w:keepNext w:val="1"/>
      <w:keepLines w:val="1"/>
      <w:spacing w:after="0" w:before="40"/>
      <w:outlineLvl w:val="5"/>
    </w:pPr>
    <w:rPr>
      <w:rFonts w:asciiTheme="majorHAnsi" w:cstheme="majorBidi" w:eastAsiaTheme="majorEastAsia" w:hAnsiTheme="majorHAnsi"/>
      <w:i w:val="1"/>
      <w:iCs w:val="1"/>
      <w:sz w:val="26"/>
      <w:szCs w:val="26"/>
    </w:rPr>
  </w:style>
  <w:style w:type="paragraph" w:styleId="Ttulo7">
    <w:name w:val="heading 7"/>
    <w:basedOn w:val="Normal"/>
    <w:next w:val="Normal"/>
    <w:link w:val="Ttulo7Char"/>
    <w:uiPriority w:val="9"/>
    <w:semiHidden w:val="1"/>
    <w:unhideWhenUsed w:val="1"/>
    <w:qFormat w:val="1"/>
    <w:rsid w:val="001F25B2"/>
    <w:pPr>
      <w:keepNext w:val="1"/>
      <w:keepLines w:val="1"/>
      <w:spacing w:after="0" w:before="40"/>
      <w:outlineLvl w:val="6"/>
    </w:pPr>
    <w:rPr>
      <w:rFonts w:asciiTheme="majorHAnsi" w:cstheme="majorBidi" w:eastAsiaTheme="majorEastAsia" w:hAnsiTheme="majorHAnsi"/>
      <w:sz w:val="24"/>
      <w:szCs w:val="24"/>
    </w:rPr>
  </w:style>
  <w:style w:type="paragraph" w:styleId="Ttulo8">
    <w:name w:val="heading 8"/>
    <w:basedOn w:val="Normal"/>
    <w:next w:val="Normal"/>
    <w:link w:val="Ttulo8Char"/>
    <w:uiPriority w:val="9"/>
    <w:semiHidden w:val="1"/>
    <w:unhideWhenUsed w:val="1"/>
    <w:qFormat w:val="1"/>
    <w:rsid w:val="001F25B2"/>
    <w:pPr>
      <w:keepNext w:val="1"/>
      <w:keepLines w:val="1"/>
      <w:spacing w:after="0" w:before="40"/>
      <w:outlineLvl w:val="7"/>
    </w:pPr>
    <w:rPr>
      <w:rFonts w:asciiTheme="majorHAnsi" w:cstheme="majorBidi" w:eastAsiaTheme="majorEastAsia" w:hAnsiTheme="majorHAnsi"/>
      <w:i w:val="1"/>
      <w:iCs w:val="1"/>
      <w:sz w:val="22"/>
      <w:szCs w:val="22"/>
    </w:rPr>
  </w:style>
  <w:style w:type="paragraph" w:styleId="Ttulo9">
    <w:name w:val="heading 9"/>
    <w:basedOn w:val="Normal"/>
    <w:next w:val="Normal"/>
    <w:link w:val="Ttulo9Char"/>
    <w:uiPriority w:val="9"/>
    <w:semiHidden w:val="1"/>
    <w:unhideWhenUsed w:val="1"/>
    <w:qFormat w:val="1"/>
    <w:rsid w:val="001F25B2"/>
    <w:pPr>
      <w:keepNext w:val="1"/>
      <w:keepLines w:val="1"/>
      <w:spacing w:after="0" w:before="40"/>
      <w:outlineLvl w:val="8"/>
    </w:pPr>
    <w:rPr>
      <w:b w:val="1"/>
      <w:bCs w:val="1"/>
      <w:i w:val="1"/>
      <w:iCs w:val="1"/>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Refdenotaderodap">
    <w:name w:val="footnote reference"/>
    <w:semiHidden w:val="1"/>
    <w:rsid w:val="00EA4E1B"/>
    <w:rPr>
      <w:vertAlign w:val="superscript"/>
    </w:rPr>
  </w:style>
  <w:style w:type="paragraph" w:styleId="Textodenotaderodap">
    <w:name w:val="footnote text"/>
    <w:basedOn w:val="Normal"/>
    <w:next w:val="Normal"/>
    <w:link w:val="TextodenotaderodapChar"/>
    <w:semiHidden w:val="1"/>
    <w:rsid w:val="00EA4E1B"/>
    <w:pPr>
      <w:spacing w:after="0" w:line="170" w:lineRule="exact"/>
      <w:ind w:firstLine="187"/>
      <w:jc w:val="both"/>
    </w:pPr>
    <w:rPr>
      <w:rFonts w:ascii="Times" w:cs="Times New Roman" w:eastAsia="Times New Roman" w:hAnsi="Times"/>
      <w:sz w:val="16"/>
      <w:szCs w:val="20"/>
      <w:lang w:eastAsia="pt-BR" w:val="en-US"/>
    </w:rPr>
  </w:style>
  <w:style w:type="character" w:styleId="TextodenotaderodapChar" w:customStyle="1">
    <w:name w:val="Texto de nota de rodapé Char"/>
    <w:basedOn w:val="Fontepargpadro"/>
    <w:link w:val="Textodenotaderodap"/>
    <w:semiHidden w:val="1"/>
    <w:rsid w:val="00EA4E1B"/>
    <w:rPr>
      <w:rFonts w:ascii="Times" w:cs="Times New Roman" w:eastAsia="Times New Roman" w:hAnsi="Times"/>
      <w:sz w:val="16"/>
      <w:szCs w:val="20"/>
      <w:lang w:eastAsia="pt-BR" w:val="en-US"/>
    </w:rPr>
  </w:style>
  <w:style w:type="paragraph" w:styleId="BATitle" w:customStyle="1">
    <w:name w:val="BA_Title"/>
    <w:basedOn w:val="Normal"/>
    <w:next w:val="BBAuthorName"/>
    <w:rsid w:val="00EA4E1B"/>
    <w:pPr>
      <w:spacing w:after="240" w:before="720" w:line="480" w:lineRule="exact"/>
      <w:ind w:right="3024"/>
    </w:pPr>
    <w:rPr>
      <w:rFonts w:ascii="Helvetica" w:cs="Times New Roman" w:eastAsia="Times New Roman" w:hAnsi="Helvetica"/>
      <w:b w:val="1"/>
      <w:sz w:val="44"/>
      <w:szCs w:val="20"/>
      <w:lang w:eastAsia="pt-BR" w:val="en-US"/>
    </w:rPr>
  </w:style>
  <w:style w:type="paragraph" w:styleId="BBAuthorName" w:customStyle="1">
    <w:name w:val="BB_Author_Name"/>
    <w:basedOn w:val="Normal"/>
    <w:next w:val="BCAuthorAddress"/>
    <w:rsid w:val="00EA4E1B"/>
    <w:pPr>
      <w:spacing w:after="240" w:line="240" w:lineRule="exact"/>
      <w:ind w:right="3024"/>
    </w:pPr>
    <w:rPr>
      <w:rFonts w:ascii="Helvetica" w:cs="Times New Roman" w:eastAsia="Times New Roman" w:hAnsi="Helvetica"/>
      <w:b w:val="1"/>
      <w:szCs w:val="20"/>
      <w:lang w:eastAsia="pt-BR" w:val="en-US"/>
    </w:rPr>
  </w:style>
  <w:style w:type="paragraph" w:styleId="BCAuthorAddress" w:customStyle="1">
    <w:name w:val="BC_Author_Address"/>
    <w:basedOn w:val="Normal"/>
    <w:next w:val="Normal"/>
    <w:rsid w:val="00EA4E1B"/>
    <w:pPr>
      <w:spacing w:after="120" w:line="240" w:lineRule="exact"/>
      <w:ind w:right="3024"/>
    </w:pPr>
    <w:rPr>
      <w:rFonts w:ascii="Times" w:cs="Times New Roman" w:eastAsia="Times New Roman" w:hAnsi="Times"/>
      <w:i w:val="1"/>
      <w:sz w:val="20"/>
      <w:szCs w:val="20"/>
      <w:lang w:eastAsia="pt-BR" w:val="en-US"/>
    </w:rPr>
  </w:style>
  <w:style w:type="paragraph" w:styleId="Absbox" w:customStyle="1">
    <w:name w:val="Absbox"/>
    <w:basedOn w:val="BDAbstract"/>
    <w:rsid w:val="00EA4E1B"/>
    <w:pPr>
      <w:pBdr>
        <w:top w:color="800000" w:space="0" w:sz="6" w:val="single"/>
        <w:left w:color="800000" w:space="4" w:sz="6" w:val="single"/>
        <w:bottom w:color="800000" w:space="0" w:sz="6" w:val="single"/>
        <w:right w:color="800000" w:space="4" w:sz="6" w:val="single"/>
      </w:pBdr>
      <w:shd w:color="800000" w:fill="800000" w:val="solid"/>
      <w:spacing w:after="320"/>
      <w:ind w:left="86" w:right="130"/>
      <w:jc w:val="center"/>
    </w:pPr>
    <w:rPr>
      <w:color w:val="ffffff"/>
      <w:sz w:val="20"/>
    </w:rPr>
  </w:style>
  <w:style w:type="paragraph" w:styleId="BDAbstract" w:customStyle="1">
    <w:name w:val="BD_Abstract"/>
    <w:rsid w:val="00EA4E1B"/>
    <w:pPr>
      <w:pBdr>
        <w:bottom w:color="auto" w:space="12" w:sz="6" w:val="single"/>
      </w:pBdr>
      <w:spacing w:after="200" w:before="200" w:line="220" w:lineRule="exact"/>
      <w:jc w:val="both"/>
    </w:pPr>
    <w:rPr>
      <w:rFonts w:ascii="Helvetica" w:cs="Times New Roman" w:eastAsia="Times New Roman" w:hAnsi="Helvetica"/>
      <w:b w:val="1"/>
      <w:sz w:val="18"/>
      <w:szCs w:val="20"/>
      <w:lang w:eastAsia="pt-BR" w:val="en-US"/>
    </w:rPr>
  </w:style>
  <w:style w:type="character" w:styleId="Ttulo2Char" w:customStyle="1">
    <w:name w:val="Título 2 Char"/>
    <w:basedOn w:val="Fontepargpadro"/>
    <w:link w:val="Ttulo2"/>
    <w:uiPriority w:val="9"/>
    <w:rsid w:val="001F25B2"/>
    <w:rPr>
      <w:rFonts w:asciiTheme="majorHAnsi" w:cstheme="majorBidi" w:eastAsiaTheme="majorEastAsia" w:hAnsiTheme="majorHAnsi"/>
      <w:sz w:val="32"/>
      <w:szCs w:val="32"/>
    </w:rPr>
  </w:style>
  <w:style w:type="paragraph" w:styleId="TFReferencesSection" w:customStyle="1">
    <w:name w:val="TF_References_Section"/>
    <w:basedOn w:val="Normal"/>
    <w:rsid w:val="00EA4E1B"/>
    <w:pPr>
      <w:spacing w:after="0" w:line="170" w:lineRule="exact"/>
      <w:ind w:firstLine="187"/>
      <w:jc w:val="both"/>
    </w:pPr>
    <w:rPr>
      <w:rFonts w:ascii="Times" w:cs="Times New Roman" w:eastAsia="Times New Roman" w:hAnsi="Times"/>
      <w:sz w:val="16"/>
      <w:szCs w:val="20"/>
      <w:lang w:eastAsia="pt-BR" w:val="en-US"/>
    </w:rPr>
  </w:style>
  <w:style w:type="paragraph" w:styleId="TAMainText" w:customStyle="1">
    <w:name w:val="TA_Main_Text"/>
    <w:basedOn w:val="Normal"/>
    <w:rsid w:val="00EA4E1B"/>
    <w:pPr>
      <w:spacing w:after="0" w:line="240" w:lineRule="exact"/>
      <w:ind w:firstLine="202"/>
      <w:jc w:val="both"/>
    </w:pPr>
    <w:rPr>
      <w:rFonts w:ascii="Times" w:cs="Times New Roman" w:eastAsia="Times New Roman" w:hAnsi="Times"/>
      <w:sz w:val="20"/>
      <w:szCs w:val="20"/>
      <w:lang w:eastAsia="pt-BR" w:val="en-US"/>
    </w:rPr>
  </w:style>
  <w:style w:type="paragraph" w:styleId="VDTableTitle" w:customStyle="1">
    <w:name w:val="VD_Table_Title"/>
    <w:basedOn w:val="Normal"/>
    <w:next w:val="Normal"/>
    <w:rsid w:val="00EA4E1B"/>
    <w:pPr>
      <w:spacing w:after="240" w:line="200" w:lineRule="exact"/>
    </w:pPr>
    <w:rPr>
      <w:rFonts w:ascii="Times" w:cs="Times New Roman" w:eastAsia="Times New Roman" w:hAnsi="Times"/>
      <w:sz w:val="18"/>
      <w:szCs w:val="20"/>
      <w:lang w:eastAsia="pt-BR" w:val="en-US"/>
    </w:rPr>
  </w:style>
  <w:style w:type="paragraph" w:styleId="VAFigureCaption" w:customStyle="1">
    <w:name w:val="VA_Figure_Caption"/>
    <w:basedOn w:val="Normal"/>
    <w:next w:val="Normal"/>
    <w:rsid w:val="00EA4E1B"/>
    <w:pPr>
      <w:spacing w:after="0" w:before="240" w:line="200" w:lineRule="exact"/>
      <w:jc w:val="both"/>
    </w:pPr>
    <w:rPr>
      <w:rFonts w:ascii="Times" w:cs="Times New Roman" w:eastAsia="Times New Roman" w:hAnsi="Times"/>
      <w:sz w:val="18"/>
      <w:szCs w:val="20"/>
      <w:lang w:eastAsia="pt-BR" w:val="en-US"/>
    </w:rPr>
  </w:style>
  <w:style w:type="paragraph" w:styleId="TCTableBody" w:customStyle="1">
    <w:name w:val="TC_Table_Body"/>
    <w:basedOn w:val="VDTableTitle"/>
    <w:rsid w:val="00EA4E1B"/>
    <w:pPr>
      <w:jc w:val="both"/>
    </w:pPr>
  </w:style>
  <w:style w:type="paragraph" w:styleId="Cabealho">
    <w:name w:val="header"/>
    <w:basedOn w:val="Normal"/>
    <w:link w:val="CabealhoChar"/>
    <w:unhideWhenUsed w:val="1"/>
    <w:rsid w:val="00EA4E1B"/>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EA4E1B"/>
  </w:style>
  <w:style w:type="paragraph" w:styleId="Rodap">
    <w:name w:val="footer"/>
    <w:basedOn w:val="Normal"/>
    <w:link w:val="RodapChar"/>
    <w:uiPriority w:val="99"/>
    <w:unhideWhenUsed w:val="1"/>
    <w:rsid w:val="00EA4E1B"/>
    <w:pPr>
      <w:tabs>
        <w:tab w:val="center" w:pos="4252"/>
        <w:tab w:val="right" w:pos="8504"/>
      </w:tabs>
      <w:spacing w:after="0" w:line="240" w:lineRule="auto"/>
    </w:pPr>
  </w:style>
  <w:style w:type="character" w:styleId="RodapChar" w:customStyle="1">
    <w:name w:val="Rodapé Char"/>
    <w:basedOn w:val="Fontepargpadro"/>
    <w:link w:val="Rodap"/>
    <w:uiPriority w:val="99"/>
    <w:rsid w:val="00EA4E1B"/>
  </w:style>
  <w:style w:type="paragraph" w:styleId="Textodebalo">
    <w:name w:val="Balloon Text"/>
    <w:basedOn w:val="Normal"/>
    <w:link w:val="TextodebaloChar"/>
    <w:uiPriority w:val="99"/>
    <w:semiHidden w:val="1"/>
    <w:unhideWhenUsed w:val="1"/>
    <w:rsid w:val="001E58A9"/>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1E58A9"/>
    <w:rPr>
      <w:rFonts w:ascii="Tahoma" w:cs="Tahoma" w:hAnsi="Tahoma"/>
      <w:sz w:val="16"/>
      <w:szCs w:val="16"/>
    </w:rPr>
  </w:style>
  <w:style w:type="paragraph" w:styleId="Textodenotadefim">
    <w:name w:val="endnote text"/>
    <w:basedOn w:val="Normal"/>
    <w:link w:val="TextodenotadefimChar"/>
    <w:uiPriority w:val="99"/>
    <w:semiHidden w:val="1"/>
    <w:unhideWhenUsed w:val="1"/>
    <w:rsid w:val="001E58A9"/>
    <w:pPr>
      <w:spacing w:after="0" w:line="240" w:lineRule="auto"/>
    </w:pPr>
    <w:rPr>
      <w:sz w:val="20"/>
      <w:szCs w:val="20"/>
    </w:rPr>
  </w:style>
  <w:style w:type="character" w:styleId="TextodenotadefimChar" w:customStyle="1">
    <w:name w:val="Texto de nota de fim Char"/>
    <w:basedOn w:val="Fontepargpadro"/>
    <w:link w:val="Textodenotadefim"/>
    <w:uiPriority w:val="99"/>
    <w:semiHidden w:val="1"/>
    <w:rsid w:val="001E58A9"/>
    <w:rPr>
      <w:sz w:val="20"/>
      <w:szCs w:val="20"/>
    </w:rPr>
  </w:style>
  <w:style w:type="character" w:styleId="Refdenotadefim">
    <w:name w:val="endnote reference"/>
    <w:basedOn w:val="Fontepargpadro"/>
    <w:uiPriority w:val="99"/>
    <w:semiHidden w:val="1"/>
    <w:unhideWhenUsed w:val="1"/>
    <w:rsid w:val="001E58A9"/>
    <w:rPr>
      <w:vertAlign w:val="superscript"/>
    </w:rPr>
  </w:style>
  <w:style w:type="character" w:styleId="Ttulo1Char" w:customStyle="1">
    <w:name w:val="Título 1 Char"/>
    <w:basedOn w:val="Fontepargpadro"/>
    <w:link w:val="Ttulo1"/>
    <w:uiPriority w:val="9"/>
    <w:rsid w:val="001F25B2"/>
    <w:rPr>
      <w:rFonts w:asciiTheme="majorHAnsi" w:cstheme="majorBidi" w:eastAsiaTheme="majorEastAsia" w:hAnsiTheme="majorHAnsi"/>
      <w:color w:val="2f5496" w:themeColor="accent1" w:themeShade="0000BF"/>
      <w:sz w:val="40"/>
      <w:szCs w:val="40"/>
    </w:rPr>
  </w:style>
  <w:style w:type="character" w:styleId="Ttulo3Char" w:customStyle="1">
    <w:name w:val="Título 3 Char"/>
    <w:basedOn w:val="Fontepargpadro"/>
    <w:link w:val="Ttulo3"/>
    <w:uiPriority w:val="9"/>
    <w:semiHidden w:val="1"/>
    <w:rsid w:val="001F25B2"/>
    <w:rPr>
      <w:rFonts w:asciiTheme="majorHAnsi" w:cstheme="majorBidi" w:eastAsiaTheme="majorEastAsia" w:hAnsiTheme="majorHAnsi"/>
      <w:sz w:val="32"/>
      <w:szCs w:val="32"/>
    </w:rPr>
  </w:style>
  <w:style w:type="character" w:styleId="Ttulo4Char" w:customStyle="1">
    <w:name w:val="Título 4 Char"/>
    <w:basedOn w:val="Fontepargpadro"/>
    <w:link w:val="Ttulo4"/>
    <w:uiPriority w:val="9"/>
    <w:semiHidden w:val="1"/>
    <w:rsid w:val="001F25B2"/>
    <w:rPr>
      <w:rFonts w:asciiTheme="majorHAnsi" w:cstheme="majorBidi" w:eastAsiaTheme="majorEastAsia" w:hAnsiTheme="majorHAnsi"/>
      <w:i w:val="1"/>
      <w:iCs w:val="1"/>
      <w:sz w:val="30"/>
      <w:szCs w:val="30"/>
    </w:rPr>
  </w:style>
  <w:style w:type="character" w:styleId="Ttulo5Char" w:customStyle="1">
    <w:name w:val="Título 5 Char"/>
    <w:basedOn w:val="Fontepargpadro"/>
    <w:link w:val="Ttulo5"/>
    <w:uiPriority w:val="9"/>
    <w:semiHidden w:val="1"/>
    <w:rsid w:val="001F25B2"/>
    <w:rPr>
      <w:rFonts w:asciiTheme="majorHAnsi" w:cstheme="majorBidi" w:eastAsiaTheme="majorEastAsia" w:hAnsiTheme="majorHAnsi"/>
      <w:sz w:val="28"/>
      <w:szCs w:val="28"/>
    </w:rPr>
  </w:style>
  <w:style w:type="character" w:styleId="Ttulo6Char" w:customStyle="1">
    <w:name w:val="Título 6 Char"/>
    <w:basedOn w:val="Fontepargpadro"/>
    <w:link w:val="Ttulo6"/>
    <w:uiPriority w:val="9"/>
    <w:semiHidden w:val="1"/>
    <w:rsid w:val="001F25B2"/>
    <w:rPr>
      <w:rFonts w:asciiTheme="majorHAnsi" w:cstheme="majorBidi" w:eastAsiaTheme="majorEastAsia" w:hAnsiTheme="majorHAnsi"/>
      <w:i w:val="1"/>
      <w:iCs w:val="1"/>
      <w:sz w:val="26"/>
      <w:szCs w:val="26"/>
    </w:rPr>
  </w:style>
  <w:style w:type="character" w:styleId="Ttulo7Char" w:customStyle="1">
    <w:name w:val="Título 7 Char"/>
    <w:basedOn w:val="Fontepargpadro"/>
    <w:link w:val="Ttulo7"/>
    <w:uiPriority w:val="9"/>
    <w:semiHidden w:val="1"/>
    <w:rsid w:val="001F25B2"/>
    <w:rPr>
      <w:rFonts w:asciiTheme="majorHAnsi" w:cstheme="majorBidi" w:eastAsiaTheme="majorEastAsia" w:hAnsiTheme="majorHAnsi"/>
      <w:sz w:val="24"/>
      <w:szCs w:val="24"/>
    </w:rPr>
  </w:style>
  <w:style w:type="character" w:styleId="Ttulo8Char" w:customStyle="1">
    <w:name w:val="Título 8 Char"/>
    <w:basedOn w:val="Fontepargpadro"/>
    <w:link w:val="Ttulo8"/>
    <w:uiPriority w:val="9"/>
    <w:semiHidden w:val="1"/>
    <w:rsid w:val="001F25B2"/>
    <w:rPr>
      <w:rFonts w:asciiTheme="majorHAnsi" w:cstheme="majorBidi" w:eastAsiaTheme="majorEastAsia" w:hAnsiTheme="majorHAnsi"/>
      <w:i w:val="1"/>
      <w:iCs w:val="1"/>
      <w:sz w:val="22"/>
      <w:szCs w:val="22"/>
    </w:rPr>
  </w:style>
  <w:style w:type="character" w:styleId="Ttulo9Char" w:customStyle="1">
    <w:name w:val="Título 9 Char"/>
    <w:basedOn w:val="Fontepargpadro"/>
    <w:link w:val="Ttulo9"/>
    <w:uiPriority w:val="9"/>
    <w:semiHidden w:val="1"/>
    <w:rsid w:val="001F25B2"/>
    <w:rPr>
      <w:b w:val="1"/>
      <w:bCs w:val="1"/>
      <w:i w:val="1"/>
      <w:iCs w:val="1"/>
    </w:rPr>
  </w:style>
  <w:style w:type="paragraph" w:styleId="Legenda">
    <w:name w:val="caption"/>
    <w:basedOn w:val="Normal"/>
    <w:next w:val="Normal"/>
    <w:uiPriority w:val="35"/>
    <w:semiHidden w:val="1"/>
    <w:unhideWhenUsed w:val="1"/>
    <w:qFormat w:val="1"/>
    <w:rsid w:val="001F25B2"/>
    <w:pPr>
      <w:spacing w:line="240" w:lineRule="auto"/>
    </w:pPr>
    <w:rPr>
      <w:b w:val="1"/>
      <w:bCs w:val="1"/>
      <w:color w:val="404040" w:themeColor="text1" w:themeTint="0000BF"/>
      <w:sz w:val="16"/>
      <w:szCs w:val="16"/>
    </w:rPr>
  </w:style>
  <w:style w:type="paragraph" w:styleId="Ttulo">
    <w:name w:val="Title"/>
    <w:basedOn w:val="Normal"/>
    <w:next w:val="Normal"/>
    <w:link w:val="TtuloChar"/>
    <w:uiPriority w:val="10"/>
    <w:qFormat w:val="1"/>
    <w:rsid w:val="001F25B2"/>
    <w:pPr>
      <w:pBdr>
        <w:top w:color="a5a5a5" w:space="8" w:sz="6" w:themeColor="accent3" w:val="single"/>
        <w:bottom w:color="a5a5a5" w:space="8" w:sz="6" w:themeColor="accent3" w:val="single"/>
      </w:pBdr>
      <w:spacing w:after="400" w:line="240" w:lineRule="auto"/>
      <w:contextualSpacing w:val="1"/>
      <w:jc w:val="center"/>
    </w:pPr>
    <w:rPr>
      <w:rFonts w:asciiTheme="majorHAnsi" w:cstheme="majorBidi" w:eastAsiaTheme="majorEastAsia" w:hAnsiTheme="majorHAnsi"/>
      <w:caps w:val="1"/>
      <w:color w:val="44546a" w:themeColor="text2"/>
      <w:spacing w:val="30"/>
      <w:sz w:val="72"/>
      <w:szCs w:val="72"/>
    </w:rPr>
  </w:style>
  <w:style w:type="character" w:styleId="TtuloChar" w:customStyle="1">
    <w:name w:val="Título Char"/>
    <w:basedOn w:val="Fontepargpadro"/>
    <w:link w:val="Ttulo"/>
    <w:uiPriority w:val="10"/>
    <w:rsid w:val="001F25B2"/>
    <w:rPr>
      <w:rFonts w:asciiTheme="majorHAnsi" w:cstheme="majorBidi" w:eastAsiaTheme="majorEastAsia" w:hAnsiTheme="majorHAnsi"/>
      <w:caps w:val="1"/>
      <w:color w:val="44546a" w:themeColor="text2"/>
      <w:spacing w:val="30"/>
      <w:sz w:val="72"/>
      <w:szCs w:val="72"/>
    </w:rPr>
  </w:style>
  <w:style w:type="paragraph" w:styleId="Subttulo">
    <w:name w:val="Subtitle"/>
    <w:basedOn w:val="Normal"/>
    <w:next w:val="Normal"/>
    <w:link w:val="SubttuloChar"/>
    <w:uiPriority w:val="11"/>
    <w:qFormat w:val="1"/>
    <w:rsid w:val="001F25B2"/>
    <w:pPr>
      <w:numPr>
        <w:ilvl w:val="1"/>
      </w:numPr>
      <w:jc w:val="center"/>
    </w:pPr>
    <w:rPr>
      <w:color w:val="44546a" w:themeColor="text2"/>
      <w:sz w:val="28"/>
      <w:szCs w:val="28"/>
    </w:rPr>
  </w:style>
  <w:style w:type="character" w:styleId="SubttuloChar" w:customStyle="1">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val="1"/>
    <w:rsid w:val="001F25B2"/>
    <w:rPr>
      <w:b w:val="1"/>
      <w:bCs w:val="1"/>
    </w:rPr>
  </w:style>
  <w:style w:type="character" w:styleId="nfase">
    <w:name w:val="Emphasis"/>
    <w:basedOn w:val="Fontepargpadro"/>
    <w:uiPriority w:val="20"/>
    <w:qFormat w:val="1"/>
    <w:rsid w:val="001F25B2"/>
    <w:rPr>
      <w:i w:val="1"/>
      <w:iCs w:val="1"/>
      <w:color w:val="000000" w:themeColor="text1"/>
    </w:rPr>
  </w:style>
  <w:style w:type="paragraph" w:styleId="SemEspaamento">
    <w:name w:val="No Spacing"/>
    <w:uiPriority w:val="1"/>
    <w:qFormat w:val="1"/>
    <w:rsid w:val="001F25B2"/>
    <w:pPr>
      <w:spacing w:after="0" w:line="240" w:lineRule="auto"/>
    </w:pPr>
  </w:style>
  <w:style w:type="paragraph" w:styleId="Citao">
    <w:name w:val="Quote"/>
    <w:basedOn w:val="Normal"/>
    <w:next w:val="Normal"/>
    <w:link w:val="CitaoChar"/>
    <w:uiPriority w:val="29"/>
    <w:qFormat w:val="1"/>
    <w:rsid w:val="001F25B2"/>
    <w:pPr>
      <w:spacing w:before="160"/>
      <w:ind w:left="720" w:right="720"/>
      <w:jc w:val="center"/>
    </w:pPr>
    <w:rPr>
      <w:i w:val="1"/>
      <w:iCs w:val="1"/>
      <w:color w:val="7b7b7b" w:themeColor="accent3" w:themeShade="0000BF"/>
      <w:sz w:val="24"/>
      <w:szCs w:val="24"/>
    </w:rPr>
  </w:style>
  <w:style w:type="character" w:styleId="CitaoChar" w:customStyle="1">
    <w:name w:val="Citação Char"/>
    <w:basedOn w:val="Fontepargpadro"/>
    <w:link w:val="Citao"/>
    <w:uiPriority w:val="29"/>
    <w:rsid w:val="001F25B2"/>
    <w:rPr>
      <w:i w:val="1"/>
      <w:iCs w:val="1"/>
      <w:color w:val="7b7b7b" w:themeColor="accent3" w:themeShade="0000BF"/>
      <w:sz w:val="24"/>
      <w:szCs w:val="24"/>
    </w:rPr>
  </w:style>
  <w:style w:type="paragraph" w:styleId="CitaoIntensa">
    <w:name w:val="Intense Quote"/>
    <w:basedOn w:val="Normal"/>
    <w:next w:val="Normal"/>
    <w:link w:val="CitaoIntensaChar"/>
    <w:uiPriority w:val="30"/>
    <w:qFormat w:val="1"/>
    <w:rsid w:val="001F25B2"/>
    <w:pPr>
      <w:spacing w:before="160" w:line="276" w:lineRule="auto"/>
      <w:ind w:left="936" w:right="936"/>
      <w:jc w:val="center"/>
    </w:pPr>
    <w:rPr>
      <w:rFonts w:asciiTheme="majorHAnsi" w:cstheme="majorBidi" w:eastAsiaTheme="majorEastAsia" w:hAnsiTheme="majorHAnsi"/>
      <w:caps w:val="1"/>
      <w:color w:val="2f5496" w:themeColor="accent1" w:themeShade="0000BF"/>
      <w:sz w:val="28"/>
      <w:szCs w:val="28"/>
    </w:rPr>
  </w:style>
  <w:style w:type="character" w:styleId="CitaoIntensaChar" w:customStyle="1">
    <w:name w:val="Citação Intensa Char"/>
    <w:basedOn w:val="Fontepargpadro"/>
    <w:link w:val="CitaoIntensa"/>
    <w:uiPriority w:val="30"/>
    <w:rsid w:val="001F25B2"/>
    <w:rPr>
      <w:rFonts w:asciiTheme="majorHAnsi" w:cstheme="majorBidi" w:eastAsiaTheme="majorEastAsia" w:hAnsiTheme="majorHAnsi"/>
      <w:caps w:val="1"/>
      <w:color w:val="2f5496" w:themeColor="accent1" w:themeShade="0000BF"/>
      <w:sz w:val="28"/>
      <w:szCs w:val="28"/>
    </w:rPr>
  </w:style>
  <w:style w:type="character" w:styleId="nfaseSutil">
    <w:name w:val="Subtle Emphasis"/>
    <w:basedOn w:val="Fontepargpadro"/>
    <w:uiPriority w:val="19"/>
    <w:qFormat w:val="1"/>
    <w:rsid w:val="001F25B2"/>
    <w:rPr>
      <w:i w:val="1"/>
      <w:iCs w:val="1"/>
      <w:color w:val="595959" w:themeColor="text1" w:themeTint="0000A6"/>
    </w:rPr>
  </w:style>
  <w:style w:type="character" w:styleId="nfaseIntensa">
    <w:name w:val="Intense Emphasis"/>
    <w:basedOn w:val="Fontepargpadro"/>
    <w:uiPriority w:val="21"/>
    <w:qFormat w:val="1"/>
    <w:rsid w:val="001F25B2"/>
    <w:rPr>
      <w:b w:val="1"/>
      <w:bCs w:val="1"/>
      <w:i w:val="1"/>
      <w:iCs w:val="1"/>
      <w:color w:val="auto"/>
    </w:rPr>
  </w:style>
  <w:style w:type="character" w:styleId="RefernciaSutil">
    <w:name w:val="Subtle Reference"/>
    <w:basedOn w:val="Fontepargpadro"/>
    <w:uiPriority w:val="31"/>
    <w:qFormat w:val="1"/>
    <w:rsid w:val="001F25B2"/>
    <w:rPr>
      <w:caps w:val="0"/>
      <w:smallCaps w:val="1"/>
      <w:color w:val="404040" w:themeColor="text1" w:themeTint="0000BF"/>
      <w:spacing w:val="0"/>
      <w:u w:color="7f7f7f" w:themeColor="text1" w:themeTint="000080" w:val="single"/>
    </w:rPr>
  </w:style>
  <w:style w:type="character" w:styleId="RefernciaIntensa">
    <w:name w:val="Intense Reference"/>
    <w:basedOn w:val="Fontepargpadro"/>
    <w:uiPriority w:val="32"/>
    <w:qFormat w:val="1"/>
    <w:rsid w:val="001F25B2"/>
    <w:rPr>
      <w:b w:val="1"/>
      <w:bCs w:val="1"/>
      <w:caps w:val="0"/>
      <w:smallCaps w:val="1"/>
      <w:color w:val="auto"/>
      <w:spacing w:val="0"/>
      <w:u w:val="single"/>
    </w:rPr>
  </w:style>
  <w:style w:type="character" w:styleId="TtulodoLivro">
    <w:name w:val="Book Title"/>
    <w:basedOn w:val="Fontepargpadro"/>
    <w:uiPriority w:val="33"/>
    <w:qFormat w:val="1"/>
    <w:rsid w:val="001F25B2"/>
    <w:rPr>
      <w:b w:val="1"/>
      <w:bCs w:val="1"/>
      <w:caps w:val="0"/>
      <w:smallCaps w:val="1"/>
      <w:spacing w:val="0"/>
    </w:rPr>
  </w:style>
  <w:style w:type="paragraph" w:styleId="CabealhodoSumrio">
    <w:name w:val="TOC Heading"/>
    <w:basedOn w:val="Ttulo1"/>
    <w:next w:val="Normal"/>
    <w:uiPriority w:val="39"/>
    <w:semiHidden w:val="1"/>
    <w:unhideWhenUsed w:val="1"/>
    <w:qFormat w:val="1"/>
    <w:rsid w:val="001F25B2"/>
    <w:pPr>
      <w:outlineLvl w:val="9"/>
    </w:pPr>
  </w:style>
  <w:style w:type="paragraph" w:styleId="Subtitle">
    <w:name w:val="Subtitle"/>
    <w:basedOn w:val="Normal"/>
    <w:next w:val="Normal"/>
    <w:pPr>
      <w:jc w:val="center"/>
    </w:pPr>
    <w:rPr>
      <w:color w:val="44546a"/>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yperlink" Target="mailto:elonfernandes19@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XvwlTrkde/5guA9kizrUi/voJw==">CgMxLjAyCGguZ2pkZ3hzOAByITFhNkdDZ3hERTVYS0Nwa2dpcEpQT3l3YXBSV1ZCdXlNMw==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2022-12-12T17:08:00Z</dcterms:created>
  <dc:creator>Jean Marcel Ribeiro Gallo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