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eastAsia="en-US"/>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31426FEE" w:rsidR="00EA4E1B" w:rsidRPr="001F25B2" w:rsidRDefault="00625312" w:rsidP="0087078B">
      <w:pPr>
        <w:pStyle w:val="BATitle"/>
        <w:spacing w:before="240" w:line="240" w:lineRule="auto"/>
        <w:ind w:right="-11"/>
        <w:jc w:val="center"/>
        <w:rPr>
          <w:rFonts w:ascii="Times New Roman" w:hAnsi="Times New Roman"/>
          <w:sz w:val="20"/>
          <w:lang w:val="pt-BR"/>
        </w:rPr>
      </w:pPr>
      <w:r w:rsidRPr="00625312">
        <w:rPr>
          <w:sz w:val="32"/>
          <w:lang w:val="pt-BR"/>
        </w:rPr>
        <w:t xml:space="preserve">Catalisadores </w:t>
      </w:r>
      <w:r w:rsidR="00F255B7" w:rsidRPr="00F255B7">
        <w:rPr>
          <w:sz w:val="32"/>
          <w:lang w:val="pt-BR"/>
        </w:rPr>
        <w:t xml:space="preserve">núcleo-casca </w:t>
      </w:r>
      <w:r w:rsidRPr="00625312">
        <w:rPr>
          <w:sz w:val="32"/>
          <w:lang w:val="pt-BR"/>
        </w:rPr>
        <w:t xml:space="preserve">com </w:t>
      </w:r>
      <w:proofErr w:type="spellStart"/>
      <w:r w:rsidRPr="00625312">
        <w:rPr>
          <w:sz w:val="32"/>
          <w:lang w:val="pt-BR"/>
        </w:rPr>
        <w:t>Pt-Ni</w:t>
      </w:r>
      <w:proofErr w:type="spellEnd"/>
      <w:r w:rsidRPr="00625312">
        <w:rPr>
          <w:sz w:val="32"/>
          <w:lang w:val="pt-BR"/>
        </w:rPr>
        <w:t xml:space="preserve"> em</w:t>
      </w:r>
      <w:r>
        <w:rPr>
          <w:sz w:val="32"/>
          <w:lang w:val="pt-BR"/>
        </w:rPr>
        <w:t>bebidos</w:t>
      </w:r>
      <w:r w:rsidRPr="00625312">
        <w:rPr>
          <w:sz w:val="32"/>
          <w:lang w:val="pt-BR"/>
        </w:rPr>
        <w:t xml:space="preserve"> em CeO</w:t>
      </w:r>
      <w:r w:rsidRPr="00625312">
        <w:rPr>
          <w:sz w:val="32"/>
          <w:vertAlign w:val="subscript"/>
          <w:lang w:val="pt-BR"/>
        </w:rPr>
        <w:t>2</w:t>
      </w:r>
      <w:r w:rsidRPr="00625312">
        <w:rPr>
          <w:sz w:val="32"/>
          <w:lang w:val="pt-BR"/>
        </w:rPr>
        <w:t xml:space="preserve"> para reações de reforma a vapor d</w:t>
      </w:r>
      <w:r>
        <w:rPr>
          <w:sz w:val="32"/>
          <w:lang w:val="pt-BR"/>
        </w:rPr>
        <w:t>o</w:t>
      </w:r>
      <w:r w:rsidRPr="00625312">
        <w:rPr>
          <w:sz w:val="32"/>
          <w:lang w:val="pt-BR"/>
        </w:rPr>
        <w:t xml:space="preserve"> etanol.</w:t>
      </w:r>
    </w:p>
    <w:p w14:paraId="18735493" w14:textId="73234506" w:rsidR="00EA4E1B" w:rsidRPr="0087078B" w:rsidRDefault="0087078B" w:rsidP="0087078B">
      <w:pPr>
        <w:pStyle w:val="BBAuthorName"/>
        <w:spacing w:after="120"/>
        <w:ind w:right="0"/>
        <w:jc w:val="center"/>
        <w:rPr>
          <w:rFonts w:ascii="Times New Roman" w:hAnsi="Times New Roman"/>
          <w:sz w:val="20"/>
          <w:lang w:val="pt-BR"/>
        </w:rPr>
      </w:pPr>
      <w:r w:rsidRPr="0087078B">
        <w:rPr>
          <w:rFonts w:ascii="Times New Roman" w:hAnsi="Times New Roman"/>
          <w:sz w:val="20"/>
          <w:lang w:val="pt-BR"/>
        </w:rPr>
        <w:t>Tamara S</w:t>
      </w:r>
      <w:r>
        <w:rPr>
          <w:rFonts w:ascii="Times New Roman" w:hAnsi="Times New Roman"/>
          <w:sz w:val="20"/>
          <w:lang w:val="pt-BR"/>
        </w:rPr>
        <w:t>.</w:t>
      </w:r>
      <w:r w:rsidRPr="0087078B">
        <w:rPr>
          <w:rFonts w:ascii="Times New Roman" w:hAnsi="Times New Roman"/>
          <w:sz w:val="20"/>
          <w:lang w:val="pt-BR"/>
        </w:rPr>
        <w:t xml:space="preserve"> Moraes</w:t>
      </w:r>
      <w:r>
        <w:rPr>
          <w:rFonts w:ascii="Times New Roman" w:hAnsi="Times New Roman"/>
          <w:sz w:val="20"/>
          <w:lang w:val="pt-BR"/>
        </w:rPr>
        <w:t>, Fernando</w:t>
      </w:r>
      <w:r w:rsidRPr="0087078B">
        <w:rPr>
          <w:lang w:val="pt-BR"/>
        </w:rPr>
        <w:t xml:space="preserve"> </w:t>
      </w:r>
      <w:proofErr w:type="spellStart"/>
      <w:r w:rsidRPr="0087078B">
        <w:rPr>
          <w:rFonts w:ascii="Times New Roman" w:hAnsi="Times New Roman"/>
          <w:sz w:val="20"/>
          <w:lang w:val="pt-BR"/>
        </w:rPr>
        <w:t>Piazzolla</w:t>
      </w:r>
      <w:proofErr w:type="spellEnd"/>
      <w:r>
        <w:rPr>
          <w:rFonts w:ascii="Times New Roman" w:hAnsi="Times New Roman"/>
          <w:sz w:val="20"/>
          <w:lang w:val="pt-BR"/>
        </w:rPr>
        <w:t xml:space="preserve">, </w:t>
      </w:r>
      <w:proofErr w:type="spellStart"/>
      <w:r w:rsidR="00C90F82">
        <w:rPr>
          <w:rFonts w:ascii="Times New Roman" w:hAnsi="Times New Roman"/>
          <w:sz w:val="20"/>
          <w:lang w:val="pt-BR"/>
        </w:rPr>
        <w:t>Stéfany</w:t>
      </w:r>
      <w:proofErr w:type="spellEnd"/>
      <w:r w:rsidR="00FE0CCD">
        <w:rPr>
          <w:rFonts w:ascii="Times New Roman" w:hAnsi="Times New Roman"/>
          <w:sz w:val="20"/>
          <w:lang w:val="pt-BR"/>
        </w:rPr>
        <w:t xml:space="preserve"> S. </w:t>
      </w:r>
      <w:r w:rsidR="00FE0CCD" w:rsidRPr="00FE0CCD">
        <w:rPr>
          <w:rFonts w:ascii="Times New Roman" w:hAnsi="Times New Roman"/>
          <w:sz w:val="20"/>
          <w:lang w:val="pt-BR"/>
        </w:rPr>
        <w:t>Figueiredo</w:t>
      </w:r>
      <w:r w:rsidR="00C90F82">
        <w:rPr>
          <w:rFonts w:ascii="Times New Roman" w:hAnsi="Times New Roman"/>
          <w:sz w:val="20"/>
          <w:lang w:val="pt-BR"/>
        </w:rPr>
        <w:t xml:space="preserve">, </w:t>
      </w:r>
      <w:proofErr w:type="spellStart"/>
      <w:r w:rsidR="00C90F82">
        <w:rPr>
          <w:rFonts w:ascii="Times New Roman" w:hAnsi="Times New Roman"/>
          <w:sz w:val="20"/>
          <w:lang w:val="pt-BR"/>
        </w:rPr>
        <w:t>Dry</w:t>
      </w:r>
      <w:r w:rsidR="00B9363E">
        <w:rPr>
          <w:rFonts w:ascii="Times New Roman" w:hAnsi="Times New Roman"/>
          <w:sz w:val="20"/>
          <w:lang w:val="pt-BR"/>
        </w:rPr>
        <w:t>ade</w:t>
      </w:r>
      <w:proofErr w:type="spellEnd"/>
      <w:r w:rsidR="00FE0CCD">
        <w:rPr>
          <w:rFonts w:ascii="Times New Roman" w:hAnsi="Times New Roman"/>
          <w:sz w:val="20"/>
          <w:lang w:val="pt-BR"/>
        </w:rPr>
        <w:t xml:space="preserve"> de Paula</w:t>
      </w:r>
      <w:r w:rsidR="00B9363E">
        <w:rPr>
          <w:rFonts w:ascii="Times New Roman" w:hAnsi="Times New Roman"/>
          <w:sz w:val="20"/>
          <w:lang w:val="pt-BR"/>
        </w:rPr>
        <w:t xml:space="preserve">, </w:t>
      </w:r>
      <w:r w:rsidR="006F0C04">
        <w:rPr>
          <w:rFonts w:ascii="Times New Roman" w:hAnsi="Times New Roman"/>
          <w:sz w:val="20"/>
          <w:lang w:val="pt-BR"/>
        </w:rPr>
        <w:t xml:space="preserve">Fabio C. Fonseca, </w:t>
      </w:r>
      <w:bookmarkStart w:id="2" w:name="_GoBack"/>
      <w:bookmarkEnd w:id="2"/>
      <w:r>
        <w:rPr>
          <w:rFonts w:ascii="Times New Roman" w:hAnsi="Times New Roman"/>
          <w:sz w:val="20"/>
          <w:lang w:val="pt-BR"/>
        </w:rPr>
        <w:t xml:space="preserve">Estevam V. </w:t>
      </w:r>
      <w:proofErr w:type="spellStart"/>
      <w:r>
        <w:rPr>
          <w:rFonts w:ascii="Times New Roman" w:hAnsi="Times New Roman"/>
          <w:sz w:val="20"/>
          <w:lang w:val="pt-BR"/>
        </w:rPr>
        <w:t>Spinace</w:t>
      </w:r>
      <w:proofErr w:type="spellEnd"/>
    </w:p>
    <w:p w14:paraId="22D38595" w14:textId="03743E7C" w:rsidR="00EA4E1B" w:rsidRPr="0087078B" w:rsidRDefault="0087078B" w:rsidP="0087078B">
      <w:pPr>
        <w:pStyle w:val="BCAuthorAddress"/>
        <w:spacing w:after="0"/>
        <w:ind w:right="0"/>
        <w:jc w:val="center"/>
        <w:rPr>
          <w:sz w:val="22"/>
          <w:vertAlign w:val="superscript"/>
          <w:lang w:val="pt-BR"/>
        </w:rPr>
      </w:pPr>
      <w:r w:rsidRPr="0087078B">
        <w:rPr>
          <w:sz w:val="22"/>
          <w:vertAlign w:val="superscript"/>
          <w:lang w:val="pt-BR"/>
        </w:rPr>
        <w:t>Instituto de Pes</w:t>
      </w:r>
      <w:r>
        <w:rPr>
          <w:sz w:val="22"/>
          <w:vertAlign w:val="superscript"/>
          <w:lang w:val="pt-BR"/>
        </w:rPr>
        <w:t>quisas Energéticas e Nucleares – IPEN -</w:t>
      </w:r>
      <w:r w:rsidRPr="0087078B">
        <w:rPr>
          <w:sz w:val="22"/>
          <w:vertAlign w:val="superscript"/>
          <w:lang w:val="pt-BR"/>
        </w:rPr>
        <w:t xml:space="preserve"> Av. Prof. Lineu Prestes, 2242 - Butantã, São Paulo - SP, 05508-0</w:t>
      </w:r>
      <w:r>
        <w:rPr>
          <w:sz w:val="22"/>
          <w:vertAlign w:val="superscript"/>
          <w:lang w:val="pt-BR"/>
        </w:rPr>
        <w:t>0 - Brasil</w:t>
      </w:r>
    </w:p>
    <w:p w14:paraId="440238FB" w14:textId="3EDDB80A" w:rsidR="0087078B" w:rsidRPr="0087078B" w:rsidRDefault="0087078B" w:rsidP="0087078B">
      <w:pPr>
        <w:jc w:val="center"/>
        <w:rPr>
          <w:rFonts w:ascii="Times New Roman" w:hAnsi="Times New Roman" w:cs="Times New Roman"/>
          <w:i/>
          <w:sz w:val="14"/>
          <w:lang w:eastAsia="pt-BR"/>
        </w:rPr>
      </w:pPr>
      <w:r w:rsidRPr="0087078B">
        <w:rPr>
          <w:rFonts w:ascii="Times New Roman" w:hAnsi="Times New Roman" w:cs="Times New Roman"/>
          <w:i/>
          <w:sz w:val="14"/>
          <w:lang w:eastAsia="pt-BR"/>
        </w:rPr>
        <w:t>tamarasmoraes@gmail.com</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eastAsia="en-US"/>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F8E99EF" w:rsidR="008C1B30" w:rsidRPr="008C1B30" w:rsidRDefault="00B9363E" w:rsidP="008C1B30">
                            <w:pPr>
                              <w:pStyle w:val="BDAbstract"/>
                              <w:spacing w:before="0" w:after="0" w:line="240" w:lineRule="auto"/>
                              <w:jc w:val="center"/>
                              <w:rPr>
                                <w:rFonts w:cs="Helvetica"/>
                                <w:bCs/>
                                <w:sz w:val="20"/>
                                <w:lang w:val="pt-BR"/>
                              </w:rPr>
                            </w:pPr>
                            <w:r>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fillcolor="#9a0000" stroked="f" strokeweight="1pt">
                <v:textbox inset=",0,,0">
                  <w:txbxContent>
                    <w:p w14:paraId="3D0F07B3" w14:textId="0F8E99EF" w:rsidR="008C1B30" w:rsidRPr="008C1B30" w:rsidRDefault="00B9363E" w:rsidP="008C1B30">
                      <w:pPr>
                        <w:pStyle w:val="BDAbstract"/>
                        <w:spacing w:before="0" w:after="0" w:line="240" w:lineRule="auto"/>
                        <w:jc w:val="center"/>
                        <w:rPr>
                          <w:rFonts w:cs="Helvetica"/>
                          <w:bCs/>
                          <w:sz w:val="20"/>
                          <w:lang w:val="pt-BR"/>
                        </w:rPr>
                      </w:pPr>
                      <w:r>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33B4BDFE" w14:textId="646B13C4" w:rsidR="0087078B" w:rsidRDefault="00F9014D" w:rsidP="0036569C">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C</w:t>
      </w:r>
      <w:r w:rsidR="0036569C" w:rsidRPr="0036569C">
        <w:rPr>
          <w:rFonts w:ascii="Times New Roman" w:hAnsi="Times New Roman"/>
          <w:b w:val="0"/>
          <w:sz w:val="20"/>
          <w:lang w:val="pt-BR"/>
        </w:rPr>
        <w:t>atalisador</w:t>
      </w:r>
      <w:r>
        <w:rPr>
          <w:rFonts w:ascii="Times New Roman" w:hAnsi="Times New Roman"/>
          <w:b w:val="0"/>
          <w:sz w:val="20"/>
          <w:lang w:val="pt-BR"/>
        </w:rPr>
        <w:t>es</w:t>
      </w:r>
      <w:r w:rsidR="0036569C" w:rsidRPr="0036569C">
        <w:rPr>
          <w:rFonts w:ascii="Times New Roman" w:hAnsi="Times New Roman"/>
          <w:b w:val="0"/>
          <w:sz w:val="20"/>
          <w:lang w:val="pt-BR"/>
        </w:rPr>
        <w:t xml:space="preserve"> núcleo-casca, basea</w:t>
      </w:r>
      <w:r w:rsidR="0036569C">
        <w:rPr>
          <w:rFonts w:ascii="Times New Roman" w:hAnsi="Times New Roman"/>
          <w:b w:val="0"/>
          <w:sz w:val="20"/>
          <w:lang w:val="pt-BR"/>
        </w:rPr>
        <w:t>do</w:t>
      </w:r>
      <w:r>
        <w:rPr>
          <w:rFonts w:ascii="Times New Roman" w:hAnsi="Times New Roman"/>
          <w:b w:val="0"/>
          <w:sz w:val="20"/>
          <w:lang w:val="pt-BR"/>
        </w:rPr>
        <w:t>s</w:t>
      </w:r>
      <w:r w:rsidR="0036569C">
        <w:rPr>
          <w:rFonts w:ascii="Times New Roman" w:hAnsi="Times New Roman"/>
          <w:b w:val="0"/>
          <w:sz w:val="20"/>
          <w:lang w:val="pt-BR"/>
        </w:rPr>
        <w:t xml:space="preserve"> em </w:t>
      </w:r>
      <w:proofErr w:type="spellStart"/>
      <w:r w:rsidR="0036569C">
        <w:rPr>
          <w:rFonts w:ascii="Times New Roman" w:hAnsi="Times New Roman"/>
          <w:b w:val="0"/>
          <w:sz w:val="20"/>
          <w:lang w:val="pt-BR"/>
        </w:rPr>
        <w:t>nanopartículas</w:t>
      </w:r>
      <w:proofErr w:type="spellEnd"/>
      <w:r w:rsidR="0036569C">
        <w:rPr>
          <w:rFonts w:ascii="Times New Roman" w:hAnsi="Times New Roman"/>
          <w:b w:val="0"/>
          <w:sz w:val="20"/>
          <w:lang w:val="pt-BR"/>
        </w:rPr>
        <w:t xml:space="preserve"> de níquel e platina</w:t>
      </w:r>
      <w:r w:rsidR="0036569C" w:rsidRPr="0036569C">
        <w:rPr>
          <w:rFonts w:ascii="Times New Roman" w:hAnsi="Times New Roman"/>
          <w:b w:val="0"/>
          <w:sz w:val="20"/>
          <w:lang w:val="pt-BR"/>
        </w:rPr>
        <w:t xml:space="preserve"> em </w:t>
      </w:r>
      <w:proofErr w:type="spellStart"/>
      <w:r w:rsidR="0036569C" w:rsidRPr="0036569C">
        <w:rPr>
          <w:rFonts w:ascii="Times New Roman" w:hAnsi="Times New Roman"/>
          <w:b w:val="0"/>
          <w:sz w:val="20"/>
          <w:lang w:val="pt-BR"/>
        </w:rPr>
        <w:t>nanoesferas</w:t>
      </w:r>
      <w:proofErr w:type="spellEnd"/>
      <w:r w:rsidR="0036569C" w:rsidRPr="0036569C">
        <w:rPr>
          <w:rFonts w:ascii="Times New Roman" w:hAnsi="Times New Roman"/>
          <w:b w:val="0"/>
          <w:sz w:val="20"/>
          <w:lang w:val="pt-BR"/>
        </w:rPr>
        <w:t xml:space="preserve"> de sílica e cercadas por </w:t>
      </w:r>
      <w:proofErr w:type="spellStart"/>
      <w:r w:rsidR="0036569C" w:rsidRPr="0036569C">
        <w:rPr>
          <w:rFonts w:ascii="Times New Roman" w:hAnsi="Times New Roman"/>
          <w:b w:val="0"/>
          <w:sz w:val="20"/>
          <w:lang w:val="pt-BR"/>
        </w:rPr>
        <w:t>céria</w:t>
      </w:r>
      <w:proofErr w:type="spellEnd"/>
      <w:r w:rsidR="0036569C" w:rsidRPr="0036569C">
        <w:rPr>
          <w:rFonts w:ascii="Times New Roman" w:hAnsi="Times New Roman"/>
          <w:b w:val="0"/>
          <w:sz w:val="20"/>
          <w:lang w:val="pt-BR"/>
        </w:rPr>
        <w:t>, fo</w:t>
      </w:r>
      <w:r>
        <w:rPr>
          <w:rFonts w:ascii="Times New Roman" w:hAnsi="Times New Roman"/>
          <w:b w:val="0"/>
          <w:sz w:val="20"/>
          <w:lang w:val="pt-BR"/>
        </w:rPr>
        <w:t>ram</w:t>
      </w:r>
      <w:r w:rsidR="0036569C" w:rsidRPr="0036569C">
        <w:rPr>
          <w:rFonts w:ascii="Times New Roman" w:hAnsi="Times New Roman"/>
          <w:b w:val="0"/>
          <w:sz w:val="20"/>
          <w:lang w:val="pt-BR"/>
        </w:rPr>
        <w:t xml:space="preserve"> testado</w:t>
      </w:r>
      <w:r>
        <w:rPr>
          <w:rFonts w:ascii="Times New Roman" w:hAnsi="Times New Roman"/>
          <w:b w:val="0"/>
          <w:sz w:val="20"/>
          <w:lang w:val="pt-BR"/>
        </w:rPr>
        <w:t>s</w:t>
      </w:r>
      <w:r w:rsidR="0036569C" w:rsidRPr="0036569C">
        <w:rPr>
          <w:rFonts w:ascii="Times New Roman" w:hAnsi="Times New Roman"/>
          <w:b w:val="0"/>
          <w:sz w:val="20"/>
          <w:lang w:val="pt-BR"/>
        </w:rPr>
        <w:t xml:space="preserve"> para a reaçã</w:t>
      </w:r>
      <w:r w:rsidR="0036569C">
        <w:rPr>
          <w:rFonts w:ascii="Times New Roman" w:hAnsi="Times New Roman"/>
          <w:b w:val="0"/>
          <w:sz w:val="20"/>
          <w:lang w:val="pt-BR"/>
        </w:rPr>
        <w:t xml:space="preserve">o de reforma a vapor de etanol </w:t>
      </w:r>
      <w:r w:rsidR="0036569C" w:rsidRPr="0036569C">
        <w:rPr>
          <w:rFonts w:ascii="Times New Roman" w:hAnsi="Times New Roman"/>
          <w:b w:val="0"/>
          <w:sz w:val="20"/>
          <w:lang w:val="pt-BR"/>
        </w:rPr>
        <w:t>(H</w:t>
      </w:r>
      <w:r w:rsidR="0036569C" w:rsidRPr="0036569C">
        <w:rPr>
          <w:rFonts w:ascii="Times New Roman" w:hAnsi="Times New Roman"/>
          <w:b w:val="0"/>
          <w:sz w:val="20"/>
          <w:vertAlign w:val="subscript"/>
          <w:lang w:val="pt-BR"/>
        </w:rPr>
        <w:t>2</w:t>
      </w:r>
      <w:r w:rsidR="0036569C" w:rsidRPr="0036569C">
        <w:rPr>
          <w:rFonts w:ascii="Times New Roman" w:hAnsi="Times New Roman"/>
          <w:b w:val="0"/>
          <w:sz w:val="20"/>
          <w:lang w:val="pt-BR"/>
        </w:rPr>
        <w:t xml:space="preserve">O/etanol: 3/1) </w:t>
      </w:r>
      <w:r w:rsidR="0036569C">
        <w:rPr>
          <w:rFonts w:ascii="Times New Roman" w:hAnsi="Times New Roman"/>
          <w:b w:val="0"/>
          <w:sz w:val="20"/>
          <w:lang w:val="pt-BR"/>
        </w:rPr>
        <w:t>a</w:t>
      </w:r>
      <w:r w:rsidR="0036569C" w:rsidRPr="0036569C">
        <w:rPr>
          <w:rFonts w:ascii="Times New Roman" w:hAnsi="Times New Roman"/>
          <w:b w:val="0"/>
          <w:sz w:val="20"/>
          <w:lang w:val="pt-BR"/>
        </w:rPr>
        <w:t xml:space="preserve"> </w:t>
      </w:r>
      <w:r w:rsidR="0036569C">
        <w:rPr>
          <w:rFonts w:ascii="Times New Roman" w:hAnsi="Times New Roman"/>
          <w:b w:val="0"/>
          <w:sz w:val="20"/>
          <w:lang w:val="pt-BR"/>
        </w:rPr>
        <w:t>673 e 773 K</w:t>
      </w:r>
      <w:r w:rsidR="0036569C" w:rsidRPr="0036569C">
        <w:rPr>
          <w:rFonts w:ascii="Times New Roman" w:hAnsi="Times New Roman"/>
          <w:b w:val="0"/>
          <w:sz w:val="20"/>
          <w:lang w:val="pt-BR"/>
        </w:rPr>
        <w:t>.</w:t>
      </w:r>
      <w:r w:rsidR="0036569C">
        <w:rPr>
          <w:rFonts w:ascii="Times New Roman" w:hAnsi="Times New Roman"/>
          <w:b w:val="0"/>
          <w:sz w:val="20"/>
          <w:lang w:val="pt-BR"/>
        </w:rPr>
        <w:t xml:space="preserve"> Foram sintetizados 3 catalisadores com diferentes teores</w:t>
      </w:r>
      <w:r>
        <w:rPr>
          <w:rFonts w:ascii="Times New Roman" w:hAnsi="Times New Roman"/>
          <w:b w:val="0"/>
          <w:sz w:val="20"/>
          <w:lang w:val="pt-BR"/>
        </w:rPr>
        <w:t xml:space="preserve"> em massa</w:t>
      </w:r>
      <w:r w:rsidR="0036569C">
        <w:rPr>
          <w:rFonts w:ascii="Times New Roman" w:hAnsi="Times New Roman"/>
          <w:b w:val="0"/>
          <w:sz w:val="20"/>
          <w:lang w:val="pt-BR"/>
        </w:rPr>
        <w:t xml:space="preserve"> de </w:t>
      </w:r>
      <w:proofErr w:type="spellStart"/>
      <w:r>
        <w:rPr>
          <w:rFonts w:ascii="Times New Roman" w:hAnsi="Times New Roman"/>
          <w:b w:val="0"/>
          <w:sz w:val="20"/>
          <w:lang w:val="pt-BR"/>
        </w:rPr>
        <w:t>Ni</w:t>
      </w:r>
      <w:proofErr w:type="spellEnd"/>
      <w:r>
        <w:rPr>
          <w:rFonts w:ascii="Times New Roman" w:hAnsi="Times New Roman"/>
          <w:b w:val="0"/>
          <w:sz w:val="20"/>
          <w:lang w:val="pt-BR"/>
        </w:rPr>
        <w:t xml:space="preserve"> (5 e 10%) e </w:t>
      </w:r>
      <w:proofErr w:type="spellStart"/>
      <w:r>
        <w:rPr>
          <w:rFonts w:ascii="Times New Roman" w:hAnsi="Times New Roman"/>
          <w:b w:val="0"/>
          <w:sz w:val="20"/>
          <w:lang w:val="pt-BR"/>
        </w:rPr>
        <w:t>Pt</w:t>
      </w:r>
      <w:proofErr w:type="spellEnd"/>
      <w:r>
        <w:rPr>
          <w:rFonts w:ascii="Times New Roman" w:hAnsi="Times New Roman"/>
          <w:b w:val="0"/>
          <w:sz w:val="20"/>
          <w:lang w:val="pt-BR"/>
        </w:rPr>
        <w:t xml:space="preserve"> (1 e 2%).</w:t>
      </w:r>
      <w:r w:rsidR="0036569C" w:rsidRPr="0036569C">
        <w:rPr>
          <w:rFonts w:ascii="Times New Roman" w:hAnsi="Times New Roman"/>
          <w:b w:val="0"/>
          <w:sz w:val="20"/>
          <w:lang w:val="pt-BR"/>
        </w:rPr>
        <w:t xml:space="preserve"> </w:t>
      </w:r>
      <w:r>
        <w:rPr>
          <w:rFonts w:ascii="Times New Roman" w:hAnsi="Times New Roman"/>
          <w:b w:val="0"/>
          <w:sz w:val="20"/>
          <w:lang w:val="pt-BR"/>
        </w:rPr>
        <w:t xml:space="preserve">Para o catalisador contendo 1% de </w:t>
      </w:r>
      <w:proofErr w:type="spellStart"/>
      <w:r>
        <w:rPr>
          <w:rFonts w:ascii="Times New Roman" w:hAnsi="Times New Roman"/>
          <w:b w:val="0"/>
          <w:sz w:val="20"/>
          <w:lang w:val="pt-BR"/>
        </w:rPr>
        <w:t>Pt</w:t>
      </w:r>
      <w:proofErr w:type="spellEnd"/>
      <w:r>
        <w:rPr>
          <w:rFonts w:ascii="Times New Roman" w:hAnsi="Times New Roman"/>
          <w:b w:val="0"/>
          <w:sz w:val="20"/>
          <w:lang w:val="pt-BR"/>
        </w:rPr>
        <w:t xml:space="preserve"> e 10% de </w:t>
      </w:r>
      <w:proofErr w:type="spellStart"/>
      <w:r>
        <w:rPr>
          <w:rFonts w:ascii="Times New Roman" w:hAnsi="Times New Roman"/>
          <w:b w:val="0"/>
          <w:sz w:val="20"/>
          <w:lang w:val="pt-BR"/>
        </w:rPr>
        <w:t>Ni</w:t>
      </w:r>
      <w:proofErr w:type="spellEnd"/>
      <w:r>
        <w:rPr>
          <w:rFonts w:ascii="Times New Roman" w:hAnsi="Times New Roman"/>
          <w:b w:val="0"/>
          <w:sz w:val="20"/>
          <w:lang w:val="pt-BR"/>
        </w:rPr>
        <w:t xml:space="preserve"> (1Pt10Ni-CS), o aumento da temperatura de reação de 673 para 773 K, acarretou em um aumento da estabilidade do catalisador e da seletividade a H</w:t>
      </w:r>
      <w:r w:rsidRPr="00F9014D">
        <w:rPr>
          <w:rFonts w:ascii="Times New Roman" w:hAnsi="Times New Roman"/>
          <w:b w:val="0"/>
          <w:sz w:val="20"/>
          <w:vertAlign w:val="subscript"/>
          <w:lang w:val="pt-BR"/>
        </w:rPr>
        <w:t>2</w:t>
      </w:r>
      <w:r>
        <w:rPr>
          <w:rFonts w:ascii="Times New Roman" w:hAnsi="Times New Roman"/>
          <w:b w:val="0"/>
          <w:sz w:val="20"/>
          <w:lang w:val="pt-BR"/>
        </w:rPr>
        <w:t>, CO e CO</w:t>
      </w:r>
      <w:r w:rsidRPr="00F9014D">
        <w:rPr>
          <w:rFonts w:ascii="Times New Roman" w:hAnsi="Times New Roman"/>
          <w:b w:val="0"/>
          <w:sz w:val="20"/>
          <w:vertAlign w:val="subscript"/>
          <w:lang w:val="pt-BR"/>
        </w:rPr>
        <w:t>2</w:t>
      </w:r>
      <w:r>
        <w:rPr>
          <w:rFonts w:ascii="Times New Roman" w:hAnsi="Times New Roman"/>
          <w:b w:val="0"/>
          <w:sz w:val="20"/>
          <w:lang w:val="pt-BR"/>
        </w:rPr>
        <w:t xml:space="preserve">. Diminuindo o teor de </w:t>
      </w:r>
      <w:proofErr w:type="spellStart"/>
      <w:r>
        <w:rPr>
          <w:rFonts w:ascii="Times New Roman" w:hAnsi="Times New Roman"/>
          <w:b w:val="0"/>
          <w:sz w:val="20"/>
          <w:lang w:val="pt-BR"/>
        </w:rPr>
        <w:t>Ni</w:t>
      </w:r>
      <w:proofErr w:type="spellEnd"/>
      <w:r>
        <w:rPr>
          <w:rFonts w:ascii="Times New Roman" w:hAnsi="Times New Roman"/>
          <w:b w:val="0"/>
          <w:sz w:val="20"/>
          <w:lang w:val="pt-BR"/>
        </w:rPr>
        <w:t xml:space="preserve"> no catalisador e aumentando o teor de </w:t>
      </w:r>
      <w:proofErr w:type="spellStart"/>
      <w:r>
        <w:rPr>
          <w:rFonts w:ascii="Times New Roman" w:hAnsi="Times New Roman"/>
          <w:b w:val="0"/>
          <w:sz w:val="20"/>
          <w:lang w:val="pt-BR"/>
        </w:rPr>
        <w:t>Pt</w:t>
      </w:r>
      <w:proofErr w:type="spellEnd"/>
      <w:r>
        <w:rPr>
          <w:rFonts w:ascii="Times New Roman" w:hAnsi="Times New Roman"/>
          <w:b w:val="0"/>
          <w:sz w:val="20"/>
          <w:lang w:val="pt-BR"/>
        </w:rPr>
        <w:t xml:space="preserve"> (2Pt5Ni-CS) houve aumento da estabilidade do catalisador, com a conversão se mantendo em 100% durante 20 h de reação. </w:t>
      </w:r>
      <w:r w:rsidR="0036569C" w:rsidRPr="0036569C">
        <w:rPr>
          <w:rFonts w:ascii="Times New Roman" w:hAnsi="Times New Roman"/>
          <w:b w:val="0"/>
          <w:sz w:val="20"/>
          <w:lang w:val="pt-BR"/>
        </w:rPr>
        <w:t xml:space="preserve">A forte capacidade redox da </w:t>
      </w:r>
      <w:proofErr w:type="spellStart"/>
      <w:r w:rsidR="0036569C" w:rsidRPr="0036569C">
        <w:rPr>
          <w:rFonts w:ascii="Times New Roman" w:hAnsi="Times New Roman"/>
          <w:b w:val="0"/>
          <w:sz w:val="20"/>
          <w:lang w:val="pt-BR"/>
        </w:rPr>
        <w:t>céria</w:t>
      </w:r>
      <w:proofErr w:type="spellEnd"/>
      <w:r w:rsidR="0036569C" w:rsidRPr="0036569C">
        <w:rPr>
          <w:rFonts w:ascii="Times New Roman" w:hAnsi="Times New Roman"/>
          <w:b w:val="0"/>
          <w:sz w:val="20"/>
          <w:lang w:val="pt-BR"/>
        </w:rPr>
        <w:t>, juntamente com a mudança na estrutura do catalisador devid</w:t>
      </w:r>
      <w:r w:rsidR="00B9363E">
        <w:rPr>
          <w:rFonts w:ascii="Times New Roman" w:hAnsi="Times New Roman"/>
          <w:b w:val="0"/>
          <w:sz w:val="20"/>
          <w:lang w:val="pt-BR"/>
        </w:rPr>
        <w:t xml:space="preserve">o à deposição de óxido de cério juntamente com as </w:t>
      </w:r>
      <w:proofErr w:type="spellStart"/>
      <w:r w:rsidR="00B9363E">
        <w:rPr>
          <w:rFonts w:ascii="Times New Roman" w:hAnsi="Times New Roman"/>
          <w:b w:val="0"/>
          <w:sz w:val="20"/>
          <w:lang w:val="pt-BR"/>
        </w:rPr>
        <w:t>patículas</w:t>
      </w:r>
      <w:proofErr w:type="spellEnd"/>
      <w:r w:rsidR="00B9363E">
        <w:rPr>
          <w:rFonts w:ascii="Times New Roman" w:hAnsi="Times New Roman"/>
          <w:b w:val="0"/>
          <w:sz w:val="20"/>
          <w:lang w:val="pt-BR"/>
        </w:rPr>
        <w:t xml:space="preserve"> </w:t>
      </w:r>
      <w:r w:rsidR="00B9363E" w:rsidRPr="0036569C">
        <w:rPr>
          <w:rFonts w:ascii="Times New Roman" w:hAnsi="Times New Roman"/>
          <w:b w:val="0"/>
          <w:sz w:val="20"/>
          <w:lang w:val="pt-BR"/>
        </w:rPr>
        <w:t xml:space="preserve">de </w:t>
      </w:r>
      <w:proofErr w:type="spellStart"/>
      <w:r w:rsidR="00B9363E" w:rsidRPr="0036569C">
        <w:rPr>
          <w:rFonts w:ascii="Times New Roman" w:hAnsi="Times New Roman"/>
          <w:b w:val="0"/>
          <w:sz w:val="20"/>
          <w:lang w:val="pt-BR"/>
        </w:rPr>
        <w:t>Ni</w:t>
      </w:r>
      <w:proofErr w:type="spellEnd"/>
      <w:r w:rsidR="00B9363E">
        <w:rPr>
          <w:rFonts w:ascii="Times New Roman" w:hAnsi="Times New Roman"/>
          <w:b w:val="0"/>
          <w:sz w:val="20"/>
          <w:lang w:val="pt-BR"/>
        </w:rPr>
        <w:t xml:space="preserve"> e </w:t>
      </w:r>
      <w:proofErr w:type="spellStart"/>
      <w:r w:rsidR="00B9363E">
        <w:rPr>
          <w:rFonts w:ascii="Times New Roman" w:hAnsi="Times New Roman"/>
          <w:b w:val="0"/>
          <w:sz w:val="20"/>
          <w:lang w:val="pt-BR"/>
        </w:rPr>
        <w:t>Pt</w:t>
      </w:r>
      <w:proofErr w:type="spellEnd"/>
      <w:r w:rsidR="00B9363E" w:rsidRPr="0036569C">
        <w:rPr>
          <w:rFonts w:ascii="Times New Roman" w:hAnsi="Times New Roman"/>
          <w:b w:val="0"/>
          <w:sz w:val="20"/>
          <w:lang w:val="pt-BR"/>
        </w:rPr>
        <w:t xml:space="preserve"> </w:t>
      </w:r>
      <w:r w:rsidR="0036569C" w:rsidRPr="0036569C">
        <w:rPr>
          <w:rFonts w:ascii="Times New Roman" w:hAnsi="Times New Roman"/>
          <w:b w:val="0"/>
          <w:sz w:val="20"/>
          <w:lang w:val="pt-BR"/>
        </w:rPr>
        <w:t xml:space="preserve">sobre as partículas </w:t>
      </w:r>
      <w:r w:rsidR="00B9363E">
        <w:rPr>
          <w:rFonts w:ascii="Times New Roman" w:hAnsi="Times New Roman"/>
          <w:b w:val="0"/>
          <w:sz w:val="20"/>
          <w:lang w:val="pt-BR"/>
        </w:rPr>
        <w:t>SiO</w:t>
      </w:r>
      <w:r w:rsidR="00B9363E" w:rsidRPr="00B9363E">
        <w:rPr>
          <w:rFonts w:ascii="Times New Roman" w:hAnsi="Times New Roman"/>
          <w:b w:val="0"/>
          <w:sz w:val="20"/>
          <w:vertAlign w:val="subscript"/>
          <w:lang w:val="pt-BR"/>
        </w:rPr>
        <w:t>2</w:t>
      </w:r>
      <w:r w:rsidR="0036569C" w:rsidRPr="0036569C">
        <w:rPr>
          <w:rFonts w:ascii="Times New Roman" w:hAnsi="Times New Roman"/>
          <w:b w:val="0"/>
          <w:sz w:val="20"/>
          <w:lang w:val="pt-BR"/>
        </w:rPr>
        <w:t xml:space="preserve">, levou a uma excelente atividade </w:t>
      </w:r>
      <w:r w:rsidR="007D03CB">
        <w:rPr>
          <w:rFonts w:ascii="Times New Roman" w:hAnsi="Times New Roman"/>
          <w:b w:val="0"/>
          <w:sz w:val="20"/>
          <w:lang w:val="pt-BR"/>
        </w:rPr>
        <w:t>e estabilidade</w:t>
      </w:r>
      <w:r w:rsidR="0036569C" w:rsidRPr="0036569C">
        <w:rPr>
          <w:rFonts w:ascii="Times New Roman" w:hAnsi="Times New Roman"/>
          <w:b w:val="0"/>
          <w:sz w:val="20"/>
          <w:lang w:val="pt-BR"/>
        </w:rPr>
        <w:t xml:space="preserve"> desse catalisador</w:t>
      </w:r>
      <w:r w:rsidR="007D03CB">
        <w:rPr>
          <w:rFonts w:ascii="Times New Roman" w:hAnsi="Times New Roman"/>
          <w:b w:val="0"/>
          <w:sz w:val="20"/>
          <w:lang w:val="pt-BR"/>
        </w:rPr>
        <w:t xml:space="preserve"> para reação de reforma a vapor do etanol</w:t>
      </w:r>
      <w:r w:rsidR="0036569C" w:rsidRPr="0036569C">
        <w:rPr>
          <w:rFonts w:ascii="Times New Roman" w:hAnsi="Times New Roman"/>
          <w:b w:val="0"/>
          <w:sz w:val="20"/>
          <w:lang w:val="pt-BR"/>
        </w:rPr>
        <w:t>.</w:t>
      </w:r>
    </w:p>
    <w:p w14:paraId="09B41B70" w14:textId="71BA930F" w:rsidR="00EA4E1B" w:rsidRDefault="00EA4E1B" w:rsidP="00EA4E1B">
      <w:pPr>
        <w:pStyle w:val="BDAbstract"/>
        <w:spacing w:before="0" w:after="0" w:line="240" w:lineRule="auto"/>
        <w:rPr>
          <w:rFonts w:ascii="Times New Roman" w:hAnsi="Times New Roman"/>
          <w:b w:val="0"/>
          <w:i/>
          <w:sz w:val="20"/>
          <w:lang w:val="pt-BR"/>
        </w:rPr>
      </w:pPr>
      <w:r w:rsidRPr="00B9363E">
        <w:rPr>
          <w:rFonts w:ascii="Times New Roman" w:hAnsi="Times New Roman"/>
          <w:b w:val="0"/>
          <w:i/>
          <w:sz w:val="20"/>
          <w:lang w:val="pt-BR"/>
        </w:rPr>
        <w:t xml:space="preserve">Palavras-chave: </w:t>
      </w:r>
      <w:r w:rsidR="007D03CB">
        <w:rPr>
          <w:rFonts w:ascii="Times New Roman" w:hAnsi="Times New Roman"/>
          <w:b w:val="0"/>
          <w:i/>
          <w:sz w:val="20"/>
          <w:lang w:val="pt-BR"/>
        </w:rPr>
        <w:t xml:space="preserve">Catalisadores </w:t>
      </w:r>
      <w:proofErr w:type="spellStart"/>
      <w:r w:rsidR="007D03CB">
        <w:rPr>
          <w:rFonts w:ascii="Times New Roman" w:hAnsi="Times New Roman"/>
          <w:b w:val="0"/>
          <w:i/>
          <w:sz w:val="20"/>
          <w:lang w:val="pt-BR"/>
        </w:rPr>
        <w:t>bimetálicos</w:t>
      </w:r>
      <w:proofErr w:type="spellEnd"/>
      <w:r w:rsidR="007D03CB">
        <w:rPr>
          <w:rFonts w:ascii="Times New Roman" w:hAnsi="Times New Roman"/>
          <w:b w:val="0"/>
          <w:i/>
          <w:sz w:val="20"/>
          <w:lang w:val="pt-BR"/>
        </w:rPr>
        <w:t>, catalisadores núcleo-casca, reforma a vapor do etanol</w:t>
      </w:r>
      <w:r>
        <w:rPr>
          <w:rFonts w:ascii="Times New Roman" w:hAnsi="Times New Roman"/>
          <w:b w:val="0"/>
          <w:i/>
          <w:sz w:val="20"/>
          <w:lang w:val="pt-BR"/>
        </w:rPr>
        <w:t>.</w:t>
      </w:r>
    </w:p>
    <w:p w14:paraId="7D27CC57" w14:textId="7AD7153F" w:rsidR="0087078B" w:rsidRPr="00B9363E" w:rsidRDefault="0087078B" w:rsidP="00EA4E1B">
      <w:pPr>
        <w:pStyle w:val="BDAbstract"/>
        <w:spacing w:before="0" w:after="0" w:line="240" w:lineRule="auto"/>
        <w:rPr>
          <w:rFonts w:ascii="Times New Roman" w:hAnsi="Times New Roman"/>
          <w:b w:val="0"/>
          <w:i/>
          <w:sz w:val="20"/>
          <w:lang w:val="pt-BR"/>
        </w:rPr>
      </w:pPr>
    </w:p>
    <w:p w14:paraId="03144A95" w14:textId="3B052E21" w:rsidR="0087078B" w:rsidRPr="00B9363E" w:rsidRDefault="00B9363E" w:rsidP="00EA4E1B">
      <w:pPr>
        <w:pStyle w:val="BDAbstract"/>
        <w:spacing w:before="0" w:after="0" w:line="240" w:lineRule="auto"/>
        <w:rPr>
          <w:rFonts w:ascii="Times New Roman" w:hAnsi="Times New Roman"/>
          <w:b w:val="0"/>
          <w:sz w:val="20"/>
        </w:rPr>
      </w:pPr>
      <w:r w:rsidRPr="00B9363E">
        <w:rPr>
          <w:rFonts w:ascii="Times New Roman" w:hAnsi="Times New Roman"/>
          <w:b w:val="0"/>
          <w:sz w:val="20"/>
        </w:rPr>
        <w:t xml:space="preserve">Core-shell catalysts based on nickel and platinum nanoparticles supported on silica </w:t>
      </w:r>
      <w:proofErr w:type="spellStart"/>
      <w:r w:rsidRPr="00B9363E">
        <w:rPr>
          <w:rFonts w:ascii="Times New Roman" w:hAnsi="Times New Roman"/>
          <w:b w:val="0"/>
          <w:sz w:val="20"/>
        </w:rPr>
        <w:t>nanospheres</w:t>
      </w:r>
      <w:proofErr w:type="spellEnd"/>
      <w:r w:rsidRPr="00B9363E">
        <w:rPr>
          <w:rFonts w:ascii="Times New Roman" w:hAnsi="Times New Roman"/>
          <w:b w:val="0"/>
          <w:sz w:val="20"/>
        </w:rPr>
        <w:t xml:space="preserve"> and surrounded by ceria were tested for ethanol steam reforming (H</w:t>
      </w:r>
      <w:r w:rsidRPr="00B9363E">
        <w:rPr>
          <w:rFonts w:ascii="Times New Roman" w:hAnsi="Times New Roman"/>
          <w:b w:val="0"/>
          <w:sz w:val="20"/>
          <w:vertAlign w:val="subscript"/>
        </w:rPr>
        <w:t>2</w:t>
      </w:r>
      <w:r w:rsidRPr="00B9363E">
        <w:rPr>
          <w:rFonts w:ascii="Times New Roman" w:hAnsi="Times New Roman"/>
          <w:b w:val="0"/>
          <w:sz w:val="20"/>
        </w:rPr>
        <w:t>O/ethanol: 3/1) at 673 and 773 K. Three catalysts were synthesized with different mass fractions of Ni (5% and 10%) and Pt (1% and 2%). For the catalyst containing 1% Pt and 10% Ni (1Pt10Ni-CS), increasing the reaction temperature from 673 to 773 K resulted in improved catalyst stability and selectivity towards H</w:t>
      </w:r>
      <w:r w:rsidRPr="00B9363E">
        <w:rPr>
          <w:rFonts w:ascii="Times New Roman" w:hAnsi="Times New Roman"/>
          <w:b w:val="0"/>
          <w:sz w:val="20"/>
          <w:vertAlign w:val="subscript"/>
        </w:rPr>
        <w:t>2</w:t>
      </w:r>
      <w:r w:rsidRPr="00B9363E">
        <w:rPr>
          <w:rFonts w:ascii="Times New Roman" w:hAnsi="Times New Roman"/>
          <w:b w:val="0"/>
          <w:sz w:val="20"/>
        </w:rPr>
        <w:t>, CO, and CO</w:t>
      </w:r>
      <w:r w:rsidRPr="00B9363E">
        <w:rPr>
          <w:rFonts w:ascii="Times New Roman" w:hAnsi="Times New Roman"/>
          <w:b w:val="0"/>
          <w:sz w:val="20"/>
          <w:vertAlign w:val="subscript"/>
        </w:rPr>
        <w:t>2</w:t>
      </w:r>
      <w:r w:rsidRPr="00B9363E">
        <w:rPr>
          <w:rFonts w:ascii="Times New Roman" w:hAnsi="Times New Roman"/>
          <w:b w:val="0"/>
          <w:sz w:val="20"/>
        </w:rPr>
        <w:t>. By reducing the Ni content in the catalyst and increasing the Pt content (2Pt5Ni-CS), the catalyst stability increased, with the conversion remaining at 100% for 20 hours of reaction. The strong redox capacity of ceria, along with the structural changes in the catalyst due to the deposition of cerium oxide on the Ni and Pt particles supported on SiO</w:t>
      </w:r>
      <w:r w:rsidRPr="00B9363E">
        <w:rPr>
          <w:rFonts w:ascii="Times New Roman" w:hAnsi="Times New Roman"/>
          <w:b w:val="0"/>
          <w:sz w:val="20"/>
          <w:vertAlign w:val="subscript"/>
        </w:rPr>
        <w:t>2</w:t>
      </w:r>
      <w:r w:rsidRPr="00B9363E">
        <w:rPr>
          <w:rFonts w:ascii="Times New Roman" w:hAnsi="Times New Roman"/>
          <w:b w:val="0"/>
          <w:sz w:val="20"/>
        </w:rPr>
        <w:t>, led to excellent activity and stability of this catalyst for ethanol steam reforming.</w:t>
      </w:r>
    </w:p>
    <w:p w14:paraId="48D9B0C4" w14:textId="1D6A7D06" w:rsidR="00EA4E1B" w:rsidRDefault="00EA4E1B" w:rsidP="00B9363E">
      <w:pPr>
        <w:pStyle w:val="BDAbstract"/>
        <w:spacing w:before="0" w:after="120" w:line="240" w:lineRule="auto"/>
        <w:sectPr w:rsidR="00EA4E1B" w:rsidSect="00EA4E1B">
          <w:headerReference w:type="default" r:id="rId8"/>
          <w:endnotePr>
            <w:numFmt w:val="decimal"/>
          </w:endnotePr>
          <w:pgSz w:w="11906" w:h="16838"/>
          <w:pgMar w:top="1418" w:right="1094" w:bottom="1418" w:left="567" w:header="709" w:footer="709" w:gutter="0"/>
          <w:cols w:space="708"/>
          <w:docGrid w:linePitch="360"/>
        </w:sectPr>
      </w:pPr>
      <w:r w:rsidRPr="00B9363E">
        <w:rPr>
          <w:rFonts w:ascii="Times New Roman" w:hAnsi="Times New Roman"/>
          <w:b w:val="0"/>
          <w:i/>
          <w:sz w:val="20"/>
        </w:rPr>
        <w:t xml:space="preserve">Keywords: </w:t>
      </w:r>
      <w:bookmarkEnd w:id="1"/>
      <w:r w:rsidR="00B9363E" w:rsidRPr="00B9363E">
        <w:rPr>
          <w:rFonts w:ascii="Times New Roman" w:hAnsi="Times New Roman"/>
          <w:b w:val="0"/>
          <w:i/>
          <w:sz w:val="20"/>
        </w:rPr>
        <w:t>Bimetallic catalysts, core-shell catalysts, ethanol steam reforming.</w:t>
      </w:r>
    </w:p>
    <w:p w14:paraId="625F2C0A" w14:textId="77777777" w:rsidR="00EA4E1B" w:rsidRPr="00327D23" w:rsidRDefault="00EA4E1B" w:rsidP="006046D7">
      <w:pPr>
        <w:pStyle w:val="Ttulo2"/>
        <w:spacing w:before="0" w:after="0"/>
        <w:rPr>
          <w:rFonts w:ascii="Helvetica" w:hAnsi="Helvetica" w:cs="Helvetica"/>
          <w:sz w:val="24"/>
          <w:szCs w:val="24"/>
        </w:rPr>
      </w:pPr>
      <w:r w:rsidRPr="00327D23">
        <w:rPr>
          <w:rFonts w:ascii="Helvetica" w:hAnsi="Helvetica" w:cs="Helvetica"/>
          <w:sz w:val="24"/>
          <w:szCs w:val="24"/>
        </w:rPr>
        <w:lastRenderedPageBreak/>
        <w:t>Introdução</w:t>
      </w:r>
    </w:p>
    <w:p w14:paraId="4973AF9E" w14:textId="7062F4D1" w:rsidR="006957EA" w:rsidRPr="006957EA" w:rsidRDefault="006957EA" w:rsidP="006957EA">
      <w:pPr>
        <w:pStyle w:val="TAMainText"/>
        <w:spacing w:line="240" w:lineRule="auto"/>
        <w:rPr>
          <w:rFonts w:ascii="Times New Roman" w:hAnsi="Times New Roman"/>
          <w:lang w:val="pt-BR"/>
        </w:rPr>
      </w:pPr>
      <w:r w:rsidRPr="006957EA">
        <w:rPr>
          <w:rFonts w:ascii="Times New Roman" w:hAnsi="Times New Roman"/>
          <w:lang w:val="pt-BR"/>
        </w:rPr>
        <w:t>Nos últimos anos, os pesquisadores têm explorado sistemas catalíticos inovadores para aprimorar a eficiência e seletividade dos catalisadores para a reforma a vapor de etanol (RVE) [1]. Dentre as várias estratégias utilizadas para melhorar os catalisadores de RVE, destacam-se: o controle de tamanho e morfologia das partículas, a adição</w:t>
      </w:r>
      <w:r w:rsidR="009572C4">
        <w:rPr>
          <w:rFonts w:ascii="Times New Roman" w:hAnsi="Times New Roman"/>
          <w:lang w:val="pt-BR"/>
        </w:rPr>
        <w:t xml:space="preserve"> de promotores e modificadores </w:t>
      </w:r>
      <w:r w:rsidRPr="006957EA">
        <w:rPr>
          <w:rFonts w:ascii="Times New Roman" w:hAnsi="Times New Roman"/>
          <w:lang w:val="pt-BR"/>
        </w:rPr>
        <w:t>e o uso de catalisadores bifuncionais. Essas estratégias podem ser aplicadas de forma isolada ou combinadas para otimizar o desempenho dos catalisadores de reforma a vapor do etanol, tornando-os mais eficientes, estáveis e seletivos em relação aos produtos desejados.</w:t>
      </w:r>
    </w:p>
    <w:p w14:paraId="3C467B79" w14:textId="47EA152A" w:rsidR="00C90E46" w:rsidRDefault="006957EA" w:rsidP="006957EA">
      <w:pPr>
        <w:pStyle w:val="TAMainText"/>
        <w:spacing w:line="240" w:lineRule="auto"/>
        <w:rPr>
          <w:rFonts w:ascii="Times New Roman" w:hAnsi="Times New Roman"/>
          <w:lang w:val="pt-BR"/>
        </w:rPr>
      </w:pPr>
      <w:r w:rsidRPr="006957EA">
        <w:rPr>
          <w:rFonts w:ascii="Times New Roman" w:hAnsi="Times New Roman"/>
          <w:lang w:val="pt-BR"/>
        </w:rPr>
        <w:t>A arquitetura de núcleo-casca oferece vantagens distintas, como melhoria na atividade catalítica, maior estabilidade e maior resistência ao envenenamento e desativação [2]. Uma abordagem promissora envolve o uso de catalisadores de núcleo-casca compostos por platina e níquel embebidos em CeO</w:t>
      </w:r>
      <w:r w:rsidRPr="006957EA">
        <w:rPr>
          <w:rFonts w:ascii="Times New Roman" w:hAnsi="Times New Roman"/>
          <w:vertAlign w:val="subscript"/>
          <w:lang w:val="pt-BR"/>
        </w:rPr>
        <w:t>2</w:t>
      </w:r>
      <w:r w:rsidRPr="006957EA">
        <w:rPr>
          <w:rFonts w:ascii="Times New Roman" w:hAnsi="Times New Roman"/>
          <w:lang w:val="pt-BR"/>
        </w:rPr>
        <w:t xml:space="preserve">. Neste trabalho, serão estudadas as influências dos teores de </w:t>
      </w:r>
      <w:proofErr w:type="spellStart"/>
      <w:r w:rsidRPr="006957EA">
        <w:rPr>
          <w:rFonts w:ascii="Times New Roman" w:hAnsi="Times New Roman"/>
          <w:lang w:val="pt-BR"/>
        </w:rPr>
        <w:t>Ni</w:t>
      </w:r>
      <w:proofErr w:type="spellEnd"/>
      <w:r w:rsidRPr="006957EA">
        <w:rPr>
          <w:rFonts w:ascii="Times New Roman" w:hAnsi="Times New Roman"/>
          <w:lang w:val="pt-BR"/>
        </w:rPr>
        <w:t xml:space="preserve"> e </w:t>
      </w:r>
      <w:proofErr w:type="spellStart"/>
      <w:r w:rsidRPr="006957EA">
        <w:rPr>
          <w:rFonts w:ascii="Times New Roman" w:hAnsi="Times New Roman"/>
          <w:lang w:val="pt-BR"/>
        </w:rPr>
        <w:t>Pt</w:t>
      </w:r>
      <w:proofErr w:type="spellEnd"/>
      <w:r w:rsidRPr="006957EA">
        <w:rPr>
          <w:rFonts w:ascii="Times New Roman" w:hAnsi="Times New Roman"/>
          <w:lang w:val="pt-BR"/>
        </w:rPr>
        <w:t xml:space="preserve"> em catalisadores de núcleo-casca a base de CeO</w:t>
      </w:r>
      <w:r w:rsidRPr="006957EA">
        <w:rPr>
          <w:rFonts w:ascii="Times New Roman" w:hAnsi="Times New Roman"/>
          <w:vertAlign w:val="subscript"/>
          <w:lang w:val="pt-BR"/>
        </w:rPr>
        <w:t>2</w:t>
      </w:r>
      <w:r w:rsidRPr="006957EA">
        <w:rPr>
          <w:rFonts w:ascii="Times New Roman" w:hAnsi="Times New Roman"/>
          <w:lang w:val="pt-BR"/>
        </w:rPr>
        <w:t xml:space="preserve"> e SiO</w:t>
      </w:r>
      <w:r w:rsidRPr="006957EA">
        <w:rPr>
          <w:rFonts w:ascii="Times New Roman" w:hAnsi="Times New Roman"/>
          <w:vertAlign w:val="subscript"/>
          <w:lang w:val="pt-BR"/>
        </w:rPr>
        <w:t>2</w:t>
      </w:r>
      <w:r w:rsidRPr="006957EA">
        <w:rPr>
          <w:rFonts w:ascii="Times New Roman" w:hAnsi="Times New Roman"/>
          <w:lang w:val="pt-BR"/>
        </w:rPr>
        <w:t>.</w:t>
      </w:r>
    </w:p>
    <w:p w14:paraId="52FFAC79" w14:textId="77777777" w:rsidR="00EA4E1B" w:rsidRPr="001F25B2" w:rsidRDefault="00EA4E1B" w:rsidP="006046D7">
      <w:pPr>
        <w:pStyle w:val="Ttulo2"/>
        <w:spacing w:before="0" w:after="0"/>
        <w:rPr>
          <w:rFonts w:ascii="Helvetica" w:hAnsi="Helvetica" w:cs="Helvetica"/>
          <w:sz w:val="24"/>
          <w:szCs w:val="24"/>
        </w:rPr>
      </w:pPr>
      <w:r w:rsidRPr="001F25B2">
        <w:rPr>
          <w:rFonts w:ascii="Helvetica" w:hAnsi="Helvetica" w:cs="Helvetica"/>
          <w:sz w:val="24"/>
          <w:szCs w:val="24"/>
        </w:rPr>
        <w:lastRenderedPageBreak/>
        <w:t>Experimental</w:t>
      </w:r>
    </w:p>
    <w:p w14:paraId="664B6CF0" w14:textId="2476D904" w:rsidR="0036569C" w:rsidRPr="00E003A4" w:rsidRDefault="0036569C" w:rsidP="006046D7">
      <w:pPr>
        <w:pStyle w:val="Ttulo2"/>
        <w:spacing w:before="0" w:after="0"/>
        <w:ind w:firstLine="200"/>
        <w:jc w:val="both"/>
        <w:rPr>
          <w:rFonts w:ascii="Times New Roman" w:eastAsia="Times New Roman" w:hAnsi="Times New Roman" w:cs="Times New Roman"/>
          <w:sz w:val="20"/>
          <w:szCs w:val="20"/>
          <w:lang w:eastAsia="pt-BR"/>
        </w:rPr>
      </w:pPr>
      <w:r w:rsidRPr="00E003A4">
        <w:rPr>
          <w:rFonts w:ascii="Times New Roman" w:eastAsia="Times New Roman" w:hAnsi="Times New Roman" w:cs="Times New Roman"/>
          <w:sz w:val="20"/>
          <w:szCs w:val="20"/>
          <w:lang w:eastAsia="pt-BR"/>
        </w:rPr>
        <w:t>O catalisador modificado estruturalmente na forma de núcleo-casca (</w:t>
      </w:r>
      <w:proofErr w:type="spellStart"/>
      <w:r>
        <w:rPr>
          <w:rFonts w:ascii="Times New Roman" w:eastAsia="Times New Roman" w:hAnsi="Times New Roman" w:cs="Times New Roman"/>
          <w:sz w:val="20"/>
          <w:szCs w:val="20"/>
          <w:lang w:eastAsia="pt-BR"/>
        </w:rPr>
        <w:t>PtNi</w:t>
      </w:r>
      <w:proofErr w:type="spellEnd"/>
      <w:r>
        <w:rPr>
          <w:rFonts w:ascii="Times New Roman" w:eastAsia="Times New Roman" w:hAnsi="Times New Roman" w:cs="Times New Roman"/>
          <w:sz w:val="20"/>
          <w:szCs w:val="20"/>
          <w:lang w:eastAsia="pt-BR"/>
        </w:rPr>
        <w:t>-CS) foi p</w:t>
      </w:r>
      <w:r w:rsidRPr="00E003A4">
        <w:rPr>
          <w:rFonts w:ascii="Times New Roman" w:eastAsia="Times New Roman" w:hAnsi="Times New Roman" w:cs="Times New Roman"/>
          <w:sz w:val="20"/>
          <w:szCs w:val="20"/>
          <w:lang w:eastAsia="pt-BR"/>
        </w:rPr>
        <w:t xml:space="preserve">reparado utilizando a </w:t>
      </w:r>
      <w:r w:rsidR="00EA255A">
        <w:rPr>
          <w:rFonts w:ascii="Times New Roman" w:eastAsia="Times New Roman" w:hAnsi="Times New Roman" w:cs="Times New Roman"/>
          <w:sz w:val="20"/>
          <w:szCs w:val="20"/>
          <w:lang w:eastAsia="pt-BR"/>
        </w:rPr>
        <w:t xml:space="preserve">metodologia </w:t>
      </w:r>
      <w:r w:rsidRPr="00E003A4">
        <w:rPr>
          <w:rFonts w:ascii="Times New Roman" w:eastAsia="Times New Roman" w:hAnsi="Times New Roman" w:cs="Times New Roman"/>
          <w:sz w:val="20"/>
          <w:szCs w:val="20"/>
          <w:lang w:eastAsia="pt-BR"/>
        </w:rPr>
        <w:t>previa</w:t>
      </w:r>
      <w:r w:rsidR="00D770C4">
        <w:rPr>
          <w:rFonts w:ascii="Times New Roman" w:eastAsia="Times New Roman" w:hAnsi="Times New Roman" w:cs="Times New Roman"/>
          <w:sz w:val="20"/>
          <w:szCs w:val="20"/>
          <w:lang w:eastAsia="pt-BR"/>
        </w:rPr>
        <w:t>mente descrita por Das et al. [2</w:t>
      </w:r>
      <w:r w:rsidRPr="00E003A4">
        <w:rPr>
          <w:rFonts w:ascii="Times New Roman" w:eastAsia="Times New Roman" w:hAnsi="Times New Roman" w:cs="Times New Roman"/>
          <w:sz w:val="20"/>
          <w:szCs w:val="20"/>
          <w:lang w:eastAsia="pt-BR"/>
        </w:rPr>
        <w:t xml:space="preserve">]. Os catalisadores foram preparados com </w:t>
      </w:r>
      <w:r>
        <w:rPr>
          <w:rFonts w:ascii="Times New Roman" w:eastAsia="Times New Roman" w:hAnsi="Times New Roman" w:cs="Times New Roman"/>
          <w:sz w:val="20"/>
          <w:szCs w:val="20"/>
          <w:lang w:eastAsia="pt-BR"/>
        </w:rPr>
        <w:t xml:space="preserve">1 e 2% em peso de </w:t>
      </w:r>
      <w:proofErr w:type="spellStart"/>
      <w:r>
        <w:rPr>
          <w:rFonts w:ascii="Times New Roman" w:eastAsia="Times New Roman" w:hAnsi="Times New Roman" w:cs="Times New Roman"/>
          <w:sz w:val="20"/>
          <w:szCs w:val="20"/>
          <w:lang w:eastAsia="pt-BR"/>
        </w:rPr>
        <w:t>Pt</w:t>
      </w:r>
      <w:proofErr w:type="spellEnd"/>
      <w:r>
        <w:rPr>
          <w:rFonts w:ascii="Times New Roman" w:eastAsia="Times New Roman" w:hAnsi="Times New Roman" w:cs="Times New Roman"/>
          <w:sz w:val="20"/>
          <w:szCs w:val="20"/>
          <w:lang w:eastAsia="pt-BR"/>
        </w:rPr>
        <w:t xml:space="preserve"> e 5 e </w:t>
      </w:r>
      <w:r w:rsidRPr="00E003A4">
        <w:rPr>
          <w:rFonts w:ascii="Times New Roman" w:eastAsia="Times New Roman" w:hAnsi="Times New Roman" w:cs="Times New Roman"/>
          <w:sz w:val="20"/>
          <w:szCs w:val="20"/>
          <w:lang w:eastAsia="pt-BR"/>
        </w:rPr>
        <w:t xml:space="preserve">10% em peso de </w:t>
      </w:r>
      <w:proofErr w:type="spellStart"/>
      <w:r w:rsidRPr="00E003A4">
        <w:rPr>
          <w:rFonts w:ascii="Times New Roman" w:eastAsia="Times New Roman" w:hAnsi="Times New Roman" w:cs="Times New Roman"/>
          <w:sz w:val="20"/>
          <w:szCs w:val="20"/>
          <w:lang w:eastAsia="pt-BR"/>
        </w:rPr>
        <w:t>Ni</w:t>
      </w:r>
      <w:proofErr w:type="spellEnd"/>
      <w:r w:rsidRPr="00E003A4">
        <w:rPr>
          <w:rFonts w:ascii="Times New Roman" w:eastAsia="Times New Roman" w:hAnsi="Times New Roman" w:cs="Times New Roman"/>
          <w:sz w:val="20"/>
          <w:szCs w:val="20"/>
          <w:lang w:eastAsia="pt-BR"/>
        </w:rPr>
        <w:t>.</w:t>
      </w:r>
    </w:p>
    <w:p w14:paraId="24B0249B" w14:textId="42DA00F6" w:rsidR="0036569C" w:rsidRPr="00DB7E17" w:rsidRDefault="00DB7E17" w:rsidP="006046D7">
      <w:pPr>
        <w:spacing w:after="0" w:line="240" w:lineRule="auto"/>
        <w:ind w:firstLine="200"/>
        <w:jc w:val="both"/>
        <w:rPr>
          <w:rFonts w:ascii="Times New Roman" w:hAnsi="Times New Roman" w:cs="Times New Roman"/>
          <w:sz w:val="20"/>
          <w:szCs w:val="20"/>
        </w:rPr>
      </w:pPr>
      <w:r w:rsidRPr="00DB7E17">
        <w:rPr>
          <w:rFonts w:ascii="Times New Roman" w:hAnsi="Times New Roman" w:cs="Times New Roman"/>
          <w:sz w:val="20"/>
          <w:szCs w:val="20"/>
        </w:rPr>
        <w:t xml:space="preserve">A composição química foi determinada por espectroscopia de raios-X por dispersão de energia (EDX) em </w:t>
      </w:r>
      <w:r w:rsidR="009572C4">
        <w:rPr>
          <w:rFonts w:ascii="Times New Roman" w:hAnsi="Times New Roman" w:cs="Times New Roman"/>
          <w:sz w:val="20"/>
          <w:szCs w:val="20"/>
        </w:rPr>
        <w:t xml:space="preserve">um equipamento </w:t>
      </w:r>
      <w:proofErr w:type="spellStart"/>
      <w:r w:rsidR="009572C4">
        <w:rPr>
          <w:rFonts w:ascii="Times New Roman" w:hAnsi="Times New Roman" w:cs="Times New Roman"/>
          <w:sz w:val="20"/>
          <w:szCs w:val="20"/>
        </w:rPr>
        <w:t>Shimadzu</w:t>
      </w:r>
      <w:proofErr w:type="spellEnd"/>
      <w:r w:rsidR="009572C4">
        <w:rPr>
          <w:rFonts w:ascii="Times New Roman" w:hAnsi="Times New Roman" w:cs="Times New Roman"/>
          <w:sz w:val="20"/>
          <w:szCs w:val="20"/>
        </w:rPr>
        <w:t xml:space="preserve"> EDX-700</w:t>
      </w:r>
      <w:r w:rsidRPr="00DB7E17">
        <w:rPr>
          <w:rFonts w:ascii="Times New Roman" w:hAnsi="Times New Roman" w:cs="Times New Roman"/>
          <w:sz w:val="20"/>
          <w:szCs w:val="20"/>
        </w:rPr>
        <w:t xml:space="preserve">. As informações cristalográficas dos catalisadores foram analisadas por difração de raios-X (XRD) no </w:t>
      </w:r>
      <w:proofErr w:type="spellStart"/>
      <w:r w:rsidRPr="00DB7E17">
        <w:rPr>
          <w:rFonts w:ascii="Times New Roman" w:hAnsi="Times New Roman" w:cs="Times New Roman"/>
          <w:sz w:val="20"/>
          <w:szCs w:val="20"/>
        </w:rPr>
        <w:t>difratômetro</w:t>
      </w:r>
      <w:proofErr w:type="spellEnd"/>
      <w:r w:rsidRPr="00DB7E17">
        <w:rPr>
          <w:rFonts w:ascii="Times New Roman" w:hAnsi="Times New Roman" w:cs="Times New Roman"/>
          <w:sz w:val="20"/>
          <w:szCs w:val="20"/>
        </w:rPr>
        <w:t xml:space="preserve"> </w:t>
      </w:r>
      <w:proofErr w:type="spellStart"/>
      <w:r w:rsidRPr="00DB7E17">
        <w:rPr>
          <w:rFonts w:ascii="Times New Roman" w:hAnsi="Times New Roman" w:cs="Times New Roman"/>
          <w:sz w:val="20"/>
          <w:szCs w:val="20"/>
        </w:rPr>
        <w:t>Rigaku</w:t>
      </w:r>
      <w:proofErr w:type="spellEnd"/>
      <w:r w:rsidRPr="00DB7E17">
        <w:rPr>
          <w:rFonts w:ascii="Times New Roman" w:hAnsi="Times New Roman" w:cs="Times New Roman"/>
          <w:sz w:val="20"/>
          <w:szCs w:val="20"/>
        </w:rPr>
        <w:t xml:space="preserve"> modelo </w:t>
      </w:r>
      <w:proofErr w:type="spellStart"/>
      <w:r w:rsidRPr="00DB7E17">
        <w:rPr>
          <w:rFonts w:ascii="Times New Roman" w:hAnsi="Times New Roman" w:cs="Times New Roman"/>
          <w:sz w:val="20"/>
          <w:szCs w:val="20"/>
        </w:rPr>
        <w:t>Miniflex</w:t>
      </w:r>
      <w:proofErr w:type="spellEnd"/>
      <w:r w:rsidRPr="00DB7E17">
        <w:rPr>
          <w:rFonts w:ascii="Times New Roman" w:hAnsi="Times New Roman" w:cs="Times New Roman"/>
          <w:sz w:val="20"/>
          <w:szCs w:val="20"/>
        </w:rPr>
        <w:t xml:space="preserve"> II. As morfologias dos catalisadores foram examinadas por um microscópio eletrônico de transmissão (TEM-FEG JEM-2100F, 200 kV).</w:t>
      </w:r>
    </w:p>
    <w:p w14:paraId="49C97082" w14:textId="101C8289" w:rsidR="0036569C" w:rsidRDefault="0036569C" w:rsidP="0036569C">
      <w:pPr>
        <w:pStyle w:val="TAMainText"/>
        <w:ind w:firstLine="200"/>
        <w:rPr>
          <w:lang w:val="pt-BR"/>
        </w:rPr>
      </w:pPr>
      <w:r>
        <w:rPr>
          <w:lang w:val="pt-BR"/>
        </w:rPr>
        <w:t>A reforma a vapor</w:t>
      </w:r>
      <w:r>
        <w:rPr>
          <w:lang w:val="pt-PT"/>
        </w:rPr>
        <w:t xml:space="preserve"> do</w:t>
      </w:r>
      <w:r w:rsidRPr="00BD7497">
        <w:rPr>
          <w:lang w:val="pt-PT"/>
        </w:rPr>
        <w:t xml:space="preserve"> etanol foi realizada</w:t>
      </w:r>
      <w:r>
        <w:rPr>
          <w:lang w:val="pt-PT"/>
        </w:rPr>
        <w:t xml:space="preserve"> em um rea</w:t>
      </w:r>
      <w:r w:rsidRPr="00BD7497">
        <w:rPr>
          <w:lang w:val="pt-PT"/>
        </w:rPr>
        <w:t xml:space="preserve">tor de leito fixo à pressão atmosférica. Antes da reação, os catalisadores foram reduzidos sob </w:t>
      </w:r>
      <w:r w:rsidR="009572C4">
        <w:rPr>
          <w:lang w:val="pt-PT"/>
        </w:rPr>
        <w:t>H</w:t>
      </w:r>
      <w:r w:rsidR="009572C4" w:rsidRPr="009572C4">
        <w:rPr>
          <w:vertAlign w:val="subscript"/>
          <w:lang w:val="pt-PT"/>
        </w:rPr>
        <w:t>2</w:t>
      </w:r>
      <w:r>
        <w:rPr>
          <w:lang w:val="pt-PT"/>
        </w:rPr>
        <w:t xml:space="preserve"> puro a 10</w:t>
      </w:r>
      <w:r w:rsidRPr="00BD7497">
        <w:rPr>
          <w:lang w:val="pt-PT"/>
        </w:rPr>
        <w:t xml:space="preserve">73 K durante 1 h. </w:t>
      </w:r>
      <w:r>
        <w:rPr>
          <w:lang w:val="pt-PT"/>
        </w:rPr>
        <w:t xml:space="preserve">As reações foram realizadas a </w:t>
      </w:r>
      <w:r w:rsidR="0002334E">
        <w:rPr>
          <w:lang w:val="pt-PT"/>
        </w:rPr>
        <w:t>7</w:t>
      </w:r>
      <w:r w:rsidRPr="00BD7497">
        <w:rPr>
          <w:lang w:val="pt-PT"/>
        </w:rPr>
        <w:t>73</w:t>
      </w:r>
      <w:r>
        <w:rPr>
          <w:lang w:val="pt-PT"/>
        </w:rPr>
        <w:t xml:space="preserve"> </w:t>
      </w:r>
      <w:r w:rsidR="0002334E">
        <w:rPr>
          <w:lang w:val="pt-PT"/>
        </w:rPr>
        <w:t>e 8</w:t>
      </w:r>
      <w:r>
        <w:rPr>
          <w:lang w:val="pt-PT"/>
        </w:rPr>
        <w:t xml:space="preserve">73 </w:t>
      </w:r>
      <w:r w:rsidRPr="00BD7497">
        <w:rPr>
          <w:lang w:val="pt-PT"/>
        </w:rPr>
        <w:t>K e</w:t>
      </w:r>
      <w:r>
        <w:rPr>
          <w:lang w:val="pt-PT"/>
        </w:rPr>
        <w:t xml:space="preserve"> a razão molar</w:t>
      </w:r>
      <w:r w:rsidRPr="00BD7497">
        <w:rPr>
          <w:lang w:val="pt-PT"/>
        </w:rPr>
        <w:t xml:space="preserve"> H</w:t>
      </w:r>
      <w:r w:rsidRPr="00BD7497">
        <w:rPr>
          <w:vertAlign w:val="subscript"/>
          <w:lang w:val="pt-PT"/>
        </w:rPr>
        <w:t>2</w:t>
      </w:r>
      <w:r>
        <w:rPr>
          <w:lang w:val="pt-PT"/>
        </w:rPr>
        <w:t>O/et</w:t>
      </w:r>
      <w:r w:rsidRPr="00BD7497">
        <w:rPr>
          <w:lang w:val="pt-PT"/>
        </w:rPr>
        <w:t xml:space="preserve">anol </w:t>
      </w:r>
      <w:r>
        <w:rPr>
          <w:lang w:val="pt-PT"/>
        </w:rPr>
        <w:t xml:space="preserve">utilizada foi </w:t>
      </w:r>
      <w:r w:rsidRPr="00BD7497">
        <w:rPr>
          <w:lang w:val="pt-PT"/>
        </w:rPr>
        <w:t>de 3,0.</w:t>
      </w:r>
      <w:r w:rsidRPr="00BE6C69">
        <w:rPr>
          <w:rFonts w:ascii="Times New Roman" w:hAnsi="Times New Roman"/>
          <w:lang w:val="pt-BR"/>
        </w:rPr>
        <w:t xml:space="preserve"> </w:t>
      </w:r>
      <w:r w:rsidRPr="00BE6C69">
        <w:rPr>
          <w:lang w:val="pt-BR"/>
        </w:rPr>
        <w:t xml:space="preserve">Os produtos da reação foram analisados em linha por um </w:t>
      </w:r>
      <w:proofErr w:type="spellStart"/>
      <w:r w:rsidRPr="00BE6C69">
        <w:rPr>
          <w:lang w:val="pt-BR"/>
        </w:rPr>
        <w:t>cromatógrafo</w:t>
      </w:r>
      <w:proofErr w:type="spellEnd"/>
      <w:r w:rsidRPr="00BE6C69">
        <w:rPr>
          <w:lang w:val="pt-BR"/>
        </w:rPr>
        <w:t xml:space="preserve"> CG da </w:t>
      </w:r>
      <w:proofErr w:type="spellStart"/>
      <w:r w:rsidRPr="00BE6C69">
        <w:rPr>
          <w:lang w:val="pt-BR"/>
        </w:rPr>
        <w:t>Agilent</w:t>
      </w:r>
      <w:proofErr w:type="spellEnd"/>
      <w:r w:rsidRPr="00BE6C69">
        <w:rPr>
          <w:lang w:val="pt-BR"/>
        </w:rPr>
        <w:t xml:space="preserve"> 3000.</w:t>
      </w:r>
    </w:p>
    <w:p w14:paraId="136BD1AC" w14:textId="2996D915" w:rsidR="00EA4E1B" w:rsidRPr="001F25B2" w:rsidRDefault="00EA4E1B" w:rsidP="00E003A4">
      <w:pPr>
        <w:pStyle w:val="Ttulo2"/>
        <w:rPr>
          <w:rFonts w:ascii="Helvetica" w:hAnsi="Helvetica" w:cs="Helvetica"/>
          <w:sz w:val="24"/>
          <w:szCs w:val="24"/>
        </w:rPr>
      </w:pPr>
      <w:r w:rsidRPr="001F25B2">
        <w:rPr>
          <w:rFonts w:ascii="Helvetica" w:hAnsi="Helvetica" w:cs="Helvetica"/>
          <w:sz w:val="24"/>
          <w:szCs w:val="24"/>
        </w:rPr>
        <w:lastRenderedPageBreak/>
        <w:t>Resultados e Discussão</w:t>
      </w:r>
    </w:p>
    <w:p w14:paraId="50358681" w14:textId="5F15918F" w:rsidR="004560F9" w:rsidRPr="009572C4" w:rsidRDefault="009572C4" w:rsidP="00EA4E1B">
      <w:pPr>
        <w:pStyle w:val="TAMainText"/>
        <w:ind w:firstLine="187"/>
        <w:rPr>
          <w:rFonts w:ascii="Times New Roman" w:hAnsi="Times New Roman"/>
          <w:lang w:val="pt-BR"/>
        </w:rPr>
      </w:pPr>
      <w:r w:rsidRPr="009572C4">
        <w:rPr>
          <w:rFonts w:ascii="Times New Roman" w:hAnsi="Times New Roman"/>
          <w:lang w:val="pt-BR"/>
        </w:rPr>
        <w:t>O</w:t>
      </w:r>
      <w:r w:rsidR="00327D23">
        <w:rPr>
          <w:rFonts w:ascii="Times New Roman" w:hAnsi="Times New Roman"/>
          <w:lang w:val="pt-BR"/>
        </w:rPr>
        <w:t>s</w:t>
      </w:r>
      <w:r w:rsidRPr="009572C4">
        <w:rPr>
          <w:rFonts w:ascii="Times New Roman" w:hAnsi="Times New Roman"/>
          <w:lang w:val="pt-BR"/>
        </w:rPr>
        <w:t xml:space="preserve"> catalisador</w:t>
      </w:r>
      <w:r w:rsidR="00327D23">
        <w:rPr>
          <w:rFonts w:ascii="Times New Roman" w:hAnsi="Times New Roman"/>
          <w:lang w:val="pt-BR"/>
        </w:rPr>
        <w:t>es</w:t>
      </w:r>
      <w:r w:rsidRPr="009572C4">
        <w:rPr>
          <w:rFonts w:ascii="Times New Roman" w:hAnsi="Times New Roman"/>
          <w:lang w:val="pt-BR"/>
        </w:rPr>
        <w:t xml:space="preserve"> </w:t>
      </w:r>
      <w:r w:rsidR="00327D23">
        <w:rPr>
          <w:rFonts w:ascii="Times New Roman" w:hAnsi="Times New Roman"/>
          <w:lang w:val="pt-BR"/>
        </w:rPr>
        <w:t>1Pt5</w:t>
      </w:r>
      <w:r w:rsidRPr="009572C4">
        <w:rPr>
          <w:rFonts w:ascii="Times New Roman" w:hAnsi="Times New Roman"/>
          <w:lang w:val="pt-BR"/>
        </w:rPr>
        <w:t>Ni-CS</w:t>
      </w:r>
      <w:r w:rsidR="00327D23">
        <w:rPr>
          <w:rFonts w:ascii="Times New Roman" w:hAnsi="Times New Roman"/>
          <w:lang w:val="pt-BR"/>
        </w:rPr>
        <w:t>, 1Pt10</w:t>
      </w:r>
      <w:r w:rsidR="00327D23" w:rsidRPr="009572C4">
        <w:rPr>
          <w:rFonts w:ascii="Times New Roman" w:hAnsi="Times New Roman"/>
          <w:lang w:val="pt-BR"/>
        </w:rPr>
        <w:t>Ni-CS</w:t>
      </w:r>
      <w:r w:rsidR="00327D23">
        <w:rPr>
          <w:rFonts w:ascii="Times New Roman" w:hAnsi="Times New Roman"/>
          <w:lang w:val="pt-BR"/>
        </w:rPr>
        <w:t xml:space="preserve"> e 2Pt5</w:t>
      </w:r>
      <w:r w:rsidR="00327D23" w:rsidRPr="009572C4">
        <w:rPr>
          <w:rFonts w:ascii="Times New Roman" w:hAnsi="Times New Roman"/>
          <w:lang w:val="pt-BR"/>
        </w:rPr>
        <w:t xml:space="preserve">Ni-CS </w:t>
      </w:r>
      <w:r w:rsidRPr="009572C4">
        <w:rPr>
          <w:rFonts w:ascii="Times New Roman" w:hAnsi="Times New Roman"/>
          <w:lang w:val="pt-BR"/>
        </w:rPr>
        <w:t>apresenta</w:t>
      </w:r>
      <w:r w:rsidR="00327D23">
        <w:rPr>
          <w:rFonts w:ascii="Times New Roman" w:hAnsi="Times New Roman"/>
          <w:lang w:val="pt-BR"/>
        </w:rPr>
        <w:t>m</w:t>
      </w:r>
      <w:r w:rsidRPr="009572C4">
        <w:rPr>
          <w:rFonts w:ascii="Times New Roman" w:hAnsi="Times New Roman"/>
          <w:lang w:val="pt-BR"/>
        </w:rPr>
        <w:t xml:space="preserve"> picos de difração característicos da fase fluorita de CeO</w:t>
      </w:r>
      <w:r w:rsidRPr="00CE1E4E">
        <w:rPr>
          <w:rFonts w:ascii="Times New Roman" w:hAnsi="Times New Roman"/>
          <w:vertAlign w:val="subscript"/>
          <w:lang w:val="pt-BR"/>
        </w:rPr>
        <w:t>2</w:t>
      </w:r>
      <w:r w:rsidRPr="009572C4">
        <w:rPr>
          <w:rFonts w:ascii="Times New Roman" w:hAnsi="Times New Roman"/>
          <w:lang w:val="pt-BR"/>
        </w:rPr>
        <w:t xml:space="preserve">. Os tamanhos de cristalito determinados com a equação de </w:t>
      </w:r>
      <w:proofErr w:type="spellStart"/>
      <w:r w:rsidRPr="009572C4">
        <w:rPr>
          <w:rFonts w:ascii="Times New Roman" w:hAnsi="Times New Roman"/>
          <w:lang w:val="pt-BR"/>
        </w:rPr>
        <w:t>Scherrer</w:t>
      </w:r>
      <w:proofErr w:type="spellEnd"/>
      <w:r w:rsidRPr="009572C4">
        <w:rPr>
          <w:rFonts w:ascii="Times New Roman" w:hAnsi="Times New Roman"/>
          <w:lang w:val="pt-BR"/>
        </w:rPr>
        <w:t xml:space="preserve"> para CeO</w:t>
      </w:r>
      <w:r w:rsidRPr="00CE1E4E">
        <w:rPr>
          <w:rFonts w:ascii="Times New Roman" w:hAnsi="Times New Roman"/>
          <w:vertAlign w:val="subscript"/>
          <w:lang w:val="pt-BR"/>
        </w:rPr>
        <w:t>2</w:t>
      </w:r>
      <w:r w:rsidRPr="009572C4">
        <w:rPr>
          <w:rFonts w:ascii="Times New Roman" w:hAnsi="Times New Roman"/>
          <w:lang w:val="pt-BR"/>
        </w:rPr>
        <w:t xml:space="preserve"> nos</w:t>
      </w:r>
      <w:r w:rsidR="0020670A">
        <w:rPr>
          <w:rFonts w:ascii="Times New Roman" w:hAnsi="Times New Roman"/>
          <w:lang w:val="pt-BR"/>
        </w:rPr>
        <w:t xml:space="preserve"> catalisadores</w:t>
      </w:r>
      <w:r w:rsidRPr="009572C4">
        <w:rPr>
          <w:rFonts w:ascii="Times New Roman" w:hAnsi="Times New Roman"/>
          <w:lang w:val="pt-BR"/>
        </w:rPr>
        <w:t xml:space="preserve"> </w:t>
      </w:r>
      <w:r w:rsidR="0020670A">
        <w:rPr>
          <w:rFonts w:ascii="Times New Roman" w:hAnsi="Times New Roman"/>
          <w:lang w:val="pt-BR"/>
        </w:rPr>
        <w:t>1Pt5</w:t>
      </w:r>
      <w:r w:rsidR="0020670A" w:rsidRPr="009572C4">
        <w:rPr>
          <w:rFonts w:ascii="Times New Roman" w:hAnsi="Times New Roman"/>
          <w:lang w:val="pt-BR"/>
        </w:rPr>
        <w:t>Ni-CS</w:t>
      </w:r>
      <w:r w:rsidR="0020670A">
        <w:rPr>
          <w:rFonts w:ascii="Times New Roman" w:hAnsi="Times New Roman"/>
          <w:lang w:val="pt-BR"/>
        </w:rPr>
        <w:t xml:space="preserve"> e 1Pt10</w:t>
      </w:r>
      <w:r w:rsidR="0020670A" w:rsidRPr="009572C4">
        <w:rPr>
          <w:rFonts w:ascii="Times New Roman" w:hAnsi="Times New Roman"/>
          <w:lang w:val="pt-BR"/>
        </w:rPr>
        <w:t>Ni-CS</w:t>
      </w:r>
      <w:r w:rsidR="0020670A">
        <w:rPr>
          <w:rFonts w:ascii="Times New Roman" w:hAnsi="Times New Roman"/>
          <w:lang w:val="pt-BR"/>
        </w:rPr>
        <w:t xml:space="preserve"> </w:t>
      </w:r>
      <w:r w:rsidR="00327D23">
        <w:rPr>
          <w:rFonts w:ascii="Times New Roman" w:hAnsi="Times New Roman"/>
          <w:lang w:val="pt-BR"/>
        </w:rPr>
        <w:t>f</w:t>
      </w:r>
      <w:r w:rsidR="0020670A">
        <w:rPr>
          <w:rFonts w:ascii="Times New Roman" w:hAnsi="Times New Roman"/>
          <w:lang w:val="pt-BR"/>
        </w:rPr>
        <w:t>oi</w:t>
      </w:r>
      <w:r w:rsidR="00327D23">
        <w:rPr>
          <w:rFonts w:ascii="Times New Roman" w:hAnsi="Times New Roman"/>
          <w:lang w:val="pt-BR"/>
        </w:rPr>
        <w:t xml:space="preserve"> de </w:t>
      </w:r>
      <w:r w:rsidR="0020670A">
        <w:rPr>
          <w:rFonts w:ascii="Times New Roman" w:hAnsi="Times New Roman"/>
          <w:lang w:val="pt-BR"/>
        </w:rPr>
        <w:t xml:space="preserve">7,3 </w:t>
      </w:r>
      <w:proofErr w:type="spellStart"/>
      <w:r w:rsidR="0020670A">
        <w:rPr>
          <w:rFonts w:ascii="Times New Roman" w:hAnsi="Times New Roman"/>
          <w:lang w:val="pt-BR"/>
        </w:rPr>
        <w:t>nm</w:t>
      </w:r>
      <w:proofErr w:type="spellEnd"/>
      <w:r w:rsidR="0020670A">
        <w:rPr>
          <w:rFonts w:ascii="Times New Roman" w:hAnsi="Times New Roman"/>
          <w:lang w:val="pt-BR"/>
        </w:rPr>
        <w:t xml:space="preserve"> e no </w:t>
      </w:r>
      <w:proofErr w:type="spellStart"/>
      <w:r w:rsidR="0020670A">
        <w:rPr>
          <w:rFonts w:ascii="Times New Roman" w:hAnsi="Times New Roman"/>
          <w:lang w:val="pt-BR"/>
        </w:rPr>
        <w:t>catatalisador</w:t>
      </w:r>
      <w:proofErr w:type="spellEnd"/>
      <w:r w:rsidR="0020670A">
        <w:rPr>
          <w:rFonts w:ascii="Times New Roman" w:hAnsi="Times New Roman"/>
          <w:lang w:val="pt-BR"/>
        </w:rPr>
        <w:t xml:space="preserve"> 2Pt5</w:t>
      </w:r>
      <w:r w:rsidR="0020670A" w:rsidRPr="009572C4">
        <w:rPr>
          <w:rFonts w:ascii="Times New Roman" w:hAnsi="Times New Roman"/>
          <w:lang w:val="pt-BR"/>
        </w:rPr>
        <w:t>Ni-CS</w:t>
      </w:r>
      <w:r w:rsidR="0020670A">
        <w:rPr>
          <w:rFonts w:ascii="Times New Roman" w:hAnsi="Times New Roman"/>
          <w:lang w:val="pt-BR"/>
        </w:rPr>
        <w:t xml:space="preserve"> de 8 </w:t>
      </w:r>
      <w:proofErr w:type="spellStart"/>
      <w:r w:rsidR="0020670A">
        <w:rPr>
          <w:rFonts w:ascii="Times New Roman" w:hAnsi="Times New Roman"/>
          <w:lang w:val="pt-BR"/>
        </w:rPr>
        <w:t>nm</w:t>
      </w:r>
      <w:proofErr w:type="spellEnd"/>
      <w:r w:rsidRPr="009572C4">
        <w:rPr>
          <w:rFonts w:ascii="Times New Roman" w:hAnsi="Times New Roman"/>
          <w:lang w:val="pt-BR"/>
        </w:rPr>
        <w:t>.</w:t>
      </w:r>
    </w:p>
    <w:p w14:paraId="1A052DE4" w14:textId="7176B0BB" w:rsidR="004560F9" w:rsidRDefault="00E47472" w:rsidP="00EA4E1B">
      <w:pPr>
        <w:pStyle w:val="TAMainText"/>
        <w:ind w:firstLine="187"/>
        <w:rPr>
          <w:rFonts w:ascii="Times New Roman" w:hAnsi="Times New Roman"/>
          <w:lang w:val="pt-BR"/>
        </w:rPr>
      </w:pPr>
      <w:r>
        <w:rPr>
          <w:rFonts w:ascii="Times New Roman" w:hAnsi="Times New Roman"/>
          <w:noProof/>
          <w:lang w:eastAsia="en-US"/>
        </w:rPr>
        <w:drawing>
          <wp:anchor distT="0" distB="0" distL="114300" distR="114300" simplePos="0" relativeHeight="251662335" behindDoc="0" locked="0" layoutInCell="1" allowOverlap="1" wp14:anchorId="6172CE3E" wp14:editId="3D0E8E83">
            <wp:simplePos x="0" y="0"/>
            <wp:positionH relativeFrom="margin">
              <wp:posOffset>240029</wp:posOffset>
            </wp:positionH>
            <wp:positionV relativeFrom="paragraph">
              <wp:posOffset>5080</wp:posOffset>
            </wp:positionV>
            <wp:extent cx="2408937" cy="1685925"/>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1744" cy="1687890"/>
                    </a:xfrm>
                    <a:prstGeom prst="rect">
                      <a:avLst/>
                    </a:prstGeom>
                    <a:noFill/>
                  </pic:spPr>
                </pic:pic>
              </a:graphicData>
            </a:graphic>
            <wp14:sizeRelH relativeFrom="margin">
              <wp14:pctWidth>0</wp14:pctWidth>
            </wp14:sizeRelH>
            <wp14:sizeRelV relativeFrom="margin">
              <wp14:pctHeight>0</wp14:pctHeight>
            </wp14:sizeRelV>
          </wp:anchor>
        </w:drawing>
      </w:r>
    </w:p>
    <w:p w14:paraId="47D47CF2" w14:textId="3FE2C661" w:rsidR="009572C4" w:rsidRDefault="009572C4" w:rsidP="00EA4E1B">
      <w:pPr>
        <w:pStyle w:val="TAMainText"/>
        <w:ind w:firstLine="187"/>
        <w:rPr>
          <w:rFonts w:ascii="Times New Roman" w:hAnsi="Times New Roman"/>
          <w:lang w:val="pt-BR"/>
        </w:rPr>
      </w:pPr>
    </w:p>
    <w:p w14:paraId="049A4711" w14:textId="38AA1F11" w:rsidR="00B9363E" w:rsidRDefault="00B9363E" w:rsidP="00EA4E1B">
      <w:pPr>
        <w:pStyle w:val="TAMainText"/>
        <w:ind w:firstLine="187"/>
        <w:rPr>
          <w:rFonts w:ascii="Times New Roman" w:hAnsi="Times New Roman"/>
          <w:lang w:val="pt-BR"/>
        </w:rPr>
      </w:pPr>
    </w:p>
    <w:p w14:paraId="6DA4CBFF" w14:textId="1307BFE6" w:rsidR="009572C4" w:rsidRDefault="009572C4" w:rsidP="00EA4E1B">
      <w:pPr>
        <w:pStyle w:val="TAMainText"/>
        <w:ind w:firstLine="187"/>
        <w:rPr>
          <w:rFonts w:ascii="Times New Roman" w:hAnsi="Times New Roman"/>
          <w:lang w:val="pt-BR"/>
        </w:rPr>
      </w:pPr>
    </w:p>
    <w:p w14:paraId="3B908FAE" w14:textId="77777777" w:rsidR="003F7139" w:rsidRDefault="003F7139" w:rsidP="00EA4E1B">
      <w:pPr>
        <w:pStyle w:val="TAMainText"/>
        <w:ind w:firstLine="187"/>
        <w:rPr>
          <w:rFonts w:ascii="Times New Roman" w:hAnsi="Times New Roman"/>
          <w:lang w:val="pt-BR"/>
        </w:rPr>
      </w:pPr>
    </w:p>
    <w:p w14:paraId="6BC1E878" w14:textId="090033FD" w:rsidR="003F7139" w:rsidRDefault="003F7139" w:rsidP="00EA4E1B">
      <w:pPr>
        <w:pStyle w:val="TAMainText"/>
        <w:ind w:firstLine="187"/>
        <w:rPr>
          <w:rFonts w:ascii="Times New Roman" w:hAnsi="Times New Roman"/>
          <w:lang w:val="pt-BR"/>
        </w:rPr>
      </w:pPr>
    </w:p>
    <w:p w14:paraId="67D73611" w14:textId="27AC88BC" w:rsidR="003F7139" w:rsidRDefault="003F7139" w:rsidP="00EA4E1B">
      <w:pPr>
        <w:pStyle w:val="TAMainText"/>
        <w:ind w:firstLine="187"/>
        <w:rPr>
          <w:rFonts w:ascii="Times New Roman" w:hAnsi="Times New Roman"/>
          <w:lang w:val="pt-BR"/>
        </w:rPr>
      </w:pPr>
    </w:p>
    <w:p w14:paraId="3E2A2399" w14:textId="7E54379E" w:rsidR="003F7139" w:rsidRDefault="003F7139" w:rsidP="00EA4E1B">
      <w:pPr>
        <w:pStyle w:val="TAMainText"/>
        <w:ind w:firstLine="187"/>
        <w:rPr>
          <w:rFonts w:ascii="Times New Roman" w:hAnsi="Times New Roman"/>
          <w:lang w:val="pt-BR"/>
        </w:rPr>
      </w:pPr>
    </w:p>
    <w:p w14:paraId="7FE6945E" w14:textId="0A9D7D93" w:rsidR="00EC5771" w:rsidRDefault="00EC5771" w:rsidP="00EA4E1B">
      <w:pPr>
        <w:pStyle w:val="TAMainText"/>
        <w:ind w:firstLine="187"/>
        <w:rPr>
          <w:rFonts w:ascii="Times New Roman" w:hAnsi="Times New Roman"/>
          <w:lang w:val="pt-BR"/>
        </w:rPr>
      </w:pPr>
    </w:p>
    <w:p w14:paraId="56E72EBE" w14:textId="085A8FF5" w:rsidR="001A1F1F" w:rsidRDefault="001A1F1F" w:rsidP="00EA4E1B">
      <w:pPr>
        <w:pStyle w:val="TAMainText"/>
        <w:ind w:firstLine="187"/>
        <w:rPr>
          <w:rFonts w:ascii="Times New Roman" w:hAnsi="Times New Roman"/>
          <w:lang w:val="pt-BR"/>
        </w:rPr>
      </w:pPr>
    </w:p>
    <w:p w14:paraId="0B0DD142" w14:textId="2924D263" w:rsidR="00EC5771" w:rsidRDefault="00EC5771" w:rsidP="00EA4E1B">
      <w:pPr>
        <w:pStyle w:val="TAMainText"/>
        <w:ind w:firstLine="187"/>
        <w:rPr>
          <w:rFonts w:ascii="Times New Roman" w:hAnsi="Times New Roman"/>
          <w:lang w:val="pt-BR"/>
        </w:rPr>
      </w:pPr>
    </w:p>
    <w:p w14:paraId="5B2944CF" w14:textId="1ECC52D6" w:rsidR="00B9363E" w:rsidRDefault="00B9363E" w:rsidP="003F7139">
      <w:pPr>
        <w:pStyle w:val="TAMainText"/>
        <w:ind w:firstLine="187"/>
        <w:jc w:val="center"/>
        <w:rPr>
          <w:rFonts w:ascii="Times New Roman" w:hAnsi="Times New Roman"/>
          <w:sz w:val="18"/>
          <w:lang w:val="pt-BR"/>
        </w:rPr>
      </w:pPr>
      <w:r w:rsidRPr="008557EA">
        <w:rPr>
          <w:rFonts w:ascii="Times New Roman" w:hAnsi="Times New Roman"/>
          <w:b/>
          <w:sz w:val="18"/>
          <w:lang w:val="pt-BR"/>
        </w:rPr>
        <w:t xml:space="preserve">Figura </w:t>
      </w:r>
      <w:r>
        <w:rPr>
          <w:rFonts w:ascii="Times New Roman" w:hAnsi="Times New Roman"/>
          <w:b/>
          <w:sz w:val="18"/>
          <w:lang w:val="pt-BR"/>
        </w:rPr>
        <w:t>1</w:t>
      </w:r>
      <w:r w:rsidRPr="008557EA">
        <w:rPr>
          <w:rFonts w:ascii="Times New Roman" w:hAnsi="Times New Roman"/>
          <w:b/>
          <w:sz w:val="18"/>
          <w:lang w:val="pt-BR"/>
        </w:rPr>
        <w:t>.</w:t>
      </w:r>
      <w:r w:rsidRPr="00B9363E">
        <w:rPr>
          <w:rFonts w:ascii="Times New Roman" w:hAnsi="Times New Roman"/>
          <w:b/>
          <w:sz w:val="18"/>
          <w:lang w:val="pt-BR"/>
        </w:rPr>
        <w:t xml:space="preserve"> </w:t>
      </w:r>
      <w:r w:rsidR="009572C4">
        <w:rPr>
          <w:rFonts w:ascii="Times New Roman" w:hAnsi="Times New Roman"/>
          <w:sz w:val="18"/>
          <w:lang w:val="pt-BR"/>
        </w:rPr>
        <w:t>Padrões de XRD</w:t>
      </w:r>
      <w:r w:rsidR="009572C4" w:rsidRPr="009572C4">
        <w:rPr>
          <w:rFonts w:ascii="Times New Roman" w:hAnsi="Times New Roman"/>
          <w:sz w:val="18"/>
          <w:lang w:val="pt-BR"/>
        </w:rPr>
        <w:t xml:space="preserve"> dos catalisadores.</w:t>
      </w:r>
    </w:p>
    <w:p w14:paraId="247F472A" w14:textId="566493CE" w:rsidR="004560F9" w:rsidRDefault="00B9363E" w:rsidP="00EA4E1B">
      <w:pPr>
        <w:pStyle w:val="TAMainText"/>
        <w:ind w:firstLine="187"/>
        <w:rPr>
          <w:rFonts w:ascii="Times New Roman" w:hAnsi="Times New Roman"/>
          <w:lang w:val="pt-BR"/>
        </w:rPr>
      </w:pPr>
      <w:r>
        <w:rPr>
          <w:rFonts w:ascii="Times New Roman" w:hAnsi="Times New Roman"/>
          <w:lang w:val="pt-BR"/>
        </w:rPr>
        <w:t xml:space="preserve">A composição química dos catalisadores é apresentada na Tabela 1. </w:t>
      </w:r>
      <w:r w:rsidR="00DB7E17">
        <w:rPr>
          <w:rFonts w:ascii="Times New Roman" w:hAnsi="Times New Roman"/>
          <w:lang w:val="pt-BR"/>
        </w:rPr>
        <w:t xml:space="preserve">Os valores obtidos se encontram próximos aos valores nominais. </w:t>
      </w:r>
    </w:p>
    <w:p w14:paraId="0D4B6263" w14:textId="4DE4C9FF" w:rsidR="004560F9" w:rsidRDefault="004560F9" w:rsidP="004560F9">
      <w:pPr>
        <w:pStyle w:val="VDTableTitle"/>
        <w:spacing w:after="120"/>
        <w:jc w:val="both"/>
        <w:rPr>
          <w:lang w:val="pt-BR"/>
        </w:rPr>
      </w:pPr>
      <w:r w:rsidRPr="00BB64D4">
        <w:rPr>
          <w:b/>
          <w:lang w:val="pt-BR"/>
        </w:rPr>
        <w:t>Tabela 1</w:t>
      </w:r>
      <w:r w:rsidRPr="00165BCA">
        <w:rPr>
          <w:b/>
          <w:lang w:val="pt-BR"/>
        </w:rPr>
        <w:t>.</w:t>
      </w:r>
      <w:r>
        <w:rPr>
          <w:b/>
          <w:lang w:val="pt-BR"/>
        </w:rPr>
        <w:t xml:space="preserve"> </w:t>
      </w:r>
      <w:r>
        <w:rPr>
          <w:lang w:val="pt-BR"/>
        </w:rPr>
        <w:t>Composição química dos catalisadores.</w:t>
      </w:r>
    </w:p>
    <w:tbl>
      <w:tblPr>
        <w:tblW w:w="2268" w:type="dxa"/>
        <w:jc w:val="center"/>
        <w:tblCellMar>
          <w:left w:w="70" w:type="dxa"/>
          <w:right w:w="70" w:type="dxa"/>
        </w:tblCellMar>
        <w:tblLook w:val="0000" w:firstRow="0" w:lastRow="0" w:firstColumn="0" w:lastColumn="0" w:noHBand="0" w:noVBand="0"/>
      </w:tblPr>
      <w:tblGrid>
        <w:gridCol w:w="944"/>
        <w:gridCol w:w="615"/>
        <w:gridCol w:w="709"/>
      </w:tblGrid>
      <w:tr w:rsidR="003C2B9C" w:rsidRPr="00BF2C67" w14:paraId="48B9D530" w14:textId="77777777" w:rsidTr="009572C4">
        <w:trPr>
          <w:trHeight w:val="143"/>
          <w:jc w:val="center"/>
        </w:trPr>
        <w:tc>
          <w:tcPr>
            <w:tcW w:w="944" w:type="dxa"/>
            <w:vMerge w:val="restart"/>
            <w:tcBorders>
              <w:top w:val="single" w:sz="8" w:space="0" w:color="auto"/>
              <w:left w:val="single" w:sz="8" w:space="0" w:color="auto"/>
              <w:bottom w:val="single" w:sz="8" w:space="0" w:color="000000"/>
              <w:right w:val="single" w:sz="8" w:space="0" w:color="auto"/>
            </w:tcBorders>
            <w:shd w:val="clear" w:color="auto" w:fill="99CCFF"/>
            <w:noWrap/>
            <w:vAlign w:val="center"/>
          </w:tcPr>
          <w:p w14:paraId="40BA2E9A" w14:textId="77777777" w:rsidR="003C2B9C" w:rsidRPr="00BF2C67" w:rsidRDefault="003C2B9C" w:rsidP="004560F9">
            <w:pPr>
              <w:spacing w:after="0"/>
              <w:jc w:val="center"/>
              <w:rPr>
                <w:rFonts w:ascii="Times New Roman" w:hAnsi="Times New Roman"/>
                <w:b/>
                <w:bCs/>
                <w:sz w:val="16"/>
                <w:szCs w:val="16"/>
              </w:rPr>
            </w:pPr>
            <w:r w:rsidRPr="00BF2C67">
              <w:rPr>
                <w:rFonts w:ascii="Times New Roman" w:hAnsi="Times New Roman"/>
                <w:b/>
                <w:bCs/>
                <w:sz w:val="16"/>
                <w:szCs w:val="16"/>
              </w:rPr>
              <w:t>Amostra</w:t>
            </w:r>
          </w:p>
        </w:tc>
        <w:tc>
          <w:tcPr>
            <w:tcW w:w="1324" w:type="dxa"/>
            <w:gridSpan w:val="2"/>
            <w:tcBorders>
              <w:top w:val="single" w:sz="8" w:space="0" w:color="auto"/>
              <w:left w:val="nil"/>
              <w:bottom w:val="single" w:sz="8" w:space="0" w:color="auto"/>
              <w:right w:val="single" w:sz="8" w:space="0" w:color="000000"/>
            </w:tcBorders>
            <w:shd w:val="clear" w:color="auto" w:fill="FFE599" w:themeFill="accent4" w:themeFillTint="66"/>
            <w:noWrap/>
            <w:vAlign w:val="bottom"/>
          </w:tcPr>
          <w:p w14:paraId="6376341B" w14:textId="77777777" w:rsidR="003C2B9C" w:rsidRPr="00BF2C67" w:rsidRDefault="003C2B9C" w:rsidP="004560F9">
            <w:pPr>
              <w:spacing w:after="0"/>
              <w:jc w:val="center"/>
              <w:rPr>
                <w:rFonts w:ascii="Times New Roman" w:hAnsi="Times New Roman"/>
                <w:b/>
                <w:bCs/>
                <w:sz w:val="16"/>
                <w:szCs w:val="16"/>
              </w:rPr>
            </w:pPr>
            <w:r w:rsidRPr="00BF2C67">
              <w:rPr>
                <w:rFonts w:ascii="Times New Roman" w:hAnsi="Times New Roman"/>
                <w:b/>
                <w:bCs/>
                <w:sz w:val="16"/>
                <w:szCs w:val="16"/>
              </w:rPr>
              <w:t>Composição (%)</w:t>
            </w:r>
          </w:p>
        </w:tc>
      </w:tr>
      <w:tr w:rsidR="003C2B9C" w:rsidRPr="00BF2C67" w14:paraId="4F88313E" w14:textId="77777777" w:rsidTr="009572C4">
        <w:trPr>
          <w:trHeight w:val="175"/>
          <w:jc w:val="center"/>
        </w:trPr>
        <w:tc>
          <w:tcPr>
            <w:tcW w:w="944" w:type="dxa"/>
            <w:vMerge/>
            <w:tcBorders>
              <w:top w:val="single" w:sz="8" w:space="0" w:color="auto"/>
              <w:left w:val="single" w:sz="8" w:space="0" w:color="auto"/>
              <w:bottom w:val="single" w:sz="8" w:space="0" w:color="000000"/>
              <w:right w:val="single" w:sz="8" w:space="0" w:color="auto"/>
            </w:tcBorders>
            <w:vAlign w:val="center"/>
          </w:tcPr>
          <w:p w14:paraId="1C346310" w14:textId="77777777" w:rsidR="003C2B9C" w:rsidRPr="00BF2C67" w:rsidRDefault="003C2B9C" w:rsidP="004560F9">
            <w:pPr>
              <w:spacing w:after="0"/>
              <w:rPr>
                <w:rFonts w:ascii="Times New Roman" w:hAnsi="Times New Roman"/>
                <w:b/>
                <w:bCs/>
                <w:sz w:val="16"/>
                <w:szCs w:val="16"/>
              </w:rPr>
            </w:pPr>
          </w:p>
        </w:tc>
        <w:tc>
          <w:tcPr>
            <w:tcW w:w="615" w:type="dxa"/>
            <w:tcBorders>
              <w:top w:val="nil"/>
              <w:left w:val="nil"/>
              <w:bottom w:val="single" w:sz="8" w:space="0" w:color="auto"/>
              <w:right w:val="single" w:sz="8" w:space="0" w:color="auto"/>
            </w:tcBorders>
            <w:shd w:val="clear" w:color="auto" w:fill="FFE599" w:themeFill="accent4" w:themeFillTint="66"/>
            <w:noWrap/>
            <w:vAlign w:val="bottom"/>
          </w:tcPr>
          <w:p w14:paraId="54A5480C" w14:textId="77777777" w:rsidR="003C2B9C" w:rsidRPr="00BF2C67" w:rsidRDefault="003C2B9C" w:rsidP="004560F9">
            <w:pPr>
              <w:spacing w:after="0"/>
              <w:jc w:val="center"/>
              <w:rPr>
                <w:rFonts w:ascii="Times New Roman" w:hAnsi="Times New Roman"/>
                <w:b/>
                <w:bCs/>
                <w:sz w:val="16"/>
                <w:szCs w:val="16"/>
              </w:rPr>
            </w:pPr>
            <w:proofErr w:type="spellStart"/>
            <w:r w:rsidRPr="00BF2C67">
              <w:rPr>
                <w:rFonts w:ascii="Times New Roman" w:hAnsi="Times New Roman"/>
                <w:b/>
                <w:bCs/>
                <w:sz w:val="16"/>
                <w:szCs w:val="16"/>
              </w:rPr>
              <w:t>Ni</w:t>
            </w:r>
            <w:proofErr w:type="spellEnd"/>
          </w:p>
        </w:tc>
        <w:tc>
          <w:tcPr>
            <w:tcW w:w="709" w:type="dxa"/>
            <w:tcBorders>
              <w:top w:val="nil"/>
              <w:left w:val="nil"/>
              <w:bottom w:val="single" w:sz="8" w:space="0" w:color="auto"/>
              <w:right w:val="single" w:sz="8" w:space="0" w:color="auto"/>
            </w:tcBorders>
            <w:shd w:val="clear" w:color="auto" w:fill="FFE599" w:themeFill="accent4" w:themeFillTint="66"/>
            <w:noWrap/>
            <w:vAlign w:val="bottom"/>
          </w:tcPr>
          <w:p w14:paraId="63C9CB46" w14:textId="77777777" w:rsidR="003C2B9C" w:rsidRPr="00BF2C67" w:rsidRDefault="003C2B9C" w:rsidP="004560F9">
            <w:pPr>
              <w:spacing w:after="0"/>
              <w:jc w:val="center"/>
              <w:rPr>
                <w:rFonts w:ascii="Times New Roman" w:hAnsi="Times New Roman"/>
                <w:b/>
                <w:bCs/>
                <w:sz w:val="16"/>
                <w:szCs w:val="16"/>
              </w:rPr>
            </w:pPr>
            <w:proofErr w:type="spellStart"/>
            <w:r w:rsidRPr="00BF2C67">
              <w:rPr>
                <w:rFonts w:ascii="Times New Roman" w:hAnsi="Times New Roman"/>
                <w:b/>
                <w:bCs/>
                <w:sz w:val="16"/>
                <w:szCs w:val="16"/>
              </w:rPr>
              <w:t>Pt</w:t>
            </w:r>
            <w:proofErr w:type="spellEnd"/>
          </w:p>
        </w:tc>
      </w:tr>
      <w:tr w:rsidR="003C2B9C" w:rsidRPr="00BF2C67" w14:paraId="253F5C76" w14:textId="77777777" w:rsidTr="009572C4">
        <w:trPr>
          <w:trHeight w:val="175"/>
          <w:jc w:val="center"/>
        </w:trPr>
        <w:tc>
          <w:tcPr>
            <w:tcW w:w="944" w:type="dxa"/>
            <w:tcBorders>
              <w:top w:val="nil"/>
              <w:left w:val="single" w:sz="8" w:space="0" w:color="auto"/>
              <w:bottom w:val="single" w:sz="8" w:space="0" w:color="auto"/>
              <w:right w:val="single" w:sz="8" w:space="0" w:color="auto"/>
            </w:tcBorders>
            <w:noWrap/>
            <w:vAlign w:val="center"/>
          </w:tcPr>
          <w:p w14:paraId="36D5F82F" w14:textId="7EF572F8" w:rsidR="003C2B9C" w:rsidRPr="00BF2C67" w:rsidRDefault="003C2B9C" w:rsidP="004560F9">
            <w:pPr>
              <w:spacing w:after="0"/>
              <w:jc w:val="center"/>
              <w:rPr>
                <w:rFonts w:ascii="Times New Roman" w:hAnsi="Times New Roman"/>
                <w:sz w:val="16"/>
                <w:szCs w:val="16"/>
              </w:rPr>
            </w:pPr>
            <w:r>
              <w:rPr>
                <w:rFonts w:ascii="Times New Roman" w:hAnsi="Times New Roman"/>
                <w:sz w:val="16"/>
                <w:szCs w:val="16"/>
              </w:rPr>
              <w:t>1Pt5Ni-CS</w:t>
            </w:r>
          </w:p>
        </w:tc>
        <w:tc>
          <w:tcPr>
            <w:tcW w:w="615" w:type="dxa"/>
            <w:tcBorders>
              <w:top w:val="nil"/>
              <w:left w:val="nil"/>
              <w:bottom w:val="single" w:sz="8" w:space="0" w:color="auto"/>
              <w:right w:val="single" w:sz="8" w:space="0" w:color="auto"/>
            </w:tcBorders>
            <w:noWrap/>
            <w:vAlign w:val="center"/>
          </w:tcPr>
          <w:p w14:paraId="04B31CDF" w14:textId="7D3BF09D" w:rsidR="003C2B9C" w:rsidRPr="00BF2C67" w:rsidRDefault="004560F9" w:rsidP="004560F9">
            <w:pPr>
              <w:spacing w:after="0"/>
              <w:jc w:val="center"/>
              <w:rPr>
                <w:rFonts w:ascii="Times New Roman" w:hAnsi="Times New Roman"/>
                <w:sz w:val="16"/>
                <w:szCs w:val="16"/>
              </w:rPr>
            </w:pPr>
            <w:r>
              <w:rPr>
                <w:rFonts w:ascii="Times New Roman" w:hAnsi="Times New Roman"/>
                <w:sz w:val="16"/>
                <w:szCs w:val="16"/>
              </w:rPr>
              <w:t>4,0</w:t>
            </w:r>
          </w:p>
        </w:tc>
        <w:tc>
          <w:tcPr>
            <w:tcW w:w="709" w:type="dxa"/>
            <w:tcBorders>
              <w:top w:val="nil"/>
              <w:left w:val="nil"/>
              <w:bottom w:val="single" w:sz="8" w:space="0" w:color="auto"/>
              <w:right w:val="single" w:sz="8" w:space="0" w:color="auto"/>
            </w:tcBorders>
            <w:noWrap/>
            <w:vAlign w:val="center"/>
          </w:tcPr>
          <w:p w14:paraId="66675546" w14:textId="0FF2827A" w:rsidR="003C2B9C" w:rsidRPr="00BF2C67" w:rsidRDefault="004560F9" w:rsidP="004560F9">
            <w:pPr>
              <w:spacing w:after="0"/>
              <w:jc w:val="center"/>
              <w:rPr>
                <w:rFonts w:ascii="Times New Roman" w:hAnsi="Times New Roman"/>
                <w:sz w:val="16"/>
                <w:szCs w:val="16"/>
              </w:rPr>
            </w:pPr>
            <w:r>
              <w:rPr>
                <w:rFonts w:ascii="Times New Roman" w:hAnsi="Times New Roman"/>
                <w:sz w:val="16"/>
                <w:szCs w:val="16"/>
              </w:rPr>
              <w:t>1,3</w:t>
            </w:r>
          </w:p>
        </w:tc>
      </w:tr>
      <w:tr w:rsidR="003C2B9C" w:rsidRPr="00BF2C67" w14:paraId="1CB72197" w14:textId="77777777" w:rsidTr="009572C4">
        <w:trPr>
          <w:trHeight w:val="207"/>
          <w:jc w:val="center"/>
        </w:trPr>
        <w:tc>
          <w:tcPr>
            <w:tcW w:w="944" w:type="dxa"/>
            <w:tcBorders>
              <w:top w:val="nil"/>
              <w:left w:val="single" w:sz="8" w:space="0" w:color="auto"/>
              <w:bottom w:val="single" w:sz="8" w:space="0" w:color="auto"/>
              <w:right w:val="single" w:sz="8" w:space="0" w:color="auto"/>
            </w:tcBorders>
            <w:noWrap/>
            <w:vAlign w:val="center"/>
          </w:tcPr>
          <w:p w14:paraId="0ACAE247" w14:textId="48C4EE75" w:rsidR="003C2B9C" w:rsidRPr="00BF2C67" w:rsidRDefault="003C2B9C" w:rsidP="004560F9">
            <w:pPr>
              <w:spacing w:after="0"/>
              <w:jc w:val="center"/>
              <w:rPr>
                <w:rFonts w:ascii="Times New Roman" w:hAnsi="Times New Roman"/>
                <w:sz w:val="16"/>
                <w:szCs w:val="16"/>
              </w:rPr>
            </w:pPr>
            <w:r>
              <w:rPr>
                <w:rFonts w:ascii="Times New Roman" w:hAnsi="Times New Roman"/>
                <w:sz w:val="16"/>
                <w:szCs w:val="16"/>
              </w:rPr>
              <w:t>2Pt5Ni-CS</w:t>
            </w:r>
          </w:p>
        </w:tc>
        <w:tc>
          <w:tcPr>
            <w:tcW w:w="615" w:type="dxa"/>
            <w:tcBorders>
              <w:top w:val="nil"/>
              <w:left w:val="nil"/>
              <w:bottom w:val="single" w:sz="8" w:space="0" w:color="auto"/>
              <w:right w:val="single" w:sz="8" w:space="0" w:color="auto"/>
            </w:tcBorders>
            <w:noWrap/>
            <w:vAlign w:val="center"/>
          </w:tcPr>
          <w:p w14:paraId="1D2B5942" w14:textId="78F3616A" w:rsidR="003C2B9C" w:rsidRPr="00BF2C67" w:rsidRDefault="004560F9" w:rsidP="004560F9">
            <w:pPr>
              <w:spacing w:after="0"/>
              <w:jc w:val="center"/>
              <w:rPr>
                <w:rFonts w:ascii="Times New Roman" w:hAnsi="Times New Roman"/>
                <w:sz w:val="16"/>
                <w:szCs w:val="16"/>
              </w:rPr>
            </w:pPr>
            <w:r>
              <w:rPr>
                <w:rFonts w:ascii="Times New Roman" w:hAnsi="Times New Roman"/>
                <w:sz w:val="16"/>
                <w:szCs w:val="16"/>
              </w:rPr>
              <w:t>5,6</w:t>
            </w:r>
          </w:p>
        </w:tc>
        <w:tc>
          <w:tcPr>
            <w:tcW w:w="709" w:type="dxa"/>
            <w:tcBorders>
              <w:top w:val="nil"/>
              <w:left w:val="nil"/>
              <w:bottom w:val="single" w:sz="8" w:space="0" w:color="auto"/>
              <w:right w:val="single" w:sz="8" w:space="0" w:color="auto"/>
            </w:tcBorders>
            <w:noWrap/>
            <w:vAlign w:val="center"/>
          </w:tcPr>
          <w:p w14:paraId="230BF4B2" w14:textId="63606498" w:rsidR="003C2B9C" w:rsidRPr="00BF2C67" w:rsidRDefault="004560F9" w:rsidP="004560F9">
            <w:pPr>
              <w:spacing w:after="0"/>
              <w:jc w:val="center"/>
              <w:rPr>
                <w:rFonts w:ascii="Times New Roman" w:hAnsi="Times New Roman"/>
                <w:sz w:val="16"/>
                <w:szCs w:val="16"/>
              </w:rPr>
            </w:pPr>
            <w:r>
              <w:rPr>
                <w:rFonts w:ascii="Times New Roman" w:hAnsi="Times New Roman"/>
                <w:sz w:val="16"/>
                <w:szCs w:val="16"/>
              </w:rPr>
              <w:t>2,5</w:t>
            </w:r>
          </w:p>
        </w:tc>
      </w:tr>
      <w:tr w:rsidR="003C2B9C" w:rsidRPr="00BF2C67" w14:paraId="769EAC76" w14:textId="77777777" w:rsidTr="009572C4">
        <w:trPr>
          <w:trHeight w:val="173"/>
          <w:jc w:val="center"/>
        </w:trPr>
        <w:tc>
          <w:tcPr>
            <w:tcW w:w="944" w:type="dxa"/>
            <w:tcBorders>
              <w:top w:val="nil"/>
              <w:left w:val="single" w:sz="8" w:space="0" w:color="auto"/>
              <w:bottom w:val="single" w:sz="8" w:space="0" w:color="auto"/>
              <w:right w:val="single" w:sz="8" w:space="0" w:color="auto"/>
            </w:tcBorders>
            <w:noWrap/>
            <w:vAlign w:val="center"/>
          </w:tcPr>
          <w:p w14:paraId="389057ED" w14:textId="77FD65FD" w:rsidR="003C2B9C" w:rsidRPr="00BF2C67" w:rsidRDefault="003C2B9C" w:rsidP="004560F9">
            <w:pPr>
              <w:spacing w:after="0"/>
              <w:jc w:val="center"/>
              <w:rPr>
                <w:rFonts w:ascii="Times New Roman" w:hAnsi="Times New Roman"/>
                <w:sz w:val="16"/>
                <w:szCs w:val="16"/>
              </w:rPr>
            </w:pPr>
            <w:r>
              <w:rPr>
                <w:rFonts w:ascii="Times New Roman" w:hAnsi="Times New Roman"/>
                <w:sz w:val="16"/>
                <w:szCs w:val="16"/>
              </w:rPr>
              <w:t>1Pt10Ni-CS</w:t>
            </w:r>
          </w:p>
        </w:tc>
        <w:tc>
          <w:tcPr>
            <w:tcW w:w="615" w:type="dxa"/>
            <w:tcBorders>
              <w:top w:val="nil"/>
              <w:left w:val="nil"/>
              <w:bottom w:val="single" w:sz="8" w:space="0" w:color="auto"/>
              <w:right w:val="single" w:sz="8" w:space="0" w:color="auto"/>
            </w:tcBorders>
            <w:noWrap/>
            <w:vAlign w:val="center"/>
          </w:tcPr>
          <w:p w14:paraId="57D3CC1A" w14:textId="445C8676" w:rsidR="003C2B9C" w:rsidRPr="00BF2C67" w:rsidRDefault="004560F9" w:rsidP="004560F9">
            <w:pPr>
              <w:spacing w:after="0"/>
              <w:jc w:val="center"/>
              <w:rPr>
                <w:rFonts w:ascii="Times New Roman" w:hAnsi="Times New Roman"/>
                <w:sz w:val="16"/>
                <w:szCs w:val="16"/>
              </w:rPr>
            </w:pPr>
            <w:r>
              <w:rPr>
                <w:rFonts w:ascii="Times New Roman" w:hAnsi="Times New Roman"/>
                <w:sz w:val="16"/>
                <w:szCs w:val="16"/>
              </w:rPr>
              <w:t>11,2</w:t>
            </w:r>
          </w:p>
        </w:tc>
        <w:tc>
          <w:tcPr>
            <w:tcW w:w="709" w:type="dxa"/>
            <w:tcBorders>
              <w:top w:val="nil"/>
              <w:left w:val="nil"/>
              <w:bottom w:val="single" w:sz="8" w:space="0" w:color="auto"/>
              <w:right w:val="single" w:sz="8" w:space="0" w:color="auto"/>
            </w:tcBorders>
            <w:noWrap/>
            <w:vAlign w:val="center"/>
          </w:tcPr>
          <w:p w14:paraId="7349F090" w14:textId="663FA8F8" w:rsidR="003C2B9C" w:rsidRPr="00BF2C67" w:rsidRDefault="004560F9" w:rsidP="004560F9">
            <w:pPr>
              <w:spacing w:after="0"/>
              <w:jc w:val="center"/>
              <w:rPr>
                <w:rFonts w:ascii="Times New Roman" w:hAnsi="Times New Roman"/>
                <w:sz w:val="16"/>
                <w:szCs w:val="16"/>
              </w:rPr>
            </w:pPr>
            <w:r>
              <w:rPr>
                <w:rFonts w:ascii="Times New Roman" w:hAnsi="Times New Roman"/>
                <w:sz w:val="16"/>
                <w:szCs w:val="16"/>
              </w:rPr>
              <w:t>1,4</w:t>
            </w:r>
          </w:p>
        </w:tc>
      </w:tr>
    </w:tbl>
    <w:p w14:paraId="69895977" w14:textId="77777777" w:rsidR="0005719D" w:rsidRDefault="0005719D" w:rsidP="00550BBC">
      <w:pPr>
        <w:pStyle w:val="Ttulo2"/>
        <w:spacing w:before="0" w:after="0"/>
        <w:ind w:firstLine="284"/>
        <w:jc w:val="both"/>
        <w:rPr>
          <w:rFonts w:ascii="Times New Roman" w:eastAsia="Times New Roman" w:hAnsi="Times New Roman" w:cs="Times New Roman"/>
          <w:sz w:val="20"/>
          <w:szCs w:val="20"/>
          <w:lang w:eastAsia="pt-BR"/>
        </w:rPr>
      </w:pPr>
    </w:p>
    <w:p w14:paraId="3C35E7F6" w14:textId="727E121A" w:rsidR="00550BBC" w:rsidRDefault="00550BBC" w:rsidP="00550BBC">
      <w:pPr>
        <w:pStyle w:val="Ttulo2"/>
        <w:spacing w:before="0" w:after="0"/>
        <w:ind w:firstLine="284"/>
        <w:jc w:val="both"/>
        <w:rPr>
          <w:rFonts w:ascii="Helvetica" w:hAnsi="Helvetica" w:cs="Helvetica"/>
          <w:sz w:val="24"/>
          <w:szCs w:val="24"/>
        </w:rPr>
      </w:pPr>
      <w:r w:rsidRPr="00550BBC">
        <w:rPr>
          <w:rFonts w:ascii="Times New Roman" w:eastAsia="Times New Roman" w:hAnsi="Times New Roman" w:cs="Times New Roman"/>
          <w:sz w:val="20"/>
          <w:szCs w:val="20"/>
          <w:lang w:eastAsia="pt-BR"/>
        </w:rPr>
        <w:t xml:space="preserve">O mapeamento TEM-EDS </w:t>
      </w:r>
      <w:r>
        <w:rPr>
          <w:rFonts w:ascii="Times New Roman" w:eastAsia="Times New Roman" w:hAnsi="Times New Roman" w:cs="Times New Roman"/>
          <w:sz w:val="20"/>
          <w:szCs w:val="20"/>
          <w:lang w:eastAsia="pt-BR"/>
        </w:rPr>
        <w:t xml:space="preserve">(Fig. 2) </w:t>
      </w:r>
      <w:r w:rsidRPr="00550BBC">
        <w:rPr>
          <w:rFonts w:ascii="Times New Roman" w:eastAsia="Times New Roman" w:hAnsi="Times New Roman" w:cs="Times New Roman"/>
          <w:sz w:val="20"/>
          <w:szCs w:val="20"/>
          <w:lang w:eastAsia="pt-BR"/>
        </w:rPr>
        <w:t xml:space="preserve">para o catalisador 1Pt5Ni-CS mostra que o Si está concentrado no interior das esferas, enquanto o </w:t>
      </w:r>
      <w:proofErr w:type="spellStart"/>
      <w:r w:rsidRPr="00550BBC">
        <w:rPr>
          <w:rFonts w:ascii="Times New Roman" w:eastAsia="Times New Roman" w:hAnsi="Times New Roman" w:cs="Times New Roman"/>
          <w:sz w:val="20"/>
          <w:szCs w:val="20"/>
          <w:lang w:eastAsia="pt-BR"/>
        </w:rPr>
        <w:t>Ni</w:t>
      </w:r>
      <w:proofErr w:type="spellEnd"/>
      <w:r w:rsidRPr="00550BBC">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sz w:val="20"/>
          <w:szCs w:val="20"/>
          <w:lang w:eastAsia="pt-BR"/>
        </w:rPr>
        <w:t xml:space="preserve">e a </w:t>
      </w:r>
      <w:proofErr w:type="spellStart"/>
      <w:r>
        <w:rPr>
          <w:rFonts w:ascii="Times New Roman" w:eastAsia="Times New Roman" w:hAnsi="Times New Roman" w:cs="Times New Roman"/>
          <w:sz w:val="20"/>
          <w:szCs w:val="20"/>
          <w:lang w:eastAsia="pt-BR"/>
        </w:rPr>
        <w:t>Pt</w:t>
      </w:r>
      <w:proofErr w:type="spellEnd"/>
      <w:r>
        <w:rPr>
          <w:rFonts w:ascii="Times New Roman" w:eastAsia="Times New Roman" w:hAnsi="Times New Roman" w:cs="Times New Roman"/>
          <w:sz w:val="20"/>
          <w:szCs w:val="20"/>
          <w:lang w:eastAsia="pt-BR"/>
        </w:rPr>
        <w:t xml:space="preserve"> estão</w:t>
      </w:r>
      <w:r w:rsidRPr="00550BBC">
        <w:rPr>
          <w:rFonts w:ascii="Times New Roman" w:eastAsia="Times New Roman" w:hAnsi="Times New Roman" w:cs="Times New Roman"/>
          <w:sz w:val="20"/>
          <w:szCs w:val="20"/>
          <w:lang w:eastAsia="pt-BR"/>
        </w:rPr>
        <w:t xml:space="preserve"> uniformemente distribuído</w:t>
      </w:r>
      <w:r>
        <w:rPr>
          <w:rFonts w:ascii="Times New Roman" w:eastAsia="Times New Roman" w:hAnsi="Times New Roman" w:cs="Times New Roman"/>
          <w:sz w:val="20"/>
          <w:szCs w:val="20"/>
          <w:lang w:eastAsia="pt-BR"/>
        </w:rPr>
        <w:t>s</w:t>
      </w:r>
      <w:r w:rsidRPr="00550BBC">
        <w:rPr>
          <w:rFonts w:ascii="Times New Roman" w:eastAsia="Times New Roman" w:hAnsi="Times New Roman" w:cs="Times New Roman"/>
          <w:sz w:val="20"/>
          <w:szCs w:val="20"/>
          <w:lang w:eastAsia="pt-BR"/>
        </w:rPr>
        <w:t xml:space="preserve"> no núcleo de Si, e a intensidade relativa do CeO</w:t>
      </w:r>
      <w:r w:rsidRPr="00550BBC">
        <w:rPr>
          <w:rFonts w:ascii="Times New Roman" w:eastAsia="Times New Roman" w:hAnsi="Times New Roman" w:cs="Times New Roman"/>
          <w:sz w:val="20"/>
          <w:szCs w:val="20"/>
          <w:vertAlign w:val="subscript"/>
          <w:lang w:eastAsia="pt-BR"/>
        </w:rPr>
        <w:t>2</w:t>
      </w:r>
      <w:r w:rsidRPr="00550BBC">
        <w:rPr>
          <w:rFonts w:ascii="Times New Roman" w:eastAsia="Times New Roman" w:hAnsi="Times New Roman" w:cs="Times New Roman"/>
          <w:sz w:val="20"/>
          <w:szCs w:val="20"/>
          <w:lang w:eastAsia="pt-BR"/>
        </w:rPr>
        <w:t xml:space="preserve"> sugere a formação de uma fina camada sobre o SiO</w:t>
      </w:r>
      <w:r w:rsidRPr="00550BBC">
        <w:rPr>
          <w:rFonts w:ascii="Times New Roman" w:eastAsia="Times New Roman" w:hAnsi="Times New Roman" w:cs="Times New Roman"/>
          <w:sz w:val="20"/>
          <w:szCs w:val="20"/>
          <w:vertAlign w:val="subscript"/>
          <w:lang w:eastAsia="pt-BR"/>
        </w:rPr>
        <w:t>2</w:t>
      </w:r>
      <w:r w:rsidRPr="00550BBC">
        <w:rPr>
          <w:rFonts w:ascii="Times New Roman" w:eastAsia="Times New Roman" w:hAnsi="Times New Roman" w:cs="Times New Roman"/>
          <w:sz w:val="20"/>
          <w:szCs w:val="20"/>
          <w:lang w:eastAsia="pt-BR"/>
        </w:rPr>
        <w:t>.</w:t>
      </w:r>
    </w:p>
    <w:p w14:paraId="51963CC0" w14:textId="0E2E9111" w:rsidR="006957EA" w:rsidRPr="00C90E46" w:rsidRDefault="006957EA" w:rsidP="006957EA">
      <w:pPr>
        <w:spacing w:after="0" w:line="240" w:lineRule="auto"/>
        <w:ind w:firstLine="284"/>
        <w:jc w:val="both"/>
        <w:rPr>
          <w:rFonts w:ascii="Times New Roman" w:hAnsi="Times New Roman" w:cs="Times New Roman"/>
          <w:noProof/>
          <w:sz w:val="20"/>
          <w:szCs w:val="20"/>
        </w:rPr>
      </w:pPr>
      <w:r w:rsidRPr="00C90E46">
        <w:rPr>
          <w:rFonts w:ascii="Times New Roman" w:hAnsi="Times New Roman" w:cs="Times New Roman"/>
          <w:noProof/>
          <w:sz w:val="20"/>
          <w:szCs w:val="20"/>
        </w:rPr>
        <w:t xml:space="preserve">A Figura 3 apresenta as reações de </w:t>
      </w:r>
      <w:r>
        <w:rPr>
          <w:rFonts w:ascii="Times New Roman" w:hAnsi="Times New Roman" w:cs="Times New Roman"/>
          <w:noProof/>
          <w:sz w:val="20"/>
          <w:szCs w:val="20"/>
        </w:rPr>
        <w:t>RVE</w:t>
      </w:r>
      <w:r w:rsidRPr="00C90E46">
        <w:rPr>
          <w:rFonts w:ascii="Times New Roman" w:hAnsi="Times New Roman" w:cs="Times New Roman"/>
          <w:noProof/>
          <w:sz w:val="20"/>
          <w:szCs w:val="20"/>
        </w:rPr>
        <w:t xml:space="preserve"> para o catalisador 1Pt10Ni-CS a 773 K (A) e 873 K (B). A 773 K, o catalisador exibe uma atividade inicial de 100% com seletividade para H</w:t>
      </w:r>
      <w:r w:rsidRPr="00C90E46">
        <w:rPr>
          <w:rFonts w:ascii="Times New Roman" w:hAnsi="Times New Roman" w:cs="Times New Roman"/>
          <w:noProof/>
          <w:sz w:val="20"/>
          <w:szCs w:val="20"/>
          <w:vertAlign w:val="subscript"/>
        </w:rPr>
        <w:t>2</w:t>
      </w:r>
      <w:r w:rsidRPr="00C90E46">
        <w:rPr>
          <w:rFonts w:ascii="Times New Roman" w:hAnsi="Times New Roman" w:cs="Times New Roman"/>
          <w:noProof/>
          <w:sz w:val="20"/>
          <w:szCs w:val="20"/>
        </w:rPr>
        <w:t>, CO</w:t>
      </w:r>
      <w:r w:rsidRPr="00C90E46">
        <w:rPr>
          <w:rFonts w:ascii="Times New Roman" w:hAnsi="Times New Roman" w:cs="Times New Roman"/>
          <w:noProof/>
          <w:sz w:val="20"/>
          <w:szCs w:val="20"/>
          <w:vertAlign w:val="subscript"/>
        </w:rPr>
        <w:t>2</w:t>
      </w:r>
      <w:r w:rsidRPr="00C90E46">
        <w:rPr>
          <w:rFonts w:ascii="Times New Roman" w:hAnsi="Times New Roman" w:cs="Times New Roman"/>
          <w:noProof/>
          <w:sz w:val="20"/>
          <w:szCs w:val="20"/>
        </w:rPr>
        <w:t>, CO e CH</w:t>
      </w:r>
      <w:r w:rsidRPr="00C90E46">
        <w:rPr>
          <w:rFonts w:ascii="Times New Roman" w:hAnsi="Times New Roman" w:cs="Times New Roman"/>
          <w:noProof/>
          <w:sz w:val="20"/>
          <w:szCs w:val="20"/>
          <w:vertAlign w:val="subscript"/>
        </w:rPr>
        <w:t>4</w:t>
      </w:r>
      <w:r w:rsidRPr="00C90E46">
        <w:rPr>
          <w:rFonts w:ascii="Times New Roman" w:hAnsi="Times New Roman" w:cs="Times New Roman"/>
          <w:noProof/>
          <w:sz w:val="20"/>
          <w:szCs w:val="20"/>
        </w:rPr>
        <w:t xml:space="preserve">, mas sofre uma desativação drástica nas primeiras horas de reação, </w:t>
      </w:r>
      <w:r w:rsidR="009572C4">
        <w:rPr>
          <w:rFonts w:ascii="Times New Roman" w:hAnsi="Times New Roman" w:cs="Times New Roman"/>
          <w:noProof/>
          <w:sz w:val="20"/>
          <w:szCs w:val="20"/>
        </w:rPr>
        <w:t>r</w:t>
      </w:r>
      <w:r w:rsidRPr="00C90E46">
        <w:rPr>
          <w:rFonts w:ascii="Times New Roman" w:hAnsi="Times New Roman" w:cs="Times New Roman"/>
          <w:noProof/>
          <w:sz w:val="20"/>
          <w:szCs w:val="20"/>
        </w:rPr>
        <w:t>esultando em uma mudança na distribuição dos produtos, principalmente para acetaldeído e H</w:t>
      </w:r>
      <w:r w:rsidRPr="00C90E46">
        <w:rPr>
          <w:rFonts w:ascii="Times New Roman" w:hAnsi="Times New Roman" w:cs="Times New Roman"/>
          <w:noProof/>
          <w:sz w:val="20"/>
          <w:szCs w:val="20"/>
          <w:vertAlign w:val="subscript"/>
        </w:rPr>
        <w:t>2</w:t>
      </w:r>
      <w:r w:rsidRPr="00C90E46">
        <w:rPr>
          <w:rFonts w:ascii="Times New Roman" w:hAnsi="Times New Roman" w:cs="Times New Roman"/>
          <w:noProof/>
          <w:sz w:val="20"/>
          <w:szCs w:val="20"/>
        </w:rPr>
        <w:t>. O aumento da temperatura de reação para 873 K resulta em uma melhoria na estabilidade do catalisador, mantendo cerca de 90% de conversão após 20 horas de reação. A seletividade do catalisador também permanece estável ao longo do tempo de reação, produzindo predominantemente H</w:t>
      </w:r>
      <w:r w:rsidRPr="00C90E46">
        <w:rPr>
          <w:rFonts w:ascii="Times New Roman" w:hAnsi="Times New Roman" w:cs="Times New Roman"/>
          <w:noProof/>
          <w:sz w:val="20"/>
          <w:szCs w:val="20"/>
          <w:vertAlign w:val="subscript"/>
        </w:rPr>
        <w:t>2</w:t>
      </w:r>
      <w:r w:rsidRPr="00C90E46">
        <w:rPr>
          <w:rFonts w:ascii="Times New Roman" w:hAnsi="Times New Roman" w:cs="Times New Roman"/>
          <w:noProof/>
          <w:sz w:val="20"/>
          <w:szCs w:val="20"/>
        </w:rPr>
        <w:t>, CO, CO</w:t>
      </w:r>
      <w:r w:rsidRPr="00C90E46">
        <w:rPr>
          <w:rFonts w:ascii="Times New Roman" w:hAnsi="Times New Roman" w:cs="Times New Roman"/>
          <w:noProof/>
          <w:sz w:val="20"/>
          <w:szCs w:val="20"/>
          <w:vertAlign w:val="subscript"/>
        </w:rPr>
        <w:t>2</w:t>
      </w:r>
      <w:r w:rsidRPr="00C90E46">
        <w:rPr>
          <w:rFonts w:ascii="Times New Roman" w:hAnsi="Times New Roman" w:cs="Times New Roman"/>
          <w:noProof/>
          <w:sz w:val="20"/>
          <w:szCs w:val="20"/>
        </w:rPr>
        <w:t xml:space="preserve"> e acetaldeído.</w:t>
      </w:r>
    </w:p>
    <w:p w14:paraId="679F7731" w14:textId="09A35C0F" w:rsidR="00E412CB" w:rsidRDefault="006957EA" w:rsidP="00EA255A">
      <w:pPr>
        <w:spacing w:after="0" w:line="240" w:lineRule="auto"/>
        <w:ind w:firstLine="284"/>
        <w:jc w:val="both"/>
        <w:rPr>
          <w:rFonts w:ascii="Times New Roman" w:hAnsi="Times New Roman"/>
        </w:rPr>
      </w:pPr>
      <w:r w:rsidRPr="00C90E46">
        <w:rPr>
          <w:rFonts w:ascii="Times New Roman" w:hAnsi="Times New Roman" w:cs="Times New Roman"/>
          <w:noProof/>
          <w:sz w:val="20"/>
          <w:szCs w:val="20"/>
        </w:rPr>
        <w:t>A Figura 3 também apresenta as reações de RVE a 873 K para os catalisadores 1Pt5Ni-CS (C) e 2Pt5Ni-CS (D). A redução do teor de Ni de 10% para 5% não afetou o desempenho catalítico nas condições de reação utilizadas. No entanto, o aumento do teor de Pt</w:t>
      </w:r>
      <w:r w:rsidR="009572C4">
        <w:rPr>
          <w:rFonts w:ascii="Times New Roman" w:hAnsi="Times New Roman" w:cs="Times New Roman"/>
          <w:noProof/>
          <w:sz w:val="20"/>
          <w:szCs w:val="20"/>
        </w:rPr>
        <w:t xml:space="preserve"> (2%)</w:t>
      </w:r>
      <w:r w:rsidRPr="00C90E46">
        <w:rPr>
          <w:rFonts w:ascii="Times New Roman" w:hAnsi="Times New Roman" w:cs="Times New Roman"/>
          <w:noProof/>
          <w:sz w:val="20"/>
          <w:szCs w:val="20"/>
        </w:rPr>
        <w:t xml:space="preserve"> melhorou a estabilidade do catalisador, mantendo a conversão próxima a 100% após 20 horas de reação.</w:t>
      </w:r>
    </w:p>
    <w:p w14:paraId="62F92904" w14:textId="1DA6B4F7" w:rsidR="00973BF9" w:rsidRDefault="0005719D" w:rsidP="00EA4E1B">
      <w:pPr>
        <w:pStyle w:val="TAMainText"/>
        <w:ind w:firstLine="187"/>
        <w:rPr>
          <w:rFonts w:ascii="Times New Roman" w:hAnsi="Times New Roman"/>
          <w:lang w:val="pt-BR"/>
        </w:rPr>
      </w:pPr>
      <w:r>
        <w:rPr>
          <w:rFonts w:ascii="Times New Roman" w:hAnsi="Times New Roman"/>
          <w:noProof/>
          <w:lang w:eastAsia="en-US"/>
        </w:rPr>
        <w:lastRenderedPageBreak/>
        <w:drawing>
          <wp:anchor distT="0" distB="0" distL="114300" distR="114300" simplePos="0" relativeHeight="251661311" behindDoc="0" locked="0" layoutInCell="1" allowOverlap="1" wp14:anchorId="7F0DE224" wp14:editId="48E49AA1">
            <wp:simplePos x="0" y="0"/>
            <wp:positionH relativeFrom="column">
              <wp:posOffset>344170</wp:posOffset>
            </wp:positionH>
            <wp:positionV relativeFrom="paragraph">
              <wp:posOffset>-2540</wp:posOffset>
            </wp:positionV>
            <wp:extent cx="2409825" cy="1607729"/>
            <wp:effectExtent l="0" t="0" r="0" b="0"/>
            <wp:wrapNone/>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9825" cy="1607729"/>
                    </a:xfrm>
                    <a:prstGeom prst="rect">
                      <a:avLst/>
                    </a:prstGeom>
                    <a:noFill/>
                  </pic:spPr>
                </pic:pic>
              </a:graphicData>
            </a:graphic>
            <wp14:sizeRelH relativeFrom="margin">
              <wp14:pctWidth>0</wp14:pctWidth>
            </wp14:sizeRelH>
            <wp14:sizeRelV relativeFrom="margin">
              <wp14:pctHeight>0</wp14:pctHeight>
            </wp14:sizeRelV>
          </wp:anchor>
        </w:drawing>
      </w:r>
    </w:p>
    <w:p w14:paraId="5072AC90" w14:textId="29863B89" w:rsidR="00EA255A" w:rsidRDefault="00EA255A" w:rsidP="00EA4E1B">
      <w:pPr>
        <w:pStyle w:val="TAMainText"/>
        <w:ind w:firstLine="187"/>
        <w:rPr>
          <w:rFonts w:ascii="Times New Roman" w:hAnsi="Times New Roman"/>
          <w:lang w:val="pt-BR"/>
        </w:rPr>
      </w:pPr>
    </w:p>
    <w:p w14:paraId="31A4BC5F" w14:textId="71541D48" w:rsidR="00973BF9" w:rsidRDefault="00973BF9" w:rsidP="00EA4E1B">
      <w:pPr>
        <w:pStyle w:val="TAMainText"/>
        <w:ind w:firstLine="187"/>
        <w:rPr>
          <w:rFonts w:ascii="Times New Roman" w:hAnsi="Times New Roman"/>
          <w:lang w:val="pt-BR"/>
        </w:rPr>
      </w:pPr>
    </w:p>
    <w:p w14:paraId="54509FC6" w14:textId="665F4CCB" w:rsidR="00973BF9" w:rsidRDefault="00973BF9" w:rsidP="00EA4E1B">
      <w:pPr>
        <w:pStyle w:val="TAMainText"/>
        <w:ind w:firstLine="187"/>
        <w:rPr>
          <w:rFonts w:ascii="Times New Roman" w:hAnsi="Times New Roman"/>
          <w:lang w:val="pt-BR"/>
        </w:rPr>
      </w:pPr>
    </w:p>
    <w:p w14:paraId="2585C2A9" w14:textId="77777777" w:rsidR="00973BF9" w:rsidRDefault="00973BF9" w:rsidP="00EA4E1B">
      <w:pPr>
        <w:pStyle w:val="TAMainText"/>
        <w:ind w:firstLine="187"/>
        <w:rPr>
          <w:rFonts w:ascii="Times New Roman" w:hAnsi="Times New Roman"/>
          <w:lang w:val="pt-BR"/>
        </w:rPr>
      </w:pPr>
    </w:p>
    <w:p w14:paraId="128ECC43" w14:textId="583D3018" w:rsidR="00973BF9" w:rsidRDefault="00973BF9" w:rsidP="00EA4E1B">
      <w:pPr>
        <w:pStyle w:val="TAMainText"/>
        <w:ind w:firstLine="187"/>
        <w:rPr>
          <w:rFonts w:ascii="Times New Roman" w:hAnsi="Times New Roman"/>
          <w:lang w:val="pt-BR"/>
        </w:rPr>
      </w:pPr>
    </w:p>
    <w:p w14:paraId="0733C1B6" w14:textId="77777777" w:rsidR="00973BF9" w:rsidRDefault="00973BF9" w:rsidP="00EA4E1B">
      <w:pPr>
        <w:pStyle w:val="TAMainText"/>
        <w:ind w:firstLine="187"/>
        <w:rPr>
          <w:rFonts w:ascii="Times New Roman" w:hAnsi="Times New Roman"/>
          <w:lang w:val="pt-BR"/>
        </w:rPr>
      </w:pPr>
    </w:p>
    <w:p w14:paraId="43993892" w14:textId="39140508" w:rsidR="00973BF9" w:rsidRDefault="00973BF9" w:rsidP="00EA4E1B">
      <w:pPr>
        <w:pStyle w:val="TAMainText"/>
        <w:ind w:firstLine="187"/>
        <w:rPr>
          <w:rFonts w:ascii="Times New Roman" w:hAnsi="Times New Roman"/>
          <w:lang w:val="pt-BR"/>
        </w:rPr>
      </w:pPr>
    </w:p>
    <w:p w14:paraId="1A4359F0" w14:textId="79F2F7B3" w:rsidR="00973BF9" w:rsidRDefault="00973BF9" w:rsidP="00EA4E1B">
      <w:pPr>
        <w:pStyle w:val="TAMainText"/>
        <w:ind w:firstLine="187"/>
        <w:rPr>
          <w:rFonts w:ascii="Times New Roman" w:hAnsi="Times New Roman"/>
          <w:lang w:val="pt-BR"/>
        </w:rPr>
      </w:pPr>
    </w:p>
    <w:p w14:paraId="72A619F0" w14:textId="77C3149A" w:rsidR="00973BF9" w:rsidRDefault="00973BF9" w:rsidP="00EA4E1B">
      <w:pPr>
        <w:pStyle w:val="TAMainText"/>
        <w:ind w:firstLine="187"/>
        <w:rPr>
          <w:rFonts w:ascii="Times New Roman" w:hAnsi="Times New Roman"/>
          <w:lang w:val="pt-BR"/>
        </w:rPr>
      </w:pPr>
    </w:p>
    <w:p w14:paraId="09D627E1" w14:textId="312654B5" w:rsidR="00973BF9" w:rsidRDefault="00973BF9" w:rsidP="00EA4E1B">
      <w:pPr>
        <w:pStyle w:val="TAMainText"/>
        <w:ind w:firstLine="187"/>
        <w:rPr>
          <w:rFonts w:ascii="Times New Roman" w:hAnsi="Times New Roman"/>
          <w:lang w:val="pt-BR"/>
        </w:rPr>
      </w:pPr>
    </w:p>
    <w:p w14:paraId="50CF21CB" w14:textId="6394893B" w:rsidR="008557EA" w:rsidRDefault="006E0B2D" w:rsidP="008557EA">
      <w:pPr>
        <w:jc w:val="center"/>
        <w:rPr>
          <w:rFonts w:ascii="Times New Roman" w:hAnsi="Times New Roman"/>
          <w:sz w:val="18"/>
        </w:rPr>
      </w:pPr>
      <w:r w:rsidRPr="006E0B2D">
        <w:rPr>
          <w:noProof/>
          <w:lang w:val="en-US"/>
        </w:rPr>
        <w:drawing>
          <wp:anchor distT="0" distB="0" distL="114300" distR="114300" simplePos="0" relativeHeight="251657214" behindDoc="0" locked="0" layoutInCell="1" allowOverlap="1" wp14:anchorId="3C082499" wp14:editId="71E1968D">
            <wp:simplePos x="0" y="0"/>
            <wp:positionH relativeFrom="column">
              <wp:posOffset>1594485</wp:posOffset>
            </wp:positionH>
            <wp:positionV relativeFrom="paragraph">
              <wp:posOffset>222885</wp:posOffset>
            </wp:positionV>
            <wp:extent cx="1455420" cy="1370965"/>
            <wp:effectExtent l="0" t="0" r="0" b="0"/>
            <wp:wrapSquare wrapText="bothSides"/>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pic:cNvPicPr>
                      <a:picLocks noChangeAspect="1"/>
                    </pic:cNvPicPr>
                  </pic:nvPicPr>
                  <pic:blipFill rotWithShape="1">
                    <a:blip r:embed="rId11"/>
                    <a:srcRect l="1904" r="4591"/>
                    <a:stretch/>
                  </pic:blipFill>
                  <pic:spPr bwMode="auto">
                    <a:xfrm>
                      <a:off x="0" y="0"/>
                      <a:ext cx="1455420" cy="1370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57EA" w:rsidRPr="008557EA">
        <w:rPr>
          <w:rFonts w:ascii="Times New Roman" w:hAnsi="Times New Roman"/>
          <w:b/>
          <w:sz w:val="18"/>
        </w:rPr>
        <w:t xml:space="preserve">Figura </w:t>
      </w:r>
      <w:r w:rsidR="00DB7E17">
        <w:rPr>
          <w:rFonts w:ascii="Times New Roman" w:hAnsi="Times New Roman"/>
          <w:b/>
          <w:sz w:val="18"/>
        </w:rPr>
        <w:t>2</w:t>
      </w:r>
      <w:r w:rsidR="008557EA" w:rsidRPr="008557EA">
        <w:rPr>
          <w:rFonts w:ascii="Times New Roman" w:hAnsi="Times New Roman"/>
          <w:b/>
          <w:sz w:val="18"/>
        </w:rPr>
        <w:t>.</w:t>
      </w:r>
      <w:r w:rsidR="00D35502">
        <w:rPr>
          <w:rFonts w:ascii="Times New Roman" w:hAnsi="Times New Roman"/>
          <w:b/>
          <w:sz w:val="18"/>
        </w:rPr>
        <w:t xml:space="preserve"> </w:t>
      </w:r>
      <w:r w:rsidR="00D35502" w:rsidRPr="00D35502">
        <w:rPr>
          <w:rFonts w:ascii="Times New Roman" w:hAnsi="Times New Roman"/>
          <w:sz w:val="18"/>
        </w:rPr>
        <w:t>Mapeamento TEM-EDS para o catalisador 1Pt5Ni-CS.</w:t>
      </w:r>
    </w:p>
    <w:p w14:paraId="6DA9715F" w14:textId="3AE9AD86" w:rsidR="00393DE3" w:rsidRDefault="006E0B2D" w:rsidP="00EA4E1B">
      <w:pPr>
        <w:jc w:val="center"/>
      </w:pPr>
      <w:r w:rsidRPr="0005719D">
        <w:rPr>
          <w:rFonts w:ascii="Times New Roman" w:hAnsi="Times New Roman"/>
          <w:noProof/>
          <w:lang w:val="en-US"/>
        </w:rPr>
        <mc:AlternateContent>
          <mc:Choice Requires="wps">
            <w:drawing>
              <wp:anchor distT="45720" distB="45720" distL="114300" distR="114300" simplePos="0" relativeHeight="251670527" behindDoc="0" locked="0" layoutInCell="1" allowOverlap="1" wp14:anchorId="5FD5CC18" wp14:editId="7FF7CE29">
                <wp:simplePos x="0" y="0"/>
                <wp:positionH relativeFrom="column">
                  <wp:posOffset>2181225</wp:posOffset>
                </wp:positionH>
                <wp:positionV relativeFrom="paragraph">
                  <wp:posOffset>1488075</wp:posOffset>
                </wp:positionV>
                <wp:extent cx="504825" cy="285750"/>
                <wp:effectExtent l="0" t="0" r="0" b="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2AA450B6" w14:textId="599C8B00" w:rsidR="0005719D" w:rsidRDefault="0005719D" w:rsidP="0005719D">
                            <w: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5CC18" id="_x0000_t202" coordsize="21600,21600" o:spt="202" path="m,l,21600r21600,l21600,xe">
                <v:stroke joinstyle="miter"/>
                <v:path gradientshapeok="t" o:connecttype="rect"/>
              </v:shapetype>
              <v:shape id="Caixa de Texto 2" o:spid="_x0000_s1028" type="#_x0000_t202" style="position:absolute;left:0;text-align:left;margin-left:171.75pt;margin-top:117.15pt;width:39.75pt;height:22.5pt;z-index:2516705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" filled="f" stroked="f">
                <v:textbox>
                  <w:txbxContent>
                    <w:p w14:paraId="2AA450B6" w14:textId="599C8B00" w:rsidR="0005719D" w:rsidRDefault="0005719D" w:rsidP="0005719D">
                      <w:r>
                        <w:t>(D</w:t>
                      </w:r>
                      <w:r>
                        <w:t>)</w:t>
                      </w:r>
                    </w:p>
                  </w:txbxContent>
                </v:textbox>
              </v:shape>
            </w:pict>
          </mc:Fallback>
        </mc:AlternateContent>
      </w:r>
      <w:r w:rsidRPr="0005719D">
        <w:rPr>
          <w:rFonts w:ascii="Times New Roman" w:hAnsi="Times New Roman"/>
          <w:noProof/>
          <w:lang w:val="en-US"/>
        </w:rPr>
        <mc:AlternateContent>
          <mc:Choice Requires="wps">
            <w:drawing>
              <wp:anchor distT="45720" distB="45720" distL="114300" distR="114300" simplePos="0" relativeHeight="251668479" behindDoc="0" locked="0" layoutInCell="1" allowOverlap="1" wp14:anchorId="7E76F4BB" wp14:editId="18948C8D">
                <wp:simplePos x="0" y="0"/>
                <wp:positionH relativeFrom="column">
                  <wp:posOffset>647700</wp:posOffset>
                </wp:positionH>
                <wp:positionV relativeFrom="paragraph">
                  <wp:posOffset>1511570</wp:posOffset>
                </wp:positionV>
                <wp:extent cx="504825" cy="285750"/>
                <wp:effectExtent l="0" t="0" r="0" b="0"/>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26BEB846" w14:textId="3151CFF9" w:rsidR="0005719D" w:rsidRDefault="0005719D" w:rsidP="0005719D">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6F4BB" id="_x0000_s1029" type="#_x0000_t202" style="position:absolute;left:0;text-align:left;margin-left:51pt;margin-top:119pt;width:39.75pt;height:22.5pt;z-index:2516684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" filled="f" stroked="f">
                <v:textbox>
                  <w:txbxContent>
                    <w:p w14:paraId="26BEB846" w14:textId="3151CFF9" w:rsidR="0005719D" w:rsidRDefault="0005719D" w:rsidP="0005719D">
                      <w:r>
                        <w:t>(C</w:t>
                      </w:r>
                      <w:r>
                        <w:t>)</w:t>
                      </w:r>
                    </w:p>
                  </w:txbxContent>
                </v:textbox>
              </v:shape>
            </w:pict>
          </mc:Fallback>
        </mc:AlternateContent>
      </w:r>
      <w:r w:rsidRPr="0005719D">
        <w:rPr>
          <w:rFonts w:ascii="Times New Roman" w:hAnsi="Times New Roman"/>
          <w:noProof/>
          <w:lang w:val="en-US"/>
        </w:rPr>
        <mc:AlternateContent>
          <mc:Choice Requires="wps">
            <w:drawing>
              <wp:anchor distT="45720" distB="45720" distL="114300" distR="114300" simplePos="0" relativeHeight="251664383" behindDoc="0" locked="0" layoutInCell="1" allowOverlap="1" wp14:anchorId="0E1C5E7D" wp14:editId="4D95D63D">
                <wp:simplePos x="0" y="0"/>
                <wp:positionH relativeFrom="column">
                  <wp:posOffset>519013</wp:posOffset>
                </wp:positionH>
                <wp:positionV relativeFrom="paragraph">
                  <wp:posOffset>4523</wp:posOffset>
                </wp:positionV>
                <wp:extent cx="504825" cy="28575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6420A627" w14:textId="205E3749" w:rsidR="0005719D" w:rsidRDefault="0005719D">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C5E7D" id="_x0000_s1030" type="#_x0000_t202" style="position:absolute;left:0;text-align:left;margin-left:40.85pt;margin-top:.35pt;width:39.75pt;height:22.5pt;z-index:2516643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" filled="f" stroked="f">
                <v:textbox>
                  <w:txbxContent>
                    <w:p w14:paraId="6420A627" w14:textId="205E3749" w:rsidR="0005719D" w:rsidRDefault="0005719D">
                      <w:r>
                        <w:t>(A)</w:t>
                      </w:r>
                    </w:p>
                  </w:txbxContent>
                </v:textbox>
              </v:shape>
            </w:pict>
          </mc:Fallback>
        </mc:AlternateContent>
      </w:r>
      <w:r w:rsidRPr="006E0B2D">
        <w:rPr>
          <w:noProof/>
          <w:sz w:val="18"/>
          <w:szCs w:val="18"/>
          <w:lang w:val="en-US"/>
        </w:rPr>
        <w:drawing>
          <wp:anchor distT="0" distB="0" distL="114300" distR="114300" simplePos="0" relativeHeight="251674623" behindDoc="0" locked="0" layoutInCell="1" allowOverlap="1" wp14:anchorId="44C750A0" wp14:editId="0594AD99">
            <wp:simplePos x="0" y="0"/>
            <wp:positionH relativeFrom="column">
              <wp:posOffset>2271352</wp:posOffset>
            </wp:positionH>
            <wp:positionV relativeFrom="paragraph">
              <wp:posOffset>1213450</wp:posOffset>
            </wp:positionV>
            <wp:extent cx="330604" cy="75156"/>
            <wp:effectExtent l="0" t="0" r="0" b="127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pic:cNvPicPr>
                  </pic:nvPicPr>
                  <pic:blipFill rotWithShape="1">
                    <a:blip r:embed="rId12"/>
                    <a:srcRect l="41051" t="94618" r="42447"/>
                    <a:stretch/>
                  </pic:blipFill>
                  <pic:spPr>
                    <a:xfrm>
                      <a:off x="0" y="0"/>
                      <a:ext cx="330604" cy="75156"/>
                    </a:xfrm>
                    <a:prstGeom prst="rect">
                      <a:avLst/>
                    </a:prstGeom>
                  </pic:spPr>
                </pic:pic>
              </a:graphicData>
            </a:graphic>
            <wp14:sizeRelH relativeFrom="margin">
              <wp14:pctWidth>0</wp14:pctWidth>
            </wp14:sizeRelH>
            <wp14:sizeRelV relativeFrom="margin">
              <wp14:pctHeight>0</wp14:pctHeight>
            </wp14:sizeRelV>
          </wp:anchor>
        </w:drawing>
      </w:r>
      <w:r w:rsidRPr="0005719D">
        <w:rPr>
          <w:rFonts w:ascii="Times New Roman" w:hAnsi="Times New Roman"/>
          <w:noProof/>
          <w:lang w:val="en-US"/>
        </w:rPr>
        <mc:AlternateContent>
          <mc:Choice Requires="wps">
            <w:drawing>
              <wp:anchor distT="45720" distB="45720" distL="114300" distR="114300" simplePos="0" relativeHeight="251666431" behindDoc="0" locked="0" layoutInCell="1" allowOverlap="1" wp14:anchorId="7B9DA325" wp14:editId="0DF60EA8">
                <wp:simplePos x="0" y="0"/>
                <wp:positionH relativeFrom="column">
                  <wp:posOffset>2125345</wp:posOffset>
                </wp:positionH>
                <wp:positionV relativeFrom="paragraph">
                  <wp:posOffset>117110</wp:posOffset>
                </wp:positionV>
                <wp:extent cx="504825" cy="295275"/>
                <wp:effectExtent l="0" t="0" r="0" b="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95275"/>
                        </a:xfrm>
                        <a:prstGeom prst="rect">
                          <a:avLst/>
                        </a:prstGeom>
                        <a:noFill/>
                        <a:ln w="9525">
                          <a:noFill/>
                          <a:miter lim="800000"/>
                          <a:headEnd/>
                          <a:tailEnd/>
                        </a:ln>
                      </wps:spPr>
                      <wps:txbx>
                        <w:txbxContent>
                          <w:p w14:paraId="5CB8A33B" w14:textId="2B423A2E" w:rsidR="0005719D" w:rsidRDefault="0005719D" w:rsidP="0005719D">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DA325" id="_x0000_s1031" type="#_x0000_t202" style="position:absolute;left:0;text-align:left;margin-left:167.35pt;margin-top:9.2pt;width:39.75pt;height:23.25pt;z-index:2516664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" filled="f" stroked="f">
                <v:textbox>
                  <w:txbxContent>
                    <w:p w14:paraId="5CB8A33B" w14:textId="2B423A2E" w:rsidR="0005719D" w:rsidRDefault="0005719D" w:rsidP="0005719D">
                      <w:r>
                        <w:t>(B</w:t>
                      </w:r>
                      <w:r>
                        <w:t>)</w:t>
                      </w:r>
                    </w:p>
                  </w:txbxContent>
                </v:textbox>
              </v:shape>
            </w:pict>
          </mc:Fallback>
        </mc:AlternateContent>
      </w:r>
      <w:r w:rsidR="0005719D">
        <w:rPr>
          <w:rFonts w:ascii="Times New Roman" w:hAnsi="Times New Roman"/>
          <w:noProof/>
          <w:lang w:val="en-US"/>
        </w:rPr>
        <mc:AlternateContent>
          <mc:Choice Requires="wps">
            <w:drawing>
              <wp:anchor distT="0" distB="0" distL="114300" distR="114300" simplePos="0" relativeHeight="251671551" behindDoc="0" locked="0" layoutInCell="1" allowOverlap="1" wp14:anchorId="6BC4DE93" wp14:editId="31B2C7AB">
                <wp:simplePos x="0" y="0"/>
                <wp:positionH relativeFrom="column">
                  <wp:posOffset>2265045</wp:posOffset>
                </wp:positionH>
                <wp:positionV relativeFrom="paragraph">
                  <wp:posOffset>1892300</wp:posOffset>
                </wp:positionV>
                <wp:extent cx="676275" cy="260350"/>
                <wp:effectExtent l="0" t="0" r="9525" b="6350"/>
                <wp:wrapNone/>
                <wp:docPr id="18" name="Retângulo 18"/>
                <wp:cNvGraphicFramePr/>
                <a:graphic xmlns:a="http://schemas.openxmlformats.org/drawingml/2006/main">
                  <a:graphicData uri="http://schemas.microsoft.com/office/word/2010/wordprocessingShape">
                    <wps:wsp>
                      <wps:cNvSpPr/>
                      <wps:spPr>
                        <a:xfrm>
                          <a:off x="0" y="0"/>
                          <a:ext cx="676275" cy="260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0A9EB7" id="Retângulo 18" o:spid="_x0000_s1026" style="position:absolute;margin-left:178.35pt;margin-top:149pt;width:53.25pt;height:20.5pt;z-index:2516715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" fillcolor="white [3212]" stroked="f" strokeweight="1pt"/>
            </w:pict>
          </mc:Fallback>
        </mc:AlternateContent>
      </w:r>
      <w:r w:rsidR="0005719D" w:rsidRPr="00393DE3">
        <w:rPr>
          <w:lang w:val="en-US"/>
        </w:rPr>
        <w:object w:dxaOrig="6541" w:dyaOrig="4569" w14:anchorId="133B9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104.25pt" o:ole="">
            <v:imagedata r:id="rId13" o:title="" croptop="12337f" cropleft="2264f" cropright="10130f"/>
          </v:shape>
          <o:OLEObject Type="Embed" ProgID="Origin50.Graph" ShapeID="_x0000_i1025" DrawAspect="Content" ObjectID="_1753164474" r:id="rId14"/>
        </w:object>
      </w:r>
      <w:r w:rsidR="003C2B9C" w:rsidRPr="00C90F82">
        <w:t xml:space="preserve"> </w:t>
      </w:r>
      <w:r w:rsidR="0005719D">
        <w:t xml:space="preserve"> </w:t>
      </w:r>
      <w:r w:rsidR="00C90F82">
        <w:t xml:space="preserve">          </w:t>
      </w:r>
      <w:r w:rsidR="0005719D">
        <w:object w:dxaOrig="6541" w:dyaOrig="4569" w14:anchorId="7C26E927">
          <v:shape id="_x0000_i1026" type="#_x0000_t75" style="width:117pt;height:99.75pt" o:ole="">
            <v:imagedata r:id="rId15" o:title="" croptop="10969f" cropleft="2340f" cropright="9358f"/>
          </v:shape>
          <o:OLEObject Type="Embed" ProgID="Origin50.Graph" ShapeID="_x0000_i1026" DrawAspect="Content" ObjectID="_1753164475" r:id="rId16"/>
        </w:object>
      </w:r>
      <w:r w:rsidR="003C2B9C">
        <w:t xml:space="preserve">   </w:t>
      </w:r>
      <w:r w:rsidR="0005719D">
        <w:object w:dxaOrig="6541" w:dyaOrig="4569" w14:anchorId="1300CBDE">
          <v:shape id="_x0000_i1027" type="#_x0000_t75" style="width:112.5pt;height:96.75pt" o:ole="">
            <v:imagedata r:id="rId17" o:title="" croptop="11856f" cropleft="2037f" cropright="9978f"/>
          </v:shape>
          <o:OLEObject Type="Embed" ProgID="Origin50.Graph" ShapeID="_x0000_i1027" DrawAspect="Content" ObjectID="_1753164476" r:id="rId18"/>
        </w:object>
      </w:r>
    </w:p>
    <w:p w14:paraId="43FD5137" w14:textId="0824F4FE" w:rsidR="00550BBC" w:rsidRPr="00550BBC" w:rsidRDefault="00C90F82" w:rsidP="00550BBC">
      <w:pPr>
        <w:jc w:val="center"/>
        <w:rPr>
          <w:rFonts w:ascii="Times New Roman" w:hAnsi="Times New Roman"/>
          <w:sz w:val="18"/>
          <w:szCs w:val="18"/>
        </w:rPr>
      </w:pPr>
      <w:r>
        <w:rPr>
          <w:rFonts w:ascii="Times New Roman" w:hAnsi="Times New Roman"/>
          <w:b/>
          <w:sz w:val="18"/>
        </w:rPr>
        <w:t>Figura 3</w:t>
      </w:r>
      <w:r w:rsidR="008557EA" w:rsidRPr="008557EA">
        <w:rPr>
          <w:rFonts w:ascii="Times New Roman" w:hAnsi="Times New Roman"/>
          <w:b/>
          <w:sz w:val="18"/>
        </w:rPr>
        <w:t>.</w:t>
      </w:r>
      <w:r w:rsidR="00550BBC">
        <w:rPr>
          <w:rFonts w:ascii="Times New Roman" w:hAnsi="Times New Roman"/>
          <w:b/>
          <w:sz w:val="18"/>
        </w:rPr>
        <w:t xml:space="preserve"> </w:t>
      </w:r>
      <w:r w:rsidR="00550BBC" w:rsidRPr="00550BBC">
        <w:rPr>
          <w:rFonts w:ascii="Times New Roman" w:hAnsi="Times New Roman"/>
          <w:sz w:val="18"/>
          <w:szCs w:val="18"/>
        </w:rPr>
        <w:t xml:space="preserve">Reações de RVE para os catalisadores </w:t>
      </w:r>
      <w:r w:rsidR="00550BBC" w:rsidRPr="00550BBC">
        <w:rPr>
          <w:rFonts w:ascii="Times New Roman" w:hAnsi="Times New Roman" w:cs="Times New Roman"/>
          <w:noProof/>
          <w:sz w:val="18"/>
          <w:szCs w:val="18"/>
        </w:rPr>
        <w:t>1Pt10Ni-CS a 773 K (A) e 873 K (B), 1Pt5Ni-CS (C) e 2Pt5Ni-CS (D).</w:t>
      </w:r>
    </w:p>
    <w:p w14:paraId="20AA905D" w14:textId="67124C13" w:rsidR="00EA4E1B" w:rsidRPr="001F25B2" w:rsidRDefault="00EA4E1B" w:rsidP="00550BBC">
      <w:pPr>
        <w:spacing w:after="0"/>
        <w:jc w:val="center"/>
        <w:rPr>
          <w:rFonts w:ascii="Helvetica" w:hAnsi="Helvetica" w:cs="Helvetica"/>
          <w:sz w:val="24"/>
          <w:szCs w:val="24"/>
        </w:rPr>
      </w:pPr>
      <w:r w:rsidRPr="001F25B2">
        <w:rPr>
          <w:rFonts w:ascii="Helvetica" w:hAnsi="Helvetica" w:cs="Helvetica"/>
          <w:sz w:val="24"/>
          <w:szCs w:val="24"/>
        </w:rPr>
        <w:t>Conclusões</w:t>
      </w:r>
    </w:p>
    <w:p w14:paraId="01B4BD67" w14:textId="2A5B6345" w:rsidR="00EA255A" w:rsidRDefault="00550BBC" w:rsidP="00550BBC">
      <w:pPr>
        <w:pStyle w:val="Ttulo2"/>
        <w:spacing w:before="0" w:after="0"/>
        <w:ind w:firstLine="142"/>
        <w:jc w:val="both"/>
        <w:rPr>
          <w:rFonts w:ascii="Helvetica" w:hAnsi="Helvetica" w:cs="Helvetica"/>
          <w:sz w:val="24"/>
          <w:szCs w:val="24"/>
        </w:rPr>
      </w:pPr>
      <w:r>
        <w:rPr>
          <w:rFonts w:ascii="Times New Roman" w:eastAsia="Times New Roman" w:hAnsi="Times New Roman" w:cs="Times New Roman"/>
          <w:sz w:val="20"/>
          <w:szCs w:val="20"/>
          <w:lang w:eastAsia="pt-BR"/>
        </w:rPr>
        <w:t xml:space="preserve"> </w:t>
      </w:r>
      <w:r w:rsidRPr="00550BBC">
        <w:rPr>
          <w:rFonts w:ascii="Times New Roman" w:eastAsia="Times New Roman" w:hAnsi="Times New Roman" w:cs="Times New Roman"/>
          <w:sz w:val="20"/>
          <w:szCs w:val="20"/>
          <w:lang w:eastAsia="pt-BR"/>
        </w:rPr>
        <w:t xml:space="preserve">O mapeamento TEM-EDS sugere a formação da estrutura de núcleo-casca, com o núcleo formado pelo óxido de Si e a casca composta por partículas de </w:t>
      </w:r>
      <w:proofErr w:type="spellStart"/>
      <w:r w:rsidRPr="00550BBC">
        <w:rPr>
          <w:rFonts w:ascii="Times New Roman" w:eastAsia="Times New Roman" w:hAnsi="Times New Roman" w:cs="Times New Roman"/>
          <w:sz w:val="20"/>
          <w:szCs w:val="20"/>
          <w:lang w:eastAsia="pt-BR"/>
        </w:rPr>
        <w:t>Ni</w:t>
      </w:r>
      <w:proofErr w:type="spellEnd"/>
      <w:r w:rsidRPr="00550BBC">
        <w:rPr>
          <w:rFonts w:ascii="Times New Roman" w:eastAsia="Times New Roman" w:hAnsi="Times New Roman" w:cs="Times New Roman"/>
          <w:sz w:val="20"/>
          <w:szCs w:val="20"/>
          <w:lang w:eastAsia="pt-BR"/>
        </w:rPr>
        <w:t xml:space="preserve"> e </w:t>
      </w:r>
      <w:proofErr w:type="spellStart"/>
      <w:r w:rsidRPr="00550BBC">
        <w:rPr>
          <w:rFonts w:ascii="Times New Roman" w:eastAsia="Times New Roman" w:hAnsi="Times New Roman" w:cs="Times New Roman"/>
          <w:sz w:val="20"/>
          <w:szCs w:val="20"/>
          <w:lang w:eastAsia="pt-BR"/>
        </w:rPr>
        <w:t>Pt</w:t>
      </w:r>
      <w:proofErr w:type="spellEnd"/>
      <w:r w:rsidRPr="00550BBC">
        <w:rPr>
          <w:rFonts w:ascii="Times New Roman" w:eastAsia="Times New Roman" w:hAnsi="Times New Roman" w:cs="Times New Roman"/>
          <w:sz w:val="20"/>
          <w:szCs w:val="20"/>
          <w:lang w:eastAsia="pt-BR"/>
        </w:rPr>
        <w:t xml:space="preserve"> embebidas em CeO</w:t>
      </w:r>
      <w:r w:rsidRPr="00550BBC">
        <w:rPr>
          <w:rFonts w:ascii="Times New Roman" w:eastAsia="Times New Roman" w:hAnsi="Times New Roman" w:cs="Times New Roman"/>
          <w:sz w:val="20"/>
          <w:szCs w:val="20"/>
          <w:vertAlign w:val="subscript"/>
          <w:lang w:eastAsia="pt-BR"/>
        </w:rPr>
        <w:t>2</w:t>
      </w:r>
      <w:r w:rsidRPr="00550BBC">
        <w:rPr>
          <w:rFonts w:ascii="Times New Roman" w:eastAsia="Times New Roman" w:hAnsi="Times New Roman" w:cs="Times New Roman"/>
          <w:sz w:val="20"/>
          <w:szCs w:val="20"/>
          <w:lang w:eastAsia="pt-BR"/>
        </w:rPr>
        <w:t>. O catalisador 2Pt5Ni-CS apresentou melhor estabilidade catalítica, com conversão próxima a 100% após 20 horas de reação, e seletividade para H</w:t>
      </w:r>
      <w:r w:rsidRPr="00550BBC">
        <w:rPr>
          <w:rFonts w:ascii="Times New Roman" w:eastAsia="Times New Roman" w:hAnsi="Times New Roman" w:cs="Times New Roman"/>
          <w:sz w:val="20"/>
          <w:szCs w:val="20"/>
          <w:vertAlign w:val="subscript"/>
          <w:lang w:eastAsia="pt-BR"/>
        </w:rPr>
        <w:t>2</w:t>
      </w:r>
      <w:r w:rsidRPr="00550BBC">
        <w:rPr>
          <w:rFonts w:ascii="Times New Roman" w:eastAsia="Times New Roman" w:hAnsi="Times New Roman" w:cs="Times New Roman"/>
          <w:sz w:val="20"/>
          <w:szCs w:val="20"/>
          <w:lang w:eastAsia="pt-BR"/>
        </w:rPr>
        <w:t>, CO e CO</w:t>
      </w:r>
      <w:r w:rsidRPr="00550BBC">
        <w:rPr>
          <w:rFonts w:ascii="Times New Roman" w:eastAsia="Times New Roman" w:hAnsi="Times New Roman" w:cs="Times New Roman"/>
          <w:sz w:val="20"/>
          <w:szCs w:val="20"/>
          <w:vertAlign w:val="subscript"/>
          <w:lang w:eastAsia="pt-BR"/>
        </w:rPr>
        <w:t>2</w:t>
      </w:r>
      <w:r w:rsidRPr="00550BBC">
        <w:rPr>
          <w:rFonts w:ascii="Times New Roman" w:eastAsia="Times New Roman" w:hAnsi="Times New Roman" w:cs="Times New Roman"/>
          <w:sz w:val="20"/>
          <w:szCs w:val="20"/>
          <w:lang w:eastAsia="pt-BR"/>
        </w:rPr>
        <w:t>, indicando que a reação de reforma a vapor do etanol está sendo favorecida.</w:t>
      </w:r>
    </w:p>
    <w:p w14:paraId="6BE32F7B" w14:textId="18F676AD" w:rsidR="00EA4E1B" w:rsidRPr="001F25B2" w:rsidRDefault="00EA4E1B" w:rsidP="00EA255A">
      <w:pPr>
        <w:pStyle w:val="Ttulo2"/>
        <w:spacing w:before="0" w:after="0"/>
        <w:rPr>
          <w:rFonts w:ascii="Helvetica" w:hAnsi="Helvetica" w:cs="Helvetica"/>
          <w:sz w:val="24"/>
          <w:szCs w:val="24"/>
        </w:rPr>
      </w:pPr>
      <w:r w:rsidRPr="001F25B2">
        <w:rPr>
          <w:rFonts w:ascii="Helvetica" w:hAnsi="Helvetica" w:cs="Helvetica"/>
          <w:sz w:val="24"/>
          <w:szCs w:val="24"/>
        </w:rPr>
        <w:t>Agradecimentos</w:t>
      </w:r>
    </w:p>
    <w:p w14:paraId="338703BD" w14:textId="159BA2B1" w:rsidR="004560F9" w:rsidRDefault="004560F9" w:rsidP="00EA255A">
      <w:pPr>
        <w:spacing w:after="0" w:line="240" w:lineRule="auto"/>
        <w:ind w:firstLine="200"/>
        <w:jc w:val="both"/>
        <w:rPr>
          <w:rFonts w:ascii="Times New Roman" w:hAnsi="Times New Roman"/>
          <w:sz w:val="20"/>
        </w:rPr>
      </w:pPr>
      <w:r w:rsidRPr="003F7139">
        <w:rPr>
          <w:rFonts w:ascii="Times New Roman" w:hAnsi="Times New Roman"/>
          <w:sz w:val="20"/>
        </w:rPr>
        <w:t xml:space="preserve">Os autores agradecem a FAPESP </w:t>
      </w:r>
      <w:r w:rsidR="00DC0BE3" w:rsidRPr="003F7139">
        <w:rPr>
          <w:rFonts w:ascii="Times New Roman" w:hAnsi="Times New Roman"/>
          <w:sz w:val="20"/>
        </w:rPr>
        <w:t>(</w:t>
      </w:r>
      <w:r w:rsidR="00C90F82" w:rsidRPr="003F7139">
        <w:rPr>
          <w:rFonts w:ascii="Times New Roman" w:hAnsi="Times New Roman"/>
          <w:sz w:val="20"/>
        </w:rPr>
        <w:t>2019/15110-2</w:t>
      </w:r>
      <w:r w:rsidR="00DC0BE3" w:rsidRPr="003F7139">
        <w:rPr>
          <w:rFonts w:ascii="Times New Roman" w:hAnsi="Times New Roman"/>
          <w:sz w:val="20"/>
        </w:rPr>
        <w:t xml:space="preserve">) </w:t>
      </w:r>
      <w:r w:rsidR="00C90F82" w:rsidRPr="003F7139">
        <w:rPr>
          <w:rFonts w:ascii="Times New Roman" w:hAnsi="Times New Roman"/>
          <w:sz w:val="20"/>
        </w:rPr>
        <w:t xml:space="preserve">e a FUNDEP (Rota 2030) </w:t>
      </w:r>
      <w:r w:rsidRPr="003F7139">
        <w:rPr>
          <w:rFonts w:ascii="Times New Roman" w:hAnsi="Times New Roman"/>
          <w:sz w:val="20"/>
        </w:rPr>
        <w:t xml:space="preserve">pelas bolsas concedidas. </w:t>
      </w:r>
    </w:p>
    <w:p w14:paraId="158D911D" w14:textId="4D066804" w:rsidR="00EA4E1B" w:rsidRDefault="00EA4E1B" w:rsidP="00EA255A">
      <w:pPr>
        <w:pStyle w:val="Ttulo2"/>
        <w:spacing w:after="0"/>
      </w:pPr>
      <w:r w:rsidRPr="001F25B2">
        <w:rPr>
          <w:rFonts w:ascii="Helvetica" w:hAnsi="Helvetica" w:cs="Helvetica"/>
          <w:sz w:val="24"/>
          <w:szCs w:val="24"/>
        </w:rPr>
        <w:t>Referências</w:t>
      </w:r>
    </w:p>
    <w:p w14:paraId="7304CE4A" w14:textId="76A83EBB" w:rsidR="00EA4E1B" w:rsidRPr="003F7139" w:rsidRDefault="00D770C4" w:rsidP="00D770C4">
      <w:pPr>
        <w:pStyle w:val="TAMainText"/>
        <w:numPr>
          <w:ilvl w:val="0"/>
          <w:numId w:val="1"/>
        </w:numPr>
      </w:pPr>
      <w:r w:rsidRPr="003F7139">
        <w:t xml:space="preserve">K. Shi, X. An, X. Wu, X. </w:t>
      </w:r>
      <w:proofErr w:type="spellStart"/>
      <w:r w:rsidRPr="003F7139">
        <w:t>Xie</w:t>
      </w:r>
      <w:proofErr w:type="spellEnd"/>
      <w:r w:rsidR="00EA4E1B" w:rsidRPr="003F7139">
        <w:t xml:space="preserve">, </w:t>
      </w:r>
      <w:r w:rsidRPr="003F7139">
        <w:rPr>
          <w:i/>
        </w:rPr>
        <w:t>Int. J. Hydrogen Energy</w:t>
      </w:r>
      <w:r w:rsidR="00EA255A" w:rsidRPr="003F7139">
        <w:rPr>
          <w:i/>
        </w:rPr>
        <w:t>,</w:t>
      </w:r>
      <w:r w:rsidRPr="003F7139">
        <w:rPr>
          <w:i/>
        </w:rPr>
        <w:t xml:space="preserve"> </w:t>
      </w:r>
      <w:r w:rsidRPr="003F7139">
        <w:rPr>
          <w:b/>
        </w:rPr>
        <w:t>2022</w:t>
      </w:r>
      <w:r w:rsidR="00EA4E1B" w:rsidRPr="003F7139">
        <w:rPr>
          <w:b/>
        </w:rPr>
        <w:t>,</w:t>
      </w:r>
      <w:r w:rsidRPr="003F7139">
        <w:rPr>
          <w:i/>
        </w:rPr>
        <w:t xml:space="preserve"> 47</w:t>
      </w:r>
      <w:r w:rsidR="00EA4E1B" w:rsidRPr="003F7139">
        <w:rPr>
          <w:i/>
        </w:rPr>
        <w:t>,</w:t>
      </w:r>
      <w:r w:rsidR="00EA4E1B" w:rsidRPr="003F7139">
        <w:t xml:space="preserve"> </w:t>
      </w:r>
      <w:r w:rsidRPr="003F7139">
        <w:t>39404-39428</w:t>
      </w:r>
      <w:r w:rsidR="00EA4E1B" w:rsidRPr="003F7139">
        <w:t>.</w:t>
      </w:r>
      <w:r w:rsidR="00EA4E1B" w:rsidRPr="003F7139">
        <w:rPr>
          <w:b/>
        </w:rPr>
        <w:t xml:space="preserve"> </w:t>
      </w:r>
    </w:p>
    <w:p w14:paraId="5F524028" w14:textId="15EEE844" w:rsidR="00EA255A" w:rsidRPr="003F7139" w:rsidRDefault="00EA255A" w:rsidP="00D770C4">
      <w:pPr>
        <w:pStyle w:val="TAMainText"/>
        <w:numPr>
          <w:ilvl w:val="0"/>
          <w:numId w:val="1"/>
        </w:numPr>
      </w:pPr>
      <w:r w:rsidRPr="003F7139">
        <w:t xml:space="preserve">S. Das, J. Ashok, Z. </w:t>
      </w:r>
      <w:proofErr w:type="spellStart"/>
      <w:r w:rsidRPr="003F7139">
        <w:t>Bian</w:t>
      </w:r>
      <w:proofErr w:type="spellEnd"/>
      <w:r w:rsidRPr="003F7139">
        <w:t xml:space="preserve">, N. </w:t>
      </w:r>
      <w:proofErr w:type="spellStart"/>
      <w:r w:rsidRPr="003F7139">
        <w:t>Dewangan</w:t>
      </w:r>
      <w:proofErr w:type="spellEnd"/>
      <w:r w:rsidRPr="003F7139">
        <w:t xml:space="preserve">, M. H. </w:t>
      </w:r>
      <w:proofErr w:type="spellStart"/>
      <w:r w:rsidRPr="003F7139">
        <w:t>Wai</w:t>
      </w:r>
      <w:proofErr w:type="spellEnd"/>
      <w:r w:rsidRPr="003F7139">
        <w:t xml:space="preserve">, Y. Du, A. </w:t>
      </w:r>
      <w:proofErr w:type="spellStart"/>
      <w:r w:rsidRPr="003F7139">
        <w:t>Borgna</w:t>
      </w:r>
      <w:proofErr w:type="spellEnd"/>
      <w:r w:rsidRPr="003F7139">
        <w:t xml:space="preserve">, K. </w:t>
      </w:r>
      <w:proofErr w:type="spellStart"/>
      <w:r w:rsidRPr="003F7139">
        <w:t>Hidajat</w:t>
      </w:r>
      <w:proofErr w:type="spellEnd"/>
      <w:r w:rsidRPr="003F7139">
        <w:t xml:space="preserve">, K. Kawi, </w:t>
      </w:r>
      <w:proofErr w:type="spellStart"/>
      <w:r w:rsidRPr="003F7139">
        <w:rPr>
          <w:i/>
        </w:rPr>
        <w:t>Appl</w:t>
      </w:r>
      <w:proofErr w:type="spellEnd"/>
      <w:r w:rsidRPr="003F7139">
        <w:rPr>
          <w:i/>
        </w:rPr>
        <w:t xml:space="preserve"> </w:t>
      </w:r>
      <w:proofErr w:type="spellStart"/>
      <w:r w:rsidRPr="003F7139">
        <w:rPr>
          <w:i/>
        </w:rPr>
        <w:t>Catal</w:t>
      </w:r>
      <w:proofErr w:type="spellEnd"/>
      <w:r w:rsidRPr="003F7139">
        <w:rPr>
          <w:i/>
        </w:rPr>
        <w:t xml:space="preserve"> B, </w:t>
      </w:r>
      <w:r w:rsidRPr="003F7139">
        <w:rPr>
          <w:b/>
        </w:rPr>
        <w:t>2018,</w:t>
      </w:r>
      <w:r w:rsidRPr="003F7139">
        <w:rPr>
          <w:i/>
        </w:rPr>
        <w:t xml:space="preserve"> 230, </w:t>
      </w:r>
      <w:r w:rsidRPr="003F7139">
        <w:t>220–236.</w:t>
      </w:r>
    </w:p>
    <w:sectPr w:rsidR="00EA255A" w:rsidRPr="003F7139"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CA14E" w14:textId="77777777" w:rsidR="00046FCA" w:rsidRDefault="00046FCA" w:rsidP="00EA4E1B">
      <w:pPr>
        <w:spacing w:after="0" w:line="240" w:lineRule="auto"/>
      </w:pPr>
      <w:r>
        <w:separator/>
      </w:r>
    </w:p>
  </w:endnote>
  <w:endnote w:type="continuationSeparator" w:id="0">
    <w:p w14:paraId="33B27533" w14:textId="77777777" w:rsidR="00046FCA" w:rsidRDefault="00046FCA"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66734" w14:textId="77777777" w:rsidR="00046FCA" w:rsidRDefault="00046FCA" w:rsidP="00EA4E1B">
      <w:pPr>
        <w:spacing w:after="0" w:line="240" w:lineRule="auto"/>
      </w:pPr>
      <w:r>
        <w:separator/>
      </w:r>
    </w:p>
  </w:footnote>
  <w:footnote w:type="continuationSeparator" w:id="0">
    <w:p w14:paraId="5739945D" w14:textId="77777777" w:rsidR="00046FCA" w:rsidRDefault="00046FCA"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9F22" w14:textId="15EBCFB1" w:rsidR="00EA4E1B" w:rsidRDefault="00AF0400" w:rsidP="00EA4E1B">
    <w:pPr>
      <w:pStyle w:val="Cabealho"/>
      <w:jc w:val="center"/>
    </w:pPr>
    <w:r>
      <w:rPr>
        <w:noProof/>
        <w:lang w:val="en-US"/>
      </w:rPr>
      <w:drawing>
        <wp:inline distT="0" distB="0" distL="0" distR="0" wp14:anchorId="128B8774" wp14:editId="6C5718AB">
          <wp:extent cx="1524000" cy="1049325"/>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val="en-US"/>
      </w:rPr>
      <w:drawing>
        <wp:inline distT="0" distB="0" distL="0" distR="0" wp14:anchorId="10EB0FB8" wp14:editId="021C4271">
          <wp:extent cx="1963713" cy="696036"/>
          <wp:effectExtent l="0" t="0" r="0" b="8890"/>
          <wp:docPr id="20" name="Imagem 20"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54574"/>
    <w:multiLevelType w:val="hybridMultilevel"/>
    <w:tmpl w:val="866446B4"/>
    <w:lvl w:ilvl="0" w:tplc="4C2EEDD4">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51934AFF"/>
    <w:multiLevelType w:val="hybridMultilevel"/>
    <w:tmpl w:val="318ADA26"/>
    <w:lvl w:ilvl="0" w:tplc="0D108678">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2334E"/>
    <w:rsid w:val="00046FCA"/>
    <w:rsid w:val="0005719D"/>
    <w:rsid w:val="00061A72"/>
    <w:rsid w:val="000A0E63"/>
    <w:rsid w:val="000D1F26"/>
    <w:rsid w:val="000D74D7"/>
    <w:rsid w:val="000F1D24"/>
    <w:rsid w:val="001722CA"/>
    <w:rsid w:val="001A1F1F"/>
    <w:rsid w:val="001E58A9"/>
    <w:rsid w:val="001F25B2"/>
    <w:rsid w:val="0020670A"/>
    <w:rsid w:val="00222230"/>
    <w:rsid w:val="002D5347"/>
    <w:rsid w:val="00303967"/>
    <w:rsid w:val="00327D23"/>
    <w:rsid w:val="00340B1E"/>
    <w:rsid w:val="0036569C"/>
    <w:rsid w:val="00393DE3"/>
    <w:rsid w:val="003C2B9C"/>
    <w:rsid w:val="003F7139"/>
    <w:rsid w:val="00402F3E"/>
    <w:rsid w:val="004560F9"/>
    <w:rsid w:val="004F3F42"/>
    <w:rsid w:val="0052112E"/>
    <w:rsid w:val="00550BBC"/>
    <w:rsid w:val="005C2775"/>
    <w:rsid w:val="005C63A4"/>
    <w:rsid w:val="005D65EB"/>
    <w:rsid w:val="005F739F"/>
    <w:rsid w:val="006046D7"/>
    <w:rsid w:val="00604718"/>
    <w:rsid w:val="00625312"/>
    <w:rsid w:val="00652815"/>
    <w:rsid w:val="006957EA"/>
    <w:rsid w:val="006E0B2D"/>
    <w:rsid w:val="006F0C04"/>
    <w:rsid w:val="006F599B"/>
    <w:rsid w:val="007670A0"/>
    <w:rsid w:val="00781685"/>
    <w:rsid w:val="007B4B2B"/>
    <w:rsid w:val="007D03CB"/>
    <w:rsid w:val="008557EA"/>
    <w:rsid w:val="00866822"/>
    <w:rsid w:val="0087078B"/>
    <w:rsid w:val="008A265D"/>
    <w:rsid w:val="008B1683"/>
    <w:rsid w:val="008C1B30"/>
    <w:rsid w:val="009572C4"/>
    <w:rsid w:val="009656D9"/>
    <w:rsid w:val="00973BF9"/>
    <w:rsid w:val="009C7CB0"/>
    <w:rsid w:val="00A8792A"/>
    <w:rsid w:val="00AA182E"/>
    <w:rsid w:val="00AF0400"/>
    <w:rsid w:val="00B30AEB"/>
    <w:rsid w:val="00B9363E"/>
    <w:rsid w:val="00BA6A6E"/>
    <w:rsid w:val="00C07919"/>
    <w:rsid w:val="00C76E54"/>
    <w:rsid w:val="00C84AB5"/>
    <w:rsid w:val="00C90843"/>
    <w:rsid w:val="00C90E46"/>
    <w:rsid w:val="00C90F82"/>
    <w:rsid w:val="00CA53AB"/>
    <w:rsid w:val="00CE1E4E"/>
    <w:rsid w:val="00D35502"/>
    <w:rsid w:val="00D54304"/>
    <w:rsid w:val="00D770C4"/>
    <w:rsid w:val="00D96135"/>
    <w:rsid w:val="00DB7E17"/>
    <w:rsid w:val="00DC0BE3"/>
    <w:rsid w:val="00E003A4"/>
    <w:rsid w:val="00E02A21"/>
    <w:rsid w:val="00E038AF"/>
    <w:rsid w:val="00E412CB"/>
    <w:rsid w:val="00E47472"/>
    <w:rsid w:val="00E54056"/>
    <w:rsid w:val="00EA255A"/>
    <w:rsid w:val="00EA4E1B"/>
    <w:rsid w:val="00EC5771"/>
    <w:rsid w:val="00EC64BD"/>
    <w:rsid w:val="00F255B7"/>
    <w:rsid w:val="00F30661"/>
    <w:rsid w:val="00F83333"/>
    <w:rsid w:val="00F9014D"/>
    <w:rsid w:val="00F917DA"/>
    <w:rsid w:val="00FE0CCD"/>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uiPriority w:val="99"/>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uiPriority w:val="99"/>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uiPriority w:val="34"/>
    <w:qFormat/>
    <w:rsid w:val="00C90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115405">
      <w:bodyDiv w:val="1"/>
      <w:marLeft w:val="0"/>
      <w:marRight w:val="0"/>
      <w:marTop w:val="0"/>
      <w:marBottom w:val="0"/>
      <w:divBdr>
        <w:top w:val="none" w:sz="0" w:space="0" w:color="auto"/>
        <w:left w:val="none" w:sz="0" w:space="0" w:color="auto"/>
        <w:bottom w:val="none" w:sz="0" w:space="0" w:color="auto"/>
        <w:right w:val="none" w:sz="0" w:space="0" w:color="auto"/>
      </w:divBdr>
    </w:div>
    <w:div w:id="687294461">
      <w:bodyDiv w:val="1"/>
      <w:marLeft w:val="0"/>
      <w:marRight w:val="0"/>
      <w:marTop w:val="0"/>
      <w:marBottom w:val="0"/>
      <w:divBdr>
        <w:top w:val="none" w:sz="0" w:space="0" w:color="auto"/>
        <w:left w:val="none" w:sz="0" w:space="0" w:color="auto"/>
        <w:bottom w:val="none" w:sz="0" w:space="0" w:color="auto"/>
        <w:right w:val="none" w:sz="0" w:space="0" w:color="auto"/>
      </w:divBdr>
    </w:div>
    <w:div w:id="746656276">
      <w:bodyDiv w:val="1"/>
      <w:marLeft w:val="0"/>
      <w:marRight w:val="0"/>
      <w:marTop w:val="0"/>
      <w:marBottom w:val="0"/>
      <w:divBdr>
        <w:top w:val="none" w:sz="0" w:space="0" w:color="auto"/>
        <w:left w:val="none" w:sz="0" w:space="0" w:color="auto"/>
        <w:bottom w:val="none" w:sz="0" w:space="0" w:color="auto"/>
        <w:right w:val="none" w:sz="0" w:space="0" w:color="auto"/>
      </w:divBdr>
    </w:div>
    <w:div w:id="1413622829">
      <w:bodyDiv w:val="1"/>
      <w:marLeft w:val="0"/>
      <w:marRight w:val="0"/>
      <w:marTop w:val="0"/>
      <w:marBottom w:val="0"/>
      <w:divBdr>
        <w:top w:val="none" w:sz="0" w:space="0" w:color="auto"/>
        <w:left w:val="none" w:sz="0" w:space="0" w:color="auto"/>
        <w:bottom w:val="none" w:sz="0" w:space="0" w:color="auto"/>
        <w:right w:val="none" w:sz="0" w:space="0" w:color="auto"/>
      </w:divBdr>
    </w:div>
    <w:div w:id="1433552468">
      <w:bodyDiv w:val="1"/>
      <w:marLeft w:val="0"/>
      <w:marRight w:val="0"/>
      <w:marTop w:val="0"/>
      <w:marBottom w:val="0"/>
      <w:divBdr>
        <w:top w:val="none" w:sz="0" w:space="0" w:color="auto"/>
        <w:left w:val="none" w:sz="0" w:space="0" w:color="auto"/>
        <w:bottom w:val="none" w:sz="0" w:space="0" w:color="auto"/>
        <w:right w:val="none" w:sz="0" w:space="0" w:color="auto"/>
      </w:divBdr>
      <w:divsChild>
        <w:div w:id="352076827">
          <w:marLeft w:val="0"/>
          <w:marRight w:val="0"/>
          <w:marTop w:val="0"/>
          <w:marBottom w:val="0"/>
          <w:divBdr>
            <w:top w:val="single" w:sz="2" w:space="0" w:color="D9D9E3"/>
            <w:left w:val="single" w:sz="2" w:space="0" w:color="D9D9E3"/>
            <w:bottom w:val="single" w:sz="2" w:space="0" w:color="D9D9E3"/>
            <w:right w:val="single" w:sz="2" w:space="0" w:color="D9D9E3"/>
          </w:divBdr>
          <w:divsChild>
            <w:div w:id="2003459463">
              <w:marLeft w:val="0"/>
              <w:marRight w:val="0"/>
              <w:marTop w:val="0"/>
              <w:marBottom w:val="0"/>
              <w:divBdr>
                <w:top w:val="single" w:sz="2" w:space="0" w:color="D9D9E3"/>
                <w:left w:val="single" w:sz="2" w:space="0" w:color="D9D9E3"/>
                <w:bottom w:val="single" w:sz="2" w:space="0" w:color="D9D9E3"/>
                <w:right w:val="single" w:sz="2" w:space="0" w:color="D9D9E3"/>
              </w:divBdr>
              <w:divsChild>
                <w:div w:id="66733311">
                  <w:marLeft w:val="0"/>
                  <w:marRight w:val="0"/>
                  <w:marTop w:val="0"/>
                  <w:marBottom w:val="0"/>
                  <w:divBdr>
                    <w:top w:val="single" w:sz="2" w:space="0" w:color="D9D9E3"/>
                    <w:left w:val="single" w:sz="2" w:space="0" w:color="D9D9E3"/>
                    <w:bottom w:val="single" w:sz="2" w:space="0" w:color="D9D9E3"/>
                    <w:right w:val="single" w:sz="2" w:space="0" w:color="D9D9E3"/>
                  </w:divBdr>
                  <w:divsChild>
                    <w:div w:id="1321815259">
                      <w:marLeft w:val="0"/>
                      <w:marRight w:val="0"/>
                      <w:marTop w:val="0"/>
                      <w:marBottom w:val="0"/>
                      <w:divBdr>
                        <w:top w:val="single" w:sz="2" w:space="0" w:color="D9D9E3"/>
                        <w:left w:val="single" w:sz="2" w:space="0" w:color="D9D9E3"/>
                        <w:bottom w:val="single" w:sz="2" w:space="0" w:color="D9D9E3"/>
                        <w:right w:val="single" w:sz="2" w:space="0" w:color="D9D9E3"/>
                      </w:divBdr>
                      <w:divsChild>
                        <w:div w:id="622074060">
                          <w:marLeft w:val="0"/>
                          <w:marRight w:val="0"/>
                          <w:marTop w:val="0"/>
                          <w:marBottom w:val="0"/>
                          <w:divBdr>
                            <w:top w:val="single" w:sz="2" w:space="0" w:color="auto"/>
                            <w:left w:val="single" w:sz="2" w:space="0" w:color="auto"/>
                            <w:bottom w:val="single" w:sz="6" w:space="0" w:color="auto"/>
                            <w:right w:val="single" w:sz="2" w:space="0" w:color="auto"/>
                          </w:divBdr>
                          <w:divsChild>
                            <w:div w:id="716321236">
                              <w:marLeft w:val="0"/>
                              <w:marRight w:val="0"/>
                              <w:marTop w:val="100"/>
                              <w:marBottom w:val="100"/>
                              <w:divBdr>
                                <w:top w:val="single" w:sz="2" w:space="0" w:color="D9D9E3"/>
                                <w:left w:val="single" w:sz="2" w:space="0" w:color="D9D9E3"/>
                                <w:bottom w:val="single" w:sz="2" w:space="0" w:color="D9D9E3"/>
                                <w:right w:val="single" w:sz="2" w:space="0" w:color="D9D9E3"/>
                              </w:divBdr>
                              <w:divsChild>
                                <w:div w:id="2030718719">
                                  <w:marLeft w:val="0"/>
                                  <w:marRight w:val="0"/>
                                  <w:marTop w:val="0"/>
                                  <w:marBottom w:val="0"/>
                                  <w:divBdr>
                                    <w:top w:val="single" w:sz="2" w:space="0" w:color="D9D9E3"/>
                                    <w:left w:val="single" w:sz="2" w:space="0" w:color="D9D9E3"/>
                                    <w:bottom w:val="single" w:sz="2" w:space="0" w:color="D9D9E3"/>
                                    <w:right w:val="single" w:sz="2" w:space="0" w:color="D9D9E3"/>
                                  </w:divBdr>
                                  <w:divsChild>
                                    <w:div w:id="1594392558">
                                      <w:marLeft w:val="0"/>
                                      <w:marRight w:val="0"/>
                                      <w:marTop w:val="0"/>
                                      <w:marBottom w:val="0"/>
                                      <w:divBdr>
                                        <w:top w:val="single" w:sz="2" w:space="0" w:color="D9D9E3"/>
                                        <w:left w:val="single" w:sz="2" w:space="0" w:color="D9D9E3"/>
                                        <w:bottom w:val="single" w:sz="2" w:space="0" w:color="D9D9E3"/>
                                        <w:right w:val="single" w:sz="2" w:space="0" w:color="D9D9E3"/>
                                      </w:divBdr>
                                      <w:divsChild>
                                        <w:div w:id="585311490">
                                          <w:marLeft w:val="0"/>
                                          <w:marRight w:val="0"/>
                                          <w:marTop w:val="0"/>
                                          <w:marBottom w:val="0"/>
                                          <w:divBdr>
                                            <w:top w:val="single" w:sz="2" w:space="0" w:color="D9D9E3"/>
                                            <w:left w:val="single" w:sz="2" w:space="0" w:color="D9D9E3"/>
                                            <w:bottom w:val="single" w:sz="2" w:space="0" w:color="D9D9E3"/>
                                            <w:right w:val="single" w:sz="2" w:space="0" w:color="D9D9E3"/>
                                          </w:divBdr>
                                          <w:divsChild>
                                            <w:div w:id="1988314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78463301">
          <w:marLeft w:val="0"/>
          <w:marRight w:val="0"/>
          <w:marTop w:val="0"/>
          <w:marBottom w:val="0"/>
          <w:divBdr>
            <w:top w:val="none" w:sz="0" w:space="0" w:color="auto"/>
            <w:left w:val="none" w:sz="0" w:space="0" w:color="auto"/>
            <w:bottom w:val="none" w:sz="0" w:space="0" w:color="auto"/>
            <w:right w:val="none" w:sz="0" w:space="0" w:color="auto"/>
          </w:divBdr>
        </w:div>
      </w:divsChild>
    </w:div>
    <w:div w:id="1580486000">
      <w:bodyDiv w:val="1"/>
      <w:marLeft w:val="0"/>
      <w:marRight w:val="0"/>
      <w:marTop w:val="0"/>
      <w:marBottom w:val="0"/>
      <w:divBdr>
        <w:top w:val="none" w:sz="0" w:space="0" w:color="auto"/>
        <w:left w:val="none" w:sz="0" w:space="0" w:color="auto"/>
        <w:bottom w:val="none" w:sz="0" w:space="0" w:color="auto"/>
        <w:right w:val="none" w:sz="0" w:space="0" w:color="auto"/>
      </w:divBdr>
    </w:div>
    <w:div w:id="1628009223">
      <w:bodyDiv w:val="1"/>
      <w:marLeft w:val="0"/>
      <w:marRight w:val="0"/>
      <w:marTop w:val="0"/>
      <w:marBottom w:val="0"/>
      <w:divBdr>
        <w:top w:val="none" w:sz="0" w:space="0" w:color="auto"/>
        <w:left w:val="none" w:sz="0" w:space="0" w:color="auto"/>
        <w:bottom w:val="none" w:sz="0" w:space="0" w:color="auto"/>
        <w:right w:val="none" w:sz="0" w:space="0" w:color="auto"/>
      </w:divBdr>
    </w:div>
    <w:div w:id="1740126903">
      <w:bodyDiv w:val="1"/>
      <w:marLeft w:val="0"/>
      <w:marRight w:val="0"/>
      <w:marTop w:val="0"/>
      <w:marBottom w:val="0"/>
      <w:divBdr>
        <w:top w:val="none" w:sz="0" w:space="0" w:color="auto"/>
        <w:left w:val="none" w:sz="0" w:space="0" w:color="auto"/>
        <w:bottom w:val="none" w:sz="0" w:space="0" w:color="auto"/>
        <w:right w:val="none" w:sz="0" w:space="0" w:color="auto"/>
      </w:divBdr>
    </w:div>
    <w:div w:id="186354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wmf"/><Relationship Id="rId18"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74BDF-0B80-44B0-9C49-32E8C20F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6383</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Tamara</cp:lastModifiedBy>
  <cp:revision>2</cp:revision>
  <cp:lastPrinted>2023-08-08T19:05:00Z</cp:lastPrinted>
  <dcterms:created xsi:type="dcterms:W3CDTF">2023-08-10T12:21:00Z</dcterms:created>
  <dcterms:modified xsi:type="dcterms:W3CDTF">2023-08-10T12:21:00Z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