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6CEE" w14:textId="4B25CA65" w:rsidR="00AF0400" w:rsidRDefault="00866822" w:rsidP="00EA4E1B">
      <w:pPr>
        <w:pStyle w:val="BATitle"/>
        <w:spacing w:before="0" w:after="0" w:line="240" w:lineRule="auto"/>
        <w:ind w:right="0"/>
        <w:jc w:val="both"/>
        <w:rPr>
          <w:sz w:val="32"/>
          <w:lang w:val="pt-BR"/>
        </w:rPr>
      </w:pPr>
      <w:bookmarkStart w:id="0" w:name="_Hlk129618822"/>
      <w:bookmarkStart w:id="1" w:name="_Hlk1324517"/>
      <w:bookmarkStart w:id="2" w:name="_Hlk1324670"/>
      <w:bookmarkEnd w:id="0"/>
      <w:r>
        <w:rPr>
          <w:noProof/>
          <w:sz w:val="32"/>
          <w:lang w:val="pt-BR"/>
        </w:rPr>
        <mc:AlternateContent>
          <mc:Choice Requires="wps">
            <w:drawing>
              <wp:anchor distT="0" distB="0" distL="114300" distR="114300" simplePos="0" relativeHeight="251661312"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050D20D3" w14:textId="3CA0D258" w:rsidR="00EA4E1B" w:rsidRPr="00DC399C" w:rsidRDefault="00DC399C" w:rsidP="00942583">
      <w:pPr>
        <w:pStyle w:val="BATitle"/>
        <w:spacing w:before="0" w:after="0" w:line="240" w:lineRule="auto"/>
        <w:ind w:right="0"/>
        <w:jc w:val="both"/>
        <w:rPr>
          <w:sz w:val="32"/>
        </w:rPr>
      </w:pPr>
      <w:r>
        <w:rPr>
          <w:sz w:val="32"/>
        </w:rPr>
        <w:t>O</w:t>
      </w:r>
      <w:r w:rsidRPr="00DC399C">
        <w:rPr>
          <w:sz w:val="32"/>
        </w:rPr>
        <w:t xml:space="preserve">ptimization of the </w:t>
      </w:r>
      <w:proofErr w:type="gramStart"/>
      <w:r w:rsidRPr="00FD4283">
        <w:rPr>
          <w:i/>
          <w:iCs/>
          <w:sz w:val="32"/>
        </w:rPr>
        <w:t>in</w:t>
      </w:r>
      <w:r w:rsidR="00EA0B55" w:rsidRPr="00FD4283">
        <w:rPr>
          <w:i/>
          <w:iCs/>
          <w:sz w:val="32"/>
        </w:rPr>
        <w:t xml:space="preserve"> </w:t>
      </w:r>
      <w:r w:rsidRPr="00FD4283">
        <w:rPr>
          <w:i/>
          <w:iCs/>
          <w:sz w:val="32"/>
        </w:rPr>
        <w:t>situ</w:t>
      </w:r>
      <w:proofErr w:type="gramEnd"/>
      <w:r w:rsidRPr="00DC399C">
        <w:rPr>
          <w:sz w:val="32"/>
        </w:rPr>
        <w:t xml:space="preserve"> carbonization and sulfonation process in the production of sulfonated carbons applied in the isomerization of limonene to high added value products</w:t>
      </w:r>
    </w:p>
    <w:p w14:paraId="619C7ECA" w14:textId="77777777" w:rsidR="00DC399C" w:rsidRPr="00C20D61" w:rsidRDefault="00DC399C" w:rsidP="00DC399C">
      <w:pPr>
        <w:rPr>
          <w:rFonts w:ascii="Times New Roman" w:eastAsia="Times New Roman" w:hAnsi="Times New Roman" w:cs="Times New Roman"/>
          <w:b/>
          <w:lang w:val="en-US"/>
        </w:rPr>
      </w:pPr>
    </w:p>
    <w:p w14:paraId="0D9F6EE2" w14:textId="04AFC42B" w:rsidR="00DC399C" w:rsidRPr="00175212" w:rsidRDefault="00DC399C" w:rsidP="00DC399C">
      <w:pPr>
        <w:rPr>
          <w:rFonts w:ascii="Times New Roman" w:eastAsia="Times New Roman" w:hAnsi="Times New Roman" w:cs="Times New Roman"/>
          <w:b/>
        </w:rPr>
      </w:pPr>
      <w:r w:rsidRPr="00175212">
        <w:rPr>
          <w:rFonts w:ascii="Times New Roman" w:eastAsia="Times New Roman" w:hAnsi="Times New Roman" w:cs="Times New Roman"/>
          <w:b/>
        </w:rPr>
        <w:t xml:space="preserve">Gabrielle </w:t>
      </w:r>
      <w:r w:rsidRPr="000D12AB">
        <w:rPr>
          <w:rFonts w:ascii="Times New Roman" w:eastAsia="Times New Roman" w:hAnsi="Times New Roman" w:cs="Times New Roman"/>
          <w:b/>
        </w:rPr>
        <w:t xml:space="preserve">Mathias </w:t>
      </w:r>
      <w:r w:rsidRPr="000D12AB">
        <w:rPr>
          <w:rFonts w:ascii="Times New Roman" w:hAnsi="Times New Roman" w:cs="Times New Roman"/>
          <w:b/>
          <w:bCs/>
        </w:rPr>
        <w:t>Reis</w:t>
      </w:r>
      <w:proofErr w:type="gramStart"/>
      <w:r w:rsidRPr="000D12AB">
        <w:rPr>
          <w:rFonts w:ascii="Times New Roman" w:hAnsi="Times New Roman" w:cs="Times New Roman"/>
          <w:b/>
          <w:bCs/>
          <w:vertAlign w:val="superscript"/>
        </w:rPr>
        <w:t>1</w:t>
      </w:r>
      <w:r w:rsidR="00193CE7">
        <w:rPr>
          <w:rFonts w:ascii="Times New Roman" w:hAnsi="Times New Roman" w:cs="Times New Roman"/>
          <w:b/>
          <w:bCs/>
          <w:vertAlign w:val="superscript"/>
        </w:rPr>
        <w:t>,*</w:t>
      </w:r>
      <w:proofErr w:type="gramEnd"/>
      <w:r w:rsidRPr="000D12AB">
        <w:rPr>
          <w:rFonts w:ascii="Times New Roman" w:hAnsi="Times New Roman" w:cs="Times New Roman"/>
          <w:b/>
          <w:bCs/>
        </w:rPr>
        <w:t xml:space="preserve">, </w:t>
      </w:r>
      <w:r w:rsidR="000D12AB" w:rsidRPr="000D12AB">
        <w:rPr>
          <w:rFonts w:ascii="Times New Roman" w:hAnsi="Times New Roman" w:cs="Times New Roman"/>
          <w:b/>
          <w:bCs/>
        </w:rPr>
        <w:t>Renan S. Nunes</w:t>
      </w:r>
      <w:r w:rsidR="000D12AB" w:rsidRPr="000D12AB">
        <w:rPr>
          <w:rFonts w:ascii="Times New Roman" w:hAnsi="Times New Roman" w:cs="Times New Roman"/>
          <w:b/>
          <w:bCs/>
          <w:vertAlign w:val="superscript"/>
        </w:rPr>
        <w:t>1</w:t>
      </w:r>
      <w:r w:rsidR="000D12AB">
        <w:rPr>
          <w:rFonts w:ascii="Times New Roman" w:hAnsi="Times New Roman" w:cs="Times New Roman"/>
          <w:b/>
          <w:bCs/>
        </w:rPr>
        <w:t>,</w:t>
      </w:r>
      <w:r w:rsidR="000D12AB" w:rsidRPr="000D12AB">
        <w:rPr>
          <w:rFonts w:ascii="Times New Roman" w:hAnsi="Times New Roman" w:cs="Times New Roman"/>
          <w:b/>
          <w:bCs/>
        </w:rPr>
        <w:t xml:space="preserve"> </w:t>
      </w:r>
      <w:r w:rsidRPr="000D12AB">
        <w:rPr>
          <w:rFonts w:ascii="Times New Roman" w:hAnsi="Times New Roman" w:cs="Times New Roman"/>
          <w:b/>
          <w:bCs/>
        </w:rPr>
        <w:t>Dalmo</w:t>
      </w:r>
      <w:r w:rsidRPr="000D12AB">
        <w:rPr>
          <w:rFonts w:ascii="Times New Roman" w:eastAsia="Times New Roman" w:hAnsi="Times New Roman" w:cs="Times New Roman"/>
          <w:b/>
        </w:rPr>
        <w:t xml:space="preserve"> Mandeli</w:t>
      </w:r>
      <w:r w:rsidRPr="000D12AB">
        <w:rPr>
          <w:rFonts w:ascii="Times New Roman" w:eastAsia="Times New Roman" w:hAnsi="Times New Roman" w:cs="Times New Roman"/>
          <w:b/>
          <w:vertAlign w:val="superscript"/>
        </w:rPr>
        <w:t>1</w:t>
      </w:r>
      <w:r w:rsidRPr="000D12AB">
        <w:rPr>
          <w:rFonts w:ascii="Times New Roman" w:eastAsia="Times New Roman" w:hAnsi="Times New Roman" w:cs="Times New Roman"/>
          <w:b/>
        </w:rPr>
        <w:t xml:space="preserve">, </w:t>
      </w:r>
      <w:r w:rsidRPr="000D12AB">
        <w:rPr>
          <w:rFonts w:ascii="Times New Roman" w:eastAsia="Times New Roman" w:hAnsi="Times New Roman" w:cs="Times New Roman"/>
          <w:b/>
          <w:u w:val="single"/>
        </w:rPr>
        <w:t>Wagner Alves</w:t>
      </w:r>
      <w:r w:rsidRPr="00175212">
        <w:rPr>
          <w:rFonts w:ascii="Times New Roman" w:eastAsia="Times New Roman" w:hAnsi="Times New Roman" w:cs="Times New Roman"/>
          <w:b/>
          <w:u w:val="single"/>
        </w:rPr>
        <w:t xml:space="preserve"> Carvalho</w:t>
      </w:r>
      <w:r>
        <w:rPr>
          <w:rFonts w:ascii="Times New Roman" w:eastAsia="Times New Roman" w:hAnsi="Times New Roman" w:cs="Times New Roman"/>
          <w:b/>
          <w:vertAlign w:val="superscript"/>
        </w:rPr>
        <w:t>1</w:t>
      </w:r>
      <w:r w:rsidRPr="00175212">
        <w:rPr>
          <w:rFonts w:ascii="Times New Roman" w:eastAsia="Times New Roman" w:hAnsi="Times New Roman" w:cs="Times New Roman"/>
          <w:b/>
        </w:rPr>
        <w:t xml:space="preserve"> </w:t>
      </w:r>
    </w:p>
    <w:p w14:paraId="6A67446D" w14:textId="16AAFC1B" w:rsidR="00DC399C" w:rsidRPr="00175212" w:rsidRDefault="00DC399C" w:rsidP="00DC399C">
      <w:pPr>
        <w:pStyle w:val="BBAuthorName"/>
        <w:spacing w:after="20" w:line="240" w:lineRule="auto"/>
        <w:ind w:right="118"/>
        <w:rPr>
          <w:rFonts w:ascii="Times New Roman" w:hAnsi="Times New Roman"/>
          <w:b w:val="0"/>
          <w:bCs/>
          <w:i/>
          <w:iCs/>
          <w:lang w:val="pt-BR"/>
        </w:rPr>
      </w:pPr>
      <w:r>
        <w:rPr>
          <w:rFonts w:ascii="Times New Roman" w:hAnsi="Times New Roman"/>
          <w:i/>
          <w:vertAlign w:val="superscript"/>
          <w:lang w:val="pt-BR"/>
        </w:rPr>
        <w:t>1</w:t>
      </w:r>
      <w:r w:rsidRPr="00175212">
        <w:rPr>
          <w:rFonts w:ascii="Times New Roman" w:hAnsi="Times New Roman"/>
          <w:b w:val="0"/>
          <w:i/>
          <w:iCs/>
          <w:lang w:val="pt-BR"/>
        </w:rPr>
        <w:t>Universidade Federal do ABC – Centro de Ciências Naturais e Humanas - Santo André, Brasil</w:t>
      </w:r>
    </w:p>
    <w:p w14:paraId="16B8FDE4" w14:textId="796BDD32" w:rsidR="00DC399C" w:rsidRPr="00175212" w:rsidRDefault="00DC399C" w:rsidP="00DC399C">
      <w:pPr>
        <w:rPr>
          <w:rFonts w:ascii="Times New Roman" w:eastAsia="Times New Roman" w:hAnsi="Times New Roman" w:cs="Times New Roman"/>
          <w:i/>
        </w:rPr>
      </w:pPr>
      <w:r w:rsidRPr="00175212">
        <w:rPr>
          <w:rFonts w:ascii="Times New Roman" w:eastAsia="Times New Roman" w:hAnsi="Times New Roman" w:cs="Times New Roman"/>
          <w:i/>
        </w:rPr>
        <w:t xml:space="preserve">*E-mail: </w:t>
      </w:r>
      <w:r w:rsidR="000D12AB">
        <w:rPr>
          <w:rFonts w:ascii="Times New Roman" w:eastAsia="Times New Roman" w:hAnsi="Times New Roman" w:cs="Times New Roman"/>
          <w:i/>
        </w:rPr>
        <w:t>gabriellemathiasr@gmail.com</w:t>
      </w:r>
    </w:p>
    <w:bookmarkEnd w:id="1"/>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40" behindDoc="0" locked="0" layoutInCell="1" allowOverlap="1" wp14:anchorId="7596F111" wp14:editId="4F2818FE">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38102C" w14:textId="3347E0C0" w:rsidR="00AF0400" w:rsidRPr="008C1B30" w:rsidRDefault="008C1B30" w:rsidP="003079DF">
                            <w:pPr>
                              <w:pStyle w:val="BDAbstract"/>
                              <w:spacing w:before="0" w:after="0" w:line="240" w:lineRule="auto"/>
                              <w:jc w:val="center"/>
                            </w:pPr>
                            <w:r w:rsidRPr="008C1B30">
                              <w:rPr>
                                <w:rFonts w:cs="Helvetica"/>
                                <w:bCs/>
                                <w:sz w:val="20"/>
                                <w:lang w:val="pt-BR"/>
                              </w:rPr>
                              <w:t>Resumo/Abstract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7638102C" w14:textId="3347E0C0" w:rsidR="00AF0400" w:rsidRPr="008C1B30" w:rsidRDefault="008C1B30" w:rsidP="003079DF">
                      <w:pPr>
                        <w:pStyle w:val="BDAbstract"/>
                        <w:spacing w:before="0" w:after="0" w:line="240" w:lineRule="auto"/>
                        <w:jc w:val="center"/>
                      </w:pPr>
                      <w:r w:rsidRPr="008C1B30">
                        <w:rPr>
                          <w:rFonts w:cs="Helvetica"/>
                          <w:bCs/>
                          <w:sz w:val="20"/>
                          <w:lang w:val="pt-BR"/>
                        </w:rPr>
                        <w:t>Resumo/Abstract</w:t>
                      </w: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09B41B70" w14:textId="2764A1BF" w:rsidR="00EA4E1B" w:rsidRPr="00317402" w:rsidRDefault="00EA4E1B" w:rsidP="39C610DE">
      <w:pPr>
        <w:pStyle w:val="BDAbstract"/>
        <w:spacing w:before="0" w:after="0" w:line="240" w:lineRule="auto"/>
        <w:rPr>
          <w:rFonts w:ascii="Times New Roman" w:hAnsi="Times New Roman"/>
          <w:b w:val="0"/>
          <w:bCs/>
          <w:sz w:val="19"/>
          <w:szCs w:val="19"/>
          <w:lang w:val="pt-BR"/>
        </w:rPr>
      </w:pPr>
      <w:r w:rsidRPr="00317402">
        <w:rPr>
          <w:rFonts w:ascii="Times New Roman" w:hAnsi="Times New Roman"/>
          <w:b w:val="0"/>
          <w:sz w:val="19"/>
          <w:szCs w:val="19"/>
          <w:lang w:val="pt-BR"/>
        </w:rPr>
        <w:t xml:space="preserve">RESUMO - </w:t>
      </w:r>
      <w:r w:rsidR="00CD5DA2" w:rsidRPr="00317402">
        <w:rPr>
          <w:rFonts w:ascii="Times New Roman" w:hAnsi="Times New Roman"/>
          <w:b w:val="0"/>
          <w:bCs/>
          <w:sz w:val="19"/>
          <w:szCs w:val="19"/>
          <w:lang w:val="pt-BR"/>
        </w:rPr>
        <w:t xml:space="preserve">O Brasil é um dos grandes produtores mundiais do óleo essencial de laranja, no qual o constituinte principal é o terpeno denominado limoneno. A isomerização do limoneno produz compostos terpênicos de alto valor agregado, como: </w:t>
      </w:r>
      <w:proofErr w:type="spellStart"/>
      <w:r w:rsidR="00CD5DA2" w:rsidRPr="00317402">
        <w:rPr>
          <w:rFonts w:ascii="Times New Roman" w:hAnsi="Times New Roman"/>
          <w:b w:val="0"/>
          <w:bCs/>
          <w:sz w:val="19"/>
          <w:szCs w:val="19"/>
          <w:lang w:val="pt-BR"/>
        </w:rPr>
        <w:t>terpinoleno</w:t>
      </w:r>
      <w:proofErr w:type="spellEnd"/>
      <w:r w:rsidR="00CD5DA2" w:rsidRPr="00317402">
        <w:rPr>
          <w:rFonts w:ascii="Times New Roman" w:hAnsi="Times New Roman"/>
          <w:b w:val="0"/>
          <w:bCs/>
          <w:sz w:val="19"/>
          <w:szCs w:val="19"/>
          <w:lang w:val="pt-BR"/>
        </w:rPr>
        <w:t xml:space="preserve">, </w:t>
      </w:r>
      <w:r w:rsidR="00CD5DA2" w:rsidRPr="00317402">
        <w:rPr>
          <w:rFonts w:ascii="Times New Roman" w:hAnsi="Times New Roman"/>
          <w:b w:val="0"/>
          <w:bCs/>
          <w:sz w:val="19"/>
          <w:szCs w:val="19"/>
        </w:rPr>
        <w:t>α</w:t>
      </w:r>
      <w:r w:rsidR="00CD5DA2" w:rsidRPr="00317402">
        <w:rPr>
          <w:rFonts w:ascii="Times New Roman" w:hAnsi="Times New Roman"/>
          <w:b w:val="0"/>
          <w:bCs/>
          <w:sz w:val="19"/>
          <w:szCs w:val="19"/>
          <w:lang w:val="pt-BR"/>
        </w:rPr>
        <w:t>-</w:t>
      </w:r>
      <w:proofErr w:type="spellStart"/>
      <w:r w:rsidR="00CD5DA2" w:rsidRPr="00317402">
        <w:rPr>
          <w:rFonts w:ascii="Times New Roman" w:hAnsi="Times New Roman"/>
          <w:b w:val="0"/>
          <w:bCs/>
          <w:sz w:val="19"/>
          <w:szCs w:val="19"/>
          <w:lang w:val="pt-BR"/>
        </w:rPr>
        <w:t>terpineno</w:t>
      </w:r>
      <w:proofErr w:type="spellEnd"/>
      <w:r w:rsidR="00CD5DA2" w:rsidRPr="00317402">
        <w:rPr>
          <w:rFonts w:ascii="Times New Roman" w:hAnsi="Times New Roman"/>
          <w:b w:val="0"/>
          <w:bCs/>
          <w:sz w:val="19"/>
          <w:szCs w:val="19"/>
          <w:lang w:val="pt-BR"/>
        </w:rPr>
        <w:t xml:space="preserve"> e </w:t>
      </w:r>
      <w:r w:rsidR="00CD5DA2" w:rsidRPr="00317402">
        <w:rPr>
          <w:rFonts w:ascii="Times New Roman" w:hAnsi="Times New Roman"/>
          <w:b w:val="0"/>
          <w:bCs/>
          <w:sz w:val="19"/>
          <w:szCs w:val="19"/>
        </w:rPr>
        <w:t>γ</w:t>
      </w:r>
      <w:r w:rsidR="00CD5DA2" w:rsidRPr="00317402">
        <w:rPr>
          <w:rFonts w:ascii="Times New Roman" w:hAnsi="Times New Roman"/>
          <w:b w:val="0"/>
          <w:bCs/>
          <w:sz w:val="19"/>
          <w:szCs w:val="19"/>
          <w:lang w:val="pt-BR"/>
        </w:rPr>
        <w:t>-</w:t>
      </w:r>
      <w:proofErr w:type="spellStart"/>
      <w:r w:rsidR="00CD5DA2" w:rsidRPr="00317402">
        <w:rPr>
          <w:rFonts w:ascii="Times New Roman" w:hAnsi="Times New Roman"/>
          <w:b w:val="0"/>
          <w:bCs/>
          <w:sz w:val="19"/>
          <w:szCs w:val="19"/>
          <w:lang w:val="pt-BR"/>
        </w:rPr>
        <w:t>terpineno</w:t>
      </w:r>
      <w:proofErr w:type="spellEnd"/>
      <w:r w:rsidR="00CD5DA2" w:rsidRPr="00317402">
        <w:rPr>
          <w:rFonts w:ascii="Times New Roman" w:hAnsi="Times New Roman"/>
          <w:b w:val="0"/>
          <w:bCs/>
          <w:sz w:val="19"/>
          <w:szCs w:val="19"/>
          <w:lang w:val="pt-BR"/>
        </w:rPr>
        <w:t>, bem como p-</w:t>
      </w:r>
      <w:proofErr w:type="spellStart"/>
      <w:r w:rsidR="00CD5DA2" w:rsidRPr="00317402">
        <w:rPr>
          <w:rFonts w:ascii="Times New Roman" w:hAnsi="Times New Roman"/>
          <w:b w:val="0"/>
          <w:bCs/>
          <w:sz w:val="19"/>
          <w:szCs w:val="19"/>
          <w:lang w:val="pt-BR"/>
        </w:rPr>
        <w:t>cimeno</w:t>
      </w:r>
      <w:proofErr w:type="spellEnd"/>
      <w:r w:rsidR="00CD5DA2" w:rsidRPr="00317402">
        <w:rPr>
          <w:rFonts w:ascii="Times New Roman" w:hAnsi="Times New Roman"/>
          <w:b w:val="0"/>
          <w:bCs/>
          <w:sz w:val="19"/>
          <w:szCs w:val="19"/>
          <w:lang w:val="pt-BR"/>
        </w:rPr>
        <w:t>. Esses produtos possuem grande aplicabilidade na indústria de alimentos, cosméticos, polímeros e química. Neste contexto, este trabalho visou avaliar a isomerização do limoneno utilizando carvões sulfonados.  A síntese dos carvões sulfonados foi otimizada utilizando Delineamento Composto Central Rotacional (DCCR). 11 diferentes experimentos foram investigados e correlações entre as condições de síntese e o desempenho catalítico foram encontradas. As técnicas de caracterização utilizadas para elucidar as características físico-químicas dos materiais sintetizados, confirmaram a presença grupos superficiais ácidos favoráveis</w:t>
      </w:r>
      <w:r w:rsidR="00A50755" w:rsidRPr="00317402">
        <w:rPr>
          <w:rFonts w:ascii="Times New Roman" w:hAnsi="Times New Roman"/>
          <w:b w:val="0"/>
          <w:bCs/>
          <w:sz w:val="19"/>
          <w:szCs w:val="19"/>
          <w:lang w:val="pt-BR"/>
        </w:rPr>
        <w:t xml:space="preserve"> para a isomerização do limoneno.</w:t>
      </w:r>
      <w:r w:rsidR="00CD5DA2" w:rsidRPr="00317402">
        <w:rPr>
          <w:rFonts w:ascii="Times New Roman" w:hAnsi="Times New Roman"/>
          <w:b w:val="0"/>
          <w:bCs/>
          <w:sz w:val="19"/>
          <w:szCs w:val="19"/>
          <w:lang w:val="pt-BR"/>
        </w:rPr>
        <w:t xml:space="preserve">  Dentre os resultados, foi obtido 94% de conversão de limoneno 20, 11 e 17% de rendimento de </w:t>
      </w:r>
      <w:r w:rsidR="00CD5DA2" w:rsidRPr="00317402">
        <w:rPr>
          <w:rFonts w:ascii="Times New Roman" w:hAnsi="Times New Roman"/>
          <w:b w:val="0"/>
          <w:bCs/>
          <w:sz w:val="19"/>
          <w:szCs w:val="19"/>
        </w:rPr>
        <w:t>α</w:t>
      </w:r>
      <w:r w:rsidR="00CD5DA2" w:rsidRPr="00317402">
        <w:rPr>
          <w:rFonts w:ascii="Times New Roman" w:hAnsi="Times New Roman"/>
          <w:b w:val="0"/>
          <w:bCs/>
          <w:sz w:val="19"/>
          <w:szCs w:val="19"/>
          <w:lang w:val="pt-BR"/>
        </w:rPr>
        <w:t>-</w:t>
      </w:r>
      <w:proofErr w:type="spellStart"/>
      <w:r w:rsidR="00CD5DA2" w:rsidRPr="00317402">
        <w:rPr>
          <w:rFonts w:ascii="Times New Roman" w:hAnsi="Times New Roman"/>
          <w:b w:val="0"/>
          <w:bCs/>
          <w:sz w:val="19"/>
          <w:szCs w:val="19"/>
          <w:lang w:val="pt-BR"/>
        </w:rPr>
        <w:t>terpineno</w:t>
      </w:r>
      <w:proofErr w:type="spellEnd"/>
      <w:r w:rsidR="00CD5DA2" w:rsidRPr="00317402">
        <w:rPr>
          <w:rFonts w:ascii="Times New Roman" w:hAnsi="Times New Roman"/>
          <w:b w:val="0"/>
          <w:bCs/>
          <w:sz w:val="19"/>
          <w:szCs w:val="19"/>
          <w:lang w:val="pt-BR"/>
        </w:rPr>
        <w:t xml:space="preserve">, </w:t>
      </w:r>
      <w:r w:rsidR="00CD5DA2" w:rsidRPr="00317402">
        <w:rPr>
          <w:rFonts w:ascii="Times New Roman" w:hAnsi="Times New Roman"/>
          <w:b w:val="0"/>
          <w:bCs/>
          <w:sz w:val="19"/>
          <w:szCs w:val="19"/>
        </w:rPr>
        <w:t>γ</w:t>
      </w:r>
      <w:r w:rsidR="00CD5DA2" w:rsidRPr="00317402">
        <w:rPr>
          <w:rFonts w:ascii="Times New Roman" w:hAnsi="Times New Roman"/>
          <w:b w:val="0"/>
          <w:bCs/>
          <w:sz w:val="19"/>
          <w:szCs w:val="19"/>
          <w:lang w:val="pt-BR"/>
        </w:rPr>
        <w:t>-</w:t>
      </w:r>
      <w:proofErr w:type="spellStart"/>
      <w:r w:rsidR="00CD5DA2" w:rsidRPr="00317402">
        <w:rPr>
          <w:rFonts w:ascii="Times New Roman" w:hAnsi="Times New Roman"/>
          <w:b w:val="0"/>
          <w:bCs/>
          <w:sz w:val="19"/>
          <w:szCs w:val="19"/>
          <w:lang w:val="pt-BR"/>
        </w:rPr>
        <w:t>terpineno</w:t>
      </w:r>
      <w:proofErr w:type="spellEnd"/>
      <w:r w:rsidR="00CD5DA2" w:rsidRPr="00317402">
        <w:rPr>
          <w:rFonts w:ascii="Times New Roman" w:hAnsi="Times New Roman"/>
          <w:b w:val="0"/>
          <w:bCs/>
          <w:sz w:val="19"/>
          <w:szCs w:val="19"/>
          <w:lang w:val="pt-BR"/>
        </w:rPr>
        <w:t xml:space="preserve"> e </w:t>
      </w:r>
      <w:proofErr w:type="spellStart"/>
      <w:r w:rsidR="00CD5DA2" w:rsidRPr="00317402">
        <w:rPr>
          <w:rFonts w:ascii="Times New Roman" w:hAnsi="Times New Roman"/>
          <w:b w:val="0"/>
          <w:bCs/>
          <w:sz w:val="19"/>
          <w:szCs w:val="19"/>
          <w:lang w:val="pt-BR"/>
        </w:rPr>
        <w:t>terpinoleno</w:t>
      </w:r>
      <w:proofErr w:type="spellEnd"/>
      <w:r w:rsidR="00CD5DA2" w:rsidRPr="00317402">
        <w:rPr>
          <w:rFonts w:ascii="Times New Roman" w:hAnsi="Times New Roman"/>
          <w:b w:val="0"/>
          <w:bCs/>
          <w:sz w:val="19"/>
          <w:szCs w:val="19"/>
          <w:lang w:val="pt-BR"/>
        </w:rPr>
        <w:t xml:space="preserve"> após 2h de reação a 150ºC. p-</w:t>
      </w:r>
      <w:proofErr w:type="spellStart"/>
      <w:r w:rsidR="00CD5DA2" w:rsidRPr="00317402">
        <w:rPr>
          <w:rFonts w:ascii="Times New Roman" w:hAnsi="Times New Roman"/>
          <w:b w:val="0"/>
          <w:bCs/>
          <w:sz w:val="19"/>
          <w:szCs w:val="19"/>
          <w:lang w:val="pt-BR"/>
        </w:rPr>
        <w:t>cimeno</w:t>
      </w:r>
      <w:proofErr w:type="spellEnd"/>
      <w:r w:rsidR="00CD5DA2" w:rsidRPr="00317402">
        <w:rPr>
          <w:rFonts w:ascii="Times New Roman" w:hAnsi="Times New Roman"/>
          <w:b w:val="0"/>
          <w:bCs/>
          <w:sz w:val="19"/>
          <w:szCs w:val="19"/>
          <w:lang w:val="pt-BR"/>
        </w:rPr>
        <w:t>, também foi produzido, mas em menor quantidade. As reações foram conduzidas sem solvente.</w:t>
      </w:r>
    </w:p>
    <w:p w14:paraId="0FFDDA61" w14:textId="3E4133F0" w:rsidR="005F1E4C" w:rsidRPr="00317402" w:rsidRDefault="005F1E4C" w:rsidP="005F1E4C">
      <w:pPr>
        <w:pStyle w:val="BDAbstract"/>
        <w:spacing w:before="0" w:after="0" w:line="240" w:lineRule="auto"/>
        <w:rPr>
          <w:rFonts w:ascii="Times New Roman" w:hAnsi="Times New Roman"/>
          <w:b w:val="0"/>
          <w:sz w:val="19"/>
          <w:szCs w:val="19"/>
          <w:lang w:val="pt-BR"/>
        </w:rPr>
      </w:pPr>
      <w:r w:rsidRPr="00317402">
        <w:rPr>
          <w:rFonts w:ascii="Times New Roman" w:hAnsi="Times New Roman"/>
          <w:b w:val="0"/>
          <w:color w:val="000000"/>
          <w:sz w:val="19"/>
          <w:szCs w:val="19"/>
          <w:lang w:val="pt-BR"/>
        </w:rPr>
        <w:t xml:space="preserve">Palavras-chaves: </w:t>
      </w:r>
      <w:r w:rsidRPr="00317402">
        <w:rPr>
          <w:rFonts w:ascii="Times New Roman" w:hAnsi="Times New Roman"/>
          <w:b w:val="0"/>
          <w:sz w:val="19"/>
          <w:szCs w:val="19"/>
          <w:lang w:val="pt-BR"/>
        </w:rPr>
        <w:t>Carvão sulfonado, Delineamento Composto Central Rotacional (DCCR), catálise heterogênea, isomerização, limoneno.</w:t>
      </w:r>
    </w:p>
    <w:p w14:paraId="5D8D4445" w14:textId="11D77547" w:rsidR="00EA4E1B" w:rsidRPr="00317402" w:rsidRDefault="00EA4E1B" w:rsidP="005F1E4C">
      <w:pPr>
        <w:pStyle w:val="BDAbstract"/>
        <w:spacing w:before="0" w:after="0" w:line="240" w:lineRule="auto"/>
        <w:rPr>
          <w:rFonts w:ascii="Times New Roman" w:hAnsi="Times New Roman"/>
          <w:b w:val="0"/>
          <w:sz w:val="19"/>
          <w:szCs w:val="19"/>
          <w:lang w:val="pt-BR"/>
        </w:rPr>
      </w:pPr>
    </w:p>
    <w:p w14:paraId="0F80E7D5" w14:textId="1EBD03C6" w:rsidR="00EA4E1B" w:rsidRPr="00317402" w:rsidRDefault="00EA4E1B" w:rsidP="00EA4E1B">
      <w:pPr>
        <w:pStyle w:val="BDAbstract"/>
        <w:spacing w:before="0" w:after="0" w:line="240" w:lineRule="auto"/>
        <w:rPr>
          <w:rFonts w:ascii="Times New Roman" w:hAnsi="Times New Roman"/>
          <w:b w:val="0"/>
          <w:sz w:val="19"/>
          <w:szCs w:val="19"/>
        </w:rPr>
      </w:pPr>
      <w:r w:rsidRPr="00317402">
        <w:rPr>
          <w:rFonts w:ascii="Times New Roman" w:hAnsi="Times New Roman"/>
          <w:b w:val="0"/>
          <w:sz w:val="19"/>
          <w:szCs w:val="19"/>
        </w:rPr>
        <w:t xml:space="preserve">ABSTRACT - </w:t>
      </w:r>
      <w:r w:rsidR="00A50755" w:rsidRPr="00317402">
        <w:rPr>
          <w:rFonts w:ascii="Times New Roman" w:hAnsi="Times New Roman"/>
          <w:b w:val="0"/>
          <w:sz w:val="19"/>
          <w:szCs w:val="19"/>
        </w:rPr>
        <w:t>Brazil is one of the major world producers of orange essential oil, in which the main constituent is the terpene called limonene. The isomerization of limonene produces terpene compounds with high added value, such as: terpinolene, α-terpinene and γ-terpinene, as well as p-cymene. These products have great applicability in the food, cosmetics, polymers and chemical industries. In this context, this work aimed to evaluate the isomerization of limonene using sulfonated carbons. The synthesis of sulfonated carbons was optimized using the Rotational Central Composite Design (DCCR). 11 different experiments were investigated and correlations between synthesis conditions and catalytic performance were found. The characterization techniques used to elucidate the physicochemical characteristics of the synthesized materials confirmed the presence of ingestion groups for limonene isomerization. Among the results, 94% limonene conversion 20, 11 and 17% yield of α-terpinene, γ-terpinene and terpinolene was obtained after 2h of reaction at 150ºC. p-cymene, was also produced, but in smaller quantities. Reactions were carried out without solvent.</w:t>
      </w:r>
    </w:p>
    <w:p w14:paraId="3742BB48" w14:textId="2F2289C8" w:rsidR="005F1E4C" w:rsidRPr="00317402" w:rsidRDefault="00EA4E1B" w:rsidP="005F1E4C">
      <w:pPr>
        <w:pStyle w:val="BDAbstract"/>
        <w:spacing w:before="0" w:after="120" w:line="240" w:lineRule="auto"/>
        <w:rPr>
          <w:rFonts w:ascii="Times New Roman" w:hAnsi="Times New Roman"/>
          <w:b w:val="0"/>
          <w:i/>
          <w:sz w:val="19"/>
          <w:szCs w:val="19"/>
        </w:rPr>
      </w:pPr>
      <w:r w:rsidRPr="00317402">
        <w:rPr>
          <w:rFonts w:ascii="Times New Roman" w:hAnsi="Times New Roman"/>
          <w:b w:val="0"/>
          <w:i/>
          <w:sz w:val="19"/>
          <w:szCs w:val="19"/>
        </w:rPr>
        <w:t>Keywords</w:t>
      </w:r>
      <w:bookmarkEnd w:id="2"/>
      <w:r w:rsidR="005F1E4C" w:rsidRPr="00317402">
        <w:rPr>
          <w:rFonts w:ascii="Times New Roman" w:hAnsi="Times New Roman"/>
          <w:b w:val="0"/>
          <w:i/>
          <w:sz w:val="19"/>
          <w:szCs w:val="19"/>
        </w:rPr>
        <w:t>: Sulfonated carbon, Rotational Central Composite Design (RC</w:t>
      </w:r>
      <w:r w:rsidR="00540428" w:rsidRPr="00317402">
        <w:rPr>
          <w:rFonts w:ascii="Times New Roman" w:hAnsi="Times New Roman"/>
          <w:b w:val="0"/>
          <w:i/>
          <w:sz w:val="19"/>
          <w:szCs w:val="19"/>
        </w:rPr>
        <w:t>C</w:t>
      </w:r>
      <w:r w:rsidR="005F1E4C" w:rsidRPr="00317402">
        <w:rPr>
          <w:rFonts w:ascii="Times New Roman" w:hAnsi="Times New Roman"/>
          <w:b w:val="0"/>
          <w:i/>
          <w:sz w:val="19"/>
          <w:szCs w:val="19"/>
        </w:rPr>
        <w:t>D), heterogeneous catalysis, isomerization, limonene</w:t>
      </w:r>
    </w:p>
    <w:p w14:paraId="48D9B0C4" w14:textId="16178E81" w:rsidR="00EA4E1B" w:rsidRPr="005F1E4C" w:rsidRDefault="00EA4E1B" w:rsidP="005F1E4C">
      <w:pPr>
        <w:pStyle w:val="BDAbstract"/>
        <w:spacing w:before="0" w:after="120" w:line="240" w:lineRule="auto"/>
        <w:sectPr w:rsidR="00EA4E1B" w:rsidRPr="005F1E4C" w:rsidSect="00EA4E1B">
          <w:headerReference w:type="default" r:id="rId8"/>
          <w:endnotePr>
            <w:numFmt w:val="decimal"/>
          </w:endnotePr>
          <w:pgSz w:w="11906" w:h="16838"/>
          <w:pgMar w:top="1418" w:right="1094" w:bottom="1418" w:left="567" w:header="709" w:footer="709" w:gutter="0"/>
          <w:cols w:space="708"/>
          <w:docGrid w:linePitch="360"/>
        </w:sectPr>
      </w:pPr>
    </w:p>
    <w:p w14:paraId="625F2C0A" w14:textId="0C0967F8" w:rsidR="00EA4E1B" w:rsidRDefault="00EA4E1B" w:rsidP="00EA4E1B">
      <w:pPr>
        <w:pStyle w:val="Ttulo2"/>
        <w:spacing w:before="0"/>
        <w:rPr>
          <w:rFonts w:ascii="Helvetica" w:hAnsi="Helvetica" w:cs="Helvetica"/>
          <w:sz w:val="24"/>
          <w:szCs w:val="24"/>
        </w:rPr>
      </w:pPr>
      <w:r w:rsidRPr="001F25B2">
        <w:rPr>
          <w:rFonts w:ascii="Helvetica" w:hAnsi="Helvetica" w:cs="Helvetica"/>
          <w:sz w:val="24"/>
          <w:szCs w:val="24"/>
        </w:rPr>
        <w:t>Introdução</w:t>
      </w:r>
    </w:p>
    <w:p w14:paraId="5FE64678" w14:textId="51C980E5" w:rsidR="00C85E14" w:rsidRPr="005B7BEE" w:rsidRDefault="00041444" w:rsidP="000D7C61">
      <w:pPr>
        <w:pStyle w:val="TAMainText"/>
        <w:rPr>
          <w:lang w:val="pt-BR"/>
        </w:rPr>
      </w:pPr>
      <w:r w:rsidRPr="005B7BEE">
        <w:rPr>
          <w:lang w:val="pt-BR"/>
        </w:rPr>
        <w:t xml:space="preserve">Os terpenos estão presentes nos óleos essenciais e são encontrados na natureza.  </w:t>
      </w:r>
      <w:r w:rsidR="00C85E14" w:rsidRPr="005B7BEE">
        <w:rPr>
          <w:lang w:val="pt-BR"/>
        </w:rPr>
        <w:t>As reações que envolvem a</w:t>
      </w:r>
      <w:r w:rsidRPr="005B7BEE">
        <w:rPr>
          <w:lang w:val="pt-BR"/>
        </w:rPr>
        <w:t xml:space="preserve"> conversão desses compostos</w:t>
      </w:r>
      <w:r w:rsidR="00C85E14" w:rsidRPr="005B7BEE">
        <w:rPr>
          <w:lang w:val="pt-BR"/>
        </w:rPr>
        <w:t xml:space="preserve"> levam a formação de vários produtos de interesse para a indústria química </w:t>
      </w:r>
      <w:r w:rsidR="00C85E14" w:rsidRPr="000D7C61">
        <w:fldChar w:fldCharType="begin" w:fldLock="1"/>
      </w:r>
      <w:r w:rsidR="006911A5">
        <w:rPr>
          <w:lang w:val="pt-BR"/>
        </w:rPr>
        <w:instrText>ADDIN CSL_CITATION {"citationItems":[{"id":"ITEM-1","itemData":{"DOI":"10.1016/B978-0-444-64127-4.00011-2","ISBN":"9780444641274","ISSN":"01672991","author":[{"dropping-particle":"","family":"Rubulotta","given":"Giuliana","non-dropping-particle":"","parse-names":false,"suffix":""},{"dropping-particle":"","family":"Quadrelli","given":"Elsje Alessandra","non-dropping-particle":"","parse-names":false,"suffix":""}],"container-title":"Studies in Surface Science and Catalysis","edition":"1","id":"ITEM-1","issued":{"date-parts":[["2019"]]},"number-of-pages":"215-229","publisher":"Elsevier B.V.","title":"Terpenes: A Valuable Family of Compounds for the Production of Fine Chemicals","type":"book","volume":"178"},"uris":["http://www.mendeley.com/documents/?uuid=0caeba3e-a488-4236-8b40-b488cbe453e0"]}],"mendeley":{"formattedCitation":"[1]","manualFormatting":"(1","plainTextFormattedCitation":"[1]","previouslyFormattedCitation":"[1]"},"properties":{"noteIndex":0},"schema":"https://github.com/citation-style-language/schema/raw/master/csl-citation.json"}</w:instrText>
      </w:r>
      <w:r w:rsidR="00C85E14" w:rsidRPr="000D7C61">
        <w:fldChar w:fldCharType="separate"/>
      </w:r>
      <w:r w:rsidR="006911A5">
        <w:rPr>
          <w:noProof/>
          <w:lang w:val="pt-BR"/>
        </w:rPr>
        <w:t>(</w:t>
      </w:r>
      <w:r w:rsidR="006911A5" w:rsidRPr="006911A5">
        <w:rPr>
          <w:noProof/>
          <w:lang w:val="pt-BR"/>
        </w:rPr>
        <w:t>1</w:t>
      </w:r>
      <w:r w:rsidR="00C85E14" w:rsidRPr="000D7C61">
        <w:fldChar w:fldCharType="end"/>
      </w:r>
      <w:r w:rsidR="006911A5" w:rsidRPr="006911A5">
        <w:rPr>
          <w:lang w:val="pt-BR"/>
        </w:rPr>
        <w:t>)</w:t>
      </w:r>
      <w:r w:rsidR="00C85E14" w:rsidRPr="005B7BEE">
        <w:rPr>
          <w:lang w:val="pt-BR"/>
        </w:rPr>
        <w:t xml:space="preserve">. </w:t>
      </w:r>
      <w:r w:rsidRPr="005B7BEE">
        <w:rPr>
          <w:lang w:val="pt-BR"/>
        </w:rPr>
        <w:t>Um dos terpenos mais utilizados no mundo em razão do seu fácil acesso e por ser de baixo custo é o óleo essencial de limoneno, o qual é obtido na casca de laranja. Dentre os processos em que este terpeno pode ser submetido, a isomerização do limoneno leva a formação de diversos produtos de alto valor agregado, tais como:</w:t>
      </w:r>
      <w:r w:rsidR="004646E2" w:rsidRPr="005B7BEE">
        <w:rPr>
          <w:lang w:val="pt-BR"/>
        </w:rPr>
        <w:t xml:space="preserve"> </w:t>
      </w:r>
      <w:proofErr w:type="spellStart"/>
      <w:r w:rsidR="004646E2" w:rsidRPr="005B7BEE">
        <w:rPr>
          <w:lang w:val="pt-BR"/>
        </w:rPr>
        <w:t>terpinoleno</w:t>
      </w:r>
      <w:proofErr w:type="spellEnd"/>
      <w:r w:rsidR="004646E2" w:rsidRPr="005B7BEE">
        <w:rPr>
          <w:lang w:val="pt-BR"/>
        </w:rPr>
        <w:t xml:space="preserve">, </w:t>
      </w:r>
      <w:r w:rsidR="004646E2" w:rsidRPr="000D7C61">
        <w:t>α</w:t>
      </w:r>
      <w:r w:rsidR="004646E2" w:rsidRPr="005B7BEE">
        <w:rPr>
          <w:lang w:val="pt-BR"/>
        </w:rPr>
        <w:t>-</w:t>
      </w:r>
      <w:proofErr w:type="spellStart"/>
      <w:r w:rsidR="004646E2" w:rsidRPr="005B7BEE">
        <w:rPr>
          <w:lang w:val="pt-BR"/>
        </w:rPr>
        <w:t>terpineno</w:t>
      </w:r>
      <w:proofErr w:type="spellEnd"/>
      <w:r w:rsidR="004646E2" w:rsidRPr="005B7BEE">
        <w:rPr>
          <w:lang w:val="pt-BR"/>
        </w:rPr>
        <w:t xml:space="preserve"> e </w:t>
      </w:r>
      <w:r w:rsidR="004646E2" w:rsidRPr="000D7C61">
        <w:t>γ</w:t>
      </w:r>
      <w:r w:rsidR="004646E2" w:rsidRPr="005B7BEE">
        <w:rPr>
          <w:lang w:val="pt-BR"/>
        </w:rPr>
        <w:t>-</w:t>
      </w:r>
      <w:proofErr w:type="spellStart"/>
      <w:r w:rsidR="004646E2" w:rsidRPr="005B7BEE">
        <w:rPr>
          <w:lang w:val="pt-BR"/>
        </w:rPr>
        <w:t>terpineno</w:t>
      </w:r>
      <w:proofErr w:type="spellEnd"/>
      <w:r w:rsidR="004646E2" w:rsidRPr="005B7BEE">
        <w:rPr>
          <w:lang w:val="pt-BR"/>
        </w:rPr>
        <w:t>, bem como p-</w:t>
      </w:r>
      <w:proofErr w:type="spellStart"/>
      <w:r w:rsidR="004646E2" w:rsidRPr="005B7BEE">
        <w:rPr>
          <w:lang w:val="pt-BR"/>
        </w:rPr>
        <w:t>cimeno</w:t>
      </w:r>
      <w:proofErr w:type="spellEnd"/>
      <w:r w:rsidR="006911A5">
        <w:rPr>
          <w:lang w:val="pt-BR"/>
        </w:rPr>
        <w:t xml:space="preserve"> </w:t>
      </w:r>
      <w:r w:rsidR="00430DA0" w:rsidRPr="000D7C61">
        <w:fldChar w:fldCharType="begin" w:fldLock="1"/>
      </w:r>
      <w:r w:rsidR="006911A5">
        <w:rPr>
          <w:lang w:val="pt-BR"/>
        </w:rPr>
        <w:instrText>ADDIN CSL_CITATION {"citationItems":[{"id":"ITEM-1","itemData":{"DOI":"10.1180/clm.2019.18","ISSN":"0009-8558","abstract":"The isomerization of limonene over natural the zeolite, clinoptilolite, was studied. The main products of limonene isomerization were terpinolene, α-terpinene, γ-terpinene and p-cymene. These products have numerous applications in the cosmetic, food and pharmaceutical industries. The main parameters affecting limonene isomerization were reaction time, temperature and catalyst content. These parameters varied within the following ranges: reaction time 15–1440 min; temperature 155–175°C; and catalyst content 5–15 wt.%. Terpinolene was obtained after reaction for 60 min at 175°C using 10 wt.% catalyst. p-Cymene was produced using similar conditions as for terpinolene except for a longer reaction time of 1440 min. The use of optimum experimental conditions allowed the greatest amounts of the desired products to be obtained in the shortest time.","author":[{"dropping-particle":"","family":"Retajczyk","given":"Monika","non-dropping-particle":"","parse-names":false,"suffix":""},{"dropping-particle":"","family":"Wróblewska","given":"Agnieszka","non-dropping-particle":"","parse-names":false,"suffix":""},{"dropping-particle":"","family":"Szymańska","given":"Alicja","non-dropping-particle":"","parse-names":false,"suffix":""},{"dropping-particle":"","family":"Michalkiewicz","given":"Beata","non-dropping-particle":"","parse-names":false,"suffix":""}],"container-title":"Clay Minerals","id":"ITEM-1","issue":"2","issued":{"date-parts":[["2019"]]},"page":"121-129","title":"Isomerization of limonene over natural zeolite-clinoptilolite","type":"article-journal","volume":"54"},"uris":["http://www.mendeley.com/documents/?uuid=c21a4052-9a20-47e9-ba86-eae8806cb9cf"]}],"mendeley":{"formattedCitation":"[2]","manualFormatting":"(2","plainTextFormattedCitation":"[2]","previouslyFormattedCitation":"[2]"},"properties":{"noteIndex":0},"schema":"https://github.com/citation-style-language/schema/raw/master/csl-citation.json"}</w:instrText>
      </w:r>
      <w:r w:rsidR="00430DA0" w:rsidRPr="000D7C61">
        <w:fldChar w:fldCharType="separate"/>
      </w:r>
      <w:r w:rsidR="006911A5">
        <w:rPr>
          <w:noProof/>
          <w:lang w:val="pt-BR"/>
        </w:rPr>
        <w:t>(</w:t>
      </w:r>
      <w:r w:rsidR="006911A5" w:rsidRPr="006911A5">
        <w:rPr>
          <w:noProof/>
          <w:lang w:val="pt-BR"/>
        </w:rPr>
        <w:t>2</w:t>
      </w:r>
      <w:r w:rsidR="00430DA0" w:rsidRPr="000D7C61">
        <w:fldChar w:fldCharType="end"/>
      </w:r>
      <w:r w:rsidR="006911A5" w:rsidRPr="006911A5">
        <w:rPr>
          <w:lang w:val="pt-BR"/>
        </w:rPr>
        <w:t>)</w:t>
      </w:r>
      <w:r w:rsidR="004646E2" w:rsidRPr="005B7BEE">
        <w:rPr>
          <w:lang w:val="pt-BR"/>
        </w:rPr>
        <w:t>.</w:t>
      </w:r>
      <w:r w:rsidR="007767A1" w:rsidRPr="005B7BEE">
        <w:rPr>
          <w:lang w:val="pt-BR"/>
        </w:rPr>
        <w:t xml:space="preserve"> </w:t>
      </w:r>
    </w:p>
    <w:p w14:paraId="16ED84DC" w14:textId="633E4437" w:rsidR="00430DA0" w:rsidRPr="005B7BEE" w:rsidRDefault="00430DA0" w:rsidP="000D7C61">
      <w:pPr>
        <w:pStyle w:val="TAMainText"/>
        <w:rPr>
          <w:lang w:val="pt-BR"/>
        </w:rPr>
      </w:pPr>
      <w:r w:rsidRPr="005B7BEE">
        <w:rPr>
          <w:lang w:val="pt-BR"/>
        </w:rPr>
        <w:t>De acordo com a base de dados Trade Map em 2021, o Brasil é um dos maiores produtores de óleo essencial de laranja. Neste mesmo ano, o Brasil movimentou cerca de U$</w:t>
      </w:r>
      <w:r w:rsidR="00B146E4">
        <w:rPr>
          <w:lang w:val="pt-BR"/>
        </w:rPr>
        <w:t> </w:t>
      </w:r>
      <w:r w:rsidRPr="005B7BEE">
        <w:rPr>
          <w:lang w:val="pt-BR"/>
        </w:rPr>
        <w:t xml:space="preserve">150 milhões de valores de exportação (FOB) e produziu </w:t>
      </w:r>
      <w:r w:rsidRPr="005B7BEE">
        <w:rPr>
          <w:lang w:val="pt-BR"/>
        </w:rPr>
        <w:t>26 mil toneladas deste óleo essencial</w:t>
      </w:r>
      <w:r w:rsidR="007767A1" w:rsidRPr="005B7BEE">
        <w:rPr>
          <w:lang w:val="pt-BR"/>
        </w:rPr>
        <w:t>. Ressaltando assim, a importância de estudos envolvendo o limoneno para a economia Brasileira.</w:t>
      </w:r>
    </w:p>
    <w:p w14:paraId="59E570AA" w14:textId="344E89CF" w:rsidR="007767A1" w:rsidRPr="006911A5" w:rsidRDefault="007767A1" w:rsidP="000D7C61">
      <w:pPr>
        <w:pStyle w:val="TAMainText"/>
        <w:rPr>
          <w:lang w:val="pt-BR"/>
        </w:rPr>
      </w:pPr>
      <w:r w:rsidRPr="005B7BEE">
        <w:rPr>
          <w:lang w:val="pt-BR"/>
        </w:rPr>
        <w:t xml:space="preserve">Catalisadores são fundamentais nas reações de conversão do limoneno. No entanto, muitos processos envolvem a utilização de catalisadores homogêneos, os quais possuem desvantagens </w:t>
      </w:r>
      <w:r w:rsidR="00540428">
        <w:rPr>
          <w:lang w:val="pt-BR"/>
        </w:rPr>
        <w:t>relacionadas</w:t>
      </w:r>
      <w:r w:rsidR="00540428" w:rsidRPr="005B7BEE">
        <w:rPr>
          <w:lang w:val="pt-BR"/>
        </w:rPr>
        <w:t xml:space="preserve"> </w:t>
      </w:r>
      <w:r w:rsidRPr="005B7BEE">
        <w:rPr>
          <w:lang w:val="pt-BR"/>
        </w:rPr>
        <w:t>a separação do meio reacional e pela possibilidade de resultar em problemas ambientais</w:t>
      </w:r>
      <w:r w:rsidR="006911A5">
        <w:rPr>
          <w:lang w:val="pt-BR"/>
        </w:rPr>
        <w:t xml:space="preserve"> </w:t>
      </w:r>
      <w:r w:rsidR="00ED30BD" w:rsidRPr="000D7C61">
        <w:fldChar w:fldCharType="begin" w:fldLock="1"/>
      </w:r>
      <w:r w:rsidR="006911A5">
        <w:rPr>
          <w:lang w:val="pt-BR"/>
        </w:rPr>
        <w:instrText>ADDIN CSL_CITATION {"citationItems":[{"id":"ITEM-1","itemData":{"DOI":"10.1039/c2cy20526b","ISSN":"20444753","abstract":"The liquid-phase isomerization of limonene oxide was studied in the presence of heteropoly acid catalysts in aprotic solvents in homogeneous and heterogeneous systems. Among the catalysts were bulk and silica-supported tungstophosphoric acid H3PW12O40 and its acidic Cs salt Cs0.5H0.5PW12O40 (CsPW). The reaction gave dihydrocarvone, a valuable fragrance intermediate, as the main product with turnover numbers of up to 8000. The nature of the solvent had a strong effect on reaction rate and selectivity. CsPW (0.1 mol%) was found to be a highly efficient and truly heterogeneous catalyst for this reaction, providing 82% yield of dihydrocarvone in 1,4-dioxane as a solvent under ambient conditions. This simple catalytic method represents economically attractive route to industrially important compounds starting from bio-renewable substrates easily available from essential oils. © The Royal Society of Chemistry 2013.","author":[{"dropping-particle":"V.","family":"Costa","given":"Vinícius","non-dropping-particle":"","parse-names":false,"suffix":""},{"dropping-particle":"","family":"Silva Rocha","given":"Kelly A.","non-dropping-particle":"Da","parse-names":false,"suffix":""},{"dropping-particle":"V.","family":"Kozhevnikov","given":"Ivan","non-dropping-particle":"","parse-names":false,"suffix":""},{"dropping-particle":"","family":"Kozhevnikova","given":"Elena F.","non-dropping-particle":"","parse-names":false,"suffix":""},{"dropping-particle":"V.","family":"Gusevskaya","given":"Elena","non-dropping-particle":"","parse-names":false,"suffix":""}],"container-title":"Catalysis Science and Technology","id":"ITEM-1","issue":"1","issued":{"date-parts":[["2013"]]},"page":"244-250","title":"Heteropoly acid catalysts for the synthesis of fragrance compounds from biorenewables: Isomerization of limonene oxide","type":"article-journal","volume":"3"},"uris":["http://www.mendeley.com/documents/?uuid=75aa95c2-8997-45c7-a63d-f09e657e02aa"]}],"mendeley":{"formattedCitation":"[3]","manualFormatting":"(3","plainTextFormattedCitation":"[3]","previouslyFormattedCitation":"[3]"},"properties":{"noteIndex":0},"schema":"https://github.com/citation-style-language/schema/raw/master/csl-citation.json"}</w:instrText>
      </w:r>
      <w:r w:rsidR="00ED30BD" w:rsidRPr="000D7C61">
        <w:fldChar w:fldCharType="separate"/>
      </w:r>
      <w:r w:rsidR="006911A5">
        <w:rPr>
          <w:noProof/>
          <w:lang w:val="pt-BR"/>
        </w:rPr>
        <w:t>(</w:t>
      </w:r>
      <w:r w:rsidR="006911A5" w:rsidRPr="006911A5">
        <w:rPr>
          <w:noProof/>
          <w:lang w:val="pt-BR"/>
        </w:rPr>
        <w:t>3</w:t>
      </w:r>
      <w:r w:rsidR="00ED30BD" w:rsidRPr="000D7C61">
        <w:fldChar w:fldCharType="end"/>
      </w:r>
      <w:r w:rsidR="006911A5" w:rsidRPr="006911A5">
        <w:rPr>
          <w:lang w:val="pt-BR"/>
        </w:rPr>
        <w:t>).</w:t>
      </w:r>
    </w:p>
    <w:p w14:paraId="23A80CFF" w14:textId="3203D7D8" w:rsidR="00ED30BD" w:rsidRPr="005B7BEE" w:rsidRDefault="00ED30BD" w:rsidP="000D7C61">
      <w:pPr>
        <w:pStyle w:val="TAMainText"/>
        <w:rPr>
          <w:lang w:val="pt-BR"/>
        </w:rPr>
      </w:pPr>
      <w:r w:rsidRPr="000D7C61">
        <w:rPr>
          <w:lang w:val="pt-BR"/>
        </w:rPr>
        <w:t xml:space="preserve">A utilização de catalisadores heterogêneos como os carvões, tem ganhado grande atenção, uma vez que eles podem ser obtidos a partir de resíduos ou subprodutos agroindustriais, contribuindo para a Economia Circular </w:t>
      </w:r>
      <w:r w:rsidRPr="000D7C61">
        <w:fldChar w:fldCharType="begin" w:fldLock="1"/>
      </w:r>
      <w:r w:rsidR="006911A5">
        <w:rPr>
          <w:lang w:val="pt-BR"/>
        </w:rPr>
        <w:instrText>ADDIN CSL_CITATION {"citationItems":[{"id":"ITEM-1","itemData":{"DOI":"10.1016/j.apcatb.2017.01.056","ISSN":"09263373","abstract":"5-Hydroxymethyl-2-furaldehyde (HMF) is a key bio-based platform for the production of renewable monomers and bio-fuels. However, most of its syntheses are carried out under not sustainable conditions. In this work, the production of HMF from fructose and inulin was investigated following the Green Chemistry principles, adopting aqueous medium, appreciable substrate concentration (10 wt%), low loading of heterogeneous acid catalyst (niobium or zirconium phosphate) and microwave heating. Both the catalysts resulted very active and promising, in particular zirconium phosphate and the performances were related to their different acid characteristics. The optimization of HMF synthesis with zirconium phosphate was also supported by a statistical modelling, which shows that the highest yield to HMF (about 40 mol%) is ascertained at high temperature (190 °C) and short reaction time (8 min). The catalysts resulted recyclable maintaining their starting activity almost unchanged.","author":[{"dropping-particle":"","family":"Antonetti","given":"Claudia","non-dropping-particle":"","parse-names":false,"suffix":""},{"dropping-particle":"","family":"Melloni","given":"Mattia","non-dropping-particle":"","parse-names":false,"suffix":""},{"dropping-particle":"","family":"Licursi","given":"Domenico","non-dropping-particle":"","parse-names":false,"suffix":""},{"dropping-particle":"","family":"Fulignati","given":"Sara","non-dropping-particle":"","parse-names":false,"suffix":""},{"dropping-particle":"","family":"Ribechini","given":"Erika","non-dropping-particle":"","parse-names":false,"suffix":""},{"dropping-particle":"","family":"Rivas","given":"Sandra","non-dropping-particle":"","parse-names":false,"suffix":""},{"dropping-particle":"","family":"Parajó","given":"Juan Carlos","non-dropping-particle":"","parse-names":false,"suffix":""},{"dropping-particle":"","family":"Cavani","given":"Fabrizio","non-dropping-particle":"","parse-names":false,"suffix":""},{"dropping-particle":"","family":"Raspolli Galletti","given":"Anna Maria","non-dropping-particle":"","parse-names":false,"suffix":""}],"container-title":"Applied Catalysis B: Environmental","id":"ITEM-1","issued":{"date-parts":[["2017"]]},"page":"364-377","publisher":"Elsevier B.V.","title":"Microwave-assisted dehydration of fructose and inulin to HMF catalyzed by niobium and zirconium phosphate catalysts","type":"article-journal","volume":"206"},"uris":["http://www.mendeley.com/documents/?uuid=3482d650-6d66-42bd-8a66-05afa611b3bd"]},{"id":"ITEM-2","itemData":{"DOI":"10.1016/B978-0-08-097742-3.00920-4","ISBN":"9780080977430","abstract":"Microwave heating is proving to be a transformational technique in preparative chemistry. Using modern scientific microwave apparatus, it is possible to access elevated temperatures in an easy, safe, and reproducible way. By using microwave heating, reaction times can often be decreased, product yields increased, and purity enhanced as compared with conventional heating methods. The origins of the rate enhancements observed have been a topic of considerable debate over the years. It is now accepted, however, that microwave heating is just that - heating. In this chapter the key tenets of microwave-assisted organic chemistry are explored in the context of particular classes of reaction. The chapter discusses topics such as metal catalysis, reactions involving gases as reagents, combinatorial chemistry, monitoring reactions in real-time, and reaction scale-up, as well as giving an overview of the concepts behind microwave heating. © 2014 Elsevier Ltd. All rights reserved.","author":[{"dropping-particle":"","family":"Leadbeater","given":"N. E.","non-dropping-particle":"","parse-names":false,"suffix":""}],"container-title":"Comprehensive Organic Synthesis: Second Edition","id":"ITEM-2","issued":{"date-parts":[["2014"]]},"number-of-pages":"234-286","publisher":"Elsevier Ltd.","title":"Organic Synthesis Using Microwave Heating","type":"book","volume":"9"},"uris":["http://www.mendeley.com/documents/?uuid=523cce1f-9b03-4efb-beb9-65b093755255"]}],"mendeley":{"formattedCitation":"[4,5]","manualFormatting":"(4,5","plainTextFormattedCitation":"[4,5]","previouslyFormattedCitation":"[4,5]"},"properties":{"noteIndex":0},"schema":"https://github.com/citation-style-language/schema/raw/master/csl-citation.json"}</w:instrText>
      </w:r>
      <w:r w:rsidRPr="000D7C61">
        <w:fldChar w:fldCharType="separate"/>
      </w:r>
      <w:r w:rsidR="006911A5">
        <w:rPr>
          <w:noProof/>
        </w:rPr>
        <w:t>(</w:t>
      </w:r>
      <w:r w:rsidR="006911A5" w:rsidRPr="006911A5">
        <w:rPr>
          <w:noProof/>
        </w:rPr>
        <w:t>4,5</w:t>
      </w:r>
      <w:r w:rsidRPr="000D7C61">
        <w:fldChar w:fldCharType="end"/>
      </w:r>
      <w:r w:rsidR="006911A5">
        <w:t>)</w:t>
      </w:r>
      <w:r w:rsidRPr="000D7C61">
        <w:t xml:space="preserve">, </w:t>
      </w:r>
      <w:proofErr w:type="spellStart"/>
      <w:r w:rsidR="00540428">
        <w:t>especialmente</w:t>
      </w:r>
      <w:proofErr w:type="spellEnd"/>
      <w:r w:rsidR="00540428" w:rsidRPr="000D7C61">
        <w:t xml:space="preserve"> </w:t>
      </w:r>
      <w:proofErr w:type="spellStart"/>
      <w:r w:rsidRPr="000D7C61">
        <w:t>em</w:t>
      </w:r>
      <w:proofErr w:type="spellEnd"/>
      <w:r w:rsidRPr="000D7C61">
        <w:t xml:space="preserve"> </w:t>
      </w:r>
      <w:proofErr w:type="spellStart"/>
      <w:r w:rsidRPr="000D7C61">
        <w:t>países</w:t>
      </w:r>
      <w:proofErr w:type="spellEnd"/>
      <w:r w:rsidRPr="000D7C61">
        <w:t xml:space="preserve"> </w:t>
      </w:r>
      <w:proofErr w:type="spellStart"/>
      <w:r w:rsidRPr="000D7C61">
        <w:t>emergentes</w:t>
      </w:r>
      <w:proofErr w:type="spellEnd"/>
      <w:r w:rsidRPr="000D7C61">
        <w:t xml:space="preserve"> </w:t>
      </w:r>
      <w:r w:rsidRPr="000D7C61">
        <w:fldChar w:fldCharType="begin" w:fldLock="1"/>
      </w:r>
      <w:r w:rsidR="006911A5">
        <w:instrText>ADDIN CSL_CITATION {"citationItems":[{"id":"ITEM-1","itemData":{"DOI":"10.1016/j.joei.2018.12.003","ISSN":"17460220","abstract":"Greenhouse gases emitted from the excessive use of fossil fuels are threatening the environment, and thus alternative resources like biomass are being considered as a replacement. Biomass with high moisture content is better treated by hydrothermal carbonization method than any other process to generate biofuel. Research on this method on a lab scale has progressed recently. However, due to the complex reaction mechanisms and operational barriers, more improvements are required to make it a commercial technology. This paper aims to review the development of hydrothermal carbonization with a focus on the practical aspects of the process. Many references have been reviewed critically to provide a well-structured source for improving this process. After providing information about the biomass structure and general knowledge of hydrothermal carbonization, the challenges faced in attempts to improve the process have been identified as lack of valid kinetic and heat transfer models and insufficient data on continuous and large-scale reactors. Useful and practical suggestions have been presented to tackle all these challenges.","author":[{"dropping-particle":"","family":"Heidari","given":"Mohammad","non-dropping-particle":"","parse-names":false,"suffix":""},{"dropping-particle":"","family":"Dutta","given":"Animesh","non-dropping-particle":"","parse-names":false,"suffix":""},{"dropping-particle":"","family":"Acharya","given":"Bishnu","non-dropping-particle":"","parse-names":false,"suffix":""},{"dropping-particle":"","family":"Mahmud","given":"Shohel","non-dropping-particle":"","parse-names":false,"suffix":""}],"container-title":"Journal of the Energy Institute","id":"ITEM-1","issue":"6","issued":{"date-parts":[["2019"]]},"page":"1779-1799","p</w:instrText>
      </w:r>
      <w:r w:rsidR="006911A5" w:rsidRPr="00E63679">
        <w:rPr>
          <w:lang w:val="pt-BR"/>
        </w:rPr>
        <w:instrText>ublisher":"Elsevier Ltd","title":"A review of the current knowledge and challenges of hydrothermal carbonization for biomass conversion","type":"article-journal","volume":"92"},"uris":["http://www.mendeley.com/documents/?uuid=88b9f39a-3464-4139-9ec7-0e4a50e5f9b9"]},{"id":"ITEM-2","itemData":{"DOI":"10.1016/j.molcata.2016.01.013","ISSN":"13811169","abstract":"This review focuses on the pivotal role of catalysis, both chemical and biological, in the development of sustainable technologies for the conversion of waste biomass to fuels, commodity chemicals and bio-based materials, such as bio-plastics, in a so-called bio-based, circular economy. Emphasis is placed on the catalytic conversion of second generation waste lignocellulosic biomass.","author":[{"dropping-particle":"","family":"Sheldon","given":"Roger A.","non-dropping-particle":"","parse-names":false,"suffix":""}],"container-title":"Journal of Molecular Catalysis A: Chemical","id":"ITEM-2","issued":{"date-parts":[["2016"]]},"page":"3-12","publisher":"Elsevier B.V.","title":"Green chemistry, catalysis and valorization of waste biomass","type":"article-journal","volume":"422"},"uris":["http://www.mendeley.com/documents/?uuid=bf1f2b4a-db35-42c3-b628-3c43ed58be4f"]}],"mendeley":{"formattedCitation":"[6,7]","manualFormatting":"(6,7","plainTextFormattedCitation":"[6,7]","previouslyFormattedCitation":"[6,7]"},"properties":{"noteIndex":0},"schema":"https://github.com/citation-style-language/schema/raw/master/csl-citation.json"}</w:instrText>
      </w:r>
      <w:r w:rsidRPr="000D7C61">
        <w:fldChar w:fldCharType="separate"/>
      </w:r>
      <w:r w:rsidR="006911A5">
        <w:rPr>
          <w:noProof/>
          <w:lang w:val="pt-BR"/>
        </w:rPr>
        <w:t>(</w:t>
      </w:r>
      <w:r w:rsidR="006911A5" w:rsidRPr="006911A5">
        <w:rPr>
          <w:noProof/>
          <w:lang w:val="pt-BR"/>
        </w:rPr>
        <w:t>6,7</w:t>
      </w:r>
      <w:r w:rsidRPr="000D7C61">
        <w:fldChar w:fldCharType="end"/>
      </w:r>
      <w:r w:rsidR="006911A5" w:rsidRPr="00E63679">
        <w:rPr>
          <w:lang w:val="pt-BR"/>
        </w:rPr>
        <w:t>)</w:t>
      </w:r>
      <w:r w:rsidRPr="005B7BEE">
        <w:rPr>
          <w:lang w:val="pt-BR"/>
        </w:rPr>
        <w:t xml:space="preserve">.  Dentre as vantagens desses catalisadores pode-se </w:t>
      </w:r>
      <w:r w:rsidR="005F1E4C" w:rsidRPr="005B7BEE">
        <w:rPr>
          <w:lang w:val="pt-BR"/>
        </w:rPr>
        <w:t>citar flexibilidade</w:t>
      </w:r>
      <w:r w:rsidRPr="005B7BEE">
        <w:rPr>
          <w:lang w:val="pt-BR"/>
        </w:rPr>
        <w:t xml:space="preserve"> na produção de estruturas porosas que permitem a incorporação de grupos ácidos ativos, o que os tornam </w:t>
      </w:r>
      <w:r w:rsidRPr="005B7BEE">
        <w:rPr>
          <w:lang w:val="pt-BR"/>
        </w:rPr>
        <w:lastRenderedPageBreak/>
        <w:t>promissores na atuação como catalisadores na conversão do limoneno.</w:t>
      </w:r>
    </w:p>
    <w:p w14:paraId="545B4D96" w14:textId="057EBF80" w:rsidR="00ED30BD" w:rsidRPr="000D7C61" w:rsidRDefault="00540428" w:rsidP="000D7C61">
      <w:pPr>
        <w:pStyle w:val="TAMainText"/>
        <w:rPr>
          <w:lang w:val="pt-BR"/>
        </w:rPr>
      </w:pPr>
      <w:r>
        <w:rPr>
          <w:lang w:val="pt-BR"/>
        </w:rPr>
        <w:t>O presente</w:t>
      </w:r>
      <w:r w:rsidRPr="005B7BEE">
        <w:rPr>
          <w:lang w:val="pt-BR"/>
        </w:rPr>
        <w:t xml:space="preserve"> </w:t>
      </w:r>
      <w:r w:rsidR="00ED30BD" w:rsidRPr="005B7BEE">
        <w:rPr>
          <w:lang w:val="pt-BR"/>
        </w:rPr>
        <w:t xml:space="preserve">trabalho </w:t>
      </w:r>
      <w:r w:rsidR="00B146E4" w:rsidRPr="005B7BEE">
        <w:rPr>
          <w:lang w:val="pt-BR"/>
        </w:rPr>
        <w:t>vis</w:t>
      </w:r>
      <w:r w:rsidR="00B146E4">
        <w:rPr>
          <w:lang w:val="pt-BR"/>
        </w:rPr>
        <w:t>ou</w:t>
      </w:r>
      <w:r w:rsidR="00B146E4" w:rsidRPr="005B7BEE">
        <w:rPr>
          <w:lang w:val="pt-BR"/>
        </w:rPr>
        <w:t xml:space="preserve"> </w:t>
      </w:r>
      <w:r w:rsidR="000D7C61" w:rsidRPr="005B7BEE">
        <w:rPr>
          <w:lang w:val="pt-BR"/>
        </w:rPr>
        <w:t>o desenvolvimento de carvões su</w:t>
      </w:r>
      <w:r w:rsidR="005B7BEE">
        <w:rPr>
          <w:lang w:val="pt-BR"/>
        </w:rPr>
        <w:t>l</w:t>
      </w:r>
      <w:r w:rsidR="000D7C61" w:rsidRPr="005B7BEE">
        <w:rPr>
          <w:lang w:val="pt-BR"/>
        </w:rPr>
        <w:t xml:space="preserve">fonados produzidos pela metodologia de carbonização e sulfonação in situ. </w:t>
      </w:r>
      <w:r w:rsidR="000D7C61" w:rsidRPr="000D7C61">
        <w:rPr>
          <w:lang w:val="pt-BR"/>
        </w:rPr>
        <w:t>Neste método, enquanto a biomassa está sendo carbonizada, grupos sulfônicos estão sendo inseridos em sua estrutura</w:t>
      </w:r>
      <w:r w:rsidR="006911A5">
        <w:rPr>
          <w:lang w:val="pt-BR"/>
        </w:rPr>
        <w:t xml:space="preserve"> </w:t>
      </w:r>
      <w:r w:rsidR="000D7C61" w:rsidRPr="000D7C61">
        <w:fldChar w:fldCharType="begin" w:fldLock="1"/>
      </w:r>
      <w:r w:rsidR="006911A5">
        <w:rPr>
          <w:lang w:val="pt-BR"/>
        </w:rPr>
        <w:instrText>ADDIN CSL_CITATION {"citationItems":[{"id":"ITEM-1","itemData":{"DOI":"10.1016/j.jclepro.2019.01.320","ISSN":"09596526","abstract":"Biomass based waste can generally be harmful if unused since it naturally decomposes and emits greenhouse gases. In addition, the disposal of these types of waste by burning usually produces carbon dioxide. Both the greenhouse gases and the carbon dioxide will in turn accumulate in the eco system and seriously impact the surrounding environment. Nevertheless, such types of waste can be beneficial if thermally treated in controlled procedures. In line with this trend, this study is directed toward the conversion of some types of solid waste into activated carbons. Different parameters namely; type of chemical activator, temperature and time of reaction as well as the rate of nitrogen gas flow, are studied during the production of activated carbons structures. Optimization of the most proper type of waste (among the tested samples) in producing activated carbon, based on the collected surface characteristics of Brinier–Emmett–Teller (BET) analysis, was determined at the first place. The texture, structural and thermal characteristics of the optimized activated carbon and its sub-driven acid sites (tri-fluoro methane sulfonic acid) attached structure were determined via the different tools of analysis. In practical, X-ray diffraction (XRD), Fourier Transform Infrared (FT-IR), transmission electron microscopy (TEM) and Thermal Gravimetric Analysis (TGA) were utilized during the characterization of both blank and functionalized activated carbons. These two structures were then applied as catalysts for the production of bio-fuel start material (glucose) from waste cellulose. Comparable conversion rates, came up to 56%, could be attained by the utilized catalysts in this study with a promising selectivity towards the glucose production.","author":[{"dropping-particle":"","family":"Saied","given":"Mohamed","non-dropping-particle":"El","parse-names":false,"suffix":""},{"dropping-particle":"","family":"Naggar","given":"Ahmed M.A.","non-dropping-particle":"El","parse-names":false,"suffix":""},{"dropping-particle":"","family":"Elhosiny","given":"F. I.","non-dropping-particle":"","parse-names":false,"suffix":""},{"dropping-particle":"","family":"kady","given":"Fathy Y.","non-dropping-particle":"El","parse-names":false,"suffix":""}],"container-title":"Journal of Cleaner Production","id":"ITEM-1","issued":{"date-parts":[["2019"]]},"page":"157-166","publisher":"Elsevier Ltd","title":"A comprehensive investigation on biomass solid waste conversion to a novel catalyst for hydrothermal production of bio-fuel feedstock","type":"article-journal","volume":"218"},"uris":["http://www.mendeley.com/documents/?uuid=0102ee4a-223d-4ab6-9586-e0d6e7eb0471"]},{"id":"ITEM-2","itemData":{"DOI":"10.1016/j.biombioe.2020.105479","ISSN":"18732909","abstract":"Hydrothermal carbonization (HTC) as a promising thermochemical process can convert organic solid wastes (e.g., biomass, plastics) into valuable products (i.e., hydrochar) at relatively low temperatures (180–250 °C) and saturated pressures (2–10 MPa). Hydrothermal conversion generally occurs via dehydration, polymerization and finally carbonization reactions. The carbon materials derived from hydrochar have high potential in various applications such as solid fuel, supercapacitor, fuel cell, and sorbent. Although the energy densification of hydrochar was increased at higher temperatures, most of the benefit was achieved at modest temperatures. Chemical structures of hydrochars include crosslinks of aromatic polymer, surface porosity, organic functional groups and ultimate components. All of these characteristics can be changed significantly by HTC, influencing the reactivity and fuel properties of hydrochars. The reaction pathways including negative and positive effects during (co)-HTC of biomass and plastic wastes are thoroughly concluded. In particular, the co-HTC of chlorinated plastic (e.g., PVC) and biomass can enhance the dechlorination and inorganics removal from hydrochar.","author":[{"dropping-particle":"","family":"Shen","given":"Yafei","non-dropping-particle":"","parse-names":false,"suffix":""}],"container-title":"Biomass and Bioenergy","id":"ITEM-2","issue":"January","issued":{"date-parts":[["2020"]]},"page":"105479","publisher":"Elsevier Ltd","title":"A review on hydrothermal carbonization of biomass and plastic wastes to energy products","type":"article-journal","volume":"134"},"uris":["http://www.mendeley.com/documents/?uuid=88ffd4eb-7061-4ba9-9a2e-62826e978099"]}],"mendeley":{"formattedCitation":"[8,9]","manualFormatting":"(8,9","plainTextFormattedCitation":"[8,9]","previouslyFormattedCitation":"[8,9]"},"properties":{"noteIndex":0},"schema":"https://github.com/citation-style-language/schema/raw/master/csl-citation.json"}</w:instrText>
      </w:r>
      <w:r w:rsidR="000D7C61" w:rsidRPr="000D7C61">
        <w:fldChar w:fldCharType="separate"/>
      </w:r>
      <w:r w:rsidR="006911A5">
        <w:rPr>
          <w:noProof/>
          <w:lang w:val="pt-BR"/>
        </w:rPr>
        <w:t>(</w:t>
      </w:r>
      <w:r w:rsidR="006911A5" w:rsidRPr="006911A5">
        <w:rPr>
          <w:noProof/>
          <w:lang w:val="pt-BR"/>
        </w:rPr>
        <w:t>8,9</w:t>
      </w:r>
      <w:r w:rsidR="000D7C61" w:rsidRPr="000D7C61">
        <w:fldChar w:fldCharType="end"/>
      </w:r>
      <w:r w:rsidR="006911A5" w:rsidRPr="00E63679">
        <w:rPr>
          <w:lang w:val="pt-BR"/>
        </w:rPr>
        <w:t>)</w:t>
      </w:r>
      <w:r w:rsidR="000D7C61" w:rsidRPr="000D7C61">
        <w:rPr>
          <w:lang w:val="pt-BR"/>
        </w:rPr>
        <w:t>. Para isso, utilizou-se a ferramenta de estatística de Delineamento Composto Central Rotacional para otimizar as condições de síntese na obtenção do carvão sulfonado.</w:t>
      </w:r>
      <w:r w:rsidR="00705D97">
        <w:rPr>
          <w:lang w:val="pt-BR"/>
        </w:rPr>
        <w:t xml:space="preserve"> </w:t>
      </w:r>
      <w:r w:rsidR="000D7C61">
        <w:rPr>
          <w:lang w:val="pt-BR"/>
        </w:rPr>
        <w:t>Ao final do estudo, os carvões sulfonados foram aplicados na isomerização do limoneno para avaliar a obtenção d</w:t>
      </w:r>
      <w:r>
        <w:rPr>
          <w:lang w:val="pt-BR"/>
        </w:rPr>
        <w:t>e</w:t>
      </w:r>
      <w:r w:rsidR="000D7C61">
        <w:rPr>
          <w:lang w:val="pt-BR"/>
        </w:rPr>
        <w:t xml:space="preserve"> produtos </w:t>
      </w:r>
      <w:r>
        <w:rPr>
          <w:lang w:val="pt-BR"/>
        </w:rPr>
        <w:t xml:space="preserve">com </w:t>
      </w:r>
      <w:r w:rsidR="000D7C61">
        <w:rPr>
          <w:lang w:val="pt-BR"/>
        </w:rPr>
        <w:t>alto valor agregado</w:t>
      </w:r>
      <w:r>
        <w:rPr>
          <w:lang w:val="pt-BR"/>
        </w:rPr>
        <w:t>,</w:t>
      </w:r>
      <w:r w:rsidR="000D7C61">
        <w:rPr>
          <w:lang w:val="pt-BR"/>
        </w:rPr>
        <w:t xml:space="preserve"> importante</w:t>
      </w:r>
      <w:r>
        <w:rPr>
          <w:lang w:val="pt-BR"/>
        </w:rPr>
        <w:t>s</w:t>
      </w:r>
      <w:r w:rsidR="000D7C61">
        <w:rPr>
          <w:lang w:val="pt-BR"/>
        </w:rPr>
        <w:t xml:space="preserve"> para a indústria química.</w:t>
      </w:r>
    </w:p>
    <w:p w14:paraId="6DB850C6" w14:textId="752A7E47" w:rsidR="00EA4E1B" w:rsidRPr="005D47BE" w:rsidRDefault="00ED30BD" w:rsidP="00ED30BD">
      <w:pPr>
        <w:pStyle w:val="TAMainText"/>
        <w:ind w:firstLine="0"/>
        <w:rPr>
          <w:rFonts w:ascii="Times New Roman" w:hAnsi="Times New Roman"/>
          <w:lang w:val="pt-BR"/>
        </w:rPr>
      </w:pPr>
      <w:r>
        <w:rPr>
          <w:rFonts w:ascii="Times New Roman" w:hAnsi="Times New Roman"/>
          <w:lang w:val="pt-BR"/>
        </w:rPr>
        <w:tab/>
      </w:r>
    </w:p>
    <w:p w14:paraId="3BD5AEA7" w14:textId="54EE8BEA" w:rsidR="005D47BE" w:rsidRPr="00804B84" w:rsidRDefault="00EA4E1B" w:rsidP="00804B84">
      <w:pPr>
        <w:pStyle w:val="Ttulo2"/>
        <w:rPr>
          <w:rFonts w:ascii="Helvetica" w:hAnsi="Helvetica" w:cs="Helvetica"/>
          <w:sz w:val="24"/>
          <w:szCs w:val="24"/>
        </w:rPr>
      </w:pPr>
      <w:r w:rsidRPr="005D47BE">
        <w:rPr>
          <w:rFonts w:ascii="Helvetica" w:hAnsi="Helvetica" w:cs="Helvetica"/>
          <w:sz w:val="24"/>
          <w:szCs w:val="24"/>
        </w:rPr>
        <w:t>Experimental</w:t>
      </w:r>
    </w:p>
    <w:p w14:paraId="54F50197" w14:textId="0F9A1649" w:rsidR="005D47BE" w:rsidRPr="005D47BE" w:rsidRDefault="005D47BE" w:rsidP="005D47BE">
      <w:pPr>
        <w:rPr>
          <w:rFonts w:ascii="Times New Roman" w:eastAsia="Times New Roman" w:hAnsi="Times New Roman" w:cs="Times New Roman"/>
          <w:i/>
          <w:iCs/>
          <w:sz w:val="20"/>
          <w:szCs w:val="20"/>
        </w:rPr>
      </w:pPr>
      <w:r w:rsidRPr="005D47BE">
        <w:rPr>
          <w:rFonts w:ascii="Times New Roman" w:eastAsia="Times New Roman" w:hAnsi="Times New Roman" w:cs="Times New Roman"/>
          <w:i/>
          <w:iCs/>
          <w:sz w:val="20"/>
          <w:szCs w:val="20"/>
        </w:rPr>
        <w:t>Preparação dos carvões sulfonados</w:t>
      </w:r>
    </w:p>
    <w:p w14:paraId="639C9B23" w14:textId="31481135" w:rsidR="005D47BE" w:rsidRPr="00AB0CF4" w:rsidRDefault="005D47BE" w:rsidP="001006D0">
      <w:pPr>
        <w:pStyle w:val="TAMainText"/>
        <w:rPr>
          <w:lang w:val="pt-BR"/>
        </w:rPr>
      </w:pPr>
      <w:r w:rsidRPr="00AB0CF4">
        <w:rPr>
          <w:lang w:val="pt-BR"/>
        </w:rPr>
        <w:t xml:space="preserve">Os carvões sulfonados foram sintetizados pelo método de carbonização e sulfonação </w:t>
      </w:r>
      <w:r w:rsidRPr="00AB0CF4">
        <w:rPr>
          <w:i/>
          <w:iCs/>
          <w:lang w:val="pt-BR"/>
        </w:rPr>
        <w:t>in situ</w:t>
      </w:r>
      <w:r w:rsidRPr="00AB0CF4">
        <w:rPr>
          <w:lang w:val="pt-BR"/>
        </w:rPr>
        <w:t xml:space="preserve">. O precursor utilizado para a preparação desses materiais foi a glicose. Assim, primeiramente, o precursor foi carbonizado e sulfonado em uma autoclave de aço inoxidável revestida de teflon (80 </w:t>
      </w:r>
      <w:proofErr w:type="spellStart"/>
      <w:r w:rsidRPr="00AB0CF4">
        <w:rPr>
          <w:lang w:val="pt-BR"/>
        </w:rPr>
        <w:t>mL</w:t>
      </w:r>
      <w:proofErr w:type="spellEnd"/>
      <w:r w:rsidRPr="00AB0CF4">
        <w:rPr>
          <w:lang w:val="pt-BR"/>
        </w:rPr>
        <w:t>) com a massa necessária de H</w:t>
      </w:r>
      <w:r w:rsidRPr="00AB0CF4">
        <w:rPr>
          <w:vertAlign w:val="subscript"/>
          <w:lang w:val="pt-BR"/>
        </w:rPr>
        <w:t>2</w:t>
      </w:r>
      <w:r w:rsidRPr="00AB0CF4">
        <w:rPr>
          <w:lang w:val="pt-BR"/>
        </w:rPr>
        <w:t>SO</w:t>
      </w:r>
      <w:r w:rsidRPr="00AB0CF4">
        <w:rPr>
          <w:vertAlign w:val="subscript"/>
          <w:lang w:val="pt-BR"/>
        </w:rPr>
        <w:t>4</w:t>
      </w:r>
      <w:r w:rsidRPr="00AB0CF4">
        <w:rPr>
          <w:lang w:val="pt-BR"/>
        </w:rPr>
        <w:t xml:space="preserve">. </w:t>
      </w:r>
      <w:r w:rsidR="00540428" w:rsidRPr="00AB0CF4">
        <w:rPr>
          <w:lang w:val="pt-BR"/>
        </w:rPr>
        <w:t>O</w:t>
      </w:r>
      <w:r w:rsidRPr="00AB0CF4">
        <w:rPr>
          <w:lang w:val="pt-BR"/>
        </w:rPr>
        <w:t xml:space="preserve"> sistema foi </w:t>
      </w:r>
      <w:r w:rsidR="00540428" w:rsidRPr="00AB0CF4">
        <w:rPr>
          <w:lang w:val="pt-BR"/>
        </w:rPr>
        <w:t xml:space="preserve">então </w:t>
      </w:r>
      <w:r w:rsidRPr="00AB0CF4">
        <w:rPr>
          <w:lang w:val="pt-BR"/>
        </w:rPr>
        <w:t>aquecido à temperatura desejada em banho termostático por 6</w:t>
      </w:r>
      <w:r w:rsidR="00540428" w:rsidRPr="00AB0CF4">
        <w:rPr>
          <w:lang w:val="pt-BR"/>
        </w:rPr>
        <w:t xml:space="preserve"> </w:t>
      </w:r>
      <w:r w:rsidRPr="00AB0CF4">
        <w:rPr>
          <w:lang w:val="pt-BR"/>
        </w:rPr>
        <w:t>h. Em seguida, o material obtido foi lavado com água destilada para retirada dos íons sulfato livre</w:t>
      </w:r>
      <w:r w:rsidR="00540428" w:rsidRPr="00AB0CF4">
        <w:rPr>
          <w:lang w:val="pt-BR"/>
        </w:rPr>
        <w:t>s</w:t>
      </w:r>
      <w:r w:rsidRPr="00AB0CF4">
        <w:rPr>
          <w:lang w:val="pt-BR"/>
        </w:rPr>
        <w:t xml:space="preserve"> e com acetona (em sistema </w:t>
      </w:r>
      <w:proofErr w:type="spellStart"/>
      <w:r w:rsidRPr="00AB0CF4">
        <w:rPr>
          <w:lang w:val="pt-BR"/>
        </w:rPr>
        <w:t>Soxhlet</w:t>
      </w:r>
      <w:proofErr w:type="spellEnd"/>
      <w:r w:rsidRPr="00AB0CF4">
        <w:rPr>
          <w:lang w:val="pt-BR"/>
        </w:rPr>
        <w:t xml:space="preserve">) para retirada da matéria orgânica </w:t>
      </w:r>
      <w:r w:rsidR="00540428" w:rsidRPr="00AB0CF4">
        <w:rPr>
          <w:lang w:val="pt-BR"/>
        </w:rPr>
        <w:t xml:space="preserve">não carbonizada </w:t>
      </w:r>
      <w:r w:rsidRPr="00AB0CF4">
        <w:rPr>
          <w:lang w:val="pt-BR"/>
        </w:rPr>
        <w:t>remanescente. Por fim, o material obtido foi seco a 60ºC e reservado para utilização posterior.</w:t>
      </w:r>
    </w:p>
    <w:p w14:paraId="7D95C055" w14:textId="402B43FA" w:rsidR="001006D0" w:rsidRPr="00AB0CF4" w:rsidRDefault="005D47BE" w:rsidP="001006D0">
      <w:pPr>
        <w:pStyle w:val="TAMainText"/>
        <w:rPr>
          <w:lang w:val="pt-BR"/>
        </w:rPr>
      </w:pPr>
      <w:r w:rsidRPr="00AB0CF4">
        <w:rPr>
          <w:lang w:val="pt-BR"/>
        </w:rPr>
        <w:t xml:space="preserve">Para avaliar </w:t>
      </w:r>
      <w:r w:rsidR="00403E70" w:rsidRPr="00AB0CF4">
        <w:rPr>
          <w:lang w:val="pt-BR"/>
        </w:rPr>
        <w:t>como a</w:t>
      </w:r>
      <w:r w:rsidR="00B77D87" w:rsidRPr="00AB0CF4">
        <w:rPr>
          <w:lang w:val="pt-BR"/>
        </w:rPr>
        <w:t xml:space="preserve"> relação mássica</w:t>
      </w:r>
      <w:r w:rsidRPr="00AB0CF4">
        <w:rPr>
          <w:lang w:val="pt-BR"/>
        </w:rPr>
        <w:t xml:space="preserve"> H</w:t>
      </w:r>
      <w:r w:rsidRPr="00AB0CF4">
        <w:rPr>
          <w:vertAlign w:val="subscript"/>
          <w:lang w:val="pt-BR"/>
        </w:rPr>
        <w:t>2</w:t>
      </w:r>
      <w:r w:rsidRPr="00AB0CF4">
        <w:rPr>
          <w:lang w:val="pt-BR"/>
        </w:rPr>
        <w:t>SO</w:t>
      </w:r>
      <w:proofErr w:type="gramStart"/>
      <w:r w:rsidRPr="00AB0CF4">
        <w:rPr>
          <w:vertAlign w:val="subscript"/>
          <w:lang w:val="pt-BR"/>
        </w:rPr>
        <w:t>4</w:t>
      </w:r>
      <w:r w:rsidRPr="00AB0CF4">
        <w:rPr>
          <w:lang w:val="pt-BR"/>
        </w:rPr>
        <w:t xml:space="preserve"> </w:t>
      </w:r>
      <w:r w:rsidR="00B77D87" w:rsidRPr="00AB0CF4">
        <w:rPr>
          <w:lang w:val="pt-BR"/>
        </w:rPr>
        <w:t>:</w:t>
      </w:r>
      <w:proofErr w:type="gramEnd"/>
      <w:r w:rsidRPr="00AB0CF4">
        <w:rPr>
          <w:lang w:val="pt-BR"/>
        </w:rPr>
        <w:t xml:space="preserve"> glicose e a temperatura </w:t>
      </w:r>
      <w:r w:rsidR="00B77D87" w:rsidRPr="00AB0CF4">
        <w:rPr>
          <w:lang w:val="pt-BR"/>
        </w:rPr>
        <w:t>de carbonização</w:t>
      </w:r>
      <w:r w:rsidRPr="00AB0CF4">
        <w:rPr>
          <w:lang w:val="pt-BR"/>
        </w:rPr>
        <w:t xml:space="preserve"> poderiam influenciar na atividade do catalisador, foi aplicado o modelo </w:t>
      </w:r>
      <w:bookmarkStart w:id="3" w:name="OLE_LINK1"/>
      <w:r w:rsidR="00F96B32" w:rsidRPr="00AB0CF4">
        <w:rPr>
          <w:lang w:val="pt-BR"/>
        </w:rPr>
        <w:t xml:space="preserve">Delineamento Composto Central Rotacional </w:t>
      </w:r>
      <w:r w:rsidRPr="00AB0CF4">
        <w:rPr>
          <w:lang w:val="pt-BR"/>
        </w:rPr>
        <w:t>(DCCR</w:t>
      </w:r>
      <w:bookmarkEnd w:id="3"/>
      <w:r w:rsidRPr="00AB0CF4">
        <w:rPr>
          <w:lang w:val="pt-BR"/>
        </w:rPr>
        <w:t>) para estas duas variáveis. Os níveis do DCCR de cada variável foram codificados como -</w:t>
      </w:r>
      <w:r w:rsidRPr="005D47BE">
        <w:t>α</w:t>
      </w:r>
      <w:r w:rsidRPr="00AB0CF4">
        <w:rPr>
          <w:lang w:val="pt-BR"/>
        </w:rPr>
        <w:t>, -1, 0, +1 e +</w:t>
      </w:r>
      <w:r w:rsidRPr="005D47BE">
        <w:t>α</w:t>
      </w:r>
      <w:r w:rsidRPr="00AB0CF4">
        <w:rPr>
          <w:lang w:val="pt-BR"/>
        </w:rPr>
        <w:t>. Assim, a massa de H</w:t>
      </w:r>
      <w:r w:rsidRPr="00AB0CF4">
        <w:rPr>
          <w:vertAlign w:val="subscript"/>
          <w:lang w:val="pt-BR"/>
        </w:rPr>
        <w:t>2</w:t>
      </w:r>
      <w:r w:rsidRPr="00AB0CF4">
        <w:rPr>
          <w:lang w:val="pt-BR"/>
        </w:rPr>
        <w:t>SO</w:t>
      </w:r>
      <w:r w:rsidRPr="00AB0CF4">
        <w:rPr>
          <w:vertAlign w:val="subscript"/>
          <w:lang w:val="pt-BR"/>
        </w:rPr>
        <w:t>4</w:t>
      </w:r>
      <w:r w:rsidRPr="00AB0CF4">
        <w:rPr>
          <w:lang w:val="pt-BR"/>
        </w:rPr>
        <w:t xml:space="preserve"> (g) variou na faixa entre 0,5 e 3 g</w:t>
      </w:r>
      <w:r w:rsidR="00B77D87" w:rsidRPr="00AB0CF4">
        <w:rPr>
          <w:lang w:val="pt-BR"/>
        </w:rPr>
        <w:t xml:space="preserve"> (mantendo-se a massa de glicose fixa em 1 g)</w:t>
      </w:r>
      <w:r w:rsidRPr="00AB0CF4">
        <w:rPr>
          <w:lang w:val="pt-BR"/>
        </w:rPr>
        <w:t xml:space="preserve">, </w:t>
      </w:r>
      <w:r w:rsidR="00B77D87" w:rsidRPr="00AB0CF4">
        <w:rPr>
          <w:lang w:val="pt-BR"/>
        </w:rPr>
        <w:t xml:space="preserve">e </w:t>
      </w:r>
      <w:r w:rsidRPr="00AB0CF4">
        <w:rPr>
          <w:lang w:val="pt-BR"/>
        </w:rPr>
        <w:t>a temperatura, na faixa entre 80 e 200 ºC (Tabela 1).</w:t>
      </w:r>
      <w:r w:rsidR="001006D0" w:rsidRPr="00AB0CF4">
        <w:rPr>
          <w:lang w:val="pt-BR"/>
        </w:rPr>
        <w:t xml:space="preserve"> O sistema foi modelado por equações polinomiais para correlacionar a variável resposta com as variáveis independentes. Para avaliar a qualidade deste modelo, foram aplicados: o coeficiente de determinação R</w:t>
      </w:r>
      <w:r w:rsidR="001006D0" w:rsidRPr="00AB0CF4">
        <w:rPr>
          <w:vertAlign w:val="superscript"/>
          <w:lang w:val="pt-BR"/>
        </w:rPr>
        <w:t>2</w:t>
      </w:r>
      <w:r w:rsidR="001006D0" w:rsidRPr="00AB0CF4">
        <w:rPr>
          <w:lang w:val="pt-BR"/>
        </w:rPr>
        <w:t xml:space="preserve"> (para verificar a interação entre a resposta e os fatores selecionados), a significância estatística por análise de variância (ANOVA), a falta de ajuste do modelo (incluindo termos significativos e os termos deixados para manter a hierarquia), e o teste de valor F e p.</w:t>
      </w:r>
    </w:p>
    <w:p w14:paraId="2B5EA7E6" w14:textId="026E85C0" w:rsidR="001006D0" w:rsidRPr="00AB0CF4" w:rsidRDefault="001006D0" w:rsidP="001006D0">
      <w:pPr>
        <w:pStyle w:val="TAMainText"/>
        <w:rPr>
          <w:b/>
          <w:bCs/>
          <w:color w:val="000000"/>
          <w:lang w:val="pt-BR"/>
        </w:rPr>
      </w:pPr>
      <w:r w:rsidRPr="00AB0CF4">
        <w:rPr>
          <w:rFonts w:ascii="Times New Roman" w:hAnsi="Times New Roman"/>
          <w:lang w:val="pt-BR"/>
        </w:rPr>
        <w:t xml:space="preserve">Para elucidar as características físico-químicas, foram utilizadas as técnicas Espectroscopia no IV com Transformada de Fourier (FTIR) e </w:t>
      </w:r>
      <w:r w:rsidRPr="00AB0CF4">
        <w:rPr>
          <w:rFonts w:ascii="Times New Roman" w:hAnsi="Times New Roman"/>
          <w:position w:val="1"/>
          <w:lang w:val="pt-BR"/>
        </w:rPr>
        <w:t xml:space="preserve">Titulações de Boehm </w:t>
      </w:r>
      <w:r w:rsidRPr="005D47BE">
        <w:fldChar w:fldCharType="begin" w:fldLock="1"/>
      </w:r>
      <w:r w:rsidRPr="00AB0CF4">
        <w:rPr>
          <w:lang w:val="pt-BR"/>
        </w:rPr>
        <w:instrText>ADDIN CSL_CITATION {"citationItems":[{"id":"ITEM-1","itemData":{"DOI":"10.1016/S0008-6223(01)00165-8","ISBN":"1498921807492","ISSN":"00086223","PMID":"17106722","abstract":"The methods for the determination of various types of oxygen surface functions on carbon materials are briefly described, and their relative advantages and problems that may arise are discussed. Acidimetric titration techniques, IR spectroscopy, XPS, thermal desorption spectroscopy, and electrokinetic measurements are described.","author":[{"dropping-particle":"","family":"Böhm","given":"Hanns Peter","non-dropping-particle":"","parse-names":false,"suffix":""}],"container-title":"Carbon","id":"ITEM-1","issue":"2","issued":{"date-parts":[["2002"]]},"page":"145-149","title":"Surface oxides on carbon and their analysis: A critical assessment","type":"article-journal","volume":"40"},"uris":["http://www.mendeley.com/documents/?uuid=de67b736-3b53-4bae-bf33-ad767b14eea4"]}],"mendeley":{"formattedCitation":"[10]","plainTextFormattedCitation":"[10]","previouslyFormattedCitation":"[10]"},"properties":{"noteIndex":0},"schema":"https://github.com/citation-style-language/schema/raw/master/csl-citation.json"}</w:instrText>
      </w:r>
      <w:r w:rsidRPr="005D47BE">
        <w:fldChar w:fldCharType="separate"/>
      </w:r>
      <w:r w:rsidRPr="00AB0CF4">
        <w:rPr>
          <w:noProof/>
          <w:lang w:val="pt-BR"/>
        </w:rPr>
        <w:t>[10]</w:t>
      </w:r>
      <w:r w:rsidRPr="005D47BE">
        <w:fldChar w:fldCharType="end"/>
      </w:r>
      <w:r w:rsidRPr="00AB0CF4">
        <w:rPr>
          <w:lang w:val="pt-BR"/>
        </w:rPr>
        <w:t xml:space="preserve">. </w:t>
      </w:r>
      <w:r w:rsidRPr="00AB0CF4">
        <w:rPr>
          <w:color w:val="000000"/>
          <w:lang w:val="pt-BR"/>
        </w:rPr>
        <w:t xml:space="preserve">Os testes catalíticos com os carvões sulfonados foram realizados em aquecimento convencional equipado com sistema de refluxo e sob agitação magnética. </w:t>
      </w:r>
      <w:r w:rsidRPr="00745924">
        <w:rPr>
          <w:color w:val="000000"/>
          <w:lang w:val="pt-BR"/>
        </w:rPr>
        <w:t xml:space="preserve">As condições utilizadas foram as mesmas otimizadas por </w:t>
      </w:r>
      <w:proofErr w:type="spellStart"/>
      <w:r w:rsidRPr="00745924">
        <w:rPr>
          <w:color w:val="000000"/>
          <w:lang w:val="pt-BR"/>
        </w:rPr>
        <w:t>Retajczyk</w:t>
      </w:r>
      <w:proofErr w:type="spellEnd"/>
      <w:r w:rsidRPr="00745924">
        <w:rPr>
          <w:color w:val="000000"/>
          <w:lang w:val="pt-BR"/>
        </w:rPr>
        <w:t xml:space="preserve"> e </w:t>
      </w:r>
      <w:r w:rsidRPr="00745924">
        <w:rPr>
          <w:color w:val="000000"/>
          <w:lang w:val="pt-BR"/>
        </w:rPr>
        <w:t xml:space="preserve">colaboradores  </w:t>
      </w:r>
      <w:r w:rsidRPr="005D47BE">
        <w:rPr>
          <w:color w:val="000000"/>
        </w:rPr>
        <w:fldChar w:fldCharType="begin" w:fldLock="1"/>
      </w:r>
      <w:r w:rsidR="00745924">
        <w:rPr>
          <w:color w:val="000000"/>
          <w:lang w:val="pt-BR"/>
        </w:rPr>
        <w:instrText>ADDIN CSL_CITATION {"citationItems":[{"id":"ITEM-1","itemData":{"DOI":"10.3390/catal10121452","ISSN":"20734344","abstract":"This work presents studies on the activity of the Ti-SBA-16 (SBA—Santa Barbara Amorphous) catalyst in the isomerization of limonene and S-carvone. The Ti-SBA-16 catalyst was synthesized by a two-step method: first, the SBA-16 material was produced, and then it was impregnated with the titanium source. The Ti-SBA-16 catalyst was subjected to detailed characterizations by means of instrumental methods: XRD (X-ray Diffraction), UV-Vis (Ultraviolet–Visible) spectroscopy, FTIR (Fourier-Transform Infrared) spectroscopy, SEM (Scanning Electron Microscopy) with EDX (Energy Dispersive X-ray) spectroscopy, and EDXRF (Energy Dispersive X-ray Fluorescence). Both limonene and S-carvone underwent isomerization over the Ti-SBA-16 catalyst. In the isomerization of limonene, the main product was terpinolene, and its highest yield amounted to 39 mol% after 300 min at 170◦C with a catalyst content of 15 wt%. Under these conditions, the conversion of limonene reached 78 mol%. In contrast, the highest yield of carvacrol (65 mol%) was obtained with the catalyst content of 15 wt%, at 200◦C, and with the conversion of S-carvone reaching 79 mol%.","author":[{"dropping-particle":"","family":"Retajczyk","given":"Monika","non-dropping-particle":"","parse-names":false,"suffix":""},{"dropping-particle":"","family":"Wróblewska","given":"Agnieszka","non-dropping-particle":"","parse-names":false,"suffix":""},{"dropping-particle":"","family":"Koren","given":"Zvi C.","non-dropping-particle":"","parse-names":false,"suffix":""},{"dropping-particle":"","family":"Michalkiewicz","given":"Beata","non-dropping-particle":"","parse-names":false,"suffix":""},{"dropping-particle":"","family":"Szymańska","given":"Alicja","non-dropping-particle":"","parse-names":false,"suffix":""},{"dropping-particle":"","family":"Miadlicki","given":"Piotr","non-dropping-particle":"","parse-names":false,"suffix":""}],"container-title":"Catalysts","id":"ITEM-1","issue":"12","issued":{"date-parts":[["2020"]]},"page":"1-17","title":"Synthesis, characterization, and catalytic applications of the ti-sba-16 porous material in the selective and green isomerizations of limonene and s-carvone","type":"article-journal","volume":"10"},"uris":["http://www.mendeley.com/documents/?uuid=0209914c-3e9b-4dcf-ae3e-299fb533c17e"]}],"mendeley":{"formattedCitation":"[11]","manualFormatting":"(2)","plainTextFormattedCitation":"[11]","previouslyFormattedCitation":"[11]"},"properties":{"noteIndex":0},"schema":"https://github.com/citation-style-language/schema/raw/master/csl-citation.json"}</w:instrText>
      </w:r>
      <w:r w:rsidRPr="005D47BE">
        <w:rPr>
          <w:color w:val="000000"/>
        </w:rPr>
        <w:fldChar w:fldCharType="separate"/>
      </w:r>
      <w:r w:rsidRPr="00745924">
        <w:rPr>
          <w:noProof/>
          <w:color w:val="000000"/>
          <w:lang w:val="pt-BR"/>
        </w:rPr>
        <w:t>(</w:t>
      </w:r>
      <w:r w:rsidR="00745924">
        <w:rPr>
          <w:noProof/>
          <w:color w:val="000000"/>
          <w:lang w:val="pt-BR"/>
        </w:rPr>
        <w:t>2</w:t>
      </w:r>
      <w:r w:rsidRPr="00745924">
        <w:rPr>
          <w:noProof/>
          <w:color w:val="000000"/>
          <w:lang w:val="pt-BR"/>
        </w:rPr>
        <w:t>)</w:t>
      </w:r>
      <w:r w:rsidRPr="005D47BE">
        <w:rPr>
          <w:color w:val="000000"/>
        </w:rPr>
        <w:fldChar w:fldCharType="end"/>
      </w:r>
      <w:r w:rsidRPr="00745924">
        <w:rPr>
          <w:color w:val="000000"/>
          <w:lang w:val="pt-BR"/>
        </w:rPr>
        <w:t xml:space="preserve">: temperatura de 150 ºC, 5 </w:t>
      </w:r>
      <w:proofErr w:type="spellStart"/>
      <w:r w:rsidRPr="00745924">
        <w:rPr>
          <w:color w:val="000000"/>
          <w:lang w:val="pt-BR"/>
        </w:rPr>
        <w:t>mL</w:t>
      </w:r>
      <w:proofErr w:type="spellEnd"/>
      <w:r w:rsidRPr="00745924">
        <w:rPr>
          <w:color w:val="000000"/>
          <w:lang w:val="pt-BR"/>
        </w:rPr>
        <w:t xml:space="preserve"> de limoneno e 15% de catalisador (em relação a massa inicial de limoneno). </w:t>
      </w:r>
      <w:r w:rsidRPr="00AB0CF4">
        <w:rPr>
          <w:color w:val="000000"/>
          <w:lang w:val="pt-BR"/>
        </w:rPr>
        <w:t xml:space="preserve">Alíquotas foram retiradas no início da reação e em 15, 30, 60, 120 e 240 min. Os produtos foram identificados em </w:t>
      </w:r>
      <w:r w:rsidRPr="00AB0CF4">
        <w:rPr>
          <w:lang w:val="pt-BR"/>
        </w:rPr>
        <w:t>um cromatógrafo a gás equipado com uma coluna apolar (HB-5 30m x 0,25mm x 0,25</w:t>
      </w:r>
      <w:r w:rsidRPr="00AB0CF4">
        <w:rPr>
          <w:color w:val="202020"/>
          <w:shd w:val="clear" w:color="auto" w:fill="FFFFFF"/>
          <w:lang w:val="pt-BR"/>
        </w:rPr>
        <w:t>µm) e um detector FID. Decano foi utilizado como padrão externo.</w:t>
      </w:r>
    </w:p>
    <w:p w14:paraId="1A9288BA" w14:textId="77777777" w:rsidR="00F96B32" w:rsidRDefault="00F96B32" w:rsidP="00F96B32">
      <w:pPr>
        <w:spacing w:after="0"/>
        <w:jc w:val="both"/>
        <w:rPr>
          <w:rFonts w:ascii="Times New Roman" w:hAnsi="Times New Roman" w:cs="Times New Roman"/>
          <w:sz w:val="20"/>
          <w:szCs w:val="20"/>
        </w:rPr>
      </w:pPr>
    </w:p>
    <w:p w14:paraId="67B2990F" w14:textId="0017362E" w:rsidR="009A2084" w:rsidRDefault="009A2084" w:rsidP="009A2084">
      <w:pPr>
        <w:pStyle w:val="VDTableTitle"/>
        <w:rPr>
          <w:i/>
          <w:iCs/>
          <w:lang w:val="pt-BR"/>
        </w:rPr>
      </w:pPr>
      <w:r w:rsidRPr="009A2084">
        <w:rPr>
          <w:b/>
          <w:bCs/>
          <w:lang w:val="pt-BR"/>
        </w:rPr>
        <w:t xml:space="preserve">Tabela 2. </w:t>
      </w:r>
      <w:r w:rsidRPr="009A2084">
        <w:rPr>
          <w:lang w:val="pt-BR"/>
        </w:rPr>
        <w:t xml:space="preserve">Ensaios experimentais obtidos via DCCR com valores codificados e reais para aplicação no método de carbonização e sulfonação </w:t>
      </w:r>
      <w:r w:rsidRPr="009A2084">
        <w:rPr>
          <w:i/>
          <w:iCs/>
          <w:lang w:val="pt-BR"/>
        </w:rPr>
        <w:t>in situ</w:t>
      </w:r>
    </w:p>
    <w:tbl>
      <w:tblPr>
        <w:tblpPr w:leftFromText="141" w:rightFromText="141" w:vertAnchor="text" w:tblpXSpec="center" w:tblpY="1"/>
        <w:tblOverlap w:val="never"/>
        <w:tblW w:w="4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6"/>
        <w:gridCol w:w="937"/>
        <w:gridCol w:w="940"/>
        <w:gridCol w:w="765"/>
        <w:gridCol w:w="1311"/>
      </w:tblGrid>
      <w:tr w:rsidR="00C20D61" w:rsidRPr="00F73393" w14:paraId="49DB90D5" w14:textId="77777777" w:rsidTr="00F50BEC">
        <w:trPr>
          <w:trHeight w:val="231"/>
        </w:trPr>
        <w:tc>
          <w:tcPr>
            <w:tcW w:w="776" w:type="dxa"/>
            <w:vMerge w:val="restart"/>
            <w:shd w:val="clear" w:color="000000" w:fill="FFFFFF"/>
            <w:noWrap/>
            <w:vAlign w:val="center"/>
            <w:hideMark/>
          </w:tcPr>
          <w:p w14:paraId="5960BB08" w14:textId="77777777" w:rsidR="009A2084" w:rsidRPr="001C4528" w:rsidRDefault="009A2084" w:rsidP="00997DF3">
            <w:pPr>
              <w:pStyle w:val="TCTableBody"/>
              <w:jc w:val="center"/>
            </w:pPr>
            <w:proofErr w:type="spellStart"/>
            <w:r w:rsidRPr="001C4528">
              <w:t>Ensaio</w:t>
            </w:r>
            <w:proofErr w:type="spellEnd"/>
          </w:p>
        </w:tc>
        <w:tc>
          <w:tcPr>
            <w:tcW w:w="1877" w:type="dxa"/>
            <w:gridSpan w:val="2"/>
            <w:shd w:val="clear" w:color="000000" w:fill="FFFFFF"/>
            <w:noWrap/>
            <w:vAlign w:val="center"/>
            <w:hideMark/>
          </w:tcPr>
          <w:p w14:paraId="6EF40713" w14:textId="77777777" w:rsidR="009A2084" w:rsidRPr="001C4528" w:rsidRDefault="009A2084" w:rsidP="00997DF3">
            <w:pPr>
              <w:pStyle w:val="TCTableBody"/>
              <w:jc w:val="center"/>
            </w:pPr>
            <w:proofErr w:type="spellStart"/>
            <w:r>
              <w:t>Codificado</w:t>
            </w:r>
            <w:proofErr w:type="spellEnd"/>
          </w:p>
        </w:tc>
        <w:tc>
          <w:tcPr>
            <w:tcW w:w="2076" w:type="dxa"/>
            <w:gridSpan w:val="2"/>
            <w:shd w:val="clear" w:color="000000" w:fill="FFFFFF"/>
            <w:noWrap/>
            <w:vAlign w:val="center"/>
            <w:hideMark/>
          </w:tcPr>
          <w:p w14:paraId="22C0647B" w14:textId="77777777" w:rsidR="009A2084" w:rsidRPr="001C4528" w:rsidRDefault="009A2084" w:rsidP="00997DF3">
            <w:pPr>
              <w:pStyle w:val="TCTableBody"/>
              <w:jc w:val="center"/>
            </w:pPr>
            <w:r w:rsidRPr="001C4528">
              <w:t>Real</w:t>
            </w:r>
          </w:p>
        </w:tc>
      </w:tr>
      <w:tr w:rsidR="00BF24DC" w:rsidRPr="00F73393" w14:paraId="3D9AB7F1" w14:textId="77777777" w:rsidTr="00F50BEC">
        <w:trPr>
          <w:trHeight w:val="584"/>
        </w:trPr>
        <w:tc>
          <w:tcPr>
            <w:tcW w:w="776" w:type="dxa"/>
            <w:vMerge/>
            <w:vAlign w:val="center"/>
            <w:hideMark/>
          </w:tcPr>
          <w:p w14:paraId="07502688" w14:textId="77777777" w:rsidR="009A2084" w:rsidRPr="001C4528" w:rsidRDefault="009A2084" w:rsidP="00997DF3">
            <w:pPr>
              <w:pStyle w:val="TCTableBody"/>
              <w:jc w:val="center"/>
            </w:pPr>
          </w:p>
        </w:tc>
        <w:tc>
          <w:tcPr>
            <w:tcW w:w="937" w:type="dxa"/>
            <w:shd w:val="clear" w:color="000000" w:fill="FFFFFF"/>
            <w:noWrap/>
            <w:vAlign w:val="center"/>
            <w:hideMark/>
          </w:tcPr>
          <w:p w14:paraId="28E2D925" w14:textId="6BB00458" w:rsidR="009A2084" w:rsidRPr="001C4528" w:rsidRDefault="00403E70" w:rsidP="00997DF3">
            <w:pPr>
              <w:pStyle w:val="TCTableBody"/>
              <w:jc w:val="center"/>
            </w:pPr>
            <w:proofErr w:type="spellStart"/>
            <w:r>
              <w:t>Variável</w:t>
            </w:r>
            <w:proofErr w:type="spellEnd"/>
            <w:r>
              <w:t xml:space="preserve"> 1</w:t>
            </w:r>
          </w:p>
        </w:tc>
        <w:tc>
          <w:tcPr>
            <w:tcW w:w="940" w:type="dxa"/>
            <w:shd w:val="clear" w:color="000000" w:fill="FFFFFF"/>
            <w:noWrap/>
            <w:vAlign w:val="center"/>
            <w:hideMark/>
          </w:tcPr>
          <w:p w14:paraId="21B11A97" w14:textId="68FE392D" w:rsidR="009A2084" w:rsidRPr="001C4528" w:rsidRDefault="00403E70" w:rsidP="00403E70">
            <w:pPr>
              <w:pStyle w:val="TCTableBody"/>
              <w:jc w:val="center"/>
            </w:pPr>
            <w:proofErr w:type="spellStart"/>
            <w:r>
              <w:t>Variável</w:t>
            </w:r>
            <w:proofErr w:type="spellEnd"/>
            <w:r w:rsidR="009A2084" w:rsidRPr="001C4528">
              <w:t xml:space="preserve"> 2</w:t>
            </w:r>
          </w:p>
        </w:tc>
        <w:tc>
          <w:tcPr>
            <w:tcW w:w="765" w:type="dxa"/>
            <w:shd w:val="clear" w:color="000000" w:fill="FFFFFF"/>
            <w:noWrap/>
            <w:vAlign w:val="center"/>
            <w:hideMark/>
          </w:tcPr>
          <w:p w14:paraId="6A6B193C" w14:textId="06EB7384" w:rsidR="009A2084" w:rsidRPr="00C20D61" w:rsidRDefault="009A2084" w:rsidP="00C20D61">
            <w:pPr>
              <w:pStyle w:val="TCTableBody"/>
              <w:jc w:val="center"/>
              <w:rPr>
                <w:color w:val="000000"/>
                <w:lang w:val="pt-BR"/>
              </w:rPr>
            </w:pPr>
            <w:r w:rsidRPr="00F96B32">
              <w:rPr>
                <w:color w:val="000000"/>
                <w:lang w:val="pt-BR"/>
              </w:rPr>
              <w:t>Massa d</w:t>
            </w:r>
            <w:r>
              <w:rPr>
                <w:color w:val="000000"/>
              </w:rPr>
              <w:t>e</w:t>
            </w:r>
            <w:r w:rsidR="00C20D61">
              <w:rPr>
                <w:color w:val="000000"/>
              </w:rPr>
              <w:t xml:space="preserve"> </w:t>
            </w:r>
            <w:r w:rsidRPr="00F96B32">
              <w:rPr>
                <w:color w:val="000000"/>
                <w:lang w:val="pt-BR"/>
              </w:rPr>
              <w:t>H</w:t>
            </w:r>
            <w:r w:rsidRPr="00F96B32">
              <w:rPr>
                <w:color w:val="000000"/>
                <w:vertAlign w:val="subscript"/>
                <w:lang w:val="pt-BR"/>
              </w:rPr>
              <w:t>2</w:t>
            </w:r>
            <w:r w:rsidRPr="00F96B32">
              <w:rPr>
                <w:color w:val="000000"/>
                <w:lang w:val="pt-BR"/>
              </w:rPr>
              <w:t>SO</w:t>
            </w:r>
            <w:r w:rsidRPr="00F96B32">
              <w:rPr>
                <w:color w:val="000000"/>
                <w:vertAlign w:val="subscript"/>
                <w:lang w:val="pt-BR"/>
              </w:rPr>
              <w:t>4</w:t>
            </w:r>
            <w:r w:rsidR="00C20D61">
              <w:rPr>
                <w:color w:val="000000"/>
                <w:vertAlign w:val="subscript"/>
                <w:lang w:val="pt-BR"/>
              </w:rPr>
              <w:t xml:space="preserve"> </w:t>
            </w:r>
            <w:r w:rsidRPr="001C4528">
              <w:t>(g)</w:t>
            </w:r>
          </w:p>
        </w:tc>
        <w:tc>
          <w:tcPr>
            <w:tcW w:w="1310" w:type="dxa"/>
            <w:shd w:val="clear" w:color="000000" w:fill="FFFFFF"/>
            <w:noWrap/>
            <w:vAlign w:val="center"/>
            <w:hideMark/>
          </w:tcPr>
          <w:p w14:paraId="79333C3C" w14:textId="56387B6B" w:rsidR="009A2084" w:rsidRPr="001C4528" w:rsidRDefault="009A2084" w:rsidP="00C20D61">
            <w:pPr>
              <w:pStyle w:val="TCTableBody"/>
              <w:jc w:val="center"/>
            </w:pPr>
            <w:proofErr w:type="spellStart"/>
            <w:r w:rsidRPr="001C4528">
              <w:t>Temperatur</w:t>
            </w:r>
            <w:r>
              <w:t>a</w:t>
            </w:r>
            <w:proofErr w:type="spellEnd"/>
            <w:r w:rsidR="00C20D61">
              <w:t xml:space="preserve"> </w:t>
            </w:r>
            <w:r w:rsidRPr="001C4528">
              <w:t>(ºC)</w:t>
            </w:r>
          </w:p>
        </w:tc>
      </w:tr>
      <w:tr w:rsidR="00BF24DC" w:rsidRPr="00F73393" w14:paraId="1EED033E" w14:textId="77777777" w:rsidTr="00F50BEC">
        <w:trPr>
          <w:trHeight w:val="231"/>
        </w:trPr>
        <w:tc>
          <w:tcPr>
            <w:tcW w:w="776" w:type="dxa"/>
            <w:shd w:val="clear" w:color="000000" w:fill="FFFFFF"/>
            <w:noWrap/>
            <w:vAlign w:val="center"/>
            <w:hideMark/>
          </w:tcPr>
          <w:p w14:paraId="738F72FD" w14:textId="77777777" w:rsidR="009A2084" w:rsidRPr="001C4528" w:rsidRDefault="009A2084" w:rsidP="00997DF3">
            <w:pPr>
              <w:pStyle w:val="TCTableBody"/>
              <w:jc w:val="center"/>
            </w:pPr>
            <w:r w:rsidRPr="001C4528">
              <w:t>1</w:t>
            </w:r>
          </w:p>
        </w:tc>
        <w:tc>
          <w:tcPr>
            <w:tcW w:w="937" w:type="dxa"/>
            <w:shd w:val="clear" w:color="000000" w:fill="FFFFFF"/>
            <w:noWrap/>
            <w:vAlign w:val="center"/>
            <w:hideMark/>
          </w:tcPr>
          <w:p w14:paraId="613B36F7" w14:textId="77777777" w:rsidR="009A2084" w:rsidRPr="001C4528" w:rsidRDefault="009A2084" w:rsidP="00997DF3">
            <w:pPr>
              <w:pStyle w:val="TCTableBody"/>
              <w:jc w:val="center"/>
            </w:pPr>
            <w:r w:rsidRPr="001C4528">
              <w:t>-1,00</w:t>
            </w:r>
          </w:p>
        </w:tc>
        <w:tc>
          <w:tcPr>
            <w:tcW w:w="940" w:type="dxa"/>
            <w:shd w:val="clear" w:color="000000" w:fill="FFFFFF"/>
            <w:noWrap/>
            <w:vAlign w:val="center"/>
            <w:hideMark/>
          </w:tcPr>
          <w:p w14:paraId="37B880AA" w14:textId="77777777" w:rsidR="009A2084" w:rsidRPr="001C4528" w:rsidRDefault="009A2084" w:rsidP="00997DF3">
            <w:pPr>
              <w:pStyle w:val="TCTableBody"/>
              <w:jc w:val="center"/>
            </w:pPr>
            <w:r w:rsidRPr="001C4528">
              <w:t>-1,00</w:t>
            </w:r>
          </w:p>
        </w:tc>
        <w:tc>
          <w:tcPr>
            <w:tcW w:w="765" w:type="dxa"/>
            <w:shd w:val="clear" w:color="000000" w:fill="FFFFFF"/>
            <w:noWrap/>
            <w:vAlign w:val="center"/>
            <w:hideMark/>
          </w:tcPr>
          <w:p w14:paraId="3C2CD8EB" w14:textId="77777777" w:rsidR="009A2084" w:rsidRPr="001C4528" w:rsidRDefault="009A2084" w:rsidP="00997DF3">
            <w:pPr>
              <w:pStyle w:val="TCTableBody"/>
              <w:jc w:val="center"/>
            </w:pPr>
            <w:r w:rsidRPr="001C4528">
              <w:t>0,86</w:t>
            </w:r>
          </w:p>
        </w:tc>
        <w:tc>
          <w:tcPr>
            <w:tcW w:w="1310" w:type="dxa"/>
            <w:shd w:val="clear" w:color="000000" w:fill="FFFFFF"/>
            <w:noWrap/>
            <w:vAlign w:val="center"/>
            <w:hideMark/>
          </w:tcPr>
          <w:p w14:paraId="1F8A7D13" w14:textId="77777777" w:rsidR="009A2084" w:rsidRPr="001C4528" w:rsidRDefault="009A2084" w:rsidP="00997DF3">
            <w:pPr>
              <w:pStyle w:val="TCTableBody"/>
              <w:jc w:val="center"/>
            </w:pPr>
            <w:r w:rsidRPr="001C4528">
              <w:t>97,57</w:t>
            </w:r>
          </w:p>
        </w:tc>
      </w:tr>
      <w:tr w:rsidR="00BF24DC" w:rsidRPr="00F73393" w14:paraId="71B9AB5D" w14:textId="77777777" w:rsidTr="00F50BEC">
        <w:trPr>
          <w:trHeight w:val="231"/>
        </w:trPr>
        <w:tc>
          <w:tcPr>
            <w:tcW w:w="776" w:type="dxa"/>
            <w:shd w:val="clear" w:color="000000" w:fill="FFFFFF"/>
            <w:noWrap/>
            <w:vAlign w:val="center"/>
            <w:hideMark/>
          </w:tcPr>
          <w:p w14:paraId="05A223FD" w14:textId="77777777" w:rsidR="009A2084" w:rsidRPr="001C4528" w:rsidRDefault="009A2084" w:rsidP="00997DF3">
            <w:pPr>
              <w:pStyle w:val="TCTableBody"/>
              <w:jc w:val="center"/>
            </w:pPr>
            <w:r w:rsidRPr="001C4528">
              <w:t>2</w:t>
            </w:r>
          </w:p>
        </w:tc>
        <w:tc>
          <w:tcPr>
            <w:tcW w:w="937" w:type="dxa"/>
            <w:shd w:val="clear" w:color="000000" w:fill="FFFFFF"/>
            <w:noWrap/>
            <w:vAlign w:val="center"/>
            <w:hideMark/>
          </w:tcPr>
          <w:p w14:paraId="384B58CF" w14:textId="77777777" w:rsidR="009A2084" w:rsidRPr="001C4528" w:rsidRDefault="009A2084" w:rsidP="00997DF3">
            <w:pPr>
              <w:pStyle w:val="TCTableBody"/>
              <w:jc w:val="center"/>
            </w:pPr>
            <w:r w:rsidRPr="001C4528">
              <w:t>1,00</w:t>
            </w:r>
          </w:p>
        </w:tc>
        <w:tc>
          <w:tcPr>
            <w:tcW w:w="940" w:type="dxa"/>
            <w:shd w:val="clear" w:color="000000" w:fill="FFFFFF"/>
            <w:noWrap/>
            <w:vAlign w:val="center"/>
            <w:hideMark/>
          </w:tcPr>
          <w:p w14:paraId="3D9AC402" w14:textId="77777777" w:rsidR="009A2084" w:rsidRPr="001C4528" w:rsidRDefault="009A2084" w:rsidP="00997DF3">
            <w:pPr>
              <w:pStyle w:val="TCTableBody"/>
              <w:jc w:val="center"/>
            </w:pPr>
            <w:r w:rsidRPr="001C4528">
              <w:t>-1,00</w:t>
            </w:r>
          </w:p>
        </w:tc>
        <w:tc>
          <w:tcPr>
            <w:tcW w:w="765" w:type="dxa"/>
            <w:shd w:val="clear" w:color="000000" w:fill="FFFFFF"/>
            <w:noWrap/>
            <w:vAlign w:val="center"/>
            <w:hideMark/>
          </w:tcPr>
          <w:p w14:paraId="755E4D27" w14:textId="77777777" w:rsidR="009A2084" w:rsidRPr="001C4528" w:rsidRDefault="009A2084" w:rsidP="00997DF3">
            <w:pPr>
              <w:pStyle w:val="TCTableBody"/>
              <w:jc w:val="center"/>
            </w:pPr>
            <w:r w:rsidRPr="001C4528">
              <w:t>2,63</w:t>
            </w:r>
          </w:p>
        </w:tc>
        <w:tc>
          <w:tcPr>
            <w:tcW w:w="1310" w:type="dxa"/>
            <w:shd w:val="clear" w:color="000000" w:fill="FFFFFF"/>
            <w:noWrap/>
            <w:vAlign w:val="center"/>
            <w:hideMark/>
          </w:tcPr>
          <w:p w14:paraId="3DC2B57F" w14:textId="77777777" w:rsidR="009A2084" w:rsidRPr="001C4528" w:rsidRDefault="009A2084" w:rsidP="00997DF3">
            <w:pPr>
              <w:pStyle w:val="TCTableBody"/>
              <w:jc w:val="center"/>
            </w:pPr>
            <w:r w:rsidRPr="001C4528">
              <w:t>97,57</w:t>
            </w:r>
          </w:p>
        </w:tc>
      </w:tr>
      <w:tr w:rsidR="00BF24DC" w:rsidRPr="00F73393" w14:paraId="68E322E6" w14:textId="77777777" w:rsidTr="00F50BEC">
        <w:trPr>
          <w:trHeight w:val="231"/>
        </w:trPr>
        <w:tc>
          <w:tcPr>
            <w:tcW w:w="776" w:type="dxa"/>
            <w:shd w:val="clear" w:color="000000" w:fill="FFFFFF"/>
            <w:noWrap/>
            <w:vAlign w:val="center"/>
            <w:hideMark/>
          </w:tcPr>
          <w:p w14:paraId="7AF01401" w14:textId="77777777" w:rsidR="009A2084" w:rsidRPr="001C4528" w:rsidRDefault="009A2084" w:rsidP="00997DF3">
            <w:pPr>
              <w:pStyle w:val="TCTableBody"/>
              <w:jc w:val="center"/>
            </w:pPr>
            <w:r w:rsidRPr="001C4528">
              <w:t>3</w:t>
            </w:r>
          </w:p>
        </w:tc>
        <w:tc>
          <w:tcPr>
            <w:tcW w:w="937" w:type="dxa"/>
            <w:shd w:val="clear" w:color="000000" w:fill="FFFFFF"/>
            <w:noWrap/>
            <w:vAlign w:val="center"/>
            <w:hideMark/>
          </w:tcPr>
          <w:p w14:paraId="673C6911" w14:textId="77777777" w:rsidR="009A2084" w:rsidRPr="001C4528" w:rsidRDefault="009A2084" w:rsidP="00997DF3">
            <w:pPr>
              <w:pStyle w:val="TCTableBody"/>
              <w:jc w:val="center"/>
            </w:pPr>
            <w:r w:rsidRPr="001C4528">
              <w:t>-1,00</w:t>
            </w:r>
          </w:p>
        </w:tc>
        <w:tc>
          <w:tcPr>
            <w:tcW w:w="940" w:type="dxa"/>
            <w:shd w:val="clear" w:color="000000" w:fill="FFFFFF"/>
            <w:noWrap/>
            <w:vAlign w:val="center"/>
            <w:hideMark/>
          </w:tcPr>
          <w:p w14:paraId="13979103" w14:textId="77777777" w:rsidR="009A2084" w:rsidRPr="001C4528" w:rsidRDefault="009A2084" w:rsidP="00997DF3">
            <w:pPr>
              <w:pStyle w:val="TCTableBody"/>
              <w:jc w:val="center"/>
            </w:pPr>
            <w:r w:rsidRPr="001C4528">
              <w:t>1,00</w:t>
            </w:r>
          </w:p>
        </w:tc>
        <w:tc>
          <w:tcPr>
            <w:tcW w:w="765" w:type="dxa"/>
            <w:shd w:val="clear" w:color="000000" w:fill="FFFFFF"/>
            <w:noWrap/>
            <w:vAlign w:val="center"/>
            <w:hideMark/>
          </w:tcPr>
          <w:p w14:paraId="38A2DFC8" w14:textId="77777777" w:rsidR="009A2084" w:rsidRPr="001C4528" w:rsidRDefault="009A2084" w:rsidP="00997DF3">
            <w:pPr>
              <w:pStyle w:val="TCTableBody"/>
              <w:jc w:val="center"/>
            </w:pPr>
            <w:r w:rsidRPr="001C4528">
              <w:t>0,86</w:t>
            </w:r>
          </w:p>
        </w:tc>
        <w:tc>
          <w:tcPr>
            <w:tcW w:w="1310" w:type="dxa"/>
            <w:shd w:val="clear" w:color="000000" w:fill="FFFFFF"/>
            <w:noWrap/>
            <w:vAlign w:val="center"/>
            <w:hideMark/>
          </w:tcPr>
          <w:p w14:paraId="5B6FBE44" w14:textId="77777777" w:rsidR="009A2084" w:rsidRPr="001C4528" w:rsidRDefault="009A2084" w:rsidP="00997DF3">
            <w:pPr>
              <w:pStyle w:val="TCTableBody"/>
              <w:jc w:val="center"/>
            </w:pPr>
            <w:r w:rsidRPr="001C4528">
              <w:t>182,42</w:t>
            </w:r>
          </w:p>
        </w:tc>
      </w:tr>
      <w:tr w:rsidR="00BF24DC" w:rsidRPr="00F73393" w14:paraId="036285F6" w14:textId="77777777" w:rsidTr="00F50BEC">
        <w:trPr>
          <w:trHeight w:val="231"/>
        </w:trPr>
        <w:tc>
          <w:tcPr>
            <w:tcW w:w="776" w:type="dxa"/>
            <w:shd w:val="clear" w:color="000000" w:fill="FFFFFF"/>
            <w:noWrap/>
            <w:vAlign w:val="center"/>
            <w:hideMark/>
          </w:tcPr>
          <w:p w14:paraId="6CBEB67B" w14:textId="77777777" w:rsidR="009A2084" w:rsidRPr="001C4528" w:rsidRDefault="009A2084" w:rsidP="00997DF3">
            <w:pPr>
              <w:pStyle w:val="TCTableBody"/>
              <w:jc w:val="center"/>
            </w:pPr>
            <w:r w:rsidRPr="001C4528">
              <w:t>4</w:t>
            </w:r>
          </w:p>
        </w:tc>
        <w:tc>
          <w:tcPr>
            <w:tcW w:w="937" w:type="dxa"/>
            <w:shd w:val="clear" w:color="000000" w:fill="FFFFFF"/>
            <w:noWrap/>
            <w:vAlign w:val="center"/>
            <w:hideMark/>
          </w:tcPr>
          <w:p w14:paraId="6B6B8039" w14:textId="77777777" w:rsidR="009A2084" w:rsidRPr="001C4528" w:rsidRDefault="009A2084" w:rsidP="00997DF3">
            <w:pPr>
              <w:pStyle w:val="TCTableBody"/>
              <w:jc w:val="center"/>
            </w:pPr>
            <w:r w:rsidRPr="001C4528">
              <w:t>1,00</w:t>
            </w:r>
          </w:p>
        </w:tc>
        <w:tc>
          <w:tcPr>
            <w:tcW w:w="940" w:type="dxa"/>
            <w:shd w:val="clear" w:color="000000" w:fill="FFFFFF"/>
            <w:noWrap/>
            <w:vAlign w:val="center"/>
            <w:hideMark/>
          </w:tcPr>
          <w:p w14:paraId="1622E825" w14:textId="77777777" w:rsidR="009A2084" w:rsidRPr="001C4528" w:rsidRDefault="009A2084" w:rsidP="00997DF3">
            <w:pPr>
              <w:pStyle w:val="TCTableBody"/>
              <w:jc w:val="center"/>
            </w:pPr>
            <w:r w:rsidRPr="001C4528">
              <w:t>1,00</w:t>
            </w:r>
          </w:p>
        </w:tc>
        <w:tc>
          <w:tcPr>
            <w:tcW w:w="765" w:type="dxa"/>
            <w:shd w:val="clear" w:color="000000" w:fill="FFFFFF"/>
            <w:noWrap/>
            <w:vAlign w:val="center"/>
            <w:hideMark/>
          </w:tcPr>
          <w:p w14:paraId="54309A66" w14:textId="77777777" w:rsidR="009A2084" w:rsidRPr="001C4528" w:rsidRDefault="009A2084" w:rsidP="00997DF3">
            <w:pPr>
              <w:pStyle w:val="TCTableBody"/>
              <w:jc w:val="center"/>
            </w:pPr>
            <w:r w:rsidRPr="001C4528">
              <w:t>2,63</w:t>
            </w:r>
          </w:p>
        </w:tc>
        <w:tc>
          <w:tcPr>
            <w:tcW w:w="1310" w:type="dxa"/>
            <w:shd w:val="clear" w:color="000000" w:fill="FFFFFF"/>
            <w:noWrap/>
            <w:vAlign w:val="center"/>
            <w:hideMark/>
          </w:tcPr>
          <w:p w14:paraId="67A0156B" w14:textId="77777777" w:rsidR="009A2084" w:rsidRPr="001C4528" w:rsidRDefault="009A2084" w:rsidP="00997DF3">
            <w:pPr>
              <w:pStyle w:val="TCTableBody"/>
              <w:jc w:val="center"/>
            </w:pPr>
            <w:r w:rsidRPr="001C4528">
              <w:t>182,42</w:t>
            </w:r>
          </w:p>
        </w:tc>
      </w:tr>
      <w:tr w:rsidR="00BF24DC" w:rsidRPr="00F73393" w14:paraId="5F0503BF" w14:textId="77777777" w:rsidTr="00F50BEC">
        <w:trPr>
          <w:trHeight w:val="231"/>
        </w:trPr>
        <w:tc>
          <w:tcPr>
            <w:tcW w:w="776" w:type="dxa"/>
            <w:shd w:val="clear" w:color="000000" w:fill="FFFFFF"/>
            <w:noWrap/>
            <w:vAlign w:val="center"/>
            <w:hideMark/>
          </w:tcPr>
          <w:p w14:paraId="75B9EAE8" w14:textId="77777777" w:rsidR="009A2084" w:rsidRPr="001C4528" w:rsidRDefault="009A2084" w:rsidP="00997DF3">
            <w:pPr>
              <w:pStyle w:val="TCTableBody"/>
              <w:jc w:val="center"/>
            </w:pPr>
            <w:r w:rsidRPr="001C4528">
              <w:t>5</w:t>
            </w:r>
          </w:p>
        </w:tc>
        <w:tc>
          <w:tcPr>
            <w:tcW w:w="937" w:type="dxa"/>
            <w:shd w:val="clear" w:color="000000" w:fill="FFFFFF"/>
            <w:noWrap/>
            <w:vAlign w:val="center"/>
            <w:hideMark/>
          </w:tcPr>
          <w:p w14:paraId="7875BD7D" w14:textId="77777777" w:rsidR="009A2084" w:rsidRPr="001C4528" w:rsidRDefault="009A2084" w:rsidP="00997DF3">
            <w:pPr>
              <w:pStyle w:val="TCTableBody"/>
              <w:jc w:val="center"/>
            </w:pPr>
            <w:r w:rsidRPr="001C4528">
              <w:t>-1,41</w:t>
            </w:r>
          </w:p>
        </w:tc>
        <w:tc>
          <w:tcPr>
            <w:tcW w:w="940" w:type="dxa"/>
            <w:shd w:val="clear" w:color="000000" w:fill="FFFFFF"/>
            <w:noWrap/>
            <w:vAlign w:val="center"/>
            <w:hideMark/>
          </w:tcPr>
          <w:p w14:paraId="57F36450" w14:textId="77777777" w:rsidR="009A2084" w:rsidRPr="001C4528" w:rsidRDefault="009A2084" w:rsidP="00997DF3">
            <w:pPr>
              <w:pStyle w:val="TCTableBody"/>
              <w:jc w:val="center"/>
            </w:pPr>
            <w:r w:rsidRPr="001C4528">
              <w:t>0,00</w:t>
            </w:r>
          </w:p>
        </w:tc>
        <w:tc>
          <w:tcPr>
            <w:tcW w:w="765" w:type="dxa"/>
            <w:shd w:val="clear" w:color="000000" w:fill="FFFFFF"/>
            <w:noWrap/>
            <w:vAlign w:val="center"/>
            <w:hideMark/>
          </w:tcPr>
          <w:p w14:paraId="2F5C2D4D" w14:textId="77777777" w:rsidR="009A2084" w:rsidRPr="001C4528" w:rsidRDefault="009A2084" w:rsidP="00997DF3">
            <w:pPr>
              <w:pStyle w:val="TCTableBody"/>
              <w:jc w:val="center"/>
            </w:pPr>
            <w:r w:rsidRPr="001C4528">
              <w:t>0,5</w:t>
            </w:r>
          </w:p>
        </w:tc>
        <w:tc>
          <w:tcPr>
            <w:tcW w:w="1310" w:type="dxa"/>
            <w:shd w:val="clear" w:color="000000" w:fill="FFFFFF"/>
            <w:noWrap/>
            <w:vAlign w:val="center"/>
            <w:hideMark/>
          </w:tcPr>
          <w:p w14:paraId="7E42AD73" w14:textId="77777777" w:rsidR="009A2084" w:rsidRPr="001C4528" w:rsidRDefault="009A2084" w:rsidP="00997DF3">
            <w:pPr>
              <w:pStyle w:val="TCTableBody"/>
              <w:jc w:val="center"/>
            </w:pPr>
            <w:r w:rsidRPr="001C4528">
              <w:t>140</w:t>
            </w:r>
          </w:p>
        </w:tc>
      </w:tr>
      <w:tr w:rsidR="00BF24DC" w:rsidRPr="00F73393" w14:paraId="3286A437" w14:textId="77777777" w:rsidTr="00F50BEC">
        <w:trPr>
          <w:trHeight w:val="231"/>
        </w:trPr>
        <w:tc>
          <w:tcPr>
            <w:tcW w:w="776" w:type="dxa"/>
            <w:shd w:val="clear" w:color="000000" w:fill="FFFFFF"/>
            <w:noWrap/>
            <w:vAlign w:val="center"/>
            <w:hideMark/>
          </w:tcPr>
          <w:p w14:paraId="5E6D90AC" w14:textId="77777777" w:rsidR="009A2084" w:rsidRPr="001C4528" w:rsidRDefault="009A2084" w:rsidP="00997DF3">
            <w:pPr>
              <w:pStyle w:val="TCTableBody"/>
              <w:jc w:val="center"/>
            </w:pPr>
            <w:r w:rsidRPr="001C4528">
              <w:t>6</w:t>
            </w:r>
          </w:p>
        </w:tc>
        <w:tc>
          <w:tcPr>
            <w:tcW w:w="937" w:type="dxa"/>
            <w:shd w:val="clear" w:color="000000" w:fill="FFFFFF"/>
            <w:noWrap/>
            <w:vAlign w:val="center"/>
            <w:hideMark/>
          </w:tcPr>
          <w:p w14:paraId="2C5411F8" w14:textId="77777777" w:rsidR="009A2084" w:rsidRPr="001C4528" w:rsidRDefault="009A2084" w:rsidP="00997DF3">
            <w:pPr>
              <w:pStyle w:val="TCTableBody"/>
              <w:jc w:val="center"/>
            </w:pPr>
            <w:r w:rsidRPr="001C4528">
              <w:t>1,41</w:t>
            </w:r>
          </w:p>
        </w:tc>
        <w:tc>
          <w:tcPr>
            <w:tcW w:w="940" w:type="dxa"/>
            <w:shd w:val="clear" w:color="000000" w:fill="FFFFFF"/>
            <w:noWrap/>
            <w:vAlign w:val="center"/>
            <w:hideMark/>
          </w:tcPr>
          <w:p w14:paraId="304217C2" w14:textId="77777777" w:rsidR="009A2084" w:rsidRPr="001C4528" w:rsidRDefault="009A2084" w:rsidP="00997DF3">
            <w:pPr>
              <w:pStyle w:val="TCTableBody"/>
              <w:jc w:val="center"/>
            </w:pPr>
            <w:r w:rsidRPr="001C4528">
              <w:t>0,00</w:t>
            </w:r>
          </w:p>
        </w:tc>
        <w:tc>
          <w:tcPr>
            <w:tcW w:w="765" w:type="dxa"/>
            <w:shd w:val="clear" w:color="000000" w:fill="FFFFFF"/>
            <w:noWrap/>
            <w:vAlign w:val="center"/>
            <w:hideMark/>
          </w:tcPr>
          <w:p w14:paraId="72963DF2" w14:textId="77777777" w:rsidR="009A2084" w:rsidRPr="001C4528" w:rsidRDefault="009A2084" w:rsidP="00997DF3">
            <w:pPr>
              <w:pStyle w:val="TCTableBody"/>
              <w:jc w:val="center"/>
            </w:pPr>
            <w:r w:rsidRPr="001C4528">
              <w:t>3</w:t>
            </w:r>
          </w:p>
        </w:tc>
        <w:tc>
          <w:tcPr>
            <w:tcW w:w="1310" w:type="dxa"/>
            <w:shd w:val="clear" w:color="000000" w:fill="FFFFFF"/>
            <w:noWrap/>
            <w:vAlign w:val="center"/>
            <w:hideMark/>
          </w:tcPr>
          <w:p w14:paraId="08D37044" w14:textId="77777777" w:rsidR="009A2084" w:rsidRPr="001C4528" w:rsidRDefault="009A2084" w:rsidP="00997DF3">
            <w:pPr>
              <w:pStyle w:val="TCTableBody"/>
              <w:jc w:val="center"/>
            </w:pPr>
            <w:r w:rsidRPr="001C4528">
              <w:t>140</w:t>
            </w:r>
          </w:p>
        </w:tc>
      </w:tr>
      <w:tr w:rsidR="00BF24DC" w:rsidRPr="00F73393" w14:paraId="7FF3B28D" w14:textId="77777777" w:rsidTr="00F50BEC">
        <w:trPr>
          <w:trHeight w:val="231"/>
        </w:trPr>
        <w:tc>
          <w:tcPr>
            <w:tcW w:w="776" w:type="dxa"/>
            <w:shd w:val="clear" w:color="000000" w:fill="FFFFFF"/>
            <w:noWrap/>
            <w:vAlign w:val="center"/>
            <w:hideMark/>
          </w:tcPr>
          <w:p w14:paraId="72569EB4" w14:textId="77777777" w:rsidR="009A2084" w:rsidRPr="001C4528" w:rsidRDefault="009A2084" w:rsidP="00997DF3">
            <w:pPr>
              <w:pStyle w:val="TCTableBody"/>
              <w:jc w:val="center"/>
            </w:pPr>
            <w:r w:rsidRPr="001C4528">
              <w:t>7</w:t>
            </w:r>
          </w:p>
        </w:tc>
        <w:tc>
          <w:tcPr>
            <w:tcW w:w="937" w:type="dxa"/>
            <w:shd w:val="clear" w:color="000000" w:fill="FFFFFF"/>
            <w:noWrap/>
            <w:vAlign w:val="center"/>
            <w:hideMark/>
          </w:tcPr>
          <w:p w14:paraId="00135F99" w14:textId="77777777" w:rsidR="009A2084" w:rsidRPr="001C4528" w:rsidRDefault="009A2084" w:rsidP="00997DF3">
            <w:pPr>
              <w:pStyle w:val="TCTableBody"/>
              <w:jc w:val="center"/>
            </w:pPr>
            <w:r w:rsidRPr="001C4528">
              <w:t>0,00</w:t>
            </w:r>
          </w:p>
        </w:tc>
        <w:tc>
          <w:tcPr>
            <w:tcW w:w="940" w:type="dxa"/>
            <w:shd w:val="clear" w:color="000000" w:fill="FFFFFF"/>
            <w:noWrap/>
            <w:vAlign w:val="center"/>
            <w:hideMark/>
          </w:tcPr>
          <w:p w14:paraId="02471BF8" w14:textId="77777777" w:rsidR="009A2084" w:rsidRPr="001C4528" w:rsidRDefault="009A2084" w:rsidP="00997DF3">
            <w:pPr>
              <w:pStyle w:val="TCTableBody"/>
              <w:jc w:val="center"/>
            </w:pPr>
            <w:r w:rsidRPr="001C4528">
              <w:t>-1,41</w:t>
            </w:r>
          </w:p>
        </w:tc>
        <w:tc>
          <w:tcPr>
            <w:tcW w:w="765" w:type="dxa"/>
            <w:shd w:val="clear" w:color="000000" w:fill="FFFFFF"/>
            <w:noWrap/>
            <w:vAlign w:val="center"/>
            <w:hideMark/>
          </w:tcPr>
          <w:p w14:paraId="7D08B316" w14:textId="77777777" w:rsidR="009A2084" w:rsidRPr="001C4528" w:rsidRDefault="009A2084" w:rsidP="00997DF3">
            <w:pPr>
              <w:pStyle w:val="TCTableBody"/>
              <w:jc w:val="center"/>
            </w:pPr>
            <w:r w:rsidRPr="001C4528">
              <w:t>1,75</w:t>
            </w:r>
          </w:p>
        </w:tc>
        <w:tc>
          <w:tcPr>
            <w:tcW w:w="1310" w:type="dxa"/>
            <w:shd w:val="clear" w:color="000000" w:fill="FFFFFF"/>
            <w:noWrap/>
            <w:vAlign w:val="center"/>
            <w:hideMark/>
          </w:tcPr>
          <w:p w14:paraId="51CB511D" w14:textId="77777777" w:rsidR="009A2084" w:rsidRPr="001C4528" w:rsidRDefault="009A2084" w:rsidP="00997DF3">
            <w:pPr>
              <w:pStyle w:val="TCTableBody"/>
              <w:jc w:val="center"/>
            </w:pPr>
            <w:r w:rsidRPr="001C4528">
              <w:t>80</w:t>
            </w:r>
          </w:p>
        </w:tc>
      </w:tr>
      <w:tr w:rsidR="00BF24DC" w:rsidRPr="00F73393" w14:paraId="0AFD6EE7" w14:textId="77777777" w:rsidTr="00F50BEC">
        <w:trPr>
          <w:trHeight w:val="231"/>
        </w:trPr>
        <w:tc>
          <w:tcPr>
            <w:tcW w:w="776" w:type="dxa"/>
            <w:shd w:val="clear" w:color="000000" w:fill="FFFFFF"/>
            <w:noWrap/>
            <w:vAlign w:val="center"/>
            <w:hideMark/>
          </w:tcPr>
          <w:p w14:paraId="4315D671" w14:textId="77777777" w:rsidR="009A2084" w:rsidRPr="001C4528" w:rsidRDefault="009A2084" w:rsidP="00997DF3">
            <w:pPr>
              <w:pStyle w:val="TCTableBody"/>
              <w:jc w:val="center"/>
            </w:pPr>
            <w:r w:rsidRPr="001C4528">
              <w:t>8</w:t>
            </w:r>
          </w:p>
        </w:tc>
        <w:tc>
          <w:tcPr>
            <w:tcW w:w="937" w:type="dxa"/>
            <w:shd w:val="clear" w:color="000000" w:fill="FFFFFF"/>
            <w:noWrap/>
            <w:vAlign w:val="center"/>
            <w:hideMark/>
          </w:tcPr>
          <w:p w14:paraId="37D07369" w14:textId="77777777" w:rsidR="009A2084" w:rsidRPr="001C4528" w:rsidRDefault="009A2084" w:rsidP="00997DF3">
            <w:pPr>
              <w:pStyle w:val="TCTableBody"/>
              <w:jc w:val="center"/>
            </w:pPr>
            <w:r w:rsidRPr="001C4528">
              <w:t>0,00</w:t>
            </w:r>
          </w:p>
        </w:tc>
        <w:tc>
          <w:tcPr>
            <w:tcW w:w="940" w:type="dxa"/>
            <w:shd w:val="clear" w:color="000000" w:fill="FFFFFF"/>
            <w:noWrap/>
            <w:vAlign w:val="center"/>
            <w:hideMark/>
          </w:tcPr>
          <w:p w14:paraId="52E84C20" w14:textId="77777777" w:rsidR="009A2084" w:rsidRPr="001C4528" w:rsidRDefault="009A2084" w:rsidP="00997DF3">
            <w:pPr>
              <w:pStyle w:val="TCTableBody"/>
              <w:jc w:val="center"/>
            </w:pPr>
            <w:r w:rsidRPr="001C4528">
              <w:t>1,41</w:t>
            </w:r>
          </w:p>
        </w:tc>
        <w:tc>
          <w:tcPr>
            <w:tcW w:w="765" w:type="dxa"/>
            <w:shd w:val="clear" w:color="000000" w:fill="FFFFFF"/>
            <w:noWrap/>
            <w:vAlign w:val="center"/>
            <w:hideMark/>
          </w:tcPr>
          <w:p w14:paraId="34BD3E51" w14:textId="77777777" w:rsidR="009A2084" w:rsidRPr="001C4528" w:rsidRDefault="009A2084" w:rsidP="00997DF3">
            <w:pPr>
              <w:pStyle w:val="TCTableBody"/>
              <w:jc w:val="center"/>
            </w:pPr>
            <w:r w:rsidRPr="001C4528">
              <w:t>1,75</w:t>
            </w:r>
          </w:p>
        </w:tc>
        <w:tc>
          <w:tcPr>
            <w:tcW w:w="1310" w:type="dxa"/>
            <w:shd w:val="clear" w:color="000000" w:fill="FFFFFF"/>
            <w:noWrap/>
            <w:vAlign w:val="center"/>
            <w:hideMark/>
          </w:tcPr>
          <w:p w14:paraId="5B0C8955" w14:textId="77777777" w:rsidR="009A2084" w:rsidRPr="001C4528" w:rsidRDefault="009A2084" w:rsidP="00997DF3">
            <w:pPr>
              <w:pStyle w:val="TCTableBody"/>
              <w:jc w:val="center"/>
            </w:pPr>
            <w:r w:rsidRPr="001C4528">
              <w:t>200</w:t>
            </w:r>
          </w:p>
        </w:tc>
      </w:tr>
      <w:tr w:rsidR="00BF24DC" w:rsidRPr="00F73393" w14:paraId="746EBBC1" w14:textId="77777777" w:rsidTr="00F50BEC">
        <w:trPr>
          <w:trHeight w:val="231"/>
        </w:trPr>
        <w:tc>
          <w:tcPr>
            <w:tcW w:w="776" w:type="dxa"/>
            <w:shd w:val="clear" w:color="000000" w:fill="FFFFFF"/>
            <w:noWrap/>
            <w:vAlign w:val="center"/>
            <w:hideMark/>
          </w:tcPr>
          <w:p w14:paraId="37945269" w14:textId="10D33622" w:rsidR="009A2084" w:rsidRPr="001C4528" w:rsidRDefault="009A2084" w:rsidP="009A2084">
            <w:pPr>
              <w:pStyle w:val="TCTableBody"/>
              <w:jc w:val="center"/>
            </w:pPr>
            <w:r w:rsidRPr="001C4528">
              <w:t>9 (</w:t>
            </w:r>
            <w:r>
              <w:t>PC</w:t>
            </w:r>
            <w:r w:rsidRPr="001C4528">
              <w:t>)</w:t>
            </w:r>
          </w:p>
        </w:tc>
        <w:tc>
          <w:tcPr>
            <w:tcW w:w="937" w:type="dxa"/>
            <w:shd w:val="clear" w:color="000000" w:fill="FFFFFF"/>
            <w:noWrap/>
            <w:vAlign w:val="center"/>
            <w:hideMark/>
          </w:tcPr>
          <w:p w14:paraId="502A4C5A" w14:textId="77777777" w:rsidR="009A2084" w:rsidRPr="001C4528" w:rsidRDefault="009A2084" w:rsidP="00997DF3">
            <w:pPr>
              <w:pStyle w:val="TCTableBody"/>
              <w:jc w:val="center"/>
            </w:pPr>
            <w:r w:rsidRPr="001C4528">
              <w:t>0,00</w:t>
            </w:r>
          </w:p>
        </w:tc>
        <w:tc>
          <w:tcPr>
            <w:tcW w:w="940" w:type="dxa"/>
            <w:shd w:val="clear" w:color="000000" w:fill="FFFFFF"/>
            <w:noWrap/>
            <w:vAlign w:val="center"/>
            <w:hideMark/>
          </w:tcPr>
          <w:p w14:paraId="01BFFA1B" w14:textId="77777777" w:rsidR="009A2084" w:rsidRPr="001C4528" w:rsidRDefault="009A2084" w:rsidP="00997DF3">
            <w:pPr>
              <w:pStyle w:val="TCTableBody"/>
              <w:jc w:val="center"/>
            </w:pPr>
            <w:r w:rsidRPr="001C4528">
              <w:t>0,00</w:t>
            </w:r>
          </w:p>
        </w:tc>
        <w:tc>
          <w:tcPr>
            <w:tcW w:w="765" w:type="dxa"/>
            <w:shd w:val="clear" w:color="000000" w:fill="FFFFFF"/>
            <w:noWrap/>
            <w:vAlign w:val="center"/>
            <w:hideMark/>
          </w:tcPr>
          <w:p w14:paraId="3CEA9661" w14:textId="77777777" w:rsidR="009A2084" w:rsidRPr="001C4528" w:rsidRDefault="009A2084" w:rsidP="00997DF3">
            <w:pPr>
              <w:pStyle w:val="TCTableBody"/>
              <w:jc w:val="center"/>
            </w:pPr>
            <w:r w:rsidRPr="001C4528">
              <w:t>1,75</w:t>
            </w:r>
          </w:p>
        </w:tc>
        <w:tc>
          <w:tcPr>
            <w:tcW w:w="1310" w:type="dxa"/>
            <w:shd w:val="clear" w:color="000000" w:fill="FFFFFF"/>
            <w:noWrap/>
            <w:vAlign w:val="center"/>
            <w:hideMark/>
          </w:tcPr>
          <w:p w14:paraId="0E97E667" w14:textId="77777777" w:rsidR="009A2084" w:rsidRPr="001C4528" w:rsidRDefault="009A2084" w:rsidP="00997DF3">
            <w:pPr>
              <w:pStyle w:val="TCTableBody"/>
              <w:jc w:val="center"/>
            </w:pPr>
            <w:r w:rsidRPr="001C4528">
              <w:t>140</w:t>
            </w:r>
          </w:p>
        </w:tc>
      </w:tr>
      <w:tr w:rsidR="00BF24DC" w:rsidRPr="00F73393" w14:paraId="1AB9EC53" w14:textId="77777777" w:rsidTr="00F50BEC">
        <w:trPr>
          <w:trHeight w:val="231"/>
        </w:trPr>
        <w:tc>
          <w:tcPr>
            <w:tcW w:w="776" w:type="dxa"/>
            <w:shd w:val="clear" w:color="000000" w:fill="FFFFFF"/>
            <w:noWrap/>
            <w:vAlign w:val="center"/>
            <w:hideMark/>
          </w:tcPr>
          <w:p w14:paraId="5725E01C" w14:textId="1280EA56" w:rsidR="009A2084" w:rsidRPr="001C4528" w:rsidRDefault="009A2084" w:rsidP="00997DF3">
            <w:pPr>
              <w:pStyle w:val="TCTableBody"/>
              <w:jc w:val="center"/>
            </w:pPr>
            <w:r w:rsidRPr="001C4528">
              <w:t>10 (</w:t>
            </w:r>
            <w:r>
              <w:t>PC</w:t>
            </w:r>
            <w:r w:rsidRPr="001C4528">
              <w:t>)</w:t>
            </w:r>
          </w:p>
        </w:tc>
        <w:tc>
          <w:tcPr>
            <w:tcW w:w="937" w:type="dxa"/>
            <w:shd w:val="clear" w:color="000000" w:fill="FFFFFF"/>
            <w:noWrap/>
            <w:vAlign w:val="center"/>
            <w:hideMark/>
          </w:tcPr>
          <w:p w14:paraId="63137BE5" w14:textId="77777777" w:rsidR="009A2084" w:rsidRPr="001C4528" w:rsidRDefault="009A2084" w:rsidP="00997DF3">
            <w:pPr>
              <w:pStyle w:val="TCTableBody"/>
              <w:jc w:val="center"/>
            </w:pPr>
            <w:r w:rsidRPr="001C4528">
              <w:t>0,00</w:t>
            </w:r>
          </w:p>
        </w:tc>
        <w:tc>
          <w:tcPr>
            <w:tcW w:w="940" w:type="dxa"/>
            <w:shd w:val="clear" w:color="000000" w:fill="FFFFFF"/>
            <w:noWrap/>
            <w:vAlign w:val="center"/>
            <w:hideMark/>
          </w:tcPr>
          <w:p w14:paraId="7D84E557" w14:textId="77777777" w:rsidR="009A2084" w:rsidRPr="001C4528" w:rsidRDefault="009A2084" w:rsidP="00997DF3">
            <w:pPr>
              <w:pStyle w:val="TCTableBody"/>
              <w:jc w:val="center"/>
            </w:pPr>
            <w:r w:rsidRPr="001C4528">
              <w:t>0,00</w:t>
            </w:r>
          </w:p>
        </w:tc>
        <w:tc>
          <w:tcPr>
            <w:tcW w:w="765" w:type="dxa"/>
            <w:shd w:val="clear" w:color="000000" w:fill="FFFFFF"/>
            <w:noWrap/>
            <w:vAlign w:val="center"/>
            <w:hideMark/>
          </w:tcPr>
          <w:p w14:paraId="6E5F430C" w14:textId="77777777" w:rsidR="009A2084" w:rsidRPr="001C4528" w:rsidRDefault="009A2084" w:rsidP="00997DF3">
            <w:pPr>
              <w:pStyle w:val="TCTableBody"/>
              <w:jc w:val="center"/>
            </w:pPr>
            <w:r w:rsidRPr="001C4528">
              <w:t>1,75</w:t>
            </w:r>
          </w:p>
        </w:tc>
        <w:tc>
          <w:tcPr>
            <w:tcW w:w="1310" w:type="dxa"/>
            <w:shd w:val="clear" w:color="000000" w:fill="FFFFFF"/>
            <w:noWrap/>
            <w:vAlign w:val="center"/>
            <w:hideMark/>
          </w:tcPr>
          <w:p w14:paraId="579C1AB8" w14:textId="77777777" w:rsidR="009A2084" w:rsidRPr="001C4528" w:rsidRDefault="009A2084" w:rsidP="00997DF3">
            <w:pPr>
              <w:pStyle w:val="TCTableBody"/>
              <w:jc w:val="center"/>
            </w:pPr>
            <w:r w:rsidRPr="001C4528">
              <w:t>140</w:t>
            </w:r>
          </w:p>
        </w:tc>
      </w:tr>
      <w:tr w:rsidR="00BF24DC" w:rsidRPr="00F73393" w14:paraId="744CCF98" w14:textId="77777777" w:rsidTr="00F50BEC">
        <w:trPr>
          <w:trHeight w:val="242"/>
        </w:trPr>
        <w:tc>
          <w:tcPr>
            <w:tcW w:w="776" w:type="dxa"/>
            <w:shd w:val="clear" w:color="000000" w:fill="FFFFFF"/>
            <w:noWrap/>
            <w:vAlign w:val="center"/>
            <w:hideMark/>
          </w:tcPr>
          <w:p w14:paraId="69ABD9B5" w14:textId="584795EF" w:rsidR="009A2084" w:rsidRPr="001C4528" w:rsidRDefault="009A2084" w:rsidP="00997DF3">
            <w:pPr>
              <w:pStyle w:val="TCTableBody"/>
              <w:jc w:val="center"/>
            </w:pPr>
            <w:r w:rsidRPr="001C4528">
              <w:t>11 (</w:t>
            </w:r>
            <w:r>
              <w:t>PC</w:t>
            </w:r>
            <w:r w:rsidRPr="001C4528">
              <w:t>)</w:t>
            </w:r>
          </w:p>
        </w:tc>
        <w:tc>
          <w:tcPr>
            <w:tcW w:w="937" w:type="dxa"/>
            <w:shd w:val="clear" w:color="000000" w:fill="FFFFFF"/>
            <w:noWrap/>
            <w:vAlign w:val="center"/>
            <w:hideMark/>
          </w:tcPr>
          <w:p w14:paraId="00CBDF62" w14:textId="77777777" w:rsidR="009A2084" w:rsidRPr="001C4528" w:rsidRDefault="009A2084" w:rsidP="00997DF3">
            <w:pPr>
              <w:pStyle w:val="TCTableBody"/>
              <w:jc w:val="center"/>
            </w:pPr>
            <w:r w:rsidRPr="001C4528">
              <w:t>0,00</w:t>
            </w:r>
          </w:p>
        </w:tc>
        <w:tc>
          <w:tcPr>
            <w:tcW w:w="940" w:type="dxa"/>
            <w:shd w:val="clear" w:color="000000" w:fill="FFFFFF"/>
            <w:noWrap/>
            <w:vAlign w:val="center"/>
            <w:hideMark/>
          </w:tcPr>
          <w:p w14:paraId="284551EC" w14:textId="77777777" w:rsidR="009A2084" w:rsidRPr="001C4528" w:rsidRDefault="009A2084" w:rsidP="00997DF3">
            <w:pPr>
              <w:pStyle w:val="TCTableBody"/>
              <w:jc w:val="center"/>
            </w:pPr>
            <w:r w:rsidRPr="001C4528">
              <w:t>0,00</w:t>
            </w:r>
          </w:p>
        </w:tc>
        <w:tc>
          <w:tcPr>
            <w:tcW w:w="765" w:type="dxa"/>
            <w:shd w:val="clear" w:color="000000" w:fill="FFFFFF"/>
            <w:noWrap/>
            <w:vAlign w:val="center"/>
            <w:hideMark/>
          </w:tcPr>
          <w:p w14:paraId="0664A1BB" w14:textId="77777777" w:rsidR="009A2084" w:rsidRPr="001C4528" w:rsidRDefault="009A2084" w:rsidP="00997DF3">
            <w:pPr>
              <w:pStyle w:val="TCTableBody"/>
              <w:jc w:val="center"/>
            </w:pPr>
            <w:r w:rsidRPr="001C4528">
              <w:t>1,75</w:t>
            </w:r>
          </w:p>
        </w:tc>
        <w:tc>
          <w:tcPr>
            <w:tcW w:w="1310" w:type="dxa"/>
            <w:shd w:val="clear" w:color="000000" w:fill="FFFFFF"/>
            <w:noWrap/>
            <w:vAlign w:val="center"/>
            <w:hideMark/>
          </w:tcPr>
          <w:p w14:paraId="5D9D3D7D" w14:textId="77777777" w:rsidR="009A2084" w:rsidRPr="001C4528" w:rsidRDefault="009A2084" w:rsidP="00997DF3">
            <w:pPr>
              <w:pStyle w:val="TCTableBody"/>
              <w:jc w:val="center"/>
            </w:pPr>
            <w:r w:rsidRPr="001C4528">
              <w:t>140</w:t>
            </w:r>
          </w:p>
        </w:tc>
      </w:tr>
    </w:tbl>
    <w:p w14:paraId="141647C8" w14:textId="18FC65E0" w:rsidR="009A2084" w:rsidRDefault="009A2084" w:rsidP="009A2084">
      <w:pPr>
        <w:pStyle w:val="Default"/>
        <w:jc w:val="both"/>
        <w:rPr>
          <w:rFonts w:ascii="Times New Roman" w:eastAsia="Times New Roman" w:hAnsi="Times New Roman" w:cs="Times New Roman"/>
          <w:i/>
          <w:iCs/>
          <w:color w:val="auto"/>
          <w:sz w:val="20"/>
          <w:szCs w:val="20"/>
        </w:rPr>
      </w:pPr>
    </w:p>
    <w:p w14:paraId="50F8E57E" w14:textId="0BEF1CEA" w:rsidR="001006D0" w:rsidRDefault="001006D0" w:rsidP="001006D0">
      <w:pPr>
        <w:pStyle w:val="TAMainText"/>
        <w:rPr>
          <w:rFonts w:ascii="Times New Roman" w:hAnsi="Times New Roman"/>
          <w:lang w:val="pt-BR"/>
        </w:rPr>
      </w:pPr>
      <w:r w:rsidRPr="00C85E14">
        <w:rPr>
          <w:rFonts w:ascii="Times New Roman" w:hAnsi="Times New Roman"/>
          <w:lang w:val="pt-BR"/>
        </w:rPr>
        <w:t>Consequentemente, o DCCR produziu 11 execuções experimentais, que compreendem 4 pontos fatoriais completos (níveis +1 e -1), 4 pontos axiais (níveis +</w:t>
      </w:r>
      <w:r w:rsidRPr="005D47BE">
        <w:rPr>
          <w:rFonts w:ascii="Times New Roman" w:hAnsi="Times New Roman"/>
        </w:rPr>
        <w:t>α</w:t>
      </w:r>
      <w:r w:rsidRPr="00C85E14">
        <w:rPr>
          <w:rFonts w:ascii="Times New Roman" w:hAnsi="Times New Roman"/>
          <w:lang w:val="pt-BR"/>
        </w:rPr>
        <w:t xml:space="preserve"> e -</w:t>
      </w:r>
      <w:r w:rsidRPr="005D47BE">
        <w:rPr>
          <w:rFonts w:ascii="Times New Roman" w:hAnsi="Times New Roman"/>
        </w:rPr>
        <w:t>α</w:t>
      </w:r>
      <w:r w:rsidRPr="00C85E14">
        <w:rPr>
          <w:rFonts w:ascii="Times New Roman" w:hAnsi="Times New Roman"/>
          <w:lang w:val="pt-BR"/>
        </w:rPr>
        <w:t>) 3 pontos centrais axiais (níveis normalizados em 0) para determinar o erro experimental</w:t>
      </w:r>
      <w:r w:rsidR="00EE4900">
        <w:rPr>
          <w:rFonts w:ascii="Times New Roman" w:hAnsi="Times New Roman"/>
          <w:lang w:val="pt-BR"/>
        </w:rPr>
        <w:t>.</w:t>
      </w:r>
    </w:p>
    <w:p w14:paraId="5F00759B" w14:textId="77777777" w:rsidR="00091A3C" w:rsidRPr="00C85E14" w:rsidRDefault="00091A3C" w:rsidP="001006D0">
      <w:pPr>
        <w:pStyle w:val="TAMainText"/>
        <w:rPr>
          <w:rFonts w:ascii="Times New Roman" w:hAnsi="Times New Roman"/>
          <w:lang w:val="pt-BR"/>
        </w:rPr>
      </w:pPr>
    </w:p>
    <w:p w14:paraId="136BD1AC" w14:textId="4DB64A4C" w:rsidR="00EA4E1B" w:rsidRDefault="00EA4E1B" w:rsidP="00EA4E1B">
      <w:pPr>
        <w:pStyle w:val="Ttulo2"/>
        <w:rPr>
          <w:rFonts w:ascii="Helvetica" w:hAnsi="Helvetica" w:cs="Helvetica"/>
          <w:sz w:val="24"/>
          <w:szCs w:val="24"/>
        </w:rPr>
      </w:pPr>
      <w:r w:rsidRPr="001F25B2">
        <w:rPr>
          <w:rFonts w:ascii="Helvetica" w:hAnsi="Helvetica" w:cs="Helvetica"/>
          <w:sz w:val="24"/>
          <w:szCs w:val="24"/>
        </w:rPr>
        <w:t>Resultados e Discussão</w:t>
      </w:r>
    </w:p>
    <w:p w14:paraId="44FC4F49" w14:textId="334652F0" w:rsidR="00D04B10" w:rsidRPr="00C85E14" w:rsidRDefault="00D04B10" w:rsidP="004F0E04">
      <w:pPr>
        <w:pStyle w:val="TAMainText"/>
        <w:rPr>
          <w:lang w:val="pt-BR"/>
        </w:rPr>
      </w:pPr>
      <w:r w:rsidRPr="00C85E14">
        <w:rPr>
          <w:lang w:val="pt-BR"/>
        </w:rPr>
        <w:t xml:space="preserve">O procedimento de carbonização e sulfonação </w:t>
      </w:r>
      <w:r w:rsidRPr="00C85E14">
        <w:rPr>
          <w:i/>
          <w:iCs/>
          <w:lang w:val="pt-BR"/>
        </w:rPr>
        <w:t>in situ</w:t>
      </w:r>
      <w:r w:rsidRPr="00C85E14">
        <w:rPr>
          <w:lang w:val="pt-BR"/>
        </w:rPr>
        <w:t xml:space="preserve"> foi otimizado com objetivo de se obter um carvão com características ácidas que favoreçam a sua aplicação na isomerização do limoneno.</w:t>
      </w:r>
      <w:r w:rsidR="00F50BEC">
        <w:rPr>
          <w:lang w:val="pt-BR"/>
        </w:rPr>
        <w:t xml:space="preserve"> Foram observadas </w:t>
      </w:r>
      <w:r w:rsidR="00F50BEC" w:rsidRPr="00BF24DC">
        <w:rPr>
          <w:lang w:val="pt-BR"/>
        </w:rPr>
        <w:t xml:space="preserve">quantidades de grupos ácidos totais </w:t>
      </w:r>
      <w:r w:rsidR="00F50BEC">
        <w:rPr>
          <w:lang w:val="pt-BR"/>
        </w:rPr>
        <w:t xml:space="preserve">(GAT) </w:t>
      </w:r>
      <w:r w:rsidR="00F50BEC" w:rsidRPr="00BF24DC">
        <w:rPr>
          <w:lang w:val="pt-BR"/>
        </w:rPr>
        <w:t>e as quantidades de grupos ácidos carboxílicos + sulfônicos</w:t>
      </w:r>
      <w:r w:rsidR="00F50BEC">
        <w:rPr>
          <w:lang w:val="pt-BR"/>
        </w:rPr>
        <w:t xml:space="preserve"> (GCS), onde </w:t>
      </w:r>
      <w:r w:rsidR="00F50BEC">
        <w:rPr>
          <w:rFonts w:ascii="Times New Roman" w:hAnsi="Times New Roman"/>
          <w:lang w:val="pt-BR"/>
        </w:rPr>
        <w:t xml:space="preserve">os grupos </w:t>
      </w:r>
      <w:r w:rsidR="00F50BEC">
        <w:rPr>
          <w:rFonts w:ascii="Times New Roman" w:hAnsi="Times New Roman"/>
          <w:lang w:val="pt-BR"/>
        </w:rPr>
        <w:lastRenderedPageBreak/>
        <w:t xml:space="preserve">ácidos totais consideram também os </w:t>
      </w:r>
      <w:r w:rsidR="00F50BEC" w:rsidRPr="006D051E">
        <w:rPr>
          <w:rFonts w:ascii="Times New Roman" w:hAnsi="Times New Roman"/>
          <w:lang w:val="pt-BR"/>
        </w:rPr>
        <w:t>grupos fenólicos</w:t>
      </w:r>
      <w:r w:rsidR="00F50BEC">
        <w:rPr>
          <w:rFonts w:ascii="Times New Roman" w:hAnsi="Times New Roman"/>
          <w:lang w:val="pt-BR"/>
        </w:rPr>
        <w:t xml:space="preserve"> e </w:t>
      </w:r>
      <w:proofErr w:type="spellStart"/>
      <w:r w:rsidR="00F50BEC">
        <w:rPr>
          <w:rFonts w:ascii="Times New Roman" w:hAnsi="Times New Roman"/>
          <w:lang w:val="pt-BR"/>
        </w:rPr>
        <w:t>lactônicos</w:t>
      </w:r>
      <w:proofErr w:type="spellEnd"/>
    </w:p>
    <w:p w14:paraId="144A0244" w14:textId="45F0E28C" w:rsidR="00091A3C" w:rsidRDefault="00942583" w:rsidP="00091A3C">
      <w:pPr>
        <w:pStyle w:val="TAMainText"/>
        <w:rPr>
          <w:rFonts w:ascii="Times New Roman" w:hAnsi="Times New Roman"/>
          <w:lang w:val="pt-BR"/>
        </w:rPr>
      </w:pPr>
      <w:r>
        <w:rPr>
          <w:rFonts w:ascii="Times New Roman" w:hAnsi="Times New Roman"/>
          <w:lang w:val="pt-BR"/>
        </w:rPr>
        <w:t>A presença desses grupos pode ser confirmada por espectros de FTI</w:t>
      </w:r>
      <w:r w:rsidR="00EB0FC0">
        <w:rPr>
          <w:rFonts w:ascii="Times New Roman" w:hAnsi="Times New Roman"/>
          <w:lang w:val="pt-BR"/>
        </w:rPr>
        <w:t>R (Figura 1)</w:t>
      </w:r>
      <w:r>
        <w:rPr>
          <w:rFonts w:ascii="Times New Roman" w:hAnsi="Times New Roman"/>
          <w:lang w:val="pt-BR"/>
        </w:rPr>
        <w:t xml:space="preserve">. </w:t>
      </w:r>
      <w:r w:rsidRPr="00175212">
        <w:rPr>
          <w:rFonts w:ascii="Times New Roman" w:hAnsi="Times New Roman"/>
          <w:lang w:val="pt-BR"/>
        </w:rPr>
        <w:t>As bandas em 1600, 1700 e 3400 cm</w:t>
      </w:r>
      <w:r w:rsidRPr="00175212">
        <w:rPr>
          <w:rFonts w:ascii="Times New Roman" w:hAnsi="Times New Roman"/>
          <w:vertAlign w:val="superscript"/>
          <w:lang w:val="pt-BR"/>
        </w:rPr>
        <w:t>-1</w:t>
      </w:r>
      <w:r w:rsidRPr="00175212">
        <w:rPr>
          <w:rFonts w:ascii="Times New Roman" w:hAnsi="Times New Roman"/>
          <w:lang w:val="pt-BR"/>
        </w:rPr>
        <w:t xml:space="preserve"> confirmam, respectivamente, a presença de grupos C=C, grupos C=O, que estão relacionadas aos grupos carboxílicos e </w:t>
      </w:r>
      <w:proofErr w:type="spellStart"/>
      <w:r w:rsidRPr="00175212">
        <w:rPr>
          <w:rFonts w:ascii="Times New Roman" w:hAnsi="Times New Roman"/>
          <w:lang w:val="pt-BR"/>
        </w:rPr>
        <w:t>lactônicos</w:t>
      </w:r>
      <w:proofErr w:type="spellEnd"/>
      <w:r w:rsidRPr="00175212">
        <w:rPr>
          <w:rFonts w:ascii="Times New Roman" w:hAnsi="Times New Roman"/>
          <w:lang w:val="pt-BR"/>
        </w:rPr>
        <w:t>, e grupos O-H, que estão relacionadas aos grupos fenólicos e carboxílicos. Já as bandas centradas em 1043, 1173 e 1396 cm</w:t>
      </w:r>
      <w:r w:rsidRPr="00175212">
        <w:rPr>
          <w:rFonts w:ascii="Times New Roman" w:hAnsi="Times New Roman"/>
          <w:vertAlign w:val="superscript"/>
          <w:lang w:val="pt-BR"/>
        </w:rPr>
        <w:t>-1</w:t>
      </w:r>
      <w:r w:rsidRPr="00175212">
        <w:rPr>
          <w:rFonts w:ascii="Times New Roman" w:hAnsi="Times New Roman"/>
          <w:lang w:val="pt-BR"/>
        </w:rPr>
        <w:t xml:space="preserve"> indica</w:t>
      </w:r>
      <w:r w:rsidR="00F50BEC">
        <w:rPr>
          <w:rFonts w:ascii="Times New Roman" w:hAnsi="Times New Roman"/>
          <w:lang w:val="pt-BR"/>
        </w:rPr>
        <w:t>ra</w:t>
      </w:r>
      <w:r w:rsidRPr="00175212">
        <w:rPr>
          <w:rFonts w:ascii="Times New Roman" w:hAnsi="Times New Roman"/>
          <w:lang w:val="pt-BR"/>
        </w:rPr>
        <w:t>m a presença dos grupos -SO</w:t>
      </w:r>
      <w:r w:rsidRPr="00175212">
        <w:rPr>
          <w:rFonts w:ascii="Times New Roman" w:hAnsi="Times New Roman"/>
          <w:vertAlign w:val="subscript"/>
          <w:lang w:val="pt-BR"/>
        </w:rPr>
        <w:t>3</w:t>
      </w:r>
      <w:r w:rsidRPr="00175212">
        <w:rPr>
          <w:rFonts w:ascii="Times New Roman" w:hAnsi="Times New Roman"/>
          <w:lang w:val="pt-BR"/>
        </w:rPr>
        <w:t xml:space="preserve">H  </w:t>
      </w:r>
      <w:r w:rsidRPr="0001094F">
        <w:rPr>
          <w:rFonts w:ascii="Times New Roman" w:hAnsi="Times New Roman"/>
        </w:rPr>
        <w:fldChar w:fldCharType="begin" w:fldLock="1"/>
      </w:r>
      <w:r w:rsidR="006911A5">
        <w:rPr>
          <w:rFonts w:ascii="Times New Roman" w:hAnsi="Times New Roman"/>
          <w:lang w:val="pt-BR"/>
        </w:rPr>
        <w:instrText>ADDIN CSL_CITATION {"citationItems":[{"id":"ITEM-1","itemData":{"DOI":"10.1016/j.catcom.2020.106229","ISSN":"15667367","abstract":"Sulfonated magnetic carbon nanoparticles (SMCNs) were synthesized from eucalyptus oil via co-pyrolysis with ferrocene and sulfonation by H2SO4. Catalytic performance of SMCNs for conversion of fructose to 5-hydroxymethylfurfural was examined within a designated range of reaction temperature (120–180 °C) and time (30–240 min). 84% conversion of fructose and 51.6% yield of 5-hydroxymethylfurfural could be achieved with catalyst-to-fructose mass ratio of 0.167 at 180 °C and the reaction time of 30 min. The magnetic property of SMCNs also facilitated recovery and recycling of the spent catalyst. Additionally, more than 50% yield of 5-hydroxymethylfurfural could be achieved after three cycles.","author":[{"dropping-particle":"","family":"Le","given":"Giang T.T.","non-dropping-particle":"","parse-names":false,"suffix":""},{"dropping-particle":"","family":"Arunaditya","given":"Kantapong","non-dropping-particle":"","parse-names":false,"suffix":""},{"dropping-particle":"","family":"Panichpol","given":"Jamekorn","non-dropping-particle":"","parse-names":false,"suffix":""},{"dropping-particle":"","family":"Rodruangnon","given":"Tanapat","non-dropping-particle":"","parse-names":false,"suffix":""},{"dropping-particle":"","family":"Thongratkaew","given":"Sutarat","non-dropping-particle":"","parse-names":false,"suffix":""},{"dropping-particle":"","family":"Chaipojjana","given":"Kawisa","non-dropping-particle":"","parse-names":false,"suffix":""},{"dropping-particle":"","family":"Faungnawakij","given":"Kajornsak","non-dropping-particle":"","parse-names":false,"suffix":""},{"dropping-particle":"","family":"Charinpanitkul","given":"Tawatchai","non-dropping-particle":"","parse-names":false,"suffix":""}],"container-title":"Catalysis Communications","id":"ITEM-1","issue":"November 2020","issued":{"date-parts":[["2021"]]},"page":"106229","publisher":"Elsevier B.V.","title":"Sulfonated magnetic carbon nanoparticles from eucalyptus oil as a green and sustainable catalyst for converting fructose to 5-HMF","type":"article-journal","volume":"149"},"uris":["http://www.mendeley.com/documents/?uuid=25328f4b-2e0a-448a-b6b6-a6b7242d9dcb"]},{"id":"ITEM-2","itemData":{"DOI":"10.1039/c7gc01691c","ISSN":"14639270","abstract":"The abundance in hydroxyl groups neighboring the hydrolytic site (β-1,4 glycosidic bonds) in cellulose forms a tightly packed crystalline structure, and hence, is a major challenge in cellulose depolymerization into fermentable sugars. Herein, we report on the synergistic effect of the carbocatalyst, graphene oxide (GO) and microwave irradiation (MW) on cellulose depolymerization in the absence of pretreatment. Results showed that microcrystalline cellulose (MCC) can be effectively depolymerized into glucose in as short as 30 s at 473 K (800 W). Generated yields without pretreatments were as high as 61 ± 4% within 60 min (200 W and 453 K), which has never been reported before to the best of our knowledge. The synergy of GO and MW was demonstrated by high heating rates and which allowed for the activation of in situ crystalline-to-amorphous transformations and suppressed immediate formation of degradation products. The activity of GO under MW was much higher than those of other solid acid catalysts such as Amberlyst 15, sulfated zirconia, and phosphotungstic acid due to the variety of surface functionalities and its high microwave absorptivity. The depolymerization mechanism was also discussed in terms of surface attrition of MCC as observed via scanning electron microscopy. On this basis, the proposed process offers an important strategy for cellulose depolymerization.","author":[{"dropping-particle":"","family":"Mission","given":"Elaine G.","non-dropping-particle":"","parse-names":false,"suffix":""},{"dropping-particle":"","family":"Quitain","given":"Armando T.","non-dropping-particle":"","parse-names":false,"suffix":""},{"dropping-particle":"","family":"Sasaki","given":"Mitsuru","non-dropping-particle":"","parse-names":false,"suffix":""},{"dropping-particle":"","family":"Kida","given":"Tetsuya","non-dropping-particle":"","parse-names":false,"suffix":""}],"container-title":"Green Chemistry","id":"ITEM-2","issue":"16","issued":{"date-parts":[["2017"]]},"page":"3831-3843","title":"Synergizing graphene oxide with microwave irradiation for efficient cellulose depolymerization into glucose","type":"article-journal","volume":"19"},"uris":["http://www.mendeley.com/documents/?uuid=14f024ba-6fcc-4005-8cb3-78a49c0e5ba1"]}],"mendeley":{"formattedCitation":"[12,13]","manualFormatting":"(12,13","plainTextFormattedCitation":"[12,13]","previouslyFormattedCitation":"[12,13]"},"properties":{"noteIndex":0},"schema":"https://github.com/citation-style-language/schema/raw/master/csl-citation.json"}</w:instrText>
      </w:r>
      <w:r w:rsidRPr="0001094F">
        <w:rPr>
          <w:rFonts w:ascii="Times New Roman" w:hAnsi="Times New Roman"/>
        </w:rPr>
        <w:fldChar w:fldCharType="separate"/>
      </w:r>
      <w:r w:rsidR="006911A5">
        <w:rPr>
          <w:rFonts w:ascii="Times New Roman" w:hAnsi="Times New Roman"/>
          <w:noProof/>
          <w:lang w:val="pt-BR"/>
        </w:rPr>
        <w:t>(</w:t>
      </w:r>
      <w:r w:rsidR="006911A5" w:rsidRPr="006911A5">
        <w:rPr>
          <w:rFonts w:ascii="Times New Roman" w:hAnsi="Times New Roman"/>
          <w:noProof/>
          <w:lang w:val="pt-BR"/>
        </w:rPr>
        <w:t>12,13</w:t>
      </w:r>
      <w:r w:rsidRPr="0001094F">
        <w:rPr>
          <w:rFonts w:ascii="Times New Roman" w:hAnsi="Times New Roman"/>
        </w:rPr>
        <w:fldChar w:fldCharType="end"/>
      </w:r>
      <w:r w:rsidR="006911A5" w:rsidRPr="00E63679">
        <w:rPr>
          <w:rFonts w:ascii="Times New Roman" w:hAnsi="Times New Roman"/>
          <w:lang w:val="pt-BR"/>
        </w:rPr>
        <w:t>)</w:t>
      </w:r>
      <w:r w:rsidRPr="00C85E14">
        <w:rPr>
          <w:rFonts w:ascii="Times New Roman" w:hAnsi="Times New Roman"/>
          <w:lang w:val="pt-BR"/>
        </w:rPr>
        <w:t>.</w:t>
      </w:r>
    </w:p>
    <w:p w14:paraId="381C9CCA" w14:textId="6B8FA5FD" w:rsidR="00EB0FC0" w:rsidRPr="00650632" w:rsidRDefault="00EB0FC0" w:rsidP="00EB0FC0">
      <w:pPr>
        <w:pStyle w:val="VAFigureCaption"/>
        <w:rPr>
          <w:rFonts w:ascii="Times New Roman" w:hAnsi="Times New Roman"/>
          <w:lang w:val="pt-BR"/>
        </w:rPr>
      </w:pPr>
      <w:r w:rsidRPr="00650632">
        <w:rPr>
          <w:b/>
          <w:bCs/>
          <w:noProof/>
          <w:lang w:val="pt-BR"/>
        </w:rPr>
        <w:t>Figura 1..</w:t>
      </w:r>
      <w:r w:rsidRPr="00650632">
        <w:rPr>
          <w:noProof/>
          <w:lang w:val="pt-BR"/>
        </w:rPr>
        <w:t xml:space="preserve"> Resultados de FTIR dos ensaios obtdos via DCCR</w:t>
      </w:r>
    </w:p>
    <w:p w14:paraId="018D106C" w14:textId="6214F0C1" w:rsidR="00CF711B" w:rsidRDefault="00CF711B" w:rsidP="00091A3C">
      <w:pPr>
        <w:pStyle w:val="TAMainText"/>
        <w:rPr>
          <w:lang w:val="pt-BR"/>
        </w:rPr>
      </w:pPr>
      <w:r>
        <w:rPr>
          <w:noProof/>
        </w:rPr>
        <w:drawing>
          <wp:anchor distT="0" distB="0" distL="114300" distR="114300" simplePos="0" relativeHeight="251662336" behindDoc="0" locked="0" layoutInCell="1" allowOverlap="1" wp14:anchorId="718765CA" wp14:editId="2FD91AC2">
            <wp:simplePos x="0" y="0"/>
            <wp:positionH relativeFrom="column">
              <wp:posOffset>542290</wp:posOffset>
            </wp:positionH>
            <wp:positionV relativeFrom="paragraph">
              <wp:posOffset>65405</wp:posOffset>
            </wp:positionV>
            <wp:extent cx="1935480" cy="1733550"/>
            <wp:effectExtent l="0" t="0" r="0" b="0"/>
            <wp:wrapSquare wrapText="bothSides"/>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9083"/>
                    <a:stretch/>
                  </pic:blipFill>
                  <pic:spPr bwMode="auto">
                    <a:xfrm>
                      <a:off x="0" y="0"/>
                      <a:ext cx="1935480" cy="1733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412330" w14:textId="2353A8D8" w:rsidR="00CF711B" w:rsidRDefault="00CF711B" w:rsidP="00091A3C">
      <w:pPr>
        <w:pStyle w:val="TAMainText"/>
        <w:rPr>
          <w:lang w:val="pt-BR"/>
        </w:rPr>
      </w:pPr>
    </w:p>
    <w:p w14:paraId="5E990208" w14:textId="77738D33" w:rsidR="00CF711B" w:rsidRDefault="00CF711B" w:rsidP="00091A3C">
      <w:pPr>
        <w:pStyle w:val="TAMainText"/>
        <w:rPr>
          <w:lang w:val="pt-BR"/>
        </w:rPr>
      </w:pPr>
    </w:p>
    <w:p w14:paraId="3F99FFB5" w14:textId="77777777" w:rsidR="00CF711B" w:rsidRDefault="00CF711B" w:rsidP="00091A3C">
      <w:pPr>
        <w:pStyle w:val="TAMainText"/>
        <w:rPr>
          <w:lang w:val="pt-BR"/>
        </w:rPr>
      </w:pPr>
    </w:p>
    <w:p w14:paraId="4710C451" w14:textId="77777777" w:rsidR="00CF711B" w:rsidRDefault="00CF711B" w:rsidP="00091A3C">
      <w:pPr>
        <w:pStyle w:val="TAMainText"/>
        <w:rPr>
          <w:lang w:val="pt-BR"/>
        </w:rPr>
      </w:pPr>
    </w:p>
    <w:p w14:paraId="121DE94D" w14:textId="77777777" w:rsidR="00CF711B" w:rsidRDefault="00CF711B" w:rsidP="00091A3C">
      <w:pPr>
        <w:pStyle w:val="TAMainText"/>
        <w:rPr>
          <w:lang w:val="pt-BR"/>
        </w:rPr>
      </w:pPr>
    </w:p>
    <w:p w14:paraId="3947093F" w14:textId="77777777" w:rsidR="00CF711B" w:rsidRDefault="00CF711B" w:rsidP="00091A3C">
      <w:pPr>
        <w:pStyle w:val="TAMainText"/>
        <w:rPr>
          <w:lang w:val="pt-BR"/>
        </w:rPr>
      </w:pPr>
    </w:p>
    <w:p w14:paraId="61415468" w14:textId="77777777" w:rsidR="00CF711B" w:rsidRDefault="00CF711B" w:rsidP="00091A3C">
      <w:pPr>
        <w:pStyle w:val="TAMainText"/>
        <w:rPr>
          <w:lang w:val="pt-BR"/>
        </w:rPr>
      </w:pPr>
    </w:p>
    <w:p w14:paraId="72A910C1" w14:textId="77777777" w:rsidR="00CF711B" w:rsidRDefault="00CF711B" w:rsidP="00091A3C">
      <w:pPr>
        <w:pStyle w:val="TAMainText"/>
        <w:rPr>
          <w:lang w:val="pt-BR"/>
        </w:rPr>
      </w:pPr>
    </w:p>
    <w:p w14:paraId="79E9412B" w14:textId="77777777" w:rsidR="00CF711B" w:rsidRDefault="00CF711B" w:rsidP="00091A3C">
      <w:pPr>
        <w:pStyle w:val="TAMainText"/>
        <w:rPr>
          <w:lang w:val="pt-BR"/>
        </w:rPr>
      </w:pPr>
    </w:p>
    <w:p w14:paraId="411D9B39" w14:textId="77777777" w:rsidR="00CF711B" w:rsidRDefault="00CF711B" w:rsidP="00091A3C">
      <w:pPr>
        <w:pStyle w:val="TAMainText"/>
        <w:rPr>
          <w:lang w:val="pt-BR"/>
        </w:rPr>
      </w:pPr>
    </w:p>
    <w:p w14:paraId="3F757325" w14:textId="77777777" w:rsidR="00CF711B" w:rsidRDefault="00CF711B" w:rsidP="00091A3C">
      <w:pPr>
        <w:pStyle w:val="TAMainText"/>
        <w:rPr>
          <w:lang w:val="pt-BR"/>
        </w:rPr>
      </w:pPr>
    </w:p>
    <w:p w14:paraId="36F2C596" w14:textId="6D3001A2" w:rsidR="00084D10" w:rsidRDefault="00084D10" w:rsidP="00091A3C">
      <w:pPr>
        <w:pStyle w:val="TAMainText"/>
        <w:rPr>
          <w:lang w:val="pt-BR"/>
        </w:rPr>
      </w:pPr>
      <w:r w:rsidRPr="00F8566C">
        <w:rPr>
          <w:lang w:val="pt-BR"/>
        </w:rPr>
        <w:t>A</w:t>
      </w:r>
      <w:r w:rsidR="00B16CED">
        <w:rPr>
          <w:lang w:val="pt-BR"/>
        </w:rPr>
        <w:t xml:space="preserve">   </w:t>
      </w:r>
      <w:r w:rsidRPr="00F8566C">
        <w:rPr>
          <w:lang w:val="pt-BR"/>
        </w:rPr>
        <w:t xml:space="preserve">figura </w:t>
      </w:r>
      <w:r w:rsidR="00EB0FC0">
        <w:rPr>
          <w:lang w:val="pt-BR"/>
        </w:rPr>
        <w:t>2</w:t>
      </w:r>
      <w:r w:rsidRPr="00F8566C">
        <w:rPr>
          <w:lang w:val="pt-BR"/>
        </w:rPr>
        <w:t xml:space="preserve"> demonstra os resultados obtidos na isomerização do limoneno. </w:t>
      </w:r>
      <w:r w:rsidR="00650632">
        <w:rPr>
          <w:lang w:val="pt-BR"/>
        </w:rPr>
        <w:t xml:space="preserve">Para garantir o acesso dos sítios ácidos do catalisador às moléculas de limoneno, os testes reacionais foram realizados sob agitação constante, mantendo assim, as partículas do catalisador em suspensão e sem interferência relacionada a limitação </w:t>
      </w:r>
      <w:proofErr w:type="spellStart"/>
      <w:r w:rsidR="00650632">
        <w:rPr>
          <w:lang w:val="pt-BR"/>
        </w:rPr>
        <w:t>difusional</w:t>
      </w:r>
      <w:proofErr w:type="spellEnd"/>
      <w:r w:rsidR="00650632">
        <w:rPr>
          <w:lang w:val="pt-BR"/>
        </w:rPr>
        <w:t>. Ressalta-se que reações em branco foram conduzida</w:t>
      </w:r>
      <w:r w:rsidR="00317402">
        <w:rPr>
          <w:lang w:val="pt-BR"/>
        </w:rPr>
        <w:t>s e nenhum produto da isomerização do limoneno foi observado. Já quando utilizado catalisador,</w:t>
      </w:r>
      <w:r w:rsidR="00650632">
        <w:rPr>
          <w:lang w:val="pt-BR"/>
        </w:rPr>
        <w:t xml:space="preserve"> </w:t>
      </w:r>
      <w:r w:rsidR="00317402">
        <w:rPr>
          <w:lang w:val="pt-BR"/>
        </w:rPr>
        <w:t>c</w:t>
      </w:r>
      <w:r w:rsidRPr="001006D0">
        <w:rPr>
          <w:lang w:val="pt-BR"/>
        </w:rPr>
        <w:t xml:space="preserve">onversões de Limoneno superiores a 90% foram obtidas para os ensaios 3 e os ensaios do ponto central, nos quais obteve-se aproximadamente 20, 11 e 17% de rendimento de </w:t>
      </w:r>
      <w:r w:rsidRPr="003927F8">
        <w:t>α</w:t>
      </w:r>
      <w:r w:rsidRPr="001006D0">
        <w:rPr>
          <w:lang w:val="pt-BR"/>
        </w:rPr>
        <w:t>-</w:t>
      </w:r>
      <w:proofErr w:type="spellStart"/>
      <w:r w:rsidRPr="001006D0">
        <w:rPr>
          <w:lang w:val="pt-BR"/>
        </w:rPr>
        <w:t>terpineno</w:t>
      </w:r>
      <w:proofErr w:type="spellEnd"/>
      <w:r w:rsidRPr="001006D0">
        <w:rPr>
          <w:lang w:val="pt-BR"/>
        </w:rPr>
        <w:t xml:space="preserve">, </w:t>
      </w:r>
      <w:r w:rsidRPr="003927F8">
        <w:t>γ</w:t>
      </w:r>
      <w:r w:rsidRPr="001006D0">
        <w:rPr>
          <w:lang w:val="pt-BR"/>
        </w:rPr>
        <w:t>-</w:t>
      </w:r>
      <w:proofErr w:type="spellStart"/>
      <w:r w:rsidRPr="001006D0">
        <w:rPr>
          <w:lang w:val="pt-BR"/>
        </w:rPr>
        <w:t>terpineno</w:t>
      </w:r>
      <w:proofErr w:type="spellEnd"/>
      <w:r w:rsidRPr="001006D0">
        <w:rPr>
          <w:lang w:val="pt-BR"/>
        </w:rPr>
        <w:t xml:space="preserve"> e </w:t>
      </w:r>
      <w:proofErr w:type="spellStart"/>
      <w:r w:rsidRPr="001006D0">
        <w:rPr>
          <w:lang w:val="pt-BR"/>
        </w:rPr>
        <w:t>terpinoleno</w:t>
      </w:r>
      <w:proofErr w:type="spellEnd"/>
      <w:r w:rsidRPr="001006D0">
        <w:rPr>
          <w:lang w:val="pt-BR"/>
        </w:rPr>
        <w:t xml:space="preserve">, respectivamente. A diferença de balanço de massa para todos os ensaios foi devida, provavelmente, a reações de </w:t>
      </w:r>
      <w:proofErr w:type="spellStart"/>
      <w:r w:rsidRPr="001006D0">
        <w:rPr>
          <w:lang w:val="pt-BR"/>
        </w:rPr>
        <w:t>oligomerização</w:t>
      </w:r>
      <w:proofErr w:type="spellEnd"/>
      <w:r w:rsidRPr="001006D0">
        <w:rPr>
          <w:lang w:val="pt-BR"/>
        </w:rPr>
        <w:t xml:space="preserve">. </w:t>
      </w:r>
    </w:p>
    <w:p w14:paraId="56A0BF50" w14:textId="7C7764E9" w:rsidR="00091A3C" w:rsidRDefault="00091A3C" w:rsidP="00091A3C">
      <w:pPr>
        <w:pStyle w:val="TAMainText"/>
        <w:rPr>
          <w:color w:val="000000"/>
          <w:lang w:val="pt-BR"/>
        </w:rPr>
      </w:pPr>
      <w:r w:rsidRPr="001006D0">
        <w:rPr>
          <w:lang w:val="pt-BR"/>
        </w:rPr>
        <w:t>Resultados semelhantes foram observados por Costa e colaboradores</w:t>
      </w:r>
      <w:r>
        <w:rPr>
          <w:lang w:val="pt-BR"/>
        </w:rPr>
        <w:t xml:space="preserve"> </w:t>
      </w:r>
      <w:r w:rsidRPr="003927F8">
        <w:fldChar w:fldCharType="begin" w:fldLock="1"/>
      </w:r>
      <w:r>
        <w:rPr>
          <w:lang w:val="pt-BR"/>
        </w:rPr>
        <w:instrText>ADDIN CSL_CITATION {"citationItems":[{"id":"ITEM-1","itemData":{"author":[{"dropping-particle":"V","family":"Costa","given":"Vinícius","non-dropping-particle":"","parse-names":false,"suffix":""},{"dropping-particle":"","family":"Silva","given":"A","non-dropping-particle":"","parse-names":false,"suffix":""},{"dropping-particle":"V","family":"Kozhevnikov","given":"Ivan","non-dropping-particle":"","parse-names":false,"suffix":""},{"dropping-particle":"","family":"Kozhevnikova","given":"F","non-dropping-particle":"","parse-names":false,"suffix":""},{"dropping-particle":"V","family":"Gusevskaya","given":"Elena","non-dropping-particle":"","parse-names":false,"suffix":""}],"id":"ITEM-1","issued":{"date-parts":[["2012"]]},"page":"1-7","title":"Heteropoly acid catalysts for the synthesis of fragrance compounds from biorenewables : isomerization of limonene oxide Supplementary Information Table of contents Catalyst characterization data---------------------------------------------------------S2 P","type":"article-journal"},"uris":["http://www.mendeley.com/documents/?uuid=d11eefec-acf7-4904-ba8b-87f32ceba041"]}],"mendeley":{"formattedCitation":"[14]","manualFormatting":"(13","plainTextFormattedCitation":"[14]","previouslyFormattedCitation":"[14]"},"properties":{"noteIndex":0},"schema":"https://github.com/citation-style-language/schema/raw/master/csl-citation.json"}</w:instrText>
      </w:r>
      <w:r w:rsidRPr="003927F8">
        <w:fldChar w:fldCharType="separate"/>
      </w:r>
      <w:r w:rsidRPr="00745924">
        <w:rPr>
          <w:noProof/>
          <w:lang w:val="pt-BR"/>
        </w:rPr>
        <w:t>(</w:t>
      </w:r>
      <w:r w:rsidRPr="001006D0">
        <w:rPr>
          <w:noProof/>
          <w:lang w:val="pt-BR"/>
        </w:rPr>
        <w:t>1</w:t>
      </w:r>
      <w:r>
        <w:rPr>
          <w:noProof/>
          <w:lang w:val="pt-BR"/>
        </w:rPr>
        <w:t>3</w:t>
      </w:r>
      <w:r w:rsidRPr="003927F8">
        <w:fldChar w:fldCharType="end"/>
      </w:r>
      <w:r w:rsidRPr="00745924">
        <w:rPr>
          <w:lang w:val="pt-BR"/>
        </w:rPr>
        <w:t>)</w:t>
      </w:r>
      <w:r w:rsidRPr="001006D0">
        <w:rPr>
          <w:lang w:val="pt-BR"/>
        </w:rPr>
        <w:t>, os quais também observaram a presença de oligômeros em seus estudos catalíticos.</w:t>
      </w:r>
      <w:r>
        <w:rPr>
          <w:lang w:val="pt-BR"/>
        </w:rPr>
        <w:t xml:space="preserve"> Na mesma condição, </w:t>
      </w:r>
      <w:proofErr w:type="spellStart"/>
      <w:r w:rsidRPr="00745924">
        <w:rPr>
          <w:color w:val="000000"/>
          <w:lang w:val="pt-BR"/>
        </w:rPr>
        <w:t>Retajczyk</w:t>
      </w:r>
      <w:proofErr w:type="spellEnd"/>
      <w:r w:rsidRPr="00745924">
        <w:rPr>
          <w:color w:val="000000"/>
          <w:lang w:val="pt-BR"/>
        </w:rPr>
        <w:t xml:space="preserve"> e colaboradores</w:t>
      </w:r>
      <w:r>
        <w:rPr>
          <w:lang w:val="pt-BR"/>
        </w:rPr>
        <w:t xml:space="preserve"> (2)</w:t>
      </w:r>
      <w:r>
        <w:rPr>
          <w:color w:val="000000"/>
          <w:lang w:val="pt-BR"/>
        </w:rPr>
        <w:t xml:space="preserve"> converteram 14% de limoneno, e obtiveram 5 e 2% de </w:t>
      </w:r>
      <w:proofErr w:type="spellStart"/>
      <w:r>
        <w:rPr>
          <w:color w:val="000000"/>
          <w:lang w:val="pt-BR"/>
        </w:rPr>
        <w:t>terpinoleno</w:t>
      </w:r>
      <w:proofErr w:type="spellEnd"/>
      <w:r>
        <w:rPr>
          <w:color w:val="000000"/>
          <w:lang w:val="pt-BR"/>
        </w:rPr>
        <w:t xml:space="preserve"> e </w:t>
      </w:r>
      <w:r>
        <w:rPr>
          <w:i/>
          <w:iCs/>
          <w:color w:val="000000"/>
          <w:lang w:val="pt-BR"/>
        </w:rPr>
        <w:t>p</w:t>
      </w:r>
      <w:r>
        <w:rPr>
          <w:color w:val="000000"/>
          <w:lang w:val="pt-BR"/>
        </w:rPr>
        <w:t>-</w:t>
      </w:r>
      <w:proofErr w:type="spellStart"/>
      <w:r>
        <w:rPr>
          <w:color w:val="000000"/>
          <w:lang w:val="pt-BR"/>
        </w:rPr>
        <w:t>cimeno</w:t>
      </w:r>
      <w:proofErr w:type="spellEnd"/>
      <w:r>
        <w:rPr>
          <w:color w:val="000000"/>
          <w:lang w:val="pt-BR"/>
        </w:rPr>
        <w:t>, respectivamente.</w:t>
      </w:r>
    </w:p>
    <w:p w14:paraId="66296411" w14:textId="3F27C691" w:rsidR="00091A3C" w:rsidRPr="00EB0FC0" w:rsidRDefault="00091A3C" w:rsidP="00EB0FC0">
      <w:pPr>
        <w:pStyle w:val="TAMainText"/>
        <w:rPr>
          <w:lang w:val="pt-BR"/>
        </w:rPr>
      </w:pPr>
      <w:r w:rsidRPr="001006D0">
        <w:rPr>
          <w:lang w:val="pt-BR"/>
        </w:rPr>
        <w:t xml:space="preserve">Avaliando os dados obtidos via análise DCCR pode-se obter as superfícies de resposta mostradas nas Figuras </w:t>
      </w:r>
      <w:r w:rsidR="00F50BEC">
        <w:rPr>
          <w:lang w:val="pt-BR"/>
        </w:rPr>
        <w:t>2</w:t>
      </w:r>
      <w:r w:rsidRPr="001006D0">
        <w:rPr>
          <w:lang w:val="pt-BR"/>
        </w:rPr>
        <w:t xml:space="preserve"> a </w:t>
      </w:r>
      <w:r w:rsidR="00F50BEC">
        <w:rPr>
          <w:lang w:val="pt-BR"/>
        </w:rPr>
        <w:t>5</w:t>
      </w:r>
      <w:r>
        <w:rPr>
          <w:lang w:val="pt-BR"/>
        </w:rPr>
        <w:t>, que foram obtidas com tempo de reação fixado em 2h, o qual foi observado em que a maioria das reações iniciou o estado de equilíbrio.</w:t>
      </w:r>
      <w:r w:rsidRPr="001006D0">
        <w:rPr>
          <w:lang w:val="pt-BR"/>
        </w:rPr>
        <w:t xml:space="preserve"> Os resultados do DCCR indicaram que houve variação significativa das respostas no espaço experimental investigado. Os modelos estatísticos foram ajustados com base nos dados experimentais. Por meio de uma ANOVA, verificou-se que o</w:t>
      </w:r>
      <w:r>
        <w:rPr>
          <w:lang w:val="pt-BR"/>
        </w:rPr>
        <w:t>s</w:t>
      </w:r>
      <w:r w:rsidRPr="001006D0">
        <w:rPr>
          <w:lang w:val="pt-BR"/>
        </w:rPr>
        <w:t xml:space="preserve"> modelo</w:t>
      </w:r>
      <w:r>
        <w:rPr>
          <w:lang w:val="pt-BR"/>
        </w:rPr>
        <w:t>s</w:t>
      </w:r>
      <w:r w:rsidRPr="001006D0">
        <w:rPr>
          <w:lang w:val="pt-BR"/>
        </w:rPr>
        <w:t xml:space="preserve"> apresent</w:t>
      </w:r>
      <w:r>
        <w:rPr>
          <w:lang w:val="pt-BR"/>
        </w:rPr>
        <w:t>aram</w:t>
      </w:r>
      <w:r w:rsidRPr="001006D0">
        <w:rPr>
          <w:lang w:val="pt-BR"/>
        </w:rPr>
        <w:t xml:space="preserve"> regressão </w:t>
      </w:r>
      <w:r w:rsidRPr="001006D0">
        <w:rPr>
          <w:lang w:val="pt-BR"/>
        </w:rPr>
        <w:t>significativa e falta de ajuste não significativa, ambos a 90% de confiança. O valor do coeficiente de determinação</w:t>
      </w:r>
      <w:r>
        <w:rPr>
          <w:lang w:val="pt-BR"/>
        </w:rPr>
        <w:t xml:space="preserve"> (R²)</w:t>
      </w:r>
      <w:r w:rsidRPr="001006D0">
        <w:rPr>
          <w:lang w:val="pt-BR"/>
        </w:rPr>
        <w:t xml:space="preserve"> encontrado foi &gt;0,7, demonstrando boa correlação entre os valores preditos e experimentais. </w:t>
      </w:r>
      <w:r w:rsidRPr="003927F8">
        <w:rPr>
          <w:lang w:val="pt-BR"/>
        </w:rPr>
        <w:t>Segundo Rodrigue</w:t>
      </w:r>
      <w:r>
        <w:rPr>
          <w:lang w:val="pt-BR"/>
        </w:rPr>
        <w:t>s</w:t>
      </w:r>
      <w:r w:rsidRPr="003927F8">
        <w:rPr>
          <w:lang w:val="pt-BR"/>
        </w:rPr>
        <w:t xml:space="preserve"> e </w:t>
      </w:r>
      <w:proofErr w:type="spellStart"/>
      <w:r w:rsidRPr="003927F8">
        <w:rPr>
          <w:lang w:val="pt-BR"/>
        </w:rPr>
        <w:t>Iemma</w:t>
      </w:r>
      <w:proofErr w:type="spellEnd"/>
      <w:r w:rsidRPr="003927F8">
        <w:rPr>
          <w:lang w:val="pt-BR"/>
        </w:rPr>
        <w:t xml:space="preserve"> </w:t>
      </w:r>
      <w:r w:rsidRPr="003927F8">
        <w:fldChar w:fldCharType="begin" w:fldLock="1"/>
      </w:r>
      <w:r>
        <w:rPr>
          <w:lang w:val="pt-BR"/>
        </w:rPr>
        <w:instrText>ADDIN CSL_CITATION {"citationItems":[{"id":"ITEM-1","itemData":{"DOI":"10.1201/b17848","ISBN":"9781482299564","abstract":"Experimental Design and Process Optimization delves deep into the design of experiments (DOE). The book includes Central Composite Rotational Design (CCRD), fractional factorial, and Plackett and Burman designs as a means to solve challenges in research and development as well as a tool for the improvement of the processes already implemented. Appropriate strategies for 2 to 32 factors are covered in detail in the book. The book covers the essentials of statistical science to assist readers in understanding and applying the concepts presented. It also presents numerous examples of applications using this methodology. The authors are not only experts in the field but also have significant practical experience. This allows them to discuss the application of the theoretical aspects discussed through various real-world case studies.","author":[{"dropping-particle":"","family":"Rodrigues","given":"Maria Isabel","non-dropping-particle":"","parse-names":false,"suffix":""},{"dropping-particle":"","family":"Iemma","given":"Antonio Francisco","non-dropping-particle":"","parse-names":false,"suffix":""}],"container-title":"Experimental Design and Process Optimization","id":"ITEM-1","issued":{"date-parts":[["2014"]]},"number-of-pages":"1-304","title":"Experimental design and process optimization","type":"book"},"uris":["http://www.mendeley.com/documents/?uuid=1a28898e-3ce9-4fa3-b449-db80ced52318"]}],"mendeley":{"formattedCitation":"[15]","manualFormatting":"(1","plainTextFormattedCitation":"[15]","previouslyFormattedCitation":"[15]"},"properties":{"noteIndex":0},"schema":"https://github.com/citation-style-language/schema/raw/master/csl-citation.json"}</w:instrText>
      </w:r>
      <w:r w:rsidRPr="003927F8">
        <w:fldChar w:fldCharType="separate"/>
      </w:r>
      <w:r w:rsidRPr="003927F8">
        <w:rPr>
          <w:noProof/>
          <w:lang w:val="pt-BR"/>
        </w:rPr>
        <w:t>(1</w:t>
      </w:r>
      <w:r w:rsidRPr="003927F8">
        <w:fldChar w:fldCharType="end"/>
      </w:r>
      <w:r w:rsidRPr="00745924">
        <w:rPr>
          <w:lang w:val="pt-BR"/>
        </w:rPr>
        <w:t>4</w:t>
      </w:r>
      <w:r w:rsidRPr="003927F8">
        <w:rPr>
          <w:lang w:val="pt-BR"/>
        </w:rPr>
        <w:t xml:space="preserve">), processos que envolvem a avaliação de </w:t>
      </w:r>
      <w:r>
        <w:rPr>
          <w:lang w:val="pt-BR"/>
        </w:rPr>
        <w:t>estudo catalítico</w:t>
      </w:r>
      <w:r w:rsidRPr="003927F8">
        <w:rPr>
          <w:lang w:val="pt-BR"/>
        </w:rPr>
        <w:t xml:space="preserve"> ou síntese de materiais podem utilizar valores de R</w:t>
      </w:r>
      <w:r w:rsidRPr="003927F8">
        <w:rPr>
          <w:vertAlign w:val="superscript"/>
          <w:lang w:val="pt-BR"/>
        </w:rPr>
        <w:t>2</w:t>
      </w:r>
      <w:r w:rsidRPr="003927F8">
        <w:rPr>
          <w:lang w:val="pt-BR"/>
        </w:rPr>
        <w:t xml:space="preserve">  ≥ 0,7 como aceitáveis e o</w:t>
      </w:r>
      <w:r w:rsidRPr="00165467">
        <w:rPr>
          <w:i/>
          <w:iCs/>
          <w:lang w:val="pt-BR"/>
        </w:rPr>
        <w:t xml:space="preserve"> p</w:t>
      </w:r>
      <w:r w:rsidRPr="003927F8">
        <w:rPr>
          <w:lang w:val="pt-BR"/>
        </w:rPr>
        <w:t xml:space="preserve">-valor deve ser inferior ou igual a 0,1. </w:t>
      </w:r>
      <w:r w:rsidRPr="001006D0">
        <w:rPr>
          <w:lang w:val="pt-BR"/>
        </w:rPr>
        <w:t>Isso porque processos envolvendo síntese de materiais ou de catálise possuem variabilidade</w:t>
      </w:r>
      <w:r>
        <w:rPr>
          <w:lang w:val="pt-BR"/>
        </w:rPr>
        <w:t xml:space="preserve"> considerável</w:t>
      </w:r>
      <w:r w:rsidRPr="001006D0">
        <w:rPr>
          <w:lang w:val="pt-BR"/>
        </w:rPr>
        <w:t>, que é característic</w:t>
      </w:r>
      <w:r>
        <w:rPr>
          <w:lang w:val="pt-BR"/>
        </w:rPr>
        <w:t>a</w:t>
      </w:r>
      <w:r w:rsidRPr="001006D0">
        <w:rPr>
          <w:lang w:val="pt-BR"/>
        </w:rPr>
        <w:t xml:space="preserve"> desses </w:t>
      </w:r>
      <w:r>
        <w:rPr>
          <w:lang w:val="pt-BR"/>
        </w:rPr>
        <w:t>sistemas</w:t>
      </w:r>
      <w:r w:rsidRPr="001006D0">
        <w:rPr>
          <w:lang w:val="pt-BR"/>
        </w:rPr>
        <w:t>.</w:t>
      </w:r>
      <w:r>
        <w:rPr>
          <w:lang w:val="pt-BR"/>
        </w:rPr>
        <w:t xml:space="preserve"> </w:t>
      </w:r>
      <w:r w:rsidRPr="001006D0">
        <w:rPr>
          <w:lang w:val="pt-BR"/>
        </w:rPr>
        <w:t>Portanto, o</w:t>
      </w:r>
      <w:r>
        <w:rPr>
          <w:lang w:val="pt-BR"/>
        </w:rPr>
        <w:t>s</w:t>
      </w:r>
      <w:r w:rsidRPr="001006D0">
        <w:rPr>
          <w:lang w:val="pt-BR"/>
        </w:rPr>
        <w:t xml:space="preserve"> modelo</w:t>
      </w:r>
      <w:r>
        <w:rPr>
          <w:lang w:val="pt-BR"/>
        </w:rPr>
        <w:t>s</w:t>
      </w:r>
      <w:r w:rsidRPr="001006D0">
        <w:rPr>
          <w:lang w:val="pt-BR"/>
        </w:rPr>
        <w:t xml:space="preserve"> apresent</w:t>
      </w:r>
      <w:r>
        <w:rPr>
          <w:lang w:val="pt-BR"/>
        </w:rPr>
        <w:t>aram</w:t>
      </w:r>
      <w:r w:rsidRPr="001006D0">
        <w:rPr>
          <w:lang w:val="pt-BR"/>
        </w:rPr>
        <w:t xml:space="preserve"> parâmetros adequados para descrever as tendências observadas no espaço experimental</w:t>
      </w:r>
      <w:r>
        <w:rPr>
          <w:lang w:val="pt-BR"/>
        </w:rPr>
        <w:t xml:space="preserve"> investigado.</w:t>
      </w:r>
    </w:p>
    <w:p w14:paraId="5651B141" w14:textId="250742CB" w:rsidR="003F625A" w:rsidRDefault="003F625A" w:rsidP="008144A0">
      <w:pPr>
        <w:pStyle w:val="VAFigureCaption"/>
        <w:rPr>
          <w:noProof/>
          <w:lang w:val="pt-BR"/>
        </w:rPr>
      </w:pPr>
      <w:r w:rsidRPr="003F625A">
        <w:rPr>
          <w:b/>
          <w:bCs/>
          <w:noProof/>
          <w:lang w:val="pt-BR"/>
        </w:rPr>
        <w:t xml:space="preserve">Figura </w:t>
      </w:r>
      <w:r w:rsidR="00EB0FC0">
        <w:rPr>
          <w:b/>
          <w:bCs/>
          <w:noProof/>
          <w:lang w:val="pt-BR"/>
        </w:rPr>
        <w:t>2</w:t>
      </w:r>
      <w:r w:rsidRPr="003F625A">
        <w:rPr>
          <w:b/>
          <w:bCs/>
          <w:noProof/>
          <w:lang w:val="pt-BR"/>
        </w:rPr>
        <w:t>.</w:t>
      </w:r>
      <w:r>
        <w:rPr>
          <w:noProof/>
          <w:lang w:val="pt-BR"/>
        </w:rPr>
        <w:t xml:space="preserve"> </w:t>
      </w:r>
      <w:r w:rsidRPr="001A659B">
        <w:rPr>
          <w:noProof/>
          <w:lang w:val="pt-BR"/>
        </w:rPr>
        <w:t>Resultados catalíticos da isomerização do limoneno para os carvões  (reação foram realizadas em um balão de fundo redondo de duas bocas aquecido em banho de óleo e equipado com um condensador de refluxo. 30 mmol de limoneno, catalisador 15% em peso, T = 150ºC).</w:t>
      </w:r>
    </w:p>
    <w:p w14:paraId="1C5A9B57" w14:textId="21405861" w:rsidR="000D269A" w:rsidRPr="000D269A" w:rsidRDefault="000D269A" w:rsidP="000D269A">
      <w:pPr>
        <w:rPr>
          <w:lang w:eastAsia="pt-BR"/>
        </w:rPr>
      </w:pPr>
      <w:r>
        <w:rPr>
          <w:noProof/>
          <w:lang w:eastAsia="pt-BR"/>
        </w:rPr>
        <w:drawing>
          <wp:inline distT="0" distB="0" distL="0" distR="0" wp14:anchorId="480AB16C" wp14:editId="3A5AC916">
            <wp:extent cx="3040083" cy="5177155"/>
            <wp:effectExtent l="0" t="0" r="0" b="4445"/>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m 27"/>
                    <pic:cNvPicPr/>
                  </pic:nvPicPr>
                  <pic:blipFill rotWithShape="1">
                    <a:blip r:embed="rId10" cstate="print">
                      <a:extLst>
                        <a:ext uri="{28A0092B-C50C-407E-A947-70E740481C1C}">
                          <a14:useLocalDpi xmlns:a14="http://schemas.microsoft.com/office/drawing/2010/main" val="0"/>
                        </a:ext>
                      </a:extLst>
                    </a:blip>
                    <a:srcRect t="2083" b="2070"/>
                    <a:stretch/>
                  </pic:blipFill>
                  <pic:spPr bwMode="auto">
                    <a:xfrm>
                      <a:off x="0" y="0"/>
                      <a:ext cx="3054167" cy="5201139"/>
                    </a:xfrm>
                    <a:prstGeom prst="rect">
                      <a:avLst/>
                    </a:prstGeom>
                    <a:ln>
                      <a:noFill/>
                    </a:ln>
                    <a:extLst>
                      <a:ext uri="{53640926-AAD7-44D8-BBD7-CCE9431645EC}">
                        <a14:shadowObscured xmlns:a14="http://schemas.microsoft.com/office/drawing/2010/main"/>
                      </a:ext>
                    </a:extLst>
                  </pic:spPr>
                </pic:pic>
              </a:graphicData>
            </a:graphic>
          </wp:inline>
        </w:drawing>
      </w:r>
    </w:p>
    <w:p w14:paraId="1BC94E12" w14:textId="4E77871C" w:rsidR="00C20A06" w:rsidRDefault="00B16CED" w:rsidP="00CF711B">
      <w:pPr>
        <w:pStyle w:val="TAMainText"/>
        <w:ind w:firstLine="0"/>
        <w:rPr>
          <w:noProof/>
          <w:lang w:val="pt-BR"/>
        </w:rPr>
      </w:pPr>
      <w:r w:rsidRPr="00B16CED">
        <w:rPr>
          <w:lang w:val="pt-BR"/>
        </w:rPr>
        <w:t>Com base no modelo obtido</w:t>
      </w:r>
      <w:r>
        <w:rPr>
          <w:lang w:val="pt-BR"/>
        </w:rPr>
        <w:t xml:space="preserve"> (Figura </w:t>
      </w:r>
      <w:r w:rsidR="00CF711B">
        <w:rPr>
          <w:lang w:val="pt-BR"/>
        </w:rPr>
        <w:t>3</w:t>
      </w:r>
      <w:r>
        <w:rPr>
          <w:lang w:val="pt-BR"/>
        </w:rPr>
        <w:t>)</w:t>
      </w:r>
      <w:r w:rsidRPr="00B16CED">
        <w:rPr>
          <w:lang w:val="pt-BR"/>
        </w:rPr>
        <w:t xml:space="preserve">, observou-se que a quantidade de GAT foi influenciada pelas duas variáveis </w:t>
      </w:r>
      <w:r w:rsidRPr="00B16CED">
        <w:rPr>
          <w:lang w:val="pt-BR"/>
        </w:rPr>
        <w:lastRenderedPageBreak/>
        <w:t xml:space="preserve">investigadas, bem como por um efeito de interação entre elas. De modo geral, tanto um aumento da temperatura quanto um aumento da razão </w:t>
      </w:r>
      <w:r w:rsidR="00DE70A0" w:rsidRPr="001006D0">
        <w:rPr>
          <w:lang w:val="pt-BR"/>
        </w:rPr>
        <w:t>H</w:t>
      </w:r>
      <w:r w:rsidR="00DE70A0" w:rsidRPr="001006D0">
        <w:rPr>
          <w:vertAlign w:val="subscript"/>
          <w:lang w:val="pt-BR"/>
        </w:rPr>
        <w:t>2</w:t>
      </w:r>
      <w:r w:rsidR="00DE70A0" w:rsidRPr="001006D0">
        <w:rPr>
          <w:lang w:val="pt-BR"/>
        </w:rPr>
        <w:t>SO</w:t>
      </w:r>
      <w:r w:rsidR="00DE70A0" w:rsidRPr="001006D0">
        <w:rPr>
          <w:vertAlign w:val="subscript"/>
          <w:lang w:val="pt-BR"/>
        </w:rPr>
        <w:t>4</w:t>
      </w:r>
      <w:r w:rsidRPr="00B16CED">
        <w:rPr>
          <w:lang w:val="pt-BR"/>
        </w:rPr>
        <w:t xml:space="preserve">:glicose acarretaram num aumento da quantidade de GAT. No entanto, o efeito da temperatura só foi significativo quando esta foi associada com uma maior quantidade de </w:t>
      </w:r>
      <w:r w:rsidR="00EE4900" w:rsidRPr="001006D0">
        <w:rPr>
          <w:lang w:val="pt-BR"/>
        </w:rPr>
        <w:t>H</w:t>
      </w:r>
      <w:r w:rsidR="00EE4900" w:rsidRPr="001006D0">
        <w:rPr>
          <w:vertAlign w:val="subscript"/>
          <w:lang w:val="pt-BR"/>
        </w:rPr>
        <w:t>2</w:t>
      </w:r>
      <w:r w:rsidR="00EE4900" w:rsidRPr="001006D0">
        <w:rPr>
          <w:lang w:val="pt-BR"/>
        </w:rPr>
        <w:t>SO</w:t>
      </w:r>
      <w:r w:rsidR="00EE4900" w:rsidRPr="001006D0">
        <w:rPr>
          <w:vertAlign w:val="subscript"/>
          <w:lang w:val="pt-BR"/>
        </w:rPr>
        <w:t>4</w:t>
      </w:r>
      <w:r w:rsidRPr="00B16CED">
        <w:rPr>
          <w:lang w:val="pt-BR"/>
        </w:rPr>
        <w:t xml:space="preserve">. Para razões </w:t>
      </w:r>
      <w:r w:rsidR="00EE4900" w:rsidRPr="001006D0">
        <w:rPr>
          <w:lang w:val="pt-BR"/>
        </w:rPr>
        <w:t>H</w:t>
      </w:r>
      <w:r w:rsidR="00EE4900" w:rsidRPr="001006D0">
        <w:rPr>
          <w:vertAlign w:val="subscript"/>
          <w:lang w:val="pt-BR"/>
        </w:rPr>
        <w:t>2</w:t>
      </w:r>
      <w:r w:rsidR="00EE4900" w:rsidRPr="001006D0">
        <w:rPr>
          <w:lang w:val="pt-BR"/>
        </w:rPr>
        <w:t>SO</w:t>
      </w:r>
      <w:r w:rsidR="00EE4900" w:rsidRPr="001006D0">
        <w:rPr>
          <w:vertAlign w:val="subscript"/>
          <w:lang w:val="pt-BR"/>
        </w:rPr>
        <w:t>4</w:t>
      </w:r>
      <w:r w:rsidRPr="00B16CED">
        <w:rPr>
          <w:lang w:val="pt-BR"/>
        </w:rPr>
        <w:t>:glicose mais baixas, não se observou aumento expressivo da quantidade de GAT quando a temperatura foi aumentada. A quantidade de GCS não sofreu variações significativas no espaço investigado, ou seja, nenhuma das duas variáveis afetou de maneira significativa a quantidade de GCS presente nos catalisadores</w:t>
      </w:r>
      <w:r w:rsidR="00C20A06" w:rsidRPr="003927F8">
        <w:rPr>
          <w:noProof/>
          <w:lang w:val="pt-BR"/>
        </w:rPr>
        <w:t xml:space="preserve"> </w:t>
      </w:r>
    </w:p>
    <w:p w14:paraId="14C4BDAB" w14:textId="475F8F62" w:rsidR="00C20A06" w:rsidRDefault="00C20A06" w:rsidP="00C20A06">
      <w:pPr>
        <w:pStyle w:val="TAMainText"/>
        <w:rPr>
          <w:lang w:val="pt-BR"/>
        </w:rPr>
      </w:pPr>
      <w:r w:rsidRPr="008C6972">
        <w:rPr>
          <w:lang w:val="pt-BR"/>
        </w:rPr>
        <w:t xml:space="preserve">A superfície de resposta representada na Figura </w:t>
      </w:r>
      <w:r w:rsidR="00CF711B">
        <w:rPr>
          <w:lang w:val="pt-BR"/>
        </w:rPr>
        <w:t>4</w:t>
      </w:r>
      <w:r>
        <w:rPr>
          <w:lang w:val="pt-BR"/>
        </w:rPr>
        <w:t xml:space="preserve"> </w:t>
      </w:r>
      <w:r w:rsidRPr="008C6972">
        <w:rPr>
          <w:lang w:val="pt-BR"/>
        </w:rPr>
        <w:t>para a conversão de limoneno mostra que quando utilizado menor quantidade de H</w:t>
      </w:r>
      <w:r w:rsidRPr="008C6972">
        <w:rPr>
          <w:vertAlign w:val="subscript"/>
          <w:lang w:val="pt-BR"/>
        </w:rPr>
        <w:t>2</w:t>
      </w:r>
      <w:r w:rsidRPr="008C6972">
        <w:rPr>
          <w:lang w:val="pt-BR"/>
        </w:rPr>
        <w:t>SO</w:t>
      </w:r>
      <w:r w:rsidRPr="008C6972">
        <w:rPr>
          <w:vertAlign w:val="subscript"/>
          <w:lang w:val="pt-BR"/>
        </w:rPr>
        <w:t xml:space="preserve">4, </w:t>
      </w:r>
      <w:r w:rsidRPr="008C6972">
        <w:rPr>
          <w:lang w:val="pt-BR"/>
        </w:rPr>
        <w:t xml:space="preserve">conforme a temperatura aumenta, ocorre um aumento da conversão de limoneno. </w:t>
      </w:r>
      <w:r w:rsidRPr="001006D0">
        <w:rPr>
          <w:lang w:val="pt-BR"/>
        </w:rPr>
        <w:t>Comportamento similar é observado quando se utiliza alta quantidade de H</w:t>
      </w:r>
      <w:r w:rsidRPr="001006D0">
        <w:rPr>
          <w:vertAlign w:val="subscript"/>
          <w:lang w:val="pt-BR"/>
        </w:rPr>
        <w:t>2</w:t>
      </w:r>
      <w:r w:rsidRPr="001006D0">
        <w:rPr>
          <w:lang w:val="pt-BR"/>
        </w:rPr>
        <w:t>SO</w:t>
      </w:r>
      <w:r w:rsidRPr="001006D0">
        <w:rPr>
          <w:vertAlign w:val="subscript"/>
          <w:lang w:val="pt-BR"/>
        </w:rPr>
        <w:t xml:space="preserve">4 </w:t>
      </w:r>
      <w:r w:rsidRPr="001006D0">
        <w:rPr>
          <w:lang w:val="pt-BR"/>
        </w:rPr>
        <w:t>e ocorre o aumento da temperatura. Nesse caso, ainda que tenha sido menos pronunciado, contribuiu para o aumento da conversão de limoneno. Já quando qualquer valor da temperatura é fixado e apenas a quantidade de H</w:t>
      </w:r>
      <w:r w:rsidRPr="001006D0">
        <w:rPr>
          <w:vertAlign w:val="subscript"/>
          <w:lang w:val="pt-BR"/>
        </w:rPr>
        <w:t>2</w:t>
      </w:r>
      <w:r w:rsidRPr="001006D0">
        <w:rPr>
          <w:lang w:val="pt-BR"/>
        </w:rPr>
        <w:t>SO</w:t>
      </w:r>
      <w:r w:rsidRPr="001006D0">
        <w:rPr>
          <w:vertAlign w:val="subscript"/>
          <w:lang w:val="pt-BR"/>
        </w:rPr>
        <w:t xml:space="preserve">4 </w:t>
      </w:r>
      <w:r w:rsidRPr="001006D0">
        <w:rPr>
          <w:lang w:val="pt-BR"/>
        </w:rPr>
        <w:t xml:space="preserve">é variada, foi observado diminuição da conversão, tanto em alta quanto em baixas temperaturas de síntese. </w:t>
      </w:r>
      <w:r w:rsidRPr="008C6972">
        <w:rPr>
          <w:lang w:val="pt-BR"/>
        </w:rPr>
        <w:t xml:space="preserve">Com base nessas observações e na figura </w:t>
      </w:r>
      <w:r>
        <w:rPr>
          <w:lang w:val="pt-BR"/>
        </w:rPr>
        <w:t>5</w:t>
      </w:r>
      <w:r w:rsidRPr="008C6972">
        <w:rPr>
          <w:lang w:val="pt-BR"/>
        </w:rPr>
        <w:t>, infere-se que uma menor quantidade de H</w:t>
      </w:r>
      <w:r w:rsidRPr="008C6972">
        <w:rPr>
          <w:vertAlign w:val="subscript"/>
          <w:lang w:val="pt-BR"/>
        </w:rPr>
        <w:t>2</w:t>
      </w:r>
      <w:r w:rsidRPr="008C6972">
        <w:rPr>
          <w:lang w:val="pt-BR"/>
        </w:rPr>
        <w:t>SO</w:t>
      </w:r>
      <w:r w:rsidRPr="008C6972">
        <w:rPr>
          <w:vertAlign w:val="subscript"/>
          <w:lang w:val="pt-BR"/>
        </w:rPr>
        <w:t xml:space="preserve">4 </w:t>
      </w:r>
      <w:r w:rsidRPr="008C6972">
        <w:rPr>
          <w:lang w:val="pt-BR"/>
        </w:rPr>
        <w:t>e uma maior temperatura contribui para uma conversão de limoneno mais intensa.</w:t>
      </w:r>
    </w:p>
    <w:p w14:paraId="5AACF447" w14:textId="54B59E5C" w:rsidR="00C20A06" w:rsidRPr="001006D0" w:rsidRDefault="00C20A06" w:rsidP="00DE70A0">
      <w:pPr>
        <w:pStyle w:val="TAMainText"/>
        <w:rPr>
          <w:lang w:val="pt-BR"/>
        </w:rPr>
      </w:pPr>
      <w:r>
        <w:rPr>
          <w:lang w:val="pt-BR"/>
        </w:rPr>
        <w:t>Em reação aos rendimentos dos produtos obtidos da isomerização do limoneno (Figura</w:t>
      </w:r>
      <w:r w:rsidR="00DE70A0">
        <w:rPr>
          <w:lang w:val="pt-BR"/>
        </w:rPr>
        <w:t xml:space="preserve"> </w:t>
      </w:r>
      <w:r w:rsidR="00CF711B">
        <w:rPr>
          <w:lang w:val="pt-BR"/>
        </w:rPr>
        <w:t>5</w:t>
      </w:r>
      <w:r w:rsidR="00DE70A0">
        <w:rPr>
          <w:lang w:val="pt-BR"/>
        </w:rPr>
        <w:t xml:space="preserve"> a </w:t>
      </w:r>
      <w:r w:rsidR="00CF711B">
        <w:rPr>
          <w:lang w:val="pt-BR"/>
        </w:rPr>
        <w:t>8</w:t>
      </w:r>
      <w:r>
        <w:rPr>
          <w:lang w:val="pt-BR"/>
        </w:rPr>
        <w:t>), f</w:t>
      </w:r>
      <w:r w:rsidRPr="008C6972">
        <w:rPr>
          <w:lang w:val="pt-BR"/>
        </w:rPr>
        <w:t>oi observado que quando se utiliza menor quantidade de H</w:t>
      </w:r>
      <w:r w:rsidRPr="008C6972">
        <w:rPr>
          <w:vertAlign w:val="subscript"/>
          <w:lang w:val="pt-BR"/>
        </w:rPr>
        <w:t>2</w:t>
      </w:r>
      <w:r w:rsidRPr="008C6972">
        <w:rPr>
          <w:lang w:val="pt-BR"/>
        </w:rPr>
        <w:t>SO</w:t>
      </w:r>
      <w:r w:rsidRPr="008C6972">
        <w:rPr>
          <w:vertAlign w:val="subscript"/>
          <w:lang w:val="pt-BR"/>
        </w:rPr>
        <w:t xml:space="preserve">4, </w:t>
      </w:r>
      <w:r w:rsidRPr="008C6972">
        <w:rPr>
          <w:lang w:val="pt-BR"/>
        </w:rPr>
        <w:t xml:space="preserve">conforme a temperatura é elevada, há um aumento intenso do rendimento. </w:t>
      </w:r>
      <w:r w:rsidRPr="001006D0">
        <w:rPr>
          <w:lang w:val="pt-BR"/>
        </w:rPr>
        <w:t>Com exceção do rendimento de</w:t>
      </w:r>
      <w:r w:rsidRPr="001006D0">
        <w:rPr>
          <w:i/>
          <w:iCs/>
          <w:lang w:val="pt-BR"/>
        </w:rPr>
        <w:t xml:space="preserve"> p</w:t>
      </w:r>
      <w:r w:rsidRPr="001006D0">
        <w:rPr>
          <w:lang w:val="pt-BR"/>
        </w:rPr>
        <w:t>-</w:t>
      </w:r>
      <w:proofErr w:type="spellStart"/>
      <w:r w:rsidRPr="001006D0">
        <w:rPr>
          <w:lang w:val="pt-BR"/>
        </w:rPr>
        <w:t>cimeno</w:t>
      </w:r>
      <w:proofErr w:type="spellEnd"/>
      <w:r w:rsidRPr="001006D0">
        <w:rPr>
          <w:lang w:val="pt-BR"/>
        </w:rPr>
        <w:t xml:space="preserve">, onde foi observado aumento pronunciado até, aproximadamente, 160ºC. Posteriormente, a este valor, foi observado uma diminuição do rendimento. </w:t>
      </w:r>
    </w:p>
    <w:p w14:paraId="3824399C" w14:textId="2735388B" w:rsidR="00C20A06" w:rsidRPr="001006D0" w:rsidRDefault="00C20A06" w:rsidP="00C20A06">
      <w:pPr>
        <w:pStyle w:val="TAMainText"/>
        <w:rPr>
          <w:lang w:val="pt-BR"/>
        </w:rPr>
      </w:pPr>
      <w:r w:rsidRPr="001006D0">
        <w:rPr>
          <w:lang w:val="pt-BR"/>
        </w:rPr>
        <w:t>Entretanto, comportamento distinto foi verificado quando se utiliza quantidade de H</w:t>
      </w:r>
      <w:r w:rsidRPr="001006D0">
        <w:rPr>
          <w:vertAlign w:val="subscript"/>
          <w:lang w:val="pt-BR"/>
        </w:rPr>
        <w:t>2</w:t>
      </w:r>
      <w:r w:rsidRPr="001006D0">
        <w:rPr>
          <w:lang w:val="pt-BR"/>
        </w:rPr>
        <w:t>SO</w:t>
      </w:r>
      <w:r w:rsidRPr="001006D0">
        <w:rPr>
          <w:vertAlign w:val="subscript"/>
          <w:lang w:val="pt-BR"/>
        </w:rPr>
        <w:t xml:space="preserve">4 </w:t>
      </w:r>
      <w:r w:rsidRPr="001006D0">
        <w:rPr>
          <w:lang w:val="pt-BR"/>
        </w:rPr>
        <w:t>elevadas. Nesse caso, o aumento da temperatura contribuiu para o aumento do rendimento de todos os produtos de maneira mais branda. Avaliando quando qualquer valor da temperatura é fixado e apenas a quantidade de H</w:t>
      </w:r>
      <w:r w:rsidRPr="001006D0">
        <w:rPr>
          <w:vertAlign w:val="subscript"/>
          <w:lang w:val="pt-BR"/>
        </w:rPr>
        <w:t>2</w:t>
      </w:r>
      <w:r w:rsidRPr="001006D0">
        <w:rPr>
          <w:lang w:val="pt-BR"/>
        </w:rPr>
        <w:t>SO</w:t>
      </w:r>
      <w:r w:rsidRPr="001006D0">
        <w:rPr>
          <w:vertAlign w:val="subscript"/>
          <w:lang w:val="pt-BR"/>
        </w:rPr>
        <w:t xml:space="preserve">4 </w:t>
      </w:r>
      <w:r w:rsidRPr="001006D0">
        <w:rPr>
          <w:lang w:val="pt-BR"/>
        </w:rPr>
        <w:t xml:space="preserve">é variada, foi observado uma queda do rendimento.  Resultado similar ao que foi observado para a conversão. </w:t>
      </w:r>
      <w:r w:rsidRPr="008C6972">
        <w:rPr>
          <w:lang w:val="pt-BR"/>
        </w:rPr>
        <w:t xml:space="preserve">Nesse caso, o rendimento de </w:t>
      </w:r>
      <w:r w:rsidRPr="008C6972">
        <w:rPr>
          <w:i/>
          <w:iCs/>
          <w:lang w:val="pt-BR"/>
        </w:rPr>
        <w:t>p-</w:t>
      </w:r>
      <w:proofErr w:type="spellStart"/>
      <w:r w:rsidRPr="008C6972">
        <w:rPr>
          <w:lang w:val="pt-BR"/>
        </w:rPr>
        <w:t>cimeno</w:t>
      </w:r>
      <w:proofErr w:type="spellEnd"/>
      <w:r w:rsidRPr="008C6972">
        <w:rPr>
          <w:lang w:val="pt-BR"/>
        </w:rPr>
        <w:t xml:space="preserve"> também foi exceção, pois aumentou até 1,75 de quantidade de H</w:t>
      </w:r>
      <w:r w:rsidRPr="008C6972">
        <w:rPr>
          <w:vertAlign w:val="subscript"/>
          <w:lang w:val="pt-BR"/>
        </w:rPr>
        <w:t>2</w:t>
      </w:r>
      <w:r w:rsidRPr="008C6972">
        <w:rPr>
          <w:lang w:val="pt-BR"/>
        </w:rPr>
        <w:t>SO</w:t>
      </w:r>
      <w:r w:rsidRPr="008C6972">
        <w:rPr>
          <w:vertAlign w:val="subscript"/>
          <w:lang w:val="pt-BR"/>
        </w:rPr>
        <w:t xml:space="preserve">4 </w:t>
      </w:r>
      <w:r w:rsidRPr="008C6972">
        <w:rPr>
          <w:lang w:val="pt-BR"/>
        </w:rPr>
        <w:t xml:space="preserve">(g). </w:t>
      </w:r>
      <w:r>
        <w:rPr>
          <w:lang w:val="pt-BR"/>
        </w:rPr>
        <w:t>Pode</w:t>
      </w:r>
      <w:r w:rsidRPr="008C6972">
        <w:rPr>
          <w:lang w:val="pt-BR"/>
        </w:rPr>
        <w:t>-se dizer que o rendimento diminuiu quando utilizado quantidade de H</w:t>
      </w:r>
      <w:r w:rsidRPr="008C6972">
        <w:rPr>
          <w:vertAlign w:val="subscript"/>
          <w:lang w:val="pt-BR"/>
        </w:rPr>
        <w:t>2</w:t>
      </w:r>
      <w:r w:rsidRPr="008C6972">
        <w:rPr>
          <w:lang w:val="pt-BR"/>
        </w:rPr>
        <w:t>SO</w:t>
      </w:r>
      <w:r w:rsidRPr="008C6972">
        <w:rPr>
          <w:vertAlign w:val="subscript"/>
          <w:lang w:val="pt-BR"/>
        </w:rPr>
        <w:t xml:space="preserve">4 </w:t>
      </w:r>
      <w:r w:rsidRPr="008C6972">
        <w:rPr>
          <w:lang w:val="pt-BR"/>
        </w:rPr>
        <w:t xml:space="preserve">elevadas e baixas temperaturas. Ao relacionar com a figura </w:t>
      </w:r>
      <w:r>
        <w:rPr>
          <w:lang w:val="pt-BR"/>
        </w:rPr>
        <w:t>4</w:t>
      </w:r>
      <w:r w:rsidRPr="008C6972">
        <w:rPr>
          <w:lang w:val="pt-BR"/>
        </w:rPr>
        <w:t xml:space="preserve">, nessas condições foi obtido catalisador com baixa quantidade de GAT. </w:t>
      </w:r>
      <w:r w:rsidRPr="001006D0">
        <w:rPr>
          <w:lang w:val="pt-BR"/>
        </w:rPr>
        <w:t xml:space="preserve">Sabe-se da literatura que os grupos ácidos na estrutura carbonácea podem interagir, levando a uma cooperação entre eles, melhorando o desempenho catalítico </w:t>
      </w:r>
      <w:r>
        <w:fldChar w:fldCharType="begin" w:fldLock="1"/>
      </w:r>
      <w:r w:rsidR="00B704AD">
        <w:rPr>
          <w:lang w:val="pt-BR"/>
        </w:rPr>
        <w:instrText>ADDIN CSL_CITATION {"citationItems":[{"id":"ITEM-1","itemData":{"DOI":"10.1016/j.biortech.2020.122882","ISSN":"09608524","author":[{"dropping-particle":"","family":"Nunes","given":"Renan S.","non-dropping-particle":"","parse-names":false,"suffix":""},{"dropping-particle":"","family":"Tudino","given":"Tatiane C.","non-dropping-particle":"","parse-names":false,"suffix":""},{"dropping-particle":"","family":"Vieira","given":"Ligia M.","non-dropping-particle":"","parse-names":false,"suffix":""},{"dropping-particle":"","family":"Mandelli","given":"Dalmo","non-dropping-particle":"","parse-names":false,"suffix":""},{"dropping-particle":"","family":"Carvalho","given":"Wagner A.","non-dropping-particle":"","parse-names":false,"suffix":""}],"container-title":"Bioresource Technology","id":"ITEM-1","issued":{"date-parts":[["2020","1"]]},"page":"122882","publisher":"Elsevier Ltd","title":"Rational production of highly acidic sulfonated carbons from kraft lignins employing a fractionation process combined with acid-assisted hydrothermal carbonization","type":"article-journal"},"uris":["http://www.mendeley.com/documents/?uuid=8662717b-321e-4306-a44a-8487a990703c"]}],"mendeley":{"formattedCitation":"[16]","plainTextFormattedCitation":"[16]","previouslyFormattedCitation":"[16]"},"properties":{"noteIndex":0},"schema":"https://github.com/citation-style-language/schema/raw/master/csl-citation.json"}</w:instrText>
      </w:r>
      <w:r>
        <w:fldChar w:fldCharType="separate"/>
      </w:r>
      <w:r w:rsidR="00DE70A0">
        <w:rPr>
          <w:noProof/>
          <w:lang w:val="pt-BR"/>
        </w:rPr>
        <w:t>(</w:t>
      </w:r>
      <w:r w:rsidR="00B704AD" w:rsidRPr="00B704AD">
        <w:rPr>
          <w:noProof/>
          <w:lang w:val="pt-BR"/>
        </w:rPr>
        <w:t>16</w:t>
      </w:r>
      <w:r>
        <w:fldChar w:fldCharType="end"/>
      </w:r>
      <w:r w:rsidR="00DE70A0" w:rsidRPr="00DE70A0">
        <w:rPr>
          <w:lang w:val="pt-BR"/>
        </w:rPr>
        <w:t>)</w:t>
      </w:r>
      <w:r w:rsidRPr="001006D0">
        <w:rPr>
          <w:lang w:val="pt-BR"/>
        </w:rPr>
        <w:t>. Neste caso, devido à baixa quantidade de GAT pode ter reduzido a cooperatividade entre os grupos o que ocasionou o baixo rendimento e também a conversão de limoneno.</w:t>
      </w:r>
    </w:p>
    <w:p w14:paraId="60C2EC23" w14:textId="21A3DC33" w:rsidR="00C20A06" w:rsidRDefault="00C20A06" w:rsidP="00C20A06">
      <w:pPr>
        <w:pStyle w:val="TAMainText"/>
        <w:rPr>
          <w:lang w:val="pt-BR"/>
        </w:rPr>
      </w:pPr>
      <w:r w:rsidRPr="008C6972">
        <w:rPr>
          <w:lang w:val="pt-BR"/>
        </w:rPr>
        <w:t xml:space="preserve"> Apesar de em altas temperaturas e alta quantidade de H</w:t>
      </w:r>
      <w:r w:rsidRPr="008C6972">
        <w:rPr>
          <w:vertAlign w:val="subscript"/>
          <w:lang w:val="pt-BR"/>
        </w:rPr>
        <w:t>2</w:t>
      </w:r>
      <w:r w:rsidRPr="008C6972">
        <w:rPr>
          <w:lang w:val="pt-BR"/>
        </w:rPr>
        <w:t>SO</w:t>
      </w:r>
      <w:r w:rsidRPr="008C6972">
        <w:rPr>
          <w:vertAlign w:val="subscript"/>
          <w:lang w:val="pt-BR"/>
        </w:rPr>
        <w:t xml:space="preserve">4, </w:t>
      </w:r>
      <w:r w:rsidRPr="008C6972">
        <w:rPr>
          <w:lang w:val="pt-BR"/>
        </w:rPr>
        <w:t xml:space="preserve">os carvões terem obtido alto quantidade de GAT (Figura </w:t>
      </w:r>
      <w:r w:rsidR="00F50BEC">
        <w:rPr>
          <w:lang w:val="pt-BR"/>
        </w:rPr>
        <w:t>2</w:t>
      </w:r>
      <w:r w:rsidRPr="008C6972">
        <w:rPr>
          <w:lang w:val="pt-BR"/>
        </w:rPr>
        <w:t xml:space="preserve">), esperaria que fosse obtido um rendimento elevado devido a cooperatividade desses grupos e alta acidez presente, porém foi observado um rendimento mediano comparando com os outros valores obtidos. </w:t>
      </w:r>
      <w:r w:rsidRPr="001006D0">
        <w:rPr>
          <w:lang w:val="pt-BR"/>
        </w:rPr>
        <w:t>Em baixas quantidades de H</w:t>
      </w:r>
      <w:r w:rsidRPr="001006D0">
        <w:rPr>
          <w:vertAlign w:val="subscript"/>
          <w:lang w:val="pt-BR"/>
        </w:rPr>
        <w:t>2</w:t>
      </w:r>
      <w:r w:rsidRPr="001006D0">
        <w:rPr>
          <w:lang w:val="pt-BR"/>
        </w:rPr>
        <w:t>SO</w:t>
      </w:r>
      <w:r w:rsidRPr="001006D0">
        <w:rPr>
          <w:vertAlign w:val="subscript"/>
          <w:lang w:val="pt-BR"/>
        </w:rPr>
        <w:t xml:space="preserve">4 </w:t>
      </w:r>
      <w:r w:rsidRPr="001006D0">
        <w:rPr>
          <w:lang w:val="pt-BR"/>
        </w:rPr>
        <w:t>até e temperaturas elevadas, obteve-se elevado rendimento, mesmo os catalisadores não tendo alta quantidade de GAT. Pode-se dizer então, que há a tendencia de um favorecimento na obtenção dos produtos quando utilizados catalisadores produzidos em condições com baixas quantidades de H</w:t>
      </w:r>
      <w:r w:rsidRPr="001006D0">
        <w:rPr>
          <w:vertAlign w:val="subscript"/>
          <w:lang w:val="pt-BR"/>
        </w:rPr>
        <w:t>2</w:t>
      </w:r>
      <w:r w:rsidRPr="001006D0">
        <w:rPr>
          <w:lang w:val="pt-BR"/>
        </w:rPr>
        <w:t>SO</w:t>
      </w:r>
      <w:r w:rsidRPr="001006D0">
        <w:rPr>
          <w:vertAlign w:val="subscript"/>
          <w:lang w:val="pt-BR"/>
        </w:rPr>
        <w:t xml:space="preserve">4 </w:t>
      </w:r>
      <w:r w:rsidRPr="001006D0">
        <w:rPr>
          <w:lang w:val="pt-BR"/>
        </w:rPr>
        <w:t>(g).</w:t>
      </w:r>
    </w:p>
    <w:p w14:paraId="1D655095" w14:textId="49029414" w:rsidR="00A30666" w:rsidRPr="00A30666" w:rsidRDefault="00A30666" w:rsidP="00C20A06">
      <w:pPr>
        <w:pStyle w:val="TAMainText"/>
        <w:rPr>
          <w:lang w:val="pt-BR"/>
        </w:rPr>
      </w:pPr>
      <w:r>
        <w:rPr>
          <w:lang w:val="pt-BR"/>
        </w:rPr>
        <w:t>Resumidamente, a</w:t>
      </w:r>
      <w:r w:rsidRPr="00A30666">
        <w:rPr>
          <w:lang w:val="pt-BR"/>
        </w:rPr>
        <w:t xml:space="preserve"> conversão de limoneno foi afetada pelas duas variáveis investigadas, bem como por interações entre elas. As maiores conversões foram observadas ao se combinar quantidades menores de </w:t>
      </w:r>
      <w:r w:rsidRPr="001006D0">
        <w:rPr>
          <w:lang w:val="pt-BR"/>
        </w:rPr>
        <w:t>H</w:t>
      </w:r>
      <w:r w:rsidRPr="001006D0">
        <w:rPr>
          <w:vertAlign w:val="subscript"/>
          <w:lang w:val="pt-BR"/>
        </w:rPr>
        <w:t>2</w:t>
      </w:r>
      <w:r w:rsidRPr="001006D0">
        <w:rPr>
          <w:lang w:val="pt-BR"/>
        </w:rPr>
        <w:t>SO</w:t>
      </w:r>
      <w:r w:rsidRPr="001006D0">
        <w:rPr>
          <w:vertAlign w:val="subscript"/>
          <w:lang w:val="pt-BR"/>
        </w:rPr>
        <w:t>4</w:t>
      </w:r>
      <w:r w:rsidRPr="00A30666">
        <w:rPr>
          <w:lang w:val="pt-BR"/>
        </w:rPr>
        <w:t xml:space="preserve"> com temperaturas de carbonização maiores. Portanto, ao se comparar as Figuras </w:t>
      </w:r>
      <w:r w:rsidR="00DE70A0">
        <w:rPr>
          <w:lang w:val="pt-BR"/>
        </w:rPr>
        <w:t>2</w:t>
      </w:r>
      <w:r w:rsidRPr="00A30666">
        <w:rPr>
          <w:lang w:val="pt-BR"/>
        </w:rPr>
        <w:t xml:space="preserve"> e </w:t>
      </w:r>
      <w:r w:rsidR="00DE70A0">
        <w:rPr>
          <w:lang w:val="pt-BR"/>
        </w:rPr>
        <w:t>3</w:t>
      </w:r>
      <w:r w:rsidRPr="00A30666">
        <w:rPr>
          <w:lang w:val="pt-BR"/>
        </w:rPr>
        <w:t>, observa-se que os melhores resultados de conversão não estavam diretamente relacionados com quantidades maiores de GAT na estrutura dos carvões</w:t>
      </w:r>
    </w:p>
    <w:p w14:paraId="30E9EC15" w14:textId="129149B8" w:rsidR="00C20A06" w:rsidRPr="001006D0" w:rsidRDefault="00C20A06" w:rsidP="00C20A06">
      <w:pPr>
        <w:pStyle w:val="TAMainText"/>
        <w:rPr>
          <w:lang w:val="pt-BR"/>
        </w:rPr>
      </w:pPr>
      <w:r w:rsidRPr="001006D0">
        <w:rPr>
          <w:lang w:val="pt-BR"/>
        </w:rPr>
        <w:t xml:space="preserve">Tais resultados foram similares ao observado por Wang e colaboradores </w:t>
      </w:r>
      <w:r w:rsidRPr="00F73393">
        <w:fldChar w:fldCharType="begin" w:fldLock="1"/>
      </w:r>
      <w:r w:rsidR="00B704AD">
        <w:rPr>
          <w:lang w:val="pt-BR"/>
        </w:rPr>
        <w:instrText>ADDIN CSL_CITATION {"citationItems":[{"id":"ITEM-1","itemData":{"DOI":"10.1002/jctb.5144","ISSN":"10974660","abstract":"BACKGROUND: To invesigate the effect of pore structure on catalysis behavior, three sulfonated carbons with hierarchically ordered pores (SCHOP), mesopores (SMC), or micropores (SAC) were compared in conversion of fructose with 5-hydroxymethyl furfural (5-HMF). Fructose and 5-HMF adsorption by three carbons with different pore structures were also measured. Kinetic modeling was employed to correlate the reaction and the adsorption data. RESULTS: SEM characterization showed that SCHOP has hierarchical ordered macropores (about 220 nm in pore diameter) and mesopores (4.81 nm), whereas N2 adsorption desorption, EDS and –SO3H group determination suggested both its specific surface area and –SO3H group content were close to those of SMC but quite distinct in comparison with SAC. The fitted active energies of fructose dehydration over SCHOP, SMC and SAC by a pseudo-first-order kinetic model were 84.54, 62.88, and 61.42 kJ mol−1, respectively. CONCLUSION: It was found that pore structure has a significant effect on catalytic activity and 5-HMF selectivity. SCHOP was a highly efficient catalyst for fructose dehydration to 5-HMF. Adsorption capacity measurement confirmed SCHOP favored the internal diffusion of both fructose and 5-HMF due to its hierarchical ordered porous structure, and possessed more effective specific area for fructose but less for 5-HMF. In the presence of SCHOP the rate-determining step was chemical reaction, whereas in the case of SMC or SAC the effects of molecular internal diffusion were not negligible. As a result, SCHOP was superior to both SMC and SAC for fructose conversion and 5-HMF selectivity. © 2016 Society of Chemical Industry.","author":[{"dropping-particle":"","family":"Wang","given":"Jiangang","non-dropping-particle":"","parse-names":false,"suffix":""},{"dropping-particle":"","family":"Zhu","given":"Liwei","non-dropping-particle":"","parse-names":false,"suffix":""},{"dropping-particle":"","family":"Wang","given":"Yong","non-dropping-particle":"","parse-names":false,"suffix":""},{"dropping-particle":"","family":"Cui","given":"Hongyou","non-dropping-particle":"","parse-names":false,"suffix":""},{"dropping-particle":"","family":"Zhang","given":"Yunyun","non-dropping-particle":"","parse-names":false,"suffix":""},{"dropping-particle":"","family":"Zhang","given":"Yuan","non-dropping-particle":"","parse-names":false,"suffix":""}],"container-title":"Journal of Chemical Technology and Biotechnology","id":"ITEM-1","issue":"6","issued":{"date-parts":[["2017"]]},"page":"1454-1463","title":"Fructose dehydration to 5-HMF over three sulfonated carbons: effect of different pore structures","type":"article-journal","volume":"92"},"uris":["http://www.mendeley.com/documents/?uuid=fe1f5626-1800-43c2-bdf3-4206c128a927"]}],"mendeley":{"formattedCitation":"[17]","plainTextFormattedCitation":"[17]","previouslyFormattedCitation":"[17]"},"properties":{"noteIndex":0},"schema":"https://github.com/citation-style-language/schema/raw/master/csl-citation.json"}</w:instrText>
      </w:r>
      <w:r w:rsidRPr="00F73393">
        <w:fldChar w:fldCharType="separate"/>
      </w:r>
      <w:r w:rsidR="00DE70A0">
        <w:rPr>
          <w:noProof/>
          <w:lang w:val="pt-BR"/>
        </w:rPr>
        <w:t>(</w:t>
      </w:r>
      <w:r w:rsidR="00B704AD" w:rsidRPr="00B704AD">
        <w:rPr>
          <w:noProof/>
          <w:lang w:val="pt-BR"/>
        </w:rPr>
        <w:t>17</w:t>
      </w:r>
      <w:r w:rsidRPr="00F73393">
        <w:fldChar w:fldCharType="end"/>
      </w:r>
      <w:r w:rsidR="00DE70A0" w:rsidRPr="00650632">
        <w:rPr>
          <w:lang w:val="pt-BR"/>
        </w:rPr>
        <w:t>)</w:t>
      </w:r>
      <w:r w:rsidRPr="001006D0">
        <w:rPr>
          <w:lang w:val="pt-BR"/>
        </w:rPr>
        <w:t xml:space="preserve">. Eles verificaram que catalisadores que possuem desenvolvimento estrutural pronunciado, parte dos sítios ácidos podem se encontrar dentro dos poros, o que os tornam menos acessível ao substrato. </w:t>
      </w:r>
    </w:p>
    <w:p w14:paraId="1912B4A7" w14:textId="77777777" w:rsidR="00C20A06" w:rsidRPr="001006D0" w:rsidRDefault="00C20A06" w:rsidP="00C20A06">
      <w:pPr>
        <w:pStyle w:val="TAMainText"/>
        <w:rPr>
          <w:lang w:val="pt-BR"/>
        </w:rPr>
      </w:pPr>
      <w:r w:rsidRPr="001006D0">
        <w:rPr>
          <w:lang w:val="pt-BR"/>
        </w:rPr>
        <w:t>Nesse sentido, os carvões sulfonados preparados nas condições mais extremas, isto é, elevada temperatura e alta quantidade de H</w:t>
      </w:r>
      <w:r w:rsidRPr="001006D0">
        <w:rPr>
          <w:vertAlign w:val="subscript"/>
          <w:lang w:val="pt-BR"/>
        </w:rPr>
        <w:t>2</w:t>
      </w:r>
      <w:r w:rsidRPr="001006D0">
        <w:rPr>
          <w:lang w:val="pt-BR"/>
        </w:rPr>
        <w:t>SO</w:t>
      </w:r>
      <w:r w:rsidRPr="001006D0">
        <w:rPr>
          <w:vertAlign w:val="subscript"/>
          <w:lang w:val="pt-BR"/>
        </w:rPr>
        <w:t>4</w:t>
      </w:r>
      <w:r w:rsidRPr="001006D0">
        <w:rPr>
          <w:lang w:val="pt-BR"/>
        </w:rPr>
        <w:t>, podem possuir estrutura carbonácea mais desenvolvida, o que pode dificultar a difusão molecular interna e aumentar a resistência a transferência de massa, tornando assim os sítios menos acessíveis ao limoneno, ocasionando conversão e rendimentos menores. Já os carvões preparados nas condições mais brandas (aqueles situados a esquerda da superfície de resposta), mesmo possuindo menor acidez, apresentaram resultados melhores de conversão de limoneno e rendimento. Esses carvões podem possuir uma estrutura carbonácea menos desenvolvida devido à baixa quantidade de H</w:t>
      </w:r>
      <w:r w:rsidRPr="001006D0">
        <w:rPr>
          <w:vertAlign w:val="subscript"/>
          <w:lang w:val="pt-BR"/>
        </w:rPr>
        <w:t>2</w:t>
      </w:r>
      <w:r w:rsidRPr="001006D0">
        <w:rPr>
          <w:lang w:val="pt-BR"/>
        </w:rPr>
        <w:t>SO</w:t>
      </w:r>
      <w:r w:rsidRPr="001006D0">
        <w:rPr>
          <w:vertAlign w:val="subscript"/>
          <w:lang w:val="pt-BR"/>
        </w:rPr>
        <w:t>4</w:t>
      </w:r>
      <w:r w:rsidRPr="001006D0">
        <w:rPr>
          <w:lang w:val="pt-BR"/>
        </w:rPr>
        <w:t>, o que pode ter facilitado a difusão das moléculas do limoneno até os sítios ácidos. Além de que pode ter influenciado a relação sinérgica entre os grupos ácidos acessíveis, promovendo um melhor desempenho catalítico. Pode-se ressaltar que os resultados são mais influenciados quando há modificação da temperatura do que quando alterado a quantidade de H</w:t>
      </w:r>
      <w:r w:rsidRPr="001006D0">
        <w:rPr>
          <w:vertAlign w:val="subscript"/>
          <w:lang w:val="pt-BR"/>
        </w:rPr>
        <w:t>2</w:t>
      </w:r>
      <w:r w:rsidRPr="001006D0">
        <w:rPr>
          <w:lang w:val="pt-BR"/>
        </w:rPr>
        <w:t>SO</w:t>
      </w:r>
      <w:r w:rsidRPr="001006D0">
        <w:rPr>
          <w:vertAlign w:val="subscript"/>
          <w:lang w:val="pt-BR"/>
        </w:rPr>
        <w:t>4</w:t>
      </w:r>
      <w:r w:rsidRPr="001006D0">
        <w:rPr>
          <w:lang w:val="pt-BR"/>
        </w:rPr>
        <w:t>.</w:t>
      </w:r>
    </w:p>
    <w:p w14:paraId="5D71B20A" w14:textId="4A2227B0" w:rsidR="00C20A06" w:rsidRDefault="00C20A06" w:rsidP="00C20A06">
      <w:pPr>
        <w:pStyle w:val="TAMainText"/>
        <w:rPr>
          <w:lang w:val="pt-BR"/>
        </w:rPr>
      </w:pPr>
      <w:proofErr w:type="spellStart"/>
      <w:r w:rsidRPr="001006D0">
        <w:rPr>
          <w:lang w:val="pt-BR"/>
        </w:rPr>
        <w:t>Gu</w:t>
      </w:r>
      <w:proofErr w:type="spellEnd"/>
      <w:r w:rsidRPr="001006D0">
        <w:rPr>
          <w:lang w:val="pt-BR"/>
        </w:rPr>
        <w:t xml:space="preserve"> e colaboradores </w:t>
      </w:r>
      <w:r>
        <w:fldChar w:fldCharType="begin" w:fldLock="1"/>
      </w:r>
      <w:r w:rsidR="00B704AD">
        <w:rPr>
          <w:lang w:val="pt-BR"/>
        </w:rPr>
        <w:instrText>ADDIN CSL_CITATION {"citationItems":[{"id":"ITEM-1","itemData":{"DOI":"10.1039/c5cc02706c","ISSN":"1364548X","PMID":"25940393","abstract":"Uptake experiments in thin films of isoreticular chiral MOFs of type Cu2(Dcam)2(L) with identical stereogenic centers but different pore dimensions show that the enantioselectivity is significantly influenced by the pore size. The highest selectivity was found for medium pore sizes, roughly corresponding to the extension of the chiral guest molecule, limonene.","author":[{"dropping-particle":"","family":"Gu","given":"Zhi Gang","non-dropping-particle":"","parse-names":false,"suffix":""},{"dropping-particle":"","family":"Grosjean","given":"Sylvain","non-dropping-particle":"","parse-names":false,"suffix":""},{"dropping-particle":"","family":"Bräse","given":"Stefan","non-dropping-particle":"","parse-names":false,"suffix":""},{"dropping-particle":"","family":"Wöll","given":"Christof","non-dropping-particle":"","parse-names":false,"suffix":""},{"dropping-particle":"","family":"Heinke","given":"Lars","non-dropping-particle":"","parse-names":false,"suffix":""}],"container-title":"Chemical Communications","id":"ITEM-1","issue":"43","issued":{"date-parts":[["2015"]]},"page":"8998-9001","publisher":"Royal Society of Chemistry","title":"Enantioselective adsorption in homochiral metal-organic frameworks: The pore size influence","type":"article-journal","volume":"51"},"uris":["http://www.mendeley.com/documents/?uuid=3437ae4f-71ff-4d3b-aa1f-b3a6dfb1bd21"]}],"mendeley":{"formattedCitation":"[18]","manualFormatting":"(15)","plainTextFormattedCitation":"[18]","previouslyFormattedCitation":"[18]"},"properties":{"noteIndex":0},"schema":"https://github.com/citation-style-language/schema/raw/master/csl-citation.json"}</w:instrText>
      </w:r>
      <w:r>
        <w:fldChar w:fldCharType="separate"/>
      </w:r>
      <w:r w:rsidRPr="001006D0">
        <w:rPr>
          <w:noProof/>
          <w:lang w:val="pt-BR"/>
        </w:rPr>
        <w:t>(</w:t>
      </w:r>
      <w:r w:rsidR="00B704AD">
        <w:rPr>
          <w:noProof/>
          <w:lang w:val="pt-BR"/>
        </w:rPr>
        <w:t>15</w:t>
      </w:r>
      <w:r w:rsidRPr="001006D0">
        <w:rPr>
          <w:noProof/>
          <w:lang w:val="pt-BR"/>
        </w:rPr>
        <w:t>)</w:t>
      </w:r>
      <w:r>
        <w:fldChar w:fldCharType="end"/>
      </w:r>
      <w:r w:rsidRPr="001006D0">
        <w:rPr>
          <w:lang w:val="pt-BR"/>
        </w:rPr>
        <w:t xml:space="preserve"> estudaram a adsorção enantioseletiva da molécula de limoneno em </w:t>
      </w:r>
      <w:proofErr w:type="spellStart"/>
      <w:r w:rsidRPr="001006D0">
        <w:rPr>
          <w:lang w:val="pt-BR"/>
        </w:rPr>
        <w:t>MOFs</w:t>
      </w:r>
      <w:proofErr w:type="spellEnd"/>
      <w:r w:rsidRPr="001006D0">
        <w:rPr>
          <w:lang w:val="pt-BR"/>
        </w:rPr>
        <w:t xml:space="preserve">. </w:t>
      </w:r>
      <w:r w:rsidRPr="00F8566C">
        <w:rPr>
          <w:lang w:val="pt-BR"/>
        </w:rPr>
        <w:t>Eles observaram que quando o tamanho dos poros for pequeno, as moléculas são adsorvidas em tal posição, onde o impacto do centro estereogênico da molécula na estrutura é baixo. O contrário é observado quando o tamanho do poro for grande, as moléculas podem adsorver em todo o poro grande e o impacto do o centro estereogênico é baixo, também</w:t>
      </w:r>
      <w:r>
        <w:rPr>
          <w:lang w:val="pt-BR"/>
        </w:rPr>
        <w:t xml:space="preserve">. </w:t>
      </w:r>
      <w:r w:rsidRPr="00F8566C">
        <w:rPr>
          <w:lang w:val="pt-BR"/>
        </w:rPr>
        <w:t xml:space="preserve">Se o tamanho dos poros estiver bem ajustado, aproximadamente tão grande quanto a molécula adsorvida, o centro </w:t>
      </w:r>
      <w:r w:rsidRPr="00F8566C">
        <w:rPr>
          <w:lang w:val="pt-BR"/>
        </w:rPr>
        <w:lastRenderedPageBreak/>
        <w:t xml:space="preserve">estereogênico tem o maior impacto na molécula resultando em uma maior separação </w:t>
      </w:r>
      <w:proofErr w:type="spellStart"/>
      <w:r w:rsidRPr="00F8566C">
        <w:rPr>
          <w:lang w:val="pt-BR"/>
        </w:rPr>
        <w:t>enantiométrica</w:t>
      </w:r>
      <w:proofErr w:type="spellEnd"/>
      <w:r w:rsidRPr="00F8566C">
        <w:rPr>
          <w:lang w:val="pt-BR"/>
        </w:rPr>
        <w:t>.</w:t>
      </w:r>
      <w:r w:rsidR="00CB1EC6">
        <w:rPr>
          <w:lang w:val="pt-BR"/>
        </w:rPr>
        <w:t xml:space="preserve"> </w:t>
      </w:r>
      <w:r w:rsidRPr="00F8566C">
        <w:rPr>
          <w:lang w:val="pt-BR"/>
        </w:rPr>
        <w:t xml:space="preserve">Relacionando o estudo de </w:t>
      </w:r>
      <w:proofErr w:type="spellStart"/>
      <w:r w:rsidRPr="00F8566C">
        <w:rPr>
          <w:lang w:val="pt-BR"/>
        </w:rPr>
        <w:t>Gu</w:t>
      </w:r>
      <w:proofErr w:type="spellEnd"/>
      <w:r w:rsidRPr="00F8566C">
        <w:rPr>
          <w:lang w:val="pt-BR"/>
        </w:rPr>
        <w:t xml:space="preserve"> e colaboradores </w:t>
      </w:r>
      <w:r w:rsidR="00B704AD">
        <w:rPr>
          <w:lang w:val="pt-BR"/>
        </w:rPr>
        <w:t>(</w:t>
      </w:r>
      <w:r w:rsidRPr="004E1E5C">
        <w:fldChar w:fldCharType="begin" w:fldLock="1"/>
      </w:r>
      <w:r w:rsidR="00B704AD">
        <w:rPr>
          <w:lang w:val="pt-BR"/>
        </w:rPr>
        <w:instrText>ADDIN CSL_CITATION {"citationItems":[{"id":"ITEM-1","itemData":{"DOI":"10.1039/c5cc02706c","ISSN":"1364548X","PMID":"25940393","abstract":"Uptake experiments in thin films of isoreticular chiral MOFs of type Cu2(Dcam)2(L) with identical stereogenic centers but different pore dimensions show that the enantioselectivity is significantly influenced by the pore size. The highest selectivity was found for medium pore sizes, roughly corresponding to the extension of the chiral guest molecule, limonene.","author":[{"dropping-particle":"","family":"Gu","given":"Zhi Gang","non-dropping-particle":"","parse-names":false,"suffix":""},{"dropping-particle":"","family":"Grosjean","given":"Sylvain","non-dropping-particle":"","parse-names":false,"suffix":""},{"dropping-particle":"","family":"Bräse","given":"Stefan","non-dropping-particle":"","parse-names":false,"suffix":""},{"dropping-particle":"","family":"Wöll","given":"Christof","non-dropping-particle":"","parse-names":false,"suffix":""},{"dropping-particle":"","family":"Heinke","given":"Lars","non-dropping-particle":"","parse-names":false,"suffix":""}],"container-title":"Chemical Communications","id":"ITEM-1","issue":"43","issued":{"date-parts":[["2015"]]},"page":"8998-9001","publisher":"Royal Society of Chemistry","title":"Enantioselective adsorption in homochiral metal-organic frameworks: The pore size influence","type":"article-journal","volume":"51"},"uris":["http://www.mendeley.com/documents/?uuid=3437ae4f-71ff-4d3b-aa1f-b3a6dfb1bd21"]}],"mendeley":{"formattedCitation":"[18]","manualFormatting":"15)","plainTextFormattedCitation":"[18]","previouslyFormattedCitation":"[18]"},"properties":{"noteIndex":0},"schema":"https://github.com/citation-style-language/schema/raw/master/csl-citation.json"}</w:instrText>
      </w:r>
      <w:r w:rsidRPr="004E1E5C">
        <w:fldChar w:fldCharType="separate"/>
      </w:r>
      <w:r w:rsidR="00B704AD">
        <w:rPr>
          <w:noProof/>
          <w:lang w:val="pt-BR"/>
        </w:rPr>
        <w:t>15</w:t>
      </w:r>
      <w:r w:rsidRPr="00F8566C">
        <w:rPr>
          <w:noProof/>
          <w:lang w:val="pt-BR"/>
        </w:rPr>
        <w:t>)</w:t>
      </w:r>
      <w:r w:rsidRPr="004E1E5C">
        <w:fldChar w:fldCharType="end"/>
      </w:r>
      <w:r w:rsidRPr="00F8566C">
        <w:rPr>
          <w:lang w:val="pt-BR"/>
        </w:rPr>
        <w:t>, com os resultados neste trabalho, pode-se dizer que existe uma faixa ótima das propriedades texturais que favorecem a adsorção da molécula de limoneno e a aproximação dos grupos ácidos que podem agir cooperativamente.</w:t>
      </w:r>
    </w:p>
    <w:p w14:paraId="6711BF3F" w14:textId="7E8D7CA3" w:rsidR="00F71BFE" w:rsidRPr="00C85E14" w:rsidRDefault="00F71BFE" w:rsidP="00F71BFE">
      <w:pPr>
        <w:pStyle w:val="VAFigureCaption"/>
        <w:rPr>
          <w:lang w:val="pt-BR"/>
        </w:rPr>
      </w:pPr>
      <w:r w:rsidRPr="003F625A">
        <w:rPr>
          <w:b/>
          <w:bCs/>
          <w:lang w:val="pt-BR"/>
        </w:rPr>
        <w:t xml:space="preserve">Figura </w:t>
      </w:r>
      <w:r w:rsidR="00CF711B">
        <w:rPr>
          <w:b/>
          <w:bCs/>
          <w:lang w:val="pt-BR"/>
        </w:rPr>
        <w:t>3</w:t>
      </w:r>
      <w:r w:rsidR="003F625A" w:rsidRPr="00C85E14">
        <w:rPr>
          <w:b/>
          <w:bCs/>
          <w:lang w:val="pt-BR"/>
        </w:rPr>
        <w:t>.</w:t>
      </w:r>
      <w:r w:rsidRPr="003F625A">
        <w:rPr>
          <w:lang w:val="pt-BR"/>
        </w:rPr>
        <w:t xml:space="preserve"> Superfície de resposta obtida no processo de otimização dos carvões sulfonados por meio de carbonização e sulfonação in</w:t>
      </w:r>
      <w:r w:rsidRPr="003F625A">
        <w:rPr>
          <w:i/>
          <w:iCs/>
          <w:lang w:val="pt-BR"/>
        </w:rPr>
        <w:t xml:space="preserve"> situ. </w:t>
      </w:r>
      <w:r w:rsidRPr="00C85E14">
        <w:rPr>
          <w:lang w:val="pt-BR"/>
        </w:rPr>
        <w:t>Efeito da temperatura e da quantidade de H</w:t>
      </w:r>
      <w:r w:rsidRPr="00C85E14">
        <w:rPr>
          <w:vertAlign w:val="subscript"/>
          <w:lang w:val="pt-BR"/>
        </w:rPr>
        <w:t>2</w:t>
      </w:r>
      <w:r w:rsidRPr="00C85E14">
        <w:rPr>
          <w:lang w:val="pt-BR"/>
        </w:rPr>
        <w:t>SO</w:t>
      </w:r>
      <w:r w:rsidRPr="00C85E14">
        <w:rPr>
          <w:vertAlign w:val="subscript"/>
          <w:lang w:val="pt-BR"/>
        </w:rPr>
        <w:t xml:space="preserve">4 </w:t>
      </w:r>
      <w:r w:rsidRPr="00C85E14">
        <w:rPr>
          <w:lang w:val="pt-BR"/>
        </w:rPr>
        <w:t xml:space="preserve">na quantificação de GAT </w:t>
      </w:r>
    </w:p>
    <w:p w14:paraId="10CB7023" w14:textId="14F382A3" w:rsidR="00091A3C" w:rsidRDefault="00317402" w:rsidP="00091A3C">
      <w:pPr>
        <w:jc w:val="center"/>
        <w:rPr>
          <w:b/>
          <w:bCs/>
        </w:rPr>
      </w:pPr>
      <w:r w:rsidRPr="008144A0">
        <w:rPr>
          <w:noProof/>
        </w:rPr>
        <w:drawing>
          <wp:anchor distT="0" distB="0" distL="114300" distR="114300" simplePos="0" relativeHeight="251655168" behindDoc="0" locked="0" layoutInCell="1" allowOverlap="1" wp14:anchorId="43AC2004" wp14:editId="133C7135">
            <wp:simplePos x="0" y="0"/>
            <wp:positionH relativeFrom="margin">
              <wp:posOffset>361752</wp:posOffset>
            </wp:positionH>
            <wp:positionV relativeFrom="margin">
              <wp:posOffset>1796373</wp:posOffset>
            </wp:positionV>
            <wp:extent cx="2071370" cy="2092960"/>
            <wp:effectExtent l="0" t="0" r="5080" b="2540"/>
            <wp:wrapSquare wrapText="bothSides"/>
            <wp:docPr id="5" name="Imagem 4">
              <a:extLst xmlns:a="http://schemas.openxmlformats.org/drawingml/2006/main">
                <a:ext uri="{FF2B5EF4-FFF2-40B4-BE49-F238E27FC236}">
                  <a16:creationId xmlns:a16="http://schemas.microsoft.com/office/drawing/2014/main" id="{19C3FFBD-02B5-3B3E-E4B0-5163A37EFB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a:extLst>
                        <a:ext uri="{FF2B5EF4-FFF2-40B4-BE49-F238E27FC236}">
                          <a16:creationId xmlns:a16="http://schemas.microsoft.com/office/drawing/2014/main" id="{19C3FFBD-02B5-3B3E-E4B0-5163A37EFB28}"/>
                        </a:ext>
                      </a:extLst>
                    </pic:cNvPr>
                    <pic:cNvPicPr>
                      <a:picLocks noChangeAspect="1"/>
                    </pic:cNvPicPr>
                  </pic:nvPicPr>
                  <pic:blipFill rotWithShape="1">
                    <a:blip r:embed="rId11">
                      <a:extLst>
                        <a:ext uri="{28A0092B-C50C-407E-A947-70E740481C1C}">
                          <a14:useLocalDpi xmlns:a14="http://schemas.microsoft.com/office/drawing/2010/main" val="0"/>
                        </a:ext>
                      </a:extLst>
                    </a:blip>
                    <a:srcRect l="-1102" t="5381" r="1102" b="1411"/>
                    <a:stretch/>
                  </pic:blipFill>
                  <pic:spPr bwMode="auto">
                    <a:xfrm>
                      <a:off x="0" y="0"/>
                      <a:ext cx="2071370" cy="2092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955A328" w14:textId="1E7BE0D4" w:rsidR="00CF711B" w:rsidRDefault="00CF711B" w:rsidP="00091A3C">
      <w:pPr>
        <w:pStyle w:val="VAFigureCaption"/>
        <w:rPr>
          <w:b/>
          <w:bCs/>
          <w:lang w:val="pt-BR"/>
        </w:rPr>
      </w:pPr>
    </w:p>
    <w:p w14:paraId="379A610E" w14:textId="4FE46817" w:rsidR="00CF711B" w:rsidRDefault="00CF711B" w:rsidP="00091A3C">
      <w:pPr>
        <w:pStyle w:val="VAFigureCaption"/>
        <w:rPr>
          <w:b/>
          <w:bCs/>
          <w:lang w:val="pt-BR"/>
        </w:rPr>
      </w:pPr>
    </w:p>
    <w:p w14:paraId="27AE10A9" w14:textId="06FB8D4E" w:rsidR="00CF711B" w:rsidRDefault="00CF711B" w:rsidP="00091A3C">
      <w:pPr>
        <w:pStyle w:val="VAFigureCaption"/>
        <w:rPr>
          <w:b/>
          <w:bCs/>
          <w:lang w:val="pt-BR"/>
        </w:rPr>
      </w:pPr>
    </w:p>
    <w:p w14:paraId="397936DC" w14:textId="77777777" w:rsidR="00CF711B" w:rsidRDefault="00CF711B" w:rsidP="00091A3C">
      <w:pPr>
        <w:pStyle w:val="VAFigureCaption"/>
        <w:rPr>
          <w:b/>
          <w:bCs/>
          <w:lang w:val="pt-BR"/>
        </w:rPr>
      </w:pPr>
    </w:p>
    <w:p w14:paraId="30346E20" w14:textId="77777777" w:rsidR="00CF711B" w:rsidRDefault="00CF711B" w:rsidP="00091A3C">
      <w:pPr>
        <w:pStyle w:val="VAFigureCaption"/>
        <w:rPr>
          <w:b/>
          <w:bCs/>
          <w:lang w:val="pt-BR"/>
        </w:rPr>
      </w:pPr>
    </w:p>
    <w:p w14:paraId="32682A29" w14:textId="77777777" w:rsidR="00CF711B" w:rsidRDefault="00CF711B" w:rsidP="00091A3C">
      <w:pPr>
        <w:pStyle w:val="VAFigureCaption"/>
        <w:rPr>
          <w:b/>
          <w:bCs/>
          <w:lang w:val="pt-BR"/>
        </w:rPr>
      </w:pPr>
    </w:p>
    <w:p w14:paraId="6ACBB410" w14:textId="77777777" w:rsidR="00CF711B" w:rsidRPr="00CF711B" w:rsidRDefault="00CF711B" w:rsidP="00CF711B">
      <w:pPr>
        <w:rPr>
          <w:lang w:eastAsia="pt-BR"/>
        </w:rPr>
      </w:pPr>
    </w:p>
    <w:p w14:paraId="0682CB6E" w14:textId="72882A45" w:rsidR="008144A0" w:rsidRPr="00091A3C" w:rsidRDefault="00F71BFE" w:rsidP="00091A3C">
      <w:pPr>
        <w:pStyle w:val="VAFigureCaption"/>
        <w:rPr>
          <w:lang w:val="pt-BR"/>
        </w:rPr>
      </w:pPr>
      <w:r w:rsidRPr="00193CE7">
        <w:rPr>
          <w:b/>
          <w:bCs/>
          <w:lang w:val="pt-BR"/>
        </w:rPr>
        <w:t xml:space="preserve">Figura </w:t>
      </w:r>
      <w:r w:rsidR="00CF711B">
        <w:rPr>
          <w:b/>
          <w:bCs/>
          <w:lang w:val="pt-BR"/>
        </w:rPr>
        <w:t>4</w:t>
      </w:r>
      <w:r w:rsidR="003F625A" w:rsidRPr="00193CE7">
        <w:rPr>
          <w:b/>
          <w:bCs/>
          <w:lang w:val="pt-BR"/>
        </w:rPr>
        <w:t xml:space="preserve">. </w:t>
      </w:r>
      <w:r w:rsidRPr="00193CE7">
        <w:rPr>
          <w:lang w:val="pt-BR"/>
        </w:rPr>
        <w:t xml:space="preserve">Superfície de resposta obtida no processo de otimização dos carvões sulfonados por meio de carbonização e sulfonação </w:t>
      </w:r>
      <w:r w:rsidRPr="00193CE7">
        <w:rPr>
          <w:i/>
          <w:iCs/>
          <w:lang w:val="pt-BR"/>
        </w:rPr>
        <w:t xml:space="preserve">in situ. </w:t>
      </w:r>
      <w:r w:rsidRPr="00091A3C">
        <w:rPr>
          <w:lang w:val="pt-BR"/>
        </w:rPr>
        <w:t>Efeito da temperatura e da quantidade de H</w:t>
      </w:r>
      <w:r w:rsidRPr="00091A3C">
        <w:rPr>
          <w:vertAlign w:val="subscript"/>
          <w:lang w:val="pt-BR"/>
        </w:rPr>
        <w:t>2</w:t>
      </w:r>
      <w:r w:rsidRPr="00091A3C">
        <w:rPr>
          <w:lang w:val="pt-BR"/>
        </w:rPr>
        <w:t>SO</w:t>
      </w:r>
      <w:r w:rsidRPr="00091A3C">
        <w:rPr>
          <w:vertAlign w:val="subscript"/>
          <w:lang w:val="pt-BR"/>
        </w:rPr>
        <w:t xml:space="preserve">4 </w:t>
      </w:r>
      <w:r w:rsidRPr="00091A3C">
        <w:rPr>
          <w:lang w:val="pt-BR"/>
        </w:rPr>
        <w:t>na Conversão de Limoneno</w:t>
      </w:r>
    </w:p>
    <w:p w14:paraId="34399AF3" w14:textId="592AB7AF" w:rsidR="008144A0" w:rsidRDefault="00CF711B" w:rsidP="007D2A1D">
      <w:pPr>
        <w:spacing w:after="0"/>
        <w:jc w:val="center"/>
        <w:rPr>
          <w:lang w:eastAsia="pt-BR"/>
        </w:rPr>
      </w:pPr>
      <w:r w:rsidRPr="008144A0">
        <w:rPr>
          <w:noProof/>
          <w:lang w:eastAsia="pt-BR"/>
        </w:rPr>
        <w:drawing>
          <wp:anchor distT="0" distB="0" distL="114300" distR="114300" simplePos="0" relativeHeight="251664384" behindDoc="0" locked="0" layoutInCell="1" allowOverlap="1" wp14:anchorId="1E6BC728" wp14:editId="581820F3">
            <wp:simplePos x="0" y="0"/>
            <wp:positionH relativeFrom="column">
              <wp:posOffset>471170</wp:posOffset>
            </wp:positionH>
            <wp:positionV relativeFrom="paragraph">
              <wp:posOffset>77882</wp:posOffset>
            </wp:positionV>
            <wp:extent cx="2202180" cy="2165350"/>
            <wp:effectExtent l="0" t="0" r="7620" b="6350"/>
            <wp:wrapNone/>
            <wp:docPr id="22" name="Imagem 22">
              <a:extLst xmlns:a="http://schemas.openxmlformats.org/drawingml/2006/main">
                <a:ext uri="{FF2B5EF4-FFF2-40B4-BE49-F238E27FC236}">
                  <a16:creationId xmlns:a16="http://schemas.microsoft.com/office/drawing/2014/main" id="{1A9C78F1-7121-767D-758D-A6A504C8A1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8">
                      <a:extLst>
                        <a:ext uri="{FF2B5EF4-FFF2-40B4-BE49-F238E27FC236}">
                          <a16:creationId xmlns:a16="http://schemas.microsoft.com/office/drawing/2014/main" id="{1A9C78F1-7121-767D-758D-A6A504C8A1CB}"/>
                        </a:ext>
                      </a:extLst>
                    </pic:cNvPr>
                    <pic:cNvPicPr>
                      <a:picLocks noChangeAspect="1"/>
                    </pic:cNvPicPr>
                  </pic:nvPicPr>
                  <pic:blipFill rotWithShape="1">
                    <a:blip r:embed="rId12">
                      <a:extLst>
                        <a:ext uri="{28A0092B-C50C-407E-A947-70E740481C1C}">
                          <a14:useLocalDpi xmlns:a14="http://schemas.microsoft.com/office/drawing/2010/main" val="0"/>
                        </a:ext>
                      </a:extLst>
                    </a:blip>
                    <a:srcRect t="6057"/>
                    <a:stretch/>
                  </pic:blipFill>
                  <pic:spPr bwMode="auto">
                    <a:xfrm>
                      <a:off x="0" y="0"/>
                      <a:ext cx="2202180" cy="2165350"/>
                    </a:xfrm>
                    <a:prstGeom prst="rect">
                      <a:avLst/>
                    </a:prstGeom>
                    <a:ln>
                      <a:noFill/>
                    </a:ln>
                    <a:extLst>
                      <a:ext uri="{53640926-AAD7-44D8-BBD7-CCE9431645EC}">
                        <a14:shadowObscured xmlns:a14="http://schemas.microsoft.com/office/drawing/2010/main"/>
                      </a:ext>
                    </a:extLst>
                  </pic:spPr>
                </pic:pic>
              </a:graphicData>
            </a:graphic>
          </wp:anchor>
        </w:drawing>
      </w:r>
    </w:p>
    <w:p w14:paraId="04F81A14" w14:textId="18C06054" w:rsidR="00091A3C" w:rsidRDefault="00091A3C" w:rsidP="007D2A1D">
      <w:pPr>
        <w:pStyle w:val="VAFigureCaption"/>
        <w:spacing w:before="0"/>
        <w:rPr>
          <w:b/>
          <w:bCs/>
          <w:lang w:val="pt-BR"/>
        </w:rPr>
      </w:pPr>
    </w:p>
    <w:p w14:paraId="39CEFB26" w14:textId="6479F899" w:rsidR="00091A3C" w:rsidRDefault="00091A3C" w:rsidP="007D2A1D">
      <w:pPr>
        <w:pStyle w:val="VAFigureCaption"/>
        <w:spacing w:before="0"/>
        <w:rPr>
          <w:b/>
          <w:bCs/>
          <w:lang w:val="pt-BR"/>
        </w:rPr>
      </w:pPr>
    </w:p>
    <w:p w14:paraId="272876B4" w14:textId="12F4E2FF" w:rsidR="00091A3C" w:rsidRDefault="00091A3C" w:rsidP="007D2A1D">
      <w:pPr>
        <w:pStyle w:val="VAFigureCaption"/>
        <w:spacing w:before="0"/>
        <w:rPr>
          <w:b/>
          <w:bCs/>
          <w:lang w:val="pt-BR"/>
        </w:rPr>
      </w:pPr>
    </w:p>
    <w:p w14:paraId="08C5017D" w14:textId="6D61C7B1" w:rsidR="00091A3C" w:rsidRDefault="00091A3C" w:rsidP="007D2A1D">
      <w:pPr>
        <w:pStyle w:val="VAFigureCaption"/>
        <w:spacing w:before="0"/>
        <w:rPr>
          <w:b/>
          <w:bCs/>
          <w:lang w:val="pt-BR"/>
        </w:rPr>
      </w:pPr>
    </w:p>
    <w:p w14:paraId="35E237E9" w14:textId="77777777" w:rsidR="00091A3C" w:rsidRDefault="00091A3C" w:rsidP="007D2A1D">
      <w:pPr>
        <w:pStyle w:val="VAFigureCaption"/>
        <w:spacing w:before="0"/>
        <w:rPr>
          <w:b/>
          <w:bCs/>
          <w:lang w:val="pt-BR"/>
        </w:rPr>
      </w:pPr>
    </w:p>
    <w:p w14:paraId="6B205CDB" w14:textId="77777777" w:rsidR="00091A3C" w:rsidRDefault="00091A3C" w:rsidP="007D2A1D">
      <w:pPr>
        <w:pStyle w:val="VAFigureCaption"/>
        <w:spacing w:before="0"/>
        <w:rPr>
          <w:b/>
          <w:bCs/>
          <w:lang w:val="pt-BR"/>
        </w:rPr>
      </w:pPr>
    </w:p>
    <w:p w14:paraId="6B827B16" w14:textId="77777777" w:rsidR="00091A3C" w:rsidRDefault="00091A3C" w:rsidP="007D2A1D">
      <w:pPr>
        <w:pStyle w:val="VAFigureCaption"/>
        <w:spacing w:before="0"/>
        <w:rPr>
          <w:b/>
          <w:bCs/>
          <w:lang w:val="pt-BR"/>
        </w:rPr>
      </w:pPr>
    </w:p>
    <w:p w14:paraId="5B17068A" w14:textId="77777777" w:rsidR="00091A3C" w:rsidRDefault="00091A3C" w:rsidP="007D2A1D">
      <w:pPr>
        <w:pStyle w:val="VAFigureCaption"/>
        <w:spacing w:before="0"/>
        <w:rPr>
          <w:b/>
          <w:bCs/>
          <w:lang w:val="pt-BR"/>
        </w:rPr>
      </w:pPr>
    </w:p>
    <w:p w14:paraId="6EBB0553" w14:textId="77777777" w:rsidR="00091A3C" w:rsidRDefault="00091A3C" w:rsidP="007D2A1D">
      <w:pPr>
        <w:pStyle w:val="VAFigureCaption"/>
        <w:spacing w:before="0"/>
        <w:rPr>
          <w:b/>
          <w:bCs/>
          <w:lang w:val="pt-BR"/>
        </w:rPr>
      </w:pPr>
    </w:p>
    <w:p w14:paraId="776EFE03" w14:textId="77777777" w:rsidR="00091A3C" w:rsidRDefault="00091A3C" w:rsidP="007D2A1D">
      <w:pPr>
        <w:pStyle w:val="VAFigureCaption"/>
        <w:spacing w:before="0"/>
        <w:rPr>
          <w:b/>
          <w:bCs/>
          <w:lang w:val="pt-BR"/>
        </w:rPr>
      </w:pPr>
    </w:p>
    <w:p w14:paraId="28D4D744" w14:textId="77777777" w:rsidR="00091A3C" w:rsidRDefault="00091A3C" w:rsidP="007D2A1D">
      <w:pPr>
        <w:pStyle w:val="VAFigureCaption"/>
        <w:spacing w:before="0"/>
        <w:rPr>
          <w:b/>
          <w:bCs/>
          <w:lang w:val="pt-BR"/>
        </w:rPr>
      </w:pPr>
    </w:p>
    <w:p w14:paraId="773629CA" w14:textId="77777777" w:rsidR="00091A3C" w:rsidRDefault="00091A3C" w:rsidP="007D2A1D">
      <w:pPr>
        <w:pStyle w:val="VAFigureCaption"/>
        <w:spacing w:before="0"/>
        <w:rPr>
          <w:b/>
          <w:bCs/>
          <w:lang w:val="pt-BR"/>
        </w:rPr>
      </w:pPr>
    </w:p>
    <w:p w14:paraId="0FC57232" w14:textId="77777777" w:rsidR="00091A3C" w:rsidRDefault="00091A3C" w:rsidP="007D2A1D">
      <w:pPr>
        <w:pStyle w:val="VAFigureCaption"/>
        <w:spacing w:before="0"/>
        <w:rPr>
          <w:b/>
          <w:bCs/>
          <w:lang w:val="pt-BR"/>
        </w:rPr>
      </w:pPr>
    </w:p>
    <w:p w14:paraId="262571ED" w14:textId="77777777" w:rsidR="00091A3C" w:rsidRDefault="00091A3C" w:rsidP="007D2A1D">
      <w:pPr>
        <w:pStyle w:val="VAFigureCaption"/>
        <w:spacing w:before="0"/>
        <w:rPr>
          <w:b/>
          <w:bCs/>
          <w:lang w:val="pt-BR"/>
        </w:rPr>
      </w:pPr>
    </w:p>
    <w:p w14:paraId="0AF40975" w14:textId="77777777" w:rsidR="00091A3C" w:rsidRDefault="00091A3C" w:rsidP="007D2A1D">
      <w:pPr>
        <w:pStyle w:val="VAFigureCaption"/>
        <w:spacing w:before="0"/>
        <w:rPr>
          <w:b/>
          <w:bCs/>
          <w:lang w:val="pt-BR"/>
        </w:rPr>
      </w:pPr>
    </w:p>
    <w:p w14:paraId="638408F0" w14:textId="77777777" w:rsidR="00A30666" w:rsidRDefault="00A30666" w:rsidP="007D2A1D">
      <w:pPr>
        <w:pStyle w:val="VAFigureCaption"/>
        <w:spacing w:before="0"/>
        <w:rPr>
          <w:b/>
          <w:bCs/>
          <w:lang w:val="pt-BR"/>
        </w:rPr>
      </w:pPr>
    </w:p>
    <w:p w14:paraId="3352812E" w14:textId="77777777" w:rsidR="00317402" w:rsidRDefault="00317402" w:rsidP="007D2A1D">
      <w:pPr>
        <w:pStyle w:val="VAFigureCaption"/>
        <w:spacing w:before="0"/>
        <w:rPr>
          <w:b/>
          <w:bCs/>
          <w:lang w:val="pt-BR"/>
        </w:rPr>
      </w:pPr>
    </w:p>
    <w:p w14:paraId="51B496D8" w14:textId="77777777" w:rsidR="00317402" w:rsidRDefault="00317402" w:rsidP="007D2A1D">
      <w:pPr>
        <w:pStyle w:val="VAFigureCaption"/>
        <w:spacing w:before="0"/>
        <w:rPr>
          <w:b/>
          <w:bCs/>
          <w:lang w:val="pt-BR"/>
        </w:rPr>
      </w:pPr>
    </w:p>
    <w:p w14:paraId="169CAC82" w14:textId="77777777" w:rsidR="00317402" w:rsidRDefault="00317402" w:rsidP="007D2A1D">
      <w:pPr>
        <w:pStyle w:val="VAFigureCaption"/>
        <w:spacing w:before="0"/>
        <w:rPr>
          <w:b/>
          <w:bCs/>
          <w:lang w:val="pt-BR"/>
        </w:rPr>
      </w:pPr>
    </w:p>
    <w:p w14:paraId="7F912BB1" w14:textId="77777777" w:rsidR="00317402" w:rsidRDefault="00317402" w:rsidP="007D2A1D">
      <w:pPr>
        <w:pStyle w:val="VAFigureCaption"/>
        <w:spacing w:before="0"/>
        <w:rPr>
          <w:b/>
          <w:bCs/>
          <w:lang w:val="pt-BR"/>
        </w:rPr>
      </w:pPr>
    </w:p>
    <w:p w14:paraId="42AC0581" w14:textId="77777777" w:rsidR="00317402" w:rsidRDefault="00317402" w:rsidP="007D2A1D">
      <w:pPr>
        <w:pStyle w:val="VAFigureCaption"/>
        <w:spacing w:before="0"/>
        <w:rPr>
          <w:b/>
          <w:bCs/>
          <w:lang w:val="pt-BR"/>
        </w:rPr>
      </w:pPr>
    </w:p>
    <w:p w14:paraId="5130E545" w14:textId="77777777" w:rsidR="00317402" w:rsidRDefault="00317402" w:rsidP="007D2A1D">
      <w:pPr>
        <w:pStyle w:val="VAFigureCaption"/>
        <w:spacing w:before="0"/>
        <w:rPr>
          <w:b/>
          <w:bCs/>
          <w:lang w:val="pt-BR"/>
        </w:rPr>
      </w:pPr>
    </w:p>
    <w:p w14:paraId="155F27E8" w14:textId="77777777" w:rsidR="00317402" w:rsidRDefault="00317402" w:rsidP="007D2A1D">
      <w:pPr>
        <w:pStyle w:val="VAFigureCaption"/>
        <w:spacing w:before="0"/>
        <w:rPr>
          <w:b/>
          <w:bCs/>
          <w:lang w:val="pt-BR"/>
        </w:rPr>
      </w:pPr>
    </w:p>
    <w:p w14:paraId="29D1A449" w14:textId="77777777" w:rsidR="00317402" w:rsidRDefault="00317402" w:rsidP="007D2A1D">
      <w:pPr>
        <w:pStyle w:val="VAFigureCaption"/>
        <w:spacing w:before="0"/>
        <w:rPr>
          <w:b/>
          <w:bCs/>
          <w:lang w:val="pt-BR"/>
        </w:rPr>
      </w:pPr>
    </w:p>
    <w:p w14:paraId="6F9461AE" w14:textId="77777777" w:rsidR="00317402" w:rsidRDefault="00317402" w:rsidP="007D2A1D">
      <w:pPr>
        <w:pStyle w:val="VAFigureCaption"/>
        <w:spacing w:before="0"/>
        <w:rPr>
          <w:b/>
          <w:bCs/>
          <w:lang w:val="pt-BR"/>
        </w:rPr>
      </w:pPr>
    </w:p>
    <w:p w14:paraId="4B940060" w14:textId="77777777" w:rsidR="00317402" w:rsidRDefault="00317402" w:rsidP="007D2A1D">
      <w:pPr>
        <w:pStyle w:val="VAFigureCaption"/>
        <w:spacing w:before="0"/>
        <w:rPr>
          <w:b/>
          <w:bCs/>
          <w:lang w:val="pt-BR"/>
        </w:rPr>
      </w:pPr>
    </w:p>
    <w:p w14:paraId="19DB6DA6" w14:textId="77777777" w:rsidR="00317402" w:rsidRDefault="00317402" w:rsidP="007D2A1D">
      <w:pPr>
        <w:pStyle w:val="VAFigureCaption"/>
        <w:spacing w:before="0"/>
        <w:rPr>
          <w:b/>
          <w:bCs/>
          <w:lang w:val="pt-BR"/>
        </w:rPr>
      </w:pPr>
    </w:p>
    <w:p w14:paraId="2AC0EDB4" w14:textId="77777777" w:rsidR="00317402" w:rsidRDefault="00317402" w:rsidP="007D2A1D">
      <w:pPr>
        <w:pStyle w:val="VAFigureCaption"/>
        <w:spacing w:before="0"/>
        <w:rPr>
          <w:b/>
          <w:bCs/>
          <w:lang w:val="pt-BR"/>
        </w:rPr>
      </w:pPr>
    </w:p>
    <w:p w14:paraId="2AF4B685" w14:textId="120A2883" w:rsidR="00F71BFE" w:rsidRPr="00F71BFE" w:rsidRDefault="00F71BFE" w:rsidP="007D2A1D">
      <w:pPr>
        <w:pStyle w:val="VAFigureCaption"/>
        <w:spacing w:before="0"/>
        <w:rPr>
          <w:lang w:val="pt-BR"/>
        </w:rPr>
      </w:pPr>
      <w:r w:rsidRPr="003F625A">
        <w:rPr>
          <w:b/>
          <w:bCs/>
          <w:lang w:val="pt-BR"/>
        </w:rPr>
        <w:t xml:space="preserve">Figura </w:t>
      </w:r>
      <w:r w:rsidR="00CF711B">
        <w:rPr>
          <w:b/>
          <w:bCs/>
          <w:lang w:val="pt-BR"/>
        </w:rPr>
        <w:t>5</w:t>
      </w:r>
      <w:r w:rsidR="003F625A" w:rsidRPr="003F625A">
        <w:rPr>
          <w:b/>
          <w:bCs/>
          <w:lang w:val="pt-BR"/>
        </w:rPr>
        <w:t>.</w:t>
      </w:r>
      <w:r w:rsidR="003F625A">
        <w:rPr>
          <w:b/>
          <w:bCs/>
          <w:lang w:val="pt-BR"/>
        </w:rPr>
        <w:t xml:space="preserve"> </w:t>
      </w:r>
      <w:r w:rsidRPr="00F71BFE">
        <w:rPr>
          <w:lang w:val="pt-BR"/>
        </w:rPr>
        <w:t xml:space="preserve"> Superfície de resposta obtida no processo de otimização dos carvões sulfonados por meio de carbonização e sulfonação </w:t>
      </w:r>
      <w:r w:rsidRPr="00F71BFE">
        <w:rPr>
          <w:i/>
          <w:iCs/>
          <w:lang w:val="pt-BR"/>
        </w:rPr>
        <w:t xml:space="preserve">in situ. </w:t>
      </w:r>
      <w:r w:rsidRPr="00C85E14">
        <w:rPr>
          <w:lang w:val="pt-BR"/>
        </w:rPr>
        <w:t>Efeito da temperatura e da quantidade de H</w:t>
      </w:r>
      <w:r w:rsidRPr="00C85E14">
        <w:rPr>
          <w:vertAlign w:val="subscript"/>
          <w:lang w:val="pt-BR"/>
        </w:rPr>
        <w:t>2</w:t>
      </w:r>
      <w:r w:rsidRPr="00C85E14">
        <w:rPr>
          <w:lang w:val="pt-BR"/>
        </w:rPr>
        <w:t>SO</w:t>
      </w:r>
      <w:r w:rsidRPr="00C85E14">
        <w:rPr>
          <w:vertAlign w:val="subscript"/>
          <w:lang w:val="pt-BR"/>
        </w:rPr>
        <w:t xml:space="preserve">4 </w:t>
      </w:r>
      <w:r w:rsidRPr="00C85E14">
        <w:rPr>
          <w:lang w:val="pt-BR"/>
        </w:rPr>
        <w:t xml:space="preserve">na quantificação de Rendimento de </w:t>
      </w:r>
      <w:r w:rsidRPr="003F625A">
        <w:t>α</w:t>
      </w:r>
      <w:r w:rsidRPr="00C85E14">
        <w:rPr>
          <w:lang w:val="pt-BR"/>
        </w:rPr>
        <w:t>-</w:t>
      </w:r>
      <w:proofErr w:type="spellStart"/>
      <w:r w:rsidRPr="00C85E14">
        <w:rPr>
          <w:lang w:val="pt-BR"/>
        </w:rPr>
        <w:t>terpineno</w:t>
      </w:r>
      <w:proofErr w:type="spellEnd"/>
      <w:r w:rsidRPr="00C85E14">
        <w:rPr>
          <w:b/>
          <w:bCs/>
          <w:lang w:val="pt-BR"/>
        </w:rPr>
        <w:t>.</w:t>
      </w:r>
    </w:p>
    <w:p w14:paraId="6FB1B096" w14:textId="275EC93A" w:rsidR="00F71BFE" w:rsidRDefault="008144A0" w:rsidP="007D2A1D">
      <w:pPr>
        <w:pStyle w:val="Legenda"/>
        <w:spacing w:after="0"/>
        <w:jc w:val="center"/>
        <w:rPr>
          <w:rFonts w:ascii="Arial" w:eastAsia="Times New Roman" w:hAnsi="Arial" w:cs="Arial"/>
          <w:sz w:val="20"/>
          <w:szCs w:val="20"/>
          <w:lang w:eastAsia="pt-BR"/>
        </w:rPr>
      </w:pPr>
      <w:r w:rsidRPr="008144A0">
        <w:rPr>
          <w:noProof/>
          <w:lang w:eastAsia="pt-BR"/>
        </w:rPr>
        <w:drawing>
          <wp:inline distT="0" distB="0" distL="0" distR="0" wp14:anchorId="1D5E9786" wp14:editId="571E19F8">
            <wp:extent cx="2459420" cy="2152067"/>
            <wp:effectExtent l="0" t="0" r="0" b="635"/>
            <wp:docPr id="23" name="Imagem 23">
              <a:extLst xmlns:a="http://schemas.openxmlformats.org/drawingml/2006/main">
                <a:ext uri="{FF2B5EF4-FFF2-40B4-BE49-F238E27FC236}">
                  <a16:creationId xmlns:a16="http://schemas.microsoft.com/office/drawing/2014/main" id="{4D699057-FAD1-D2CC-B6E3-B2D7BEE556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0">
                      <a:extLst>
                        <a:ext uri="{FF2B5EF4-FFF2-40B4-BE49-F238E27FC236}">
                          <a16:creationId xmlns:a16="http://schemas.microsoft.com/office/drawing/2014/main" id="{4D699057-FAD1-D2CC-B6E3-B2D7BEE556B7}"/>
                        </a:ext>
                      </a:extLst>
                    </pic:cNvPr>
                    <pic:cNvPicPr>
                      <a:picLocks noChangeAspect="1"/>
                    </pic:cNvPicPr>
                  </pic:nvPicPr>
                  <pic:blipFill>
                    <a:blip r:embed="rId13"/>
                    <a:stretch>
                      <a:fillRect/>
                    </a:stretch>
                  </pic:blipFill>
                  <pic:spPr>
                    <a:xfrm>
                      <a:off x="0" y="0"/>
                      <a:ext cx="2498346" cy="2186128"/>
                    </a:xfrm>
                    <a:prstGeom prst="rect">
                      <a:avLst/>
                    </a:prstGeom>
                  </pic:spPr>
                </pic:pic>
              </a:graphicData>
            </a:graphic>
          </wp:inline>
        </w:drawing>
      </w:r>
    </w:p>
    <w:p w14:paraId="63BC6079" w14:textId="35BAEA6A" w:rsidR="003F625A" w:rsidRPr="00C85E14" w:rsidRDefault="003F625A" w:rsidP="007D2A1D">
      <w:pPr>
        <w:pStyle w:val="VAFigureCaption"/>
        <w:spacing w:before="0"/>
        <w:rPr>
          <w:lang w:val="pt-BR"/>
        </w:rPr>
      </w:pPr>
      <w:r w:rsidRPr="003F625A">
        <w:rPr>
          <w:b/>
          <w:bCs/>
          <w:lang w:val="pt-BR"/>
        </w:rPr>
        <w:t xml:space="preserve">Figura </w:t>
      </w:r>
      <w:r w:rsidR="00CF711B">
        <w:rPr>
          <w:b/>
          <w:bCs/>
          <w:lang w:val="pt-BR"/>
        </w:rPr>
        <w:t>6.</w:t>
      </w:r>
      <w:r>
        <w:rPr>
          <w:lang w:val="pt-BR"/>
        </w:rPr>
        <w:t xml:space="preserve"> </w:t>
      </w:r>
      <w:r w:rsidR="00F71BFE" w:rsidRPr="00F71BFE">
        <w:rPr>
          <w:lang w:val="pt-BR"/>
        </w:rPr>
        <w:t xml:space="preserve">Superfície de resposta obtida no processo de otimização dos carvões </w:t>
      </w:r>
      <w:r w:rsidR="00F71BFE" w:rsidRPr="003F625A">
        <w:rPr>
          <w:lang w:val="pt-BR"/>
        </w:rPr>
        <w:t xml:space="preserve">sulfonados por meio de carbonização e sulfonação </w:t>
      </w:r>
      <w:r w:rsidR="00F71BFE" w:rsidRPr="003F625A">
        <w:rPr>
          <w:i/>
          <w:iCs/>
          <w:lang w:val="pt-BR"/>
        </w:rPr>
        <w:t xml:space="preserve">in situ. </w:t>
      </w:r>
      <w:r w:rsidR="00F71BFE" w:rsidRPr="00C85E14">
        <w:rPr>
          <w:lang w:val="pt-BR"/>
        </w:rPr>
        <w:t>Efeito da temperatura e da quantidade de H</w:t>
      </w:r>
      <w:r w:rsidR="00F71BFE" w:rsidRPr="00C85E14">
        <w:rPr>
          <w:vertAlign w:val="subscript"/>
          <w:lang w:val="pt-BR"/>
        </w:rPr>
        <w:t>2</w:t>
      </w:r>
      <w:r w:rsidR="00F71BFE" w:rsidRPr="00C85E14">
        <w:rPr>
          <w:lang w:val="pt-BR"/>
        </w:rPr>
        <w:t>SO</w:t>
      </w:r>
      <w:r w:rsidR="00F71BFE" w:rsidRPr="00C85E14">
        <w:rPr>
          <w:vertAlign w:val="subscript"/>
          <w:lang w:val="pt-BR"/>
        </w:rPr>
        <w:t xml:space="preserve">4 </w:t>
      </w:r>
      <w:r w:rsidR="00F71BFE" w:rsidRPr="00C85E14">
        <w:rPr>
          <w:lang w:val="pt-BR"/>
        </w:rPr>
        <w:t xml:space="preserve">na quantificação de Rendimento de </w:t>
      </w:r>
      <w:r w:rsidR="00F71BFE" w:rsidRPr="003F625A">
        <w:t>γ</w:t>
      </w:r>
      <w:r w:rsidR="00F71BFE" w:rsidRPr="00C85E14">
        <w:rPr>
          <w:lang w:val="pt-BR"/>
        </w:rPr>
        <w:t>-</w:t>
      </w:r>
      <w:proofErr w:type="spellStart"/>
      <w:r w:rsidR="00F71BFE" w:rsidRPr="00C85E14">
        <w:rPr>
          <w:lang w:val="pt-BR"/>
        </w:rPr>
        <w:t>terpineno</w:t>
      </w:r>
      <w:proofErr w:type="spellEnd"/>
      <w:r w:rsidR="00F71BFE" w:rsidRPr="00C85E14">
        <w:rPr>
          <w:lang w:val="pt-BR"/>
        </w:rPr>
        <w:t>.</w:t>
      </w:r>
    </w:p>
    <w:p w14:paraId="5A7EE0C7" w14:textId="3DA67484" w:rsidR="00F71BFE" w:rsidRDefault="00F71BFE" w:rsidP="00F71BFE">
      <w:pPr>
        <w:jc w:val="center"/>
        <w:rPr>
          <w:lang w:eastAsia="pt-BR"/>
        </w:rPr>
      </w:pPr>
      <w:r w:rsidRPr="008144A0">
        <w:rPr>
          <w:noProof/>
          <w:lang w:eastAsia="pt-BR"/>
        </w:rPr>
        <w:drawing>
          <wp:inline distT="0" distB="0" distL="0" distR="0" wp14:anchorId="29826BD6" wp14:editId="008D99C8">
            <wp:extent cx="2361600" cy="2169795"/>
            <wp:effectExtent l="0" t="0" r="635" b="1905"/>
            <wp:docPr id="24" name="Imagem 24">
              <a:extLst xmlns:a="http://schemas.openxmlformats.org/drawingml/2006/main">
                <a:ext uri="{FF2B5EF4-FFF2-40B4-BE49-F238E27FC236}">
                  <a16:creationId xmlns:a16="http://schemas.microsoft.com/office/drawing/2014/main" id="{C3FDA5A8-021A-3622-AEAA-1D5A7749D1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4">
                      <a:extLst>
                        <a:ext uri="{FF2B5EF4-FFF2-40B4-BE49-F238E27FC236}">
                          <a16:creationId xmlns:a16="http://schemas.microsoft.com/office/drawing/2014/main" id="{C3FDA5A8-021A-3622-AEAA-1D5A7749D13B}"/>
                        </a:ext>
                      </a:extLst>
                    </pic:cNvPr>
                    <pic:cNvPicPr>
                      <a:picLocks noChangeAspect="1"/>
                    </pic:cNvPicPr>
                  </pic:nvPicPr>
                  <pic:blipFill>
                    <a:blip r:embed="rId14"/>
                    <a:stretch>
                      <a:fillRect/>
                    </a:stretch>
                  </pic:blipFill>
                  <pic:spPr>
                    <a:xfrm>
                      <a:off x="0" y="0"/>
                      <a:ext cx="2415025" cy="2218881"/>
                    </a:xfrm>
                    <a:prstGeom prst="rect">
                      <a:avLst/>
                    </a:prstGeom>
                  </pic:spPr>
                </pic:pic>
              </a:graphicData>
            </a:graphic>
          </wp:inline>
        </w:drawing>
      </w:r>
    </w:p>
    <w:p w14:paraId="3ACFE1C0" w14:textId="7E661D72" w:rsidR="00942583" w:rsidRPr="00942583" w:rsidRDefault="003F625A" w:rsidP="00942583">
      <w:pPr>
        <w:pStyle w:val="VAFigureCaption"/>
        <w:rPr>
          <w:lang w:val="pt-BR"/>
        </w:rPr>
      </w:pPr>
      <w:r w:rsidRPr="003F625A">
        <w:rPr>
          <w:b/>
          <w:bCs/>
          <w:lang w:val="pt-BR"/>
        </w:rPr>
        <w:t xml:space="preserve">Figura </w:t>
      </w:r>
      <w:r w:rsidR="00CF711B">
        <w:rPr>
          <w:b/>
          <w:bCs/>
          <w:lang w:val="pt-BR"/>
        </w:rPr>
        <w:t>7</w:t>
      </w:r>
      <w:r w:rsidRPr="003F625A">
        <w:rPr>
          <w:b/>
          <w:bCs/>
          <w:lang w:val="pt-BR"/>
        </w:rPr>
        <w:t>.</w:t>
      </w:r>
      <w:r>
        <w:rPr>
          <w:lang w:val="pt-BR"/>
        </w:rPr>
        <w:t xml:space="preserve"> </w:t>
      </w:r>
      <w:r w:rsidR="00F71BFE" w:rsidRPr="00F71BFE">
        <w:rPr>
          <w:lang w:val="pt-BR"/>
        </w:rPr>
        <w:t xml:space="preserve">Superfície de resposta obtida no processo de otimização dos carvões sulfonados por </w:t>
      </w:r>
      <w:r w:rsidR="00F71BFE" w:rsidRPr="003F625A">
        <w:rPr>
          <w:lang w:val="pt-BR"/>
        </w:rPr>
        <w:t xml:space="preserve">meio de carbonização e sulfonação </w:t>
      </w:r>
      <w:r w:rsidR="00F71BFE" w:rsidRPr="003F625A">
        <w:rPr>
          <w:i/>
          <w:iCs/>
          <w:lang w:val="pt-BR"/>
        </w:rPr>
        <w:t xml:space="preserve">in situ. </w:t>
      </w:r>
      <w:r w:rsidR="00F71BFE" w:rsidRPr="00C85E14">
        <w:rPr>
          <w:lang w:val="pt-BR"/>
        </w:rPr>
        <w:t>Efeito da temperatura e da quantidade de H</w:t>
      </w:r>
      <w:r w:rsidR="00F71BFE" w:rsidRPr="00C85E14">
        <w:rPr>
          <w:vertAlign w:val="subscript"/>
          <w:lang w:val="pt-BR"/>
        </w:rPr>
        <w:t>2</w:t>
      </w:r>
      <w:r w:rsidR="00F71BFE" w:rsidRPr="00C85E14">
        <w:rPr>
          <w:lang w:val="pt-BR"/>
        </w:rPr>
        <w:t>SO</w:t>
      </w:r>
      <w:r w:rsidR="00F71BFE" w:rsidRPr="00C85E14">
        <w:rPr>
          <w:vertAlign w:val="subscript"/>
          <w:lang w:val="pt-BR"/>
        </w:rPr>
        <w:t xml:space="preserve">4 </w:t>
      </w:r>
      <w:r w:rsidR="00F71BFE" w:rsidRPr="00C85E14">
        <w:rPr>
          <w:lang w:val="pt-BR"/>
        </w:rPr>
        <w:t>na quantificação de Rendimento de</w:t>
      </w:r>
      <w:r w:rsidR="00F71BFE" w:rsidRPr="00C85E14">
        <w:rPr>
          <w:i/>
          <w:iCs/>
          <w:lang w:val="pt-BR"/>
        </w:rPr>
        <w:t xml:space="preserve"> p</w:t>
      </w:r>
      <w:r w:rsidR="00F71BFE" w:rsidRPr="00C85E14">
        <w:rPr>
          <w:lang w:val="pt-BR"/>
        </w:rPr>
        <w:t>-</w:t>
      </w:r>
      <w:proofErr w:type="spellStart"/>
      <w:r w:rsidR="00F71BFE" w:rsidRPr="00C85E14">
        <w:rPr>
          <w:lang w:val="pt-BR"/>
        </w:rPr>
        <w:t>cimeno</w:t>
      </w:r>
      <w:proofErr w:type="spellEnd"/>
      <w:r w:rsidR="00942583">
        <w:rPr>
          <w:lang w:val="pt-BR"/>
        </w:rPr>
        <w:t>.</w:t>
      </w:r>
    </w:p>
    <w:p w14:paraId="21AF9937" w14:textId="147CF2E4" w:rsidR="004F0E04" w:rsidRDefault="00F71BFE" w:rsidP="007D2A1D">
      <w:pPr>
        <w:spacing w:after="0"/>
        <w:jc w:val="center"/>
        <w:rPr>
          <w:lang w:eastAsia="pt-BR"/>
        </w:rPr>
      </w:pPr>
      <w:r w:rsidRPr="008144A0">
        <w:rPr>
          <w:noProof/>
          <w:lang w:eastAsia="pt-BR"/>
        </w:rPr>
        <w:drawing>
          <wp:inline distT="0" distB="0" distL="0" distR="0" wp14:anchorId="61D1095C" wp14:editId="3E56B5D7">
            <wp:extent cx="2159876" cy="2061355"/>
            <wp:effectExtent l="0" t="0" r="0" b="0"/>
            <wp:docPr id="13" name="Imagem 12">
              <a:extLst xmlns:a="http://schemas.openxmlformats.org/drawingml/2006/main">
                <a:ext uri="{FF2B5EF4-FFF2-40B4-BE49-F238E27FC236}">
                  <a16:creationId xmlns:a16="http://schemas.microsoft.com/office/drawing/2014/main" id="{002985B7-729F-0A24-29F9-A412CAD6E1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2">
                      <a:extLst>
                        <a:ext uri="{FF2B5EF4-FFF2-40B4-BE49-F238E27FC236}">
                          <a16:creationId xmlns:a16="http://schemas.microsoft.com/office/drawing/2014/main" id="{002985B7-729F-0A24-29F9-A412CAD6E1C2}"/>
                        </a:ext>
                      </a:extLst>
                    </pic:cNvPr>
                    <pic:cNvPicPr>
                      <a:picLocks noChangeAspect="1"/>
                    </pic:cNvPicPr>
                  </pic:nvPicPr>
                  <pic:blipFill>
                    <a:blip r:embed="rId15"/>
                    <a:stretch>
                      <a:fillRect/>
                    </a:stretch>
                  </pic:blipFill>
                  <pic:spPr>
                    <a:xfrm>
                      <a:off x="0" y="0"/>
                      <a:ext cx="2242186" cy="2139911"/>
                    </a:xfrm>
                    <a:prstGeom prst="rect">
                      <a:avLst/>
                    </a:prstGeom>
                  </pic:spPr>
                </pic:pic>
              </a:graphicData>
            </a:graphic>
          </wp:inline>
        </w:drawing>
      </w:r>
    </w:p>
    <w:p w14:paraId="29B90602" w14:textId="7F8E6750" w:rsidR="00F71BFE" w:rsidRPr="00C85E14" w:rsidRDefault="003F625A" w:rsidP="007D2A1D">
      <w:pPr>
        <w:pStyle w:val="VAFigureCaption"/>
        <w:spacing w:before="0"/>
        <w:rPr>
          <w:lang w:val="pt-BR"/>
        </w:rPr>
      </w:pPr>
      <w:r w:rsidRPr="003F625A">
        <w:rPr>
          <w:b/>
          <w:bCs/>
          <w:lang w:val="pt-BR"/>
        </w:rPr>
        <w:lastRenderedPageBreak/>
        <w:t xml:space="preserve">Figura </w:t>
      </w:r>
      <w:r w:rsidR="00CF711B">
        <w:rPr>
          <w:b/>
          <w:bCs/>
          <w:lang w:val="pt-BR"/>
        </w:rPr>
        <w:t>8</w:t>
      </w:r>
      <w:r w:rsidRPr="003F625A">
        <w:rPr>
          <w:b/>
          <w:bCs/>
          <w:lang w:val="pt-BR"/>
        </w:rPr>
        <w:t>.</w:t>
      </w:r>
      <w:r>
        <w:rPr>
          <w:lang w:val="pt-BR"/>
        </w:rPr>
        <w:t xml:space="preserve"> </w:t>
      </w:r>
      <w:r w:rsidR="00F71BFE" w:rsidRPr="00F71BFE">
        <w:rPr>
          <w:lang w:val="pt-BR"/>
        </w:rPr>
        <w:t xml:space="preserve">Superfície de resposta obtida no processo de otimização dos carvões sulfonados por </w:t>
      </w:r>
      <w:r w:rsidR="00F71BFE" w:rsidRPr="003F625A">
        <w:rPr>
          <w:lang w:val="pt-BR"/>
        </w:rPr>
        <w:t xml:space="preserve">meio de carbonização e sulfonação </w:t>
      </w:r>
      <w:r w:rsidR="00F71BFE" w:rsidRPr="003F625A">
        <w:rPr>
          <w:i/>
          <w:iCs/>
          <w:lang w:val="pt-BR"/>
        </w:rPr>
        <w:t xml:space="preserve">in situ. </w:t>
      </w:r>
      <w:r w:rsidR="00F71BFE" w:rsidRPr="00C85E14">
        <w:rPr>
          <w:lang w:val="pt-BR"/>
        </w:rPr>
        <w:t>Efeito da temperatura e da quantidade de H</w:t>
      </w:r>
      <w:r w:rsidR="00F71BFE" w:rsidRPr="00C85E14">
        <w:rPr>
          <w:vertAlign w:val="subscript"/>
          <w:lang w:val="pt-BR"/>
        </w:rPr>
        <w:t>2</w:t>
      </w:r>
      <w:r w:rsidR="00F71BFE" w:rsidRPr="00C85E14">
        <w:rPr>
          <w:lang w:val="pt-BR"/>
        </w:rPr>
        <w:t>SO</w:t>
      </w:r>
      <w:r w:rsidR="00F71BFE" w:rsidRPr="00C85E14">
        <w:rPr>
          <w:vertAlign w:val="subscript"/>
          <w:lang w:val="pt-BR"/>
        </w:rPr>
        <w:t xml:space="preserve">4 </w:t>
      </w:r>
      <w:r w:rsidR="00F71BFE" w:rsidRPr="00C85E14">
        <w:rPr>
          <w:lang w:val="pt-BR"/>
        </w:rPr>
        <w:t xml:space="preserve">na quantificação de Rendimento de </w:t>
      </w:r>
      <w:proofErr w:type="spellStart"/>
      <w:r w:rsidR="00F71BFE" w:rsidRPr="00C85E14">
        <w:rPr>
          <w:lang w:val="pt-BR"/>
        </w:rPr>
        <w:t>terpinoleno</w:t>
      </w:r>
      <w:proofErr w:type="spellEnd"/>
    </w:p>
    <w:p w14:paraId="7EE102E2" w14:textId="69FB262B" w:rsidR="00DE5861" w:rsidRDefault="008144A0" w:rsidP="007D2A1D">
      <w:pPr>
        <w:spacing w:after="0"/>
        <w:jc w:val="center"/>
        <w:rPr>
          <w:lang w:eastAsia="pt-BR"/>
        </w:rPr>
      </w:pPr>
      <w:r w:rsidRPr="008144A0">
        <w:rPr>
          <w:noProof/>
          <w:lang w:eastAsia="pt-BR"/>
        </w:rPr>
        <w:drawing>
          <wp:inline distT="0" distB="0" distL="0" distR="0" wp14:anchorId="4AC67BDA" wp14:editId="0368AAB2">
            <wp:extent cx="2473571" cy="2293904"/>
            <wp:effectExtent l="0" t="0" r="3175" b="0"/>
            <wp:docPr id="26" name="Imagem 26">
              <a:extLst xmlns:a="http://schemas.openxmlformats.org/drawingml/2006/main">
                <a:ext uri="{FF2B5EF4-FFF2-40B4-BE49-F238E27FC236}">
                  <a16:creationId xmlns:a16="http://schemas.microsoft.com/office/drawing/2014/main" id="{E757D170-8C51-1736-121B-61FC1408B4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6">
                      <a:extLst>
                        <a:ext uri="{FF2B5EF4-FFF2-40B4-BE49-F238E27FC236}">
                          <a16:creationId xmlns:a16="http://schemas.microsoft.com/office/drawing/2014/main" id="{E757D170-8C51-1736-121B-61FC1408B47E}"/>
                        </a:ext>
                      </a:extLst>
                    </pic:cNvPr>
                    <pic:cNvPicPr>
                      <a:picLocks noChangeAspect="1"/>
                    </pic:cNvPicPr>
                  </pic:nvPicPr>
                  <pic:blipFill>
                    <a:blip r:embed="rId16"/>
                    <a:stretch>
                      <a:fillRect/>
                    </a:stretch>
                  </pic:blipFill>
                  <pic:spPr>
                    <a:xfrm>
                      <a:off x="0" y="0"/>
                      <a:ext cx="2520458" cy="2337385"/>
                    </a:xfrm>
                    <a:prstGeom prst="rect">
                      <a:avLst/>
                    </a:prstGeom>
                  </pic:spPr>
                </pic:pic>
              </a:graphicData>
            </a:graphic>
          </wp:inline>
        </w:drawing>
      </w:r>
    </w:p>
    <w:p w14:paraId="74A69403" w14:textId="2966347F" w:rsidR="00A30666" w:rsidRPr="00DE70A0" w:rsidRDefault="00A30666" w:rsidP="00A30666">
      <w:pPr>
        <w:pStyle w:val="TAMainText"/>
        <w:rPr>
          <w:lang w:val="pt-BR"/>
        </w:rPr>
      </w:pPr>
      <w:r w:rsidRPr="003C55D5">
        <w:rPr>
          <w:lang w:val="pt-BR"/>
        </w:rPr>
        <w:t xml:space="preserve">Dessa forma, observou-se de modo geral que a quantidade de GAT não </w:t>
      </w:r>
      <w:proofErr w:type="spellStart"/>
      <w:proofErr w:type="gramStart"/>
      <w:r w:rsidRPr="003C55D5">
        <w:rPr>
          <w:lang w:val="pt-BR"/>
        </w:rPr>
        <w:t>esta</w:t>
      </w:r>
      <w:proofErr w:type="spellEnd"/>
      <w:proofErr w:type="gramEnd"/>
      <w:r w:rsidRPr="003C55D5">
        <w:rPr>
          <w:lang w:val="pt-BR"/>
        </w:rPr>
        <w:t xml:space="preserve"> diretamente relacionada com os resultados de conversão, rendimento e seletividade dos produtos avaliados. </w:t>
      </w:r>
      <w:r w:rsidRPr="00193CE7">
        <w:rPr>
          <w:lang w:val="pt-BR"/>
        </w:rPr>
        <w:t xml:space="preserve">Provavelmente, fatores estruturais também desempenham um papel importante na reação. </w:t>
      </w:r>
      <w:r w:rsidRPr="00DE70A0">
        <w:rPr>
          <w:lang w:val="pt-BR"/>
        </w:rPr>
        <w:t xml:space="preserve">Por esta razão, foi possível diminuir a quantidade de </w:t>
      </w:r>
      <w:r w:rsidR="00DE70A0" w:rsidRPr="001006D0">
        <w:rPr>
          <w:lang w:val="pt-BR"/>
        </w:rPr>
        <w:t>H</w:t>
      </w:r>
      <w:r w:rsidR="00DE70A0" w:rsidRPr="001006D0">
        <w:rPr>
          <w:vertAlign w:val="subscript"/>
          <w:lang w:val="pt-BR"/>
        </w:rPr>
        <w:t>2</w:t>
      </w:r>
      <w:r w:rsidR="00DE70A0" w:rsidRPr="001006D0">
        <w:rPr>
          <w:lang w:val="pt-BR"/>
        </w:rPr>
        <w:t>SO</w:t>
      </w:r>
      <w:r w:rsidR="00DE70A0" w:rsidRPr="001006D0">
        <w:rPr>
          <w:vertAlign w:val="subscript"/>
          <w:lang w:val="pt-BR"/>
        </w:rPr>
        <w:t>4</w:t>
      </w:r>
      <w:r w:rsidRPr="00DE70A0">
        <w:rPr>
          <w:lang w:val="pt-BR"/>
        </w:rPr>
        <w:t xml:space="preserve"> e a temperatura de carbonização utilizadas durante a síntese </w:t>
      </w:r>
      <w:proofErr w:type="gramStart"/>
      <w:r w:rsidRPr="00DE70A0">
        <w:rPr>
          <w:lang w:val="pt-BR"/>
        </w:rPr>
        <w:t xml:space="preserve">sem </w:t>
      </w:r>
      <w:r w:rsidR="00317402">
        <w:rPr>
          <w:lang w:val="pt-BR"/>
        </w:rPr>
        <w:t>redução</w:t>
      </w:r>
      <w:r w:rsidRPr="00DE70A0">
        <w:rPr>
          <w:lang w:val="pt-BR"/>
        </w:rPr>
        <w:t xml:space="preserve"> significativas</w:t>
      </w:r>
      <w:proofErr w:type="gramEnd"/>
      <w:r w:rsidRPr="00DE70A0">
        <w:rPr>
          <w:lang w:val="pt-BR"/>
        </w:rPr>
        <w:t xml:space="preserve"> no desempenho do catalisador</w:t>
      </w:r>
    </w:p>
    <w:p w14:paraId="07B0B965" w14:textId="77777777" w:rsidR="00A30666" w:rsidRDefault="00A30666" w:rsidP="007D2A1D">
      <w:pPr>
        <w:spacing w:after="0"/>
        <w:jc w:val="center"/>
        <w:rPr>
          <w:lang w:eastAsia="pt-BR"/>
        </w:rPr>
      </w:pPr>
    </w:p>
    <w:p w14:paraId="20AA905D" w14:textId="66579582" w:rsidR="00EA4E1B" w:rsidRPr="001F25B2" w:rsidRDefault="00EA4E1B" w:rsidP="007D2A1D">
      <w:pPr>
        <w:pStyle w:val="Ttulo2"/>
        <w:spacing w:before="0" w:after="0"/>
        <w:rPr>
          <w:rFonts w:ascii="Helvetica" w:hAnsi="Helvetica" w:cs="Helvetica"/>
          <w:sz w:val="24"/>
          <w:szCs w:val="24"/>
        </w:rPr>
      </w:pPr>
      <w:r w:rsidRPr="001F25B2">
        <w:rPr>
          <w:rFonts w:ascii="Helvetica" w:hAnsi="Helvetica" w:cs="Helvetica"/>
          <w:sz w:val="24"/>
          <w:szCs w:val="24"/>
        </w:rPr>
        <w:t>Conclusões</w:t>
      </w:r>
    </w:p>
    <w:p w14:paraId="5AC4C5A3" w14:textId="00EDFFDF" w:rsidR="007D2A1D" w:rsidRDefault="00F8566C" w:rsidP="007D2A1D">
      <w:pPr>
        <w:pStyle w:val="TAMainText"/>
        <w:rPr>
          <w:lang w:val="pt-BR"/>
        </w:rPr>
      </w:pPr>
      <w:bookmarkStart w:id="4" w:name="_Hlk130994133"/>
      <w:r w:rsidRPr="001006D0">
        <w:rPr>
          <w:lang w:val="pt-BR"/>
        </w:rPr>
        <w:t>O</w:t>
      </w:r>
      <w:r w:rsidRPr="001006D0">
        <w:rPr>
          <w:b/>
          <w:bCs/>
          <w:lang w:val="pt-BR"/>
        </w:rPr>
        <w:t xml:space="preserve"> </w:t>
      </w:r>
      <w:r w:rsidRPr="001006D0">
        <w:rPr>
          <w:lang w:val="pt-BR"/>
        </w:rPr>
        <w:t>processo de carbonização e sulfonação in situ foi promissor ao preparar os carvões sulfonados</w:t>
      </w:r>
      <w:r w:rsidR="007D2A1D">
        <w:rPr>
          <w:lang w:val="pt-BR"/>
        </w:rPr>
        <w:t>, pois foram</w:t>
      </w:r>
      <w:r w:rsidRPr="001006D0">
        <w:rPr>
          <w:lang w:val="pt-BR"/>
        </w:rPr>
        <w:t xml:space="preserve"> </w:t>
      </w:r>
      <w:r w:rsidRPr="00A267A2">
        <w:rPr>
          <w:lang w:val="pt-BR"/>
        </w:rPr>
        <w:t>obtido</w:t>
      </w:r>
      <w:r w:rsidR="007D2A1D">
        <w:rPr>
          <w:lang w:val="pt-BR"/>
        </w:rPr>
        <w:t>s</w:t>
      </w:r>
      <w:r w:rsidRPr="00A267A2">
        <w:rPr>
          <w:lang w:val="pt-BR"/>
        </w:rPr>
        <w:t xml:space="preserve"> carvões sulfonados com características ácidas de </w:t>
      </w:r>
      <w:proofErr w:type="spellStart"/>
      <w:r w:rsidRPr="00A267A2">
        <w:rPr>
          <w:lang w:val="pt-BR"/>
        </w:rPr>
        <w:t>Brønsted</w:t>
      </w:r>
      <w:proofErr w:type="spellEnd"/>
      <w:r w:rsidR="007D2A1D">
        <w:rPr>
          <w:lang w:val="pt-BR"/>
        </w:rPr>
        <w:t xml:space="preserve">. </w:t>
      </w:r>
      <w:r w:rsidRPr="00A267A2">
        <w:rPr>
          <w:lang w:val="pt-BR"/>
        </w:rPr>
        <w:t xml:space="preserve">O planejamento via DCCR permitiu avaliar o efeito </w:t>
      </w:r>
      <w:r w:rsidR="00A267A2" w:rsidRPr="00A267A2">
        <w:rPr>
          <w:lang w:val="pt-BR"/>
        </w:rPr>
        <w:t>d</w:t>
      </w:r>
      <w:r w:rsidR="00A267A2">
        <w:rPr>
          <w:lang w:val="pt-BR"/>
        </w:rPr>
        <w:t>as variáveis</w:t>
      </w:r>
      <w:r w:rsidRPr="00A267A2">
        <w:rPr>
          <w:lang w:val="pt-BR"/>
        </w:rPr>
        <w:t xml:space="preserve"> na preparação de catalisadores.</w:t>
      </w:r>
      <w:r w:rsidR="00CB1EC6">
        <w:rPr>
          <w:lang w:val="pt-BR"/>
        </w:rPr>
        <w:t xml:space="preserve"> </w:t>
      </w:r>
      <w:r w:rsidRPr="001006D0">
        <w:rPr>
          <w:lang w:val="pt-BR"/>
        </w:rPr>
        <w:t>Ao aplica-los na reação de isomerização de limoneno, foi observado que foram ativos. Resultados de conversão de Limoneno acima de 90% foram obtidos após 2h de reação</w:t>
      </w:r>
      <w:r w:rsidR="00F526AD">
        <w:rPr>
          <w:lang w:val="pt-BR"/>
        </w:rPr>
        <w:t>.</w:t>
      </w:r>
      <w:r w:rsidRPr="001006D0">
        <w:rPr>
          <w:lang w:val="pt-BR"/>
        </w:rPr>
        <w:t xml:space="preserve"> </w:t>
      </w:r>
      <w:r w:rsidRPr="00F8566C">
        <w:rPr>
          <w:lang w:val="pt-BR"/>
        </w:rPr>
        <w:t>Ao analisar os resultados catalíticos via DCCR, observou-se a possibilidade de uma relação sinérgica entre sítios ácidos acessíveis e as propriedades texturais, que podem facilitar a difusão das moléculas de limoneno até os sítios ativos.</w:t>
      </w:r>
      <w:r w:rsidR="00A267A2">
        <w:rPr>
          <w:lang w:val="pt-BR"/>
        </w:rPr>
        <w:t xml:space="preserve"> </w:t>
      </w:r>
      <w:bookmarkEnd w:id="4"/>
      <w:r w:rsidR="00CB1EC6">
        <w:rPr>
          <w:lang w:val="pt-BR"/>
        </w:rPr>
        <w:t xml:space="preserve">Essa otimização </w:t>
      </w:r>
      <w:r w:rsidR="0010534D" w:rsidRPr="00A267A2">
        <w:rPr>
          <w:lang w:val="pt-BR"/>
        </w:rPr>
        <w:t>avali</w:t>
      </w:r>
      <w:r w:rsidR="0010534D">
        <w:rPr>
          <w:lang w:val="pt-BR"/>
        </w:rPr>
        <w:t>ou</w:t>
      </w:r>
      <w:r w:rsidR="0010534D" w:rsidRPr="00A267A2">
        <w:rPr>
          <w:lang w:val="pt-BR"/>
        </w:rPr>
        <w:t xml:space="preserve"> </w:t>
      </w:r>
      <w:r w:rsidR="00A267A2" w:rsidRPr="00A267A2">
        <w:rPr>
          <w:lang w:val="pt-BR"/>
        </w:rPr>
        <w:t>condições ótimas de quantidade de H</w:t>
      </w:r>
      <w:r w:rsidR="00A267A2" w:rsidRPr="00A267A2">
        <w:rPr>
          <w:vertAlign w:val="subscript"/>
          <w:lang w:val="pt-BR"/>
        </w:rPr>
        <w:t>2</w:t>
      </w:r>
      <w:r w:rsidR="00A267A2" w:rsidRPr="00A267A2">
        <w:rPr>
          <w:lang w:val="pt-BR"/>
        </w:rPr>
        <w:t>SO</w:t>
      </w:r>
      <w:r w:rsidR="00A267A2" w:rsidRPr="00A267A2">
        <w:rPr>
          <w:vertAlign w:val="subscript"/>
          <w:lang w:val="pt-BR"/>
        </w:rPr>
        <w:t>4</w:t>
      </w:r>
      <w:r w:rsidR="00A267A2" w:rsidRPr="00A267A2">
        <w:rPr>
          <w:lang w:val="pt-BR"/>
        </w:rPr>
        <w:t xml:space="preserve"> e </w:t>
      </w:r>
      <w:r w:rsidR="0010534D">
        <w:rPr>
          <w:lang w:val="pt-BR"/>
        </w:rPr>
        <w:t>de</w:t>
      </w:r>
      <w:r w:rsidR="0010534D" w:rsidRPr="00A267A2">
        <w:rPr>
          <w:lang w:val="pt-BR"/>
        </w:rPr>
        <w:t xml:space="preserve"> </w:t>
      </w:r>
      <w:r w:rsidR="00A267A2" w:rsidRPr="00A267A2">
        <w:rPr>
          <w:lang w:val="pt-BR"/>
        </w:rPr>
        <w:t>temperatura utilizadas na síntese do material</w:t>
      </w:r>
      <w:r w:rsidR="00CB1EC6">
        <w:rPr>
          <w:lang w:val="pt-BR"/>
        </w:rPr>
        <w:t xml:space="preserve">, </w:t>
      </w:r>
      <w:r w:rsidR="00A267A2">
        <w:rPr>
          <w:lang w:val="pt-BR"/>
        </w:rPr>
        <w:t>mostr</w:t>
      </w:r>
      <w:r w:rsidR="00CB1EC6">
        <w:rPr>
          <w:lang w:val="pt-BR"/>
        </w:rPr>
        <w:t>ando</w:t>
      </w:r>
      <w:r w:rsidR="00A267A2">
        <w:rPr>
          <w:lang w:val="pt-BR"/>
        </w:rPr>
        <w:t xml:space="preserve"> que é possível </w:t>
      </w:r>
      <w:r w:rsidR="00A267A2" w:rsidRPr="00A267A2">
        <w:rPr>
          <w:lang w:val="pt-BR"/>
        </w:rPr>
        <w:t>reduzir a temperatura</w:t>
      </w:r>
      <w:r w:rsidR="00A267A2">
        <w:rPr>
          <w:lang w:val="pt-BR"/>
        </w:rPr>
        <w:t xml:space="preserve"> e </w:t>
      </w:r>
      <w:r w:rsidR="00A267A2" w:rsidRPr="00A267A2">
        <w:rPr>
          <w:lang w:val="pt-BR"/>
        </w:rPr>
        <w:t>quantidade de H</w:t>
      </w:r>
      <w:r w:rsidR="00A267A2" w:rsidRPr="00A267A2">
        <w:rPr>
          <w:vertAlign w:val="subscript"/>
          <w:lang w:val="pt-BR"/>
        </w:rPr>
        <w:t>2</w:t>
      </w:r>
      <w:r w:rsidR="00A267A2" w:rsidRPr="00A267A2">
        <w:rPr>
          <w:lang w:val="pt-BR"/>
        </w:rPr>
        <w:t>SO</w:t>
      </w:r>
      <w:r w:rsidR="00A267A2" w:rsidRPr="00A267A2">
        <w:rPr>
          <w:vertAlign w:val="subscript"/>
          <w:lang w:val="pt-BR"/>
        </w:rPr>
        <w:t>4</w:t>
      </w:r>
      <w:r w:rsidR="00A267A2">
        <w:rPr>
          <w:lang w:val="pt-BR"/>
        </w:rPr>
        <w:t>, permitindo a</w:t>
      </w:r>
      <w:r w:rsidR="00A267A2" w:rsidRPr="00A267A2">
        <w:rPr>
          <w:lang w:val="pt-BR"/>
        </w:rPr>
        <w:t xml:space="preserve"> redução energética</w:t>
      </w:r>
      <w:r w:rsidR="00A267A2">
        <w:rPr>
          <w:lang w:val="pt-BR"/>
        </w:rPr>
        <w:t xml:space="preserve"> e </w:t>
      </w:r>
      <w:r w:rsidR="00A267A2" w:rsidRPr="00A267A2">
        <w:rPr>
          <w:lang w:val="pt-BR"/>
        </w:rPr>
        <w:t>a</w:t>
      </w:r>
      <w:r w:rsidR="00A267A2">
        <w:rPr>
          <w:lang w:val="pt-BR"/>
        </w:rPr>
        <w:t xml:space="preserve"> </w:t>
      </w:r>
      <w:r w:rsidR="00CB1EC6">
        <w:rPr>
          <w:lang w:val="pt-BR"/>
        </w:rPr>
        <w:t>r</w:t>
      </w:r>
      <w:r w:rsidR="00A267A2" w:rsidRPr="00A267A2">
        <w:rPr>
          <w:lang w:val="pt-BR"/>
        </w:rPr>
        <w:t>edução de reagentes utilizados</w:t>
      </w:r>
      <w:r w:rsidR="00A267A2">
        <w:rPr>
          <w:lang w:val="pt-BR"/>
        </w:rPr>
        <w:t>, resultando na preparação de um catalisador de baixo custo sob condições brandas</w:t>
      </w:r>
      <w:r w:rsidR="00CB1EC6">
        <w:rPr>
          <w:lang w:val="pt-BR"/>
        </w:rPr>
        <w:t>.</w:t>
      </w:r>
    </w:p>
    <w:p w14:paraId="05A8DC09" w14:textId="77777777" w:rsidR="007D2A1D" w:rsidRDefault="007D2A1D" w:rsidP="007D2A1D">
      <w:pPr>
        <w:pStyle w:val="TAMainText"/>
        <w:rPr>
          <w:lang w:val="pt-BR"/>
        </w:rPr>
      </w:pPr>
    </w:p>
    <w:p w14:paraId="6BE32F7B" w14:textId="49DEDBF3" w:rsidR="00EA4E1B" w:rsidRPr="00B146E4" w:rsidRDefault="00EA4E1B" w:rsidP="007D2A1D">
      <w:pPr>
        <w:pStyle w:val="TAMainText"/>
        <w:jc w:val="center"/>
        <w:rPr>
          <w:rFonts w:ascii="Helvetica" w:hAnsi="Helvetica" w:cs="Helvetica"/>
          <w:sz w:val="24"/>
          <w:szCs w:val="24"/>
          <w:lang w:val="pt-BR"/>
        </w:rPr>
      </w:pPr>
      <w:r w:rsidRPr="00B146E4">
        <w:rPr>
          <w:rFonts w:ascii="Helvetica" w:hAnsi="Helvetica" w:cs="Helvetica"/>
          <w:sz w:val="24"/>
          <w:szCs w:val="24"/>
          <w:lang w:val="pt-BR"/>
        </w:rPr>
        <w:t>Agradecimentos</w:t>
      </w:r>
    </w:p>
    <w:p w14:paraId="327D984A" w14:textId="025930B7" w:rsidR="00C20D61" w:rsidRPr="00C85E14" w:rsidRDefault="00C20D61" w:rsidP="00D772FB">
      <w:pPr>
        <w:pStyle w:val="TAMainText"/>
        <w:rPr>
          <w:lang w:val="pt-BR"/>
        </w:rPr>
      </w:pPr>
      <w:r w:rsidRPr="00C85E14">
        <w:rPr>
          <w:lang w:val="pt-BR"/>
        </w:rPr>
        <w:t>Agradecimentos à FAPESP (</w:t>
      </w:r>
      <w:r w:rsidRPr="00C85E14">
        <w:rPr>
          <w:color w:val="222222"/>
          <w:shd w:val="clear" w:color="auto" w:fill="FFFFFF"/>
          <w:lang w:val="pt-BR"/>
        </w:rPr>
        <w:t>2021/12342-0</w:t>
      </w:r>
      <w:r w:rsidRPr="00C85E14">
        <w:rPr>
          <w:lang w:val="pt-BR"/>
        </w:rPr>
        <w:t xml:space="preserve">) e 2016/05006-5, 2018/01258-5), CAPES, CNPq (404843/2018-2, 312288/2019-0), CEM/UFABC, Laboratório Multiusuário Pontal da Universidade Federal de Uberlândia (FINEP/2013 INFR13 01.13.0371.00) e ao </w:t>
      </w:r>
      <w:r w:rsidRPr="00C85E14">
        <w:rPr>
          <w:lang w:val="pt-BR"/>
        </w:rPr>
        <w:t>Programa de Recursos Humanos da Agência Nacional do Petróleo, Gás Natural e Biocombustíveis – PRH-ANP da UFABC pelo financiamento e suporte experimental prestados.</w:t>
      </w:r>
    </w:p>
    <w:p w14:paraId="49E3AD27" w14:textId="29B4D677" w:rsidR="00F8566C" w:rsidRDefault="00F8566C" w:rsidP="00C20D61">
      <w:pPr>
        <w:pStyle w:val="TAMainText"/>
        <w:ind w:firstLine="0"/>
        <w:rPr>
          <w:rFonts w:ascii="Times New Roman" w:hAnsi="Times New Roman"/>
          <w:lang w:val="pt-BR"/>
        </w:rPr>
      </w:pPr>
    </w:p>
    <w:p w14:paraId="1EAAA287" w14:textId="71EE5DFA" w:rsidR="00EA4E1B" w:rsidRPr="00CB1EC6" w:rsidRDefault="00EA4E1B" w:rsidP="00DC0637">
      <w:pPr>
        <w:pStyle w:val="Ttulo2"/>
        <w:spacing w:before="0" w:after="0"/>
        <w:rPr>
          <w:rFonts w:ascii="Helvetica" w:hAnsi="Helvetica" w:cs="Helvetica"/>
          <w:sz w:val="24"/>
          <w:szCs w:val="24"/>
        </w:rPr>
      </w:pPr>
      <w:r w:rsidRPr="00CB1EC6">
        <w:rPr>
          <w:rFonts w:ascii="Helvetica" w:hAnsi="Helvetica" w:cs="Helvetica"/>
          <w:sz w:val="24"/>
          <w:szCs w:val="24"/>
        </w:rPr>
        <w:t>Referências</w:t>
      </w:r>
    </w:p>
    <w:p w14:paraId="3E4C7B6F" w14:textId="17283834" w:rsidR="00804B84" w:rsidRPr="00CB1EC6" w:rsidRDefault="00804B84" w:rsidP="00804B84">
      <w:pPr>
        <w:pStyle w:val="TAMainText"/>
        <w:rPr>
          <w:rFonts w:ascii="Times New Roman" w:hAnsi="Times New Roman"/>
          <w:lang w:val="pt-BR"/>
        </w:rPr>
      </w:pPr>
    </w:p>
    <w:p w14:paraId="2C582BC4" w14:textId="1545411A" w:rsidR="00AB0CF4" w:rsidRPr="006911A5" w:rsidRDefault="00804B84" w:rsidP="00AB0CF4">
      <w:pPr>
        <w:widowControl w:val="0"/>
        <w:autoSpaceDE w:val="0"/>
        <w:autoSpaceDN w:val="0"/>
        <w:adjustRightInd w:val="0"/>
        <w:spacing w:after="0" w:line="240" w:lineRule="exact"/>
        <w:ind w:left="640" w:hanging="640"/>
        <w:rPr>
          <w:rFonts w:ascii="Times New Roman" w:hAnsi="Times New Roman" w:cs="Times New Roman"/>
          <w:noProof/>
          <w:sz w:val="20"/>
          <w:szCs w:val="24"/>
        </w:rPr>
      </w:pPr>
      <w:r>
        <w:rPr>
          <w:rFonts w:ascii="Times New Roman" w:hAnsi="Times New Roman"/>
        </w:rPr>
        <w:fldChar w:fldCharType="begin" w:fldLock="1"/>
      </w:r>
      <w:r w:rsidRPr="000E3989">
        <w:rPr>
          <w:rFonts w:ascii="Times New Roman" w:hAnsi="Times New Roman"/>
        </w:rPr>
        <w:instrText xml:space="preserve">ADDIN Mendeley Bibliography CSL_BIBLIOGRAPHY </w:instrText>
      </w:r>
      <w:r>
        <w:rPr>
          <w:rFonts w:ascii="Times New Roman" w:hAnsi="Times New Roman"/>
        </w:rPr>
        <w:fldChar w:fldCharType="separate"/>
      </w:r>
      <w:r w:rsidR="00B704AD" w:rsidRPr="00B704AD">
        <w:rPr>
          <w:rFonts w:ascii="Times New Roman" w:hAnsi="Times New Roman" w:cs="Times New Roman"/>
          <w:noProof/>
          <w:sz w:val="20"/>
          <w:szCs w:val="24"/>
        </w:rPr>
        <w:t>1</w:t>
      </w:r>
      <w:r w:rsidR="00CB1EC6">
        <w:rPr>
          <w:rFonts w:ascii="Times New Roman" w:hAnsi="Times New Roman" w:cs="Times New Roman"/>
          <w:noProof/>
          <w:sz w:val="20"/>
          <w:szCs w:val="24"/>
        </w:rPr>
        <w:t>.</w:t>
      </w:r>
      <w:r w:rsidR="00B704AD" w:rsidRPr="00B704AD">
        <w:rPr>
          <w:rFonts w:ascii="Times New Roman" w:hAnsi="Times New Roman" w:cs="Times New Roman"/>
          <w:noProof/>
          <w:sz w:val="20"/>
          <w:szCs w:val="24"/>
        </w:rPr>
        <w:tab/>
        <w:t xml:space="preserve">G. Rubulotta, E.A. Quadrelli, Terpenes: A </w:t>
      </w:r>
      <w:r w:rsidR="00AB0CF4" w:rsidRPr="006911A5">
        <w:rPr>
          <w:rFonts w:ascii="Times New Roman" w:hAnsi="Times New Roman" w:cs="Times New Roman"/>
          <w:noProof/>
          <w:sz w:val="20"/>
          <w:szCs w:val="24"/>
        </w:rPr>
        <w:t>G. Rubulotta, E.A. Quadrelli</w:t>
      </w:r>
      <w:r w:rsidR="00AB0CF4">
        <w:rPr>
          <w:rFonts w:ascii="Times New Roman" w:hAnsi="Times New Roman" w:cs="Times New Roman"/>
          <w:noProof/>
          <w:sz w:val="20"/>
          <w:szCs w:val="24"/>
        </w:rPr>
        <w:t xml:space="preserve">. </w:t>
      </w:r>
      <w:r w:rsidR="00AB0CF4" w:rsidRPr="006911A5">
        <w:rPr>
          <w:rFonts w:ascii="Times New Roman" w:hAnsi="Times New Roman" w:cs="Times New Roman"/>
          <w:noProof/>
          <w:sz w:val="20"/>
          <w:szCs w:val="24"/>
        </w:rPr>
        <w:t xml:space="preserve">Elsevier B.V., </w:t>
      </w:r>
      <w:r w:rsidR="00AB0CF4" w:rsidRPr="006911A5">
        <w:rPr>
          <w:rFonts w:ascii="Times New Roman" w:hAnsi="Times New Roman" w:cs="Times New Roman"/>
          <w:b/>
          <w:bCs/>
          <w:noProof/>
          <w:sz w:val="20"/>
          <w:szCs w:val="24"/>
        </w:rPr>
        <w:t>2019.</w:t>
      </w:r>
    </w:p>
    <w:p w14:paraId="4D93C3D0" w14:textId="77777777" w:rsidR="00AB0CF4" w:rsidRPr="006911A5" w:rsidRDefault="00AB0CF4" w:rsidP="00AB0CF4">
      <w:pPr>
        <w:widowControl w:val="0"/>
        <w:autoSpaceDE w:val="0"/>
        <w:autoSpaceDN w:val="0"/>
        <w:adjustRightInd w:val="0"/>
        <w:spacing w:after="0" w:line="240" w:lineRule="exact"/>
        <w:ind w:left="640" w:hanging="640"/>
        <w:rPr>
          <w:rFonts w:ascii="Times New Roman" w:hAnsi="Times New Roman" w:cs="Times New Roman"/>
          <w:noProof/>
          <w:sz w:val="20"/>
          <w:szCs w:val="24"/>
        </w:rPr>
      </w:pPr>
      <w:r w:rsidRPr="00AB0CF4">
        <w:rPr>
          <w:rFonts w:ascii="Times New Roman" w:hAnsi="Times New Roman" w:cs="Times New Roman"/>
          <w:noProof/>
          <w:sz w:val="20"/>
          <w:szCs w:val="24"/>
        </w:rPr>
        <w:t>2.</w:t>
      </w:r>
      <w:r w:rsidRPr="00AB0CF4">
        <w:rPr>
          <w:rFonts w:ascii="Times New Roman" w:hAnsi="Times New Roman" w:cs="Times New Roman"/>
          <w:noProof/>
          <w:sz w:val="20"/>
          <w:szCs w:val="24"/>
        </w:rPr>
        <w:tab/>
        <w:t xml:space="preserve">M. Retajczyk, A. Wróblewska, A. Szymańska, B. Michalkiewicz, </w:t>
      </w:r>
      <w:r w:rsidRPr="00AB0CF4">
        <w:rPr>
          <w:rFonts w:ascii="Times New Roman" w:hAnsi="Times New Roman" w:cs="Times New Roman"/>
          <w:i/>
          <w:iCs/>
          <w:noProof/>
          <w:sz w:val="20"/>
          <w:szCs w:val="24"/>
        </w:rPr>
        <w:t>Clay Mine</w:t>
      </w:r>
      <w:r w:rsidRPr="00AB0CF4">
        <w:rPr>
          <w:rFonts w:ascii="Times New Roman" w:hAnsi="Times New Roman" w:cs="Times New Roman"/>
          <w:noProof/>
          <w:sz w:val="20"/>
          <w:szCs w:val="24"/>
        </w:rPr>
        <w:t xml:space="preserve">r. </w:t>
      </w:r>
      <w:r w:rsidRPr="006911A5">
        <w:rPr>
          <w:rFonts w:ascii="Times New Roman" w:hAnsi="Times New Roman" w:cs="Times New Roman"/>
          <w:b/>
          <w:bCs/>
          <w:noProof/>
          <w:sz w:val="20"/>
          <w:szCs w:val="24"/>
        </w:rPr>
        <w:t>2019</w:t>
      </w:r>
      <w:r>
        <w:rPr>
          <w:rFonts w:ascii="Times New Roman" w:hAnsi="Times New Roman" w:cs="Times New Roman"/>
          <w:noProof/>
          <w:sz w:val="20"/>
          <w:szCs w:val="24"/>
        </w:rPr>
        <w:t xml:space="preserve">,54, </w:t>
      </w:r>
      <w:r w:rsidRPr="006911A5">
        <w:rPr>
          <w:rFonts w:ascii="Times New Roman" w:hAnsi="Times New Roman" w:cs="Times New Roman"/>
          <w:noProof/>
          <w:sz w:val="20"/>
          <w:szCs w:val="24"/>
        </w:rPr>
        <w:t xml:space="preserve"> 121–129.</w:t>
      </w:r>
    </w:p>
    <w:p w14:paraId="38CBD296" w14:textId="77777777" w:rsidR="00AB0CF4" w:rsidRPr="006911A5" w:rsidRDefault="00AB0CF4" w:rsidP="00AB0CF4">
      <w:pPr>
        <w:widowControl w:val="0"/>
        <w:autoSpaceDE w:val="0"/>
        <w:autoSpaceDN w:val="0"/>
        <w:adjustRightInd w:val="0"/>
        <w:spacing w:after="0" w:line="240" w:lineRule="exact"/>
        <w:ind w:left="640" w:hanging="640"/>
        <w:rPr>
          <w:rFonts w:ascii="Times New Roman" w:hAnsi="Times New Roman" w:cs="Times New Roman"/>
          <w:noProof/>
          <w:sz w:val="20"/>
          <w:szCs w:val="24"/>
        </w:rPr>
      </w:pPr>
      <w:r w:rsidRPr="006911A5">
        <w:rPr>
          <w:rFonts w:ascii="Times New Roman" w:hAnsi="Times New Roman" w:cs="Times New Roman"/>
          <w:noProof/>
          <w:sz w:val="20"/>
          <w:szCs w:val="24"/>
        </w:rPr>
        <w:t>3</w:t>
      </w:r>
      <w:r>
        <w:rPr>
          <w:rFonts w:ascii="Times New Roman" w:hAnsi="Times New Roman" w:cs="Times New Roman"/>
          <w:noProof/>
          <w:sz w:val="20"/>
          <w:szCs w:val="24"/>
        </w:rPr>
        <w:t>.</w:t>
      </w:r>
      <w:r w:rsidRPr="006911A5">
        <w:rPr>
          <w:rFonts w:ascii="Times New Roman" w:hAnsi="Times New Roman" w:cs="Times New Roman"/>
          <w:noProof/>
          <w:sz w:val="20"/>
          <w:szCs w:val="24"/>
        </w:rPr>
        <w:tab/>
        <w:t>V. V. Costa, K.A. Da Silva Rocha, I. V. Kozhevnikov, E.F. Kozhevnikova, E. V. Gusevskaya,</w:t>
      </w:r>
      <w:r w:rsidRPr="002228FA">
        <w:rPr>
          <w:rFonts w:ascii="Times New Roman" w:hAnsi="Times New Roman" w:cs="Times New Roman"/>
          <w:i/>
          <w:iCs/>
          <w:noProof/>
          <w:sz w:val="20"/>
          <w:szCs w:val="24"/>
        </w:rPr>
        <w:t xml:space="preserve"> Catal Sci Technol</w:t>
      </w:r>
      <w:r>
        <w:rPr>
          <w:rFonts w:ascii="Times New Roman" w:hAnsi="Times New Roman" w:cs="Times New Roman"/>
          <w:noProof/>
          <w:sz w:val="20"/>
          <w:szCs w:val="24"/>
        </w:rPr>
        <w:t xml:space="preserve">. </w:t>
      </w:r>
      <w:r w:rsidRPr="006911A5">
        <w:rPr>
          <w:rFonts w:ascii="Times New Roman" w:hAnsi="Times New Roman" w:cs="Times New Roman"/>
          <w:b/>
          <w:bCs/>
          <w:noProof/>
          <w:sz w:val="20"/>
          <w:szCs w:val="24"/>
        </w:rPr>
        <w:t>2013</w:t>
      </w:r>
      <w:r>
        <w:rPr>
          <w:rFonts w:ascii="Times New Roman" w:hAnsi="Times New Roman" w:cs="Times New Roman"/>
          <w:noProof/>
          <w:sz w:val="20"/>
          <w:szCs w:val="24"/>
        </w:rPr>
        <w:t>, 3,</w:t>
      </w:r>
      <w:r w:rsidRPr="006911A5">
        <w:rPr>
          <w:rFonts w:ascii="Times New Roman" w:hAnsi="Times New Roman" w:cs="Times New Roman"/>
          <w:noProof/>
          <w:sz w:val="20"/>
          <w:szCs w:val="24"/>
        </w:rPr>
        <w:t xml:space="preserve"> 244–250.</w:t>
      </w:r>
    </w:p>
    <w:p w14:paraId="7E5A9E07" w14:textId="77777777" w:rsidR="00AB0CF4" w:rsidRPr="00E63679" w:rsidRDefault="00AB0CF4" w:rsidP="00AB0CF4">
      <w:pPr>
        <w:widowControl w:val="0"/>
        <w:autoSpaceDE w:val="0"/>
        <w:autoSpaceDN w:val="0"/>
        <w:adjustRightInd w:val="0"/>
        <w:spacing w:after="0" w:line="240" w:lineRule="exact"/>
        <w:ind w:left="640" w:hanging="640"/>
        <w:rPr>
          <w:rFonts w:ascii="Times New Roman" w:hAnsi="Times New Roman" w:cs="Times New Roman"/>
          <w:noProof/>
          <w:sz w:val="20"/>
          <w:szCs w:val="24"/>
          <w:lang w:val="en-US"/>
        </w:rPr>
      </w:pPr>
      <w:r w:rsidRPr="006911A5">
        <w:rPr>
          <w:rFonts w:ascii="Times New Roman" w:hAnsi="Times New Roman" w:cs="Times New Roman"/>
          <w:noProof/>
          <w:sz w:val="20"/>
          <w:szCs w:val="24"/>
        </w:rPr>
        <w:t>4</w:t>
      </w:r>
      <w:r>
        <w:rPr>
          <w:rFonts w:ascii="Times New Roman" w:hAnsi="Times New Roman" w:cs="Times New Roman"/>
          <w:noProof/>
          <w:sz w:val="20"/>
          <w:szCs w:val="24"/>
        </w:rPr>
        <w:t>.</w:t>
      </w:r>
      <w:r w:rsidRPr="006911A5">
        <w:rPr>
          <w:rFonts w:ascii="Times New Roman" w:hAnsi="Times New Roman" w:cs="Times New Roman"/>
          <w:noProof/>
          <w:sz w:val="20"/>
          <w:szCs w:val="24"/>
        </w:rPr>
        <w:tab/>
        <w:t xml:space="preserve">C. Antonetti, M. Melloni, D. Licursi, S. Fulignati, E. Ribechini, S. Rivas, J.C. Parajó, F. Cavani, A.M. Raspolli Galletti, </w:t>
      </w:r>
      <w:r w:rsidRPr="002228FA">
        <w:rPr>
          <w:rFonts w:ascii="Times New Roman" w:hAnsi="Times New Roman" w:cs="Times New Roman"/>
          <w:i/>
          <w:iCs/>
          <w:noProof/>
          <w:sz w:val="20"/>
          <w:szCs w:val="24"/>
        </w:rPr>
        <w:t xml:space="preserve">Appl Catal B Environ. </w:t>
      </w:r>
      <w:r w:rsidRPr="00E63679">
        <w:rPr>
          <w:rFonts w:ascii="Times New Roman" w:hAnsi="Times New Roman" w:cs="Times New Roman"/>
          <w:b/>
          <w:bCs/>
          <w:noProof/>
          <w:sz w:val="20"/>
          <w:szCs w:val="24"/>
          <w:lang w:val="en-US"/>
        </w:rPr>
        <w:t>2017,</w:t>
      </w:r>
      <w:r w:rsidRPr="00E63679">
        <w:rPr>
          <w:rFonts w:ascii="Times New Roman" w:hAnsi="Times New Roman" w:cs="Times New Roman"/>
          <w:noProof/>
          <w:sz w:val="20"/>
          <w:szCs w:val="24"/>
          <w:lang w:val="en-US"/>
        </w:rPr>
        <w:t xml:space="preserve"> 206, 364–377.</w:t>
      </w:r>
    </w:p>
    <w:p w14:paraId="756D7511" w14:textId="77777777" w:rsidR="00AB0CF4" w:rsidRPr="00E63679" w:rsidRDefault="00AB0CF4" w:rsidP="00AB0CF4">
      <w:pPr>
        <w:widowControl w:val="0"/>
        <w:autoSpaceDE w:val="0"/>
        <w:autoSpaceDN w:val="0"/>
        <w:adjustRightInd w:val="0"/>
        <w:spacing w:after="0" w:line="240" w:lineRule="exact"/>
        <w:ind w:left="640" w:hanging="640"/>
        <w:rPr>
          <w:rFonts w:ascii="Times New Roman" w:hAnsi="Times New Roman" w:cs="Times New Roman"/>
          <w:noProof/>
          <w:sz w:val="20"/>
          <w:szCs w:val="24"/>
          <w:lang w:val="en-US"/>
        </w:rPr>
      </w:pPr>
      <w:r w:rsidRPr="00E63679">
        <w:rPr>
          <w:rFonts w:ascii="Times New Roman" w:hAnsi="Times New Roman" w:cs="Times New Roman"/>
          <w:noProof/>
          <w:sz w:val="20"/>
          <w:szCs w:val="24"/>
          <w:lang w:val="en-US"/>
        </w:rPr>
        <w:t>5</w:t>
      </w:r>
      <w:r>
        <w:rPr>
          <w:rFonts w:ascii="Times New Roman" w:hAnsi="Times New Roman" w:cs="Times New Roman"/>
          <w:noProof/>
          <w:sz w:val="20"/>
          <w:szCs w:val="24"/>
          <w:lang w:val="en-US"/>
        </w:rPr>
        <w:t>.</w:t>
      </w:r>
      <w:r w:rsidRPr="00E63679">
        <w:rPr>
          <w:rFonts w:ascii="Times New Roman" w:hAnsi="Times New Roman" w:cs="Times New Roman"/>
          <w:noProof/>
          <w:sz w:val="20"/>
          <w:szCs w:val="24"/>
          <w:lang w:val="en-US"/>
        </w:rPr>
        <w:tab/>
        <w:t xml:space="preserve">N.E. Leadbeater, Organic Synthesis Using Microwave Heating, </w:t>
      </w:r>
      <w:r w:rsidRPr="00E63679">
        <w:rPr>
          <w:rFonts w:ascii="Times New Roman" w:hAnsi="Times New Roman" w:cs="Times New Roman"/>
          <w:i/>
          <w:iCs/>
          <w:noProof/>
          <w:sz w:val="20"/>
          <w:szCs w:val="24"/>
          <w:lang w:val="en-US"/>
        </w:rPr>
        <w:t>Elsevier Ltd</w:t>
      </w:r>
      <w:r w:rsidRPr="00E63679">
        <w:rPr>
          <w:rFonts w:ascii="Times New Roman" w:hAnsi="Times New Roman" w:cs="Times New Roman"/>
          <w:noProof/>
          <w:sz w:val="20"/>
          <w:szCs w:val="24"/>
          <w:lang w:val="en-US"/>
        </w:rPr>
        <w:t xml:space="preserve">., </w:t>
      </w:r>
      <w:r w:rsidRPr="00E63679">
        <w:rPr>
          <w:rFonts w:ascii="Times New Roman" w:hAnsi="Times New Roman" w:cs="Times New Roman"/>
          <w:b/>
          <w:bCs/>
          <w:noProof/>
          <w:sz w:val="20"/>
          <w:szCs w:val="24"/>
          <w:lang w:val="en-US"/>
        </w:rPr>
        <w:t>2014</w:t>
      </w:r>
      <w:r w:rsidRPr="00E63679">
        <w:rPr>
          <w:rFonts w:ascii="Times New Roman" w:hAnsi="Times New Roman" w:cs="Times New Roman"/>
          <w:noProof/>
          <w:sz w:val="20"/>
          <w:szCs w:val="24"/>
          <w:lang w:val="en-US"/>
        </w:rPr>
        <w:t>.</w:t>
      </w:r>
    </w:p>
    <w:p w14:paraId="0330F734" w14:textId="77777777" w:rsidR="00AB0CF4" w:rsidRPr="00E63679" w:rsidRDefault="00AB0CF4" w:rsidP="00AB0CF4">
      <w:pPr>
        <w:widowControl w:val="0"/>
        <w:autoSpaceDE w:val="0"/>
        <w:autoSpaceDN w:val="0"/>
        <w:adjustRightInd w:val="0"/>
        <w:spacing w:after="0" w:line="240" w:lineRule="exact"/>
        <w:ind w:left="640" w:hanging="640"/>
        <w:rPr>
          <w:rFonts w:ascii="Times New Roman" w:hAnsi="Times New Roman" w:cs="Times New Roman"/>
          <w:noProof/>
          <w:sz w:val="20"/>
          <w:szCs w:val="24"/>
          <w:lang w:val="en-US"/>
        </w:rPr>
      </w:pPr>
      <w:r w:rsidRPr="00E63679">
        <w:rPr>
          <w:rFonts w:ascii="Times New Roman" w:hAnsi="Times New Roman" w:cs="Times New Roman"/>
          <w:noProof/>
          <w:sz w:val="20"/>
          <w:szCs w:val="24"/>
          <w:lang w:val="en-US"/>
        </w:rPr>
        <w:t>6</w:t>
      </w:r>
      <w:r>
        <w:rPr>
          <w:rFonts w:ascii="Times New Roman" w:hAnsi="Times New Roman" w:cs="Times New Roman"/>
          <w:noProof/>
          <w:sz w:val="20"/>
          <w:szCs w:val="24"/>
          <w:lang w:val="en-US"/>
        </w:rPr>
        <w:t>.</w:t>
      </w:r>
      <w:r w:rsidRPr="00E63679">
        <w:rPr>
          <w:rFonts w:ascii="Times New Roman" w:hAnsi="Times New Roman" w:cs="Times New Roman"/>
          <w:noProof/>
          <w:sz w:val="20"/>
          <w:szCs w:val="24"/>
          <w:lang w:val="en-US"/>
        </w:rPr>
        <w:tab/>
        <w:t xml:space="preserve">M. Heidari, A. Dutta, B. Acharya, S. Mahmud, J </w:t>
      </w:r>
      <w:r w:rsidRPr="00E63679">
        <w:rPr>
          <w:rFonts w:ascii="Times New Roman" w:hAnsi="Times New Roman" w:cs="Times New Roman"/>
          <w:i/>
          <w:iCs/>
          <w:noProof/>
          <w:sz w:val="20"/>
          <w:szCs w:val="24"/>
          <w:lang w:val="en-US"/>
        </w:rPr>
        <w:t>Energy Inst</w:t>
      </w:r>
      <w:r w:rsidRPr="00E63679">
        <w:rPr>
          <w:rFonts w:ascii="Times New Roman" w:hAnsi="Times New Roman" w:cs="Times New Roman"/>
          <w:noProof/>
          <w:sz w:val="20"/>
          <w:szCs w:val="24"/>
          <w:lang w:val="en-US"/>
        </w:rPr>
        <w:t xml:space="preserve">. </w:t>
      </w:r>
      <w:r w:rsidRPr="00E63679">
        <w:rPr>
          <w:rFonts w:ascii="Times New Roman" w:hAnsi="Times New Roman" w:cs="Times New Roman"/>
          <w:b/>
          <w:bCs/>
          <w:noProof/>
          <w:sz w:val="20"/>
          <w:szCs w:val="24"/>
          <w:lang w:val="en-US"/>
        </w:rPr>
        <w:t>2019</w:t>
      </w:r>
      <w:r w:rsidRPr="00E63679">
        <w:rPr>
          <w:rFonts w:ascii="Times New Roman" w:hAnsi="Times New Roman" w:cs="Times New Roman"/>
          <w:noProof/>
          <w:sz w:val="20"/>
          <w:szCs w:val="24"/>
          <w:lang w:val="en-US"/>
        </w:rPr>
        <w:t>, 92, 1779–1799.</w:t>
      </w:r>
    </w:p>
    <w:p w14:paraId="08883A45" w14:textId="77777777" w:rsidR="00AB0CF4" w:rsidRPr="00E63679" w:rsidRDefault="00AB0CF4" w:rsidP="00AB0CF4">
      <w:pPr>
        <w:widowControl w:val="0"/>
        <w:autoSpaceDE w:val="0"/>
        <w:autoSpaceDN w:val="0"/>
        <w:adjustRightInd w:val="0"/>
        <w:spacing w:after="0" w:line="240" w:lineRule="exact"/>
        <w:ind w:left="640" w:hanging="640"/>
        <w:rPr>
          <w:rFonts w:ascii="Times New Roman" w:hAnsi="Times New Roman" w:cs="Times New Roman"/>
          <w:noProof/>
          <w:sz w:val="20"/>
          <w:szCs w:val="24"/>
          <w:lang w:val="en-US"/>
        </w:rPr>
      </w:pPr>
      <w:r w:rsidRPr="00E63679">
        <w:rPr>
          <w:rFonts w:ascii="Times New Roman" w:hAnsi="Times New Roman" w:cs="Times New Roman"/>
          <w:noProof/>
          <w:sz w:val="20"/>
          <w:szCs w:val="24"/>
          <w:lang w:val="en-US"/>
        </w:rPr>
        <w:t>7</w:t>
      </w:r>
      <w:r>
        <w:rPr>
          <w:rFonts w:ascii="Times New Roman" w:hAnsi="Times New Roman" w:cs="Times New Roman"/>
          <w:noProof/>
          <w:sz w:val="20"/>
          <w:szCs w:val="24"/>
          <w:lang w:val="en-US"/>
        </w:rPr>
        <w:t>.</w:t>
      </w:r>
      <w:r w:rsidRPr="00E63679">
        <w:rPr>
          <w:rFonts w:ascii="Times New Roman" w:hAnsi="Times New Roman" w:cs="Times New Roman"/>
          <w:noProof/>
          <w:sz w:val="20"/>
          <w:szCs w:val="24"/>
          <w:lang w:val="en-US"/>
        </w:rPr>
        <w:tab/>
        <w:t xml:space="preserve">R.A. Sheldon, J Mol Catal A Chem. </w:t>
      </w:r>
      <w:r w:rsidRPr="00E63679">
        <w:rPr>
          <w:rFonts w:ascii="Times New Roman" w:hAnsi="Times New Roman" w:cs="Times New Roman"/>
          <w:b/>
          <w:bCs/>
          <w:noProof/>
          <w:sz w:val="20"/>
          <w:szCs w:val="24"/>
          <w:lang w:val="en-US"/>
        </w:rPr>
        <w:t xml:space="preserve">2016, </w:t>
      </w:r>
      <w:r w:rsidRPr="00E63679">
        <w:rPr>
          <w:rFonts w:ascii="Times New Roman" w:hAnsi="Times New Roman" w:cs="Times New Roman"/>
          <w:noProof/>
          <w:sz w:val="20"/>
          <w:szCs w:val="24"/>
          <w:lang w:val="en-US"/>
        </w:rPr>
        <w:t>422, 3–12.</w:t>
      </w:r>
    </w:p>
    <w:p w14:paraId="6D301B45" w14:textId="77777777" w:rsidR="00AB0CF4" w:rsidRPr="00E63679" w:rsidRDefault="00AB0CF4" w:rsidP="00AB0CF4">
      <w:pPr>
        <w:widowControl w:val="0"/>
        <w:autoSpaceDE w:val="0"/>
        <w:autoSpaceDN w:val="0"/>
        <w:adjustRightInd w:val="0"/>
        <w:spacing w:after="0" w:line="240" w:lineRule="exact"/>
        <w:ind w:left="640" w:hanging="640"/>
        <w:rPr>
          <w:rFonts w:ascii="Times New Roman" w:hAnsi="Times New Roman" w:cs="Times New Roman"/>
          <w:noProof/>
          <w:sz w:val="20"/>
          <w:szCs w:val="24"/>
          <w:lang w:val="en-US"/>
        </w:rPr>
      </w:pPr>
      <w:r w:rsidRPr="00E63679">
        <w:rPr>
          <w:rFonts w:ascii="Times New Roman" w:hAnsi="Times New Roman" w:cs="Times New Roman"/>
          <w:noProof/>
          <w:sz w:val="20"/>
          <w:szCs w:val="24"/>
          <w:lang w:val="en-US"/>
        </w:rPr>
        <w:t>8</w:t>
      </w:r>
      <w:r>
        <w:rPr>
          <w:rFonts w:ascii="Times New Roman" w:hAnsi="Times New Roman" w:cs="Times New Roman"/>
          <w:noProof/>
          <w:sz w:val="20"/>
          <w:szCs w:val="24"/>
          <w:lang w:val="en-US"/>
        </w:rPr>
        <w:t>.</w:t>
      </w:r>
      <w:r w:rsidRPr="00E63679">
        <w:rPr>
          <w:rFonts w:ascii="Times New Roman" w:hAnsi="Times New Roman" w:cs="Times New Roman"/>
          <w:noProof/>
          <w:sz w:val="20"/>
          <w:szCs w:val="24"/>
          <w:lang w:val="en-US"/>
        </w:rPr>
        <w:tab/>
        <w:t xml:space="preserve">M. El Saied, A.M.A. El Naggar, F.I. Elhosiny, F.Y. El kady, J Clean Prod. </w:t>
      </w:r>
      <w:r w:rsidRPr="00E63679">
        <w:rPr>
          <w:rFonts w:ascii="Times New Roman" w:hAnsi="Times New Roman" w:cs="Times New Roman"/>
          <w:b/>
          <w:bCs/>
          <w:noProof/>
          <w:sz w:val="20"/>
          <w:szCs w:val="24"/>
          <w:lang w:val="en-US"/>
        </w:rPr>
        <w:t xml:space="preserve">2019, </w:t>
      </w:r>
      <w:r w:rsidRPr="00E63679">
        <w:rPr>
          <w:rFonts w:ascii="Times New Roman" w:hAnsi="Times New Roman" w:cs="Times New Roman"/>
          <w:noProof/>
          <w:sz w:val="20"/>
          <w:szCs w:val="24"/>
          <w:lang w:val="en-US"/>
        </w:rPr>
        <w:t>218  157–166.</w:t>
      </w:r>
    </w:p>
    <w:p w14:paraId="69930B5C" w14:textId="77777777" w:rsidR="00AB0CF4" w:rsidRPr="006911A5" w:rsidRDefault="00AB0CF4" w:rsidP="00AB0CF4">
      <w:pPr>
        <w:widowControl w:val="0"/>
        <w:autoSpaceDE w:val="0"/>
        <w:autoSpaceDN w:val="0"/>
        <w:adjustRightInd w:val="0"/>
        <w:spacing w:after="0" w:line="240" w:lineRule="exact"/>
        <w:ind w:left="640" w:hanging="640"/>
        <w:rPr>
          <w:rFonts w:ascii="Times New Roman" w:hAnsi="Times New Roman" w:cs="Times New Roman"/>
          <w:noProof/>
          <w:sz w:val="20"/>
          <w:szCs w:val="24"/>
        </w:rPr>
      </w:pPr>
      <w:r w:rsidRPr="00E63679">
        <w:rPr>
          <w:rFonts w:ascii="Times New Roman" w:hAnsi="Times New Roman" w:cs="Times New Roman"/>
          <w:noProof/>
          <w:sz w:val="20"/>
          <w:szCs w:val="24"/>
          <w:lang w:val="en-US"/>
        </w:rPr>
        <w:t>9</w:t>
      </w:r>
      <w:r>
        <w:rPr>
          <w:rFonts w:ascii="Times New Roman" w:hAnsi="Times New Roman" w:cs="Times New Roman"/>
          <w:noProof/>
          <w:sz w:val="20"/>
          <w:szCs w:val="24"/>
          <w:lang w:val="en-US"/>
        </w:rPr>
        <w:t>.</w:t>
      </w:r>
      <w:r w:rsidRPr="00E63679">
        <w:rPr>
          <w:rFonts w:ascii="Times New Roman" w:hAnsi="Times New Roman" w:cs="Times New Roman"/>
          <w:noProof/>
          <w:sz w:val="20"/>
          <w:szCs w:val="24"/>
          <w:lang w:val="en-US"/>
        </w:rPr>
        <w:tab/>
        <w:t xml:space="preserve">Y. Shen, </w:t>
      </w:r>
      <w:r w:rsidRPr="00E63679">
        <w:rPr>
          <w:rFonts w:ascii="Times New Roman" w:hAnsi="Times New Roman" w:cs="Times New Roman"/>
          <w:i/>
          <w:iCs/>
          <w:noProof/>
          <w:sz w:val="20"/>
          <w:szCs w:val="24"/>
          <w:lang w:val="en-US"/>
        </w:rPr>
        <w:t>Biomass and Bioenergy.</w:t>
      </w:r>
      <w:r w:rsidRPr="00E63679">
        <w:rPr>
          <w:rFonts w:ascii="Times New Roman" w:hAnsi="Times New Roman" w:cs="Times New Roman"/>
          <w:noProof/>
          <w:sz w:val="20"/>
          <w:szCs w:val="24"/>
          <w:lang w:val="en-US"/>
        </w:rPr>
        <w:t xml:space="preserve"> </w:t>
      </w:r>
      <w:r w:rsidRPr="002228FA">
        <w:rPr>
          <w:rFonts w:ascii="Times New Roman" w:hAnsi="Times New Roman" w:cs="Times New Roman"/>
          <w:b/>
          <w:bCs/>
          <w:noProof/>
          <w:sz w:val="20"/>
          <w:szCs w:val="24"/>
        </w:rPr>
        <w:t>2020</w:t>
      </w:r>
      <w:r>
        <w:rPr>
          <w:rFonts w:ascii="Times New Roman" w:hAnsi="Times New Roman" w:cs="Times New Roman"/>
          <w:b/>
          <w:bCs/>
          <w:noProof/>
          <w:sz w:val="20"/>
          <w:szCs w:val="24"/>
        </w:rPr>
        <w:t xml:space="preserve">, </w:t>
      </w:r>
      <w:r w:rsidRPr="006911A5">
        <w:rPr>
          <w:rFonts w:ascii="Times New Roman" w:hAnsi="Times New Roman" w:cs="Times New Roman"/>
          <w:noProof/>
          <w:sz w:val="20"/>
          <w:szCs w:val="24"/>
        </w:rPr>
        <w:t>134  105479.</w:t>
      </w:r>
    </w:p>
    <w:p w14:paraId="4927A94E" w14:textId="77777777" w:rsidR="00AB0CF4" w:rsidRPr="006911A5" w:rsidRDefault="00AB0CF4" w:rsidP="00AB0CF4">
      <w:pPr>
        <w:widowControl w:val="0"/>
        <w:autoSpaceDE w:val="0"/>
        <w:autoSpaceDN w:val="0"/>
        <w:adjustRightInd w:val="0"/>
        <w:spacing w:after="0" w:line="240" w:lineRule="exact"/>
        <w:ind w:left="640" w:hanging="640"/>
        <w:rPr>
          <w:rFonts w:ascii="Times New Roman" w:hAnsi="Times New Roman" w:cs="Times New Roman"/>
          <w:noProof/>
          <w:sz w:val="20"/>
          <w:szCs w:val="24"/>
        </w:rPr>
      </w:pPr>
      <w:r w:rsidRPr="006911A5">
        <w:rPr>
          <w:rFonts w:ascii="Times New Roman" w:hAnsi="Times New Roman" w:cs="Times New Roman"/>
          <w:noProof/>
          <w:sz w:val="20"/>
          <w:szCs w:val="24"/>
        </w:rPr>
        <w:t>10</w:t>
      </w:r>
      <w:r>
        <w:rPr>
          <w:rFonts w:ascii="Times New Roman" w:hAnsi="Times New Roman" w:cs="Times New Roman"/>
          <w:noProof/>
          <w:sz w:val="20"/>
          <w:szCs w:val="24"/>
        </w:rPr>
        <w:t>.</w:t>
      </w:r>
      <w:r w:rsidRPr="006911A5">
        <w:rPr>
          <w:rFonts w:ascii="Times New Roman" w:hAnsi="Times New Roman" w:cs="Times New Roman"/>
          <w:noProof/>
          <w:sz w:val="20"/>
          <w:szCs w:val="24"/>
        </w:rPr>
        <w:tab/>
        <w:t>H.P. Böhm, Carbon N Y</w:t>
      </w:r>
      <w:r>
        <w:rPr>
          <w:rFonts w:ascii="Times New Roman" w:hAnsi="Times New Roman" w:cs="Times New Roman"/>
          <w:noProof/>
          <w:sz w:val="20"/>
          <w:szCs w:val="24"/>
        </w:rPr>
        <w:t>.</w:t>
      </w:r>
      <w:r w:rsidRPr="006911A5">
        <w:rPr>
          <w:rFonts w:ascii="Times New Roman" w:hAnsi="Times New Roman" w:cs="Times New Roman"/>
          <w:noProof/>
          <w:sz w:val="20"/>
          <w:szCs w:val="24"/>
        </w:rPr>
        <w:t xml:space="preserve"> </w:t>
      </w:r>
      <w:r w:rsidRPr="002228FA">
        <w:rPr>
          <w:rFonts w:ascii="Times New Roman" w:hAnsi="Times New Roman" w:cs="Times New Roman"/>
          <w:b/>
          <w:bCs/>
          <w:noProof/>
          <w:sz w:val="20"/>
          <w:szCs w:val="24"/>
        </w:rPr>
        <w:t>2002</w:t>
      </w:r>
      <w:r>
        <w:rPr>
          <w:rFonts w:ascii="Times New Roman" w:hAnsi="Times New Roman" w:cs="Times New Roman"/>
          <w:noProof/>
          <w:sz w:val="20"/>
          <w:szCs w:val="24"/>
        </w:rPr>
        <w:t xml:space="preserve">, </w:t>
      </w:r>
      <w:r w:rsidRPr="006911A5">
        <w:rPr>
          <w:rFonts w:ascii="Times New Roman" w:hAnsi="Times New Roman" w:cs="Times New Roman"/>
          <w:noProof/>
          <w:sz w:val="20"/>
          <w:szCs w:val="24"/>
        </w:rPr>
        <w:t>40</w:t>
      </w:r>
      <w:r>
        <w:rPr>
          <w:rFonts w:ascii="Times New Roman" w:hAnsi="Times New Roman" w:cs="Times New Roman"/>
          <w:noProof/>
          <w:sz w:val="20"/>
          <w:szCs w:val="24"/>
        </w:rPr>
        <w:t>,</w:t>
      </w:r>
      <w:r w:rsidRPr="006911A5">
        <w:rPr>
          <w:rFonts w:ascii="Times New Roman" w:hAnsi="Times New Roman" w:cs="Times New Roman"/>
          <w:noProof/>
          <w:sz w:val="20"/>
          <w:szCs w:val="24"/>
        </w:rPr>
        <w:t xml:space="preserve"> 145–149.</w:t>
      </w:r>
    </w:p>
    <w:p w14:paraId="1196E9DC" w14:textId="77777777" w:rsidR="00AB0CF4" w:rsidRPr="006911A5" w:rsidRDefault="00AB0CF4" w:rsidP="00AB0CF4">
      <w:pPr>
        <w:widowControl w:val="0"/>
        <w:autoSpaceDE w:val="0"/>
        <w:autoSpaceDN w:val="0"/>
        <w:adjustRightInd w:val="0"/>
        <w:spacing w:after="0" w:line="240" w:lineRule="exact"/>
        <w:ind w:left="640" w:hanging="640"/>
        <w:rPr>
          <w:rFonts w:ascii="Times New Roman" w:hAnsi="Times New Roman" w:cs="Times New Roman"/>
          <w:noProof/>
          <w:sz w:val="20"/>
          <w:szCs w:val="24"/>
        </w:rPr>
      </w:pPr>
      <w:r w:rsidRPr="006911A5">
        <w:rPr>
          <w:rFonts w:ascii="Times New Roman" w:hAnsi="Times New Roman" w:cs="Times New Roman"/>
          <w:noProof/>
          <w:sz w:val="20"/>
          <w:szCs w:val="24"/>
        </w:rPr>
        <w:t>11</w:t>
      </w:r>
      <w:r>
        <w:rPr>
          <w:rFonts w:ascii="Times New Roman" w:hAnsi="Times New Roman" w:cs="Times New Roman"/>
          <w:noProof/>
          <w:sz w:val="20"/>
          <w:szCs w:val="24"/>
        </w:rPr>
        <w:t>.</w:t>
      </w:r>
      <w:r w:rsidRPr="006911A5">
        <w:rPr>
          <w:rFonts w:ascii="Times New Roman" w:hAnsi="Times New Roman" w:cs="Times New Roman"/>
          <w:noProof/>
          <w:sz w:val="20"/>
          <w:szCs w:val="24"/>
        </w:rPr>
        <w:tab/>
        <w:t xml:space="preserve">M. Retajczyk, A. Wróblewska, Z.C. Koren, B. Michalkiewicz, A. Szymańska, P. Miadlicki, </w:t>
      </w:r>
      <w:r w:rsidRPr="002228FA">
        <w:rPr>
          <w:rFonts w:ascii="Times New Roman" w:hAnsi="Times New Roman" w:cs="Times New Roman"/>
          <w:i/>
          <w:iCs/>
          <w:noProof/>
          <w:sz w:val="20"/>
          <w:szCs w:val="24"/>
        </w:rPr>
        <w:t>Catalysts</w:t>
      </w:r>
      <w:r>
        <w:rPr>
          <w:rFonts w:ascii="Times New Roman" w:hAnsi="Times New Roman" w:cs="Times New Roman"/>
          <w:noProof/>
          <w:sz w:val="20"/>
          <w:szCs w:val="24"/>
        </w:rPr>
        <w:t xml:space="preserve">. </w:t>
      </w:r>
      <w:r w:rsidRPr="002228FA">
        <w:rPr>
          <w:rFonts w:ascii="Times New Roman" w:hAnsi="Times New Roman" w:cs="Times New Roman"/>
          <w:b/>
          <w:bCs/>
          <w:noProof/>
          <w:sz w:val="20"/>
          <w:szCs w:val="24"/>
        </w:rPr>
        <w:t>2020</w:t>
      </w:r>
      <w:r>
        <w:rPr>
          <w:rFonts w:ascii="Times New Roman" w:hAnsi="Times New Roman" w:cs="Times New Roman"/>
          <w:b/>
          <w:bCs/>
          <w:noProof/>
          <w:sz w:val="20"/>
          <w:szCs w:val="24"/>
        </w:rPr>
        <w:t xml:space="preserve">, </w:t>
      </w:r>
      <w:r w:rsidRPr="006911A5">
        <w:rPr>
          <w:rFonts w:ascii="Times New Roman" w:hAnsi="Times New Roman" w:cs="Times New Roman"/>
          <w:noProof/>
          <w:sz w:val="20"/>
          <w:szCs w:val="24"/>
        </w:rPr>
        <w:t>10</w:t>
      </w:r>
      <w:r>
        <w:rPr>
          <w:rFonts w:ascii="Times New Roman" w:hAnsi="Times New Roman" w:cs="Times New Roman"/>
          <w:noProof/>
          <w:sz w:val="20"/>
          <w:szCs w:val="24"/>
        </w:rPr>
        <w:t>,</w:t>
      </w:r>
      <w:r w:rsidRPr="006911A5">
        <w:rPr>
          <w:rFonts w:ascii="Times New Roman" w:hAnsi="Times New Roman" w:cs="Times New Roman"/>
          <w:noProof/>
          <w:sz w:val="20"/>
          <w:szCs w:val="24"/>
        </w:rPr>
        <w:t xml:space="preserve"> 1–17.</w:t>
      </w:r>
    </w:p>
    <w:p w14:paraId="65964C33" w14:textId="77777777" w:rsidR="00AB0CF4" w:rsidRPr="00E63679" w:rsidRDefault="00AB0CF4" w:rsidP="00AB0CF4">
      <w:pPr>
        <w:widowControl w:val="0"/>
        <w:autoSpaceDE w:val="0"/>
        <w:autoSpaceDN w:val="0"/>
        <w:adjustRightInd w:val="0"/>
        <w:spacing w:after="0" w:line="240" w:lineRule="exact"/>
        <w:ind w:left="640" w:hanging="640"/>
        <w:rPr>
          <w:rFonts w:ascii="Times New Roman" w:hAnsi="Times New Roman" w:cs="Times New Roman"/>
          <w:noProof/>
          <w:sz w:val="20"/>
          <w:szCs w:val="24"/>
          <w:lang w:val="en-US"/>
        </w:rPr>
      </w:pPr>
      <w:r w:rsidRPr="006911A5">
        <w:rPr>
          <w:rFonts w:ascii="Times New Roman" w:hAnsi="Times New Roman" w:cs="Times New Roman"/>
          <w:noProof/>
          <w:sz w:val="20"/>
          <w:szCs w:val="24"/>
        </w:rPr>
        <w:t>12</w:t>
      </w:r>
      <w:r>
        <w:rPr>
          <w:rFonts w:ascii="Times New Roman" w:hAnsi="Times New Roman" w:cs="Times New Roman"/>
          <w:noProof/>
          <w:sz w:val="20"/>
          <w:szCs w:val="24"/>
        </w:rPr>
        <w:t>.</w:t>
      </w:r>
      <w:r w:rsidRPr="006911A5">
        <w:rPr>
          <w:rFonts w:ascii="Times New Roman" w:hAnsi="Times New Roman" w:cs="Times New Roman"/>
          <w:noProof/>
          <w:sz w:val="20"/>
          <w:szCs w:val="24"/>
        </w:rPr>
        <w:tab/>
        <w:t xml:space="preserve">G.T.T. Le, K. Arunaditya, J. Panichpol, T. Rodruangnon, S. Thongratkaew, K. Chaipojjana, K. Faungnawakij, T. Charinpanitkul, </w:t>
      </w:r>
      <w:r w:rsidRPr="002228FA">
        <w:rPr>
          <w:rFonts w:ascii="Times New Roman" w:hAnsi="Times New Roman" w:cs="Times New Roman"/>
          <w:i/>
          <w:iCs/>
          <w:noProof/>
          <w:sz w:val="20"/>
          <w:szCs w:val="24"/>
        </w:rPr>
        <w:t>Catal Commun.</w:t>
      </w:r>
      <w:r>
        <w:rPr>
          <w:rFonts w:ascii="Times New Roman" w:hAnsi="Times New Roman" w:cs="Times New Roman"/>
          <w:noProof/>
          <w:sz w:val="20"/>
          <w:szCs w:val="24"/>
        </w:rPr>
        <w:t xml:space="preserve"> </w:t>
      </w:r>
      <w:r w:rsidRPr="00E63679">
        <w:rPr>
          <w:rFonts w:ascii="Times New Roman" w:hAnsi="Times New Roman" w:cs="Times New Roman"/>
          <w:b/>
          <w:bCs/>
          <w:noProof/>
          <w:sz w:val="20"/>
          <w:szCs w:val="24"/>
          <w:lang w:val="en-US"/>
        </w:rPr>
        <w:t xml:space="preserve">2021, </w:t>
      </w:r>
      <w:r w:rsidRPr="00E63679">
        <w:rPr>
          <w:rFonts w:ascii="Times New Roman" w:hAnsi="Times New Roman" w:cs="Times New Roman"/>
          <w:noProof/>
          <w:sz w:val="20"/>
          <w:szCs w:val="24"/>
          <w:lang w:val="en-US"/>
        </w:rPr>
        <w:t>149, 106229.</w:t>
      </w:r>
    </w:p>
    <w:p w14:paraId="51F631F8" w14:textId="77777777" w:rsidR="00AB0CF4" w:rsidRPr="00E63679" w:rsidRDefault="00AB0CF4" w:rsidP="00AB0CF4">
      <w:pPr>
        <w:widowControl w:val="0"/>
        <w:autoSpaceDE w:val="0"/>
        <w:autoSpaceDN w:val="0"/>
        <w:adjustRightInd w:val="0"/>
        <w:spacing w:after="0" w:line="240" w:lineRule="exact"/>
        <w:ind w:left="640" w:hanging="640"/>
        <w:rPr>
          <w:rFonts w:ascii="Times New Roman" w:hAnsi="Times New Roman" w:cs="Times New Roman"/>
          <w:noProof/>
          <w:sz w:val="20"/>
          <w:szCs w:val="24"/>
          <w:lang w:val="en-US"/>
        </w:rPr>
      </w:pPr>
      <w:r w:rsidRPr="00E63679">
        <w:rPr>
          <w:rFonts w:ascii="Times New Roman" w:hAnsi="Times New Roman" w:cs="Times New Roman"/>
          <w:noProof/>
          <w:sz w:val="20"/>
          <w:szCs w:val="24"/>
          <w:lang w:val="en-US"/>
        </w:rPr>
        <w:t>13</w:t>
      </w:r>
      <w:r>
        <w:rPr>
          <w:rFonts w:ascii="Times New Roman" w:hAnsi="Times New Roman" w:cs="Times New Roman"/>
          <w:noProof/>
          <w:sz w:val="20"/>
          <w:szCs w:val="24"/>
          <w:lang w:val="en-US"/>
        </w:rPr>
        <w:t>.</w:t>
      </w:r>
      <w:r w:rsidRPr="00E63679">
        <w:rPr>
          <w:rFonts w:ascii="Times New Roman" w:hAnsi="Times New Roman" w:cs="Times New Roman"/>
          <w:noProof/>
          <w:sz w:val="20"/>
          <w:szCs w:val="24"/>
          <w:lang w:val="en-US"/>
        </w:rPr>
        <w:tab/>
        <w:t xml:space="preserve">E.G. Mission, A.T. Quitain, M. Sasaki, T. Kida, </w:t>
      </w:r>
      <w:r w:rsidRPr="00E63679">
        <w:rPr>
          <w:rFonts w:ascii="Times New Roman" w:hAnsi="Times New Roman" w:cs="Times New Roman"/>
          <w:i/>
          <w:iCs/>
          <w:noProof/>
          <w:sz w:val="20"/>
          <w:szCs w:val="24"/>
          <w:lang w:val="en-US"/>
        </w:rPr>
        <w:t xml:space="preserve">Green Chem </w:t>
      </w:r>
      <w:r w:rsidRPr="00E63679">
        <w:rPr>
          <w:rFonts w:ascii="Times New Roman" w:hAnsi="Times New Roman" w:cs="Times New Roman"/>
          <w:noProof/>
          <w:sz w:val="20"/>
          <w:szCs w:val="24"/>
          <w:lang w:val="en-US"/>
        </w:rPr>
        <w:t>19 (2017) 3831–3843.</w:t>
      </w:r>
    </w:p>
    <w:p w14:paraId="6CE7D115" w14:textId="77777777" w:rsidR="00AB0CF4" w:rsidRPr="00E63679" w:rsidRDefault="00AB0CF4" w:rsidP="00AB0CF4">
      <w:pPr>
        <w:widowControl w:val="0"/>
        <w:autoSpaceDE w:val="0"/>
        <w:autoSpaceDN w:val="0"/>
        <w:adjustRightInd w:val="0"/>
        <w:spacing w:after="0" w:line="240" w:lineRule="exact"/>
        <w:ind w:left="640" w:hanging="640"/>
        <w:rPr>
          <w:rFonts w:ascii="Times New Roman" w:hAnsi="Times New Roman" w:cs="Times New Roman"/>
          <w:noProof/>
          <w:sz w:val="20"/>
          <w:szCs w:val="24"/>
          <w:lang w:val="en-US"/>
        </w:rPr>
      </w:pPr>
      <w:r w:rsidRPr="00E63679">
        <w:rPr>
          <w:rFonts w:ascii="Times New Roman" w:hAnsi="Times New Roman" w:cs="Times New Roman"/>
          <w:noProof/>
          <w:sz w:val="20"/>
          <w:szCs w:val="24"/>
          <w:lang w:val="en-US"/>
        </w:rPr>
        <w:t>14</w:t>
      </w:r>
      <w:r>
        <w:rPr>
          <w:rFonts w:ascii="Times New Roman" w:hAnsi="Times New Roman" w:cs="Times New Roman"/>
          <w:noProof/>
          <w:sz w:val="20"/>
          <w:szCs w:val="24"/>
          <w:lang w:val="en-US"/>
        </w:rPr>
        <w:t>.</w:t>
      </w:r>
      <w:r w:rsidRPr="00E63679">
        <w:rPr>
          <w:rFonts w:ascii="Times New Roman" w:hAnsi="Times New Roman" w:cs="Times New Roman"/>
          <w:noProof/>
          <w:sz w:val="20"/>
          <w:szCs w:val="24"/>
          <w:lang w:val="en-US"/>
        </w:rPr>
        <w:tab/>
        <w:t xml:space="preserve">V. V Costa, A. Silva, I. V Kozhevnikov, F. Kozhevnikova, E. V Gusevskaya, </w:t>
      </w:r>
      <w:r w:rsidRPr="00E63679">
        <w:rPr>
          <w:rFonts w:ascii="Times New Roman" w:hAnsi="Times New Roman" w:cs="Times New Roman"/>
          <w:b/>
          <w:bCs/>
          <w:noProof/>
          <w:sz w:val="20"/>
          <w:szCs w:val="24"/>
          <w:lang w:val="en-US"/>
        </w:rPr>
        <w:t>2012,</w:t>
      </w:r>
      <w:r w:rsidRPr="00E63679">
        <w:rPr>
          <w:rFonts w:ascii="Times New Roman" w:hAnsi="Times New Roman" w:cs="Times New Roman"/>
          <w:noProof/>
          <w:sz w:val="20"/>
          <w:szCs w:val="24"/>
          <w:lang w:val="en-US"/>
        </w:rPr>
        <w:t xml:space="preserve"> 1–7.</w:t>
      </w:r>
    </w:p>
    <w:p w14:paraId="3D4A80DC" w14:textId="0A63EDE5" w:rsidR="00B704AD" w:rsidRPr="00AB0CF4" w:rsidRDefault="00B704AD" w:rsidP="00B704AD">
      <w:pPr>
        <w:widowControl w:val="0"/>
        <w:autoSpaceDE w:val="0"/>
        <w:autoSpaceDN w:val="0"/>
        <w:adjustRightInd w:val="0"/>
        <w:spacing w:after="0" w:line="240" w:lineRule="exact"/>
        <w:ind w:left="640" w:hanging="640"/>
        <w:rPr>
          <w:rFonts w:ascii="Times New Roman" w:hAnsi="Times New Roman" w:cs="Times New Roman"/>
          <w:noProof/>
          <w:sz w:val="20"/>
          <w:szCs w:val="24"/>
          <w:lang w:val="en-US"/>
        </w:rPr>
      </w:pPr>
      <w:r w:rsidRPr="00AB0CF4">
        <w:rPr>
          <w:rFonts w:ascii="Times New Roman" w:hAnsi="Times New Roman" w:cs="Times New Roman"/>
          <w:noProof/>
          <w:sz w:val="20"/>
          <w:szCs w:val="24"/>
          <w:lang w:val="en-US"/>
        </w:rPr>
        <w:t>15</w:t>
      </w:r>
      <w:r w:rsidR="00AB0CF4" w:rsidRPr="00AB0CF4">
        <w:rPr>
          <w:rFonts w:ascii="Times New Roman" w:hAnsi="Times New Roman" w:cs="Times New Roman"/>
          <w:noProof/>
          <w:sz w:val="20"/>
          <w:szCs w:val="24"/>
          <w:lang w:val="en-US"/>
        </w:rPr>
        <w:t>.</w:t>
      </w:r>
      <w:r w:rsidRPr="00AB0CF4">
        <w:rPr>
          <w:rFonts w:ascii="Times New Roman" w:hAnsi="Times New Roman" w:cs="Times New Roman"/>
          <w:noProof/>
          <w:sz w:val="20"/>
          <w:szCs w:val="24"/>
          <w:lang w:val="en-US"/>
        </w:rPr>
        <w:tab/>
        <w:t>M.I. Rodrigues, A.F. Iemma, Experimental Design and Process Optimization, 2014.</w:t>
      </w:r>
    </w:p>
    <w:p w14:paraId="6E3E5EF2" w14:textId="0A14DAA3" w:rsidR="00B704AD" w:rsidRPr="00B146E4" w:rsidRDefault="00B704AD" w:rsidP="00B704AD">
      <w:pPr>
        <w:widowControl w:val="0"/>
        <w:autoSpaceDE w:val="0"/>
        <w:autoSpaceDN w:val="0"/>
        <w:adjustRightInd w:val="0"/>
        <w:spacing w:after="0" w:line="240" w:lineRule="exact"/>
        <w:ind w:left="640" w:hanging="640"/>
        <w:rPr>
          <w:rFonts w:ascii="Times New Roman" w:hAnsi="Times New Roman" w:cs="Times New Roman"/>
          <w:noProof/>
          <w:sz w:val="20"/>
          <w:szCs w:val="24"/>
          <w:lang w:val="en-US"/>
        </w:rPr>
      </w:pPr>
      <w:r w:rsidRPr="00B146E4">
        <w:rPr>
          <w:rFonts w:ascii="Times New Roman" w:hAnsi="Times New Roman" w:cs="Times New Roman"/>
          <w:noProof/>
          <w:sz w:val="20"/>
          <w:szCs w:val="24"/>
          <w:lang w:val="en-US"/>
        </w:rPr>
        <w:t>16</w:t>
      </w:r>
      <w:r w:rsidR="00AB0CF4" w:rsidRPr="00B146E4">
        <w:rPr>
          <w:rFonts w:ascii="Times New Roman" w:hAnsi="Times New Roman" w:cs="Times New Roman"/>
          <w:noProof/>
          <w:sz w:val="20"/>
          <w:szCs w:val="24"/>
          <w:lang w:val="en-US"/>
        </w:rPr>
        <w:t>.</w:t>
      </w:r>
      <w:r w:rsidRPr="00B146E4">
        <w:rPr>
          <w:rFonts w:ascii="Times New Roman" w:hAnsi="Times New Roman" w:cs="Times New Roman"/>
          <w:noProof/>
          <w:sz w:val="20"/>
          <w:szCs w:val="24"/>
          <w:lang w:val="en-US"/>
        </w:rPr>
        <w:tab/>
        <w:t>R.S. Nunes, T.C. Tudino, L.M. Vieira, D. Mandelli, W.A. Carvalho, Bioresour Technol (2020) 122882.</w:t>
      </w:r>
    </w:p>
    <w:p w14:paraId="69CD60C0" w14:textId="6F14A34E" w:rsidR="00B704AD" w:rsidRPr="00AB0CF4" w:rsidRDefault="00B704AD" w:rsidP="00B704AD">
      <w:pPr>
        <w:widowControl w:val="0"/>
        <w:autoSpaceDE w:val="0"/>
        <w:autoSpaceDN w:val="0"/>
        <w:adjustRightInd w:val="0"/>
        <w:spacing w:after="0" w:line="240" w:lineRule="exact"/>
        <w:ind w:left="640" w:hanging="640"/>
        <w:rPr>
          <w:rFonts w:ascii="Times New Roman" w:hAnsi="Times New Roman" w:cs="Times New Roman"/>
          <w:noProof/>
          <w:sz w:val="20"/>
          <w:szCs w:val="24"/>
          <w:lang w:val="en-US"/>
        </w:rPr>
      </w:pPr>
      <w:r w:rsidRPr="00AB0CF4">
        <w:rPr>
          <w:rFonts w:ascii="Times New Roman" w:hAnsi="Times New Roman" w:cs="Times New Roman"/>
          <w:noProof/>
          <w:sz w:val="20"/>
          <w:szCs w:val="24"/>
          <w:lang w:val="en-US"/>
        </w:rPr>
        <w:t>17</w:t>
      </w:r>
      <w:r w:rsidR="00AB0CF4">
        <w:rPr>
          <w:rFonts w:ascii="Times New Roman" w:hAnsi="Times New Roman" w:cs="Times New Roman"/>
          <w:noProof/>
          <w:sz w:val="20"/>
          <w:szCs w:val="24"/>
          <w:lang w:val="en-US"/>
        </w:rPr>
        <w:t>.</w:t>
      </w:r>
      <w:r w:rsidRPr="00AB0CF4">
        <w:rPr>
          <w:rFonts w:ascii="Times New Roman" w:hAnsi="Times New Roman" w:cs="Times New Roman"/>
          <w:noProof/>
          <w:sz w:val="20"/>
          <w:szCs w:val="24"/>
          <w:lang w:val="en-US"/>
        </w:rPr>
        <w:tab/>
        <w:t>J. Wang, L. Zhu, Y. Wang, H. Cui, Y. Zhang, Y. Zhang, J Chem Technol Biotechnol 92 (2017) 1454–1463.</w:t>
      </w:r>
    </w:p>
    <w:p w14:paraId="3A8F9D39" w14:textId="207D8186" w:rsidR="00B704AD" w:rsidRPr="00AB0CF4" w:rsidRDefault="00B704AD" w:rsidP="000E3989">
      <w:pPr>
        <w:widowControl w:val="0"/>
        <w:autoSpaceDE w:val="0"/>
        <w:autoSpaceDN w:val="0"/>
        <w:adjustRightInd w:val="0"/>
        <w:spacing w:after="0" w:line="240" w:lineRule="exact"/>
        <w:ind w:left="640" w:hanging="640"/>
        <w:rPr>
          <w:lang w:val="en-US"/>
        </w:rPr>
      </w:pPr>
      <w:r w:rsidRPr="00AB0CF4">
        <w:rPr>
          <w:rFonts w:ascii="Times New Roman" w:hAnsi="Times New Roman" w:cs="Times New Roman"/>
          <w:noProof/>
          <w:sz w:val="20"/>
          <w:szCs w:val="24"/>
          <w:lang w:val="en-US"/>
        </w:rPr>
        <w:t>1</w:t>
      </w:r>
      <w:r w:rsidR="00AB0CF4">
        <w:rPr>
          <w:rFonts w:ascii="Times New Roman" w:hAnsi="Times New Roman" w:cs="Times New Roman"/>
          <w:noProof/>
          <w:sz w:val="20"/>
          <w:szCs w:val="24"/>
          <w:lang w:val="en-US"/>
        </w:rPr>
        <w:t>8.</w:t>
      </w:r>
      <w:r w:rsidRPr="00AB0CF4">
        <w:rPr>
          <w:rFonts w:ascii="Times New Roman" w:hAnsi="Times New Roman" w:cs="Times New Roman"/>
          <w:noProof/>
          <w:sz w:val="20"/>
          <w:szCs w:val="24"/>
          <w:lang w:val="en-US"/>
        </w:rPr>
        <w:tab/>
        <w:t>Z.G. Gu, S. Grosjean, S. Bräse, C. Wöll, L. Heinke, Chem Commun 51 (2015) 8998–9001.</w:t>
      </w:r>
      <w:r w:rsidR="00804B84">
        <w:rPr>
          <w:rFonts w:ascii="Times New Roman" w:hAnsi="Times New Roman"/>
        </w:rPr>
        <w:fldChar w:fldCharType="end"/>
      </w:r>
    </w:p>
    <w:sectPr w:rsidR="00B704AD" w:rsidRPr="00AB0CF4"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9C605" w14:textId="77777777" w:rsidR="00E72566" w:rsidRDefault="00E72566" w:rsidP="00EA4E1B">
      <w:pPr>
        <w:spacing w:after="0" w:line="240" w:lineRule="auto"/>
      </w:pPr>
      <w:r>
        <w:separator/>
      </w:r>
    </w:p>
  </w:endnote>
  <w:endnote w:type="continuationSeparator" w:id="0">
    <w:p w14:paraId="5D09EDD3" w14:textId="77777777" w:rsidR="00E72566" w:rsidRDefault="00E72566"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AFB75" w14:textId="77777777" w:rsidR="00E72566" w:rsidRDefault="00E72566" w:rsidP="00EA4E1B">
      <w:pPr>
        <w:spacing w:after="0" w:line="240" w:lineRule="auto"/>
      </w:pPr>
      <w:r>
        <w:separator/>
      </w:r>
    </w:p>
  </w:footnote>
  <w:footnote w:type="continuationSeparator" w:id="0">
    <w:p w14:paraId="291B9DEB" w14:textId="77777777" w:rsidR="00E72566" w:rsidRDefault="00E72566"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abstractNum w:abstractNumId="1" w15:restartNumberingAfterBreak="0">
    <w:nsid w:val="657750F8"/>
    <w:multiLevelType w:val="multilevel"/>
    <w:tmpl w:val="FAD8E14C"/>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11439884">
    <w:abstractNumId w:val="0"/>
  </w:num>
  <w:num w:numId="2" w16cid:durableId="191378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17FD0"/>
    <w:rsid w:val="00041444"/>
    <w:rsid w:val="00061A72"/>
    <w:rsid w:val="00084D10"/>
    <w:rsid w:val="00091A3C"/>
    <w:rsid w:val="000C566A"/>
    <w:rsid w:val="000D12AB"/>
    <w:rsid w:val="000D269A"/>
    <w:rsid w:val="000D7C61"/>
    <w:rsid w:val="000E3989"/>
    <w:rsid w:val="000F1D24"/>
    <w:rsid w:val="001006D0"/>
    <w:rsid w:val="0010534D"/>
    <w:rsid w:val="00115A3F"/>
    <w:rsid w:val="00165467"/>
    <w:rsid w:val="00193CE7"/>
    <w:rsid w:val="001A659B"/>
    <w:rsid w:val="001E58A9"/>
    <w:rsid w:val="001F25B2"/>
    <w:rsid w:val="00222230"/>
    <w:rsid w:val="002228FA"/>
    <w:rsid w:val="00262B91"/>
    <w:rsid w:val="002E7DB3"/>
    <w:rsid w:val="003079DF"/>
    <w:rsid w:val="00317402"/>
    <w:rsid w:val="0033061F"/>
    <w:rsid w:val="00340B1E"/>
    <w:rsid w:val="00367BD2"/>
    <w:rsid w:val="00385572"/>
    <w:rsid w:val="003927F8"/>
    <w:rsid w:val="003B560A"/>
    <w:rsid w:val="003C55D5"/>
    <w:rsid w:val="003F625A"/>
    <w:rsid w:val="00402F3E"/>
    <w:rsid w:val="00403E70"/>
    <w:rsid w:val="00405CBA"/>
    <w:rsid w:val="00430DA0"/>
    <w:rsid w:val="004646E2"/>
    <w:rsid w:val="004D1AD8"/>
    <w:rsid w:val="004F0E04"/>
    <w:rsid w:val="004F3F42"/>
    <w:rsid w:val="0052112E"/>
    <w:rsid w:val="00540428"/>
    <w:rsid w:val="005B7BEE"/>
    <w:rsid w:val="005C2775"/>
    <w:rsid w:val="005D47BE"/>
    <w:rsid w:val="005D65EB"/>
    <w:rsid w:val="005E02A5"/>
    <w:rsid w:val="005F1E4C"/>
    <w:rsid w:val="005F2703"/>
    <w:rsid w:val="00604718"/>
    <w:rsid w:val="00635D0C"/>
    <w:rsid w:val="00650632"/>
    <w:rsid w:val="00652815"/>
    <w:rsid w:val="006911A5"/>
    <w:rsid w:val="006C768C"/>
    <w:rsid w:val="006D0A20"/>
    <w:rsid w:val="006F34C8"/>
    <w:rsid w:val="006F599B"/>
    <w:rsid w:val="00705D97"/>
    <w:rsid w:val="00745924"/>
    <w:rsid w:val="007656FF"/>
    <w:rsid w:val="007670A0"/>
    <w:rsid w:val="007767A1"/>
    <w:rsid w:val="00781685"/>
    <w:rsid w:val="0078353C"/>
    <w:rsid w:val="007A0267"/>
    <w:rsid w:val="007B4B2B"/>
    <w:rsid w:val="007D2A1D"/>
    <w:rsid w:val="007F51E6"/>
    <w:rsid w:val="00804B84"/>
    <w:rsid w:val="008144A0"/>
    <w:rsid w:val="00866822"/>
    <w:rsid w:val="008B1683"/>
    <w:rsid w:val="008C1B30"/>
    <w:rsid w:val="008C6972"/>
    <w:rsid w:val="00924574"/>
    <w:rsid w:val="00942583"/>
    <w:rsid w:val="009656D9"/>
    <w:rsid w:val="00973E99"/>
    <w:rsid w:val="009A2084"/>
    <w:rsid w:val="009B3285"/>
    <w:rsid w:val="009C7CB0"/>
    <w:rsid w:val="00A14358"/>
    <w:rsid w:val="00A17157"/>
    <w:rsid w:val="00A17D85"/>
    <w:rsid w:val="00A267A2"/>
    <w:rsid w:val="00A30666"/>
    <w:rsid w:val="00A50755"/>
    <w:rsid w:val="00A87CE8"/>
    <w:rsid w:val="00AA182E"/>
    <w:rsid w:val="00AB0CF4"/>
    <w:rsid w:val="00AD6F5E"/>
    <w:rsid w:val="00AF0400"/>
    <w:rsid w:val="00B146E4"/>
    <w:rsid w:val="00B16CED"/>
    <w:rsid w:val="00B30AEB"/>
    <w:rsid w:val="00B6521A"/>
    <w:rsid w:val="00B704AD"/>
    <w:rsid w:val="00B77D87"/>
    <w:rsid w:val="00B927C3"/>
    <w:rsid w:val="00BA6A6E"/>
    <w:rsid w:val="00BF24DC"/>
    <w:rsid w:val="00C20A06"/>
    <w:rsid w:val="00C20D61"/>
    <w:rsid w:val="00C76E54"/>
    <w:rsid w:val="00C85E14"/>
    <w:rsid w:val="00CB1EC6"/>
    <w:rsid w:val="00CD3EA8"/>
    <w:rsid w:val="00CD5DA2"/>
    <w:rsid w:val="00CF711B"/>
    <w:rsid w:val="00D04B10"/>
    <w:rsid w:val="00D25D93"/>
    <w:rsid w:val="00D604F3"/>
    <w:rsid w:val="00D772FB"/>
    <w:rsid w:val="00D96135"/>
    <w:rsid w:val="00DC0637"/>
    <w:rsid w:val="00DC399C"/>
    <w:rsid w:val="00DE5861"/>
    <w:rsid w:val="00DE70A0"/>
    <w:rsid w:val="00E02A21"/>
    <w:rsid w:val="00E038AF"/>
    <w:rsid w:val="00E232A5"/>
    <w:rsid w:val="00E42321"/>
    <w:rsid w:val="00E43858"/>
    <w:rsid w:val="00E4646F"/>
    <w:rsid w:val="00E63679"/>
    <w:rsid w:val="00E72566"/>
    <w:rsid w:val="00E97C32"/>
    <w:rsid w:val="00EA0B55"/>
    <w:rsid w:val="00EA4E1B"/>
    <w:rsid w:val="00EB0FC0"/>
    <w:rsid w:val="00ED30BD"/>
    <w:rsid w:val="00EE4900"/>
    <w:rsid w:val="00EF5FD7"/>
    <w:rsid w:val="00F25B04"/>
    <w:rsid w:val="00F27EC5"/>
    <w:rsid w:val="00F30661"/>
    <w:rsid w:val="00F50BEC"/>
    <w:rsid w:val="00F52529"/>
    <w:rsid w:val="00F526AD"/>
    <w:rsid w:val="00F71BFE"/>
    <w:rsid w:val="00F818E7"/>
    <w:rsid w:val="00F8566C"/>
    <w:rsid w:val="00F917DA"/>
    <w:rsid w:val="00F96B32"/>
    <w:rsid w:val="00FD4283"/>
    <w:rsid w:val="00FF1E47"/>
    <w:rsid w:val="14ACF8A6"/>
    <w:rsid w:val="1AB2584B"/>
    <w:rsid w:val="1AC5A2E9"/>
    <w:rsid w:val="28C5BE20"/>
    <w:rsid w:val="39C610DE"/>
    <w:rsid w:val="3D71DCFE"/>
    <w:rsid w:val="48FE26E6"/>
    <w:rsid w:val="7557E710"/>
    <w:rsid w:val="7E8BD8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4AD"/>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paragraph" w:customStyle="1" w:styleId="Default">
    <w:name w:val="Default"/>
    <w:rsid w:val="005D47BE"/>
    <w:pPr>
      <w:autoSpaceDE w:val="0"/>
      <w:autoSpaceDN w:val="0"/>
      <w:adjustRightInd w:val="0"/>
      <w:spacing w:after="0" w:line="240" w:lineRule="auto"/>
    </w:pPr>
    <w:rPr>
      <w:rFonts w:ascii="Arial" w:eastAsia="Calibri" w:hAnsi="Arial" w:cs="Arial"/>
      <w:color w:val="000000"/>
      <w:sz w:val="24"/>
      <w:szCs w:val="24"/>
      <w:lang w:eastAsia="pt-BR"/>
    </w:rPr>
  </w:style>
  <w:style w:type="character" w:styleId="Refdecomentrio">
    <w:name w:val="annotation reference"/>
    <w:basedOn w:val="Fontepargpadro"/>
    <w:uiPriority w:val="99"/>
    <w:semiHidden/>
    <w:unhideWhenUsed/>
    <w:rsid w:val="009B3285"/>
    <w:rPr>
      <w:sz w:val="16"/>
      <w:szCs w:val="16"/>
    </w:rPr>
  </w:style>
  <w:style w:type="paragraph" w:styleId="Textodecomentrio">
    <w:name w:val="annotation text"/>
    <w:basedOn w:val="Normal"/>
    <w:link w:val="TextodecomentrioChar"/>
    <w:uiPriority w:val="99"/>
    <w:unhideWhenUsed/>
    <w:rsid w:val="009B3285"/>
    <w:pPr>
      <w:spacing w:line="240" w:lineRule="auto"/>
    </w:pPr>
    <w:rPr>
      <w:rFonts w:eastAsiaTheme="minorHAnsi"/>
      <w:sz w:val="20"/>
      <w:szCs w:val="20"/>
    </w:rPr>
  </w:style>
  <w:style w:type="character" w:customStyle="1" w:styleId="TextodecomentrioChar">
    <w:name w:val="Texto de comentário Char"/>
    <w:basedOn w:val="Fontepargpadro"/>
    <w:link w:val="Textodecomentrio"/>
    <w:uiPriority w:val="99"/>
    <w:rsid w:val="009B3285"/>
    <w:rPr>
      <w:rFonts w:eastAsiaTheme="minorHAnsi"/>
      <w:sz w:val="20"/>
      <w:szCs w:val="20"/>
    </w:rPr>
  </w:style>
  <w:style w:type="paragraph" w:customStyle="1" w:styleId="VAFigureCaption0">
    <w:name w:val="VA_Figure_Caption]"/>
    <w:basedOn w:val="Legenda"/>
    <w:qFormat/>
    <w:rsid w:val="00F71BFE"/>
    <w:pPr>
      <w:jc w:val="center"/>
    </w:pPr>
    <w:rPr>
      <w:rFonts w:ascii="Arial" w:eastAsia="Times New Roman" w:hAnsi="Arial" w:cs="Arial"/>
      <w:b w:val="0"/>
      <w:bCs w:val="0"/>
      <w:color w:val="auto"/>
      <w:sz w:val="20"/>
      <w:szCs w:val="20"/>
      <w:lang w:eastAsia="pt-BR"/>
    </w:rPr>
  </w:style>
  <w:style w:type="paragraph" w:styleId="Reviso">
    <w:name w:val="Revision"/>
    <w:hidden/>
    <w:uiPriority w:val="99"/>
    <w:semiHidden/>
    <w:rsid w:val="007A0267"/>
    <w:pPr>
      <w:spacing w:after="0" w:line="240" w:lineRule="auto"/>
    </w:pPr>
  </w:style>
  <w:style w:type="paragraph" w:styleId="Assuntodocomentrio">
    <w:name w:val="annotation subject"/>
    <w:basedOn w:val="Textodecomentrio"/>
    <w:next w:val="Textodecomentrio"/>
    <w:link w:val="AssuntodocomentrioChar"/>
    <w:uiPriority w:val="99"/>
    <w:semiHidden/>
    <w:unhideWhenUsed/>
    <w:rsid w:val="00B77D87"/>
    <w:rPr>
      <w:rFonts w:eastAsiaTheme="minorEastAsia"/>
      <w:b/>
      <w:bCs/>
    </w:rPr>
  </w:style>
  <w:style w:type="character" w:customStyle="1" w:styleId="AssuntodocomentrioChar">
    <w:name w:val="Assunto do comentário Char"/>
    <w:basedOn w:val="TextodecomentrioChar"/>
    <w:link w:val="Assuntodocomentrio"/>
    <w:uiPriority w:val="99"/>
    <w:semiHidden/>
    <w:rsid w:val="00B77D87"/>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189499">
      <w:bodyDiv w:val="1"/>
      <w:marLeft w:val="0"/>
      <w:marRight w:val="0"/>
      <w:marTop w:val="0"/>
      <w:marBottom w:val="0"/>
      <w:divBdr>
        <w:top w:val="none" w:sz="0" w:space="0" w:color="auto"/>
        <w:left w:val="none" w:sz="0" w:space="0" w:color="auto"/>
        <w:bottom w:val="none" w:sz="0" w:space="0" w:color="auto"/>
        <w:right w:val="none" w:sz="0" w:space="0" w:color="auto"/>
      </w:divBdr>
    </w:div>
    <w:div w:id="212660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9624</Words>
  <Characters>51972</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Gabrielle Reis</cp:lastModifiedBy>
  <cp:revision>2</cp:revision>
  <dcterms:created xsi:type="dcterms:W3CDTF">2023-06-18T18:38:00Z</dcterms:created>
  <dcterms:modified xsi:type="dcterms:W3CDTF">2023-06-18T18:38:00Z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http://www.zotero.org/styles/acs-catalysis</vt:lpwstr>
  </property>
  <property fmtid="{D5CDD505-2E9C-101B-9397-08002B2CF9AE}" pid="3" name="Mendeley Recent Style Name 0_1">
    <vt:lpwstr>ACS Catalysis</vt:lpwstr>
  </property>
  <property fmtid="{D5CDD505-2E9C-101B-9397-08002B2CF9AE}" pid="4" name="Mendeley Recent Style Id 1_1">
    <vt:lpwstr>http://www.zotero.org/styles/acs-sustainable-chemistry-and-engineering</vt:lpwstr>
  </property>
  <property fmtid="{D5CDD505-2E9C-101B-9397-08002B2CF9AE}" pid="5" name="Mendeley Recent Style Name 1_1">
    <vt:lpwstr>ACS Sustainable Chemistry &amp; Engineering</vt:lpwstr>
  </property>
  <property fmtid="{D5CDD505-2E9C-101B-9397-08002B2CF9AE}" pid="6" name="Mendeley Recent Style Id 2_1">
    <vt:lpwstr>http://www.zotero.org/styles/associacao-nacional-de-pesquisa-e-ensino-em-transportes</vt:lpwstr>
  </property>
  <property fmtid="{D5CDD505-2E9C-101B-9397-08002B2CF9AE}" pid="7" name="Mendeley Recent Style Name 2_1">
    <vt:lpwstr>ANPET - Congresso de Pesquisa e Ensino em Transportes (Portuguese - Brazil)</vt:lpwstr>
  </property>
  <property fmtid="{D5CDD505-2E9C-101B-9397-08002B2CF9AE}" pid="8" name="Mendeley Recent Style Id 3_1">
    <vt:lpwstr>http://www.zotero.org/styles/accounts-of-chemical-research</vt:lpwstr>
  </property>
  <property fmtid="{D5CDD505-2E9C-101B-9397-08002B2CF9AE}" pid="9" name="Mendeley Recent Style Name 3_1">
    <vt:lpwstr>Accounts of Chemical Research</vt:lpwstr>
  </property>
  <property fmtid="{D5CDD505-2E9C-101B-9397-08002B2CF9AE}" pid="10" name="Mendeley Recent Style Id 4_1">
    <vt:lpwstr>http://www.zotero.org/styles/applied-catalysis-a-general</vt:lpwstr>
  </property>
  <property fmtid="{D5CDD505-2E9C-101B-9397-08002B2CF9AE}" pid="11" name="Mendeley Recent Style Name 4_1">
    <vt:lpwstr>Applied Catalysis A, General</vt:lpwstr>
  </property>
  <property fmtid="{D5CDD505-2E9C-101B-9397-08002B2CF9AE}" pid="12" name="Mendeley Recent Style Id 5_1">
    <vt:lpwstr>http://www.zotero.org/styles/bioresource-technology</vt:lpwstr>
  </property>
  <property fmtid="{D5CDD505-2E9C-101B-9397-08002B2CF9AE}" pid="13" name="Mendeley Recent Style Name 5_1">
    <vt:lpwstr>Bioresource Technology</vt:lpwstr>
  </property>
  <property fmtid="{D5CDD505-2E9C-101B-9397-08002B2CF9AE}" pid="14" name="Mendeley Recent Style Id 6_1">
    <vt:lpwstr>http://www.zotero.org/styles/journal-of-catalysis</vt:lpwstr>
  </property>
  <property fmtid="{D5CDD505-2E9C-101B-9397-08002B2CF9AE}" pid="15" name="Mendeley Recent Style Name 6_1">
    <vt:lpwstr>Journal of Catalysis</vt:lpwstr>
  </property>
  <property fmtid="{D5CDD505-2E9C-101B-9397-08002B2CF9AE}" pid="16" name="Mendeley Recent Style Id 7_1">
    <vt:lpwstr>http://www.zotero.org/styles/sage-vancouver-brackets</vt:lpwstr>
  </property>
  <property fmtid="{D5CDD505-2E9C-101B-9397-08002B2CF9AE}" pid="17" name="Mendeley Recent Style Name 7_1">
    <vt:lpwstr>SAGE - Vancouver (brackets)</vt:lpwstr>
  </property>
  <property fmtid="{D5CDD505-2E9C-101B-9397-08002B2CF9AE}" pid="18" name="Mendeley Recent Style Id 8_1">
    <vt:lpwstr>http://www.zotero.org/styles/associacao-brasileira-de-normas-tecnicas-ufrgs</vt:lpwstr>
  </property>
  <property fmtid="{D5CDD505-2E9C-101B-9397-08002B2CF9AE}" pid="19" name="Mendeley Recent Style Name 8_1">
    <vt:lpwstr>Universidade Federal do Rio Grande do Sul - ABNT (autoria completa) (Portuguese - Brazil)</vt:lpwstr>
  </property>
  <property fmtid="{D5CDD505-2E9C-101B-9397-08002B2CF9AE}" pid="20" name="Mendeley Recent Style Id 9_1">
    <vt:lpwstr>http://www.zotero.org/styles/wiley-vch-books</vt:lpwstr>
  </property>
  <property fmtid="{D5CDD505-2E9C-101B-9397-08002B2CF9AE}" pid="21" name="Mendeley Recent Style Name 9_1">
    <vt:lpwstr>Wiley-VCH books</vt:lpwstr>
  </property>
  <property fmtid="{D5CDD505-2E9C-101B-9397-08002B2CF9AE}" pid="22" name="Mendeley Document_1">
    <vt:lpwstr>True</vt:lpwstr>
  </property>
  <property fmtid="{D5CDD505-2E9C-101B-9397-08002B2CF9AE}" pid="23" name="Mendeley Citation Style_1">
    <vt:lpwstr>http://www.zotero.org/styles/applied-catalysis-a-general</vt:lpwstr>
  </property>
  <property fmtid="{D5CDD505-2E9C-101B-9397-08002B2CF9AE}" pid="24" name="Mendeley Unique User Id_1">
    <vt:lpwstr>6b5fa636-986f-39aa-ba97-e45f41c8bfc0</vt:lpwstr>
  </property>
</Properties>
</file>