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4550" w14:textId="77777777" w:rsidR="00484719" w:rsidRPr="00EB3FAA" w:rsidRDefault="0018523E">
      <w:pPr>
        <w:pStyle w:val="BATitle"/>
        <w:spacing w:before="0" w:after="0" w:line="240" w:lineRule="auto"/>
        <w:ind w:right="0"/>
        <w:jc w:val="both"/>
        <w:rPr>
          <w:sz w:val="32"/>
          <w:lang w:val="pt-BR"/>
        </w:rPr>
      </w:pPr>
      <w:r w:rsidRPr="00EB3FAA">
        <w:rPr>
          <w:noProof/>
          <w:sz w:val="32"/>
          <w:lang w:val="pt-BR"/>
        </w:rPr>
        <mc:AlternateContent>
          <mc:Choice Requires="wps">
            <w:drawing>
              <wp:anchor distT="0" distB="3810" distL="0" distR="7620" simplePos="0" relativeHeight="22" behindDoc="0" locked="0" layoutInCell="0" allowOverlap="1" wp14:anchorId="36DB9261" wp14:editId="208B5D0B">
                <wp:simplePos x="0" y="0"/>
                <wp:positionH relativeFrom="margin">
                  <wp:posOffset>0</wp:posOffset>
                </wp:positionH>
                <wp:positionV relativeFrom="paragraph">
                  <wp:posOffset>635</wp:posOffset>
                </wp:positionV>
                <wp:extent cx="6507480" cy="167640"/>
                <wp:effectExtent l="0" t="0" r="0" b="0"/>
                <wp:wrapNone/>
                <wp:docPr id="1" name="Retângulo 3"/>
                <wp:cNvGraphicFramePr/>
                <a:graphic xmlns:a="http://schemas.openxmlformats.org/drawingml/2006/main">
                  <a:graphicData uri="http://schemas.microsoft.com/office/word/2010/wordprocessingShape">
                    <wps:wsp>
                      <wps:cNvSpPr/>
                      <wps:spPr>
                        <a:xfrm>
                          <a:off x="0" y="0"/>
                          <a:ext cx="6507360" cy="16776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wps:style>
                      <wps:txbx>
                        <w:txbxContent>
                          <w:p w14:paraId="4EA85C14" w14:textId="77777777" w:rsidR="00484719" w:rsidRDefault="00484719">
                            <w:pPr>
                              <w:pStyle w:val="BDAbstract"/>
                              <w:spacing w:before="0" w:after="0" w:line="240" w:lineRule="auto"/>
                              <w:rPr>
                                <w:rFonts w:cs="Helvetica"/>
                                <w:bCs/>
                                <w:sz w:val="20"/>
                                <w:lang w:val="pt-BR"/>
                              </w:rPr>
                            </w:pPr>
                          </w:p>
                          <w:p w14:paraId="2BE15A63" w14:textId="77777777" w:rsidR="00484719" w:rsidRDefault="00484719">
                            <w:pPr>
                              <w:pStyle w:val="SemEspaamento"/>
                              <w:rPr>
                                <w:color w:val="FFFFFF"/>
                              </w:rPr>
                            </w:pPr>
                          </w:p>
                        </w:txbxContent>
                      </wps:txbx>
                      <wps:bodyPr tIns="0" bIns="0" anchor="ctr">
                        <a:prstTxWarp prst="textNoShape">
                          <a:avLst/>
                        </a:prstTxWarp>
                        <a:noAutofit/>
                      </wps:bodyPr>
                    </wps:wsp>
                  </a:graphicData>
                </a:graphic>
              </wp:anchor>
            </w:drawing>
          </mc:Choice>
          <mc:Fallback>
            <w:pict>
              <v:rect w14:anchorId="36DB9261" id="Retângulo 3" o:spid="_x0000_s1026" style="position:absolute;left:0;text-align:left;margin-left:0;margin-top:.05pt;width:512.4pt;height:13.2pt;z-index:22;visibility:visible;mso-wrap-style:square;mso-wrap-distance-left:0;mso-wrap-distance-top:0;mso-wrap-distance-right:.6pt;mso-wrap-distance-bottom:.3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" o:allowincell="f" fillcolor="#9a0000" stroked="f" strokeweight="1pt">
                <v:textbox inset=",0,,0">
                  <w:txbxContent>
                    <w:p w14:paraId="4EA85C14" w14:textId="77777777" w:rsidR="00484719" w:rsidRDefault="00484719">
                      <w:pPr>
                        <w:pStyle w:val="BDAbstract"/>
                        <w:spacing w:before="0" w:after="0" w:line="240" w:lineRule="auto"/>
                        <w:rPr>
                          <w:rFonts w:cs="Helvetica"/>
                          <w:bCs/>
                          <w:sz w:val="20"/>
                          <w:lang w:val="pt-BR"/>
                        </w:rPr>
                      </w:pPr>
                    </w:p>
                    <w:p w14:paraId="2BE15A63" w14:textId="77777777" w:rsidR="00484719" w:rsidRDefault="00484719">
                      <w:pPr>
                        <w:pStyle w:val="SemEspaamento"/>
                        <w:rPr>
                          <w:color w:val="FFFFFF"/>
                        </w:rPr>
                      </w:pPr>
                    </w:p>
                  </w:txbxContent>
                </v:textbox>
                <w10:wrap anchorx="margin"/>
              </v:rect>
            </w:pict>
          </mc:Fallback>
        </mc:AlternateContent>
      </w:r>
      <w:bookmarkStart w:id="0" w:name="_Hlk1324670"/>
    </w:p>
    <w:p w14:paraId="0E23D912" w14:textId="77777777" w:rsidR="00484719" w:rsidRPr="00EB3FAA" w:rsidRDefault="0018523E">
      <w:pPr>
        <w:pStyle w:val="BATitle"/>
        <w:spacing w:before="0" w:after="0" w:line="240" w:lineRule="auto"/>
        <w:ind w:right="0"/>
        <w:jc w:val="both"/>
        <w:rPr>
          <w:sz w:val="32"/>
          <w:lang w:val="pt-BR"/>
        </w:rPr>
      </w:pPr>
      <w:r w:rsidRPr="00EB3FAA">
        <w:rPr>
          <w:sz w:val="32"/>
          <w:lang w:val="pt-BR"/>
        </w:rPr>
        <w:t>Estudo de catalisadores heterogêneos sintetizados a partir de resíduos de rochas ornamentais aplicados para síntese de biodiesel</w:t>
      </w:r>
    </w:p>
    <w:p w14:paraId="104B3433" w14:textId="77777777" w:rsidR="00484719" w:rsidRPr="00EB3FAA" w:rsidRDefault="00484719">
      <w:pPr>
        <w:pStyle w:val="BBAuthorName"/>
        <w:spacing w:after="120"/>
        <w:ind w:right="0"/>
        <w:jc w:val="both"/>
        <w:rPr>
          <w:rFonts w:ascii="Times New Roman" w:hAnsi="Times New Roman"/>
          <w:sz w:val="20"/>
          <w:lang w:val="pt-BR"/>
        </w:rPr>
      </w:pPr>
    </w:p>
    <w:p w14:paraId="301E45E5" w14:textId="77777777" w:rsidR="00484719" w:rsidRPr="00EB3FAA" w:rsidRDefault="0018523E">
      <w:pPr>
        <w:pStyle w:val="BBAuthorName"/>
        <w:spacing w:after="120"/>
        <w:ind w:right="0"/>
        <w:jc w:val="both"/>
        <w:rPr>
          <w:rFonts w:ascii="Times New Roman" w:hAnsi="Times New Roman"/>
          <w:sz w:val="20"/>
          <w:lang w:val="pt-BR"/>
        </w:rPr>
      </w:pPr>
      <w:r w:rsidRPr="00EB3FAA">
        <w:rPr>
          <w:rFonts w:ascii="Times New Roman" w:hAnsi="Times New Roman"/>
          <w:sz w:val="20"/>
          <w:lang w:val="pt-BR"/>
        </w:rPr>
        <w:t>Fábio C. Aleixo</w:t>
      </w:r>
      <w:r w:rsidRPr="00EB3FAA">
        <w:rPr>
          <w:rFonts w:ascii="Times New Roman" w:hAnsi="Times New Roman"/>
          <w:sz w:val="20"/>
          <w:vertAlign w:val="superscript"/>
          <w:lang w:val="pt-BR"/>
        </w:rPr>
        <w:t>1*</w:t>
      </w:r>
      <w:r w:rsidRPr="00EB3FAA">
        <w:rPr>
          <w:rFonts w:ascii="Times New Roman" w:hAnsi="Times New Roman"/>
          <w:sz w:val="20"/>
          <w:lang w:val="pt-BR"/>
        </w:rPr>
        <w:t xml:space="preserve">; </w:t>
      </w:r>
      <w:proofErr w:type="spellStart"/>
      <w:r w:rsidRPr="00EB3FAA">
        <w:rPr>
          <w:rFonts w:ascii="Times New Roman" w:hAnsi="Times New Roman"/>
          <w:sz w:val="20"/>
          <w:lang w:val="pt-BR"/>
        </w:rPr>
        <w:t>Diêgo</w:t>
      </w:r>
      <w:proofErr w:type="spellEnd"/>
      <w:r w:rsidRPr="00EB3FAA">
        <w:rPr>
          <w:rFonts w:ascii="Times New Roman" w:hAnsi="Times New Roman"/>
          <w:sz w:val="20"/>
          <w:lang w:val="pt-BR"/>
        </w:rPr>
        <w:t xml:space="preserve"> N. Faria</w:t>
      </w:r>
      <w:r w:rsidRPr="00EB3FAA">
        <w:rPr>
          <w:rFonts w:ascii="Times New Roman" w:hAnsi="Times New Roman"/>
          <w:sz w:val="20"/>
          <w:vertAlign w:val="superscript"/>
          <w:lang w:val="pt-BR"/>
        </w:rPr>
        <w:t>1</w:t>
      </w:r>
      <w:r w:rsidRPr="00EB3FAA">
        <w:rPr>
          <w:rFonts w:ascii="Times New Roman" w:hAnsi="Times New Roman"/>
          <w:sz w:val="20"/>
          <w:lang w:val="pt-BR"/>
        </w:rPr>
        <w:t xml:space="preserve">; </w:t>
      </w:r>
      <w:proofErr w:type="spellStart"/>
      <w:r w:rsidRPr="00EB3FAA">
        <w:rPr>
          <w:rFonts w:ascii="Times New Roman" w:hAnsi="Times New Roman"/>
          <w:sz w:val="20"/>
          <w:lang w:val="pt-BR"/>
        </w:rPr>
        <w:t>Joycel</w:t>
      </w:r>
      <w:proofErr w:type="spellEnd"/>
      <w:r w:rsidRPr="00EB3FAA">
        <w:rPr>
          <w:rFonts w:ascii="Times New Roman" w:hAnsi="Times New Roman"/>
          <w:sz w:val="20"/>
          <w:lang w:val="pt-BR"/>
        </w:rPr>
        <w:t xml:space="preserve"> V. Fernàndez</w:t>
      </w:r>
      <w:r w:rsidRPr="00EB3FAA">
        <w:rPr>
          <w:rFonts w:ascii="Times New Roman" w:hAnsi="Times New Roman"/>
          <w:sz w:val="20"/>
          <w:vertAlign w:val="superscript"/>
          <w:lang w:val="pt-BR"/>
        </w:rPr>
        <w:t>1</w:t>
      </w:r>
      <w:r w:rsidRPr="00EB3FAA">
        <w:rPr>
          <w:rFonts w:ascii="Times New Roman" w:hAnsi="Times New Roman"/>
          <w:sz w:val="20"/>
          <w:lang w:val="pt-BR"/>
        </w:rPr>
        <w:t>; Mariana C. Santoro</w:t>
      </w:r>
      <w:r w:rsidRPr="00EB3FAA">
        <w:rPr>
          <w:rFonts w:ascii="Times New Roman" w:hAnsi="Times New Roman"/>
          <w:sz w:val="20"/>
          <w:vertAlign w:val="superscript"/>
          <w:lang w:val="pt-BR"/>
        </w:rPr>
        <w:t>1</w:t>
      </w:r>
      <w:r w:rsidRPr="00EB3FAA">
        <w:rPr>
          <w:rFonts w:ascii="Times New Roman" w:hAnsi="Times New Roman"/>
          <w:sz w:val="20"/>
          <w:lang w:val="pt-BR"/>
        </w:rPr>
        <w:t>; Daniel F. Cipriano</w:t>
      </w:r>
      <w:r w:rsidRPr="00EB3FAA">
        <w:rPr>
          <w:rFonts w:ascii="Times New Roman" w:hAnsi="Times New Roman"/>
          <w:sz w:val="20"/>
          <w:vertAlign w:val="superscript"/>
          <w:lang w:val="pt-BR"/>
        </w:rPr>
        <w:t>1</w:t>
      </w:r>
      <w:r w:rsidRPr="00EB3FAA">
        <w:rPr>
          <w:rFonts w:ascii="Times New Roman" w:hAnsi="Times New Roman"/>
          <w:sz w:val="20"/>
          <w:lang w:val="pt-BR"/>
        </w:rPr>
        <w:t xml:space="preserve">; Miguel A. </w:t>
      </w:r>
      <w:proofErr w:type="spellStart"/>
      <w:r w:rsidRPr="00EB3FAA">
        <w:rPr>
          <w:rFonts w:ascii="Times New Roman" w:hAnsi="Times New Roman"/>
          <w:sz w:val="20"/>
          <w:lang w:val="pt-BR"/>
        </w:rPr>
        <w:t>Schettino</w:t>
      </w:r>
      <w:proofErr w:type="spellEnd"/>
      <w:r w:rsidRPr="00EB3FAA">
        <w:rPr>
          <w:rFonts w:ascii="Times New Roman" w:hAnsi="Times New Roman"/>
          <w:sz w:val="20"/>
          <w:lang w:val="pt-BR"/>
        </w:rPr>
        <w:t xml:space="preserve"> Jr.</w:t>
      </w:r>
      <w:r w:rsidRPr="00EB3FAA">
        <w:rPr>
          <w:rFonts w:ascii="Times New Roman" w:hAnsi="Times New Roman"/>
          <w:sz w:val="20"/>
          <w:vertAlign w:val="superscript"/>
          <w:lang w:val="pt-BR"/>
        </w:rPr>
        <w:t>1</w:t>
      </w:r>
      <w:r w:rsidRPr="00EB3FAA">
        <w:rPr>
          <w:rFonts w:ascii="Times New Roman" w:hAnsi="Times New Roman"/>
          <w:sz w:val="20"/>
          <w:lang w:val="pt-BR"/>
        </w:rPr>
        <w:t>; Leonardo L. L. Silveira</w:t>
      </w:r>
      <w:r w:rsidRPr="00EB3FAA">
        <w:rPr>
          <w:rFonts w:ascii="Times New Roman" w:hAnsi="Times New Roman"/>
          <w:sz w:val="20"/>
          <w:vertAlign w:val="superscript"/>
          <w:lang w:val="pt-BR"/>
        </w:rPr>
        <w:t>2</w:t>
      </w:r>
      <w:r w:rsidRPr="00EB3FAA">
        <w:rPr>
          <w:rFonts w:ascii="Times New Roman" w:hAnsi="Times New Roman"/>
          <w:sz w:val="20"/>
          <w:lang w:val="pt-BR"/>
        </w:rPr>
        <w:t>; Jair C. C. Freitas</w:t>
      </w:r>
      <w:r w:rsidRPr="00EB3FAA">
        <w:rPr>
          <w:rFonts w:ascii="Times New Roman" w:hAnsi="Times New Roman"/>
          <w:sz w:val="20"/>
          <w:vertAlign w:val="superscript"/>
          <w:lang w:val="pt-BR"/>
        </w:rPr>
        <w:t>1</w:t>
      </w:r>
      <w:r w:rsidRPr="00EB3FAA">
        <w:rPr>
          <w:rFonts w:ascii="Times New Roman" w:hAnsi="Times New Roman"/>
          <w:sz w:val="20"/>
          <w:lang w:val="pt-BR"/>
        </w:rPr>
        <w:t xml:space="preserve"> </w:t>
      </w:r>
    </w:p>
    <w:p w14:paraId="146C32F8" w14:textId="77777777" w:rsidR="00CE0386" w:rsidRPr="00EB3FAA" w:rsidRDefault="0018523E">
      <w:pPr>
        <w:pStyle w:val="BCAuthorAddress"/>
        <w:spacing w:after="0"/>
        <w:ind w:right="0"/>
        <w:jc w:val="both"/>
        <w:rPr>
          <w:lang w:val="pt-BR"/>
        </w:rPr>
      </w:pPr>
      <w:r w:rsidRPr="00EB3FAA">
        <w:rPr>
          <w:vertAlign w:val="superscript"/>
          <w:lang w:val="pt-BR"/>
        </w:rPr>
        <w:t>1</w:t>
      </w:r>
      <w:r w:rsidRPr="00EB3FAA">
        <w:rPr>
          <w:lang w:val="pt-BR"/>
        </w:rPr>
        <w:t xml:space="preserve"> Universidade Federal do Esp</w:t>
      </w:r>
      <w:r w:rsidR="0001014D" w:rsidRPr="00EB3FAA">
        <w:rPr>
          <w:lang w:val="pt-BR"/>
        </w:rPr>
        <w:t>í</w:t>
      </w:r>
      <w:r w:rsidRPr="00EB3FAA">
        <w:rPr>
          <w:lang w:val="pt-BR"/>
        </w:rPr>
        <w:t>rito Santo. Av. Fernando Ferrari, 514, Goiabeiras, 29075-910, Vitória - ES.</w:t>
      </w:r>
    </w:p>
    <w:p w14:paraId="15EC003B" w14:textId="77777777" w:rsidR="00543858" w:rsidRPr="00EB3FAA" w:rsidRDefault="00CE0386" w:rsidP="00543858">
      <w:pPr>
        <w:pStyle w:val="BCAuthorAddress"/>
        <w:spacing w:after="0"/>
        <w:ind w:right="0"/>
        <w:jc w:val="both"/>
        <w:rPr>
          <w:lang w:val="pt-BR"/>
        </w:rPr>
      </w:pPr>
      <w:r w:rsidRPr="00EB3FAA">
        <w:rPr>
          <w:vertAlign w:val="superscript"/>
          <w:lang w:val="pt-BR"/>
        </w:rPr>
        <w:t>2</w:t>
      </w:r>
      <w:r w:rsidRPr="00EB3FAA">
        <w:rPr>
          <w:lang w:val="pt-BR"/>
        </w:rPr>
        <w:t xml:space="preserve"> Centro de Tecnologia M</w:t>
      </w:r>
      <w:r w:rsidR="00BE6B15" w:rsidRPr="00EB3FAA">
        <w:rPr>
          <w:lang w:val="pt-BR"/>
        </w:rPr>
        <w:t>i</w:t>
      </w:r>
      <w:r w:rsidRPr="00EB3FAA">
        <w:rPr>
          <w:lang w:val="pt-BR"/>
        </w:rPr>
        <w:t>neral (CETEM-MCTI) - Rodovia Cachoeiro - Alegre, Km 05 - Bairro Morro Grande - Cachoeiro de Itapemirim-ES</w:t>
      </w:r>
      <w:r w:rsidR="00543858" w:rsidRPr="00EB3FAA">
        <w:rPr>
          <w:lang w:val="pt-BR"/>
        </w:rPr>
        <w:t xml:space="preserve">. </w:t>
      </w:r>
    </w:p>
    <w:p w14:paraId="19D18A63" w14:textId="77777777" w:rsidR="00543858" w:rsidRPr="00EB3FAA" w:rsidRDefault="00000000" w:rsidP="00543858">
      <w:pPr>
        <w:pStyle w:val="BCAuthorAddress"/>
        <w:spacing w:after="0"/>
        <w:ind w:right="0"/>
        <w:jc w:val="both"/>
        <w:rPr>
          <w:u w:val="single"/>
          <w:lang w:val="pt-BR"/>
        </w:rPr>
      </w:pPr>
      <w:hyperlink r:id="rId8" w:history="1">
        <w:r w:rsidR="00543858" w:rsidRPr="00EB3FAA">
          <w:rPr>
            <w:rStyle w:val="Hyperlink"/>
            <w:color w:val="auto"/>
            <w:lang w:val="pt-BR"/>
          </w:rPr>
          <w:t>*aleixofc@live.com</w:t>
        </w:r>
      </w:hyperlink>
      <w:r w:rsidR="00543858" w:rsidRPr="00EB3FAA">
        <w:rPr>
          <w:rStyle w:val="Hyperlink"/>
          <w:color w:val="auto"/>
          <w:lang w:val="pt-BR"/>
        </w:rPr>
        <w:t>.</w:t>
      </w:r>
    </w:p>
    <w:p w14:paraId="16B6BF39" w14:textId="77777777" w:rsidR="00CE0386" w:rsidRPr="00EB3FAA" w:rsidRDefault="00CE0386">
      <w:pPr>
        <w:pStyle w:val="BDAbstract"/>
        <w:spacing w:before="0" w:after="0" w:line="240" w:lineRule="auto"/>
        <w:rPr>
          <w:rFonts w:ascii="Times New Roman" w:hAnsi="Times New Roman"/>
          <w:b w:val="0"/>
          <w:sz w:val="20"/>
          <w:lang w:val="pt-BR"/>
        </w:rPr>
      </w:pPr>
    </w:p>
    <w:p w14:paraId="7BD2BD94" w14:textId="77777777" w:rsidR="00484719" w:rsidRPr="00EB3FAA" w:rsidRDefault="0018523E">
      <w:pPr>
        <w:pStyle w:val="BDAbstract"/>
        <w:spacing w:before="0" w:after="0" w:line="240" w:lineRule="auto"/>
        <w:rPr>
          <w:rFonts w:ascii="Times New Roman" w:hAnsi="Times New Roman"/>
          <w:b w:val="0"/>
          <w:sz w:val="20"/>
          <w:lang w:val="pt-BR"/>
        </w:rPr>
      </w:pPr>
      <w:r w:rsidRPr="00EB3FAA">
        <w:rPr>
          <w:rFonts w:ascii="Times New Roman" w:hAnsi="Times New Roman"/>
          <w:b w:val="0"/>
          <w:noProof/>
          <w:sz w:val="20"/>
          <w:lang w:val="pt-BR"/>
        </w:rPr>
        <mc:AlternateContent>
          <mc:Choice Requires="wps">
            <w:drawing>
              <wp:anchor distT="0" distB="3810" distL="0" distR="7620" simplePos="0" relativeHeight="20" behindDoc="0" locked="0" layoutInCell="0" allowOverlap="1" wp14:anchorId="1D7D459E" wp14:editId="69E470F9">
                <wp:simplePos x="0" y="0"/>
                <wp:positionH relativeFrom="margin">
                  <wp:align>right</wp:align>
                </wp:positionH>
                <wp:positionV relativeFrom="paragraph">
                  <wp:posOffset>34925</wp:posOffset>
                </wp:positionV>
                <wp:extent cx="6507480" cy="167640"/>
                <wp:effectExtent l="0" t="0" r="0" b="0"/>
                <wp:wrapNone/>
                <wp:docPr id="3" name="Retângulo 4"/>
                <wp:cNvGraphicFramePr/>
                <a:graphic xmlns:a="http://schemas.openxmlformats.org/drawingml/2006/main">
                  <a:graphicData uri="http://schemas.microsoft.com/office/word/2010/wordprocessingShape">
                    <wps:wsp>
                      <wps:cNvSpPr/>
                      <wps:spPr>
                        <a:xfrm>
                          <a:off x="0" y="0"/>
                          <a:ext cx="6507360" cy="16776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wps:style>
                      <wps:txbx>
                        <w:txbxContent>
                          <w:p w14:paraId="05FB3706" w14:textId="77777777" w:rsidR="00484719" w:rsidRDefault="0018523E">
                            <w:pPr>
                              <w:pStyle w:val="BDAbstract"/>
                              <w:spacing w:before="0" w:after="0" w:line="240" w:lineRule="auto"/>
                              <w:jc w:val="center"/>
                              <w:rPr>
                                <w:rFonts w:cs="Helvetica"/>
                                <w:bCs/>
                                <w:sz w:val="20"/>
                                <w:lang w:val="pt-BR"/>
                              </w:rPr>
                            </w:pPr>
                            <w:r>
                              <w:rPr>
                                <w:rFonts w:cs="Helvetica"/>
                                <w:bCs/>
                                <w:color w:val="FFFFFF"/>
                                <w:sz w:val="20"/>
                                <w:lang w:val="pt-BR"/>
                              </w:rPr>
                              <w:t>Resumo/Abstract</w:t>
                            </w:r>
                          </w:p>
                          <w:p w14:paraId="117AA6CB" w14:textId="77777777" w:rsidR="00484719" w:rsidRDefault="00484719">
                            <w:pPr>
                              <w:pStyle w:val="SemEspaamento"/>
                              <w:rPr>
                                <w:color w:val="FFFFFF"/>
                              </w:rPr>
                            </w:pPr>
                          </w:p>
                        </w:txbxContent>
                      </wps:txbx>
                      <wps:bodyPr tIns="0" bIns="0" anchor="ctr">
                        <a:prstTxWarp prst="textNoShape">
                          <a:avLst/>
                        </a:prstTxWarp>
                        <a:noAutofit/>
                      </wps:bodyPr>
                    </wps:wsp>
                  </a:graphicData>
                </a:graphic>
              </wp:anchor>
            </w:drawing>
          </mc:Choice>
          <mc:Fallback>
            <w:pict>
              <v:rect w14:anchorId="1D7D459E" id="Retângulo 4" o:spid="_x0000_s1027" style="position:absolute;left:0;text-align:left;margin-left:461.2pt;margin-top:2.75pt;width:512.4pt;height:13.2pt;z-index:20;visibility:visible;mso-wrap-style:square;mso-wrap-distance-left:0;mso-wrap-distance-top:0;mso-wrap-distance-right:.6pt;mso-wrap-distance-bottom:.3pt;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" o:allowincell="f" fillcolor="#9a0000" stroked="f" strokeweight="1pt">
                <v:textbox inset=",0,,0">
                  <w:txbxContent>
                    <w:p w14:paraId="05FB3706" w14:textId="77777777" w:rsidR="00484719" w:rsidRDefault="0018523E">
                      <w:pPr>
                        <w:pStyle w:val="BDAbstract"/>
                        <w:spacing w:before="0" w:after="0" w:line="240" w:lineRule="auto"/>
                        <w:jc w:val="center"/>
                        <w:rPr>
                          <w:rFonts w:cs="Helvetica"/>
                          <w:bCs/>
                          <w:sz w:val="20"/>
                          <w:lang w:val="pt-BR"/>
                        </w:rPr>
                      </w:pPr>
                      <w:r>
                        <w:rPr>
                          <w:rFonts w:cs="Helvetica"/>
                          <w:bCs/>
                          <w:color w:val="FFFFFF"/>
                          <w:sz w:val="20"/>
                          <w:lang w:val="pt-BR"/>
                        </w:rPr>
                        <w:t>Resumo/Abstract</w:t>
                      </w:r>
                    </w:p>
                    <w:p w14:paraId="117AA6CB" w14:textId="77777777" w:rsidR="00484719" w:rsidRDefault="00484719">
                      <w:pPr>
                        <w:pStyle w:val="SemEspaamento"/>
                        <w:rPr>
                          <w:color w:val="FFFFFF"/>
                        </w:rPr>
                      </w:pPr>
                    </w:p>
                  </w:txbxContent>
                </v:textbox>
                <w10:wrap anchorx="margin"/>
              </v:rect>
            </w:pict>
          </mc:Fallback>
        </mc:AlternateContent>
      </w:r>
    </w:p>
    <w:p w14:paraId="7E849269" w14:textId="6EB22976" w:rsidR="00484719" w:rsidRPr="00EB3FAA" w:rsidRDefault="0018523E">
      <w:pPr>
        <w:spacing w:after="0" w:line="240" w:lineRule="auto"/>
        <w:jc w:val="both"/>
        <w:rPr>
          <w:rFonts w:ascii="Times New Roman" w:hAnsi="Times New Roman" w:cs="Times New Roman"/>
          <w:sz w:val="20"/>
          <w:szCs w:val="20"/>
        </w:rPr>
      </w:pPr>
      <w:r w:rsidRPr="00EB3FAA">
        <w:rPr>
          <w:rFonts w:ascii="Times New Roman" w:hAnsi="Times New Roman"/>
          <w:sz w:val="20"/>
        </w:rPr>
        <w:t xml:space="preserve">RESUMO </w:t>
      </w:r>
      <w:r w:rsidR="00CE0386" w:rsidRPr="00EB3FAA">
        <w:rPr>
          <w:rFonts w:ascii="Times New Roman" w:hAnsi="Times New Roman"/>
          <w:sz w:val="20"/>
        </w:rPr>
        <w:t xml:space="preserve">- </w:t>
      </w:r>
      <w:r w:rsidRPr="00EB3FAA">
        <w:rPr>
          <w:rFonts w:ascii="Times New Roman" w:hAnsi="Times New Roman" w:cs="Times New Roman"/>
          <w:sz w:val="20"/>
          <w:szCs w:val="20"/>
        </w:rPr>
        <w:t>O beneficiamento de rochas ornamentais gera toneladas de resíduos que são descartados no meio ambiente ou depositados de forma irregular em aterros, de modo a se transformarem em graves problemas ambientais. Este trabalho tem como objetivo investigar a síntese de catalisadores heterogêneos usando resíduos de rochas ornamentais como fonte de cálcio e de magnésio, explorando diferentes rotas de síntese. Os materiais obtidos tiveram sua atividade catalítica avaliada na reação de transesterificação de óleo de soja com metanol, a fim de obter biodiesel. Os potenciais catalisadores foram investigados por difração de raios</w:t>
      </w:r>
      <w:r w:rsidR="000C4B15" w:rsidRPr="00EB3FAA">
        <w:rPr>
          <w:rFonts w:ascii="Times New Roman" w:hAnsi="Times New Roman" w:cs="Times New Roman"/>
          <w:sz w:val="20"/>
          <w:szCs w:val="20"/>
        </w:rPr>
        <w:t xml:space="preserve"> </w:t>
      </w:r>
      <w:r w:rsidRPr="00EB3FAA">
        <w:rPr>
          <w:rFonts w:ascii="Times New Roman" w:hAnsi="Times New Roman" w:cs="Times New Roman"/>
          <w:sz w:val="20"/>
          <w:szCs w:val="20"/>
        </w:rPr>
        <w:t xml:space="preserve">X, enquanto que os produtos da reação de transesterificação foram analisados por espectroscopia de ressonância magnética nuclear de </w:t>
      </w:r>
      <w:r w:rsidRPr="00EB3FAA">
        <w:rPr>
          <w:rFonts w:ascii="Times New Roman" w:hAnsi="Times New Roman" w:cs="Times New Roman"/>
          <w:sz w:val="20"/>
          <w:szCs w:val="20"/>
          <w:vertAlign w:val="superscript"/>
        </w:rPr>
        <w:t>1</w:t>
      </w:r>
      <w:r w:rsidRPr="00EB3FAA">
        <w:rPr>
          <w:rFonts w:ascii="Times New Roman" w:hAnsi="Times New Roman" w:cs="Times New Roman"/>
          <w:sz w:val="20"/>
          <w:szCs w:val="20"/>
        </w:rPr>
        <w:t xml:space="preserve">H em solução. </w:t>
      </w:r>
      <w:r w:rsidRPr="00EB3FAA">
        <w:rPr>
          <w:rFonts w:ascii="Times New Roman" w:hAnsi="Times New Roman"/>
          <w:bCs/>
          <w:sz w:val="20"/>
        </w:rPr>
        <w:t xml:space="preserve">A presença das fases </w:t>
      </w:r>
      <w:proofErr w:type="spellStart"/>
      <w:r w:rsidRPr="00EB3FAA">
        <w:rPr>
          <w:rFonts w:ascii="Times New Roman" w:hAnsi="Times New Roman" w:cs="Times New Roman"/>
          <w:sz w:val="20"/>
          <w:szCs w:val="20"/>
        </w:rPr>
        <w:t>CaO</w:t>
      </w:r>
      <w:proofErr w:type="spellEnd"/>
      <w:r w:rsidRPr="00EB3FAA">
        <w:rPr>
          <w:rFonts w:ascii="Times New Roman" w:hAnsi="Times New Roman" w:cs="Times New Roman"/>
          <w:sz w:val="20"/>
          <w:szCs w:val="20"/>
        </w:rPr>
        <w:t xml:space="preserve"> e </w:t>
      </w:r>
      <w:proofErr w:type="spellStart"/>
      <w:r w:rsidRPr="00EB3FAA">
        <w:rPr>
          <w:rFonts w:ascii="Times New Roman" w:hAnsi="Times New Roman" w:cs="Times New Roman"/>
          <w:sz w:val="20"/>
          <w:szCs w:val="20"/>
        </w:rPr>
        <w:t>MgO</w:t>
      </w:r>
      <w:proofErr w:type="spellEnd"/>
      <w:r w:rsidRPr="00EB3FAA">
        <w:rPr>
          <w:rFonts w:ascii="Times New Roman" w:hAnsi="Times New Roman" w:cs="Times New Roman"/>
          <w:sz w:val="20"/>
          <w:szCs w:val="20"/>
        </w:rPr>
        <w:t xml:space="preserve"> (consideradas ativas para a síntese biodiesel) foi identificada nos materiais obtidos por diferentes rotas; o catalisador com melhor performance levou a uma conversão em biodiesel acima de 95 %, mostrando que os resíduos de rochas ornamentais são potenciais fontes para obtenção de catalisadores heterogêneos com elevada atividade catalítica.</w:t>
      </w:r>
    </w:p>
    <w:p w14:paraId="3EF1B63D" w14:textId="77777777" w:rsidR="00484719" w:rsidRPr="00EB3FAA" w:rsidRDefault="00484719">
      <w:pPr>
        <w:spacing w:after="0" w:line="240" w:lineRule="auto"/>
        <w:jc w:val="both"/>
        <w:rPr>
          <w:rFonts w:ascii="Times New Roman" w:hAnsi="Times New Roman" w:cs="Times New Roman"/>
          <w:sz w:val="20"/>
          <w:szCs w:val="20"/>
        </w:rPr>
      </w:pPr>
    </w:p>
    <w:p w14:paraId="59E911CF" w14:textId="77777777" w:rsidR="00484719" w:rsidRPr="00EB3FAA" w:rsidRDefault="0018523E">
      <w:pPr>
        <w:pStyle w:val="BDAbstract"/>
        <w:spacing w:before="0" w:after="0" w:line="240" w:lineRule="auto"/>
        <w:rPr>
          <w:rFonts w:ascii="Times New Roman" w:hAnsi="Times New Roman"/>
          <w:b w:val="0"/>
          <w:sz w:val="20"/>
          <w:lang w:val="pt-BR"/>
        </w:rPr>
      </w:pPr>
      <w:r w:rsidRPr="00EB3FAA">
        <w:rPr>
          <w:rFonts w:ascii="Times New Roman" w:hAnsi="Times New Roman"/>
          <w:b w:val="0"/>
          <w:i/>
          <w:sz w:val="20"/>
          <w:lang w:val="pt-BR"/>
        </w:rPr>
        <w:t>Palavras-chave: Resíduos de rochas ornamentais, dolomita, catalisadores heterogêneos, biodiesel.</w:t>
      </w:r>
    </w:p>
    <w:p w14:paraId="5D5D0F42" w14:textId="64B7EB14" w:rsidR="005F52C2" w:rsidRPr="00EB3FAA" w:rsidRDefault="005F52C2" w:rsidP="005F52C2">
      <w:pPr>
        <w:pStyle w:val="BDAbstract"/>
        <w:spacing w:after="120" w:line="240" w:lineRule="auto"/>
        <w:rPr>
          <w:rFonts w:ascii="Times New Roman" w:hAnsi="Times New Roman"/>
          <w:b w:val="0"/>
          <w:sz w:val="20"/>
        </w:rPr>
      </w:pPr>
      <w:r w:rsidRPr="00EB3FAA">
        <w:rPr>
          <w:rFonts w:ascii="Times New Roman" w:hAnsi="Times New Roman"/>
          <w:b w:val="0"/>
          <w:sz w:val="20"/>
        </w:rPr>
        <w:t xml:space="preserve">ABSTRACT - The processing of ornamental </w:t>
      </w:r>
      <w:r w:rsidR="002D21B4" w:rsidRPr="00EB3FAA">
        <w:rPr>
          <w:rFonts w:ascii="Times New Roman" w:hAnsi="Times New Roman"/>
          <w:b w:val="0"/>
          <w:sz w:val="20"/>
        </w:rPr>
        <w:t>stones</w:t>
      </w:r>
      <w:r w:rsidRPr="00EB3FAA">
        <w:rPr>
          <w:rFonts w:ascii="Times New Roman" w:hAnsi="Times New Roman"/>
          <w:b w:val="0"/>
          <w:sz w:val="20"/>
        </w:rPr>
        <w:t xml:space="preserve"> generates tons of waste that are discarded in the environment or deposited of irregularly in landfills, so that they become serious environmental problems. This work aims to investigate the synthesis of heterogeneous catalysts using ornamental </w:t>
      </w:r>
      <w:r w:rsidR="002D21B4" w:rsidRPr="00EB3FAA">
        <w:rPr>
          <w:rFonts w:ascii="Times New Roman" w:hAnsi="Times New Roman"/>
          <w:b w:val="0"/>
          <w:sz w:val="20"/>
        </w:rPr>
        <w:t>stone</w:t>
      </w:r>
      <w:r w:rsidRPr="00EB3FAA">
        <w:rPr>
          <w:rFonts w:ascii="Times New Roman" w:hAnsi="Times New Roman"/>
          <w:b w:val="0"/>
          <w:sz w:val="20"/>
        </w:rPr>
        <w:t xml:space="preserve"> waste</w:t>
      </w:r>
      <w:r w:rsidR="002D21B4" w:rsidRPr="00EB3FAA">
        <w:rPr>
          <w:rFonts w:ascii="Times New Roman" w:hAnsi="Times New Roman"/>
          <w:b w:val="0"/>
          <w:sz w:val="20"/>
        </w:rPr>
        <w:t>s</w:t>
      </w:r>
      <w:r w:rsidRPr="00EB3FAA">
        <w:rPr>
          <w:rFonts w:ascii="Times New Roman" w:hAnsi="Times New Roman"/>
          <w:b w:val="0"/>
          <w:sz w:val="20"/>
        </w:rPr>
        <w:t xml:space="preserve"> as sources of calcium and magnesium, exploring different synthesis routes. The obtained materials had their catalytic activity evaluated in the transesterification reaction of soybean oil with methanol, in order to obtain biodiesel. The potential catalysts were investigated by X-ray diffraction, while the products of the transesterification reaction were analyzed by </w:t>
      </w:r>
      <w:r w:rsidRPr="00EB3FAA">
        <w:rPr>
          <w:rFonts w:ascii="Times New Roman" w:hAnsi="Times New Roman"/>
          <w:b w:val="0"/>
          <w:sz w:val="20"/>
          <w:vertAlign w:val="superscript"/>
        </w:rPr>
        <w:t>1</w:t>
      </w:r>
      <w:r w:rsidRPr="00EB3FAA">
        <w:rPr>
          <w:rFonts w:ascii="Times New Roman" w:hAnsi="Times New Roman"/>
          <w:b w:val="0"/>
          <w:sz w:val="20"/>
        </w:rPr>
        <w:t xml:space="preserve">H nuclear magnetic resonance spectroscopy in solution. The presence of </w:t>
      </w:r>
      <w:proofErr w:type="spellStart"/>
      <w:r w:rsidRPr="00EB3FAA">
        <w:rPr>
          <w:rFonts w:ascii="Times New Roman" w:hAnsi="Times New Roman"/>
          <w:b w:val="0"/>
          <w:sz w:val="20"/>
        </w:rPr>
        <w:t>CaO</w:t>
      </w:r>
      <w:proofErr w:type="spellEnd"/>
      <w:r w:rsidRPr="00EB3FAA">
        <w:rPr>
          <w:rFonts w:ascii="Times New Roman" w:hAnsi="Times New Roman"/>
          <w:b w:val="0"/>
          <w:sz w:val="20"/>
        </w:rPr>
        <w:t xml:space="preserve"> and MgO phases (considered active for biodiesel synthesis) was identified in the materials obtained by different routes; the catalyst with the best performance led to a biodiesel conversion above 95 %, showing that </w:t>
      </w:r>
      <w:r w:rsidR="002D21B4" w:rsidRPr="00EB3FAA">
        <w:rPr>
          <w:rFonts w:ascii="Times New Roman" w:hAnsi="Times New Roman"/>
          <w:b w:val="0"/>
          <w:sz w:val="20"/>
        </w:rPr>
        <w:t xml:space="preserve">ornamental stone </w:t>
      </w:r>
      <w:r w:rsidRPr="00EB3FAA">
        <w:rPr>
          <w:rFonts w:ascii="Times New Roman" w:hAnsi="Times New Roman"/>
          <w:b w:val="0"/>
          <w:sz w:val="20"/>
        </w:rPr>
        <w:t>waste</w:t>
      </w:r>
      <w:r w:rsidR="002D21B4" w:rsidRPr="00EB3FAA">
        <w:rPr>
          <w:rFonts w:ascii="Times New Roman" w:hAnsi="Times New Roman"/>
          <w:b w:val="0"/>
          <w:sz w:val="20"/>
        </w:rPr>
        <w:t>s</w:t>
      </w:r>
      <w:r w:rsidRPr="00EB3FAA">
        <w:rPr>
          <w:rFonts w:ascii="Times New Roman" w:hAnsi="Times New Roman"/>
          <w:b w:val="0"/>
          <w:sz w:val="20"/>
        </w:rPr>
        <w:t xml:space="preserve"> are potential sources for obtaining heterogeneous catalysts with high catalytic activity.</w:t>
      </w:r>
    </w:p>
    <w:p w14:paraId="561F47BE" w14:textId="0C24A14B" w:rsidR="00484719" w:rsidRPr="00EB3FAA" w:rsidRDefault="005F52C2" w:rsidP="005F52C2">
      <w:pPr>
        <w:pStyle w:val="BDAbstract"/>
        <w:spacing w:before="0" w:after="120" w:line="240" w:lineRule="auto"/>
        <w:rPr>
          <w:rFonts w:ascii="Times New Roman" w:hAnsi="Times New Roman"/>
          <w:b w:val="0"/>
          <w:i/>
          <w:sz w:val="20"/>
        </w:rPr>
      </w:pPr>
      <w:r w:rsidRPr="00EB3FAA">
        <w:rPr>
          <w:rFonts w:ascii="Times New Roman" w:hAnsi="Times New Roman"/>
          <w:b w:val="0"/>
          <w:i/>
          <w:sz w:val="20"/>
        </w:rPr>
        <w:t xml:space="preserve">Keywords: </w:t>
      </w:r>
      <w:r w:rsidR="002D21B4" w:rsidRPr="00EB3FAA">
        <w:rPr>
          <w:rFonts w:ascii="Times New Roman" w:hAnsi="Times New Roman"/>
          <w:b w:val="0"/>
          <w:i/>
          <w:sz w:val="20"/>
        </w:rPr>
        <w:t xml:space="preserve">Ornamental </w:t>
      </w:r>
      <w:r w:rsidR="004E256A" w:rsidRPr="00EB3FAA">
        <w:rPr>
          <w:rFonts w:ascii="Times New Roman" w:hAnsi="Times New Roman"/>
          <w:b w:val="0"/>
          <w:i/>
          <w:sz w:val="20"/>
        </w:rPr>
        <w:t>stone</w:t>
      </w:r>
      <w:r w:rsidR="002D21B4" w:rsidRPr="00EB3FAA">
        <w:rPr>
          <w:rFonts w:ascii="Times New Roman" w:hAnsi="Times New Roman"/>
          <w:b w:val="0"/>
          <w:i/>
          <w:sz w:val="20"/>
        </w:rPr>
        <w:t xml:space="preserve"> w</w:t>
      </w:r>
      <w:r w:rsidRPr="00EB3FAA">
        <w:rPr>
          <w:rFonts w:ascii="Times New Roman" w:hAnsi="Times New Roman"/>
          <w:b w:val="0"/>
          <w:i/>
          <w:sz w:val="20"/>
        </w:rPr>
        <w:t>aste</w:t>
      </w:r>
      <w:r w:rsidR="002D21B4" w:rsidRPr="00EB3FAA">
        <w:rPr>
          <w:rFonts w:ascii="Times New Roman" w:hAnsi="Times New Roman"/>
          <w:b w:val="0"/>
          <w:i/>
          <w:sz w:val="20"/>
        </w:rPr>
        <w:t>s</w:t>
      </w:r>
      <w:r w:rsidRPr="00EB3FAA">
        <w:rPr>
          <w:rFonts w:ascii="Times New Roman" w:hAnsi="Times New Roman"/>
          <w:b w:val="0"/>
          <w:i/>
          <w:sz w:val="20"/>
        </w:rPr>
        <w:t>, dolomite, heterogeneous catalysts, biodiesel</w:t>
      </w:r>
      <w:bookmarkEnd w:id="0"/>
      <w:r w:rsidRPr="00EB3FAA">
        <w:rPr>
          <w:rFonts w:ascii="Times New Roman" w:hAnsi="Times New Roman"/>
          <w:b w:val="0"/>
          <w:i/>
          <w:sz w:val="20"/>
        </w:rPr>
        <w:t>.</w:t>
      </w:r>
    </w:p>
    <w:p w14:paraId="09102C07" w14:textId="77777777" w:rsidR="00484719" w:rsidRPr="00EB3FAA" w:rsidRDefault="00484719">
      <w:pPr>
        <w:rPr>
          <w:i/>
        </w:rPr>
        <w:sectPr w:rsidR="00484719" w:rsidRPr="00EB3FAA">
          <w:headerReference w:type="default" r:id="rId9"/>
          <w:endnotePr>
            <w:numFmt w:val="decimal"/>
          </w:endnotePr>
          <w:pgSz w:w="11906" w:h="16838"/>
          <w:pgMar w:top="1418" w:right="1094" w:bottom="1418" w:left="567" w:header="709" w:footer="0" w:gutter="0"/>
          <w:cols w:space="720"/>
          <w:formProt w:val="0"/>
          <w:docGrid w:linePitch="360" w:charSpace="6143"/>
        </w:sectPr>
      </w:pPr>
    </w:p>
    <w:p w14:paraId="4C75C084" w14:textId="77777777" w:rsidR="00484719" w:rsidRPr="00EB3FAA" w:rsidRDefault="0018523E">
      <w:pPr>
        <w:pStyle w:val="Ttulo2"/>
        <w:spacing w:before="0"/>
        <w:rPr>
          <w:rFonts w:ascii="Helvetica" w:hAnsi="Helvetica" w:cs="Helvetica"/>
          <w:sz w:val="24"/>
          <w:szCs w:val="24"/>
        </w:rPr>
      </w:pPr>
      <w:r w:rsidRPr="00EB3FAA">
        <w:rPr>
          <w:rFonts w:ascii="Helvetica" w:hAnsi="Helvetica" w:cs="Helvetica"/>
          <w:sz w:val="24"/>
          <w:szCs w:val="24"/>
        </w:rPr>
        <w:t>Introdução</w:t>
      </w:r>
    </w:p>
    <w:p w14:paraId="5C6755BA" w14:textId="744C841F" w:rsidR="00484719" w:rsidRPr="00EB3FAA" w:rsidRDefault="00E24F2B">
      <w:pPr>
        <w:pStyle w:val="TAMainText"/>
        <w:rPr>
          <w:rFonts w:ascii="Times New Roman" w:hAnsi="Times New Roman"/>
          <w:lang w:val="pt-BR"/>
        </w:rPr>
      </w:pPr>
      <w:r w:rsidRPr="00EB3FAA">
        <w:rPr>
          <w:rFonts w:ascii="Times New Roman" w:hAnsi="Times New Roman"/>
          <w:lang w:val="pt-BR"/>
        </w:rPr>
        <w:t>Os catalisadores heterogêneos vêm sendo cada vez mais preferíveis para síntese de biodiesel, em decorrência da facilidade de separação e reutilização</w:t>
      </w:r>
      <w:r w:rsidR="00CE0386" w:rsidRPr="00EB3FAA">
        <w:rPr>
          <w:rFonts w:ascii="Times New Roman" w:hAnsi="Times New Roman"/>
          <w:lang w:val="pt-BR"/>
        </w:rPr>
        <w:t xml:space="preserve"> </w:t>
      </w:r>
      <w:r w:rsidRPr="00EB3FAA">
        <w:fldChar w:fldCharType="begin" w:fldLock="1"/>
      </w:r>
      <w:r w:rsidRPr="00EB3FAA">
        <w:rPr>
          <w:rFonts w:ascii="Times New Roman" w:hAnsi="Times New Roman"/>
          <w:lang w:val="pt-BR"/>
        </w:rPr>
        <w:instrText>ADDIN CSL_CITATION {"citationItems":[{"id":"ITEM-1","itemData":{"DOI":"10.1007/s12155-021-10333-w","ISBN":"0123456789","ISSN":"19391242","abstract":"The excessive utilization of petroleum resources leads to global warming, crude oil price fluctuations, and the fast depletion of petroleum reserves. Biodiesel has gained importance over the last few years as a clean, sustainable, and renewable energy source. This review provides knowledge of biodiesel production via transesterification/esterification using different catalysts, their prospects, and their challenges. The intensive research on homogeneous chemical catalysts points to the challenges in using high free fatty acids containing oils, such as waste cooking oils and animal fats. The problems faced are soap formation and the difficulty in product separation. On the other hand, heterogeneous catalysts are more preferable in biodiesel synthesis due to their ease of separation and reusability. However, in-depth studies show the limited activity and selectivity issues. Using biomass waste-based catalysts can reduce the biodiesel production cost as the materials are readily available and cheap. The use of an enzymatic approach has gained precedence in recent times. Additionally, immobilization of these enzymes has also improved the statistics because of their excellent functional properties like easy separation and reusability. However, free/liquid lipases are also growing faster due to better mass transfer with reactants. Biocatalysts are exceptional in good selectivity and mild operational conditions, but attractive features are veiled with the operational costs. Nanocatalysts play a vital role in heterogeneous catalysis and lipase immobilization due to their excellent selectivity, reactivity, faster reaction rates owing to their higher surface area, and easy recovery from the products and reuse for several cycles.","author":[{"dropping-particle":"","family":"Mandari","given":"Venkatesh","non-dropping-particle":"","parse-names":false,"suffix":""},{"dropping-particle":"","family":"Devarai","given":"Santhosh Kumar","non-dropping-particle":"","parse-names":false,"suffix":""}],"container-title":"Bioenergy Research","id":"ITEM-1","issue":"0123456789","issued":{"date-parts":[["2021"]]},"publisher":"Springer US","title":"Biodiesel Production Using Homogeneous, Heterogeneous, and Enzyme Catalysts via Transesterification and Esterification Reactions: a Critical Review","type":"article-journal"},"uris":["http://www.mendeley.com/documents/?uuid=724ab001-a463-4dcd-abe8-c3d5f2c4fdaf"]}],"mendeley":{"formattedCitation":"(1)","plainTextFormattedCitation":"(1)","previouslyFormattedCitation":"(1)"},"properties":{"noteIndex":0},"schema":"https://github.com/citation-style-language/schema/raw/master/csl-citation.json"}</w:instrText>
      </w:r>
      <w:r w:rsidRPr="00EB3FAA">
        <w:rPr>
          <w:rFonts w:ascii="Times New Roman" w:hAnsi="Times New Roman"/>
          <w:lang w:val="pt-BR"/>
        </w:rPr>
        <w:fldChar w:fldCharType="separate"/>
      </w:r>
      <w:r w:rsidRPr="00EB3FAA">
        <w:rPr>
          <w:rFonts w:ascii="Times New Roman" w:hAnsi="Times New Roman"/>
          <w:noProof/>
          <w:lang w:val="pt-BR"/>
        </w:rPr>
        <w:t>(1)</w:t>
      </w:r>
      <w:r w:rsidRPr="00EB3FAA">
        <w:rPr>
          <w:rFonts w:ascii="Times New Roman" w:hAnsi="Times New Roman"/>
          <w:lang w:val="pt-BR"/>
        </w:rPr>
        <w:fldChar w:fldCharType="end"/>
      </w:r>
      <w:r w:rsidRPr="00EB3FAA">
        <w:rPr>
          <w:rFonts w:ascii="Times New Roman" w:hAnsi="Times New Roman"/>
          <w:lang w:val="pt-BR"/>
        </w:rPr>
        <w:t>.</w:t>
      </w:r>
      <w:bookmarkStart w:id="1" w:name="_Hlk134292826"/>
      <w:r w:rsidR="00E50BA3" w:rsidRPr="00EB3FAA">
        <w:rPr>
          <w:rFonts w:ascii="Times New Roman" w:hAnsi="Times New Roman"/>
          <w:lang w:val="pt-BR"/>
        </w:rPr>
        <w:t xml:space="preserve"> </w:t>
      </w:r>
      <w:r w:rsidRPr="00EB3FAA">
        <w:rPr>
          <w:rFonts w:ascii="Times New Roman" w:hAnsi="Times New Roman"/>
          <w:lang w:val="pt-BR"/>
        </w:rPr>
        <w:t>O mineral dolomita</w:t>
      </w:r>
      <w:r w:rsidR="009D3191" w:rsidRPr="00EB3FAA">
        <w:rPr>
          <w:rFonts w:ascii="Times New Roman" w:hAnsi="Times New Roman"/>
          <w:lang w:val="pt-BR"/>
        </w:rPr>
        <w:t>,</w:t>
      </w:r>
      <w:r w:rsidRPr="00EB3FAA">
        <w:rPr>
          <w:rFonts w:ascii="Times New Roman" w:hAnsi="Times New Roman"/>
          <w:lang w:val="pt-BR"/>
        </w:rPr>
        <w:t xml:space="preserve"> </w:t>
      </w:r>
      <w:proofErr w:type="spellStart"/>
      <w:proofErr w:type="gramStart"/>
      <w:r w:rsidRPr="00EB3FAA">
        <w:rPr>
          <w:rFonts w:ascii="Times New Roman" w:hAnsi="Times New Roman"/>
          <w:lang w:val="pt-BR"/>
        </w:rPr>
        <w:t>CaMg</w:t>
      </w:r>
      <w:proofErr w:type="spellEnd"/>
      <w:r w:rsidRPr="00EB3FAA">
        <w:rPr>
          <w:rFonts w:ascii="Times New Roman" w:hAnsi="Times New Roman"/>
          <w:lang w:val="pt-BR"/>
        </w:rPr>
        <w:t>(</w:t>
      </w:r>
      <w:proofErr w:type="gramEnd"/>
      <w:r w:rsidRPr="00EB3FAA">
        <w:rPr>
          <w:rFonts w:ascii="Times New Roman" w:hAnsi="Times New Roman"/>
          <w:lang w:val="pt-BR"/>
        </w:rPr>
        <w:t>CO</w:t>
      </w:r>
      <w:r w:rsidRPr="00EB3FAA">
        <w:rPr>
          <w:rFonts w:ascii="Times New Roman" w:hAnsi="Times New Roman"/>
          <w:vertAlign w:val="subscript"/>
          <w:lang w:val="pt-BR"/>
        </w:rPr>
        <w:t>3</w:t>
      </w:r>
      <w:r w:rsidRPr="00EB3FAA">
        <w:rPr>
          <w:rFonts w:ascii="Times New Roman" w:hAnsi="Times New Roman"/>
          <w:lang w:val="pt-BR"/>
        </w:rPr>
        <w:t>)</w:t>
      </w:r>
      <w:r w:rsidRPr="00EB3FAA">
        <w:rPr>
          <w:rFonts w:ascii="Times New Roman" w:hAnsi="Times New Roman"/>
          <w:vertAlign w:val="subscript"/>
          <w:lang w:val="pt-BR"/>
        </w:rPr>
        <w:t>2</w:t>
      </w:r>
      <w:r w:rsidR="009D3191" w:rsidRPr="00EB3FAA">
        <w:rPr>
          <w:rFonts w:ascii="Times New Roman" w:hAnsi="Times New Roman"/>
          <w:lang w:val="pt-BR"/>
        </w:rPr>
        <w:t xml:space="preserve">, </w:t>
      </w:r>
      <w:r w:rsidRPr="00EB3FAA">
        <w:rPr>
          <w:rFonts w:ascii="Times New Roman" w:hAnsi="Times New Roman"/>
          <w:lang w:val="pt-BR"/>
        </w:rPr>
        <w:t>ao ser calcinad</w:t>
      </w:r>
      <w:r w:rsidR="00AD62AC" w:rsidRPr="00EB3FAA">
        <w:rPr>
          <w:rFonts w:ascii="Times New Roman" w:hAnsi="Times New Roman"/>
          <w:lang w:val="pt-BR"/>
        </w:rPr>
        <w:t>o</w:t>
      </w:r>
      <w:r w:rsidRPr="00EB3FAA">
        <w:rPr>
          <w:rFonts w:ascii="Times New Roman" w:hAnsi="Times New Roman"/>
          <w:lang w:val="pt-BR"/>
        </w:rPr>
        <w:t xml:space="preserve"> gera os óxidos </w:t>
      </w:r>
      <w:proofErr w:type="spellStart"/>
      <w:r w:rsidRPr="00EB3FAA">
        <w:rPr>
          <w:rFonts w:ascii="Times New Roman" w:hAnsi="Times New Roman"/>
          <w:lang w:val="pt-BR"/>
        </w:rPr>
        <w:t>CaO</w:t>
      </w:r>
      <w:proofErr w:type="spellEnd"/>
      <w:r w:rsidRPr="00EB3FAA">
        <w:rPr>
          <w:rFonts w:ascii="Times New Roman" w:hAnsi="Times New Roman"/>
          <w:lang w:val="pt-BR"/>
        </w:rPr>
        <w:t xml:space="preserve"> e </w:t>
      </w:r>
      <w:proofErr w:type="spellStart"/>
      <w:r w:rsidRPr="00EB3FAA">
        <w:rPr>
          <w:rFonts w:ascii="Times New Roman" w:hAnsi="Times New Roman"/>
          <w:lang w:val="pt-BR"/>
        </w:rPr>
        <w:t>MgO</w:t>
      </w:r>
      <w:proofErr w:type="spellEnd"/>
      <w:r w:rsidRPr="00EB3FAA">
        <w:rPr>
          <w:rFonts w:ascii="Times New Roman" w:hAnsi="Times New Roman"/>
          <w:lang w:val="pt-BR"/>
        </w:rPr>
        <w:t xml:space="preserve">, os quais são usados com frequência como catalisadores heterogêneos básicos para síntese de biodiesel. Porém, os sítios ativos do </w:t>
      </w:r>
      <w:proofErr w:type="spellStart"/>
      <w:r w:rsidRPr="00EB3FAA">
        <w:rPr>
          <w:rFonts w:ascii="Times New Roman" w:hAnsi="Times New Roman"/>
          <w:lang w:val="pt-BR"/>
        </w:rPr>
        <w:t>CaO</w:t>
      </w:r>
      <w:proofErr w:type="spellEnd"/>
      <w:r w:rsidRPr="00EB3FAA">
        <w:rPr>
          <w:rFonts w:ascii="Times New Roman" w:hAnsi="Times New Roman"/>
          <w:lang w:val="pt-BR"/>
        </w:rPr>
        <w:t xml:space="preserve"> são parcialmente lixiviados durante a reação de transesterificação, reduzindo a capacidade catalítica para ciclos posteriores </w:t>
      </w:r>
      <w:r w:rsidRPr="00EB3FAA">
        <w:fldChar w:fldCharType="begin" w:fldLock="1"/>
      </w:r>
      <w:r w:rsidR="00801C59" w:rsidRPr="00EB3FAA">
        <w:rPr>
          <w:rFonts w:ascii="Times New Roman" w:hAnsi="Times New Roman"/>
          <w:lang w:val="pt-BR"/>
        </w:rPr>
        <w:instrText>ADDIN CSL_CITATION {"citationItems":[{"id":"ITEM-1","itemData":{"DOI":"10.1016/j.renene.2020.03.003","ISBN":"2286133824","ISSN":"18790682","abstract":"Stability of the calcined dolomite in catalyzing transesterification during the reused cycles is poor due to the leaching out of the calcium active sites and dolomite is incorporated with cerium to overcome the drawback in this study. Three different methods of the wet impregnation, direct wet impregnation and solid mixing are used for the cerium incorporation, where the wet impregnation method with the cerium to calcium molar ratio of 0.6 is preferred for the best catalytic performance. The maximum biodiesel yield of 97.21% is achieved with the catalyst to oil mass ratio of 0.05 and methanol to oil molar ratio of 15 at 65 °C for 2 h. Attributed to the strong synergistic effect between CaO and CeO2, the leaching out of the calcium active sites from the cerium incorporated dolomite catalyst into the liquid transesterification products is greatly reduced and the biodiesel yield of 88.63% is obtained for the fifth reused cycle. The physical properties of the produced biodiesel are in accordance with the ASTM D 6751 or EN 14214 standard to guarantee its industrial application.","author":[{"dropping-particle":"","family":"Niu","given":"Shengli","non-dropping-particle":"","parse-names":false,"suffix":""},{"dropping-particle":"","family":"Zhang","given":"Xiangyu","non-dropping-particle":"","parse-names":false,"suffix":""},{"dropping-particle":"","family":"Ning","given":"Yilin","non-dropping-particle":"","parse-names":false,"suffix":""},{"dropping-particle":"","family":"Zhang","given":"Yujiao","non-dropping-particle":"","parse-names":false,"suffix":""},{"dropping-particle":"","family":"Qu","given":"Tongxin","non-dropping-particle":"","parse-names":false,"suffix":""},{"dropping-particle":"","family":"Hu","given":"Xun","non-dropping-particle":"","parse-names":false,"suffix":""},{"dropping-particle":"","family":"Gong","given":"Zhiqiang","non-dropping-particle":"","parse-names":false,"suffix":""},{"dropping-particle":"","family":"Lu","given":"Chunmei","non-dropping-particle":"","parse-names":false,"suffix":""}],"container-title":"Renewable Energy","id":"ITEM-1","issued":{"date-parts":[["2020"]]},"page":"107-116","publisher":"Elsevier Ltd","title":"Dolomite incorporated with cerium to enhance the stability in catalyzing transesterification for biodiesel production","type":"article-journal","volume":"154"},"uris":["http://www.mendeley.com/documents/?uuid=6be0f16a-08aa-4ee7-b1da-f92b1d0ee7c4"]}],"mendeley":{"formattedCitation":"(2)","plainTextFormattedCitation":"(2)","previouslyFormattedCitation":"(4)"},"properties":{"noteIndex":0},"schema":"https://github.com/citation-style-language/schema/raw/master/csl-citation.json"}</w:instrText>
      </w:r>
      <w:r w:rsidRPr="00EB3FAA">
        <w:rPr>
          <w:rFonts w:ascii="Times New Roman" w:hAnsi="Times New Roman"/>
          <w:lang w:val="pt-BR"/>
        </w:rPr>
        <w:fldChar w:fldCharType="separate"/>
      </w:r>
      <w:r w:rsidR="00801C59" w:rsidRPr="00EB3FAA">
        <w:rPr>
          <w:rFonts w:ascii="Times New Roman" w:hAnsi="Times New Roman"/>
          <w:noProof/>
          <w:lang w:val="pt-BR"/>
        </w:rPr>
        <w:t>(2)</w:t>
      </w:r>
      <w:r w:rsidRPr="00EB3FAA">
        <w:rPr>
          <w:rFonts w:ascii="Times New Roman" w:hAnsi="Times New Roman"/>
          <w:lang w:val="pt-BR"/>
        </w:rPr>
        <w:fldChar w:fldCharType="end"/>
      </w:r>
      <w:r w:rsidRPr="00EB3FAA">
        <w:rPr>
          <w:rFonts w:ascii="Times New Roman" w:hAnsi="Times New Roman"/>
          <w:lang w:val="pt-BR"/>
        </w:rPr>
        <w:t xml:space="preserve">. </w:t>
      </w:r>
      <w:bookmarkEnd w:id="1"/>
      <w:r w:rsidRPr="00EB3FAA">
        <w:rPr>
          <w:rFonts w:ascii="Times New Roman" w:hAnsi="Times New Roman"/>
          <w:lang w:val="pt-BR"/>
        </w:rPr>
        <w:t>O uso de suporte para preparar catalisadores metálicos permite uma melhor dispersão e estabilização das partículas metálicas na superfície do suporte</w:t>
      </w:r>
      <w:r w:rsidR="004717DF" w:rsidRPr="00EB3FAA">
        <w:rPr>
          <w:rFonts w:ascii="Times New Roman" w:hAnsi="Times New Roman"/>
          <w:lang w:val="pt-BR"/>
        </w:rPr>
        <w:t>.</w:t>
      </w:r>
      <w:r w:rsidRPr="00EB3FAA">
        <w:rPr>
          <w:rFonts w:ascii="Times New Roman" w:hAnsi="Times New Roman"/>
          <w:lang w:val="pt-BR"/>
        </w:rPr>
        <w:t xml:space="preserve"> Uma grande parte dos materiais utilizados como suporte para preparar catalisadores </w:t>
      </w:r>
      <w:r w:rsidRPr="00EB3FAA">
        <w:rPr>
          <w:rFonts w:ascii="Times New Roman" w:hAnsi="Times New Roman"/>
          <w:lang w:val="pt-BR"/>
        </w:rPr>
        <w:t>heterogêneo</w:t>
      </w:r>
      <w:r w:rsidR="002D0ED8" w:rsidRPr="00EB3FAA">
        <w:rPr>
          <w:rFonts w:ascii="Times New Roman" w:hAnsi="Times New Roman"/>
          <w:lang w:val="pt-BR"/>
        </w:rPr>
        <w:t>s</w:t>
      </w:r>
      <w:r w:rsidRPr="00EB3FAA">
        <w:rPr>
          <w:rFonts w:ascii="Times New Roman" w:hAnsi="Times New Roman"/>
          <w:lang w:val="pt-BR"/>
        </w:rPr>
        <w:t xml:space="preserve"> são os materiais carbonosos porosos </w:t>
      </w:r>
      <w:r w:rsidRPr="00EB3FAA">
        <w:fldChar w:fldCharType="begin" w:fldLock="1"/>
      </w:r>
      <w:r w:rsidR="00801C59" w:rsidRPr="00EB3FAA">
        <w:rPr>
          <w:rFonts w:ascii="Times New Roman" w:hAnsi="Times New Roman"/>
          <w:lang w:val="pt-BR"/>
        </w:rPr>
        <w:instrText>ADDIN CSL_CITATION {"citationItems":[{"id":"ITEM-1","itemData":{"DOI":"10.3762/bjoc.16.104","author":[{"dropping-particle":"","family":"Iwanow","given":"Melanie","non-dropping-particle":"","parse-names":false,"suffix":""},{"dropping-particle":"","family":"Gärtner","given":"Tobias","non-dropping-particle":"","parse-names":false,"suffix":""},{"dropping-particle":"","family":"Sieber","given":"Volker","non-dropping-particle":"","parse-names":false,"suffix":""},{"dropping-particle":"","family":"König","given":"Burkhard","non-dropping-particle":"","parse-names":false,"suffix":""}],"id":"ITEM-1","issued":{"date-parts":[["2020"]]},"page":"1188-1202","title":"Activated carbon as catalyst support : precursors , preparation , modification and characterization","type":"article-journal"},"uris":["http://www.mendeley.com/documents/?uuid=b61aadf5-d855-4693-b8b1-7a55bc532fab"]}],"mendeley":{"formattedCitation":"(3)","plainTextFormattedCitation":"(3)","previouslyFormattedCitation":"(5)"},"properties":{"noteIndex":0},"schema":"https://github.com/citation-style-language/schema/raw/master/csl-citation.json"}</w:instrText>
      </w:r>
      <w:r w:rsidRPr="00EB3FAA">
        <w:rPr>
          <w:rFonts w:ascii="Times New Roman" w:hAnsi="Times New Roman"/>
          <w:lang w:val="pt-BR"/>
        </w:rPr>
        <w:fldChar w:fldCharType="separate"/>
      </w:r>
      <w:r w:rsidR="00801C59" w:rsidRPr="00EB3FAA">
        <w:rPr>
          <w:rFonts w:ascii="Times New Roman" w:hAnsi="Times New Roman"/>
          <w:noProof/>
          <w:lang w:val="pt-BR"/>
        </w:rPr>
        <w:t>(3)</w:t>
      </w:r>
      <w:r w:rsidRPr="00EB3FAA">
        <w:rPr>
          <w:rFonts w:ascii="Times New Roman" w:hAnsi="Times New Roman"/>
          <w:lang w:val="pt-BR"/>
        </w:rPr>
        <w:fldChar w:fldCharType="end"/>
      </w:r>
      <w:r w:rsidRPr="00EB3FAA">
        <w:rPr>
          <w:rFonts w:ascii="Times New Roman" w:hAnsi="Times New Roman"/>
          <w:lang w:val="pt-BR"/>
        </w:rPr>
        <w:t>. Este trabalho tem como objeto investigar o uso de diferentes metodologias de síntese de catalisadores heterogêneos partindo de resíduos de rochas ornamentais, incluindo a utilização de carvão ativado como suporte.</w:t>
      </w:r>
    </w:p>
    <w:p w14:paraId="0350AF3E" w14:textId="77777777" w:rsidR="00484719" w:rsidRPr="00EB3FAA" w:rsidRDefault="0018523E" w:rsidP="000D06CB">
      <w:pPr>
        <w:pStyle w:val="Ttulo2"/>
        <w:spacing w:after="0"/>
        <w:rPr>
          <w:rFonts w:ascii="Helvetica" w:hAnsi="Helvetica" w:cs="Helvetica"/>
          <w:sz w:val="24"/>
          <w:szCs w:val="24"/>
        </w:rPr>
      </w:pPr>
      <w:r w:rsidRPr="00EB3FAA">
        <w:rPr>
          <w:rFonts w:ascii="Helvetica" w:hAnsi="Helvetica" w:cs="Helvetica"/>
          <w:sz w:val="24"/>
          <w:szCs w:val="24"/>
        </w:rPr>
        <w:t>Experimental</w:t>
      </w:r>
    </w:p>
    <w:p w14:paraId="495F9BDD" w14:textId="0EC640FD" w:rsidR="00947692" w:rsidRPr="00EB3FAA" w:rsidRDefault="00093CB4" w:rsidP="000D06CB">
      <w:pPr>
        <w:pStyle w:val="TAMainText"/>
        <w:rPr>
          <w:lang w:val="pt-BR"/>
        </w:rPr>
      </w:pPr>
      <w:r w:rsidRPr="00EB3FAA">
        <w:rPr>
          <w:rFonts w:cs="Arial"/>
          <w:lang w:val="pt-BR"/>
        </w:rPr>
        <w:t xml:space="preserve">Os resíduos de beneficiamento de rochas ornamentais (material aqui denominado de RO) foram coletados no município de Cachoeiro de Itapemirim (ES). </w:t>
      </w:r>
      <w:r w:rsidR="00E24F2B" w:rsidRPr="00EB3FAA">
        <w:rPr>
          <w:lang w:val="pt-BR"/>
        </w:rPr>
        <w:t xml:space="preserve">O catalisador RO_M foi sintetizado por tratamento térmico em mufla, </w:t>
      </w:r>
      <w:r w:rsidR="00E24EAF" w:rsidRPr="00EB3FAA">
        <w:rPr>
          <w:lang w:val="pt-BR"/>
        </w:rPr>
        <w:t xml:space="preserve">com </w:t>
      </w:r>
      <w:r w:rsidR="00F779EA" w:rsidRPr="00EB3FAA">
        <w:rPr>
          <w:lang w:val="pt-BR"/>
        </w:rPr>
        <w:t>5,0 g d</w:t>
      </w:r>
      <w:r w:rsidR="00E24EAF" w:rsidRPr="00EB3FAA">
        <w:rPr>
          <w:lang w:val="pt-BR"/>
        </w:rPr>
        <w:t>o</w:t>
      </w:r>
      <w:r w:rsidR="00F779EA" w:rsidRPr="00EB3FAA">
        <w:rPr>
          <w:lang w:val="pt-BR"/>
        </w:rPr>
        <w:t xml:space="preserve"> resíduo de rocha</w:t>
      </w:r>
      <w:r w:rsidR="009D3191" w:rsidRPr="00EB3FAA">
        <w:rPr>
          <w:lang w:val="pt-BR"/>
        </w:rPr>
        <w:t xml:space="preserve"> </w:t>
      </w:r>
      <w:r w:rsidR="00F779EA" w:rsidRPr="00EB3FAA">
        <w:rPr>
          <w:lang w:val="pt-BR"/>
        </w:rPr>
        <w:t>ornamental (</w:t>
      </w:r>
      <w:r w:rsidR="00E24EAF" w:rsidRPr="00EB3FAA">
        <w:rPr>
          <w:lang w:val="pt-BR"/>
        </w:rPr>
        <w:t>RO</w:t>
      </w:r>
      <w:r w:rsidR="00F779EA" w:rsidRPr="00EB3FAA">
        <w:rPr>
          <w:lang w:val="pt-BR"/>
        </w:rPr>
        <w:t>)</w:t>
      </w:r>
      <w:r w:rsidR="00E24EAF" w:rsidRPr="00EB3FAA">
        <w:rPr>
          <w:lang w:val="pt-BR"/>
        </w:rPr>
        <w:t xml:space="preserve"> </w:t>
      </w:r>
      <w:r w:rsidR="009334BF" w:rsidRPr="00EB3FAA">
        <w:rPr>
          <w:lang w:val="pt-BR"/>
        </w:rPr>
        <w:t xml:space="preserve">sendo </w:t>
      </w:r>
      <w:r w:rsidR="00E24F2B" w:rsidRPr="00EB3FAA">
        <w:rPr>
          <w:lang w:val="pt-BR"/>
        </w:rPr>
        <w:t>aquecid</w:t>
      </w:r>
      <w:r w:rsidR="00E24EAF" w:rsidRPr="00EB3FAA">
        <w:rPr>
          <w:lang w:val="pt-BR"/>
        </w:rPr>
        <w:t>o</w:t>
      </w:r>
      <w:r w:rsidR="00A20F4E" w:rsidRPr="00EB3FAA">
        <w:rPr>
          <w:lang w:val="pt-BR"/>
        </w:rPr>
        <w:t>s</w:t>
      </w:r>
      <w:r w:rsidR="00E24F2B" w:rsidRPr="00EB3FAA">
        <w:rPr>
          <w:lang w:val="pt-BR"/>
        </w:rPr>
        <w:t xml:space="preserve"> a 800 °C por 3 h</w:t>
      </w:r>
      <w:r w:rsidR="00790926" w:rsidRPr="00EB3FAA">
        <w:rPr>
          <w:lang w:val="pt-BR"/>
        </w:rPr>
        <w:t>oras</w:t>
      </w:r>
      <w:r w:rsidR="00E24F2B" w:rsidRPr="00EB3FAA">
        <w:rPr>
          <w:lang w:val="pt-BR"/>
        </w:rPr>
        <w:t xml:space="preserve">. </w:t>
      </w:r>
      <w:r w:rsidR="0067201C" w:rsidRPr="00EB3FAA">
        <w:rPr>
          <w:lang w:val="pt-BR"/>
        </w:rPr>
        <w:t xml:space="preserve">Esses parâmetros de tratamento térmico foram utilizados </w:t>
      </w:r>
      <w:r w:rsidR="00A20F4E" w:rsidRPr="00EB3FAA">
        <w:rPr>
          <w:lang w:val="pt-BR"/>
        </w:rPr>
        <w:t>na preparação de</w:t>
      </w:r>
      <w:r w:rsidR="0067201C" w:rsidRPr="00EB3FAA">
        <w:rPr>
          <w:lang w:val="pt-BR"/>
        </w:rPr>
        <w:t xml:space="preserve"> todos </w:t>
      </w:r>
      <w:r w:rsidR="00E24F2B" w:rsidRPr="00EB3FAA">
        <w:rPr>
          <w:lang w:val="pt-BR"/>
        </w:rPr>
        <w:t>os</w:t>
      </w:r>
      <w:r w:rsidR="00947692" w:rsidRPr="00EB3FAA">
        <w:rPr>
          <w:lang w:val="pt-BR"/>
        </w:rPr>
        <w:t xml:space="preserve"> outros</w:t>
      </w:r>
      <w:r w:rsidR="00E24F2B" w:rsidRPr="00EB3FAA">
        <w:rPr>
          <w:lang w:val="pt-BR"/>
        </w:rPr>
        <w:t xml:space="preserve"> </w:t>
      </w:r>
      <w:r w:rsidR="0067201C" w:rsidRPr="00EB3FAA">
        <w:rPr>
          <w:lang w:val="pt-BR"/>
        </w:rPr>
        <w:t xml:space="preserve">catalisadores, sob </w:t>
      </w:r>
      <w:r w:rsidR="00E24F2B" w:rsidRPr="00EB3FAA">
        <w:rPr>
          <w:lang w:val="pt-BR"/>
        </w:rPr>
        <w:t>atmosfera inerte.</w:t>
      </w:r>
      <w:r w:rsidR="000D06CB" w:rsidRPr="00EB3FAA">
        <w:rPr>
          <w:lang w:val="pt-BR"/>
        </w:rPr>
        <w:t xml:space="preserve"> </w:t>
      </w:r>
      <w:r w:rsidR="00A20F4E" w:rsidRPr="00EB3FAA">
        <w:rPr>
          <w:lang w:val="pt-BR"/>
        </w:rPr>
        <w:t xml:space="preserve">A síntese </w:t>
      </w:r>
      <w:r w:rsidR="00E24F2B" w:rsidRPr="00EB3FAA">
        <w:rPr>
          <w:lang w:val="pt-BR"/>
        </w:rPr>
        <w:t xml:space="preserve">dos </w:t>
      </w:r>
      <w:r w:rsidR="00E24F2B" w:rsidRPr="00EB3FAA">
        <w:rPr>
          <w:lang w:val="pt-BR"/>
        </w:rPr>
        <w:lastRenderedPageBreak/>
        <w:t xml:space="preserve">catalisadores por coprecipitação originou dois tipos de </w:t>
      </w:r>
      <w:r w:rsidR="00366436" w:rsidRPr="00EB3FAA">
        <w:rPr>
          <w:lang w:val="pt-BR"/>
        </w:rPr>
        <w:t>catalisadores</w:t>
      </w:r>
      <w:r w:rsidR="00E24F2B" w:rsidRPr="00EB3FAA">
        <w:rPr>
          <w:lang w:val="pt-BR"/>
        </w:rPr>
        <w:t xml:space="preserve">, sem e com suporte de </w:t>
      </w:r>
      <w:r w:rsidR="00B9006C" w:rsidRPr="00EB3FAA">
        <w:rPr>
          <w:lang w:val="pt-BR"/>
        </w:rPr>
        <w:t xml:space="preserve">carvão </w:t>
      </w:r>
      <w:r w:rsidR="00366436" w:rsidRPr="00EB3FAA">
        <w:rPr>
          <w:lang w:val="pt-BR"/>
        </w:rPr>
        <w:t xml:space="preserve">da casca de coco </w:t>
      </w:r>
      <w:r w:rsidR="00B9006C" w:rsidRPr="00EB3FAA">
        <w:rPr>
          <w:lang w:val="pt-BR"/>
        </w:rPr>
        <w:t xml:space="preserve">ativado </w:t>
      </w:r>
      <w:r w:rsidR="00366436" w:rsidRPr="00EB3FAA">
        <w:rPr>
          <w:lang w:val="pt-BR"/>
        </w:rPr>
        <w:t xml:space="preserve">fisicamente </w:t>
      </w:r>
      <w:r w:rsidR="00B9006C" w:rsidRPr="00EB3FAA">
        <w:rPr>
          <w:lang w:val="pt-BR"/>
        </w:rPr>
        <w:t>(</w:t>
      </w:r>
      <w:r w:rsidR="00E24F2B" w:rsidRPr="00EB3FAA">
        <w:rPr>
          <w:lang w:val="pt-BR"/>
        </w:rPr>
        <w:t>CACO</w:t>
      </w:r>
      <w:r w:rsidR="00B9006C" w:rsidRPr="00EB3FAA">
        <w:rPr>
          <w:lang w:val="pt-BR"/>
        </w:rPr>
        <w:t>)</w:t>
      </w:r>
      <w:r w:rsidR="007948C8" w:rsidRPr="00EB3FAA">
        <w:rPr>
          <w:lang w:val="pt-BR"/>
        </w:rPr>
        <w:t>. P</w:t>
      </w:r>
      <w:r w:rsidR="00E24F2B" w:rsidRPr="00EB3FAA">
        <w:rPr>
          <w:lang w:val="pt-BR"/>
        </w:rPr>
        <w:t>ara i</w:t>
      </w:r>
      <w:r w:rsidRPr="00EB3FAA">
        <w:rPr>
          <w:lang w:val="pt-BR"/>
        </w:rPr>
        <w:t>ss</w:t>
      </w:r>
      <w:r w:rsidR="00E24F2B" w:rsidRPr="00EB3FAA">
        <w:rPr>
          <w:lang w:val="pt-BR"/>
        </w:rPr>
        <w:t>o, fo</w:t>
      </w:r>
      <w:r w:rsidR="00B9006C" w:rsidRPr="00EB3FAA">
        <w:rPr>
          <w:lang w:val="pt-BR"/>
        </w:rPr>
        <w:t>i</w:t>
      </w:r>
      <w:r w:rsidR="00E24F2B" w:rsidRPr="00EB3FAA">
        <w:rPr>
          <w:lang w:val="pt-BR"/>
        </w:rPr>
        <w:t xml:space="preserve"> considerado o trabalho desenvolvido por Faria et al. </w:t>
      </w:r>
      <w:r w:rsidR="00E24F2B" w:rsidRPr="00EB3FAA">
        <w:fldChar w:fldCharType="begin" w:fldLock="1"/>
      </w:r>
      <w:r w:rsidR="00801C59" w:rsidRPr="00EB3FAA">
        <w:rPr>
          <w:lang w:val="pt-BR"/>
        </w:rPr>
        <w:instrText>ADDIN CSL_CITATION {"citationItems":[{"id":"ITEM-1","itemData":{"DOI":"10.1016/j.matchemphys.2020.123173","ISSN":"02540584","abstract":"Different catalysts containing CaO particles dispersed in commercial activated carbon were prepared by wet impregnation followed by heat treatments. The catalytic efficiency of the prepared materials was investigated by evaluating their performance in biodiesel production by the transesterification reaction of soybean oil with methanol. The catalysts were prepared by three different routes; the first two routes involved the use of co-precipitation, with Ca(NO3)2·4H2O as the source of calcium and either NaOH (route 1) or NH4OH (route 2) as the precipitating agent, which were mixed with the activated carbon in aqueous suspension; in the third method (route 3), NaOH and CaO were directly mixed with the activated carbon in aqueous suspension. In all cases, the as-prepared materials were heat-treated at 800 °C for 3 h under argon flow. The best catalytic efficiency was achieved for the Na,Ca-based catalyst prepared by route 3, which was mainly composed of a mixture of CaO and Na2CO3 crystals dispersed in the porous carbon network. Catalytic recycling tests were also performed to evaluate the possibility of catalyst reuse, which revealed a drop in efficiency after 3 cycles; however the reused catalysts still showed significant activity, attributed to the permanence of Na+ ions within the porous carbon structure. Analysis of the Ca and Na contents in biodiesel samples synthesized in the three reaction cycles revealed low concentrations of metals; in the case of Ca, the concentration leached into the biodiesel after the 3rd cycle was 9 times lower than that of a biodiesel sample synthesized using pure CaO. The results obtained showed that the chosen methodology is a promising route for the development of heterogeneous carbon-supported Na,Ca-based catalysts with considerable surface area and good catalytic efficiency in the transesterification reaction for biodiesel production.","author":[{"dropping-particle":"","family":"Faria","given":"Diêgo Nunes","non-dropping-particle":"","parse-names":false,"suffix":""},{"dropping-particle":"","family":"Cipriano","given":"Daniel F.","non-dropping-particle":"","parse-names":false,"suffix":""},{"dropping-particle":"","family":"Schettino","given":"Miguel A.","non-dropping-particle":"","parse-names":false,"suffix":""},{"dropping-particle":"","family":"Neto","given":"Álvaro C.","non-dropping-particle":"","parse-names":false,"suffix":""},{"dropping-particle":"","family":"Cunha","given":"Alfredo G.","non-dropping-particle":"","parse-names":false,"suffix":""},{"dropping-particle":"","family":"Freitas","given":"Jair C.C.","non-dropping-particle":"","parse-names":false,"suffix":""}],"container-title":"Materials Chemistry and Physics","id":"ITEM-1","issue":"May","issued":{"date-parts":[["2020"]]},"title":"Na,Ca-based catalysts supported on activated carbon for synthesis of biodiesel from soybean oil","type":"article-journal","volume":"249"},"uris":["http://www.mendeley.com/documents/?uuid=8780d1eb-60de-489a-a78a-001b292eebff"]}],"mendeley":{"formattedCitation":"(4)","plainTextFormattedCitation":"(4)","previouslyFormattedCitation":"(6)"},"properties":{"noteIndex":0},"schema":"https://github.com/citation-style-language/schema/raw/master/csl-citation.json"}</w:instrText>
      </w:r>
      <w:r w:rsidR="00E24F2B" w:rsidRPr="00EB3FAA">
        <w:rPr>
          <w:lang w:val="pt-BR"/>
        </w:rPr>
        <w:fldChar w:fldCharType="separate"/>
      </w:r>
      <w:r w:rsidR="00801C59" w:rsidRPr="00EB3FAA">
        <w:rPr>
          <w:noProof/>
          <w:lang w:val="pt-BR"/>
        </w:rPr>
        <w:t>(4)</w:t>
      </w:r>
      <w:r w:rsidR="00E24F2B" w:rsidRPr="00EB3FAA">
        <w:rPr>
          <w:lang w:val="pt-BR"/>
        </w:rPr>
        <w:fldChar w:fldCharType="end"/>
      </w:r>
      <w:r w:rsidR="00E50BA3" w:rsidRPr="00EB3FAA">
        <w:rPr>
          <w:lang w:val="pt-BR"/>
        </w:rPr>
        <w:t>.</w:t>
      </w:r>
      <w:r w:rsidR="00E24F2B" w:rsidRPr="00EB3FAA">
        <w:rPr>
          <w:lang w:val="pt-BR"/>
        </w:rPr>
        <w:t xml:space="preserve"> </w:t>
      </w:r>
      <w:r w:rsidR="000E1F8D" w:rsidRPr="00EB3FAA">
        <w:rPr>
          <w:lang w:val="pt-BR"/>
        </w:rPr>
        <w:t xml:space="preserve">O </w:t>
      </w:r>
      <w:r w:rsidR="00E24F2B" w:rsidRPr="00EB3FAA">
        <w:rPr>
          <w:lang w:val="pt-BR"/>
        </w:rPr>
        <w:t xml:space="preserve">RO </w:t>
      </w:r>
      <w:r w:rsidR="009334BF" w:rsidRPr="00EB3FAA">
        <w:rPr>
          <w:lang w:val="pt-BR"/>
        </w:rPr>
        <w:t xml:space="preserve">(14,35 g) </w:t>
      </w:r>
      <w:r w:rsidR="000E1F8D" w:rsidRPr="00EB3FAA">
        <w:rPr>
          <w:lang w:val="pt-BR"/>
        </w:rPr>
        <w:t xml:space="preserve">foi </w:t>
      </w:r>
      <w:r w:rsidR="00E24F2B" w:rsidRPr="00EB3FAA">
        <w:rPr>
          <w:lang w:val="pt-BR"/>
        </w:rPr>
        <w:t>solubilizado adicionando HNO</w:t>
      </w:r>
      <w:r w:rsidR="00E24F2B" w:rsidRPr="00EB3FAA">
        <w:rPr>
          <w:vertAlign w:val="subscript"/>
          <w:lang w:val="pt-BR"/>
        </w:rPr>
        <w:t>3</w:t>
      </w:r>
      <w:r w:rsidR="00FE3885" w:rsidRPr="00EB3FAA">
        <w:rPr>
          <w:lang w:val="pt-BR"/>
        </w:rPr>
        <w:t xml:space="preserve"> (20 </w:t>
      </w:r>
      <w:proofErr w:type="spellStart"/>
      <w:r w:rsidR="00FE3885" w:rsidRPr="00EB3FAA">
        <w:rPr>
          <w:lang w:val="pt-BR"/>
        </w:rPr>
        <w:t>mL</w:t>
      </w:r>
      <w:proofErr w:type="spellEnd"/>
      <w:r w:rsidR="00FE3885" w:rsidRPr="00EB3FAA">
        <w:rPr>
          <w:lang w:val="pt-BR"/>
        </w:rPr>
        <w:t>)</w:t>
      </w:r>
      <w:r w:rsidR="00E50BA3" w:rsidRPr="00EB3FAA">
        <w:rPr>
          <w:lang w:val="pt-BR"/>
        </w:rPr>
        <w:t>, em seguida</w:t>
      </w:r>
      <w:r w:rsidR="00E24F2B" w:rsidRPr="00EB3FAA">
        <w:rPr>
          <w:lang w:val="pt-BR"/>
        </w:rPr>
        <w:t xml:space="preserve"> </w:t>
      </w:r>
      <w:r w:rsidRPr="00EB3FAA">
        <w:rPr>
          <w:lang w:val="pt-BR"/>
        </w:rPr>
        <w:t>foram adicionados</w:t>
      </w:r>
      <w:r w:rsidR="00E50BA3" w:rsidRPr="00EB3FAA">
        <w:rPr>
          <w:lang w:val="pt-BR"/>
        </w:rPr>
        <w:t xml:space="preserve"> </w:t>
      </w:r>
      <w:r w:rsidR="00E24F2B" w:rsidRPr="00EB3FAA">
        <w:rPr>
          <w:lang w:val="pt-BR"/>
        </w:rPr>
        <w:t xml:space="preserve">(gota a gota) 50 </w:t>
      </w:r>
      <w:proofErr w:type="spellStart"/>
      <w:r w:rsidR="00E24F2B" w:rsidRPr="00EB3FAA">
        <w:rPr>
          <w:lang w:val="pt-BR"/>
        </w:rPr>
        <w:t>mL</w:t>
      </w:r>
      <w:proofErr w:type="spellEnd"/>
      <w:r w:rsidR="00E24F2B" w:rsidRPr="00EB3FAA">
        <w:rPr>
          <w:lang w:val="pt-BR"/>
        </w:rPr>
        <w:t xml:space="preserve"> de uma solução de </w:t>
      </w:r>
      <w:proofErr w:type="spellStart"/>
      <w:r w:rsidR="00E24F2B" w:rsidRPr="00EB3FAA">
        <w:rPr>
          <w:lang w:val="pt-BR"/>
        </w:rPr>
        <w:t>NaOH</w:t>
      </w:r>
      <w:proofErr w:type="spellEnd"/>
      <w:r w:rsidR="00E24F2B" w:rsidRPr="00EB3FAA">
        <w:rPr>
          <w:lang w:val="pt-BR"/>
        </w:rPr>
        <w:t xml:space="preserve"> 4 M</w:t>
      </w:r>
      <w:r w:rsidRPr="00EB3FAA">
        <w:rPr>
          <w:lang w:val="pt-BR"/>
        </w:rPr>
        <w:t>;</w:t>
      </w:r>
      <w:r w:rsidR="00B9006C" w:rsidRPr="00EB3FAA">
        <w:rPr>
          <w:lang w:val="pt-BR"/>
        </w:rPr>
        <w:t xml:space="preserve"> e</w:t>
      </w:r>
      <w:r w:rsidR="00E24F2B" w:rsidRPr="00EB3FAA">
        <w:rPr>
          <w:lang w:val="pt-BR"/>
        </w:rPr>
        <w:t>s</w:t>
      </w:r>
      <w:r w:rsidR="0067201C" w:rsidRPr="00EB3FAA">
        <w:rPr>
          <w:lang w:val="pt-BR"/>
        </w:rPr>
        <w:t>te</w:t>
      </w:r>
      <w:r w:rsidR="00E24F2B" w:rsidRPr="00EB3FAA">
        <w:rPr>
          <w:lang w:val="pt-BR"/>
        </w:rPr>
        <w:t xml:space="preserve"> </w:t>
      </w:r>
      <w:r w:rsidR="0067201C" w:rsidRPr="00EB3FAA">
        <w:rPr>
          <w:lang w:val="pt-BR"/>
        </w:rPr>
        <w:t xml:space="preserve">catalisador </w:t>
      </w:r>
      <w:r w:rsidR="00E24F2B" w:rsidRPr="00EB3FAA">
        <w:rPr>
          <w:lang w:val="pt-BR"/>
        </w:rPr>
        <w:t>fo</w:t>
      </w:r>
      <w:r w:rsidR="000E1F8D" w:rsidRPr="00EB3FAA">
        <w:rPr>
          <w:lang w:val="pt-BR"/>
        </w:rPr>
        <w:t xml:space="preserve">i </w:t>
      </w:r>
      <w:r w:rsidR="00E24F2B" w:rsidRPr="00EB3FAA">
        <w:rPr>
          <w:lang w:val="pt-BR"/>
        </w:rPr>
        <w:t>nomead</w:t>
      </w:r>
      <w:r w:rsidR="0067201C" w:rsidRPr="00EB3FAA">
        <w:rPr>
          <w:lang w:val="pt-BR"/>
        </w:rPr>
        <w:t>o</w:t>
      </w:r>
      <w:r w:rsidR="00E24F2B" w:rsidRPr="00EB3FAA">
        <w:rPr>
          <w:lang w:val="pt-BR"/>
        </w:rPr>
        <w:t xml:space="preserve"> como RO_HNO3</w:t>
      </w:r>
      <w:r w:rsidR="000E1F8D" w:rsidRPr="00EB3FAA">
        <w:rPr>
          <w:lang w:val="pt-BR"/>
        </w:rPr>
        <w:t xml:space="preserve">. </w:t>
      </w:r>
      <w:r w:rsidR="00650EE4" w:rsidRPr="00EB3FAA">
        <w:rPr>
          <w:lang w:val="pt-BR"/>
        </w:rPr>
        <w:t>O outro catalisador obtido por coprecipitação, RO_HNO3_CACO,</w:t>
      </w:r>
      <w:r w:rsidR="00FE3885" w:rsidRPr="00EB3FAA">
        <w:rPr>
          <w:lang w:val="pt-BR"/>
        </w:rPr>
        <w:t xml:space="preserve"> </w:t>
      </w:r>
      <w:r w:rsidR="000E1F8D" w:rsidRPr="00EB3FAA">
        <w:rPr>
          <w:lang w:val="pt-BR"/>
        </w:rPr>
        <w:t>foi preparad</w:t>
      </w:r>
      <w:r w:rsidR="00650EE4" w:rsidRPr="00EB3FAA">
        <w:rPr>
          <w:lang w:val="pt-BR"/>
        </w:rPr>
        <w:t>o</w:t>
      </w:r>
      <w:r w:rsidR="000E1F8D" w:rsidRPr="00EB3FAA">
        <w:rPr>
          <w:lang w:val="pt-BR"/>
        </w:rPr>
        <w:t xml:space="preserve"> adicionando CACO (3,35</w:t>
      </w:r>
      <w:r w:rsidR="002E6A97" w:rsidRPr="00EB3FAA">
        <w:rPr>
          <w:lang w:val="pt-BR"/>
        </w:rPr>
        <w:t xml:space="preserve"> g) antes da adição do </w:t>
      </w:r>
      <w:proofErr w:type="spellStart"/>
      <w:r w:rsidR="002E6A97" w:rsidRPr="00EB3FAA">
        <w:rPr>
          <w:lang w:val="pt-BR"/>
        </w:rPr>
        <w:t>NaOH</w:t>
      </w:r>
      <w:proofErr w:type="spellEnd"/>
      <w:r w:rsidR="00E24F2B" w:rsidRPr="00EB3FAA">
        <w:rPr>
          <w:lang w:val="pt-BR"/>
        </w:rPr>
        <w:t>.</w:t>
      </w:r>
      <w:r w:rsidR="000D06CB" w:rsidRPr="00EB3FAA">
        <w:rPr>
          <w:lang w:val="pt-BR"/>
        </w:rPr>
        <w:t xml:space="preserve"> </w:t>
      </w:r>
      <w:r w:rsidR="00E24F2B" w:rsidRPr="00EB3FAA">
        <w:rPr>
          <w:lang w:val="pt-BR"/>
        </w:rPr>
        <w:t xml:space="preserve">As etapas para obtenção do catalisador sintetizado pelo método de </w:t>
      </w:r>
      <w:proofErr w:type="spellStart"/>
      <w:r w:rsidR="00E24F2B" w:rsidRPr="00EB3FAA">
        <w:rPr>
          <w:lang w:val="pt-BR"/>
        </w:rPr>
        <w:t>Pechini</w:t>
      </w:r>
      <w:proofErr w:type="spellEnd"/>
      <w:r w:rsidR="00E24F2B" w:rsidRPr="00EB3FAA">
        <w:rPr>
          <w:lang w:val="pt-BR"/>
        </w:rPr>
        <w:t xml:space="preserve"> seguiram os procedimentos </w:t>
      </w:r>
      <w:r w:rsidRPr="00EB3FAA">
        <w:rPr>
          <w:lang w:val="pt-BR"/>
        </w:rPr>
        <w:t xml:space="preserve">descritos </w:t>
      </w:r>
      <w:r w:rsidR="00E24F2B" w:rsidRPr="00EB3FAA">
        <w:rPr>
          <w:lang w:val="pt-BR"/>
        </w:rPr>
        <w:t>por Rincón-</w:t>
      </w:r>
      <w:proofErr w:type="spellStart"/>
      <w:r w:rsidR="00E24F2B" w:rsidRPr="00EB3FAA">
        <w:rPr>
          <w:lang w:val="pt-BR"/>
        </w:rPr>
        <w:t>Joya</w:t>
      </w:r>
      <w:proofErr w:type="spellEnd"/>
      <w:r w:rsidR="00E24F2B" w:rsidRPr="00EB3FAA">
        <w:rPr>
          <w:lang w:val="pt-BR"/>
        </w:rPr>
        <w:t xml:space="preserve"> et al. </w:t>
      </w:r>
      <w:r w:rsidR="00E24F2B" w:rsidRPr="00EB3FAA">
        <w:fldChar w:fldCharType="begin" w:fldLock="1"/>
      </w:r>
      <w:r w:rsidR="00801C59" w:rsidRPr="00EB3FAA">
        <w:rPr>
          <w:lang w:val="pt-BR"/>
        </w:rPr>
        <w:instrText>ADDIN CSL_CITATION {"citationItems":[{"id":"ITEM-1","itemData":{"ISSN":"1316-4821","author":[{"dropping-particle":"","family":"R-Joya","given":"Miryam","non-dropping-particle":"","parse-names":false,"suffix":""},{"dropping-particle":"","family":"Raba","given":"Angela","non-dropping-particle":"","parse-names":false,"suffix":""},{"dropping-particle":"","family":"Barba-Ortega","given":"José José","non-dropping-particle":"","parse-names":false,"suffix":""}],"container-title":"Universidad, Ciencia y Tecnología","id":"ITEM-1","issue":"81","issued":{"date-parts":[["2016"]]},"page":"188-192","title":"Synthesis of calcium oxide by means of two different chemical processes","type":"article-journal","volume":"20"},"uris":["http://www.mendeley.com/documents/?uuid=9e4b82d4-cb5d-4126-af73-b3b9a109aa42"]}],"mendeley":{"formattedCitation":"(5)","plainTextFormattedCitation":"(5)","previouslyFormattedCitation":"(7)"},"properties":{"noteIndex":0},"schema":"https://github.com/citation-style-language/schema/raw/master/csl-citation.json"}</w:instrText>
      </w:r>
      <w:r w:rsidR="00E24F2B" w:rsidRPr="00EB3FAA">
        <w:rPr>
          <w:lang w:val="pt-BR"/>
        </w:rPr>
        <w:fldChar w:fldCharType="separate"/>
      </w:r>
      <w:r w:rsidR="00801C59" w:rsidRPr="00EB3FAA">
        <w:rPr>
          <w:noProof/>
          <w:lang w:val="pt-BR"/>
        </w:rPr>
        <w:t>(5)</w:t>
      </w:r>
      <w:r w:rsidR="00E24F2B" w:rsidRPr="00EB3FAA">
        <w:rPr>
          <w:lang w:val="pt-BR"/>
        </w:rPr>
        <w:fldChar w:fldCharType="end"/>
      </w:r>
      <w:r w:rsidR="00E24F2B" w:rsidRPr="00EB3FAA">
        <w:rPr>
          <w:lang w:val="pt-BR"/>
        </w:rPr>
        <w:t>. Para isso</w:t>
      </w:r>
      <w:r w:rsidR="00A06585" w:rsidRPr="00EB3FAA">
        <w:rPr>
          <w:lang w:val="pt-BR"/>
        </w:rPr>
        <w:t xml:space="preserve">, </w:t>
      </w:r>
      <w:r w:rsidR="004A6CF9" w:rsidRPr="00EB3FAA">
        <w:rPr>
          <w:lang w:val="pt-BR"/>
        </w:rPr>
        <w:t xml:space="preserve">o </w:t>
      </w:r>
      <w:r w:rsidR="006F4868" w:rsidRPr="00EB3FAA">
        <w:rPr>
          <w:lang w:val="pt-BR"/>
        </w:rPr>
        <w:t>ácido cítrico</w:t>
      </w:r>
      <w:r w:rsidR="00FE3885" w:rsidRPr="00EB3FAA">
        <w:rPr>
          <w:lang w:val="pt-BR"/>
        </w:rPr>
        <w:t xml:space="preserve"> (48,21 g)</w:t>
      </w:r>
      <w:r w:rsidR="00E24F2B" w:rsidRPr="00EB3FAA">
        <w:rPr>
          <w:lang w:val="pt-BR"/>
        </w:rPr>
        <w:t xml:space="preserve"> fo</w:t>
      </w:r>
      <w:r w:rsidR="00A06585" w:rsidRPr="00EB3FAA">
        <w:rPr>
          <w:lang w:val="pt-BR"/>
        </w:rPr>
        <w:t>i</w:t>
      </w:r>
      <w:r w:rsidR="00E24F2B" w:rsidRPr="00EB3FAA">
        <w:rPr>
          <w:lang w:val="pt-BR"/>
        </w:rPr>
        <w:t xml:space="preserve"> adicionado a 100 </w:t>
      </w:r>
      <w:proofErr w:type="spellStart"/>
      <w:r w:rsidR="00E24F2B" w:rsidRPr="00EB3FAA">
        <w:rPr>
          <w:lang w:val="pt-BR"/>
        </w:rPr>
        <w:t>mL</w:t>
      </w:r>
      <w:proofErr w:type="spellEnd"/>
      <w:r w:rsidR="00E24F2B" w:rsidRPr="00EB3FAA">
        <w:rPr>
          <w:lang w:val="pt-BR"/>
        </w:rPr>
        <w:t xml:space="preserve"> de água destilada, que já se encontrava a 70 °C. A essa solução fo</w:t>
      </w:r>
      <w:r w:rsidR="00A06585" w:rsidRPr="00EB3FAA">
        <w:rPr>
          <w:lang w:val="pt-BR"/>
        </w:rPr>
        <w:t>i</w:t>
      </w:r>
      <w:r w:rsidR="00E24F2B" w:rsidRPr="00EB3FAA">
        <w:rPr>
          <w:lang w:val="pt-BR"/>
        </w:rPr>
        <w:t xml:space="preserve"> adicionado </w:t>
      </w:r>
      <w:r w:rsidR="00A06585" w:rsidRPr="00EB3FAA">
        <w:rPr>
          <w:lang w:val="pt-BR"/>
        </w:rPr>
        <w:t>o</w:t>
      </w:r>
      <w:r w:rsidR="00E24F2B" w:rsidRPr="00EB3FAA">
        <w:rPr>
          <w:lang w:val="pt-BR"/>
        </w:rPr>
        <w:t xml:space="preserve"> RO. Em seguida fo</w:t>
      </w:r>
      <w:r w:rsidR="00A06585" w:rsidRPr="00EB3FAA">
        <w:rPr>
          <w:lang w:val="pt-BR"/>
        </w:rPr>
        <w:t>i</w:t>
      </w:r>
      <w:r w:rsidR="00E24F2B" w:rsidRPr="00EB3FAA">
        <w:rPr>
          <w:lang w:val="pt-BR"/>
        </w:rPr>
        <w:t xml:space="preserve"> adicionado </w:t>
      </w:r>
      <w:proofErr w:type="spellStart"/>
      <w:r w:rsidR="006F4868" w:rsidRPr="00EB3FAA">
        <w:rPr>
          <w:rFonts w:ascii="Times New Roman" w:hAnsi="Times New Roman"/>
          <w:shd w:val="clear" w:color="auto" w:fill="FFFFFF"/>
        </w:rPr>
        <w:t>etilenoglicol</w:t>
      </w:r>
      <w:proofErr w:type="spellEnd"/>
      <w:r w:rsidR="00FE3885" w:rsidRPr="00EB3FAA">
        <w:rPr>
          <w:rFonts w:ascii="Times New Roman" w:hAnsi="Times New Roman"/>
          <w:shd w:val="clear" w:color="auto" w:fill="FFFFFF"/>
        </w:rPr>
        <w:t xml:space="preserve"> (10,67 g)</w:t>
      </w:r>
      <w:r w:rsidR="004A6CF9" w:rsidRPr="00EB3FAA">
        <w:rPr>
          <w:rFonts w:ascii="Times New Roman" w:hAnsi="Times New Roman"/>
          <w:shd w:val="clear" w:color="auto" w:fill="FFFFFF"/>
        </w:rPr>
        <w:t>,</w:t>
      </w:r>
      <w:r w:rsidR="00C77A37" w:rsidRPr="00EB3FAA">
        <w:rPr>
          <w:rFonts w:ascii="Times New Roman" w:hAnsi="Times New Roman"/>
          <w:shd w:val="clear" w:color="auto" w:fill="FFFFFF"/>
        </w:rPr>
        <w:t xml:space="preserve"> </w:t>
      </w:r>
      <w:proofErr w:type="spellStart"/>
      <w:r w:rsidR="00C77A37" w:rsidRPr="00EB3FAA">
        <w:rPr>
          <w:rFonts w:ascii="Times New Roman" w:hAnsi="Times New Roman"/>
          <w:shd w:val="clear" w:color="auto" w:fill="FFFFFF"/>
        </w:rPr>
        <w:t>sendo</w:t>
      </w:r>
      <w:proofErr w:type="spellEnd"/>
      <w:r w:rsidR="004A6CF9" w:rsidRPr="00EB3FAA">
        <w:rPr>
          <w:rFonts w:ascii="Times New Roman" w:hAnsi="Times New Roman"/>
          <w:shd w:val="clear" w:color="auto" w:fill="FFFFFF"/>
        </w:rPr>
        <w:t xml:space="preserve"> </w:t>
      </w:r>
      <w:r w:rsidR="00E24F2B" w:rsidRPr="00EB3FAA">
        <w:rPr>
          <w:lang w:val="pt-BR"/>
        </w:rPr>
        <w:t>a temperatura da solução aumentada para 90 °C e mantida por 1 hora.</w:t>
      </w:r>
      <w:r w:rsidR="007948C8" w:rsidRPr="00EB3FAA">
        <w:rPr>
          <w:lang w:val="pt-BR"/>
        </w:rPr>
        <w:t xml:space="preserve"> O material obtido foi</w:t>
      </w:r>
      <w:r w:rsidR="00E24F2B" w:rsidRPr="00EB3FAA">
        <w:rPr>
          <w:lang w:val="pt-BR"/>
        </w:rPr>
        <w:t xml:space="preserve"> seco em estufa durante a noite</w:t>
      </w:r>
      <w:r w:rsidR="00C77A37" w:rsidRPr="00EB3FAA">
        <w:rPr>
          <w:lang w:val="pt-BR"/>
        </w:rPr>
        <w:t xml:space="preserve"> e</w:t>
      </w:r>
      <w:r w:rsidR="00E24F2B" w:rsidRPr="00EB3FAA">
        <w:rPr>
          <w:lang w:val="pt-BR"/>
        </w:rPr>
        <w:t xml:space="preserve"> </w:t>
      </w:r>
      <w:proofErr w:type="spellStart"/>
      <w:r w:rsidR="00E24F2B" w:rsidRPr="00EB3FAA">
        <w:rPr>
          <w:lang w:val="pt-BR"/>
        </w:rPr>
        <w:t>pré</w:t>
      </w:r>
      <w:proofErr w:type="spellEnd"/>
      <w:r w:rsidR="00E24F2B" w:rsidRPr="00EB3FAA">
        <w:rPr>
          <w:lang w:val="pt-BR"/>
        </w:rPr>
        <w:t>-calcinado em mufla a 300 °C por 1 h</w:t>
      </w:r>
      <w:r w:rsidR="00790926" w:rsidRPr="00EB3FAA">
        <w:rPr>
          <w:lang w:val="pt-BR"/>
        </w:rPr>
        <w:t>ora</w:t>
      </w:r>
      <w:r w:rsidR="00C77A37" w:rsidRPr="00EB3FAA">
        <w:rPr>
          <w:lang w:val="pt-BR"/>
        </w:rPr>
        <w:t xml:space="preserve">; a amostra assim preparada </w:t>
      </w:r>
      <w:r w:rsidR="00E24F2B" w:rsidRPr="00EB3FAA">
        <w:rPr>
          <w:lang w:val="pt-BR"/>
        </w:rPr>
        <w:t>foi nomeada como RO_MP.</w:t>
      </w:r>
    </w:p>
    <w:p w14:paraId="73EB4BEB" w14:textId="1962EE47" w:rsidR="00947692" w:rsidRPr="00EB3FAA" w:rsidRDefault="0018523E" w:rsidP="00947692">
      <w:pPr>
        <w:pStyle w:val="TAMainText"/>
        <w:rPr>
          <w:rFonts w:ascii="Times New Roman" w:hAnsi="Times New Roman"/>
          <w:lang w:val="pt-BR"/>
        </w:rPr>
      </w:pPr>
      <w:r w:rsidRPr="00EB3FAA">
        <w:rPr>
          <w:rFonts w:ascii="Times New Roman" w:hAnsi="Times New Roman"/>
          <w:lang w:val="pt-BR"/>
        </w:rPr>
        <w:t xml:space="preserve">As condições das reações de transesterificação foram estabelecidas conforme o trabalho de Faria et. al </w:t>
      </w:r>
      <w:r w:rsidRPr="00EB3FAA">
        <w:fldChar w:fldCharType="begin" w:fldLock="1"/>
      </w:r>
      <w:r w:rsidR="00801C59" w:rsidRPr="00EB3FAA">
        <w:rPr>
          <w:rFonts w:ascii="Times New Roman" w:hAnsi="Times New Roman"/>
          <w:lang w:val="pt-BR"/>
        </w:rPr>
        <w:instrText>ADDIN CSL_CITATION {"citationItems":[{"id":"ITEM-1","itemData":{"DOI":"10.1016/j.matchemphys.2020.123173","ISSN":"02540584","abstract":"Different catalysts containing CaO particles dispersed in commercial activated carbon were prepared by wet impregnation followed by heat treatments. The catalytic efficiency of the prepared materials was investigated by evaluating their performance in biodiesel production by the transesterification reaction of soybean oil with methanol. The catalysts were prepared by three different routes; the first two routes involved the use of co-precipitation, with Ca(NO3)2·4H2O as the source of calcium and either NaOH (route 1) or NH4OH (route 2) as the precipitating agent, which were mixed with the activated carbon in aqueous suspension; in the third method (route 3), NaOH and CaO were directly mixed with the activated carbon in aqueous suspension. In all cases, the as-prepared materials were heat-treated at 800 °C for 3 h under argon flow. The best catalytic efficiency was achieved for the Na,Ca-based catalyst prepared by route 3, which was mainly composed of a mixture of CaO and Na2CO3 crystals dispersed in the porous carbon network. Catalytic recycling tests were also performed to evaluate the possibility of catalyst reuse, which revealed a drop in efficiency after 3 cycles; however the reused catalysts still showed significant activity, attributed to the permanence of Na+ ions within the porous carbon structure. Analysis of the Ca and Na contents in biodiesel samples synthesized in the three reaction cycles revealed low concentrations of metals; in the case of Ca, the concentration leached into the biodiesel after the 3rd cycle was 9 times lower than that of a biodiesel sample synthesized using pure CaO. The results obtained showed that the chosen methodology is a promising route for the development of heterogeneous carbon-supported Na,Ca-based catalysts with considerable surface area and good catalytic efficiency in the transesterification reaction for biodiesel production.","author":[{"dropping-particle":"","family":"Faria","given":"Diêgo Nunes","non-dropping-particle":"","parse-names":false,"suffix":""},{"dropping-particle":"","family":"Cipriano","given":"Daniel F.","non-dropping-particle":"","parse-names":false,"suffix":""},{"dropping-particle":"","family":"Schettino","given":"Miguel A.","non-dropping-particle":"","parse-names":false,"suffix":""},{"dropping-particle":"","family":"Neto","given":"Álvaro C.","non-dropping-particle":"","parse-names":false,"suffix":""},{"dropping-particle":"","family":"Cunha","given":"Alfredo G.","non-dropping-particle":"","parse-names":false,"suffix":""},{"dropping-particle":"","family":"Freitas","given":"Jair C.C.","non-dropping-particle":"","parse-names":false,"suffix":""}],"container-title":"Materials Chemistry and Physics","id":"ITEM-1","issue":"May","issued":{"date-parts":[["2020"]]},"title":"Na,Ca-based catalysts supported on activated carbon for synthesis of biodiesel from soybean oil","type":"article-journal","volume":"249"},"uris":["http://www.mendeley.com/documents/?uuid=8780d1eb-60de-489a-a78a-001b292eebff"]}],"mendeley":{"formattedCitation":"(4)","plainTextFormattedCitation":"(4)","previouslyFormattedCitation":"(6)"},"properties":{"noteIndex":0},"schema":"https://github.com/citation-style-language/schema/raw/master/csl-citation.json"}</w:instrText>
      </w:r>
      <w:r w:rsidRPr="00EB3FAA">
        <w:rPr>
          <w:rFonts w:ascii="Times New Roman" w:hAnsi="Times New Roman"/>
          <w:lang w:val="pt-BR"/>
        </w:rPr>
        <w:fldChar w:fldCharType="separate"/>
      </w:r>
      <w:r w:rsidR="00801C59" w:rsidRPr="00EB3FAA">
        <w:rPr>
          <w:rFonts w:ascii="Times New Roman" w:hAnsi="Times New Roman"/>
          <w:noProof/>
          <w:lang w:val="pt-BR"/>
        </w:rPr>
        <w:t>(4)</w:t>
      </w:r>
      <w:r w:rsidRPr="00EB3FAA">
        <w:rPr>
          <w:rFonts w:ascii="Times New Roman" w:hAnsi="Times New Roman"/>
          <w:lang w:val="pt-BR"/>
        </w:rPr>
        <w:fldChar w:fldCharType="end"/>
      </w:r>
      <w:r w:rsidRPr="00EB3FAA">
        <w:rPr>
          <w:rFonts w:ascii="Times New Roman" w:hAnsi="Times New Roman"/>
          <w:lang w:val="pt-BR"/>
        </w:rPr>
        <w:t>. Incialmente o catalisador foi misturado com o álcool por cerca de 30 minutos</w:t>
      </w:r>
      <w:r w:rsidR="00051859" w:rsidRPr="00EB3FAA">
        <w:rPr>
          <w:rFonts w:ascii="Times New Roman" w:hAnsi="Times New Roman"/>
          <w:lang w:val="pt-BR"/>
        </w:rPr>
        <w:t xml:space="preserve">. </w:t>
      </w:r>
      <w:r w:rsidRPr="00EB3FAA">
        <w:rPr>
          <w:rFonts w:ascii="Times New Roman" w:hAnsi="Times New Roman"/>
          <w:lang w:val="pt-BR"/>
        </w:rPr>
        <w:t xml:space="preserve">A relação em massa de </w:t>
      </w:r>
      <w:proofErr w:type="gramStart"/>
      <w:r w:rsidRPr="00EB3FAA">
        <w:rPr>
          <w:rFonts w:ascii="Times New Roman" w:hAnsi="Times New Roman"/>
          <w:lang w:val="pt-BR"/>
        </w:rPr>
        <w:t>metanol :</w:t>
      </w:r>
      <w:proofErr w:type="gramEnd"/>
      <w:r w:rsidRPr="00EB3FAA">
        <w:rPr>
          <w:rFonts w:ascii="Times New Roman" w:hAnsi="Times New Roman"/>
          <w:lang w:val="pt-BR"/>
        </w:rPr>
        <w:t xml:space="preserve"> óleo de soja foi de 0,5:1 e foi utilizada uma massa de catalisador correspondendo a 3 % em relação à massa de óleo. Subsequentemente, o sistema permaneceu aquecido a 60 ºC sob</w:t>
      </w:r>
      <w:r w:rsidR="00C8341B" w:rsidRPr="00EB3FAA">
        <w:rPr>
          <w:rFonts w:ascii="Times New Roman" w:hAnsi="Times New Roman"/>
          <w:lang w:val="pt-BR"/>
        </w:rPr>
        <w:t xml:space="preserve"> refluxo e</w:t>
      </w:r>
      <w:r w:rsidRPr="00EB3FAA">
        <w:rPr>
          <w:rFonts w:ascii="Times New Roman" w:hAnsi="Times New Roman"/>
          <w:lang w:val="pt-BR"/>
        </w:rPr>
        <w:t xml:space="preserve"> agitação magnética por 3 h</w:t>
      </w:r>
      <w:r w:rsidR="00790926" w:rsidRPr="00EB3FAA">
        <w:rPr>
          <w:rFonts w:ascii="Times New Roman" w:hAnsi="Times New Roman"/>
          <w:lang w:val="pt-BR"/>
        </w:rPr>
        <w:t>oras</w:t>
      </w:r>
      <w:r w:rsidRPr="00EB3FAA">
        <w:rPr>
          <w:rFonts w:ascii="Times New Roman" w:hAnsi="Times New Roman"/>
          <w:lang w:val="pt-BR"/>
        </w:rPr>
        <w:t>.</w:t>
      </w:r>
    </w:p>
    <w:p w14:paraId="24CC7706" w14:textId="49A493A1" w:rsidR="00484719" w:rsidRPr="00EB3FAA" w:rsidRDefault="00433450" w:rsidP="00947692">
      <w:pPr>
        <w:pStyle w:val="TAMainText"/>
        <w:rPr>
          <w:rFonts w:ascii="Helvetica" w:hAnsi="Helvetica" w:cs="Helvetica"/>
          <w:sz w:val="24"/>
          <w:szCs w:val="24"/>
        </w:rPr>
      </w:pPr>
      <w:r w:rsidRPr="00EB3FAA">
        <w:rPr>
          <w:rFonts w:ascii="Times New Roman" w:hAnsi="Times New Roman"/>
          <w:lang w:val="pt-BR"/>
        </w:rPr>
        <w:t>Ensaios de difração de raios X (DRX) foram realizados</w:t>
      </w:r>
      <w:r w:rsidR="00C77A37" w:rsidRPr="00EB3FAA">
        <w:rPr>
          <w:rFonts w:ascii="Times New Roman" w:hAnsi="Times New Roman"/>
          <w:lang w:val="pt-BR"/>
        </w:rPr>
        <w:t xml:space="preserve"> com radiação Cu-Kα (λ=1,5418 Å</w:t>
      </w:r>
      <w:proofErr w:type="gramStart"/>
      <w:r w:rsidR="00C77A37" w:rsidRPr="00EB3FAA">
        <w:rPr>
          <w:rFonts w:ascii="Times New Roman" w:hAnsi="Times New Roman"/>
          <w:lang w:val="pt-BR"/>
        </w:rPr>
        <w:t xml:space="preserve">), </w:t>
      </w:r>
      <w:r w:rsidRPr="00EB3FAA">
        <w:rPr>
          <w:rFonts w:ascii="Times New Roman" w:hAnsi="Times New Roman"/>
          <w:lang w:val="pt-BR"/>
        </w:rPr>
        <w:t xml:space="preserve"> para</w:t>
      </w:r>
      <w:proofErr w:type="gramEnd"/>
      <w:r w:rsidRPr="00EB3FAA">
        <w:rPr>
          <w:rFonts w:ascii="Times New Roman" w:hAnsi="Times New Roman"/>
          <w:lang w:val="pt-BR"/>
        </w:rPr>
        <w:t xml:space="preserve"> identificar as fases presentes no RO e nos </w:t>
      </w:r>
      <w:r w:rsidR="007948C8" w:rsidRPr="00EB3FAA">
        <w:rPr>
          <w:rFonts w:ascii="Times New Roman" w:hAnsi="Times New Roman"/>
          <w:lang w:val="pt-BR"/>
        </w:rPr>
        <w:t xml:space="preserve">potenciais catalisadores </w:t>
      </w:r>
      <w:r w:rsidRPr="00EB3FAA">
        <w:rPr>
          <w:rFonts w:ascii="Times New Roman" w:hAnsi="Times New Roman"/>
          <w:lang w:val="pt-BR"/>
        </w:rPr>
        <w:t xml:space="preserve">obtidos por diversas rotas de síntese. </w:t>
      </w:r>
      <w:r w:rsidR="00C77A37" w:rsidRPr="00EB3FAA">
        <w:rPr>
          <w:rFonts w:ascii="Times New Roman" w:hAnsi="Times New Roman"/>
          <w:lang w:val="pt-BR"/>
        </w:rPr>
        <w:t xml:space="preserve">Espectros </w:t>
      </w:r>
      <w:r w:rsidRPr="00EB3FAA">
        <w:rPr>
          <w:rFonts w:ascii="Times New Roman" w:hAnsi="Times New Roman"/>
          <w:lang w:val="pt-BR"/>
        </w:rPr>
        <w:t xml:space="preserve">de ressonância magnética nuclear (RMN) de </w:t>
      </w:r>
      <w:r w:rsidRPr="00EB3FAA">
        <w:rPr>
          <w:rFonts w:ascii="Times New Roman" w:hAnsi="Times New Roman"/>
          <w:vertAlign w:val="superscript"/>
          <w:lang w:val="pt-BR"/>
        </w:rPr>
        <w:t>1</w:t>
      </w:r>
      <w:r w:rsidRPr="00EB3FAA">
        <w:rPr>
          <w:rFonts w:ascii="Times New Roman" w:hAnsi="Times New Roman"/>
          <w:lang w:val="pt-BR"/>
        </w:rPr>
        <w:t>H em solução</w:t>
      </w:r>
      <w:r w:rsidR="0016699B" w:rsidRPr="00EB3FAA">
        <w:rPr>
          <w:rFonts w:ascii="Times New Roman" w:hAnsi="Times New Roman"/>
          <w:lang w:val="pt-BR"/>
        </w:rPr>
        <w:t xml:space="preserve"> de clorofórmio </w:t>
      </w:r>
      <w:proofErr w:type="spellStart"/>
      <w:r w:rsidR="0016699B" w:rsidRPr="00EB3FAA">
        <w:rPr>
          <w:rFonts w:ascii="Times New Roman" w:hAnsi="Times New Roman"/>
          <w:lang w:val="pt-BR"/>
        </w:rPr>
        <w:t>deuterado</w:t>
      </w:r>
      <w:proofErr w:type="spellEnd"/>
      <w:r w:rsidRPr="00EB3FAA">
        <w:rPr>
          <w:rFonts w:ascii="Times New Roman" w:hAnsi="Times New Roman"/>
          <w:lang w:val="pt-BR"/>
        </w:rPr>
        <w:t xml:space="preserve"> </w:t>
      </w:r>
      <w:r w:rsidR="00C77A37" w:rsidRPr="00EB3FAA">
        <w:rPr>
          <w:rFonts w:ascii="Times New Roman" w:hAnsi="Times New Roman"/>
          <w:lang w:val="pt-BR"/>
        </w:rPr>
        <w:t xml:space="preserve">foram registrados em 400 MHz </w:t>
      </w:r>
      <w:r w:rsidRPr="00EB3FAA">
        <w:rPr>
          <w:rFonts w:ascii="Times New Roman" w:hAnsi="Times New Roman"/>
          <w:lang w:val="pt-BR"/>
        </w:rPr>
        <w:t xml:space="preserve">para identificar e quantificar o biodiesel sintetizado. </w:t>
      </w:r>
    </w:p>
    <w:p w14:paraId="52FEF65F" w14:textId="77777777" w:rsidR="00484719" w:rsidRPr="00EB3FAA" w:rsidRDefault="0018523E">
      <w:pPr>
        <w:pStyle w:val="Ttulo2"/>
        <w:rPr>
          <w:rFonts w:ascii="Helvetica" w:hAnsi="Helvetica" w:cs="Helvetica"/>
          <w:sz w:val="24"/>
          <w:szCs w:val="24"/>
        </w:rPr>
      </w:pPr>
      <w:r w:rsidRPr="00EB3FAA">
        <w:rPr>
          <w:rFonts w:ascii="Helvetica" w:hAnsi="Helvetica" w:cs="Helvetica"/>
          <w:sz w:val="24"/>
          <w:szCs w:val="24"/>
        </w:rPr>
        <w:t>Resultados e Discussão</w:t>
      </w:r>
    </w:p>
    <w:p w14:paraId="6C07AF93" w14:textId="6483B27F" w:rsidR="003A42BA" w:rsidRPr="00EB3FAA" w:rsidRDefault="000817C0" w:rsidP="0016699B">
      <w:pPr>
        <w:pStyle w:val="TAMainText"/>
        <w:ind w:firstLine="187"/>
        <w:rPr>
          <w:lang w:val="pt-BR"/>
        </w:rPr>
      </w:pPr>
      <w:r w:rsidRPr="00EB3FAA">
        <w:rPr>
          <w:rFonts w:ascii="Times New Roman" w:hAnsi="Times New Roman"/>
          <w:lang w:val="pt-BR"/>
        </w:rPr>
        <w:t>O</w:t>
      </w:r>
      <w:r w:rsidR="00621AAC" w:rsidRPr="00EB3FAA">
        <w:rPr>
          <w:rFonts w:ascii="Times New Roman" w:hAnsi="Times New Roman"/>
          <w:lang w:val="pt-BR"/>
        </w:rPr>
        <w:t>s</w:t>
      </w:r>
      <w:r w:rsidRPr="00EB3FAA">
        <w:rPr>
          <w:rFonts w:ascii="Times New Roman" w:hAnsi="Times New Roman"/>
          <w:lang w:val="pt-BR"/>
        </w:rPr>
        <w:t xml:space="preserve"> </w:t>
      </w:r>
      <w:r w:rsidR="0091057A" w:rsidRPr="00EB3FAA">
        <w:rPr>
          <w:rFonts w:ascii="Times New Roman" w:hAnsi="Times New Roman"/>
          <w:lang w:val="pt-BR"/>
        </w:rPr>
        <w:t>t</w:t>
      </w:r>
      <w:r w:rsidRPr="00EB3FAA">
        <w:rPr>
          <w:rFonts w:ascii="Times New Roman" w:hAnsi="Times New Roman"/>
          <w:lang w:val="pt-BR"/>
        </w:rPr>
        <w:t>eor</w:t>
      </w:r>
      <w:r w:rsidR="00621AAC" w:rsidRPr="00EB3FAA">
        <w:rPr>
          <w:rFonts w:ascii="Times New Roman" w:hAnsi="Times New Roman"/>
          <w:lang w:val="pt-BR"/>
        </w:rPr>
        <w:t>es</w:t>
      </w:r>
      <w:r w:rsidRPr="00EB3FAA">
        <w:rPr>
          <w:rFonts w:ascii="Times New Roman" w:hAnsi="Times New Roman"/>
          <w:lang w:val="pt-BR"/>
        </w:rPr>
        <w:t xml:space="preserve"> de cálcio (22,6 %</w:t>
      </w:r>
      <w:r w:rsidR="00CC233D" w:rsidRPr="00EB3FAA">
        <w:rPr>
          <w:rFonts w:ascii="Times New Roman" w:hAnsi="Times New Roman"/>
          <w:lang w:val="pt-BR"/>
        </w:rPr>
        <w:t xml:space="preserve"> m/m</w:t>
      </w:r>
      <w:r w:rsidRPr="00EB3FAA">
        <w:rPr>
          <w:rFonts w:ascii="Times New Roman" w:hAnsi="Times New Roman"/>
          <w:lang w:val="pt-BR"/>
        </w:rPr>
        <w:t>) e de magnésio (9,0 %</w:t>
      </w:r>
      <w:r w:rsidR="00CC233D" w:rsidRPr="00EB3FAA">
        <w:rPr>
          <w:rFonts w:ascii="Times New Roman" w:hAnsi="Times New Roman"/>
          <w:lang w:val="pt-BR"/>
        </w:rPr>
        <w:t xml:space="preserve"> m/m</w:t>
      </w:r>
      <w:r w:rsidRPr="00EB3FAA">
        <w:rPr>
          <w:rFonts w:ascii="Times New Roman" w:hAnsi="Times New Roman"/>
          <w:lang w:val="pt-BR"/>
        </w:rPr>
        <w:t xml:space="preserve">) foram obtidos </w:t>
      </w:r>
      <w:r w:rsidR="007F16D0" w:rsidRPr="00EB3FAA">
        <w:rPr>
          <w:rFonts w:ascii="Times New Roman" w:hAnsi="Times New Roman"/>
          <w:lang w:val="pt-BR"/>
        </w:rPr>
        <w:t xml:space="preserve">por titulação </w:t>
      </w:r>
      <w:proofErr w:type="spellStart"/>
      <w:r w:rsidR="007F16D0" w:rsidRPr="00EB3FAA">
        <w:rPr>
          <w:rFonts w:ascii="Times New Roman" w:hAnsi="Times New Roman"/>
          <w:lang w:val="pt-BR"/>
        </w:rPr>
        <w:t>complexom</w:t>
      </w:r>
      <w:r w:rsidR="003A42BA" w:rsidRPr="00EB3FAA">
        <w:rPr>
          <w:rFonts w:ascii="Times New Roman" w:hAnsi="Times New Roman"/>
          <w:lang w:val="pt-BR"/>
        </w:rPr>
        <w:t>é</w:t>
      </w:r>
      <w:r w:rsidR="007F16D0" w:rsidRPr="00EB3FAA">
        <w:rPr>
          <w:rFonts w:ascii="Times New Roman" w:hAnsi="Times New Roman"/>
          <w:lang w:val="pt-BR"/>
        </w:rPr>
        <w:t>trica</w:t>
      </w:r>
      <w:proofErr w:type="spellEnd"/>
      <w:r w:rsidR="007F16D0" w:rsidRPr="00EB3FAA">
        <w:rPr>
          <w:rFonts w:ascii="Times New Roman" w:hAnsi="Times New Roman"/>
          <w:lang w:val="pt-BR"/>
        </w:rPr>
        <w:t xml:space="preserve"> com</w:t>
      </w:r>
      <w:r w:rsidR="003A42BA" w:rsidRPr="00EB3FAA">
        <w:rPr>
          <w:rFonts w:ascii="Times New Roman" w:hAnsi="Times New Roman"/>
          <w:lang w:val="pt-BR"/>
        </w:rPr>
        <w:t xml:space="preserve"> ácido </w:t>
      </w:r>
      <w:proofErr w:type="spellStart"/>
      <w:r w:rsidR="003A42BA" w:rsidRPr="00EB3FAA">
        <w:rPr>
          <w:rFonts w:ascii="Times New Roman" w:hAnsi="Times New Roman"/>
          <w:lang w:val="pt-BR"/>
        </w:rPr>
        <w:t>etilenodiaminotetraacético</w:t>
      </w:r>
      <w:proofErr w:type="spellEnd"/>
      <w:r w:rsidR="007F16D0" w:rsidRPr="00EB3FAA">
        <w:rPr>
          <w:rFonts w:ascii="Times New Roman" w:hAnsi="Times New Roman"/>
          <w:lang w:val="pt-BR"/>
        </w:rPr>
        <w:t xml:space="preserve"> </w:t>
      </w:r>
      <w:r w:rsidR="003A42BA" w:rsidRPr="00EB3FAA">
        <w:rPr>
          <w:rFonts w:ascii="Times New Roman" w:hAnsi="Times New Roman"/>
          <w:lang w:val="pt-BR"/>
        </w:rPr>
        <w:t>(</w:t>
      </w:r>
      <w:r w:rsidR="007F16D0" w:rsidRPr="00EB3FAA">
        <w:rPr>
          <w:rFonts w:ascii="Times New Roman" w:hAnsi="Times New Roman"/>
          <w:lang w:val="pt-BR"/>
        </w:rPr>
        <w:t>EDTA</w:t>
      </w:r>
      <w:r w:rsidR="003A42BA" w:rsidRPr="00EB3FAA">
        <w:rPr>
          <w:rFonts w:ascii="Times New Roman" w:hAnsi="Times New Roman"/>
          <w:lang w:val="pt-BR"/>
        </w:rPr>
        <w:t>)</w:t>
      </w:r>
      <w:r w:rsidR="0016699B" w:rsidRPr="00EB3FAA">
        <w:rPr>
          <w:rFonts w:ascii="Times New Roman" w:hAnsi="Times New Roman"/>
          <w:lang w:val="pt-BR"/>
        </w:rPr>
        <w:t xml:space="preserve">; as </w:t>
      </w:r>
      <w:r w:rsidR="007F16D0" w:rsidRPr="00EB3FAA">
        <w:rPr>
          <w:rFonts w:ascii="Times New Roman" w:hAnsi="Times New Roman"/>
          <w:lang w:val="pt-BR"/>
        </w:rPr>
        <w:t xml:space="preserve">fases </w:t>
      </w:r>
      <w:r w:rsidR="00621AAC" w:rsidRPr="00EB3FAA">
        <w:rPr>
          <w:rFonts w:ascii="Times New Roman" w:hAnsi="Times New Roman"/>
          <w:lang w:val="pt-BR"/>
        </w:rPr>
        <w:t>majoritárias identificadas</w:t>
      </w:r>
      <w:r w:rsidR="0016699B" w:rsidRPr="00EB3FAA">
        <w:rPr>
          <w:rFonts w:ascii="Times New Roman" w:hAnsi="Times New Roman"/>
          <w:lang w:val="pt-BR"/>
        </w:rPr>
        <w:t xml:space="preserve"> por DRX foram </w:t>
      </w:r>
      <w:proofErr w:type="spellStart"/>
      <w:r w:rsidR="007F16D0" w:rsidRPr="00EB3FAA">
        <w:rPr>
          <w:rFonts w:ascii="Times New Roman" w:hAnsi="Times New Roman"/>
          <w:lang w:val="pt-BR"/>
        </w:rPr>
        <w:t>CaMg</w:t>
      </w:r>
      <w:proofErr w:type="spellEnd"/>
      <w:r w:rsidR="007F16D0" w:rsidRPr="00EB3FAA">
        <w:rPr>
          <w:rFonts w:ascii="Times New Roman" w:hAnsi="Times New Roman"/>
          <w:lang w:val="pt-BR"/>
        </w:rPr>
        <w:t>(CO</w:t>
      </w:r>
      <w:r w:rsidR="007F16D0" w:rsidRPr="00EB3FAA">
        <w:rPr>
          <w:rFonts w:ascii="Times New Roman" w:hAnsi="Times New Roman"/>
          <w:vertAlign w:val="subscript"/>
          <w:lang w:val="pt-BR"/>
        </w:rPr>
        <w:t>3</w:t>
      </w:r>
      <w:r w:rsidR="007F16D0" w:rsidRPr="00EB3FAA">
        <w:rPr>
          <w:rFonts w:ascii="Times New Roman" w:hAnsi="Times New Roman"/>
          <w:lang w:val="pt-BR"/>
        </w:rPr>
        <w:t>)</w:t>
      </w:r>
      <w:r w:rsidR="007F16D0" w:rsidRPr="00EB3FAA">
        <w:rPr>
          <w:rFonts w:ascii="Times New Roman" w:hAnsi="Times New Roman"/>
          <w:vertAlign w:val="subscript"/>
          <w:lang w:val="pt-BR"/>
        </w:rPr>
        <w:t>2</w:t>
      </w:r>
      <w:r w:rsidR="007F16D0" w:rsidRPr="00EB3FAA">
        <w:rPr>
          <w:rFonts w:ascii="Times New Roman" w:hAnsi="Times New Roman"/>
          <w:lang w:val="pt-BR"/>
        </w:rPr>
        <w:t xml:space="preserve"> </w:t>
      </w:r>
      <w:r w:rsidR="0016699B" w:rsidRPr="00EB3FAA">
        <w:rPr>
          <w:rFonts w:ascii="Times New Roman" w:hAnsi="Times New Roman"/>
          <w:lang w:val="pt-BR"/>
        </w:rPr>
        <w:t xml:space="preserve"> (dolomita) </w:t>
      </w:r>
      <w:r w:rsidR="007F16D0" w:rsidRPr="00EB3FAA">
        <w:rPr>
          <w:rFonts w:ascii="Times New Roman" w:hAnsi="Times New Roman"/>
          <w:lang w:val="pt-BR"/>
        </w:rPr>
        <w:t>e CaCO</w:t>
      </w:r>
      <w:r w:rsidR="007F16D0" w:rsidRPr="00EB3FAA">
        <w:rPr>
          <w:rFonts w:ascii="Times New Roman" w:hAnsi="Times New Roman"/>
          <w:vertAlign w:val="subscript"/>
          <w:lang w:val="pt-BR"/>
        </w:rPr>
        <w:t>3</w:t>
      </w:r>
      <w:r w:rsidR="0016699B" w:rsidRPr="00EB3FAA">
        <w:rPr>
          <w:rFonts w:ascii="Times New Roman" w:hAnsi="Times New Roman"/>
          <w:lang w:val="pt-BR"/>
        </w:rPr>
        <w:t xml:space="preserve"> (calcita),</w:t>
      </w:r>
      <w:r w:rsidR="007F16D0" w:rsidRPr="00EB3FAA">
        <w:rPr>
          <w:rFonts w:ascii="Times New Roman" w:hAnsi="Times New Roman"/>
          <w:lang w:val="pt-BR"/>
        </w:rPr>
        <w:t xml:space="preserve"> conforme pode ser observad</w:t>
      </w:r>
      <w:r w:rsidR="00621AAC" w:rsidRPr="00EB3FAA">
        <w:rPr>
          <w:rFonts w:ascii="Times New Roman" w:hAnsi="Times New Roman"/>
          <w:lang w:val="pt-BR"/>
        </w:rPr>
        <w:t>o</w:t>
      </w:r>
      <w:r w:rsidR="007F16D0" w:rsidRPr="00EB3FAA">
        <w:rPr>
          <w:rFonts w:ascii="Times New Roman" w:hAnsi="Times New Roman"/>
          <w:lang w:val="pt-BR"/>
        </w:rPr>
        <w:t xml:space="preserve"> na Fig. 1</w:t>
      </w:r>
      <w:r w:rsidR="00621AAC" w:rsidRPr="00EB3FAA">
        <w:rPr>
          <w:rFonts w:ascii="Times New Roman" w:hAnsi="Times New Roman"/>
          <w:lang w:val="pt-BR"/>
        </w:rPr>
        <w:t>.</w:t>
      </w:r>
      <w:r w:rsidR="0016699B" w:rsidRPr="00EB3FAA">
        <w:rPr>
          <w:rFonts w:ascii="Times New Roman" w:hAnsi="Times New Roman"/>
          <w:lang w:val="pt-BR"/>
        </w:rPr>
        <w:t xml:space="preserve"> Na mesma figura </w:t>
      </w:r>
      <w:r w:rsidR="00490E5E" w:rsidRPr="00EB3FAA">
        <w:rPr>
          <w:rFonts w:ascii="Times New Roman" w:hAnsi="Times New Roman"/>
          <w:lang w:val="pt-BR"/>
        </w:rPr>
        <w:t xml:space="preserve">é possível observar ainda que as fases </w:t>
      </w:r>
      <w:proofErr w:type="spellStart"/>
      <w:r w:rsidR="00490E5E" w:rsidRPr="00EB3FAA">
        <w:rPr>
          <w:rFonts w:ascii="Times New Roman" w:hAnsi="Times New Roman"/>
          <w:lang w:val="pt-BR"/>
        </w:rPr>
        <w:t>CaO</w:t>
      </w:r>
      <w:proofErr w:type="spellEnd"/>
      <w:r w:rsidR="00490E5E" w:rsidRPr="00EB3FAA">
        <w:rPr>
          <w:rFonts w:ascii="Times New Roman" w:hAnsi="Times New Roman"/>
          <w:lang w:val="pt-BR"/>
        </w:rPr>
        <w:t xml:space="preserve"> e </w:t>
      </w:r>
      <w:proofErr w:type="spellStart"/>
      <w:r w:rsidR="00490E5E" w:rsidRPr="00EB3FAA">
        <w:rPr>
          <w:rFonts w:ascii="Times New Roman" w:hAnsi="Times New Roman"/>
          <w:lang w:val="pt-BR"/>
        </w:rPr>
        <w:t>MgO</w:t>
      </w:r>
      <w:proofErr w:type="spellEnd"/>
      <w:r w:rsidR="00490E5E" w:rsidRPr="00EB3FAA">
        <w:rPr>
          <w:rFonts w:ascii="Times New Roman" w:hAnsi="Times New Roman"/>
          <w:lang w:val="pt-BR"/>
        </w:rPr>
        <w:t xml:space="preserve"> foram identificadas em todos os catalisadores</w:t>
      </w:r>
      <w:r w:rsidR="0016699B" w:rsidRPr="00EB3FAA">
        <w:rPr>
          <w:rFonts w:ascii="Times New Roman" w:hAnsi="Times New Roman"/>
          <w:lang w:val="pt-BR"/>
        </w:rPr>
        <w:t xml:space="preserve"> preparados</w:t>
      </w:r>
      <w:r w:rsidR="00D5429A" w:rsidRPr="00EB3FAA">
        <w:rPr>
          <w:rFonts w:ascii="Times New Roman" w:hAnsi="Times New Roman"/>
          <w:lang w:val="pt-BR"/>
        </w:rPr>
        <w:t>.</w:t>
      </w:r>
      <w:r w:rsidR="003D0A14" w:rsidRPr="00EB3FAA">
        <w:rPr>
          <w:rFonts w:ascii="Times New Roman" w:hAnsi="Times New Roman"/>
          <w:lang w:val="pt-BR"/>
        </w:rPr>
        <w:t xml:space="preserve"> </w:t>
      </w:r>
      <w:r w:rsidR="003A42BA" w:rsidRPr="00EB3FAA">
        <w:rPr>
          <w:lang w:val="pt-BR"/>
        </w:rPr>
        <w:t xml:space="preserve">As conversões obtidas por </w:t>
      </w:r>
      <w:r w:rsidR="0016699B" w:rsidRPr="00EB3FAA">
        <w:rPr>
          <w:lang w:val="pt-BR"/>
        </w:rPr>
        <w:t xml:space="preserve">RMN </w:t>
      </w:r>
      <w:r w:rsidR="0039678B" w:rsidRPr="00EB3FAA">
        <w:rPr>
          <w:lang w:val="pt-BR"/>
        </w:rPr>
        <w:t xml:space="preserve">de </w:t>
      </w:r>
      <w:r w:rsidR="0039678B" w:rsidRPr="00EB3FAA">
        <w:rPr>
          <w:vertAlign w:val="superscript"/>
          <w:lang w:val="pt-BR"/>
        </w:rPr>
        <w:t>1</w:t>
      </w:r>
      <w:r w:rsidR="0039678B" w:rsidRPr="00EB3FAA">
        <w:rPr>
          <w:lang w:val="pt-BR"/>
        </w:rPr>
        <w:t>H em solução (C</w:t>
      </w:r>
      <w:r w:rsidR="0039678B" w:rsidRPr="00EB3FAA">
        <w:rPr>
          <w:vertAlign w:val="subscript"/>
          <w:lang w:val="pt-BR"/>
        </w:rPr>
        <w:t>RMN</w:t>
      </w:r>
      <w:r w:rsidR="0039678B" w:rsidRPr="00EB3FAA">
        <w:rPr>
          <w:lang w:val="pt-BR"/>
        </w:rPr>
        <w:t>)</w:t>
      </w:r>
      <w:r w:rsidR="003A42BA" w:rsidRPr="00EB3FAA">
        <w:rPr>
          <w:lang w:val="pt-BR"/>
        </w:rPr>
        <w:t xml:space="preserve"> </w:t>
      </w:r>
      <w:r w:rsidR="0016699B" w:rsidRPr="00EB3FAA">
        <w:rPr>
          <w:lang w:val="pt-BR"/>
        </w:rPr>
        <w:t xml:space="preserve">são </w:t>
      </w:r>
      <w:r w:rsidR="003A42BA" w:rsidRPr="00EB3FAA">
        <w:rPr>
          <w:lang w:val="pt-BR"/>
        </w:rPr>
        <w:t>reportad</w:t>
      </w:r>
      <w:r w:rsidR="0039678B" w:rsidRPr="00EB3FAA">
        <w:rPr>
          <w:lang w:val="pt-BR"/>
        </w:rPr>
        <w:t>a</w:t>
      </w:r>
      <w:r w:rsidR="003A42BA" w:rsidRPr="00EB3FAA">
        <w:rPr>
          <w:lang w:val="pt-BR"/>
        </w:rPr>
        <w:t>s na Tab. 1.</w:t>
      </w:r>
      <w:r w:rsidR="0084679F" w:rsidRPr="00EB3FAA">
        <w:rPr>
          <w:lang w:val="pt-BR"/>
        </w:rPr>
        <w:t xml:space="preserve"> O catalisador RO_M apresentou maior C</w:t>
      </w:r>
      <w:r w:rsidR="0084679F" w:rsidRPr="00EB3FAA">
        <w:rPr>
          <w:vertAlign w:val="subscript"/>
          <w:lang w:val="pt-BR"/>
        </w:rPr>
        <w:t>RMN</w:t>
      </w:r>
      <w:r w:rsidR="0084679F" w:rsidRPr="00EB3FAA">
        <w:rPr>
          <w:lang w:val="pt-BR"/>
        </w:rPr>
        <w:t xml:space="preserve"> (96%) e </w:t>
      </w:r>
      <w:r w:rsidR="00BE64FA" w:rsidRPr="00EB3FAA">
        <w:rPr>
          <w:lang w:val="pt-BR"/>
        </w:rPr>
        <w:t xml:space="preserve">a </w:t>
      </w:r>
      <w:r w:rsidR="0084679F" w:rsidRPr="00EB3FAA">
        <w:rPr>
          <w:lang w:val="pt-BR"/>
        </w:rPr>
        <w:t>menor C</w:t>
      </w:r>
      <w:r w:rsidR="0084679F" w:rsidRPr="00EB3FAA">
        <w:rPr>
          <w:vertAlign w:val="subscript"/>
          <w:lang w:val="pt-BR"/>
        </w:rPr>
        <w:t>RMN</w:t>
      </w:r>
      <w:r w:rsidR="0084679F" w:rsidRPr="00EB3FAA">
        <w:rPr>
          <w:lang w:val="pt-BR"/>
        </w:rPr>
        <w:t xml:space="preserve"> </w:t>
      </w:r>
      <w:r w:rsidR="00A24025" w:rsidRPr="00EB3FAA">
        <w:rPr>
          <w:lang w:val="pt-BR"/>
        </w:rPr>
        <w:t>é</w:t>
      </w:r>
      <w:r w:rsidR="0084679F" w:rsidRPr="00EB3FAA">
        <w:rPr>
          <w:lang w:val="pt-BR"/>
        </w:rPr>
        <w:t xml:space="preserve"> observada para </w:t>
      </w:r>
      <w:r w:rsidR="00BE64FA" w:rsidRPr="00EB3FAA">
        <w:rPr>
          <w:lang w:val="pt-BR"/>
        </w:rPr>
        <w:t>o catalisador</w:t>
      </w:r>
      <w:r w:rsidR="0084679F" w:rsidRPr="00EB3FAA">
        <w:rPr>
          <w:lang w:val="pt-BR"/>
        </w:rPr>
        <w:t xml:space="preserve"> RO_HNO3_CACO.</w:t>
      </w:r>
    </w:p>
    <w:p w14:paraId="7DE79E1F" w14:textId="77777777" w:rsidR="000A1234" w:rsidRPr="00EB3FAA" w:rsidRDefault="000A1234" w:rsidP="000A1234">
      <w:pPr>
        <w:pStyle w:val="TAMainText"/>
        <w:ind w:firstLine="0"/>
        <w:rPr>
          <w:lang w:val="pt-BR"/>
        </w:rPr>
      </w:pPr>
    </w:p>
    <w:p w14:paraId="39AA180D" w14:textId="77777777" w:rsidR="000A1234" w:rsidRPr="00EB3FAA" w:rsidRDefault="000A1234" w:rsidP="000A1234">
      <w:pPr>
        <w:pStyle w:val="Ttulo2"/>
        <w:rPr>
          <w:rFonts w:ascii="Helvetica" w:hAnsi="Helvetica" w:cs="Helvetica"/>
          <w:sz w:val="24"/>
          <w:szCs w:val="24"/>
        </w:rPr>
      </w:pPr>
      <w:r w:rsidRPr="00EB3FAA">
        <w:rPr>
          <w:rFonts w:ascii="Helvetica" w:hAnsi="Helvetica" w:cs="Helvetica"/>
          <w:sz w:val="24"/>
          <w:szCs w:val="24"/>
        </w:rPr>
        <w:t>Conclusões</w:t>
      </w:r>
    </w:p>
    <w:p w14:paraId="4D699040" w14:textId="751E5776" w:rsidR="000A1234" w:rsidRPr="00EB3FAA" w:rsidRDefault="000A1234" w:rsidP="000A1234">
      <w:pPr>
        <w:pStyle w:val="TAMainText"/>
        <w:ind w:firstLine="187"/>
        <w:rPr>
          <w:rFonts w:ascii="Times New Roman" w:hAnsi="Times New Roman"/>
          <w:lang w:val="pt-BR"/>
        </w:rPr>
      </w:pPr>
      <w:r w:rsidRPr="00EB3FAA">
        <w:rPr>
          <w:rFonts w:ascii="Times New Roman" w:hAnsi="Times New Roman"/>
          <w:lang w:val="pt-BR"/>
        </w:rPr>
        <w:t xml:space="preserve">Os difratogramas de raios X dos catalisadores sintetizados a partir do RO apresentaram as fases </w:t>
      </w:r>
      <w:proofErr w:type="spellStart"/>
      <w:r w:rsidRPr="00EB3FAA">
        <w:rPr>
          <w:rFonts w:ascii="Times New Roman" w:hAnsi="Times New Roman"/>
          <w:lang w:val="pt-BR"/>
        </w:rPr>
        <w:t>CaO</w:t>
      </w:r>
      <w:proofErr w:type="spellEnd"/>
      <w:r w:rsidRPr="00EB3FAA">
        <w:rPr>
          <w:rFonts w:ascii="Times New Roman" w:hAnsi="Times New Roman"/>
          <w:lang w:val="pt-BR"/>
        </w:rPr>
        <w:t xml:space="preserve"> e </w:t>
      </w:r>
      <w:proofErr w:type="spellStart"/>
      <w:r w:rsidRPr="00EB3FAA">
        <w:rPr>
          <w:rFonts w:ascii="Times New Roman" w:hAnsi="Times New Roman"/>
          <w:lang w:val="pt-BR"/>
        </w:rPr>
        <w:t>MgO</w:t>
      </w:r>
      <w:proofErr w:type="spellEnd"/>
      <w:r w:rsidRPr="00EB3FAA">
        <w:rPr>
          <w:rFonts w:ascii="Times New Roman" w:hAnsi="Times New Roman"/>
          <w:lang w:val="pt-BR"/>
        </w:rPr>
        <w:t xml:space="preserve">, </w:t>
      </w:r>
      <w:r w:rsidR="00622C58" w:rsidRPr="00EB3FAA">
        <w:rPr>
          <w:rFonts w:ascii="Times New Roman" w:hAnsi="Times New Roman"/>
          <w:lang w:val="pt-BR"/>
        </w:rPr>
        <w:t xml:space="preserve">consideradas </w:t>
      </w:r>
      <w:r w:rsidRPr="00EB3FAA">
        <w:rPr>
          <w:rFonts w:ascii="Times New Roman" w:hAnsi="Times New Roman"/>
          <w:lang w:val="pt-BR"/>
        </w:rPr>
        <w:t xml:space="preserve">ativas como catalisadores heterogêneos para a </w:t>
      </w:r>
      <w:r w:rsidRPr="00EB3FAA">
        <w:rPr>
          <w:rFonts w:ascii="Times New Roman" w:hAnsi="Times New Roman"/>
          <w:lang w:val="pt-BR"/>
        </w:rPr>
        <w:t>conversão de óleo de soja em biodiesel. O catalisador que apresentou melhor resultado em termos de C</w:t>
      </w:r>
      <w:r w:rsidRPr="00EB3FAA">
        <w:rPr>
          <w:rFonts w:ascii="Times New Roman" w:hAnsi="Times New Roman"/>
          <w:vertAlign w:val="subscript"/>
          <w:lang w:val="pt-BR"/>
        </w:rPr>
        <w:t>RMN</w:t>
      </w:r>
      <w:r w:rsidRPr="00EB3FAA">
        <w:rPr>
          <w:rFonts w:ascii="Times New Roman" w:hAnsi="Times New Roman"/>
          <w:lang w:val="pt-BR"/>
        </w:rPr>
        <w:t xml:space="preserve"> (96 %) foi a amostra RO_M. </w:t>
      </w:r>
    </w:p>
    <w:p w14:paraId="089606E1" w14:textId="2AF61610" w:rsidR="007948C8" w:rsidRPr="00EB3FAA" w:rsidRDefault="007948C8" w:rsidP="000A1234">
      <w:pPr>
        <w:pStyle w:val="TAMainText"/>
        <w:ind w:firstLine="187"/>
        <w:rPr>
          <w:rFonts w:ascii="Times New Roman" w:hAnsi="Times New Roman"/>
          <w:lang w:val="pt-BR"/>
        </w:rPr>
      </w:pPr>
    </w:p>
    <w:p w14:paraId="65CFC5CF" w14:textId="1AA3A1DA" w:rsidR="00484719" w:rsidRPr="00EB3FAA" w:rsidRDefault="007948C8">
      <w:pPr>
        <w:pStyle w:val="VAFigureCaption"/>
        <w:spacing w:before="0"/>
        <w:rPr>
          <w:rFonts w:ascii="Times New Roman" w:hAnsi="Times New Roman"/>
          <w:lang w:val="pt-BR"/>
        </w:rPr>
      </w:pPr>
      <w:r w:rsidRPr="00EB3FAA">
        <w:rPr>
          <w:noProof/>
        </w:rPr>
        <w:drawing>
          <wp:anchor distT="0" distB="0" distL="114300" distR="114300" simplePos="0" relativeHeight="251659264" behindDoc="1" locked="0" layoutInCell="1" allowOverlap="1" wp14:anchorId="7BCEF198" wp14:editId="278C9EEF">
            <wp:simplePos x="0" y="0"/>
            <wp:positionH relativeFrom="column">
              <wp:posOffset>23495</wp:posOffset>
            </wp:positionH>
            <wp:positionV relativeFrom="paragraph">
              <wp:posOffset>292346</wp:posOffset>
            </wp:positionV>
            <wp:extent cx="2965450" cy="2156460"/>
            <wp:effectExtent l="0" t="0" r="6350" b="0"/>
            <wp:wrapTight wrapText="bothSides">
              <wp:wrapPolygon edited="0">
                <wp:start x="0" y="0"/>
                <wp:lineTo x="0" y="21371"/>
                <wp:lineTo x="21507" y="21371"/>
                <wp:lineTo x="21507" y="0"/>
                <wp:lineTo x="0" y="0"/>
              </wp:wrapPolygon>
            </wp:wrapTight>
            <wp:docPr id="35101068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5450" cy="215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FAA">
        <w:rPr>
          <w:rFonts w:ascii="Times New Roman" w:hAnsi="Times New Roman"/>
          <w:b/>
          <w:lang w:val="pt-BR"/>
        </w:rPr>
        <w:t>Figura 1.</w:t>
      </w:r>
      <w:r w:rsidRPr="00EB3FAA">
        <w:rPr>
          <w:rFonts w:ascii="Times New Roman" w:hAnsi="Times New Roman"/>
          <w:lang w:val="pt-BR"/>
        </w:rPr>
        <w:t xml:space="preserve"> Difratogramas de raios X </w:t>
      </w:r>
      <w:r w:rsidR="0055088F" w:rsidRPr="00EB3FAA">
        <w:rPr>
          <w:rFonts w:ascii="Times New Roman" w:hAnsi="Times New Roman"/>
          <w:lang w:val="pt-BR"/>
        </w:rPr>
        <w:t xml:space="preserve">do RO e </w:t>
      </w:r>
      <w:r w:rsidRPr="00EB3FAA">
        <w:rPr>
          <w:rFonts w:ascii="Times New Roman" w:hAnsi="Times New Roman"/>
          <w:lang w:val="pt-BR"/>
        </w:rPr>
        <w:t>dos materiais obtidos por diversas rotas de síntese.</w:t>
      </w:r>
    </w:p>
    <w:p w14:paraId="6EE478E1" w14:textId="77777777" w:rsidR="000D06CB" w:rsidRPr="00EB3FAA" w:rsidRDefault="000D06CB">
      <w:pPr>
        <w:spacing w:after="0"/>
        <w:rPr>
          <w:rFonts w:ascii="Times New Roman" w:hAnsi="Times New Roman"/>
        </w:rPr>
      </w:pPr>
    </w:p>
    <w:p w14:paraId="4DFE320B" w14:textId="3B9689BB" w:rsidR="00484719" w:rsidRPr="00EB3FAA" w:rsidRDefault="0018523E">
      <w:pPr>
        <w:pStyle w:val="VDTableTitle"/>
        <w:spacing w:after="120"/>
        <w:jc w:val="both"/>
        <w:rPr>
          <w:rFonts w:ascii="Times New Roman" w:hAnsi="Times New Roman"/>
          <w:lang w:val="pt-BR"/>
        </w:rPr>
      </w:pPr>
      <w:r w:rsidRPr="00EB3FAA">
        <w:rPr>
          <w:rFonts w:ascii="Times New Roman" w:hAnsi="Times New Roman"/>
          <w:b/>
          <w:lang w:val="pt-BR"/>
        </w:rPr>
        <w:t>Tabela 1</w:t>
      </w:r>
      <w:r w:rsidR="00C40143" w:rsidRPr="00EB3FAA">
        <w:rPr>
          <w:rFonts w:ascii="Times New Roman" w:hAnsi="Times New Roman"/>
          <w:b/>
          <w:lang w:val="pt-BR"/>
        </w:rPr>
        <w:t xml:space="preserve"> -</w:t>
      </w:r>
      <w:r w:rsidRPr="00EB3FAA">
        <w:rPr>
          <w:rFonts w:ascii="Times New Roman" w:hAnsi="Times New Roman"/>
          <w:lang w:val="pt-BR"/>
        </w:rPr>
        <w:t xml:space="preserve"> Conversão em biodiesel determinada por RMN de </w:t>
      </w:r>
      <w:r w:rsidRPr="00EB3FAA">
        <w:rPr>
          <w:rFonts w:ascii="Times New Roman" w:hAnsi="Times New Roman"/>
          <w:vertAlign w:val="superscript"/>
          <w:lang w:val="pt-BR"/>
        </w:rPr>
        <w:t>1</w:t>
      </w:r>
      <w:r w:rsidRPr="00EB3FAA">
        <w:rPr>
          <w:rFonts w:ascii="Times New Roman" w:hAnsi="Times New Roman"/>
          <w:lang w:val="pt-BR"/>
        </w:rPr>
        <w:t xml:space="preserve">H (expressa em % molar), obtida para os produtos sintetizados utilizando os catalisadores </w:t>
      </w:r>
      <w:r w:rsidR="0016699B" w:rsidRPr="00EB3FAA">
        <w:rPr>
          <w:rFonts w:ascii="Times New Roman" w:hAnsi="Times New Roman"/>
          <w:lang w:val="pt-BR"/>
        </w:rPr>
        <w:t>preparados</w:t>
      </w:r>
      <w:r w:rsidRPr="00EB3FAA">
        <w:rPr>
          <w:rFonts w:ascii="Times New Roman" w:hAnsi="Times New Roman"/>
          <w:lang w:val="pt-BR"/>
        </w:rPr>
        <w:t>.</w:t>
      </w:r>
    </w:p>
    <w:tbl>
      <w:tblPr>
        <w:tblStyle w:val="TabeladeGradeClar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78"/>
      </w:tblGrid>
      <w:tr w:rsidR="00EB3FAA" w:rsidRPr="00EB3FAA" w14:paraId="164B1268" w14:textId="77777777" w:rsidTr="0092220B">
        <w:trPr>
          <w:jc w:val="center"/>
        </w:trPr>
        <w:tc>
          <w:tcPr>
            <w:tcW w:w="0" w:type="auto"/>
            <w:tcBorders>
              <w:top w:val="single" w:sz="8" w:space="0" w:color="auto"/>
              <w:bottom w:val="single" w:sz="8" w:space="0" w:color="auto"/>
            </w:tcBorders>
            <w:vAlign w:val="center"/>
          </w:tcPr>
          <w:p w14:paraId="2BD2B5D3" w14:textId="6613975C" w:rsidR="00484719" w:rsidRPr="00EB3FAA" w:rsidRDefault="0016699B" w:rsidP="000D477F">
            <w:pPr>
              <w:pStyle w:val="TCTableBody"/>
              <w:jc w:val="left"/>
              <w:rPr>
                <w:rFonts w:eastAsia="Calibri"/>
                <w:b/>
                <w:bCs/>
              </w:rPr>
            </w:pPr>
            <w:bookmarkStart w:id="2" w:name="_Hlk134900859"/>
            <w:r w:rsidRPr="00EB3FAA">
              <w:rPr>
                <w:rFonts w:eastAsia="Calibri"/>
                <w:b/>
                <w:bCs/>
              </w:rPr>
              <w:t>CATALISADOR</w:t>
            </w:r>
          </w:p>
        </w:tc>
        <w:tc>
          <w:tcPr>
            <w:tcW w:w="0" w:type="auto"/>
            <w:tcBorders>
              <w:top w:val="single" w:sz="8" w:space="0" w:color="auto"/>
              <w:bottom w:val="single" w:sz="8" w:space="0" w:color="auto"/>
            </w:tcBorders>
            <w:vAlign w:val="center"/>
          </w:tcPr>
          <w:p w14:paraId="4D9633B9" w14:textId="77777777" w:rsidR="00484719" w:rsidRPr="00EB3FAA" w:rsidRDefault="0018523E" w:rsidP="000D477F">
            <w:pPr>
              <w:pStyle w:val="TCTableBody"/>
              <w:jc w:val="left"/>
              <w:rPr>
                <w:b/>
                <w:bCs/>
              </w:rPr>
            </w:pPr>
            <w:r w:rsidRPr="00EB3FAA">
              <w:rPr>
                <w:rFonts w:eastAsia="Calibri"/>
                <w:b/>
                <w:bCs/>
              </w:rPr>
              <w:t>C</w:t>
            </w:r>
            <w:r w:rsidRPr="00EB3FAA">
              <w:rPr>
                <w:rFonts w:eastAsia="Calibri"/>
                <w:b/>
                <w:bCs/>
                <w:vertAlign w:val="subscript"/>
              </w:rPr>
              <w:t>RMN</w:t>
            </w:r>
            <w:r w:rsidRPr="00EB3FAA">
              <w:rPr>
                <w:rFonts w:eastAsia="Calibri"/>
                <w:b/>
                <w:bCs/>
              </w:rPr>
              <w:t xml:space="preserve"> (%)</w:t>
            </w:r>
          </w:p>
        </w:tc>
      </w:tr>
      <w:tr w:rsidR="00EB3FAA" w:rsidRPr="00EB3FAA" w14:paraId="297A2927" w14:textId="77777777" w:rsidTr="0092220B">
        <w:trPr>
          <w:jc w:val="center"/>
        </w:trPr>
        <w:tc>
          <w:tcPr>
            <w:tcW w:w="0" w:type="auto"/>
            <w:tcBorders>
              <w:top w:val="single" w:sz="8" w:space="0" w:color="auto"/>
            </w:tcBorders>
            <w:vAlign w:val="center"/>
          </w:tcPr>
          <w:p w14:paraId="590DDD39" w14:textId="77777777" w:rsidR="00484719" w:rsidRPr="00EB3FAA" w:rsidRDefault="0018523E" w:rsidP="000D477F">
            <w:pPr>
              <w:pStyle w:val="TCTableBody"/>
              <w:jc w:val="left"/>
              <w:rPr>
                <w:b/>
                <w:bCs/>
              </w:rPr>
            </w:pPr>
            <w:r w:rsidRPr="00EB3FAA">
              <w:rPr>
                <w:rFonts w:eastAsia="Calibri"/>
                <w:b/>
                <w:bCs/>
              </w:rPr>
              <w:t>RO</w:t>
            </w:r>
            <w:r w:rsidR="00543858" w:rsidRPr="00EB3FAA">
              <w:rPr>
                <w:rFonts w:eastAsia="Calibri"/>
                <w:b/>
                <w:bCs/>
              </w:rPr>
              <w:t>_M</w:t>
            </w:r>
          </w:p>
        </w:tc>
        <w:tc>
          <w:tcPr>
            <w:tcW w:w="0" w:type="auto"/>
            <w:tcBorders>
              <w:top w:val="single" w:sz="8" w:space="0" w:color="auto"/>
            </w:tcBorders>
            <w:vAlign w:val="center"/>
          </w:tcPr>
          <w:p w14:paraId="03ECAB74" w14:textId="77777777" w:rsidR="00484719" w:rsidRPr="00EB3FAA" w:rsidRDefault="0018523E" w:rsidP="000D477F">
            <w:pPr>
              <w:pStyle w:val="TCTableBody"/>
              <w:jc w:val="center"/>
              <w:rPr>
                <w:rFonts w:eastAsia="Calibri"/>
              </w:rPr>
            </w:pPr>
            <w:r w:rsidRPr="00EB3FAA">
              <w:rPr>
                <w:rFonts w:eastAsia="Calibri"/>
              </w:rPr>
              <w:t>96</w:t>
            </w:r>
          </w:p>
        </w:tc>
      </w:tr>
      <w:tr w:rsidR="00EB3FAA" w:rsidRPr="00EB3FAA" w14:paraId="6C49C3A9" w14:textId="77777777" w:rsidTr="0092220B">
        <w:trPr>
          <w:jc w:val="center"/>
        </w:trPr>
        <w:tc>
          <w:tcPr>
            <w:tcW w:w="0" w:type="auto"/>
            <w:vAlign w:val="center"/>
          </w:tcPr>
          <w:p w14:paraId="4E8996DB" w14:textId="77777777" w:rsidR="00484719" w:rsidRPr="00EB3FAA" w:rsidRDefault="0018523E" w:rsidP="000D477F">
            <w:pPr>
              <w:pStyle w:val="TCTableBody"/>
              <w:jc w:val="left"/>
              <w:rPr>
                <w:b/>
                <w:bCs/>
              </w:rPr>
            </w:pPr>
            <w:r w:rsidRPr="00EB3FAA">
              <w:rPr>
                <w:rFonts w:eastAsia="Calibri"/>
                <w:b/>
                <w:bCs/>
              </w:rPr>
              <w:t>RO_HNO3</w:t>
            </w:r>
          </w:p>
        </w:tc>
        <w:tc>
          <w:tcPr>
            <w:tcW w:w="0" w:type="auto"/>
            <w:vAlign w:val="center"/>
          </w:tcPr>
          <w:p w14:paraId="0F6D39A9" w14:textId="77777777" w:rsidR="00484719" w:rsidRPr="00EB3FAA" w:rsidRDefault="0018523E" w:rsidP="000D477F">
            <w:pPr>
              <w:pStyle w:val="TCTableBody"/>
              <w:jc w:val="center"/>
              <w:rPr>
                <w:rFonts w:eastAsia="Calibri"/>
              </w:rPr>
            </w:pPr>
            <w:r w:rsidRPr="00EB3FAA">
              <w:rPr>
                <w:rFonts w:eastAsia="Calibri"/>
              </w:rPr>
              <w:t>72</w:t>
            </w:r>
          </w:p>
        </w:tc>
      </w:tr>
      <w:tr w:rsidR="00EB3FAA" w:rsidRPr="00EB3FAA" w14:paraId="323773C9" w14:textId="77777777" w:rsidTr="0092220B">
        <w:trPr>
          <w:jc w:val="center"/>
        </w:trPr>
        <w:tc>
          <w:tcPr>
            <w:tcW w:w="0" w:type="auto"/>
            <w:vAlign w:val="center"/>
          </w:tcPr>
          <w:p w14:paraId="64E41E3B" w14:textId="77777777" w:rsidR="00484719" w:rsidRPr="00EB3FAA" w:rsidRDefault="0018523E" w:rsidP="000D477F">
            <w:pPr>
              <w:pStyle w:val="TCTableBody"/>
              <w:jc w:val="left"/>
              <w:rPr>
                <w:b/>
                <w:bCs/>
              </w:rPr>
            </w:pPr>
            <w:r w:rsidRPr="00EB3FAA">
              <w:rPr>
                <w:rFonts w:eastAsia="Calibri"/>
                <w:b/>
                <w:bCs/>
              </w:rPr>
              <w:t>RO</w:t>
            </w:r>
            <w:r w:rsidR="00B654A2" w:rsidRPr="00EB3FAA">
              <w:rPr>
                <w:rFonts w:eastAsia="Calibri"/>
                <w:b/>
                <w:bCs/>
              </w:rPr>
              <w:t>_HNO3</w:t>
            </w:r>
            <w:r w:rsidRPr="00EB3FAA">
              <w:rPr>
                <w:rFonts w:eastAsia="Calibri"/>
                <w:b/>
                <w:bCs/>
              </w:rPr>
              <w:t>_CACO</w:t>
            </w:r>
          </w:p>
        </w:tc>
        <w:tc>
          <w:tcPr>
            <w:tcW w:w="0" w:type="auto"/>
            <w:vAlign w:val="center"/>
          </w:tcPr>
          <w:p w14:paraId="1E68B6BF" w14:textId="77777777" w:rsidR="00484719" w:rsidRPr="00EB3FAA" w:rsidRDefault="0018523E" w:rsidP="000D477F">
            <w:pPr>
              <w:pStyle w:val="TCTableBody"/>
              <w:jc w:val="center"/>
              <w:rPr>
                <w:rFonts w:eastAsia="Calibri"/>
              </w:rPr>
            </w:pPr>
            <w:r w:rsidRPr="00EB3FAA">
              <w:rPr>
                <w:rFonts w:eastAsia="Calibri"/>
              </w:rPr>
              <w:t>15</w:t>
            </w:r>
          </w:p>
        </w:tc>
      </w:tr>
      <w:tr w:rsidR="00EB3FAA" w:rsidRPr="00EB3FAA" w14:paraId="04364FD4" w14:textId="77777777" w:rsidTr="0092220B">
        <w:trPr>
          <w:jc w:val="center"/>
        </w:trPr>
        <w:tc>
          <w:tcPr>
            <w:tcW w:w="0" w:type="auto"/>
            <w:tcBorders>
              <w:bottom w:val="single" w:sz="8" w:space="0" w:color="auto"/>
            </w:tcBorders>
            <w:vAlign w:val="center"/>
          </w:tcPr>
          <w:p w14:paraId="1461BAEB" w14:textId="77777777" w:rsidR="00484719" w:rsidRPr="00EB3FAA" w:rsidRDefault="0018523E" w:rsidP="000D477F">
            <w:pPr>
              <w:pStyle w:val="TCTableBody"/>
              <w:jc w:val="left"/>
              <w:rPr>
                <w:b/>
                <w:bCs/>
              </w:rPr>
            </w:pPr>
            <w:r w:rsidRPr="00EB3FAA">
              <w:rPr>
                <w:rFonts w:eastAsia="Calibri"/>
                <w:b/>
                <w:bCs/>
              </w:rPr>
              <w:t>RO_MP</w:t>
            </w:r>
          </w:p>
        </w:tc>
        <w:tc>
          <w:tcPr>
            <w:tcW w:w="0" w:type="auto"/>
            <w:tcBorders>
              <w:bottom w:val="single" w:sz="8" w:space="0" w:color="auto"/>
            </w:tcBorders>
            <w:vAlign w:val="center"/>
          </w:tcPr>
          <w:p w14:paraId="044C7522" w14:textId="77777777" w:rsidR="00484719" w:rsidRPr="00EB3FAA" w:rsidRDefault="0018523E" w:rsidP="000D477F">
            <w:pPr>
              <w:pStyle w:val="TCTableBody"/>
              <w:jc w:val="center"/>
              <w:rPr>
                <w:rFonts w:eastAsia="Calibri"/>
              </w:rPr>
            </w:pPr>
            <w:r w:rsidRPr="00EB3FAA">
              <w:rPr>
                <w:rFonts w:eastAsia="Calibri"/>
              </w:rPr>
              <w:t>38</w:t>
            </w:r>
          </w:p>
        </w:tc>
      </w:tr>
    </w:tbl>
    <w:bookmarkEnd w:id="2"/>
    <w:p w14:paraId="32A12D84" w14:textId="77777777" w:rsidR="00484719" w:rsidRPr="00EB3FAA" w:rsidRDefault="0018523E" w:rsidP="00C7712D">
      <w:pPr>
        <w:pStyle w:val="Ttulo2"/>
        <w:rPr>
          <w:rFonts w:ascii="Helvetica" w:hAnsi="Helvetica" w:cs="Helvetica"/>
          <w:sz w:val="24"/>
          <w:szCs w:val="24"/>
        </w:rPr>
      </w:pPr>
      <w:r w:rsidRPr="00EB3FAA">
        <w:rPr>
          <w:rFonts w:ascii="Helvetica" w:hAnsi="Helvetica" w:cs="Helvetica"/>
          <w:sz w:val="24"/>
          <w:szCs w:val="24"/>
        </w:rPr>
        <w:t>Agradecimentos</w:t>
      </w:r>
    </w:p>
    <w:p w14:paraId="6C5BEEF3" w14:textId="6D67FEB1" w:rsidR="00484719" w:rsidRPr="00EB3FAA" w:rsidRDefault="0018523E">
      <w:pPr>
        <w:pStyle w:val="TAMainText"/>
        <w:rPr>
          <w:rFonts w:ascii="Times New Roman" w:hAnsi="Times New Roman"/>
          <w:lang w:val="pt-BR"/>
        </w:rPr>
      </w:pPr>
      <w:r w:rsidRPr="00EB3FAA">
        <w:rPr>
          <w:rFonts w:ascii="Times New Roman" w:hAnsi="Times New Roman"/>
          <w:lang w:val="pt-BR"/>
        </w:rPr>
        <w:t xml:space="preserve">Este trabalho teve o apoio da FAPES, que financiou a bolsa de fomento. Agradecemos também ao apoio da CAPES, </w:t>
      </w:r>
      <w:r w:rsidR="007D657D" w:rsidRPr="00EB3FAA">
        <w:rPr>
          <w:rFonts w:ascii="Times New Roman" w:hAnsi="Times New Roman"/>
          <w:lang w:val="pt-BR"/>
        </w:rPr>
        <w:t xml:space="preserve">do </w:t>
      </w:r>
      <w:r w:rsidRPr="00EB3FAA">
        <w:rPr>
          <w:rFonts w:ascii="Times New Roman" w:hAnsi="Times New Roman"/>
          <w:lang w:val="pt-BR"/>
        </w:rPr>
        <w:t>CNPq, do CETEM</w:t>
      </w:r>
      <w:r w:rsidR="007D657D" w:rsidRPr="00EB3FAA">
        <w:rPr>
          <w:rFonts w:ascii="Times New Roman" w:hAnsi="Times New Roman"/>
          <w:lang w:val="pt-BR"/>
        </w:rPr>
        <w:t xml:space="preserve"> </w:t>
      </w:r>
      <w:r w:rsidRPr="00EB3FAA">
        <w:rPr>
          <w:rFonts w:ascii="Times New Roman" w:hAnsi="Times New Roman"/>
          <w:lang w:val="pt-BR"/>
        </w:rPr>
        <w:t xml:space="preserve">e </w:t>
      </w:r>
      <w:r w:rsidR="007131F7" w:rsidRPr="00EB3FAA">
        <w:rPr>
          <w:rFonts w:ascii="Times New Roman" w:hAnsi="Times New Roman"/>
          <w:lang w:val="pt-BR"/>
        </w:rPr>
        <w:t xml:space="preserve">da </w:t>
      </w:r>
      <w:r w:rsidRPr="00EB3FAA">
        <w:rPr>
          <w:rFonts w:ascii="Times New Roman" w:hAnsi="Times New Roman"/>
          <w:lang w:val="pt-BR"/>
        </w:rPr>
        <w:t xml:space="preserve">UFES. </w:t>
      </w:r>
    </w:p>
    <w:p w14:paraId="1DEAE3DB" w14:textId="77777777" w:rsidR="00484719" w:rsidRPr="00EB3FAA" w:rsidRDefault="0018523E">
      <w:pPr>
        <w:pStyle w:val="Ttulo2"/>
        <w:rPr>
          <w:rFonts w:ascii="Helvetica" w:hAnsi="Helvetica" w:cs="Helvetica"/>
          <w:sz w:val="24"/>
          <w:szCs w:val="24"/>
        </w:rPr>
      </w:pPr>
      <w:r w:rsidRPr="00EB3FAA">
        <w:rPr>
          <w:rFonts w:ascii="Helvetica" w:hAnsi="Helvetica" w:cs="Helvetica"/>
          <w:sz w:val="24"/>
          <w:szCs w:val="24"/>
        </w:rPr>
        <w:t>Referências</w:t>
      </w:r>
    </w:p>
    <w:p w14:paraId="5733FA89" w14:textId="77777777" w:rsidR="00DB0A93" w:rsidRPr="00EB3FAA" w:rsidRDefault="00E24F2B" w:rsidP="00F05141">
      <w:pPr>
        <w:pStyle w:val="TAMainText"/>
        <w:tabs>
          <w:tab w:val="left" w:pos="284"/>
        </w:tabs>
        <w:suppressAutoHyphens w:val="0"/>
        <w:ind w:left="284" w:hanging="284"/>
        <w:rPr>
          <w:rFonts w:ascii="Times New Roman" w:hAnsi="Times New Roman"/>
          <w:noProof/>
          <w:szCs w:val="24"/>
        </w:rPr>
      </w:pPr>
      <w:r w:rsidRPr="00EB3FAA">
        <w:rPr>
          <w:rFonts w:ascii="Times New Roman" w:eastAsiaTheme="minorEastAsia" w:hAnsi="Times New Roman" w:cstheme="minorBidi"/>
          <w:sz w:val="21"/>
          <w:szCs w:val="21"/>
          <w:lang w:eastAsia="en-US"/>
        </w:rPr>
        <w:fldChar w:fldCharType="begin" w:fldLock="1"/>
      </w:r>
      <w:r w:rsidRPr="00EB3FAA">
        <w:rPr>
          <w:rFonts w:ascii="Times New Roman" w:hAnsi="Times New Roman"/>
        </w:rPr>
        <w:instrText xml:space="preserve">ADDIN Mendeley Bibliography CSL_BIBLIOGRAPHY </w:instrText>
      </w:r>
      <w:r w:rsidRPr="00EB3FAA">
        <w:rPr>
          <w:rFonts w:ascii="Times New Roman" w:eastAsiaTheme="minorEastAsia" w:hAnsi="Times New Roman" w:cstheme="minorBidi"/>
          <w:sz w:val="21"/>
          <w:szCs w:val="21"/>
          <w:lang w:eastAsia="en-US"/>
        </w:rPr>
        <w:fldChar w:fldCharType="separate"/>
      </w:r>
      <w:r w:rsidR="00801C59" w:rsidRPr="00EB3FAA">
        <w:rPr>
          <w:rFonts w:ascii="Times New Roman" w:hAnsi="Times New Roman"/>
          <w:noProof/>
          <w:szCs w:val="24"/>
        </w:rPr>
        <w:t xml:space="preserve">1. </w:t>
      </w:r>
      <w:r w:rsidR="00801C59" w:rsidRPr="00EB3FAA">
        <w:rPr>
          <w:rFonts w:ascii="Times New Roman" w:hAnsi="Times New Roman"/>
          <w:noProof/>
          <w:szCs w:val="24"/>
        </w:rPr>
        <w:tab/>
      </w:r>
      <w:r w:rsidR="00DB0A93" w:rsidRPr="00EB3FAA">
        <w:rPr>
          <w:rFonts w:ascii="Times New Roman" w:hAnsi="Times New Roman"/>
          <w:noProof/>
          <w:szCs w:val="24"/>
        </w:rPr>
        <w:t xml:space="preserve">V. Mandari; S. K. Devarai. </w:t>
      </w:r>
      <w:r w:rsidR="00DB0A93" w:rsidRPr="00EB3FAA">
        <w:rPr>
          <w:rFonts w:ascii="Times New Roman" w:hAnsi="Times New Roman"/>
          <w:i/>
          <w:iCs/>
          <w:noProof/>
          <w:szCs w:val="24"/>
        </w:rPr>
        <w:t>Bioenergy Res</w:t>
      </w:r>
      <w:r w:rsidR="00DB0A93" w:rsidRPr="00EB3FAA">
        <w:rPr>
          <w:rFonts w:ascii="Times New Roman" w:hAnsi="Times New Roman"/>
          <w:noProof/>
          <w:szCs w:val="24"/>
        </w:rPr>
        <w:t xml:space="preserve">. </w:t>
      </w:r>
      <w:r w:rsidR="00DB0A93" w:rsidRPr="00EB3FAA">
        <w:rPr>
          <w:rFonts w:ascii="Times New Roman" w:hAnsi="Times New Roman"/>
          <w:b/>
          <w:bCs/>
          <w:noProof/>
          <w:szCs w:val="24"/>
        </w:rPr>
        <w:t>2021</w:t>
      </w:r>
      <w:r w:rsidR="00DB0A93" w:rsidRPr="00EB3FAA">
        <w:rPr>
          <w:rFonts w:ascii="Times New Roman" w:hAnsi="Times New Roman"/>
          <w:noProof/>
          <w:szCs w:val="24"/>
        </w:rPr>
        <w:t xml:space="preserve">, 15, 935-961. </w:t>
      </w:r>
    </w:p>
    <w:p w14:paraId="001F3988" w14:textId="77777777" w:rsidR="00DB0A93" w:rsidRPr="00EB3FAA" w:rsidRDefault="00801C59" w:rsidP="00F05141">
      <w:pPr>
        <w:pStyle w:val="TAMainText"/>
        <w:tabs>
          <w:tab w:val="left" w:pos="284"/>
        </w:tabs>
        <w:suppressAutoHyphens w:val="0"/>
        <w:ind w:left="284" w:hanging="284"/>
        <w:rPr>
          <w:rFonts w:ascii="Times New Roman" w:hAnsi="Times New Roman"/>
          <w:noProof/>
          <w:szCs w:val="24"/>
        </w:rPr>
      </w:pPr>
      <w:r w:rsidRPr="00EB3FAA">
        <w:rPr>
          <w:rFonts w:ascii="Times New Roman" w:hAnsi="Times New Roman"/>
          <w:noProof/>
          <w:szCs w:val="24"/>
        </w:rPr>
        <w:t xml:space="preserve">2. </w:t>
      </w:r>
      <w:r w:rsidRPr="00EB3FAA">
        <w:rPr>
          <w:rFonts w:ascii="Times New Roman" w:hAnsi="Times New Roman"/>
          <w:noProof/>
          <w:szCs w:val="24"/>
        </w:rPr>
        <w:tab/>
      </w:r>
      <w:bookmarkStart w:id="3" w:name="_Hlk136855407"/>
      <w:r w:rsidR="00DB0A93" w:rsidRPr="00EB3FAA">
        <w:rPr>
          <w:rFonts w:ascii="Times New Roman" w:hAnsi="Times New Roman"/>
          <w:noProof/>
          <w:szCs w:val="24"/>
        </w:rPr>
        <w:t xml:space="preserve">S. Niu; X. Zhang; Y. Ning; Y. Zhang; T. Qu; X. Hu.; Z. Gong; C. Lu. </w:t>
      </w:r>
      <w:r w:rsidR="00DB0A93" w:rsidRPr="00EB3FAA">
        <w:rPr>
          <w:rFonts w:ascii="Times New Roman" w:hAnsi="Times New Roman"/>
          <w:i/>
          <w:iCs/>
          <w:noProof/>
          <w:szCs w:val="24"/>
        </w:rPr>
        <w:t>Renew Energy.</w:t>
      </w:r>
      <w:r w:rsidR="00DB0A93" w:rsidRPr="00EB3FAA">
        <w:rPr>
          <w:rFonts w:ascii="Times New Roman" w:hAnsi="Times New Roman"/>
          <w:noProof/>
          <w:szCs w:val="24"/>
        </w:rPr>
        <w:t xml:space="preserve"> </w:t>
      </w:r>
      <w:r w:rsidR="00DB0A93" w:rsidRPr="00EB3FAA">
        <w:rPr>
          <w:rFonts w:ascii="Times New Roman" w:hAnsi="Times New Roman"/>
          <w:b/>
          <w:bCs/>
          <w:noProof/>
          <w:szCs w:val="24"/>
        </w:rPr>
        <w:t>2020</w:t>
      </w:r>
      <w:r w:rsidR="00DB0A93" w:rsidRPr="00EB3FAA">
        <w:rPr>
          <w:rFonts w:ascii="Times New Roman" w:hAnsi="Times New Roman"/>
          <w:noProof/>
          <w:szCs w:val="24"/>
        </w:rPr>
        <w:t xml:space="preserve">, 154, 107-16. </w:t>
      </w:r>
    </w:p>
    <w:bookmarkEnd w:id="3"/>
    <w:p w14:paraId="48EECF20" w14:textId="77777777" w:rsidR="00DB0A93" w:rsidRPr="00EB3FAA" w:rsidRDefault="00801C59" w:rsidP="00F05141">
      <w:pPr>
        <w:pStyle w:val="TAMainText"/>
        <w:tabs>
          <w:tab w:val="left" w:pos="284"/>
        </w:tabs>
        <w:suppressAutoHyphens w:val="0"/>
        <w:ind w:left="284" w:hanging="284"/>
        <w:rPr>
          <w:rFonts w:ascii="Times New Roman" w:hAnsi="Times New Roman"/>
          <w:noProof/>
          <w:szCs w:val="24"/>
        </w:rPr>
      </w:pPr>
      <w:r w:rsidRPr="00EB3FAA">
        <w:rPr>
          <w:rFonts w:ascii="Times New Roman" w:hAnsi="Times New Roman"/>
          <w:noProof/>
          <w:szCs w:val="24"/>
        </w:rPr>
        <w:t xml:space="preserve">3. </w:t>
      </w:r>
      <w:r w:rsidRPr="00EB3FAA">
        <w:rPr>
          <w:rFonts w:ascii="Times New Roman" w:hAnsi="Times New Roman"/>
          <w:noProof/>
          <w:szCs w:val="24"/>
        </w:rPr>
        <w:tab/>
      </w:r>
      <w:bookmarkStart w:id="4" w:name="_Hlk136855430"/>
      <w:r w:rsidR="00DB0A93" w:rsidRPr="00EB3FAA">
        <w:rPr>
          <w:rFonts w:ascii="Times New Roman" w:hAnsi="Times New Roman"/>
          <w:noProof/>
          <w:szCs w:val="24"/>
        </w:rPr>
        <w:t xml:space="preserve">M. Iwanow; T. Gärtner; V. Sieber; B. König. </w:t>
      </w:r>
      <w:r w:rsidR="00DB0A93" w:rsidRPr="00EB3FAA">
        <w:rPr>
          <w:rFonts w:ascii="Times New Roman" w:hAnsi="Times New Roman"/>
          <w:i/>
          <w:iCs/>
          <w:noProof/>
          <w:szCs w:val="24"/>
        </w:rPr>
        <w:t>Beilstein J. Org. Chem</w:t>
      </w:r>
      <w:r w:rsidR="00DB0A93" w:rsidRPr="00EB3FAA">
        <w:rPr>
          <w:rFonts w:ascii="Times New Roman" w:hAnsi="Times New Roman"/>
          <w:noProof/>
          <w:szCs w:val="24"/>
        </w:rPr>
        <w:t xml:space="preserve">. </w:t>
      </w:r>
      <w:r w:rsidR="00DB0A93" w:rsidRPr="00EB3FAA">
        <w:rPr>
          <w:rFonts w:ascii="Times New Roman" w:hAnsi="Times New Roman"/>
          <w:b/>
          <w:bCs/>
          <w:noProof/>
          <w:szCs w:val="24"/>
        </w:rPr>
        <w:t>2020</w:t>
      </w:r>
      <w:r w:rsidR="00DB0A93" w:rsidRPr="00EB3FAA">
        <w:rPr>
          <w:rFonts w:ascii="Times New Roman" w:hAnsi="Times New Roman"/>
          <w:noProof/>
          <w:szCs w:val="24"/>
        </w:rPr>
        <w:t xml:space="preserve">, 16, 1188-1202. </w:t>
      </w:r>
      <w:bookmarkEnd w:id="4"/>
    </w:p>
    <w:p w14:paraId="0C8CEBBA" w14:textId="77777777" w:rsidR="00DB0A93" w:rsidRPr="00EB3FAA" w:rsidRDefault="00801C59" w:rsidP="00F05141">
      <w:pPr>
        <w:pStyle w:val="TAMainText"/>
        <w:tabs>
          <w:tab w:val="left" w:pos="284"/>
        </w:tabs>
        <w:suppressAutoHyphens w:val="0"/>
        <w:ind w:left="284" w:hanging="284"/>
        <w:rPr>
          <w:rFonts w:ascii="Times New Roman" w:hAnsi="Times New Roman"/>
          <w:noProof/>
          <w:szCs w:val="24"/>
        </w:rPr>
      </w:pPr>
      <w:r w:rsidRPr="00EB3FAA">
        <w:rPr>
          <w:rFonts w:ascii="Times New Roman" w:hAnsi="Times New Roman"/>
          <w:noProof/>
          <w:szCs w:val="24"/>
        </w:rPr>
        <w:t xml:space="preserve">4. </w:t>
      </w:r>
      <w:bookmarkStart w:id="5" w:name="_Hlk136855450"/>
      <w:r w:rsidR="00DB0A93" w:rsidRPr="00EB3FAA">
        <w:rPr>
          <w:rFonts w:ascii="Times New Roman" w:hAnsi="Times New Roman"/>
          <w:noProof/>
          <w:szCs w:val="24"/>
        </w:rPr>
        <w:t xml:space="preserve">D. N. Faria; D. F. Cipriano; M. Â. Schettino; Á. C.  Neto; A. G. Cunha; J. C. C. Freitas. </w:t>
      </w:r>
      <w:r w:rsidR="00DB0A93" w:rsidRPr="00EB3FAA">
        <w:rPr>
          <w:rFonts w:ascii="Times New Roman" w:hAnsi="Times New Roman"/>
          <w:i/>
          <w:iCs/>
          <w:noProof/>
          <w:szCs w:val="24"/>
        </w:rPr>
        <w:t>Mater. Chem. Phys.</w:t>
      </w:r>
      <w:r w:rsidR="00DB0A93" w:rsidRPr="00EB3FAA">
        <w:rPr>
          <w:rFonts w:ascii="Times New Roman" w:hAnsi="Times New Roman"/>
          <w:noProof/>
          <w:szCs w:val="24"/>
        </w:rPr>
        <w:t xml:space="preserve"> </w:t>
      </w:r>
      <w:r w:rsidR="00DB0A93" w:rsidRPr="00EB3FAA">
        <w:rPr>
          <w:rFonts w:ascii="Times New Roman" w:hAnsi="Times New Roman"/>
          <w:b/>
          <w:bCs/>
          <w:noProof/>
          <w:szCs w:val="24"/>
        </w:rPr>
        <w:t>2020</w:t>
      </w:r>
      <w:r w:rsidR="00DB0A93" w:rsidRPr="00EB3FAA">
        <w:rPr>
          <w:rFonts w:ascii="Times New Roman" w:hAnsi="Times New Roman"/>
          <w:noProof/>
          <w:szCs w:val="24"/>
        </w:rPr>
        <w:t xml:space="preserve">, 249, 123173. </w:t>
      </w:r>
      <w:bookmarkEnd w:id="5"/>
    </w:p>
    <w:p w14:paraId="29750CA3" w14:textId="6D0D3A0B" w:rsidR="0094057D" w:rsidRPr="00EB3FAA" w:rsidRDefault="00DB0A93" w:rsidP="0094057D">
      <w:pPr>
        <w:pStyle w:val="TAMainText"/>
        <w:tabs>
          <w:tab w:val="left" w:pos="284"/>
        </w:tabs>
        <w:suppressAutoHyphens w:val="0"/>
        <w:ind w:left="284" w:hanging="284"/>
        <w:rPr>
          <w:rFonts w:ascii="Times New Roman" w:hAnsi="Times New Roman"/>
          <w:lang w:val="pt-BR"/>
        </w:rPr>
      </w:pPr>
      <w:bookmarkStart w:id="6" w:name="_Hlk136855466"/>
      <w:r w:rsidRPr="00EB3FAA">
        <w:rPr>
          <w:rFonts w:ascii="Times New Roman" w:hAnsi="Times New Roman"/>
          <w:noProof/>
          <w:szCs w:val="24"/>
        </w:rPr>
        <w:t>5. M. R</w:t>
      </w:r>
      <w:r w:rsidR="00790926" w:rsidRPr="00EB3FAA">
        <w:rPr>
          <w:rFonts w:ascii="Times New Roman" w:hAnsi="Times New Roman"/>
          <w:noProof/>
          <w:szCs w:val="24"/>
        </w:rPr>
        <w:t>incón</w:t>
      </w:r>
      <w:r w:rsidRPr="00EB3FAA">
        <w:rPr>
          <w:rFonts w:ascii="Times New Roman" w:hAnsi="Times New Roman"/>
          <w:noProof/>
          <w:szCs w:val="24"/>
        </w:rPr>
        <w:t xml:space="preserve">-Joya; A. Raba; J .J. Barba-Ortega. </w:t>
      </w:r>
      <w:r w:rsidRPr="00EB3FAA">
        <w:rPr>
          <w:rFonts w:ascii="Times New Roman" w:hAnsi="Times New Roman"/>
          <w:i/>
          <w:iCs/>
          <w:noProof/>
          <w:szCs w:val="24"/>
        </w:rPr>
        <w:t>Universidad, Cienc. y Tecnol</w:t>
      </w:r>
      <w:r w:rsidRPr="00EB3FAA">
        <w:rPr>
          <w:rFonts w:ascii="Times New Roman" w:hAnsi="Times New Roman"/>
          <w:noProof/>
          <w:szCs w:val="24"/>
        </w:rPr>
        <w:t xml:space="preserve">. </w:t>
      </w:r>
      <w:r w:rsidRPr="00EB3FAA">
        <w:rPr>
          <w:rFonts w:ascii="Times New Roman" w:hAnsi="Times New Roman"/>
          <w:b/>
          <w:bCs/>
          <w:noProof/>
          <w:szCs w:val="24"/>
        </w:rPr>
        <w:t>2016</w:t>
      </w:r>
      <w:r w:rsidRPr="00EB3FAA">
        <w:rPr>
          <w:rFonts w:ascii="Times New Roman" w:hAnsi="Times New Roman"/>
          <w:noProof/>
          <w:szCs w:val="24"/>
        </w:rPr>
        <w:t xml:space="preserve">, 20 (81), 188-192. </w:t>
      </w:r>
      <w:bookmarkEnd w:id="6"/>
      <w:r w:rsidR="00E24F2B" w:rsidRPr="00EB3FAA">
        <w:rPr>
          <w:rFonts w:ascii="Times New Roman" w:hAnsi="Times New Roman"/>
          <w:lang w:val="pt-BR"/>
        </w:rPr>
        <w:fldChar w:fldCharType="end"/>
      </w:r>
    </w:p>
    <w:sectPr w:rsidR="0094057D" w:rsidRPr="00EB3FAA">
      <w:endnotePr>
        <w:numFmt w:val="decimal"/>
      </w:endnotePr>
      <w:type w:val="continuous"/>
      <w:pgSz w:w="11906" w:h="16838"/>
      <w:pgMar w:top="1418" w:right="1094" w:bottom="1418" w:left="567" w:header="709" w:footer="0" w:gutter="0"/>
      <w:cols w:num="2" w:space="708"/>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667C" w14:textId="77777777" w:rsidR="00AE6772" w:rsidRDefault="00AE6772">
      <w:r>
        <w:separator/>
      </w:r>
    </w:p>
  </w:endnote>
  <w:endnote w:type="continuationSeparator" w:id="0">
    <w:p w14:paraId="5EA2EA69" w14:textId="77777777" w:rsidR="00AE6772" w:rsidRDefault="00AE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ED80" w14:textId="77777777" w:rsidR="00AE6772" w:rsidRDefault="00AE6772">
      <w:pPr>
        <w:spacing w:after="0" w:line="240" w:lineRule="auto"/>
      </w:pPr>
      <w:r>
        <w:separator/>
      </w:r>
    </w:p>
  </w:footnote>
  <w:footnote w:type="continuationSeparator" w:id="0">
    <w:p w14:paraId="7BCC664C" w14:textId="77777777" w:rsidR="00AE6772" w:rsidRDefault="00AE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AD75" w14:textId="77777777" w:rsidR="00484719" w:rsidRDefault="0018523E">
    <w:pPr>
      <w:pStyle w:val="Cabealho"/>
      <w:jc w:val="center"/>
    </w:pPr>
    <w:r>
      <w:rPr>
        <w:noProof/>
      </w:rPr>
      <w:drawing>
        <wp:inline distT="0" distB="0" distL="0" distR="0" wp14:anchorId="46E2CA70" wp14:editId="057D0B20">
          <wp:extent cx="1524000" cy="1049655"/>
          <wp:effectExtent l="0" t="0" r="0" b="0"/>
          <wp:docPr id="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8"/>
                  <pic:cNvPicPr>
                    <a:picLocks noChangeAspect="1" noChangeArrowheads="1"/>
                  </pic:cNvPicPr>
                </pic:nvPicPr>
                <pic:blipFill>
                  <a:blip r:embed="rId1"/>
                  <a:srcRect l="15626" t="15706" r="28689" b="16131"/>
                  <a:stretch>
                    <a:fillRect/>
                  </a:stretch>
                </pic:blipFill>
                <pic:spPr bwMode="auto">
                  <a:xfrm>
                    <a:off x="0" y="0"/>
                    <a:ext cx="1524000" cy="1049655"/>
                  </a:xfrm>
                  <a:prstGeom prst="rect">
                    <a:avLst/>
                  </a:prstGeom>
                </pic:spPr>
              </pic:pic>
            </a:graphicData>
          </a:graphic>
        </wp:inline>
      </w:drawing>
    </w:r>
    <w:r>
      <w:t xml:space="preserve">                                                </w:t>
    </w:r>
    <w:r>
      <w:rPr>
        <w:noProof/>
      </w:rPr>
      <w:drawing>
        <wp:inline distT="0" distB="0" distL="0" distR="0" wp14:anchorId="29207556" wp14:editId="5D422C3F">
          <wp:extent cx="1964055" cy="695960"/>
          <wp:effectExtent l="0" t="0" r="0" b="0"/>
          <wp:docPr id="6"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9" descr="Logo do Site"/>
                  <pic:cNvPicPr>
                    <a:picLocks noChangeAspect="1" noChangeArrowheads="1"/>
                  </pic:cNvPicPr>
                </pic:nvPicPr>
                <pic:blipFill>
                  <a:blip r:embed="rId2"/>
                  <a:stretch>
                    <a:fillRect/>
                  </a:stretch>
                </pic:blipFill>
                <pic:spPr bwMode="auto">
                  <a:xfrm>
                    <a:off x="0" y="0"/>
                    <a:ext cx="1964055" cy="695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4BA8"/>
    <w:multiLevelType w:val="multilevel"/>
    <w:tmpl w:val="6ED8B70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773ED1"/>
    <w:multiLevelType w:val="multilevel"/>
    <w:tmpl w:val="0E2615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2117866915">
    <w:abstractNumId w:val="0"/>
  </w:num>
  <w:num w:numId="2" w16cid:durableId="2121874410">
    <w:abstractNumId w:val="1"/>
  </w:num>
  <w:num w:numId="3" w16cid:durableId="1901480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19"/>
    <w:rsid w:val="0001014D"/>
    <w:rsid w:val="00017157"/>
    <w:rsid w:val="00051859"/>
    <w:rsid w:val="00061ED9"/>
    <w:rsid w:val="00061FEC"/>
    <w:rsid w:val="000817C0"/>
    <w:rsid w:val="00084F4A"/>
    <w:rsid w:val="00093CB4"/>
    <w:rsid w:val="000A1234"/>
    <w:rsid w:val="000C4B15"/>
    <w:rsid w:val="000D06CB"/>
    <w:rsid w:val="000D477F"/>
    <w:rsid w:val="000E1F8D"/>
    <w:rsid w:val="00142087"/>
    <w:rsid w:val="0016699B"/>
    <w:rsid w:val="0018523E"/>
    <w:rsid w:val="00193FC7"/>
    <w:rsid w:val="001B103A"/>
    <w:rsid w:val="001C154A"/>
    <w:rsid w:val="001E5BED"/>
    <w:rsid w:val="00215858"/>
    <w:rsid w:val="002225C4"/>
    <w:rsid w:val="00275D3D"/>
    <w:rsid w:val="002770D6"/>
    <w:rsid w:val="002920E6"/>
    <w:rsid w:val="002A588C"/>
    <w:rsid w:val="002B1256"/>
    <w:rsid w:val="002B656A"/>
    <w:rsid w:val="002D0ED8"/>
    <w:rsid w:val="002D21B4"/>
    <w:rsid w:val="002E6A97"/>
    <w:rsid w:val="00351298"/>
    <w:rsid w:val="003521F0"/>
    <w:rsid w:val="00361F91"/>
    <w:rsid w:val="00366436"/>
    <w:rsid w:val="0037555B"/>
    <w:rsid w:val="0039678B"/>
    <w:rsid w:val="003A42BA"/>
    <w:rsid w:val="003D0A14"/>
    <w:rsid w:val="003E4EEF"/>
    <w:rsid w:val="00400335"/>
    <w:rsid w:val="00433450"/>
    <w:rsid w:val="0045217E"/>
    <w:rsid w:val="004717DF"/>
    <w:rsid w:val="00477322"/>
    <w:rsid w:val="00484719"/>
    <w:rsid w:val="00490E5E"/>
    <w:rsid w:val="004A6CF9"/>
    <w:rsid w:val="004B5D79"/>
    <w:rsid w:val="004C1E20"/>
    <w:rsid w:val="004E256A"/>
    <w:rsid w:val="00510335"/>
    <w:rsid w:val="00543858"/>
    <w:rsid w:val="0054652A"/>
    <w:rsid w:val="0055088F"/>
    <w:rsid w:val="00551D3F"/>
    <w:rsid w:val="00580F6B"/>
    <w:rsid w:val="00587F57"/>
    <w:rsid w:val="005B2701"/>
    <w:rsid w:val="005D7654"/>
    <w:rsid w:val="005D7989"/>
    <w:rsid w:val="005F52C2"/>
    <w:rsid w:val="00616702"/>
    <w:rsid w:val="00621AAC"/>
    <w:rsid w:val="00622C58"/>
    <w:rsid w:val="00637267"/>
    <w:rsid w:val="00650EE4"/>
    <w:rsid w:val="006615DC"/>
    <w:rsid w:val="0067201C"/>
    <w:rsid w:val="00692168"/>
    <w:rsid w:val="006B277D"/>
    <w:rsid w:val="006B777D"/>
    <w:rsid w:val="006F4868"/>
    <w:rsid w:val="007055D4"/>
    <w:rsid w:val="007131F7"/>
    <w:rsid w:val="00751B99"/>
    <w:rsid w:val="00772B2C"/>
    <w:rsid w:val="00776C1F"/>
    <w:rsid w:val="00790926"/>
    <w:rsid w:val="007948C8"/>
    <w:rsid w:val="0079741F"/>
    <w:rsid w:val="007D657D"/>
    <w:rsid w:val="007F16D0"/>
    <w:rsid w:val="007F646A"/>
    <w:rsid w:val="00801C59"/>
    <w:rsid w:val="0080447B"/>
    <w:rsid w:val="0081068F"/>
    <w:rsid w:val="00826996"/>
    <w:rsid w:val="0084679F"/>
    <w:rsid w:val="00853F26"/>
    <w:rsid w:val="00857975"/>
    <w:rsid w:val="00887258"/>
    <w:rsid w:val="008B689C"/>
    <w:rsid w:val="008F36B3"/>
    <w:rsid w:val="00902059"/>
    <w:rsid w:val="0091057A"/>
    <w:rsid w:val="0092220B"/>
    <w:rsid w:val="009334BF"/>
    <w:rsid w:val="0093665A"/>
    <w:rsid w:val="0094057D"/>
    <w:rsid w:val="00947692"/>
    <w:rsid w:val="00960CBF"/>
    <w:rsid w:val="00980EEA"/>
    <w:rsid w:val="009B5E12"/>
    <w:rsid w:val="009D3191"/>
    <w:rsid w:val="009E2E5A"/>
    <w:rsid w:val="009F3E8E"/>
    <w:rsid w:val="00A06585"/>
    <w:rsid w:val="00A20F4E"/>
    <w:rsid w:val="00A24025"/>
    <w:rsid w:val="00A75A74"/>
    <w:rsid w:val="00A80F9A"/>
    <w:rsid w:val="00AA3D74"/>
    <w:rsid w:val="00AA4EBC"/>
    <w:rsid w:val="00AB365D"/>
    <w:rsid w:val="00AD62AC"/>
    <w:rsid w:val="00AE2233"/>
    <w:rsid w:val="00AE6772"/>
    <w:rsid w:val="00AF3917"/>
    <w:rsid w:val="00B268F4"/>
    <w:rsid w:val="00B654A2"/>
    <w:rsid w:val="00B9006C"/>
    <w:rsid w:val="00B94A97"/>
    <w:rsid w:val="00BA2726"/>
    <w:rsid w:val="00BE64FA"/>
    <w:rsid w:val="00BE6B15"/>
    <w:rsid w:val="00C07128"/>
    <w:rsid w:val="00C1418A"/>
    <w:rsid w:val="00C40143"/>
    <w:rsid w:val="00C65914"/>
    <w:rsid w:val="00C7712D"/>
    <w:rsid w:val="00C77A37"/>
    <w:rsid w:val="00C8341B"/>
    <w:rsid w:val="00CB0926"/>
    <w:rsid w:val="00CB7075"/>
    <w:rsid w:val="00CC233D"/>
    <w:rsid w:val="00CE0386"/>
    <w:rsid w:val="00CF0B84"/>
    <w:rsid w:val="00D468FE"/>
    <w:rsid w:val="00D5429A"/>
    <w:rsid w:val="00D7679F"/>
    <w:rsid w:val="00D808C8"/>
    <w:rsid w:val="00D91689"/>
    <w:rsid w:val="00D91A90"/>
    <w:rsid w:val="00DA7024"/>
    <w:rsid w:val="00DB0A93"/>
    <w:rsid w:val="00DB5D7E"/>
    <w:rsid w:val="00DC1A48"/>
    <w:rsid w:val="00E009FB"/>
    <w:rsid w:val="00E24EAF"/>
    <w:rsid w:val="00E24F2B"/>
    <w:rsid w:val="00E27AF7"/>
    <w:rsid w:val="00E50BA3"/>
    <w:rsid w:val="00E63C3B"/>
    <w:rsid w:val="00EB3FAA"/>
    <w:rsid w:val="00EB7C1C"/>
    <w:rsid w:val="00EE59FA"/>
    <w:rsid w:val="00F05141"/>
    <w:rsid w:val="00F0796D"/>
    <w:rsid w:val="00F27C91"/>
    <w:rsid w:val="00F5714F"/>
    <w:rsid w:val="00F779EA"/>
    <w:rsid w:val="00F80F59"/>
    <w:rsid w:val="00F92F40"/>
    <w:rsid w:val="00FE388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DB4E"/>
  <w15:docId w15:val="{718E94FE-2B68-40B8-9B38-343FE51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7D"/>
    <w:pPr>
      <w:spacing w:after="160" w:line="300" w:lineRule="auto"/>
    </w:pPr>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semiHidden/>
    <w:qFormat/>
    <w:rsid w:val="00EA4E1B"/>
    <w:rPr>
      <w:vertAlign w:val="superscript"/>
    </w:rPr>
  </w:style>
  <w:style w:type="character" w:styleId="Refdenotaderodap">
    <w:name w:val="footnote reference"/>
    <w:rPr>
      <w:vertAlign w:val="superscript"/>
    </w:rPr>
  </w:style>
  <w:style w:type="character" w:customStyle="1" w:styleId="TextodenotaderodapChar">
    <w:name w:val="Texto de nota de rodapé Char"/>
    <w:basedOn w:val="Fontepargpadro"/>
    <w:link w:val="Textodenotaderodap"/>
    <w:semiHidden/>
    <w:qFormat/>
    <w:rsid w:val="00EA4E1B"/>
    <w:rPr>
      <w:rFonts w:ascii="Times" w:eastAsia="Times New Roman" w:hAnsi="Times" w:cs="Times New Roman"/>
      <w:sz w:val="16"/>
      <w:szCs w:val="20"/>
      <w:lang w:val="en-US" w:eastAsia="pt-BR"/>
    </w:rPr>
  </w:style>
  <w:style w:type="character" w:customStyle="1" w:styleId="Ttulo2Char">
    <w:name w:val="Título 2 Char"/>
    <w:basedOn w:val="Fontepargpadro"/>
    <w:link w:val="Ttulo2"/>
    <w:uiPriority w:val="9"/>
    <w:qFormat/>
    <w:rsid w:val="001F25B2"/>
    <w:rPr>
      <w:rFonts w:asciiTheme="majorHAnsi" w:eastAsiaTheme="majorEastAsia" w:hAnsiTheme="majorHAnsi" w:cstheme="majorBidi"/>
      <w:sz w:val="32"/>
      <w:szCs w:val="32"/>
    </w:rPr>
  </w:style>
  <w:style w:type="character" w:customStyle="1" w:styleId="CabealhoChar">
    <w:name w:val="Cabeçalho Char"/>
    <w:basedOn w:val="Fontepargpadro"/>
    <w:link w:val="Cabealho"/>
    <w:uiPriority w:val="99"/>
    <w:qFormat/>
    <w:rsid w:val="00EA4E1B"/>
  </w:style>
  <w:style w:type="character" w:customStyle="1" w:styleId="RodapChar">
    <w:name w:val="Rodapé Char"/>
    <w:basedOn w:val="Fontepargpadro"/>
    <w:link w:val="Rodap"/>
    <w:uiPriority w:val="99"/>
    <w:qFormat/>
    <w:rsid w:val="00EA4E1B"/>
  </w:style>
  <w:style w:type="character" w:customStyle="1" w:styleId="TextodebaloChar">
    <w:name w:val="Texto de balão Char"/>
    <w:basedOn w:val="Fontepargpadro"/>
    <w:link w:val="Textodebalo"/>
    <w:uiPriority w:val="99"/>
    <w:semiHidden/>
    <w:qFormat/>
    <w:rsid w:val="001E58A9"/>
    <w:rPr>
      <w:rFonts w:ascii="Tahoma" w:hAnsi="Tahoma" w:cs="Tahoma"/>
      <w:sz w:val="16"/>
      <w:szCs w:val="16"/>
    </w:rPr>
  </w:style>
  <w:style w:type="character" w:customStyle="1" w:styleId="TextodenotadefimChar">
    <w:name w:val="Texto de nota de fim Char"/>
    <w:basedOn w:val="Fontepargpadro"/>
    <w:link w:val="Textodenotadefim"/>
    <w:uiPriority w:val="99"/>
    <w:semiHidden/>
    <w:qFormat/>
    <w:rsid w:val="001E58A9"/>
    <w:rPr>
      <w:sz w:val="20"/>
      <w:szCs w:val="20"/>
    </w:rPr>
  </w:style>
  <w:style w:type="character" w:customStyle="1" w:styleId="Caracteresdenotadefim">
    <w:name w:val="Caracteres de nota de fim"/>
    <w:basedOn w:val="Fontepargpadro"/>
    <w:uiPriority w:val="99"/>
    <w:semiHidden/>
    <w:unhideWhenUsed/>
    <w:qFormat/>
    <w:rsid w:val="001E58A9"/>
    <w:rPr>
      <w:vertAlign w:val="superscript"/>
    </w:rPr>
  </w:style>
  <w:style w:type="character" w:styleId="Refdenotadefim">
    <w:name w:val="endnote reference"/>
    <w:rPr>
      <w:vertAlign w:val="superscript"/>
    </w:rPr>
  </w:style>
  <w:style w:type="character" w:customStyle="1" w:styleId="Ttulo1Char">
    <w:name w:val="Título 1 Char"/>
    <w:basedOn w:val="Fontepargpadro"/>
    <w:link w:val="Ttulo1"/>
    <w:uiPriority w:val="9"/>
    <w:qFormat/>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qFormat/>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qFormat/>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qFormat/>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qFormat/>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qFormat/>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qFormat/>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qFormat/>
    <w:rsid w:val="001F25B2"/>
    <w:rPr>
      <w:b/>
      <w:bCs/>
      <w:i/>
      <w:iCs/>
    </w:rPr>
  </w:style>
  <w:style w:type="character" w:customStyle="1" w:styleId="TtuloChar">
    <w:name w:val="Título Char"/>
    <w:basedOn w:val="Fontepargpadro"/>
    <w:link w:val="Ttulo"/>
    <w:uiPriority w:val="10"/>
    <w:qFormat/>
    <w:rsid w:val="001F25B2"/>
    <w:rPr>
      <w:rFonts w:asciiTheme="majorHAnsi" w:eastAsiaTheme="majorEastAsia" w:hAnsiTheme="majorHAnsi" w:cstheme="majorBidi"/>
      <w:caps/>
      <w:color w:val="44546A" w:themeColor="text2"/>
      <w:spacing w:val="30"/>
      <w:sz w:val="72"/>
      <w:szCs w:val="72"/>
    </w:rPr>
  </w:style>
  <w:style w:type="character" w:customStyle="1" w:styleId="SubttuloChar">
    <w:name w:val="Subtítulo Char"/>
    <w:basedOn w:val="Fontepargpadro"/>
    <w:link w:val="Subttulo"/>
    <w:uiPriority w:val="11"/>
    <w:qFormat/>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character" w:customStyle="1" w:styleId="CitaoChar">
    <w:name w:val="Citação Char"/>
    <w:basedOn w:val="Fontepargpadro"/>
    <w:link w:val="Citao"/>
    <w:uiPriority w:val="29"/>
    <w:qFormat/>
    <w:rsid w:val="001F25B2"/>
    <w:rPr>
      <w:i/>
      <w:iCs/>
      <w:color w:val="7B7B7B" w:themeColor="accent3" w:themeShade="BF"/>
      <w:sz w:val="24"/>
      <w:szCs w:val="24"/>
    </w:rPr>
  </w:style>
  <w:style w:type="character" w:customStyle="1" w:styleId="CitaoIntensaChar">
    <w:name w:val="Citação Intensa Char"/>
    <w:basedOn w:val="Fontepargpadro"/>
    <w:link w:val="CitaoIntensa"/>
    <w:uiPriority w:val="30"/>
    <w:qFormat/>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smallCaps/>
      <w:color w:val="404040" w:themeColor="text1" w:themeTint="BF"/>
      <w:spacing w:val="0"/>
      <w:u w:val="single" w:color="7F7F7F"/>
    </w:rPr>
  </w:style>
  <w:style w:type="character" w:styleId="RefernciaIntensa">
    <w:name w:val="Intense Reference"/>
    <w:basedOn w:val="Fontepargpadro"/>
    <w:uiPriority w:val="32"/>
    <w:qFormat/>
    <w:rsid w:val="001F25B2"/>
    <w:rPr>
      <w:b/>
      <w:bCs/>
      <w:smallCaps/>
      <w:color w:val="auto"/>
      <w:spacing w:val="0"/>
      <w:u w:val="single"/>
    </w:rPr>
  </w:style>
  <w:style w:type="character" w:styleId="TtulodoLivro">
    <w:name w:val="Book Title"/>
    <w:basedOn w:val="Fontepargpadro"/>
    <w:uiPriority w:val="33"/>
    <w:qFormat/>
    <w:rsid w:val="001F25B2"/>
    <w:rPr>
      <w:b/>
      <w:bCs/>
      <w:smallCaps/>
      <w:spacing w:val="0"/>
    </w:rPr>
  </w:style>
  <w:style w:type="character" w:styleId="TextodoEspaoReservado">
    <w:name w:val="Placeholder Text"/>
    <w:basedOn w:val="Fontepargpadro"/>
    <w:uiPriority w:val="99"/>
    <w:semiHidden/>
    <w:qFormat/>
    <w:rsid w:val="00255A82"/>
    <w:rPr>
      <w:color w:val="808080"/>
    </w:rPr>
  </w:style>
  <w:style w:type="character" w:styleId="Hyperlink">
    <w:name w:val="Hyperlink"/>
    <w:basedOn w:val="Fontepargpadro"/>
    <w:uiPriority w:val="99"/>
    <w:unhideWhenUsed/>
    <w:rsid w:val="00FE79AD"/>
    <w:rPr>
      <w:color w:val="0563C1" w:themeColor="hyperlink"/>
      <w:u w:val="single"/>
    </w:rPr>
  </w:style>
  <w:style w:type="character" w:styleId="MenoPendente">
    <w:name w:val="Unresolved Mention"/>
    <w:basedOn w:val="Fontepargpadro"/>
    <w:uiPriority w:val="99"/>
    <w:semiHidden/>
    <w:unhideWhenUsed/>
    <w:qFormat/>
    <w:rsid w:val="00FE79AD"/>
    <w:rPr>
      <w:color w:val="605E5C"/>
      <w:shd w:val="clear" w:color="auto" w:fill="E1DFDD"/>
    </w:rPr>
  </w:style>
  <w:style w:type="paragraph" w:styleId="Ttulo">
    <w:name w:val="Title"/>
    <w:basedOn w:val="Normal"/>
    <w:next w:val="Corpodetexto"/>
    <w:link w:val="TtuloChar"/>
    <w:uiPriority w:val="10"/>
    <w:qFormat/>
    <w:rsid w:val="001F25B2"/>
    <w:pPr>
      <w:pBdr>
        <w:top w:val="single" w:sz="6" w:space="8" w:color="A5A5A5"/>
        <w:bottom w:val="single" w:sz="6" w:space="8" w:color="A5A5A5"/>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customStyle="1" w:styleId="ndice">
    <w:name w:val="Índice"/>
    <w:basedOn w:val="Normal"/>
    <w:qFormat/>
    <w:pPr>
      <w:suppressLineNumbers/>
    </w:pPr>
    <w:rPr>
      <w:rFonts w:cs="Lucida Sans"/>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BATitle">
    <w:name w:val="BA_Title"/>
    <w:basedOn w:val="Normal"/>
    <w:next w:val="BBAuthorName"/>
    <w:qFormat/>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qFormat/>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qFormat/>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qFormat/>
    <w:rsid w:val="00EA4E1B"/>
    <w:pPr>
      <w:pBdr>
        <w:top w:val="single" w:sz="6" w:space="0" w:color="800000"/>
        <w:left w:val="single" w:sz="6" w:space="4" w:color="800000"/>
        <w:bottom w:val="single" w:sz="6" w:space="0" w:color="800000"/>
        <w:right w:val="single" w:sz="6" w:space="4" w:color="800000"/>
      </w:pBdr>
      <w:shd w:val="solid" w:color="800000" w:fill="800000"/>
      <w:spacing w:before="0" w:after="320"/>
      <w:ind w:left="86" w:right="130"/>
      <w:jc w:val="center"/>
    </w:pPr>
    <w:rPr>
      <w:color w:val="FFFFFF"/>
      <w:sz w:val="20"/>
    </w:rPr>
  </w:style>
  <w:style w:type="paragraph" w:customStyle="1" w:styleId="BDAbstract">
    <w:name w:val="BD_Abstract"/>
    <w:qFormat/>
    <w:rsid w:val="00EA4E1B"/>
    <w:pPr>
      <w:pBdr>
        <w:bottom w:val="single" w:sz="6" w:space="12" w:color="000000"/>
      </w:pBdr>
      <w:spacing w:before="200" w:after="200" w:line="220" w:lineRule="exact"/>
      <w:jc w:val="both"/>
    </w:pPr>
    <w:rPr>
      <w:rFonts w:ascii="Helvetica" w:eastAsia="Times New Roman" w:hAnsi="Helvetica" w:cs="Times New Roman"/>
      <w:b/>
      <w:sz w:val="18"/>
      <w:szCs w:val="20"/>
      <w:lang w:val="en-US" w:eastAsia="pt-BR"/>
    </w:rPr>
  </w:style>
  <w:style w:type="paragraph" w:customStyle="1" w:styleId="TFReferencesSection">
    <w:name w:val="TF_References_Section"/>
    <w:basedOn w:val="Normal"/>
    <w:qFormat/>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qFormat/>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qFormat/>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qFormat/>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qFormat/>
    <w:rsid w:val="00EA4E1B"/>
    <w:pPr>
      <w:jc w:val="both"/>
    </w:pPr>
  </w:style>
  <w:style w:type="paragraph" w:customStyle="1" w:styleId="CabealhoeRodap">
    <w:name w:val="Cabeçalho e Rodapé"/>
    <w:basedOn w:val="Normal"/>
    <w:qFormat/>
  </w:style>
  <w:style w:type="paragraph" w:styleId="Cabealho">
    <w:name w:val="header"/>
    <w:basedOn w:val="Normal"/>
    <w:link w:val="CabealhoChar"/>
    <w:unhideWhenUsed/>
    <w:rsid w:val="00EA4E1B"/>
    <w:pPr>
      <w:tabs>
        <w:tab w:val="center" w:pos="4252"/>
        <w:tab w:val="right" w:pos="8504"/>
      </w:tabs>
      <w:spacing w:after="0" w:line="240" w:lineRule="auto"/>
    </w:pPr>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E58A9"/>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paragraph" w:styleId="Subttulo">
    <w:name w:val="Subtitle"/>
    <w:basedOn w:val="Normal"/>
    <w:next w:val="Normal"/>
    <w:link w:val="SubttuloChar"/>
    <w:uiPriority w:val="11"/>
    <w:qFormat/>
    <w:rsid w:val="001F25B2"/>
    <w:pPr>
      <w:jc w:val="center"/>
    </w:pPr>
    <w:rPr>
      <w:color w:val="44546A" w:themeColor="text2"/>
      <w:sz w:val="28"/>
      <w:szCs w:val="28"/>
    </w:rPr>
  </w:style>
  <w:style w:type="paragraph" w:styleId="SemEspaamento">
    <w:name w:val="No Spacing"/>
    <w:uiPriority w:val="1"/>
    <w:qFormat/>
    <w:rsid w:val="001F25B2"/>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paragraph" w:styleId="Ttulodendiceremissivo">
    <w:name w:val="index heading"/>
    <w:basedOn w:val="Ttulo"/>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864A40"/>
    <w:pPr>
      <w:ind w:left="720"/>
      <w:contextualSpacing/>
    </w:pPr>
  </w:style>
  <w:style w:type="paragraph" w:customStyle="1" w:styleId="Contedodoquadro">
    <w:name w:val="Conteúdo do quadro"/>
    <w:basedOn w:val="Normal"/>
    <w:qFormat/>
  </w:style>
  <w:style w:type="table" w:styleId="TabeladeGradeClara">
    <w:name w:val="Grid Table Light"/>
    <w:basedOn w:val="Tabelanormal"/>
    <w:uiPriority w:val="40"/>
    <w:rsid w:val="008B3559"/>
    <w:pPr>
      <w:jc w:val="both"/>
    </w:pPr>
    <w:rPr>
      <w:rFonts w:eastAsiaTheme="minorHAnsi"/>
      <w:sz w:val="24"/>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elacomgrade">
    <w:name w:val="Table Grid"/>
    <w:basedOn w:val="Tabelanormal"/>
    <w:uiPriority w:val="39"/>
    <w:rsid w:val="0014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142087"/>
    <w:pPr>
      <w:suppressAutoHyphens w:val="0"/>
      <w:jc w:val="both"/>
    </w:pPr>
    <w:rPr>
      <w:rFonts w:ascii="Arial" w:eastAsiaTheme="minorHAnsi" w:hAnsi="Arial"/>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ixofc@liv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1DA4D-AEB5-430F-ABE0-A219305A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3567</Words>
  <Characters>19264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dc:description/>
  <cp:lastModifiedBy>Fabio Aleixo</cp:lastModifiedBy>
  <cp:revision>7</cp:revision>
  <cp:lastPrinted>2023-05-07T11:47:00Z</cp:lastPrinted>
  <dcterms:created xsi:type="dcterms:W3CDTF">2023-08-04T20:53:00Z</dcterms:created>
  <dcterms:modified xsi:type="dcterms:W3CDTF">2023-08-05T00:49:00Z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http://www.zotero.org/styles/american-sociological-association</vt:lpwstr>
  </property>
  <property fmtid="{D5CDD505-2E9C-101B-9397-08002B2CF9AE}" pid="6" name="Mendeley Recent Style Id 2_1">
    <vt:lpwstr>http://www.zotero.org/styles/chicago-author-date</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http://www.zotero.org/styles/ieee</vt:lpwstr>
  </property>
  <property fmtid="{D5CDD505-2E9C-101B-9397-08002B2CF9AE}" pid="9" name="Mendeley Recent Style Id 5_1">
    <vt:lpwstr>http://www.zotero.org/styles/modern-humanities-research-association</vt:lpwstr>
  </property>
  <property fmtid="{D5CDD505-2E9C-101B-9397-08002B2CF9AE}" pid="10" name="Mendeley Recent Style Id 6_1">
    <vt:lpwstr>http://www.zotero.org/styles/modern-language-association</vt:lpwstr>
  </property>
  <property fmtid="{D5CDD505-2E9C-101B-9397-08002B2CF9AE}" pid="11" name="Mendeley Recent Style Id 7_1">
    <vt:lpwstr>http://www.zotero.org/styles/universidade-estadual-de-alagoas-abnt</vt:lpwstr>
  </property>
  <property fmtid="{D5CDD505-2E9C-101B-9397-08002B2CF9AE}" pid="12" name="Mendeley Recent Style Id 8_1">
    <vt:lpwstr>http://www.zotero.org/styles/universidade-federal-do-espirito-santo-abnt-initials</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Sociological Association 6th edition</vt:lpwstr>
  </property>
  <property fmtid="{D5CDD505-2E9C-101B-9397-08002B2CF9AE}" pid="16" name="Mendeley Recent Style Name 2_1">
    <vt:lpwstr>Chicago Manual of Style 17th edition (author-date)</vt:lpwstr>
  </property>
  <property fmtid="{D5CDD505-2E9C-101B-9397-08002B2CF9AE}" pid="17" name="Mendeley Recent Style Name 3_1">
    <vt:lpwstr>Cite Them Right 10th edition - Harvard</vt:lpwstr>
  </property>
  <property fmtid="{D5CDD505-2E9C-101B-9397-08002B2CF9AE}" pid="18" name="Mendeley Recent Style Name 4_1">
    <vt:lpwstr>IEEE</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Name 6_1">
    <vt:lpwstr>Modern Language Association 8th edition</vt:lpwstr>
  </property>
  <property fmtid="{D5CDD505-2E9C-101B-9397-08002B2CF9AE}" pid="21" name="Mendeley Recent Style Name 7_1">
    <vt:lpwstr>Universidade Estadual de Alagoas - ABNT (Português - Brasil)</vt:lpwstr>
  </property>
  <property fmtid="{D5CDD505-2E9C-101B-9397-08002B2CF9AE}" pid="22" name="Mendeley Recent Style Name 8_1">
    <vt:lpwstr>Universidade Federal do Espírito Santo - ABNT (autoria abreviada) (Português - Brasil)</vt:lpwstr>
  </property>
  <property fmtid="{D5CDD505-2E9C-101B-9397-08002B2CF9AE}" pid="23" name="Mendeley Recent Style Name 9_1">
    <vt:lpwstr>Vancouver</vt:lpwstr>
  </property>
  <property fmtid="{D5CDD505-2E9C-101B-9397-08002B2CF9AE}" pid="24" name="Mendeley Unique User Id_1">
    <vt:lpwstr>0483f752-7add-37be-bdf2-7f8eea4c2921</vt:lpwstr>
  </property>
</Properties>
</file>