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62147131" w:rsidR="00EA4E1B" w:rsidRPr="009D3206" w:rsidRDefault="00374CF8" w:rsidP="00D86FB7">
      <w:pPr>
        <w:pStyle w:val="BATitle"/>
        <w:spacing w:before="0" w:line="240" w:lineRule="auto"/>
        <w:ind w:right="0"/>
        <w:jc w:val="both"/>
        <w:rPr>
          <w:sz w:val="32"/>
          <w:lang w:val="pt-BR"/>
        </w:rPr>
      </w:pPr>
      <w:r w:rsidRPr="009D3206">
        <w:rPr>
          <w:sz w:val="32"/>
          <w:lang w:val="pt-BR"/>
        </w:rPr>
        <w:t>Desenvolvimento de novos sistemas catalíticos contendo ligante</w:t>
      </w:r>
      <w:r w:rsidR="00345826">
        <w:rPr>
          <w:sz w:val="32"/>
          <w:lang w:val="pt-BR"/>
        </w:rPr>
        <w:t>s</w:t>
      </w:r>
      <w:r w:rsidRPr="009D3206">
        <w:rPr>
          <w:sz w:val="32"/>
          <w:lang w:val="pt-BR"/>
        </w:rPr>
        <w:t xml:space="preserve"> </w:t>
      </w:r>
      <w:r w:rsidR="00D86FB7" w:rsidRPr="00D86FB7">
        <w:rPr>
          <w:sz w:val="32"/>
          <w:lang w:val="pt-BR"/>
        </w:rPr>
        <w:t>N,N-quelantes</w:t>
      </w:r>
      <w:r w:rsidR="00D86FB7">
        <w:rPr>
          <w:sz w:val="32"/>
          <w:lang w:val="pt-BR"/>
        </w:rPr>
        <w:t xml:space="preserve"> </w:t>
      </w:r>
      <w:r w:rsidRPr="009D3206">
        <w:rPr>
          <w:sz w:val="32"/>
          <w:lang w:val="pt-BR"/>
        </w:rPr>
        <w:t>visando a oligomerização de etileno</w:t>
      </w:r>
    </w:p>
    <w:p w14:paraId="18735493" w14:textId="2F8EAF87" w:rsidR="00EA4E1B" w:rsidRPr="001F25B2" w:rsidRDefault="00374CF8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Bruna P. Nicola</w:t>
      </w:r>
      <w:proofErr w:type="gramStart"/>
      <w:r w:rsidRPr="00374CF8">
        <w:rPr>
          <w:rFonts w:ascii="Times New Roman" w:hAnsi="Times New Roman"/>
          <w:sz w:val="20"/>
          <w:vertAlign w:val="superscript"/>
          <w:lang w:val="pt-BR"/>
        </w:rPr>
        <w:t>1,*</w:t>
      </w:r>
      <w:proofErr w:type="gramEnd"/>
      <w:r>
        <w:rPr>
          <w:rFonts w:ascii="Times New Roman" w:hAnsi="Times New Roman"/>
          <w:sz w:val="20"/>
          <w:lang w:val="pt-BR"/>
        </w:rPr>
        <w:t>, Douglas B. Paixão</w:t>
      </w:r>
      <w:r w:rsidRPr="00374CF8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Christian W. Lopes</w:t>
      </w:r>
      <w:r w:rsidR="000C3258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Paulo H. Schneider</w:t>
      </w:r>
      <w:r w:rsidRPr="00374CF8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Katia Bernardo-Gusmão</w:t>
      </w:r>
      <w:r w:rsidRPr="00374CF8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 </w:t>
      </w:r>
    </w:p>
    <w:p w14:paraId="22D38595" w14:textId="03234C2F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374CF8">
        <w:rPr>
          <w:vertAlign w:val="superscript"/>
          <w:lang w:val="pt-BR"/>
        </w:rPr>
        <w:t xml:space="preserve"> </w:t>
      </w:r>
      <w:r w:rsidR="00374CF8">
        <w:rPr>
          <w:lang w:val="pt-BR"/>
        </w:rPr>
        <w:t>Instit</w:t>
      </w:r>
      <w:r w:rsidR="00374CF8" w:rsidRPr="00374CF8">
        <w:rPr>
          <w:lang w:val="pt-BR"/>
        </w:rPr>
        <w:t>uto de Química, Universidade Federal do Rio Grande do Sul (UFRGS), 91501-970, Porto Alegre-RS, Brasil.</w:t>
      </w:r>
    </w:p>
    <w:p w14:paraId="7AC9CD6B" w14:textId="54A2C318" w:rsidR="00374CF8" w:rsidRDefault="00374CF8" w:rsidP="00374CF8">
      <w:pPr>
        <w:pStyle w:val="BCAuthorAddress"/>
        <w:spacing w:after="0"/>
        <w:ind w:right="0"/>
        <w:jc w:val="both"/>
        <w:rPr>
          <w:lang w:val="pt-BR"/>
        </w:rPr>
      </w:pPr>
      <w:r w:rsidRPr="00374CF8">
        <w:rPr>
          <w:vertAlign w:val="superscript"/>
          <w:lang w:val="pt-BR"/>
        </w:rPr>
        <w:t xml:space="preserve">2 </w:t>
      </w:r>
      <w:r>
        <w:rPr>
          <w:lang w:val="pt-BR"/>
        </w:rPr>
        <w:t xml:space="preserve">Departamento de Química, Universidade Federal do Paraná (UFPR), </w:t>
      </w:r>
      <w:r w:rsidRPr="00374CF8">
        <w:rPr>
          <w:lang w:val="pt-BR"/>
        </w:rPr>
        <w:t xml:space="preserve">81531-990, </w:t>
      </w:r>
      <w:r w:rsidR="000C3258" w:rsidRPr="00374CF8">
        <w:rPr>
          <w:lang w:val="pt-BR"/>
        </w:rPr>
        <w:t>Curitiba</w:t>
      </w:r>
      <w:r w:rsidR="000C3258">
        <w:rPr>
          <w:lang w:val="pt-BR"/>
        </w:rPr>
        <w:t>-PR</w:t>
      </w:r>
      <w:r w:rsidR="000C3258" w:rsidRPr="00374CF8">
        <w:rPr>
          <w:lang w:val="pt-BR"/>
        </w:rPr>
        <w:t>,</w:t>
      </w:r>
      <w:r w:rsidR="000C3258">
        <w:rPr>
          <w:lang w:val="pt-BR"/>
        </w:rPr>
        <w:t xml:space="preserve"> </w:t>
      </w:r>
      <w:r w:rsidRPr="00374CF8">
        <w:rPr>
          <w:lang w:val="pt-BR"/>
        </w:rPr>
        <w:t>Bra</w:t>
      </w:r>
      <w:r w:rsidR="000C3258">
        <w:rPr>
          <w:lang w:val="pt-BR"/>
        </w:rPr>
        <w:t>s</w:t>
      </w:r>
      <w:r w:rsidRPr="00374CF8">
        <w:rPr>
          <w:lang w:val="pt-BR"/>
        </w:rPr>
        <w:t>il.</w:t>
      </w:r>
    </w:p>
    <w:p w14:paraId="79BB83ED" w14:textId="7D9D7E98" w:rsidR="00F81EF4" w:rsidRPr="00F81EF4" w:rsidRDefault="00F81EF4" w:rsidP="00F81EF4">
      <w:pPr>
        <w:pStyle w:val="BCAuthorAddress"/>
        <w:spacing w:after="0"/>
        <w:ind w:right="0"/>
        <w:jc w:val="both"/>
        <w:rPr>
          <w:lang w:val="pt-BR"/>
        </w:rPr>
      </w:pPr>
      <w:r w:rsidRPr="00F81EF4">
        <w:rPr>
          <w:vertAlign w:val="superscript"/>
          <w:lang w:val="pt-BR"/>
        </w:rPr>
        <w:t xml:space="preserve">* </w:t>
      </w:r>
      <w:r w:rsidRPr="00F81EF4">
        <w:rPr>
          <w:lang w:val="pt-BR"/>
        </w:rPr>
        <w:t>brunanicola@gmail.com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8102C" w14:textId="071D668E" w:rsidR="00AF0400" w:rsidRPr="008C1B30" w:rsidRDefault="008C1B30" w:rsidP="00F713CB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7638102C" w14:textId="071D668E" w:rsidR="00AF0400" w:rsidRPr="008C1B30" w:rsidRDefault="008C1B30" w:rsidP="00F713CB">
                      <w:pPr>
                        <w:pStyle w:val="BDAbstract"/>
                        <w:spacing w:before="0" w:after="0" w:line="240" w:lineRule="auto"/>
                        <w:jc w:val="center"/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20E40DEF" w:rsidR="00EA4E1B" w:rsidRPr="00706B0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477E72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477E72">
        <w:rPr>
          <w:rFonts w:ascii="Times New Roman" w:hAnsi="Times New Roman"/>
          <w:b w:val="0"/>
          <w:sz w:val="20"/>
          <w:lang w:val="pt-BR"/>
        </w:rPr>
        <w:t xml:space="preserve">Três complexos de níquel foram sintetizados a partir dos ligantes </w:t>
      </w:r>
      <w:r w:rsidR="000D378F">
        <w:rPr>
          <w:rFonts w:ascii="Times New Roman" w:hAnsi="Times New Roman"/>
          <w:b w:val="0"/>
          <w:sz w:val="20"/>
          <w:lang w:val="pt-BR"/>
        </w:rPr>
        <w:t>2,2’-dipiridilamina</w:t>
      </w:r>
      <w:r w:rsidR="00345826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345826" w:rsidRPr="004A0113">
        <w:rPr>
          <w:rFonts w:ascii="Times New Roman" w:hAnsi="Times New Roman"/>
          <w:b w:val="0"/>
          <w:i/>
          <w:iCs/>
          <w:sz w:val="20"/>
          <w:lang w:val="pt-BR"/>
        </w:rPr>
        <w:t>dpa</w:t>
      </w:r>
      <w:proofErr w:type="spellEnd"/>
      <w:r w:rsidR="00345826">
        <w:rPr>
          <w:rFonts w:ascii="Times New Roman" w:hAnsi="Times New Roman"/>
          <w:b w:val="0"/>
          <w:sz w:val="20"/>
          <w:lang w:val="pt-BR"/>
        </w:rPr>
        <w:t>)</w:t>
      </w:r>
      <w:r w:rsidR="000D378F">
        <w:rPr>
          <w:rFonts w:ascii="Times New Roman" w:hAnsi="Times New Roman"/>
          <w:b w:val="0"/>
          <w:sz w:val="20"/>
          <w:lang w:val="pt-BR"/>
        </w:rPr>
        <w:t>, 2,2’-bipiridina</w:t>
      </w:r>
      <w:r w:rsidR="00345826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345826" w:rsidRPr="004A0113">
        <w:rPr>
          <w:rFonts w:ascii="Times New Roman" w:hAnsi="Times New Roman"/>
          <w:b w:val="0"/>
          <w:i/>
          <w:iCs/>
          <w:sz w:val="20"/>
          <w:lang w:val="pt-BR"/>
        </w:rPr>
        <w:t>bpy</w:t>
      </w:r>
      <w:proofErr w:type="spellEnd"/>
      <w:r w:rsidR="00345826">
        <w:rPr>
          <w:rFonts w:ascii="Times New Roman" w:hAnsi="Times New Roman"/>
          <w:b w:val="0"/>
          <w:sz w:val="20"/>
          <w:lang w:val="pt-BR"/>
        </w:rPr>
        <w:t>)</w:t>
      </w:r>
      <w:r w:rsidR="000D378F">
        <w:rPr>
          <w:rFonts w:ascii="Times New Roman" w:hAnsi="Times New Roman"/>
          <w:b w:val="0"/>
          <w:sz w:val="20"/>
          <w:lang w:val="pt-BR"/>
        </w:rPr>
        <w:t xml:space="preserve"> e 1,10-fenantrolina</w:t>
      </w:r>
      <w:r w:rsidR="00345826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345826" w:rsidRPr="004A0113">
        <w:rPr>
          <w:rFonts w:ascii="Times New Roman" w:hAnsi="Times New Roman"/>
          <w:b w:val="0"/>
          <w:i/>
          <w:iCs/>
          <w:sz w:val="20"/>
          <w:lang w:val="pt-BR"/>
        </w:rPr>
        <w:t>phen</w:t>
      </w:r>
      <w:proofErr w:type="spellEnd"/>
      <w:r w:rsidR="00345826">
        <w:rPr>
          <w:rFonts w:ascii="Times New Roman" w:hAnsi="Times New Roman"/>
          <w:b w:val="0"/>
          <w:sz w:val="20"/>
          <w:lang w:val="pt-BR"/>
        </w:rPr>
        <w:t>)</w:t>
      </w:r>
      <w:r w:rsidR="000D378F">
        <w:rPr>
          <w:rFonts w:ascii="Times New Roman" w:hAnsi="Times New Roman"/>
          <w:b w:val="0"/>
          <w:sz w:val="20"/>
          <w:lang w:val="pt-BR"/>
        </w:rPr>
        <w:t xml:space="preserve">. </w:t>
      </w:r>
      <w:r w:rsidR="00E57489">
        <w:rPr>
          <w:rFonts w:ascii="Times New Roman" w:hAnsi="Times New Roman"/>
          <w:b w:val="0"/>
          <w:sz w:val="20"/>
          <w:lang w:val="pt-BR"/>
        </w:rPr>
        <w:t>Estes foram testados como precursores catalíticos na reação de oligomerização do etileno e tiveram seus desempenhos comparado</w:t>
      </w:r>
      <w:r w:rsidR="00F76A0A">
        <w:rPr>
          <w:rFonts w:ascii="Times New Roman" w:hAnsi="Times New Roman"/>
          <w:b w:val="0"/>
          <w:sz w:val="20"/>
          <w:lang w:val="pt-BR"/>
        </w:rPr>
        <w:t xml:space="preserve">s. O </w:t>
      </w:r>
      <w:r w:rsidR="00E12A56">
        <w:rPr>
          <w:rFonts w:ascii="Times New Roman" w:hAnsi="Times New Roman"/>
          <w:b w:val="0"/>
          <w:sz w:val="20"/>
          <w:lang w:val="pt-BR"/>
        </w:rPr>
        <w:t>complexo [Ni(</w:t>
      </w:r>
      <w:proofErr w:type="spellStart"/>
      <w:r w:rsidR="00E12A56" w:rsidRPr="004A0113">
        <w:rPr>
          <w:rFonts w:ascii="Times New Roman" w:hAnsi="Times New Roman"/>
          <w:b w:val="0"/>
          <w:i/>
          <w:iCs/>
          <w:sz w:val="20"/>
          <w:lang w:val="pt-BR"/>
        </w:rPr>
        <w:t>dpa</w:t>
      </w:r>
      <w:proofErr w:type="spellEnd"/>
      <w:r w:rsidR="00E12A56">
        <w:rPr>
          <w:rFonts w:ascii="Times New Roman" w:hAnsi="Times New Roman"/>
          <w:b w:val="0"/>
          <w:sz w:val="20"/>
          <w:lang w:val="pt-BR"/>
        </w:rPr>
        <w:t>)Br</w:t>
      </w:r>
      <w:r w:rsidR="00E12A56" w:rsidRPr="00DD013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E12A56">
        <w:rPr>
          <w:rFonts w:ascii="Times New Roman" w:hAnsi="Times New Roman"/>
          <w:b w:val="0"/>
          <w:sz w:val="20"/>
          <w:lang w:val="pt-BR"/>
        </w:rPr>
        <w:t>]</w:t>
      </w:r>
      <w:r w:rsidR="00DD0135">
        <w:rPr>
          <w:rFonts w:ascii="Times New Roman" w:hAnsi="Times New Roman"/>
          <w:b w:val="0"/>
          <w:sz w:val="20"/>
          <w:lang w:val="pt-BR"/>
        </w:rPr>
        <w:t xml:space="preserve">, até então pouco estudado nesta área, demonstrou </w:t>
      </w:r>
      <w:r w:rsidR="00B91AAC">
        <w:rPr>
          <w:rFonts w:ascii="Times New Roman" w:hAnsi="Times New Roman"/>
          <w:b w:val="0"/>
          <w:sz w:val="20"/>
          <w:lang w:val="pt-BR"/>
        </w:rPr>
        <w:t>valores de atividade e seletividade</w:t>
      </w:r>
      <w:r w:rsidR="00345826">
        <w:rPr>
          <w:rFonts w:ascii="Times New Roman" w:hAnsi="Times New Roman"/>
          <w:b w:val="0"/>
          <w:sz w:val="20"/>
          <w:lang w:val="pt-BR"/>
        </w:rPr>
        <w:t>s</w:t>
      </w:r>
      <w:r w:rsidR="00B91AAC">
        <w:rPr>
          <w:rFonts w:ascii="Times New Roman" w:hAnsi="Times New Roman"/>
          <w:b w:val="0"/>
          <w:sz w:val="20"/>
          <w:lang w:val="pt-BR"/>
        </w:rPr>
        <w:t xml:space="preserve"> comparáveis aos complexos sintetizados a partir dos ligantes </w:t>
      </w:r>
      <w:proofErr w:type="spellStart"/>
      <w:r w:rsidR="00B91AAC" w:rsidRPr="004A0113">
        <w:rPr>
          <w:rFonts w:ascii="Times New Roman" w:hAnsi="Times New Roman"/>
          <w:b w:val="0"/>
          <w:i/>
          <w:iCs/>
          <w:sz w:val="20"/>
          <w:lang w:val="pt-BR"/>
        </w:rPr>
        <w:t>bpy</w:t>
      </w:r>
      <w:proofErr w:type="spellEnd"/>
      <w:r w:rsidR="00B91AAC">
        <w:rPr>
          <w:rFonts w:ascii="Times New Roman" w:hAnsi="Times New Roman"/>
          <w:b w:val="0"/>
          <w:sz w:val="20"/>
          <w:lang w:val="pt-BR"/>
        </w:rPr>
        <w:t xml:space="preserve"> e </w:t>
      </w:r>
      <w:proofErr w:type="spellStart"/>
      <w:r w:rsidR="00B91AAC" w:rsidRPr="004A0113">
        <w:rPr>
          <w:rFonts w:ascii="Times New Roman" w:hAnsi="Times New Roman"/>
          <w:b w:val="0"/>
          <w:i/>
          <w:iCs/>
          <w:sz w:val="20"/>
          <w:lang w:val="pt-BR"/>
        </w:rPr>
        <w:t>phen</w:t>
      </w:r>
      <w:proofErr w:type="spellEnd"/>
      <w:r w:rsidR="00706B0C">
        <w:rPr>
          <w:rFonts w:ascii="Times New Roman" w:hAnsi="Times New Roman"/>
          <w:b w:val="0"/>
          <w:sz w:val="20"/>
          <w:lang w:val="pt-BR"/>
        </w:rPr>
        <w:t>, sendo o melhor resultado com razão Al/Ni=</w:t>
      </w:r>
      <w:r w:rsidR="0008686D">
        <w:rPr>
          <w:rFonts w:ascii="Times New Roman" w:hAnsi="Times New Roman"/>
          <w:b w:val="0"/>
          <w:sz w:val="20"/>
          <w:lang w:val="pt-BR"/>
        </w:rPr>
        <w:t>100</w:t>
      </w:r>
      <w:r w:rsidR="00706B0C">
        <w:rPr>
          <w:rFonts w:ascii="Times New Roman" w:hAnsi="Times New Roman"/>
          <w:b w:val="0"/>
          <w:sz w:val="20"/>
          <w:lang w:val="pt-BR"/>
        </w:rPr>
        <w:t xml:space="preserve">, apresentando </w:t>
      </w:r>
      <w:r w:rsidR="00345826">
        <w:rPr>
          <w:rFonts w:ascii="Times New Roman" w:hAnsi="Times New Roman"/>
          <w:b w:val="0"/>
          <w:sz w:val="20"/>
          <w:lang w:val="pt-BR"/>
        </w:rPr>
        <w:t>uma</w:t>
      </w:r>
      <w:r w:rsidR="00706B0C">
        <w:rPr>
          <w:rFonts w:ascii="Times New Roman" w:hAnsi="Times New Roman"/>
          <w:b w:val="0"/>
          <w:sz w:val="20"/>
          <w:lang w:val="pt-BR"/>
        </w:rPr>
        <w:t xml:space="preserve"> atividade catalítica de </w:t>
      </w:r>
      <w:r w:rsidR="0008686D">
        <w:rPr>
          <w:rFonts w:ascii="Times New Roman" w:hAnsi="Times New Roman"/>
          <w:b w:val="0"/>
          <w:sz w:val="20"/>
          <w:lang w:val="pt-BR"/>
        </w:rPr>
        <w:t xml:space="preserve">82 </w:t>
      </w:r>
      <w:r w:rsidR="00706B0C">
        <w:rPr>
          <w:rFonts w:ascii="Times New Roman" w:hAnsi="Times New Roman"/>
          <w:b w:val="0"/>
          <w:sz w:val="20"/>
          <w:lang w:val="pt-BR"/>
        </w:rPr>
        <w:t>s</w:t>
      </w:r>
      <w:r w:rsidR="00706B0C" w:rsidRPr="00706B0C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706B0C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4D09C02F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AB2AEF">
        <w:rPr>
          <w:rFonts w:ascii="Times New Roman" w:hAnsi="Times New Roman"/>
          <w:b w:val="0"/>
          <w:i/>
          <w:sz w:val="20"/>
          <w:lang w:val="pt-BR"/>
        </w:rPr>
        <w:t xml:space="preserve">2,2’-dipiridilamina, </w:t>
      </w:r>
      <w:r w:rsidR="00D175ED">
        <w:rPr>
          <w:rFonts w:ascii="Times New Roman" w:hAnsi="Times New Roman"/>
          <w:b w:val="0"/>
          <w:i/>
          <w:sz w:val="20"/>
          <w:lang w:val="pt-BR"/>
        </w:rPr>
        <w:t>complexos de níquel, oligomerização do etileno, alfa-olefinas</w:t>
      </w:r>
      <w:r w:rsidR="001160E6">
        <w:rPr>
          <w:rFonts w:ascii="Times New Roman" w:hAnsi="Times New Roman"/>
          <w:b w:val="0"/>
          <w:i/>
          <w:sz w:val="20"/>
          <w:lang w:val="pt-BR"/>
        </w:rPr>
        <w:t xml:space="preserve"> lineares</w:t>
      </w:r>
      <w:r w:rsidR="00477E72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11C7EE2" w:rsidR="00EA4E1B" w:rsidRPr="00ED0A0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D0A0C">
        <w:rPr>
          <w:rFonts w:ascii="Times New Roman" w:hAnsi="Times New Roman"/>
          <w:b w:val="0"/>
          <w:sz w:val="20"/>
        </w:rPr>
        <w:t xml:space="preserve">ABSTRACT - </w:t>
      </w:r>
      <w:r w:rsidR="00ED0A0C" w:rsidRPr="00ED0A0C">
        <w:rPr>
          <w:rFonts w:ascii="Times New Roman" w:hAnsi="Times New Roman"/>
          <w:b w:val="0"/>
          <w:sz w:val="20"/>
        </w:rPr>
        <w:t>Three nickel complexes were synthesized using the ligands 2,2'-dipyridylamine</w:t>
      </w:r>
      <w:r w:rsidR="006F42AA">
        <w:rPr>
          <w:rFonts w:ascii="Times New Roman" w:hAnsi="Times New Roman"/>
          <w:b w:val="0"/>
          <w:sz w:val="20"/>
        </w:rPr>
        <w:t xml:space="preserve"> </w:t>
      </w:r>
      <w:r w:rsidR="006F42AA" w:rsidRPr="004A0113">
        <w:rPr>
          <w:rFonts w:ascii="Times New Roman" w:hAnsi="Times New Roman"/>
          <w:b w:val="0"/>
          <w:sz w:val="20"/>
        </w:rPr>
        <w:t>(</w:t>
      </w:r>
      <w:r w:rsidR="006F42AA" w:rsidRPr="004A0113">
        <w:rPr>
          <w:rFonts w:ascii="Times New Roman" w:hAnsi="Times New Roman"/>
          <w:b w:val="0"/>
          <w:i/>
          <w:iCs/>
          <w:sz w:val="20"/>
        </w:rPr>
        <w:t>dpa</w:t>
      </w:r>
      <w:r w:rsidR="006F42AA" w:rsidRPr="004A0113">
        <w:rPr>
          <w:rFonts w:ascii="Times New Roman" w:hAnsi="Times New Roman"/>
          <w:b w:val="0"/>
          <w:sz w:val="20"/>
        </w:rPr>
        <w:t>)</w:t>
      </w:r>
      <w:r w:rsidR="00ED0A0C" w:rsidRPr="00ED0A0C">
        <w:rPr>
          <w:rFonts w:ascii="Times New Roman" w:hAnsi="Times New Roman"/>
          <w:b w:val="0"/>
          <w:sz w:val="20"/>
        </w:rPr>
        <w:t>, 2,2'-bipyridine</w:t>
      </w:r>
      <w:r w:rsidR="006F42AA" w:rsidRPr="004A0113">
        <w:rPr>
          <w:rFonts w:ascii="Times New Roman" w:hAnsi="Times New Roman"/>
          <w:b w:val="0"/>
          <w:sz w:val="20"/>
        </w:rPr>
        <w:t xml:space="preserve"> (</w:t>
      </w:r>
      <w:proofErr w:type="spellStart"/>
      <w:r w:rsidR="006F42AA" w:rsidRPr="004A0113">
        <w:rPr>
          <w:rFonts w:ascii="Times New Roman" w:hAnsi="Times New Roman"/>
          <w:b w:val="0"/>
          <w:i/>
          <w:iCs/>
          <w:sz w:val="20"/>
        </w:rPr>
        <w:t>bpy</w:t>
      </w:r>
      <w:proofErr w:type="spellEnd"/>
      <w:r w:rsidR="006F42AA" w:rsidRPr="004A0113">
        <w:rPr>
          <w:rFonts w:ascii="Times New Roman" w:hAnsi="Times New Roman"/>
          <w:b w:val="0"/>
          <w:sz w:val="20"/>
        </w:rPr>
        <w:t>)</w:t>
      </w:r>
      <w:r w:rsidR="00ED0A0C" w:rsidRPr="00ED0A0C">
        <w:rPr>
          <w:rFonts w:ascii="Times New Roman" w:hAnsi="Times New Roman"/>
          <w:b w:val="0"/>
          <w:sz w:val="20"/>
        </w:rPr>
        <w:t>, and 1,10-phenanthroline</w:t>
      </w:r>
      <w:r w:rsidR="006F42AA" w:rsidRPr="004A0113">
        <w:rPr>
          <w:rFonts w:ascii="Times New Roman" w:hAnsi="Times New Roman"/>
          <w:b w:val="0"/>
          <w:sz w:val="20"/>
        </w:rPr>
        <w:t xml:space="preserve"> (</w:t>
      </w:r>
      <w:proofErr w:type="spellStart"/>
      <w:r w:rsidR="006F42AA" w:rsidRPr="004A0113">
        <w:rPr>
          <w:rFonts w:ascii="Times New Roman" w:hAnsi="Times New Roman"/>
          <w:b w:val="0"/>
          <w:i/>
          <w:iCs/>
          <w:sz w:val="20"/>
        </w:rPr>
        <w:t>phen</w:t>
      </w:r>
      <w:proofErr w:type="spellEnd"/>
      <w:r w:rsidR="006F42AA" w:rsidRPr="004A0113">
        <w:rPr>
          <w:rFonts w:ascii="Times New Roman" w:hAnsi="Times New Roman"/>
          <w:b w:val="0"/>
          <w:sz w:val="20"/>
        </w:rPr>
        <w:t>)</w:t>
      </w:r>
      <w:r w:rsidR="00ED0A0C" w:rsidRPr="00ED0A0C">
        <w:rPr>
          <w:rFonts w:ascii="Times New Roman" w:hAnsi="Times New Roman"/>
          <w:b w:val="0"/>
          <w:sz w:val="20"/>
        </w:rPr>
        <w:t>. These complexes were tested as catalytic precursors in the oligomerization reaction of ethylene and their performances were compared. The [Ni(</w:t>
      </w:r>
      <w:r w:rsidR="00ED0A0C" w:rsidRPr="004A0113">
        <w:rPr>
          <w:rFonts w:ascii="Times New Roman" w:hAnsi="Times New Roman"/>
          <w:b w:val="0"/>
          <w:i/>
          <w:iCs/>
          <w:sz w:val="20"/>
        </w:rPr>
        <w:t>dpa</w:t>
      </w:r>
      <w:r w:rsidR="00ED0A0C" w:rsidRPr="00ED0A0C">
        <w:rPr>
          <w:rFonts w:ascii="Times New Roman" w:hAnsi="Times New Roman"/>
          <w:b w:val="0"/>
          <w:sz w:val="20"/>
        </w:rPr>
        <w:t>)Br</w:t>
      </w:r>
      <w:r w:rsidR="00ED0A0C" w:rsidRPr="00042A71">
        <w:rPr>
          <w:rFonts w:ascii="Times New Roman" w:hAnsi="Times New Roman"/>
          <w:b w:val="0"/>
          <w:sz w:val="20"/>
          <w:vertAlign w:val="subscript"/>
        </w:rPr>
        <w:t>2</w:t>
      </w:r>
      <w:r w:rsidR="00ED0A0C" w:rsidRPr="00ED0A0C">
        <w:rPr>
          <w:rFonts w:ascii="Times New Roman" w:hAnsi="Times New Roman"/>
          <w:b w:val="0"/>
          <w:sz w:val="20"/>
        </w:rPr>
        <w:t xml:space="preserve">] complex, which has been relatively less studied in this field, exhibited activity and selectivity values comparable to the complexes synthesized from </w:t>
      </w:r>
      <w:proofErr w:type="spellStart"/>
      <w:r w:rsidR="00ED0A0C" w:rsidRPr="004A0113">
        <w:rPr>
          <w:rFonts w:ascii="Times New Roman" w:hAnsi="Times New Roman"/>
          <w:b w:val="0"/>
          <w:i/>
          <w:iCs/>
          <w:sz w:val="20"/>
        </w:rPr>
        <w:t>bpy</w:t>
      </w:r>
      <w:proofErr w:type="spellEnd"/>
      <w:r w:rsidR="00ED0A0C" w:rsidRPr="00ED0A0C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ED0A0C" w:rsidRPr="004A0113">
        <w:rPr>
          <w:rFonts w:ascii="Times New Roman" w:hAnsi="Times New Roman"/>
          <w:b w:val="0"/>
          <w:i/>
          <w:iCs/>
          <w:sz w:val="20"/>
        </w:rPr>
        <w:t>phen</w:t>
      </w:r>
      <w:proofErr w:type="spellEnd"/>
      <w:r w:rsidR="00ED0A0C" w:rsidRPr="00ED0A0C">
        <w:rPr>
          <w:rFonts w:ascii="Times New Roman" w:hAnsi="Times New Roman"/>
          <w:b w:val="0"/>
          <w:sz w:val="20"/>
        </w:rPr>
        <w:t xml:space="preserve"> ligands, with the best result achieved at an Al/Ni ratio of </w:t>
      </w:r>
      <w:r w:rsidR="0008686D">
        <w:rPr>
          <w:rFonts w:ascii="Times New Roman" w:hAnsi="Times New Roman"/>
          <w:b w:val="0"/>
          <w:sz w:val="20"/>
        </w:rPr>
        <w:t>100</w:t>
      </w:r>
      <w:r w:rsidR="00ED0A0C" w:rsidRPr="00ED0A0C">
        <w:rPr>
          <w:rFonts w:ascii="Times New Roman" w:hAnsi="Times New Roman"/>
          <w:b w:val="0"/>
          <w:sz w:val="20"/>
        </w:rPr>
        <w:t xml:space="preserve">, presenting a catalytic activity value of </w:t>
      </w:r>
      <w:r w:rsidR="0008686D">
        <w:rPr>
          <w:rFonts w:ascii="Times New Roman" w:hAnsi="Times New Roman"/>
          <w:b w:val="0"/>
          <w:sz w:val="20"/>
        </w:rPr>
        <w:t>82</w:t>
      </w:r>
      <w:r w:rsidR="00ED0A0C" w:rsidRPr="00ED0A0C">
        <w:rPr>
          <w:rFonts w:ascii="Times New Roman" w:hAnsi="Times New Roman"/>
          <w:b w:val="0"/>
          <w:sz w:val="20"/>
        </w:rPr>
        <w:t xml:space="preserve"> s</w:t>
      </w:r>
      <w:r w:rsidR="00ED0A0C" w:rsidRPr="00042A71">
        <w:rPr>
          <w:rFonts w:ascii="Times New Roman" w:hAnsi="Times New Roman"/>
          <w:b w:val="0"/>
          <w:sz w:val="20"/>
          <w:vertAlign w:val="superscript"/>
        </w:rPr>
        <w:t>-1</w:t>
      </w:r>
      <w:r w:rsidR="00ED0A0C" w:rsidRPr="00ED0A0C">
        <w:rPr>
          <w:rFonts w:ascii="Times New Roman" w:hAnsi="Times New Roman"/>
          <w:b w:val="0"/>
          <w:sz w:val="20"/>
        </w:rPr>
        <w:t>.</w:t>
      </w:r>
    </w:p>
    <w:p w14:paraId="48D9B0C4" w14:textId="45A322BB" w:rsidR="00EA4E1B" w:rsidRPr="001160E6" w:rsidRDefault="00EA4E1B" w:rsidP="001160E6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  <w:sectPr w:rsidR="00EA4E1B" w:rsidRPr="001160E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754C85">
        <w:rPr>
          <w:rFonts w:ascii="Times New Roman" w:hAnsi="Times New Roman"/>
          <w:b w:val="0"/>
          <w:i/>
          <w:sz w:val="20"/>
        </w:rPr>
        <w:t xml:space="preserve">Keywords: </w:t>
      </w:r>
      <w:r w:rsidR="00754C85" w:rsidRPr="00754C85">
        <w:rPr>
          <w:rFonts w:ascii="Times New Roman" w:hAnsi="Times New Roman"/>
          <w:b w:val="0"/>
          <w:i/>
          <w:sz w:val="20"/>
        </w:rPr>
        <w:t>2,2′-Dipyridylamine, nickel c</w:t>
      </w:r>
      <w:r w:rsidR="00754C85">
        <w:rPr>
          <w:rFonts w:ascii="Times New Roman" w:hAnsi="Times New Roman"/>
          <w:b w:val="0"/>
          <w:i/>
          <w:sz w:val="20"/>
        </w:rPr>
        <w:t xml:space="preserve">omplexes, </w:t>
      </w:r>
      <w:r w:rsidR="001160E6" w:rsidRPr="001160E6">
        <w:rPr>
          <w:rFonts w:ascii="Times New Roman" w:hAnsi="Times New Roman"/>
          <w:b w:val="0"/>
          <w:i/>
          <w:sz w:val="20"/>
        </w:rPr>
        <w:t>ethylene oligomerization</w:t>
      </w:r>
      <w:bookmarkEnd w:id="1"/>
      <w:r w:rsidR="001160E6">
        <w:rPr>
          <w:rFonts w:ascii="Times New Roman" w:hAnsi="Times New Roman"/>
          <w:b w:val="0"/>
          <w:i/>
          <w:sz w:val="20"/>
        </w:rPr>
        <w:t xml:space="preserve">, </w:t>
      </w:r>
      <w:r w:rsidR="002A30A1">
        <w:rPr>
          <w:rFonts w:ascii="Times New Roman" w:hAnsi="Times New Roman"/>
          <w:b w:val="0"/>
          <w:i/>
          <w:sz w:val="20"/>
        </w:rPr>
        <w:t>l</w:t>
      </w:r>
      <w:r w:rsidR="002A30A1" w:rsidRPr="002A30A1">
        <w:rPr>
          <w:rFonts w:ascii="Times New Roman" w:hAnsi="Times New Roman"/>
          <w:b w:val="0"/>
          <w:i/>
          <w:sz w:val="20"/>
        </w:rPr>
        <w:t xml:space="preserve">inear </w:t>
      </w:r>
      <w:r w:rsidR="002A30A1">
        <w:rPr>
          <w:rFonts w:ascii="Times New Roman" w:hAnsi="Times New Roman"/>
          <w:b w:val="0"/>
          <w:i/>
          <w:sz w:val="20"/>
        </w:rPr>
        <w:t>a</w:t>
      </w:r>
      <w:r w:rsidR="002A30A1" w:rsidRPr="002A30A1">
        <w:rPr>
          <w:rFonts w:ascii="Times New Roman" w:hAnsi="Times New Roman"/>
          <w:b w:val="0"/>
          <w:i/>
          <w:sz w:val="20"/>
        </w:rPr>
        <w:t>lpha</w:t>
      </w:r>
      <w:r w:rsidR="002A30A1">
        <w:rPr>
          <w:rFonts w:ascii="Times New Roman" w:hAnsi="Times New Roman"/>
          <w:b w:val="0"/>
          <w:i/>
          <w:sz w:val="20"/>
        </w:rPr>
        <w:t>-o</w:t>
      </w:r>
      <w:r w:rsidR="002A30A1" w:rsidRPr="002A30A1">
        <w:rPr>
          <w:rFonts w:ascii="Times New Roman" w:hAnsi="Times New Roman"/>
          <w:b w:val="0"/>
          <w:i/>
          <w:sz w:val="20"/>
        </w:rPr>
        <w:t>lefin</w:t>
      </w:r>
      <w:r w:rsidR="00983AC3">
        <w:rPr>
          <w:rFonts w:ascii="Times New Roman" w:hAnsi="Times New Roman"/>
          <w:b w:val="0"/>
          <w:i/>
          <w:sz w:val="20"/>
        </w:rPr>
        <w:t>s</w:t>
      </w:r>
      <w:r w:rsidR="002A30A1">
        <w:rPr>
          <w:rFonts w:ascii="Times New Roman" w:hAnsi="Times New Roman"/>
          <w:b w:val="0"/>
          <w:i/>
          <w:sz w:val="20"/>
        </w:rPr>
        <w:t xml:space="preserve">   </w:t>
      </w:r>
    </w:p>
    <w:p w14:paraId="625F2C0A" w14:textId="77777777" w:rsidR="00EA4E1B" w:rsidRPr="00206727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206727">
        <w:rPr>
          <w:rFonts w:ascii="Helvetica" w:hAnsi="Helvetica" w:cs="Helvetica"/>
          <w:sz w:val="24"/>
          <w:szCs w:val="24"/>
        </w:rPr>
        <w:t>Introdução</w:t>
      </w:r>
    </w:p>
    <w:p w14:paraId="645C9314" w14:textId="00D3EF1D" w:rsidR="0075053A" w:rsidRDefault="0075053A" w:rsidP="008D62B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Pr="005E4529">
        <w:rPr>
          <w:rFonts w:ascii="Times New Roman" w:hAnsi="Times New Roman"/>
          <w:lang w:val="pt-BR"/>
        </w:rPr>
        <w:t>s alfa-olefinas</w:t>
      </w:r>
      <w:r>
        <w:rPr>
          <w:rFonts w:ascii="Times New Roman" w:hAnsi="Times New Roman"/>
          <w:lang w:val="pt-BR"/>
        </w:rPr>
        <w:t xml:space="preserve"> lineares </w:t>
      </w:r>
      <w:r w:rsidRPr="005E4529">
        <w:rPr>
          <w:rFonts w:ascii="Times New Roman" w:hAnsi="Times New Roman"/>
          <w:lang w:val="pt-BR"/>
        </w:rPr>
        <w:t xml:space="preserve">que se encontram na fração </w:t>
      </w:r>
      <w:r w:rsidR="00A6420A">
        <w:rPr>
          <w:rFonts w:ascii="Times New Roman" w:hAnsi="Times New Roman"/>
          <w:lang w:val="pt-BR"/>
        </w:rPr>
        <w:br/>
      </w:r>
      <w:r w:rsidRPr="005E4529">
        <w:rPr>
          <w:rFonts w:ascii="Times New Roman" w:hAnsi="Times New Roman"/>
          <w:lang w:val="pt-BR"/>
        </w:rPr>
        <w:t>α-C</w:t>
      </w:r>
      <w:r w:rsidRPr="00F96C70">
        <w:rPr>
          <w:rFonts w:ascii="Times New Roman" w:hAnsi="Times New Roman"/>
          <w:vertAlign w:val="subscript"/>
          <w:lang w:val="pt-BR"/>
        </w:rPr>
        <w:t>4</w:t>
      </w:r>
      <w:r w:rsidRPr="005E4529">
        <w:rPr>
          <w:rFonts w:ascii="Times New Roman" w:hAnsi="Times New Roman"/>
          <w:lang w:val="pt-BR"/>
        </w:rPr>
        <w:t>-C</w:t>
      </w:r>
      <w:r w:rsidRPr="00F96C70">
        <w:rPr>
          <w:rFonts w:ascii="Times New Roman" w:hAnsi="Times New Roman"/>
          <w:vertAlign w:val="subscript"/>
          <w:lang w:val="pt-BR"/>
        </w:rPr>
        <w:t>10</w:t>
      </w:r>
      <w:r>
        <w:rPr>
          <w:rFonts w:ascii="Times New Roman" w:hAnsi="Times New Roman"/>
          <w:lang w:val="pt-BR"/>
        </w:rPr>
        <w:t xml:space="preserve"> </w:t>
      </w:r>
      <w:r w:rsidRPr="005E4529">
        <w:rPr>
          <w:rFonts w:ascii="Times New Roman" w:hAnsi="Times New Roman"/>
          <w:lang w:val="pt-BR"/>
        </w:rPr>
        <w:t xml:space="preserve">possuem alto valor agregado por serem empregadas como </w:t>
      </w:r>
      <w:proofErr w:type="spellStart"/>
      <w:r w:rsidRPr="005E4529">
        <w:rPr>
          <w:rFonts w:ascii="Times New Roman" w:hAnsi="Times New Roman"/>
          <w:lang w:val="pt-BR"/>
        </w:rPr>
        <w:t>co-monômeros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Pr="00D61F4B">
        <w:rPr>
          <w:rFonts w:ascii="Times New Roman" w:hAnsi="Times New Roman"/>
          <w:lang w:val="pt-BR"/>
        </w:rPr>
        <w:t>para a obtenção de determinados tipos de polietileno</w:t>
      </w:r>
      <w:r>
        <w:rPr>
          <w:rFonts w:ascii="Times New Roman" w:hAnsi="Times New Roman"/>
          <w:lang w:val="pt-BR"/>
        </w:rPr>
        <w:t xml:space="preserve">. </w:t>
      </w:r>
      <w:r w:rsidR="00F46D3F">
        <w:rPr>
          <w:rFonts w:ascii="Times New Roman" w:hAnsi="Times New Roman"/>
          <w:lang w:val="pt-BR"/>
        </w:rPr>
        <w:t>A</w:t>
      </w:r>
      <w:r w:rsidRPr="005E4529">
        <w:rPr>
          <w:rFonts w:ascii="Times New Roman" w:hAnsi="Times New Roman"/>
          <w:lang w:val="pt-BR"/>
        </w:rPr>
        <w:t xml:space="preserve"> oligomerização do etileno </w:t>
      </w:r>
      <w:r w:rsidR="00FC1C8A">
        <w:rPr>
          <w:rFonts w:ascii="Times New Roman" w:hAnsi="Times New Roman"/>
          <w:lang w:val="pt-BR"/>
        </w:rPr>
        <w:t xml:space="preserve">é </w:t>
      </w:r>
      <w:r w:rsidR="00336F3A">
        <w:rPr>
          <w:rFonts w:ascii="Times New Roman" w:hAnsi="Times New Roman"/>
          <w:lang w:val="pt-BR"/>
        </w:rPr>
        <w:t xml:space="preserve">o </w:t>
      </w:r>
      <w:r w:rsidRPr="005E4529">
        <w:rPr>
          <w:rFonts w:ascii="Times New Roman" w:hAnsi="Times New Roman"/>
          <w:lang w:val="pt-BR"/>
        </w:rPr>
        <w:t>processo industri</w:t>
      </w:r>
      <w:r w:rsidR="00336F3A">
        <w:rPr>
          <w:rFonts w:ascii="Times New Roman" w:hAnsi="Times New Roman"/>
          <w:lang w:val="pt-BR"/>
        </w:rPr>
        <w:t>al</w:t>
      </w:r>
      <w:r w:rsidRPr="005E4529">
        <w:rPr>
          <w:rFonts w:ascii="Times New Roman" w:hAnsi="Times New Roman"/>
          <w:lang w:val="pt-BR"/>
        </w:rPr>
        <w:t xml:space="preserve"> predominante para a </w:t>
      </w:r>
      <w:r>
        <w:rPr>
          <w:rFonts w:ascii="Times New Roman" w:hAnsi="Times New Roman"/>
          <w:lang w:val="pt-BR"/>
        </w:rPr>
        <w:t>obtenção seletiva destes intermediários</w:t>
      </w:r>
      <w:r w:rsidRPr="005E4529">
        <w:rPr>
          <w:rFonts w:ascii="Times New Roman" w:hAnsi="Times New Roman"/>
          <w:lang w:val="pt-BR"/>
        </w:rPr>
        <w:t>.</w:t>
      </w:r>
      <w:r w:rsidR="005B72D6">
        <w:rPr>
          <w:rFonts w:ascii="Times New Roman" w:hAnsi="Times New Roman"/>
          <w:lang w:val="pt-BR"/>
        </w:rPr>
        <w:t xml:space="preserve"> (1)</w:t>
      </w:r>
      <w:r w:rsidRPr="005E4529">
        <w:rPr>
          <w:rFonts w:ascii="Times New Roman" w:hAnsi="Times New Roman"/>
          <w:lang w:val="pt-BR"/>
        </w:rPr>
        <w:t xml:space="preserve"> </w:t>
      </w:r>
    </w:p>
    <w:p w14:paraId="526F0BB1" w14:textId="29D4B631" w:rsidR="00804DA0" w:rsidRDefault="00EC6503" w:rsidP="00F77A08">
      <w:pPr>
        <w:pStyle w:val="TAMainText"/>
        <w:rPr>
          <w:rFonts w:ascii="Times New Roman" w:hAnsi="Times New Roman"/>
          <w:lang w:val="pt-BR"/>
        </w:rPr>
      </w:pPr>
      <w:r w:rsidRPr="00EC6503">
        <w:rPr>
          <w:rFonts w:ascii="Times New Roman" w:hAnsi="Times New Roman"/>
          <w:lang w:val="pt-BR"/>
        </w:rPr>
        <w:t>Ao longo dos anos, um notável empenho na pesquisa</w:t>
      </w:r>
      <w:r w:rsidR="00FC1C8A">
        <w:rPr>
          <w:rFonts w:ascii="Times New Roman" w:hAnsi="Times New Roman"/>
          <w:lang w:val="pt-BR"/>
        </w:rPr>
        <w:t xml:space="preserve"> </w:t>
      </w:r>
      <w:r w:rsidR="00FC1C8A" w:rsidRPr="00EC6503">
        <w:rPr>
          <w:rFonts w:ascii="Times New Roman" w:hAnsi="Times New Roman"/>
          <w:lang w:val="pt-BR"/>
        </w:rPr>
        <w:t>vem sendo realizado</w:t>
      </w:r>
      <w:r w:rsidRPr="00EC6503">
        <w:rPr>
          <w:rFonts w:ascii="Times New Roman" w:hAnsi="Times New Roman"/>
          <w:lang w:val="pt-BR"/>
        </w:rPr>
        <w:t xml:space="preserve"> para a projeção</w:t>
      </w:r>
      <w:r w:rsidR="00E7038F">
        <w:rPr>
          <w:rFonts w:ascii="Times New Roman" w:hAnsi="Times New Roman"/>
          <w:lang w:val="pt-BR"/>
        </w:rPr>
        <w:t xml:space="preserve"> </w:t>
      </w:r>
      <w:r w:rsidR="00FC1C8A">
        <w:rPr>
          <w:rFonts w:ascii="Times New Roman" w:hAnsi="Times New Roman"/>
          <w:lang w:val="pt-BR"/>
        </w:rPr>
        <w:t xml:space="preserve">de </w:t>
      </w:r>
      <w:r w:rsidR="00E7038F">
        <w:rPr>
          <w:rFonts w:ascii="Times New Roman" w:hAnsi="Times New Roman"/>
          <w:lang w:val="pt-BR"/>
        </w:rPr>
        <w:t>catalisadores a partir de</w:t>
      </w:r>
      <w:r w:rsidRPr="00EC6503">
        <w:rPr>
          <w:rFonts w:ascii="Times New Roman" w:hAnsi="Times New Roman"/>
          <w:lang w:val="pt-BR"/>
        </w:rPr>
        <w:t xml:space="preserve"> ligantes</w:t>
      </w:r>
      <w:r w:rsidR="00E7038F">
        <w:rPr>
          <w:rFonts w:ascii="Times New Roman" w:hAnsi="Times New Roman"/>
          <w:lang w:val="pt-BR"/>
        </w:rPr>
        <w:t xml:space="preserve"> </w:t>
      </w:r>
      <w:r w:rsidR="007733A8">
        <w:rPr>
          <w:rFonts w:ascii="Times New Roman" w:hAnsi="Times New Roman"/>
          <w:lang w:val="pt-BR"/>
        </w:rPr>
        <w:t>para a obtenção de complexos metálicos</w:t>
      </w:r>
      <w:r w:rsidRPr="00EC6503">
        <w:rPr>
          <w:rFonts w:ascii="Times New Roman" w:hAnsi="Times New Roman"/>
          <w:lang w:val="pt-BR"/>
        </w:rPr>
        <w:t xml:space="preserve"> com o intuito de aprimorar o controle dos mecanismos de oligomerização</w:t>
      </w:r>
      <w:r w:rsidR="009C3FD2">
        <w:rPr>
          <w:rFonts w:ascii="Times New Roman" w:hAnsi="Times New Roman"/>
          <w:lang w:val="pt-BR"/>
        </w:rPr>
        <w:t>.</w:t>
      </w:r>
      <w:r w:rsidR="005B72D6">
        <w:rPr>
          <w:rFonts w:ascii="Times New Roman" w:hAnsi="Times New Roman"/>
          <w:lang w:val="pt-BR"/>
        </w:rPr>
        <w:t xml:space="preserve"> (1-3)</w:t>
      </w:r>
      <w:r w:rsidRPr="00EC6503">
        <w:rPr>
          <w:rFonts w:ascii="Times New Roman" w:hAnsi="Times New Roman"/>
          <w:lang w:val="pt-BR"/>
        </w:rPr>
        <w:t xml:space="preserve"> </w:t>
      </w:r>
      <w:r w:rsidR="00EF4610">
        <w:rPr>
          <w:rFonts w:ascii="Times New Roman" w:hAnsi="Times New Roman"/>
          <w:lang w:val="pt-BR"/>
        </w:rPr>
        <w:t xml:space="preserve">Neste contexto, </w:t>
      </w:r>
      <w:r w:rsidR="00501292">
        <w:rPr>
          <w:rFonts w:ascii="Times New Roman" w:hAnsi="Times New Roman"/>
          <w:lang w:val="pt-BR"/>
        </w:rPr>
        <w:t>o ligante 2,2’-dipiridilamina (</w:t>
      </w:r>
      <w:proofErr w:type="spellStart"/>
      <w:r w:rsidR="00501292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501292">
        <w:rPr>
          <w:rFonts w:ascii="Times New Roman" w:hAnsi="Times New Roman"/>
          <w:lang w:val="pt-BR"/>
        </w:rPr>
        <w:t xml:space="preserve">) </w:t>
      </w:r>
      <w:r w:rsidR="00306631">
        <w:rPr>
          <w:rFonts w:ascii="Times New Roman" w:hAnsi="Times New Roman"/>
          <w:lang w:val="pt-BR"/>
        </w:rPr>
        <w:t>se apresenta como um interessante alvo de estudo</w:t>
      </w:r>
      <w:r w:rsidR="006F5889">
        <w:rPr>
          <w:rFonts w:ascii="Times New Roman" w:hAnsi="Times New Roman"/>
          <w:lang w:val="pt-BR"/>
        </w:rPr>
        <w:t>, visto que</w:t>
      </w:r>
      <w:r w:rsidR="00E804D5">
        <w:rPr>
          <w:rFonts w:ascii="Times New Roman" w:hAnsi="Times New Roman"/>
          <w:lang w:val="pt-BR"/>
        </w:rPr>
        <w:t xml:space="preserve"> </w:t>
      </w:r>
      <w:r w:rsidR="0002413D">
        <w:rPr>
          <w:rFonts w:ascii="Times New Roman" w:hAnsi="Times New Roman"/>
          <w:lang w:val="pt-BR"/>
        </w:rPr>
        <w:t xml:space="preserve">este </w:t>
      </w:r>
      <w:r w:rsidR="00FC1C8A">
        <w:rPr>
          <w:rFonts w:ascii="Times New Roman" w:hAnsi="Times New Roman"/>
          <w:lang w:val="pt-BR"/>
        </w:rPr>
        <w:t xml:space="preserve">foi </w:t>
      </w:r>
      <w:r w:rsidR="003B698A">
        <w:rPr>
          <w:rFonts w:ascii="Times New Roman" w:hAnsi="Times New Roman"/>
          <w:lang w:val="pt-BR"/>
        </w:rPr>
        <w:t>pouco</w:t>
      </w:r>
      <w:r w:rsidR="0002413D">
        <w:rPr>
          <w:rFonts w:ascii="Times New Roman" w:hAnsi="Times New Roman"/>
          <w:lang w:val="pt-BR"/>
        </w:rPr>
        <w:t xml:space="preserve"> explorado até então </w:t>
      </w:r>
      <w:r w:rsidR="00FD0E71">
        <w:rPr>
          <w:rFonts w:ascii="Times New Roman" w:hAnsi="Times New Roman"/>
          <w:lang w:val="pt-BR"/>
        </w:rPr>
        <w:t>na área d</w:t>
      </w:r>
      <w:r w:rsidR="00606FCA">
        <w:rPr>
          <w:rFonts w:ascii="Times New Roman" w:hAnsi="Times New Roman"/>
          <w:lang w:val="pt-BR"/>
        </w:rPr>
        <w:t>a</w:t>
      </w:r>
      <w:r w:rsidR="00962E3B">
        <w:rPr>
          <w:rFonts w:ascii="Times New Roman" w:hAnsi="Times New Roman"/>
          <w:lang w:val="pt-BR"/>
        </w:rPr>
        <w:t xml:space="preserve"> catálise</w:t>
      </w:r>
      <w:r w:rsidR="00D251E4">
        <w:rPr>
          <w:rFonts w:ascii="Times New Roman" w:hAnsi="Times New Roman"/>
          <w:lang w:val="pt-BR"/>
        </w:rPr>
        <w:t>.</w:t>
      </w:r>
      <w:r w:rsidR="006F5889">
        <w:rPr>
          <w:rFonts w:ascii="Times New Roman" w:hAnsi="Times New Roman"/>
          <w:lang w:val="pt-BR"/>
        </w:rPr>
        <w:t xml:space="preserve"> </w:t>
      </w:r>
      <w:r w:rsidR="0082740E">
        <w:rPr>
          <w:rFonts w:ascii="Times New Roman" w:hAnsi="Times New Roman"/>
          <w:lang w:val="pt-BR"/>
        </w:rPr>
        <w:t>E</w:t>
      </w:r>
      <w:r w:rsidR="0082740E" w:rsidRPr="0082740E">
        <w:rPr>
          <w:rFonts w:ascii="Times New Roman" w:hAnsi="Times New Roman"/>
          <w:lang w:val="pt-BR"/>
        </w:rPr>
        <w:t xml:space="preserve">specificamente para </w:t>
      </w:r>
      <w:r w:rsidR="0082740E">
        <w:rPr>
          <w:rFonts w:ascii="Times New Roman" w:hAnsi="Times New Roman"/>
          <w:lang w:val="pt-BR"/>
        </w:rPr>
        <w:t>aplicação em</w:t>
      </w:r>
      <w:r w:rsidR="0082740E" w:rsidRPr="0082740E">
        <w:rPr>
          <w:rFonts w:ascii="Times New Roman" w:hAnsi="Times New Roman"/>
          <w:lang w:val="pt-BR"/>
        </w:rPr>
        <w:t xml:space="preserve"> oligomerização de</w:t>
      </w:r>
      <w:r w:rsidR="0082740E">
        <w:rPr>
          <w:rFonts w:ascii="Times New Roman" w:hAnsi="Times New Roman"/>
          <w:lang w:val="pt-BR"/>
        </w:rPr>
        <w:t xml:space="preserve"> </w:t>
      </w:r>
      <w:r w:rsidR="0082740E" w:rsidRPr="0082740E">
        <w:rPr>
          <w:rFonts w:ascii="Times New Roman" w:hAnsi="Times New Roman"/>
          <w:lang w:val="pt-BR"/>
        </w:rPr>
        <w:t>olefinas, há apenas dois trabalhos reportados na literatura</w:t>
      </w:r>
      <w:r w:rsidR="001D3CFF">
        <w:rPr>
          <w:rFonts w:ascii="Times New Roman" w:hAnsi="Times New Roman"/>
          <w:lang w:val="pt-BR"/>
        </w:rPr>
        <w:t xml:space="preserve"> utilizando complexos de Ni-2,2’-dipiridilamina e derivados.</w:t>
      </w:r>
      <w:r w:rsidR="005B72D6">
        <w:rPr>
          <w:rFonts w:ascii="Times New Roman" w:hAnsi="Times New Roman"/>
          <w:lang w:val="pt-BR"/>
        </w:rPr>
        <w:t xml:space="preserve"> (4, 5)</w:t>
      </w:r>
      <w:r w:rsidR="001D3CFF">
        <w:rPr>
          <w:rFonts w:ascii="Times New Roman" w:hAnsi="Times New Roman"/>
          <w:lang w:val="pt-BR"/>
        </w:rPr>
        <w:t xml:space="preserve"> </w:t>
      </w:r>
      <w:r w:rsidR="00293AC5" w:rsidRPr="00293AC5">
        <w:rPr>
          <w:rFonts w:ascii="Times New Roman" w:hAnsi="Times New Roman"/>
          <w:lang w:val="pt-BR"/>
        </w:rPr>
        <w:t xml:space="preserve">Além disso, </w:t>
      </w:r>
      <w:r w:rsidR="00423B25">
        <w:rPr>
          <w:rFonts w:ascii="Times New Roman" w:hAnsi="Times New Roman"/>
          <w:lang w:val="pt-BR"/>
        </w:rPr>
        <w:t xml:space="preserve">os ligantes </w:t>
      </w:r>
      <w:proofErr w:type="spellStart"/>
      <w:r w:rsidR="00423B25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423B25">
        <w:rPr>
          <w:rFonts w:ascii="Times New Roman" w:hAnsi="Times New Roman"/>
          <w:lang w:val="pt-BR"/>
        </w:rPr>
        <w:t xml:space="preserve"> são</w:t>
      </w:r>
      <w:r w:rsidR="00812806">
        <w:rPr>
          <w:rFonts w:ascii="Times New Roman" w:hAnsi="Times New Roman"/>
          <w:lang w:val="pt-BR"/>
        </w:rPr>
        <w:t xml:space="preserve"> interessantes </w:t>
      </w:r>
      <w:r w:rsidR="005C1556">
        <w:rPr>
          <w:rFonts w:ascii="Times New Roman" w:hAnsi="Times New Roman"/>
          <w:lang w:val="pt-BR"/>
        </w:rPr>
        <w:t xml:space="preserve">pois </w:t>
      </w:r>
      <w:r w:rsidR="00812806">
        <w:rPr>
          <w:rFonts w:ascii="Times New Roman" w:hAnsi="Times New Roman"/>
          <w:lang w:val="pt-BR"/>
        </w:rPr>
        <w:t>possuem em sua estrutura um</w:t>
      </w:r>
      <w:r w:rsidR="00293AC5" w:rsidRPr="00293AC5">
        <w:rPr>
          <w:rFonts w:ascii="Times New Roman" w:hAnsi="Times New Roman"/>
          <w:lang w:val="pt-BR"/>
        </w:rPr>
        <w:t xml:space="preserve"> átomo de nitrogênio da amina</w:t>
      </w:r>
      <w:r w:rsidR="00293AC5">
        <w:rPr>
          <w:rFonts w:ascii="Times New Roman" w:hAnsi="Times New Roman"/>
          <w:lang w:val="pt-BR"/>
        </w:rPr>
        <w:t xml:space="preserve"> </w:t>
      </w:r>
      <w:r w:rsidR="00812806">
        <w:rPr>
          <w:rFonts w:ascii="Times New Roman" w:hAnsi="Times New Roman"/>
          <w:lang w:val="pt-BR"/>
        </w:rPr>
        <w:t>que possibilita</w:t>
      </w:r>
      <w:r w:rsidR="00293AC5" w:rsidRPr="00293AC5">
        <w:rPr>
          <w:rFonts w:ascii="Times New Roman" w:hAnsi="Times New Roman"/>
          <w:lang w:val="pt-BR"/>
        </w:rPr>
        <w:t xml:space="preserve"> </w:t>
      </w:r>
      <w:r w:rsidR="00812806">
        <w:rPr>
          <w:rFonts w:ascii="Times New Roman" w:hAnsi="Times New Roman"/>
          <w:lang w:val="pt-BR"/>
        </w:rPr>
        <w:t xml:space="preserve">a </w:t>
      </w:r>
      <w:r w:rsidR="000B5433">
        <w:rPr>
          <w:rFonts w:ascii="Times New Roman" w:hAnsi="Times New Roman"/>
          <w:lang w:val="pt-BR"/>
        </w:rPr>
        <w:t xml:space="preserve">modulação de propriedades eletrônicas e </w:t>
      </w:r>
      <w:proofErr w:type="spellStart"/>
      <w:r w:rsidR="000B5433">
        <w:rPr>
          <w:rFonts w:ascii="Times New Roman" w:hAnsi="Times New Roman"/>
          <w:lang w:val="pt-BR"/>
        </w:rPr>
        <w:t>estéricas</w:t>
      </w:r>
      <w:proofErr w:type="spellEnd"/>
      <w:r w:rsidR="000B5433">
        <w:rPr>
          <w:rFonts w:ascii="Times New Roman" w:hAnsi="Times New Roman"/>
          <w:lang w:val="pt-BR"/>
        </w:rPr>
        <w:t>,</w:t>
      </w:r>
      <w:r w:rsidR="00F77A08">
        <w:rPr>
          <w:rFonts w:ascii="Times New Roman" w:hAnsi="Times New Roman"/>
          <w:lang w:val="pt-BR"/>
        </w:rPr>
        <w:t xml:space="preserve"> viabiliza</w:t>
      </w:r>
      <w:r w:rsidR="00F77A08" w:rsidRPr="00F77A08">
        <w:rPr>
          <w:rFonts w:ascii="Times New Roman" w:hAnsi="Times New Roman"/>
          <w:lang w:val="pt-BR"/>
        </w:rPr>
        <w:t xml:space="preserve"> a funcionalização destes ligantes </w:t>
      </w:r>
      <w:r w:rsidR="00E1042B">
        <w:rPr>
          <w:rFonts w:ascii="Times New Roman" w:hAnsi="Times New Roman"/>
          <w:lang w:val="pt-BR"/>
        </w:rPr>
        <w:t>e possibilita</w:t>
      </w:r>
      <w:r w:rsidR="00F77A08" w:rsidRPr="00F77A08">
        <w:rPr>
          <w:rFonts w:ascii="Times New Roman" w:hAnsi="Times New Roman"/>
          <w:lang w:val="pt-BR"/>
        </w:rPr>
        <w:t xml:space="preserve"> a ancoragem</w:t>
      </w:r>
      <w:r w:rsidR="00F77A08">
        <w:rPr>
          <w:rFonts w:ascii="Times New Roman" w:hAnsi="Times New Roman"/>
          <w:lang w:val="pt-BR"/>
        </w:rPr>
        <w:t xml:space="preserve"> </w:t>
      </w:r>
      <w:r w:rsidR="00F77A08" w:rsidRPr="00F77A08">
        <w:rPr>
          <w:rFonts w:ascii="Times New Roman" w:hAnsi="Times New Roman"/>
          <w:lang w:val="pt-BR"/>
        </w:rPr>
        <w:t>destes para a obtenção de catalisadores suportados.</w:t>
      </w:r>
      <w:r w:rsidR="00362D71">
        <w:rPr>
          <w:rFonts w:ascii="Times New Roman" w:hAnsi="Times New Roman"/>
          <w:lang w:val="pt-BR"/>
        </w:rPr>
        <w:t xml:space="preserve"> (6)</w:t>
      </w:r>
      <w:r w:rsidR="006E4C43">
        <w:rPr>
          <w:rFonts w:ascii="Times New Roman" w:hAnsi="Times New Roman"/>
          <w:lang w:val="pt-BR"/>
        </w:rPr>
        <w:t xml:space="preserve"> </w:t>
      </w:r>
    </w:p>
    <w:p w14:paraId="492790D3" w14:textId="34170DA8" w:rsidR="00284086" w:rsidRPr="005E69D2" w:rsidRDefault="00225343" w:rsidP="005E69D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Diante do exposto, </w:t>
      </w:r>
      <w:r w:rsidR="007F3C55">
        <w:rPr>
          <w:rFonts w:ascii="Times New Roman" w:hAnsi="Times New Roman"/>
          <w:lang w:val="pt-BR"/>
        </w:rPr>
        <w:t>este trabalho t</w:t>
      </w:r>
      <w:r w:rsidR="008C2492">
        <w:rPr>
          <w:rFonts w:ascii="Times New Roman" w:hAnsi="Times New Roman"/>
          <w:lang w:val="pt-BR"/>
        </w:rPr>
        <w:t>eve</w:t>
      </w:r>
      <w:r w:rsidR="007F3C55">
        <w:rPr>
          <w:rFonts w:ascii="Times New Roman" w:hAnsi="Times New Roman"/>
          <w:lang w:val="pt-BR"/>
        </w:rPr>
        <w:t xml:space="preserve"> como objetivo a síntese de complexos de níquel a partir</w:t>
      </w:r>
      <w:r w:rsidR="009A2966">
        <w:rPr>
          <w:rFonts w:ascii="Times New Roman" w:hAnsi="Times New Roman"/>
          <w:lang w:val="pt-BR"/>
        </w:rPr>
        <w:t xml:space="preserve"> do</w:t>
      </w:r>
      <w:r w:rsidR="0083347E">
        <w:rPr>
          <w:rFonts w:ascii="Times New Roman" w:hAnsi="Times New Roman"/>
          <w:lang w:val="pt-BR"/>
        </w:rPr>
        <w:t xml:space="preserve"> ligante </w:t>
      </w:r>
      <w:proofErr w:type="spellStart"/>
      <w:r w:rsidR="005C1556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83347E">
        <w:rPr>
          <w:rFonts w:ascii="Times New Roman" w:hAnsi="Times New Roman"/>
          <w:lang w:val="pt-BR"/>
        </w:rPr>
        <w:t xml:space="preserve"> </w:t>
      </w:r>
      <w:r w:rsidR="0077463B">
        <w:rPr>
          <w:rFonts w:ascii="Times New Roman" w:hAnsi="Times New Roman"/>
          <w:lang w:val="pt-BR"/>
        </w:rPr>
        <w:t xml:space="preserve">para a avaliação do seu desempenho catalítico </w:t>
      </w:r>
      <w:r w:rsidR="000B7A35">
        <w:rPr>
          <w:rFonts w:ascii="Times New Roman" w:hAnsi="Times New Roman"/>
          <w:lang w:val="pt-BR"/>
        </w:rPr>
        <w:t xml:space="preserve">frente a reação de oligomerização do </w:t>
      </w:r>
      <w:r w:rsidR="00983AC3">
        <w:rPr>
          <w:rFonts w:ascii="Times New Roman" w:hAnsi="Times New Roman"/>
          <w:lang w:val="pt-BR"/>
        </w:rPr>
        <w:t xml:space="preserve">etileno </w:t>
      </w:r>
      <w:r w:rsidR="000B7A35">
        <w:rPr>
          <w:rFonts w:ascii="Times New Roman" w:hAnsi="Times New Roman"/>
          <w:lang w:val="pt-BR"/>
        </w:rPr>
        <w:t xml:space="preserve">para a obtenção seletiva de alfa-olefinas. </w:t>
      </w:r>
      <w:r w:rsidR="00B90258">
        <w:rPr>
          <w:rFonts w:ascii="Times New Roman" w:hAnsi="Times New Roman"/>
          <w:lang w:val="pt-BR"/>
        </w:rPr>
        <w:t xml:space="preserve">Além disso, </w:t>
      </w:r>
      <w:r w:rsidR="00B76C28">
        <w:rPr>
          <w:rFonts w:ascii="Times New Roman" w:hAnsi="Times New Roman"/>
          <w:lang w:val="pt-BR"/>
        </w:rPr>
        <w:t xml:space="preserve">outros dois complexos de níquel foram </w:t>
      </w:r>
      <w:r w:rsidR="00B76C28">
        <w:rPr>
          <w:rFonts w:ascii="Times New Roman" w:hAnsi="Times New Roman"/>
          <w:lang w:val="pt-BR"/>
        </w:rPr>
        <w:t xml:space="preserve">sintetizados a partir de </w:t>
      </w:r>
      <w:r w:rsidR="00A35565">
        <w:rPr>
          <w:rFonts w:ascii="Times New Roman" w:hAnsi="Times New Roman"/>
          <w:lang w:val="pt-BR"/>
        </w:rPr>
        <w:t xml:space="preserve">ligantes </w:t>
      </w:r>
      <w:bookmarkStart w:id="2" w:name="_Hlk142673044"/>
      <w:proofErr w:type="gramStart"/>
      <w:r w:rsidR="00A35565">
        <w:rPr>
          <w:rFonts w:ascii="Times New Roman" w:hAnsi="Times New Roman"/>
          <w:lang w:val="pt-BR"/>
        </w:rPr>
        <w:t>N,N</w:t>
      </w:r>
      <w:proofErr w:type="gramEnd"/>
      <w:r w:rsidR="00A35565">
        <w:rPr>
          <w:rFonts w:ascii="Times New Roman" w:hAnsi="Times New Roman"/>
          <w:lang w:val="pt-BR"/>
        </w:rPr>
        <w:t>-quelantes</w:t>
      </w:r>
      <w:r w:rsidR="0091761A">
        <w:rPr>
          <w:rFonts w:ascii="Times New Roman" w:hAnsi="Times New Roman"/>
          <w:lang w:val="pt-BR"/>
        </w:rPr>
        <w:t xml:space="preserve"> </w:t>
      </w:r>
      <w:bookmarkEnd w:id="2"/>
      <w:r w:rsidR="0091761A">
        <w:rPr>
          <w:rFonts w:ascii="Times New Roman" w:hAnsi="Times New Roman"/>
          <w:lang w:val="pt-BR"/>
        </w:rPr>
        <w:t>a base de piridina</w:t>
      </w:r>
      <w:r w:rsidR="00B76C28">
        <w:rPr>
          <w:rFonts w:ascii="Times New Roman" w:hAnsi="Times New Roman"/>
          <w:lang w:val="pt-BR"/>
        </w:rPr>
        <w:t xml:space="preserve">, a </w:t>
      </w:r>
      <w:r w:rsidR="00C8519C">
        <w:rPr>
          <w:rFonts w:ascii="Times New Roman" w:hAnsi="Times New Roman"/>
          <w:lang w:val="pt-BR"/>
        </w:rPr>
        <w:t>2,2’-bipiridina (</w:t>
      </w:r>
      <w:proofErr w:type="spellStart"/>
      <w:r w:rsidR="00C8519C" w:rsidRPr="004A0113">
        <w:rPr>
          <w:rFonts w:ascii="Times New Roman" w:hAnsi="Times New Roman"/>
          <w:i/>
          <w:iCs/>
          <w:lang w:val="pt-BR"/>
        </w:rPr>
        <w:t>bpy</w:t>
      </w:r>
      <w:proofErr w:type="spellEnd"/>
      <w:r w:rsidR="00C8519C">
        <w:rPr>
          <w:rFonts w:ascii="Times New Roman" w:hAnsi="Times New Roman"/>
          <w:lang w:val="pt-BR"/>
        </w:rPr>
        <w:t>) e a 1,10-fenantrolina</w:t>
      </w:r>
      <w:r w:rsidR="0091761A">
        <w:rPr>
          <w:rFonts w:ascii="Times New Roman" w:hAnsi="Times New Roman"/>
          <w:lang w:val="pt-BR"/>
        </w:rPr>
        <w:t xml:space="preserve"> </w:t>
      </w:r>
      <w:r w:rsidR="00C8519C">
        <w:rPr>
          <w:rFonts w:ascii="Times New Roman" w:hAnsi="Times New Roman"/>
          <w:lang w:val="pt-BR"/>
        </w:rPr>
        <w:t>(</w:t>
      </w:r>
      <w:proofErr w:type="spellStart"/>
      <w:r w:rsidR="00C8519C" w:rsidRPr="004A0113">
        <w:rPr>
          <w:rFonts w:ascii="Times New Roman" w:hAnsi="Times New Roman"/>
          <w:i/>
          <w:iCs/>
          <w:lang w:val="pt-BR"/>
        </w:rPr>
        <w:t>phen</w:t>
      </w:r>
      <w:proofErr w:type="spellEnd"/>
      <w:r w:rsidR="00C8519C">
        <w:rPr>
          <w:rFonts w:ascii="Times New Roman" w:hAnsi="Times New Roman"/>
          <w:lang w:val="pt-BR"/>
        </w:rPr>
        <w:t>)</w:t>
      </w:r>
      <w:r w:rsidR="00A21802">
        <w:rPr>
          <w:rFonts w:ascii="Times New Roman" w:hAnsi="Times New Roman"/>
          <w:lang w:val="pt-BR"/>
        </w:rPr>
        <w:t xml:space="preserve"> para fins de comparação.</w:t>
      </w:r>
      <w:r w:rsidR="001608E7">
        <w:rPr>
          <w:rFonts w:ascii="Times New Roman" w:hAnsi="Times New Roman"/>
          <w:lang w:val="pt-BR"/>
        </w:rPr>
        <w:t xml:space="preserve"> </w:t>
      </w:r>
      <w:r w:rsidR="00143D3F">
        <w:rPr>
          <w:rFonts w:ascii="Times New Roman" w:hAnsi="Times New Roman"/>
          <w:lang w:val="pt-BR"/>
        </w:rPr>
        <w:t>E</w:t>
      </w:r>
      <w:r w:rsidR="003151F4">
        <w:rPr>
          <w:rFonts w:ascii="Times New Roman" w:hAnsi="Times New Roman"/>
          <w:lang w:val="pt-BR"/>
        </w:rPr>
        <w:t xml:space="preserve">stes </w:t>
      </w:r>
      <w:r w:rsidR="00584658">
        <w:rPr>
          <w:rFonts w:ascii="Times New Roman" w:hAnsi="Times New Roman"/>
          <w:lang w:val="pt-BR"/>
        </w:rPr>
        <w:t xml:space="preserve">são frequentemente comparados </w:t>
      </w:r>
      <w:r w:rsidR="005332FC">
        <w:rPr>
          <w:rFonts w:ascii="Times New Roman" w:hAnsi="Times New Roman"/>
          <w:lang w:val="pt-BR"/>
        </w:rPr>
        <w:t>a</w:t>
      </w:r>
      <w:r w:rsidR="00F55DDC">
        <w:rPr>
          <w:rFonts w:ascii="Times New Roman" w:hAnsi="Times New Roman"/>
          <w:lang w:val="pt-BR"/>
        </w:rPr>
        <w:t xml:space="preserve">os ligantes </w:t>
      </w:r>
      <w:proofErr w:type="spellStart"/>
      <w:r w:rsidR="00F55DDC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F55DDC">
        <w:rPr>
          <w:rFonts w:ascii="Times New Roman" w:hAnsi="Times New Roman"/>
          <w:lang w:val="pt-BR"/>
        </w:rPr>
        <w:t xml:space="preserve"> devido </w:t>
      </w:r>
      <w:r w:rsidR="003151F4">
        <w:rPr>
          <w:rFonts w:ascii="Times New Roman" w:hAnsi="Times New Roman"/>
          <w:lang w:val="pt-BR"/>
        </w:rPr>
        <w:t>à</w:t>
      </w:r>
      <w:r w:rsidR="00F55DDC">
        <w:rPr>
          <w:rFonts w:ascii="Times New Roman" w:hAnsi="Times New Roman"/>
          <w:lang w:val="pt-BR"/>
        </w:rPr>
        <w:t xml:space="preserve"> similaridade da sua estrutura e natureza</w:t>
      </w:r>
      <w:r w:rsidR="00284086">
        <w:rPr>
          <w:rFonts w:ascii="Times New Roman" w:hAnsi="Times New Roman"/>
          <w:lang w:val="pt-BR"/>
        </w:rPr>
        <w:t xml:space="preserve"> química</w:t>
      </w:r>
      <w:r w:rsidR="00B14DB8">
        <w:rPr>
          <w:rFonts w:ascii="Times New Roman" w:hAnsi="Times New Roman"/>
          <w:lang w:val="pt-BR"/>
        </w:rPr>
        <w:t xml:space="preserve"> em diversas áreas, contudo, </w:t>
      </w:r>
      <w:r w:rsidR="005E69D2">
        <w:rPr>
          <w:rFonts w:ascii="Times New Roman" w:hAnsi="Times New Roman"/>
          <w:lang w:val="pt-BR"/>
        </w:rPr>
        <w:t>na área de oligomerização de olefinas</w:t>
      </w:r>
      <w:r w:rsidR="00DC5236">
        <w:rPr>
          <w:rFonts w:ascii="Times New Roman" w:hAnsi="Times New Roman"/>
          <w:lang w:val="pt-BR"/>
        </w:rPr>
        <w:t xml:space="preserve"> estes materiais</w:t>
      </w:r>
      <w:r w:rsidR="00914A5A">
        <w:rPr>
          <w:rFonts w:ascii="Times New Roman" w:hAnsi="Times New Roman"/>
          <w:lang w:val="pt-BR"/>
        </w:rPr>
        <w:t xml:space="preserve"> </w:t>
      </w:r>
      <w:r w:rsidR="00DC5236">
        <w:rPr>
          <w:rFonts w:ascii="Times New Roman" w:hAnsi="Times New Roman"/>
          <w:lang w:val="pt-BR"/>
        </w:rPr>
        <w:t xml:space="preserve">não </w:t>
      </w:r>
      <w:r w:rsidR="00CA0917">
        <w:rPr>
          <w:rFonts w:ascii="Times New Roman" w:hAnsi="Times New Roman"/>
          <w:lang w:val="pt-BR"/>
        </w:rPr>
        <w:t>tiveram seu</w:t>
      </w:r>
      <w:r w:rsidR="00966FE9">
        <w:rPr>
          <w:rFonts w:ascii="Times New Roman" w:hAnsi="Times New Roman"/>
          <w:lang w:val="pt-BR"/>
        </w:rPr>
        <w:t>s</w:t>
      </w:r>
      <w:r w:rsidR="00CA0917">
        <w:rPr>
          <w:rFonts w:ascii="Times New Roman" w:hAnsi="Times New Roman"/>
          <w:lang w:val="pt-BR"/>
        </w:rPr>
        <w:t xml:space="preserve"> desempenho</w:t>
      </w:r>
      <w:r w:rsidR="00966FE9">
        <w:rPr>
          <w:rFonts w:ascii="Times New Roman" w:hAnsi="Times New Roman"/>
          <w:lang w:val="pt-BR"/>
        </w:rPr>
        <w:t>s</w:t>
      </w:r>
      <w:r w:rsidR="00CA0917">
        <w:rPr>
          <w:rFonts w:ascii="Times New Roman" w:hAnsi="Times New Roman"/>
          <w:lang w:val="pt-BR"/>
        </w:rPr>
        <w:t xml:space="preserve"> correlaciona</w:t>
      </w:r>
      <w:r w:rsidR="00914A5A">
        <w:rPr>
          <w:rFonts w:ascii="Times New Roman" w:hAnsi="Times New Roman"/>
          <w:lang w:val="pt-BR"/>
        </w:rPr>
        <w:t>dos</w:t>
      </w:r>
      <w:r w:rsidR="001F124D">
        <w:rPr>
          <w:rFonts w:ascii="Times New Roman" w:hAnsi="Times New Roman"/>
          <w:lang w:val="pt-BR"/>
        </w:rPr>
        <w:t xml:space="preserve"> até o presente momento.</w:t>
      </w:r>
      <w:r w:rsidR="005B72D6">
        <w:rPr>
          <w:rFonts w:ascii="Times New Roman" w:hAnsi="Times New Roman"/>
          <w:lang w:val="pt-BR"/>
        </w:rPr>
        <w:t xml:space="preserve"> (6)</w:t>
      </w:r>
      <w:r w:rsidR="001F124D">
        <w:rPr>
          <w:rFonts w:ascii="Times New Roman" w:hAnsi="Times New Roman"/>
          <w:lang w:val="pt-BR"/>
        </w:rPr>
        <w:t xml:space="preserve">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79ECF68C" w:rsidR="00EA4E1B" w:rsidRPr="001F25B2" w:rsidRDefault="00552F2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ligantes</w:t>
      </w:r>
    </w:p>
    <w:p w14:paraId="4E6BAA29" w14:textId="49D2B6F7" w:rsidR="00EA4E1B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O</w:t>
      </w:r>
      <w:r w:rsidR="003354B3">
        <w:rPr>
          <w:rFonts w:ascii="Times New Roman" w:hAnsi="Times New Roman"/>
          <w:lang w:val="pt-BR"/>
        </w:rPr>
        <w:t>s ligantes 2,2’-bipiridina</w:t>
      </w:r>
      <w:r w:rsidR="00093F83">
        <w:rPr>
          <w:rFonts w:ascii="Times New Roman" w:hAnsi="Times New Roman"/>
          <w:lang w:val="pt-BR"/>
        </w:rPr>
        <w:t xml:space="preserve"> (</w:t>
      </w:r>
      <w:proofErr w:type="spellStart"/>
      <w:r w:rsidR="00093F83" w:rsidRPr="004A0113">
        <w:rPr>
          <w:rFonts w:ascii="Times New Roman" w:hAnsi="Times New Roman"/>
          <w:i/>
          <w:iCs/>
          <w:lang w:val="pt-BR"/>
        </w:rPr>
        <w:t>bpy</w:t>
      </w:r>
      <w:proofErr w:type="spellEnd"/>
      <w:r w:rsidR="00093F83">
        <w:rPr>
          <w:rFonts w:ascii="Times New Roman" w:hAnsi="Times New Roman"/>
          <w:lang w:val="pt-BR"/>
        </w:rPr>
        <w:t>)</w:t>
      </w:r>
      <w:r w:rsidR="003354B3">
        <w:rPr>
          <w:rFonts w:ascii="Times New Roman" w:hAnsi="Times New Roman"/>
          <w:lang w:val="pt-BR"/>
        </w:rPr>
        <w:t xml:space="preserve"> e 1,10-fenantrolina</w:t>
      </w:r>
      <w:r w:rsidR="00093F83">
        <w:rPr>
          <w:rFonts w:ascii="Times New Roman" w:hAnsi="Times New Roman"/>
          <w:lang w:val="pt-BR"/>
        </w:rPr>
        <w:t xml:space="preserve"> (</w:t>
      </w:r>
      <w:proofErr w:type="spellStart"/>
      <w:r w:rsidR="00093F83" w:rsidRPr="004A0113">
        <w:rPr>
          <w:rFonts w:ascii="Times New Roman" w:hAnsi="Times New Roman"/>
          <w:i/>
          <w:iCs/>
          <w:lang w:val="pt-BR"/>
        </w:rPr>
        <w:t>phen</w:t>
      </w:r>
      <w:proofErr w:type="spellEnd"/>
      <w:r w:rsidR="00093F83">
        <w:rPr>
          <w:rFonts w:ascii="Times New Roman" w:hAnsi="Times New Roman"/>
          <w:lang w:val="pt-BR"/>
        </w:rPr>
        <w:t>)</w:t>
      </w:r>
      <w:r w:rsidR="003354B3">
        <w:rPr>
          <w:rFonts w:ascii="Times New Roman" w:hAnsi="Times New Roman"/>
          <w:lang w:val="pt-BR"/>
        </w:rPr>
        <w:t xml:space="preserve"> foram obtidos comercialmente pela empresa </w:t>
      </w:r>
      <w:r w:rsidR="00093F83">
        <w:rPr>
          <w:rFonts w:ascii="Times New Roman" w:hAnsi="Times New Roman"/>
          <w:lang w:val="pt-BR"/>
        </w:rPr>
        <w:t>Sigma-Aldrich. O ligante 2,2’-dipiridilamina (</w:t>
      </w:r>
      <w:proofErr w:type="spellStart"/>
      <w:r w:rsidR="00093F83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093F83">
        <w:rPr>
          <w:rFonts w:ascii="Times New Roman" w:hAnsi="Times New Roman"/>
          <w:lang w:val="pt-BR"/>
        </w:rPr>
        <w:t xml:space="preserve">) foi sintetizado de acordo com </w:t>
      </w:r>
      <w:r w:rsidR="00A41C57">
        <w:rPr>
          <w:rFonts w:ascii="Times New Roman" w:hAnsi="Times New Roman"/>
          <w:lang w:val="pt-BR"/>
        </w:rPr>
        <w:t xml:space="preserve">o procedimento </w:t>
      </w:r>
      <w:r w:rsidR="00704AE2">
        <w:rPr>
          <w:rFonts w:ascii="Times New Roman" w:hAnsi="Times New Roman"/>
          <w:lang w:val="pt-BR"/>
        </w:rPr>
        <w:t xml:space="preserve">previamente </w:t>
      </w:r>
      <w:r w:rsidR="00A41C57">
        <w:rPr>
          <w:rFonts w:ascii="Times New Roman" w:hAnsi="Times New Roman"/>
          <w:lang w:val="pt-BR"/>
        </w:rPr>
        <w:t>reportado na literatura</w:t>
      </w:r>
      <w:r w:rsidR="005B72D6">
        <w:rPr>
          <w:rFonts w:ascii="Times New Roman" w:hAnsi="Times New Roman"/>
          <w:lang w:val="pt-BR"/>
        </w:rPr>
        <w:t xml:space="preserve"> (7)</w:t>
      </w:r>
      <w:r w:rsidR="00627590">
        <w:rPr>
          <w:rFonts w:ascii="Times New Roman" w:hAnsi="Times New Roman"/>
          <w:lang w:val="pt-BR"/>
        </w:rPr>
        <w:t xml:space="preserve"> </w:t>
      </w:r>
      <w:r w:rsidR="00D70C90">
        <w:rPr>
          <w:rFonts w:ascii="Times New Roman" w:hAnsi="Times New Roman"/>
          <w:lang w:val="pt-BR"/>
        </w:rPr>
        <w:t>e foi obtido com 55% de rendimento.</w:t>
      </w:r>
    </w:p>
    <w:p w14:paraId="401FFF09" w14:textId="77777777" w:rsidR="002A1AF1" w:rsidRDefault="002A1AF1" w:rsidP="00EA4E1B">
      <w:pPr>
        <w:pStyle w:val="TAMainText"/>
        <w:rPr>
          <w:rFonts w:ascii="Times New Roman" w:hAnsi="Times New Roman"/>
          <w:lang w:val="pt-BR"/>
        </w:rPr>
      </w:pPr>
    </w:p>
    <w:p w14:paraId="70BC9984" w14:textId="588B0326" w:rsidR="002A1AF1" w:rsidRPr="001F25B2" w:rsidRDefault="002A1AF1" w:rsidP="002A1AF1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complexos</w:t>
      </w:r>
    </w:p>
    <w:p w14:paraId="33668435" w14:textId="51AF1C0F" w:rsidR="00DD1ECD" w:rsidRDefault="00701E5A" w:rsidP="000952C9">
      <w:pPr>
        <w:pStyle w:val="TAMainText"/>
        <w:rPr>
          <w:rFonts w:ascii="Times New Roman" w:hAnsi="Times New Roman"/>
          <w:lang w:val="pt-BR"/>
        </w:rPr>
      </w:pPr>
      <w:r w:rsidRPr="00701E5A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s</w:t>
      </w:r>
      <w:r w:rsidRPr="00701E5A">
        <w:rPr>
          <w:rFonts w:ascii="Times New Roman" w:hAnsi="Times New Roman"/>
          <w:lang w:val="pt-BR"/>
        </w:rPr>
        <w:t xml:space="preserve"> síntese</w:t>
      </w:r>
      <w:r>
        <w:rPr>
          <w:rFonts w:ascii="Times New Roman" w:hAnsi="Times New Roman"/>
          <w:lang w:val="pt-BR"/>
        </w:rPr>
        <w:t>s</w:t>
      </w:r>
      <w:r w:rsidRPr="00701E5A">
        <w:rPr>
          <w:rFonts w:ascii="Times New Roman" w:hAnsi="Times New Roman"/>
          <w:lang w:val="pt-BR"/>
        </w:rPr>
        <w:t xml:space="preserve"> do</w:t>
      </w:r>
      <w:r>
        <w:rPr>
          <w:rFonts w:ascii="Times New Roman" w:hAnsi="Times New Roman"/>
          <w:lang w:val="pt-BR"/>
        </w:rPr>
        <w:t>s</w:t>
      </w:r>
      <w:r w:rsidRPr="00701E5A">
        <w:rPr>
          <w:rFonts w:ascii="Times New Roman" w:hAnsi="Times New Roman"/>
          <w:lang w:val="pt-BR"/>
        </w:rPr>
        <w:t xml:space="preserve"> complexo</w:t>
      </w:r>
      <w:r>
        <w:rPr>
          <w:rFonts w:ascii="Times New Roman" w:hAnsi="Times New Roman"/>
          <w:lang w:val="pt-BR"/>
        </w:rPr>
        <w:t xml:space="preserve">s de níquel </w:t>
      </w:r>
      <w:r w:rsidRPr="00701E5A">
        <w:rPr>
          <w:rFonts w:ascii="Times New Roman" w:hAnsi="Times New Roman"/>
          <w:lang w:val="pt-BR"/>
        </w:rPr>
        <w:t>fo</w:t>
      </w:r>
      <w:r>
        <w:rPr>
          <w:rFonts w:ascii="Times New Roman" w:hAnsi="Times New Roman"/>
          <w:lang w:val="pt-BR"/>
        </w:rPr>
        <w:t>ram</w:t>
      </w:r>
      <w:r w:rsidRPr="00701E5A">
        <w:rPr>
          <w:rFonts w:ascii="Times New Roman" w:hAnsi="Times New Roman"/>
          <w:lang w:val="pt-BR"/>
        </w:rPr>
        <w:t xml:space="preserve"> executada</w:t>
      </w:r>
      <w:r>
        <w:rPr>
          <w:rFonts w:ascii="Times New Roman" w:hAnsi="Times New Roman"/>
          <w:lang w:val="pt-BR"/>
        </w:rPr>
        <w:t>s</w:t>
      </w:r>
      <w:r w:rsidRPr="00701E5A">
        <w:rPr>
          <w:rFonts w:ascii="Times New Roman" w:hAnsi="Times New Roman"/>
          <w:lang w:val="pt-BR"/>
        </w:rPr>
        <w:t xml:space="preserve"> conforme procedimento </w:t>
      </w:r>
      <w:r w:rsidR="00C0454A">
        <w:rPr>
          <w:rFonts w:ascii="Times New Roman" w:hAnsi="Times New Roman"/>
          <w:lang w:val="pt-BR"/>
        </w:rPr>
        <w:t>descrito na literatura</w:t>
      </w:r>
      <w:r>
        <w:rPr>
          <w:rFonts w:ascii="Times New Roman" w:hAnsi="Times New Roman"/>
          <w:lang w:val="pt-BR"/>
        </w:rPr>
        <w:t>.</w:t>
      </w:r>
      <w:r w:rsidR="005B72D6">
        <w:rPr>
          <w:rFonts w:ascii="Times New Roman" w:hAnsi="Times New Roman"/>
          <w:lang w:val="pt-BR"/>
        </w:rPr>
        <w:t xml:space="preserve"> (8) </w:t>
      </w:r>
      <w:r w:rsidR="001575B1">
        <w:rPr>
          <w:rFonts w:ascii="Times New Roman" w:hAnsi="Times New Roman"/>
          <w:lang w:val="pt-BR"/>
        </w:rPr>
        <w:t>Os complexos [Ni(</w:t>
      </w:r>
      <w:proofErr w:type="spellStart"/>
      <w:r w:rsidR="001575B1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1575B1">
        <w:rPr>
          <w:rFonts w:ascii="Times New Roman" w:hAnsi="Times New Roman"/>
          <w:lang w:val="pt-BR"/>
        </w:rPr>
        <w:t>)Br</w:t>
      </w:r>
      <w:r w:rsidR="001575B1" w:rsidRPr="00AB1FAE">
        <w:rPr>
          <w:rFonts w:ascii="Times New Roman" w:hAnsi="Times New Roman"/>
          <w:vertAlign w:val="subscript"/>
          <w:lang w:val="pt-BR"/>
        </w:rPr>
        <w:t>2</w:t>
      </w:r>
      <w:r w:rsidR="001575B1">
        <w:rPr>
          <w:rFonts w:ascii="Times New Roman" w:hAnsi="Times New Roman"/>
          <w:lang w:val="pt-BR"/>
        </w:rPr>
        <w:t xml:space="preserve">], </w:t>
      </w:r>
      <w:r w:rsidR="002E1DA2">
        <w:rPr>
          <w:rFonts w:ascii="Times New Roman" w:hAnsi="Times New Roman"/>
          <w:lang w:val="pt-BR"/>
        </w:rPr>
        <w:t>[Ni(</w:t>
      </w:r>
      <w:proofErr w:type="spellStart"/>
      <w:r w:rsidR="002E1DA2" w:rsidRPr="004A0113">
        <w:rPr>
          <w:rFonts w:ascii="Times New Roman" w:hAnsi="Times New Roman"/>
          <w:i/>
          <w:iCs/>
          <w:lang w:val="pt-BR"/>
        </w:rPr>
        <w:t>phen</w:t>
      </w:r>
      <w:proofErr w:type="spellEnd"/>
      <w:r w:rsidR="002E1DA2">
        <w:rPr>
          <w:rFonts w:ascii="Times New Roman" w:hAnsi="Times New Roman"/>
          <w:lang w:val="pt-BR"/>
        </w:rPr>
        <w:t>)Br</w:t>
      </w:r>
      <w:r w:rsidR="002E1DA2" w:rsidRPr="00AB1FAE">
        <w:rPr>
          <w:rFonts w:ascii="Times New Roman" w:hAnsi="Times New Roman"/>
          <w:vertAlign w:val="subscript"/>
          <w:lang w:val="pt-BR"/>
        </w:rPr>
        <w:t>2</w:t>
      </w:r>
      <w:r w:rsidR="002E1DA2">
        <w:rPr>
          <w:rFonts w:ascii="Times New Roman" w:hAnsi="Times New Roman"/>
          <w:lang w:val="pt-BR"/>
        </w:rPr>
        <w:t xml:space="preserve">] e </w:t>
      </w:r>
      <w:r w:rsidR="001575B1">
        <w:rPr>
          <w:rFonts w:ascii="Times New Roman" w:hAnsi="Times New Roman"/>
          <w:lang w:val="pt-BR"/>
        </w:rPr>
        <w:t>[Ni(</w:t>
      </w:r>
      <w:proofErr w:type="spellStart"/>
      <w:r w:rsidR="001575B1" w:rsidRPr="004A0113">
        <w:rPr>
          <w:rFonts w:ascii="Times New Roman" w:hAnsi="Times New Roman"/>
          <w:i/>
          <w:iCs/>
          <w:lang w:val="pt-BR"/>
        </w:rPr>
        <w:t>bpy</w:t>
      </w:r>
      <w:proofErr w:type="spellEnd"/>
      <w:r w:rsidR="001575B1">
        <w:rPr>
          <w:rFonts w:ascii="Times New Roman" w:hAnsi="Times New Roman"/>
          <w:lang w:val="pt-BR"/>
        </w:rPr>
        <w:t>)Br</w:t>
      </w:r>
      <w:r w:rsidR="001575B1" w:rsidRPr="00AB1FAE">
        <w:rPr>
          <w:rFonts w:ascii="Times New Roman" w:hAnsi="Times New Roman"/>
          <w:vertAlign w:val="subscript"/>
          <w:lang w:val="pt-BR"/>
        </w:rPr>
        <w:t>2</w:t>
      </w:r>
      <w:r w:rsidR="001575B1">
        <w:rPr>
          <w:rFonts w:ascii="Times New Roman" w:hAnsi="Times New Roman"/>
          <w:lang w:val="pt-BR"/>
        </w:rPr>
        <w:t>] foram obtidos com 94%, 94% e 97% de rendimento, respectivamente.</w:t>
      </w:r>
    </w:p>
    <w:p w14:paraId="685F3A54" w14:textId="75A9DA82" w:rsidR="00833EF9" w:rsidRDefault="00833EF9" w:rsidP="00D30583">
      <w:pPr>
        <w:pStyle w:val="TAMainText"/>
        <w:ind w:firstLine="0"/>
        <w:rPr>
          <w:rFonts w:ascii="Times New Roman" w:hAnsi="Times New Roman"/>
          <w:lang w:val="pt-BR"/>
        </w:rPr>
      </w:pPr>
    </w:p>
    <w:p w14:paraId="167A272F" w14:textId="605FE39A" w:rsidR="00D30583" w:rsidRPr="001F25B2" w:rsidRDefault="00D30583" w:rsidP="00D30583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Testes catalíticos – Reações de Oligomerização do </w:t>
      </w:r>
      <w:r w:rsidR="00983AC3">
        <w:rPr>
          <w:rFonts w:ascii="Times New Roman" w:hAnsi="Times New Roman"/>
          <w:i/>
          <w:lang w:val="pt-BR"/>
        </w:rPr>
        <w:t>Etileno</w:t>
      </w:r>
    </w:p>
    <w:p w14:paraId="4FF1B4A6" w14:textId="33369162" w:rsidR="00D30583" w:rsidRDefault="005778D7" w:rsidP="000952C9">
      <w:pPr>
        <w:pStyle w:val="TAMainText"/>
        <w:rPr>
          <w:rFonts w:ascii="Times New Roman" w:hAnsi="Times New Roman"/>
          <w:lang w:val="pt-BR"/>
        </w:rPr>
      </w:pPr>
      <w:r w:rsidRPr="005778D7">
        <w:rPr>
          <w:rFonts w:ascii="Times New Roman" w:hAnsi="Times New Roman"/>
          <w:lang w:val="pt-BR"/>
        </w:rPr>
        <w:t xml:space="preserve">As reações de oligomerização foram realizadas em um reator </w:t>
      </w:r>
      <w:proofErr w:type="spellStart"/>
      <w:r w:rsidRPr="005778D7">
        <w:rPr>
          <w:rFonts w:ascii="Times New Roman" w:hAnsi="Times New Roman"/>
          <w:lang w:val="pt-BR"/>
        </w:rPr>
        <w:t>Parr</w:t>
      </w:r>
      <w:proofErr w:type="spellEnd"/>
      <w:r w:rsidRPr="005778D7">
        <w:rPr>
          <w:rFonts w:ascii="Times New Roman" w:hAnsi="Times New Roman"/>
          <w:lang w:val="pt-BR"/>
        </w:rPr>
        <w:t xml:space="preserve"> de aço inoxidável de 450 </w:t>
      </w:r>
      <w:proofErr w:type="spellStart"/>
      <w:r w:rsidRPr="005778D7">
        <w:rPr>
          <w:rFonts w:ascii="Times New Roman" w:hAnsi="Times New Roman"/>
          <w:lang w:val="pt-BR"/>
        </w:rPr>
        <w:t>mL</w:t>
      </w:r>
      <w:proofErr w:type="spellEnd"/>
      <w:r w:rsidRPr="005778D7">
        <w:rPr>
          <w:rFonts w:ascii="Times New Roman" w:hAnsi="Times New Roman"/>
          <w:lang w:val="pt-BR"/>
        </w:rPr>
        <w:t xml:space="preserve"> com agitação mecânica e controle de temperatura com alimentação </w:t>
      </w:r>
      <w:r w:rsidRPr="005778D7">
        <w:rPr>
          <w:rFonts w:ascii="Times New Roman" w:hAnsi="Times New Roman"/>
          <w:lang w:val="pt-BR"/>
        </w:rPr>
        <w:lastRenderedPageBreak/>
        <w:t xml:space="preserve">contínua de </w:t>
      </w:r>
      <w:r w:rsidR="00983AC3">
        <w:rPr>
          <w:rFonts w:ascii="Times New Roman" w:hAnsi="Times New Roman"/>
          <w:lang w:val="pt-BR"/>
        </w:rPr>
        <w:t>etileno</w:t>
      </w:r>
      <w:r w:rsidR="00983AC3" w:rsidRPr="005778D7">
        <w:rPr>
          <w:rFonts w:ascii="Times New Roman" w:hAnsi="Times New Roman"/>
          <w:lang w:val="pt-BR"/>
        </w:rPr>
        <w:t xml:space="preserve"> </w:t>
      </w:r>
      <w:r w:rsidRPr="005778D7">
        <w:rPr>
          <w:rFonts w:ascii="Times New Roman" w:hAnsi="Times New Roman"/>
          <w:lang w:val="pt-BR"/>
        </w:rPr>
        <w:t xml:space="preserve">à pressão de 15 bar. Foram utilizados </w:t>
      </w:r>
      <w:r w:rsidR="00D86FB7">
        <w:rPr>
          <w:rFonts w:ascii="Times New Roman" w:hAnsi="Times New Roman"/>
          <w:lang w:val="pt-BR"/>
        </w:rPr>
        <w:br/>
        <w:t xml:space="preserve">20 </w:t>
      </w:r>
      <w:proofErr w:type="spellStart"/>
      <w:r>
        <w:rPr>
          <w:rFonts w:ascii="Times New Roman" w:hAnsi="Times New Roman"/>
          <w:lang w:val="pt-BR"/>
        </w:rPr>
        <w:t>μmol</w:t>
      </w:r>
      <w:proofErr w:type="spellEnd"/>
      <w:r>
        <w:rPr>
          <w:rFonts w:ascii="Times New Roman" w:hAnsi="Times New Roman"/>
          <w:lang w:val="pt-BR"/>
        </w:rPr>
        <w:t xml:space="preserve"> de níquel para cada</w:t>
      </w:r>
      <w:r w:rsidRPr="005778D7">
        <w:rPr>
          <w:rFonts w:ascii="Times New Roman" w:hAnsi="Times New Roman"/>
          <w:lang w:val="pt-BR"/>
        </w:rPr>
        <w:t xml:space="preserve"> precursor catalítico, tolueno como solvente e uma solução de EASC (</w:t>
      </w:r>
      <w:r w:rsidR="00E45451">
        <w:rPr>
          <w:rFonts w:ascii="Times New Roman" w:hAnsi="Times New Roman"/>
          <w:lang w:val="pt-BR"/>
        </w:rPr>
        <w:t xml:space="preserve">0,4 </w:t>
      </w:r>
      <w:proofErr w:type="gramStart"/>
      <w:r w:rsidR="006F42AA">
        <w:rPr>
          <w:rFonts w:ascii="Times New Roman" w:hAnsi="Times New Roman"/>
          <w:lang w:val="pt-BR"/>
        </w:rPr>
        <w:t>mol.L</w:t>
      </w:r>
      <w:proofErr w:type="gramEnd"/>
      <w:r w:rsidR="006F42AA" w:rsidRPr="004A0113">
        <w:rPr>
          <w:rFonts w:ascii="Times New Roman" w:hAnsi="Times New Roman"/>
          <w:vertAlign w:val="superscript"/>
          <w:lang w:val="pt-BR"/>
        </w:rPr>
        <w:t>-1</w:t>
      </w:r>
      <w:r w:rsidR="006F42AA">
        <w:rPr>
          <w:rFonts w:ascii="Times New Roman" w:hAnsi="Times New Roman"/>
          <w:lang w:val="pt-BR"/>
        </w:rPr>
        <w:t xml:space="preserve"> </w:t>
      </w:r>
      <w:r w:rsidR="00E45451">
        <w:rPr>
          <w:rFonts w:ascii="Times New Roman" w:hAnsi="Times New Roman"/>
          <w:lang w:val="pt-BR"/>
        </w:rPr>
        <w:t>em hexano</w:t>
      </w:r>
      <w:r w:rsidRPr="005778D7">
        <w:rPr>
          <w:rFonts w:ascii="Times New Roman" w:hAnsi="Times New Roman"/>
          <w:lang w:val="pt-BR"/>
        </w:rPr>
        <w:t xml:space="preserve">) como co-catalisador, </w:t>
      </w:r>
      <w:r w:rsidR="00042A71">
        <w:rPr>
          <w:rFonts w:ascii="Times New Roman" w:hAnsi="Times New Roman"/>
          <w:lang w:val="pt-BR"/>
        </w:rPr>
        <w:t>a</w:t>
      </w:r>
      <w:r w:rsidRPr="005778D7">
        <w:rPr>
          <w:rFonts w:ascii="Times New Roman" w:hAnsi="Times New Roman"/>
          <w:lang w:val="pt-BR"/>
        </w:rPr>
        <w:t xml:space="preserve"> 10</w:t>
      </w:r>
      <w:r w:rsidR="009A2966">
        <w:rPr>
          <w:rFonts w:ascii="Times New Roman" w:hAnsi="Times New Roman"/>
          <w:lang w:val="pt-BR"/>
        </w:rPr>
        <w:t xml:space="preserve"> </w:t>
      </w:r>
      <w:r w:rsidRPr="005778D7">
        <w:rPr>
          <w:rFonts w:ascii="Times New Roman" w:hAnsi="Times New Roman"/>
          <w:lang w:val="pt-BR"/>
        </w:rPr>
        <w:t>°C, durante 30 minutos.</w:t>
      </w:r>
      <w:r w:rsidR="00CA14F7">
        <w:rPr>
          <w:rFonts w:ascii="Times New Roman" w:hAnsi="Times New Roman"/>
          <w:lang w:val="pt-BR"/>
        </w:rPr>
        <w:t xml:space="preserve"> Foram estudadas diferentes razões Al/Ni</w:t>
      </w:r>
      <w:r w:rsidR="00850367">
        <w:rPr>
          <w:rFonts w:ascii="Times New Roman" w:hAnsi="Times New Roman"/>
          <w:lang w:val="pt-BR"/>
        </w:rPr>
        <w:t>.</w:t>
      </w:r>
    </w:p>
    <w:p w14:paraId="136BD1AC" w14:textId="71286B1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626D155" w14:textId="385D4081" w:rsidR="007710A1" w:rsidRPr="001F25B2" w:rsidRDefault="007710A1" w:rsidP="007710A1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Caracterização do ligante </w:t>
      </w:r>
      <w:proofErr w:type="spellStart"/>
      <w:r>
        <w:rPr>
          <w:rFonts w:ascii="Times New Roman" w:hAnsi="Times New Roman"/>
          <w:i/>
          <w:lang w:val="pt-BR"/>
        </w:rPr>
        <w:t>dpa</w:t>
      </w:r>
      <w:proofErr w:type="spellEnd"/>
      <w:r>
        <w:rPr>
          <w:rFonts w:ascii="Times New Roman" w:hAnsi="Times New Roman"/>
          <w:i/>
          <w:lang w:val="pt-BR"/>
        </w:rPr>
        <w:t xml:space="preserve"> sintetizado</w:t>
      </w:r>
    </w:p>
    <w:p w14:paraId="32E756E8" w14:textId="61A9AE42" w:rsidR="004207A8" w:rsidRDefault="007710A1" w:rsidP="003156E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ligante 2,2’-dipiridilamina foi caracterizado por RMN </w:t>
      </w:r>
      <w:r w:rsidRPr="008F24C2">
        <w:rPr>
          <w:rFonts w:ascii="Times New Roman" w:hAnsi="Times New Roman"/>
          <w:vertAlign w:val="superscript"/>
          <w:lang w:val="pt-BR"/>
        </w:rPr>
        <w:t>1</w:t>
      </w:r>
      <w:r>
        <w:rPr>
          <w:rFonts w:ascii="Times New Roman" w:hAnsi="Times New Roman"/>
          <w:lang w:val="pt-BR"/>
        </w:rPr>
        <w:t>H</w:t>
      </w:r>
      <w:r w:rsidR="00486BC5">
        <w:rPr>
          <w:rFonts w:ascii="Times New Roman" w:hAnsi="Times New Roman"/>
          <w:lang w:val="pt-BR"/>
        </w:rPr>
        <w:t xml:space="preserve">, RMN </w:t>
      </w:r>
      <w:r w:rsidR="00486BC5" w:rsidRPr="008F24C2">
        <w:rPr>
          <w:rFonts w:ascii="Times New Roman" w:hAnsi="Times New Roman"/>
          <w:vertAlign w:val="superscript"/>
          <w:lang w:val="pt-BR"/>
        </w:rPr>
        <w:t>13</w:t>
      </w:r>
      <w:r w:rsidR="00486BC5">
        <w:rPr>
          <w:rFonts w:ascii="Times New Roman" w:hAnsi="Times New Roman"/>
          <w:lang w:val="pt-BR"/>
        </w:rPr>
        <w:t xml:space="preserve">C </w:t>
      </w:r>
      <w:r w:rsidR="008F24C2">
        <w:rPr>
          <w:rFonts w:ascii="Times New Roman" w:hAnsi="Times New Roman"/>
          <w:lang w:val="pt-BR"/>
        </w:rPr>
        <w:t>e os dados de deslocamento químico obtido estão de acordo com os reportados na literatura</w:t>
      </w:r>
      <w:r w:rsidR="008038A2">
        <w:rPr>
          <w:rFonts w:ascii="Times New Roman" w:hAnsi="Times New Roman"/>
          <w:lang w:val="pt-BR"/>
        </w:rPr>
        <w:t>.</w:t>
      </w:r>
      <w:r w:rsidR="00A705F9">
        <w:rPr>
          <w:rFonts w:ascii="Times New Roman" w:hAnsi="Times New Roman"/>
          <w:lang w:val="pt-BR"/>
        </w:rPr>
        <w:t xml:space="preserve"> (7) </w:t>
      </w:r>
      <w:r w:rsidR="008038A2">
        <w:rPr>
          <w:rFonts w:ascii="Times New Roman" w:hAnsi="Times New Roman"/>
          <w:lang w:val="pt-BR"/>
        </w:rPr>
        <w:t>Além disso, os dados obtidos pela análise elementar estão de acordo com os valores teóricos calculados esperados.</w:t>
      </w:r>
    </w:p>
    <w:p w14:paraId="579FBD7D" w14:textId="77777777" w:rsidR="00C0454A" w:rsidRDefault="00C0454A" w:rsidP="008F24C2">
      <w:pPr>
        <w:pStyle w:val="TAMainText"/>
        <w:ind w:firstLine="0"/>
        <w:rPr>
          <w:rFonts w:ascii="Times New Roman" w:hAnsi="Times New Roman"/>
          <w:lang w:val="pt-BR"/>
        </w:rPr>
      </w:pPr>
    </w:p>
    <w:p w14:paraId="0BAC5253" w14:textId="23CFAF91" w:rsidR="00537ED7" w:rsidRPr="001F25B2" w:rsidRDefault="00537ED7" w:rsidP="00537ED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complexos de níquel</w:t>
      </w:r>
    </w:p>
    <w:p w14:paraId="1AA9334D" w14:textId="584BC647" w:rsidR="00D62131" w:rsidRDefault="00C93936" w:rsidP="00D62131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1311" behindDoc="0" locked="0" layoutInCell="1" allowOverlap="1" wp14:anchorId="41793A74" wp14:editId="6C08C117">
            <wp:simplePos x="0" y="0"/>
            <wp:positionH relativeFrom="column">
              <wp:posOffset>312420</wp:posOffset>
            </wp:positionH>
            <wp:positionV relativeFrom="paragraph">
              <wp:posOffset>2471420</wp:posOffset>
            </wp:positionV>
            <wp:extent cx="2469515" cy="767715"/>
            <wp:effectExtent l="0" t="0" r="6985" b="0"/>
            <wp:wrapTopAndBottom/>
            <wp:docPr id="1826318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18423" name="Imagem 18263184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00B">
        <w:rPr>
          <w:rFonts w:ascii="Times New Roman" w:hAnsi="Times New Roman"/>
          <w:lang w:val="pt-BR"/>
        </w:rPr>
        <w:t xml:space="preserve">Os complexos de níquel obtidos foram caracterizados </w:t>
      </w:r>
      <w:r w:rsidR="00F230FD">
        <w:rPr>
          <w:rFonts w:ascii="Times New Roman" w:hAnsi="Times New Roman"/>
          <w:lang w:val="pt-BR"/>
        </w:rPr>
        <w:t>por análise elementar de C, H e N</w:t>
      </w:r>
      <w:r w:rsidR="00306CFD">
        <w:rPr>
          <w:rFonts w:ascii="Times New Roman" w:hAnsi="Times New Roman"/>
          <w:lang w:val="pt-BR"/>
        </w:rPr>
        <w:t xml:space="preserve"> e o</w:t>
      </w:r>
      <w:r w:rsidR="00E65FDE">
        <w:rPr>
          <w:rFonts w:ascii="Times New Roman" w:hAnsi="Times New Roman"/>
          <w:lang w:val="pt-BR"/>
        </w:rPr>
        <w:t xml:space="preserve">s valores </w:t>
      </w:r>
      <w:r w:rsidR="00306CFD">
        <w:rPr>
          <w:rFonts w:ascii="Times New Roman" w:hAnsi="Times New Roman"/>
          <w:lang w:val="pt-BR"/>
        </w:rPr>
        <w:t xml:space="preserve">obtidos estão de acordo com os valores </w:t>
      </w:r>
      <w:r w:rsidR="00CF14C7">
        <w:rPr>
          <w:rFonts w:ascii="Times New Roman" w:hAnsi="Times New Roman"/>
          <w:lang w:val="pt-BR"/>
        </w:rPr>
        <w:t>teóricos calculado</w:t>
      </w:r>
      <w:r w:rsidR="00D62131">
        <w:rPr>
          <w:rFonts w:ascii="Times New Roman" w:hAnsi="Times New Roman"/>
          <w:lang w:val="pt-BR"/>
        </w:rPr>
        <w:t xml:space="preserve">s. </w:t>
      </w:r>
      <w:r w:rsidR="006F42AA">
        <w:rPr>
          <w:rFonts w:ascii="Times New Roman" w:hAnsi="Times New Roman"/>
          <w:lang w:val="pt-BR"/>
        </w:rPr>
        <w:t>O</w:t>
      </w:r>
      <w:r w:rsidR="00696134">
        <w:rPr>
          <w:rFonts w:ascii="Times New Roman" w:hAnsi="Times New Roman"/>
          <w:lang w:val="pt-BR"/>
        </w:rPr>
        <w:t xml:space="preserve"> complexo [Ni(</w:t>
      </w:r>
      <w:proofErr w:type="spellStart"/>
      <w:r w:rsidR="00696134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696134">
        <w:rPr>
          <w:rFonts w:ascii="Times New Roman" w:hAnsi="Times New Roman"/>
          <w:lang w:val="pt-BR"/>
        </w:rPr>
        <w:t>)Br</w:t>
      </w:r>
      <w:r w:rsidR="00696134" w:rsidRPr="006D2730">
        <w:rPr>
          <w:rFonts w:ascii="Times New Roman" w:hAnsi="Times New Roman"/>
          <w:vertAlign w:val="subscript"/>
          <w:lang w:val="pt-BR"/>
        </w:rPr>
        <w:t>2</w:t>
      </w:r>
      <w:r w:rsidR="00696134">
        <w:rPr>
          <w:rFonts w:ascii="Times New Roman" w:hAnsi="Times New Roman"/>
          <w:lang w:val="pt-BR"/>
        </w:rPr>
        <w:t xml:space="preserve">] </w:t>
      </w:r>
      <w:r w:rsidR="006F42AA">
        <w:rPr>
          <w:rFonts w:ascii="Times New Roman" w:hAnsi="Times New Roman"/>
          <w:lang w:val="pt-BR"/>
        </w:rPr>
        <w:t xml:space="preserve">também </w:t>
      </w:r>
      <w:r w:rsidR="00DD30CB">
        <w:rPr>
          <w:rFonts w:ascii="Times New Roman" w:hAnsi="Times New Roman"/>
          <w:lang w:val="pt-BR"/>
        </w:rPr>
        <w:t>foi caracterizado</w:t>
      </w:r>
      <w:r w:rsidR="00696134">
        <w:rPr>
          <w:rFonts w:ascii="Times New Roman" w:hAnsi="Times New Roman"/>
          <w:lang w:val="pt-BR"/>
        </w:rPr>
        <w:t xml:space="preserve"> </w:t>
      </w:r>
      <w:r w:rsidR="008C3E86">
        <w:rPr>
          <w:rFonts w:ascii="Times New Roman" w:hAnsi="Times New Roman"/>
          <w:lang w:val="pt-BR"/>
        </w:rPr>
        <w:t xml:space="preserve">Massas (nome do massas? Elespray?) e </w:t>
      </w:r>
      <w:r w:rsidR="00696134">
        <w:rPr>
          <w:rFonts w:ascii="Times New Roman" w:hAnsi="Times New Roman"/>
          <w:lang w:val="pt-BR"/>
        </w:rPr>
        <w:t xml:space="preserve">por </w:t>
      </w:r>
      <w:r w:rsidR="00980DBD">
        <w:rPr>
          <w:rFonts w:ascii="Times New Roman" w:hAnsi="Times New Roman"/>
          <w:lang w:val="pt-BR"/>
        </w:rPr>
        <w:t xml:space="preserve">Espectroscopia de Absorção de </w:t>
      </w:r>
      <w:r w:rsidR="006D2730">
        <w:rPr>
          <w:rFonts w:ascii="Times New Roman" w:hAnsi="Times New Roman"/>
          <w:lang w:val="pt-BR"/>
        </w:rPr>
        <w:t xml:space="preserve">Raios X (XAS). </w:t>
      </w:r>
      <w:r w:rsidR="00F4720C">
        <w:rPr>
          <w:rFonts w:ascii="Times New Roman" w:hAnsi="Times New Roman"/>
          <w:lang w:val="pt-BR"/>
        </w:rPr>
        <w:t xml:space="preserve">A partir do espectro XANES </w:t>
      </w:r>
      <w:r w:rsidR="00DD30CB">
        <w:rPr>
          <w:rFonts w:ascii="Times New Roman" w:hAnsi="Times New Roman"/>
          <w:lang w:val="pt-BR"/>
        </w:rPr>
        <w:t>foi possível confirmar o estado de oxidação 2</w:t>
      </w:r>
      <w:r w:rsidR="00DD30CB" w:rsidRPr="004A0113">
        <w:rPr>
          <w:rFonts w:ascii="Times New Roman" w:hAnsi="Times New Roman"/>
          <w:lang w:val="pt-BR"/>
        </w:rPr>
        <w:t>+</w:t>
      </w:r>
      <w:r w:rsidR="00DD30CB">
        <w:rPr>
          <w:rFonts w:ascii="Times New Roman" w:hAnsi="Times New Roman"/>
          <w:lang w:val="pt-BR"/>
        </w:rPr>
        <w:t xml:space="preserve"> do níquel, bem como sua geometria tetraédrica</w:t>
      </w:r>
      <w:r w:rsidR="000333AA">
        <w:rPr>
          <w:rFonts w:ascii="Times New Roman" w:hAnsi="Times New Roman"/>
          <w:lang w:val="pt-BR"/>
        </w:rPr>
        <w:t xml:space="preserve">. </w:t>
      </w:r>
      <w:r w:rsidR="00883A43">
        <w:rPr>
          <w:rFonts w:ascii="Times New Roman" w:hAnsi="Times New Roman"/>
          <w:lang w:val="pt-BR"/>
        </w:rPr>
        <w:t>Além disso</w:t>
      </w:r>
      <w:r w:rsidR="00E45CF7">
        <w:rPr>
          <w:rFonts w:ascii="Times New Roman" w:hAnsi="Times New Roman"/>
          <w:lang w:val="pt-BR"/>
        </w:rPr>
        <w:t>,</w:t>
      </w:r>
      <w:r w:rsidR="000333AA">
        <w:rPr>
          <w:rFonts w:ascii="Times New Roman" w:hAnsi="Times New Roman"/>
          <w:lang w:val="pt-BR"/>
        </w:rPr>
        <w:t xml:space="preserve"> o</w:t>
      </w:r>
      <w:r w:rsidR="009054B1">
        <w:rPr>
          <w:rFonts w:ascii="Times New Roman" w:hAnsi="Times New Roman"/>
          <w:lang w:val="pt-BR"/>
        </w:rPr>
        <w:t xml:space="preserve"> espectro EXAFS obtido permit</w:t>
      </w:r>
      <w:r w:rsidR="000333AA">
        <w:rPr>
          <w:rFonts w:ascii="Times New Roman" w:hAnsi="Times New Roman"/>
          <w:lang w:val="pt-BR"/>
        </w:rPr>
        <w:t>iu</w:t>
      </w:r>
      <w:r w:rsidR="009054B1">
        <w:rPr>
          <w:rFonts w:ascii="Times New Roman" w:hAnsi="Times New Roman"/>
          <w:lang w:val="pt-BR"/>
        </w:rPr>
        <w:t xml:space="preserve"> identificar</w:t>
      </w:r>
      <w:r w:rsidR="00CD5047">
        <w:rPr>
          <w:rFonts w:ascii="Times New Roman" w:hAnsi="Times New Roman"/>
          <w:lang w:val="pt-BR"/>
        </w:rPr>
        <w:t xml:space="preserve"> </w:t>
      </w:r>
      <w:r w:rsidR="00173448">
        <w:rPr>
          <w:rFonts w:ascii="Times New Roman" w:hAnsi="Times New Roman"/>
          <w:lang w:val="pt-BR"/>
        </w:rPr>
        <w:t>os</w:t>
      </w:r>
      <w:r w:rsidR="009054B1">
        <w:rPr>
          <w:rFonts w:ascii="Times New Roman" w:hAnsi="Times New Roman"/>
          <w:lang w:val="pt-BR"/>
        </w:rPr>
        <w:t xml:space="preserve"> átomos vizinhos ao centro</w:t>
      </w:r>
      <w:r w:rsidR="004E1DFC">
        <w:rPr>
          <w:rFonts w:ascii="Times New Roman" w:hAnsi="Times New Roman"/>
          <w:lang w:val="pt-BR"/>
        </w:rPr>
        <w:t xml:space="preserve"> metálico</w:t>
      </w:r>
      <w:r w:rsidR="004A602D">
        <w:rPr>
          <w:rFonts w:ascii="Times New Roman" w:hAnsi="Times New Roman"/>
          <w:lang w:val="pt-BR"/>
        </w:rPr>
        <w:t xml:space="preserve">, bem como o número de coordenação do níquel com </w:t>
      </w:r>
      <w:r w:rsidR="00AE143D">
        <w:rPr>
          <w:rFonts w:ascii="Times New Roman" w:hAnsi="Times New Roman"/>
          <w:lang w:val="pt-BR"/>
        </w:rPr>
        <w:t>estes átomos</w:t>
      </w:r>
      <w:r w:rsidR="004A602D">
        <w:rPr>
          <w:rFonts w:ascii="Times New Roman" w:hAnsi="Times New Roman"/>
          <w:lang w:val="pt-BR"/>
        </w:rPr>
        <w:t xml:space="preserve"> </w:t>
      </w:r>
      <w:r w:rsidR="004E1DFC">
        <w:rPr>
          <w:rFonts w:ascii="Times New Roman" w:hAnsi="Times New Roman"/>
          <w:lang w:val="pt-BR"/>
        </w:rPr>
        <w:t xml:space="preserve">e a distância dessas ligações </w:t>
      </w:r>
      <w:r w:rsidR="000F4A36">
        <w:rPr>
          <w:rFonts w:ascii="Times New Roman" w:hAnsi="Times New Roman"/>
          <w:lang w:val="pt-BR"/>
        </w:rPr>
        <w:t xml:space="preserve">com o metal analisado. </w:t>
      </w:r>
      <w:r w:rsidR="00A5193D">
        <w:rPr>
          <w:rFonts w:ascii="Times New Roman" w:hAnsi="Times New Roman"/>
          <w:lang w:val="pt-BR"/>
        </w:rPr>
        <w:t xml:space="preserve">Os valores foram comparados com estruturas semelhantes reportadas na literatura e estão de acordo com </w:t>
      </w:r>
      <w:r w:rsidR="00AE143D">
        <w:rPr>
          <w:rFonts w:ascii="Times New Roman" w:hAnsi="Times New Roman"/>
          <w:lang w:val="pt-BR"/>
        </w:rPr>
        <w:t>o arranjo molecular esperado</w:t>
      </w:r>
      <w:r w:rsidR="000333AA">
        <w:rPr>
          <w:rFonts w:ascii="Times New Roman" w:hAnsi="Times New Roman"/>
          <w:lang w:val="pt-BR"/>
        </w:rPr>
        <w:t xml:space="preserve">, confirmando a obtenção da estrutura </w:t>
      </w:r>
      <w:r w:rsidR="00AB6506">
        <w:rPr>
          <w:rFonts w:ascii="Times New Roman" w:hAnsi="Times New Roman"/>
          <w:lang w:val="pt-BR"/>
        </w:rPr>
        <w:t>prevista</w:t>
      </w:r>
      <w:r w:rsidR="000333AA">
        <w:rPr>
          <w:rFonts w:ascii="Times New Roman" w:hAnsi="Times New Roman"/>
          <w:lang w:val="pt-BR"/>
        </w:rPr>
        <w:t>.</w:t>
      </w:r>
      <w:r w:rsidR="00864AD0">
        <w:rPr>
          <w:rFonts w:ascii="Times New Roman" w:hAnsi="Times New Roman"/>
          <w:lang w:val="pt-BR"/>
        </w:rPr>
        <w:t xml:space="preserve"> (5)</w:t>
      </w:r>
      <w:r w:rsidR="00840020">
        <w:rPr>
          <w:rFonts w:ascii="Times New Roman" w:hAnsi="Times New Roman"/>
          <w:lang w:val="pt-BR"/>
        </w:rPr>
        <w:t xml:space="preserve"> </w:t>
      </w:r>
      <w:r w:rsidR="00D62131">
        <w:rPr>
          <w:rFonts w:ascii="Times New Roman" w:hAnsi="Times New Roman"/>
          <w:lang w:val="pt-BR"/>
        </w:rPr>
        <w:t>As estruturas dos complexos sintetizados encontram-se ilustradas na Figura 1.</w:t>
      </w:r>
    </w:p>
    <w:p w14:paraId="6821BF47" w14:textId="7101B7CE" w:rsidR="00D62131" w:rsidRPr="00D30583" w:rsidRDefault="00D62131" w:rsidP="00D62131">
      <w:pPr>
        <w:pStyle w:val="VAFigureCaption"/>
        <w:spacing w:before="0"/>
        <w:rPr>
          <w:rFonts w:ascii="Times New Roman" w:hAnsi="Times New Roman"/>
          <w:lang w:val="pt-BR"/>
        </w:rPr>
      </w:pPr>
      <w:r w:rsidRPr="00D30583">
        <w:rPr>
          <w:rFonts w:ascii="Times New Roman" w:hAnsi="Times New Roman"/>
          <w:b/>
          <w:lang w:val="pt-BR"/>
        </w:rPr>
        <w:t>Figura 1.</w:t>
      </w:r>
      <w:r w:rsidRPr="00D30583">
        <w:rPr>
          <w:rFonts w:ascii="Times New Roman" w:hAnsi="Times New Roman"/>
          <w:lang w:val="pt-BR"/>
        </w:rPr>
        <w:t xml:space="preserve"> Complexos de níquel sintetizados. a) [Ni(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Pr="00D30583">
        <w:rPr>
          <w:rFonts w:ascii="Times New Roman" w:hAnsi="Times New Roman"/>
          <w:lang w:val="pt-BR"/>
        </w:rPr>
        <w:t>)Br</w:t>
      </w:r>
      <w:r w:rsidRPr="00D30583">
        <w:rPr>
          <w:rFonts w:ascii="Times New Roman" w:hAnsi="Times New Roman"/>
          <w:vertAlign w:val="subscript"/>
          <w:lang w:val="pt-BR"/>
        </w:rPr>
        <w:t>2</w:t>
      </w:r>
      <w:r w:rsidRPr="00D30583">
        <w:rPr>
          <w:rFonts w:ascii="Times New Roman" w:hAnsi="Times New Roman"/>
          <w:lang w:val="pt-BR"/>
        </w:rPr>
        <w:t>], b) [Ni(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phen</w:t>
      </w:r>
      <w:proofErr w:type="spellEnd"/>
      <w:r w:rsidRPr="00D30583">
        <w:rPr>
          <w:rFonts w:ascii="Times New Roman" w:hAnsi="Times New Roman"/>
          <w:lang w:val="pt-BR"/>
        </w:rPr>
        <w:t>)Br</w:t>
      </w:r>
      <w:r w:rsidRPr="00D30583">
        <w:rPr>
          <w:rFonts w:ascii="Times New Roman" w:hAnsi="Times New Roman"/>
          <w:vertAlign w:val="subscript"/>
          <w:lang w:val="pt-BR"/>
        </w:rPr>
        <w:t>2</w:t>
      </w:r>
      <w:r w:rsidRPr="00D30583">
        <w:rPr>
          <w:rFonts w:ascii="Times New Roman" w:hAnsi="Times New Roman"/>
          <w:lang w:val="pt-BR"/>
        </w:rPr>
        <w:t>] e c) [Ni(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bpy</w:t>
      </w:r>
      <w:proofErr w:type="spellEnd"/>
      <w:r w:rsidRPr="00D30583">
        <w:rPr>
          <w:rFonts w:ascii="Times New Roman" w:hAnsi="Times New Roman"/>
          <w:lang w:val="pt-BR"/>
        </w:rPr>
        <w:t>)Br</w:t>
      </w:r>
      <w:r w:rsidRPr="00D30583">
        <w:rPr>
          <w:rFonts w:ascii="Times New Roman" w:hAnsi="Times New Roman"/>
          <w:vertAlign w:val="subscript"/>
          <w:lang w:val="pt-BR"/>
        </w:rPr>
        <w:t>2</w:t>
      </w:r>
      <w:r w:rsidRPr="00D30583">
        <w:rPr>
          <w:rFonts w:ascii="Times New Roman" w:hAnsi="Times New Roman"/>
          <w:lang w:val="pt-BR"/>
        </w:rPr>
        <w:t>].</w:t>
      </w:r>
    </w:p>
    <w:p w14:paraId="590A614F" w14:textId="77777777" w:rsidR="007B7D77" w:rsidRDefault="007B7D77" w:rsidP="00A5193D">
      <w:pPr>
        <w:pStyle w:val="TAMainText"/>
        <w:ind w:firstLine="0"/>
        <w:rPr>
          <w:rFonts w:ascii="Times New Roman" w:hAnsi="Times New Roman"/>
          <w:lang w:val="pt-BR"/>
        </w:rPr>
      </w:pPr>
    </w:p>
    <w:p w14:paraId="51BCB4A0" w14:textId="2D5015DF" w:rsidR="00D93042" w:rsidRDefault="00D93042" w:rsidP="00A5193D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Reações de Oligomerização do </w:t>
      </w:r>
      <w:r w:rsidR="00983AC3">
        <w:rPr>
          <w:rFonts w:ascii="Times New Roman" w:hAnsi="Times New Roman"/>
          <w:i/>
          <w:lang w:val="pt-BR"/>
        </w:rPr>
        <w:t>Etileno</w:t>
      </w:r>
    </w:p>
    <w:p w14:paraId="49AE8C02" w14:textId="4835F9D0" w:rsidR="00EA4E1B" w:rsidRDefault="00D51F4A" w:rsidP="00745D49">
      <w:pPr>
        <w:pStyle w:val="TAMainText"/>
        <w:ind w:firstLine="142"/>
        <w:rPr>
          <w:lang w:val="pt-BR"/>
        </w:rPr>
      </w:pPr>
      <w:r>
        <w:rPr>
          <w:rFonts w:ascii="Times New Roman" w:hAnsi="Times New Roman"/>
          <w:lang w:val="pt-BR"/>
        </w:rPr>
        <w:t xml:space="preserve">Os testes catalíticos foram realizados em duplicata </w:t>
      </w:r>
      <w:r w:rsidR="00745D49">
        <w:rPr>
          <w:rFonts w:ascii="Times New Roman" w:hAnsi="Times New Roman"/>
          <w:lang w:val="pt-BR"/>
        </w:rPr>
        <w:t>e os resultados estão apresentados na Tabela 1.</w:t>
      </w:r>
    </w:p>
    <w:p w14:paraId="483DF959" w14:textId="1CDC37C0" w:rsidR="00EA4E1B" w:rsidRPr="00E038AF" w:rsidRDefault="00EA4E1B" w:rsidP="00EA4E1B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="00745D49" w:rsidRPr="00745D49">
        <w:rPr>
          <w:rFonts w:ascii="Times New Roman" w:hAnsi="Times New Roman"/>
          <w:lang w:val="pt-BR"/>
        </w:rPr>
        <w:t xml:space="preserve">Resultados dos testes catalíticos </w:t>
      </w:r>
      <w:r w:rsidR="00745D49">
        <w:rPr>
          <w:rFonts w:ascii="Times New Roman" w:hAnsi="Times New Roman"/>
          <w:lang w:val="pt-BR"/>
        </w:rPr>
        <w:t>empregando os complexos de níquel sintetizados como precursores catalíticos</w:t>
      </w:r>
      <w:r w:rsidRPr="00E038AF">
        <w:rPr>
          <w:rFonts w:ascii="Times New Roman" w:hAnsi="Times New Roman"/>
          <w:lang w:val="pt-BR"/>
        </w:rPr>
        <w:t>.</w:t>
      </w:r>
    </w:p>
    <w:tbl>
      <w:tblPr>
        <w:tblStyle w:val="Tabelacomgrade"/>
        <w:tblW w:w="510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607"/>
        <w:gridCol w:w="567"/>
        <w:gridCol w:w="567"/>
        <w:gridCol w:w="567"/>
        <w:gridCol w:w="567"/>
        <w:gridCol w:w="567"/>
        <w:gridCol w:w="567"/>
      </w:tblGrid>
      <w:tr w:rsidR="009B7971" w14:paraId="12ECBAEF" w14:textId="77777777" w:rsidTr="001E25EF">
        <w:trPr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E9900" w14:textId="7E7C15DF" w:rsidR="00CA14F7" w:rsidRPr="004B2A2A" w:rsidRDefault="00C71032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Prec</w:t>
            </w:r>
            <w:r w:rsidR="000C76E1" w:rsidRPr="004B2A2A">
              <w:rPr>
                <w:rFonts w:ascii="Times" w:hAnsi="Times" w:cs="Times"/>
                <w:sz w:val="16"/>
                <w:szCs w:val="16"/>
              </w:rPr>
              <w:t>.</w:t>
            </w:r>
          </w:p>
          <w:p w14:paraId="428B28AC" w14:textId="49F87EE3" w:rsidR="00C71032" w:rsidRPr="004B2A2A" w:rsidRDefault="00C71032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Cat</w:t>
            </w:r>
            <w:r w:rsidR="000C76E1" w:rsidRPr="004B2A2A">
              <w:rPr>
                <w:rFonts w:ascii="Times" w:hAnsi="Times" w:cs="Times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0DD" w14:textId="3946E201" w:rsidR="00CA14F7" w:rsidRPr="004B2A2A" w:rsidRDefault="007E1C07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Al/Ni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891" w14:textId="77777777" w:rsidR="00CA14F7" w:rsidRPr="004B2A2A" w:rsidRDefault="007E1C07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F.R.</w:t>
            </w:r>
          </w:p>
          <w:p w14:paraId="08F37B16" w14:textId="766F15E6" w:rsidR="007E1C07" w:rsidRPr="004B2A2A" w:rsidRDefault="007E1C07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(s</w:t>
            </w:r>
            <w:r w:rsidRPr="004B2A2A">
              <w:rPr>
                <w:rFonts w:ascii="Times" w:hAnsi="Times" w:cs="Times"/>
                <w:sz w:val="16"/>
                <w:szCs w:val="16"/>
                <w:vertAlign w:val="superscript"/>
              </w:rPr>
              <w:t>-1</w:t>
            </w:r>
            <w:r w:rsidRPr="004B2A2A">
              <w:rPr>
                <w:rFonts w:ascii="Times" w:hAnsi="Times" w:cs="Times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493" w14:textId="14539449" w:rsidR="00CA14F7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S</w:t>
            </w:r>
            <w:r w:rsidRPr="004B2A2A">
              <w:rPr>
                <w:rFonts w:ascii="Times" w:hAnsi="Times" w:cs="Times"/>
                <w:sz w:val="16"/>
                <w:szCs w:val="16"/>
                <w:vertAlign w:val="subscript"/>
              </w:rPr>
              <w:t>C4</w:t>
            </w:r>
            <w:r w:rsidRPr="004B2A2A">
              <w:rPr>
                <w:rFonts w:ascii="Times" w:hAnsi="Times" w:cs="Times"/>
                <w:sz w:val="16"/>
                <w:szCs w:val="16"/>
              </w:rPr>
              <w:t xml:space="preserve"> (%)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79456" w14:textId="54811203" w:rsidR="00CA14F7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S</w:t>
            </w:r>
            <w:r w:rsidRPr="004B2A2A">
              <w:rPr>
                <w:rFonts w:ascii="Times" w:hAnsi="Times" w:cs="Times"/>
                <w:sz w:val="16"/>
                <w:szCs w:val="16"/>
                <w:vertAlign w:val="subscript"/>
              </w:rPr>
              <w:t>α-C4</w:t>
            </w:r>
            <w:r w:rsidRPr="004B2A2A">
              <w:rPr>
                <w:rFonts w:ascii="Times" w:hAnsi="Times" w:cs="Times"/>
                <w:sz w:val="16"/>
                <w:szCs w:val="16"/>
              </w:rPr>
              <w:t xml:space="preserve"> (%)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A7461B" w14:textId="77777777" w:rsidR="000C76E1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  <w:vertAlign w:val="subscript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S</w:t>
            </w:r>
            <w:r w:rsidRPr="004B2A2A">
              <w:rPr>
                <w:rFonts w:ascii="Times" w:hAnsi="Times" w:cs="Times"/>
                <w:sz w:val="16"/>
                <w:szCs w:val="16"/>
                <w:vertAlign w:val="subscript"/>
              </w:rPr>
              <w:t>B2-t</w:t>
            </w:r>
          </w:p>
          <w:p w14:paraId="411287AD" w14:textId="44EDB78C" w:rsidR="00CA14F7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(%)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5591" w14:textId="77777777" w:rsidR="000C76E1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  <w:vertAlign w:val="subscript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S</w:t>
            </w:r>
            <w:r w:rsidRPr="004B2A2A">
              <w:rPr>
                <w:rFonts w:ascii="Times" w:hAnsi="Times" w:cs="Times"/>
                <w:sz w:val="16"/>
                <w:szCs w:val="16"/>
                <w:vertAlign w:val="subscript"/>
              </w:rPr>
              <w:t>B2-c</w:t>
            </w:r>
          </w:p>
          <w:p w14:paraId="7EEBC8EB" w14:textId="22396841" w:rsidR="00CA14F7" w:rsidRPr="004B2A2A" w:rsidRDefault="00AD1E5B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(%)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DBE" w14:textId="20E14926" w:rsidR="00CA14F7" w:rsidRPr="004B2A2A" w:rsidRDefault="000C76E1" w:rsidP="00CA14F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4B2A2A">
              <w:rPr>
                <w:rFonts w:ascii="Times" w:hAnsi="Times" w:cs="Times"/>
                <w:sz w:val="16"/>
                <w:szCs w:val="16"/>
              </w:rPr>
              <w:t>S</w:t>
            </w:r>
            <w:r w:rsidRPr="004B2A2A">
              <w:rPr>
                <w:rFonts w:ascii="Times" w:hAnsi="Times" w:cs="Times"/>
                <w:sz w:val="16"/>
                <w:szCs w:val="16"/>
                <w:vertAlign w:val="subscript"/>
              </w:rPr>
              <w:t>C6</w:t>
            </w:r>
            <w:r w:rsidRPr="004B2A2A">
              <w:rPr>
                <w:rFonts w:ascii="Times" w:hAnsi="Times" w:cs="Times"/>
                <w:sz w:val="16"/>
                <w:szCs w:val="16"/>
              </w:rPr>
              <w:t xml:space="preserve"> (%)</w:t>
            </w:r>
          </w:p>
        </w:tc>
      </w:tr>
      <w:tr w:rsidR="009B7971" w14:paraId="39FD9425" w14:textId="77777777" w:rsidTr="001E25EF">
        <w:trPr>
          <w:jc w:val="center"/>
        </w:trPr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C0C30" w14:textId="1EB8759C" w:rsidR="00CD493F" w:rsidRPr="001E25EF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1E25EF">
              <w:rPr>
                <w:rFonts w:ascii="Times" w:hAnsi="Times" w:cs="Times"/>
                <w:sz w:val="16"/>
                <w:szCs w:val="16"/>
              </w:rPr>
              <w:t>Ni(</w:t>
            </w:r>
            <w:proofErr w:type="spellStart"/>
            <w:r w:rsidRPr="004A0113">
              <w:rPr>
                <w:rFonts w:ascii="Times" w:hAnsi="Times" w:cs="Times"/>
                <w:i/>
                <w:iCs/>
                <w:sz w:val="16"/>
                <w:szCs w:val="16"/>
              </w:rPr>
              <w:t>dpa</w:t>
            </w:r>
            <w:proofErr w:type="spellEnd"/>
            <w:r w:rsidRPr="001E25EF">
              <w:rPr>
                <w:rFonts w:ascii="Times" w:hAnsi="Times" w:cs="Times"/>
                <w:sz w:val="16"/>
                <w:szCs w:val="16"/>
              </w:rPr>
              <w:t>)Br</w:t>
            </w:r>
            <w:r w:rsidRPr="001E25EF">
              <w:rPr>
                <w:rFonts w:ascii="Times" w:hAnsi="Times" w:cs="Times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FC4B1B" w14:textId="50E4F796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A1118" w14:textId="102B57A7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CE87BC" w14:textId="2CB931B3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14:paraId="0B39EBC0" w14:textId="3FD6E0CA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815DDEC" w14:textId="42670B47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14:paraId="09EF70EB" w14:textId="59846D0F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CB941A" w14:textId="0E2F8D63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</w:t>
            </w:r>
          </w:p>
        </w:tc>
      </w:tr>
      <w:tr w:rsidR="009B7971" w14:paraId="64EC7E49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1C18" w14:textId="77777777" w:rsidR="00CD493F" w:rsidRPr="001E25EF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79797" w14:textId="7A1D0F27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F51A7" w14:textId="42ADCFD8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2652" w14:textId="4FF5124A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6E98A" w14:textId="26F01D32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6A0D20" w14:textId="6F8AEAE3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67518" w14:textId="2F78765A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6E5D9" w14:textId="1C00D3BF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21</w:t>
            </w:r>
          </w:p>
        </w:tc>
      </w:tr>
      <w:tr w:rsidR="0020321B" w14:paraId="25214D71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A929" w14:textId="77777777" w:rsidR="00CD493F" w:rsidRPr="001E25EF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049" w14:textId="2064C97C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AEC" w14:textId="6D01CDD1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084" w14:textId="6B376CE0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1AA4F2" w14:textId="0ED11B2D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6AC35" w14:textId="7BE35309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9545A" w14:textId="18B5C377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E80" w14:textId="15556F50" w:rsidR="00CD493F" w:rsidRPr="00BC6D74" w:rsidRDefault="00CD493F" w:rsidP="00CD493F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14</w:t>
            </w:r>
          </w:p>
        </w:tc>
      </w:tr>
      <w:tr w:rsidR="009B7971" w14:paraId="6594A773" w14:textId="77777777" w:rsidTr="001E25EF">
        <w:trPr>
          <w:jc w:val="center"/>
        </w:trPr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4B2D5" w14:textId="6B071CB7" w:rsidR="00BC6D74" w:rsidRPr="001E25EF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1E25EF">
              <w:rPr>
                <w:rFonts w:ascii="Times" w:hAnsi="Times" w:cs="Times"/>
                <w:sz w:val="16"/>
                <w:szCs w:val="16"/>
              </w:rPr>
              <w:t>Ni(</w:t>
            </w:r>
            <w:proofErr w:type="spellStart"/>
            <w:r w:rsidRPr="004A0113">
              <w:rPr>
                <w:rFonts w:ascii="Times" w:hAnsi="Times" w:cs="Times"/>
                <w:i/>
                <w:iCs/>
                <w:sz w:val="16"/>
                <w:szCs w:val="16"/>
              </w:rPr>
              <w:t>phen</w:t>
            </w:r>
            <w:proofErr w:type="spellEnd"/>
            <w:r w:rsidRPr="001E25EF">
              <w:rPr>
                <w:rFonts w:ascii="Times" w:hAnsi="Times" w:cs="Times"/>
                <w:sz w:val="16"/>
                <w:szCs w:val="16"/>
              </w:rPr>
              <w:t>)Br</w:t>
            </w:r>
            <w:r w:rsidRPr="001E25EF">
              <w:rPr>
                <w:rFonts w:ascii="Times" w:hAnsi="Times" w:cs="Times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6D537F" w14:textId="263DC662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28F8DF" w14:textId="2AF0586C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E02C4D" w14:textId="617CF143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14:paraId="24103CAC" w14:textId="114082DD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DF45CE4" w14:textId="72E924DC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14:paraId="429C5877" w14:textId="7537FE2F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FAAB92" w14:textId="001F516E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9</w:t>
            </w:r>
          </w:p>
        </w:tc>
      </w:tr>
      <w:tr w:rsidR="009B7971" w14:paraId="468D22FB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8D574" w14:textId="77777777" w:rsidR="00BC6D74" w:rsidRPr="001E25EF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17220" w14:textId="4C83A248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3E4D5" w14:textId="70F57C45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E837E" w14:textId="14AD62AC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73086" w14:textId="5AAF20D9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9D3D8C" w14:textId="0B8BFFCC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1EE5" w14:textId="14E0FC38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0F468" w14:textId="1638B249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17</w:t>
            </w:r>
          </w:p>
        </w:tc>
      </w:tr>
      <w:tr w:rsidR="009B7971" w14:paraId="486BBB92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D1EC" w14:textId="77777777" w:rsidR="00BC6D74" w:rsidRPr="001E25EF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34C" w14:textId="181C4801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F46" w14:textId="10030BA8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339" w14:textId="5FE2F5D6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5856E4" w14:textId="20FDE95D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A6C55" w14:textId="47EE475D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A3F7" w14:textId="1B348591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F36" w14:textId="48F4C9CB" w:rsidR="00BC6D74" w:rsidRPr="00BC6D74" w:rsidRDefault="00BC6D74" w:rsidP="00BC6D74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BC6D74">
              <w:rPr>
                <w:rFonts w:ascii="Times" w:hAnsi="Times" w:cs="Times"/>
                <w:sz w:val="16"/>
                <w:szCs w:val="16"/>
              </w:rPr>
              <w:t>20</w:t>
            </w:r>
          </w:p>
        </w:tc>
      </w:tr>
      <w:tr w:rsidR="009B7971" w14:paraId="671E1FEA" w14:textId="77777777" w:rsidTr="001E25EF">
        <w:trPr>
          <w:jc w:val="center"/>
        </w:trPr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9ABE" w14:textId="227EA196" w:rsidR="007F1A23" w:rsidRPr="001E25EF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1E25EF">
              <w:rPr>
                <w:rFonts w:ascii="Times" w:hAnsi="Times" w:cs="Times"/>
                <w:sz w:val="16"/>
                <w:szCs w:val="16"/>
              </w:rPr>
              <w:t>Ni(</w:t>
            </w:r>
            <w:proofErr w:type="spellStart"/>
            <w:r w:rsidRPr="004A0113">
              <w:rPr>
                <w:rFonts w:ascii="Times" w:hAnsi="Times" w:cs="Times"/>
                <w:i/>
                <w:iCs/>
                <w:sz w:val="16"/>
                <w:szCs w:val="16"/>
              </w:rPr>
              <w:t>bpy</w:t>
            </w:r>
            <w:proofErr w:type="spellEnd"/>
            <w:r w:rsidRPr="001E25EF">
              <w:rPr>
                <w:rFonts w:ascii="Times" w:hAnsi="Times" w:cs="Times"/>
                <w:sz w:val="16"/>
                <w:szCs w:val="16"/>
              </w:rPr>
              <w:t>)Br</w:t>
            </w:r>
            <w:r w:rsidRPr="001E25EF">
              <w:rPr>
                <w:rFonts w:ascii="Times" w:hAnsi="Times" w:cs="Times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8488A" w14:textId="0923219A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37D9F" w14:textId="23CCC70C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70C09" w14:textId="01FCD062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DA595DB" w14:textId="5AD2FBD8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472AB34" w14:textId="6B1468CE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1ED004" w14:textId="0905A7CB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F1964" w14:textId="3902BB16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23</w:t>
            </w:r>
          </w:p>
        </w:tc>
      </w:tr>
      <w:tr w:rsidR="009B7971" w14:paraId="56AA2824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4753" w14:textId="77777777" w:rsidR="007F1A23" w:rsidRPr="004B2A2A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C0388" w14:textId="38D01881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06415" w14:textId="2248DAB7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C2DDB" w14:textId="5FFB6DC1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7F530" w14:textId="4BAE65B2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08FB" w14:textId="7C803CAB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35727" w14:textId="5EA4789C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3686E" w14:textId="66B3E8B0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27</w:t>
            </w:r>
          </w:p>
        </w:tc>
      </w:tr>
      <w:tr w:rsidR="009B7971" w14:paraId="1BEBD362" w14:textId="77777777" w:rsidTr="001E25EF">
        <w:trPr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2C14C" w14:textId="77777777" w:rsidR="007F1A23" w:rsidRPr="004B2A2A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4E60BF" w14:textId="1EF296FC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23496" w14:textId="5B96FC5D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0836FC" w14:textId="4A5C6C2D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C3228E1" w14:textId="56AEE5DE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B571695" w14:textId="0EB56897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0A199D" w14:textId="607A34C2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855A73" w14:textId="4B46D064" w:rsidR="007F1A23" w:rsidRPr="007F1A23" w:rsidRDefault="007F1A23" w:rsidP="007F1A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7F1A23">
              <w:rPr>
                <w:rFonts w:ascii="Times" w:hAnsi="Times" w:cs="Times"/>
                <w:color w:val="000000"/>
                <w:sz w:val="16"/>
                <w:szCs w:val="16"/>
              </w:rPr>
              <w:t>25</w:t>
            </w:r>
          </w:p>
        </w:tc>
      </w:tr>
    </w:tbl>
    <w:p w14:paraId="4F814412" w14:textId="77777777" w:rsidR="007F52C7" w:rsidRDefault="007F52C7" w:rsidP="007F52C7"/>
    <w:p w14:paraId="562A5BAF" w14:textId="02FE5A76" w:rsidR="007F52C7" w:rsidRDefault="003A762C" w:rsidP="00022838">
      <w:pPr>
        <w:spacing w:line="240" w:lineRule="auto"/>
        <w:ind w:firstLine="284"/>
        <w:jc w:val="both"/>
        <w:rPr>
          <w:rFonts w:ascii="Helvetica" w:hAnsi="Helvetica" w:cs="Helvetica"/>
          <w:sz w:val="24"/>
          <w:szCs w:val="24"/>
        </w:rPr>
      </w:pPr>
      <w:r w:rsidRPr="00ED503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partir dos resultados apresentados na Tabela 1, pode-se observar que o precursor catalítico </w:t>
      </w:r>
      <w:r w:rsidR="0028136D" w:rsidRPr="00ED503C">
        <w:rPr>
          <w:rFonts w:ascii="Times New Roman" w:eastAsia="Times New Roman" w:hAnsi="Times New Roman" w:cs="Times New Roman"/>
          <w:sz w:val="20"/>
          <w:szCs w:val="20"/>
          <w:lang w:eastAsia="pt-BR"/>
        </w:rPr>
        <w:t>[Ni(</w:t>
      </w:r>
      <w:proofErr w:type="spellStart"/>
      <w:r w:rsidR="0028136D" w:rsidRPr="004A011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dpa</w:t>
      </w:r>
      <w:proofErr w:type="spellEnd"/>
      <w:r w:rsidR="0028136D" w:rsidRPr="00ED503C">
        <w:rPr>
          <w:rFonts w:ascii="Times New Roman" w:eastAsia="Times New Roman" w:hAnsi="Times New Roman" w:cs="Times New Roman"/>
          <w:sz w:val="20"/>
          <w:szCs w:val="20"/>
          <w:lang w:eastAsia="pt-BR"/>
        </w:rPr>
        <w:t>)Br</w:t>
      </w:r>
      <w:r w:rsidR="0028136D" w:rsidRPr="00ED503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28136D" w:rsidRPr="00ED503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] apresentou valores de atividade e seletividade comparáveis aos </w:t>
      </w:r>
      <w:r w:rsidR="00124784" w:rsidRPr="00ED503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precursores </w:t>
      </w:r>
      <w:r w:rsidR="002E1DA2" w:rsidRPr="00ED503C">
        <w:rPr>
          <w:rFonts w:ascii="Times New Roman" w:hAnsi="Times New Roman"/>
          <w:sz w:val="20"/>
          <w:szCs w:val="20"/>
        </w:rPr>
        <w:t>[Ni(</w:t>
      </w:r>
      <w:proofErr w:type="spellStart"/>
      <w:r w:rsidR="002E1DA2" w:rsidRPr="004A0113">
        <w:rPr>
          <w:rFonts w:ascii="Times New Roman" w:hAnsi="Times New Roman"/>
          <w:i/>
          <w:iCs/>
          <w:sz w:val="20"/>
          <w:szCs w:val="20"/>
        </w:rPr>
        <w:t>phen</w:t>
      </w:r>
      <w:proofErr w:type="spellEnd"/>
      <w:r w:rsidR="002E1DA2" w:rsidRPr="00ED503C">
        <w:rPr>
          <w:rFonts w:ascii="Times New Roman" w:hAnsi="Times New Roman"/>
          <w:sz w:val="20"/>
          <w:szCs w:val="20"/>
        </w:rPr>
        <w:t>)Br</w:t>
      </w:r>
      <w:r w:rsidR="002E1DA2" w:rsidRPr="00ED503C">
        <w:rPr>
          <w:rFonts w:ascii="Times New Roman" w:hAnsi="Times New Roman"/>
          <w:sz w:val="20"/>
          <w:szCs w:val="20"/>
          <w:vertAlign w:val="subscript"/>
        </w:rPr>
        <w:t>2</w:t>
      </w:r>
      <w:r w:rsidR="002E1DA2" w:rsidRPr="00ED503C">
        <w:rPr>
          <w:rFonts w:ascii="Times New Roman" w:hAnsi="Times New Roman"/>
          <w:sz w:val="20"/>
          <w:szCs w:val="20"/>
        </w:rPr>
        <w:t>] e [Ni(</w:t>
      </w:r>
      <w:proofErr w:type="spellStart"/>
      <w:r w:rsidR="002E1DA2" w:rsidRPr="004A0113">
        <w:rPr>
          <w:rFonts w:ascii="Times New Roman" w:hAnsi="Times New Roman"/>
          <w:i/>
          <w:iCs/>
          <w:sz w:val="20"/>
          <w:szCs w:val="20"/>
        </w:rPr>
        <w:t>bpy</w:t>
      </w:r>
      <w:proofErr w:type="spellEnd"/>
      <w:r w:rsidR="002E1DA2" w:rsidRPr="00ED503C">
        <w:rPr>
          <w:rFonts w:ascii="Times New Roman" w:hAnsi="Times New Roman"/>
          <w:sz w:val="20"/>
          <w:szCs w:val="20"/>
        </w:rPr>
        <w:t>)Br</w:t>
      </w:r>
      <w:r w:rsidR="002E1DA2" w:rsidRPr="00ED503C">
        <w:rPr>
          <w:rFonts w:ascii="Times New Roman" w:hAnsi="Times New Roman"/>
          <w:sz w:val="20"/>
          <w:szCs w:val="20"/>
          <w:vertAlign w:val="subscript"/>
        </w:rPr>
        <w:t>2</w:t>
      </w:r>
      <w:r w:rsidR="002E1DA2" w:rsidRPr="00ED503C">
        <w:rPr>
          <w:rFonts w:ascii="Times New Roman" w:hAnsi="Times New Roman"/>
          <w:sz w:val="20"/>
          <w:szCs w:val="20"/>
        </w:rPr>
        <w:t>]</w:t>
      </w:r>
      <w:r w:rsidR="00A93B3E" w:rsidRPr="00ED503C">
        <w:rPr>
          <w:rFonts w:ascii="Times New Roman" w:hAnsi="Times New Roman"/>
          <w:sz w:val="20"/>
          <w:szCs w:val="20"/>
        </w:rPr>
        <w:t xml:space="preserve">, sendo a </w:t>
      </w:r>
      <w:r w:rsidR="003F686A" w:rsidRPr="00ED503C">
        <w:rPr>
          <w:rFonts w:ascii="Times New Roman" w:hAnsi="Times New Roman"/>
          <w:sz w:val="20"/>
          <w:szCs w:val="20"/>
        </w:rPr>
        <w:t xml:space="preserve">condição de melhor desempenho a </w:t>
      </w:r>
      <w:r w:rsidR="00A93B3E" w:rsidRPr="00ED503C">
        <w:rPr>
          <w:rFonts w:ascii="Times New Roman" w:hAnsi="Times New Roman"/>
          <w:sz w:val="20"/>
          <w:szCs w:val="20"/>
        </w:rPr>
        <w:t>razão Al/Ni</w:t>
      </w:r>
      <w:r w:rsidR="003F686A" w:rsidRPr="00ED503C">
        <w:rPr>
          <w:rFonts w:ascii="Times New Roman" w:hAnsi="Times New Roman"/>
          <w:sz w:val="20"/>
          <w:szCs w:val="20"/>
        </w:rPr>
        <w:t xml:space="preserve"> igual a 100. Para os demais precursores, não há </w:t>
      </w:r>
      <w:r w:rsidR="00E4773D" w:rsidRPr="00ED503C">
        <w:rPr>
          <w:rFonts w:ascii="Times New Roman" w:hAnsi="Times New Roman"/>
          <w:sz w:val="20"/>
          <w:szCs w:val="20"/>
        </w:rPr>
        <w:t xml:space="preserve">uma diferença significativa entre os resultados </w:t>
      </w:r>
      <w:r w:rsidR="00652D1F" w:rsidRPr="00ED503C">
        <w:rPr>
          <w:rFonts w:ascii="Times New Roman" w:hAnsi="Times New Roman"/>
          <w:sz w:val="20"/>
          <w:szCs w:val="20"/>
        </w:rPr>
        <w:t>para as razões Al/Ni igual a 100 e 200, sendo a 100 a que u</w:t>
      </w:r>
      <w:r w:rsidR="00CC793B">
        <w:rPr>
          <w:rFonts w:ascii="Times New Roman" w:hAnsi="Times New Roman"/>
          <w:sz w:val="20"/>
          <w:szCs w:val="20"/>
        </w:rPr>
        <w:t>tiliza</w:t>
      </w:r>
      <w:r w:rsidR="00652D1F" w:rsidRPr="00ED503C">
        <w:rPr>
          <w:rFonts w:ascii="Times New Roman" w:hAnsi="Times New Roman"/>
          <w:sz w:val="20"/>
          <w:szCs w:val="20"/>
        </w:rPr>
        <w:t xml:space="preserve"> menor quantidade de co-catalisador para um desempenho </w:t>
      </w:r>
      <w:r w:rsidR="00333617" w:rsidRPr="00ED503C">
        <w:rPr>
          <w:rFonts w:ascii="Times New Roman" w:hAnsi="Times New Roman"/>
          <w:sz w:val="20"/>
          <w:szCs w:val="20"/>
        </w:rPr>
        <w:t>catalítico semelhante. No que diz respeito as sele</w:t>
      </w:r>
      <w:r w:rsidR="001F630F" w:rsidRPr="00ED503C">
        <w:rPr>
          <w:rFonts w:ascii="Times New Roman" w:hAnsi="Times New Roman"/>
          <w:sz w:val="20"/>
          <w:szCs w:val="20"/>
        </w:rPr>
        <w:t>tividades, todos</w:t>
      </w:r>
      <w:r w:rsidR="00837F61" w:rsidRPr="00ED503C">
        <w:rPr>
          <w:rFonts w:ascii="Times New Roman" w:hAnsi="Times New Roman"/>
          <w:sz w:val="20"/>
          <w:szCs w:val="20"/>
        </w:rPr>
        <w:t xml:space="preserve"> os precursores apresentaram uma maior seletividade para butenos do que para </w:t>
      </w:r>
      <w:proofErr w:type="spellStart"/>
      <w:r w:rsidR="00837F61" w:rsidRPr="00ED503C">
        <w:rPr>
          <w:rFonts w:ascii="Times New Roman" w:hAnsi="Times New Roman"/>
          <w:sz w:val="20"/>
          <w:szCs w:val="20"/>
        </w:rPr>
        <w:t>hexenos</w:t>
      </w:r>
      <w:proofErr w:type="spellEnd"/>
      <w:r w:rsidR="00837F61" w:rsidRPr="00ED503C">
        <w:rPr>
          <w:rFonts w:ascii="Times New Roman" w:hAnsi="Times New Roman"/>
          <w:sz w:val="20"/>
          <w:szCs w:val="20"/>
        </w:rPr>
        <w:t xml:space="preserve">, </w:t>
      </w:r>
      <w:r w:rsidR="00ED503C" w:rsidRPr="00ED503C">
        <w:rPr>
          <w:rFonts w:ascii="Times New Roman" w:hAnsi="Times New Roman"/>
          <w:sz w:val="20"/>
          <w:szCs w:val="20"/>
        </w:rPr>
        <w:t>sendo o [Ni(</w:t>
      </w:r>
      <w:proofErr w:type="spellStart"/>
      <w:r w:rsidR="00ED503C" w:rsidRPr="004A0113">
        <w:rPr>
          <w:rFonts w:ascii="Times New Roman" w:hAnsi="Times New Roman"/>
          <w:i/>
          <w:iCs/>
          <w:sz w:val="20"/>
          <w:szCs w:val="20"/>
        </w:rPr>
        <w:t>bpy</w:t>
      </w:r>
      <w:proofErr w:type="spellEnd"/>
      <w:r w:rsidR="00ED503C" w:rsidRPr="00ED503C">
        <w:rPr>
          <w:rFonts w:ascii="Times New Roman" w:hAnsi="Times New Roman"/>
          <w:sz w:val="20"/>
          <w:szCs w:val="20"/>
        </w:rPr>
        <w:t>)Br</w:t>
      </w:r>
      <w:r w:rsidR="00ED503C" w:rsidRPr="00ED503C">
        <w:rPr>
          <w:rFonts w:ascii="Times New Roman" w:hAnsi="Times New Roman"/>
          <w:sz w:val="20"/>
          <w:szCs w:val="20"/>
          <w:vertAlign w:val="subscript"/>
        </w:rPr>
        <w:t>2</w:t>
      </w:r>
      <w:r w:rsidR="00ED503C" w:rsidRPr="00ED503C">
        <w:rPr>
          <w:rFonts w:ascii="Times New Roman" w:hAnsi="Times New Roman"/>
          <w:sz w:val="20"/>
          <w:szCs w:val="20"/>
        </w:rPr>
        <w:t>] o menos seletivo. Dentro da fração C</w:t>
      </w:r>
      <w:r w:rsidR="00ED503C" w:rsidRPr="00ED503C">
        <w:rPr>
          <w:rFonts w:ascii="Times New Roman" w:hAnsi="Times New Roman"/>
          <w:sz w:val="20"/>
          <w:szCs w:val="20"/>
          <w:vertAlign w:val="subscript"/>
        </w:rPr>
        <w:t>4</w:t>
      </w:r>
      <w:r w:rsidR="00ED503C" w:rsidRPr="00ED503C">
        <w:rPr>
          <w:rFonts w:ascii="Times New Roman" w:hAnsi="Times New Roman"/>
          <w:sz w:val="20"/>
          <w:szCs w:val="20"/>
        </w:rPr>
        <w:t>,</w:t>
      </w:r>
      <w:r w:rsidR="00B936B6">
        <w:rPr>
          <w:rFonts w:ascii="Times New Roman" w:hAnsi="Times New Roman"/>
          <w:sz w:val="20"/>
          <w:szCs w:val="20"/>
        </w:rPr>
        <w:t xml:space="preserve"> os complexos também apresentaram seletividades semelhantes</w:t>
      </w:r>
      <w:r w:rsidR="00A467B3">
        <w:rPr>
          <w:rFonts w:ascii="Times New Roman" w:hAnsi="Times New Roman"/>
          <w:sz w:val="20"/>
          <w:szCs w:val="20"/>
        </w:rPr>
        <w:t xml:space="preserve"> de maneira geral, sendo </w:t>
      </w:r>
      <w:r w:rsidR="00114515">
        <w:rPr>
          <w:rFonts w:ascii="Times New Roman" w:hAnsi="Times New Roman"/>
          <w:sz w:val="20"/>
          <w:szCs w:val="20"/>
        </w:rPr>
        <w:t>a que a maior seletividade obtida foi para o buteno-2-</w:t>
      </w:r>
      <w:r w:rsidR="00114515" w:rsidRPr="004A0113">
        <w:rPr>
          <w:rFonts w:ascii="Times New Roman" w:hAnsi="Times New Roman"/>
          <w:i/>
          <w:iCs/>
          <w:sz w:val="20"/>
          <w:szCs w:val="20"/>
        </w:rPr>
        <w:t>trans</w:t>
      </w:r>
      <w:r w:rsidR="00114515">
        <w:rPr>
          <w:rFonts w:ascii="Times New Roman" w:hAnsi="Times New Roman"/>
          <w:sz w:val="20"/>
          <w:szCs w:val="20"/>
        </w:rPr>
        <w:t xml:space="preserve">. Com o intuito de </w:t>
      </w:r>
      <w:r w:rsidR="00344431">
        <w:rPr>
          <w:rFonts w:ascii="Times New Roman" w:hAnsi="Times New Roman"/>
          <w:sz w:val="20"/>
          <w:szCs w:val="20"/>
        </w:rPr>
        <w:t xml:space="preserve">aumentar a seletividade para o buteno-1 (alfa-olefina), como perspectiva deste trabalho, objetiva-se </w:t>
      </w:r>
      <w:r w:rsidR="00022838">
        <w:rPr>
          <w:rFonts w:ascii="Times New Roman" w:hAnsi="Times New Roman"/>
          <w:sz w:val="20"/>
          <w:szCs w:val="20"/>
        </w:rPr>
        <w:t>a obtenção de sistemas catalíticos suportados em diferentes materiais inorgânicos através do ancoramento</w:t>
      </w:r>
      <w:r w:rsidR="00106726">
        <w:rPr>
          <w:rFonts w:ascii="Times New Roman" w:hAnsi="Times New Roman"/>
          <w:sz w:val="20"/>
          <w:szCs w:val="20"/>
        </w:rPr>
        <w:t xml:space="preserve"> dos complexos</w:t>
      </w:r>
      <w:r w:rsidR="00022838">
        <w:rPr>
          <w:rFonts w:ascii="Times New Roman" w:hAnsi="Times New Roman"/>
          <w:sz w:val="20"/>
          <w:szCs w:val="20"/>
        </w:rPr>
        <w:t xml:space="preserve"> via ligação covalente nestes materiais.</w:t>
      </w:r>
    </w:p>
    <w:p w14:paraId="20AA905D" w14:textId="2D1D3FEE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B358910" w14:textId="0008237D" w:rsidR="003151F4" w:rsidRPr="001F25B2" w:rsidRDefault="00467F7B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complexos de níquel obtidos a partir de ligantes 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>
        <w:rPr>
          <w:rFonts w:ascii="Times New Roman" w:hAnsi="Times New Roman"/>
          <w:lang w:val="pt-BR"/>
        </w:rPr>
        <w:t xml:space="preserve">, 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bpy</w:t>
      </w:r>
      <w:proofErr w:type="spellEnd"/>
      <w:r>
        <w:rPr>
          <w:rFonts w:ascii="Times New Roman" w:hAnsi="Times New Roman"/>
          <w:lang w:val="pt-BR"/>
        </w:rPr>
        <w:t xml:space="preserve"> e </w:t>
      </w:r>
      <w:proofErr w:type="spellStart"/>
      <w:r w:rsidRPr="004A0113">
        <w:rPr>
          <w:rFonts w:ascii="Times New Roman" w:hAnsi="Times New Roman"/>
          <w:i/>
          <w:iCs/>
          <w:lang w:val="pt-BR"/>
        </w:rPr>
        <w:t>phen</w:t>
      </w:r>
      <w:proofErr w:type="spellEnd"/>
      <w:r>
        <w:rPr>
          <w:rFonts w:ascii="Times New Roman" w:hAnsi="Times New Roman"/>
          <w:lang w:val="pt-BR"/>
        </w:rPr>
        <w:t xml:space="preserve">, foram </w:t>
      </w:r>
      <w:r w:rsidR="009A7D45">
        <w:rPr>
          <w:rFonts w:ascii="Times New Roman" w:hAnsi="Times New Roman"/>
          <w:lang w:val="pt-BR"/>
        </w:rPr>
        <w:t>caracterizados e testados como precursores catalíticos</w:t>
      </w:r>
      <w:r w:rsidR="006D0F15">
        <w:rPr>
          <w:rFonts w:ascii="Times New Roman" w:hAnsi="Times New Roman"/>
          <w:lang w:val="pt-BR"/>
        </w:rPr>
        <w:t xml:space="preserve"> na reação de oligomerização do etileno</w:t>
      </w:r>
      <w:r w:rsidR="009A7D45">
        <w:rPr>
          <w:rFonts w:ascii="Times New Roman" w:hAnsi="Times New Roman"/>
          <w:lang w:val="pt-BR"/>
        </w:rPr>
        <w:t xml:space="preserve">. Obteve-se um comparativo do complexo </w:t>
      </w:r>
      <w:r w:rsidR="009A7D45" w:rsidRPr="00ED503C">
        <w:rPr>
          <w:rFonts w:ascii="Times New Roman" w:hAnsi="Times New Roman"/>
          <w:lang w:val="pt-BR"/>
        </w:rPr>
        <w:t>[Ni(</w:t>
      </w:r>
      <w:proofErr w:type="spellStart"/>
      <w:r w:rsidR="009A7D45" w:rsidRPr="004A0113">
        <w:rPr>
          <w:rFonts w:ascii="Times New Roman" w:hAnsi="Times New Roman"/>
          <w:i/>
          <w:iCs/>
          <w:lang w:val="pt-BR"/>
        </w:rPr>
        <w:t>dpa</w:t>
      </w:r>
      <w:proofErr w:type="spellEnd"/>
      <w:r w:rsidR="009A7D45" w:rsidRPr="00ED503C">
        <w:rPr>
          <w:rFonts w:ascii="Times New Roman" w:hAnsi="Times New Roman"/>
          <w:lang w:val="pt-BR"/>
        </w:rPr>
        <w:t>)Br</w:t>
      </w:r>
      <w:r w:rsidR="009A7D45" w:rsidRPr="00ED503C">
        <w:rPr>
          <w:rFonts w:ascii="Times New Roman" w:hAnsi="Times New Roman"/>
          <w:vertAlign w:val="subscript"/>
          <w:lang w:val="pt-BR"/>
        </w:rPr>
        <w:t>2</w:t>
      </w:r>
      <w:r w:rsidR="009A7D45" w:rsidRPr="00ED503C">
        <w:rPr>
          <w:rFonts w:ascii="Times New Roman" w:hAnsi="Times New Roman"/>
          <w:lang w:val="pt-BR"/>
        </w:rPr>
        <w:t>]</w:t>
      </w:r>
      <w:r w:rsidR="009A7D45">
        <w:rPr>
          <w:rFonts w:ascii="Times New Roman" w:hAnsi="Times New Roman"/>
          <w:lang w:val="pt-BR"/>
        </w:rPr>
        <w:t xml:space="preserve">, até então pouco explorado na área, com os demais sintetizados. Este apresentou valores de atividade e seletividade comparáveis aos demais, sendo sua </w:t>
      </w:r>
      <w:r w:rsidR="00066113">
        <w:rPr>
          <w:rFonts w:ascii="Times New Roman" w:hAnsi="Times New Roman"/>
          <w:lang w:val="pt-BR"/>
        </w:rPr>
        <w:t xml:space="preserve">condição ótima a razão Al/Ni igual a 100. Como perspectivas para este trabalho, pretende-se obter </w:t>
      </w:r>
      <w:r w:rsidR="00762266">
        <w:rPr>
          <w:rFonts w:ascii="Times New Roman" w:hAnsi="Times New Roman"/>
          <w:lang w:val="pt-BR"/>
        </w:rPr>
        <w:t>catalisadores análogos suportados em materiais inorgânicos para promover o aumento da seletividade para as alfa-olefinas, bem como o aumento da resistência do catalisador</w:t>
      </w:r>
      <w:r w:rsidR="008C3E86">
        <w:rPr>
          <w:rFonts w:ascii="Times New Roman" w:hAnsi="Times New Roman"/>
          <w:lang w:val="pt-BR"/>
        </w:rPr>
        <w:t xml:space="preserve"> e a </w:t>
      </w:r>
      <w:proofErr w:type="spellStart"/>
      <w:r w:rsidR="008C3E86">
        <w:rPr>
          <w:rFonts w:ascii="Times New Roman" w:hAnsi="Times New Roman"/>
          <w:lang w:val="pt-BR"/>
        </w:rPr>
        <w:t>reciclabilidade</w:t>
      </w:r>
      <w:proofErr w:type="spellEnd"/>
      <w:r w:rsidR="00762266"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1CCFE82B" w:rsidR="00EA4E1B" w:rsidRPr="001F25B2" w:rsidRDefault="000337D3" w:rsidP="000337D3">
      <w:pPr>
        <w:pStyle w:val="TAMainText"/>
        <w:ind w:firstLine="0"/>
        <w:rPr>
          <w:rFonts w:ascii="Times New Roman" w:hAnsi="Times New Roman"/>
          <w:lang w:val="pt-BR"/>
        </w:rPr>
      </w:pPr>
      <w:r w:rsidRPr="000337D3">
        <w:rPr>
          <w:rFonts w:ascii="Times New Roman" w:hAnsi="Times New Roman"/>
          <w:lang w:val="pt-BR"/>
        </w:rPr>
        <w:t>Agradecemos ao PRH 50.1 (PPGQ/UFRGS) e à Agência Nacional do Petróleo (ANP)</w:t>
      </w:r>
      <w:r w:rsidR="006D0F15">
        <w:rPr>
          <w:rFonts w:ascii="Times New Roman" w:hAnsi="Times New Roman"/>
          <w:lang w:val="pt-BR"/>
        </w:rPr>
        <w:t>.</w:t>
      </w:r>
    </w:p>
    <w:p w14:paraId="1EAAA287" w14:textId="77777777" w:rsidR="00EA4E1B" w:rsidRPr="002A352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2A352B">
        <w:rPr>
          <w:rFonts w:ascii="Helvetica" w:hAnsi="Helvetica" w:cs="Helvetica"/>
          <w:sz w:val="24"/>
          <w:szCs w:val="24"/>
        </w:rPr>
        <w:t>Referências</w:t>
      </w:r>
    </w:p>
    <w:p w14:paraId="651E2C40" w14:textId="3A82401E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2A352B">
        <w:rPr>
          <w:rFonts w:ascii="Times" w:hAnsi="Times" w:cs="Times"/>
          <w:szCs w:val="20"/>
          <w:lang w:val="pt-BR"/>
        </w:rPr>
        <w:t xml:space="preserve">1. Olivier-Bourbigou, H. et al., </w:t>
      </w:r>
      <w:r w:rsidRPr="002A352B">
        <w:rPr>
          <w:rFonts w:ascii="Times" w:hAnsi="Times" w:cs="Times"/>
          <w:i/>
          <w:szCs w:val="20"/>
          <w:lang w:val="pt-BR"/>
        </w:rPr>
        <w:t>Che</w:t>
      </w:r>
      <w:r w:rsidR="009D4EE8" w:rsidRPr="002A352B">
        <w:rPr>
          <w:rFonts w:ascii="Times" w:hAnsi="Times" w:cs="Times"/>
          <w:i/>
          <w:szCs w:val="20"/>
          <w:lang w:val="pt-BR"/>
        </w:rPr>
        <w:t xml:space="preserve">m. </w:t>
      </w:r>
      <w:r w:rsidRPr="00D155D8">
        <w:rPr>
          <w:rFonts w:ascii="Times" w:hAnsi="Times" w:cs="Times"/>
          <w:i/>
          <w:szCs w:val="20"/>
        </w:rPr>
        <w:t>Rev</w:t>
      </w:r>
      <w:r w:rsidR="009D4EE8">
        <w:rPr>
          <w:rFonts w:ascii="Times" w:hAnsi="Times" w:cs="Times"/>
          <w:i/>
          <w:szCs w:val="20"/>
        </w:rPr>
        <w:t>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2020,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120</w:t>
      </w:r>
      <w:r w:rsidRPr="00D155D8">
        <w:rPr>
          <w:rFonts w:ascii="Times" w:hAnsi="Times" w:cs="Times"/>
          <w:szCs w:val="20"/>
        </w:rPr>
        <w:t xml:space="preserve"> (15), 7919-7983.</w:t>
      </w:r>
    </w:p>
    <w:p w14:paraId="51947508" w14:textId="7CCBB24A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D155D8">
        <w:rPr>
          <w:rFonts w:ascii="Times" w:hAnsi="Times" w:cs="Times"/>
          <w:szCs w:val="20"/>
        </w:rPr>
        <w:t xml:space="preserve">2. Olivier-Bourbigou, H. et al., Olefin oligomerization for the production of fuels and petrochemicals. </w:t>
      </w:r>
      <w:r w:rsidRPr="00D155D8">
        <w:rPr>
          <w:rFonts w:ascii="Times" w:hAnsi="Times" w:cs="Times"/>
          <w:b/>
          <w:szCs w:val="20"/>
        </w:rPr>
        <w:t>2010</w:t>
      </w:r>
      <w:r w:rsidRPr="00D155D8">
        <w:rPr>
          <w:rFonts w:ascii="Times" w:hAnsi="Times" w:cs="Times"/>
          <w:szCs w:val="20"/>
        </w:rPr>
        <w:t>.</w:t>
      </w:r>
    </w:p>
    <w:p w14:paraId="475A8F52" w14:textId="2532043D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D155D8">
        <w:rPr>
          <w:rFonts w:ascii="Times" w:hAnsi="Times" w:cs="Times"/>
          <w:szCs w:val="20"/>
        </w:rPr>
        <w:t xml:space="preserve">3. Keim, W., </w:t>
      </w:r>
      <w:r w:rsidRPr="00D155D8">
        <w:rPr>
          <w:rFonts w:ascii="Times" w:hAnsi="Times" w:cs="Times"/>
          <w:i/>
          <w:szCs w:val="20"/>
        </w:rPr>
        <w:t>Ange</w:t>
      </w:r>
      <w:r w:rsidR="00892D2E">
        <w:rPr>
          <w:rFonts w:ascii="Times" w:hAnsi="Times" w:cs="Times"/>
          <w:i/>
          <w:szCs w:val="20"/>
        </w:rPr>
        <w:t>w.</w:t>
      </w:r>
      <w:r w:rsidRPr="00D155D8">
        <w:rPr>
          <w:rFonts w:ascii="Times" w:hAnsi="Times" w:cs="Times"/>
          <w:i/>
          <w:szCs w:val="20"/>
        </w:rPr>
        <w:t xml:space="preserve"> Che</w:t>
      </w:r>
      <w:r w:rsidR="00892D2E">
        <w:rPr>
          <w:rFonts w:ascii="Times" w:hAnsi="Times" w:cs="Times"/>
          <w:i/>
          <w:szCs w:val="20"/>
        </w:rPr>
        <w:t>m.</w:t>
      </w:r>
      <w:r w:rsidRPr="00D155D8">
        <w:rPr>
          <w:rFonts w:ascii="Times" w:hAnsi="Times" w:cs="Times"/>
          <w:i/>
          <w:szCs w:val="20"/>
        </w:rPr>
        <w:t xml:space="preserve"> Int</w:t>
      </w:r>
      <w:r w:rsidR="00892D2E">
        <w:rPr>
          <w:rFonts w:ascii="Times" w:hAnsi="Times" w:cs="Times"/>
          <w:i/>
          <w:szCs w:val="20"/>
        </w:rPr>
        <w:t>.</w:t>
      </w:r>
      <w:r w:rsidRPr="00D155D8">
        <w:rPr>
          <w:rFonts w:ascii="Times" w:hAnsi="Times" w:cs="Times"/>
          <w:i/>
          <w:szCs w:val="20"/>
        </w:rPr>
        <w:t xml:space="preserve"> Ed</w:t>
      </w:r>
      <w:r w:rsidR="00892D2E">
        <w:rPr>
          <w:rFonts w:ascii="Times" w:hAnsi="Times" w:cs="Times"/>
          <w:i/>
          <w:szCs w:val="20"/>
        </w:rPr>
        <w:t>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2013,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52</w:t>
      </w:r>
      <w:r w:rsidRPr="00D155D8">
        <w:rPr>
          <w:rFonts w:ascii="Times" w:hAnsi="Times" w:cs="Times"/>
          <w:szCs w:val="20"/>
        </w:rPr>
        <w:t xml:space="preserve"> (48), 12492-12496.</w:t>
      </w:r>
    </w:p>
    <w:p w14:paraId="78390757" w14:textId="0A6A7F47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2A352B">
        <w:rPr>
          <w:rFonts w:ascii="Times" w:hAnsi="Times" w:cs="Times"/>
          <w:szCs w:val="20"/>
        </w:rPr>
        <w:t xml:space="preserve">4. Schareina, T. et al., </w:t>
      </w:r>
      <w:r w:rsidRPr="002A352B">
        <w:rPr>
          <w:rFonts w:ascii="Times" w:hAnsi="Times" w:cs="Times"/>
          <w:i/>
          <w:szCs w:val="20"/>
        </w:rPr>
        <w:t>Eur</w:t>
      </w:r>
      <w:r w:rsidR="00031EDC" w:rsidRPr="002A352B">
        <w:rPr>
          <w:rFonts w:ascii="Times" w:hAnsi="Times" w:cs="Times"/>
          <w:i/>
          <w:szCs w:val="20"/>
        </w:rPr>
        <w:t>.</w:t>
      </w:r>
      <w:r w:rsidRPr="002A352B">
        <w:rPr>
          <w:rFonts w:ascii="Times" w:hAnsi="Times" w:cs="Times"/>
          <w:i/>
          <w:szCs w:val="20"/>
        </w:rPr>
        <w:t xml:space="preserve"> J</w:t>
      </w:r>
      <w:r w:rsidR="00031EDC" w:rsidRPr="002A352B">
        <w:rPr>
          <w:rFonts w:ascii="Times" w:hAnsi="Times" w:cs="Times"/>
          <w:i/>
          <w:szCs w:val="20"/>
        </w:rPr>
        <w:t xml:space="preserve">. </w:t>
      </w:r>
      <w:r w:rsidRPr="002A352B">
        <w:rPr>
          <w:rFonts w:ascii="Times" w:hAnsi="Times" w:cs="Times"/>
          <w:i/>
          <w:szCs w:val="20"/>
        </w:rPr>
        <w:t>Inorg</w:t>
      </w:r>
      <w:r w:rsidR="00031EDC" w:rsidRPr="002A352B">
        <w:rPr>
          <w:rFonts w:ascii="Times" w:hAnsi="Times" w:cs="Times"/>
          <w:i/>
          <w:szCs w:val="20"/>
        </w:rPr>
        <w:t>.</w:t>
      </w:r>
      <w:r w:rsidRPr="002A352B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Chem</w:t>
      </w:r>
      <w:r w:rsidR="00031EDC">
        <w:rPr>
          <w:rFonts w:ascii="Times" w:hAnsi="Times" w:cs="Times"/>
          <w:i/>
          <w:szCs w:val="20"/>
        </w:rPr>
        <w:t>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2001,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2001</w:t>
      </w:r>
      <w:r w:rsidRPr="00D155D8">
        <w:rPr>
          <w:rFonts w:ascii="Times" w:hAnsi="Times" w:cs="Times"/>
          <w:szCs w:val="20"/>
        </w:rPr>
        <w:t xml:space="preserve"> (9), 2421-2426.</w:t>
      </w:r>
    </w:p>
    <w:p w14:paraId="3EDB8A8B" w14:textId="673E5263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D155D8">
        <w:rPr>
          <w:rFonts w:ascii="Times" w:hAnsi="Times" w:cs="Times"/>
          <w:szCs w:val="20"/>
        </w:rPr>
        <w:t xml:space="preserve">5. Swarts, A. J. et al., </w:t>
      </w:r>
      <w:r w:rsidRPr="00D155D8">
        <w:rPr>
          <w:rFonts w:ascii="Times" w:hAnsi="Times" w:cs="Times"/>
          <w:i/>
          <w:szCs w:val="20"/>
        </w:rPr>
        <w:t>Dalton Tran</w:t>
      </w:r>
      <w:r w:rsidR="0066297F">
        <w:rPr>
          <w:rFonts w:ascii="Times" w:hAnsi="Times" w:cs="Times"/>
          <w:i/>
          <w:szCs w:val="20"/>
        </w:rPr>
        <w:t>s.,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2014,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43</w:t>
      </w:r>
      <w:r w:rsidRPr="00D155D8">
        <w:rPr>
          <w:rFonts w:ascii="Times" w:hAnsi="Times" w:cs="Times"/>
          <w:szCs w:val="20"/>
        </w:rPr>
        <w:t xml:space="preserve"> (26), 9892-9900.</w:t>
      </w:r>
    </w:p>
    <w:p w14:paraId="075ECCBE" w14:textId="44B39EDB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D155D8">
        <w:rPr>
          <w:rFonts w:ascii="Times" w:hAnsi="Times" w:cs="Times"/>
          <w:szCs w:val="20"/>
        </w:rPr>
        <w:t xml:space="preserve">6. Wang, S. et al., </w:t>
      </w:r>
      <w:r w:rsidRPr="00D155D8">
        <w:rPr>
          <w:rFonts w:ascii="Times" w:hAnsi="Times" w:cs="Times"/>
          <w:i/>
          <w:szCs w:val="20"/>
        </w:rPr>
        <w:t>Dalton Trans</w:t>
      </w:r>
      <w:r w:rsidR="0066297F">
        <w:rPr>
          <w:rFonts w:ascii="Times" w:hAnsi="Times" w:cs="Times"/>
          <w:i/>
          <w:szCs w:val="20"/>
        </w:rPr>
        <w:t>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2019,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48</w:t>
      </w:r>
      <w:r w:rsidRPr="00D155D8">
        <w:rPr>
          <w:rFonts w:ascii="Times" w:hAnsi="Times" w:cs="Times"/>
          <w:szCs w:val="20"/>
        </w:rPr>
        <w:t xml:space="preserve"> (31), 11599-11622.</w:t>
      </w:r>
    </w:p>
    <w:p w14:paraId="5AE14B1F" w14:textId="5B892AB1" w:rsidR="00F7583A" w:rsidRPr="00D155D8" w:rsidRDefault="00F7583A" w:rsidP="00F7583A">
      <w:pPr>
        <w:pStyle w:val="EndNoteBibliography"/>
        <w:spacing w:after="0"/>
        <w:jc w:val="both"/>
        <w:rPr>
          <w:rFonts w:ascii="Times" w:hAnsi="Times" w:cs="Times"/>
          <w:szCs w:val="20"/>
        </w:rPr>
      </w:pPr>
      <w:r w:rsidRPr="00D155D8">
        <w:rPr>
          <w:rFonts w:ascii="Times" w:hAnsi="Times" w:cs="Times"/>
          <w:szCs w:val="20"/>
        </w:rPr>
        <w:t xml:space="preserve">7. Jachak, M. et al., </w:t>
      </w:r>
      <w:r w:rsidRPr="00D155D8">
        <w:rPr>
          <w:rFonts w:ascii="Times" w:hAnsi="Times" w:cs="Times"/>
          <w:i/>
          <w:szCs w:val="20"/>
        </w:rPr>
        <w:t>J</w:t>
      </w:r>
      <w:r w:rsidR="00A4495F">
        <w:rPr>
          <w:rFonts w:ascii="Times" w:hAnsi="Times" w:cs="Times"/>
          <w:i/>
          <w:szCs w:val="20"/>
        </w:rPr>
        <w:t xml:space="preserve">. </w:t>
      </w:r>
      <w:r w:rsidRPr="00D155D8">
        <w:rPr>
          <w:rFonts w:ascii="Times" w:hAnsi="Times" w:cs="Times"/>
          <w:i/>
          <w:szCs w:val="20"/>
        </w:rPr>
        <w:t>Mol</w:t>
      </w:r>
      <w:r w:rsidR="00A4495F">
        <w:rPr>
          <w:rFonts w:ascii="Times" w:hAnsi="Times" w:cs="Times"/>
          <w:i/>
          <w:szCs w:val="20"/>
        </w:rPr>
        <w:t xml:space="preserve">. </w:t>
      </w:r>
      <w:r w:rsidRPr="00D155D8">
        <w:rPr>
          <w:rFonts w:ascii="Times" w:hAnsi="Times" w:cs="Times"/>
          <w:i/>
          <w:szCs w:val="20"/>
        </w:rPr>
        <w:t>Struct</w:t>
      </w:r>
      <w:r w:rsidR="00A4495F">
        <w:rPr>
          <w:rFonts w:ascii="Times" w:hAnsi="Times" w:cs="Times"/>
          <w:i/>
          <w:szCs w:val="20"/>
        </w:rPr>
        <w:t>.,</w:t>
      </w:r>
      <w:r w:rsidRPr="00D155D8">
        <w:rPr>
          <w:rFonts w:ascii="Times" w:hAnsi="Times" w:cs="Times"/>
          <w:i/>
          <w:szCs w:val="20"/>
        </w:rPr>
        <w:t xml:space="preserve"> </w:t>
      </w:r>
      <w:r w:rsidRPr="00D155D8">
        <w:rPr>
          <w:rFonts w:ascii="Times" w:hAnsi="Times" w:cs="Times"/>
          <w:b/>
          <w:szCs w:val="20"/>
        </w:rPr>
        <w:t>2021,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1233</w:t>
      </w:r>
      <w:r w:rsidRPr="00D155D8">
        <w:rPr>
          <w:rFonts w:ascii="Times" w:hAnsi="Times" w:cs="Times"/>
          <w:szCs w:val="20"/>
        </w:rPr>
        <w:t>, 130086.</w:t>
      </w:r>
    </w:p>
    <w:p w14:paraId="2C77FAD0" w14:textId="5E7CB31D" w:rsidR="00A9286D" w:rsidRPr="00A9286D" w:rsidRDefault="00F7583A" w:rsidP="007D6DF2">
      <w:pPr>
        <w:pStyle w:val="EndNoteBibliography"/>
        <w:spacing w:after="0"/>
        <w:jc w:val="both"/>
      </w:pPr>
      <w:r w:rsidRPr="00D155D8">
        <w:rPr>
          <w:rFonts w:ascii="Times" w:hAnsi="Times" w:cs="Times"/>
          <w:szCs w:val="20"/>
        </w:rPr>
        <w:t xml:space="preserve">8. Feldman, J. et al.,  </w:t>
      </w:r>
      <w:r w:rsidRPr="00D155D8">
        <w:rPr>
          <w:rFonts w:ascii="Times" w:hAnsi="Times" w:cs="Times"/>
          <w:i/>
          <w:szCs w:val="20"/>
        </w:rPr>
        <w:t xml:space="preserve">Organometallics </w:t>
      </w:r>
      <w:r w:rsidRPr="00D155D8">
        <w:rPr>
          <w:rFonts w:ascii="Times" w:hAnsi="Times" w:cs="Times"/>
          <w:b/>
          <w:szCs w:val="20"/>
        </w:rPr>
        <w:t>1997,</w:t>
      </w:r>
      <w:r w:rsidRPr="00D155D8">
        <w:rPr>
          <w:rFonts w:ascii="Times" w:hAnsi="Times" w:cs="Times"/>
          <w:szCs w:val="20"/>
        </w:rPr>
        <w:t xml:space="preserve"> </w:t>
      </w:r>
      <w:r w:rsidRPr="00D155D8">
        <w:rPr>
          <w:rFonts w:ascii="Times" w:hAnsi="Times" w:cs="Times"/>
          <w:i/>
          <w:szCs w:val="20"/>
        </w:rPr>
        <w:t>16</w:t>
      </w:r>
      <w:r w:rsidRPr="00D155D8">
        <w:rPr>
          <w:rFonts w:ascii="Times" w:hAnsi="Times" w:cs="Times"/>
          <w:szCs w:val="20"/>
        </w:rPr>
        <w:t xml:space="preserve"> (8), 1514-1516.</w:t>
      </w:r>
    </w:p>
    <w:sectPr w:rsidR="00A9286D" w:rsidRPr="00A9286D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ED00" w14:textId="77777777" w:rsidR="003E656D" w:rsidRDefault="003E656D" w:rsidP="00EA4E1B">
      <w:pPr>
        <w:spacing w:after="0" w:line="240" w:lineRule="auto"/>
      </w:pPr>
      <w:r>
        <w:separator/>
      </w:r>
    </w:p>
  </w:endnote>
  <w:endnote w:type="continuationSeparator" w:id="0">
    <w:p w14:paraId="07ECE983" w14:textId="77777777" w:rsidR="003E656D" w:rsidRDefault="003E656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53CC" w14:textId="77777777" w:rsidR="003E656D" w:rsidRDefault="003E656D" w:rsidP="00EA4E1B">
      <w:pPr>
        <w:spacing w:after="0" w:line="240" w:lineRule="auto"/>
      </w:pPr>
      <w:r>
        <w:separator/>
      </w:r>
    </w:p>
  </w:footnote>
  <w:footnote w:type="continuationSeparator" w:id="0">
    <w:p w14:paraId="2E9FCAAA" w14:textId="77777777" w:rsidR="003E656D" w:rsidRDefault="003E656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29643C"/>
    <w:multiLevelType w:val="hybridMultilevel"/>
    <w:tmpl w:val="B6489DF0"/>
    <w:lvl w:ilvl="0" w:tplc="F4A4E16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39884">
    <w:abstractNumId w:val="0"/>
  </w:num>
  <w:num w:numId="2" w16cid:durableId="112666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NKkFAOlQxrA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z9xx5sq0psvreer5vvztvtd5vpd2w5frar&quot;&gt;Projeto Doc-Saved&lt;record-ids&gt;&lt;item&gt;105&lt;/item&gt;&lt;/record-ids&gt;&lt;/item&gt;&lt;/Libraries&gt;"/>
  </w:docVars>
  <w:rsids>
    <w:rsidRoot w:val="00EA4E1B"/>
    <w:rsid w:val="0001264A"/>
    <w:rsid w:val="00012FF7"/>
    <w:rsid w:val="0002001B"/>
    <w:rsid w:val="00022838"/>
    <w:rsid w:val="0002413D"/>
    <w:rsid w:val="000263FC"/>
    <w:rsid w:val="0003145B"/>
    <w:rsid w:val="00031EDC"/>
    <w:rsid w:val="000333AA"/>
    <w:rsid w:val="000337D3"/>
    <w:rsid w:val="00035C9D"/>
    <w:rsid w:val="00035F93"/>
    <w:rsid w:val="00037C11"/>
    <w:rsid w:val="00042A71"/>
    <w:rsid w:val="000532A0"/>
    <w:rsid w:val="00061A72"/>
    <w:rsid w:val="00066113"/>
    <w:rsid w:val="000749BF"/>
    <w:rsid w:val="0008686D"/>
    <w:rsid w:val="00093F83"/>
    <w:rsid w:val="000952C9"/>
    <w:rsid w:val="000A00DD"/>
    <w:rsid w:val="000B5433"/>
    <w:rsid w:val="000B7A35"/>
    <w:rsid w:val="000C3258"/>
    <w:rsid w:val="000C76E1"/>
    <w:rsid w:val="000D0F37"/>
    <w:rsid w:val="000D378F"/>
    <w:rsid w:val="000D74D7"/>
    <w:rsid w:val="000E0DB9"/>
    <w:rsid w:val="000E52CB"/>
    <w:rsid w:val="000F1BAB"/>
    <w:rsid w:val="000F1D24"/>
    <w:rsid w:val="000F4A36"/>
    <w:rsid w:val="000F5A2D"/>
    <w:rsid w:val="001058E1"/>
    <w:rsid w:val="00106726"/>
    <w:rsid w:val="00110A60"/>
    <w:rsid w:val="00114515"/>
    <w:rsid w:val="0011542E"/>
    <w:rsid w:val="001160E6"/>
    <w:rsid w:val="00117046"/>
    <w:rsid w:val="00124784"/>
    <w:rsid w:val="00134BE4"/>
    <w:rsid w:val="00136F43"/>
    <w:rsid w:val="001409AF"/>
    <w:rsid w:val="0014224C"/>
    <w:rsid w:val="00143D3F"/>
    <w:rsid w:val="001531F2"/>
    <w:rsid w:val="001544EA"/>
    <w:rsid w:val="001575B1"/>
    <w:rsid w:val="001608E7"/>
    <w:rsid w:val="001662E0"/>
    <w:rsid w:val="00171A36"/>
    <w:rsid w:val="00173448"/>
    <w:rsid w:val="0018234A"/>
    <w:rsid w:val="00191B5E"/>
    <w:rsid w:val="00193FC0"/>
    <w:rsid w:val="00197A33"/>
    <w:rsid w:val="001A0FD5"/>
    <w:rsid w:val="001A6F08"/>
    <w:rsid w:val="001C4FFA"/>
    <w:rsid w:val="001D3CFF"/>
    <w:rsid w:val="001E25AF"/>
    <w:rsid w:val="001E25EF"/>
    <w:rsid w:val="001E58A9"/>
    <w:rsid w:val="001F124D"/>
    <w:rsid w:val="001F25B2"/>
    <w:rsid w:val="001F4E1D"/>
    <w:rsid w:val="001F630F"/>
    <w:rsid w:val="001F6D84"/>
    <w:rsid w:val="0020321B"/>
    <w:rsid w:val="00206727"/>
    <w:rsid w:val="002121FC"/>
    <w:rsid w:val="002177BA"/>
    <w:rsid w:val="00222230"/>
    <w:rsid w:val="00222DD3"/>
    <w:rsid w:val="00225343"/>
    <w:rsid w:val="0028136D"/>
    <w:rsid w:val="00283AD4"/>
    <w:rsid w:val="00284086"/>
    <w:rsid w:val="00284285"/>
    <w:rsid w:val="00291D6E"/>
    <w:rsid w:val="00293AC5"/>
    <w:rsid w:val="00294CF2"/>
    <w:rsid w:val="002A0CA5"/>
    <w:rsid w:val="002A1AF1"/>
    <w:rsid w:val="002A30A1"/>
    <w:rsid w:val="002A352B"/>
    <w:rsid w:val="002C1D11"/>
    <w:rsid w:val="002C6AB2"/>
    <w:rsid w:val="002D08DA"/>
    <w:rsid w:val="002E1DA2"/>
    <w:rsid w:val="002F0EAA"/>
    <w:rsid w:val="002F200B"/>
    <w:rsid w:val="002F4A39"/>
    <w:rsid w:val="00300275"/>
    <w:rsid w:val="00306631"/>
    <w:rsid w:val="00306CFD"/>
    <w:rsid w:val="003151F4"/>
    <w:rsid w:val="003156EE"/>
    <w:rsid w:val="00333617"/>
    <w:rsid w:val="003354B3"/>
    <w:rsid w:val="00336F3A"/>
    <w:rsid w:val="00340B1E"/>
    <w:rsid w:val="00344431"/>
    <w:rsid w:val="00345826"/>
    <w:rsid w:val="00355F19"/>
    <w:rsid w:val="00362D71"/>
    <w:rsid w:val="00374CF8"/>
    <w:rsid w:val="00382D28"/>
    <w:rsid w:val="0039401E"/>
    <w:rsid w:val="003A07BC"/>
    <w:rsid w:val="003A0E9C"/>
    <w:rsid w:val="003A531B"/>
    <w:rsid w:val="003A6540"/>
    <w:rsid w:val="003A762C"/>
    <w:rsid w:val="003B4EA4"/>
    <w:rsid w:val="003B698A"/>
    <w:rsid w:val="003C01F7"/>
    <w:rsid w:val="003D3802"/>
    <w:rsid w:val="003D435E"/>
    <w:rsid w:val="003E0DE2"/>
    <w:rsid w:val="003E656D"/>
    <w:rsid w:val="003F0AC0"/>
    <w:rsid w:val="003F4CA6"/>
    <w:rsid w:val="003F4EA3"/>
    <w:rsid w:val="003F686A"/>
    <w:rsid w:val="00402F3E"/>
    <w:rsid w:val="00406495"/>
    <w:rsid w:val="00414497"/>
    <w:rsid w:val="004207A8"/>
    <w:rsid w:val="00423B25"/>
    <w:rsid w:val="0043477B"/>
    <w:rsid w:val="0044311D"/>
    <w:rsid w:val="00443669"/>
    <w:rsid w:val="0044633B"/>
    <w:rsid w:val="00455E76"/>
    <w:rsid w:val="00467F7B"/>
    <w:rsid w:val="00475A5D"/>
    <w:rsid w:val="00477E72"/>
    <w:rsid w:val="00486BC5"/>
    <w:rsid w:val="00487DD1"/>
    <w:rsid w:val="004906F8"/>
    <w:rsid w:val="004A0113"/>
    <w:rsid w:val="004A09FD"/>
    <w:rsid w:val="004A40E6"/>
    <w:rsid w:val="004A5385"/>
    <w:rsid w:val="004A602D"/>
    <w:rsid w:val="004A7012"/>
    <w:rsid w:val="004A737F"/>
    <w:rsid w:val="004B2A2A"/>
    <w:rsid w:val="004C535B"/>
    <w:rsid w:val="004C5CD8"/>
    <w:rsid w:val="004C6733"/>
    <w:rsid w:val="004D26E8"/>
    <w:rsid w:val="004E03FA"/>
    <w:rsid w:val="004E0729"/>
    <w:rsid w:val="004E1DFC"/>
    <w:rsid w:val="004E56DF"/>
    <w:rsid w:val="004F1639"/>
    <w:rsid w:val="004F3F42"/>
    <w:rsid w:val="00501292"/>
    <w:rsid w:val="00512C31"/>
    <w:rsid w:val="00516380"/>
    <w:rsid w:val="005177A3"/>
    <w:rsid w:val="0052112E"/>
    <w:rsid w:val="00531192"/>
    <w:rsid w:val="005332FC"/>
    <w:rsid w:val="00536206"/>
    <w:rsid w:val="00537ED7"/>
    <w:rsid w:val="00552F2B"/>
    <w:rsid w:val="00557C5D"/>
    <w:rsid w:val="00560D22"/>
    <w:rsid w:val="00561EA1"/>
    <w:rsid w:val="005729F5"/>
    <w:rsid w:val="005778D7"/>
    <w:rsid w:val="00582887"/>
    <w:rsid w:val="00584658"/>
    <w:rsid w:val="005A3AE7"/>
    <w:rsid w:val="005A64E7"/>
    <w:rsid w:val="005A7B64"/>
    <w:rsid w:val="005B72D6"/>
    <w:rsid w:val="005C1556"/>
    <w:rsid w:val="005C2775"/>
    <w:rsid w:val="005C6915"/>
    <w:rsid w:val="005D65EB"/>
    <w:rsid w:val="005E30B9"/>
    <w:rsid w:val="005E4529"/>
    <w:rsid w:val="005E5B1E"/>
    <w:rsid w:val="005E69D2"/>
    <w:rsid w:val="005F30F4"/>
    <w:rsid w:val="005F739F"/>
    <w:rsid w:val="00604718"/>
    <w:rsid w:val="00604C10"/>
    <w:rsid w:val="00606FCA"/>
    <w:rsid w:val="00614A00"/>
    <w:rsid w:val="00627590"/>
    <w:rsid w:val="00630750"/>
    <w:rsid w:val="00642346"/>
    <w:rsid w:val="00647219"/>
    <w:rsid w:val="00652815"/>
    <w:rsid w:val="00652D1F"/>
    <w:rsid w:val="00661BEF"/>
    <w:rsid w:val="0066297F"/>
    <w:rsid w:val="0066417E"/>
    <w:rsid w:val="00673443"/>
    <w:rsid w:val="00683106"/>
    <w:rsid w:val="00694E21"/>
    <w:rsid w:val="00696134"/>
    <w:rsid w:val="006A1D8D"/>
    <w:rsid w:val="006C1029"/>
    <w:rsid w:val="006C1CC3"/>
    <w:rsid w:val="006D0F15"/>
    <w:rsid w:val="006D21F7"/>
    <w:rsid w:val="006D2730"/>
    <w:rsid w:val="006E08A0"/>
    <w:rsid w:val="006E4C43"/>
    <w:rsid w:val="006F42AA"/>
    <w:rsid w:val="006F5889"/>
    <w:rsid w:val="006F599B"/>
    <w:rsid w:val="006F5D47"/>
    <w:rsid w:val="0070164B"/>
    <w:rsid w:val="00701E5A"/>
    <w:rsid w:val="00704AE2"/>
    <w:rsid w:val="00704B80"/>
    <w:rsid w:val="00706B0C"/>
    <w:rsid w:val="00720573"/>
    <w:rsid w:val="0072473E"/>
    <w:rsid w:val="00740D6B"/>
    <w:rsid w:val="00745D49"/>
    <w:rsid w:val="0075053A"/>
    <w:rsid w:val="00754C85"/>
    <w:rsid w:val="007550DA"/>
    <w:rsid w:val="007567E8"/>
    <w:rsid w:val="00762266"/>
    <w:rsid w:val="00764D9E"/>
    <w:rsid w:val="00765DCA"/>
    <w:rsid w:val="00766E56"/>
    <w:rsid w:val="007670A0"/>
    <w:rsid w:val="007710A1"/>
    <w:rsid w:val="007733A8"/>
    <w:rsid w:val="0077463B"/>
    <w:rsid w:val="007766C7"/>
    <w:rsid w:val="0078033D"/>
    <w:rsid w:val="00781685"/>
    <w:rsid w:val="00786646"/>
    <w:rsid w:val="007A4C32"/>
    <w:rsid w:val="007B056A"/>
    <w:rsid w:val="007B4B2B"/>
    <w:rsid w:val="007B7D77"/>
    <w:rsid w:val="007C28F9"/>
    <w:rsid w:val="007C4772"/>
    <w:rsid w:val="007C5F88"/>
    <w:rsid w:val="007D6DF2"/>
    <w:rsid w:val="007E1997"/>
    <w:rsid w:val="007E1C07"/>
    <w:rsid w:val="007F0B2A"/>
    <w:rsid w:val="007F1A23"/>
    <w:rsid w:val="007F3C55"/>
    <w:rsid w:val="007F52C7"/>
    <w:rsid w:val="008038A2"/>
    <w:rsid w:val="00804DA0"/>
    <w:rsid w:val="008068FC"/>
    <w:rsid w:val="00806B77"/>
    <w:rsid w:val="00812806"/>
    <w:rsid w:val="0082740E"/>
    <w:rsid w:val="00832AA7"/>
    <w:rsid w:val="0083347E"/>
    <w:rsid w:val="00833EF9"/>
    <w:rsid w:val="0083586B"/>
    <w:rsid w:val="008365B6"/>
    <w:rsid w:val="00837F61"/>
    <w:rsid w:val="00840020"/>
    <w:rsid w:val="00840117"/>
    <w:rsid w:val="00850367"/>
    <w:rsid w:val="0085173A"/>
    <w:rsid w:val="00855971"/>
    <w:rsid w:val="00864AD0"/>
    <w:rsid w:val="008661A1"/>
    <w:rsid w:val="00866822"/>
    <w:rsid w:val="00876EBD"/>
    <w:rsid w:val="00882142"/>
    <w:rsid w:val="00883A43"/>
    <w:rsid w:val="00884267"/>
    <w:rsid w:val="008900CC"/>
    <w:rsid w:val="00892D2E"/>
    <w:rsid w:val="008A30F7"/>
    <w:rsid w:val="008A363F"/>
    <w:rsid w:val="008B1683"/>
    <w:rsid w:val="008B21D6"/>
    <w:rsid w:val="008C1B30"/>
    <w:rsid w:val="008C2492"/>
    <w:rsid w:val="008C3E86"/>
    <w:rsid w:val="008C74EE"/>
    <w:rsid w:val="008D37CC"/>
    <w:rsid w:val="008D570F"/>
    <w:rsid w:val="008D62B7"/>
    <w:rsid w:val="008E503B"/>
    <w:rsid w:val="008E6E95"/>
    <w:rsid w:val="008F24C2"/>
    <w:rsid w:val="009054B1"/>
    <w:rsid w:val="00912CF1"/>
    <w:rsid w:val="00914A5A"/>
    <w:rsid w:val="0091761A"/>
    <w:rsid w:val="00933B2C"/>
    <w:rsid w:val="009628B1"/>
    <w:rsid w:val="00962E3B"/>
    <w:rsid w:val="009656D9"/>
    <w:rsid w:val="00966FE9"/>
    <w:rsid w:val="00973AD3"/>
    <w:rsid w:val="009740F7"/>
    <w:rsid w:val="00980DBD"/>
    <w:rsid w:val="00981335"/>
    <w:rsid w:val="00983AC3"/>
    <w:rsid w:val="009903E3"/>
    <w:rsid w:val="00991CD1"/>
    <w:rsid w:val="009A2966"/>
    <w:rsid w:val="009A7D45"/>
    <w:rsid w:val="009B2CE9"/>
    <w:rsid w:val="009B3F2A"/>
    <w:rsid w:val="009B7971"/>
    <w:rsid w:val="009C3FD2"/>
    <w:rsid w:val="009C7CB0"/>
    <w:rsid w:val="009D3206"/>
    <w:rsid w:val="009D4EE8"/>
    <w:rsid w:val="009E5C76"/>
    <w:rsid w:val="009F0814"/>
    <w:rsid w:val="00A04695"/>
    <w:rsid w:val="00A0547D"/>
    <w:rsid w:val="00A071BA"/>
    <w:rsid w:val="00A15610"/>
    <w:rsid w:val="00A21802"/>
    <w:rsid w:val="00A35565"/>
    <w:rsid w:val="00A40557"/>
    <w:rsid w:val="00A40B43"/>
    <w:rsid w:val="00A40D3E"/>
    <w:rsid w:val="00A41C57"/>
    <w:rsid w:val="00A4495F"/>
    <w:rsid w:val="00A467B3"/>
    <w:rsid w:val="00A5193D"/>
    <w:rsid w:val="00A53396"/>
    <w:rsid w:val="00A57318"/>
    <w:rsid w:val="00A6420A"/>
    <w:rsid w:val="00A663ED"/>
    <w:rsid w:val="00A6684B"/>
    <w:rsid w:val="00A705F9"/>
    <w:rsid w:val="00A9286D"/>
    <w:rsid w:val="00A93B3E"/>
    <w:rsid w:val="00AA1587"/>
    <w:rsid w:val="00AA182E"/>
    <w:rsid w:val="00AA53EA"/>
    <w:rsid w:val="00AA7026"/>
    <w:rsid w:val="00AB1FAE"/>
    <w:rsid w:val="00AB2AEF"/>
    <w:rsid w:val="00AB6506"/>
    <w:rsid w:val="00AD0034"/>
    <w:rsid w:val="00AD1E5B"/>
    <w:rsid w:val="00AD2A6F"/>
    <w:rsid w:val="00AD328D"/>
    <w:rsid w:val="00AE0FE8"/>
    <w:rsid w:val="00AE1082"/>
    <w:rsid w:val="00AE143D"/>
    <w:rsid w:val="00AE7AEE"/>
    <w:rsid w:val="00AF0400"/>
    <w:rsid w:val="00AF12FA"/>
    <w:rsid w:val="00AF3BC0"/>
    <w:rsid w:val="00AF4B0F"/>
    <w:rsid w:val="00AF78FD"/>
    <w:rsid w:val="00B10DEA"/>
    <w:rsid w:val="00B11007"/>
    <w:rsid w:val="00B14DB8"/>
    <w:rsid w:val="00B14DE8"/>
    <w:rsid w:val="00B17651"/>
    <w:rsid w:val="00B30AEB"/>
    <w:rsid w:val="00B7230B"/>
    <w:rsid w:val="00B76C28"/>
    <w:rsid w:val="00B90258"/>
    <w:rsid w:val="00B91AAC"/>
    <w:rsid w:val="00B936B6"/>
    <w:rsid w:val="00B946EE"/>
    <w:rsid w:val="00B96AA6"/>
    <w:rsid w:val="00BA09D3"/>
    <w:rsid w:val="00BA4BD5"/>
    <w:rsid w:val="00BA6A6E"/>
    <w:rsid w:val="00BC6D74"/>
    <w:rsid w:val="00BD2456"/>
    <w:rsid w:val="00BF1748"/>
    <w:rsid w:val="00BF7A0F"/>
    <w:rsid w:val="00C02BB6"/>
    <w:rsid w:val="00C0454A"/>
    <w:rsid w:val="00C10039"/>
    <w:rsid w:val="00C100DB"/>
    <w:rsid w:val="00C31F80"/>
    <w:rsid w:val="00C32D89"/>
    <w:rsid w:val="00C32FA3"/>
    <w:rsid w:val="00C33E15"/>
    <w:rsid w:val="00C56DE2"/>
    <w:rsid w:val="00C60E77"/>
    <w:rsid w:val="00C71032"/>
    <w:rsid w:val="00C7177F"/>
    <w:rsid w:val="00C76DB0"/>
    <w:rsid w:val="00C76E54"/>
    <w:rsid w:val="00C77233"/>
    <w:rsid w:val="00C839D0"/>
    <w:rsid w:val="00C8426F"/>
    <w:rsid w:val="00C8519C"/>
    <w:rsid w:val="00C9086A"/>
    <w:rsid w:val="00C90E57"/>
    <w:rsid w:val="00C927E5"/>
    <w:rsid w:val="00C935E5"/>
    <w:rsid w:val="00C93936"/>
    <w:rsid w:val="00CA0917"/>
    <w:rsid w:val="00CA14F7"/>
    <w:rsid w:val="00CA1ADC"/>
    <w:rsid w:val="00CB197A"/>
    <w:rsid w:val="00CB22DE"/>
    <w:rsid w:val="00CB7B31"/>
    <w:rsid w:val="00CC793B"/>
    <w:rsid w:val="00CD493F"/>
    <w:rsid w:val="00CD5047"/>
    <w:rsid w:val="00CE4C9F"/>
    <w:rsid w:val="00CF0A8E"/>
    <w:rsid w:val="00CF14C7"/>
    <w:rsid w:val="00D12B12"/>
    <w:rsid w:val="00D155D8"/>
    <w:rsid w:val="00D16AD7"/>
    <w:rsid w:val="00D175ED"/>
    <w:rsid w:val="00D21E55"/>
    <w:rsid w:val="00D23954"/>
    <w:rsid w:val="00D251E4"/>
    <w:rsid w:val="00D30583"/>
    <w:rsid w:val="00D51F4A"/>
    <w:rsid w:val="00D52A53"/>
    <w:rsid w:val="00D60E0A"/>
    <w:rsid w:val="00D61F4B"/>
    <w:rsid w:val="00D62131"/>
    <w:rsid w:val="00D666AD"/>
    <w:rsid w:val="00D70C90"/>
    <w:rsid w:val="00D710A2"/>
    <w:rsid w:val="00D71ED0"/>
    <w:rsid w:val="00D763F4"/>
    <w:rsid w:val="00D84CF7"/>
    <w:rsid w:val="00D84E40"/>
    <w:rsid w:val="00D86FB7"/>
    <w:rsid w:val="00D8716B"/>
    <w:rsid w:val="00D93042"/>
    <w:rsid w:val="00D96135"/>
    <w:rsid w:val="00DA3B10"/>
    <w:rsid w:val="00DB0A8D"/>
    <w:rsid w:val="00DB7513"/>
    <w:rsid w:val="00DC5236"/>
    <w:rsid w:val="00DD0135"/>
    <w:rsid w:val="00DD1ECD"/>
    <w:rsid w:val="00DD1FB7"/>
    <w:rsid w:val="00DD2DFD"/>
    <w:rsid w:val="00DD30CB"/>
    <w:rsid w:val="00DD6F0D"/>
    <w:rsid w:val="00DE5662"/>
    <w:rsid w:val="00DE6D1D"/>
    <w:rsid w:val="00E02A21"/>
    <w:rsid w:val="00E0388A"/>
    <w:rsid w:val="00E038AF"/>
    <w:rsid w:val="00E03A15"/>
    <w:rsid w:val="00E1042B"/>
    <w:rsid w:val="00E11F8E"/>
    <w:rsid w:val="00E12A56"/>
    <w:rsid w:val="00E42BE7"/>
    <w:rsid w:val="00E45451"/>
    <w:rsid w:val="00E45CF7"/>
    <w:rsid w:val="00E464C1"/>
    <w:rsid w:val="00E4773D"/>
    <w:rsid w:val="00E57489"/>
    <w:rsid w:val="00E62166"/>
    <w:rsid w:val="00E65FDE"/>
    <w:rsid w:val="00E7038F"/>
    <w:rsid w:val="00E74E48"/>
    <w:rsid w:val="00E76FD1"/>
    <w:rsid w:val="00E804D5"/>
    <w:rsid w:val="00E95F09"/>
    <w:rsid w:val="00EA4E1B"/>
    <w:rsid w:val="00EC6503"/>
    <w:rsid w:val="00ED0A0C"/>
    <w:rsid w:val="00ED503C"/>
    <w:rsid w:val="00EE0A85"/>
    <w:rsid w:val="00EF0544"/>
    <w:rsid w:val="00EF4610"/>
    <w:rsid w:val="00EF4B33"/>
    <w:rsid w:val="00F14A95"/>
    <w:rsid w:val="00F230FD"/>
    <w:rsid w:val="00F30661"/>
    <w:rsid w:val="00F32B77"/>
    <w:rsid w:val="00F33489"/>
    <w:rsid w:val="00F46D3F"/>
    <w:rsid w:val="00F4720C"/>
    <w:rsid w:val="00F5189D"/>
    <w:rsid w:val="00F55DDC"/>
    <w:rsid w:val="00F6778B"/>
    <w:rsid w:val="00F70076"/>
    <w:rsid w:val="00F713CB"/>
    <w:rsid w:val="00F74C73"/>
    <w:rsid w:val="00F7583A"/>
    <w:rsid w:val="00F76A0A"/>
    <w:rsid w:val="00F77A08"/>
    <w:rsid w:val="00F81EF4"/>
    <w:rsid w:val="00F83333"/>
    <w:rsid w:val="00F90AD7"/>
    <w:rsid w:val="00F917DA"/>
    <w:rsid w:val="00F96C70"/>
    <w:rsid w:val="00FA18DE"/>
    <w:rsid w:val="00FB3D5B"/>
    <w:rsid w:val="00FB7D01"/>
    <w:rsid w:val="00FC1798"/>
    <w:rsid w:val="00FC1C8A"/>
    <w:rsid w:val="00FD0DCC"/>
    <w:rsid w:val="00FD0E71"/>
    <w:rsid w:val="00FD7B89"/>
    <w:rsid w:val="00FF1E4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link w:val="TAMainTextChar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F81E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74E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4E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E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E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E4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CA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A4C32"/>
    <w:pPr>
      <w:spacing w:after="0"/>
      <w:jc w:val="center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TAMainTextChar">
    <w:name w:val="TA_Main_Text Char"/>
    <w:basedOn w:val="Fontepargpadro"/>
    <w:link w:val="TAMainText"/>
    <w:rsid w:val="007A4C32"/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7A4C32"/>
    <w:rPr>
      <w:rFonts w:ascii="Times New Roman" w:eastAsia="Times New Roman" w:hAnsi="Times New Roman" w:cs="Times New Roman"/>
      <w:noProof/>
      <w:sz w:val="20"/>
      <w:szCs w:val="20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7A4C32"/>
    <w:pPr>
      <w:spacing w:line="240" w:lineRule="auto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Char">
    <w:name w:val="EndNote Bibliography Char"/>
    <w:basedOn w:val="TAMainTextChar"/>
    <w:link w:val="EndNoteBibliography"/>
    <w:rsid w:val="007A4C32"/>
    <w:rPr>
      <w:rFonts w:ascii="Times New Roman" w:eastAsia="Times New Roman" w:hAnsi="Times New Roman" w:cs="Times New Roman"/>
      <w:noProof/>
      <w:sz w:val="20"/>
      <w:szCs w:val="20"/>
      <w:lang w:val="en-US" w:eastAsia="pt-BR"/>
    </w:rPr>
  </w:style>
  <w:style w:type="paragraph" w:styleId="Reviso">
    <w:name w:val="Revision"/>
    <w:hidden/>
    <w:uiPriority w:val="99"/>
    <w:semiHidden/>
    <w:rsid w:val="00FC1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1430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Marcel Ribeiro Gallo</dc:creator>
  <cp:lastModifiedBy>Bruna Nicola</cp:lastModifiedBy>
  <cp:revision>2</cp:revision>
  <dcterms:created xsi:type="dcterms:W3CDTF">2023-08-11T22:09:00Z</dcterms:created>
  <dcterms:modified xsi:type="dcterms:W3CDTF">2023-08-11T22:09:00Z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f30414c0e79c197edfee50f36247b8b669f497eb8eb47528c53727288bd85c27</vt:lpwstr>
  </property>
</Properties>
</file>