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eastAsia="en-US"/>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18E99705" w:rsidR="00EA4E1B" w:rsidRDefault="00D14546" w:rsidP="00EA4E1B">
      <w:pPr>
        <w:pStyle w:val="BATitle"/>
        <w:spacing w:before="0" w:after="0" w:line="240" w:lineRule="auto"/>
        <w:ind w:right="0"/>
        <w:jc w:val="both"/>
        <w:rPr>
          <w:sz w:val="32"/>
          <w:lang w:val="pt-BR"/>
        </w:rPr>
      </w:pPr>
      <w:r>
        <w:rPr>
          <w:sz w:val="32"/>
          <w:lang w:val="pt-BR"/>
        </w:rPr>
        <w:t xml:space="preserve">Reforma a vapor do </w:t>
      </w:r>
      <w:r w:rsidR="00514F9C">
        <w:rPr>
          <w:sz w:val="32"/>
          <w:lang w:val="pt-BR"/>
        </w:rPr>
        <w:t>metano</w:t>
      </w:r>
      <w:r>
        <w:rPr>
          <w:sz w:val="32"/>
          <w:lang w:val="pt-BR"/>
        </w:rPr>
        <w:t xml:space="preserve"> em </w:t>
      </w:r>
      <w:r w:rsidR="00AA2098">
        <w:rPr>
          <w:sz w:val="32"/>
          <w:lang w:val="pt-BR"/>
        </w:rPr>
        <w:t>c</w:t>
      </w:r>
      <w:r w:rsidR="009E5F08">
        <w:rPr>
          <w:sz w:val="32"/>
          <w:lang w:val="pt-BR"/>
        </w:rPr>
        <w:t>atalisadores</w:t>
      </w:r>
      <w:r w:rsidR="006C545C">
        <w:rPr>
          <w:sz w:val="32"/>
          <w:lang w:val="pt-BR"/>
        </w:rPr>
        <w:t xml:space="preserve"> de níquel</w:t>
      </w:r>
      <w:r w:rsidR="009E5F08">
        <w:rPr>
          <w:sz w:val="32"/>
          <w:lang w:val="pt-BR"/>
        </w:rPr>
        <w:t xml:space="preserve"> </w:t>
      </w:r>
      <w:r w:rsidR="009C565A">
        <w:rPr>
          <w:sz w:val="32"/>
          <w:lang w:val="pt-BR"/>
        </w:rPr>
        <w:t>suportados</w:t>
      </w:r>
      <w:r w:rsidR="006C545C">
        <w:rPr>
          <w:sz w:val="32"/>
          <w:lang w:val="pt-BR"/>
        </w:rPr>
        <w:t xml:space="preserve"> em </w:t>
      </w:r>
      <w:r>
        <w:rPr>
          <w:sz w:val="32"/>
          <w:lang w:val="pt-BR"/>
        </w:rPr>
        <w:t>aluminato</w:t>
      </w:r>
      <w:r w:rsidR="004F1379">
        <w:rPr>
          <w:sz w:val="32"/>
          <w:lang w:val="pt-BR"/>
        </w:rPr>
        <w:t xml:space="preserve">s </w:t>
      </w:r>
      <w:r w:rsidR="00514F9C">
        <w:rPr>
          <w:sz w:val="32"/>
          <w:lang w:val="pt-BR"/>
        </w:rPr>
        <w:t>de cálcio ou magnésio</w:t>
      </w:r>
      <w:r w:rsidR="00EA4E1B">
        <w:rPr>
          <w:sz w:val="32"/>
          <w:lang w:val="pt-BR"/>
        </w:rPr>
        <w:t xml:space="preserve"> </w:t>
      </w:r>
    </w:p>
    <w:p w14:paraId="628CE704" w14:textId="77777777" w:rsidR="00571A30" w:rsidRDefault="00571A30" w:rsidP="00EA4E1B">
      <w:pPr>
        <w:pStyle w:val="BBAuthorName"/>
        <w:spacing w:after="120"/>
        <w:ind w:right="0"/>
        <w:jc w:val="both"/>
        <w:rPr>
          <w:rFonts w:ascii="Times New Roman" w:hAnsi="Times New Roman"/>
          <w:sz w:val="20"/>
          <w:lang w:val="pt-BR"/>
        </w:rPr>
      </w:pPr>
    </w:p>
    <w:p w14:paraId="18735493" w14:textId="74DB9756" w:rsidR="00EA4E1B" w:rsidRPr="001F25B2" w:rsidRDefault="00924004" w:rsidP="00EA4E1B">
      <w:pPr>
        <w:pStyle w:val="BBAuthorName"/>
        <w:spacing w:after="120"/>
        <w:ind w:right="0"/>
        <w:jc w:val="both"/>
        <w:rPr>
          <w:rFonts w:ascii="Times New Roman" w:hAnsi="Times New Roman"/>
          <w:sz w:val="20"/>
          <w:lang w:val="pt-BR"/>
        </w:rPr>
      </w:pPr>
      <w:r>
        <w:rPr>
          <w:rFonts w:ascii="Times New Roman" w:hAnsi="Times New Roman"/>
          <w:sz w:val="20"/>
          <w:lang w:val="pt-BR"/>
        </w:rPr>
        <w:t xml:space="preserve">Daniel </w:t>
      </w:r>
      <w:r w:rsidR="00E07155">
        <w:rPr>
          <w:rFonts w:ascii="Times New Roman" w:hAnsi="Times New Roman"/>
          <w:sz w:val="20"/>
          <w:lang w:val="pt-BR"/>
        </w:rPr>
        <w:t xml:space="preserve">P. </w:t>
      </w:r>
      <w:r>
        <w:rPr>
          <w:rFonts w:ascii="Times New Roman" w:hAnsi="Times New Roman"/>
          <w:sz w:val="20"/>
          <w:lang w:val="pt-BR"/>
        </w:rPr>
        <w:t>Lopes</w:t>
      </w:r>
      <w:r>
        <w:rPr>
          <w:rFonts w:ascii="Times New Roman" w:hAnsi="Times New Roman"/>
          <w:sz w:val="20"/>
          <w:vertAlign w:val="superscript"/>
          <w:lang w:val="pt-BR"/>
        </w:rPr>
        <w:t>1</w:t>
      </w:r>
      <w:r>
        <w:rPr>
          <w:rFonts w:ascii="Times New Roman" w:hAnsi="Times New Roman"/>
          <w:sz w:val="20"/>
          <w:lang w:val="pt-BR"/>
        </w:rPr>
        <w:t xml:space="preserve">, </w:t>
      </w:r>
      <w:r w:rsidR="00E07155">
        <w:rPr>
          <w:rFonts w:ascii="Times New Roman" w:hAnsi="Times New Roman"/>
          <w:sz w:val="20"/>
          <w:lang w:val="pt-BR"/>
        </w:rPr>
        <w:t xml:space="preserve">Andrea M. D. </w:t>
      </w:r>
      <w:r w:rsidR="00E07155" w:rsidRPr="00E07155">
        <w:rPr>
          <w:rFonts w:ascii="Times New Roman" w:hAnsi="Times New Roman"/>
          <w:sz w:val="20"/>
          <w:lang w:val="pt-BR"/>
        </w:rPr>
        <w:t>Farias</w:t>
      </w:r>
      <w:r w:rsidR="00E07155" w:rsidRPr="00E07155">
        <w:rPr>
          <w:rFonts w:ascii="Times New Roman" w:hAnsi="Times New Roman"/>
          <w:sz w:val="20"/>
          <w:vertAlign w:val="superscript"/>
          <w:lang w:val="pt-BR"/>
        </w:rPr>
        <w:t>1</w:t>
      </w:r>
      <w:r w:rsidR="00E07155">
        <w:rPr>
          <w:rFonts w:ascii="Times New Roman" w:hAnsi="Times New Roman"/>
          <w:sz w:val="20"/>
          <w:lang w:val="pt-BR"/>
        </w:rPr>
        <w:t xml:space="preserve">, </w:t>
      </w:r>
      <w:r w:rsidRPr="00E07155">
        <w:rPr>
          <w:rFonts w:ascii="Times New Roman" w:hAnsi="Times New Roman"/>
          <w:sz w:val="20"/>
          <w:lang w:val="pt-BR"/>
        </w:rPr>
        <w:t>Fabio</w:t>
      </w:r>
      <w:r>
        <w:rPr>
          <w:rFonts w:ascii="Times New Roman" w:hAnsi="Times New Roman"/>
          <w:sz w:val="20"/>
          <w:lang w:val="pt-BR"/>
        </w:rPr>
        <w:t xml:space="preserve"> </w:t>
      </w:r>
      <w:r w:rsidR="00E07155">
        <w:rPr>
          <w:rFonts w:ascii="Times New Roman" w:hAnsi="Times New Roman"/>
          <w:sz w:val="20"/>
          <w:lang w:val="pt-BR"/>
        </w:rPr>
        <w:t xml:space="preserve">B. </w:t>
      </w:r>
      <w:r>
        <w:rPr>
          <w:rFonts w:ascii="Times New Roman" w:hAnsi="Times New Roman"/>
          <w:sz w:val="20"/>
          <w:lang w:val="pt-BR"/>
        </w:rPr>
        <w:t>Noronha</w:t>
      </w:r>
      <w:r>
        <w:rPr>
          <w:rFonts w:ascii="Times New Roman" w:hAnsi="Times New Roman"/>
          <w:sz w:val="20"/>
          <w:vertAlign w:val="superscript"/>
          <w:lang w:val="pt-BR"/>
        </w:rPr>
        <w:t>1</w:t>
      </w:r>
      <w:r>
        <w:rPr>
          <w:rFonts w:ascii="Times New Roman" w:hAnsi="Times New Roman"/>
          <w:sz w:val="20"/>
          <w:lang w:val="pt-BR"/>
        </w:rPr>
        <w:t xml:space="preserve">, </w:t>
      </w:r>
      <w:r w:rsidR="00E07155">
        <w:rPr>
          <w:rFonts w:ascii="Times New Roman" w:hAnsi="Times New Roman"/>
          <w:sz w:val="20"/>
          <w:lang w:val="pt-BR"/>
        </w:rPr>
        <w:t>Clarissa P. Rodrigues</w:t>
      </w:r>
      <w:r w:rsidR="00E07155">
        <w:rPr>
          <w:rFonts w:ascii="Times New Roman" w:hAnsi="Times New Roman"/>
          <w:sz w:val="20"/>
          <w:vertAlign w:val="superscript"/>
          <w:lang w:val="pt-BR"/>
        </w:rPr>
        <w:t>1*</w:t>
      </w:r>
      <w:r w:rsidR="00E07155">
        <w:rPr>
          <w:rFonts w:ascii="Times New Roman" w:hAnsi="Times New Roman"/>
          <w:sz w:val="20"/>
          <w:lang w:val="pt-BR"/>
        </w:rPr>
        <w:t xml:space="preserve">, Roberto Carlos P. </w:t>
      </w:r>
      <w:r w:rsidR="00E07155" w:rsidRPr="00E07155">
        <w:rPr>
          <w:rFonts w:ascii="Times New Roman" w:hAnsi="Times New Roman"/>
          <w:sz w:val="20"/>
          <w:lang w:val="pt-BR"/>
        </w:rPr>
        <w:t>Bittencourt</w:t>
      </w:r>
      <w:r w:rsidR="00E07155" w:rsidRPr="00E07155">
        <w:rPr>
          <w:rFonts w:ascii="Times New Roman" w:hAnsi="Times New Roman"/>
          <w:sz w:val="20"/>
          <w:vertAlign w:val="superscript"/>
          <w:lang w:val="pt-BR"/>
        </w:rPr>
        <w:t>2</w:t>
      </w:r>
    </w:p>
    <w:p w14:paraId="54C99125" w14:textId="652CCBD9" w:rsidR="001D5E23" w:rsidRDefault="00EA4E1B" w:rsidP="004D6A3D">
      <w:pPr>
        <w:pStyle w:val="BCAuthorAddress"/>
        <w:spacing w:after="0" w:line="240" w:lineRule="auto"/>
        <w:ind w:right="0"/>
        <w:jc w:val="both"/>
        <w:rPr>
          <w:lang w:val="pt-BR"/>
        </w:rPr>
      </w:pPr>
      <w:r>
        <w:rPr>
          <w:vertAlign w:val="superscript"/>
          <w:lang w:val="pt-BR"/>
        </w:rPr>
        <w:t>1</w:t>
      </w:r>
      <w:r>
        <w:rPr>
          <w:lang w:val="pt-BR"/>
        </w:rPr>
        <w:t>Ins</w:t>
      </w:r>
      <w:r w:rsidR="001D5E23">
        <w:rPr>
          <w:lang w:val="pt-BR"/>
        </w:rPr>
        <w:t>tituto Nacional de Tecnologia</w:t>
      </w:r>
      <w:r w:rsidR="00E07155">
        <w:rPr>
          <w:lang w:val="pt-BR"/>
        </w:rPr>
        <w:t>, LACAT/DICAP</w:t>
      </w:r>
      <w:r w:rsidR="001D5E23">
        <w:rPr>
          <w:lang w:val="pt-BR"/>
        </w:rPr>
        <w:t>,</w:t>
      </w:r>
      <w:r w:rsidR="00E07155">
        <w:rPr>
          <w:lang w:val="pt-BR"/>
        </w:rPr>
        <w:t xml:space="preserve"> </w:t>
      </w:r>
      <w:r w:rsidR="001D5E23">
        <w:rPr>
          <w:lang w:val="pt-BR"/>
        </w:rPr>
        <w:t>Avenida Venezuela</w:t>
      </w:r>
      <w:r w:rsidR="004D6A3D">
        <w:rPr>
          <w:lang w:val="pt-BR"/>
        </w:rPr>
        <w:t xml:space="preserve">, </w:t>
      </w:r>
      <w:proofErr w:type="gramStart"/>
      <w:r w:rsidR="004D6A3D">
        <w:rPr>
          <w:lang w:val="pt-BR"/>
        </w:rPr>
        <w:t>8</w:t>
      </w:r>
      <w:r w:rsidR="001D5E23">
        <w:rPr>
          <w:lang w:val="pt-BR"/>
        </w:rPr>
        <w:t>2</w:t>
      </w:r>
      <w:r w:rsidR="004D6A3D">
        <w:rPr>
          <w:lang w:val="pt-BR"/>
        </w:rPr>
        <w:t xml:space="preserve"> sala</w:t>
      </w:r>
      <w:proofErr w:type="gramEnd"/>
      <w:r w:rsidR="004D6A3D">
        <w:rPr>
          <w:lang w:val="pt-BR"/>
        </w:rPr>
        <w:t xml:space="preserve"> 514</w:t>
      </w:r>
      <w:r w:rsidR="001D5E23">
        <w:rPr>
          <w:lang w:val="pt-BR"/>
        </w:rPr>
        <w:t xml:space="preserve">, CEP: 2008-312 Rio de Janeiro, RJ </w:t>
      </w:r>
      <w:r w:rsidR="00571A30">
        <w:rPr>
          <w:lang w:val="pt-BR"/>
        </w:rPr>
        <w:t>–</w:t>
      </w:r>
      <w:r w:rsidR="001D5E23">
        <w:rPr>
          <w:lang w:val="pt-BR"/>
        </w:rPr>
        <w:t xml:space="preserve"> Brasil</w:t>
      </w:r>
      <w:r w:rsidR="00571A30">
        <w:rPr>
          <w:lang w:val="pt-BR"/>
        </w:rPr>
        <w:t>.</w:t>
      </w:r>
    </w:p>
    <w:p w14:paraId="477CDCEE" w14:textId="051E4D90" w:rsidR="00E07155" w:rsidRPr="00E07155" w:rsidRDefault="00E07155" w:rsidP="004D6A3D">
      <w:pPr>
        <w:spacing w:after="0" w:line="240" w:lineRule="auto"/>
        <w:rPr>
          <w:rFonts w:ascii="Times New Roman" w:hAnsi="Times New Roman" w:cs="Times New Roman"/>
          <w:i/>
          <w:iCs/>
          <w:sz w:val="20"/>
          <w:szCs w:val="20"/>
          <w:lang w:eastAsia="pt-BR"/>
        </w:rPr>
      </w:pPr>
      <w:r w:rsidRPr="00E07155">
        <w:rPr>
          <w:rFonts w:ascii="Times New Roman" w:hAnsi="Times New Roman" w:cs="Times New Roman"/>
          <w:i/>
          <w:iCs/>
          <w:sz w:val="20"/>
          <w:szCs w:val="20"/>
          <w:vertAlign w:val="superscript"/>
          <w:lang w:eastAsia="pt-BR"/>
        </w:rPr>
        <w:t>2</w:t>
      </w:r>
      <w:r w:rsidRPr="00E07155">
        <w:rPr>
          <w:rFonts w:ascii="Times New Roman" w:hAnsi="Times New Roman" w:cs="Times New Roman"/>
          <w:i/>
          <w:iCs/>
          <w:sz w:val="20"/>
          <w:szCs w:val="20"/>
          <w:lang w:eastAsia="pt-BR"/>
        </w:rPr>
        <w:t>Centro de Pesquisas e Desenvolvimentos Leopoldo A. Miguez de Mello</w:t>
      </w:r>
      <w:r>
        <w:rPr>
          <w:rFonts w:ascii="Times New Roman" w:hAnsi="Times New Roman" w:cs="Times New Roman"/>
          <w:i/>
          <w:iCs/>
          <w:sz w:val="20"/>
          <w:szCs w:val="20"/>
          <w:lang w:eastAsia="pt-BR"/>
        </w:rPr>
        <w:t xml:space="preserve">, </w:t>
      </w:r>
      <w:r w:rsidR="004D6A3D">
        <w:rPr>
          <w:rFonts w:ascii="Times New Roman" w:hAnsi="Times New Roman" w:cs="Times New Roman"/>
          <w:i/>
          <w:iCs/>
          <w:sz w:val="20"/>
          <w:szCs w:val="20"/>
          <w:lang w:eastAsia="pt-BR"/>
        </w:rPr>
        <w:t>CENPES/</w:t>
      </w:r>
      <w:r w:rsidRPr="00E07155">
        <w:rPr>
          <w:rFonts w:ascii="Times New Roman" w:hAnsi="Times New Roman" w:cs="Times New Roman"/>
          <w:i/>
          <w:iCs/>
          <w:sz w:val="20"/>
          <w:szCs w:val="20"/>
          <w:lang w:eastAsia="pt-BR"/>
        </w:rPr>
        <w:t>PDIDMS/PRGN/HPF</w:t>
      </w:r>
      <w:r>
        <w:rPr>
          <w:rFonts w:ascii="Times New Roman" w:hAnsi="Times New Roman" w:cs="Times New Roman"/>
          <w:i/>
          <w:iCs/>
          <w:sz w:val="20"/>
          <w:szCs w:val="20"/>
          <w:lang w:eastAsia="pt-BR"/>
        </w:rPr>
        <w:t xml:space="preserve">, </w:t>
      </w:r>
      <w:r w:rsidRPr="00E07155">
        <w:rPr>
          <w:rFonts w:ascii="Times New Roman" w:hAnsi="Times New Roman" w:cs="Times New Roman"/>
          <w:i/>
          <w:iCs/>
          <w:sz w:val="20"/>
          <w:szCs w:val="20"/>
          <w:lang w:eastAsia="pt-BR"/>
        </w:rPr>
        <w:t>Av. Horácio Macedo, 950</w:t>
      </w:r>
      <w:r w:rsidR="004D6A3D">
        <w:rPr>
          <w:rFonts w:ascii="Times New Roman" w:hAnsi="Times New Roman" w:cs="Times New Roman"/>
          <w:i/>
          <w:iCs/>
          <w:sz w:val="20"/>
          <w:szCs w:val="20"/>
          <w:lang w:eastAsia="pt-BR"/>
        </w:rPr>
        <w:t xml:space="preserve">, </w:t>
      </w:r>
      <w:r w:rsidR="004D6A3D" w:rsidRPr="004D6A3D">
        <w:rPr>
          <w:rFonts w:ascii="Times New Roman" w:hAnsi="Times New Roman" w:cs="Times New Roman"/>
          <w:i/>
          <w:iCs/>
          <w:sz w:val="20"/>
          <w:szCs w:val="20"/>
          <w:lang w:eastAsia="pt-BR"/>
        </w:rPr>
        <w:t>CEP: 2008-312</w:t>
      </w:r>
      <w:r w:rsidRPr="00E07155">
        <w:rPr>
          <w:rFonts w:ascii="Times New Roman" w:hAnsi="Times New Roman" w:cs="Times New Roman"/>
          <w:i/>
          <w:iCs/>
          <w:sz w:val="20"/>
          <w:szCs w:val="20"/>
          <w:lang w:eastAsia="pt-BR"/>
        </w:rPr>
        <w:t>, Rio de Janeiro</w:t>
      </w:r>
      <w:r w:rsidR="004D6A3D">
        <w:rPr>
          <w:rFonts w:ascii="Times New Roman" w:hAnsi="Times New Roman" w:cs="Times New Roman"/>
          <w:i/>
          <w:iCs/>
          <w:sz w:val="20"/>
          <w:szCs w:val="20"/>
          <w:lang w:eastAsia="pt-BR"/>
        </w:rPr>
        <w:t>,</w:t>
      </w:r>
      <w:r w:rsidRPr="00E07155">
        <w:rPr>
          <w:rFonts w:ascii="Times New Roman" w:hAnsi="Times New Roman" w:cs="Times New Roman"/>
          <w:i/>
          <w:iCs/>
          <w:sz w:val="20"/>
          <w:szCs w:val="20"/>
          <w:lang w:eastAsia="pt-BR"/>
        </w:rPr>
        <w:t xml:space="preserve"> RJ</w:t>
      </w:r>
      <w:r w:rsidR="004D6A3D">
        <w:rPr>
          <w:rFonts w:ascii="Times New Roman" w:hAnsi="Times New Roman" w:cs="Times New Roman"/>
          <w:i/>
          <w:iCs/>
          <w:sz w:val="20"/>
          <w:szCs w:val="20"/>
          <w:lang w:eastAsia="pt-BR"/>
        </w:rPr>
        <w:t xml:space="preserve"> – Brasil.</w:t>
      </w:r>
    </w:p>
    <w:p w14:paraId="22D38595" w14:textId="32B6244E" w:rsidR="00EA4E1B" w:rsidRDefault="001D5E23" w:rsidP="00EA4E1B">
      <w:pPr>
        <w:pStyle w:val="BCAuthorAddress"/>
        <w:spacing w:after="0"/>
        <w:ind w:right="0"/>
        <w:jc w:val="both"/>
        <w:rPr>
          <w:lang w:val="pt-BR"/>
        </w:rPr>
      </w:pPr>
      <w:r>
        <w:rPr>
          <w:lang w:val="pt-BR"/>
        </w:rPr>
        <w:t>*Clarissa.rodrigues@int.gov.br</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eastAsia="en-US"/>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EFE643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EFE643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90038AF" w14:textId="7EC26409" w:rsidR="0027200C" w:rsidRDefault="00EA4E1B" w:rsidP="008C1387">
      <w:pPr>
        <w:pStyle w:val="BDAbstract"/>
        <w:spacing w:before="0" w:after="0" w:line="240" w:lineRule="exact"/>
        <w:rPr>
          <w:rFonts w:ascii="Times New Roman" w:hAnsi="Times New Roman"/>
          <w:b w:val="0"/>
          <w:sz w:val="20"/>
          <w:lang w:val="pt-BR"/>
        </w:rPr>
      </w:pPr>
      <w:r>
        <w:rPr>
          <w:rFonts w:ascii="Times New Roman" w:hAnsi="Times New Roman"/>
          <w:b w:val="0"/>
          <w:sz w:val="20"/>
          <w:lang w:val="pt-BR"/>
        </w:rPr>
        <w:t xml:space="preserve">RESUMO </w:t>
      </w:r>
      <w:r w:rsidR="00604373">
        <w:rPr>
          <w:rFonts w:ascii="Times New Roman" w:hAnsi="Times New Roman"/>
          <w:b w:val="0"/>
          <w:sz w:val="20"/>
          <w:lang w:val="pt-BR"/>
        </w:rPr>
        <w:t>–</w:t>
      </w:r>
      <w:r>
        <w:rPr>
          <w:rFonts w:ascii="Times New Roman" w:hAnsi="Times New Roman"/>
          <w:b w:val="0"/>
          <w:sz w:val="20"/>
          <w:lang w:val="pt-BR"/>
        </w:rPr>
        <w:t xml:space="preserve"> </w:t>
      </w:r>
      <w:r w:rsidR="0027200C">
        <w:rPr>
          <w:rFonts w:ascii="Times New Roman" w:hAnsi="Times New Roman"/>
          <w:b w:val="0"/>
          <w:sz w:val="20"/>
          <w:lang w:val="pt-BR"/>
        </w:rPr>
        <w:t>A tend</w:t>
      </w:r>
      <w:r w:rsidR="00BA313E">
        <w:rPr>
          <w:rFonts w:ascii="Times New Roman" w:hAnsi="Times New Roman"/>
          <w:b w:val="0"/>
          <w:sz w:val="20"/>
          <w:lang w:val="pt-BR"/>
        </w:rPr>
        <w:t>ê</w:t>
      </w:r>
      <w:r w:rsidR="0027200C">
        <w:rPr>
          <w:rFonts w:ascii="Times New Roman" w:hAnsi="Times New Roman"/>
          <w:b w:val="0"/>
          <w:sz w:val="20"/>
          <w:lang w:val="pt-BR"/>
        </w:rPr>
        <w:t xml:space="preserve">ncia </w:t>
      </w:r>
      <w:r w:rsidR="00BA313E">
        <w:rPr>
          <w:rFonts w:ascii="Times New Roman" w:hAnsi="Times New Roman"/>
          <w:b w:val="0"/>
          <w:sz w:val="20"/>
          <w:lang w:val="pt-BR"/>
        </w:rPr>
        <w:t>à</w:t>
      </w:r>
      <w:r w:rsidR="0027200C">
        <w:rPr>
          <w:rFonts w:ascii="Times New Roman" w:hAnsi="Times New Roman"/>
          <w:b w:val="0"/>
          <w:sz w:val="20"/>
          <w:lang w:val="pt-BR"/>
        </w:rPr>
        <w:t xml:space="preserve"> formação de coque e a resistência a sinterização térmica de catalisadores de reforma a vapor</w:t>
      </w:r>
      <w:r w:rsidR="00BA313E">
        <w:rPr>
          <w:rFonts w:ascii="Times New Roman" w:hAnsi="Times New Roman"/>
          <w:b w:val="0"/>
          <w:sz w:val="20"/>
          <w:lang w:val="pt-BR"/>
        </w:rPr>
        <w:t>,</w:t>
      </w:r>
      <w:r w:rsidR="0027200C">
        <w:rPr>
          <w:rFonts w:ascii="Times New Roman" w:hAnsi="Times New Roman"/>
          <w:b w:val="0"/>
          <w:sz w:val="20"/>
          <w:lang w:val="pt-BR"/>
        </w:rPr>
        <w:t xml:space="preserve"> utilizando níquel suportado em aluminatos de cálcio ou de magnésio</w:t>
      </w:r>
      <w:r w:rsidR="00BA313E">
        <w:rPr>
          <w:rFonts w:ascii="Times New Roman" w:hAnsi="Times New Roman"/>
          <w:b w:val="0"/>
          <w:sz w:val="20"/>
          <w:lang w:val="pt-BR"/>
        </w:rPr>
        <w:t>,</w:t>
      </w:r>
      <w:r w:rsidR="0027200C">
        <w:rPr>
          <w:rFonts w:ascii="Times New Roman" w:hAnsi="Times New Roman"/>
          <w:b w:val="0"/>
          <w:sz w:val="20"/>
          <w:lang w:val="pt-BR"/>
        </w:rPr>
        <w:t xml:space="preserve"> foram investigad</w:t>
      </w:r>
      <w:r w:rsidR="00D44158">
        <w:rPr>
          <w:rFonts w:ascii="Times New Roman" w:hAnsi="Times New Roman"/>
          <w:b w:val="0"/>
          <w:sz w:val="20"/>
          <w:lang w:val="pt-BR"/>
        </w:rPr>
        <w:t>a</w:t>
      </w:r>
      <w:r w:rsidR="0027200C">
        <w:rPr>
          <w:rFonts w:ascii="Times New Roman" w:hAnsi="Times New Roman"/>
          <w:b w:val="0"/>
          <w:sz w:val="20"/>
          <w:lang w:val="pt-BR"/>
        </w:rPr>
        <w:t>s</w:t>
      </w:r>
      <w:r w:rsidR="00EA20A0">
        <w:rPr>
          <w:rFonts w:ascii="Times New Roman" w:hAnsi="Times New Roman"/>
          <w:b w:val="0"/>
          <w:sz w:val="20"/>
          <w:lang w:val="pt-BR"/>
        </w:rPr>
        <w:t xml:space="preserve">. Os catalisadores </w:t>
      </w:r>
      <w:r w:rsidR="00EA20A0" w:rsidRPr="00EA20A0">
        <w:rPr>
          <w:rFonts w:ascii="Times New Roman" w:hAnsi="Times New Roman"/>
          <w:b w:val="0"/>
          <w:sz w:val="20"/>
          <w:lang w:val="pt-BR"/>
        </w:rPr>
        <w:t xml:space="preserve">suportados em aluminato de magnésio apresentaram maior área específica, menor tamanho de partícula do níquel, maior atividade inicial </w:t>
      </w:r>
      <w:r w:rsidR="00EA20A0">
        <w:rPr>
          <w:rFonts w:ascii="Times New Roman" w:hAnsi="Times New Roman"/>
          <w:b w:val="0"/>
          <w:sz w:val="20"/>
          <w:lang w:val="pt-BR"/>
        </w:rPr>
        <w:t xml:space="preserve">de reforma a vapor do metano </w:t>
      </w:r>
      <w:r w:rsidR="00EA20A0" w:rsidRPr="00EA20A0">
        <w:rPr>
          <w:rFonts w:ascii="Times New Roman" w:hAnsi="Times New Roman"/>
          <w:b w:val="0"/>
          <w:sz w:val="20"/>
          <w:lang w:val="pt-BR"/>
        </w:rPr>
        <w:t xml:space="preserve">e </w:t>
      </w:r>
      <w:r w:rsidR="00EA20A0">
        <w:rPr>
          <w:rFonts w:ascii="Times New Roman" w:hAnsi="Times New Roman"/>
          <w:b w:val="0"/>
          <w:sz w:val="20"/>
          <w:lang w:val="pt-BR"/>
        </w:rPr>
        <w:t xml:space="preserve">maior </w:t>
      </w:r>
      <w:r w:rsidR="00EA20A0" w:rsidRPr="00EA20A0">
        <w:rPr>
          <w:rFonts w:ascii="Times New Roman" w:hAnsi="Times New Roman"/>
          <w:b w:val="0"/>
          <w:sz w:val="20"/>
          <w:lang w:val="pt-BR"/>
        </w:rPr>
        <w:t>resistência a sinterização térmica, do que os</w:t>
      </w:r>
      <w:r w:rsidR="00D44158">
        <w:rPr>
          <w:rFonts w:ascii="Times New Roman" w:hAnsi="Times New Roman"/>
          <w:b w:val="0"/>
          <w:sz w:val="20"/>
          <w:lang w:val="pt-BR"/>
        </w:rPr>
        <w:t xml:space="preserve"> catalisadores </w:t>
      </w:r>
      <w:r w:rsidR="00EA20A0" w:rsidRPr="00EA20A0">
        <w:rPr>
          <w:rFonts w:ascii="Times New Roman" w:hAnsi="Times New Roman"/>
          <w:b w:val="0"/>
          <w:sz w:val="20"/>
          <w:lang w:val="pt-BR"/>
        </w:rPr>
        <w:t>preparados utilizando aluminatos de cálcio. No entanto, estes últimos apresentaram maior resistência ao acúmulo de coque</w:t>
      </w:r>
      <w:r w:rsidR="00D44158">
        <w:rPr>
          <w:rFonts w:ascii="Times New Roman" w:hAnsi="Times New Roman"/>
          <w:b w:val="0"/>
          <w:sz w:val="20"/>
          <w:lang w:val="pt-BR"/>
        </w:rPr>
        <w:t xml:space="preserve">. </w:t>
      </w:r>
      <w:r w:rsidR="00866BC8">
        <w:rPr>
          <w:rFonts w:ascii="Times New Roman" w:hAnsi="Times New Roman"/>
          <w:b w:val="0"/>
          <w:sz w:val="20"/>
          <w:lang w:val="pt-BR"/>
        </w:rPr>
        <w:t>Foi ainda observado que o</w:t>
      </w:r>
      <w:r w:rsidR="00D44158">
        <w:rPr>
          <w:rFonts w:ascii="Times New Roman" w:hAnsi="Times New Roman"/>
          <w:b w:val="0"/>
          <w:sz w:val="20"/>
          <w:lang w:val="pt-BR"/>
        </w:rPr>
        <w:t xml:space="preserve"> aumento do teor de </w:t>
      </w:r>
      <w:proofErr w:type="spellStart"/>
      <w:r w:rsidR="00D44158">
        <w:rPr>
          <w:rFonts w:ascii="Times New Roman" w:hAnsi="Times New Roman"/>
          <w:b w:val="0"/>
          <w:sz w:val="20"/>
          <w:lang w:val="pt-BR"/>
        </w:rPr>
        <w:t>NiO</w:t>
      </w:r>
      <w:proofErr w:type="spellEnd"/>
      <w:r w:rsidR="00D44158">
        <w:rPr>
          <w:rFonts w:ascii="Times New Roman" w:hAnsi="Times New Roman"/>
          <w:b w:val="0"/>
          <w:sz w:val="20"/>
          <w:lang w:val="pt-BR"/>
        </w:rPr>
        <w:t xml:space="preserve"> favoreceu uma maior taxa de formação de coque em ambos os suportes.</w:t>
      </w:r>
      <w:r w:rsidR="00EA20A0">
        <w:rPr>
          <w:rFonts w:ascii="Times New Roman" w:hAnsi="Times New Roman"/>
          <w:b w:val="0"/>
          <w:sz w:val="20"/>
          <w:lang w:val="pt-BR"/>
        </w:rPr>
        <w:t xml:space="preserve"> </w:t>
      </w:r>
    </w:p>
    <w:p w14:paraId="09B41B70" w14:textId="05A7E8D8" w:rsidR="00EA4E1B" w:rsidRDefault="00EA4E1B" w:rsidP="008C1387">
      <w:pPr>
        <w:pStyle w:val="BDAbstract"/>
        <w:spacing w:before="0" w:after="0" w:line="240" w:lineRule="exact"/>
        <w:rPr>
          <w:rFonts w:ascii="Times New Roman" w:hAnsi="Times New Roman"/>
          <w:b w:val="0"/>
          <w:sz w:val="20"/>
          <w:lang w:val="pt-BR"/>
        </w:rPr>
      </w:pPr>
      <w:r w:rsidRPr="00870522">
        <w:rPr>
          <w:rFonts w:ascii="Times New Roman" w:hAnsi="Times New Roman"/>
          <w:b w:val="0"/>
          <w:i/>
          <w:sz w:val="20"/>
          <w:lang w:val="pt-BR"/>
        </w:rPr>
        <w:t xml:space="preserve">Palavras-chave: </w:t>
      </w:r>
      <w:r w:rsidR="007776A4">
        <w:rPr>
          <w:rFonts w:ascii="Times New Roman" w:hAnsi="Times New Roman"/>
          <w:b w:val="0"/>
          <w:i/>
          <w:sz w:val="20"/>
          <w:lang w:val="pt-BR"/>
        </w:rPr>
        <w:t xml:space="preserve">reforma a vapor, </w:t>
      </w:r>
      <w:r w:rsidR="00B86FCF">
        <w:rPr>
          <w:rFonts w:ascii="Times New Roman" w:hAnsi="Times New Roman"/>
          <w:b w:val="0"/>
          <w:i/>
          <w:sz w:val="20"/>
          <w:lang w:val="pt-BR"/>
        </w:rPr>
        <w:t xml:space="preserve">níquel, </w:t>
      </w:r>
      <w:r w:rsidR="00AB0943">
        <w:rPr>
          <w:rFonts w:ascii="Times New Roman" w:hAnsi="Times New Roman"/>
          <w:b w:val="0"/>
          <w:i/>
          <w:sz w:val="20"/>
          <w:lang w:val="pt-BR"/>
        </w:rPr>
        <w:t xml:space="preserve">aluminato, </w:t>
      </w:r>
      <w:r w:rsidR="005C452D">
        <w:rPr>
          <w:rFonts w:ascii="Times New Roman" w:hAnsi="Times New Roman"/>
          <w:b w:val="0"/>
          <w:i/>
          <w:sz w:val="20"/>
          <w:lang w:val="pt-BR"/>
        </w:rPr>
        <w:t>gás natural</w:t>
      </w:r>
      <w:r>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6C842132" w:rsidR="00EA4E1B" w:rsidRPr="00F731A1" w:rsidRDefault="00EA4E1B" w:rsidP="008C1387">
      <w:pPr>
        <w:pStyle w:val="BDAbstract"/>
        <w:spacing w:before="0" w:after="0" w:line="240" w:lineRule="exact"/>
        <w:rPr>
          <w:rFonts w:ascii="Times New Roman" w:hAnsi="Times New Roman"/>
          <w:b w:val="0"/>
          <w:sz w:val="20"/>
        </w:rPr>
      </w:pPr>
      <w:r w:rsidRPr="00E07155">
        <w:rPr>
          <w:rFonts w:ascii="Times New Roman" w:hAnsi="Times New Roman"/>
          <w:b w:val="0"/>
          <w:sz w:val="20"/>
        </w:rPr>
        <w:t xml:space="preserve">ABSTRACT - </w:t>
      </w:r>
      <w:r w:rsidR="007D249E" w:rsidRPr="00F731A1">
        <w:rPr>
          <w:rFonts w:ascii="Times New Roman" w:hAnsi="Times New Roman"/>
          <w:b w:val="0"/>
          <w:sz w:val="20"/>
        </w:rPr>
        <w:t xml:space="preserve">The </w:t>
      </w:r>
      <w:r w:rsidR="00EA20A0">
        <w:rPr>
          <w:rFonts w:ascii="Times New Roman" w:hAnsi="Times New Roman"/>
          <w:b w:val="0"/>
          <w:sz w:val="20"/>
        </w:rPr>
        <w:t xml:space="preserve">tendency to coke formation and resistance to thermal sintering of steam reforming catalysts </w:t>
      </w:r>
      <w:r w:rsidR="00D358F0">
        <w:rPr>
          <w:rFonts w:ascii="Times New Roman" w:hAnsi="Times New Roman"/>
          <w:b w:val="0"/>
          <w:sz w:val="20"/>
        </w:rPr>
        <w:t>using nickel supported on calcium or magnesium aluminates were investigated. The catalyst supported on magnesium aluminate showed higher specific area, smaller nickel particle size, higher initial methane steam reforming activity and greater resistance to thermal sintering than t</w:t>
      </w:r>
      <w:r w:rsidR="00D31F40">
        <w:rPr>
          <w:rFonts w:ascii="Times New Roman" w:hAnsi="Times New Roman"/>
          <w:b w:val="0"/>
          <w:sz w:val="20"/>
        </w:rPr>
        <w:t>he catalysts</w:t>
      </w:r>
      <w:r w:rsidR="00D358F0">
        <w:rPr>
          <w:rFonts w:ascii="Times New Roman" w:hAnsi="Times New Roman"/>
          <w:b w:val="0"/>
          <w:sz w:val="20"/>
        </w:rPr>
        <w:t xml:space="preserve"> prepared using calcium aluminates. However, the latter showed greater resistance </w:t>
      </w:r>
      <w:r w:rsidR="00D31F40">
        <w:rPr>
          <w:rFonts w:ascii="Times New Roman" w:hAnsi="Times New Roman"/>
          <w:b w:val="0"/>
          <w:sz w:val="20"/>
        </w:rPr>
        <w:t>to coke</w:t>
      </w:r>
      <w:r w:rsidR="00D358F0">
        <w:rPr>
          <w:rFonts w:ascii="Times New Roman" w:hAnsi="Times New Roman"/>
          <w:b w:val="0"/>
          <w:sz w:val="20"/>
        </w:rPr>
        <w:t xml:space="preserve"> accumulation</w:t>
      </w:r>
      <w:r w:rsidR="00D31F40">
        <w:rPr>
          <w:rFonts w:ascii="Times New Roman" w:hAnsi="Times New Roman"/>
          <w:b w:val="0"/>
          <w:sz w:val="20"/>
        </w:rPr>
        <w:t>. It was also observed that the</w:t>
      </w:r>
      <w:r w:rsidR="00D358F0">
        <w:rPr>
          <w:rFonts w:ascii="Times New Roman" w:hAnsi="Times New Roman"/>
          <w:b w:val="0"/>
          <w:sz w:val="20"/>
        </w:rPr>
        <w:t xml:space="preserve"> increased </w:t>
      </w:r>
      <w:r w:rsidR="00D31F40">
        <w:rPr>
          <w:rFonts w:ascii="Times New Roman" w:hAnsi="Times New Roman"/>
          <w:b w:val="0"/>
          <w:sz w:val="20"/>
        </w:rPr>
        <w:t>in</w:t>
      </w:r>
      <w:r w:rsidR="00D358F0">
        <w:rPr>
          <w:rFonts w:ascii="Times New Roman" w:hAnsi="Times New Roman"/>
          <w:b w:val="0"/>
          <w:sz w:val="20"/>
        </w:rPr>
        <w:t xml:space="preserve"> </w:t>
      </w:r>
      <w:proofErr w:type="spellStart"/>
      <w:r w:rsidR="00D358F0">
        <w:rPr>
          <w:rFonts w:ascii="Times New Roman" w:hAnsi="Times New Roman"/>
          <w:b w:val="0"/>
          <w:sz w:val="20"/>
        </w:rPr>
        <w:t>NiO</w:t>
      </w:r>
      <w:proofErr w:type="spellEnd"/>
      <w:r w:rsidR="00D358F0">
        <w:rPr>
          <w:rFonts w:ascii="Times New Roman" w:hAnsi="Times New Roman"/>
          <w:b w:val="0"/>
          <w:sz w:val="20"/>
        </w:rPr>
        <w:t xml:space="preserve"> </w:t>
      </w:r>
      <w:r w:rsidR="00D31F40">
        <w:rPr>
          <w:rFonts w:ascii="Times New Roman" w:hAnsi="Times New Roman"/>
          <w:b w:val="0"/>
          <w:sz w:val="20"/>
        </w:rPr>
        <w:t>favored a higher rate of coke formation in both supports</w:t>
      </w:r>
      <w:r w:rsidR="00D358F0">
        <w:rPr>
          <w:rFonts w:ascii="Times New Roman" w:hAnsi="Times New Roman"/>
          <w:b w:val="0"/>
          <w:sz w:val="20"/>
        </w:rPr>
        <w:t>.</w:t>
      </w:r>
    </w:p>
    <w:p w14:paraId="48D9B0C4" w14:textId="1103AF43" w:rsidR="00EA4E1B" w:rsidRPr="005C452D" w:rsidRDefault="00EA4E1B" w:rsidP="008C1387">
      <w:pPr>
        <w:pStyle w:val="BDAbstract"/>
        <w:spacing w:before="0" w:after="0" w:line="240" w:lineRule="exact"/>
        <w:sectPr w:rsidR="00EA4E1B" w:rsidRPr="005C452D" w:rsidSect="00EA4E1B">
          <w:headerReference w:type="default" r:id="rId8"/>
          <w:footerReference w:type="even" r:id="rId9"/>
          <w:footerReference w:type="default" r:id="rId10"/>
          <w:footerReference w:type="first" r:id="rId11"/>
          <w:endnotePr>
            <w:numFmt w:val="decimal"/>
          </w:endnotePr>
          <w:pgSz w:w="11906" w:h="16838"/>
          <w:pgMar w:top="1418" w:right="1094" w:bottom="1418" w:left="567" w:header="709" w:footer="709" w:gutter="0"/>
          <w:cols w:space="708"/>
          <w:docGrid w:linePitch="360"/>
        </w:sectPr>
      </w:pPr>
      <w:r w:rsidRPr="005C452D">
        <w:rPr>
          <w:rFonts w:ascii="Times New Roman" w:hAnsi="Times New Roman"/>
          <w:b w:val="0"/>
          <w:i/>
          <w:sz w:val="20"/>
        </w:rPr>
        <w:t xml:space="preserve">Keywords: </w:t>
      </w:r>
      <w:bookmarkEnd w:id="1"/>
      <w:r w:rsidR="007776A4">
        <w:rPr>
          <w:rFonts w:ascii="Times New Roman" w:hAnsi="Times New Roman"/>
          <w:b w:val="0"/>
          <w:i/>
          <w:sz w:val="20"/>
        </w:rPr>
        <w:t>steam reforming,</w:t>
      </w:r>
      <w:r w:rsidR="00B86FCF">
        <w:rPr>
          <w:rFonts w:ascii="Times New Roman" w:hAnsi="Times New Roman"/>
          <w:b w:val="0"/>
          <w:i/>
          <w:sz w:val="20"/>
        </w:rPr>
        <w:t xml:space="preserve"> nickel,</w:t>
      </w:r>
      <w:r w:rsidR="007776A4">
        <w:rPr>
          <w:rFonts w:ascii="Times New Roman" w:hAnsi="Times New Roman"/>
          <w:b w:val="0"/>
          <w:i/>
          <w:sz w:val="20"/>
        </w:rPr>
        <w:t xml:space="preserve"> </w:t>
      </w:r>
      <w:r w:rsidR="00F74ED4" w:rsidRPr="005C452D">
        <w:rPr>
          <w:rFonts w:ascii="Times New Roman" w:hAnsi="Times New Roman"/>
          <w:b w:val="0"/>
          <w:i/>
          <w:sz w:val="20"/>
        </w:rPr>
        <w:t xml:space="preserve">aluminate, </w:t>
      </w:r>
      <w:r w:rsidR="005C452D" w:rsidRPr="005C452D">
        <w:rPr>
          <w:rFonts w:ascii="Times New Roman" w:hAnsi="Times New Roman"/>
          <w:b w:val="0"/>
          <w:i/>
          <w:sz w:val="20"/>
        </w:rPr>
        <w:t>natural gas</w:t>
      </w:r>
      <w:r w:rsidR="00F74ED4" w:rsidRPr="005C452D">
        <w:rPr>
          <w:rFonts w:ascii="Times New Roman" w:hAnsi="Times New Roman"/>
          <w:b w:val="0"/>
          <w:i/>
          <w:sz w:val="20"/>
        </w:rPr>
        <w:t>.</w:t>
      </w:r>
    </w:p>
    <w:p w14:paraId="625F2C0A" w14:textId="77777777" w:rsidR="00EA4E1B" w:rsidRPr="00A45A2C" w:rsidRDefault="00EA4E1B" w:rsidP="006F630F">
      <w:pPr>
        <w:pStyle w:val="Ttulo2"/>
        <w:rPr>
          <w:rFonts w:ascii="Helvetica" w:hAnsi="Helvetica" w:cs="Helvetica"/>
          <w:sz w:val="24"/>
          <w:szCs w:val="24"/>
        </w:rPr>
      </w:pPr>
      <w:r w:rsidRPr="00A45A2C">
        <w:rPr>
          <w:rFonts w:ascii="Helvetica" w:hAnsi="Helvetica" w:cs="Helvetica"/>
          <w:sz w:val="24"/>
          <w:szCs w:val="24"/>
        </w:rPr>
        <w:t>Introdução</w:t>
      </w:r>
    </w:p>
    <w:p w14:paraId="05E4633C" w14:textId="39A3365B" w:rsidR="00D6026A" w:rsidRDefault="006B3937" w:rsidP="008808B3">
      <w:pPr>
        <w:pStyle w:val="TAMainText"/>
        <w:rPr>
          <w:rFonts w:ascii="Times New Roman" w:hAnsi="Times New Roman"/>
          <w:lang w:val="pt-BR"/>
        </w:rPr>
      </w:pPr>
      <w:r w:rsidRPr="007C2AB5">
        <w:rPr>
          <w:rFonts w:ascii="Times New Roman" w:hAnsi="Times New Roman"/>
          <w:lang w:val="pt-BR"/>
        </w:rPr>
        <w:t xml:space="preserve">A reforma </w:t>
      </w:r>
      <w:r w:rsidR="00D6026A">
        <w:rPr>
          <w:rFonts w:ascii="Times New Roman" w:hAnsi="Times New Roman"/>
          <w:lang w:val="pt-BR"/>
        </w:rPr>
        <w:t xml:space="preserve">a vapor </w:t>
      </w:r>
      <w:r w:rsidRPr="007C2AB5">
        <w:rPr>
          <w:rFonts w:ascii="Times New Roman" w:hAnsi="Times New Roman"/>
          <w:lang w:val="pt-BR"/>
        </w:rPr>
        <w:t xml:space="preserve">do gás natural é reconhecida como a rota de produção mais econômica e </w:t>
      </w:r>
      <w:r w:rsidR="00D6026A">
        <w:rPr>
          <w:rFonts w:ascii="Times New Roman" w:hAnsi="Times New Roman"/>
          <w:lang w:val="pt-BR"/>
        </w:rPr>
        <w:t>mais utilizada industrialmente para a produção de hidrogênio</w:t>
      </w:r>
      <w:r w:rsidRPr="007C2AB5">
        <w:rPr>
          <w:rFonts w:ascii="Times New Roman" w:hAnsi="Times New Roman"/>
          <w:lang w:val="pt-BR"/>
        </w:rPr>
        <w:t xml:space="preserve">. </w:t>
      </w:r>
      <w:r w:rsidR="00D6026A">
        <w:rPr>
          <w:rFonts w:ascii="Times New Roman" w:hAnsi="Times New Roman"/>
          <w:lang w:val="pt-BR"/>
        </w:rPr>
        <w:t>Os catalisadores utilizados na etapa principal do processo são constituídos de níquel suportado em materiais refratários, como alumina ou aluminatos de cálcio e magnésio (1,2). A vida útil des</w:t>
      </w:r>
      <w:r w:rsidR="00BA313E">
        <w:rPr>
          <w:rFonts w:ascii="Times New Roman" w:hAnsi="Times New Roman"/>
          <w:lang w:val="pt-BR"/>
        </w:rPr>
        <w:t>s</w:t>
      </w:r>
      <w:r w:rsidR="00D6026A">
        <w:rPr>
          <w:rFonts w:ascii="Times New Roman" w:hAnsi="Times New Roman"/>
          <w:lang w:val="pt-BR"/>
        </w:rPr>
        <w:t xml:space="preserve">es catalisadores pode ser sensivelmente reduzida por mecanismos de desativação, como </w:t>
      </w:r>
      <w:r w:rsidR="00D6026A" w:rsidRPr="007C2AB5">
        <w:rPr>
          <w:rFonts w:ascii="Times New Roman" w:hAnsi="Times New Roman"/>
          <w:lang w:val="pt-BR"/>
        </w:rPr>
        <w:t>a sinterização e a formação de coque</w:t>
      </w:r>
      <w:r w:rsidR="004E0C37">
        <w:rPr>
          <w:rFonts w:ascii="Times New Roman" w:hAnsi="Times New Roman"/>
          <w:lang w:val="pt-BR"/>
        </w:rPr>
        <w:t xml:space="preserve"> </w:t>
      </w:r>
      <w:r w:rsidR="00FA00DE">
        <w:rPr>
          <w:rFonts w:ascii="Times New Roman" w:hAnsi="Times New Roman"/>
          <w:lang w:val="pt-BR"/>
        </w:rPr>
        <w:t>(</w:t>
      </w:r>
      <w:r w:rsidR="004E0C37">
        <w:rPr>
          <w:rFonts w:ascii="Times New Roman" w:hAnsi="Times New Roman"/>
          <w:lang w:val="pt-BR"/>
        </w:rPr>
        <w:t>3</w:t>
      </w:r>
      <w:r w:rsidR="00FA00DE">
        <w:rPr>
          <w:rFonts w:ascii="Times New Roman" w:hAnsi="Times New Roman"/>
          <w:lang w:val="pt-BR"/>
        </w:rPr>
        <w:t>)</w:t>
      </w:r>
      <w:r w:rsidR="00D6026A" w:rsidRPr="007C2AB5">
        <w:rPr>
          <w:rFonts w:ascii="Times New Roman" w:hAnsi="Times New Roman"/>
          <w:lang w:val="pt-BR"/>
        </w:rPr>
        <w:t>.</w:t>
      </w:r>
    </w:p>
    <w:p w14:paraId="69069716" w14:textId="77777777" w:rsidR="006F630F" w:rsidRDefault="006F630F" w:rsidP="008808B3">
      <w:pPr>
        <w:pStyle w:val="TAMainText"/>
        <w:rPr>
          <w:rFonts w:ascii="Times New Roman" w:hAnsi="Times New Roman"/>
          <w:lang w:val="pt-BR"/>
        </w:rPr>
      </w:pPr>
    </w:p>
    <w:p w14:paraId="52FFAC79" w14:textId="4ED80E09" w:rsidR="00EA4E1B" w:rsidRPr="001F25B2" w:rsidRDefault="00D6026A" w:rsidP="00EA4E1B">
      <w:pPr>
        <w:pStyle w:val="Ttulo2"/>
        <w:rPr>
          <w:rFonts w:ascii="Helvetica" w:hAnsi="Helvetica" w:cs="Helvetica"/>
          <w:sz w:val="24"/>
          <w:szCs w:val="24"/>
        </w:rPr>
      </w:pPr>
      <w:r>
        <w:rPr>
          <w:rFonts w:ascii="Helvetica" w:hAnsi="Helvetica" w:cs="Helvetica"/>
          <w:sz w:val="24"/>
          <w:szCs w:val="24"/>
        </w:rPr>
        <w:t>E</w:t>
      </w:r>
      <w:r w:rsidR="00EA4E1B" w:rsidRPr="001F25B2">
        <w:rPr>
          <w:rFonts w:ascii="Helvetica" w:hAnsi="Helvetica" w:cs="Helvetica"/>
          <w:sz w:val="24"/>
          <w:szCs w:val="24"/>
        </w:rPr>
        <w:t>xperimental</w:t>
      </w:r>
    </w:p>
    <w:p w14:paraId="0C410141" w14:textId="487B75E5" w:rsidR="003256BC" w:rsidRDefault="00A856E6" w:rsidP="00D14546">
      <w:pPr>
        <w:pStyle w:val="TAMainText"/>
        <w:rPr>
          <w:rFonts w:ascii="Times New Roman" w:hAnsi="Times New Roman"/>
          <w:lang w:val="pt-BR"/>
        </w:rPr>
      </w:pPr>
      <w:r>
        <w:rPr>
          <w:rFonts w:ascii="Times New Roman" w:hAnsi="Times New Roman"/>
          <w:lang w:val="pt-BR"/>
        </w:rPr>
        <w:t>C</w:t>
      </w:r>
      <w:r w:rsidR="005D710A" w:rsidRPr="005D710A">
        <w:rPr>
          <w:rFonts w:ascii="Times New Roman" w:hAnsi="Times New Roman"/>
          <w:lang w:val="pt-BR"/>
        </w:rPr>
        <w:t>atalisadores</w:t>
      </w:r>
      <w:r w:rsidR="00AD3EAB">
        <w:rPr>
          <w:rFonts w:ascii="Times New Roman" w:hAnsi="Times New Roman"/>
          <w:lang w:val="pt-BR"/>
        </w:rPr>
        <w:t xml:space="preserve"> contendo </w:t>
      </w:r>
      <w:r w:rsidR="003A6357">
        <w:rPr>
          <w:rFonts w:ascii="Times New Roman" w:hAnsi="Times New Roman"/>
          <w:lang w:val="pt-BR"/>
        </w:rPr>
        <w:t>10, 15 ou 20% (m/m) de</w:t>
      </w:r>
      <w:r w:rsidR="00AD3EAB">
        <w:rPr>
          <w:rFonts w:ascii="Times New Roman" w:hAnsi="Times New Roman"/>
          <w:lang w:val="pt-BR"/>
        </w:rPr>
        <w:t xml:space="preserve"> </w:t>
      </w:r>
      <w:proofErr w:type="spellStart"/>
      <w:r w:rsidR="00AD3EAB">
        <w:rPr>
          <w:rFonts w:ascii="Times New Roman" w:hAnsi="Times New Roman"/>
          <w:lang w:val="pt-BR"/>
        </w:rPr>
        <w:t>Ni</w:t>
      </w:r>
      <w:r w:rsidR="005646AF">
        <w:rPr>
          <w:rFonts w:ascii="Times New Roman" w:hAnsi="Times New Roman"/>
          <w:lang w:val="pt-BR"/>
        </w:rPr>
        <w:t>O</w:t>
      </w:r>
      <w:proofErr w:type="spellEnd"/>
      <w:r w:rsidR="005104AE">
        <w:rPr>
          <w:rFonts w:ascii="Times New Roman" w:hAnsi="Times New Roman"/>
          <w:lang w:val="pt-BR"/>
        </w:rPr>
        <w:t xml:space="preserve"> </w:t>
      </w:r>
      <w:r w:rsidR="005D710A" w:rsidRPr="005D710A">
        <w:rPr>
          <w:rFonts w:ascii="Times New Roman" w:hAnsi="Times New Roman"/>
          <w:lang w:val="pt-BR"/>
        </w:rPr>
        <w:t xml:space="preserve">foram </w:t>
      </w:r>
      <w:r w:rsidR="00AD3EAB">
        <w:rPr>
          <w:rFonts w:ascii="Times New Roman" w:hAnsi="Times New Roman"/>
          <w:lang w:val="pt-BR"/>
        </w:rPr>
        <w:t>preparados</w:t>
      </w:r>
      <w:r w:rsidR="005D710A" w:rsidRPr="005D710A">
        <w:rPr>
          <w:rFonts w:ascii="Times New Roman" w:hAnsi="Times New Roman"/>
          <w:lang w:val="pt-BR"/>
        </w:rPr>
        <w:t xml:space="preserve"> pelo método de impregnação ao</w:t>
      </w:r>
      <w:r w:rsidR="005D710A">
        <w:rPr>
          <w:rFonts w:ascii="Times New Roman" w:hAnsi="Times New Roman"/>
          <w:lang w:val="pt-BR"/>
        </w:rPr>
        <w:t xml:space="preserve"> ponto úmido</w:t>
      </w:r>
      <w:r w:rsidR="00AD3EAB">
        <w:rPr>
          <w:rFonts w:ascii="Times New Roman" w:hAnsi="Times New Roman"/>
          <w:lang w:val="pt-BR"/>
        </w:rPr>
        <w:t xml:space="preserve">, utilizando como suporte aluminatos </w:t>
      </w:r>
      <w:r w:rsidR="005D710A">
        <w:rPr>
          <w:rFonts w:ascii="Times New Roman" w:hAnsi="Times New Roman"/>
          <w:lang w:val="pt-BR"/>
        </w:rPr>
        <w:t xml:space="preserve">de </w:t>
      </w:r>
      <w:r w:rsidR="00D6026A">
        <w:rPr>
          <w:rFonts w:ascii="Times New Roman" w:hAnsi="Times New Roman"/>
          <w:lang w:val="pt-BR"/>
        </w:rPr>
        <w:t>c</w:t>
      </w:r>
      <w:r w:rsidR="00AD3EAB">
        <w:rPr>
          <w:rFonts w:ascii="Times New Roman" w:hAnsi="Times New Roman"/>
          <w:lang w:val="pt-BR"/>
        </w:rPr>
        <w:t>álcio</w:t>
      </w:r>
      <w:r w:rsidR="005D710A">
        <w:rPr>
          <w:rFonts w:ascii="Times New Roman" w:hAnsi="Times New Roman"/>
          <w:vertAlign w:val="subscript"/>
          <w:lang w:val="pt-BR"/>
        </w:rPr>
        <w:t xml:space="preserve"> </w:t>
      </w:r>
      <w:r w:rsidR="005D710A">
        <w:rPr>
          <w:rFonts w:ascii="Times New Roman" w:hAnsi="Times New Roman"/>
          <w:lang w:val="pt-BR"/>
        </w:rPr>
        <w:t>(</w:t>
      </w:r>
      <w:r w:rsidR="00AD3EAB" w:rsidRPr="005D710A">
        <w:rPr>
          <w:rFonts w:ascii="Times New Roman" w:hAnsi="Times New Roman"/>
          <w:lang w:val="pt-BR"/>
        </w:rPr>
        <w:t>EL-61</w:t>
      </w:r>
      <w:r w:rsidR="00AD3EAB">
        <w:rPr>
          <w:rFonts w:ascii="Times New Roman" w:hAnsi="Times New Roman"/>
          <w:lang w:val="pt-BR"/>
        </w:rPr>
        <w:t xml:space="preserve"> da </w:t>
      </w:r>
      <w:proofErr w:type="spellStart"/>
      <w:r w:rsidR="005D710A" w:rsidRPr="005D710A">
        <w:rPr>
          <w:rFonts w:ascii="Times New Roman" w:hAnsi="Times New Roman"/>
          <w:lang w:val="pt-BR"/>
        </w:rPr>
        <w:t>Elfusa</w:t>
      </w:r>
      <w:proofErr w:type="spellEnd"/>
      <w:r w:rsidR="005D710A">
        <w:rPr>
          <w:rFonts w:ascii="Times New Roman" w:hAnsi="Times New Roman"/>
          <w:lang w:val="pt-BR"/>
        </w:rPr>
        <w:t xml:space="preserve">) e </w:t>
      </w:r>
      <w:r w:rsidR="00AD3EAB">
        <w:rPr>
          <w:rFonts w:ascii="Times New Roman" w:hAnsi="Times New Roman"/>
          <w:lang w:val="pt-BR"/>
        </w:rPr>
        <w:t xml:space="preserve">de </w:t>
      </w:r>
      <w:r w:rsidR="00D6026A">
        <w:rPr>
          <w:rFonts w:ascii="Times New Roman" w:hAnsi="Times New Roman"/>
          <w:lang w:val="pt-BR"/>
        </w:rPr>
        <w:t>m</w:t>
      </w:r>
      <w:r w:rsidR="00AD3EAB">
        <w:rPr>
          <w:rFonts w:ascii="Times New Roman" w:hAnsi="Times New Roman"/>
          <w:lang w:val="pt-BR"/>
        </w:rPr>
        <w:t>agnésio</w:t>
      </w:r>
      <w:r w:rsidR="005D710A">
        <w:rPr>
          <w:rFonts w:ascii="Times New Roman" w:hAnsi="Times New Roman"/>
          <w:lang w:val="pt-BR"/>
        </w:rPr>
        <w:t xml:space="preserve"> (</w:t>
      </w:r>
      <w:r w:rsidR="00AD3EAB" w:rsidRPr="005D710A">
        <w:rPr>
          <w:rFonts w:ascii="Times New Roman" w:hAnsi="Times New Roman"/>
          <w:lang w:val="pt-BR"/>
        </w:rPr>
        <w:t>MG28/100</w:t>
      </w:r>
      <w:r w:rsidR="00AD3EAB">
        <w:rPr>
          <w:rFonts w:ascii="Times New Roman" w:hAnsi="Times New Roman"/>
          <w:lang w:val="pt-BR"/>
        </w:rPr>
        <w:t xml:space="preserve"> da </w:t>
      </w:r>
      <w:r w:rsidR="005D710A" w:rsidRPr="005D710A">
        <w:rPr>
          <w:rFonts w:ascii="Times New Roman" w:hAnsi="Times New Roman"/>
          <w:lang w:val="pt-BR"/>
        </w:rPr>
        <w:t>Sasol</w:t>
      </w:r>
      <w:r w:rsidR="00AD3EAB">
        <w:rPr>
          <w:rFonts w:ascii="Times New Roman" w:hAnsi="Times New Roman"/>
          <w:lang w:val="pt-BR"/>
        </w:rPr>
        <w:t>)</w:t>
      </w:r>
      <w:r w:rsidR="007B715A">
        <w:rPr>
          <w:rFonts w:ascii="Times New Roman" w:hAnsi="Times New Roman"/>
          <w:lang w:val="pt-BR"/>
        </w:rPr>
        <w:t xml:space="preserve">. </w:t>
      </w:r>
      <w:r w:rsidR="00604373">
        <w:rPr>
          <w:rFonts w:ascii="Times New Roman" w:hAnsi="Times New Roman"/>
          <w:lang w:val="pt-BR"/>
        </w:rPr>
        <w:t xml:space="preserve">Após a </w:t>
      </w:r>
      <w:r w:rsidR="00D6026A">
        <w:rPr>
          <w:rFonts w:ascii="Times New Roman" w:hAnsi="Times New Roman"/>
          <w:lang w:val="pt-BR"/>
        </w:rPr>
        <w:t xml:space="preserve">etapa de </w:t>
      </w:r>
      <w:r w:rsidR="00604373">
        <w:rPr>
          <w:rFonts w:ascii="Times New Roman" w:hAnsi="Times New Roman"/>
          <w:lang w:val="pt-BR"/>
        </w:rPr>
        <w:t>impregnação, a</w:t>
      </w:r>
      <w:r w:rsidR="005D710A" w:rsidRPr="005D710A">
        <w:rPr>
          <w:rFonts w:ascii="Times New Roman" w:hAnsi="Times New Roman"/>
          <w:lang w:val="pt-BR"/>
        </w:rPr>
        <w:t>s am</w:t>
      </w:r>
      <w:r w:rsidR="005D710A">
        <w:rPr>
          <w:rFonts w:ascii="Times New Roman" w:hAnsi="Times New Roman"/>
          <w:lang w:val="pt-BR"/>
        </w:rPr>
        <w:t>ostras foram secas a 100°</w:t>
      </w:r>
      <w:r w:rsidR="005D710A" w:rsidRPr="005D710A">
        <w:rPr>
          <w:rFonts w:ascii="Times New Roman" w:hAnsi="Times New Roman"/>
          <w:lang w:val="pt-BR"/>
        </w:rPr>
        <w:t xml:space="preserve">C por </w:t>
      </w:r>
      <w:r w:rsidR="005D710A">
        <w:rPr>
          <w:rFonts w:ascii="Times New Roman" w:hAnsi="Times New Roman"/>
          <w:lang w:val="pt-BR"/>
        </w:rPr>
        <w:t>1h e a seguir calcinadas a 450°C por 4h com taxa de 10 °</w:t>
      </w:r>
      <w:r w:rsidR="005D710A" w:rsidRPr="005D710A">
        <w:rPr>
          <w:rFonts w:ascii="Times New Roman" w:hAnsi="Times New Roman"/>
          <w:lang w:val="pt-BR"/>
        </w:rPr>
        <w:t>C</w:t>
      </w:r>
      <w:r w:rsidR="0048503C">
        <w:rPr>
          <w:rFonts w:ascii="Times New Roman" w:hAnsi="Times New Roman"/>
          <w:lang w:val="pt-BR"/>
        </w:rPr>
        <w:t>/</w:t>
      </w:r>
      <w:r w:rsidR="005D710A" w:rsidRPr="005D710A">
        <w:rPr>
          <w:rFonts w:ascii="Times New Roman" w:hAnsi="Times New Roman"/>
          <w:lang w:val="pt-BR"/>
        </w:rPr>
        <w:t>min ao ar</w:t>
      </w:r>
      <w:r w:rsidR="00D6026A">
        <w:rPr>
          <w:rFonts w:ascii="Times New Roman" w:hAnsi="Times New Roman"/>
          <w:lang w:val="pt-BR"/>
        </w:rPr>
        <w:t xml:space="preserve"> estático</w:t>
      </w:r>
      <w:r w:rsidR="005D710A" w:rsidRPr="005D710A">
        <w:rPr>
          <w:rFonts w:ascii="Times New Roman" w:hAnsi="Times New Roman"/>
          <w:lang w:val="pt-BR"/>
        </w:rPr>
        <w:t>.</w:t>
      </w:r>
      <w:r w:rsidR="00E26943">
        <w:rPr>
          <w:rFonts w:ascii="Times New Roman" w:hAnsi="Times New Roman"/>
          <w:lang w:val="pt-BR"/>
        </w:rPr>
        <w:t xml:space="preserve"> </w:t>
      </w:r>
      <w:r w:rsidR="00D6026A">
        <w:rPr>
          <w:rFonts w:ascii="Times New Roman" w:hAnsi="Times New Roman"/>
          <w:lang w:val="pt-BR"/>
        </w:rPr>
        <w:t xml:space="preserve">A nomenclatura das </w:t>
      </w:r>
      <w:r w:rsidR="003256BC">
        <w:rPr>
          <w:rFonts w:ascii="Times New Roman" w:hAnsi="Times New Roman"/>
          <w:lang w:val="pt-BR"/>
        </w:rPr>
        <w:t xml:space="preserve">amostras indica o tipo de suporte e o teor de </w:t>
      </w:r>
      <w:proofErr w:type="spellStart"/>
      <w:r w:rsidR="003256BC">
        <w:rPr>
          <w:rFonts w:ascii="Times New Roman" w:hAnsi="Times New Roman"/>
          <w:lang w:val="pt-BR"/>
        </w:rPr>
        <w:t>NiO</w:t>
      </w:r>
      <w:proofErr w:type="spellEnd"/>
      <w:r w:rsidR="003256BC">
        <w:rPr>
          <w:rFonts w:ascii="Times New Roman" w:hAnsi="Times New Roman"/>
          <w:lang w:val="pt-BR"/>
        </w:rPr>
        <w:t xml:space="preserve">, como por exemplo </w:t>
      </w:r>
      <w:r w:rsidR="005646AF" w:rsidRPr="00F74D37">
        <w:rPr>
          <w:rFonts w:ascii="Times New Roman" w:hAnsi="Times New Roman"/>
          <w:lang w:val="pt-BR"/>
        </w:rPr>
        <w:t>Ca10NiO</w:t>
      </w:r>
      <w:r w:rsidR="003256BC">
        <w:rPr>
          <w:rFonts w:ascii="Times New Roman" w:hAnsi="Times New Roman"/>
          <w:lang w:val="pt-BR"/>
        </w:rPr>
        <w:t xml:space="preserve"> (10% m/m de </w:t>
      </w:r>
      <w:proofErr w:type="spellStart"/>
      <w:r w:rsidR="003256BC">
        <w:rPr>
          <w:rFonts w:ascii="Times New Roman" w:hAnsi="Times New Roman"/>
          <w:lang w:val="pt-BR"/>
        </w:rPr>
        <w:t>NiO</w:t>
      </w:r>
      <w:proofErr w:type="spellEnd"/>
      <w:r w:rsidR="003256BC">
        <w:rPr>
          <w:rFonts w:ascii="Times New Roman" w:hAnsi="Times New Roman"/>
          <w:lang w:val="pt-BR"/>
        </w:rPr>
        <w:t xml:space="preserve"> em aluminato de cálcio). Os catalisadores fo</w:t>
      </w:r>
      <w:r w:rsidR="00D14546" w:rsidRPr="00F74D37">
        <w:rPr>
          <w:rFonts w:ascii="Times New Roman" w:hAnsi="Times New Roman"/>
          <w:lang w:val="pt-BR"/>
        </w:rPr>
        <w:t xml:space="preserve">ram </w:t>
      </w:r>
      <w:r w:rsidR="003256BC" w:rsidRPr="00F74D37">
        <w:rPr>
          <w:rFonts w:ascii="Times New Roman" w:hAnsi="Times New Roman"/>
          <w:lang w:val="pt-BR"/>
        </w:rPr>
        <w:t>caracterizados</w:t>
      </w:r>
      <w:r w:rsidR="00D14546" w:rsidRPr="00F74D37">
        <w:rPr>
          <w:rFonts w:ascii="Times New Roman" w:hAnsi="Times New Roman"/>
          <w:lang w:val="pt-BR"/>
        </w:rPr>
        <w:t xml:space="preserve"> p</w:t>
      </w:r>
      <w:r w:rsidR="00FA00DE">
        <w:rPr>
          <w:rFonts w:ascii="Times New Roman" w:hAnsi="Times New Roman"/>
          <w:lang w:val="pt-BR"/>
        </w:rPr>
        <w:t>elas técnicas de</w:t>
      </w:r>
      <w:r w:rsidR="00D14546" w:rsidRPr="00F74D37">
        <w:rPr>
          <w:rFonts w:ascii="Times New Roman" w:hAnsi="Times New Roman"/>
          <w:lang w:val="pt-BR"/>
        </w:rPr>
        <w:t xml:space="preserve"> </w:t>
      </w:r>
      <w:proofErr w:type="spellStart"/>
      <w:r w:rsidR="0027200C">
        <w:rPr>
          <w:rFonts w:ascii="Times New Roman" w:hAnsi="Times New Roman"/>
          <w:lang w:val="pt-BR"/>
        </w:rPr>
        <w:t>f</w:t>
      </w:r>
      <w:r w:rsidR="00F30A95" w:rsidRPr="00F74D37">
        <w:rPr>
          <w:rFonts w:ascii="Times New Roman" w:hAnsi="Times New Roman"/>
          <w:lang w:val="pt-BR"/>
        </w:rPr>
        <w:t>isissorção</w:t>
      </w:r>
      <w:proofErr w:type="spellEnd"/>
      <w:r w:rsidR="00F30A95" w:rsidRPr="00F74D37">
        <w:rPr>
          <w:rFonts w:ascii="Times New Roman" w:hAnsi="Times New Roman"/>
          <w:lang w:val="pt-BR"/>
        </w:rPr>
        <w:t xml:space="preserve"> de N</w:t>
      </w:r>
      <w:r w:rsidR="00F30A95" w:rsidRPr="00F74D37">
        <w:rPr>
          <w:rFonts w:ascii="Times New Roman" w:hAnsi="Times New Roman"/>
          <w:vertAlign w:val="subscript"/>
          <w:lang w:val="pt-BR"/>
        </w:rPr>
        <w:t>2</w:t>
      </w:r>
      <w:r w:rsidR="00F30A95" w:rsidRPr="00F74D37">
        <w:rPr>
          <w:rFonts w:ascii="Times New Roman" w:hAnsi="Times New Roman"/>
          <w:lang w:val="pt-BR"/>
        </w:rPr>
        <w:t xml:space="preserve">, </w:t>
      </w:r>
      <w:r w:rsidR="00D14546" w:rsidRPr="00F74D37">
        <w:rPr>
          <w:rFonts w:ascii="Times New Roman" w:hAnsi="Times New Roman"/>
          <w:lang w:val="pt-BR"/>
        </w:rPr>
        <w:t xml:space="preserve">FRX, </w:t>
      </w:r>
      <w:r w:rsidR="000B5CA7">
        <w:rPr>
          <w:rFonts w:ascii="Times New Roman" w:hAnsi="Times New Roman"/>
          <w:lang w:val="pt-BR"/>
        </w:rPr>
        <w:t>ECX,</w:t>
      </w:r>
      <w:r>
        <w:rPr>
          <w:rFonts w:ascii="Times New Roman" w:hAnsi="Times New Roman"/>
          <w:lang w:val="pt-BR"/>
        </w:rPr>
        <w:t xml:space="preserve"> </w:t>
      </w:r>
      <w:r w:rsidR="00D14546" w:rsidRPr="00F74D37">
        <w:rPr>
          <w:rFonts w:ascii="Times New Roman" w:hAnsi="Times New Roman"/>
          <w:lang w:val="pt-BR"/>
        </w:rPr>
        <w:t>DRX</w:t>
      </w:r>
      <w:r w:rsidR="00E26943" w:rsidRPr="00F74D37">
        <w:rPr>
          <w:rFonts w:ascii="Times New Roman" w:hAnsi="Times New Roman"/>
          <w:lang w:val="pt-BR"/>
        </w:rPr>
        <w:t>, MEV</w:t>
      </w:r>
      <w:r w:rsidR="00F30A95" w:rsidRPr="00F74D37">
        <w:rPr>
          <w:rFonts w:ascii="Times New Roman" w:hAnsi="Times New Roman"/>
          <w:lang w:val="pt-BR"/>
        </w:rPr>
        <w:t>,</w:t>
      </w:r>
      <w:r w:rsidR="00D14546" w:rsidRPr="00F74D37">
        <w:rPr>
          <w:rFonts w:ascii="Times New Roman" w:hAnsi="Times New Roman"/>
          <w:lang w:val="pt-BR"/>
        </w:rPr>
        <w:t xml:space="preserve"> RTP</w:t>
      </w:r>
      <w:r w:rsidR="00F30A95" w:rsidRPr="00F74D37">
        <w:rPr>
          <w:rFonts w:ascii="Times New Roman" w:hAnsi="Times New Roman"/>
          <w:lang w:val="pt-BR"/>
        </w:rPr>
        <w:t xml:space="preserve"> e ATG</w:t>
      </w:r>
      <w:r w:rsidR="005646AF" w:rsidRPr="00F74D37">
        <w:rPr>
          <w:rFonts w:ascii="Times New Roman" w:hAnsi="Times New Roman"/>
          <w:lang w:val="pt-BR"/>
        </w:rPr>
        <w:t>.</w:t>
      </w:r>
      <w:r w:rsidR="00D14546" w:rsidRPr="00F74D37">
        <w:rPr>
          <w:rFonts w:ascii="Times New Roman" w:hAnsi="Times New Roman"/>
          <w:lang w:val="pt-BR"/>
        </w:rPr>
        <w:t xml:space="preserve"> </w:t>
      </w:r>
      <w:r w:rsidR="00E26943" w:rsidRPr="00F74D37">
        <w:rPr>
          <w:rFonts w:ascii="Times New Roman" w:hAnsi="Times New Roman"/>
          <w:lang w:val="pt-BR"/>
        </w:rPr>
        <w:t xml:space="preserve">A </w:t>
      </w:r>
      <w:r w:rsidR="003256BC">
        <w:rPr>
          <w:rFonts w:ascii="Times New Roman" w:hAnsi="Times New Roman"/>
          <w:lang w:val="pt-BR"/>
        </w:rPr>
        <w:t xml:space="preserve">atividade de </w:t>
      </w:r>
      <w:r w:rsidR="00E26943" w:rsidRPr="00F74D37">
        <w:rPr>
          <w:rFonts w:ascii="Times New Roman" w:hAnsi="Times New Roman"/>
          <w:lang w:val="pt-BR"/>
        </w:rPr>
        <w:t xml:space="preserve">reforma a vapor do metano foi </w:t>
      </w:r>
      <w:r w:rsidR="003256BC">
        <w:rPr>
          <w:rFonts w:ascii="Times New Roman" w:hAnsi="Times New Roman"/>
          <w:lang w:val="pt-BR"/>
        </w:rPr>
        <w:t>determinada</w:t>
      </w:r>
      <w:r w:rsidR="00E26943" w:rsidRPr="00F74D37">
        <w:rPr>
          <w:rFonts w:ascii="Times New Roman" w:hAnsi="Times New Roman"/>
          <w:lang w:val="pt-BR"/>
        </w:rPr>
        <w:t xml:space="preserve"> </w:t>
      </w:r>
      <w:r w:rsidR="00FA00DE">
        <w:rPr>
          <w:rFonts w:ascii="Times New Roman" w:hAnsi="Times New Roman"/>
          <w:lang w:val="pt-BR"/>
        </w:rPr>
        <w:t>à</w:t>
      </w:r>
      <w:r w:rsidR="00E26943" w:rsidRPr="00F74D37">
        <w:rPr>
          <w:rFonts w:ascii="Times New Roman" w:hAnsi="Times New Roman"/>
          <w:lang w:val="pt-BR"/>
        </w:rPr>
        <w:t xml:space="preserve"> </w:t>
      </w:r>
      <w:r w:rsidR="00E26943" w:rsidRPr="00F74D37">
        <w:rPr>
          <w:rFonts w:ascii="Times New Roman" w:hAnsi="Times New Roman"/>
          <w:lang w:val="pt-BR"/>
        </w:rPr>
        <w:t>pressão atmosférica</w:t>
      </w:r>
      <w:r w:rsidR="003C1D69">
        <w:rPr>
          <w:rFonts w:ascii="Times New Roman" w:hAnsi="Times New Roman"/>
          <w:lang w:val="pt-BR"/>
        </w:rPr>
        <w:t>,</w:t>
      </w:r>
      <w:r w:rsidR="00496DA7" w:rsidRPr="00F74D37">
        <w:rPr>
          <w:rFonts w:ascii="Times New Roman" w:hAnsi="Times New Roman"/>
          <w:lang w:val="pt-BR"/>
        </w:rPr>
        <w:t xml:space="preserve"> </w:t>
      </w:r>
      <w:r w:rsidR="00E26943" w:rsidRPr="00F74D37">
        <w:rPr>
          <w:rFonts w:ascii="Times New Roman" w:hAnsi="Times New Roman"/>
          <w:lang w:val="pt-BR"/>
        </w:rPr>
        <w:t xml:space="preserve">temperaturas </w:t>
      </w:r>
      <w:r w:rsidR="003256BC">
        <w:rPr>
          <w:rFonts w:ascii="Times New Roman" w:hAnsi="Times New Roman"/>
          <w:lang w:val="pt-BR"/>
        </w:rPr>
        <w:t>entre 500</w:t>
      </w:r>
      <w:r w:rsidR="003256BC" w:rsidRPr="003256BC">
        <w:rPr>
          <w:rFonts w:ascii="Times New Roman" w:hAnsi="Times New Roman"/>
          <w:vertAlign w:val="superscript"/>
          <w:lang w:val="pt-BR"/>
        </w:rPr>
        <w:t>o</w:t>
      </w:r>
      <w:r w:rsidR="003256BC">
        <w:rPr>
          <w:rFonts w:ascii="Times New Roman" w:hAnsi="Times New Roman"/>
          <w:lang w:val="pt-BR"/>
        </w:rPr>
        <w:t xml:space="preserve">C e </w:t>
      </w:r>
      <w:r w:rsidR="00E26943" w:rsidRPr="00F74D37">
        <w:rPr>
          <w:rFonts w:ascii="Times New Roman" w:hAnsi="Times New Roman"/>
          <w:lang w:val="pt-BR"/>
        </w:rPr>
        <w:t>600</w:t>
      </w:r>
      <w:r w:rsidR="00496DA7" w:rsidRPr="00F74D37">
        <w:rPr>
          <w:rFonts w:ascii="Times New Roman" w:hAnsi="Times New Roman"/>
          <w:lang w:val="pt-BR"/>
        </w:rPr>
        <w:t>°</w:t>
      </w:r>
      <w:r w:rsidR="00E26943" w:rsidRPr="00F74D37">
        <w:rPr>
          <w:rFonts w:ascii="Times New Roman" w:hAnsi="Times New Roman"/>
          <w:lang w:val="pt-BR"/>
        </w:rPr>
        <w:t>C</w:t>
      </w:r>
      <w:r w:rsidR="003C1D69">
        <w:rPr>
          <w:rFonts w:ascii="Times New Roman" w:hAnsi="Times New Roman"/>
          <w:lang w:val="pt-BR"/>
        </w:rPr>
        <w:t xml:space="preserve"> e relação vapor/carbono de 2,2 mol/mol</w:t>
      </w:r>
      <w:r>
        <w:rPr>
          <w:rFonts w:ascii="Times New Roman" w:hAnsi="Times New Roman"/>
          <w:lang w:val="pt-BR"/>
        </w:rPr>
        <w:t xml:space="preserve"> </w:t>
      </w:r>
      <w:r w:rsidR="00E26943" w:rsidRPr="00F74D37">
        <w:rPr>
          <w:rFonts w:ascii="Times New Roman" w:hAnsi="Times New Roman"/>
          <w:lang w:val="pt-BR"/>
        </w:rPr>
        <w:t xml:space="preserve">em </w:t>
      </w:r>
      <w:r w:rsidR="00496DA7" w:rsidRPr="00F74D37">
        <w:rPr>
          <w:rFonts w:ascii="Times New Roman" w:hAnsi="Times New Roman"/>
          <w:lang w:val="pt-BR"/>
        </w:rPr>
        <w:t xml:space="preserve">uma </w:t>
      </w:r>
      <w:r w:rsidR="00E26943" w:rsidRPr="00F74D37">
        <w:rPr>
          <w:rFonts w:ascii="Times New Roman" w:hAnsi="Times New Roman"/>
          <w:lang w:val="pt-BR"/>
        </w:rPr>
        <w:t xml:space="preserve">unidade </w:t>
      </w:r>
      <w:r w:rsidR="003256BC">
        <w:rPr>
          <w:rFonts w:ascii="Times New Roman" w:hAnsi="Times New Roman"/>
          <w:lang w:val="pt-BR"/>
        </w:rPr>
        <w:t xml:space="preserve">de </w:t>
      </w:r>
      <w:proofErr w:type="spellStart"/>
      <w:r w:rsidR="003256BC">
        <w:rPr>
          <w:rFonts w:ascii="Times New Roman" w:hAnsi="Times New Roman"/>
          <w:lang w:val="pt-BR"/>
        </w:rPr>
        <w:t>microatividade</w:t>
      </w:r>
      <w:proofErr w:type="spellEnd"/>
      <w:r w:rsidR="003256BC">
        <w:rPr>
          <w:rFonts w:ascii="Times New Roman" w:hAnsi="Times New Roman"/>
          <w:lang w:val="pt-BR"/>
        </w:rPr>
        <w:t xml:space="preserve"> (</w:t>
      </w:r>
      <w:proofErr w:type="spellStart"/>
      <w:r w:rsidR="00E26943" w:rsidRPr="00F74D37">
        <w:rPr>
          <w:rFonts w:ascii="Times New Roman" w:hAnsi="Times New Roman"/>
          <w:lang w:val="pt-BR"/>
        </w:rPr>
        <w:t>AutoChem</w:t>
      </w:r>
      <w:proofErr w:type="spellEnd"/>
      <w:r w:rsidR="00FA00DE">
        <w:rPr>
          <w:rFonts w:ascii="Times New Roman" w:hAnsi="Times New Roman"/>
          <w:lang w:val="pt-BR"/>
        </w:rPr>
        <w:t xml:space="preserve"> </w:t>
      </w:r>
      <w:r w:rsidR="00E26943" w:rsidRPr="00F74D37">
        <w:rPr>
          <w:rFonts w:ascii="Times New Roman" w:hAnsi="Times New Roman"/>
          <w:lang w:val="pt-BR"/>
        </w:rPr>
        <w:t xml:space="preserve">II, </w:t>
      </w:r>
      <w:proofErr w:type="spellStart"/>
      <w:r w:rsidR="00E26943" w:rsidRPr="00F74D37">
        <w:rPr>
          <w:rFonts w:ascii="Times New Roman" w:hAnsi="Times New Roman"/>
          <w:lang w:val="pt-BR"/>
        </w:rPr>
        <w:t>Micromeritcs</w:t>
      </w:r>
      <w:proofErr w:type="spellEnd"/>
      <w:r w:rsidR="003256BC">
        <w:rPr>
          <w:rFonts w:ascii="Times New Roman" w:hAnsi="Times New Roman"/>
          <w:lang w:val="pt-BR"/>
        </w:rPr>
        <w:t xml:space="preserve">). </w:t>
      </w:r>
      <w:r w:rsidR="00FA0608">
        <w:rPr>
          <w:rFonts w:ascii="Times New Roman" w:hAnsi="Times New Roman"/>
          <w:lang w:val="pt-BR"/>
        </w:rPr>
        <w:t>Os catalisadores foram reduzidos previamente a 750</w:t>
      </w:r>
      <w:r w:rsidR="00FA0608" w:rsidRPr="00FA0608">
        <w:rPr>
          <w:rFonts w:ascii="Times New Roman" w:hAnsi="Times New Roman"/>
          <w:vertAlign w:val="superscript"/>
          <w:lang w:val="pt-BR"/>
        </w:rPr>
        <w:t>o</w:t>
      </w:r>
      <w:r w:rsidR="00FA0608">
        <w:rPr>
          <w:rFonts w:ascii="Times New Roman" w:hAnsi="Times New Roman"/>
          <w:lang w:val="pt-BR"/>
        </w:rPr>
        <w:t>C por 4h</w:t>
      </w:r>
      <w:r w:rsidR="00FA00DE">
        <w:rPr>
          <w:rFonts w:ascii="Times New Roman" w:hAnsi="Times New Roman"/>
          <w:lang w:val="pt-BR"/>
        </w:rPr>
        <w:t>,</w:t>
      </w:r>
      <w:r w:rsidR="00FA0608">
        <w:rPr>
          <w:rFonts w:ascii="Times New Roman" w:hAnsi="Times New Roman"/>
          <w:lang w:val="pt-BR"/>
        </w:rPr>
        <w:t xml:space="preserve"> e p</w:t>
      </w:r>
      <w:r w:rsidR="003256BC">
        <w:rPr>
          <w:rFonts w:ascii="Times New Roman" w:hAnsi="Times New Roman"/>
          <w:lang w:val="pt-BR"/>
        </w:rPr>
        <w:t>ara e</w:t>
      </w:r>
      <w:r w:rsidR="00496DA7" w:rsidRPr="00F74D37">
        <w:rPr>
          <w:rFonts w:ascii="Times New Roman" w:hAnsi="Times New Roman"/>
          <w:lang w:val="pt-BR"/>
        </w:rPr>
        <w:t>nsaios de “desativação acelerada”</w:t>
      </w:r>
      <w:r w:rsidR="003256BC">
        <w:rPr>
          <w:rFonts w:ascii="Times New Roman" w:hAnsi="Times New Roman"/>
          <w:lang w:val="pt-BR"/>
        </w:rPr>
        <w:t xml:space="preserve"> por </w:t>
      </w:r>
      <w:r w:rsidR="00EF0654">
        <w:rPr>
          <w:rFonts w:ascii="Times New Roman" w:hAnsi="Times New Roman"/>
          <w:lang w:val="pt-BR"/>
        </w:rPr>
        <w:t xml:space="preserve">sinterização, </w:t>
      </w:r>
      <w:r w:rsidR="00EF0654" w:rsidRPr="00F74D37">
        <w:rPr>
          <w:rFonts w:ascii="Times New Roman" w:hAnsi="Times New Roman"/>
          <w:lang w:val="pt-BR"/>
        </w:rPr>
        <w:t>a</w:t>
      </w:r>
      <w:r w:rsidR="00E26943" w:rsidRPr="00F74D37">
        <w:rPr>
          <w:rFonts w:ascii="Times New Roman" w:hAnsi="Times New Roman"/>
          <w:lang w:val="pt-BR"/>
        </w:rPr>
        <w:t xml:space="preserve"> 900 </w:t>
      </w:r>
      <w:r w:rsidR="00496DA7" w:rsidRPr="00F74D37">
        <w:rPr>
          <w:rFonts w:ascii="Times New Roman" w:hAnsi="Times New Roman"/>
          <w:lang w:val="pt-BR"/>
        </w:rPr>
        <w:t>°</w:t>
      </w:r>
      <w:r w:rsidR="00E26943" w:rsidRPr="00F74D37">
        <w:rPr>
          <w:rFonts w:ascii="Times New Roman" w:hAnsi="Times New Roman"/>
          <w:lang w:val="pt-BR"/>
        </w:rPr>
        <w:t xml:space="preserve">C por 4h. </w:t>
      </w:r>
      <w:r w:rsidR="00112B71">
        <w:rPr>
          <w:lang w:val="pt-BR"/>
        </w:rPr>
        <w:t>A</w:t>
      </w:r>
      <w:r w:rsidR="0014796E" w:rsidRPr="0014796E">
        <w:rPr>
          <w:rFonts w:ascii="Times New Roman" w:hAnsi="Times New Roman"/>
          <w:lang w:val="pt-BR"/>
        </w:rPr>
        <w:t xml:space="preserve"> resistência ao acúmulo de coque</w:t>
      </w:r>
      <w:r w:rsidR="00112B71">
        <w:rPr>
          <w:rFonts w:ascii="Times New Roman" w:hAnsi="Times New Roman"/>
          <w:lang w:val="pt-BR"/>
        </w:rPr>
        <w:t xml:space="preserve"> foi determinada em</w:t>
      </w:r>
      <w:r w:rsidR="0014796E" w:rsidRPr="0014796E">
        <w:rPr>
          <w:rFonts w:ascii="Times New Roman" w:hAnsi="Times New Roman"/>
          <w:lang w:val="pt-BR"/>
        </w:rPr>
        <w:t xml:space="preserve"> equipamento de análise termogravimétrica (</w:t>
      </w:r>
      <w:proofErr w:type="spellStart"/>
      <w:r w:rsidR="0014796E">
        <w:rPr>
          <w:rFonts w:ascii="Times New Roman" w:hAnsi="Times New Roman"/>
          <w:lang w:val="pt-BR"/>
        </w:rPr>
        <w:t>Mettler</w:t>
      </w:r>
      <w:proofErr w:type="spellEnd"/>
      <w:r w:rsidR="0014796E">
        <w:rPr>
          <w:rFonts w:ascii="Times New Roman" w:hAnsi="Times New Roman"/>
          <w:lang w:val="pt-BR"/>
        </w:rPr>
        <w:t xml:space="preserve"> Toledo</w:t>
      </w:r>
      <w:r w:rsidR="0014796E" w:rsidRPr="0014796E">
        <w:rPr>
          <w:rFonts w:ascii="Times New Roman" w:hAnsi="Times New Roman"/>
          <w:lang w:val="pt-BR"/>
        </w:rPr>
        <w:t xml:space="preserve">) utilizando 15 mg </w:t>
      </w:r>
      <w:r w:rsidR="00112B71">
        <w:rPr>
          <w:rFonts w:ascii="Times New Roman" w:hAnsi="Times New Roman"/>
          <w:lang w:val="pt-BR"/>
        </w:rPr>
        <w:t xml:space="preserve">do catalisador </w:t>
      </w:r>
      <w:r w:rsidR="0014796E" w:rsidRPr="0014796E">
        <w:rPr>
          <w:rFonts w:ascii="Times New Roman" w:hAnsi="Times New Roman"/>
          <w:lang w:val="pt-BR"/>
        </w:rPr>
        <w:t xml:space="preserve">na faixa &lt; 100 </w:t>
      </w:r>
      <w:proofErr w:type="spellStart"/>
      <w:r w:rsidR="0014796E" w:rsidRPr="0014796E">
        <w:rPr>
          <w:rFonts w:ascii="Times New Roman" w:hAnsi="Times New Roman"/>
          <w:lang w:val="pt-BR"/>
        </w:rPr>
        <w:t>mesh</w:t>
      </w:r>
      <w:proofErr w:type="spellEnd"/>
      <w:r w:rsidR="0014796E" w:rsidRPr="0014796E">
        <w:rPr>
          <w:rFonts w:ascii="Times New Roman" w:hAnsi="Times New Roman"/>
          <w:lang w:val="pt-BR"/>
        </w:rPr>
        <w:t>.</w:t>
      </w:r>
      <w:r w:rsidR="009307BD">
        <w:rPr>
          <w:rFonts w:ascii="Times New Roman" w:hAnsi="Times New Roman"/>
          <w:lang w:val="pt-BR"/>
        </w:rPr>
        <w:t xml:space="preserve"> As amostras previamente reduzidas</w:t>
      </w:r>
      <w:r w:rsidR="0014796E">
        <w:rPr>
          <w:rFonts w:ascii="Times New Roman" w:hAnsi="Times New Roman"/>
          <w:lang w:val="pt-BR"/>
        </w:rPr>
        <w:t xml:space="preserve"> a 650</w:t>
      </w:r>
      <w:r w:rsidR="0014796E" w:rsidRPr="004E0C37">
        <w:rPr>
          <w:rFonts w:ascii="Times New Roman" w:hAnsi="Times New Roman"/>
          <w:vertAlign w:val="superscript"/>
          <w:lang w:val="pt-BR"/>
        </w:rPr>
        <w:t>o</w:t>
      </w:r>
      <w:r w:rsidR="0014796E">
        <w:rPr>
          <w:rFonts w:ascii="Times New Roman" w:hAnsi="Times New Roman"/>
          <w:lang w:val="pt-BR"/>
        </w:rPr>
        <w:t xml:space="preserve">C foram expostas a um fluxo de metano saturado com vapor </w:t>
      </w:r>
      <w:r w:rsidR="004E0C37">
        <w:rPr>
          <w:rFonts w:ascii="Times New Roman" w:hAnsi="Times New Roman"/>
          <w:lang w:val="pt-BR"/>
        </w:rPr>
        <w:t>d’água</w:t>
      </w:r>
      <w:r w:rsidR="0014796E">
        <w:rPr>
          <w:rFonts w:ascii="Times New Roman" w:hAnsi="Times New Roman"/>
          <w:lang w:val="pt-BR"/>
        </w:rPr>
        <w:t xml:space="preserve"> a 5</w:t>
      </w:r>
      <w:r w:rsidR="0014796E" w:rsidRPr="004E0C37">
        <w:rPr>
          <w:rFonts w:ascii="Times New Roman" w:hAnsi="Times New Roman"/>
          <w:vertAlign w:val="superscript"/>
          <w:lang w:val="pt-BR"/>
        </w:rPr>
        <w:t>o</w:t>
      </w:r>
      <w:r w:rsidR="0014796E">
        <w:rPr>
          <w:rFonts w:ascii="Times New Roman" w:hAnsi="Times New Roman"/>
          <w:lang w:val="pt-BR"/>
        </w:rPr>
        <w:t>C de 350</w:t>
      </w:r>
      <w:r w:rsidR="0014796E" w:rsidRPr="004E0C37">
        <w:rPr>
          <w:rFonts w:ascii="Times New Roman" w:hAnsi="Times New Roman"/>
          <w:vertAlign w:val="superscript"/>
          <w:lang w:val="pt-BR"/>
        </w:rPr>
        <w:t>o</w:t>
      </w:r>
      <w:r w:rsidR="0014796E">
        <w:rPr>
          <w:rFonts w:ascii="Times New Roman" w:hAnsi="Times New Roman"/>
          <w:lang w:val="pt-BR"/>
        </w:rPr>
        <w:t>C até 650</w:t>
      </w:r>
      <w:r w:rsidR="004E0C37" w:rsidRPr="004E0C37">
        <w:rPr>
          <w:rFonts w:ascii="Times New Roman" w:hAnsi="Times New Roman"/>
          <w:vertAlign w:val="superscript"/>
          <w:lang w:val="pt-BR"/>
        </w:rPr>
        <w:t>o</w:t>
      </w:r>
      <w:r w:rsidR="0014796E">
        <w:rPr>
          <w:rFonts w:ascii="Times New Roman" w:hAnsi="Times New Roman"/>
          <w:lang w:val="pt-BR"/>
        </w:rPr>
        <w:t xml:space="preserve">C com taxa de </w:t>
      </w:r>
      <w:r w:rsidR="004E0C37">
        <w:rPr>
          <w:rFonts w:ascii="Times New Roman" w:hAnsi="Times New Roman"/>
          <w:lang w:val="pt-BR"/>
        </w:rPr>
        <w:t>5</w:t>
      </w:r>
      <w:r w:rsidR="004E0C37" w:rsidRPr="004E0C37">
        <w:rPr>
          <w:rFonts w:ascii="Times New Roman" w:hAnsi="Times New Roman"/>
          <w:vertAlign w:val="superscript"/>
          <w:lang w:val="pt-BR"/>
        </w:rPr>
        <w:t>o</w:t>
      </w:r>
      <w:r w:rsidR="004E0C37">
        <w:rPr>
          <w:rFonts w:ascii="Times New Roman" w:hAnsi="Times New Roman"/>
          <w:lang w:val="pt-BR"/>
        </w:rPr>
        <w:t xml:space="preserve">C/min. </w:t>
      </w:r>
    </w:p>
    <w:p w14:paraId="544C24BD" w14:textId="77777777" w:rsidR="006F630F" w:rsidRDefault="006F630F" w:rsidP="00D14546">
      <w:pPr>
        <w:pStyle w:val="TAMainText"/>
        <w:rPr>
          <w:rFonts w:ascii="Times New Roman" w:hAnsi="Times New Roman"/>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39B97528" w14:textId="507FF76C" w:rsidR="00B90238" w:rsidRDefault="00261D04" w:rsidP="00D37627">
      <w:pPr>
        <w:pStyle w:val="TAMainText"/>
        <w:ind w:firstLine="204"/>
        <w:rPr>
          <w:rFonts w:ascii="Times New Roman" w:hAnsi="Times New Roman"/>
          <w:bCs/>
          <w:lang w:val="pt-BR"/>
        </w:rPr>
      </w:pPr>
      <w:r>
        <w:rPr>
          <w:rFonts w:ascii="Times New Roman" w:hAnsi="Times New Roman"/>
          <w:lang w:val="pt-BR"/>
        </w:rPr>
        <w:t>A</w:t>
      </w:r>
      <w:r w:rsidR="00AD72CE">
        <w:rPr>
          <w:rFonts w:ascii="Times New Roman" w:hAnsi="Times New Roman"/>
          <w:lang w:val="pt-BR"/>
        </w:rPr>
        <w:t xml:space="preserve"> análise </w:t>
      </w:r>
      <w:r>
        <w:rPr>
          <w:rFonts w:ascii="Times New Roman" w:hAnsi="Times New Roman"/>
          <w:lang w:val="pt-BR"/>
        </w:rPr>
        <w:t xml:space="preserve">por </w:t>
      </w:r>
      <w:r w:rsidR="0048503C">
        <w:rPr>
          <w:rFonts w:ascii="Times New Roman" w:hAnsi="Times New Roman"/>
          <w:lang w:val="pt-BR"/>
        </w:rPr>
        <w:t>DRX</w:t>
      </w:r>
      <w:r w:rsidR="00D37627">
        <w:rPr>
          <w:rFonts w:ascii="Times New Roman" w:hAnsi="Times New Roman"/>
          <w:lang w:val="pt-BR"/>
        </w:rPr>
        <w:t xml:space="preserve"> e </w:t>
      </w:r>
      <w:r w:rsidR="0048503C">
        <w:rPr>
          <w:rFonts w:ascii="Times New Roman" w:hAnsi="Times New Roman"/>
          <w:lang w:val="pt-BR"/>
        </w:rPr>
        <w:t>FRX</w:t>
      </w:r>
      <w:r w:rsidR="00D37627">
        <w:rPr>
          <w:rFonts w:ascii="Times New Roman" w:hAnsi="Times New Roman"/>
          <w:lang w:val="pt-BR"/>
        </w:rPr>
        <w:t xml:space="preserve"> mostr</w:t>
      </w:r>
      <w:r w:rsidR="00AD72CE">
        <w:rPr>
          <w:rFonts w:ascii="Times New Roman" w:hAnsi="Times New Roman"/>
          <w:lang w:val="pt-BR"/>
        </w:rPr>
        <w:t>ou</w:t>
      </w:r>
      <w:r w:rsidR="00D37627">
        <w:rPr>
          <w:rFonts w:ascii="Times New Roman" w:hAnsi="Times New Roman"/>
          <w:lang w:val="pt-BR"/>
        </w:rPr>
        <w:t xml:space="preserve"> a</w:t>
      </w:r>
      <w:r w:rsidR="00DD19E5">
        <w:rPr>
          <w:rFonts w:ascii="Times New Roman" w:hAnsi="Times New Roman"/>
          <w:lang w:val="pt-BR"/>
        </w:rPr>
        <w:t xml:space="preserve"> presença das fases cristalinas </w:t>
      </w:r>
      <w:proofErr w:type="spellStart"/>
      <w:r w:rsidR="00DD19E5">
        <w:rPr>
          <w:rFonts w:ascii="Times New Roman" w:hAnsi="Times New Roman"/>
          <w:lang w:val="pt-BR"/>
        </w:rPr>
        <w:t>NiO</w:t>
      </w:r>
      <w:proofErr w:type="spellEnd"/>
      <w:r w:rsidR="00DD19E5">
        <w:rPr>
          <w:rFonts w:ascii="Times New Roman" w:hAnsi="Times New Roman"/>
          <w:lang w:val="pt-BR"/>
        </w:rPr>
        <w:t xml:space="preserve"> e</w:t>
      </w:r>
      <w:r w:rsidR="00D37627">
        <w:rPr>
          <w:rFonts w:ascii="Times New Roman" w:hAnsi="Times New Roman"/>
          <w:lang w:val="pt-BR"/>
        </w:rPr>
        <w:t xml:space="preserve"> </w:t>
      </w:r>
      <w:r w:rsidR="00DD19E5">
        <w:rPr>
          <w:rFonts w:ascii="Times New Roman" w:hAnsi="Times New Roman"/>
          <w:lang w:val="pt-BR"/>
        </w:rPr>
        <w:t>aluminato</w:t>
      </w:r>
      <w:r w:rsidR="00D37627">
        <w:rPr>
          <w:rFonts w:ascii="Times New Roman" w:hAnsi="Times New Roman"/>
          <w:lang w:val="pt-BR"/>
        </w:rPr>
        <w:t>s</w:t>
      </w:r>
      <w:r w:rsidR="0023098C">
        <w:rPr>
          <w:rFonts w:ascii="Times New Roman" w:hAnsi="Times New Roman"/>
          <w:lang w:val="pt-BR"/>
        </w:rPr>
        <w:t xml:space="preserve"> </w:t>
      </w:r>
      <w:r w:rsidR="00AD72CE">
        <w:rPr>
          <w:rFonts w:ascii="Times New Roman" w:hAnsi="Times New Roman"/>
          <w:lang w:val="pt-BR"/>
        </w:rPr>
        <w:t xml:space="preserve">de cálcio ou magnésio </w:t>
      </w:r>
      <w:r w:rsidR="0023098C">
        <w:rPr>
          <w:rFonts w:ascii="Times New Roman" w:hAnsi="Times New Roman"/>
          <w:lang w:val="pt-BR"/>
        </w:rPr>
        <w:t>(</w:t>
      </w:r>
      <w:r w:rsidR="0023098C" w:rsidRPr="0023098C">
        <w:rPr>
          <w:rFonts w:ascii="Times New Roman" w:hAnsi="Times New Roman"/>
          <w:lang w:val="pt-BR"/>
        </w:rPr>
        <w:t>ICSD159925</w:t>
      </w:r>
      <w:r w:rsidR="0023098C">
        <w:rPr>
          <w:rFonts w:ascii="Times New Roman" w:hAnsi="Times New Roman"/>
          <w:lang w:val="pt-BR"/>
        </w:rPr>
        <w:t xml:space="preserve">, </w:t>
      </w:r>
      <w:r w:rsidR="0023098C" w:rsidRPr="0023098C">
        <w:rPr>
          <w:rFonts w:ascii="Times New Roman" w:hAnsi="Times New Roman"/>
          <w:lang w:val="pt-BR"/>
        </w:rPr>
        <w:t>ICSD 112324</w:t>
      </w:r>
      <w:r w:rsidR="0023098C">
        <w:rPr>
          <w:rFonts w:ascii="Times New Roman" w:hAnsi="Times New Roman"/>
          <w:lang w:val="pt-BR"/>
        </w:rPr>
        <w:t>)</w:t>
      </w:r>
      <w:r w:rsidR="00AD72CE">
        <w:rPr>
          <w:rFonts w:ascii="Times New Roman" w:hAnsi="Times New Roman"/>
          <w:lang w:val="pt-BR"/>
        </w:rPr>
        <w:t xml:space="preserve"> em teores próximos aos previstos.</w:t>
      </w:r>
      <w:r w:rsidR="00DD19E5">
        <w:rPr>
          <w:rFonts w:ascii="Times New Roman" w:hAnsi="Times New Roman"/>
          <w:lang w:val="pt-BR"/>
        </w:rPr>
        <w:t xml:space="preserve"> </w:t>
      </w:r>
      <w:r w:rsidR="00A43D80" w:rsidRPr="0023098C">
        <w:rPr>
          <w:rFonts w:ascii="Times New Roman" w:hAnsi="Times New Roman"/>
          <w:bCs/>
          <w:lang w:val="pt-BR"/>
        </w:rPr>
        <w:t xml:space="preserve">Para o suporte de </w:t>
      </w:r>
      <w:r w:rsidR="00AD72CE">
        <w:rPr>
          <w:rFonts w:ascii="Times New Roman" w:hAnsi="Times New Roman"/>
          <w:bCs/>
          <w:lang w:val="pt-BR"/>
        </w:rPr>
        <w:t xml:space="preserve">aluminato de </w:t>
      </w:r>
      <w:r w:rsidR="00A43D80" w:rsidRPr="0023098C">
        <w:rPr>
          <w:rFonts w:ascii="Times New Roman" w:hAnsi="Times New Roman"/>
          <w:bCs/>
          <w:lang w:val="pt-BR"/>
        </w:rPr>
        <w:t>cálcio foi observado um aumento da área superficial e do volume de poros</w:t>
      </w:r>
      <w:r w:rsidR="0023098C">
        <w:rPr>
          <w:rFonts w:ascii="Times New Roman" w:hAnsi="Times New Roman"/>
          <w:bCs/>
          <w:lang w:val="pt-BR"/>
        </w:rPr>
        <w:t xml:space="preserve"> </w:t>
      </w:r>
      <w:r w:rsidR="00B0682F">
        <w:rPr>
          <w:rFonts w:ascii="Times New Roman" w:hAnsi="Times New Roman"/>
          <w:bCs/>
          <w:lang w:val="pt-BR"/>
        </w:rPr>
        <w:t>à</w:t>
      </w:r>
      <w:r w:rsidR="0023098C">
        <w:rPr>
          <w:rFonts w:ascii="Times New Roman" w:hAnsi="Times New Roman"/>
          <w:bCs/>
          <w:lang w:val="pt-BR"/>
        </w:rPr>
        <w:t xml:space="preserve"> medida que </w:t>
      </w:r>
      <w:r w:rsidR="00B0682F">
        <w:rPr>
          <w:rFonts w:ascii="Times New Roman" w:hAnsi="Times New Roman"/>
          <w:bCs/>
          <w:lang w:val="pt-BR"/>
        </w:rPr>
        <w:t>se aumentou</w:t>
      </w:r>
      <w:r w:rsidR="0023098C">
        <w:rPr>
          <w:rFonts w:ascii="Times New Roman" w:hAnsi="Times New Roman"/>
          <w:bCs/>
          <w:lang w:val="pt-BR"/>
        </w:rPr>
        <w:t xml:space="preserve"> o teor de </w:t>
      </w:r>
      <w:proofErr w:type="spellStart"/>
      <w:r w:rsidR="0023098C">
        <w:rPr>
          <w:rFonts w:ascii="Times New Roman" w:hAnsi="Times New Roman"/>
          <w:bCs/>
          <w:lang w:val="pt-BR"/>
        </w:rPr>
        <w:t>NiO</w:t>
      </w:r>
      <w:proofErr w:type="spellEnd"/>
      <w:r w:rsidR="0023098C">
        <w:rPr>
          <w:rFonts w:ascii="Times New Roman" w:hAnsi="Times New Roman"/>
          <w:bCs/>
          <w:lang w:val="pt-BR"/>
        </w:rPr>
        <w:t xml:space="preserve"> </w:t>
      </w:r>
      <w:proofErr w:type="gramStart"/>
      <w:r w:rsidR="00B32DB7">
        <w:rPr>
          <w:rFonts w:ascii="Times New Roman" w:hAnsi="Times New Roman"/>
          <w:bCs/>
          <w:lang w:val="pt-BR"/>
        </w:rPr>
        <w:t>enquanto</w:t>
      </w:r>
      <w:r w:rsidR="0023098C">
        <w:rPr>
          <w:rFonts w:ascii="Times New Roman" w:hAnsi="Times New Roman"/>
          <w:bCs/>
          <w:lang w:val="pt-BR"/>
        </w:rPr>
        <w:t xml:space="preserve"> </w:t>
      </w:r>
      <w:r w:rsidR="00FA00DE">
        <w:rPr>
          <w:rFonts w:ascii="Times New Roman" w:hAnsi="Times New Roman"/>
          <w:bCs/>
          <w:lang w:val="pt-BR"/>
        </w:rPr>
        <w:t>que</w:t>
      </w:r>
      <w:proofErr w:type="gramEnd"/>
      <w:r w:rsidR="00FA00DE">
        <w:rPr>
          <w:rFonts w:ascii="Times New Roman" w:hAnsi="Times New Roman"/>
          <w:bCs/>
          <w:lang w:val="pt-BR"/>
        </w:rPr>
        <w:t xml:space="preserve"> </w:t>
      </w:r>
      <w:r w:rsidR="0023098C">
        <w:rPr>
          <w:rFonts w:ascii="Times New Roman" w:hAnsi="Times New Roman"/>
          <w:bCs/>
          <w:lang w:val="pt-BR"/>
        </w:rPr>
        <w:t>para o suporte de magnésio</w:t>
      </w:r>
      <w:r w:rsidR="00FA00DE">
        <w:rPr>
          <w:rFonts w:ascii="Times New Roman" w:hAnsi="Times New Roman"/>
          <w:bCs/>
          <w:lang w:val="pt-BR"/>
        </w:rPr>
        <w:t>,</w:t>
      </w:r>
      <w:r w:rsidR="0023098C">
        <w:rPr>
          <w:rFonts w:ascii="Times New Roman" w:hAnsi="Times New Roman"/>
          <w:bCs/>
          <w:lang w:val="pt-BR"/>
        </w:rPr>
        <w:t xml:space="preserve"> </w:t>
      </w:r>
      <w:r>
        <w:rPr>
          <w:rFonts w:ascii="Times New Roman" w:hAnsi="Times New Roman"/>
          <w:bCs/>
          <w:lang w:val="pt-BR"/>
        </w:rPr>
        <w:t>observ</w:t>
      </w:r>
      <w:r w:rsidR="000B5CA7">
        <w:rPr>
          <w:rFonts w:ascii="Times New Roman" w:hAnsi="Times New Roman"/>
          <w:bCs/>
          <w:lang w:val="pt-BR"/>
        </w:rPr>
        <w:t>ou</w:t>
      </w:r>
      <w:r w:rsidR="00FA00DE">
        <w:rPr>
          <w:rFonts w:ascii="Times New Roman" w:hAnsi="Times New Roman"/>
          <w:bCs/>
          <w:lang w:val="pt-BR"/>
        </w:rPr>
        <w:t>-se</w:t>
      </w:r>
      <w:r>
        <w:rPr>
          <w:rFonts w:ascii="Times New Roman" w:hAnsi="Times New Roman"/>
          <w:bCs/>
          <w:lang w:val="pt-BR"/>
        </w:rPr>
        <w:t xml:space="preserve"> um efeito contrário. </w:t>
      </w:r>
      <w:r w:rsidR="00401F0A">
        <w:rPr>
          <w:rFonts w:ascii="Times New Roman" w:hAnsi="Times New Roman"/>
          <w:bCs/>
          <w:lang w:val="pt-BR"/>
        </w:rPr>
        <w:t>P</w:t>
      </w:r>
      <w:r w:rsidR="00B0682F">
        <w:rPr>
          <w:rFonts w:ascii="Times New Roman" w:hAnsi="Times New Roman"/>
          <w:bCs/>
          <w:lang w:val="pt-BR"/>
        </w:rPr>
        <w:t>odemos ver que o</w:t>
      </w:r>
      <w:r w:rsidR="009A6FEA">
        <w:rPr>
          <w:rFonts w:ascii="Times New Roman" w:hAnsi="Times New Roman"/>
          <w:bCs/>
          <w:lang w:val="pt-BR"/>
        </w:rPr>
        <w:t xml:space="preserve">s materiais preparados </w:t>
      </w:r>
      <w:r w:rsidR="00B32DB7">
        <w:rPr>
          <w:rFonts w:ascii="Times New Roman" w:hAnsi="Times New Roman"/>
          <w:bCs/>
          <w:lang w:val="pt-BR"/>
        </w:rPr>
        <w:t>com o suporte de</w:t>
      </w:r>
      <w:r w:rsidR="009A6FEA">
        <w:rPr>
          <w:rFonts w:ascii="Times New Roman" w:hAnsi="Times New Roman"/>
          <w:bCs/>
          <w:lang w:val="pt-BR"/>
        </w:rPr>
        <w:t xml:space="preserve"> aluminato de magnésio apresentaram maior área superficial</w:t>
      </w:r>
      <w:r w:rsidR="00B32DB7">
        <w:rPr>
          <w:rFonts w:ascii="Times New Roman" w:hAnsi="Times New Roman"/>
          <w:bCs/>
          <w:lang w:val="pt-BR"/>
        </w:rPr>
        <w:t xml:space="preserve"> e</w:t>
      </w:r>
      <w:r w:rsidR="009A6FEA">
        <w:rPr>
          <w:rFonts w:ascii="Times New Roman" w:hAnsi="Times New Roman"/>
          <w:bCs/>
          <w:lang w:val="pt-BR"/>
        </w:rPr>
        <w:t xml:space="preserve"> menor diâmetro de partícula do níquel (Tabela 1)</w:t>
      </w:r>
      <w:r w:rsidR="00540639">
        <w:rPr>
          <w:rFonts w:ascii="Times New Roman" w:hAnsi="Times New Roman"/>
          <w:bCs/>
          <w:lang w:val="pt-BR"/>
        </w:rPr>
        <w:t>.</w:t>
      </w:r>
    </w:p>
    <w:p w14:paraId="46FE30FF" w14:textId="460F1CDB" w:rsidR="00EA4E1B" w:rsidRPr="0030315E" w:rsidRDefault="0030315E" w:rsidP="00D37627">
      <w:pPr>
        <w:spacing w:after="0" w:line="240" w:lineRule="atLeast"/>
        <w:jc w:val="both"/>
        <w:rPr>
          <w:bCs/>
          <w:sz w:val="18"/>
          <w:szCs w:val="18"/>
        </w:rPr>
      </w:pPr>
      <w:r w:rsidRPr="0030315E">
        <w:rPr>
          <w:rFonts w:ascii="Times New Roman" w:hAnsi="Times New Roman"/>
          <w:b/>
          <w:sz w:val="18"/>
          <w:szCs w:val="18"/>
        </w:rPr>
        <w:lastRenderedPageBreak/>
        <w:t>Tabela 1.</w:t>
      </w:r>
      <w:r>
        <w:rPr>
          <w:rFonts w:ascii="Times New Roman" w:hAnsi="Times New Roman"/>
          <w:b/>
          <w:sz w:val="18"/>
          <w:szCs w:val="18"/>
        </w:rPr>
        <w:t xml:space="preserve"> </w:t>
      </w:r>
      <w:r w:rsidR="00D37627" w:rsidRPr="00D37627">
        <w:rPr>
          <w:rFonts w:ascii="Times New Roman" w:hAnsi="Times New Roman"/>
          <w:bCs/>
          <w:sz w:val="18"/>
          <w:szCs w:val="18"/>
        </w:rPr>
        <w:t xml:space="preserve">Catalisadores </w:t>
      </w:r>
      <w:r w:rsidR="00AD72CE">
        <w:rPr>
          <w:rFonts w:ascii="Times New Roman" w:hAnsi="Times New Roman"/>
          <w:bCs/>
          <w:sz w:val="18"/>
          <w:szCs w:val="18"/>
        </w:rPr>
        <w:t xml:space="preserve">de reforma a vapor </w:t>
      </w:r>
      <w:r w:rsidR="00D37627" w:rsidRPr="00D37627">
        <w:rPr>
          <w:rFonts w:ascii="Times New Roman" w:hAnsi="Times New Roman"/>
          <w:bCs/>
          <w:sz w:val="18"/>
          <w:szCs w:val="18"/>
        </w:rPr>
        <w:t xml:space="preserve">suportados em aluminatos comerciais </w:t>
      </w:r>
      <w:r w:rsidR="00AD72CE">
        <w:rPr>
          <w:rFonts w:ascii="Times New Roman" w:hAnsi="Times New Roman"/>
          <w:bCs/>
          <w:sz w:val="18"/>
          <w:szCs w:val="18"/>
        </w:rPr>
        <w:t>de cálcio ou magnésio</w:t>
      </w:r>
      <w:r w:rsidR="00D37627">
        <w:rPr>
          <w:rFonts w:ascii="Times New Roman" w:hAnsi="Times New Roman"/>
          <w:bCs/>
          <w:sz w:val="18"/>
          <w:szCs w:val="18"/>
        </w:rPr>
        <w:t>.</w:t>
      </w:r>
    </w:p>
    <w:tbl>
      <w:tblPr>
        <w:tblStyle w:val="SimplesTabela2"/>
        <w:tblW w:w="4962" w:type="dxa"/>
        <w:jc w:val="center"/>
        <w:tblLook w:val="04A0" w:firstRow="1" w:lastRow="0" w:firstColumn="1" w:lastColumn="0" w:noHBand="0" w:noVBand="1"/>
      </w:tblPr>
      <w:tblGrid>
        <w:gridCol w:w="993"/>
        <w:gridCol w:w="709"/>
        <w:gridCol w:w="1373"/>
        <w:gridCol w:w="1031"/>
        <w:gridCol w:w="856"/>
      </w:tblGrid>
      <w:tr w:rsidR="00AA2098" w:rsidRPr="00DC01DD" w14:paraId="10520BEA" w14:textId="16F18712" w:rsidTr="00DC01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Align w:val="center"/>
          </w:tcPr>
          <w:p w14:paraId="496D7B32" w14:textId="3F88AC49" w:rsidR="00AA2098" w:rsidRPr="00DC01DD" w:rsidRDefault="00AA2098" w:rsidP="00DC01DD">
            <w:pPr>
              <w:jc w:val="center"/>
              <w:rPr>
                <w:rFonts w:ascii="Times New Roman" w:hAnsi="Times New Roman" w:cs="Times New Roman"/>
                <w:sz w:val="18"/>
                <w:szCs w:val="18"/>
              </w:rPr>
            </w:pPr>
            <w:r w:rsidRPr="00DC01DD">
              <w:rPr>
                <w:rFonts w:ascii="Times New Roman" w:hAnsi="Times New Roman" w:cs="Times New Roman"/>
                <w:sz w:val="18"/>
                <w:szCs w:val="18"/>
              </w:rPr>
              <w:t>Amostra</w:t>
            </w:r>
          </w:p>
        </w:tc>
        <w:tc>
          <w:tcPr>
            <w:tcW w:w="709" w:type="dxa"/>
            <w:vAlign w:val="center"/>
          </w:tcPr>
          <w:p w14:paraId="7A03327F" w14:textId="77777777" w:rsidR="00AA2098" w:rsidRPr="00DC01DD" w:rsidRDefault="00AA2098" w:rsidP="00DC01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Área</w:t>
            </w:r>
          </w:p>
          <w:p w14:paraId="081C0EE0" w14:textId="36222479" w:rsidR="00AA2098" w:rsidRPr="00DC01DD" w:rsidRDefault="00AA2098" w:rsidP="00DC01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(m³</w:t>
            </w:r>
            <w:r w:rsidR="00DC01DD">
              <w:rPr>
                <w:rFonts w:ascii="Times New Roman" w:hAnsi="Times New Roman" w:cs="Times New Roman"/>
                <w:sz w:val="18"/>
                <w:szCs w:val="18"/>
              </w:rPr>
              <w:t>/</w:t>
            </w:r>
            <w:r w:rsidRPr="00DC01DD">
              <w:rPr>
                <w:rFonts w:ascii="Times New Roman" w:hAnsi="Times New Roman" w:cs="Times New Roman"/>
                <w:sz w:val="18"/>
                <w:szCs w:val="18"/>
              </w:rPr>
              <w:t>g)</w:t>
            </w:r>
          </w:p>
        </w:tc>
        <w:tc>
          <w:tcPr>
            <w:tcW w:w="1373" w:type="dxa"/>
            <w:vAlign w:val="center"/>
          </w:tcPr>
          <w:p w14:paraId="37735575" w14:textId="6D12F78F" w:rsidR="00AA2098" w:rsidRPr="00DC01DD" w:rsidRDefault="00AA2098" w:rsidP="00DC01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Vol. de poros</w:t>
            </w:r>
            <w:r w:rsidRPr="00DC01DD">
              <w:rPr>
                <w:rFonts w:ascii="Times New Roman" w:hAnsi="Times New Roman" w:cs="Times New Roman"/>
                <w:sz w:val="18"/>
                <w:szCs w:val="18"/>
                <w:vertAlign w:val="superscript"/>
              </w:rPr>
              <w:t>a</w:t>
            </w:r>
            <w:r w:rsidRPr="00DC01DD">
              <w:rPr>
                <w:rFonts w:ascii="Times New Roman" w:hAnsi="Times New Roman" w:cs="Times New Roman"/>
                <w:sz w:val="18"/>
                <w:szCs w:val="18"/>
              </w:rPr>
              <w:t xml:space="preserve"> (cm³</w:t>
            </w:r>
            <w:r w:rsidR="00DC01DD">
              <w:rPr>
                <w:rFonts w:ascii="Times New Roman" w:hAnsi="Times New Roman" w:cs="Times New Roman"/>
                <w:sz w:val="18"/>
                <w:szCs w:val="18"/>
              </w:rPr>
              <w:t>/</w:t>
            </w:r>
            <w:r w:rsidRPr="00DC01DD">
              <w:rPr>
                <w:rFonts w:ascii="Times New Roman" w:hAnsi="Times New Roman" w:cs="Times New Roman"/>
                <w:sz w:val="18"/>
                <w:szCs w:val="18"/>
              </w:rPr>
              <w:t>g)</w:t>
            </w:r>
          </w:p>
        </w:tc>
        <w:tc>
          <w:tcPr>
            <w:tcW w:w="1031" w:type="dxa"/>
            <w:vAlign w:val="center"/>
          </w:tcPr>
          <w:p w14:paraId="5EA2382D" w14:textId="7EAE9538" w:rsidR="00AA2098" w:rsidRPr="00DC01DD" w:rsidRDefault="00AA2098" w:rsidP="00DC01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 xml:space="preserve">Grau de </w:t>
            </w:r>
            <w:proofErr w:type="spellStart"/>
            <w:r w:rsidRPr="00DC01DD">
              <w:rPr>
                <w:rFonts w:ascii="Times New Roman" w:hAnsi="Times New Roman" w:cs="Times New Roman"/>
                <w:sz w:val="18"/>
                <w:szCs w:val="18"/>
              </w:rPr>
              <w:t>redução</w:t>
            </w:r>
            <w:r w:rsidRPr="00DC01DD">
              <w:rPr>
                <w:rFonts w:ascii="Times New Roman" w:hAnsi="Times New Roman" w:cs="Times New Roman"/>
                <w:sz w:val="18"/>
                <w:szCs w:val="18"/>
                <w:vertAlign w:val="superscript"/>
              </w:rPr>
              <w:t>b</w:t>
            </w:r>
            <w:proofErr w:type="spellEnd"/>
            <w:r w:rsidRPr="00DC01DD">
              <w:rPr>
                <w:rFonts w:ascii="Times New Roman" w:hAnsi="Times New Roman" w:cs="Times New Roman"/>
                <w:sz w:val="18"/>
                <w:szCs w:val="18"/>
              </w:rPr>
              <w:t xml:space="preserve"> (%)</w:t>
            </w:r>
          </w:p>
        </w:tc>
        <w:tc>
          <w:tcPr>
            <w:tcW w:w="856" w:type="dxa"/>
            <w:vAlign w:val="center"/>
          </w:tcPr>
          <w:p w14:paraId="4AD775A9" w14:textId="0758EEDC" w:rsidR="00A27DBB" w:rsidRPr="00DC01DD" w:rsidRDefault="00AA2098" w:rsidP="00DC01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D</w:t>
            </w:r>
            <w:r w:rsidR="00D37627" w:rsidRPr="00D37627">
              <w:rPr>
                <w:rFonts w:ascii="Times New Roman" w:hAnsi="Times New Roman" w:cs="Times New Roman"/>
                <w:sz w:val="18"/>
                <w:szCs w:val="18"/>
                <w:vertAlign w:val="subscript"/>
              </w:rPr>
              <w:t>Ni0</w:t>
            </w:r>
            <w:r w:rsidRPr="00DC01DD">
              <w:rPr>
                <w:rFonts w:ascii="Times New Roman" w:hAnsi="Times New Roman" w:cs="Times New Roman"/>
                <w:sz w:val="18"/>
                <w:szCs w:val="18"/>
                <w:vertAlign w:val="superscript"/>
              </w:rPr>
              <w:t xml:space="preserve">c </w:t>
            </w:r>
            <w:r w:rsidR="00A27DBB" w:rsidRPr="00DC01DD">
              <w:rPr>
                <w:rFonts w:ascii="Times New Roman" w:hAnsi="Times New Roman" w:cs="Times New Roman"/>
                <w:sz w:val="18"/>
                <w:szCs w:val="18"/>
              </w:rPr>
              <w:t>(</w:t>
            </w:r>
            <w:proofErr w:type="spellStart"/>
            <w:r w:rsidR="00A27DBB" w:rsidRPr="00DC01DD">
              <w:rPr>
                <w:rFonts w:ascii="Times New Roman" w:hAnsi="Times New Roman" w:cs="Times New Roman"/>
                <w:sz w:val="18"/>
                <w:szCs w:val="18"/>
              </w:rPr>
              <w:t>nm</w:t>
            </w:r>
            <w:proofErr w:type="spellEnd"/>
            <w:r w:rsidR="00A27DBB" w:rsidRPr="00DC01DD">
              <w:rPr>
                <w:rFonts w:ascii="Times New Roman" w:hAnsi="Times New Roman" w:cs="Times New Roman"/>
                <w:sz w:val="18"/>
                <w:szCs w:val="18"/>
              </w:rPr>
              <w:t>)</w:t>
            </w:r>
            <w:r w:rsidR="00D37627">
              <w:rPr>
                <w:rFonts w:ascii="Times New Roman" w:hAnsi="Times New Roman" w:cs="Times New Roman"/>
                <w:sz w:val="18"/>
                <w:szCs w:val="18"/>
              </w:rPr>
              <w:t xml:space="preserve"> </w:t>
            </w:r>
          </w:p>
        </w:tc>
      </w:tr>
      <w:tr w:rsidR="00AA2098" w:rsidRPr="00DC01DD" w14:paraId="3A0744D3" w14:textId="46C9B01B" w:rsidTr="00DC01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369FC342" w14:textId="07019B0D" w:rsidR="00AA2098" w:rsidRPr="00DC01DD" w:rsidRDefault="00DC01DD" w:rsidP="004D1C09">
            <w:pPr>
              <w:jc w:val="center"/>
              <w:rPr>
                <w:rFonts w:ascii="Times New Roman" w:hAnsi="Times New Roman" w:cs="Times New Roman"/>
                <w:sz w:val="18"/>
                <w:szCs w:val="18"/>
              </w:rPr>
            </w:pPr>
            <w:r>
              <w:rPr>
                <w:rFonts w:ascii="Times New Roman" w:hAnsi="Times New Roman" w:cs="Times New Roman"/>
                <w:sz w:val="18"/>
                <w:szCs w:val="18"/>
              </w:rPr>
              <w:t>C</w:t>
            </w:r>
            <w:r w:rsidR="00A90CD3">
              <w:rPr>
                <w:rFonts w:ascii="Times New Roman" w:hAnsi="Times New Roman" w:cs="Times New Roman"/>
                <w:sz w:val="18"/>
                <w:szCs w:val="18"/>
              </w:rPr>
              <w:t>a</w:t>
            </w:r>
          </w:p>
        </w:tc>
        <w:tc>
          <w:tcPr>
            <w:tcW w:w="709" w:type="dxa"/>
          </w:tcPr>
          <w:p w14:paraId="2A129E1C" w14:textId="55C8AE0F"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2</w:t>
            </w:r>
          </w:p>
        </w:tc>
        <w:tc>
          <w:tcPr>
            <w:tcW w:w="1373" w:type="dxa"/>
          </w:tcPr>
          <w:p w14:paraId="27485790" w14:textId="45144E43"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0,005</w:t>
            </w:r>
          </w:p>
        </w:tc>
        <w:tc>
          <w:tcPr>
            <w:tcW w:w="1031" w:type="dxa"/>
          </w:tcPr>
          <w:p w14:paraId="1D53FC6B" w14:textId="1FBE7258"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w:t>
            </w:r>
          </w:p>
        </w:tc>
        <w:tc>
          <w:tcPr>
            <w:tcW w:w="856" w:type="dxa"/>
          </w:tcPr>
          <w:p w14:paraId="4275E23C" w14:textId="53F97759" w:rsidR="00AA2098" w:rsidRPr="00DC01DD" w:rsidRDefault="00A27DBB"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w:t>
            </w:r>
          </w:p>
        </w:tc>
      </w:tr>
      <w:tr w:rsidR="00AA2098" w:rsidRPr="00DC01DD" w14:paraId="69F302CB" w14:textId="3F74FD40" w:rsidTr="00DC01DD">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43E83615" w14:textId="0272E238"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Ca10NiO</w:t>
            </w:r>
          </w:p>
        </w:tc>
        <w:tc>
          <w:tcPr>
            <w:tcW w:w="709" w:type="dxa"/>
          </w:tcPr>
          <w:p w14:paraId="3E6F9EE4" w14:textId="0322721E"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16</w:t>
            </w:r>
          </w:p>
        </w:tc>
        <w:tc>
          <w:tcPr>
            <w:tcW w:w="1373" w:type="dxa"/>
          </w:tcPr>
          <w:p w14:paraId="5B2F73CF" w14:textId="75032939"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0,02</w:t>
            </w:r>
          </w:p>
        </w:tc>
        <w:tc>
          <w:tcPr>
            <w:tcW w:w="1031" w:type="dxa"/>
          </w:tcPr>
          <w:p w14:paraId="467AA404" w14:textId="10FB879E"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140</w:t>
            </w:r>
          </w:p>
        </w:tc>
        <w:tc>
          <w:tcPr>
            <w:tcW w:w="856" w:type="dxa"/>
          </w:tcPr>
          <w:p w14:paraId="062457D8" w14:textId="262F30B6" w:rsidR="00AA2098" w:rsidRPr="00DC01DD" w:rsidRDefault="00A27DBB"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6,7</w:t>
            </w:r>
          </w:p>
        </w:tc>
      </w:tr>
      <w:tr w:rsidR="00AA2098" w:rsidRPr="00DC01DD" w14:paraId="74B7268C" w14:textId="3B4AB9E8" w:rsidTr="00DC01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2ABF21AE" w14:textId="0C5D2157"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Ca15NiO</w:t>
            </w:r>
          </w:p>
        </w:tc>
        <w:tc>
          <w:tcPr>
            <w:tcW w:w="709" w:type="dxa"/>
          </w:tcPr>
          <w:p w14:paraId="017BD453" w14:textId="70D376D9"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46</w:t>
            </w:r>
          </w:p>
        </w:tc>
        <w:tc>
          <w:tcPr>
            <w:tcW w:w="1373" w:type="dxa"/>
          </w:tcPr>
          <w:p w14:paraId="068D2BE7" w14:textId="1F179FA1"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0,07</w:t>
            </w:r>
          </w:p>
        </w:tc>
        <w:tc>
          <w:tcPr>
            <w:tcW w:w="1031" w:type="dxa"/>
          </w:tcPr>
          <w:p w14:paraId="70D9F5C9" w14:textId="19A835CF"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129</w:t>
            </w:r>
          </w:p>
        </w:tc>
        <w:tc>
          <w:tcPr>
            <w:tcW w:w="856" w:type="dxa"/>
          </w:tcPr>
          <w:p w14:paraId="3CCADB37" w14:textId="0AB6CB67" w:rsidR="00AA2098" w:rsidRPr="00DC01DD" w:rsidRDefault="00A27DBB"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23</w:t>
            </w:r>
          </w:p>
        </w:tc>
      </w:tr>
      <w:tr w:rsidR="00AA2098" w:rsidRPr="00DC01DD" w14:paraId="4CE5EAC4" w14:textId="4D488FF7" w:rsidTr="00DC01DD">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314EB37C" w14:textId="6BD4B36A"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Ca20NiO</w:t>
            </w:r>
          </w:p>
        </w:tc>
        <w:tc>
          <w:tcPr>
            <w:tcW w:w="709" w:type="dxa"/>
          </w:tcPr>
          <w:p w14:paraId="334861CE" w14:textId="77C9410D"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36</w:t>
            </w:r>
          </w:p>
        </w:tc>
        <w:tc>
          <w:tcPr>
            <w:tcW w:w="1373" w:type="dxa"/>
          </w:tcPr>
          <w:p w14:paraId="7ADCF9CB" w14:textId="0FADA7B0"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0,05</w:t>
            </w:r>
          </w:p>
        </w:tc>
        <w:tc>
          <w:tcPr>
            <w:tcW w:w="1031" w:type="dxa"/>
          </w:tcPr>
          <w:p w14:paraId="0A67D869" w14:textId="06298FE5"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121</w:t>
            </w:r>
          </w:p>
        </w:tc>
        <w:tc>
          <w:tcPr>
            <w:tcW w:w="856" w:type="dxa"/>
          </w:tcPr>
          <w:p w14:paraId="73C7DF67" w14:textId="71B5B86F" w:rsidR="00AA2098" w:rsidRPr="00DC01DD" w:rsidRDefault="00A27DBB"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23</w:t>
            </w:r>
          </w:p>
        </w:tc>
      </w:tr>
      <w:tr w:rsidR="00AA2098" w:rsidRPr="00DC01DD" w14:paraId="122AE105" w14:textId="55D2691A" w:rsidTr="00DC01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2B6C4B01" w14:textId="01E0972A" w:rsidR="00AA2098" w:rsidRPr="00DC01DD" w:rsidRDefault="00DC01DD" w:rsidP="004D1C09">
            <w:pPr>
              <w:jc w:val="center"/>
              <w:rPr>
                <w:rFonts w:ascii="Times New Roman" w:hAnsi="Times New Roman" w:cs="Times New Roman"/>
                <w:sz w:val="18"/>
                <w:szCs w:val="18"/>
              </w:rPr>
            </w:pPr>
            <w:r>
              <w:rPr>
                <w:rFonts w:ascii="Times New Roman" w:hAnsi="Times New Roman" w:cs="Times New Roman"/>
                <w:sz w:val="18"/>
                <w:szCs w:val="18"/>
              </w:rPr>
              <w:t>Mg</w:t>
            </w:r>
          </w:p>
        </w:tc>
        <w:tc>
          <w:tcPr>
            <w:tcW w:w="709" w:type="dxa"/>
          </w:tcPr>
          <w:p w14:paraId="74862B1E" w14:textId="48464BF3"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94</w:t>
            </w:r>
          </w:p>
        </w:tc>
        <w:tc>
          <w:tcPr>
            <w:tcW w:w="1373" w:type="dxa"/>
          </w:tcPr>
          <w:p w14:paraId="5A312238" w14:textId="5DBF627D"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0,43</w:t>
            </w:r>
          </w:p>
        </w:tc>
        <w:tc>
          <w:tcPr>
            <w:tcW w:w="1031" w:type="dxa"/>
          </w:tcPr>
          <w:p w14:paraId="29FAB628" w14:textId="0381F2F3"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w:t>
            </w:r>
          </w:p>
        </w:tc>
        <w:tc>
          <w:tcPr>
            <w:tcW w:w="856" w:type="dxa"/>
          </w:tcPr>
          <w:p w14:paraId="0416FFDD" w14:textId="63716372" w:rsidR="00AA2098" w:rsidRPr="00DC01DD" w:rsidRDefault="00A27DBB"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w:t>
            </w:r>
          </w:p>
        </w:tc>
      </w:tr>
      <w:tr w:rsidR="00AA2098" w:rsidRPr="00DC01DD" w14:paraId="35C9529F" w14:textId="0162669B" w:rsidTr="00DC01DD">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1207310B" w14:textId="78DE7486"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Mg10NiO</w:t>
            </w:r>
          </w:p>
        </w:tc>
        <w:tc>
          <w:tcPr>
            <w:tcW w:w="709" w:type="dxa"/>
          </w:tcPr>
          <w:p w14:paraId="38F13DA0" w14:textId="642EF81F"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87</w:t>
            </w:r>
          </w:p>
        </w:tc>
        <w:tc>
          <w:tcPr>
            <w:tcW w:w="1373" w:type="dxa"/>
          </w:tcPr>
          <w:p w14:paraId="19D5F9AB" w14:textId="538F2E69"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0,37</w:t>
            </w:r>
          </w:p>
        </w:tc>
        <w:tc>
          <w:tcPr>
            <w:tcW w:w="1031" w:type="dxa"/>
          </w:tcPr>
          <w:p w14:paraId="40D7E718" w14:textId="06FA3207"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73</w:t>
            </w:r>
          </w:p>
        </w:tc>
        <w:tc>
          <w:tcPr>
            <w:tcW w:w="856" w:type="dxa"/>
          </w:tcPr>
          <w:p w14:paraId="3706E6F5" w14:textId="36D903AD" w:rsidR="00AA2098" w:rsidRPr="00DC01DD" w:rsidRDefault="00A27DBB"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7,0</w:t>
            </w:r>
          </w:p>
        </w:tc>
      </w:tr>
      <w:tr w:rsidR="00AA2098" w:rsidRPr="00DC01DD" w14:paraId="25622DCB" w14:textId="1ED703A6" w:rsidTr="00DC01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07735B82" w14:textId="09293EF4"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Mg15NiO</w:t>
            </w:r>
          </w:p>
        </w:tc>
        <w:tc>
          <w:tcPr>
            <w:tcW w:w="709" w:type="dxa"/>
          </w:tcPr>
          <w:p w14:paraId="6F8A311D" w14:textId="6B7D213B"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87</w:t>
            </w:r>
          </w:p>
        </w:tc>
        <w:tc>
          <w:tcPr>
            <w:tcW w:w="1373" w:type="dxa"/>
          </w:tcPr>
          <w:p w14:paraId="238B09CB" w14:textId="3DF1DEE5"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0,35</w:t>
            </w:r>
          </w:p>
        </w:tc>
        <w:tc>
          <w:tcPr>
            <w:tcW w:w="1031" w:type="dxa"/>
          </w:tcPr>
          <w:p w14:paraId="280365B9" w14:textId="79604E0E" w:rsidR="00AA2098" w:rsidRPr="00DC01DD" w:rsidRDefault="00AA2098"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64</w:t>
            </w:r>
          </w:p>
        </w:tc>
        <w:tc>
          <w:tcPr>
            <w:tcW w:w="856" w:type="dxa"/>
          </w:tcPr>
          <w:p w14:paraId="39B3B08D" w14:textId="0507C2C4" w:rsidR="00AA2098" w:rsidRPr="00DC01DD" w:rsidRDefault="00A27DBB" w:rsidP="004D1C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7,3</w:t>
            </w:r>
          </w:p>
        </w:tc>
      </w:tr>
      <w:tr w:rsidR="00AA2098" w:rsidRPr="00DC01DD" w14:paraId="66C6FD89" w14:textId="3D88E25F" w:rsidTr="00DC01DD">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1242C1A8" w14:textId="7AF94F07" w:rsidR="00AA2098" w:rsidRPr="00DC01DD" w:rsidRDefault="00AA2098" w:rsidP="004D1C09">
            <w:pPr>
              <w:jc w:val="center"/>
              <w:rPr>
                <w:rFonts w:ascii="Times New Roman" w:hAnsi="Times New Roman" w:cs="Times New Roman"/>
                <w:sz w:val="18"/>
                <w:szCs w:val="18"/>
              </w:rPr>
            </w:pPr>
            <w:r w:rsidRPr="00DC01DD">
              <w:rPr>
                <w:rFonts w:ascii="Times New Roman" w:hAnsi="Times New Roman" w:cs="Times New Roman"/>
                <w:sz w:val="18"/>
                <w:szCs w:val="18"/>
              </w:rPr>
              <w:t>Mg20NiO</w:t>
            </w:r>
          </w:p>
        </w:tc>
        <w:tc>
          <w:tcPr>
            <w:tcW w:w="709" w:type="dxa"/>
          </w:tcPr>
          <w:p w14:paraId="260C02D4" w14:textId="120DEBD5"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83</w:t>
            </w:r>
          </w:p>
        </w:tc>
        <w:tc>
          <w:tcPr>
            <w:tcW w:w="1373" w:type="dxa"/>
          </w:tcPr>
          <w:p w14:paraId="35D54CB8" w14:textId="4EFB0903"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0,32</w:t>
            </w:r>
          </w:p>
        </w:tc>
        <w:tc>
          <w:tcPr>
            <w:tcW w:w="1031" w:type="dxa"/>
          </w:tcPr>
          <w:p w14:paraId="52ECF02E" w14:textId="427ADE4A" w:rsidR="00AA2098" w:rsidRPr="00DC01DD" w:rsidRDefault="00AA2098"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52</w:t>
            </w:r>
          </w:p>
        </w:tc>
        <w:tc>
          <w:tcPr>
            <w:tcW w:w="856" w:type="dxa"/>
          </w:tcPr>
          <w:p w14:paraId="4761257C" w14:textId="493F33F7" w:rsidR="00AA2098" w:rsidRPr="00DC01DD" w:rsidRDefault="00A27DBB" w:rsidP="004D1C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8,3</w:t>
            </w:r>
          </w:p>
        </w:tc>
      </w:tr>
    </w:tbl>
    <w:p w14:paraId="25B63377" w14:textId="0D3ECEA2" w:rsidR="00F82B16" w:rsidRDefault="00D37627" w:rsidP="00D37627">
      <w:pPr>
        <w:spacing w:after="0" w:line="240" w:lineRule="exact"/>
        <w:jc w:val="both"/>
        <w:rPr>
          <w:rFonts w:ascii="Times New Roman" w:hAnsi="Times New Roman" w:cs="Times New Roman"/>
          <w:sz w:val="18"/>
          <w:szCs w:val="18"/>
        </w:rPr>
      </w:pPr>
      <w:proofErr w:type="spellStart"/>
      <w:r w:rsidRPr="00D37627">
        <w:rPr>
          <w:rFonts w:ascii="Times New Roman" w:hAnsi="Times New Roman" w:cs="Times New Roman"/>
          <w:sz w:val="18"/>
          <w:szCs w:val="18"/>
          <w:vertAlign w:val="superscript"/>
        </w:rPr>
        <w:t>a</w:t>
      </w:r>
      <w:r>
        <w:rPr>
          <w:rFonts w:ascii="Times New Roman" w:hAnsi="Times New Roman" w:cs="Times New Roman"/>
          <w:sz w:val="18"/>
          <w:szCs w:val="18"/>
        </w:rPr>
        <w:t>método</w:t>
      </w:r>
      <w:proofErr w:type="spellEnd"/>
      <w:r>
        <w:rPr>
          <w:rFonts w:ascii="Times New Roman" w:hAnsi="Times New Roman" w:cs="Times New Roman"/>
          <w:sz w:val="18"/>
          <w:szCs w:val="18"/>
        </w:rPr>
        <w:t xml:space="preserve"> </w:t>
      </w:r>
      <w:r w:rsidR="00F82B16" w:rsidRPr="00D37627">
        <w:rPr>
          <w:rFonts w:ascii="Times New Roman" w:hAnsi="Times New Roman" w:cs="Times New Roman"/>
          <w:sz w:val="18"/>
          <w:szCs w:val="18"/>
        </w:rPr>
        <w:t>BJH</w:t>
      </w:r>
      <w:r w:rsidR="00F82B16" w:rsidRPr="00194F96">
        <w:rPr>
          <w:rFonts w:ascii="Times New Roman" w:hAnsi="Times New Roman" w:cs="Times New Roman"/>
          <w:sz w:val="18"/>
          <w:szCs w:val="18"/>
        </w:rPr>
        <w:t xml:space="preserve">; </w:t>
      </w:r>
      <w:proofErr w:type="spellStart"/>
      <w:r w:rsidR="00F82B16" w:rsidRPr="00194F96">
        <w:rPr>
          <w:rFonts w:ascii="Times New Roman" w:hAnsi="Times New Roman" w:cs="Times New Roman"/>
          <w:sz w:val="18"/>
          <w:szCs w:val="18"/>
          <w:vertAlign w:val="superscript"/>
        </w:rPr>
        <w:t>b</w:t>
      </w:r>
      <w:r>
        <w:rPr>
          <w:rFonts w:ascii="Times New Roman" w:hAnsi="Times New Roman" w:cs="Times New Roman"/>
          <w:sz w:val="18"/>
          <w:szCs w:val="18"/>
        </w:rPr>
        <w:t>r</w:t>
      </w:r>
      <w:r w:rsidR="00F82B16" w:rsidRPr="00194F96">
        <w:rPr>
          <w:rFonts w:ascii="Times New Roman" w:hAnsi="Times New Roman" w:cs="Times New Roman"/>
          <w:sz w:val="18"/>
          <w:szCs w:val="18"/>
        </w:rPr>
        <w:t>esultados</w:t>
      </w:r>
      <w:proofErr w:type="spellEnd"/>
      <w:r w:rsidR="00F82B16" w:rsidRPr="00194F96">
        <w:rPr>
          <w:rFonts w:ascii="Times New Roman" w:hAnsi="Times New Roman" w:cs="Times New Roman"/>
          <w:sz w:val="18"/>
          <w:szCs w:val="18"/>
        </w:rPr>
        <w:t xml:space="preserve"> provenientes dos experimentos RTP</w:t>
      </w:r>
      <w:r w:rsidR="00A27DBB" w:rsidRPr="00194F96">
        <w:rPr>
          <w:rFonts w:ascii="Times New Roman" w:hAnsi="Times New Roman" w:cs="Times New Roman"/>
          <w:sz w:val="18"/>
          <w:szCs w:val="18"/>
        </w:rPr>
        <w:t xml:space="preserve">; </w:t>
      </w:r>
      <w:proofErr w:type="spellStart"/>
      <w:r w:rsidR="00A27DBB" w:rsidRPr="00194F96">
        <w:rPr>
          <w:rFonts w:ascii="Times New Roman" w:hAnsi="Times New Roman" w:cs="Times New Roman"/>
          <w:sz w:val="18"/>
          <w:szCs w:val="18"/>
          <w:vertAlign w:val="superscript"/>
        </w:rPr>
        <w:t>c</w:t>
      </w:r>
      <w:r w:rsidR="00A27DBB" w:rsidRPr="00194F96">
        <w:rPr>
          <w:rFonts w:ascii="Times New Roman" w:hAnsi="Times New Roman" w:cs="Times New Roman"/>
          <w:sz w:val="18"/>
          <w:szCs w:val="18"/>
        </w:rPr>
        <w:t>Diâmetro</w:t>
      </w:r>
      <w:proofErr w:type="spellEnd"/>
      <w:r w:rsidR="00A27DBB" w:rsidRPr="00194F96">
        <w:rPr>
          <w:rFonts w:ascii="Times New Roman" w:hAnsi="Times New Roman" w:cs="Times New Roman"/>
          <w:sz w:val="18"/>
          <w:szCs w:val="18"/>
        </w:rPr>
        <w:t xml:space="preserve"> médio dos cristalitos de níquel metálico, 2θ = 52°</w:t>
      </w:r>
    </w:p>
    <w:p w14:paraId="6B4AAD93" w14:textId="29E9F41F" w:rsidR="00852486" w:rsidRDefault="00852486" w:rsidP="002564E4">
      <w:pPr>
        <w:spacing w:after="0" w:line="240" w:lineRule="exact"/>
        <w:ind w:firstLine="204"/>
        <w:jc w:val="both"/>
        <w:rPr>
          <w:rFonts w:ascii="Times New Roman" w:hAnsi="Times New Roman" w:cs="Times New Roman"/>
          <w:sz w:val="20"/>
          <w:szCs w:val="20"/>
        </w:rPr>
      </w:pPr>
    </w:p>
    <w:p w14:paraId="4FAB6572" w14:textId="0D122E5C" w:rsidR="000B5CA7" w:rsidRDefault="00DA52D5" w:rsidP="002564E4">
      <w:pPr>
        <w:spacing w:after="0" w:line="240" w:lineRule="exact"/>
        <w:ind w:firstLine="204"/>
        <w:jc w:val="both"/>
        <w:rPr>
          <w:rFonts w:ascii="Times New Roman" w:hAnsi="Times New Roman" w:cs="Times New Roman"/>
          <w:sz w:val="20"/>
          <w:szCs w:val="20"/>
        </w:rPr>
      </w:pPr>
      <w:r w:rsidRPr="00DA52D5">
        <w:rPr>
          <w:rFonts w:ascii="Times New Roman" w:hAnsi="Times New Roman" w:cs="Times New Roman"/>
          <w:sz w:val="20"/>
          <w:szCs w:val="20"/>
        </w:rPr>
        <w:t xml:space="preserve">O </w:t>
      </w:r>
      <w:r w:rsidR="0066314C" w:rsidRPr="0066314C">
        <w:rPr>
          <w:rFonts w:ascii="Times New Roman" w:hAnsi="Times New Roman" w:cs="Times New Roman"/>
          <w:sz w:val="20"/>
          <w:szCs w:val="20"/>
        </w:rPr>
        <w:t xml:space="preserve">perfil de redução </w:t>
      </w:r>
      <w:r w:rsidR="000B5CA7">
        <w:rPr>
          <w:rFonts w:ascii="Times New Roman" w:hAnsi="Times New Roman" w:cs="Times New Roman"/>
          <w:sz w:val="20"/>
          <w:szCs w:val="20"/>
        </w:rPr>
        <w:t xml:space="preserve">(RTP) das amostras suportadas em aluminato de magnésio </w:t>
      </w:r>
      <w:r w:rsidR="00335B2D">
        <w:rPr>
          <w:rFonts w:ascii="Times New Roman" w:hAnsi="Times New Roman" w:cs="Times New Roman"/>
          <w:sz w:val="20"/>
          <w:szCs w:val="20"/>
        </w:rPr>
        <w:t>apresentou</w:t>
      </w:r>
      <w:r w:rsidR="000B5CA7">
        <w:rPr>
          <w:rFonts w:ascii="Times New Roman" w:hAnsi="Times New Roman" w:cs="Times New Roman"/>
          <w:sz w:val="20"/>
          <w:szCs w:val="20"/>
        </w:rPr>
        <w:t xml:space="preserve"> uma região de maior consumo de hidrogênio com máximo a 450</w:t>
      </w:r>
      <w:r w:rsidR="006F630F">
        <w:rPr>
          <w:rFonts w:ascii="Times New Roman" w:hAnsi="Times New Roman" w:cs="Times New Roman"/>
          <w:sz w:val="20"/>
          <w:szCs w:val="20"/>
        </w:rPr>
        <w:t xml:space="preserve"> </w:t>
      </w:r>
      <w:proofErr w:type="spellStart"/>
      <w:r w:rsidR="000B5CA7" w:rsidRPr="000B5CA7">
        <w:rPr>
          <w:rFonts w:ascii="Times New Roman" w:hAnsi="Times New Roman" w:cs="Times New Roman"/>
          <w:sz w:val="20"/>
          <w:szCs w:val="20"/>
          <w:vertAlign w:val="superscript"/>
        </w:rPr>
        <w:t>o</w:t>
      </w:r>
      <w:r w:rsidR="000B5CA7">
        <w:rPr>
          <w:rFonts w:ascii="Times New Roman" w:hAnsi="Times New Roman" w:cs="Times New Roman"/>
          <w:sz w:val="20"/>
          <w:szCs w:val="20"/>
        </w:rPr>
        <w:t>C</w:t>
      </w:r>
      <w:proofErr w:type="spellEnd"/>
      <w:r w:rsidR="00335B2D">
        <w:rPr>
          <w:rFonts w:ascii="Times New Roman" w:hAnsi="Times New Roman" w:cs="Times New Roman"/>
          <w:sz w:val="20"/>
          <w:szCs w:val="20"/>
        </w:rPr>
        <w:t>,</w:t>
      </w:r>
      <w:r w:rsidR="000B5CA7">
        <w:rPr>
          <w:rFonts w:ascii="Times New Roman" w:hAnsi="Times New Roman" w:cs="Times New Roman"/>
          <w:sz w:val="20"/>
          <w:szCs w:val="20"/>
        </w:rPr>
        <w:t xml:space="preserve"> e uma região de menor consumo centrada a 650</w:t>
      </w:r>
      <w:r w:rsidR="006F630F">
        <w:rPr>
          <w:rFonts w:ascii="Times New Roman" w:hAnsi="Times New Roman" w:cs="Times New Roman"/>
          <w:sz w:val="20"/>
          <w:szCs w:val="20"/>
        </w:rPr>
        <w:t xml:space="preserve"> </w:t>
      </w:r>
      <w:proofErr w:type="spellStart"/>
      <w:r w:rsidR="000B5CA7" w:rsidRPr="000B5CA7">
        <w:rPr>
          <w:rFonts w:ascii="Times New Roman" w:hAnsi="Times New Roman" w:cs="Times New Roman"/>
          <w:sz w:val="20"/>
          <w:szCs w:val="20"/>
          <w:vertAlign w:val="superscript"/>
        </w:rPr>
        <w:t>o</w:t>
      </w:r>
      <w:r w:rsidR="000B5CA7">
        <w:rPr>
          <w:rFonts w:ascii="Times New Roman" w:hAnsi="Times New Roman" w:cs="Times New Roman"/>
          <w:sz w:val="20"/>
          <w:szCs w:val="20"/>
        </w:rPr>
        <w:t>C.</w:t>
      </w:r>
      <w:proofErr w:type="spellEnd"/>
      <w:r w:rsidR="000B5CA7">
        <w:rPr>
          <w:rFonts w:ascii="Times New Roman" w:hAnsi="Times New Roman" w:cs="Times New Roman"/>
          <w:sz w:val="20"/>
          <w:szCs w:val="20"/>
        </w:rPr>
        <w:t xml:space="preserve"> </w:t>
      </w:r>
      <w:r w:rsidR="00335B2D">
        <w:rPr>
          <w:rFonts w:ascii="Times New Roman" w:hAnsi="Times New Roman" w:cs="Times New Roman"/>
          <w:sz w:val="20"/>
          <w:szCs w:val="20"/>
        </w:rPr>
        <w:t>O</w:t>
      </w:r>
      <w:r w:rsidR="000B5CA7">
        <w:rPr>
          <w:rFonts w:ascii="Times New Roman" w:hAnsi="Times New Roman" w:cs="Times New Roman"/>
          <w:sz w:val="20"/>
          <w:szCs w:val="20"/>
        </w:rPr>
        <w:t>bservou</w:t>
      </w:r>
      <w:r w:rsidR="00335B2D">
        <w:rPr>
          <w:rFonts w:ascii="Times New Roman" w:hAnsi="Times New Roman" w:cs="Times New Roman"/>
          <w:sz w:val="20"/>
          <w:szCs w:val="20"/>
        </w:rPr>
        <w:t>-se</w:t>
      </w:r>
      <w:r w:rsidR="000B5CA7">
        <w:rPr>
          <w:rFonts w:ascii="Times New Roman" w:hAnsi="Times New Roman" w:cs="Times New Roman"/>
          <w:sz w:val="20"/>
          <w:szCs w:val="20"/>
        </w:rPr>
        <w:t xml:space="preserve"> ainda uma tend</w:t>
      </w:r>
      <w:r w:rsidR="00335B2D">
        <w:rPr>
          <w:rFonts w:ascii="Times New Roman" w:hAnsi="Times New Roman" w:cs="Times New Roman"/>
          <w:sz w:val="20"/>
          <w:szCs w:val="20"/>
        </w:rPr>
        <w:t>ê</w:t>
      </w:r>
      <w:r w:rsidR="000B5CA7">
        <w:rPr>
          <w:rFonts w:ascii="Times New Roman" w:hAnsi="Times New Roman" w:cs="Times New Roman"/>
          <w:sz w:val="20"/>
          <w:szCs w:val="20"/>
        </w:rPr>
        <w:t xml:space="preserve">ncia de aumento do grau de redução com a diminuição do teor de </w:t>
      </w:r>
      <w:proofErr w:type="spellStart"/>
      <w:r w:rsidR="000B5CA7">
        <w:rPr>
          <w:rFonts w:ascii="Times New Roman" w:hAnsi="Times New Roman" w:cs="Times New Roman"/>
          <w:sz w:val="20"/>
          <w:szCs w:val="20"/>
        </w:rPr>
        <w:t>NiO</w:t>
      </w:r>
      <w:proofErr w:type="spellEnd"/>
      <w:r w:rsidR="00540639">
        <w:rPr>
          <w:rFonts w:ascii="Times New Roman" w:hAnsi="Times New Roman" w:cs="Times New Roman"/>
          <w:sz w:val="20"/>
          <w:szCs w:val="20"/>
        </w:rPr>
        <w:t xml:space="preserve"> (Tabela 1)</w:t>
      </w:r>
      <w:r w:rsidR="000B5CA7">
        <w:rPr>
          <w:rFonts w:ascii="Times New Roman" w:hAnsi="Times New Roman" w:cs="Times New Roman"/>
          <w:sz w:val="20"/>
          <w:szCs w:val="20"/>
        </w:rPr>
        <w:t>. Os perfis de redução (RTP) das amostras suportadas em aluminato de cálcio foram complex</w:t>
      </w:r>
      <w:r w:rsidR="00335B2D">
        <w:rPr>
          <w:rFonts w:ascii="Times New Roman" w:hAnsi="Times New Roman" w:cs="Times New Roman"/>
          <w:sz w:val="20"/>
          <w:szCs w:val="20"/>
        </w:rPr>
        <w:t>o</w:t>
      </w:r>
      <w:r w:rsidR="000B5CA7">
        <w:rPr>
          <w:rFonts w:ascii="Times New Roman" w:hAnsi="Times New Roman" w:cs="Times New Roman"/>
          <w:sz w:val="20"/>
          <w:szCs w:val="20"/>
        </w:rPr>
        <w:t>s</w:t>
      </w:r>
      <w:r w:rsidR="00335B2D">
        <w:rPr>
          <w:rFonts w:ascii="Times New Roman" w:hAnsi="Times New Roman" w:cs="Times New Roman"/>
          <w:sz w:val="20"/>
          <w:szCs w:val="20"/>
        </w:rPr>
        <w:t>,</w:t>
      </w:r>
      <w:r w:rsidR="000B5CA7">
        <w:rPr>
          <w:rFonts w:ascii="Times New Roman" w:hAnsi="Times New Roman" w:cs="Times New Roman"/>
          <w:sz w:val="20"/>
          <w:szCs w:val="20"/>
        </w:rPr>
        <w:t xml:space="preserve"> com múltiplas regiões</w:t>
      </w:r>
      <w:r w:rsidR="00B03FBF">
        <w:rPr>
          <w:rFonts w:ascii="Times New Roman" w:hAnsi="Times New Roman" w:cs="Times New Roman"/>
          <w:sz w:val="20"/>
          <w:szCs w:val="20"/>
        </w:rPr>
        <w:t xml:space="preserve"> de consumo </w:t>
      </w:r>
      <w:r w:rsidR="00335B2D">
        <w:rPr>
          <w:rFonts w:ascii="Times New Roman" w:hAnsi="Times New Roman" w:cs="Times New Roman"/>
          <w:sz w:val="20"/>
          <w:szCs w:val="20"/>
        </w:rPr>
        <w:t xml:space="preserve">de hidrogênio </w:t>
      </w:r>
      <w:r w:rsidR="00B03FBF">
        <w:rPr>
          <w:rFonts w:ascii="Times New Roman" w:hAnsi="Times New Roman" w:cs="Times New Roman"/>
          <w:sz w:val="20"/>
          <w:szCs w:val="20"/>
        </w:rPr>
        <w:t>a partir de 250</w:t>
      </w:r>
      <w:r w:rsidR="000C205E">
        <w:rPr>
          <w:rFonts w:ascii="Times New Roman" w:hAnsi="Times New Roman" w:cs="Times New Roman"/>
          <w:sz w:val="20"/>
          <w:szCs w:val="20"/>
        </w:rPr>
        <w:t xml:space="preserve"> </w:t>
      </w:r>
      <w:proofErr w:type="spellStart"/>
      <w:r w:rsidR="00B03FBF" w:rsidRPr="00B03FBF">
        <w:rPr>
          <w:rFonts w:ascii="Times New Roman" w:hAnsi="Times New Roman" w:cs="Times New Roman"/>
          <w:sz w:val="20"/>
          <w:szCs w:val="20"/>
          <w:vertAlign w:val="superscript"/>
        </w:rPr>
        <w:t>o</w:t>
      </w:r>
      <w:r w:rsidR="00B03FBF">
        <w:rPr>
          <w:rFonts w:ascii="Times New Roman" w:hAnsi="Times New Roman" w:cs="Times New Roman"/>
          <w:sz w:val="20"/>
          <w:szCs w:val="20"/>
        </w:rPr>
        <w:t>C</w:t>
      </w:r>
      <w:r w:rsidR="000B5CA7">
        <w:rPr>
          <w:rFonts w:ascii="Times New Roman" w:hAnsi="Times New Roman" w:cs="Times New Roman"/>
          <w:sz w:val="20"/>
          <w:szCs w:val="20"/>
        </w:rPr>
        <w:t>.</w:t>
      </w:r>
      <w:proofErr w:type="spellEnd"/>
      <w:r w:rsidR="00B03FBF">
        <w:rPr>
          <w:rFonts w:ascii="Times New Roman" w:hAnsi="Times New Roman" w:cs="Times New Roman"/>
          <w:sz w:val="20"/>
          <w:szCs w:val="20"/>
        </w:rPr>
        <w:t xml:space="preserve"> O grau de redução foi superior a 100% </w:t>
      </w:r>
      <w:r w:rsidR="00540639">
        <w:rPr>
          <w:rFonts w:ascii="Times New Roman" w:hAnsi="Times New Roman" w:cs="Times New Roman"/>
          <w:sz w:val="20"/>
          <w:szCs w:val="20"/>
        </w:rPr>
        <w:t>(Tabela 1)</w:t>
      </w:r>
      <w:r w:rsidR="005C4E9C">
        <w:rPr>
          <w:rFonts w:ascii="Times New Roman" w:hAnsi="Times New Roman" w:cs="Times New Roman"/>
          <w:sz w:val="20"/>
          <w:szCs w:val="20"/>
        </w:rPr>
        <w:t>,</w:t>
      </w:r>
      <w:r w:rsidR="00540639">
        <w:rPr>
          <w:rFonts w:ascii="Times New Roman" w:hAnsi="Times New Roman" w:cs="Times New Roman"/>
          <w:sz w:val="20"/>
          <w:szCs w:val="20"/>
        </w:rPr>
        <w:t xml:space="preserve"> sendo uma hipótese</w:t>
      </w:r>
      <w:r w:rsidR="006C4C72">
        <w:rPr>
          <w:rFonts w:ascii="Times New Roman" w:hAnsi="Times New Roman" w:cs="Times New Roman"/>
          <w:sz w:val="20"/>
          <w:szCs w:val="20"/>
        </w:rPr>
        <w:t>,</w:t>
      </w:r>
      <w:r w:rsidR="00540639">
        <w:rPr>
          <w:rFonts w:ascii="Times New Roman" w:hAnsi="Times New Roman" w:cs="Times New Roman"/>
          <w:sz w:val="20"/>
          <w:szCs w:val="20"/>
        </w:rPr>
        <w:t xml:space="preserve"> </w:t>
      </w:r>
      <w:r w:rsidR="005C4E9C">
        <w:rPr>
          <w:rFonts w:ascii="Times New Roman" w:hAnsi="Times New Roman" w:cs="Times New Roman"/>
          <w:sz w:val="20"/>
          <w:szCs w:val="20"/>
        </w:rPr>
        <w:t>a presença de</w:t>
      </w:r>
      <w:r w:rsidR="00B03FBF">
        <w:rPr>
          <w:rFonts w:ascii="Times New Roman" w:hAnsi="Times New Roman" w:cs="Times New Roman"/>
          <w:sz w:val="20"/>
          <w:szCs w:val="20"/>
        </w:rPr>
        <w:t xml:space="preserve"> espécies adsorvidas no suporte que não foram completamente</w:t>
      </w:r>
      <w:r w:rsidR="00E75D5B">
        <w:rPr>
          <w:rFonts w:ascii="Times New Roman" w:hAnsi="Times New Roman" w:cs="Times New Roman"/>
          <w:sz w:val="20"/>
          <w:szCs w:val="20"/>
        </w:rPr>
        <w:t xml:space="preserve"> </w:t>
      </w:r>
      <w:r w:rsidR="0074085F">
        <w:rPr>
          <w:rFonts w:ascii="Times New Roman" w:hAnsi="Times New Roman" w:cs="Times New Roman"/>
          <w:sz w:val="20"/>
          <w:szCs w:val="20"/>
        </w:rPr>
        <w:t>eliminadas</w:t>
      </w:r>
      <w:r w:rsidR="0066314C">
        <w:rPr>
          <w:rFonts w:ascii="Times New Roman" w:hAnsi="Times New Roman" w:cs="Times New Roman"/>
          <w:sz w:val="20"/>
          <w:szCs w:val="20"/>
        </w:rPr>
        <w:t xml:space="preserve"> por calcinação</w:t>
      </w:r>
      <w:r w:rsidR="0066314C" w:rsidRPr="0066314C">
        <w:rPr>
          <w:rFonts w:ascii="Times New Roman" w:hAnsi="Times New Roman" w:cs="Times New Roman"/>
          <w:sz w:val="20"/>
          <w:szCs w:val="20"/>
        </w:rPr>
        <w:t xml:space="preserve"> a 450</w:t>
      </w:r>
      <w:r w:rsidR="006F630F">
        <w:rPr>
          <w:rFonts w:ascii="Times New Roman" w:hAnsi="Times New Roman" w:cs="Times New Roman"/>
          <w:sz w:val="20"/>
          <w:szCs w:val="20"/>
        </w:rPr>
        <w:t xml:space="preserve"> </w:t>
      </w:r>
      <w:r w:rsidR="0066314C" w:rsidRPr="0066314C">
        <w:rPr>
          <w:rFonts w:ascii="Times New Roman" w:hAnsi="Times New Roman" w:cs="Times New Roman"/>
          <w:sz w:val="20"/>
          <w:szCs w:val="20"/>
        </w:rPr>
        <w:t>°</w:t>
      </w:r>
      <w:r w:rsidR="005C4E9C" w:rsidRPr="0066314C">
        <w:rPr>
          <w:rFonts w:ascii="Times New Roman" w:hAnsi="Times New Roman" w:cs="Times New Roman"/>
          <w:sz w:val="20"/>
          <w:szCs w:val="20"/>
        </w:rPr>
        <w:t>C</w:t>
      </w:r>
      <w:r w:rsidR="005C4E9C">
        <w:rPr>
          <w:rFonts w:ascii="Times New Roman" w:hAnsi="Times New Roman" w:cs="Times New Roman"/>
          <w:sz w:val="20"/>
          <w:szCs w:val="20"/>
        </w:rPr>
        <w:t>, alterando</w:t>
      </w:r>
      <w:r w:rsidR="00540639">
        <w:rPr>
          <w:rFonts w:ascii="Times New Roman" w:hAnsi="Times New Roman" w:cs="Times New Roman"/>
          <w:sz w:val="20"/>
          <w:szCs w:val="20"/>
        </w:rPr>
        <w:t xml:space="preserve"> a medida do consumo de hidrogênio.</w:t>
      </w:r>
      <w:r w:rsidR="0066314C">
        <w:rPr>
          <w:rFonts w:ascii="Times New Roman" w:hAnsi="Times New Roman" w:cs="Times New Roman"/>
          <w:sz w:val="20"/>
          <w:szCs w:val="20"/>
        </w:rPr>
        <w:t xml:space="preserve"> </w:t>
      </w:r>
    </w:p>
    <w:p w14:paraId="6A5AACE7" w14:textId="579019CE" w:rsidR="00B03FBF" w:rsidRDefault="00642E81" w:rsidP="009268CC">
      <w:pPr>
        <w:tabs>
          <w:tab w:val="left" w:pos="1498"/>
        </w:tabs>
        <w:spacing w:after="0" w:line="240" w:lineRule="atLeast"/>
        <w:ind w:firstLine="204"/>
        <w:jc w:val="both"/>
        <w:rPr>
          <w:rFonts w:ascii="Times New Roman" w:hAnsi="Times New Roman" w:cs="Times New Roman"/>
          <w:sz w:val="20"/>
          <w:szCs w:val="20"/>
        </w:rPr>
      </w:pPr>
      <w:r>
        <w:rPr>
          <w:rFonts w:ascii="Times New Roman" w:hAnsi="Times New Roman" w:cs="Times New Roman"/>
          <w:sz w:val="20"/>
          <w:szCs w:val="20"/>
        </w:rPr>
        <w:t xml:space="preserve">Os catalisadores suportados em aluminato de magnésio se mostraram mais ativos e </w:t>
      </w:r>
      <w:r w:rsidR="00294EA6">
        <w:rPr>
          <w:rFonts w:ascii="Times New Roman" w:hAnsi="Times New Roman" w:cs="Times New Roman"/>
          <w:sz w:val="20"/>
          <w:szCs w:val="20"/>
        </w:rPr>
        <w:t xml:space="preserve">mais </w:t>
      </w:r>
      <w:r>
        <w:rPr>
          <w:rFonts w:ascii="Times New Roman" w:hAnsi="Times New Roman" w:cs="Times New Roman"/>
          <w:sz w:val="20"/>
          <w:szCs w:val="20"/>
        </w:rPr>
        <w:t>resistentes a desativação térmica</w:t>
      </w:r>
      <w:r w:rsidR="00987ECE">
        <w:rPr>
          <w:rFonts w:ascii="Times New Roman" w:hAnsi="Times New Roman" w:cs="Times New Roman"/>
          <w:sz w:val="20"/>
          <w:szCs w:val="20"/>
        </w:rPr>
        <w:t>,</w:t>
      </w:r>
      <w:r>
        <w:rPr>
          <w:rFonts w:ascii="Times New Roman" w:hAnsi="Times New Roman" w:cs="Times New Roman"/>
          <w:sz w:val="20"/>
          <w:szCs w:val="20"/>
        </w:rPr>
        <w:t xml:space="preserve"> do que os </w:t>
      </w:r>
      <w:r w:rsidR="0065584A">
        <w:rPr>
          <w:rFonts w:ascii="Times New Roman" w:hAnsi="Times New Roman" w:cs="Times New Roman"/>
          <w:sz w:val="20"/>
          <w:szCs w:val="20"/>
        </w:rPr>
        <w:t>suportados em</w:t>
      </w:r>
      <w:r>
        <w:rPr>
          <w:rFonts w:ascii="Times New Roman" w:hAnsi="Times New Roman" w:cs="Times New Roman"/>
          <w:sz w:val="20"/>
          <w:szCs w:val="20"/>
        </w:rPr>
        <w:t xml:space="preserve"> aluminato de cálcio (Tabela 2).</w:t>
      </w:r>
      <w:r w:rsidR="00AC2844">
        <w:rPr>
          <w:rFonts w:ascii="Times New Roman" w:hAnsi="Times New Roman" w:cs="Times New Roman"/>
          <w:sz w:val="20"/>
          <w:szCs w:val="20"/>
        </w:rPr>
        <w:t xml:space="preserve"> A atividade se mostrou similar para os materiais contendo 15 e 20% de </w:t>
      </w:r>
      <w:proofErr w:type="spellStart"/>
      <w:r w:rsidR="00AC2844">
        <w:rPr>
          <w:rFonts w:ascii="Times New Roman" w:hAnsi="Times New Roman" w:cs="Times New Roman"/>
          <w:sz w:val="20"/>
          <w:szCs w:val="20"/>
        </w:rPr>
        <w:t>NiO</w:t>
      </w:r>
      <w:proofErr w:type="spellEnd"/>
      <w:r w:rsidR="00EB5B6A">
        <w:rPr>
          <w:rFonts w:ascii="Times New Roman" w:hAnsi="Times New Roman" w:cs="Times New Roman"/>
          <w:sz w:val="20"/>
          <w:szCs w:val="20"/>
        </w:rPr>
        <w:t xml:space="preserve">. Bellot e colaboradores </w:t>
      </w:r>
      <w:r w:rsidR="00850FE9">
        <w:rPr>
          <w:rFonts w:ascii="Times New Roman" w:hAnsi="Times New Roman" w:cs="Times New Roman"/>
          <w:sz w:val="20"/>
          <w:szCs w:val="20"/>
        </w:rPr>
        <w:t>(</w:t>
      </w:r>
      <w:r w:rsidR="001028E4">
        <w:rPr>
          <w:rFonts w:ascii="Times New Roman" w:hAnsi="Times New Roman" w:cs="Times New Roman"/>
          <w:sz w:val="20"/>
          <w:szCs w:val="20"/>
        </w:rPr>
        <w:t>4</w:t>
      </w:r>
      <w:r w:rsidR="00850FE9">
        <w:rPr>
          <w:rFonts w:ascii="Times New Roman" w:hAnsi="Times New Roman" w:cs="Times New Roman"/>
          <w:sz w:val="20"/>
          <w:szCs w:val="20"/>
        </w:rPr>
        <w:t xml:space="preserve">) </w:t>
      </w:r>
      <w:r w:rsidR="00EB5B6A">
        <w:rPr>
          <w:rFonts w:ascii="Times New Roman" w:hAnsi="Times New Roman" w:cs="Times New Roman"/>
          <w:sz w:val="20"/>
          <w:szCs w:val="20"/>
        </w:rPr>
        <w:t xml:space="preserve">também observaram atividade inicial similar para catalisadores contendo 15 e 20% de </w:t>
      </w:r>
      <w:proofErr w:type="spellStart"/>
      <w:r w:rsidR="00EB5B6A">
        <w:rPr>
          <w:rFonts w:ascii="Times New Roman" w:hAnsi="Times New Roman" w:cs="Times New Roman"/>
          <w:sz w:val="20"/>
          <w:szCs w:val="20"/>
        </w:rPr>
        <w:t>NiO</w:t>
      </w:r>
      <w:proofErr w:type="spellEnd"/>
      <w:r w:rsidR="00EB5B6A">
        <w:rPr>
          <w:rFonts w:ascii="Times New Roman" w:hAnsi="Times New Roman" w:cs="Times New Roman"/>
          <w:sz w:val="20"/>
          <w:szCs w:val="20"/>
        </w:rPr>
        <w:t xml:space="preserve"> suportados em aluminato de </w:t>
      </w:r>
      <w:r w:rsidR="00987ECE">
        <w:rPr>
          <w:rFonts w:ascii="Times New Roman" w:hAnsi="Times New Roman" w:cs="Times New Roman"/>
          <w:sz w:val="20"/>
          <w:szCs w:val="20"/>
        </w:rPr>
        <w:t>magnésio</w:t>
      </w:r>
      <w:r w:rsidR="00850FE9">
        <w:rPr>
          <w:rFonts w:ascii="Times New Roman" w:hAnsi="Times New Roman" w:cs="Times New Roman"/>
          <w:sz w:val="20"/>
          <w:szCs w:val="20"/>
        </w:rPr>
        <w:t>,</w:t>
      </w:r>
      <w:r w:rsidR="00987ECE">
        <w:rPr>
          <w:rFonts w:ascii="Times New Roman" w:hAnsi="Times New Roman" w:cs="Times New Roman"/>
          <w:sz w:val="20"/>
          <w:szCs w:val="20"/>
        </w:rPr>
        <w:t xml:space="preserve"> na reação de</w:t>
      </w:r>
      <w:r w:rsidR="00EB5B6A">
        <w:rPr>
          <w:rFonts w:ascii="Times New Roman" w:hAnsi="Times New Roman" w:cs="Times New Roman"/>
          <w:sz w:val="20"/>
          <w:szCs w:val="20"/>
        </w:rPr>
        <w:t xml:space="preserve"> reforma a vapor do gás liquefeito de petróleo (GLP).</w:t>
      </w:r>
    </w:p>
    <w:p w14:paraId="38BBF1E1" w14:textId="77777777" w:rsidR="00642E81" w:rsidRDefault="00642E81" w:rsidP="009268CC">
      <w:pPr>
        <w:tabs>
          <w:tab w:val="left" w:pos="1498"/>
        </w:tabs>
        <w:spacing w:after="0" w:line="240" w:lineRule="atLeast"/>
        <w:ind w:firstLine="204"/>
        <w:jc w:val="both"/>
        <w:rPr>
          <w:rFonts w:ascii="Times New Roman" w:hAnsi="Times New Roman" w:cs="Times New Roman"/>
          <w:sz w:val="20"/>
          <w:szCs w:val="20"/>
        </w:rPr>
      </w:pPr>
    </w:p>
    <w:p w14:paraId="0FB73629" w14:textId="1F5DA957" w:rsidR="003C1D69" w:rsidRPr="00DC01DD" w:rsidRDefault="003C1D69" w:rsidP="003C1D69">
      <w:pPr>
        <w:tabs>
          <w:tab w:val="left" w:pos="1498"/>
        </w:tabs>
        <w:spacing w:after="0" w:line="240" w:lineRule="atLeast"/>
        <w:jc w:val="both"/>
        <w:rPr>
          <w:rFonts w:ascii="Times New Roman" w:hAnsi="Times New Roman" w:cs="Times New Roman"/>
          <w:sz w:val="18"/>
          <w:szCs w:val="18"/>
        </w:rPr>
      </w:pPr>
      <w:r w:rsidRPr="00DC01DD">
        <w:rPr>
          <w:rFonts w:ascii="Times New Roman" w:hAnsi="Times New Roman" w:cs="Times New Roman"/>
          <w:b/>
          <w:bCs/>
          <w:sz w:val="18"/>
          <w:szCs w:val="18"/>
        </w:rPr>
        <w:t>Tabela 2.</w:t>
      </w:r>
      <w:r w:rsidRPr="00DC01DD">
        <w:rPr>
          <w:rFonts w:ascii="Times New Roman" w:hAnsi="Times New Roman" w:cs="Times New Roman"/>
          <w:sz w:val="18"/>
          <w:szCs w:val="18"/>
        </w:rPr>
        <w:t xml:space="preserve"> </w:t>
      </w:r>
      <w:r>
        <w:rPr>
          <w:rFonts w:ascii="Times New Roman" w:hAnsi="Times New Roman" w:cs="Times New Roman"/>
          <w:sz w:val="18"/>
          <w:szCs w:val="18"/>
        </w:rPr>
        <w:t xml:space="preserve"> Atividade </w:t>
      </w:r>
      <w:r w:rsidR="00642E81">
        <w:rPr>
          <w:rFonts w:ascii="Times New Roman" w:hAnsi="Times New Roman" w:cs="Times New Roman"/>
          <w:sz w:val="18"/>
          <w:szCs w:val="18"/>
        </w:rPr>
        <w:t xml:space="preserve">em base mássica </w:t>
      </w:r>
      <w:r>
        <w:rPr>
          <w:rFonts w:ascii="Times New Roman" w:hAnsi="Times New Roman" w:cs="Times New Roman"/>
          <w:sz w:val="18"/>
          <w:szCs w:val="18"/>
        </w:rPr>
        <w:t>inicial e após desativação a 900</w:t>
      </w:r>
      <w:r w:rsidRPr="003C1D69">
        <w:rPr>
          <w:rFonts w:ascii="Times New Roman" w:hAnsi="Times New Roman" w:cs="Times New Roman"/>
          <w:sz w:val="18"/>
          <w:szCs w:val="18"/>
          <w:vertAlign w:val="superscript"/>
        </w:rPr>
        <w:t>o</w:t>
      </w:r>
      <w:r>
        <w:rPr>
          <w:rFonts w:ascii="Times New Roman" w:hAnsi="Times New Roman" w:cs="Times New Roman"/>
          <w:sz w:val="18"/>
          <w:szCs w:val="18"/>
        </w:rPr>
        <w:t>C na reação de reforma a vapor do metano a 550</w:t>
      </w:r>
      <w:r w:rsidRPr="003C1D69">
        <w:rPr>
          <w:rFonts w:ascii="Times New Roman" w:hAnsi="Times New Roman" w:cs="Times New Roman"/>
          <w:sz w:val="18"/>
          <w:szCs w:val="18"/>
          <w:vertAlign w:val="superscript"/>
        </w:rPr>
        <w:t>o</w:t>
      </w:r>
      <w:r>
        <w:rPr>
          <w:rFonts w:ascii="Times New Roman" w:hAnsi="Times New Roman" w:cs="Times New Roman"/>
          <w:sz w:val="18"/>
          <w:szCs w:val="18"/>
        </w:rPr>
        <w:t>C</w:t>
      </w:r>
    </w:p>
    <w:tbl>
      <w:tblPr>
        <w:tblStyle w:val="SimplesTabela2"/>
        <w:tblW w:w="4522" w:type="dxa"/>
        <w:tblInd w:w="5" w:type="dxa"/>
        <w:tblLook w:val="04A0" w:firstRow="1" w:lastRow="0" w:firstColumn="1" w:lastColumn="0" w:noHBand="0" w:noVBand="1"/>
      </w:tblPr>
      <w:tblGrid>
        <w:gridCol w:w="1696"/>
        <w:gridCol w:w="1413"/>
        <w:gridCol w:w="1413"/>
      </w:tblGrid>
      <w:tr w:rsidR="003C1D69" w:rsidRPr="00DC01DD" w14:paraId="53C5EADA" w14:textId="79496AF7" w:rsidTr="003C1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vAlign w:val="center"/>
          </w:tcPr>
          <w:p w14:paraId="7E048031" w14:textId="77777777" w:rsidR="003C1D69" w:rsidRPr="00DC01DD" w:rsidRDefault="003C1D69" w:rsidP="00B70A4F">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Amostra</w:t>
            </w:r>
          </w:p>
        </w:tc>
        <w:tc>
          <w:tcPr>
            <w:tcW w:w="1413" w:type="dxa"/>
            <w:tcBorders>
              <w:top w:val="single" w:sz="4" w:space="0" w:color="auto"/>
              <w:left w:val="single" w:sz="4" w:space="0" w:color="auto"/>
              <w:bottom w:val="single" w:sz="4" w:space="0" w:color="auto"/>
              <w:right w:val="single" w:sz="4" w:space="0" w:color="auto"/>
            </w:tcBorders>
            <w:vAlign w:val="center"/>
          </w:tcPr>
          <w:p w14:paraId="3841EA4A" w14:textId="4F720A0D" w:rsidR="003C1D69" w:rsidRPr="00DC01DD" w:rsidRDefault="003C1D69" w:rsidP="003C1D69">
            <w:pPr>
              <w:tabs>
                <w:tab w:val="left" w:pos="149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X% inicial (%)</w:t>
            </w:r>
          </w:p>
        </w:tc>
        <w:tc>
          <w:tcPr>
            <w:tcW w:w="1413" w:type="dxa"/>
            <w:tcBorders>
              <w:top w:val="single" w:sz="4" w:space="0" w:color="auto"/>
              <w:left w:val="single" w:sz="4" w:space="0" w:color="auto"/>
              <w:bottom w:val="single" w:sz="4" w:space="0" w:color="auto"/>
              <w:right w:val="single" w:sz="4" w:space="0" w:color="auto"/>
            </w:tcBorders>
          </w:tcPr>
          <w:p w14:paraId="10996BF0" w14:textId="7AA24A60" w:rsidR="003C1D69" w:rsidRDefault="003C1D69" w:rsidP="003C1D69">
            <w:pPr>
              <w:tabs>
                <w:tab w:val="left" w:pos="1498"/>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X% final (%)</w:t>
            </w:r>
          </w:p>
        </w:tc>
      </w:tr>
      <w:tr w:rsidR="003C1D69" w:rsidRPr="00DC01DD" w14:paraId="7ED99BEB" w14:textId="68CE805F" w:rsidTr="003C1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6ACFA275"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Ca10NiO</w:t>
            </w:r>
          </w:p>
        </w:tc>
        <w:tc>
          <w:tcPr>
            <w:tcW w:w="1413" w:type="dxa"/>
            <w:tcBorders>
              <w:top w:val="single" w:sz="4" w:space="0" w:color="auto"/>
              <w:left w:val="single" w:sz="4" w:space="0" w:color="auto"/>
              <w:bottom w:val="single" w:sz="4" w:space="0" w:color="auto"/>
              <w:right w:val="single" w:sz="4" w:space="0" w:color="auto"/>
            </w:tcBorders>
          </w:tcPr>
          <w:p w14:paraId="3A98469C" w14:textId="6A0E0DEE"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32,4</w:t>
            </w:r>
          </w:p>
        </w:tc>
        <w:tc>
          <w:tcPr>
            <w:tcW w:w="1413" w:type="dxa"/>
            <w:tcBorders>
              <w:top w:val="single" w:sz="4" w:space="0" w:color="auto"/>
              <w:left w:val="single" w:sz="4" w:space="0" w:color="auto"/>
              <w:bottom w:val="single" w:sz="4" w:space="0" w:color="auto"/>
              <w:right w:val="single" w:sz="4" w:space="0" w:color="auto"/>
            </w:tcBorders>
          </w:tcPr>
          <w:p w14:paraId="551FA077" w14:textId="57897929"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26,6</w:t>
            </w:r>
          </w:p>
        </w:tc>
      </w:tr>
      <w:tr w:rsidR="003C1D69" w:rsidRPr="00DC01DD" w14:paraId="39FDFBE9" w14:textId="395BDAE9" w:rsidTr="003C1D69">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7D3F90FC"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Ca15NiO</w:t>
            </w:r>
          </w:p>
        </w:tc>
        <w:tc>
          <w:tcPr>
            <w:tcW w:w="1413" w:type="dxa"/>
            <w:tcBorders>
              <w:top w:val="single" w:sz="4" w:space="0" w:color="auto"/>
              <w:left w:val="single" w:sz="4" w:space="0" w:color="auto"/>
              <w:bottom w:val="single" w:sz="4" w:space="0" w:color="auto"/>
              <w:right w:val="single" w:sz="4" w:space="0" w:color="auto"/>
            </w:tcBorders>
          </w:tcPr>
          <w:p w14:paraId="0AAA1540" w14:textId="1D702086"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40,8</w:t>
            </w:r>
          </w:p>
        </w:tc>
        <w:tc>
          <w:tcPr>
            <w:tcW w:w="1413" w:type="dxa"/>
            <w:tcBorders>
              <w:top w:val="single" w:sz="4" w:space="0" w:color="auto"/>
              <w:left w:val="single" w:sz="4" w:space="0" w:color="auto"/>
              <w:bottom w:val="single" w:sz="4" w:space="0" w:color="auto"/>
              <w:right w:val="single" w:sz="4" w:space="0" w:color="auto"/>
            </w:tcBorders>
          </w:tcPr>
          <w:p w14:paraId="13E9E2C8" w14:textId="608E8066"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28,1</w:t>
            </w:r>
          </w:p>
        </w:tc>
      </w:tr>
      <w:tr w:rsidR="003C1D69" w:rsidRPr="00DC01DD" w14:paraId="22FDD208" w14:textId="0EADC6BC" w:rsidTr="003C1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5FB5F44E"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Ca20NiO</w:t>
            </w:r>
          </w:p>
        </w:tc>
        <w:tc>
          <w:tcPr>
            <w:tcW w:w="1413" w:type="dxa"/>
            <w:tcBorders>
              <w:top w:val="single" w:sz="4" w:space="0" w:color="auto"/>
              <w:left w:val="single" w:sz="4" w:space="0" w:color="auto"/>
              <w:bottom w:val="single" w:sz="4" w:space="0" w:color="auto"/>
              <w:right w:val="single" w:sz="4" w:space="0" w:color="auto"/>
            </w:tcBorders>
          </w:tcPr>
          <w:p w14:paraId="626A4C4B" w14:textId="46F1788C"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45,9</w:t>
            </w:r>
          </w:p>
        </w:tc>
        <w:tc>
          <w:tcPr>
            <w:tcW w:w="1413" w:type="dxa"/>
            <w:tcBorders>
              <w:top w:val="single" w:sz="4" w:space="0" w:color="auto"/>
              <w:left w:val="single" w:sz="4" w:space="0" w:color="auto"/>
              <w:bottom w:val="single" w:sz="4" w:space="0" w:color="auto"/>
              <w:right w:val="single" w:sz="4" w:space="0" w:color="auto"/>
            </w:tcBorders>
          </w:tcPr>
          <w:p w14:paraId="3BADD6FD" w14:textId="672FD073"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28,1</w:t>
            </w:r>
          </w:p>
        </w:tc>
      </w:tr>
      <w:tr w:rsidR="003C1D69" w:rsidRPr="00DC01DD" w14:paraId="2E4A4EEC" w14:textId="171D86B3" w:rsidTr="003C1D69">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7E6F4F40"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Mg10NiO</w:t>
            </w:r>
          </w:p>
        </w:tc>
        <w:tc>
          <w:tcPr>
            <w:tcW w:w="1413" w:type="dxa"/>
            <w:tcBorders>
              <w:top w:val="single" w:sz="4" w:space="0" w:color="auto"/>
              <w:left w:val="single" w:sz="4" w:space="0" w:color="auto"/>
              <w:bottom w:val="single" w:sz="4" w:space="0" w:color="auto"/>
              <w:right w:val="single" w:sz="4" w:space="0" w:color="auto"/>
            </w:tcBorders>
          </w:tcPr>
          <w:p w14:paraId="0F403BFF" w14:textId="30453CE8"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44,6</w:t>
            </w:r>
          </w:p>
        </w:tc>
        <w:tc>
          <w:tcPr>
            <w:tcW w:w="1413" w:type="dxa"/>
            <w:tcBorders>
              <w:top w:val="single" w:sz="4" w:space="0" w:color="auto"/>
              <w:left w:val="single" w:sz="4" w:space="0" w:color="auto"/>
              <w:bottom w:val="single" w:sz="4" w:space="0" w:color="auto"/>
              <w:right w:val="single" w:sz="4" w:space="0" w:color="auto"/>
            </w:tcBorders>
          </w:tcPr>
          <w:p w14:paraId="62C52BE2" w14:textId="7EA4CDE1"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51,5</w:t>
            </w:r>
          </w:p>
        </w:tc>
      </w:tr>
      <w:tr w:rsidR="003C1D69" w:rsidRPr="00DC01DD" w14:paraId="619C05AA" w14:textId="41317968" w:rsidTr="003C1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73C290CB"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Mg15NiO</w:t>
            </w:r>
          </w:p>
        </w:tc>
        <w:tc>
          <w:tcPr>
            <w:tcW w:w="1413" w:type="dxa"/>
            <w:tcBorders>
              <w:top w:val="single" w:sz="4" w:space="0" w:color="auto"/>
              <w:left w:val="single" w:sz="4" w:space="0" w:color="auto"/>
              <w:bottom w:val="single" w:sz="4" w:space="0" w:color="auto"/>
              <w:right w:val="single" w:sz="4" w:space="0" w:color="auto"/>
            </w:tcBorders>
          </w:tcPr>
          <w:p w14:paraId="0A39AC84" w14:textId="38D3E8F9"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50,7</w:t>
            </w:r>
          </w:p>
        </w:tc>
        <w:tc>
          <w:tcPr>
            <w:tcW w:w="1413" w:type="dxa"/>
            <w:tcBorders>
              <w:top w:val="single" w:sz="4" w:space="0" w:color="auto"/>
              <w:left w:val="single" w:sz="4" w:space="0" w:color="auto"/>
              <w:bottom w:val="single" w:sz="4" w:space="0" w:color="auto"/>
              <w:right w:val="single" w:sz="4" w:space="0" w:color="auto"/>
            </w:tcBorders>
          </w:tcPr>
          <w:p w14:paraId="220B71BC" w14:textId="2BC95A6E" w:rsidR="003C1D69" w:rsidRPr="00DC01DD" w:rsidRDefault="005853F5" w:rsidP="005853F5">
            <w:pPr>
              <w:tabs>
                <w:tab w:val="left" w:pos="149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48,4</w:t>
            </w:r>
          </w:p>
        </w:tc>
      </w:tr>
      <w:tr w:rsidR="003C1D69" w:rsidRPr="00DC01DD" w14:paraId="21D48747" w14:textId="2C1702CE" w:rsidTr="003C1D69">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tcPr>
          <w:p w14:paraId="39923010" w14:textId="77777777" w:rsidR="003C1D69" w:rsidRPr="00DC01DD" w:rsidRDefault="003C1D69" w:rsidP="005853F5">
            <w:pPr>
              <w:tabs>
                <w:tab w:val="left" w:pos="1498"/>
              </w:tabs>
              <w:jc w:val="center"/>
              <w:rPr>
                <w:rFonts w:ascii="Times New Roman" w:hAnsi="Times New Roman" w:cs="Times New Roman"/>
                <w:sz w:val="18"/>
                <w:szCs w:val="18"/>
              </w:rPr>
            </w:pPr>
            <w:r w:rsidRPr="00DC01DD">
              <w:rPr>
                <w:rFonts w:ascii="Times New Roman" w:hAnsi="Times New Roman" w:cs="Times New Roman"/>
                <w:sz w:val="18"/>
                <w:szCs w:val="18"/>
              </w:rPr>
              <w:t>Mg20NiO</w:t>
            </w:r>
          </w:p>
        </w:tc>
        <w:tc>
          <w:tcPr>
            <w:tcW w:w="1413" w:type="dxa"/>
            <w:tcBorders>
              <w:top w:val="single" w:sz="4" w:space="0" w:color="auto"/>
              <w:left w:val="single" w:sz="4" w:space="0" w:color="auto"/>
              <w:bottom w:val="single" w:sz="4" w:space="0" w:color="auto"/>
              <w:right w:val="single" w:sz="4" w:space="0" w:color="auto"/>
            </w:tcBorders>
          </w:tcPr>
          <w:p w14:paraId="384A9F78" w14:textId="62D0742B"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50,7</w:t>
            </w:r>
          </w:p>
        </w:tc>
        <w:tc>
          <w:tcPr>
            <w:tcW w:w="1413" w:type="dxa"/>
            <w:tcBorders>
              <w:top w:val="single" w:sz="4" w:space="0" w:color="auto"/>
              <w:left w:val="single" w:sz="4" w:space="0" w:color="auto"/>
              <w:bottom w:val="single" w:sz="4" w:space="0" w:color="auto"/>
              <w:right w:val="single" w:sz="4" w:space="0" w:color="auto"/>
            </w:tcBorders>
          </w:tcPr>
          <w:p w14:paraId="09D35395" w14:textId="0700E95F" w:rsidR="003C1D69" w:rsidRPr="00DC01DD" w:rsidRDefault="005853F5" w:rsidP="005853F5">
            <w:pPr>
              <w:tabs>
                <w:tab w:val="left" w:pos="149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51,7</w:t>
            </w:r>
          </w:p>
        </w:tc>
      </w:tr>
    </w:tbl>
    <w:p w14:paraId="13E96CCD" w14:textId="77777777" w:rsidR="003C1D69" w:rsidRDefault="003C1D69" w:rsidP="009268CC">
      <w:pPr>
        <w:tabs>
          <w:tab w:val="left" w:pos="1498"/>
        </w:tabs>
        <w:spacing w:after="0" w:line="240" w:lineRule="atLeast"/>
        <w:ind w:firstLine="204"/>
        <w:jc w:val="both"/>
        <w:rPr>
          <w:rFonts w:ascii="Times New Roman" w:hAnsi="Times New Roman" w:cs="Times New Roman"/>
          <w:sz w:val="20"/>
          <w:szCs w:val="20"/>
        </w:rPr>
      </w:pPr>
    </w:p>
    <w:p w14:paraId="369E2DF0" w14:textId="61EE64AF" w:rsidR="003C1D69" w:rsidRDefault="00C057B5" w:rsidP="009268CC">
      <w:pPr>
        <w:tabs>
          <w:tab w:val="left" w:pos="1498"/>
        </w:tabs>
        <w:spacing w:after="0" w:line="240" w:lineRule="atLeast"/>
        <w:ind w:firstLine="204"/>
        <w:jc w:val="both"/>
        <w:rPr>
          <w:rFonts w:ascii="Times New Roman" w:hAnsi="Times New Roman" w:cs="Times New Roman"/>
          <w:sz w:val="20"/>
          <w:szCs w:val="20"/>
        </w:rPr>
      </w:pPr>
      <w:r>
        <w:rPr>
          <w:rFonts w:ascii="Times New Roman" w:hAnsi="Times New Roman" w:cs="Times New Roman"/>
          <w:sz w:val="20"/>
          <w:szCs w:val="20"/>
        </w:rPr>
        <w:t xml:space="preserve">Os resultados de resistência ao acúmulo de coque mostraram uma menor taxa </w:t>
      </w:r>
      <w:r w:rsidR="001028E4">
        <w:rPr>
          <w:rFonts w:ascii="Times New Roman" w:hAnsi="Times New Roman" w:cs="Times New Roman"/>
          <w:sz w:val="20"/>
          <w:szCs w:val="20"/>
        </w:rPr>
        <w:t>para</w:t>
      </w:r>
      <w:r>
        <w:rPr>
          <w:rFonts w:ascii="Times New Roman" w:hAnsi="Times New Roman" w:cs="Times New Roman"/>
          <w:sz w:val="20"/>
          <w:szCs w:val="20"/>
        </w:rPr>
        <w:t xml:space="preserve"> os materiais suportados em aluminato de cálcio</w:t>
      </w:r>
      <w:r w:rsidR="001028E4">
        <w:rPr>
          <w:rFonts w:ascii="Times New Roman" w:hAnsi="Times New Roman" w:cs="Times New Roman"/>
          <w:sz w:val="20"/>
          <w:szCs w:val="20"/>
        </w:rPr>
        <w:t>,</w:t>
      </w:r>
      <w:r w:rsidR="00B97E16">
        <w:rPr>
          <w:rFonts w:ascii="Times New Roman" w:hAnsi="Times New Roman" w:cs="Times New Roman"/>
          <w:sz w:val="20"/>
          <w:szCs w:val="20"/>
        </w:rPr>
        <w:t xml:space="preserve"> </w:t>
      </w:r>
      <w:r w:rsidR="000A744D">
        <w:rPr>
          <w:rFonts w:ascii="Times New Roman" w:hAnsi="Times New Roman" w:cs="Times New Roman"/>
          <w:sz w:val="20"/>
          <w:szCs w:val="20"/>
        </w:rPr>
        <w:t>quando reduzidos a 650</w:t>
      </w:r>
      <w:r w:rsidR="006F630F">
        <w:rPr>
          <w:rFonts w:ascii="Times New Roman" w:hAnsi="Times New Roman" w:cs="Times New Roman"/>
          <w:sz w:val="20"/>
          <w:szCs w:val="20"/>
        </w:rPr>
        <w:t xml:space="preserve"> </w:t>
      </w:r>
      <w:proofErr w:type="spellStart"/>
      <w:r w:rsidR="000A744D" w:rsidRPr="000A744D">
        <w:rPr>
          <w:rFonts w:ascii="Times New Roman" w:hAnsi="Times New Roman" w:cs="Times New Roman"/>
          <w:sz w:val="20"/>
          <w:szCs w:val="20"/>
          <w:vertAlign w:val="superscript"/>
        </w:rPr>
        <w:t>o</w:t>
      </w:r>
      <w:r w:rsidR="000A744D">
        <w:rPr>
          <w:rFonts w:ascii="Times New Roman" w:hAnsi="Times New Roman" w:cs="Times New Roman"/>
          <w:sz w:val="20"/>
          <w:szCs w:val="20"/>
        </w:rPr>
        <w:t>C</w:t>
      </w:r>
      <w:proofErr w:type="spellEnd"/>
      <w:r w:rsidR="001028E4">
        <w:rPr>
          <w:rFonts w:ascii="Times New Roman" w:hAnsi="Times New Roman" w:cs="Times New Roman"/>
          <w:sz w:val="20"/>
          <w:szCs w:val="20"/>
        </w:rPr>
        <w:t xml:space="preserve">, </w:t>
      </w:r>
      <w:r w:rsidR="000A744D">
        <w:rPr>
          <w:rFonts w:ascii="Times New Roman" w:hAnsi="Times New Roman" w:cs="Times New Roman"/>
          <w:sz w:val="20"/>
          <w:szCs w:val="20"/>
        </w:rPr>
        <w:t>e</w:t>
      </w:r>
      <w:r w:rsidR="001028E4">
        <w:rPr>
          <w:rFonts w:ascii="Times New Roman" w:hAnsi="Times New Roman" w:cs="Times New Roman"/>
          <w:sz w:val="20"/>
          <w:szCs w:val="20"/>
        </w:rPr>
        <w:t>,</w:t>
      </w:r>
      <w:r w:rsidR="000A744D">
        <w:rPr>
          <w:rFonts w:ascii="Times New Roman" w:hAnsi="Times New Roman" w:cs="Times New Roman"/>
          <w:sz w:val="20"/>
          <w:szCs w:val="20"/>
        </w:rPr>
        <w:t xml:space="preserve"> principalmente</w:t>
      </w:r>
      <w:r w:rsidR="001028E4">
        <w:rPr>
          <w:rFonts w:ascii="Times New Roman" w:hAnsi="Times New Roman" w:cs="Times New Roman"/>
          <w:sz w:val="20"/>
          <w:szCs w:val="20"/>
        </w:rPr>
        <w:t>,</w:t>
      </w:r>
      <w:r w:rsidR="000A744D">
        <w:rPr>
          <w:rFonts w:ascii="Times New Roman" w:hAnsi="Times New Roman" w:cs="Times New Roman"/>
          <w:sz w:val="20"/>
          <w:szCs w:val="20"/>
        </w:rPr>
        <w:t xml:space="preserve"> </w:t>
      </w:r>
      <w:r w:rsidR="00900144">
        <w:rPr>
          <w:rFonts w:ascii="Times New Roman" w:hAnsi="Times New Roman" w:cs="Times New Roman"/>
          <w:sz w:val="20"/>
          <w:szCs w:val="20"/>
        </w:rPr>
        <w:t xml:space="preserve">quando reduzidos </w:t>
      </w:r>
      <w:r w:rsidR="000A744D">
        <w:rPr>
          <w:rFonts w:ascii="Times New Roman" w:hAnsi="Times New Roman" w:cs="Times New Roman"/>
          <w:sz w:val="20"/>
          <w:szCs w:val="20"/>
        </w:rPr>
        <w:t>a 900</w:t>
      </w:r>
      <w:r w:rsidR="006F630F">
        <w:rPr>
          <w:rFonts w:ascii="Times New Roman" w:hAnsi="Times New Roman" w:cs="Times New Roman"/>
          <w:sz w:val="20"/>
          <w:szCs w:val="20"/>
        </w:rPr>
        <w:t xml:space="preserve"> </w:t>
      </w:r>
      <w:proofErr w:type="spellStart"/>
      <w:r w:rsidR="000A744D" w:rsidRPr="00B97E16">
        <w:rPr>
          <w:rFonts w:ascii="Times New Roman" w:hAnsi="Times New Roman" w:cs="Times New Roman"/>
          <w:sz w:val="20"/>
          <w:szCs w:val="20"/>
          <w:vertAlign w:val="superscript"/>
        </w:rPr>
        <w:t>o</w:t>
      </w:r>
      <w:r w:rsidR="000A744D">
        <w:rPr>
          <w:rFonts w:ascii="Times New Roman" w:hAnsi="Times New Roman" w:cs="Times New Roman"/>
          <w:sz w:val="20"/>
          <w:szCs w:val="20"/>
        </w:rPr>
        <w:t>C</w:t>
      </w:r>
      <w:proofErr w:type="spellEnd"/>
      <w:r w:rsidR="000A744D">
        <w:rPr>
          <w:rFonts w:ascii="Times New Roman" w:hAnsi="Times New Roman" w:cs="Times New Roman"/>
          <w:sz w:val="20"/>
          <w:szCs w:val="20"/>
        </w:rPr>
        <w:t xml:space="preserve"> (Tabela 3)</w:t>
      </w:r>
      <w:r w:rsidR="00900144">
        <w:rPr>
          <w:rFonts w:ascii="Times New Roman" w:hAnsi="Times New Roman" w:cs="Times New Roman"/>
          <w:sz w:val="20"/>
          <w:szCs w:val="20"/>
        </w:rPr>
        <w:t xml:space="preserve">. </w:t>
      </w:r>
      <w:r w:rsidR="00BA3581">
        <w:rPr>
          <w:rFonts w:ascii="Times New Roman" w:hAnsi="Times New Roman" w:cs="Times New Roman"/>
          <w:sz w:val="20"/>
          <w:szCs w:val="20"/>
        </w:rPr>
        <w:t xml:space="preserve">A taxa de </w:t>
      </w:r>
      <w:proofErr w:type="spellStart"/>
      <w:r w:rsidR="00BA3581">
        <w:rPr>
          <w:rFonts w:ascii="Times New Roman" w:hAnsi="Times New Roman" w:cs="Times New Roman"/>
          <w:sz w:val="20"/>
          <w:szCs w:val="20"/>
        </w:rPr>
        <w:t>coqueamento</w:t>
      </w:r>
      <w:proofErr w:type="spellEnd"/>
      <w:r w:rsidR="00BA3581">
        <w:rPr>
          <w:rFonts w:ascii="Times New Roman" w:hAnsi="Times New Roman" w:cs="Times New Roman"/>
          <w:sz w:val="20"/>
          <w:szCs w:val="20"/>
        </w:rPr>
        <w:t xml:space="preserve"> (em base mássica do catalisador) aumentou com </w:t>
      </w:r>
      <w:r w:rsidR="001028E4">
        <w:rPr>
          <w:rFonts w:ascii="Times New Roman" w:hAnsi="Times New Roman" w:cs="Times New Roman"/>
          <w:sz w:val="20"/>
          <w:szCs w:val="20"/>
        </w:rPr>
        <w:t xml:space="preserve">o </w:t>
      </w:r>
      <w:r w:rsidR="00BA3581">
        <w:rPr>
          <w:rFonts w:ascii="Times New Roman" w:hAnsi="Times New Roman" w:cs="Times New Roman"/>
          <w:sz w:val="20"/>
          <w:szCs w:val="20"/>
        </w:rPr>
        <w:t xml:space="preserve">teor de </w:t>
      </w:r>
      <w:proofErr w:type="spellStart"/>
      <w:r w:rsidR="00BA3581">
        <w:rPr>
          <w:rFonts w:ascii="Times New Roman" w:hAnsi="Times New Roman" w:cs="Times New Roman"/>
          <w:sz w:val="20"/>
          <w:szCs w:val="20"/>
        </w:rPr>
        <w:t>NiO</w:t>
      </w:r>
      <w:proofErr w:type="spellEnd"/>
      <w:r w:rsidR="001028E4">
        <w:rPr>
          <w:rFonts w:ascii="Times New Roman" w:hAnsi="Times New Roman" w:cs="Times New Roman"/>
          <w:sz w:val="20"/>
          <w:szCs w:val="20"/>
        </w:rPr>
        <w:t xml:space="preserve"> presente nas amostras</w:t>
      </w:r>
      <w:r w:rsidR="00BA3581">
        <w:rPr>
          <w:rFonts w:ascii="Times New Roman" w:hAnsi="Times New Roman" w:cs="Times New Roman"/>
          <w:sz w:val="20"/>
          <w:szCs w:val="20"/>
        </w:rPr>
        <w:t>.</w:t>
      </w:r>
    </w:p>
    <w:p w14:paraId="7753FF0C" w14:textId="77777777" w:rsidR="003C1D69" w:rsidRDefault="003C1D69" w:rsidP="009268CC">
      <w:pPr>
        <w:tabs>
          <w:tab w:val="left" w:pos="1498"/>
        </w:tabs>
        <w:spacing w:after="0" w:line="240" w:lineRule="atLeast"/>
        <w:ind w:firstLine="204"/>
        <w:jc w:val="both"/>
        <w:rPr>
          <w:rFonts w:ascii="Times New Roman" w:hAnsi="Times New Roman" w:cs="Times New Roman"/>
          <w:sz w:val="20"/>
          <w:szCs w:val="20"/>
        </w:rPr>
      </w:pPr>
    </w:p>
    <w:p w14:paraId="00DB3D95" w14:textId="48A05B8F" w:rsidR="00DC01DD" w:rsidRPr="00DC01DD" w:rsidRDefault="00DC01DD" w:rsidP="00DC01DD">
      <w:pPr>
        <w:tabs>
          <w:tab w:val="left" w:pos="1498"/>
        </w:tabs>
        <w:spacing w:after="0" w:line="240" w:lineRule="atLeast"/>
        <w:jc w:val="both"/>
        <w:rPr>
          <w:rFonts w:ascii="Times New Roman" w:hAnsi="Times New Roman" w:cs="Times New Roman"/>
          <w:sz w:val="18"/>
          <w:szCs w:val="18"/>
        </w:rPr>
      </w:pPr>
      <w:bookmarkStart w:id="2" w:name="_Hlk142815417"/>
      <w:r w:rsidRPr="00DC01DD">
        <w:rPr>
          <w:rFonts w:ascii="Times New Roman" w:hAnsi="Times New Roman" w:cs="Times New Roman"/>
          <w:b/>
          <w:bCs/>
          <w:sz w:val="18"/>
          <w:szCs w:val="18"/>
        </w:rPr>
        <w:t xml:space="preserve">Tabela </w:t>
      </w:r>
      <w:r w:rsidR="009800ED">
        <w:rPr>
          <w:rFonts w:ascii="Times New Roman" w:hAnsi="Times New Roman" w:cs="Times New Roman"/>
          <w:b/>
          <w:bCs/>
          <w:sz w:val="18"/>
          <w:szCs w:val="18"/>
        </w:rPr>
        <w:t>3</w:t>
      </w:r>
      <w:r w:rsidRPr="00DC01DD">
        <w:rPr>
          <w:rFonts w:ascii="Times New Roman" w:hAnsi="Times New Roman" w:cs="Times New Roman"/>
          <w:b/>
          <w:bCs/>
          <w:sz w:val="18"/>
          <w:szCs w:val="18"/>
        </w:rPr>
        <w:t>.</w:t>
      </w:r>
      <w:r w:rsidRPr="00DC01DD">
        <w:rPr>
          <w:rFonts w:ascii="Times New Roman" w:hAnsi="Times New Roman" w:cs="Times New Roman"/>
          <w:sz w:val="18"/>
          <w:szCs w:val="18"/>
        </w:rPr>
        <w:t xml:space="preserve"> Resultados do teste de resistência ao acúmulo de coque dos catalisadores após redução a </w:t>
      </w:r>
      <w:r w:rsidR="000A744D">
        <w:rPr>
          <w:rFonts w:ascii="Times New Roman" w:hAnsi="Times New Roman" w:cs="Times New Roman"/>
          <w:sz w:val="18"/>
          <w:szCs w:val="18"/>
        </w:rPr>
        <w:t>650</w:t>
      </w:r>
      <w:r w:rsidRPr="00DC01DD">
        <w:rPr>
          <w:rFonts w:ascii="Times New Roman" w:hAnsi="Times New Roman" w:cs="Times New Roman"/>
          <w:sz w:val="18"/>
          <w:szCs w:val="18"/>
          <w:vertAlign w:val="superscript"/>
        </w:rPr>
        <w:t>o</w:t>
      </w:r>
      <w:r w:rsidRPr="00DC01DD">
        <w:rPr>
          <w:rFonts w:ascii="Times New Roman" w:hAnsi="Times New Roman" w:cs="Times New Roman"/>
          <w:sz w:val="18"/>
          <w:szCs w:val="18"/>
        </w:rPr>
        <w:t>C/4h</w:t>
      </w:r>
      <w:r w:rsidR="009E1546">
        <w:rPr>
          <w:rFonts w:ascii="Times New Roman" w:hAnsi="Times New Roman" w:cs="Times New Roman"/>
          <w:sz w:val="18"/>
          <w:szCs w:val="18"/>
        </w:rPr>
        <w:t xml:space="preserve"> ou a 900</w:t>
      </w:r>
      <w:r w:rsidR="009E1546" w:rsidRPr="009E1546">
        <w:rPr>
          <w:rFonts w:ascii="Times New Roman" w:hAnsi="Times New Roman" w:cs="Times New Roman"/>
          <w:sz w:val="18"/>
          <w:szCs w:val="18"/>
          <w:vertAlign w:val="superscript"/>
        </w:rPr>
        <w:t>o</w:t>
      </w:r>
      <w:r w:rsidR="009E1546">
        <w:rPr>
          <w:rFonts w:ascii="Times New Roman" w:hAnsi="Times New Roman" w:cs="Times New Roman"/>
          <w:sz w:val="18"/>
          <w:szCs w:val="18"/>
        </w:rPr>
        <w:t>C/4h</w:t>
      </w:r>
      <w:r w:rsidRPr="00DC01DD">
        <w:rPr>
          <w:rFonts w:ascii="Times New Roman" w:hAnsi="Times New Roman" w:cs="Times New Roman"/>
          <w:sz w:val="18"/>
          <w:szCs w:val="18"/>
        </w:rPr>
        <w:t xml:space="preserve">, por </w:t>
      </w:r>
      <w:r w:rsidR="00423B5A">
        <w:rPr>
          <w:rFonts w:ascii="Times New Roman" w:hAnsi="Times New Roman" w:cs="Times New Roman"/>
          <w:sz w:val="18"/>
          <w:szCs w:val="18"/>
        </w:rPr>
        <w:t>análise termogravimétrica</w:t>
      </w:r>
      <w:r w:rsidRPr="00DC01DD">
        <w:rPr>
          <w:rFonts w:ascii="Times New Roman" w:hAnsi="Times New Roman" w:cs="Times New Roman"/>
          <w:sz w:val="18"/>
          <w:szCs w:val="18"/>
        </w:rPr>
        <w:t>.</w:t>
      </w:r>
    </w:p>
    <w:tbl>
      <w:tblPr>
        <w:tblStyle w:val="SimplesTabela2"/>
        <w:tblW w:w="4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991"/>
        <w:gridCol w:w="1843"/>
      </w:tblGrid>
      <w:tr w:rsidR="00B97E16" w:rsidRPr="00DC01DD" w14:paraId="18556A63" w14:textId="78108792" w:rsidTr="00B97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vAlign w:val="center"/>
          </w:tcPr>
          <w:p w14:paraId="33B4CBC3" w14:textId="51876C9D"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Amostra</w:t>
            </w:r>
          </w:p>
        </w:tc>
        <w:tc>
          <w:tcPr>
            <w:tcW w:w="1991" w:type="dxa"/>
            <w:vAlign w:val="center"/>
          </w:tcPr>
          <w:p w14:paraId="39F9BA74" w14:textId="0B237572" w:rsidR="00B97E16" w:rsidRPr="00D13312" w:rsidRDefault="00B97E16" w:rsidP="00D133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 xml:space="preserve">Taxa </w:t>
            </w:r>
            <w:r>
              <w:rPr>
                <w:rFonts w:ascii="Times New Roman" w:hAnsi="Times New Roman" w:cs="Times New Roman"/>
                <w:sz w:val="18"/>
                <w:szCs w:val="18"/>
              </w:rPr>
              <w:t>(min</w:t>
            </w:r>
            <w:r w:rsidRPr="00354008">
              <w:rPr>
                <w:rFonts w:ascii="Times New Roman" w:hAnsi="Times New Roman" w:cs="Times New Roman"/>
                <w:sz w:val="18"/>
                <w:szCs w:val="18"/>
                <w:vertAlign w:val="superscript"/>
              </w:rPr>
              <w:t>-1</w:t>
            </w:r>
            <w:r>
              <w:rPr>
                <w:rFonts w:ascii="Times New Roman" w:hAnsi="Times New Roman" w:cs="Times New Roman"/>
                <w:sz w:val="18"/>
                <w:szCs w:val="18"/>
              </w:rPr>
              <w:t>)</w:t>
            </w:r>
          </w:p>
          <w:p w14:paraId="3C72B9F9" w14:textId="590683D3" w:rsidR="00B97E16" w:rsidRPr="00DC01DD" w:rsidRDefault="00B97E16" w:rsidP="00D133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Redução a 650</w:t>
            </w:r>
            <w:r w:rsidRPr="00EB545A">
              <w:rPr>
                <w:rFonts w:ascii="Times New Roman" w:hAnsi="Times New Roman" w:cs="Times New Roman"/>
                <w:sz w:val="18"/>
                <w:szCs w:val="18"/>
                <w:vertAlign w:val="superscript"/>
              </w:rPr>
              <w:t>o</w:t>
            </w:r>
            <w:r>
              <w:rPr>
                <w:rFonts w:ascii="Times New Roman" w:hAnsi="Times New Roman" w:cs="Times New Roman"/>
                <w:sz w:val="18"/>
                <w:szCs w:val="18"/>
              </w:rPr>
              <w:t>C</w:t>
            </w:r>
          </w:p>
        </w:tc>
        <w:tc>
          <w:tcPr>
            <w:tcW w:w="1843" w:type="dxa"/>
          </w:tcPr>
          <w:p w14:paraId="18C46264" w14:textId="77777777" w:rsidR="00B97E16" w:rsidRPr="00D13312" w:rsidRDefault="00B97E16" w:rsidP="00D133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C01DD">
              <w:rPr>
                <w:rFonts w:ascii="Times New Roman" w:hAnsi="Times New Roman" w:cs="Times New Roman"/>
                <w:sz w:val="18"/>
                <w:szCs w:val="18"/>
              </w:rPr>
              <w:t xml:space="preserve">Taxa </w:t>
            </w:r>
            <w:r>
              <w:rPr>
                <w:rFonts w:ascii="Times New Roman" w:hAnsi="Times New Roman" w:cs="Times New Roman"/>
                <w:sz w:val="18"/>
                <w:szCs w:val="18"/>
              </w:rPr>
              <w:t>(min</w:t>
            </w:r>
            <w:r w:rsidRPr="00354008">
              <w:rPr>
                <w:rFonts w:ascii="Times New Roman" w:hAnsi="Times New Roman" w:cs="Times New Roman"/>
                <w:sz w:val="18"/>
                <w:szCs w:val="18"/>
                <w:vertAlign w:val="superscript"/>
              </w:rPr>
              <w:t>-1</w:t>
            </w:r>
            <w:r>
              <w:rPr>
                <w:rFonts w:ascii="Times New Roman" w:hAnsi="Times New Roman" w:cs="Times New Roman"/>
                <w:sz w:val="18"/>
                <w:szCs w:val="18"/>
              </w:rPr>
              <w:t>)</w:t>
            </w:r>
          </w:p>
          <w:p w14:paraId="2D2DE7D2" w14:textId="5563CC1B" w:rsidR="00B97E16" w:rsidRPr="00DC01DD" w:rsidRDefault="00B97E16" w:rsidP="00D1331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Redução a 900</w:t>
            </w:r>
            <w:r w:rsidRPr="00EB545A">
              <w:rPr>
                <w:rFonts w:ascii="Times New Roman" w:hAnsi="Times New Roman" w:cs="Times New Roman"/>
                <w:sz w:val="18"/>
                <w:szCs w:val="18"/>
                <w:vertAlign w:val="superscript"/>
              </w:rPr>
              <w:t>o</w:t>
            </w:r>
            <w:r>
              <w:rPr>
                <w:rFonts w:ascii="Times New Roman" w:hAnsi="Times New Roman" w:cs="Times New Roman"/>
                <w:sz w:val="18"/>
                <w:szCs w:val="18"/>
              </w:rPr>
              <w:t>C</w:t>
            </w:r>
          </w:p>
        </w:tc>
      </w:tr>
      <w:tr w:rsidR="00B97E16" w:rsidRPr="00DC01DD" w14:paraId="060DD619" w14:textId="55233FD3" w:rsidTr="00B9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1FDF2525"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Ca10NiO</w:t>
            </w:r>
          </w:p>
        </w:tc>
        <w:tc>
          <w:tcPr>
            <w:tcW w:w="1991" w:type="dxa"/>
          </w:tcPr>
          <w:p w14:paraId="4EA0B35D" w14:textId="77E580E8"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0,1</w:t>
            </w:r>
            <w:r w:rsidR="001E401E">
              <w:rPr>
                <w:rFonts w:ascii="Times New Roman" w:hAnsi="Times New Roman" w:cs="Times New Roman"/>
                <w:sz w:val="18"/>
                <w:szCs w:val="18"/>
              </w:rPr>
              <w:t>0</w:t>
            </w:r>
          </w:p>
        </w:tc>
        <w:tc>
          <w:tcPr>
            <w:tcW w:w="1843" w:type="dxa"/>
          </w:tcPr>
          <w:p w14:paraId="44546801" w14:textId="2E4B93DD"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0,01</w:t>
            </w:r>
          </w:p>
        </w:tc>
      </w:tr>
      <w:tr w:rsidR="00B97E16" w:rsidRPr="00DC01DD" w14:paraId="24122D87" w14:textId="7526CCD8" w:rsidTr="00B97E16">
        <w:tc>
          <w:tcPr>
            <w:cnfStyle w:val="001000000000" w:firstRow="0" w:lastRow="0" w:firstColumn="1" w:lastColumn="0" w:oddVBand="0" w:evenVBand="0" w:oddHBand="0" w:evenHBand="0" w:firstRowFirstColumn="0" w:firstRowLastColumn="0" w:lastRowFirstColumn="0" w:lastRowLastColumn="0"/>
            <w:tcW w:w="976" w:type="dxa"/>
          </w:tcPr>
          <w:p w14:paraId="5BDB325B"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Ca15NiO</w:t>
            </w:r>
          </w:p>
        </w:tc>
        <w:tc>
          <w:tcPr>
            <w:tcW w:w="1991" w:type="dxa"/>
          </w:tcPr>
          <w:p w14:paraId="0327AC85" w14:textId="3A8F4383"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0,5</w:t>
            </w:r>
            <w:r w:rsidR="001E401E">
              <w:rPr>
                <w:rFonts w:ascii="Times New Roman" w:hAnsi="Times New Roman" w:cs="Times New Roman"/>
                <w:sz w:val="18"/>
                <w:szCs w:val="18"/>
              </w:rPr>
              <w:t>0</w:t>
            </w:r>
          </w:p>
        </w:tc>
        <w:tc>
          <w:tcPr>
            <w:tcW w:w="1843" w:type="dxa"/>
          </w:tcPr>
          <w:p w14:paraId="6C8D7C8B" w14:textId="04A2A283"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0,06</w:t>
            </w:r>
          </w:p>
        </w:tc>
      </w:tr>
      <w:tr w:rsidR="00B97E16" w:rsidRPr="00DC01DD" w14:paraId="7C2BAB71" w14:textId="0AEFC6ED" w:rsidTr="00B9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68696B42"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Ca20NiO</w:t>
            </w:r>
          </w:p>
        </w:tc>
        <w:tc>
          <w:tcPr>
            <w:tcW w:w="1991" w:type="dxa"/>
          </w:tcPr>
          <w:p w14:paraId="2F44C44E" w14:textId="251DBC8D"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0,6</w:t>
            </w:r>
            <w:r w:rsidR="001E401E">
              <w:rPr>
                <w:rFonts w:ascii="Times New Roman" w:hAnsi="Times New Roman" w:cs="Times New Roman"/>
                <w:sz w:val="18"/>
                <w:szCs w:val="18"/>
              </w:rPr>
              <w:t>0</w:t>
            </w:r>
          </w:p>
        </w:tc>
        <w:tc>
          <w:tcPr>
            <w:tcW w:w="1843" w:type="dxa"/>
          </w:tcPr>
          <w:p w14:paraId="2BAF3144" w14:textId="34F0FAC4"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0,08</w:t>
            </w:r>
          </w:p>
        </w:tc>
      </w:tr>
      <w:tr w:rsidR="00B97E16" w:rsidRPr="00DC01DD" w14:paraId="122BC7CA" w14:textId="7B01B5E5" w:rsidTr="00B97E16">
        <w:tc>
          <w:tcPr>
            <w:cnfStyle w:val="001000000000" w:firstRow="0" w:lastRow="0" w:firstColumn="1" w:lastColumn="0" w:oddVBand="0" w:evenVBand="0" w:oddHBand="0" w:evenHBand="0" w:firstRowFirstColumn="0" w:firstRowLastColumn="0" w:lastRowFirstColumn="0" w:lastRowLastColumn="0"/>
            <w:tcW w:w="976" w:type="dxa"/>
          </w:tcPr>
          <w:p w14:paraId="325CF65A"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Mg10NiO</w:t>
            </w:r>
          </w:p>
        </w:tc>
        <w:tc>
          <w:tcPr>
            <w:tcW w:w="1991" w:type="dxa"/>
          </w:tcPr>
          <w:p w14:paraId="3363AE8B" w14:textId="00D73D66"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0,8</w:t>
            </w:r>
            <w:r w:rsidR="001E401E">
              <w:rPr>
                <w:rFonts w:ascii="Times New Roman" w:hAnsi="Times New Roman" w:cs="Times New Roman"/>
                <w:sz w:val="18"/>
                <w:szCs w:val="18"/>
              </w:rPr>
              <w:t>0</w:t>
            </w:r>
          </w:p>
        </w:tc>
        <w:tc>
          <w:tcPr>
            <w:tcW w:w="1843" w:type="dxa"/>
          </w:tcPr>
          <w:p w14:paraId="0BAC1B3D" w14:textId="15C19D17"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5,2</w:t>
            </w:r>
            <w:r w:rsidR="001E401E">
              <w:rPr>
                <w:rFonts w:ascii="Times New Roman" w:hAnsi="Times New Roman" w:cs="Times New Roman"/>
                <w:sz w:val="18"/>
                <w:szCs w:val="18"/>
              </w:rPr>
              <w:t>0</w:t>
            </w:r>
          </w:p>
        </w:tc>
      </w:tr>
      <w:tr w:rsidR="00B97E16" w:rsidRPr="00DC01DD" w14:paraId="4DBA8406" w14:textId="649DAF2D" w:rsidTr="00B97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349C5A30"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Mg15NiO</w:t>
            </w:r>
          </w:p>
        </w:tc>
        <w:tc>
          <w:tcPr>
            <w:tcW w:w="1991" w:type="dxa"/>
          </w:tcPr>
          <w:p w14:paraId="6D3CBA0D" w14:textId="5C5B332A"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w:t>
            </w:r>
            <w:r w:rsidR="001E401E">
              <w:rPr>
                <w:rFonts w:ascii="Times New Roman" w:hAnsi="Times New Roman" w:cs="Times New Roman"/>
                <w:sz w:val="18"/>
                <w:szCs w:val="18"/>
              </w:rPr>
              <w:t>0</w:t>
            </w:r>
          </w:p>
        </w:tc>
        <w:tc>
          <w:tcPr>
            <w:tcW w:w="1843" w:type="dxa"/>
          </w:tcPr>
          <w:p w14:paraId="10563E26" w14:textId="3FB4428A" w:rsidR="00B97E16" w:rsidRPr="00DC01DD" w:rsidRDefault="003F2DDF" w:rsidP="00D133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7,8</w:t>
            </w:r>
            <w:r w:rsidR="001E401E">
              <w:rPr>
                <w:rFonts w:ascii="Times New Roman" w:hAnsi="Times New Roman" w:cs="Times New Roman"/>
                <w:sz w:val="18"/>
                <w:szCs w:val="18"/>
              </w:rPr>
              <w:t>0</w:t>
            </w:r>
          </w:p>
        </w:tc>
      </w:tr>
      <w:tr w:rsidR="00B97E16" w:rsidRPr="00DC01DD" w14:paraId="04B4A3B1" w14:textId="579AE164" w:rsidTr="00B97E16">
        <w:tc>
          <w:tcPr>
            <w:cnfStyle w:val="001000000000" w:firstRow="0" w:lastRow="0" w:firstColumn="1" w:lastColumn="0" w:oddVBand="0" w:evenVBand="0" w:oddHBand="0" w:evenHBand="0" w:firstRowFirstColumn="0" w:firstRowLastColumn="0" w:lastRowFirstColumn="0" w:lastRowLastColumn="0"/>
            <w:tcW w:w="976" w:type="dxa"/>
          </w:tcPr>
          <w:p w14:paraId="0767CB66" w14:textId="77777777" w:rsidR="00B97E16" w:rsidRPr="00DC01DD" w:rsidRDefault="00B97E16" w:rsidP="00D13312">
            <w:pPr>
              <w:jc w:val="center"/>
              <w:rPr>
                <w:rFonts w:ascii="Times New Roman" w:hAnsi="Times New Roman" w:cs="Times New Roman"/>
                <w:sz w:val="18"/>
                <w:szCs w:val="18"/>
              </w:rPr>
            </w:pPr>
            <w:r w:rsidRPr="00DC01DD">
              <w:rPr>
                <w:rFonts w:ascii="Times New Roman" w:hAnsi="Times New Roman" w:cs="Times New Roman"/>
                <w:sz w:val="18"/>
                <w:szCs w:val="18"/>
              </w:rPr>
              <w:t>Mg20NiO</w:t>
            </w:r>
          </w:p>
        </w:tc>
        <w:tc>
          <w:tcPr>
            <w:tcW w:w="1991" w:type="dxa"/>
          </w:tcPr>
          <w:p w14:paraId="33F2CD24" w14:textId="490D13E9"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1,6</w:t>
            </w:r>
            <w:r w:rsidR="001E401E">
              <w:rPr>
                <w:rFonts w:ascii="Times New Roman" w:hAnsi="Times New Roman" w:cs="Times New Roman"/>
                <w:sz w:val="18"/>
                <w:szCs w:val="18"/>
              </w:rPr>
              <w:t>0</w:t>
            </w:r>
          </w:p>
        </w:tc>
        <w:tc>
          <w:tcPr>
            <w:tcW w:w="1843" w:type="dxa"/>
          </w:tcPr>
          <w:p w14:paraId="6BC58BE6" w14:textId="5A3F115F" w:rsidR="00B97E16" w:rsidRPr="00DC01DD" w:rsidRDefault="003F2DDF" w:rsidP="00D133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11,5</w:t>
            </w:r>
          </w:p>
        </w:tc>
      </w:tr>
      <w:bookmarkEnd w:id="2"/>
    </w:tbl>
    <w:p w14:paraId="1FA83DB6" w14:textId="77777777" w:rsidR="00C057B5" w:rsidRDefault="00C057B5" w:rsidP="00BB38AF">
      <w:pPr>
        <w:tabs>
          <w:tab w:val="left" w:pos="1498"/>
        </w:tabs>
        <w:spacing w:after="0" w:line="240" w:lineRule="atLeast"/>
        <w:ind w:firstLine="204"/>
        <w:jc w:val="both"/>
        <w:rPr>
          <w:rFonts w:ascii="Times New Roman" w:hAnsi="Times New Roman" w:cs="Times New Roman"/>
          <w:sz w:val="20"/>
          <w:szCs w:val="20"/>
        </w:rPr>
      </w:pPr>
    </w:p>
    <w:p w14:paraId="215896A3" w14:textId="4467A316" w:rsidR="000A744D" w:rsidRDefault="00916E5C" w:rsidP="00BB38AF">
      <w:pPr>
        <w:tabs>
          <w:tab w:val="left" w:pos="1498"/>
        </w:tabs>
        <w:spacing w:after="0" w:line="240" w:lineRule="atLeast"/>
        <w:ind w:firstLine="204"/>
        <w:jc w:val="both"/>
        <w:rPr>
          <w:rFonts w:ascii="Times New Roman" w:hAnsi="Times New Roman" w:cs="Times New Roman"/>
          <w:sz w:val="20"/>
          <w:szCs w:val="20"/>
        </w:rPr>
      </w:pPr>
      <w:r>
        <w:rPr>
          <w:rFonts w:ascii="Times New Roman" w:hAnsi="Times New Roman" w:cs="Times New Roman"/>
          <w:sz w:val="20"/>
          <w:szCs w:val="20"/>
        </w:rPr>
        <w:t xml:space="preserve">Em estudos anteriores </w:t>
      </w:r>
      <w:r w:rsidR="00525A95">
        <w:rPr>
          <w:rFonts w:ascii="Times New Roman" w:hAnsi="Times New Roman" w:cs="Times New Roman"/>
          <w:sz w:val="20"/>
          <w:szCs w:val="20"/>
        </w:rPr>
        <w:t>observ</w:t>
      </w:r>
      <w:r w:rsidR="00DE6A21">
        <w:rPr>
          <w:rFonts w:ascii="Times New Roman" w:hAnsi="Times New Roman" w:cs="Times New Roman"/>
          <w:sz w:val="20"/>
          <w:szCs w:val="20"/>
        </w:rPr>
        <w:t>ou-se</w:t>
      </w:r>
      <w:r>
        <w:rPr>
          <w:rFonts w:ascii="Times New Roman" w:hAnsi="Times New Roman" w:cs="Times New Roman"/>
          <w:sz w:val="20"/>
          <w:szCs w:val="20"/>
        </w:rPr>
        <w:t xml:space="preserve"> que a taxa de acúmulo de coque </w:t>
      </w:r>
      <w:r w:rsidR="00525A95">
        <w:rPr>
          <w:rFonts w:ascii="Times New Roman" w:hAnsi="Times New Roman" w:cs="Times New Roman"/>
          <w:sz w:val="20"/>
          <w:szCs w:val="20"/>
        </w:rPr>
        <w:t xml:space="preserve">em catalisadores </w:t>
      </w:r>
      <w:proofErr w:type="spellStart"/>
      <w:r w:rsidR="00525A95">
        <w:rPr>
          <w:rFonts w:ascii="Times New Roman" w:hAnsi="Times New Roman" w:cs="Times New Roman"/>
          <w:sz w:val="20"/>
          <w:szCs w:val="20"/>
        </w:rPr>
        <w:t>NiO</w:t>
      </w:r>
      <w:proofErr w:type="spellEnd"/>
      <w:r w:rsidR="00525A95">
        <w:rPr>
          <w:rFonts w:ascii="Times New Roman" w:hAnsi="Times New Roman" w:cs="Times New Roman"/>
          <w:sz w:val="20"/>
          <w:szCs w:val="20"/>
        </w:rPr>
        <w:t>/</w:t>
      </w:r>
      <w:proofErr w:type="spellStart"/>
      <w:r w:rsidR="00525A95">
        <w:rPr>
          <w:rFonts w:ascii="Times New Roman" w:hAnsi="Times New Roman" w:cs="Times New Roman"/>
          <w:sz w:val="20"/>
          <w:szCs w:val="20"/>
        </w:rPr>
        <w:t>hexaluminatos</w:t>
      </w:r>
      <w:proofErr w:type="spellEnd"/>
      <w:r w:rsidR="00525A95">
        <w:rPr>
          <w:rFonts w:ascii="Times New Roman" w:hAnsi="Times New Roman" w:cs="Times New Roman"/>
          <w:sz w:val="20"/>
          <w:szCs w:val="20"/>
        </w:rPr>
        <w:t xml:space="preserve"> (Ca ou Ba) </w:t>
      </w:r>
      <w:r w:rsidR="00696435">
        <w:rPr>
          <w:rFonts w:ascii="Times New Roman" w:hAnsi="Times New Roman" w:cs="Times New Roman"/>
          <w:sz w:val="20"/>
          <w:szCs w:val="20"/>
        </w:rPr>
        <w:t>é maior com o aumento d</w:t>
      </w:r>
      <w:r w:rsidR="00735606">
        <w:rPr>
          <w:rFonts w:ascii="Times New Roman" w:hAnsi="Times New Roman" w:cs="Times New Roman"/>
          <w:sz w:val="20"/>
          <w:szCs w:val="20"/>
        </w:rPr>
        <w:t>o</w:t>
      </w:r>
      <w:r>
        <w:rPr>
          <w:rFonts w:ascii="Times New Roman" w:hAnsi="Times New Roman" w:cs="Times New Roman"/>
          <w:sz w:val="20"/>
          <w:szCs w:val="20"/>
        </w:rPr>
        <w:t xml:space="preserve"> diâmetro da partícula de níquel </w:t>
      </w:r>
      <w:r w:rsidR="00850FE9">
        <w:rPr>
          <w:rFonts w:ascii="Times New Roman" w:hAnsi="Times New Roman" w:cs="Times New Roman"/>
          <w:sz w:val="20"/>
          <w:szCs w:val="20"/>
        </w:rPr>
        <w:t>(5)</w:t>
      </w:r>
      <w:r w:rsidR="00DF1B2A">
        <w:rPr>
          <w:rFonts w:ascii="Times New Roman" w:hAnsi="Times New Roman" w:cs="Times New Roman"/>
          <w:sz w:val="20"/>
          <w:szCs w:val="20"/>
        </w:rPr>
        <w:t xml:space="preserve">. No presente trabalho, apesar do maior tamanho de partícula do Ni (Tabela 1), os catalisadores suportados em aluminato de cálcio </w:t>
      </w:r>
      <w:r w:rsidR="002907CC">
        <w:rPr>
          <w:rFonts w:ascii="Times New Roman" w:hAnsi="Times New Roman" w:cs="Times New Roman"/>
          <w:sz w:val="20"/>
          <w:szCs w:val="20"/>
        </w:rPr>
        <w:t>apresenta</w:t>
      </w:r>
      <w:r w:rsidR="00DE6A21">
        <w:rPr>
          <w:rFonts w:ascii="Times New Roman" w:hAnsi="Times New Roman" w:cs="Times New Roman"/>
          <w:sz w:val="20"/>
          <w:szCs w:val="20"/>
        </w:rPr>
        <w:t>ram</w:t>
      </w:r>
      <w:r w:rsidR="002907CC">
        <w:rPr>
          <w:rFonts w:ascii="Times New Roman" w:hAnsi="Times New Roman" w:cs="Times New Roman"/>
          <w:sz w:val="20"/>
          <w:szCs w:val="20"/>
        </w:rPr>
        <w:t xml:space="preserve"> </w:t>
      </w:r>
      <w:r w:rsidR="00DF1B2A">
        <w:rPr>
          <w:rFonts w:ascii="Times New Roman" w:hAnsi="Times New Roman" w:cs="Times New Roman"/>
          <w:sz w:val="20"/>
          <w:szCs w:val="20"/>
        </w:rPr>
        <w:t xml:space="preserve">menor taxa de acúmulo de coque (Tabela 2), </w:t>
      </w:r>
      <w:r w:rsidR="002907CC">
        <w:rPr>
          <w:rFonts w:ascii="Times New Roman" w:hAnsi="Times New Roman" w:cs="Times New Roman"/>
          <w:sz w:val="20"/>
          <w:szCs w:val="20"/>
        </w:rPr>
        <w:t>indicando</w:t>
      </w:r>
      <w:r w:rsidR="00DF1B2A">
        <w:rPr>
          <w:rFonts w:ascii="Times New Roman" w:hAnsi="Times New Roman" w:cs="Times New Roman"/>
          <w:sz w:val="20"/>
          <w:szCs w:val="20"/>
        </w:rPr>
        <w:t xml:space="preserve"> que o tipo de suporte desempenha </w:t>
      </w:r>
      <w:r w:rsidR="00696435">
        <w:rPr>
          <w:rFonts w:ascii="Times New Roman" w:hAnsi="Times New Roman" w:cs="Times New Roman"/>
          <w:sz w:val="20"/>
          <w:szCs w:val="20"/>
        </w:rPr>
        <w:t xml:space="preserve">também </w:t>
      </w:r>
      <w:r w:rsidR="00DF1B2A">
        <w:rPr>
          <w:rFonts w:ascii="Times New Roman" w:hAnsi="Times New Roman" w:cs="Times New Roman"/>
          <w:sz w:val="20"/>
          <w:szCs w:val="20"/>
        </w:rPr>
        <w:t>um papel importante em prevenir o acúmulo de coque.</w:t>
      </w:r>
      <w:r w:rsidR="00800072">
        <w:rPr>
          <w:rFonts w:ascii="Times New Roman" w:hAnsi="Times New Roman" w:cs="Times New Roman"/>
          <w:sz w:val="20"/>
          <w:szCs w:val="20"/>
        </w:rPr>
        <w:t xml:space="preserve"> Futuras caracterizações </w:t>
      </w:r>
      <w:r w:rsidR="00D13C0A">
        <w:rPr>
          <w:rFonts w:ascii="Times New Roman" w:hAnsi="Times New Roman" w:cs="Times New Roman"/>
          <w:sz w:val="20"/>
          <w:szCs w:val="20"/>
        </w:rPr>
        <w:t>serão</w:t>
      </w:r>
      <w:r w:rsidR="00800072">
        <w:rPr>
          <w:rFonts w:ascii="Times New Roman" w:hAnsi="Times New Roman" w:cs="Times New Roman"/>
          <w:sz w:val="20"/>
          <w:szCs w:val="20"/>
        </w:rPr>
        <w:t xml:space="preserve"> realizadas para elucidar as diferenças entre ambos os suportes.</w:t>
      </w:r>
    </w:p>
    <w:p w14:paraId="4CBC2889" w14:textId="77777777" w:rsidR="0014013A" w:rsidRDefault="0014013A" w:rsidP="00BB38AF">
      <w:pPr>
        <w:tabs>
          <w:tab w:val="left" w:pos="1498"/>
        </w:tabs>
        <w:spacing w:after="0" w:line="240" w:lineRule="atLeast"/>
        <w:ind w:firstLine="204"/>
        <w:jc w:val="both"/>
        <w:rPr>
          <w:rFonts w:ascii="Times New Roman" w:hAnsi="Times New Roman" w:cs="Times New Roman"/>
          <w:sz w:val="20"/>
          <w:szCs w:val="20"/>
        </w:rPr>
      </w:pPr>
    </w:p>
    <w:p w14:paraId="20AA905D" w14:textId="1D82283A" w:rsidR="00EA4E1B" w:rsidRPr="001F25B2" w:rsidRDefault="00F74ED4" w:rsidP="00763FDF">
      <w:pPr>
        <w:pStyle w:val="Ttulo2"/>
        <w:spacing w:line="240" w:lineRule="atLeast"/>
        <w:rPr>
          <w:rFonts w:ascii="Helvetica" w:hAnsi="Helvetica" w:cs="Helvetica"/>
          <w:sz w:val="24"/>
          <w:szCs w:val="24"/>
        </w:rPr>
      </w:pPr>
      <w:r>
        <w:rPr>
          <w:rFonts w:ascii="Helvetica" w:hAnsi="Helvetica" w:cs="Helvetica"/>
          <w:sz w:val="24"/>
          <w:szCs w:val="24"/>
        </w:rPr>
        <w:t>C</w:t>
      </w:r>
      <w:r w:rsidR="00EA4E1B" w:rsidRPr="001F25B2">
        <w:rPr>
          <w:rFonts w:ascii="Helvetica" w:hAnsi="Helvetica" w:cs="Helvetica"/>
          <w:sz w:val="24"/>
          <w:szCs w:val="24"/>
        </w:rPr>
        <w:t>onclusões</w:t>
      </w:r>
    </w:p>
    <w:p w14:paraId="69BDD6CA" w14:textId="17ED7378" w:rsidR="00B60760" w:rsidRDefault="003128F8" w:rsidP="00EA4E1B">
      <w:pPr>
        <w:pStyle w:val="TAMainText"/>
        <w:ind w:firstLine="187"/>
        <w:rPr>
          <w:rFonts w:ascii="Times New Roman" w:hAnsi="Times New Roman"/>
          <w:lang w:val="pt-BR"/>
        </w:rPr>
      </w:pPr>
      <w:r>
        <w:rPr>
          <w:rFonts w:ascii="Times New Roman" w:hAnsi="Times New Roman"/>
          <w:lang w:val="pt-BR"/>
        </w:rPr>
        <w:t>Nas mesmas condições de preparo e avaliação, os catalisadores suportados em aluminato de magnésio apresentaram maior área específica, menor tamanho de partícula do níquel, maior atividade inicial e resistência a sinterização térmica, do que os preparados utilizando aluminatos de cálcio. No entanto, estes últimos apresentaram maior resistência ao acúmulo de coque.</w:t>
      </w:r>
    </w:p>
    <w:p w14:paraId="44AF316C" w14:textId="0B3BA101" w:rsidR="00F969DD" w:rsidRPr="00D2339E" w:rsidRDefault="00D2339E" w:rsidP="00EA4E1B">
      <w:pPr>
        <w:pStyle w:val="TAMainText"/>
        <w:ind w:firstLine="187"/>
        <w:rPr>
          <w:rFonts w:ascii="Times New Roman" w:hAnsi="Times New Roman"/>
          <w:lang w:val="pt-BR"/>
        </w:rPr>
      </w:pPr>
      <w:r>
        <w:rPr>
          <w:rFonts w:ascii="Times New Roman" w:hAnsi="Times New Roman"/>
          <w:lang w:val="pt-BR"/>
        </w:rPr>
        <w:t xml:space="preserve"> </w:t>
      </w:r>
    </w:p>
    <w:p w14:paraId="6BE32F7B" w14:textId="79EE99D0" w:rsidR="00EA4E1B" w:rsidRPr="001F25B2" w:rsidRDefault="008C1387" w:rsidP="00EA4E1B">
      <w:pPr>
        <w:pStyle w:val="Ttulo2"/>
        <w:rPr>
          <w:rFonts w:ascii="Helvetica" w:hAnsi="Helvetica" w:cs="Helvetica"/>
          <w:sz w:val="24"/>
          <w:szCs w:val="24"/>
        </w:rPr>
      </w:pPr>
      <w:r>
        <w:rPr>
          <w:rFonts w:ascii="Helvetica" w:hAnsi="Helvetica" w:cs="Helvetica"/>
          <w:sz w:val="24"/>
          <w:szCs w:val="24"/>
        </w:rPr>
        <w:t>A</w:t>
      </w:r>
      <w:r w:rsidR="00EA4E1B" w:rsidRPr="001F25B2">
        <w:rPr>
          <w:rFonts w:ascii="Helvetica" w:hAnsi="Helvetica" w:cs="Helvetica"/>
          <w:sz w:val="24"/>
          <w:szCs w:val="24"/>
        </w:rPr>
        <w:t>gradecimentos</w:t>
      </w:r>
    </w:p>
    <w:p w14:paraId="05A178F9" w14:textId="79D81F15" w:rsidR="00EA4E1B" w:rsidRDefault="00D33890" w:rsidP="00EA4E1B">
      <w:pPr>
        <w:pStyle w:val="TAMainText"/>
        <w:rPr>
          <w:rFonts w:ascii="Times New Roman" w:hAnsi="Times New Roman"/>
          <w:lang w:val="pt-BR"/>
        </w:rPr>
      </w:pPr>
      <w:r>
        <w:rPr>
          <w:rFonts w:ascii="Times New Roman" w:hAnsi="Times New Roman"/>
          <w:lang w:val="pt-BR"/>
        </w:rPr>
        <w:t xml:space="preserve">À </w:t>
      </w:r>
      <w:r w:rsidR="007824E8">
        <w:rPr>
          <w:rFonts w:ascii="Times New Roman" w:hAnsi="Times New Roman"/>
          <w:lang w:val="pt-BR"/>
        </w:rPr>
        <w:t>Petrobras</w:t>
      </w:r>
      <w:r>
        <w:rPr>
          <w:rFonts w:ascii="Times New Roman" w:hAnsi="Times New Roman"/>
          <w:lang w:val="pt-BR"/>
        </w:rPr>
        <w:t xml:space="preserve"> pelo apoio financeiro</w:t>
      </w:r>
      <w:r w:rsidR="00150407">
        <w:rPr>
          <w:rFonts w:ascii="Times New Roman" w:hAnsi="Times New Roman"/>
          <w:lang w:val="pt-BR"/>
        </w:rPr>
        <w:t xml:space="preserve"> e </w:t>
      </w:r>
      <w:r w:rsidR="00DE6A21">
        <w:rPr>
          <w:rFonts w:ascii="Times New Roman" w:hAnsi="Times New Roman"/>
          <w:lang w:val="pt-BR"/>
        </w:rPr>
        <w:t xml:space="preserve">realização de </w:t>
      </w:r>
      <w:r w:rsidR="009B397D">
        <w:rPr>
          <w:rFonts w:ascii="Times New Roman" w:hAnsi="Times New Roman"/>
          <w:lang w:val="pt-BR"/>
        </w:rPr>
        <w:t>medida</w:t>
      </w:r>
      <w:r w:rsidR="00DE6A21">
        <w:rPr>
          <w:rFonts w:ascii="Times New Roman" w:hAnsi="Times New Roman"/>
          <w:lang w:val="pt-BR"/>
        </w:rPr>
        <w:t>s</w:t>
      </w:r>
      <w:r w:rsidR="009B397D">
        <w:rPr>
          <w:rFonts w:ascii="Times New Roman" w:hAnsi="Times New Roman"/>
          <w:lang w:val="pt-BR"/>
        </w:rPr>
        <w:t xml:space="preserve"> do desempenho</w:t>
      </w:r>
      <w:r w:rsidR="009B056B">
        <w:rPr>
          <w:rFonts w:ascii="Times New Roman" w:hAnsi="Times New Roman"/>
          <w:lang w:val="pt-BR"/>
        </w:rPr>
        <w:t xml:space="preserve"> dos materiais</w:t>
      </w:r>
      <w:r w:rsidR="00EA4E1B" w:rsidRPr="001F25B2">
        <w:rPr>
          <w:rFonts w:ascii="Times New Roman" w:hAnsi="Times New Roman"/>
          <w:lang w:val="pt-BR"/>
        </w:rPr>
        <w:t>.</w:t>
      </w:r>
      <w:r w:rsidR="007824E8">
        <w:rPr>
          <w:rFonts w:ascii="Times New Roman" w:hAnsi="Times New Roman"/>
          <w:lang w:val="pt-BR"/>
        </w:rPr>
        <w:t xml:space="preserve"> </w:t>
      </w:r>
      <w:r w:rsidR="008079FE">
        <w:rPr>
          <w:rFonts w:ascii="Times New Roman" w:hAnsi="Times New Roman"/>
          <w:lang w:val="pt-BR"/>
        </w:rPr>
        <w:t>A</w:t>
      </w:r>
      <w:r w:rsidR="007824E8">
        <w:rPr>
          <w:rFonts w:ascii="Times New Roman" w:hAnsi="Times New Roman"/>
          <w:lang w:val="pt-BR"/>
        </w:rPr>
        <w:t xml:space="preserve"> S</w:t>
      </w:r>
      <w:r w:rsidR="001C7890">
        <w:rPr>
          <w:rFonts w:ascii="Times New Roman" w:hAnsi="Times New Roman"/>
          <w:lang w:val="pt-BR"/>
        </w:rPr>
        <w:t>ASOL</w:t>
      </w:r>
      <w:r w:rsidR="007824E8">
        <w:rPr>
          <w:rFonts w:ascii="Times New Roman" w:hAnsi="Times New Roman"/>
          <w:lang w:val="pt-BR"/>
        </w:rPr>
        <w:t xml:space="preserve"> e a </w:t>
      </w:r>
      <w:r w:rsidR="00070A6D">
        <w:rPr>
          <w:rFonts w:ascii="Times New Roman" w:hAnsi="Times New Roman"/>
          <w:lang w:val="pt-BR"/>
        </w:rPr>
        <w:t xml:space="preserve">ELFUSA </w:t>
      </w:r>
      <w:r w:rsidR="00C95C89">
        <w:rPr>
          <w:rFonts w:ascii="Times New Roman" w:hAnsi="Times New Roman"/>
          <w:lang w:val="pt-BR"/>
        </w:rPr>
        <w:t xml:space="preserve">por </w:t>
      </w:r>
      <w:r w:rsidR="008079FE">
        <w:rPr>
          <w:rFonts w:ascii="Times New Roman" w:hAnsi="Times New Roman"/>
          <w:lang w:val="pt-BR"/>
        </w:rPr>
        <w:t>doação das</w:t>
      </w:r>
      <w:r w:rsidR="00C95C89">
        <w:rPr>
          <w:rFonts w:ascii="Times New Roman" w:hAnsi="Times New Roman"/>
          <w:lang w:val="pt-BR"/>
        </w:rPr>
        <w:t xml:space="preserve"> amostras de suportes</w:t>
      </w:r>
      <w:r w:rsidR="001C7890">
        <w:rPr>
          <w:rFonts w:ascii="Times New Roman" w:hAnsi="Times New Roman"/>
          <w:lang w:val="pt-BR"/>
        </w:rPr>
        <w:t>.</w:t>
      </w:r>
    </w:p>
    <w:p w14:paraId="2EA23CAA" w14:textId="77777777" w:rsidR="0014013A" w:rsidRPr="001F25B2" w:rsidRDefault="0014013A" w:rsidP="00EA4E1B">
      <w:pPr>
        <w:pStyle w:val="TAMainText"/>
        <w:rPr>
          <w:rFonts w:ascii="Times New Roman" w:hAnsi="Times New Roman"/>
          <w:lang w:val="pt-BR"/>
        </w:rPr>
      </w:pP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4502861E" w14:textId="77777777" w:rsidR="00BD1AE0" w:rsidRDefault="00BD1AE0" w:rsidP="00BD1AE0">
      <w:pPr>
        <w:pStyle w:val="TAMainText"/>
        <w:numPr>
          <w:ilvl w:val="0"/>
          <w:numId w:val="1"/>
        </w:numPr>
        <w:rPr>
          <w:color w:val="000000"/>
        </w:rPr>
      </w:pPr>
      <w:r w:rsidRPr="00A51898">
        <w:rPr>
          <w:color w:val="000000"/>
        </w:rPr>
        <w:t xml:space="preserve">A. </w:t>
      </w:r>
      <w:proofErr w:type="spellStart"/>
      <w:r w:rsidRPr="00A51898">
        <w:rPr>
          <w:color w:val="000000"/>
        </w:rPr>
        <w:t>Djaidja</w:t>
      </w:r>
      <w:proofErr w:type="spellEnd"/>
      <w:r w:rsidRPr="00A51898">
        <w:rPr>
          <w:color w:val="000000"/>
        </w:rPr>
        <w:t xml:space="preserve">, A. </w:t>
      </w:r>
      <w:proofErr w:type="spellStart"/>
      <w:r w:rsidRPr="00A51898">
        <w:rPr>
          <w:color w:val="000000"/>
        </w:rPr>
        <w:t>Kiennemann</w:t>
      </w:r>
      <w:proofErr w:type="spellEnd"/>
      <w:r w:rsidRPr="00A51898">
        <w:rPr>
          <w:color w:val="000000"/>
        </w:rPr>
        <w:t xml:space="preserve">, A. Barama, </w:t>
      </w:r>
      <w:r w:rsidRPr="004B007F">
        <w:rPr>
          <w:i/>
          <w:iCs/>
          <w:color w:val="000000"/>
        </w:rPr>
        <w:t xml:space="preserve">Stud. Surf. Sci. </w:t>
      </w:r>
      <w:proofErr w:type="spellStart"/>
      <w:r w:rsidRPr="004B007F">
        <w:rPr>
          <w:i/>
          <w:iCs/>
          <w:color w:val="000000"/>
        </w:rPr>
        <w:t>Catal</w:t>
      </w:r>
      <w:proofErr w:type="spellEnd"/>
      <w:r w:rsidRPr="004B007F">
        <w:rPr>
          <w:i/>
          <w:iCs/>
          <w:color w:val="000000"/>
        </w:rPr>
        <w:t>.</w:t>
      </w:r>
      <w:r>
        <w:rPr>
          <w:color w:val="000000"/>
        </w:rPr>
        <w:t xml:space="preserve"> </w:t>
      </w:r>
      <w:r w:rsidRPr="00BD1AE0">
        <w:rPr>
          <w:b/>
          <w:bCs/>
          <w:color w:val="000000"/>
        </w:rPr>
        <w:t>2006</w:t>
      </w:r>
      <w:r>
        <w:rPr>
          <w:color w:val="000000"/>
        </w:rPr>
        <w:t xml:space="preserve">, 162, 945-952. </w:t>
      </w:r>
    </w:p>
    <w:p w14:paraId="13D8FEA8" w14:textId="27A76044" w:rsidR="00885051" w:rsidRPr="004E0C37" w:rsidRDefault="002564E4" w:rsidP="00145D0A">
      <w:pPr>
        <w:pStyle w:val="TAMainText"/>
        <w:numPr>
          <w:ilvl w:val="0"/>
          <w:numId w:val="1"/>
        </w:numPr>
        <w:tabs>
          <w:tab w:val="clear" w:pos="360"/>
          <w:tab w:val="num" w:pos="284"/>
        </w:tabs>
        <w:ind w:left="0" w:firstLine="0"/>
      </w:pPr>
      <w:r w:rsidRPr="004854F3">
        <w:rPr>
          <w:color w:val="000000"/>
        </w:rPr>
        <w:t xml:space="preserve"> </w:t>
      </w:r>
      <w:r w:rsidR="00676831" w:rsidRPr="004854F3">
        <w:rPr>
          <w:color w:val="000000"/>
        </w:rPr>
        <w:t xml:space="preserve">R.C.P. Bittencourt, BR 102016022467-5 A2, </w:t>
      </w:r>
      <w:r w:rsidR="00676831" w:rsidRPr="00AC2844">
        <w:rPr>
          <w:b/>
          <w:bCs/>
          <w:color w:val="000000"/>
        </w:rPr>
        <w:t>2016</w:t>
      </w:r>
      <w:r w:rsidR="00676831" w:rsidRPr="004854F3">
        <w:rPr>
          <w:color w:val="000000"/>
        </w:rPr>
        <w:t>.</w:t>
      </w:r>
    </w:p>
    <w:p w14:paraId="5740CA8E" w14:textId="1AFE9CAF" w:rsidR="004E0C37" w:rsidRPr="00757E10" w:rsidRDefault="004E0C37" w:rsidP="00145D0A">
      <w:pPr>
        <w:pStyle w:val="TAMainText"/>
        <w:numPr>
          <w:ilvl w:val="0"/>
          <w:numId w:val="1"/>
        </w:numPr>
        <w:tabs>
          <w:tab w:val="clear" w:pos="360"/>
          <w:tab w:val="num" w:pos="284"/>
        </w:tabs>
        <w:ind w:left="0" w:firstLine="0"/>
      </w:pPr>
      <w:r w:rsidRPr="004E0C37">
        <w:t xml:space="preserve">Rostrup-Nielsen, </w:t>
      </w:r>
      <w:r w:rsidRPr="000C205E">
        <w:rPr>
          <w:i/>
          <w:iCs/>
        </w:rPr>
        <w:t>J</w:t>
      </w:r>
      <w:r w:rsidR="000C205E" w:rsidRPr="000C205E">
        <w:rPr>
          <w:i/>
          <w:iCs/>
        </w:rPr>
        <w:t>.</w:t>
      </w:r>
      <w:r w:rsidRPr="000C205E">
        <w:rPr>
          <w:i/>
          <w:iCs/>
        </w:rPr>
        <w:t xml:space="preserve"> Catalysis</w:t>
      </w:r>
      <w:r w:rsidR="00AC2844">
        <w:t xml:space="preserve">, </w:t>
      </w:r>
      <w:r w:rsidR="00AC2844" w:rsidRPr="00AC2844">
        <w:rPr>
          <w:b/>
          <w:bCs/>
        </w:rPr>
        <w:t>1974</w:t>
      </w:r>
      <w:r w:rsidR="00AC2844">
        <w:t xml:space="preserve">, </w:t>
      </w:r>
      <w:r w:rsidRPr="004E0C37">
        <w:t>33, vol.2, 184-201</w:t>
      </w:r>
      <w:r w:rsidR="00AC2844">
        <w:t>.</w:t>
      </w:r>
    </w:p>
    <w:p w14:paraId="4F6B0970" w14:textId="5ABDB2E9" w:rsidR="00AC2844" w:rsidRDefault="00AA5307" w:rsidP="005C1C93">
      <w:pPr>
        <w:pStyle w:val="TAMainText"/>
        <w:numPr>
          <w:ilvl w:val="0"/>
          <w:numId w:val="1"/>
        </w:numPr>
        <w:tabs>
          <w:tab w:val="clear" w:pos="360"/>
          <w:tab w:val="num" w:pos="284"/>
        </w:tabs>
        <w:ind w:left="0" w:firstLine="0"/>
      </w:pPr>
      <w:r>
        <w:t xml:space="preserve"> </w:t>
      </w:r>
      <w:proofErr w:type="spellStart"/>
      <w:r w:rsidR="00AC2844" w:rsidRPr="000C205E">
        <w:rPr>
          <w:lang w:val="pt-BR"/>
        </w:rPr>
        <w:t>Rondinele</w:t>
      </w:r>
      <w:proofErr w:type="spellEnd"/>
      <w:r w:rsidR="00AC2844" w:rsidRPr="000C205E">
        <w:rPr>
          <w:lang w:val="pt-BR"/>
        </w:rPr>
        <w:t xml:space="preserve">, F., Reis, A., Naves, A.N.C., Bellot, N.F., </w:t>
      </w:r>
      <w:proofErr w:type="spellStart"/>
      <w:r w:rsidR="00AC2844" w:rsidRPr="000C205E">
        <w:rPr>
          <w:lang w:val="pt-BR"/>
        </w:rPr>
        <w:t>Eponina</w:t>
      </w:r>
      <w:proofErr w:type="spellEnd"/>
      <w:r w:rsidR="00AC2844" w:rsidRPr="000C205E">
        <w:rPr>
          <w:lang w:val="pt-BR"/>
        </w:rPr>
        <w:t xml:space="preserve">, </w:t>
      </w:r>
      <w:proofErr w:type="spellStart"/>
      <w:r w:rsidR="00AC2844" w:rsidRPr="000C205E">
        <w:rPr>
          <w:lang w:val="pt-BR"/>
        </w:rPr>
        <w:t>C</w:t>
      </w:r>
      <w:r w:rsidR="00AC2844" w:rsidRPr="000C205E">
        <w:rPr>
          <w:i/>
          <w:iCs/>
          <w:lang w:val="pt-BR"/>
        </w:rPr>
        <w:t>hem</w:t>
      </w:r>
      <w:proofErr w:type="spellEnd"/>
      <w:r w:rsidR="000C205E" w:rsidRPr="000C205E">
        <w:rPr>
          <w:i/>
          <w:iCs/>
          <w:lang w:val="pt-BR"/>
        </w:rPr>
        <w:t>.</w:t>
      </w:r>
      <w:r w:rsidR="000C205E">
        <w:rPr>
          <w:i/>
          <w:iCs/>
          <w:lang w:val="pt-BR"/>
        </w:rPr>
        <w:t xml:space="preserve"> </w:t>
      </w:r>
      <w:r w:rsidR="00AC2844" w:rsidRPr="000C205E">
        <w:rPr>
          <w:i/>
          <w:iCs/>
          <w:lang w:val="pt-BR"/>
        </w:rPr>
        <w:t>Eng</w:t>
      </w:r>
      <w:r w:rsidR="000C205E" w:rsidRPr="000C205E">
        <w:rPr>
          <w:i/>
          <w:iCs/>
          <w:lang w:val="pt-BR"/>
        </w:rPr>
        <w:t>.</w:t>
      </w:r>
      <w:r w:rsidR="00AC2844" w:rsidRPr="000C205E">
        <w:rPr>
          <w:i/>
          <w:iCs/>
          <w:lang w:val="pt-BR"/>
        </w:rPr>
        <w:t xml:space="preserve"> </w:t>
      </w:r>
      <w:proofErr w:type="spellStart"/>
      <w:r w:rsidR="00AC2844" w:rsidRPr="00850FE9">
        <w:rPr>
          <w:i/>
          <w:iCs/>
        </w:rPr>
        <w:t>Commun</w:t>
      </w:r>
      <w:proofErr w:type="spellEnd"/>
      <w:r w:rsidR="0014013A">
        <w:rPr>
          <w:i/>
          <w:iCs/>
        </w:rPr>
        <w:t>.</w:t>
      </w:r>
      <w:r w:rsidR="00AC2844">
        <w:t xml:space="preserve">, </w:t>
      </w:r>
      <w:r w:rsidR="00AC2844" w:rsidRPr="00850FE9">
        <w:rPr>
          <w:b/>
          <w:bCs/>
        </w:rPr>
        <w:t>2022</w:t>
      </w:r>
      <w:r w:rsidR="00AC2844">
        <w:t>, 209</w:t>
      </w:r>
      <w:r w:rsidR="0014013A">
        <w:t xml:space="preserve"> (</w:t>
      </w:r>
      <w:r w:rsidR="00AC2844">
        <w:t>2</w:t>
      </w:r>
      <w:r w:rsidR="0014013A">
        <w:t>)</w:t>
      </w:r>
      <w:r w:rsidR="00AC2844">
        <w:t>, 256-270</w:t>
      </w:r>
      <w:r w:rsidR="0014013A">
        <w:t>.</w:t>
      </w:r>
    </w:p>
    <w:p w14:paraId="50C688F7" w14:textId="08F5645B" w:rsidR="00850FE9" w:rsidRPr="00AC2844" w:rsidRDefault="00850FE9" w:rsidP="006F0952">
      <w:pPr>
        <w:pStyle w:val="PargrafodaLista"/>
        <w:numPr>
          <w:ilvl w:val="0"/>
          <w:numId w:val="1"/>
        </w:numPr>
        <w:tabs>
          <w:tab w:val="clear" w:pos="360"/>
          <w:tab w:val="num" w:pos="284"/>
        </w:tabs>
        <w:ind w:left="0" w:firstLine="0"/>
        <w:jc w:val="both"/>
      </w:pPr>
      <w:proofErr w:type="spellStart"/>
      <w:r w:rsidRPr="00850FE9">
        <w:rPr>
          <w:rFonts w:ascii="Times" w:eastAsia="Times New Roman" w:hAnsi="Times" w:cs="Times New Roman"/>
          <w:sz w:val="20"/>
          <w:szCs w:val="20"/>
          <w:lang w:val="en-US" w:eastAsia="pt-BR"/>
        </w:rPr>
        <w:t>Quitete</w:t>
      </w:r>
      <w:proofErr w:type="spellEnd"/>
      <w:r w:rsidRPr="00850FE9">
        <w:rPr>
          <w:rFonts w:ascii="Times" w:eastAsia="Times New Roman" w:hAnsi="Times" w:cs="Times New Roman"/>
          <w:sz w:val="20"/>
          <w:szCs w:val="20"/>
          <w:lang w:val="en-US" w:eastAsia="pt-BR"/>
        </w:rPr>
        <w:t xml:space="preserve">, C.P.B., Tavares, P.A., Bittencourt, R.C.P., Souza, M.M.V.M. </w:t>
      </w:r>
      <w:proofErr w:type="spellStart"/>
      <w:r w:rsidRPr="0014013A">
        <w:rPr>
          <w:rFonts w:ascii="Times" w:eastAsia="Times New Roman" w:hAnsi="Times" w:cs="Times New Roman"/>
          <w:i/>
          <w:iCs/>
          <w:sz w:val="20"/>
          <w:szCs w:val="20"/>
          <w:lang w:val="en-US" w:eastAsia="pt-BR"/>
        </w:rPr>
        <w:t>Catal</w:t>
      </w:r>
      <w:proofErr w:type="spellEnd"/>
      <w:r w:rsidR="0014013A" w:rsidRPr="0014013A">
        <w:rPr>
          <w:rFonts w:ascii="Times" w:eastAsia="Times New Roman" w:hAnsi="Times" w:cs="Times New Roman"/>
          <w:i/>
          <w:iCs/>
          <w:sz w:val="20"/>
          <w:szCs w:val="20"/>
          <w:lang w:val="en-US" w:eastAsia="pt-BR"/>
        </w:rPr>
        <w:t>.</w:t>
      </w:r>
      <w:r w:rsidRPr="0014013A">
        <w:rPr>
          <w:rFonts w:ascii="Times" w:eastAsia="Times New Roman" w:hAnsi="Times" w:cs="Times New Roman"/>
          <w:i/>
          <w:iCs/>
          <w:sz w:val="20"/>
          <w:szCs w:val="20"/>
          <w:lang w:val="en-US" w:eastAsia="pt-BR"/>
        </w:rPr>
        <w:t xml:space="preserve"> Letters.</w:t>
      </w:r>
      <w:r w:rsidR="0014013A">
        <w:rPr>
          <w:rFonts w:ascii="Times" w:eastAsia="Times New Roman" w:hAnsi="Times" w:cs="Times New Roman"/>
          <w:sz w:val="20"/>
          <w:szCs w:val="20"/>
          <w:lang w:val="en-US" w:eastAsia="pt-BR"/>
        </w:rPr>
        <w:t>,</w:t>
      </w:r>
      <w:r w:rsidRPr="00850FE9">
        <w:rPr>
          <w:rFonts w:ascii="Times" w:eastAsia="Times New Roman" w:hAnsi="Times" w:cs="Times New Roman"/>
          <w:sz w:val="20"/>
          <w:szCs w:val="20"/>
          <w:lang w:val="en-US" w:eastAsia="pt-BR"/>
        </w:rPr>
        <w:t xml:space="preserve"> </w:t>
      </w:r>
      <w:r w:rsidRPr="0014013A">
        <w:rPr>
          <w:rFonts w:ascii="Times" w:eastAsia="Times New Roman" w:hAnsi="Times" w:cs="Times New Roman"/>
          <w:b/>
          <w:bCs/>
          <w:sz w:val="20"/>
          <w:szCs w:val="20"/>
          <w:lang w:val="en-US" w:eastAsia="pt-BR"/>
        </w:rPr>
        <w:t>2016</w:t>
      </w:r>
      <w:r w:rsidRPr="00850FE9">
        <w:rPr>
          <w:rFonts w:ascii="Times" w:eastAsia="Times New Roman" w:hAnsi="Times" w:cs="Times New Roman"/>
          <w:sz w:val="20"/>
          <w:szCs w:val="20"/>
          <w:lang w:val="en-US" w:eastAsia="pt-BR"/>
        </w:rPr>
        <w:t>, 146, 1435–1444</w:t>
      </w:r>
    </w:p>
    <w:sectPr w:rsidR="00850FE9" w:rsidRPr="00AC284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0215" w14:textId="77777777" w:rsidR="00C63AEE" w:rsidRDefault="00C63AEE" w:rsidP="00EA4E1B">
      <w:pPr>
        <w:spacing w:after="0" w:line="240" w:lineRule="auto"/>
      </w:pPr>
      <w:r>
        <w:separator/>
      </w:r>
    </w:p>
  </w:endnote>
  <w:endnote w:type="continuationSeparator" w:id="0">
    <w:p w14:paraId="24E3E435" w14:textId="77777777" w:rsidR="00C63AEE" w:rsidRDefault="00C63AE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E143" w14:textId="6330E912" w:rsidR="004F1379" w:rsidRDefault="004F1379">
    <w:pPr>
      <w:pStyle w:val="Rodap"/>
    </w:pPr>
    <w:r>
      <w:rPr>
        <w:noProof/>
      </w:rPr>
      <mc:AlternateContent>
        <mc:Choice Requires="wps">
          <w:drawing>
            <wp:anchor distT="0" distB="0" distL="0" distR="0" simplePos="0" relativeHeight="251659264" behindDoc="0" locked="0" layoutInCell="1" allowOverlap="1" wp14:anchorId="666A38FA" wp14:editId="2F45E315">
              <wp:simplePos x="635" y="635"/>
              <wp:positionH relativeFrom="page">
                <wp:align>center</wp:align>
              </wp:positionH>
              <wp:positionV relativeFrom="page">
                <wp:align>bottom</wp:align>
              </wp:positionV>
              <wp:extent cx="443865" cy="443865"/>
              <wp:effectExtent l="0" t="0" r="13970" b="0"/>
              <wp:wrapNone/>
              <wp:docPr id="2"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A0327" w14:textId="64E7D571"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A38FA" id="_x0000_t202" coordsize="21600,21600" o:spt="202" path="m,l,21600r21600,l21600,xe">
              <v:stroke joinstyle="miter"/>
              <v:path gradientshapeok="t" o:connecttype="rect"/>
            </v:shapetype>
            <v:shape id="Caixa de Texto 2" o:spid="_x0000_s1028" type="#_x0000_t202" alt="PÚBLICA"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4CA0327" w14:textId="64E7D571"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DD9D" w14:textId="6158E11F" w:rsidR="004F1379" w:rsidRDefault="004F1379">
    <w:pPr>
      <w:pStyle w:val="Rodap"/>
    </w:pPr>
    <w:r>
      <w:rPr>
        <w:noProof/>
      </w:rPr>
      <mc:AlternateContent>
        <mc:Choice Requires="wps">
          <w:drawing>
            <wp:anchor distT="0" distB="0" distL="0" distR="0" simplePos="0" relativeHeight="251660288" behindDoc="0" locked="0" layoutInCell="1" allowOverlap="1" wp14:anchorId="29C14192" wp14:editId="72255ACB">
              <wp:simplePos x="361950" y="10077450"/>
              <wp:positionH relativeFrom="page">
                <wp:align>center</wp:align>
              </wp:positionH>
              <wp:positionV relativeFrom="page">
                <wp:align>bottom</wp:align>
              </wp:positionV>
              <wp:extent cx="443865" cy="443865"/>
              <wp:effectExtent l="0" t="0" r="13970" b="0"/>
              <wp:wrapNone/>
              <wp:docPr id="5"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8970F" w14:textId="5A67FF9A"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14192" id="_x0000_t202" coordsize="21600,21600" o:spt="202" path="m,l,21600r21600,l21600,xe">
              <v:stroke joinstyle="miter"/>
              <v:path gradientshapeok="t" o:connecttype="rect"/>
            </v:shapetype>
            <v:shape id="Caixa de Texto 5" o:spid="_x0000_s1029" type="#_x0000_t202" alt="PÚBLICA"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018970F" w14:textId="5A67FF9A"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DB9F" w14:textId="691CE9B6" w:rsidR="004F1379" w:rsidRDefault="004F1379">
    <w:pPr>
      <w:pStyle w:val="Rodap"/>
    </w:pPr>
    <w:r>
      <w:rPr>
        <w:noProof/>
      </w:rPr>
      <mc:AlternateContent>
        <mc:Choice Requires="wps">
          <w:drawing>
            <wp:anchor distT="0" distB="0" distL="0" distR="0" simplePos="0" relativeHeight="251658240" behindDoc="0" locked="0" layoutInCell="1" allowOverlap="1" wp14:anchorId="153ECF60" wp14:editId="00C79635">
              <wp:simplePos x="635" y="635"/>
              <wp:positionH relativeFrom="page">
                <wp:align>center</wp:align>
              </wp:positionH>
              <wp:positionV relativeFrom="page">
                <wp:align>bottom</wp:align>
              </wp:positionV>
              <wp:extent cx="443865" cy="443865"/>
              <wp:effectExtent l="0" t="0" r="13970" b="0"/>
              <wp:wrapNone/>
              <wp:docPr id="1"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50891" w14:textId="64469E15"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ECF60" id="_x0000_t202" coordsize="21600,21600" o:spt="202" path="m,l,21600r21600,l21600,xe">
              <v:stroke joinstyle="miter"/>
              <v:path gradientshapeok="t" o:connecttype="rect"/>
            </v:shapetype>
            <v:shape id="Caixa de Texto 1" o:spid="_x0000_s1030" type="#_x0000_t202" alt="PÚBLICA"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A50891" w14:textId="64469E15" w:rsidR="004F1379" w:rsidRPr="004F1379" w:rsidRDefault="004F1379" w:rsidP="004F1379">
                    <w:pPr>
                      <w:spacing w:after="0"/>
                      <w:rPr>
                        <w:rFonts w:ascii="Arial Black" w:eastAsia="Arial Black" w:hAnsi="Arial Black" w:cs="Arial Black"/>
                        <w:noProof/>
                        <w:color w:val="737373"/>
                        <w:sz w:val="22"/>
                        <w:szCs w:val="22"/>
                      </w:rPr>
                    </w:pPr>
                    <w:r w:rsidRPr="004F1379">
                      <w:rPr>
                        <w:rFonts w:ascii="Arial Black" w:eastAsia="Arial Black" w:hAnsi="Arial Black" w:cs="Arial Black"/>
                        <w:noProof/>
                        <w:color w:val="737373"/>
                        <w:sz w:val="22"/>
                        <w:szCs w:val="22"/>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71B6" w14:textId="77777777" w:rsidR="00C63AEE" w:rsidRDefault="00C63AEE" w:rsidP="00EA4E1B">
      <w:pPr>
        <w:spacing w:after="0" w:line="240" w:lineRule="auto"/>
      </w:pPr>
      <w:r>
        <w:separator/>
      </w:r>
    </w:p>
  </w:footnote>
  <w:footnote w:type="continuationSeparator" w:id="0">
    <w:p w14:paraId="16459EB7" w14:textId="77777777" w:rsidR="00C63AEE" w:rsidRDefault="00C63AE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val="en-US"/>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val="en-US"/>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30030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162"/>
    <w:rsid w:val="0001264A"/>
    <w:rsid w:val="00024316"/>
    <w:rsid w:val="00032537"/>
    <w:rsid w:val="000348F7"/>
    <w:rsid w:val="00050916"/>
    <w:rsid w:val="0005511F"/>
    <w:rsid w:val="00061A72"/>
    <w:rsid w:val="00070A6D"/>
    <w:rsid w:val="00076500"/>
    <w:rsid w:val="00083D2E"/>
    <w:rsid w:val="000878B0"/>
    <w:rsid w:val="000A744D"/>
    <w:rsid w:val="000A788A"/>
    <w:rsid w:val="000B5CA7"/>
    <w:rsid w:val="000C205E"/>
    <w:rsid w:val="000D5059"/>
    <w:rsid w:val="000D74D7"/>
    <w:rsid w:val="000E6547"/>
    <w:rsid w:val="000F1D24"/>
    <w:rsid w:val="001028E4"/>
    <w:rsid w:val="00112B71"/>
    <w:rsid w:val="0012284C"/>
    <w:rsid w:val="00122D63"/>
    <w:rsid w:val="00133C02"/>
    <w:rsid w:val="0014013A"/>
    <w:rsid w:val="00145D0A"/>
    <w:rsid w:val="0014796E"/>
    <w:rsid w:val="00150407"/>
    <w:rsid w:val="00150700"/>
    <w:rsid w:val="001734E0"/>
    <w:rsid w:val="0019236C"/>
    <w:rsid w:val="00194F96"/>
    <w:rsid w:val="001A5DF5"/>
    <w:rsid w:val="001A6299"/>
    <w:rsid w:val="001C7890"/>
    <w:rsid w:val="001D5E23"/>
    <w:rsid w:val="001E401E"/>
    <w:rsid w:val="001E4179"/>
    <w:rsid w:val="001E58A9"/>
    <w:rsid w:val="001F25B2"/>
    <w:rsid w:val="001F4A97"/>
    <w:rsid w:val="001F4C60"/>
    <w:rsid w:val="00222230"/>
    <w:rsid w:val="00226BDD"/>
    <w:rsid w:val="0023098C"/>
    <w:rsid w:val="002417A7"/>
    <w:rsid w:val="00243FD3"/>
    <w:rsid w:val="00251540"/>
    <w:rsid w:val="002524BB"/>
    <w:rsid w:val="002564E4"/>
    <w:rsid w:val="00261D04"/>
    <w:rsid w:val="0027188E"/>
    <w:rsid w:val="0027200C"/>
    <w:rsid w:val="00287C9B"/>
    <w:rsid w:val="002907CC"/>
    <w:rsid w:val="00292015"/>
    <w:rsid w:val="002937BE"/>
    <w:rsid w:val="00294EA6"/>
    <w:rsid w:val="002B08C7"/>
    <w:rsid w:val="002B1038"/>
    <w:rsid w:val="002B6A69"/>
    <w:rsid w:val="002C490C"/>
    <w:rsid w:val="002D1ED4"/>
    <w:rsid w:val="002F6449"/>
    <w:rsid w:val="0030315E"/>
    <w:rsid w:val="00305656"/>
    <w:rsid w:val="003128F8"/>
    <w:rsid w:val="003256BC"/>
    <w:rsid w:val="00335B2D"/>
    <w:rsid w:val="00340B1E"/>
    <w:rsid w:val="00351B09"/>
    <w:rsid w:val="00354008"/>
    <w:rsid w:val="0037556C"/>
    <w:rsid w:val="003807F0"/>
    <w:rsid w:val="00391EBC"/>
    <w:rsid w:val="003A1CF7"/>
    <w:rsid w:val="003A6357"/>
    <w:rsid w:val="003B3C20"/>
    <w:rsid w:val="003C1D69"/>
    <w:rsid w:val="003C552C"/>
    <w:rsid w:val="003C7FCB"/>
    <w:rsid w:val="003D1A88"/>
    <w:rsid w:val="003F2DDF"/>
    <w:rsid w:val="003F6FDD"/>
    <w:rsid w:val="00400FC1"/>
    <w:rsid w:val="00401F0A"/>
    <w:rsid w:val="00402F3E"/>
    <w:rsid w:val="00423B5A"/>
    <w:rsid w:val="00454493"/>
    <w:rsid w:val="004771D3"/>
    <w:rsid w:val="0048503C"/>
    <w:rsid w:val="004854F3"/>
    <w:rsid w:val="00496DA7"/>
    <w:rsid w:val="004B007F"/>
    <w:rsid w:val="004C7A6B"/>
    <w:rsid w:val="004D1C09"/>
    <w:rsid w:val="004D6A3D"/>
    <w:rsid w:val="004E034B"/>
    <w:rsid w:val="004E0C37"/>
    <w:rsid w:val="004E12E5"/>
    <w:rsid w:val="004F1379"/>
    <w:rsid w:val="004F1512"/>
    <w:rsid w:val="004F3F42"/>
    <w:rsid w:val="005104AE"/>
    <w:rsid w:val="00512D1E"/>
    <w:rsid w:val="005136A3"/>
    <w:rsid w:val="00514F9C"/>
    <w:rsid w:val="00517951"/>
    <w:rsid w:val="0052112E"/>
    <w:rsid w:val="00525108"/>
    <w:rsid w:val="00525A95"/>
    <w:rsid w:val="00540639"/>
    <w:rsid w:val="00562CD4"/>
    <w:rsid w:val="005646AF"/>
    <w:rsid w:val="00571A30"/>
    <w:rsid w:val="00583C55"/>
    <w:rsid w:val="00584BA7"/>
    <w:rsid w:val="005853F5"/>
    <w:rsid w:val="00586F3F"/>
    <w:rsid w:val="00592315"/>
    <w:rsid w:val="005B16B8"/>
    <w:rsid w:val="005C2775"/>
    <w:rsid w:val="005C452D"/>
    <w:rsid w:val="005C4E9C"/>
    <w:rsid w:val="005D02DF"/>
    <w:rsid w:val="005D65EB"/>
    <w:rsid w:val="005D710A"/>
    <w:rsid w:val="005D7AB2"/>
    <w:rsid w:val="005E0A75"/>
    <w:rsid w:val="005F739F"/>
    <w:rsid w:val="005F7D71"/>
    <w:rsid w:val="00603FFC"/>
    <w:rsid w:val="00604373"/>
    <w:rsid w:val="00604718"/>
    <w:rsid w:val="00636E9E"/>
    <w:rsid w:val="00642E81"/>
    <w:rsid w:val="0064703B"/>
    <w:rsid w:val="006518A3"/>
    <w:rsid w:val="00652815"/>
    <w:rsid w:val="0065584A"/>
    <w:rsid w:val="0066314C"/>
    <w:rsid w:val="0066601F"/>
    <w:rsid w:val="00667FC5"/>
    <w:rsid w:val="00670C7F"/>
    <w:rsid w:val="00676831"/>
    <w:rsid w:val="00696435"/>
    <w:rsid w:val="006B3937"/>
    <w:rsid w:val="006C031B"/>
    <w:rsid w:val="006C4C72"/>
    <w:rsid w:val="006C545C"/>
    <w:rsid w:val="006C5D95"/>
    <w:rsid w:val="006E1439"/>
    <w:rsid w:val="006F0952"/>
    <w:rsid w:val="006F599B"/>
    <w:rsid w:val="006F630F"/>
    <w:rsid w:val="007016A5"/>
    <w:rsid w:val="00715E2B"/>
    <w:rsid w:val="00732DB1"/>
    <w:rsid w:val="00735606"/>
    <w:rsid w:val="00737971"/>
    <w:rsid w:val="0074085F"/>
    <w:rsid w:val="007453CB"/>
    <w:rsid w:val="00745925"/>
    <w:rsid w:val="00745F85"/>
    <w:rsid w:val="00752530"/>
    <w:rsid w:val="00757E10"/>
    <w:rsid w:val="00763FDF"/>
    <w:rsid w:val="00764ED1"/>
    <w:rsid w:val="007670A0"/>
    <w:rsid w:val="007761BF"/>
    <w:rsid w:val="007776A4"/>
    <w:rsid w:val="00780A5E"/>
    <w:rsid w:val="00781685"/>
    <w:rsid w:val="007824E8"/>
    <w:rsid w:val="00786A58"/>
    <w:rsid w:val="007965CB"/>
    <w:rsid w:val="007A62F8"/>
    <w:rsid w:val="007B38F0"/>
    <w:rsid w:val="007B4B2B"/>
    <w:rsid w:val="007B715A"/>
    <w:rsid w:val="007B7917"/>
    <w:rsid w:val="007C2AB5"/>
    <w:rsid w:val="007C6321"/>
    <w:rsid w:val="007C6425"/>
    <w:rsid w:val="007D249E"/>
    <w:rsid w:val="007F0A4B"/>
    <w:rsid w:val="007F294C"/>
    <w:rsid w:val="00800072"/>
    <w:rsid w:val="008079FE"/>
    <w:rsid w:val="00834A98"/>
    <w:rsid w:val="008438EE"/>
    <w:rsid w:val="00845261"/>
    <w:rsid w:val="00850FE9"/>
    <w:rsid w:val="00852486"/>
    <w:rsid w:val="00862262"/>
    <w:rsid w:val="00866822"/>
    <w:rsid w:val="00866BC8"/>
    <w:rsid w:val="008808B3"/>
    <w:rsid w:val="008833FF"/>
    <w:rsid w:val="00885051"/>
    <w:rsid w:val="008923E6"/>
    <w:rsid w:val="008B1683"/>
    <w:rsid w:val="008B448B"/>
    <w:rsid w:val="008C1387"/>
    <w:rsid w:val="008C1B30"/>
    <w:rsid w:val="008E250F"/>
    <w:rsid w:val="008F7C96"/>
    <w:rsid w:val="00900144"/>
    <w:rsid w:val="009138DB"/>
    <w:rsid w:val="00916E5C"/>
    <w:rsid w:val="00924004"/>
    <w:rsid w:val="00925FB3"/>
    <w:rsid w:val="009268CC"/>
    <w:rsid w:val="009307BD"/>
    <w:rsid w:val="00937867"/>
    <w:rsid w:val="009550F6"/>
    <w:rsid w:val="00962CBB"/>
    <w:rsid w:val="009656D9"/>
    <w:rsid w:val="00970A38"/>
    <w:rsid w:val="00975F8C"/>
    <w:rsid w:val="009800ED"/>
    <w:rsid w:val="009856A5"/>
    <w:rsid w:val="00987ECE"/>
    <w:rsid w:val="009A2553"/>
    <w:rsid w:val="009A6FEA"/>
    <w:rsid w:val="009B056B"/>
    <w:rsid w:val="009B397D"/>
    <w:rsid w:val="009B7150"/>
    <w:rsid w:val="009C565A"/>
    <w:rsid w:val="009C7CB0"/>
    <w:rsid w:val="009E1546"/>
    <w:rsid w:val="009E5F08"/>
    <w:rsid w:val="00A0011C"/>
    <w:rsid w:val="00A27DBB"/>
    <w:rsid w:val="00A43D80"/>
    <w:rsid w:val="00A45A2C"/>
    <w:rsid w:val="00A50BFF"/>
    <w:rsid w:val="00A53841"/>
    <w:rsid w:val="00A7348B"/>
    <w:rsid w:val="00A856E6"/>
    <w:rsid w:val="00A90CD3"/>
    <w:rsid w:val="00AA182E"/>
    <w:rsid w:val="00AA2098"/>
    <w:rsid w:val="00AA5307"/>
    <w:rsid w:val="00AB0943"/>
    <w:rsid w:val="00AB54E1"/>
    <w:rsid w:val="00AC2844"/>
    <w:rsid w:val="00AD3EAB"/>
    <w:rsid w:val="00AD6B14"/>
    <w:rsid w:val="00AD72CE"/>
    <w:rsid w:val="00AF0400"/>
    <w:rsid w:val="00B034B7"/>
    <w:rsid w:val="00B03FBF"/>
    <w:rsid w:val="00B04BDD"/>
    <w:rsid w:val="00B0682F"/>
    <w:rsid w:val="00B13F9D"/>
    <w:rsid w:val="00B17E14"/>
    <w:rsid w:val="00B2042D"/>
    <w:rsid w:val="00B30AEB"/>
    <w:rsid w:val="00B32DB7"/>
    <w:rsid w:val="00B42901"/>
    <w:rsid w:val="00B507F2"/>
    <w:rsid w:val="00B60760"/>
    <w:rsid w:val="00B674E0"/>
    <w:rsid w:val="00B76668"/>
    <w:rsid w:val="00B86FCF"/>
    <w:rsid w:val="00B90238"/>
    <w:rsid w:val="00B9074A"/>
    <w:rsid w:val="00B9191C"/>
    <w:rsid w:val="00B974A8"/>
    <w:rsid w:val="00B97E16"/>
    <w:rsid w:val="00BA313E"/>
    <w:rsid w:val="00BA3581"/>
    <w:rsid w:val="00BA6A6E"/>
    <w:rsid w:val="00BB38AF"/>
    <w:rsid w:val="00BC2CF3"/>
    <w:rsid w:val="00BD1AE0"/>
    <w:rsid w:val="00BD5CE0"/>
    <w:rsid w:val="00BE36D4"/>
    <w:rsid w:val="00BF79FB"/>
    <w:rsid w:val="00C00E0B"/>
    <w:rsid w:val="00C04AB6"/>
    <w:rsid w:val="00C057B5"/>
    <w:rsid w:val="00C270AF"/>
    <w:rsid w:val="00C62FDD"/>
    <w:rsid w:val="00C63AEE"/>
    <w:rsid w:val="00C76E54"/>
    <w:rsid w:val="00C778AE"/>
    <w:rsid w:val="00C926EE"/>
    <w:rsid w:val="00C95C89"/>
    <w:rsid w:val="00CD1B7A"/>
    <w:rsid w:val="00CD4AC5"/>
    <w:rsid w:val="00D113B8"/>
    <w:rsid w:val="00D13312"/>
    <w:rsid w:val="00D13C0A"/>
    <w:rsid w:val="00D14546"/>
    <w:rsid w:val="00D167F2"/>
    <w:rsid w:val="00D16C96"/>
    <w:rsid w:val="00D207EA"/>
    <w:rsid w:val="00D2339E"/>
    <w:rsid w:val="00D26867"/>
    <w:rsid w:val="00D31F40"/>
    <w:rsid w:val="00D33890"/>
    <w:rsid w:val="00D358F0"/>
    <w:rsid w:val="00D37627"/>
    <w:rsid w:val="00D44158"/>
    <w:rsid w:val="00D54474"/>
    <w:rsid w:val="00D6026A"/>
    <w:rsid w:val="00D96135"/>
    <w:rsid w:val="00DA4680"/>
    <w:rsid w:val="00DA52D5"/>
    <w:rsid w:val="00DC01DD"/>
    <w:rsid w:val="00DD19E5"/>
    <w:rsid w:val="00DD497B"/>
    <w:rsid w:val="00DE4660"/>
    <w:rsid w:val="00DE6A21"/>
    <w:rsid w:val="00DF1B2A"/>
    <w:rsid w:val="00E02A21"/>
    <w:rsid w:val="00E038AF"/>
    <w:rsid w:val="00E07155"/>
    <w:rsid w:val="00E24B4D"/>
    <w:rsid w:val="00E26943"/>
    <w:rsid w:val="00E30B3E"/>
    <w:rsid w:val="00E371E4"/>
    <w:rsid w:val="00E554C1"/>
    <w:rsid w:val="00E75D5B"/>
    <w:rsid w:val="00E84E06"/>
    <w:rsid w:val="00EA0DD6"/>
    <w:rsid w:val="00EA20A0"/>
    <w:rsid w:val="00EA4E1B"/>
    <w:rsid w:val="00EB335B"/>
    <w:rsid w:val="00EB545A"/>
    <w:rsid w:val="00EB5B6A"/>
    <w:rsid w:val="00EF0654"/>
    <w:rsid w:val="00EF3C6F"/>
    <w:rsid w:val="00F02124"/>
    <w:rsid w:val="00F13855"/>
    <w:rsid w:val="00F26EA8"/>
    <w:rsid w:val="00F30661"/>
    <w:rsid w:val="00F30A95"/>
    <w:rsid w:val="00F37949"/>
    <w:rsid w:val="00F54E7E"/>
    <w:rsid w:val="00F55A40"/>
    <w:rsid w:val="00F65536"/>
    <w:rsid w:val="00F731A1"/>
    <w:rsid w:val="00F74D37"/>
    <w:rsid w:val="00F74ED4"/>
    <w:rsid w:val="00F82B16"/>
    <w:rsid w:val="00F83333"/>
    <w:rsid w:val="00F84677"/>
    <w:rsid w:val="00F917DA"/>
    <w:rsid w:val="00F969DD"/>
    <w:rsid w:val="00FA00DE"/>
    <w:rsid w:val="00FA0608"/>
    <w:rsid w:val="00FB1691"/>
    <w:rsid w:val="00FB6845"/>
    <w:rsid w:val="00FE0833"/>
    <w:rsid w:val="00FE7564"/>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Sumrio1">
    <w:name w:val="toc 1"/>
    <w:basedOn w:val="Normal"/>
    <w:next w:val="Normal"/>
    <w:autoRedefine/>
    <w:uiPriority w:val="39"/>
    <w:semiHidden/>
    <w:unhideWhenUsed/>
    <w:rsid w:val="005D710A"/>
    <w:pPr>
      <w:spacing w:after="100"/>
    </w:pPr>
  </w:style>
  <w:style w:type="table" w:styleId="Tabelacomgrade">
    <w:name w:val="Table Grid"/>
    <w:basedOn w:val="Tabelanormal"/>
    <w:uiPriority w:val="39"/>
    <w:rsid w:val="00BD5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
    <w:name w:val="Grid Table 4"/>
    <w:basedOn w:val="Tabelanormal"/>
    <w:uiPriority w:val="49"/>
    <w:rsid w:val="00DC01DD"/>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mplesTabela2">
    <w:name w:val="Plain Table 2"/>
    <w:basedOn w:val="Tabelanormal"/>
    <w:uiPriority w:val="42"/>
    <w:rsid w:val="00DC01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850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702630">
      <w:bodyDiv w:val="1"/>
      <w:marLeft w:val="0"/>
      <w:marRight w:val="0"/>
      <w:marTop w:val="0"/>
      <w:marBottom w:val="0"/>
      <w:divBdr>
        <w:top w:val="none" w:sz="0" w:space="0" w:color="auto"/>
        <w:left w:val="none" w:sz="0" w:space="0" w:color="auto"/>
        <w:bottom w:val="none" w:sz="0" w:space="0" w:color="auto"/>
        <w:right w:val="none" w:sz="0" w:space="0" w:color="auto"/>
      </w:divBdr>
    </w:div>
    <w:div w:id="1856308738">
      <w:bodyDiv w:val="1"/>
      <w:marLeft w:val="0"/>
      <w:marRight w:val="0"/>
      <w:marTop w:val="0"/>
      <w:marBottom w:val="0"/>
      <w:divBdr>
        <w:top w:val="none" w:sz="0" w:space="0" w:color="auto"/>
        <w:left w:val="none" w:sz="0" w:space="0" w:color="auto"/>
        <w:bottom w:val="none" w:sz="0" w:space="0" w:color="auto"/>
        <w:right w:val="none" w:sz="0" w:space="0" w:color="auto"/>
      </w:divBdr>
      <w:divsChild>
        <w:div w:id="7251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34777-9CB6-4AB9-8E16-CE22E13C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Pages>
  <Words>1305</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Clarissa P. Rodrigues</cp:lastModifiedBy>
  <cp:revision>216</cp:revision>
  <cp:lastPrinted>2023-08-14T12:59:00Z</cp:lastPrinted>
  <dcterms:created xsi:type="dcterms:W3CDTF">2023-08-07T18:37:00Z</dcterms:created>
  <dcterms:modified xsi:type="dcterms:W3CDTF">2023-08-14T13:07:00Z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ClassificationContentMarkingFooterShapeIds">
    <vt:lpwstr>1,2,5</vt:lpwstr>
  </property>
  <property fmtid="{D5CDD505-2E9C-101B-9397-08002B2CF9AE}" pid="23" name="ClassificationContentMarkingFooterFontProps">
    <vt:lpwstr>#737373,11,Arial Black</vt:lpwstr>
  </property>
  <property fmtid="{D5CDD505-2E9C-101B-9397-08002B2CF9AE}" pid="24" name="ClassificationContentMarkingFooterText">
    <vt:lpwstr>PÚBLICA</vt:lpwstr>
  </property>
  <property fmtid="{D5CDD505-2E9C-101B-9397-08002B2CF9AE}" pid="25" name="MSIP_Label_140b9f7d-8e3a-482f-9702-4b7ffc40985a_Enabled">
    <vt:lpwstr>true</vt:lpwstr>
  </property>
  <property fmtid="{D5CDD505-2E9C-101B-9397-08002B2CF9AE}" pid="26" name="MSIP_Label_140b9f7d-8e3a-482f-9702-4b7ffc40985a_SetDate">
    <vt:lpwstr>2023-08-10T12:51:42Z</vt:lpwstr>
  </property>
  <property fmtid="{D5CDD505-2E9C-101B-9397-08002B2CF9AE}" pid="27" name="MSIP_Label_140b9f7d-8e3a-482f-9702-4b7ffc40985a_Method">
    <vt:lpwstr>Privileged</vt:lpwstr>
  </property>
  <property fmtid="{D5CDD505-2E9C-101B-9397-08002B2CF9AE}" pid="28" name="MSIP_Label_140b9f7d-8e3a-482f-9702-4b7ffc40985a_Name">
    <vt:lpwstr>Pública</vt:lpwstr>
  </property>
  <property fmtid="{D5CDD505-2E9C-101B-9397-08002B2CF9AE}" pid="29" name="MSIP_Label_140b9f7d-8e3a-482f-9702-4b7ffc40985a_SiteId">
    <vt:lpwstr>5b6f6241-9a57-4be4-8e50-1dfa72e79a57</vt:lpwstr>
  </property>
  <property fmtid="{D5CDD505-2E9C-101B-9397-08002B2CF9AE}" pid="30" name="MSIP_Label_140b9f7d-8e3a-482f-9702-4b7ffc40985a_ActionId">
    <vt:lpwstr>39565046-229a-40c1-890b-e5031183847f</vt:lpwstr>
  </property>
  <property fmtid="{D5CDD505-2E9C-101B-9397-08002B2CF9AE}" pid="31" name="MSIP_Label_140b9f7d-8e3a-482f-9702-4b7ffc40985a_ContentBits">
    <vt:lpwstr>2</vt:lpwstr>
  </property>
</Properties>
</file>