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51EBFFDD" w:rsidR="00EA4E1B" w:rsidRPr="001F25B2" w:rsidRDefault="00C71E1E" w:rsidP="00EA4E1B">
      <w:pPr>
        <w:pStyle w:val="BATitle"/>
        <w:spacing w:before="240" w:line="240" w:lineRule="auto"/>
        <w:ind w:right="-11"/>
        <w:jc w:val="both"/>
        <w:rPr>
          <w:rFonts w:ascii="Times New Roman" w:hAnsi="Times New Roman"/>
          <w:sz w:val="20"/>
          <w:lang w:val="pt-BR"/>
        </w:rPr>
      </w:pPr>
      <w:r w:rsidRPr="00C71E1E">
        <w:rPr>
          <w:bCs/>
          <w:sz w:val="32"/>
          <w:lang w:val="pt-BR"/>
        </w:rPr>
        <w:t>Prospecção tecnológica de biocatalisadores aplicados à bioenergia</w:t>
      </w:r>
      <w:r w:rsidRPr="00C71E1E">
        <w:rPr>
          <w:sz w:val="32"/>
          <w:lang w:val="pt-BR"/>
        </w:rPr>
        <w:t xml:space="preserve"> </w:t>
      </w:r>
    </w:p>
    <w:p w14:paraId="1B804493" w14:textId="003BC075" w:rsidR="00EA4E1B" w:rsidRPr="001F25B2" w:rsidRDefault="00C71E1E" w:rsidP="00EA4E1B">
      <w:pPr>
        <w:pStyle w:val="BBAuthorName"/>
        <w:spacing w:after="120"/>
        <w:ind w:right="0"/>
        <w:jc w:val="both"/>
        <w:rPr>
          <w:rFonts w:ascii="Times New Roman" w:hAnsi="Times New Roman"/>
          <w:sz w:val="20"/>
          <w:lang w:val="pt-BR"/>
        </w:rPr>
      </w:pPr>
      <w:r w:rsidRPr="00C71E1E">
        <w:rPr>
          <w:rFonts w:ascii="Times New Roman" w:hAnsi="Times New Roman"/>
          <w:bCs/>
          <w:sz w:val="20"/>
          <w:lang w:val="pt-BR"/>
        </w:rPr>
        <w:t>Gisele B. T. Góes</w:t>
      </w:r>
      <w:r w:rsidRPr="00C71E1E">
        <w:rPr>
          <w:rFonts w:ascii="Times New Roman" w:hAnsi="Times New Roman"/>
          <w:bCs/>
          <w:sz w:val="20"/>
          <w:vertAlign w:val="superscript"/>
          <w:lang w:val="pt-BR"/>
        </w:rPr>
        <w:t>1*</w:t>
      </w:r>
      <w:r w:rsidR="00F27F3E">
        <w:rPr>
          <w:rFonts w:ascii="Times New Roman" w:hAnsi="Times New Roman"/>
          <w:bCs/>
          <w:sz w:val="20"/>
          <w:lang w:val="pt-BR"/>
        </w:rPr>
        <w:t xml:space="preserve">; Gustavo S. Souza </w:t>
      </w:r>
      <w:r w:rsidR="00F27F3E" w:rsidRPr="00F27F3E">
        <w:rPr>
          <w:rFonts w:ascii="Times New Roman" w:hAnsi="Times New Roman"/>
          <w:bCs/>
          <w:sz w:val="20"/>
          <w:vertAlign w:val="superscript"/>
          <w:lang w:val="pt-BR"/>
        </w:rPr>
        <w:t>1,2</w:t>
      </w:r>
      <w:r w:rsidR="00F27F3E">
        <w:rPr>
          <w:rFonts w:ascii="Times New Roman" w:hAnsi="Times New Roman"/>
          <w:bCs/>
          <w:sz w:val="20"/>
          <w:lang w:val="pt-BR"/>
        </w:rPr>
        <w:t xml:space="preserve">; </w:t>
      </w:r>
      <w:r w:rsidR="00BB2C25" w:rsidRPr="00C71E1E">
        <w:rPr>
          <w:rFonts w:ascii="Times New Roman" w:hAnsi="Times New Roman"/>
          <w:bCs/>
          <w:sz w:val="20"/>
          <w:lang w:val="pt-BR"/>
        </w:rPr>
        <w:t>Ana L. B. de Souza</w:t>
      </w:r>
      <w:r w:rsidR="00F27F3E" w:rsidRPr="00F27F3E">
        <w:rPr>
          <w:rFonts w:ascii="Times New Roman" w:hAnsi="Times New Roman"/>
          <w:bCs/>
          <w:sz w:val="20"/>
          <w:vertAlign w:val="superscript"/>
          <w:lang w:val="pt-BR"/>
        </w:rPr>
        <w:t>1,3</w:t>
      </w:r>
      <w:r w:rsidR="00BB2C25">
        <w:rPr>
          <w:rFonts w:ascii="Times New Roman" w:hAnsi="Times New Roman"/>
          <w:bCs/>
          <w:sz w:val="20"/>
          <w:lang w:val="pt-BR"/>
        </w:rPr>
        <w:t xml:space="preserve">; </w:t>
      </w:r>
      <w:r w:rsidRPr="00C71E1E">
        <w:rPr>
          <w:rFonts w:ascii="Times New Roman" w:hAnsi="Times New Roman"/>
          <w:bCs/>
          <w:sz w:val="20"/>
          <w:lang w:val="pt-BR"/>
        </w:rPr>
        <w:t>Fernando L.</w:t>
      </w:r>
      <w:r>
        <w:rPr>
          <w:rFonts w:ascii="Times New Roman" w:hAnsi="Times New Roman"/>
          <w:bCs/>
          <w:sz w:val="20"/>
          <w:lang w:val="pt-BR"/>
        </w:rPr>
        <w:t xml:space="preserve"> P.</w:t>
      </w:r>
      <w:r w:rsidRPr="00C71E1E">
        <w:rPr>
          <w:rFonts w:ascii="Times New Roman" w:hAnsi="Times New Roman"/>
          <w:bCs/>
          <w:sz w:val="20"/>
          <w:lang w:val="pt-BR"/>
        </w:rPr>
        <w:t xml:space="preserve"> P</w:t>
      </w:r>
      <w:r>
        <w:rPr>
          <w:rFonts w:ascii="Times New Roman" w:hAnsi="Times New Roman"/>
          <w:bCs/>
          <w:sz w:val="20"/>
          <w:lang w:val="pt-BR"/>
        </w:rPr>
        <w:t>essoa</w:t>
      </w:r>
      <w:r w:rsidRPr="00C71E1E">
        <w:rPr>
          <w:rFonts w:ascii="Times New Roman" w:hAnsi="Times New Roman"/>
          <w:bCs/>
          <w:sz w:val="20"/>
          <w:vertAlign w:val="superscript"/>
          <w:lang w:val="pt-BR"/>
        </w:rPr>
        <w:t>1</w:t>
      </w:r>
      <w:r w:rsidR="00F27F3E">
        <w:rPr>
          <w:rFonts w:ascii="Times New Roman" w:hAnsi="Times New Roman"/>
          <w:bCs/>
          <w:sz w:val="20"/>
          <w:vertAlign w:val="superscript"/>
          <w:lang w:val="pt-BR"/>
        </w:rPr>
        <w:t>,2</w:t>
      </w:r>
    </w:p>
    <w:p w14:paraId="22D38595" w14:textId="506F9877" w:rsidR="00EA4E1B" w:rsidRDefault="00EA4E1B" w:rsidP="00EA4E1B">
      <w:pPr>
        <w:pStyle w:val="BCAuthorAddress"/>
        <w:spacing w:after="0"/>
        <w:ind w:right="0"/>
        <w:jc w:val="both"/>
        <w:rPr>
          <w:lang w:val="pt-BR"/>
        </w:rPr>
      </w:pPr>
      <w:r>
        <w:rPr>
          <w:vertAlign w:val="superscript"/>
          <w:lang w:val="pt-BR"/>
        </w:rPr>
        <w:t>1</w:t>
      </w:r>
      <w:r w:rsidR="00C71E1E">
        <w:rPr>
          <w:lang w:val="pt-BR"/>
        </w:rPr>
        <w:t xml:space="preserve">Centro </w:t>
      </w:r>
      <w:r w:rsidR="00FC46C4">
        <w:rPr>
          <w:lang w:val="pt-BR"/>
        </w:rPr>
        <w:t>Universitário</w:t>
      </w:r>
      <w:r w:rsidR="00C71E1E">
        <w:rPr>
          <w:lang w:val="pt-BR"/>
        </w:rPr>
        <w:t xml:space="preserve"> SENAI CIMATEC, </w:t>
      </w:r>
      <w:hyperlink r:id="rId8" w:history="1">
        <w:r w:rsidR="00F27F3E" w:rsidRPr="00BE4FA7">
          <w:rPr>
            <w:rStyle w:val="Hyperlink"/>
            <w:lang w:val="pt-BR"/>
          </w:rPr>
          <w:t>gizelle385@gmail.com</w:t>
        </w:r>
      </w:hyperlink>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655FE073"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655FE073"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2E561AB6"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F11609">
        <w:rPr>
          <w:rFonts w:ascii="Times New Roman" w:hAnsi="Times New Roman"/>
          <w:b w:val="0"/>
          <w:sz w:val="20"/>
          <w:lang w:val="pt-BR"/>
        </w:rPr>
        <w:t>–</w:t>
      </w:r>
      <w:r>
        <w:rPr>
          <w:rFonts w:ascii="Times New Roman" w:hAnsi="Times New Roman"/>
          <w:b w:val="0"/>
          <w:sz w:val="20"/>
          <w:lang w:val="pt-BR"/>
        </w:rPr>
        <w:t xml:space="preserve"> </w:t>
      </w:r>
      <w:r w:rsidR="00F11609">
        <w:rPr>
          <w:rFonts w:ascii="Times New Roman" w:hAnsi="Times New Roman"/>
          <w:b w:val="0"/>
          <w:sz w:val="20"/>
          <w:lang w:val="pt-BR"/>
        </w:rPr>
        <w:t xml:space="preserve">O </w:t>
      </w:r>
      <w:r w:rsidR="00F11609" w:rsidRPr="00F11609">
        <w:rPr>
          <w:rFonts w:ascii="Times New Roman" w:hAnsi="Times New Roman"/>
          <w:b w:val="0"/>
          <w:sz w:val="20"/>
          <w:lang w:val="pt-BR"/>
        </w:rPr>
        <w:t xml:space="preserve">presente artigo </w:t>
      </w:r>
      <w:r w:rsidR="00F27F3E">
        <w:rPr>
          <w:rFonts w:ascii="Times New Roman" w:hAnsi="Times New Roman"/>
          <w:b w:val="0"/>
          <w:sz w:val="20"/>
          <w:lang w:val="pt-BR"/>
        </w:rPr>
        <w:t xml:space="preserve">teve por objetivo investigar </w:t>
      </w:r>
      <w:r w:rsidR="00F11609" w:rsidRPr="00F11609">
        <w:rPr>
          <w:rFonts w:ascii="Times New Roman" w:hAnsi="Times New Roman"/>
          <w:b w:val="0"/>
          <w:sz w:val="20"/>
          <w:lang w:val="pt-BR"/>
        </w:rPr>
        <w:t xml:space="preserve">a importância da </w:t>
      </w:r>
      <w:proofErr w:type="spellStart"/>
      <w:r w:rsidR="00F11609" w:rsidRPr="00F11609">
        <w:rPr>
          <w:rFonts w:ascii="Times New Roman" w:hAnsi="Times New Roman"/>
          <w:b w:val="0"/>
          <w:sz w:val="20"/>
          <w:lang w:val="pt-BR"/>
        </w:rPr>
        <w:t>biocatálise</w:t>
      </w:r>
      <w:proofErr w:type="spellEnd"/>
      <w:r w:rsidR="00F11609" w:rsidRPr="00F11609">
        <w:rPr>
          <w:rFonts w:ascii="Times New Roman" w:hAnsi="Times New Roman"/>
          <w:b w:val="0"/>
          <w:sz w:val="20"/>
          <w:lang w:val="pt-BR"/>
        </w:rPr>
        <w:t xml:space="preserve"> na produção de bioenergia a partir de processos sustentáveis. A utilização de biocatalisadores em relação a catalisadores químicos se destacam, devido a redução do impacto ambiental e a geração de produtos de maior qualidade. </w:t>
      </w:r>
      <w:r w:rsidR="00F27F3E">
        <w:rPr>
          <w:rFonts w:ascii="Times New Roman" w:hAnsi="Times New Roman"/>
          <w:b w:val="0"/>
          <w:sz w:val="20"/>
          <w:lang w:val="pt-BR"/>
        </w:rPr>
        <w:t xml:space="preserve">Para essa pesquisa foi utilizado </w:t>
      </w:r>
      <w:r w:rsidR="00F11609" w:rsidRPr="00F11609">
        <w:rPr>
          <w:rFonts w:ascii="Times New Roman" w:hAnsi="Times New Roman"/>
          <w:b w:val="0"/>
          <w:sz w:val="20"/>
          <w:lang w:val="pt-BR"/>
        </w:rPr>
        <w:t xml:space="preserve">o </w:t>
      </w:r>
      <w:proofErr w:type="spellStart"/>
      <w:r w:rsidR="00F11609" w:rsidRPr="00F27F3E">
        <w:rPr>
          <w:rFonts w:ascii="Times New Roman" w:hAnsi="Times New Roman"/>
          <w:b w:val="0"/>
          <w:i/>
          <w:sz w:val="20"/>
          <w:lang w:val="pt-BR"/>
        </w:rPr>
        <w:t>Derwent</w:t>
      </w:r>
      <w:proofErr w:type="spellEnd"/>
      <w:r w:rsidR="00F11609" w:rsidRPr="00F27F3E">
        <w:rPr>
          <w:rFonts w:ascii="Times New Roman" w:hAnsi="Times New Roman"/>
          <w:b w:val="0"/>
          <w:i/>
          <w:sz w:val="20"/>
          <w:lang w:val="pt-BR"/>
        </w:rPr>
        <w:t xml:space="preserve"> World </w:t>
      </w:r>
      <w:proofErr w:type="spellStart"/>
      <w:r w:rsidR="00F11609" w:rsidRPr="00F27F3E">
        <w:rPr>
          <w:rFonts w:ascii="Times New Roman" w:hAnsi="Times New Roman"/>
          <w:b w:val="0"/>
          <w:i/>
          <w:sz w:val="20"/>
          <w:lang w:val="pt-BR"/>
        </w:rPr>
        <w:t>Patents</w:t>
      </w:r>
      <w:proofErr w:type="spellEnd"/>
      <w:r w:rsidR="00F11609" w:rsidRPr="00F27F3E">
        <w:rPr>
          <w:rFonts w:ascii="Times New Roman" w:hAnsi="Times New Roman"/>
          <w:b w:val="0"/>
          <w:i/>
          <w:sz w:val="20"/>
          <w:lang w:val="pt-BR"/>
        </w:rPr>
        <w:t xml:space="preserve"> Index</w:t>
      </w:r>
      <w:r w:rsidR="00CC6F55">
        <w:rPr>
          <w:rFonts w:ascii="Times New Roman" w:hAnsi="Times New Roman"/>
          <w:b w:val="0"/>
          <w:i/>
          <w:sz w:val="20"/>
          <w:lang w:val="pt-BR"/>
        </w:rPr>
        <w:t>®</w:t>
      </w:r>
      <w:r w:rsidR="00F11609" w:rsidRPr="00F11609">
        <w:rPr>
          <w:rFonts w:ascii="Times New Roman" w:hAnsi="Times New Roman"/>
          <w:b w:val="0"/>
          <w:sz w:val="20"/>
          <w:lang w:val="pt-BR"/>
        </w:rPr>
        <w:t xml:space="preserve"> </w:t>
      </w:r>
      <w:r w:rsidR="00F27F3E">
        <w:rPr>
          <w:rFonts w:ascii="Times New Roman" w:hAnsi="Times New Roman"/>
          <w:b w:val="0"/>
          <w:sz w:val="20"/>
          <w:lang w:val="pt-BR"/>
        </w:rPr>
        <w:t>afim de mapear e</w:t>
      </w:r>
      <w:r w:rsidR="00F11609" w:rsidRPr="00F11609">
        <w:rPr>
          <w:rFonts w:ascii="Times New Roman" w:hAnsi="Times New Roman"/>
          <w:b w:val="0"/>
          <w:sz w:val="20"/>
          <w:lang w:val="pt-BR"/>
        </w:rPr>
        <w:t xml:space="preserve"> identificar os principais detentores da tecnologia de patentes e inovações de biocatalisadores associados à bioenergia, além de </w:t>
      </w:r>
      <w:r w:rsidR="00827C55">
        <w:rPr>
          <w:rFonts w:ascii="Times New Roman" w:hAnsi="Times New Roman"/>
          <w:b w:val="0"/>
          <w:sz w:val="20"/>
          <w:lang w:val="pt-BR"/>
        </w:rPr>
        <w:t>avaliar as</w:t>
      </w:r>
      <w:r w:rsidR="00F11609" w:rsidRPr="00F11609">
        <w:rPr>
          <w:rFonts w:ascii="Times New Roman" w:hAnsi="Times New Roman"/>
          <w:b w:val="0"/>
          <w:sz w:val="20"/>
          <w:lang w:val="pt-BR"/>
        </w:rPr>
        <w:t xml:space="preserve"> oportunidades de mercado e desenvolver estratégias de pesquisa e desenvolvimento</w:t>
      </w:r>
      <w:r w:rsidR="00F11609">
        <w:rPr>
          <w:rFonts w:ascii="Times New Roman" w:hAnsi="Times New Roman"/>
          <w:b w:val="0"/>
          <w:sz w:val="20"/>
          <w:lang w:val="pt-BR"/>
        </w:rPr>
        <w:t xml:space="preserve">. </w:t>
      </w:r>
      <w:r w:rsidR="00827C55">
        <w:rPr>
          <w:rFonts w:ascii="Times New Roman" w:hAnsi="Times New Roman"/>
          <w:b w:val="0"/>
          <w:sz w:val="20"/>
          <w:lang w:val="pt-BR"/>
        </w:rPr>
        <w:t>Todavia</w:t>
      </w:r>
      <w:r w:rsidR="00496093">
        <w:rPr>
          <w:rFonts w:ascii="Times New Roman" w:hAnsi="Times New Roman"/>
          <w:b w:val="0"/>
          <w:sz w:val="20"/>
          <w:lang w:val="pt-BR"/>
        </w:rPr>
        <w:t>, a</w:t>
      </w:r>
      <w:r w:rsidR="00F11609" w:rsidRPr="00F11609">
        <w:rPr>
          <w:rFonts w:ascii="Times New Roman" w:hAnsi="Times New Roman"/>
          <w:b w:val="0"/>
          <w:sz w:val="20"/>
          <w:lang w:val="pt-BR"/>
        </w:rPr>
        <w:t xml:space="preserve"> utilização de biocatalisadores em processos de produção de bio</w:t>
      </w:r>
      <w:r w:rsidR="00496093">
        <w:rPr>
          <w:rFonts w:ascii="Times New Roman" w:hAnsi="Times New Roman"/>
          <w:b w:val="0"/>
          <w:sz w:val="20"/>
          <w:lang w:val="pt-BR"/>
        </w:rPr>
        <w:t xml:space="preserve">energia </w:t>
      </w:r>
      <w:r w:rsidR="00827C55">
        <w:rPr>
          <w:rFonts w:ascii="Times New Roman" w:hAnsi="Times New Roman"/>
          <w:b w:val="0"/>
          <w:sz w:val="20"/>
          <w:lang w:val="pt-BR"/>
        </w:rPr>
        <w:t>alguns gargalos</w:t>
      </w:r>
      <w:r w:rsidR="00496093">
        <w:rPr>
          <w:rFonts w:ascii="Segoe UI" w:eastAsiaTheme="minorEastAsia" w:hAnsi="Segoe UI" w:cs="Segoe UI"/>
          <w:b w:val="0"/>
          <w:color w:val="374151"/>
          <w:sz w:val="21"/>
          <w:szCs w:val="21"/>
          <w:shd w:val="clear" w:color="auto" w:fill="F7F7F8"/>
          <w:lang w:val="pt-BR" w:eastAsia="en-US"/>
        </w:rPr>
        <w:t xml:space="preserve">, </w:t>
      </w:r>
      <w:r w:rsidR="00496093" w:rsidRPr="00496093">
        <w:rPr>
          <w:rFonts w:ascii="Times New Roman" w:hAnsi="Times New Roman"/>
          <w:b w:val="0"/>
          <w:sz w:val="20"/>
          <w:lang w:val="pt-BR"/>
        </w:rPr>
        <w:t xml:space="preserve">que incluem o alto custo da matéria-prima e a baixa eficiência dos microrganismos utilizados na produção. </w:t>
      </w:r>
      <w:r w:rsidR="00827C55">
        <w:rPr>
          <w:rFonts w:ascii="Times New Roman" w:hAnsi="Times New Roman"/>
          <w:b w:val="0"/>
          <w:sz w:val="20"/>
          <w:lang w:val="pt-BR"/>
        </w:rPr>
        <w:t xml:space="preserve">Por fim, </w:t>
      </w:r>
      <w:r w:rsidR="00496093" w:rsidRPr="00496093">
        <w:rPr>
          <w:rFonts w:ascii="Times New Roman" w:hAnsi="Times New Roman"/>
          <w:b w:val="0"/>
          <w:sz w:val="20"/>
          <w:lang w:val="pt-BR"/>
        </w:rPr>
        <w:t xml:space="preserve">pesquisa nessa área é </w:t>
      </w:r>
      <w:r w:rsidR="00827C55">
        <w:rPr>
          <w:rFonts w:ascii="Times New Roman" w:hAnsi="Times New Roman"/>
          <w:b w:val="0"/>
          <w:sz w:val="20"/>
          <w:lang w:val="pt-BR"/>
        </w:rPr>
        <w:t xml:space="preserve">de suma relevância </w:t>
      </w:r>
      <w:r w:rsidR="00496093" w:rsidRPr="00496093">
        <w:rPr>
          <w:rFonts w:ascii="Times New Roman" w:hAnsi="Times New Roman"/>
          <w:b w:val="0"/>
          <w:sz w:val="20"/>
          <w:lang w:val="pt-BR"/>
        </w:rPr>
        <w:t>para reduzir a depen</w:t>
      </w:r>
      <w:r w:rsidR="00827C55">
        <w:rPr>
          <w:rFonts w:ascii="Times New Roman" w:hAnsi="Times New Roman"/>
          <w:b w:val="0"/>
          <w:sz w:val="20"/>
          <w:lang w:val="pt-BR"/>
        </w:rPr>
        <w:t>dência de combustíveis fósseis e</w:t>
      </w:r>
      <w:r w:rsidR="00496093" w:rsidRPr="00496093">
        <w:rPr>
          <w:rFonts w:ascii="Times New Roman" w:hAnsi="Times New Roman"/>
          <w:b w:val="0"/>
          <w:sz w:val="20"/>
          <w:lang w:val="pt-BR"/>
        </w:rPr>
        <w:t xml:space="preserve"> fortalecer a economia local em regiões carentes</w:t>
      </w:r>
      <w:r w:rsidR="00827C55">
        <w:rPr>
          <w:rFonts w:ascii="Times New Roman" w:hAnsi="Times New Roman"/>
          <w:b w:val="0"/>
          <w:sz w:val="20"/>
          <w:lang w:val="pt-BR"/>
        </w:rPr>
        <w:t>.</w:t>
      </w:r>
    </w:p>
    <w:p w14:paraId="09B41B70" w14:textId="7B47CCED"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F11609">
        <w:rPr>
          <w:rFonts w:ascii="Times New Roman" w:hAnsi="Times New Roman"/>
          <w:b w:val="0"/>
          <w:i/>
          <w:sz w:val="20"/>
          <w:lang w:val="pt-BR"/>
        </w:rPr>
        <w:t xml:space="preserve">bioenergia, </w:t>
      </w:r>
      <w:proofErr w:type="spellStart"/>
      <w:r w:rsidR="00F11609">
        <w:rPr>
          <w:rFonts w:ascii="Times New Roman" w:hAnsi="Times New Roman"/>
          <w:b w:val="0"/>
          <w:i/>
          <w:sz w:val="20"/>
          <w:lang w:val="pt-BR"/>
        </w:rPr>
        <w:t>Derwent</w:t>
      </w:r>
      <w:proofErr w:type="spellEnd"/>
      <w:r w:rsidR="00827C55">
        <w:rPr>
          <w:rFonts w:ascii="Times New Roman" w:hAnsi="Times New Roman"/>
          <w:b w:val="0"/>
          <w:i/>
          <w:sz w:val="20"/>
          <w:lang w:val="pt-BR"/>
        </w:rPr>
        <w:t>®</w:t>
      </w:r>
      <w:r w:rsidR="00F11609">
        <w:rPr>
          <w:rFonts w:ascii="Times New Roman" w:hAnsi="Times New Roman"/>
          <w:b w:val="0"/>
          <w:i/>
          <w:sz w:val="20"/>
          <w:lang w:val="pt-BR"/>
        </w:rPr>
        <w:t>, biocatalisadores, patentes</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384B8BE3" w:rsidR="00EA4E1B" w:rsidRPr="00637349" w:rsidRDefault="00EA4E1B" w:rsidP="00EA4E1B">
      <w:pPr>
        <w:pStyle w:val="BDAbstract"/>
        <w:spacing w:before="0" w:after="0" w:line="240" w:lineRule="auto"/>
        <w:rPr>
          <w:rFonts w:ascii="Times New Roman" w:hAnsi="Times New Roman"/>
          <w:b w:val="0"/>
          <w:sz w:val="20"/>
        </w:rPr>
      </w:pPr>
      <w:r w:rsidRPr="00637349">
        <w:rPr>
          <w:rFonts w:ascii="Times New Roman" w:hAnsi="Times New Roman"/>
          <w:b w:val="0"/>
          <w:sz w:val="20"/>
        </w:rPr>
        <w:t xml:space="preserve">ABSTRACT </w:t>
      </w:r>
      <w:r w:rsidR="00827C55">
        <w:rPr>
          <w:rFonts w:ascii="Times New Roman" w:hAnsi="Times New Roman"/>
          <w:b w:val="0"/>
          <w:sz w:val="20"/>
        </w:rPr>
        <w:t>–</w:t>
      </w:r>
      <w:r w:rsidRPr="00637349">
        <w:rPr>
          <w:rFonts w:ascii="Times New Roman" w:hAnsi="Times New Roman"/>
          <w:b w:val="0"/>
          <w:sz w:val="20"/>
        </w:rPr>
        <w:t xml:space="preserve"> </w:t>
      </w:r>
      <w:r w:rsidR="00827C55" w:rsidRPr="00827C55">
        <w:rPr>
          <w:rFonts w:ascii="Times New Roman" w:hAnsi="Times New Roman"/>
          <w:b w:val="0"/>
          <w:i/>
          <w:sz w:val="20"/>
        </w:rPr>
        <w:t xml:space="preserve">This article aimed to investigate the importance of </w:t>
      </w:r>
      <w:proofErr w:type="spellStart"/>
      <w:r w:rsidR="00827C55" w:rsidRPr="00827C55">
        <w:rPr>
          <w:rFonts w:ascii="Times New Roman" w:hAnsi="Times New Roman"/>
          <w:b w:val="0"/>
          <w:i/>
          <w:sz w:val="20"/>
        </w:rPr>
        <w:t>biocatalysis</w:t>
      </w:r>
      <w:proofErr w:type="spellEnd"/>
      <w:r w:rsidR="00827C55" w:rsidRPr="00827C55">
        <w:rPr>
          <w:rFonts w:ascii="Times New Roman" w:hAnsi="Times New Roman"/>
          <w:b w:val="0"/>
          <w:i/>
          <w:sz w:val="20"/>
        </w:rPr>
        <w:t xml:space="preserve"> in the production of bioenergy from sustainable processes. The use of biocatalysts in relation to chemical catalysts stands out due to the reduction of the environmental impact and the generation of higher quality products. For this research, the Derwent World Patents Index</w:t>
      </w:r>
      <w:r w:rsidR="00CC6F55" w:rsidRPr="00CC6F55">
        <w:rPr>
          <w:rFonts w:ascii="Times New Roman" w:hAnsi="Times New Roman"/>
          <w:b w:val="0"/>
          <w:i/>
          <w:sz w:val="20"/>
        </w:rPr>
        <w:t>®</w:t>
      </w:r>
      <w:r w:rsidR="00827C55" w:rsidRPr="00827C55">
        <w:rPr>
          <w:rFonts w:ascii="Times New Roman" w:hAnsi="Times New Roman"/>
          <w:b w:val="0"/>
          <w:i/>
          <w:sz w:val="20"/>
        </w:rPr>
        <w:t xml:space="preserve"> was used in order to map and identify the main holders of patent technology and innovations of biocatalysts associated with bioenergy, in addition to evaluating market opportunities and developing research and development strategies. However, the use of biocatalysts in bioenergy production processes has some bottlenecks, which include the high cost of the raw material and the low efficiency of the microorganisms used in production. Finally, research in this area is of paramount importance to reduce dependence on fossil fuels and strengthen the local economy in poor regions</w:t>
      </w:r>
      <w:r w:rsidR="00827C55" w:rsidRPr="00827C55">
        <w:rPr>
          <w:rFonts w:ascii="Times New Roman" w:hAnsi="Times New Roman"/>
          <w:b w:val="0"/>
          <w:sz w:val="20"/>
        </w:rPr>
        <w:t>.</w:t>
      </w:r>
    </w:p>
    <w:p w14:paraId="5F4A84E8" w14:textId="64F707ED" w:rsidR="00EA4E1B" w:rsidRPr="00637349" w:rsidRDefault="00EA4E1B" w:rsidP="00EA4E1B">
      <w:pPr>
        <w:pStyle w:val="BDAbstract"/>
        <w:spacing w:before="0" w:after="120" w:line="240" w:lineRule="auto"/>
        <w:rPr>
          <w:rFonts w:ascii="Times New Roman" w:hAnsi="Times New Roman"/>
          <w:b w:val="0"/>
          <w:i/>
          <w:sz w:val="20"/>
        </w:rPr>
      </w:pPr>
      <w:r w:rsidRPr="00637349">
        <w:rPr>
          <w:rFonts w:ascii="Times New Roman" w:hAnsi="Times New Roman"/>
          <w:b w:val="0"/>
          <w:i/>
          <w:sz w:val="20"/>
        </w:rPr>
        <w:t>Keywords:</w:t>
      </w:r>
      <w:r w:rsidR="0081101D">
        <w:rPr>
          <w:rFonts w:ascii="Times New Roman" w:hAnsi="Times New Roman"/>
          <w:b w:val="0"/>
          <w:i/>
          <w:sz w:val="20"/>
        </w:rPr>
        <w:t xml:space="preserve"> </w:t>
      </w:r>
      <w:r w:rsidR="001D5980" w:rsidRPr="00637349">
        <w:rPr>
          <w:rFonts w:ascii="Times New Roman" w:hAnsi="Times New Roman"/>
          <w:b w:val="0"/>
          <w:i/>
          <w:sz w:val="20"/>
        </w:rPr>
        <w:t xml:space="preserve">bioenergy, </w:t>
      </w:r>
      <w:r w:rsidR="00827C55" w:rsidRPr="002D6FA1">
        <w:rPr>
          <w:rFonts w:ascii="Times New Roman" w:hAnsi="Times New Roman"/>
          <w:b w:val="0"/>
          <w:i/>
          <w:sz w:val="20"/>
        </w:rPr>
        <w:t xml:space="preserve">Derwent®, </w:t>
      </w:r>
      <w:r w:rsidR="001D5980" w:rsidRPr="00637349">
        <w:rPr>
          <w:rFonts w:ascii="Times New Roman" w:hAnsi="Times New Roman"/>
          <w:b w:val="0"/>
          <w:i/>
          <w:sz w:val="20"/>
        </w:rPr>
        <w:t>b</w:t>
      </w:r>
      <w:r w:rsidR="0081101D">
        <w:rPr>
          <w:rFonts w:ascii="Times New Roman" w:hAnsi="Times New Roman"/>
          <w:b w:val="0"/>
          <w:i/>
          <w:sz w:val="20"/>
        </w:rPr>
        <w:t>i</w:t>
      </w:r>
      <w:r w:rsidR="001D5980" w:rsidRPr="00637349">
        <w:rPr>
          <w:rFonts w:ascii="Times New Roman" w:hAnsi="Times New Roman"/>
          <w:b w:val="0"/>
          <w:i/>
          <w:sz w:val="20"/>
        </w:rPr>
        <w:t>ocatal</w:t>
      </w:r>
      <w:r w:rsidR="0081101D">
        <w:rPr>
          <w:rFonts w:ascii="Times New Roman" w:hAnsi="Times New Roman"/>
          <w:b w:val="0"/>
          <w:i/>
          <w:sz w:val="20"/>
        </w:rPr>
        <w:t>ysts</w:t>
      </w:r>
      <w:r w:rsidR="001D5980" w:rsidRPr="00637349">
        <w:rPr>
          <w:rFonts w:ascii="Times New Roman" w:hAnsi="Times New Roman"/>
          <w:b w:val="0"/>
          <w:i/>
          <w:sz w:val="20"/>
        </w:rPr>
        <w:t>, patents</w:t>
      </w:r>
      <w:r w:rsidRPr="00637349">
        <w:rPr>
          <w:rFonts w:ascii="Times New Roman" w:hAnsi="Times New Roman"/>
          <w:b w:val="0"/>
          <w:i/>
          <w:sz w:val="20"/>
        </w:rPr>
        <w:t xml:space="preserve"> </w:t>
      </w:r>
    </w:p>
    <w:bookmarkEnd w:id="1"/>
    <w:p w14:paraId="48D9B0C4" w14:textId="77777777" w:rsidR="00EA4E1B" w:rsidRPr="00637349" w:rsidRDefault="00EA4E1B" w:rsidP="00EA4E1B">
      <w:pPr>
        <w:rPr>
          <w:lang w:val="en-US"/>
        </w:rPr>
        <w:sectPr w:rsidR="00EA4E1B" w:rsidRPr="00637349" w:rsidSect="00EA4E1B">
          <w:headerReference w:type="default" r:id="rId9"/>
          <w:footerReference w:type="default" r:id="rId10"/>
          <w:endnotePr>
            <w:numFmt w:val="decimal"/>
          </w:endnotePr>
          <w:pgSz w:w="11906" w:h="16838"/>
          <w:pgMar w:top="1418" w:right="1094" w:bottom="1418" w:left="567" w:header="709" w:footer="709" w:gutter="0"/>
          <w:cols w:space="708"/>
          <w:docGrid w:linePitch="360"/>
        </w:sectPr>
      </w:pPr>
    </w:p>
    <w:p w14:paraId="625F2C0A" w14:textId="77777777" w:rsidR="00EA4E1B" w:rsidRPr="00637349" w:rsidRDefault="00EA4E1B" w:rsidP="00EA4E1B">
      <w:pPr>
        <w:pStyle w:val="Ttulo2"/>
        <w:spacing w:before="0"/>
        <w:rPr>
          <w:rFonts w:ascii="Helvetica" w:hAnsi="Helvetica" w:cs="Helvetica"/>
          <w:sz w:val="24"/>
          <w:szCs w:val="24"/>
          <w:lang w:val="en-US"/>
        </w:rPr>
      </w:pPr>
      <w:proofErr w:type="spellStart"/>
      <w:r w:rsidRPr="00637349">
        <w:rPr>
          <w:rFonts w:ascii="Helvetica" w:hAnsi="Helvetica" w:cs="Helvetica"/>
          <w:sz w:val="24"/>
          <w:szCs w:val="24"/>
          <w:lang w:val="en-US"/>
        </w:rPr>
        <w:t>Introdução</w:t>
      </w:r>
      <w:proofErr w:type="spellEnd"/>
    </w:p>
    <w:p w14:paraId="22B3CE2D" w14:textId="78246452" w:rsidR="00C71E1E" w:rsidRDefault="00C71E1E" w:rsidP="00C71E1E">
      <w:pPr>
        <w:pStyle w:val="TAMainText"/>
        <w:rPr>
          <w:rFonts w:ascii="Times New Roman" w:hAnsi="Times New Roman"/>
          <w:lang w:val="pt-BR"/>
        </w:rPr>
      </w:pPr>
      <w:r w:rsidRPr="00C71E1E">
        <w:rPr>
          <w:rFonts w:ascii="Times New Roman" w:hAnsi="Times New Roman"/>
          <w:lang w:val="pt-BR"/>
        </w:rPr>
        <w:t xml:space="preserve">A área multidisciplinar da </w:t>
      </w:r>
      <w:proofErr w:type="spellStart"/>
      <w:r w:rsidRPr="00C71E1E">
        <w:rPr>
          <w:rFonts w:ascii="Times New Roman" w:hAnsi="Times New Roman"/>
          <w:lang w:val="pt-BR"/>
        </w:rPr>
        <w:t>biocatálise</w:t>
      </w:r>
      <w:proofErr w:type="spellEnd"/>
      <w:r w:rsidRPr="00C71E1E">
        <w:rPr>
          <w:rFonts w:ascii="Times New Roman" w:hAnsi="Times New Roman"/>
          <w:lang w:val="pt-BR"/>
        </w:rPr>
        <w:t xml:space="preserve">, encontra-se atualmente em amplo desenvolvimento, </w:t>
      </w:r>
      <w:r w:rsidR="00827C55">
        <w:rPr>
          <w:rFonts w:ascii="Times New Roman" w:hAnsi="Times New Roman"/>
          <w:lang w:val="pt-BR"/>
        </w:rPr>
        <w:t xml:space="preserve">e o foco é </w:t>
      </w:r>
      <w:r w:rsidRPr="00C71E1E">
        <w:rPr>
          <w:rFonts w:ascii="Times New Roman" w:hAnsi="Times New Roman"/>
          <w:lang w:val="pt-BR"/>
        </w:rPr>
        <w:t xml:space="preserve">o desenvolvimento de novos catalisadores para uso industrial. Os biocatalisadores são definidos como componentes biologicamente ativos, como enzimas ou </w:t>
      </w:r>
      <w:r w:rsidR="00200513" w:rsidRPr="00C71E1E">
        <w:rPr>
          <w:rFonts w:ascii="Times New Roman" w:hAnsi="Times New Roman"/>
          <w:lang w:val="pt-BR"/>
        </w:rPr>
        <w:t>microrganismos</w:t>
      </w:r>
      <w:r w:rsidRPr="00C71E1E">
        <w:rPr>
          <w:rFonts w:ascii="Times New Roman" w:hAnsi="Times New Roman"/>
          <w:lang w:val="pt-BR"/>
        </w:rPr>
        <w:t xml:space="preserve">, capazes de alterar a velocidade de reações químicas, de suma importância para a produção de compostos químicos. De forma que, cada tipo de produção se adequa melhor a um composto químico, devido às suas condições de alta </w:t>
      </w:r>
      <w:proofErr w:type="gramStart"/>
      <w:r w:rsidR="00827C55" w:rsidRPr="00C71E1E">
        <w:rPr>
          <w:rFonts w:ascii="Times New Roman" w:hAnsi="Times New Roman"/>
          <w:lang w:val="pt-BR"/>
        </w:rPr>
        <w:t>seletividade</w:t>
      </w:r>
      <w:r w:rsidR="00827C55">
        <w:rPr>
          <w:rFonts w:ascii="Times New Roman" w:hAnsi="Times New Roman"/>
          <w:lang w:val="pt-BR"/>
        </w:rPr>
        <w:t>.</w:t>
      </w:r>
      <w:r w:rsidR="00827C55" w:rsidRPr="00C71E1E">
        <w:rPr>
          <w:rFonts w:ascii="Times New Roman" w:hAnsi="Times New Roman"/>
          <w:lang w:val="pt-BR"/>
        </w:rPr>
        <w:t>(</w:t>
      </w:r>
      <w:proofErr w:type="gramEnd"/>
      <w:r w:rsidRPr="00C71E1E">
        <w:rPr>
          <w:rFonts w:ascii="Times New Roman" w:hAnsi="Times New Roman"/>
          <w:lang w:val="pt-BR"/>
        </w:rPr>
        <w:t>1)</w:t>
      </w:r>
    </w:p>
    <w:p w14:paraId="7829577E" w14:textId="290942A9" w:rsidR="00EA4E1B" w:rsidRDefault="00C71E1E" w:rsidP="00C71E1E">
      <w:pPr>
        <w:pStyle w:val="TAMainText"/>
        <w:rPr>
          <w:rFonts w:ascii="Times New Roman" w:hAnsi="Times New Roman"/>
          <w:lang w:val="pt-BR"/>
        </w:rPr>
      </w:pPr>
      <w:r w:rsidRPr="00C71E1E">
        <w:rPr>
          <w:rFonts w:ascii="Times New Roman" w:hAnsi="Times New Roman"/>
          <w:lang w:val="pt-BR"/>
        </w:rPr>
        <w:t xml:space="preserve">A </w:t>
      </w:r>
      <w:proofErr w:type="spellStart"/>
      <w:r w:rsidRPr="00C71E1E">
        <w:rPr>
          <w:rFonts w:ascii="Times New Roman" w:hAnsi="Times New Roman"/>
          <w:lang w:val="pt-BR"/>
        </w:rPr>
        <w:t>biocatálise</w:t>
      </w:r>
      <w:proofErr w:type="spellEnd"/>
      <w:r w:rsidRPr="00C71E1E">
        <w:rPr>
          <w:rFonts w:ascii="Times New Roman" w:hAnsi="Times New Roman"/>
          <w:lang w:val="pt-BR"/>
        </w:rPr>
        <w:t xml:space="preserve"> permite reações centradas no carbono que ocorrem em ambientes que variam de processos isentos de células. Além disso, apresentam vantagens por serem mais estáveis e resistentes que os catalisadores químicos, que são processos mais agressivos para o meio ambiente, logo mais prejudiciais. Dessa forma é possível serem reutilizadas de diversas formas, sem a perda de suas atividades catalíticas e sem gerar resíduos para o descarte, sendo uma aplicação da Química Verde, que busca minimizar o impacto negativo no meio </w:t>
      </w:r>
      <w:proofErr w:type="gramStart"/>
      <w:r w:rsidR="00827C55" w:rsidRPr="00C71E1E">
        <w:rPr>
          <w:rFonts w:ascii="Times New Roman" w:hAnsi="Times New Roman"/>
          <w:lang w:val="pt-BR"/>
        </w:rPr>
        <w:t>ambiente</w:t>
      </w:r>
      <w:r w:rsidR="00827C55">
        <w:rPr>
          <w:rFonts w:ascii="Times New Roman" w:hAnsi="Times New Roman"/>
          <w:lang w:val="pt-BR"/>
        </w:rPr>
        <w:t>.</w:t>
      </w:r>
      <w:r w:rsidR="00827C55" w:rsidRPr="00C71E1E">
        <w:rPr>
          <w:rFonts w:ascii="Times New Roman" w:hAnsi="Times New Roman"/>
          <w:lang w:val="pt-BR"/>
        </w:rPr>
        <w:t>(</w:t>
      </w:r>
      <w:proofErr w:type="gramEnd"/>
      <w:r w:rsidRPr="00C71E1E">
        <w:rPr>
          <w:rFonts w:ascii="Times New Roman" w:hAnsi="Times New Roman"/>
          <w:lang w:val="pt-BR"/>
        </w:rPr>
        <w:t>1,2)</w:t>
      </w:r>
    </w:p>
    <w:p w14:paraId="652BBFE6" w14:textId="57E01368" w:rsidR="00C71E1E" w:rsidRDefault="00C71E1E" w:rsidP="00C71E1E">
      <w:pPr>
        <w:pStyle w:val="TAMainText"/>
        <w:rPr>
          <w:rFonts w:ascii="Times New Roman" w:hAnsi="Times New Roman"/>
          <w:lang w:val="pt-BR"/>
        </w:rPr>
      </w:pPr>
      <w:r w:rsidRPr="00C71E1E">
        <w:rPr>
          <w:rFonts w:ascii="Times New Roman" w:hAnsi="Times New Roman"/>
          <w:lang w:val="pt-BR"/>
        </w:rPr>
        <w:t xml:space="preserve">A geração de biocombustíveis é uma das áreas em que os biocatalisadores são amplamente explorados. Por exemplo, a enzima </w:t>
      </w:r>
      <w:proofErr w:type="spellStart"/>
      <w:r w:rsidRPr="00C71E1E">
        <w:rPr>
          <w:rFonts w:ascii="Times New Roman" w:hAnsi="Times New Roman"/>
          <w:lang w:val="pt-BR"/>
        </w:rPr>
        <w:t>sacarase</w:t>
      </w:r>
      <w:proofErr w:type="spellEnd"/>
      <w:r w:rsidRPr="00C71E1E">
        <w:rPr>
          <w:rFonts w:ascii="Times New Roman" w:hAnsi="Times New Roman"/>
          <w:lang w:val="pt-BR"/>
        </w:rPr>
        <w:t xml:space="preserve"> é usada na produção de etanol a partir de </w:t>
      </w:r>
      <w:r w:rsidRPr="00C71E1E">
        <w:rPr>
          <w:rFonts w:ascii="Times New Roman" w:hAnsi="Times New Roman"/>
          <w:lang w:val="pt-BR"/>
        </w:rPr>
        <w:t xml:space="preserve">açúcares fermentáveis, enquanto a enzima lipase é utilizada na produção de biodiesel a partir de óleos e gorduras. Além de reduzir o consumo de energia e a produção de resíduos, a utilização de biocatalisadores em processos de produção de biocombustíveis gera diversas melhorias a qualidade do produto </w:t>
      </w:r>
      <w:proofErr w:type="gramStart"/>
      <w:r w:rsidR="00827C55">
        <w:rPr>
          <w:rFonts w:ascii="Times New Roman" w:hAnsi="Times New Roman"/>
          <w:lang w:val="pt-BR"/>
        </w:rPr>
        <w:t>final.</w:t>
      </w:r>
      <w:r w:rsidR="00827C55" w:rsidRPr="00C71E1E">
        <w:rPr>
          <w:rFonts w:ascii="Times New Roman" w:hAnsi="Times New Roman"/>
          <w:lang w:val="pt-BR"/>
        </w:rPr>
        <w:t>(</w:t>
      </w:r>
      <w:proofErr w:type="gramEnd"/>
      <w:r w:rsidRPr="00C71E1E">
        <w:rPr>
          <w:rFonts w:ascii="Times New Roman" w:hAnsi="Times New Roman"/>
          <w:lang w:val="pt-BR"/>
        </w:rPr>
        <w:t>3)</w:t>
      </w:r>
    </w:p>
    <w:p w14:paraId="7AEC6FE6" w14:textId="77777777" w:rsidR="00827C55" w:rsidRDefault="009128B9" w:rsidP="00827C55">
      <w:pPr>
        <w:pStyle w:val="TAMainText"/>
        <w:rPr>
          <w:rFonts w:ascii="Times New Roman" w:hAnsi="Times New Roman"/>
          <w:lang w:val="pt-BR"/>
        </w:rPr>
      </w:pPr>
      <w:r w:rsidRPr="00637349">
        <w:rPr>
          <w:rFonts w:ascii="Times New Roman" w:hAnsi="Times New Roman"/>
          <w:lang w:val="pt-BR"/>
        </w:rPr>
        <w:t>A implementação</w:t>
      </w:r>
      <w:r w:rsidR="00C71E1E" w:rsidRPr="00637349">
        <w:rPr>
          <w:rFonts w:ascii="Times New Roman" w:hAnsi="Times New Roman"/>
          <w:lang w:val="pt-BR"/>
        </w:rPr>
        <w:t xml:space="preserve"> e a crescente produção de bioenergia, derivada de materiais renováveis e subprodutos da agroindústria vem sendo utilizada como formas alternativas para a produção mais sustentável de energia. Podemos citar a utilização do biodiesel, apresentam dados crescentes de produção e utilização, sendo produzido somente no Brasil cerca de 5,3 bilhões de litros desse biocombustível em </w:t>
      </w:r>
      <w:proofErr w:type="gramStart"/>
      <w:r w:rsidR="00C71E1E" w:rsidRPr="00637349">
        <w:rPr>
          <w:rFonts w:ascii="Times New Roman" w:hAnsi="Times New Roman"/>
          <w:lang w:val="pt-BR"/>
        </w:rPr>
        <w:t>2018.(</w:t>
      </w:r>
      <w:proofErr w:type="gramEnd"/>
      <w:r w:rsidR="00C71E1E" w:rsidRPr="00637349">
        <w:rPr>
          <w:rFonts w:ascii="Times New Roman" w:hAnsi="Times New Roman"/>
          <w:lang w:val="pt-BR"/>
        </w:rPr>
        <w:t xml:space="preserve">3) </w:t>
      </w:r>
    </w:p>
    <w:p w14:paraId="763BFB07" w14:textId="49DB3E28" w:rsidR="00C71E1E" w:rsidRPr="00637349" w:rsidRDefault="00C71E1E" w:rsidP="00827C55">
      <w:pPr>
        <w:pStyle w:val="TAMainText"/>
        <w:rPr>
          <w:rFonts w:ascii="Times New Roman" w:hAnsi="Times New Roman"/>
          <w:lang w:val="pt-BR"/>
        </w:rPr>
      </w:pPr>
      <w:r w:rsidRPr="00637349">
        <w:rPr>
          <w:rFonts w:ascii="Times New Roman" w:hAnsi="Times New Roman"/>
          <w:lang w:val="pt-BR"/>
        </w:rPr>
        <w:t xml:space="preserve">Outras formas de bioenergia que utilizam os catalisadores biológicos, como a produção de hidrogênio a partir da fermentação de açúcares e a produção de biogás a partir da digestão anaeróbica de resíduos orgânicos. Neste processo, é notável a contribuição para a produção de energia renovável de forma mais eficiente e </w:t>
      </w:r>
      <w:proofErr w:type="gramStart"/>
      <w:r w:rsidRPr="00637349">
        <w:rPr>
          <w:rFonts w:ascii="Times New Roman" w:hAnsi="Times New Roman"/>
          <w:lang w:val="pt-BR"/>
        </w:rPr>
        <w:t>sustentável.(</w:t>
      </w:r>
      <w:proofErr w:type="gramEnd"/>
      <w:r w:rsidRPr="00637349">
        <w:rPr>
          <w:rFonts w:ascii="Times New Roman" w:hAnsi="Times New Roman"/>
          <w:lang w:val="pt-BR"/>
        </w:rPr>
        <w:t>4)</w:t>
      </w:r>
    </w:p>
    <w:p w14:paraId="52BE306F" w14:textId="560EA3DD" w:rsidR="00C71E1E" w:rsidRPr="00C71E1E" w:rsidRDefault="00C71E1E" w:rsidP="00C71E1E">
      <w:pPr>
        <w:pStyle w:val="TAMainText"/>
        <w:rPr>
          <w:rFonts w:ascii="Times New Roman" w:hAnsi="Times New Roman"/>
          <w:lang w:val="pt-BR"/>
        </w:rPr>
      </w:pPr>
      <w:r w:rsidRPr="00C71E1E">
        <w:rPr>
          <w:rFonts w:ascii="Times New Roman" w:hAnsi="Times New Roman"/>
          <w:lang w:val="pt-BR"/>
        </w:rPr>
        <w:t xml:space="preserve">Além disso, os biocatalisadores também têm sido estudados para a produção de biocombustíveis avançados, como biocombustíveis celulósicos, a partir de biomassa não alimentar. Esses biocatalisadores são capazes de quebrar a </w:t>
      </w:r>
      <w:r w:rsidRPr="00C71E1E">
        <w:rPr>
          <w:rFonts w:ascii="Times New Roman" w:hAnsi="Times New Roman"/>
          <w:lang w:val="pt-BR"/>
        </w:rPr>
        <w:lastRenderedPageBreak/>
        <w:t xml:space="preserve">celulose e outras substâncias complexas presentes na biomassa, convertendo-as em açúcares fermentáveis para a produção de </w:t>
      </w:r>
      <w:proofErr w:type="gramStart"/>
      <w:r w:rsidRPr="00C71E1E">
        <w:rPr>
          <w:rFonts w:ascii="Times New Roman" w:hAnsi="Times New Roman"/>
          <w:lang w:val="pt-BR"/>
        </w:rPr>
        <w:t>bioenergia.(</w:t>
      </w:r>
      <w:proofErr w:type="gramEnd"/>
      <w:r w:rsidRPr="00C71E1E">
        <w:rPr>
          <w:rFonts w:ascii="Times New Roman" w:hAnsi="Times New Roman"/>
          <w:lang w:val="pt-BR"/>
        </w:rPr>
        <w:t>5)</w:t>
      </w:r>
    </w:p>
    <w:p w14:paraId="6D75C41F" w14:textId="0FE419FD" w:rsidR="00C71E1E" w:rsidRPr="001F25B2" w:rsidRDefault="00C71E1E" w:rsidP="00C71E1E">
      <w:pPr>
        <w:pStyle w:val="TAMainText"/>
        <w:rPr>
          <w:rFonts w:ascii="Times New Roman" w:hAnsi="Times New Roman"/>
          <w:lang w:val="pt-BR"/>
        </w:rPr>
      </w:pPr>
      <w:r w:rsidRPr="00C71E1E">
        <w:rPr>
          <w:rFonts w:ascii="Times New Roman" w:hAnsi="Times New Roman"/>
          <w:lang w:val="pt-BR"/>
        </w:rPr>
        <w:t>O presente trabalho tem o objetivo de realizar um levantamento de dados, e mapear os principais detentores da tecnologia de patentes e inovações de biocatalisadores associados à bioenergia.</w:t>
      </w:r>
    </w:p>
    <w:p w14:paraId="52FFAC79" w14:textId="5FC8D8EC" w:rsidR="00EA4E1B" w:rsidRPr="001F25B2" w:rsidRDefault="00993064" w:rsidP="00EA4E1B">
      <w:pPr>
        <w:pStyle w:val="Ttulo2"/>
        <w:rPr>
          <w:rFonts w:ascii="Helvetica" w:hAnsi="Helvetica" w:cs="Helvetica"/>
          <w:sz w:val="24"/>
          <w:szCs w:val="24"/>
        </w:rPr>
      </w:pPr>
      <w:r>
        <w:rPr>
          <w:rFonts w:ascii="Helvetica" w:hAnsi="Helvetica" w:cs="Helvetica"/>
          <w:sz w:val="24"/>
          <w:szCs w:val="24"/>
        </w:rPr>
        <w:t>Metodologia</w:t>
      </w:r>
    </w:p>
    <w:p w14:paraId="35887134" w14:textId="2158ABCA" w:rsidR="00EA4E1B" w:rsidRPr="001F25B2" w:rsidRDefault="00C71E1E" w:rsidP="00EA4E1B">
      <w:pPr>
        <w:pStyle w:val="TAMainText"/>
        <w:ind w:firstLine="0"/>
        <w:rPr>
          <w:rFonts w:ascii="Times New Roman" w:hAnsi="Times New Roman"/>
          <w:i/>
          <w:lang w:val="pt-BR"/>
        </w:rPr>
      </w:pPr>
      <w:r>
        <w:rPr>
          <w:rFonts w:ascii="Times New Roman" w:hAnsi="Times New Roman"/>
          <w:i/>
          <w:lang w:val="pt-BR"/>
        </w:rPr>
        <w:t xml:space="preserve">Prospecção </w:t>
      </w:r>
      <w:r w:rsidR="00FC46C4">
        <w:rPr>
          <w:rFonts w:ascii="Times New Roman" w:hAnsi="Times New Roman"/>
          <w:i/>
          <w:lang w:val="pt-BR"/>
        </w:rPr>
        <w:t>Tecnológica</w:t>
      </w:r>
      <w:r w:rsidR="00EA4E1B" w:rsidRPr="001F25B2">
        <w:rPr>
          <w:rFonts w:ascii="Times New Roman" w:hAnsi="Times New Roman"/>
          <w:i/>
          <w:lang w:val="pt-BR"/>
        </w:rPr>
        <w:t>.</w:t>
      </w:r>
    </w:p>
    <w:p w14:paraId="0B1056F8" w14:textId="69BEE436" w:rsidR="00FC46C4" w:rsidRDefault="00FC46C4" w:rsidP="00EA4E1B">
      <w:pPr>
        <w:pStyle w:val="TAMainText"/>
        <w:rPr>
          <w:rFonts w:ascii="Times New Roman" w:hAnsi="Times New Roman"/>
          <w:lang w:val="pt-BR"/>
        </w:rPr>
      </w:pPr>
      <w:r w:rsidRPr="00FC46C4">
        <w:rPr>
          <w:rFonts w:ascii="Times New Roman" w:hAnsi="Times New Roman"/>
          <w:lang w:val="pt-BR"/>
        </w:rPr>
        <w:t xml:space="preserve">O estudo foi baseado na prospecção tecnológica para a utilização de biocatalisadores aplicados à bioenergia. A pesquisa dos códigos, número de patentes relacionadas e os levantamentos dos documentos de patentes foram realizados utilizando o </w:t>
      </w:r>
      <w:proofErr w:type="spellStart"/>
      <w:r w:rsidRPr="00827C55">
        <w:rPr>
          <w:rFonts w:ascii="Times New Roman" w:hAnsi="Times New Roman"/>
          <w:i/>
          <w:lang w:val="pt-BR"/>
        </w:rPr>
        <w:t>Derwent</w:t>
      </w:r>
      <w:proofErr w:type="spellEnd"/>
      <w:r w:rsidRPr="00827C55">
        <w:rPr>
          <w:rFonts w:ascii="Times New Roman" w:hAnsi="Times New Roman"/>
          <w:i/>
          <w:lang w:val="pt-BR"/>
        </w:rPr>
        <w:t xml:space="preserve"> World </w:t>
      </w:r>
      <w:proofErr w:type="spellStart"/>
      <w:r w:rsidRPr="00827C55">
        <w:rPr>
          <w:rFonts w:ascii="Times New Roman" w:hAnsi="Times New Roman"/>
          <w:i/>
          <w:lang w:val="pt-BR"/>
        </w:rPr>
        <w:t>Patents</w:t>
      </w:r>
      <w:proofErr w:type="spellEnd"/>
      <w:r w:rsidRPr="00827C55">
        <w:rPr>
          <w:rFonts w:ascii="Times New Roman" w:hAnsi="Times New Roman"/>
          <w:i/>
          <w:lang w:val="pt-BR"/>
        </w:rPr>
        <w:t xml:space="preserve"> Index™</w:t>
      </w:r>
      <w:r w:rsidRPr="00FC46C4">
        <w:rPr>
          <w:rFonts w:ascii="Times New Roman" w:hAnsi="Times New Roman"/>
          <w:lang w:val="pt-BR"/>
        </w:rPr>
        <w:t xml:space="preserve"> (DWPI).</w:t>
      </w:r>
    </w:p>
    <w:p w14:paraId="5CF36C1A" w14:textId="5A7ED2E6" w:rsidR="00FC46C4" w:rsidRDefault="00FC46C4" w:rsidP="00EA4E1B">
      <w:pPr>
        <w:pStyle w:val="TAMainText"/>
        <w:rPr>
          <w:rFonts w:ascii="Times New Roman" w:hAnsi="Times New Roman"/>
          <w:lang w:val="pt-BR"/>
        </w:rPr>
      </w:pPr>
      <w:r w:rsidRPr="00FC46C4">
        <w:rPr>
          <w:rFonts w:ascii="Times New Roman" w:hAnsi="Times New Roman"/>
          <w:lang w:val="pt-BR"/>
        </w:rPr>
        <w:t>O DWPI é um dos bancos de dados disponíveis mais robustos disponíveis atualmente, uma vez que contém os pedidos e as concessões de patentes, tendo como fonte 44 autoridades mundiais emissoras de patentes, de 90 países e organizações.</w:t>
      </w:r>
      <w:r>
        <w:rPr>
          <w:rFonts w:ascii="Times New Roman" w:hAnsi="Times New Roman"/>
          <w:lang w:val="pt-BR"/>
        </w:rPr>
        <w:t xml:space="preserve"> </w:t>
      </w:r>
      <w:r w:rsidRPr="00FC46C4">
        <w:rPr>
          <w:rFonts w:ascii="Times New Roman" w:hAnsi="Times New Roman"/>
          <w:lang w:val="pt-BR"/>
        </w:rPr>
        <w:t>Os dados foram obtidos a partir do uso de palavras-chave em inglês e português.</w:t>
      </w:r>
    </w:p>
    <w:p w14:paraId="2110912F" w14:textId="7BACD565" w:rsidR="00FC46C4" w:rsidRPr="00827C55" w:rsidRDefault="00FC46C4" w:rsidP="00EA4E1B">
      <w:pPr>
        <w:pStyle w:val="TAMainText"/>
        <w:rPr>
          <w:rFonts w:ascii="Times New Roman" w:hAnsi="Times New Roman"/>
          <w:i/>
          <w:lang w:val="pt-BR"/>
        </w:rPr>
      </w:pPr>
      <w:r w:rsidRPr="00FC46C4">
        <w:rPr>
          <w:rFonts w:ascii="Times New Roman" w:hAnsi="Times New Roman"/>
          <w:lang w:val="pt-BR"/>
        </w:rPr>
        <w:t xml:space="preserve">As pesquisas encontradas foram analisadas de maneira individual, de forma a </w:t>
      </w:r>
      <w:r w:rsidR="00200513" w:rsidRPr="00FC46C4">
        <w:rPr>
          <w:rFonts w:ascii="Times New Roman" w:hAnsi="Times New Roman"/>
          <w:lang w:val="pt-BR"/>
        </w:rPr>
        <w:t>gerar os</w:t>
      </w:r>
      <w:r w:rsidRPr="00FC46C4">
        <w:rPr>
          <w:rFonts w:ascii="Times New Roman" w:hAnsi="Times New Roman"/>
          <w:lang w:val="pt-BR"/>
        </w:rPr>
        <w:t xml:space="preserve"> principais gráficos e tabelas nas </w:t>
      </w:r>
      <w:r w:rsidR="00200513" w:rsidRPr="00FC46C4">
        <w:rPr>
          <w:rFonts w:ascii="Times New Roman" w:hAnsi="Times New Roman"/>
          <w:lang w:val="pt-BR"/>
        </w:rPr>
        <w:t>próprias plataformas</w:t>
      </w:r>
      <w:r w:rsidRPr="00FC46C4">
        <w:rPr>
          <w:rFonts w:ascii="Times New Roman" w:hAnsi="Times New Roman"/>
          <w:lang w:val="pt-BR"/>
        </w:rPr>
        <w:t xml:space="preserve"> considerando os indicadores: </w:t>
      </w:r>
      <w:r w:rsidRPr="00827C55">
        <w:rPr>
          <w:rFonts w:ascii="Times New Roman" w:hAnsi="Times New Roman"/>
          <w:i/>
          <w:lang w:val="pt-BR"/>
        </w:rPr>
        <w:t>“</w:t>
      </w:r>
      <w:proofErr w:type="spellStart"/>
      <w:r w:rsidRPr="00827C55">
        <w:rPr>
          <w:rFonts w:ascii="Times New Roman" w:hAnsi="Times New Roman"/>
          <w:i/>
          <w:lang w:val="pt-BR"/>
        </w:rPr>
        <w:t>biocatalysts</w:t>
      </w:r>
      <w:proofErr w:type="spellEnd"/>
      <w:proofErr w:type="gramStart"/>
      <w:r w:rsidRPr="00827C55">
        <w:rPr>
          <w:rFonts w:ascii="Times New Roman" w:hAnsi="Times New Roman"/>
          <w:i/>
          <w:lang w:val="pt-BR"/>
        </w:rPr>
        <w:t>”</w:t>
      </w:r>
      <w:r w:rsidR="00CC6F55">
        <w:rPr>
          <w:rFonts w:ascii="Times New Roman" w:hAnsi="Times New Roman"/>
          <w:i/>
          <w:lang w:val="pt-BR"/>
        </w:rPr>
        <w:t>,</w:t>
      </w:r>
      <w:r w:rsidRPr="00827C55">
        <w:rPr>
          <w:rFonts w:ascii="Times New Roman" w:hAnsi="Times New Roman"/>
          <w:i/>
          <w:lang w:val="pt-BR"/>
        </w:rPr>
        <w:t>“</w:t>
      </w:r>
      <w:proofErr w:type="spellStart"/>
      <w:proofErr w:type="gramEnd"/>
      <w:r w:rsidRPr="00827C55">
        <w:rPr>
          <w:rFonts w:ascii="Times New Roman" w:hAnsi="Times New Roman"/>
          <w:i/>
          <w:lang w:val="pt-BR"/>
        </w:rPr>
        <w:t>biocatalysts</w:t>
      </w:r>
      <w:proofErr w:type="spellEnd"/>
      <w:r w:rsidRPr="00827C55">
        <w:rPr>
          <w:rFonts w:ascii="Times New Roman" w:hAnsi="Times New Roman"/>
          <w:i/>
          <w:lang w:val="pt-BR"/>
        </w:rPr>
        <w:t xml:space="preserve"> </w:t>
      </w:r>
      <w:proofErr w:type="spellStart"/>
      <w:r w:rsidRPr="00827C55">
        <w:rPr>
          <w:rFonts w:ascii="Times New Roman" w:hAnsi="Times New Roman"/>
          <w:i/>
          <w:lang w:val="pt-BR"/>
        </w:rPr>
        <w:t>applied</w:t>
      </w:r>
      <w:proofErr w:type="spellEnd"/>
      <w:r w:rsidRPr="00827C55">
        <w:rPr>
          <w:rFonts w:ascii="Times New Roman" w:hAnsi="Times New Roman"/>
          <w:i/>
          <w:lang w:val="pt-BR"/>
        </w:rPr>
        <w:t xml:space="preserve"> </w:t>
      </w:r>
      <w:proofErr w:type="spellStart"/>
      <w:r w:rsidRPr="00827C55">
        <w:rPr>
          <w:rFonts w:ascii="Times New Roman" w:hAnsi="Times New Roman"/>
          <w:i/>
          <w:lang w:val="pt-BR"/>
        </w:rPr>
        <w:t>to</w:t>
      </w:r>
      <w:proofErr w:type="spellEnd"/>
      <w:r w:rsidRPr="00827C55">
        <w:rPr>
          <w:rFonts w:ascii="Times New Roman" w:hAnsi="Times New Roman"/>
          <w:i/>
          <w:lang w:val="pt-BR"/>
        </w:rPr>
        <w:t xml:space="preserve"> </w:t>
      </w:r>
      <w:proofErr w:type="spellStart"/>
      <w:r w:rsidRPr="00827C55">
        <w:rPr>
          <w:rFonts w:ascii="Times New Roman" w:hAnsi="Times New Roman"/>
          <w:i/>
          <w:lang w:val="pt-BR"/>
        </w:rPr>
        <w:t>bioenergy</w:t>
      </w:r>
      <w:proofErr w:type="spellEnd"/>
      <w:r w:rsidRPr="00827C55">
        <w:rPr>
          <w:rFonts w:ascii="Times New Roman" w:hAnsi="Times New Roman"/>
          <w:i/>
          <w:lang w:val="pt-BR"/>
        </w:rPr>
        <w:t>” “</w:t>
      </w:r>
      <w:proofErr w:type="spellStart"/>
      <w:r w:rsidRPr="00827C55">
        <w:rPr>
          <w:rFonts w:ascii="Times New Roman" w:hAnsi="Times New Roman"/>
          <w:i/>
          <w:lang w:val="pt-BR"/>
        </w:rPr>
        <w:t>bioenergy</w:t>
      </w:r>
      <w:proofErr w:type="spellEnd"/>
      <w:r w:rsidRPr="00827C55">
        <w:rPr>
          <w:rFonts w:ascii="Times New Roman" w:hAnsi="Times New Roman"/>
          <w:i/>
          <w:lang w:val="pt-BR"/>
        </w:rPr>
        <w:t>”</w:t>
      </w:r>
      <w:r w:rsidR="00CC6F55">
        <w:rPr>
          <w:rFonts w:ascii="Times New Roman" w:hAnsi="Times New Roman"/>
          <w:i/>
          <w:lang w:val="pt-BR"/>
        </w:rPr>
        <w:t>,</w:t>
      </w:r>
      <w:r w:rsidRPr="00827C55">
        <w:rPr>
          <w:rFonts w:ascii="Times New Roman" w:hAnsi="Times New Roman"/>
          <w:i/>
          <w:lang w:val="pt-BR"/>
        </w:rPr>
        <w:t xml:space="preserve"> “biodiesel”</w:t>
      </w:r>
      <w:r w:rsidR="00CC6F55">
        <w:rPr>
          <w:rFonts w:ascii="Times New Roman" w:hAnsi="Times New Roman"/>
          <w:i/>
          <w:lang w:val="pt-BR"/>
        </w:rPr>
        <w:t>,</w:t>
      </w:r>
      <w:r w:rsidRPr="00827C55">
        <w:rPr>
          <w:rFonts w:ascii="Times New Roman" w:hAnsi="Times New Roman"/>
          <w:i/>
          <w:lang w:val="pt-BR"/>
        </w:rPr>
        <w:t>“</w:t>
      </w:r>
      <w:proofErr w:type="spellStart"/>
      <w:r w:rsidRPr="00827C55">
        <w:rPr>
          <w:rFonts w:ascii="Times New Roman" w:hAnsi="Times New Roman"/>
          <w:i/>
          <w:lang w:val="pt-BR"/>
        </w:rPr>
        <w:t>enzymes</w:t>
      </w:r>
      <w:proofErr w:type="spellEnd"/>
      <w:r w:rsidRPr="00827C55">
        <w:rPr>
          <w:rFonts w:ascii="Times New Roman" w:hAnsi="Times New Roman"/>
          <w:i/>
          <w:lang w:val="pt-BR"/>
        </w:rPr>
        <w:t>”.</w:t>
      </w:r>
    </w:p>
    <w:p w14:paraId="446484ED" w14:textId="0803FF3B" w:rsidR="00FC46C4" w:rsidRPr="001F25B2" w:rsidRDefault="00FC46C4" w:rsidP="00EA4E1B">
      <w:pPr>
        <w:pStyle w:val="TAMainText"/>
        <w:rPr>
          <w:rFonts w:ascii="Times New Roman" w:hAnsi="Times New Roman"/>
          <w:lang w:val="pt-BR"/>
        </w:rPr>
      </w:pPr>
    </w:p>
    <w:p w14:paraId="136BD1AC" w14:textId="0E760AF5"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5C6F0EC2" w14:textId="769B8FE0" w:rsidR="00C56ECA" w:rsidRDefault="00C56ECA" w:rsidP="00EA4E1B">
      <w:pPr>
        <w:pStyle w:val="TAMainText"/>
        <w:ind w:firstLine="187"/>
        <w:rPr>
          <w:rFonts w:ascii="Times New Roman" w:hAnsi="Times New Roman"/>
          <w:lang w:val="pt-BR"/>
        </w:rPr>
      </w:pPr>
      <w:r w:rsidRPr="00C56ECA">
        <w:rPr>
          <w:rFonts w:ascii="Times New Roman" w:hAnsi="Times New Roman"/>
          <w:lang w:val="pt-BR"/>
        </w:rPr>
        <w:t xml:space="preserve">A busca por documentos de patentes utilizando as palavras chaves mencionadas encontra-se em cerca de 53 documentos referentes à Aplicação de Biocatalisadores aplicados à Bioenergia. Durante a triagem inicial, considerou-se apenas as patentes dos períodos de 2013 a 2023. Além disso, excluiu-se aquelas patentes que não estavam em concordância, levando em consideração as ativas e indeterminadas. </w:t>
      </w:r>
    </w:p>
    <w:p w14:paraId="75FB1735" w14:textId="3D040D60" w:rsidR="00C000D9" w:rsidRDefault="00C56ECA" w:rsidP="0016133E">
      <w:pPr>
        <w:pStyle w:val="TAMainText"/>
        <w:ind w:firstLine="187"/>
        <w:rPr>
          <w:rFonts w:ascii="Times New Roman" w:hAnsi="Times New Roman"/>
          <w:lang w:val="pt-BR"/>
        </w:rPr>
      </w:pPr>
      <w:r w:rsidRPr="00C56ECA">
        <w:rPr>
          <w:rFonts w:ascii="Times New Roman" w:hAnsi="Times New Roman"/>
          <w:lang w:val="pt-BR"/>
        </w:rPr>
        <w:t xml:space="preserve">A partir do </w:t>
      </w:r>
      <w:r w:rsidR="007556CC" w:rsidRPr="00C56ECA">
        <w:rPr>
          <w:rFonts w:ascii="Times New Roman" w:hAnsi="Times New Roman"/>
          <w:lang w:val="pt-BR"/>
        </w:rPr>
        <w:t>mapeamento e</w:t>
      </w:r>
      <w:r w:rsidRPr="00C56ECA">
        <w:rPr>
          <w:rFonts w:ascii="Times New Roman" w:hAnsi="Times New Roman"/>
          <w:lang w:val="pt-BR"/>
        </w:rPr>
        <w:t xml:space="preserve"> análise das tecnologias e principais atividades que estão implementadas no processo, na Figura </w:t>
      </w:r>
      <w:r w:rsidR="00C000D9">
        <w:rPr>
          <w:rFonts w:ascii="Times New Roman" w:hAnsi="Times New Roman"/>
          <w:lang w:val="pt-BR"/>
        </w:rPr>
        <w:t>I</w:t>
      </w:r>
      <w:r w:rsidRPr="00C56ECA">
        <w:rPr>
          <w:rFonts w:ascii="Times New Roman" w:hAnsi="Times New Roman"/>
          <w:lang w:val="pt-BR"/>
        </w:rPr>
        <w:t xml:space="preserve"> é possível visualizar </w:t>
      </w:r>
      <w:r w:rsidR="009128B9" w:rsidRPr="00C56ECA">
        <w:rPr>
          <w:rFonts w:ascii="Times New Roman" w:hAnsi="Times New Roman"/>
          <w:lang w:val="pt-BR"/>
        </w:rPr>
        <w:t>as principais tendências</w:t>
      </w:r>
      <w:r w:rsidRPr="00C56ECA">
        <w:rPr>
          <w:rFonts w:ascii="Times New Roman" w:hAnsi="Times New Roman"/>
          <w:lang w:val="pt-BR"/>
        </w:rPr>
        <w:t xml:space="preserve"> de publicação de acordo com o ano de pesquisa</w:t>
      </w:r>
      <w:r w:rsidR="007556CC">
        <w:rPr>
          <w:rFonts w:ascii="Times New Roman" w:hAnsi="Times New Roman"/>
          <w:lang w:val="pt-BR"/>
        </w:rPr>
        <w:t>.</w:t>
      </w:r>
    </w:p>
    <w:p w14:paraId="1A3AFB6A" w14:textId="26BC822A" w:rsidR="007556CC" w:rsidRDefault="007556CC" w:rsidP="00EA4E1B">
      <w:pPr>
        <w:pStyle w:val="TAMainText"/>
        <w:ind w:firstLine="187"/>
        <w:rPr>
          <w:rFonts w:ascii="Times New Roman" w:hAnsi="Times New Roman"/>
          <w:lang w:val="pt-BR"/>
        </w:rPr>
      </w:pPr>
    </w:p>
    <w:p w14:paraId="12B3886A" w14:textId="5BB52B8F" w:rsidR="007556CC" w:rsidRDefault="007556CC" w:rsidP="0016133E">
      <w:pPr>
        <w:pStyle w:val="VAFigureCaption"/>
        <w:spacing w:before="0"/>
        <w:ind w:firstLine="187"/>
        <w:jc w:val="center"/>
        <w:rPr>
          <w:rFonts w:ascii="Times New Roman" w:hAnsi="Times New Roman"/>
          <w:lang w:val="pt-BR"/>
        </w:rPr>
      </w:pPr>
      <w:r w:rsidRPr="00E038AF">
        <w:rPr>
          <w:rFonts w:ascii="Times New Roman" w:hAnsi="Times New Roman"/>
          <w:b/>
          <w:lang w:val="pt-BR"/>
        </w:rPr>
        <w:t xml:space="preserve">Figura </w:t>
      </w:r>
      <w:r w:rsidR="00637349">
        <w:rPr>
          <w:rFonts w:ascii="Times New Roman" w:hAnsi="Times New Roman"/>
          <w:b/>
          <w:lang w:val="pt-BR"/>
        </w:rPr>
        <w:t>I</w:t>
      </w:r>
      <w:r w:rsidRPr="00E038AF">
        <w:rPr>
          <w:rFonts w:ascii="Times New Roman" w:hAnsi="Times New Roman"/>
          <w:b/>
          <w:lang w:val="pt-BR"/>
        </w:rPr>
        <w:t>.</w:t>
      </w:r>
      <w:r w:rsidRPr="00E038AF">
        <w:rPr>
          <w:rFonts w:ascii="Times New Roman" w:hAnsi="Times New Roman"/>
          <w:lang w:val="pt-BR"/>
        </w:rPr>
        <w:t xml:space="preserve"> </w:t>
      </w:r>
      <w:r w:rsidRPr="007556CC">
        <w:rPr>
          <w:rFonts w:ascii="Times New Roman" w:hAnsi="Times New Roman"/>
          <w:lang w:val="pt-BR"/>
        </w:rPr>
        <w:t>Data nas publicações das Patentes Avaliadas</w:t>
      </w:r>
      <w:r w:rsidRPr="00E038AF">
        <w:rPr>
          <w:rFonts w:ascii="Times New Roman" w:hAnsi="Times New Roman"/>
          <w:lang w:val="pt-BR"/>
        </w:rPr>
        <w:t>.</w:t>
      </w:r>
    </w:p>
    <w:p w14:paraId="4897EC3A" w14:textId="4C455088" w:rsidR="00B50538" w:rsidRDefault="0016133E" w:rsidP="0016133E">
      <w:pPr>
        <w:ind w:left="187"/>
        <w:jc w:val="center"/>
        <w:rPr>
          <w:rFonts w:ascii="Times New Roman" w:hAnsi="Times New Roman"/>
        </w:rPr>
      </w:pPr>
      <w:r>
        <w:rPr>
          <w:rFonts w:ascii="Times New Roman" w:hAnsi="Times New Roman"/>
          <w:noProof/>
          <w:lang w:eastAsia="pt-BR"/>
        </w:rPr>
        <w:drawing>
          <wp:inline distT="0" distB="0" distL="0" distR="0" wp14:anchorId="231CF449" wp14:editId="06AA7148">
            <wp:extent cx="2533650" cy="1567561"/>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6968" cy="1581988"/>
                    </a:xfrm>
                    <a:prstGeom prst="rect">
                      <a:avLst/>
                    </a:prstGeom>
                  </pic:spPr>
                </pic:pic>
              </a:graphicData>
            </a:graphic>
          </wp:inline>
        </w:drawing>
      </w:r>
      <w:r w:rsidR="00121ADB">
        <w:rPr>
          <w:rFonts w:ascii="Times New Roman" w:hAnsi="Times New Roman"/>
        </w:rPr>
        <w:t xml:space="preserve">    </w:t>
      </w:r>
      <w:r w:rsidR="00E22D5F">
        <w:rPr>
          <w:rFonts w:ascii="Times New Roman" w:hAnsi="Times New Roman"/>
        </w:rPr>
        <w:t>Fonte: Autor</w:t>
      </w:r>
    </w:p>
    <w:p w14:paraId="268B83D3" w14:textId="41B8E629" w:rsidR="0016133E" w:rsidRDefault="0016133E" w:rsidP="0016133E">
      <w:pPr>
        <w:pStyle w:val="TAMainText"/>
        <w:ind w:firstLine="187"/>
        <w:rPr>
          <w:rFonts w:ascii="Times New Roman" w:hAnsi="Times New Roman"/>
          <w:lang w:val="pt-BR"/>
        </w:rPr>
      </w:pPr>
      <w:r w:rsidRPr="007556CC">
        <w:rPr>
          <w:rFonts w:ascii="Times New Roman" w:hAnsi="Times New Roman"/>
          <w:lang w:val="pt-BR"/>
        </w:rPr>
        <w:t xml:space="preserve">Na Figura </w:t>
      </w:r>
      <w:r>
        <w:rPr>
          <w:rFonts w:ascii="Times New Roman" w:hAnsi="Times New Roman"/>
          <w:lang w:val="pt-BR"/>
        </w:rPr>
        <w:t>I</w:t>
      </w:r>
      <w:r w:rsidRPr="007556CC">
        <w:rPr>
          <w:rFonts w:ascii="Times New Roman" w:hAnsi="Times New Roman"/>
          <w:lang w:val="pt-BR"/>
        </w:rPr>
        <w:t xml:space="preserve"> é possível notar o avanço nas publicações a</w:t>
      </w:r>
      <w:r>
        <w:rPr>
          <w:rFonts w:ascii="Times New Roman" w:hAnsi="Times New Roman"/>
          <w:lang w:val="pt-BR"/>
        </w:rPr>
        <w:t xml:space="preserve"> </w:t>
      </w:r>
      <w:r w:rsidRPr="007556CC">
        <w:rPr>
          <w:rFonts w:ascii="Times New Roman" w:hAnsi="Times New Roman"/>
          <w:lang w:val="pt-BR"/>
        </w:rPr>
        <w:t xml:space="preserve">partir do ano de 2015, porém obtendo-se um cenário reduzido para o avanço de novas descobertas de patentes durante o ano de 2019 a 2022. Isso ocorre, devido ao início da pandemia da Sars-Cov-19 afetando diretamente as pesquisas e prospecções tecnológicas em todo o mundo. De acordo com NEGRI et al, </w:t>
      </w:r>
      <w:r w:rsidR="00993064">
        <w:rPr>
          <w:rFonts w:ascii="Times New Roman" w:hAnsi="Times New Roman"/>
          <w:lang w:val="pt-BR"/>
        </w:rPr>
        <w:t>(</w:t>
      </w:r>
      <w:r w:rsidRPr="007556CC">
        <w:rPr>
          <w:rFonts w:ascii="Times New Roman" w:hAnsi="Times New Roman"/>
          <w:lang w:val="pt-BR"/>
        </w:rPr>
        <w:t>2020</w:t>
      </w:r>
      <w:r w:rsidR="00993064">
        <w:rPr>
          <w:rFonts w:ascii="Times New Roman" w:hAnsi="Times New Roman"/>
          <w:lang w:val="pt-BR"/>
        </w:rPr>
        <w:t>)</w:t>
      </w:r>
      <w:r w:rsidRPr="007556CC">
        <w:rPr>
          <w:rFonts w:ascii="Times New Roman" w:hAnsi="Times New Roman"/>
          <w:lang w:val="pt-BR"/>
        </w:rPr>
        <w:t xml:space="preserve"> publicado no IPEA Brasil, a produção científica no ano de 2020 decaiu para outros assuntos em pauta como a da geração de energia por meios sustentáveis, ocasionando um desequilíbrio na geração do conhecimento. No Brasil, a redução do orçamento do Ministério da Ciência, Tecnologia e Inovação (MCTI) no período de 2014 a 2018 é um reflexo para o decaimento desse cenário, como mostra a </w:t>
      </w:r>
      <w:r>
        <w:rPr>
          <w:rFonts w:ascii="Times New Roman" w:hAnsi="Times New Roman"/>
          <w:lang w:val="pt-BR"/>
        </w:rPr>
        <w:t>F</w:t>
      </w:r>
      <w:r w:rsidRPr="007556CC">
        <w:rPr>
          <w:rFonts w:ascii="Times New Roman" w:hAnsi="Times New Roman"/>
          <w:lang w:val="pt-BR"/>
        </w:rPr>
        <w:t xml:space="preserve">igura </w:t>
      </w:r>
      <w:r>
        <w:rPr>
          <w:rFonts w:ascii="Times New Roman" w:hAnsi="Times New Roman"/>
          <w:lang w:val="pt-BR"/>
        </w:rPr>
        <w:t>II</w:t>
      </w:r>
      <w:r w:rsidRPr="007556CC">
        <w:rPr>
          <w:rFonts w:ascii="Times New Roman" w:hAnsi="Times New Roman"/>
          <w:lang w:val="pt-BR"/>
        </w:rPr>
        <w:t>.</w:t>
      </w:r>
      <w:r w:rsidR="00827C55">
        <w:rPr>
          <w:rFonts w:ascii="Times New Roman" w:hAnsi="Times New Roman"/>
          <w:lang w:val="pt-BR"/>
        </w:rPr>
        <w:t xml:space="preserve"> </w:t>
      </w:r>
      <w:r w:rsidRPr="007556CC">
        <w:rPr>
          <w:rFonts w:ascii="Times New Roman" w:hAnsi="Times New Roman"/>
          <w:lang w:val="pt-BR"/>
        </w:rPr>
        <w:t>(6)</w:t>
      </w:r>
    </w:p>
    <w:p w14:paraId="141DB617" w14:textId="77777777" w:rsidR="0016133E" w:rsidRPr="0016133E" w:rsidRDefault="0016133E" w:rsidP="0016133E">
      <w:pPr>
        <w:pStyle w:val="TAMainText"/>
        <w:ind w:firstLine="187"/>
        <w:rPr>
          <w:rFonts w:ascii="Times New Roman" w:hAnsi="Times New Roman"/>
          <w:lang w:val="pt-BR"/>
        </w:rPr>
      </w:pPr>
    </w:p>
    <w:p w14:paraId="282B544E" w14:textId="13F38C40" w:rsidR="007556CC" w:rsidRPr="00E038AF" w:rsidRDefault="00637349" w:rsidP="007556CC">
      <w:pPr>
        <w:pStyle w:val="VAFigureCaption"/>
        <w:spacing w:before="0"/>
        <w:ind w:firstLine="708"/>
        <w:rPr>
          <w:rFonts w:ascii="Times New Roman" w:hAnsi="Times New Roman"/>
          <w:lang w:val="pt-BR"/>
        </w:rPr>
      </w:pPr>
      <w:r>
        <w:rPr>
          <w:noProof/>
          <w:lang w:val="pt-BR"/>
        </w:rPr>
        <w:drawing>
          <wp:anchor distT="0" distB="0" distL="114300" distR="114300" simplePos="0" relativeHeight="251663359" behindDoc="0" locked="0" layoutInCell="1" allowOverlap="1" wp14:anchorId="64349D68" wp14:editId="32422383">
            <wp:simplePos x="0" y="0"/>
            <wp:positionH relativeFrom="margin">
              <wp:align>right</wp:align>
            </wp:positionH>
            <wp:positionV relativeFrom="paragraph">
              <wp:posOffset>167640</wp:posOffset>
            </wp:positionV>
            <wp:extent cx="3027680" cy="2028825"/>
            <wp:effectExtent l="0" t="0" r="1270" b="9525"/>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027680" cy="2028825"/>
                    </a:xfrm>
                    <a:prstGeom prst="rect">
                      <a:avLst/>
                    </a:prstGeom>
                  </pic:spPr>
                </pic:pic>
              </a:graphicData>
            </a:graphic>
            <wp14:sizeRelV relativeFrom="margin">
              <wp14:pctHeight>0</wp14:pctHeight>
            </wp14:sizeRelV>
          </wp:anchor>
        </w:drawing>
      </w:r>
      <w:r w:rsidRPr="0016133E">
        <w:rPr>
          <w:rFonts w:ascii="Arial" w:hAnsi="Arial" w:cs="Arial"/>
          <w:noProof/>
          <w:color w:val="000000"/>
          <w:sz w:val="22"/>
          <w:szCs w:val="22"/>
          <w:bdr w:val="none" w:sz="0" w:space="0" w:color="auto" w:frame="1"/>
          <w:lang w:val="pt-BR"/>
        </w:rPr>
        <w:t xml:space="preserve"> </w:t>
      </w:r>
      <w:r w:rsidR="007556CC" w:rsidRPr="00E038AF">
        <w:rPr>
          <w:rFonts w:ascii="Times New Roman" w:hAnsi="Times New Roman"/>
          <w:b/>
          <w:lang w:val="pt-BR"/>
        </w:rPr>
        <w:t xml:space="preserve">Figura </w:t>
      </w:r>
      <w:r>
        <w:rPr>
          <w:rFonts w:ascii="Times New Roman" w:hAnsi="Times New Roman"/>
          <w:b/>
          <w:lang w:val="pt-BR"/>
        </w:rPr>
        <w:t>II</w:t>
      </w:r>
      <w:r w:rsidR="007556CC" w:rsidRPr="00E038AF">
        <w:rPr>
          <w:rFonts w:ascii="Times New Roman" w:hAnsi="Times New Roman"/>
          <w:b/>
          <w:lang w:val="pt-BR"/>
        </w:rPr>
        <w:t>.</w:t>
      </w:r>
      <w:r w:rsidR="007556CC" w:rsidRPr="00E038AF">
        <w:rPr>
          <w:rFonts w:ascii="Times New Roman" w:hAnsi="Times New Roman"/>
          <w:lang w:val="pt-BR"/>
        </w:rPr>
        <w:t xml:space="preserve"> </w:t>
      </w:r>
      <w:r w:rsidR="007556CC" w:rsidRPr="007556CC">
        <w:rPr>
          <w:rFonts w:ascii="Times New Roman" w:hAnsi="Times New Roman"/>
          <w:lang w:val="pt-BR"/>
        </w:rPr>
        <w:t>Evolução dos Recursos para o MCTI</w:t>
      </w:r>
    </w:p>
    <w:p w14:paraId="1CACD071" w14:textId="161C48A6" w:rsidR="00082B74" w:rsidRDefault="00827C55" w:rsidP="00B50538">
      <w:pPr>
        <w:pStyle w:val="TAMainText"/>
        <w:ind w:left="1416" w:firstLine="0"/>
        <w:rPr>
          <w:rFonts w:ascii="Times New Roman" w:hAnsi="Times New Roman"/>
          <w:lang w:val="pt-BR"/>
        </w:rPr>
      </w:pPr>
      <w:r>
        <w:rPr>
          <w:rFonts w:ascii="Times New Roman" w:hAnsi="Times New Roman"/>
          <w:lang w:val="pt-BR"/>
        </w:rPr>
        <w:t xml:space="preserve"> </w:t>
      </w:r>
      <w:r w:rsidR="00427C78">
        <w:rPr>
          <w:rFonts w:ascii="Times New Roman" w:hAnsi="Times New Roman"/>
          <w:lang w:val="pt-BR"/>
        </w:rPr>
        <w:t>Fonte:</w:t>
      </w:r>
      <w:r w:rsidR="00993064">
        <w:rPr>
          <w:rFonts w:ascii="Times New Roman" w:hAnsi="Times New Roman"/>
          <w:lang w:val="pt-BR"/>
        </w:rPr>
        <w:t xml:space="preserve"> </w:t>
      </w:r>
      <w:r w:rsidR="00427C78">
        <w:rPr>
          <w:rFonts w:ascii="Times New Roman" w:hAnsi="Times New Roman"/>
          <w:lang w:val="pt-BR"/>
        </w:rPr>
        <w:t>MCTI</w:t>
      </w:r>
      <w:r w:rsidR="00993064">
        <w:rPr>
          <w:rFonts w:ascii="Times New Roman" w:hAnsi="Times New Roman"/>
          <w:lang w:val="pt-BR"/>
        </w:rPr>
        <w:t xml:space="preserve"> (</w:t>
      </w:r>
      <w:r w:rsidR="002D6FA1">
        <w:rPr>
          <w:rFonts w:ascii="Times New Roman" w:hAnsi="Times New Roman"/>
          <w:lang w:val="pt-BR"/>
        </w:rPr>
        <w:t>2021</w:t>
      </w:r>
      <w:r w:rsidR="00993064">
        <w:rPr>
          <w:rFonts w:ascii="Times New Roman" w:hAnsi="Times New Roman"/>
          <w:lang w:val="pt-BR"/>
        </w:rPr>
        <w:t>)</w:t>
      </w:r>
    </w:p>
    <w:p w14:paraId="5A3A140D" w14:textId="77777777" w:rsidR="0016133E" w:rsidRDefault="0016133E" w:rsidP="00B50538">
      <w:pPr>
        <w:pStyle w:val="TAMainText"/>
        <w:ind w:left="1416" w:firstLine="0"/>
        <w:rPr>
          <w:rFonts w:ascii="Times New Roman" w:hAnsi="Times New Roman"/>
          <w:lang w:val="pt-BR"/>
        </w:rPr>
      </w:pPr>
    </w:p>
    <w:p w14:paraId="333D0DEF" w14:textId="35ECCFF1" w:rsidR="007556CC" w:rsidRDefault="007556CC" w:rsidP="007556CC">
      <w:pPr>
        <w:pStyle w:val="TAMainText"/>
        <w:ind w:firstLine="187"/>
        <w:rPr>
          <w:rFonts w:ascii="Times New Roman" w:hAnsi="Times New Roman"/>
          <w:lang w:val="pt-BR"/>
        </w:rPr>
      </w:pPr>
      <w:r w:rsidRPr="007556CC">
        <w:rPr>
          <w:rFonts w:ascii="Times New Roman" w:hAnsi="Times New Roman"/>
          <w:lang w:val="pt-BR"/>
        </w:rPr>
        <w:t xml:space="preserve">A partir do ano de 2022 é possível notar o retorno do crescimento na exploração da temática, a justificativa para o aumento da adoção desse sistema decorre das vantagens sustentáveis, sociais e tecnológicas que ele oferece, impulsionadas pela mudança no perfil da indústria. O objetivo global se baseia na descarbonização até o ano de 2050 e o aumento dos créditos de carbono disponíveis para a </w:t>
      </w:r>
      <w:proofErr w:type="gramStart"/>
      <w:r w:rsidRPr="007556CC">
        <w:rPr>
          <w:rFonts w:ascii="Times New Roman" w:hAnsi="Times New Roman"/>
          <w:lang w:val="pt-BR"/>
        </w:rPr>
        <w:t>indústria.(</w:t>
      </w:r>
      <w:proofErr w:type="gramEnd"/>
      <w:r w:rsidRPr="007556CC">
        <w:rPr>
          <w:rFonts w:ascii="Times New Roman" w:hAnsi="Times New Roman"/>
          <w:lang w:val="pt-BR"/>
        </w:rPr>
        <w:t>7)</w:t>
      </w:r>
    </w:p>
    <w:p w14:paraId="7B05BF6B" w14:textId="77777777" w:rsidR="001953D0" w:rsidRDefault="001953D0" w:rsidP="001953D0">
      <w:pPr>
        <w:pStyle w:val="TAMainText"/>
        <w:ind w:firstLine="187"/>
        <w:rPr>
          <w:rFonts w:ascii="Times New Roman" w:hAnsi="Times New Roman"/>
          <w:lang w:val="pt-BR"/>
        </w:rPr>
      </w:pPr>
      <w:r>
        <w:rPr>
          <w:rFonts w:ascii="Times New Roman" w:hAnsi="Times New Roman"/>
          <w:lang w:val="pt-BR"/>
        </w:rPr>
        <w:t xml:space="preserve">Na Figura III, é possível visualizar os principais países detentores de tecnologias para a temática, dando destaque para os Estados Unidos </w:t>
      </w:r>
      <w:r w:rsidRPr="00C70F53">
        <w:rPr>
          <w:rFonts w:ascii="Times New Roman" w:hAnsi="Times New Roman"/>
          <w:lang w:val="pt-BR"/>
        </w:rPr>
        <w:t>demonstrando mercado</w:t>
      </w:r>
      <w:r>
        <w:rPr>
          <w:rFonts w:ascii="Times New Roman" w:hAnsi="Times New Roman"/>
          <w:lang w:val="pt-BR"/>
        </w:rPr>
        <w:t xml:space="preserve"> </w:t>
      </w:r>
      <w:r w:rsidRPr="00C70F53">
        <w:rPr>
          <w:rFonts w:ascii="Times New Roman" w:hAnsi="Times New Roman"/>
          <w:lang w:val="pt-BR"/>
        </w:rPr>
        <w:t xml:space="preserve">mais promissor e com maior demanda e concorrências relacionadas ao desenvolvimento de tecnologias </w:t>
      </w:r>
      <w:r>
        <w:rPr>
          <w:rFonts w:ascii="Times New Roman" w:hAnsi="Times New Roman"/>
          <w:lang w:val="pt-BR"/>
        </w:rPr>
        <w:t>para o estudo de biocatalisadores aplicados a bioenergia</w:t>
      </w:r>
    </w:p>
    <w:p w14:paraId="268D554C" w14:textId="77777777" w:rsidR="001953D0" w:rsidRDefault="001953D0" w:rsidP="001953D0">
      <w:pPr>
        <w:pStyle w:val="TAMainText"/>
        <w:ind w:firstLine="708"/>
        <w:rPr>
          <w:rFonts w:ascii="Times New Roman" w:hAnsi="Times New Roman"/>
          <w:lang w:val="pt-BR"/>
        </w:rPr>
      </w:pPr>
      <w:r w:rsidRPr="00A53866">
        <w:rPr>
          <w:rFonts w:ascii="Times New Roman" w:hAnsi="Times New Roman"/>
          <w:b/>
          <w:bCs/>
          <w:noProof/>
          <w:lang w:val="pt-BR"/>
        </w:rPr>
        <w:lastRenderedPageBreak/>
        <w:drawing>
          <wp:anchor distT="0" distB="0" distL="114300" distR="114300" simplePos="0" relativeHeight="251665407" behindDoc="0" locked="0" layoutInCell="1" allowOverlap="1" wp14:anchorId="170E0DF8" wp14:editId="113A8FE7">
            <wp:simplePos x="0" y="0"/>
            <wp:positionH relativeFrom="column">
              <wp:posOffset>67945</wp:posOffset>
            </wp:positionH>
            <wp:positionV relativeFrom="paragraph">
              <wp:posOffset>215265</wp:posOffset>
            </wp:positionV>
            <wp:extent cx="3027680" cy="2789555"/>
            <wp:effectExtent l="0" t="0" r="127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7680" cy="2789555"/>
                    </a:xfrm>
                    <a:prstGeom prst="rect">
                      <a:avLst/>
                    </a:prstGeom>
                    <a:noFill/>
                  </pic:spPr>
                </pic:pic>
              </a:graphicData>
            </a:graphic>
          </wp:anchor>
        </w:drawing>
      </w:r>
      <w:r w:rsidRPr="00A53866">
        <w:rPr>
          <w:rFonts w:ascii="Times New Roman" w:hAnsi="Times New Roman"/>
          <w:b/>
          <w:bCs/>
          <w:lang w:val="pt-BR"/>
        </w:rPr>
        <w:t>Figura III.</w:t>
      </w:r>
      <w:r>
        <w:rPr>
          <w:rFonts w:ascii="Times New Roman" w:hAnsi="Times New Roman"/>
          <w:lang w:val="pt-BR"/>
        </w:rPr>
        <w:t xml:space="preserve"> Tendência de Publicação de Patentes</w:t>
      </w:r>
    </w:p>
    <w:p w14:paraId="0567D291" w14:textId="6FBA9DD6" w:rsidR="001953D0" w:rsidRDefault="001953D0" w:rsidP="001953D0">
      <w:pPr>
        <w:pStyle w:val="TAMainText"/>
        <w:ind w:left="708" w:firstLine="708"/>
        <w:rPr>
          <w:rFonts w:ascii="Times New Roman" w:hAnsi="Times New Roman"/>
          <w:lang w:val="pt-BR"/>
        </w:rPr>
      </w:pPr>
      <w:r>
        <w:rPr>
          <w:rFonts w:ascii="Times New Roman" w:hAnsi="Times New Roman"/>
          <w:lang w:val="pt-BR"/>
        </w:rPr>
        <w:t>Fonte: Autor</w:t>
      </w:r>
    </w:p>
    <w:p w14:paraId="7091310C" w14:textId="77777777" w:rsidR="001953D0" w:rsidRDefault="001953D0" w:rsidP="001953D0">
      <w:pPr>
        <w:pStyle w:val="TAMainText"/>
        <w:ind w:left="708" w:firstLine="708"/>
        <w:rPr>
          <w:rFonts w:ascii="Times New Roman" w:hAnsi="Times New Roman"/>
          <w:lang w:val="pt-BR"/>
        </w:rPr>
      </w:pPr>
    </w:p>
    <w:p w14:paraId="31A5CC92" w14:textId="7B1B442A" w:rsidR="007556CC" w:rsidRDefault="007556CC" w:rsidP="007556CC">
      <w:pPr>
        <w:pStyle w:val="TAMainText"/>
        <w:ind w:firstLine="187"/>
        <w:rPr>
          <w:rFonts w:ascii="Times New Roman" w:hAnsi="Times New Roman"/>
          <w:lang w:val="pt-BR"/>
        </w:rPr>
      </w:pPr>
      <w:r w:rsidRPr="007556CC">
        <w:rPr>
          <w:rFonts w:ascii="Times New Roman" w:hAnsi="Times New Roman"/>
          <w:lang w:val="pt-BR"/>
        </w:rPr>
        <w:t xml:space="preserve">Dentre o mapeamento realizado foi possível observar, os principais catalisadores utilizados para a geração de bioenergia, de acordo com a Tabela </w:t>
      </w:r>
      <w:r w:rsidR="00114941">
        <w:rPr>
          <w:rFonts w:ascii="Times New Roman" w:hAnsi="Times New Roman"/>
          <w:lang w:val="pt-BR"/>
        </w:rPr>
        <w:t>I</w:t>
      </w:r>
      <w:r w:rsidRPr="007556CC">
        <w:rPr>
          <w:rFonts w:ascii="Times New Roman" w:hAnsi="Times New Roman"/>
          <w:lang w:val="pt-BR"/>
        </w:rPr>
        <w:t>.</w:t>
      </w:r>
    </w:p>
    <w:p w14:paraId="702BD7F0" w14:textId="6BA93421" w:rsidR="00E85EC6" w:rsidRDefault="007556CC" w:rsidP="00CA12F1">
      <w:pPr>
        <w:pStyle w:val="TAMainText"/>
        <w:ind w:firstLine="187"/>
        <w:rPr>
          <w:rFonts w:ascii="Times New Roman" w:hAnsi="Times New Roman"/>
          <w:lang w:val="pt-BR"/>
        </w:rPr>
      </w:pPr>
      <w:r w:rsidRPr="00637349">
        <w:rPr>
          <w:rFonts w:ascii="Times New Roman" w:hAnsi="Times New Roman"/>
          <w:lang w:val="pt-BR"/>
        </w:rPr>
        <w:t xml:space="preserve">A partir das informações presentes na Tabela </w:t>
      </w:r>
      <w:r w:rsidR="00114941">
        <w:rPr>
          <w:rFonts w:ascii="Times New Roman" w:hAnsi="Times New Roman"/>
          <w:lang w:val="pt-BR"/>
        </w:rPr>
        <w:t>I</w:t>
      </w:r>
      <w:r w:rsidRPr="00637349">
        <w:rPr>
          <w:rFonts w:ascii="Times New Roman" w:hAnsi="Times New Roman"/>
          <w:lang w:val="pt-BR"/>
        </w:rPr>
        <w:t>, é possível avaliar a partir das análises das patentes, que as principais limitações para o crescimento do número de pesquisa se deve</w:t>
      </w:r>
      <w:r w:rsidR="00114941">
        <w:rPr>
          <w:rFonts w:ascii="Times New Roman" w:hAnsi="Times New Roman"/>
          <w:lang w:val="pt-BR"/>
        </w:rPr>
        <w:t>m</w:t>
      </w:r>
      <w:r w:rsidRPr="00637349">
        <w:rPr>
          <w:rFonts w:ascii="Times New Roman" w:hAnsi="Times New Roman"/>
          <w:lang w:val="pt-BR"/>
        </w:rPr>
        <w:t xml:space="preserve"> ao</w:t>
      </w:r>
      <w:r w:rsidR="00114941">
        <w:rPr>
          <w:rFonts w:ascii="Times New Roman" w:hAnsi="Times New Roman"/>
          <w:lang w:val="pt-BR"/>
        </w:rPr>
        <w:t>s</w:t>
      </w:r>
      <w:r w:rsidRPr="00637349">
        <w:rPr>
          <w:rFonts w:ascii="Times New Roman" w:hAnsi="Times New Roman"/>
          <w:lang w:val="pt-BR"/>
        </w:rPr>
        <w:t xml:space="preserve"> grande</w:t>
      </w:r>
      <w:r w:rsidR="00114941">
        <w:rPr>
          <w:rFonts w:ascii="Times New Roman" w:hAnsi="Times New Roman"/>
          <w:lang w:val="pt-BR"/>
        </w:rPr>
        <w:t>s</w:t>
      </w:r>
      <w:r w:rsidRPr="00637349">
        <w:rPr>
          <w:rFonts w:ascii="Times New Roman" w:hAnsi="Times New Roman"/>
          <w:lang w:val="pt-BR"/>
        </w:rPr>
        <w:t xml:space="preserve"> custo</w:t>
      </w:r>
      <w:r w:rsidR="00114941">
        <w:rPr>
          <w:rFonts w:ascii="Times New Roman" w:hAnsi="Times New Roman"/>
          <w:lang w:val="pt-BR"/>
        </w:rPr>
        <w:t>s</w:t>
      </w:r>
      <w:r w:rsidRPr="00637349">
        <w:rPr>
          <w:rFonts w:ascii="Times New Roman" w:hAnsi="Times New Roman"/>
          <w:lang w:val="pt-BR"/>
        </w:rPr>
        <w:t xml:space="preserve"> </w:t>
      </w:r>
      <w:r w:rsidR="00114941">
        <w:rPr>
          <w:rFonts w:ascii="Times New Roman" w:hAnsi="Times New Roman"/>
          <w:lang w:val="pt-BR"/>
        </w:rPr>
        <w:t>para a</w:t>
      </w:r>
      <w:r w:rsidRPr="00637349">
        <w:rPr>
          <w:rFonts w:ascii="Times New Roman" w:hAnsi="Times New Roman"/>
          <w:lang w:val="pt-BR"/>
        </w:rPr>
        <w:t xml:space="preserve"> matéria-prima</w:t>
      </w:r>
      <w:r w:rsidR="00114941">
        <w:rPr>
          <w:rFonts w:ascii="Times New Roman" w:hAnsi="Times New Roman"/>
          <w:lang w:val="pt-BR"/>
        </w:rPr>
        <w:t xml:space="preserve"> geradora fontes energéticas, isso ocorre devido </w:t>
      </w:r>
      <w:r w:rsidR="00E85EC6">
        <w:rPr>
          <w:rFonts w:ascii="Times New Roman" w:hAnsi="Times New Roman"/>
          <w:lang w:val="pt-BR"/>
        </w:rPr>
        <w:t xml:space="preserve">ao pré-tratamento utilizado que necessita de grandes processos químicos para serem viáveis a utilização dos </w:t>
      </w:r>
      <w:r w:rsidR="001953D0">
        <w:rPr>
          <w:rFonts w:ascii="Times New Roman" w:hAnsi="Times New Roman"/>
          <w:lang w:val="pt-BR"/>
        </w:rPr>
        <w:t>biocatalisadores.(</w:t>
      </w:r>
      <w:r w:rsidR="00E85EC6">
        <w:rPr>
          <w:rFonts w:ascii="Times New Roman" w:hAnsi="Times New Roman"/>
          <w:lang w:val="pt-BR"/>
        </w:rPr>
        <w:t xml:space="preserve">8) </w:t>
      </w:r>
    </w:p>
    <w:p w14:paraId="54B4FEED" w14:textId="08EEAEE1" w:rsidR="00B50538" w:rsidRPr="007556CC" w:rsidRDefault="00E85EC6" w:rsidP="00CA12F1">
      <w:pPr>
        <w:pStyle w:val="TAMainText"/>
        <w:ind w:firstLine="187"/>
        <w:rPr>
          <w:rFonts w:ascii="Times New Roman" w:hAnsi="Times New Roman"/>
          <w:lang w:val="pt-BR"/>
        </w:rPr>
      </w:pPr>
      <w:r>
        <w:rPr>
          <w:rFonts w:ascii="Times New Roman" w:hAnsi="Times New Roman"/>
          <w:lang w:val="pt-BR"/>
        </w:rPr>
        <w:t>A</w:t>
      </w:r>
      <w:r w:rsidR="007556CC" w:rsidRPr="00637349">
        <w:rPr>
          <w:rFonts w:ascii="Times New Roman" w:hAnsi="Times New Roman"/>
          <w:lang w:val="pt-BR"/>
        </w:rPr>
        <w:t xml:space="preserve">pesar dos microrganismos e leveduras serem utilizados para a produção de óleo, ainda apresentam baixo rendimento para alcançar uma escala </w:t>
      </w:r>
      <w:r w:rsidR="00C70F53" w:rsidRPr="00637349">
        <w:rPr>
          <w:rFonts w:ascii="Times New Roman" w:hAnsi="Times New Roman"/>
          <w:lang w:val="pt-BR"/>
        </w:rPr>
        <w:t xml:space="preserve">comercial. </w:t>
      </w:r>
      <w:r w:rsidR="00C70F53">
        <w:rPr>
          <w:rFonts w:ascii="Times New Roman" w:hAnsi="Times New Roman"/>
          <w:lang w:val="pt-BR"/>
        </w:rPr>
        <w:t>P</w:t>
      </w:r>
      <w:r w:rsidR="002D6FA1">
        <w:rPr>
          <w:rFonts w:ascii="Times New Roman" w:hAnsi="Times New Roman"/>
          <w:lang w:val="pt-BR"/>
        </w:rPr>
        <w:t xml:space="preserve">orém para a aplicação em </w:t>
      </w:r>
      <w:r w:rsidR="00114941">
        <w:rPr>
          <w:rFonts w:ascii="Times New Roman" w:hAnsi="Times New Roman"/>
          <w:lang w:val="pt-BR"/>
        </w:rPr>
        <w:t>fontes energéticas que sejam para gerar energia a partir de resíduos indústrias, de forma a que o tratamento prévio, seja minimamente reduzido, pode viabilizar os custos da sua produção.</w:t>
      </w:r>
      <w:r w:rsidRPr="00637349">
        <w:rPr>
          <w:rFonts w:ascii="Times New Roman" w:hAnsi="Times New Roman"/>
          <w:lang w:val="pt-BR"/>
        </w:rPr>
        <w:t>(8)</w:t>
      </w:r>
      <w:r w:rsidR="00114941">
        <w:rPr>
          <w:rFonts w:ascii="Times New Roman" w:hAnsi="Times New Roman"/>
          <w:lang w:val="pt-BR"/>
        </w:rPr>
        <w:t xml:space="preserve"> </w:t>
      </w:r>
    </w:p>
    <w:p w14:paraId="4129FCF6" w14:textId="4C825EAE" w:rsidR="007556CC" w:rsidRDefault="007556CC" w:rsidP="007556CC">
      <w:pPr>
        <w:pStyle w:val="TAMainText"/>
        <w:ind w:firstLine="0"/>
        <w:rPr>
          <w:lang w:val="pt-BR"/>
        </w:rPr>
      </w:pPr>
    </w:p>
    <w:p w14:paraId="483DF959" w14:textId="4F721EEC" w:rsidR="00EA4E1B" w:rsidRPr="00E038AF" w:rsidRDefault="00EA4E1B" w:rsidP="007556CC">
      <w:pPr>
        <w:pStyle w:val="VDTableTitle"/>
        <w:spacing w:after="120"/>
        <w:ind w:firstLine="708"/>
        <w:jc w:val="both"/>
        <w:rPr>
          <w:rFonts w:ascii="Times New Roman" w:hAnsi="Times New Roman"/>
          <w:lang w:val="pt-BR"/>
        </w:rPr>
      </w:pPr>
      <w:r w:rsidRPr="00E038AF">
        <w:rPr>
          <w:rFonts w:ascii="Times New Roman" w:hAnsi="Times New Roman"/>
          <w:b/>
          <w:lang w:val="pt-BR"/>
        </w:rPr>
        <w:t xml:space="preserve">Tabela </w:t>
      </w:r>
      <w:r w:rsidR="00114941">
        <w:rPr>
          <w:rFonts w:ascii="Times New Roman" w:hAnsi="Times New Roman"/>
          <w:b/>
          <w:lang w:val="pt-BR"/>
        </w:rPr>
        <w:t>I</w:t>
      </w:r>
      <w:r w:rsidRPr="00E038AF">
        <w:rPr>
          <w:rFonts w:ascii="Times New Roman" w:hAnsi="Times New Roman"/>
          <w:b/>
          <w:lang w:val="pt-BR"/>
        </w:rPr>
        <w:t>.</w:t>
      </w:r>
      <w:r w:rsidRPr="00E038AF">
        <w:rPr>
          <w:rFonts w:ascii="Times New Roman" w:hAnsi="Times New Roman"/>
          <w:lang w:val="pt-BR"/>
        </w:rPr>
        <w:t xml:space="preserve"> </w:t>
      </w:r>
      <w:r w:rsidR="007556CC">
        <w:rPr>
          <w:rFonts w:ascii="Times New Roman" w:hAnsi="Times New Roman"/>
          <w:lang w:val="pt-BR"/>
        </w:rPr>
        <w:t>Exemplos de Aplicações Industriais</w:t>
      </w:r>
      <w:r w:rsidRPr="00E038AF">
        <w:rPr>
          <w:rFonts w:ascii="Times New Roman" w:hAnsi="Times New Roman"/>
          <w:lang w:val="pt-BR"/>
        </w:rPr>
        <w:t>.</w:t>
      </w:r>
    </w:p>
    <w:tbl>
      <w:tblPr>
        <w:tblW w:w="467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5"/>
        <w:gridCol w:w="1559"/>
        <w:gridCol w:w="1559"/>
      </w:tblGrid>
      <w:tr w:rsidR="009128B9" w:rsidRPr="00072C7A" w14:paraId="0F12ABC1" w14:textId="77777777" w:rsidTr="009128B9">
        <w:tc>
          <w:tcPr>
            <w:tcW w:w="1555" w:type="dxa"/>
            <w:vAlign w:val="center"/>
          </w:tcPr>
          <w:p w14:paraId="19C3BD2C" w14:textId="29ABC650" w:rsidR="009128B9" w:rsidRDefault="00200513" w:rsidP="00805FBE">
            <w:pPr>
              <w:pStyle w:val="TCTableBody"/>
              <w:rPr>
                <w:lang w:val="pt-BR"/>
              </w:rPr>
            </w:pPr>
            <w:r>
              <w:rPr>
                <w:lang w:val="pt-BR"/>
              </w:rPr>
              <w:t>Título</w:t>
            </w:r>
            <w:r w:rsidR="009128B9">
              <w:rPr>
                <w:lang w:val="pt-BR"/>
              </w:rPr>
              <w:t xml:space="preserve"> e Depositante</w:t>
            </w:r>
          </w:p>
        </w:tc>
        <w:tc>
          <w:tcPr>
            <w:tcW w:w="1559" w:type="dxa"/>
            <w:vAlign w:val="center"/>
          </w:tcPr>
          <w:p w14:paraId="053D077F" w14:textId="1148326C" w:rsidR="009128B9" w:rsidRDefault="009128B9" w:rsidP="00805FBE">
            <w:pPr>
              <w:pStyle w:val="TCTableBody"/>
              <w:rPr>
                <w:lang w:val="pt-BR"/>
              </w:rPr>
            </w:pPr>
            <w:r>
              <w:rPr>
                <w:lang w:val="pt-BR"/>
              </w:rPr>
              <w:t>Biocatalisador</w:t>
            </w:r>
          </w:p>
        </w:tc>
        <w:tc>
          <w:tcPr>
            <w:tcW w:w="1559" w:type="dxa"/>
            <w:vAlign w:val="center"/>
          </w:tcPr>
          <w:p w14:paraId="115543B2" w14:textId="4839A18A" w:rsidR="009128B9" w:rsidRDefault="009128B9" w:rsidP="00805FBE">
            <w:pPr>
              <w:pStyle w:val="TCTableBody"/>
              <w:rPr>
                <w:lang w:val="pt-BR"/>
              </w:rPr>
            </w:pPr>
            <w:r>
              <w:rPr>
                <w:lang w:val="pt-BR"/>
              </w:rPr>
              <w:t>Aplicação</w:t>
            </w:r>
          </w:p>
        </w:tc>
      </w:tr>
      <w:tr w:rsidR="009128B9" w:rsidRPr="00072C7A" w14:paraId="31EE37A1" w14:textId="77777777" w:rsidTr="009128B9">
        <w:trPr>
          <w:trHeight w:val="454"/>
        </w:trPr>
        <w:tc>
          <w:tcPr>
            <w:tcW w:w="1555" w:type="dxa"/>
            <w:vAlign w:val="center"/>
          </w:tcPr>
          <w:p w14:paraId="5AC90CC2" w14:textId="53045AA5" w:rsidR="009128B9" w:rsidRDefault="009128B9" w:rsidP="00805FBE">
            <w:pPr>
              <w:pStyle w:val="TCTableBody"/>
              <w:rPr>
                <w:lang w:val="pt-BR"/>
              </w:rPr>
            </w:pPr>
            <w:r w:rsidRPr="009128B9">
              <w:rPr>
                <w:lang w:val="pt-BR"/>
              </w:rPr>
              <w:t>Processamento e Transformação de Biomassa; BR 112015019373-0 A2</w:t>
            </w:r>
          </w:p>
        </w:tc>
        <w:tc>
          <w:tcPr>
            <w:tcW w:w="1559" w:type="dxa"/>
            <w:vAlign w:val="center"/>
          </w:tcPr>
          <w:p w14:paraId="6DFB507B" w14:textId="5E9B5AE4" w:rsidR="009128B9" w:rsidRDefault="009128B9" w:rsidP="00805FBE">
            <w:pPr>
              <w:pStyle w:val="TCTableBody"/>
              <w:rPr>
                <w:lang w:val="pt-BR"/>
              </w:rPr>
            </w:pPr>
            <w:r w:rsidRPr="009128B9">
              <w:rPr>
                <w:lang w:val="pt-BR"/>
              </w:rPr>
              <w:t xml:space="preserve">Leveduras e Bactérias </w:t>
            </w:r>
            <w:proofErr w:type="spellStart"/>
            <w:r w:rsidRPr="009128B9">
              <w:rPr>
                <w:i/>
                <w:iCs/>
                <w:lang w:val="pt-BR"/>
              </w:rPr>
              <w:t>Zymomonas</w:t>
            </w:r>
            <w:proofErr w:type="spellEnd"/>
          </w:p>
        </w:tc>
        <w:tc>
          <w:tcPr>
            <w:tcW w:w="1559" w:type="dxa"/>
            <w:vAlign w:val="center"/>
          </w:tcPr>
          <w:p w14:paraId="5D4B6F00" w14:textId="45AC2DAD" w:rsidR="009128B9" w:rsidRDefault="009128B9" w:rsidP="00805FBE">
            <w:pPr>
              <w:pStyle w:val="TCTableBody"/>
              <w:rPr>
                <w:lang w:val="pt-BR"/>
              </w:rPr>
            </w:pPr>
            <w:r w:rsidRPr="009128B9">
              <w:rPr>
                <w:lang w:val="pt-BR"/>
              </w:rPr>
              <w:t xml:space="preserve">Biomassa </w:t>
            </w:r>
            <w:proofErr w:type="spellStart"/>
            <w:r w:rsidRPr="009128B9">
              <w:rPr>
                <w:lang w:val="pt-BR"/>
              </w:rPr>
              <w:t>lignocelulósica</w:t>
            </w:r>
            <w:proofErr w:type="spellEnd"/>
            <w:r w:rsidRPr="009128B9">
              <w:rPr>
                <w:lang w:val="pt-BR"/>
              </w:rPr>
              <w:t>, de forma que não promova a competição com a indústria alimentícia</w:t>
            </w:r>
          </w:p>
        </w:tc>
      </w:tr>
      <w:tr w:rsidR="009128B9" w:rsidRPr="00072C7A" w14:paraId="31DCA18B" w14:textId="77777777" w:rsidTr="009128B9">
        <w:trPr>
          <w:trHeight w:val="454"/>
        </w:trPr>
        <w:tc>
          <w:tcPr>
            <w:tcW w:w="1555" w:type="dxa"/>
            <w:vAlign w:val="center"/>
          </w:tcPr>
          <w:p w14:paraId="3F079D12" w14:textId="5F1713D9" w:rsidR="009128B9" w:rsidRDefault="009128B9" w:rsidP="00805FBE">
            <w:pPr>
              <w:pStyle w:val="TCTableBody"/>
              <w:rPr>
                <w:lang w:val="pt-BR"/>
              </w:rPr>
            </w:pPr>
            <w:r w:rsidRPr="009128B9">
              <w:rPr>
                <w:lang w:val="pt-BR"/>
              </w:rPr>
              <w:t xml:space="preserve">Engenharia de </w:t>
            </w:r>
            <w:proofErr w:type="spellStart"/>
            <w:r w:rsidRPr="009128B9">
              <w:rPr>
                <w:lang w:val="pt-BR"/>
              </w:rPr>
              <w:t>bioprocessos</w:t>
            </w:r>
            <w:proofErr w:type="spellEnd"/>
            <w:r w:rsidRPr="009128B9">
              <w:rPr>
                <w:lang w:val="pt-BR"/>
              </w:rPr>
              <w:t xml:space="preserve"> e micróbios para utilização total de </w:t>
            </w:r>
            <w:r w:rsidRPr="009128B9">
              <w:rPr>
                <w:lang w:val="pt-BR"/>
              </w:rPr>
              <w:t xml:space="preserve">carbono na produção de biocombustíveis; </w:t>
            </w:r>
            <w:r w:rsidRPr="009128B9">
              <w:rPr>
                <w:lang w:val="pt-BR"/>
              </w:rPr>
              <w:br/>
              <w:t>US 2021/0214756 A1</w:t>
            </w:r>
          </w:p>
        </w:tc>
        <w:tc>
          <w:tcPr>
            <w:tcW w:w="1559" w:type="dxa"/>
            <w:vAlign w:val="center"/>
          </w:tcPr>
          <w:p w14:paraId="2221A15E" w14:textId="3F9B49D5" w:rsidR="009128B9" w:rsidRDefault="009128B9" w:rsidP="00805FBE">
            <w:pPr>
              <w:pStyle w:val="TCTableBody"/>
              <w:rPr>
                <w:lang w:val="pt-BR"/>
              </w:rPr>
            </w:pPr>
            <w:r w:rsidRPr="009128B9">
              <w:rPr>
                <w:lang w:val="pt-BR"/>
              </w:rPr>
              <w:t>Bactérias</w:t>
            </w:r>
            <w:r w:rsidRPr="009128B9">
              <w:rPr>
                <w:i/>
                <w:iCs/>
                <w:lang w:val="pt-BR"/>
              </w:rPr>
              <w:t xml:space="preserve"> </w:t>
            </w:r>
            <w:proofErr w:type="spellStart"/>
            <w:r w:rsidRPr="009128B9">
              <w:rPr>
                <w:i/>
                <w:iCs/>
                <w:lang w:val="pt-BR"/>
              </w:rPr>
              <w:t>Rhodococcus</w:t>
            </w:r>
            <w:proofErr w:type="spellEnd"/>
            <w:r w:rsidRPr="009128B9">
              <w:rPr>
                <w:i/>
                <w:iCs/>
                <w:lang w:val="pt-BR"/>
              </w:rPr>
              <w:t xml:space="preserve"> </w:t>
            </w:r>
            <w:proofErr w:type="spellStart"/>
            <w:r w:rsidRPr="009128B9">
              <w:rPr>
                <w:i/>
                <w:iCs/>
                <w:lang w:val="pt-BR"/>
              </w:rPr>
              <w:t>opacus</w:t>
            </w:r>
            <w:proofErr w:type="spellEnd"/>
            <w:r w:rsidRPr="009128B9">
              <w:rPr>
                <w:i/>
                <w:iCs/>
                <w:lang w:val="pt-BR"/>
              </w:rPr>
              <w:t xml:space="preserve"> e </w:t>
            </w:r>
            <w:proofErr w:type="spellStart"/>
            <w:r w:rsidRPr="009128B9">
              <w:rPr>
                <w:i/>
                <w:iCs/>
                <w:lang w:val="pt-BR"/>
              </w:rPr>
              <w:t>E</w:t>
            </w:r>
            <w:proofErr w:type="spellEnd"/>
            <w:r w:rsidRPr="009128B9">
              <w:rPr>
                <w:i/>
                <w:iCs/>
                <w:lang w:val="pt-BR"/>
              </w:rPr>
              <w:t>. coli</w:t>
            </w:r>
          </w:p>
        </w:tc>
        <w:tc>
          <w:tcPr>
            <w:tcW w:w="1559" w:type="dxa"/>
            <w:vAlign w:val="center"/>
          </w:tcPr>
          <w:p w14:paraId="7F386737" w14:textId="5C999CD9" w:rsidR="009128B9" w:rsidRDefault="009128B9" w:rsidP="00805FBE">
            <w:pPr>
              <w:pStyle w:val="TCTableBody"/>
              <w:rPr>
                <w:lang w:val="pt-BR"/>
              </w:rPr>
            </w:pPr>
            <w:r w:rsidRPr="009128B9">
              <w:rPr>
                <w:lang w:val="pt-BR"/>
              </w:rPr>
              <w:t>Geração de Biocombustíveis em escala industrial</w:t>
            </w:r>
          </w:p>
        </w:tc>
      </w:tr>
      <w:tr w:rsidR="009128B9" w:rsidRPr="00072C7A" w14:paraId="17223D0B" w14:textId="77777777" w:rsidTr="00CA12F1">
        <w:trPr>
          <w:trHeight w:val="1933"/>
        </w:trPr>
        <w:tc>
          <w:tcPr>
            <w:tcW w:w="1555" w:type="dxa"/>
            <w:tcBorders>
              <w:bottom w:val="single" w:sz="6" w:space="0" w:color="auto"/>
            </w:tcBorders>
            <w:vAlign w:val="center"/>
          </w:tcPr>
          <w:p w14:paraId="2222D7A3" w14:textId="616C5D9E" w:rsidR="009128B9" w:rsidRDefault="009128B9" w:rsidP="00805FBE">
            <w:pPr>
              <w:pStyle w:val="TCTableBody"/>
              <w:rPr>
                <w:lang w:val="pt-BR"/>
              </w:rPr>
            </w:pPr>
            <w:r w:rsidRPr="009128B9">
              <w:rPr>
                <w:lang w:val="pt-BR"/>
              </w:rPr>
              <w:t>Processo químico e biológico para captura e conversão de Dióxido de Carbono em compostos orgânicos; BR 122021009680-5 B1</w:t>
            </w:r>
          </w:p>
        </w:tc>
        <w:tc>
          <w:tcPr>
            <w:tcW w:w="1559" w:type="dxa"/>
            <w:tcBorders>
              <w:bottom w:val="single" w:sz="6" w:space="0" w:color="auto"/>
            </w:tcBorders>
            <w:vAlign w:val="center"/>
          </w:tcPr>
          <w:p w14:paraId="2DB74894" w14:textId="2F298456" w:rsidR="009128B9" w:rsidRDefault="009128B9" w:rsidP="00805FBE">
            <w:pPr>
              <w:pStyle w:val="TCTableBody"/>
              <w:rPr>
                <w:lang w:val="pt-BR"/>
              </w:rPr>
            </w:pPr>
            <w:r w:rsidRPr="009128B9">
              <w:rPr>
                <w:lang w:val="pt-BR"/>
              </w:rPr>
              <w:t xml:space="preserve">Biocatalisadores </w:t>
            </w:r>
            <w:proofErr w:type="spellStart"/>
            <w:r w:rsidRPr="009128B9">
              <w:rPr>
                <w:lang w:val="pt-BR"/>
              </w:rPr>
              <w:t>quimioautotróficos</w:t>
            </w:r>
            <w:proofErr w:type="spellEnd"/>
            <w:r w:rsidRPr="009128B9">
              <w:rPr>
                <w:lang w:val="pt-BR"/>
              </w:rPr>
              <w:t xml:space="preserve"> tais como: a</w:t>
            </w:r>
            <w:r w:rsidRPr="009128B9">
              <w:rPr>
                <w:i/>
                <w:iCs/>
                <w:lang w:val="pt-BR"/>
              </w:rPr>
              <w:t xml:space="preserve"> </w:t>
            </w:r>
            <w:proofErr w:type="spellStart"/>
            <w:r w:rsidRPr="009128B9">
              <w:rPr>
                <w:i/>
                <w:iCs/>
                <w:lang w:val="pt-BR"/>
              </w:rPr>
              <w:t>Thiobacillus</w:t>
            </w:r>
            <w:proofErr w:type="spellEnd"/>
            <w:r w:rsidRPr="009128B9">
              <w:rPr>
                <w:i/>
                <w:iCs/>
                <w:lang w:val="pt-BR"/>
              </w:rPr>
              <w:t xml:space="preserve"> </w:t>
            </w:r>
            <w:proofErr w:type="spellStart"/>
            <w:r w:rsidRPr="009128B9">
              <w:rPr>
                <w:i/>
                <w:iCs/>
                <w:lang w:val="pt-BR"/>
              </w:rPr>
              <w:t>ferrooxidans</w:t>
            </w:r>
            <w:proofErr w:type="spellEnd"/>
            <w:r w:rsidRPr="009128B9">
              <w:rPr>
                <w:i/>
                <w:iCs/>
                <w:lang w:val="pt-BR"/>
              </w:rPr>
              <w:t xml:space="preserve"> </w:t>
            </w:r>
            <w:r w:rsidRPr="009128B9">
              <w:rPr>
                <w:lang w:val="pt-BR"/>
              </w:rPr>
              <w:t>e</w:t>
            </w:r>
            <w:r w:rsidRPr="009128B9">
              <w:rPr>
                <w:i/>
                <w:iCs/>
                <w:lang w:val="pt-BR"/>
              </w:rPr>
              <w:t xml:space="preserve"> </w:t>
            </w:r>
            <w:proofErr w:type="spellStart"/>
            <w:r w:rsidRPr="009128B9">
              <w:rPr>
                <w:i/>
                <w:iCs/>
                <w:lang w:val="pt-BR"/>
              </w:rPr>
              <w:t>Sulfolobus</w:t>
            </w:r>
            <w:proofErr w:type="spellEnd"/>
            <w:r w:rsidRPr="009128B9">
              <w:rPr>
                <w:i/>
                <w:iCs/>
                <w:lang w:val="pt-BR"/>
              </w:rPr>
              <w:t xml:space="preserve"> </w:t>
            </w:r>
            <w:proofErr w:type="spellStart"/>
            <w:r w:rsidRPr="009128B9">
              <w:rPr>
                <w:i/>
                <w:iCs/>
                <w:lang w:val="pt-BR"/>
              </w:rPr>
              <w:t>sp</w:t>
            </w:r>
            <w:proofErr w:type="spellEnd"/>
          </w:p>
        </w:tc>
        <w:tc>
          <w:tcPr>
            <w:tcW w:w="1559" w:type="dxa"/>
            <w:tcBorders>
              <w:bottom w:val="single" w:sz="6" w:space="0" w:color="auto"/>
            </w:tcBorders>
            <w:vAlign w:val="center"/>
          </w:tcPr>
          <w:p w14:paraId="6B6830BA" w14:textId="606FFE22" w:rsidR="009128B9" w:rsidRDefault="009128B9" w:rsidP="00805FBE">
            <w:pPr>
              <w:pStyle w:val="TCTableBody"/>
              <w:rPr>
                <w:lang w:val="pt-BR"/>
              </w:rPr>
            </w:pPr>
            <w:r w:rsidRPr="009128B9">
              <w:rPr>
                <w:lang w:val="pt-BR"/>
              </w:rPr>
              <w:t>Aplicação para captura de CO</w:t>
            </w:r>
            <w:r w:rsidRPr="00993064">
              <w:rPr>
                <w:vertAlign w:val="subscript"/>
                <w:lang w:val="pt-BR"/>
              </w:rPr>
              <w:t>2</w:t>
            </w:r>
            <w:r w:rsidRPr="009128B9">
              <w:rPr>
                <w:lang w:val="pt-BR"/>
              </w:rPr>
              <w:t xml:space="preserve"> e a fixação de microrganismos para a produção desses compostos orgânicos</w:t>
            </w:r>
          </w:p>
        </w:tc>
      </w:tr>
    </w:tbl>
    <w:p w14:paraId="06A3D48B" w14:textId="1939C054" w:rsidR="009128B9" w:rsidRDefault="00E22D5F" w:rsidP="00CD36F8">
      <w:pPr>
        <w:pStyle w:val="TAMainText"/>
        <w:ind w:firstLine="187"/>
        <w:rPr>
          <w:rFonts w:ascii="Times New Roman" w:hAnsi="Times New Roman"/>
          <w:lang w:val="pt-BR"/>
        </w:rPr>
      </w:pPr>
      <w:r>
        <w:rPr>
          <w:rFonts w:ascii="Times New Roman" w:hAnsi="Times New Roman"/>
          <w:lang w:val="pt-BR"/>
        </w:rPr>
        <w:tab/>
      </w:r>
    </w:p>
    <w:p w14:paraId="63092EA4" w14:textId="724F4030" w:rsidR="001953D0" w:rsidRPr="00993064" w:rsidRDefault="00993064" w:rsidP="001953D0">
      <w:pPr>
        <w:pStyle w:val="TAMainText"/>
        <w:ind w:firstLine="187"/>
        <w:rPr>
          <w:rFonts w:ascii="Times New Roman" w:hAnsi="Times New Roman"/>
          <w:lang w:val="pt-BR"/>
        </w:rPr>
      </w:pPr>
      <w:r w:rsidRPr="00993064">
        <w:rPr>
          <w:rFonts w:ascii="Times New Roman" w:hAnsi="Times New Roman"/>
          <w:lang w:val="pt-BR"/>
        </w:rPr>
        <w:t>Dentre as pesquisas nessa área</w:t>
      </w:r>
      <w:r>
        <w:rPr>
          <w:rFonts w:ascii="Times New Roman" w:hAnsi="Times New Roman"/>
          <w:lang w:val="pt-BR"/>
        </w:rPr>
        <w:t>,</w:t>
      </w:r>
      <w:r w:rsidRPr="00993064">
        <w:rPr>
          <w:rFonts w:ascii="Times New Roman" w:hAnsi="Times New Roman"/>
          <w:lang w:val="pt-BR"/>
        </w:rPr>
        <w:t xml:space="preserve"> observa-se algumas das lacunas para biocatalisadores na produção de bioenergia, dentre elas se tem a seleção de biocatalisadores adequados, nota-se que existem muitas opções de biocatalisadores disponíveis, mas nem todos são adequados para a produção de bioenergia. A seleção do biocatalisador correto é crucial para maximizar a eficiência do processo de produção de bioenergia.</w:t>
      </w:r>
    </w:p>
    <w:p w14:paraId="51F936A4" w14:textId="0BC6BC6B" w:rsidR="00993064" w:rsidRPr="00993064" w:rsidRDefault="00993064" w:rsidP="00993064">
      <w:pPr>
        <w:pStyle w:val="TAMainText"/>
        <w:ind w:firstLine="187"/>
        <w:rPr>
          <w:rFonts w:ascii="Times New Roman" w:hAnsi="Times New Roman"/>
          <w:lang w:val="pt-BR"/>
        </w:rPr>
      </w:pPr>
      <w:r w:rsidRPr="00993064">
        <w:rPr>
          <w:rFonts w:ascii="Times New Roman" w:hAnsi="Times New Roman"/>
          <w:lang w:val="pt-BR"/>
        </w:rPr>
        <w:t>Outro ponto é a estabilidade dos biocatalisadores, muitos biocatalisadores são sensíveis às condições ambientais, como temperatura, pH e concentração de substratos, o que pode levar a perda de atividade enzimática e redução na eficiência do processo. Frente a isso, o custo de produção: a produção de biocatalisadores em larga escala pode ser cara, o que pode limitar sua aplicação comercial na produção de bioenergia.</w:t>
      </w:r>
    </w:p>
    <w:p w14:paraId="55585965" w14:textId="442ECCCD" w:rsidR="00993064" w:rsidRDefault="00993064" w:rsidP="00993064">
      <w:pPr>
        <w:pStyle w:val="TAMainText"/>
        <w:ind w:firstLine="187"/>
        <w:rPr>
          <w:rFonts w:ascii="Times New Roman" w:hAnsi="Times New Roman"/>
          <w:lang w:val="pt-BR"/>
        </w:rPr>
      </w:pPr>
      <w:r w:rsidRPr="00993064">
        <w:rPr>
          <w:rFonts w:ascii="Times New Roman" w:hAnsi="Times New Roman"/>
          <w:lang w:val="pt-BR"/>
        </w:rPr>
        <w:t>Ademais a transferência de tecnologia para a produção de biocatalisadores pode ser um desafio, especialmente em países em desenvolvimento, onde a infraestrutura e o conhecimento técnico são limitados. Além dos estudos possuírem um TRL (</w:t>
      </w:r>
      <w:r w:rsidRPr="00993064">
        <w:rPr>
          <w:rFonts w:ascii="Times New Roman" w:hAnsi="Times New Roman"/>
          <w:i/>
          <w:lang w:val="pt-BR"/>
        </w:rPr>
        <w:t xml:space="preserve">Technology </w:t>
      </w:r>
      <w:proofErr w:type="spellStart"/>
      <w:r w:rsidRPr="00993064">
        <w:rPr>
          <w:rFonts w:ascii="Times New Roman" w:hAnsi="Times New Roman"/>
          <w:i/>
          <w:lang w:val="pt-BR"/>
        </w:rPr>
        <w:t>Readiness</w:t>
      </w:r>
      <w:proofErr w:type="spellEnd"/>
      <w:r w:rsidRPr="00993064">
        <w:rPr>
          <w:rFonts w:ascii="Times New Roman" w:hAnsi="Times New Roman"/>
          <w:i/>
          <w:lang w:val="pt-BR"/>
        </w:rPr>
        <w:t xml:space="preserve"> </w:t>
      </w:r>
      <w:proofErr w:type="spellStart"/>
      <w:r w:rsidRPr="00993064">
        <w:rPr>
          <w:rFonts w:ascii="Times New Roman" w:hAnsi="Times New Roman"/>
          <w:i/>
          <w:lang w:val="pt-BR"/>
        </w:rPr>
        <w:t>Level</w:t>
      </w:r>
      <w:proofErr w:type="spellEnd"/>
      <w:r w:rsidRPr="00993064">
        <w:rPr>
          <w:rFonts w:ascii="Times New Roman" w:hAnsi="Times New Roman"/>
          <w:lang w:val="pt-BR"/>
        </w:rPr>
        <w:t>) em estágio 3-4, onde a tecnologia está sendo validada em ambiente laboratorial e se aproxima da demonstração em ambiente controlada, precisando de estudos que avancem para uma escala industrial. E por fim, regulamentação e segurança para o uso de biocatalisadores na produção de bioenergia pode variar de país para país e pode ser um obstáculo para a aplicação comercial dessas tecnologias. Além disso, a segurança do uso de biocatalisadores precisa ser avaliada para minimizar riscos à saúde humana e ambiental.</w:t>
      </w:r>
    </w:p>
    <w:p w14:paraId="02A55FD7" w14:textId="019E5533" w:rsidR="00E85EC6" w:rsidRDefault="00CD36F8" w:rsidP="00CD36F8">
      <w:pPr>
        <w:pStyle w:val="TAMainText"/>
        <w:ind w:firstLine="187"/>
        <w:rPr>
          <w:rFonts w:ascii="Times New Roman" w:hAnsi="Times New Roman"/>
          <w:lang w:val="pt-BR"/>
        </w:rPr>
      </w:pPr>
      <w:r w:rsidRPr="007556CC">
        <w:rPr>
          <w:rFonts w:ascii="Times New Roman" w:hAnsi="Times New Roman"/>
          <w:lang w:val="pt-BR"/>
        </w:rPr>
        <w:t xml:space="preserve">No entanto, ainda existem desafios para a pesquisa, como a busca por uma produção </w:t>
      </w:r>
      <w:r w:rsidR="00E85EC6">
        <w:rPr>
          <w:rFonts w:ascii="Times New Roman" w:hAnsi="Times New Roman"/>
          <w:lang w:val="pt-BR"/>
        </w:rPr>
        <w:t xml:space="preserve">ainda mais eficientes ao avanço dos biocatalisadores, levando a processos mais eficientes com maior rendimento e menor custo. Otimizando dessa forma processos e reutilizando resíduos e subprodutos que seriam destinados a descartes contribuindo para uma redução de resíduos e diminuição da dependência de fontes não renováveis de energia. (5,6) </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lastRenderedPageBreak/>
        <w:t>Conclusões</w:t>
      </w:r>
    </w:p>
    <w:p w14:paraId="4A70FE93" w14:textId="6C2BFB94" w:rsidR="00EA4E1B" w:rsidRPr="001F25B2" w:rsidRDefault="00CD36F8" w:rsidP="00EA4E1B">
      <w:pPr>
        <w:pStyle w:val="TAMainText"/>
        <w:ind w:firstLine="187"/>
        <w:rPr>
          <w:rFonts w:ascii="Times New Roman" w:hAnsi="Times New Roman"/>
          <w:lang w:val="pt-BR"/>
        </w:rPr>
      </w:pPr>
      <w:r w:rsidRPr="00CD36F8">
        <w:rPr>
          <w:rFonts w:ascii="Times New Roman" w:hAnsi="Times New Roman"/>
          <w:lang w:val="pt-BR"/>
        </w:rPr>
        <w:t xml:space="preserve">A utilização de biocatalisadores na produção de </w:t>
      </w:r>
      <w:r w:rsidR="0088470C">
        <w:rPr>
          <w:rFonts w:ascii="Times New Roman" w:hAnsi="Times New Roman"/>
          <w:lang w:val="pt-BR"/>
        </w:rPr>
        <w:t xml:space="preserve">energia </w:t>
      </w:r>
      <w:r w:rsidRPr="00CD36F8">
        <w:rPr>
          <w:rFonts w:ascii="Times New Roman" w:hAnsi="Times New Roman"/>
          <w:lang w:val="pt-BR"/>
        </w:rPr>
        <w:t xml:space="preserve">gera melhorias na qualidade do </w:t>
      </w:r>
      <w:r w:rsidR="00C670EB" w:rsidRPr="00CD36F8">
        <w:rPr>
          <w:rFonts w:ascii="Times New Roman" w:hAnsi="Times New Roman"/>
          <w:lang w:val="pt-BR"/>
        </w:rPr>
        <w:t>produto</w:t>
      </w:r>
      <w:r w:rsidRPr="00CD36F8">
        <w:rPr>
          <w:rFonts w:ascii="Times New Roman" w:hAnsi="Times New Roman"/>
          <w:lang w:val="pt-BR"/>
        </w:rPr>
        <w:t>, reduz o consumo de energia</w:t>
      </w:r>
      <w:r w:rsidR="00E85EC6">
        <w:rPr>
          <w:rFonts w:ascii="Times New Roman" w:hAnsi="Times New Roman"/>
          <w:lang w:val="pt-BR"/>
        </w:rPr>
        <w:t xml:space="preserve"> </w:t>
      </w:r>
      <w:r w:rsidRPr="00CD36F8">
        <w:rPr>
          <w:rFonts w:ascii="Times New Roman" w:hAnsi="Times New Roman"/>
          <w:lang w:val="pt-BR"/>
        </w:rPr>
        <w:t>e</w:t>
      </w:r>
      <w:r w:rsidR="00E85EC6">
        <w:rPr>
          <w:rFonts w:ascii="Times New Roman" w:hAnsi="Times New Roman"/>
          <w:lang w:val="pt-BR"/>
        </w:rPr>
        <w:t xml:space="preserve"> é considerado</w:t>
      </w:r>
      <w:r w:rsidRPr="00CD36F8">
        <w:rPr>
          <w:rFonts w:ascii="Times New Roman" w:hAnsi="Times New Roman"/>
          <w:lang w:val="pt-BR"/>
        </w:rPr>
        <w:t xml:space="preserve"> </w:t>
      </w:r>
      <w:r w:rsidR="0088470C">
        <w:rPr>
          <w:rFonts w:ascii="Times New Roman" w:hAnsi="Times New Roman"/>
          <w:lang w:val="pt-BR"/>
        </w:rPr>
        <w:t>um grande potencial para reaproveitamento</w:t>
      </w:r>
      <w:r w:rsidRPr="00CD36F8">
        <w:rPr>
          <w:rFonts w:ascii="Times New Roman" w:hAnsi="Times New Roman"/>
          <w:lang w:val="pt-BR"/>
        </w:rPr>
        <w:t xml:space="preserve"> de resíduos, tornando o processo mais sustentável, porém a sua utilização</w:t>
      </w:r>
      <w:r w:rsidR="00E85EC6">
        <w:rPr>
          <w:rFonts w:ascii="Times New Roman" w:hAnsi="Times New Roman"/>
          <w:lang w:val="pt-BR"/>
        </w:rPr>
        <w:t xml:space="preserve"> ainda compõe de diversos desafios para a otimização de processos e redução de descartes biológicos industriais, que ainda é</w:t>
      </w:r>
      <w:r w:rsidRPr="00CD36F8">
        <w:rPr>
          <w:rFonts w:ascii="Times New Roman" w:hAnsi="Times New Roman"/>
          <w:lang w:val="pt-BR"/>
        </w:rPr>
        <w:t xml:space="preserve"> ainda é limitada devido aos altos custos para a aplicação em escala </w:t>
      </w:r>
      <w:proofErr w:type="spellStart"/>
      <w:r w:rsidRPr="00CD36F8">
        <w:rPr>
          <w:rFonts w:ascii="Times New Roman" w:hAnsi="Times New Roman"/>
          <w:lang w:val="pt-BR"/>
        </w:rPr>
        <w:t>industrial</w:t>
      </w:r>
      <w:r w:rsidR="00C70F53">
        <w:rPr>
          <w:rFonts w:ascii="Times New Roman" w:hAnsi="Times New Roman"/>
          <w:lang w:val="pt-BR"/>
        </w:rPr>
        <w:t>.</w:t>
      </w:r>
      <w:r w:rsidRPr="00CD36F8">
        <w:rPr>
          <w:rFonts w:ascii="Times New Roman" w:hAnsi="Times New Roman"/>
          <w:lang w:val="pt-BR"/>
        </w:rPr>
        <w:t>Desta</w:t>
      </w:r>
      <w:proofErr w:type="spellEnd"/>
      <w:r w:rsidRPr="00CD36F8">
        <w:rPr>
          <w:rFonts w:ascii="Times New Roman" w:hAnsi="Times New Roman"/>
          <w:lang w:val="pt-BR"/>
        </w:rPr>
        <w:t xml:space="preserve"> forma, o levantamento de dados e mapeamento dos principais detentores da tecnologia de patentes e inovações de biocatalisadores associados à bioenergia pode auxiliar no desenvolvimento e aprimoramento de novas tecnologias nessa área.</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27CE5375" w:rsidR="00EA4E1B" w:rsidRPr="001F25B2" w:rsidRDefault="00CD36F8" w:rsidP="00EA4E1B">
      <w:pPr>
        <w:pStyle w:val="TAMainText"/>
        <w:rPr>
          <w:rFonts w:ascii="Times New Roman" w:hAnsi="Times New Roman"/>
          <w:lang w:val="pt-BR"/>
        </w:rPr>
      </w:pPr>
      <w:r w:rsidRPr="00CD36F8">
        <w:rPr>
          <w:rFonts w:ascii="Times New Roman" w:hAnsi="Times New Roman"/>
          <w:lang w:val="pt-BR"/>
        </w:rPr>
        <w:t xml:space="preserve">Agradecimentos ao SENAI CIMATEC e PRH 27.1 pela ANP (Agência Nacional de Petróleo) pelo apoio institucional. Além disso, aos orientadores Fernando Luiz Pellegrini Pessoa e Ana Lucia Barbosa pelo auxílio </w:t>
      </w:r>
      <w:r w:rsidR="00D161FA" w:rsidRPr="00CD36F8">
        <w:rPr>
          <w:rFonts w:ascii="Times New Roman" w:hAnsi="Times New Roman"/>
          <w:lang w:val="pt-BR"/>
        </w:rPr>
        <w:t>para a</w:t>
      </w:r>
      <w:r w:rsidRPr="00CD36F8">
        <w:rPr>
          <w:rFonts w:ascii="Times New Roman" w:hAnsi="Times New Roman"/>
          <w:lang w:val="pt-BR"/>
        </w:rPr>
        <w:t xml:space="preserve"> construção do projeto.</w:t>
      </w:r>
    </w:p>
    <w:p w14:paraId="158D911D" w14:textId="11019C39" w:rsidR="00EA4E1B" w:rsidRPr="00FC46C4" w:rsidRDefault="00EA4E1B" w:rsidP="00FC46C4">
      <w:pPr>
        <w:pStyle w:val="Ttulo2"/>
        <w:rPr>
          <w:rFonts w:ascii="Helvetica" w:hAnsi="Helvetica" w:cs="Helvetica"/>
          <w:sz w:val="24"/>
          <w:szCs w:val="24"/>
        </w:rPr>
      </w:pPr>
      <w:r w:rsidRPr="001F25B2">
        <w:rPr>
          <w:rFonts w:ascii="Helvetica" w:hAnsi="Helvetica" w:cs="Helvetica"/>
          <w:sz w:val="24"/>
          <w:szCs w:val="24"/>
        </w:rPr>
        <w:t>Referências</w:t>
      </w:r>
    </w:p>
    <w:p w14:paraId="7304CE4A" w14:textId="60A222E8" w:rsidR="00EA4E1B" w:rsidRPr="005748D9" w:rsidRDefault="00C670EB" w:rsidP="00EA4E1B">
      <w:pPr>
        <w:pStyle w:val="TAMainText"/>
        <w:numPr>
          <w:ilvl w:val="0"/>
          <w:numId w:val="1"/>
        </w:numPr>
        <w:rPr>
          <w:rFonts w:ascii="Times New Roman" w:hAnsi="Times New Roman"/>
          <w:lang w:val="pt-BR"/>
        </w:rPr>
      </w:pPr>
      <w:r w:rsidRPr="005748D9">
        <w:rPr>
          <w:rFonts w:ascii="Times New Roman" w:hAnsi="Times New Roman"/>
          <w:lang w:val="pt-BR"/>
        </w:rPr>
        <w:t xml:space="preserve">SANTOS, L. S.; MILAGRE, H. M. S.; MILAGRE, C. D. F. Catálise enzimática em reações multicomponentes. In: Ivaldo Itabaiana Jr e Rodrigo O. M. A. de Souza. (Org.). </w:t>
      </w:r>
      <w:proofErr w:type="spellStart"/>
      <w:r w:rsidRPr="005748D9">
        <w:rPr>
          <w:rFonts w:ascii="Times New Roman" w:hAnsi="Times New Roman"/>
          <w:lang w:val="pt-BR"/>
        </w:rPr>
        <w:t>Biocatálise</w:t>
      </w:r>
      <w:proofErr w:type="spellEnd"/>
      <w:r w:rsidRPr="005748D9">
        <w:rPr>
          <w:rFonts w:ascii="Times New Roman" w:hAnsi="Times New Roman"/>
          <w:lang w:val="pt-BR"/>
        </w:rPr>
        <w:t xml:space="preserve"> e Biotransformação - Fundamentos e Aplicações. 1ed. Rio de Janeiro: Revolução </w:t>
      </w:r>
      <w:proofErr w:type="spellStart"/>
      <w:r w:rsidRPr="005748D9">
        <w:rPr>
          <w:rFonts w:ascii="Times New Roman" w:hAnsi="Times New Roman"/>
          <w:lang w:val="pt-BR"/>
        </w:rPr>
        <w:t>eBook</w:t>
      </w:r>
      <w:proofErr w:type="spellEnd"/>
      <w:r w:rsidRPr="005748D9">
        <w:rPr>
          <w:rFonts w:ascii="Times New Roman" w:hAnsi="Times New Roman"/>
          <w:lang w:val="pt-BR"/>
        </w:rPr>
        <w:t xml:space="preserve">, </w:t>
      </w:r>
      <w:r w:rsidRPr="005748D9">
        <w:rPr>
          <w:rFonts w:ascii="Times New Roman" w:hAnsi="Times New Roman"/>
          <w:b/>
          <w:bCs/>
          <w:lang w:val="pt-BR"/>
        </w:rPr>
        <w:t>2016</w:t>
      </w:r>
      <w:r w:rsidRPr="005748D9">
        <w:rPr>
          <w:rFonts w:ascii="Times New Roman" w:hAnsi="Times New Roman"/>
          <w:lang w:val="pt-BR"/>
        </w:rPr>
        <w:t>, v. 1, p. 1-36</w:t>
      </w:r>
      <w:r w:rsidR="00EA4E1B" w:rsidRPr="005748D9">
        <w:rPr>
          <w:rFonts w:ascii="Times New Roman" w:hAnsi="Times New Roman"/>
          <w:b/>
          <w:lang w:val="pt-BR"/>
        </w:rPr>
        <w:t xml:space="preserve"> </w:t>
      </w:r>
      <w:r w:rsidR="005748D9" w:rsidRPr="005748D9">
        <w:rPr>
          <w:rFonts w:ascii="Times New Roman" w:hAnsi="Times New Roman"/>
          <w:b/>
          <w:lang w:val="pt-BR"/>
        </w:rPr>
        <w:t xml:space="preserve"> </w:t>
      </w:r>
    </w:p>
    <w:p w14:paraId="0F7B8055" w14:textId="7AF4E16D" w:rsidR="00EA4E1B" w:rsidRPr="00637349" w:rsidRDefault="005748D9" w:rsidP="00EA4E1B">
      <w:pPr>
        <w:pStyle w:val="TAMainText"/>
        <w:numPr>
          <w:ilvl w:val="0"/>
          <w:numId w:val="1"/>
        </w:numPr>
        <w:rPr>
          <w:rFonts w:ascii="Times New Roman" w:hAnsi="Times New Roman"/>
          <w:lang w:val="pt-BR"/>
        </w:rPr>
      </w:pPr>
      <w:r w:rsidRPr="005748D9">
        <w:rPr>
          <w:rFonts w:ascii="Times New Roman" w:hAnsi="Times New Roman"/>
          <w:lang w:val="pt-BR"/>
        </w:rPr>
        <w:t xml:space="preserve">CASTRO, F. Princípios muito ativos. Agência FAPESP. 24 de </w:t>
      </w:r>
      <w:r w:rsidR="00B16F6D" w:rsidRPr="005748D9">
        <w:rPr>
          <w:rFonts w:ascii="Times New Roman" w:hAnsi="Times New Roman"/>
          <w:lang w:val="pt-BR"/>
        </w:rPr>
        <w:t>fevereiro</w:t>
      </w:r>
      <w:r w:rsidRPr="005748D9">
        <w:rPr>
          <w:rFonts w:ascii="Times New Roman" w:hAnsi="Times New Roman"/>
          <w:lang w:val="pt-BR"/>
        </w:rPr>
        <w:t xml:space="preserve"> de 2010. Disponível em &lt;https://agencia.fapesp.br/</w:t>
      </w:r>
      <w:proofErr w:type="spellStart"/>
      <w:r w:rsidRPr="005748D9">
        <w:rPr>
          <w:rFonts w:ascii="Times New Roman" w:hAnsi="Times New Roman"/>
          <w:lang w:val="pt-BR"/>
        </w:rPr>
        <w:t>principios</w:t>
      </w:r>
      <w:proofErr w:type="spellEnd"/>
      <w:r w:rsidRPr="005748D9">
        <w:rPr>
          <w:rFonts w:ascii="Times New Roman" w:hAnsi="Times New Roman"/>
          <w:lang w:val="pt-BR"/>
        </w:rPr>
        <w:t>-muito-ativos/11801/&gt;. Acesso em 02 de abril de 2023</w:t>
      </w:r>
      <w:r w:rsidR="00EA4E1B" w:rsidRPr="00637349">
        <w:rPr>
          <w:rFonts w:ascii="Times New Roman" w:hAnsi="Times New Roman"/>
          <w:lang w:val="pt-BR"/>
        </w:rPr>
        <w:t>.</w:t>
      </w:r>
    </w:p>
    <w:p w14:paraId="0FF6E9FD" w14:textId="0708D7E8" w:rsidR="00EA4E1B" w:rsidRPr="00E038AF" w:rsidRDefault="005748D9" w:rsidP="00EA4E1B">
      <w:pPr>
        <w:pStyle w:val="TAMainText"/>
        <w:numPr>
          <w:ilvl w:val="0"/>
          <w:numId w:val="1"/>
        </w:numPr>
        <w:rPr>
          <w:rFonts w:ascii="Times New Roman" w:hAnsi="Times New Roman"/>
        </w:rPr>
      </w:pPr>
      <w:proofErr w:type="gramStart"/>
      <w:r w:rsidRPr="00637349">
        <w:rPr>
          <w:rFonts w:ascii="Times New Roman" w:hAnsi="Times New Roman"/>
        </w:rPr>
        <w:t>MEREDITH,  M.</w:t>
      </w:r>
      <w:proofErr w:type="gramEnd"/>
      <w:r w:rsidRPr="00637349">
        <w:rPr>
          <w:rFonts w:ascii="Times New Roman" w:hAnsi="Times New Roman"/>
        </w:rPr>
        <w:t>  T.</w:t>
      </w:r>
      <w:proofErr w:type="gramStart"/>
      <w:r w:rsidRPr="00637349">
        <w:rPr>
          <w:rFonts w:ascii="Times New Roman" w:hAnsi="Times New Roman"/>
        </w:rPr>
        <w:t>;  MINTEER</w:t>
      </w:r>
      <w:proofErr w:type="gramEnd"/>
      <w:r w:rsidRPr="00637349">
        <w:rPr>
          <w:rFonts w:ascii="Times New Roman" w:hAnsi="Times New Roman"/>
        </w:rPr>
        <w:t xml:space="preserve">,  S.  D.  </w:t>
      </w:r>
      <w:proofErr w:type="gramStart"/>
      <w:r w:rsidRPr="00637349">
        <w:rPr>
          <w:rFonts w:ascii="Times New Roman" w:hAnsi="Times New Roman"/>
        </w:rPr>
        <w:t>Biofuel  Cells</w:t>
      </w:r>
      <w:proofErr w:type="gramEnd"/>
      <w:r w:rsidRPr="00637349">
        <w:rPr>
          <w:rFonts w:ascii="Times New Roman" w:hAnsi="Times New Roman"/>
        </w:rPr>
        <w:t xml:space="preserve">:  Enhanced  Enzymatic  </w:t>
      </w:r>
      <w:proofErr w:type="spellStart"/>
      <w:r w:rsidRPr="00637349">
        <w:rPr>
          <w:rFonts w:ascii="Times New Roman" w:hAnsi="Times New Roman"/>
        </w:rPr>
        <w:t>Bioelectrocatalysis</w:t>
      </w:r>
      <w:proofErr w:type="spellEnd"/>
      <w:r w:rsidRPr="00637349">
        <w:rPr>
          <w:rFonts w:ascii="Times New Roman" w:hAnsi="Times New Roman"/>
        </w:rPr>
        <w:t xml:space="preserve">. </w:t>
      </w:r>
      <w:r w:rsidRPr="005748D9">
        <w:rPr>
          <w:rFonts w:ascii="Times New Roman" w:hAnsi="Times New Roman"/>
          <w:lang w:val="pt-BR"/>
        </w:rPr>
        <w:t xml:space="preserve">Annual Review </w:t>
      </w:r>
      <w:proofErr w:type="spellStart"/>
      <w:r w:rsidRPr="005748D9">
        <w:rPr>
          <w:rFonts w:ascii="Times New Roman" w:hAnsi="Times New Roman"/>
          <w:lang w:val="pt-BR"/>
        </w:rPr>
        <w:t>of</w:t>
      </w:r>
      <w:proofErr w:type="spellEnd"/>
      <w:r w:rsidRPr="005748D9">
        <w:rPr>
          <w:rFonts w:ascii="Times New Roman" w:hAnsi="Times New Roman"/>
          <w:lang w:val="pt-BR"/>
        </w:rPr>
        <w:t xml:space="preserve"> </w:t>
      </w:r>
      <w:proofErr w:type="spellStart"/>
      <w:r w:rsidRPr="005748D9">
        <w:rPr>
          <w:rFonts w:ascii="Times New Roman" w:hAnsi="Times New Roman"/>
          <w:lang w:val="pt-BR"/>
        </w:rPr>
        <w:t>Analytical</w:t>
      </w:r>
      <w:proofErr w:type="spellEnd"/>
      <w:r w:rsidRPr="005748D9">
        <w:rPr>
          <w:rFonts w:ascii="Times New Roman" w:hAnsi="Times New Roman"/>
          <w:lang w:val="pt-BR"/>
        </w:rPr>
        <w:t xml:space="preserve"> </w:t>
      </w:r>
      <w:proofErr w:type="spellStart"/>
      <w:r w:rsidRPr="005748D9">
        <w:rPr>
          <w:rFonts w:ascii="Times New Roman" w:hAnsi="Times New Roman"/>
          <w:lang w:val="pt-BR"/>
        </w:rPr>
        <w:t>Chemistry</w:t>
      </w:r>
      <w:proofErr w:type="spellEnd"/>
      <w:r w:rsidRPr="005748D9">
        <w:rPr>
          <w:rFonts w:ascii="Times New Roman" w:hAnsi="Times New Roman"/>
          <w:lang w:val="pt-BR"/>
        </w:rPr>
        <w:t xml:space="preserve">, v. 5, n. 30, p. 157-179, 2012. </w:t>
      </w:r>
    </w:p>
    <w:p w14:paraId="7B81BC5F" w14:textId="740DA98E" w:rsidR="005748D9" w:rsidRPr="005748D9" w:rsidRDefault="005748D9" w:rsidP="00EA4E1B">
      <w:pPr>
        <w:pStyle w:val="TAMainText"/>
        <w:numPr>
          <w:ilvl w:val="0"/>
          <w:numId w:val="1"/>
        </w:numPr>
        <w:rPr>
          <w:rFonts w:ascii="Times New Roman" w:hAnsi="Times New Roman"/>
        </w:rPr>
      </w:pPr>
      <w:r w:rsidRPr="00637349">
        <w:rPr>
          <w:rFonts w:ascii="Times New Roman" w:hAnsi="Times New Roman"/>
        </w:rPr>
        <w:t>KINAST, J. A.; Tyson, K. S.; Final report NREL, Golden, CO, 2003, vol.1, p. 53.</w:t>
      </w:r>
    </w:p>
    <w:p w14:paraId="5440C5D3" w14:textId="32E03F5F" w:rsidR="005748D9" w:rsidRPr="00B16F6D" w:rsidRDefault="00B16F6D" w:rsidP="00EA4E1B">
      <w:pPr>
        <w:pStyle w:val="TAMainText"/>
        <w:numPr>
          <w:ilvl w:val="0"/>
          <w:numId w:val="1"/>
        </w:numPr>
        <w:rPr>
          <w:rFonts w:ascii="Times New Roman" w:hAnsi="Times New Roman"/>
        </w:rPr>
      </w:pPr>
      <w:r w:rsidRPr="00B16F6D">
        <w:rPr>
          <w:rFonts w:ascii="Times New Roman" w:hAnsi="Times New Roman"/>
          <w:lang w:val="pt-BR"/>
        </w:rPr>
        <w:t>VIEIRA, M.</w:t>
      </w:r>
      <w:r>
        <w:rPr>
          <w:rFonts w:ascii="Times New Roman" w:hAnsi="Times New Roman"/>
          <w:lang w:val="pt-BR"/>
        </w:rPr>
        <w:t xml:space="preserve"> </w:t>
      </w:r>
      <w:r w:rsidRPr="00B16F6D">
        <w:rPr>
          <w:rFonts w:ascii="Times New Roman" w:hAnsi="Times New Roman"/>
          <w:lang w:val="pt-BR"/>
        </w:rPr>
        <w:t>Produção de enzimas celulósicas, usando resíduos industriais e seu uso como biocatalisador na produção de biocombustíveis. Dissertação Mestrado, Engenharia Biológica, Universidade do Algarve, 2010.</w:t>
      </w:r>
    </w:p>
    <w:p w14:paraId="7F3E1D65" w14:textId="21FAC1F5" w:rsidR="00B16F6D" w:rsidRPr="00B16F6D" w:rsidRDefault="00B16F6D" w:rsidP="00EA4E1B">
      <w:pPr>
        <w:pStyle w:val="TAMainText"/>
        <w:numPr>
          <w:ilvl w:val="0"/>
          <w:numId w:val="1"/>
        </w:numPr>
        <w:rPr>
          <w:rFonts w:ascii="Times New Roman" w:hAnsi="Times New Roman"/>
        </w:rPr>
      </w:pPr>
      <w:r w:rsidRPr="00B16F6D">
        <w:rPr>
          <w:rFonts w:ascii="Times New Roman" w:hAnsi="Times New Roman"/>
          <w:lang w:val="pt-BR"/>
        </w:rPr>
        <w:t>NEGRI, F. et al. Ciência e Tecnologia frente à pandemia. Centro de Pesquisa em Ciência, Tecnologia e Sociedade, 2020. Disponível em &lt;https://www.ipea.gov.br/cts/pt/central-de-</w:t>
      </w:r>
      <w:r w:rsidR="009D358A">
        <w:rPr>
          <w:rFonts w:ascii="Times New Roman" w:hAnsi="Times New Roman"/>
          <w:lang w:val="pt-BR"/>
        </w:rPr>
        <w:br/>
      </w:r>
      <w:proofErr w:type="spellStart"/>
      <w:r w:rsidRPr="00B16F6D">
        <w:rPr>
          <w:rFonts w:ascii="Times New Roman" w:hAnsi="Times New Roman"/>
          <w:lang w:val="pt-BR"/>
        </w:rPr>
        <w:t>conteudo</w:t>
      </w:r>
      <w:proofErr w:type="spellEnd"/>
      <w:r w:rsidRPr="00B16F6D">
        <w:rPr>
          <w:rFonts w:ascii="Times New Roman" w:hAnsi="Times New Roman"/>
          <w:lang w:val="pt-BR"/>
        </w:rPr>
        <w:t>/artigos/artigos/182-corona&gt;. Acesso em 08 de abril de 2023.</w:t>
      </w:r>
    </w:p>
    <w:p w14:paraId="7157FC44" w14:textId="2AB50B0B" w:rsidR="00B16F6D" w:rsidRPr="00121ADB" w:rsidRDefault="00B16F6D" w:rsidP="00EA4E1B">
      <w:pPr>
        <w:pStyle w:val="TAMainText"/>
        <w:numPr>
          <w:ilvl w:val="0"/>
          <w:numId w:val="1"/>
        </w:numPr>
        <w:rPr>
          <w:rFonts w:ascii="Times New Roman" w:hAnsi="Times New Roman"/>
          <w:lang w:val="pt-BR"/>
        </w:rPr>
      </w:pPr>
      <w:r w:rsidRPr="00B16F6D">
        <w:rPr>
          <w:rFonts w:ascii="Times New Roman" w:hAnsi="Times New Roman"/>
          <w:lang w:val="pt-BR"/>
        </w:rPr>
        <w:t>MARQUES, F. FAPESP estimulou as atividades de pesquisa em 2021 enquanto a sociedade se recuperava da pandemia. Pesquisa Fapesp, 2022. Disponível em: &lt;https://revistapesquisa.fapesp.br/fapesp-estimulou-as-atividades-de-pesquisa-em-2021-enquanto-</w:t>
      </w:r>
      <w:r w:rsidRPr="00121ADB">
        <w:rPr>
          <w:rFonts w:ascii="Times New Roman" w:hAnsi="Times New Roman"/>
          <w:lang w:val="pt-BR"/>
        </w:rPr>
        <w:t>sociedade-se-recuperava-da-pandemia/&gt;. Acesso em 04 de abril de 2023.</w:t>
      </w:r>
    </w:p>
    <w:p w14:paraId="5E67EE60" w14:textId="77777777" w:rsidR="009D358A" w:rsidRPr="00121ADB" w:rsidRDefault="00226D9E" w:rsidP="009D358A">
      <w:pPr>
        <w:pStyle w:val="PargrafodaLista"/>
        <w:numPr>
          <w:ilvl w:val="0"/>
          <w:numId w:val="1"/>
        </w:numPr>
        <w:spacing w:after="0" w:line="240" w:lineRule="auto"/>
        <w:rPr>
          <w:rFonts w:ascii="Times" w:eastAsia="Times New Roman" w:hAnsi="Times" w:cs="Times New Roman"/>
          <w:i/>
          <w:sz w:val="20"/>
          <w:szCs w:val="20"/>
          <w:lang w:eastAsia="pt-BR"/>
        </w:rPr>
      </w:pPr>
      <w:r w:rsidRPr="00121ADB">
        <w:rPr>
          <w:rFonts w:ascii="Times New Roman" w:hAnsi="Times New Roman"/>
          <w:lang w:val="en-US"/>
        </w:rPr>
        <w:t xml:space="preserve">G. </w:t>
      </w:r>
      <w:proofErr w:type="spellStart"/>
      <w:r w:rsidRPr="00121ADB">
        <w:rPr>
          <w:rFonts w:ascii="Times New Roman" w:hAnsi="Times New Roman"/>
          <w:lang w:val="en-US"/>
        </w:rPr>
        <w:t>Stephanoopoulos</w:t>
      </w:r>
      <w:proofErr w:type="spellEnd"/>
      <w:r w:rsidR="00EA4E1B" w:rsidRPr="00121ADB">
        <w:rPr>
          <w:rFonts w:ascii="Times New Roman" w:hAnsi="Times New Roman"/>
          <w:lang w:val="en-US"/>
        </w:rPr>
        <w:t xml:space="preserve">, U.S. Patent </w:t>
      </w:r>
      <w:r w:rsidR="001446A0" w:rsidRPr="00121ADB">
        <w:rPr>
          <w:rFonts w:ascii="Times New Roman" w:hAnsi="Times New Roman"/>
          <w:lang w:val="en-US"/>
        </w:rPr>
        <w:t>0214756</w:t>
      </w:r>
      <w:r w:rsidR="00EA4E1B" w:rsidRPr="00121ADB">
        <w:rPr>
          <w:rFonts w:ascii="Times New Roman" w:hAnsi="Times New Roman"/>
          <w:lang w:val="en-US"/>
        </w:rPr>
        <w:t xml:space="preserve">, </w:t>
      </w:r>
      <w:r w:rsidR="001446A0" w:rsidRPr="00121ADB">
        <w:rPr>
          <w:rFonts w:ascii="Times New Roman" w:hAnsi="Times New Roman"/>
          <w:lang w:val="en-US"/>
        </w:rPr>
        <w:t>2021</w:t>
      </w:r>
      <w:r w:rsidR="00EA4E1B" w:rsidRPr="00121ADB">
        <w:rPr>
          <w:rFonts w:ascii="Times New Roman" w:hAnsi="Times New Roman"/>
          <w:lang w:val="en-US"/>
        </w:rPr>
        <w:t xml:space="preserve">; </w:t>
      </w:r>
      <w:r w:rsidR="00EA4E1B" w:rsidRPr="00121ADB">
        <w:rPr>
          <w:rFonts w:ascii="Times New Roman" w:hAnsi="Times New Roman"/>
          <w:i/>
          <w:lang w:val="en-US"/>
        </w:rPr>
        <w:t xml:space="preserve">Chem. </w:t>
      </w:r>
      <w:proofErr w:type="spellStart"/>
      <w:r w:rsidR="00EA4E1B" w:rsidRPr="00121ADB">
        <w:rPr>
          <w:rFonts w:ascii="Times New Roman" w:hAnsi="Times New Roman"/>
          <w:i/>
          <w:lang w:val="en-US"/>
        </w:rPr>
        <w:t>Abstr</w:t>
      </w:r>
      <w:proofErr w:type="spellEnd"/>
      <w:r w:rsidR="00EA4E1B" w:rsidRPr="00121ADB">
        <w:rPr>
          <w:rFonts w:ascii="Times New Roman" w:hAnsi="Times New Roman"/>
          <w:i/>
          <w:lang w:val="en-US"/>
        </w:rPr>
        <w:t>.</w:t>
      </w:r>
      <w:r w:rsidR="00EA4E1B" w:rsidRPr="00121ADB">
        <w:rPr>
          <w:rFonts w:ascii="Times New Roman" w:hAnsi="Times New Roman"/>
          <w:lang w:val="en-US"/>
        </w:rPr>
        <w:t xml:space="preserve"> </w:t>
      </w:r>
      <w:r w:rsidR="00957BD3" w:rsidRPr="00121ADB">
        <w:rPr>
          <w:rFonts w:ascii="Times New Roman" w:hAnsi="Times New Roman"/>
          <w:b/>
          <w:lang w:val="en-US"/>
        </w:rPr>
        <w:t>2021</w:t>
      </w:r>
      <w:r w:rsidR="00EA4E1B" w:rsidRPr="00121ADB">
        <w:rPr>
          <w:rFonts w:ascii="Times New Roman" w:hAnsi="Times New Roman"/>
          <w:lang w:val="en-US"/>
        </w:rPr>
        <w:t xml:space="preserve">, </w:t>
      </w:r>
      <w:r w:rsidR="00957BD3" w:rsidRPr="00121ADB">
        <w:rPr>
          <w:rFonts w:ascii="Times New Roman" w:hAnsi="Times New Roman"/>
          <w:i/>
          <w:lang w:val="en-US"/>
        </w:rPr>
        <w:t>17</w:t>
      </w:r>
      <w:r w:rsidR="00EA4E1B" w:rsidRPr="00121ADB">
        <w:rPr>
          <w:rFonts w:ascii="Times New Roman" w:hAnsi="Times New Roman"/>
          <w:lang w:val="en-US"/>
        </w:rPr>
        <w:t xml:space="preserve">, </w:t>
      </w:r>
      <w:r w:rsidR="00957BD3" w:rsidRPr="00121ADB">
        <w:rPr>
          <w:rFonts w:ascii="Times New Roman" w:hAnsi="Times New Roman"/>
          <w:lang w:val="en-US"/>
        </w:rPr>
        <w:t>682</w:t>
      </w:r>
      <w:r w:rsidR="00EA4E1B" w:rsidRPr="00121ADB">
        <w:rPr>
          <w:rFonts w:ascii="Times New Roman" w:hAnsi="Times New Roman"/>
          <w:lang w:val="en-US"/>
        </w:rPr>
        <w:t>.</w:t>
      </w:r>
    </w:p>
    <w:p w14:paraId="4DBF2AB0" w14:textId="3B370959" w:rsidR="009D358A" w:rsidRPr="00121ADB" w:rsidRDefault="00121ADB" w:rsidP="00121ADB">
      <w:pPr>
        <w:spacing w:after="0" w:line="240" w:lineRule="auto"/>
        <w:rPr>
          <w:rFonts w:ascii="Times" w:eastAsia="Times New Roman" w:hAnsi="Times" w:cs="Times New Roman"/>
          <w:i/>
          <w:sz w:val="20"/>
          <w:szCs w:val="20"/>
          <w:lang w:eastAsia="pt-BR"/>
        </w:rPr>
      </w:pPr>
      <w:r w:rsidRPr="00121ADB">
        <w:rPr>
          <w:rFonts w:ascii="Times" w:eastAsia="Times New Roman" w:hAnsi="Times" w:cs="Times New Roman"/>
          <w:i/>
          <w:sz w:val="20"/>
          <w:szCs w:val="20"/>
          <w:lang w:eastAsia="pt-BR"/>
        </w:rPr>
        <w:t>_______________________________________________</w:t>
      </w:r>
    </w:p>
    <w:p w14:paraId="496CDB60" w14:textId="729A6709" w:rsidR="009D358A" w:rsidRPr="00CC6F55" w:rsidRDefault="00121ADB" w:rsidP="009D358A">
      <w:pPr>
        <w:spacing w:after="0" w:line="240" w:lineRule="auto"/>
        <w:rPr>
          <w:rFonts w:ascii="Times" w:eastAsia="Times New Roman" w:hAnsi="Times" w:cs="Times New Roman"/>
          <w:iCs/>
          <w:sz w:val="20"/>
          <w:szCs w:val="20"/>
          <w:lang w:eastAsia="pt-BR"/>
        </w:rPr>
      </w:pPr>
      <w:r w:rsidRPr="00CC6F55">
        <w:rPr>
          <w:rFonts w:ascii="Times" w:eastAsia="Times New Roman" w:hAnsi="Times" w:cs="Times New Roman"/>
          <w:iCs/>
          <w:sz w:val="20"/>
          <w:szCs w:val="20"/>
          <w:lang w:eastAsia="pt-BR"/>
        </w:rPr>
        <w:t>²</w:t>
      </w:r>
      <w:r w:rsidR="009D358A" w:rsidRPr="00CC6F55">
        <w:rPr>
          <w:rFonts w:ascii="Times" w:eastAsia="Times New Roman" w:hAnsi="Times" w:cs="Times New Roman"/>
          <w:iCs/>
          <w:sz w:val="20"/>
          <w:szCs w:val="20"/>
          <w:lang w:eastAsia="pt-BR"/>
        </w:rPr>
        <w:t>SENAI CIMATEC, Programa de Pós-Graduação em Modelagem Computacional e Tecnologia Industrial</w:t>
      </w:r>
    </w:p>
    <w:p w14:paraId="5E4C6AD7" w14:textId="77777777" w:rsidR="00121ADB" w:rsidRPr="00CC6F55" w:rsidRDefault="00121ADB" w:rsidP="009D358A">
      <w:pPr>
        <w:spacing w:after="0" w:line="240" w:lineRule="auto"/>
        <w:rPr>
          <w:rFonts w:ascii="Times" w:eastAsia="Times New Roman" w:hAnsi="Times" w:cs="Times New Roman"/>
          <w:iCs/>
          <w:sz w:val="20"/>
          <w:szCs w:val="20"/>
          <w:lang w:eastAsia="pt-BR"/>
        </w:rPr>
      </w:pPr>
    </w:p>
    <w:p w14:paraId="7028BED3" w14:textId="3762A50D" w:rsidR="009D358A" w:rsidRPr="00CC6F55" w:rsidRDefault="009D358A" w:rsidP="009D358A">
      <w:pPr>
        <w:spacing w:after="0"/>
        <w:rPr>
          <w:rFonts w:ascii="Times" w:eastAsia="Times New Roman" w:hAnsi="Times" w:cs="Times New Roman"/>
          <w:iCs/>
          <w:sz w:val="20"/>
          <w:szCs w:val="20"/>
          <w:lang w:eastAsia="pt-BR"/>
        </w:rPr>
      </w:pPr>
      <w:r w:rsidRPr="00CC6F55">
        <w:rPr>
          <w:rFonts w:ascii="Times" w:eastAsia="Times New Roman" w:hAnsi="Times" w:cs="Times New Roman"/>
          <w:iCs/>
          <w:sz w:val="20"/>
          <w:szCs w:val="20"/>
          <w:vertAlign w:val="superscript"/>
          <w:lang w:eastAsia="pt-BR"/>
        </w:rPr>
        <w:t xml:space="preserve">3 </w:t>
      </w:r>
      <w:r w:rsidRPr="00CC6F55">
        <w:rPr>
          <w:rFonts w:ascii="Times" w:eastAsia="Times New Roman" w:hAnsi="Times" w:cs="Times New Roman"/>
          <w:iCs/>
          <w:sz w:val="20"/>
          <w:szCs w:val="20"/>
          <w:lang w:eastAsia="pt-BR"/>
        </w:rPr>
        <w:t>SENAI CIMATEC, Instituto SENAI de Tecnologia de</w:t>
      </w:r>
      <w:r w:rsidR="00121ADB" w:rsidRPr="00CC6F55">
        <w:rPr>
          <w:rFonts w:ascii="Times" w:eastAsia="Times New Roman" w:hAnsi="Times" w:cs="Times New Roman"/>
          <w:iCs/>
          <w:sz w:val="20"/>
          <w:szCs w:val="20"/>
          <w:lang w:eastAsia="pt-BR"/>
        </w:rPr>
        <w:t xml:space="preserve"> </w:t>
      </w:r>
      <w:r w:rsidRPr="00CC6F55">
        <w:rPr>
          <w:rFonts w:ascii="Times" w:eastAsia="Times New Roman" w:hAnsi="Times" w:cs="Times New Roman"/>
          <w:iCs/>
          <w:sz w:val="20"/>
          <w:szCs w:val="20"/>
          <w:lang w:eastAsia="pt-BR"/>
        </w:rPr>
        <w:t>Alimentos e Bebidas</w:t>
      </w:r>
    </w:p>
    <w:p w14:paraId="58716424" w14:textId="662D9365" w:rsidR="007B4B2B" w:rsidRPr="009D358A" w:rsidRDefault="007B4B2B" w:rsidP="009D358A">
      <w:pPr>
        <w:pStyle w:val="TAMainText"/>
        <w:rPr>
          <w:rFonts w:ascii="Times New Roman" w:hAnsi="Times New Roman"/>
          <w:lang w:val="pt-BR"/>
        </w:rPr>
      </w:pPr>
    </w:p>
    <w:sectPr w:rsidR="007B4B2B" w:rsidRPr="009D358A"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B43A" w14:textId="77777777" w:rsidR="00367185" w:rsidRDefault="00367185" w:rsidP="00EA4E1B">
      <w:pPr>
        <w:spacing w:after="0" w:line="240" w:lineRule="auto"/>
      </w:pPr>
      <w:r>
        <w:separator/>
      </w:r>
    </w:p>
  </w:endnote>
  <w:endnote w:type="continuationSeparator" w:id="0">
    <w:p w14:paraId="36D943E8" w14:textId="77777777" w:rsidR="00367185" w:rsidRDefault="00367185"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8CA4" w14:textId="77777777" w:rsidR="009D358A" w:rsidRDefault="009D35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CF71C" w14:textId="77777777" w:rsidR="00367185" w:rsidRDefault="00367185" w:rsidP="00EA4E1B">
      <w:pPr>
        <w:spacing w:after="0" w:line="240" w:lineRule="auto"/>
      </w:pPr>
      <w:r>
        <w:separator/>
      </w:r>
    </w:p>
  </w:footnote>
  <w:footnote w:type="continuationSeparator" w:id="0">
    <w:p w14:paraId="0F1D1151" w14:textId="77777777" w:rsidR="00367185" w:rsidRDefault="00367185"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80813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82B74"/>
    <w:rsid w:val="00091EA7"/>
    <w:rsid w:val="000F1D24"/>
    <w:rsid w:val="00114941"/>
    <w:rsid w:val="00121ADB"/>
    <w:rsid w:val="001446A0"/>
    <w:rsid w:val="0016133E"/>
    <w:rsid w:val="001953D0"/>
    <w:rsid w:val="001D5980"/>
    <w:rsid w:val="001E58A9"/>
    <w:rsid w:val="001F25B2"/>
    <w:rsid w:val="00200513"/>
    <w:rsid w:val="00222230"/>
    <w:rsid w:val="00226D9E"/>
    <w:rsid w:val="002D6FA1"/>
    <w:rsid w:val="00340B1E"/>
    <w:rsid w:val="00367185"/>
    <w:rsid w:val="003A2425"/>
    <w:rsid w:val="00402F3E"/>
    <w:rsid w:val="00427C78"/>
    <w:rsid w:val="00496093"/>
    <w:rsid w:val="004F3F42"/>
    <w:rsid w:val="0052112E"/>
    <w:rsid w:val="005748D9"/>
    <w:rsid w:val="005C2775"/>
    <w:rsid w:val="005D65EB"/>
    <w:rsid w:val="00604718"/>
    <w:rsid w:val="00631113"/>
    <w:rsid w:val="00637349"/>
    <w:rsid w:val="00652815"/>
    <w:rsid w:val="006B6934"/>
    <w:rsid w:val="006F599B"/>
    <w:rsid w:val="00720C32"/>
    <w:rsid w:val="007556CC"/>
    <w:rsid w:val="007670A0"/>
    <w:rsid w:val="00781685"/>
    <w:rsid w:val="007B4B2B"/>
    <w:rsid w:val="0081101D"/>
    <w:rsid w:val="00827C55"/>
    <w:rsid w:val="00866822"/>
    <w:rsid w:val="0088470C"/>
    <w:rsid w:val="008B1683"/>
    <w:rsid w:val="008C1B30"/>
    <w:rsid w:val="00900B0D"/>
    <w:rsid w:val="009128B9"/>
    <w:rsid w:val="00957BD3"/>
    <w:rsid w:val="009656D9"/>
    <w:rsid w:val="00993064"/>
    <w:rsid w:val="009C7CB0"/>
    <w:rsid w:val="009D358A"/>
    <w:rsid w:val="009F65BC"/>
    <w:rsid w:val="00A17D85"/>
    <w:rsid w:val="00A53866"/>
    <w:rsid w:val="00A87CE8"/>
    <w:rsid w:val="00AA182E"/>
    <w:rsid w:val="00AF0400"/>
    <w:rsid w:val="00B16F6D"/>
    <w:rsid w:val="00B30AEB"/>
    <w:rsid w:val="00B50538"/>
    <w:rsid w:val="00BA6A6E"/>
    <w:rsid w:val="00BB2C25"/>
    <w:rsid w:val="00BB7FE1"/>
    <w:rsid w:val="00C000D9"/>
    <w:rsid w:val="00C04CBB"/>
    <w:rsid w:val="00C56ECA"/>
    <w:rsid w:val="00C670EB"/>
    <w:rsid w:val="00C70F53"/>
    <w:rsid w:val="00C71E1E"/>
    <w:rsid w:val="00C76E54"/>
    <w:rsid w:val="00CA12F1"/>
    <w:rsid w:val="00CC6F55"/>
    <w:rsid w:val="00CD36F8"/>
    <w:rsid w:val="00CE7F5F"/>
    <w:rsid w:val="00D161FA"/>
    <w:rsid w:val="00D96135"/>
    <w:rsid w:val="00E02A21"/>
    <w:rsid w:val="00E038AF"/>
    <w:rsid w:val="00E22D5F"/>
    <w:rsid w:val="00E85EC6"/>
    <w:rsid w:val="00EA2AC6"/>
    <w:rsid w:val="00EA4E1B"/>
    <w:rsid w:val="00F11609"/>
    <w:rsid w:val="00F27F3E"/>
    <w:rsid w:val="00F30661"/>
    <w:rsid w:val="00F917DA"/>
    <w:rsid w:val="00FC46C4"/>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C71E1E"/>
    <w:rPr>
      <w:color w:val="0563C1" w:themeColor="hyperlink"/>
      <w:u w:val="single"/>
    </w:rPr>
  </w:style>
  <w:style w:type="character" w:customStyle="1" w:styleId="MenoPendente1">
    <w:name w:val="Menção Pendente1"/>
    <w:basedOn w:val="Fontepargpadro"/>
    <w:uiPriority w:val="99"/>
    <w:semiHidden/>
    <w:unhideWhenUsed/>
    <w:rsid w:val="00C71E1E"/>
    <w:rPr>
      <w:color w:val="605E5C"/>
      <w:shd w:val="clear" w:color="auto" w:fill="E1DFDD"/>
    </w:rPr>
  </w:style>
  <w:style w:type="character" w:styleId="Refdecomentrio">
    <w:name w:val="annotation reference"/>
    <w:basedOn w:val="Fontepargpadro"/>
    <w:uiPriority w:val="99"/>
    <w:semiHidden/>
    <w:unhideWhenUsed/>
    <w:rsid w:val="00827C55"/>
    <w:rPr>
      <w:sz w:val="16"/>
      <w:szCs w:val="16"/>
    </w:rPr>
  </w:style>
  <w:style w:type="paragraph" w:styleId="Textodecomentrio">
    <w:name w:val="annotation text"/>
    <w:basedOn w:val="Normal"/>
    <w:link w:val="TextodecomentrioChar"/>
    <w:uiPriority w:val="99"/>
    <w:semiHidden/>
    <w:unhideWhenUsed/>
    <w:rsid w:val="00827C5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7C55"/>
    <w:rPr>
      <w:sz w:val="20"/>
      <w:szCs w:val="20"/>
    </w:rPr>
  </w:style>
  <w:style w:type="paragraph" w:styleId="Assuntodocomentrio">
    <w:name w:val="annotation subject"/>
    <w:basedOn w:val="Textodecomentrio"/>
    <w:next w:val="Textodecomentrio"/>
    <w:link w:val="AssuntodocomentrioChar"/>
    <w:uiPriority w:val="99"/>
    <w:semiHidden/>
    <w:unhideWhenUsed/>
    <w:rsid w:val="00827C55"/>
    <w:rPr>
      <w:b/>
      <w:bCs/>
    </w:rPr>
  </w:style>
  <w:style w:type="character" w:customStyle="1" w:styleId="AssuntodocomentrioChar">
    <w:name w:val="Assunto do comentário Char"/>
    <w:basedOn w:val="TextodecomentrioChar"/>
    <w:link w:val="Assuntodocomentrio"/>
    <w:uiPriority w:val="99"/>
    <w:semiHidden/>
    <w:rsid w:val="00827C55"/>
    <w:rPr>
      <w:b/>
      <w:bCs/>
      <w:sz w:val="20"/>
      <w:szCs w:val="20"/>
    </w:rPr>
  </w:style>
  <w:style w:type="paragraph" w:styleId="PargrafodaLista">
    <w:name w:val="List Paragraph"/>
    <w:basedOn w:val="Normal"/>
    <w:uiPriority w:val="34"/>
    <w:qFormat/>
    <w:rsid w:val="009D3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8525">
      <w:bodyDiv w:val="1"/>
      <w:marLeft w:val="0"/>
      <w:marRight w:val="0"/>
      <w:marTop w:val="0"/>
      <w:marBottom w:val="0"/>
      <w:divBdr>
        <w:top w:val="none" w:sz="0" w:space="0" w:color="auto"/>
        <w:left w:val="none" w:sz="0" w:space="0" w:color="auto"/>
        <w:bottom w:val="none" w:sz="0" w:space="0" w:color="auto"/>
        <w:right w:val="none" w:sz="0" w:space="0" w:color="auto"/>
      </w:divBdr>
    </w:div>
    <w:div w:id="547375072">
      <w:bodyDiv w:val="1"/>
      <w:marLeft w:val="0"/>
      <w:marRight w:val="0"/>
      <w:marTop w:val="0"/>
      <w:marBottom w:val="0"/>
      <w:divBdr>
        <w:top w:val="none" w:sz="0" w:space="0" w:color="auto"/>
        <w:left w:val="none" w:sz="0" w:space="0" w:color="auto"/>
        <w:bottom w:val="none" w:sz="0" w:space="0" w:color="auto"/>
        <w:right w:val="none" w:sz="0" w:space="0" w:color="auto"/>
      </w:divBdr>
    </w:div>
    <w:div w:id="581573634">
      <w:bodyDiv w:val="1"/>
      <w:marLeft w:val="0"/>
      <w:marRight w:val="0"/>
      <w:marTop w:val="0"/>
      <w:marBottom w:val="0"/>
      <w:divBdr>
        <w:top w:val="none" w:sz="0" w:space="0" w:color="auto"/>
        <w:left w:val="none" w:sz="0" w:space="0" w:color="auto"/>
        <w:bottom w:val="none" w:sz="0" w:space="0" w:color="auto"/>
        <w:right w:val="none" w:sz="0" w:space="0" w:color="auto"/>
      </w:divBdr>
    </w:div>
    <w:div w:id="652758830">
      <w:bodyDiv w:val="1"/>
      <w:marLeft w:val="0"/>
      <w:marRight w:val="0"/>
      <w:marTop w:val="0"/>
      <w:marBottom w:val="0"/>
      <w:divBdr>
        <w:top w:val="none" w:sz="0" w:space="0" w:color="auto"/>
        <w:left w:val="none" w:sz="0" w:space="0" w:color="auto"/>
        <w:bottom w:val="none" w:sz="0" w:space="0" w:color="auto"/>
        <w:right w:val="none" w:sz="0" w:space="0" w:color="auto"/>
      </w:divBdr>
    </w:div>
    <w:div w:id="720444936">
      <w:bodyDiv w:val="1"/>
      <w:marLeft w:val="0"/>
      <w:marRight w:val="0"/>
      <w:marTop w:val="0"/>
      <w:marBottom w:val="0"/>
      <w:divBdr>
        <w:top w:val="none" w:sz="0" w:space="0" w:color="auto"/>
        <w:left w:val="none" w:sz="0" w:space="0" w:color="auto"/>
        <w:bottom w:val="none" w:sz="0" w:space="0" w:color="auto"/>
        <w:right w:val="none" w:sz="0" w:space="0" w:color="auto"/>
      </w:divBdr>
    </w:div>
    <w:div w:id="148735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zelle385@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496BD-9F14-4132-B9B8-F6AF1C56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2317</Words>
  <Characters>12512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Gisele Góes</cp:lastModifiedBy>
  <cp:revision>18</cp:revision>
  <cp:lastPrinted>2023-04-14T15:04:00Z</cp:lastPrinted>
  <dcterms:created xsi:type="dcterms:W3CDTF">2023-04-17T11:40:00Z</dcterms:created>
  <dcterms:modified xsi:type="dcterms:W3CDTF">2023-04-21T18:17:00Z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