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26CEE" w14:textId="4B25CA65" w:rsidR="00AF0400" w:rsidRDefault="00866822" w:rsidP="00EA4E1B">
      <w:pPr>
        <w:pStyle w:val="BATitle"/>
        <w:spacing w:before="0" w:after="0" w:line="240" w:lineRule="auto"/>
        <w:ind w:right="0"/>
        <w:jc w:val="both"/>
        <w:rPr>
          <w:sz w:val="32"/>
          <w:lang w:val="pt-BR"/>
        </w:rPr>
      </w:pPr>
      <w:bookmarkStart w:id="0" w:name="_Hlk1324517"/>
      <w:bookmarkStart w:id="1" w:name="_Hlk1324670"/>
      <w:r>
        <w:rPr>
          <w:noProof/>
          <w:sz w:val="32"/>
          <w:lang w:val="pt-BR"/>
        </w:rPr>
        <mc:AlternateContent>
          <mc:Choice Requires="wps">
            <w:drawing>
              <wp:anchor distT="0" distB="0" distL="114300" distR="114300" simplePos="0" relativeHeight="251660287" behindDoc="0" locked="0" layoutInCell="1" allowOverlap="1" wp14:anchorId="03D250BF" wp14:editId="58068133">
                <wp:simplePos x="0" y="0"/>
                <wp:positionH relativeFrom="margin">
                  <wp:align>left</wp:align>
                </wp:positionH>
                <wp:positionV relativeFrom="paragraph">
                  <wp:posOffset>1905</wp:posOffset>
                </wp:positionV>
                <wp:extent cx="6736080" cy="152400"/>
                <wp:effectExtent l="0" t="0" r="7620" b="0"/>
                <wp:wrapNone/>
                <wp:docPr id="3" name="Retâ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36080" cy="152400"/>
                        </a:xfrm>
                        <a:prstGeom prst="rect">
                          <a:avLst/>
                        </a:prstGeom>
                        <a:solidFill>
                          <a:srgbClr val="9A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908E8C" w14:textId="15CF8DB7" w:rsidR="00866822" w:rsidRPr="008C1B30" w:rsidRDefault="00866822" w:rsidP="00866822">
                            <w:pPr>
                              <w:pStyle w:val="BDAbstract"/>
                              <w:spacing w:before="0" w:after="0" w:line="240" w:lineRule="auto"/>
                              <w:rPr>
                                <w:rFonts w:cs="Helvetica"/>
                                <w:bCs/>
                                <w:sz w:val="20"/>
                                <w:lang w:val="pt-BR"/>
                              </w:rPr>
                            </w:pPr>
                          </w:p>
                          <w:p w14:paraId="72B95604" w14:textId="77777777" w:rsidR="00866822" w:rsidRPr="008C1B30" w:rsidRDefault="00866822" w:rsidP="00866822">
                            <w:pPr>
                              <w:pStyle w:val="SemEspaamen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D250BF" id="Retângulo 3" o:spid="_x0000_s1026" style="position:absolute;left:0;text-align:left;margin-left:0;margin-top:.15pt;width:530.4pt;height:12pt;z-index:251660287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" fillcolor="#9a0000" stroked="f" strokeweight="1pt">
                <v:textbox inset=",0,,0">
                  <w:txbxContent>
                    <w:p w14:paraId="06908E8C" w14:textId="15CF8DB7" w:rsidR="00866822" w:rsidRPr="008C1B30" w:rsidRDefault="00866822" w:rsidP="00866822">
                      <w:pPr>
                        <w:pStyle w:val="BDAbstract"/>
                        <w:spacing w:before="0" w:after="0" w:line="240" w:lineRule="auto"/>
                        <w:rPr>
                          <w:rFonts w:cs="Helvetica"/>
                          <w:bCs/>
                          <w:sz w:val="20"/>
                          <w:lang w:val="pt-BR"/>
                        </w:rPr>
                      </w:pPr>
                    </w:p>
                    <w:p w14:paraId="72B95604" w14:textId="77777777" w:rsidR="00866822" w:rsidRPr="008C1B30" w:rsidRDefault="00866822" w:rsidP="00866822">
                      <w:pPr>
                        <w:pStyle w:val="SemEspaamento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50D20D3" w14:textId="2B6C7A54" w:rsidR="00EA4E1B" w:rsidRDefault="003C5560" w:rsidP="00EA4E1B">
      <w:pPr>
        <w:pStyle w:val="BATitle"/>
        <w:spacing w:before="0" w:after="0" w:line="240" w:lineRule="auto"/>
        <w:ind w:right="0"/>
        <w:jc w:val="both"/>
        <w:rPr>
          <w:sz w:val="32"/>
          <w:lang w:val="pt-BR"/>
        </w:rPr>
      </w:pPr>
      <w:proofErr w:type="spellStart"/>
      <w:r>
        <w:rPr>
          <w:sz w:val="32"/>
          <w:lang w:val="pt-BR"/>
        </w:rPr>
        <w:t>Hidrofo</w:t>
      </w:r>
      <w:r w:rsidR="00280FD8">
        <w:rPr>
          <w:sz w:val="32"/>
          <w:lang w:val="pt-BR"/>
        </w:rPr>
        <w:t>r</w:t>
      </w:r>
      <w:r>
        <w:rPr>
          <w:sz w:val="32"/>
          <w:lang w:val="pt-BR"/>
        </w:rPr>
        <w:t>milação</w:t>
      </w:r>
      <w:proofErr w:type="spellEnd"/>
      <w:r w:rsidR="00270091" w:rsidRPr="00981C5A">
        <w:rPr>
          <w:sz w:val="32"/>
          <w:lang w:val="pt-BR"/>
        </w:rPr>
        <w:t>/</w:t>
      </w:r>
      <w:proofErr w:type="spellStart"/>
      <w:r w:rsidR="00AA0060">
        <w:rPr>
          <w:sz w:val="32"/>
          <w:lang w:val="pt-BR"/>
        </w:rPr>
        <w:t>a</w:t>
      </w:r>
      <w:r>
        <w:rPr>
          <w:sz w:val="32"/>
          <w:lang w:val="pt-BR"/>
        </w:rPr>
        <w:t>cetalização</w:t>
      </w:r>
      <w:proofErr w:type="spellEnd"/>
      <w:r w:rsidR="00B025EC">
        <w:rPr>
          <w:sz w:val="32"/>
          <w:lang w:val="pt-BR"/>
        </w:rPr>
        <w:t xml:space="preserve"> do </w:t>
      </w:r>
      <w:proofErr w:type="spellStart"/>
      <w:r w:rsidR="00B025EC">
        <w:rPr>
          <w:sz w:val="32"/>
          <w:lang w:val="pt-BR"/>
        </w:rPr>
        <w:t>limoneno</w:t>
      </w:r>
      <w:proofErr w:type="spellEnd"/>
      <w:r w:rsidR="00270091">
        <w:rPr>
          <w:sz w:val="32"/>
          <w:lang w:val="pt-BR"/>
        </w:rPr>
        <w:t xml:space="preserve">: </w:t>
      </w:r>
      <w:r w:rsidR="00E35978">
        <w:rPr>
          <w:sz w:val="32"/>
          <w:lang w:val="pt-BR"/>
        </w:rPr>
        <w:t>u</w:t>
      </w:r>
      <w:r w:rsidR="00270091">
        <w:rPr>
          <w:sz w:val="32"/>
          <w:lang w:val="pt-BR"/>
        </w:rPr>
        <w:t>ma rota para</w:t>
      </w:r>
      <w:r>
        <w:rPr>
          <w:sz w:val="32"/>
          <w:lang w:val="pt-BR"/>
        </w:rPr>
        <w:t xml:space="preserve"> potenciais aditivo</w:t>
      </w:r>
      <w:r w:rsidR="00270091">
        <w:rPr>
          <w:sz w:val="32"/>
          <w:lang w:val="pt-BR"/>
        </w:rPr>
        <w:t>s</w:t>
      </w:r>
      <w:r>
        <w:rPr>
          <w:sz w:val="32"/>
          <w:lang w:val="pt-BR"/>
        </w:rPr>
        <w:t xml:space="preserve"> </w:t>
      </w:r>
      <w:r w:rsidR="00270091">
        <w:rPr>
          <w:sz w:val="32"/>
          <w:lang w:val="pt-BR"/>
        </w:rPr>
        <w:t>d</w:t>
      </w:r>
      <w:r>
        <w:rPr>
          <w:sz w:val="32"/>
          <w:lang w:val="pt-BR"/>
        </w:rPr>
        <w:t xml:space="preserve">o óleo </w:t>
      </w:r>
      <w:r w:rsidR="00134437">
        <w:rPr>
          <w:sz w:val="32"/>
          <w:lang w:val="pt-BR"/>
        </w:rPr>
        <w:t>(</w:t>
      </w:r>
      <w:proofErr w:type="spellStart"/>
      <w:r w:rsidR="00134437">
        <w:rPr>
          <w:sz w:val="32"/>
          <w:lang w:val="pt-BR"/>
        </w:rPr>
        <w:t>bio</w:t>
      </w:r>
      <w:proofErr w:type="spellEnd"/>
      <w:r w:rsidR="00134437">
        <w:rPr>
          <w:sz w:val="32"/>
          <w:lang w:val="pt-BR"/>
        </w:rPr>
        <w:t>)</w:t>
      </w:r>
      <w:r>
        <w:rPr>
          <w:sz w:val="32"/>
          <w:lang w:val="pt-BR"/>
        </w:rPr>
        <w:t>diesel</w:t>
      </w:r>
    </w:p>
    <w:p w14:paraId="76A43270" w14:textId="77777777" w:rsidR="003C5560" w:rsidRDefault="003C5560" w:rsidP="00EA4E1B">
      <w:pPr>
        <w:pStyle w:val="BBAuthorName"/>
        <w:spacing w:after="120"/>
        <w:ind w:right="0"/>
        <w:jc w:val="both"/>
        <w:rPr>
          <w:rFonts w:ascii="Times New Roman" w:hAnsi="Times New Roman"/>
          <w:sz w:val="20"/>
          <w:lang w:val="pt-BR"/>
        </w:rPr>
      </w:pPr>
    </w:p>
    <w:p w14:paraId="18735493" w14:textId="23F51891" w:rsidR="00EA4E1B" w:rsidRPr="001F25B2" w:rsidRDefault="003C5560" w:rsidP="00EA4E1B">
      <w:pPr>
        <w:pStyle w:val="BBAuthorName"/>
        <w:spacing w:after="120"/>
        <w:ind w:right="0"/>
        <w:jc w:val="both"/>
        <w:rPr>
          <w:rFonts w:ascii="Times New Roman" w:hAnsi="Times New Roman"/>
          <w:sz w:val="20"/>
          <w:lang w:val="pt-BR"/>
        </w:rPr>
      </w:pPr>
      <w:r>
        <w:rPr>
          <w:rFonts w:ascii="Times New Roman" w:hAnsi="Times New Roman"/>
          <w:sz w:val="20"/>
          <w:lang w:val="pt-BR"/>
        </w:rPr>
        <w:t>Rayssa L. V. Mota</w:t>
      </w:r>
      <w:r w:rsidR="00FE0529" w:rsidRPr="00FE0529">
        <w:rPr>
          <w:rFonts w:ascii="Times New Roman" w:hAnsi="Times New Roman"/>
          <w:sz w:val="20"/>
          <w:vertAlign w:val="superscript"/>
          <w:lang w:val="pt-BR"/>
        </w:rPr>
        <w:t>1</w:t>
      </w:r>
      <w:r>
        <w:rPr>
          <w:rFonts w:ascii="Times New Roman" w:hAnsi="Times New Roman"/>
          <w:sz w:val="20"/>
          <w:lang w:val="pt-BR"/>
        </w:rPr>
        <w:t xml:space="preserve">, </w:t>
      </w:r>
      <w:r w:rsidR="00970AC0">
        <w:rPr>
          <w:rFonts w:ascii="Times New Roman" w:hAnsi="Times New Roman"/>
          <w:sz w:val="20"/>
          <w:lang w:val="pt-BR"/>
        </w:rPr>
        <w:t>F</w:t>
      </w:r>
      <w:r w:rsidR="00270091">
        <w:rPr>
          <w:rFonts w:ascii="Times New Roman" w:hAnsi="Times New Roman"/>
          <w:sz w:val="20"/>
          <w:lang w:val="pt-BR"/>
        </w:rPr>
        <w:t>á</w:t>
      </w:r>
      <w:r w:rsidR="00970AC0">
        <w:rPr>
          <w:rFonts w:ascii="Times New Roman" w:hAnsi="Times New Roman"/>
          <w:sz w:val="20"/>
          <w:lang w:val="pt-BR"/>
        </w:rPr>
        <w:t xml:space="preserve">bio G. </w:t>
      </w:r>
      <w:proofErr w:type="spellStart"/>
      <w:r w:rsidR="00970AC0">
        <w:rPr>
          <w:rFonts w:ascii="Times New Roman" w:hAnsi="Times New Roman"/>
          <w:sz w:val="20"/>
          <w:lang w:val="pt-BR"/>
        </w:rPr>
        <w:t>Delolo</w:t>
      </w:r>
      <w:proofErr w:type="spellEnd"/>
      <w:r w:rsidR="00970AC0">
        <w:rPr>
          <w:rFonts w:ascii="Times New Roman" w:hAnsi="Times New Roman"/>
          <w:sz w:val="20"/>
          <w:lang w:val="pt-BR"/>
        </w:rPr>
        <w:t xml:space="preserve">, Yasmin A. de Carvalho, Eduardo N. dos Santos, </w:t>
      </w:r>
      <w:r w:rsidR="00280FD8" w:rsidRPr="00280FD8">
        <w:rPr>
          <w:rFonts w:ascii="Times New Roman" w:hAnsi="Times New Roman"/>
          <w:sz w:val="20"/>
          <w:lang w:val="pt-BR"/>
        </w:rPr>
        <w:t>Elena V</w:t>
      </w:r>
      <w:r w:rsidR="00280FD8">
        <w:rPr>
          <w:rFonts w:ascii="Times New Roman" w:hAnsi="Times New Roman"/>
          <w:sz w:val="20"/>
          <w:lang w:val="pt-BR"/>
        </w:rPr>
        <w:t xml:space="preserve">. </w:t>
      </w:r>
      <w:proofErr w:type="spellStart"/>
      <w:r w:rsidR="00270091">
        <w:rPr>
          <w:rFonts w:ascii="Times New Roman" w:hAnsi="Times New Roman"/>
          <w:sz w:val="20"/>
          <w:lang w:val="pt-BR"/>
        </w:rPr>
        <w:t>G</w:t>
      </w:r>
      <w:r w:rsidR="00270091" w:rsidRPr="00270091">
        <w:rPr>
          <w:rFonts w:ascii="Times New Roman" w:hAnsi="Times New Roman"/>
          <w:sz w:val="20"/>
          <w:lang w:val="pt-BR"/>
        </w:rPr>
        <w:t>usevskaya</w:t>
      </w:r>
      <w:proofErr w:type="spellEnd"/>
    </w:p>
    <w:p w14:paraId="7BA73093" w14:textId="6EA8C409" w:rsidR="00FE0529" w:rsidRDefault="00FE0529" w:rsidP="00970AC0">
      <w:pPr>
        <w:pStyle w:val="BCAuthorAddress"/>
        <w:spacing w:after="0"/>
        <w:ind w:right="0"/>
        <w:jc w:val="both"/>
        <w:rPr>
          <w:lang w:val="pt-BR"/>
        </w:rPr>
      </w:pPr>
      <w:r w:rsidRPr="00970AC0">
        <w:rPr>
          <w:vertAlign w:val="superscript"/>
          <w:lang w:val="pt-BR"/>
        </w:rPr>
        <w:t>1</w:t>
      </w:r>
      <w:r>
        <w:rPr>
          <w:lang w:val="pt-BR"/>
        </w:rPr>
        <w:t xml:space="preserve"> Departamento de Química da Universidade Federal de Minas Gerais</w:t>
      </w:r>
    </w:p>
    <w:p w14:paraId="1B1AA2DB" w14:textId="0EADB6A1" w:rsidR="00970AC0" w:rsidRPr="00970AC0" w:rsidRDefault="00C87E74" w:rsidP="00970AC0">
      <w:pPr>
        <w:rPr>
          <w:lang w:eastAsia="pt-BR"/>
        </w:rPr>
      </w:pPr>
      <w:r w:rsidRPr="000C230D">
        <w:rPr>
          <w:rFonts w:ascii="Times" w:hAnsi="Times" w:cs="Times"/>
          <w:i/>
          <w:iCs/>
          <w:sz w:val="20"/>
          <w:szCs w:val="20"/>
          <w:lang w:eastAsia="pt-BR"/>
        </w:rPr>
        <w:t xml:space="preserve">E-mail: </w:t>
      </w:r>
      <w:r w:rsidRPr="000C230D">
        <w:rPr>
          <w:rFonts w:ascii="Times" w:hAnsi="Times" w:cs="Times"/>
          <w:i/>
          <w:iCs/>
          <w:sz w:val="20"/>
          <w:szCs w:val="20"/>
        </w:rPr>
        <w:t>lrayssaloh@gmail.com</w:t>
      </w:r>
    </w:p>
    <w:bookmarkEnd w:id="0"/>
    <w:p w14:paraId="238E7EC1" w14:textId="5D4AB3B8" w:rsidR="00AF0400" w:rsidRDefault="00AF0400" w:rsidP="00EA4E1B">
      <w:pPr>
        <w:pStyle w:val="BDAbstract"/>
        <w:spacing w:before="0" w:after="0" w:line="240" w:lineRule="auto"/>
        <w:rPr>
          <w:rFonts w:ascii="Times New Roman" w:hAnsi="Times New Roman"/>
          <w:b w:val="0"/>
          <w:sz w:val="20"/>
          <w:lang w:val="pt-BR"/>
        </w:rPr>
      </w:pPr>
      <w:r>
        <w:rPr>
          <w:noProof/>
          <w:sz w:val="32"/>
          <w:lang w:val="pt-BR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7596F111" wp14:editId="005BA82F">
                <wp:simplePos x="0" y="0"/>
                <wp:positionH relativeFrom="margin">
                  <wp:posOffset>36195</wp:posOffset>
                </wp:positionH>
                <wp:positionV relativeFrom="paragraph">
                  <wp:posOffset>32385</wp:posOffset>
                </wp:positionV>
                <wp:extent cx="6774180" cy="160020"/>
                <wp:effectExtent l="0" t="0" r="7620" b="0"/>
                <wp:wrapNone/>
                <wp:docPr id="4" name="Retâ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74180" cy="160020"/>
                        </a:xfrm>
                        <a:prstGeom prst="rect">
                          <a:avLst/>
                        </a:prstGeom>
                        <a:solidFill>
                          <a:srgbClr val="9A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0F07B3" w14:textId="1BDA4CA3" w:rsidR="008C1B30" w:rsidRPr="008C1B30" w:rsidRDefault="008C1B30" w:rsidP="008C1B30">
                            <w:pPr>
                              <w:pStyle w:val="BDAbstract"/>
                              <w:spacing w:before="0" w:after="0" w:line="240" w:lineRule="auto"/>
                              <w:jc w:val="center"/>
                              <w:rPr>
                                <w:rFonts w:cs="Helvetica"/>
                                <w:bCs/>
                                <w:sz w:val="20"/>
                                <w:lang w:val="pt-BR"/>
                              </w:rPr>
                            </w:pPr>
                            <w:r w:rsidRPr="008C1B30">
                              <w:rPr>
                                <w:rFonts w:cs="Helvetica"/>
                                <w:bCs/>
                                <w:sz w:val="20"/>
                                <w:lang w:val="pt-BR"/>
                              </w:rPr>
                              <w:t xml:space="preserve">Resumo/Abstract </w:t>
                            </w:r>
                          </w:p>
                          <w:p w14:paraId="7638102C" w14:textId="04A73240" w:rsidR="00AF0400" w:rsidRPr="008C1B30" w:rsidRDefault="00AF0400" w:rsidP="008C1B30">
                            <w:pPr>
                              <w:pStyle w:val="SemEspaamen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96F111" id="Retângulo 4" o:spid="_x0000_s1027" style="position:absolute;left:0;text-align:left;margin-left:2.85pt;margin-top:2.55pt;width:533.4pt;height:12.6pt;z-index: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" fillcolor="#9a0000" stroked="f" strokeweight="1pt">
                <v:textbox inset=",0,,0">
                  <w:txbxContent>
                    <w:p w14:paraId="3D0F07B3" w14:textId="1BDA4CA3" w:rsidR="008C1B30" w:rsidRPr="008C1B30" w:rsidRDefault="008C1B30" w:rsidP="008C1B30">
                      <w:pPr>
                        <w:pStyle w:val="BDAbstract"/>
                        <w:spacing w:before="0" w:after="0" w:line="240" w:lineRule="auto"/>
                        <w:jc w:val="center"/>
                        <w:rPr>
                          <w:rFonts w:cs="Helvetica"/>
                          <w:bCs/>
                          <w:sz w:val="20"/>
                          <w:lang w:val="pt-BR"/>
                        </w:rPr>
                      </w:pPr>
                      <w:r w:rsidRPr="008C1B30">
                        <w:rPr>
                          <w:rFonts w:cs="Helvetica"/>
                          <w:bCs/>
                          <w:sz w:val="20"/>
                          <w:lang w:val="pt-BR"/>
                        </w:rPr>
                        <w:t xml:space="preserve">Resumo/Abstract </w:t>
                      </w:r>
                    </w:p>
                    <w:p w14:paraId="7638102C" w14:textId="04A73240" w:rsidR="00AF0400" w:rsidRPr="008C1B30" w:rsidRDefault="00AF0400" w:rsidP="008C1B30">
                      <w:pPr>
                        <w:pStyle w:val="SemEspaamento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A5DDA03" w14:textId="738EF898" w:rsidR="00AF0400" w:rsidRDefault="00AF0400" w:rsidP="00EA4E1B">
      <w:pPr>
        <w:pStyle w:val="BDAbstract"/>
        <w:spacing w:before="0" w:after="0" w:line="240" w:lineRule="auto"/>
        <w:rPr>
          <w:rFonts w:ascii="Times New Roman" w:hAnsi="Times New Roman"/>
          <w:b w:val="0"/>
          <w:sz w:val="20"/>
          <w:lang w:val="pt-BR"/>
        </w:rPr>
      </w:pPr>
    </w:p>
    <w:p w14:paraId="7CF01C92" w14:textId="1703AE14" w:rsidR="00D76A2B" w:rsidRDefault="00EA4E1B" w:rsidP="00EA4E1B">
      <w:pPr>
        <w:pStyle w:val="BDAbstract"/>
        <w:spacing w:before="0" w:after="0" w:line="240" w:lineRule="auto"/>
        <w:rPr>
          <w:rFonts w:ascii="Times New Roman" w:hAnsi="Times New Roman"/>
          <w:b w:val="0"/>
          <w:sz w:val="20"/>
          <w:lang w:val="pt-BR"/>
        </w:rPr>
      </w:pPr>
      <w:r>
        <w:rPr>
          <w:rFonts w:ascii="Times New Roman" w:hAnsi="Times New Roman"/>
          <w:b w:val="0"/>
          <w:sz w:val="20"/>
          <w:lang w:val="pt-BR"/>
        </w:rPr>
        <w:t xml:space="preserve">RESUMO </w:t>
      </w:r>
      <w:r w:rsidR="005E69AA">
        <w:rPr>
          <w:rFonts w:ascii="Times New Roman" w:hAnsi="Times New Roman"/>
          <w:b w:val="0"/>
          <w:sz w:val="20"/>
          <w:lang w:val="pt-BR"/>
        </w:rPr>
        <w:t>–</w:t>
      </w:r>
      <w:r>
        <w:rPr>
          <w:rFonts w:ascii="Times New Roman" w:hAnsi="Times New Roman"/>
          <w:b w:val="0"/>
          <w:sz w:val="20"/>
          <w:lang w:val="pt-BR"/>
        </w:rPr>
        <w:t xml:space="preserve"> </w:t>
      </w:r>
      <w:r w:rsidR="00775BFE">
        <w:rPr>
          <w:rFonts w:ascii="Times New Roman" w:hAnsi="Times New Roman"/>
          <w:b w:val="0"/>
          <w:sz w:val="20"/>
          <w:lang w:val="pt-BR"/>
        </w:rPr>
        <w:t xml:space="preserve">Um dos grandes desafios diante do impacto ambiental e econômico é a substituição de derivados do petróleo </w:t>
      </w:r>
      <w:r w:rsidR="00B001B6">
        <w:rPr>
          <w:rFonts w:ascii="Times New Roman" w:hAnsi="Times New Roman"/>
          <w:b w:val="0"/>
          <w:sz w:val="20"/>
          <w:lang w:val="pt-BR"/>
        </w:rPr>
        <w:t>por</w:t>
      </w:r>
      <w:r w:rsidR="00775BFE">
        <w:rPr>
          <w:rFonts w:ascii="Times New Roman" w:hAnsi="Times New Roman"/>
          <w:b w:val="0"/>
          <w:sz w:val="20"/>
          <w:lang w:val="pt-BR"/>
        </w:rPr>
        <w:t xml:space="preserve"> substâncias </w:t>
      </w:r>
      <w:proofErr w:type="spellStart"/>
      <w:r w:rsidR="00775BFE">
        <w:rPr>
          <w:rFonts w:ascii="Times New Roman" w:hAnsi="Times New Roman"/>
          <w:b w:val="0"/>
          <w:sz w:val="20"/>
          <w:lang w:val="pt-BR"/>
        </w:rPr>
        <w:t>biorrenováveis</w:t>
      </w:r>
      <w:proofErr w:type="spellEnd"/>
      <w:r w:rsidR="00775BFE">
        <w:rPr>
          <w:rFonts w:ascii="Times New Roman" w:hAnsi="Times New Roman"/>
          <w:b w:val="0"/>
          <w:sz w:val="20"/>
          <w:lang w:val="pt-BR"/>
        </w:rPr>
        <w:t xml:space="preserve">. Atualmente, a indústria automobilística </w:t>
      </w:r>
      <w:r w:rsidR="00C87E74">
        <w:rPr>
          <w:rFonts w:ascii="Times New Roman" w:hAnsi="Times New Roman"/>
          <w:b w:val="0"/>
          <w:sz w:val="20"/>
          <w:lang w:val="pt-BR"/>
        </w:rPr>
        <w:t>é</w:t>
      </w:r>
      <w:r w:rsidR="00775BFE">
        <w:rPr>
          <w:rFonts w:ascii="Times New Roman" w:hAnsi="Times New Roman"/>
          <w:b w:val="0"/>
          <w:sz w:val="20"/>
          <w:lang w:val="pt-BR"/>
        </w:rPr>
        <w:t xml:space="preserve"> altamente dependente dos produtos petroquímicos que apresentam um alto impacto ambiental. </w:t>
      </w:r>
      <w:r w:rsidR="004E5554">
        <w:rPr>
          <w:rFonts w:ascii="Times New Roman" w:hAnsi="Times New Roman"/>
          <w:b w:val="0"/>
          <w:sz w:val="20"/>
          <w:lang w:val="pt-BR"/>
        </w:rPr>
        <w:t xml:space="preserve">Neste trabalho foi estudado um processo </w:t>
      </w:r>
      <w:r w:rsidR="001B512C">
        <w:rPr>
          <w:rFonts w:ascii="Times New Roman" w:hAnsi="Times New Roman"/>
          <w:b w:val="0"/>
          <w:sz w:val="20"/>
          <w:lang w:val="pt-BR"/>
        </w:rPr>
        <w:t>tandem</w:t>
      </w:r>
      <w:r w:rsidR="004E5554">
        <w:rPr>
          <w:rFonts w:ascii="Times New Roman" w:hAnsi="Times New Roman"/>
          <w:b w:val="0"/>
          <w:sz w:val="20"/>
          <w:lang w:val="pt-BR"/>
        </w:rPr>
        <w:t xml:space="preserve"> </w:t>
      </w:r>
      <w:r w:rsidR="007F3219">
        <w:rPr>
          <w:rFonts w:ascii="Times New Roman" w:hAnsi="Times New Roman"/>
          <w:b w:val="0"/>
          <w:sz w:val="20"/>
          <w:lang w:val="pt-BR"/>
        </w:rPr>
        <w:t>“</w:t>
      </w:r>
      <w:proofErr w:type="spellStart"/>
      <w:r w:rsidR="007F3219">
        <w:rPr>
          <w:rFonts w:ascii="Times New Roman" w:hAnsi="Times New Roman"/>
          <w:b w:val="0"/>
          <w:sz w:val="20"/>
          <w:lang w:val="pt-BR"/>
        </w:rPr>
        <w:t>one-pot</w:t>
      </w:r>
      <w:proofErr w:type="spellEnd"/>
      <w:r w:rsidR="007F3219">
        <w:rPr>
          <w:rFonts w:ascii="Times New Roman" w:hAnsi="Times New Roman"/>
          <w:b w:val="0"/>
          <w:sz w:val="20"/>
          <w:lang w:val="pt-BR"/>
        </w:rPr>
        <w:t xml:space="preserve">” </w:t>
      </w:r>
      <w:r w:rsidR="004E5554">
        <w:rPr>
          <w:rFonts w:ascii="Times New Roman" w:hAnsi="Times New Roman"/>
          <w:b w:val="0"/>
          <w:sz w:val="20"/>
          <w:lang w:val="pt-BR"/>
        </w:rPr>
        <w:t xml:space="preserve">envolvendo as reações </w:t>
      </w:r>
      <w:r w:rsidR="00607E1D">
        <w:rPr>
          <w:rFonts w:ascii="Times New Roman" w:hAnsi="Times New Roman"/>
          <w:b w:val="0"/>
          <w:sz w:val="20"/>
          <w:lang w:val="pt-BR"/>
        </w:rPr>
        <w:t>de</w:t>
      </w:r>
      <w:r w:rsidR="004E5554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4E5554">
        <w:rPr>
          <w:rFonts w:ascii="Times New Roman" w:hAnsi="Times New Roman"/>
          <w:b w:val="0"/>
          <w:sz w:val="20"/>
          <w:lang w:val="pt-BR"/>
        </w:rPr>
        <w:t>hidroformilação</w:t>
      </w:r>
      <w:proofErr w:type="spellEnd"/>
      <w:r w:rsidR="005B0C6F">
        <w:rPr>
          <w:rFonts w:ascii="Times New Roman" w:hAnsi="Times New Roman"/>
          <w:b w:val="0"/>
          <w:sz w:val="20"/>
          <w:lang w:val="pt-BR"/>
        </w:rPr>
        <w:t xml:space="preserve"> e </w:t>
      </w:r>
      <w:proofErr w:type="spellStart"/>
      <w:r w:rsidR="004E5554" w:rsidRPr="00981C5A">
        <w:rPr>
          <w:rFonts w:ascii="Times New Roman" w:hAnsi="Times New Roman"/>
          <w:b w:val="0"/>
          <w:sz w:val="20"/>
          <w:lang w:val="pt-BR"/>
        </w:rPr>
        <w:t>acetaliza</w:t>
      </w:r>
      <w:r w:rsidR="004E5554">
        <w:rPr>
          <w:rFonts w:ascii="Times New Roman" w:hAnsi="Times New Roman"/>
          <w:b w:val="0"/>
          <w:sz w:val="20"/>
          <w:lang w:val="pt-BR"/>
        </w:rPr>
        <w:t>ção</w:t>
      </w:r>
      <w:proofErr w:type="spellEnd"/>
      <w:r w:rsidR="004E5554">
        <w:rPr>
          <w:rFonts w:ascii="Times New Roman" w:hAnsi="Times New Roman"/>
          <w:b w:val="0"/>
          <w:sz w:val="20"/>
          <w:lang w:val="pt-BR"/>
        </w:rPr>
        <w:t xml:space="preserve"> para a valorização do </w:t>
      </w:r>
      <w:proofErr w:type="spellStart"/>
      <w:r w:rsidR="004E5554">
        <w:rPr>
          <w:rFonts w:ascii="Times New Roman" w:hAnsi="Times New Roman"/>
          <w:b w:val="0"/>
          <w:sz w:val="20"/>
          <w:lang w:val="pt-BR"/>
        </w:rPr>
        <w:t>limoneno</w:t>
      </w:r>
      <w:proofErr w:type="spellEnd"/>
      <w:r w:rsidR="004E5554">
        <w:rPr>
          <w:rFonts w:ascii="Times New Roman" w:hAnsi="Times New Roman"/>
          <w:b w:val="0"/>
          <w:sz w:val="20"/>
          <w:lang w:val="pt-BR"/>
        </w:rPr>
        <w:t xml:space="preserve"> utilizando-se glicerol </w:t>
      </w:r>
      <w:r w:rsidR="007C56D4">
        <w:rPr>
          <w:rFonts w:ascii="Times New Roman" w:hAnsi="Times New Roman"/>
          <w:b w:val="0"/>
          <w:sz w:val="20"/>
          <w:lang w:val="pt-BR"/>
        </w:rPr>
        <w:t xml:space="preserve">como reagente </w:t>
      </w:r>
      <w:r w:rsidR="003E4BC9">
        <w:rPr>
          <w:rFonts w:ascii="Times New Roman" w:hAnsi="Times New Roman"/>
          <w:b w:val="0"/>
          <w:sz w:val="20"/>
          <w:lang w:val="pt-BR"/>
        </w:rPr>
        <w:t>na etapa</w:t>
      </w:r>
      <w:r w:rsidR="004E5554">
        <w:rPr>
          <w:rFonts w:ascii="Times New Roman" w:hAnsi="Times New Roman"/>
          <w:b w:val="0"/>
          <w:sz w:val="20"/>
          <w:lang w:val="pt-BR"/>
        </w:rPr>
        <w:t xml:space="preserve"> de </w:t>
      </w:r>
      <w:proofErr w:type="spellStart"/>
      <w:r w:rsidR="004E5554">
        <w:rPr>
          <w:rFonts w:ascii="Times New Roman" w:hAnsi="Times New Roman"/>
          <w:b w:val="0"/>
          <w:sz w:val="20"/>
          <w:lang w:val="pt-BR"/>
        </w:rPr>
        <w:t>acetalização</w:t>
      </w:r>
      <w:proofErr w:type="spellEnd"/>
      <w:r w:rsidR="003E4BC9">
        <w:rPr>
          <w:rFonts w:ascii="Times New Roman" w:hAnsi="Times New Roman"/>
          <w:b w:val="0"/>
          <w:sz w:val="20"/>
          <w:lang w:val="pt-BR"/>
        </w:rPr>
        <w:t xml:space="preserve"> do </w:t>
      </w:r>
      <w:r w:rsidR="005B0C6F">
        <w:rPr>
          <w:rFonts w:ascii="Times New Roman" w:hAnsi="Times New Roman"/>
          <w:b w:val="0"/>
          <w:sz w:val="20"/>
          <w:lang w:val="pt-BR"/>
        </w:rPr>
        <w:t>aldeído</w:t>
      </w:r>
      <w:r w:rsidR="004E5554">
        <w:rPr>
          <w:rFonts w:ascii="Times New Roman" w:hAnsi="Times New Roman"/>
          <w:b w:val="0"/>
          <w:sz w:val="20"/>
          <w:lang w:val="pt-BR"/>
        </w:rPr>
        <w:t xml:space="preserve">. Os produtos </w:t>
      </w:r>
      <w:r w:rsidR="00234170">
        <w:rPr>
          <w:rFonts w:ascii="Times New Roman" w:hAnsi="Times New Roman"/>
          <w:b w:val="0"/>
          <w:sz w:val="20"/>
          <w:lang w:val="pt-BR"/>
        </w:rPr>
        <w:t>obtidos possuem</w:t>
      </w:r>
      <w:r w:rsidR="004E5554">
        <w:rPr>
          <w:rFonts w:ascii="Times New Roman" w:hAnsi="Times New Roman"/>
          <w:b w:val="0"/>
          <w:sz w:val="20"/>
          <w:lang w:val="pt-BR"/>
        </w:rPr>
        <w:t xml:space="preserve"> potencial </w:t>
      </w:r>
      <w:r w:rsidR="003E4BC9">
        <w:rPr>
          <w:rFonts w:ascii="Times New Roman" w:hAnsi="Times New Roman"/>
          <w:b w:val="0"/>
          <w:sz w:val="20"/>
          <w:lang w:val="pt-BR"/>
        </w:rPr>
        <w:t xml:space="preserve">para </w:t>
      </w:r>
      <w:r w:rsidR="004E5554">
        <w:rPr>
          <w:rFonts w:ascii="Times New Roman" w:hAnsi="Times New Roman"/>
          <w:b w:val="0"/>
          <w:sz w:val="20"/>
          <w:lang w:val="pt-BR"/>
        </w:rPr>
        <w:t>aplicação como aditivos em diesel</w:t>
      </w:r>
      <w:r w:rsidR="00D76A2B">
        <w:rPr>
          <w:rFonts w:ascii="Times New Roman" w:hAnsi="Times New Roman"/>
          <w:b w:val="0"/>
          <w:sz w:val="20"/>
          <w:lang w:val="pt-BR"/>
        </w:rPr>
        <w:t>.</w:t>
      </w:r>
      <w:r w:rsidR="004C266C">
        <w:rPr>
          <w:rFonts w:ascii="Times New Roman" w:hAnsi="Times New Roman"/>
          <w:b w:val="0"/>
          <w:sz w:val="20"/>
          <w:lang w:val="pt-BR"/>
        </w:rPr>
        <w:t xml:space="preserve"> </w:t>
      </w:r>
    </w:p>
    <w:p w14:paraId="2F2486D1" w14:textId="5FB3676D" w:rsidR="00D76A2B" w:rsidRDefault="00EA4E1B" w:rsidP="00D76A2B">
      <w:pPr>
        <w:pStyle w:val="BDAbstract"/>
        <w:spacing w:before="0" w:after="0" w:line="240" w:lineRule="auto"/>
        <w:rPr>
          <w:rFonts w:ascii="Times New Roman" w:hAnsi="Times New Roman"/>
          <w:b w:val="0"/>
          <w:sz w:val="20"/>
          <w:lang w:val="pt-BR"/>
        </w:rPr>
      </w:pPr>
      <w:r w:rsidRPr="00870522">
        <w:rPr>
          <w:rFonts w:ascii="Times New Roman" w:hAnsi="Times New Roman"/>
          <w:b w:val="0"/>
          <w:i/>
          <w:sz w:val="20"/>
          <w:lang w:val="pt-BR"/>
        </w:rPr>
        <w:t xml:space="preserve">Palavras-chave: </w:t>
      </w:r>
      <w:r w:rsidR="00D76A2B">
        <w:rPr>
          <w:rFonts w:ascii="Times New Roman" w:hAnsi="Times New Roman"/>
          <w:b w:val="0"/>
          <w:i/>
          <w:sz w:val="20"/>
          <w:lang w:val="pt-BR"/>
        </w:rPr>
        <w:t xml:space="preserve">ródio, </w:t>
      </w:r>
      <w:r w:rsidR="00270091">
        <w:rPr>
          <w:rFonts w:ascii="Times New Roman" w:hAnsi="Times New Roman"/>
          <w:b w:val="0"/>
          <w:i/>
          <w:sz w:val="20"/>
          <w:lang w:val="pt-BR"/>
        </w:rPr>
        <w:t>glicerol</w:t>
      </w:r>
      <w:r w:rsidR="00D76A2B">
        <w:rPr>
          <w:rFonts w:ascii="Times New Roman" w:hAnsi="Times New Roman"/>
          <w:b w:val="0"/>
          <w:i/>
          <w:sz w:val="20"/>
          <w:lang w:val="pt-BR"/>
        </w:rPr>
        <w:t xml:space="preserve">, </w:t>
      </w:r>
      <w:r w:rsidR="008D304A">
        <w:rPr>
          <w:rFonts w:ascii="Times New Roman" w:hAnsi="Times New Roman"/>
          <w:b w:val="0"/>
          <w:i/>
          <w:sz w:val="20"/>
          <w:lang w:val="pt-BR"/>
        </w:rPr>
        <w:t>acetais</w:t>
      </w:r>
      <w:r w:rsidR="00D76A2B">
        <w:rPr>
          <w:rFonts w:ascii="Times New Roman" w:hAnsi="Times New Roman"/>
          <w:b w:val="0"/>
          <w:i/>
          <w:sz w:val="20"/>
          <w:lang w:val="pt-BR"/>
        </w:rPr>
        <w:t>, combustíveis.</w:t>
      </w:r>
    </w:p>
    <w:p w14:paraId="7ADD20C5" w14:textId="77777777" w:rsidR="00D76A2B" w:rsidRDefault="00D76A2B" w:rsidP="00D76A2B">
      <w:pPr>
        <w:pStyle w:val="BDAbstract"/>
        <w:spacing w:before="0" w:after="0" w:line="240" w:lineRule="auto"/>
        <w:rPr>
          <w:rFonts w:ascii="Times New Roman" w:hAnsi="Times New Roman"/>
          <w:b w:val="0"/>
          <w:sz w:val="20"/>
          <w:lang w:val="pt-BR"/>
        </w:rPr>
      </w:pPr>
    </w:p>
    <w:p w14:paraId="6C32525A" w14:textId="3F15BAF1" w:rsidR="00D76A2B" w:rsidRPr="000C230D" w:rsidRDefault="00EA4E1B" w:rsidP="00D76A2B">
      <w:pPr>
        <w:pStyle w:val="BDAbstract"/>
        <w:spacing w:before="0" w:after="0" w:line="240" w:lineRule="auto"/>
        <w:rPr>
          <w:rFonts w:ascii="Times New Roman" w:hAnsi="Times New Roman"/>
          <w:b w:val="0"/>
          <w:sz w:val="20"/>
        </w:rPr>
      </w:pPr>
      <w:r w:rsidRPr="000C230D">
        <w:rPr>
          <w:rFonts w:ascii="Times New Roman" w:hAnsi="Times New Roman"/>
          <w:b w:val="0"/>
          <w:sz w:val="20"/>
        </w:rPr>
        <w:t>ABSTRACT -</w:t>
      </w:r>
      <w:r w:rsidR="004C266C" w:rsidRPr="004C266C">
        <w:t xml:space="preserve"> </w:t>
      </w:r>
      <w:r w:rsidR="004C266C" w:rsidRPr="004C266C">
        <w:rPr>
          <w:rFonts w:ascii="Times New Roman" w:hAnsi="Times New Roman"/>
          <w:b w:val="0"/>
          <w:sz w:val="20"/>
        </w:rPr>
        <w:t xml:space="preserve">One of the major challenges in the face of environmental and economic impact is the replacement of petroleum derivatives with </w:t>
      </w:r>
      <w:proofErr w:type="spellStart"/>
      <w:r w:rsidR="004C266C" w:rsidRPr="004C266C">
        <w:rPr>
          <w:rFonts w:ascii="Times New Roman" w:hAnsi="Times New Roman"/>
          <w:b w:val="0"/>
          <w:sz w:val="20"/>
        </w:rPr>
        <w:t>biorenewable</w:t>
      </w:r>
      <w:proofErr w:type="spellEnd"/>
      <w:r w:rsidR="004C266C" w:rsidRPr="004C266C">
        <w:rPr>
          <w:rFonts w:ascii="Times New Roman" w:hAnsi="Times New Roman"/>
          <w:b w:val="0"/>
          <w:sz w:val="20"/>
        </w:rPr>
        <w:t xml:space="preserve"> substances. Currently, the automotive industry is highly dependent on petrochemical products that have a high environmental impact. In this work, a one-pot </w:t>
      </w:r>
      <w:r w:rsidR="007F3219">
        <w:rPr>
          <w:rFonts w:ascii="Times New Roman" w:hAnsi="Times New Roman"/>
          <w:b w:val="0"/>
          <w:sz w:val="20"/>
        </w:rPr>
        <w:t xml:space="preserve">tandem </w:t>
      </w:r>
      <w:r w:rsidR="004C266C" w:rsidRPr="004C266C">
        <w:rPr>
          <w:rFonts w:ascii="Times New Roman" w:hAnsi="Times New Roman"/>
          <w:b w:val="0"/>
          <w:sz w:val="20"/>
        </w:rPr>
        <w:t xml:space="preserve">process involving </w:t>
      </w:r>
      <w:r w:rsidR="007C56D4">
        <w:rPr>
          <w:rFonts w:ascii="Times New Roman" w:hAnsi="Times New Roman"/>
          <w:b w:val="0"/>
          <w:sz w:val="20"/>
        </w:rPr>
        <w:t xml:space="preserve">the </w:t>
      </w:r>
      <w:r w:rsidR="007C56D4" w:rsidRPr="004C266C">
        <w:rPr>
          <w:rFonts w:ascii="Times New Roman" w:hAnsi="Times New Roman"/>
          <w:b w:val="0"/>
          <w:sz w:val="20"/>
        </w:rPr>
        <w:t xml:space="preserve">reactions </w:t>
      </w:r>
      <w:r w:rsidR="007C56D4">
        <w:rPr>
          <w:rFonts w:ascii="Times New Roman" w:hAnsi="Times New Roman"/>
          <w:b w:val="0"/>
          <w:sz w:val="20"/>
        </w:rPr>
        <w:t xml:space="preserve">of </w:t>
      </w:r>
      <w:r w:rsidR="004C266C" w:rsidRPr="004C266C">
        <w:rPr>
          <w:rFonts w:ascii="Times New Roman" w:hAnsi="Times New Roman"/>
          <w:b w:val="0"/>
          <w:sz w:val="20"/>
        </w:rPr>
        <w:t>hydroformylation</w:t>
      </w:r>
      <w:r w:rsidR="007C56D4">
        <w:rPr>
          <w:rFonts w:ascii="Times New Roman" w:hAnsi="Times New Roman"/>
          <w:b w:val="0"/>
          <w:sz w:val="20"/>
        </w:rPr>
        <w:t xml:space="preserve"> and </w:t>
      </w:r>
      <w:r w:rsidR="004C266C" w:rsidRPr="004C266C">
        <w:rPr>
          <w:rFonts w:ascii="Times New Roman" w:hAnsi="Times New Roman"/>
          <w:b w:val="0"/>
          <w:sz w:val="20"/>
        </w:rPr>
        <w:t xml:space="preserve">acetalization was studied for the valorization of limonene using glycerol </w:t>
      </w:r>
      <w:r w:rsidR="007C56D4">
        <w:rPr>
          <w:rFonts w:ascii="Times New Roman" w:hAnsi="Times New Roman"/>
          <w:b w:val="0"/>
          <w:sz w:val="20"/>
        </w:rPr>
        <w:t xml:space="preserve">as a reagent </w:t>
      </w:r>
      <w:r w:rsidR="004C266C" w:rsidRPr="004C266C">
        <w:rPr>
          <w:rFonts w:ascii="Times New Roman" w:hAnsi="Times New Roman"/>
          <w:b w:val="0"/>
          <w:sz w:val="20"/>
        </w:rPr>
        <w:t xml:space="preserve">in the acetalization </w:t>
      </w:r>
      <w:r w:rsidR="007C56D4">
        <w:rPr>
          <w:rFonts w:ascii="Times New Roman" w:hAnsi="Times New Roman"/>
          <w:b w:val="0"/>
          <w:sz w:val="20"/>
        </w:rPr>
        <w:t>step</w:t>
      </w:r>
      <w:r w:rsidR="004C266C" w:rsidRPr="004C266C">
        <w:rPr>
          <w:rFonts w:ascii="Times New Roman" w:hAnsi="Times New Roman"/>
          <w:b w:val="0"/>
          <w:sz w:val="20"/>
        </w:rPr>
        <w:t xml:space="preserve">. The products obtained have </w:t>
      </w:r>
      <w:r w:rsidR="00C158A8">
        <w:rPr>
          <w:rFonts w:ascii="Times New Roman" w:hAnsi="Times New Roman"/>
          <w:b w:val="0"/>
          <w:sz w:val="20"/>
        </w:rPr>
        <w:t xml:space="preserve">a </w:t>
      </w:r>
      <w:r w:rsidR="004C266C" w:rsidRPr="004C266C">
        <w:rPr>
          <w:rFonts w:ascii="Times New Roman" w:hAnsi="Times New Roman"/>
          <w:b w:val="0"/>
          <w:sz w:val="20"/>
        </w:rPr>
        <w:t xml:space="preserve">potential </w:t>
      </w:r>
      <w:r w:rsidR="00C158A8">
        <w:rPr>
          <w:rFonts w:ascii="Times New Roman" w:hAnsi="Times New Roman"/>
          <w:b w:val="0"/>
          <w:sz w:val="20"/>
        </w:rPr>
        <w:t xml:space="preserve">for </w:t>
      </w:r>
      <w:r w:rsidR="004C266C">
        <w:rPr>
          <w:rFonts w:ascii="Times New Roman" w:hAnsi="Times New Roman"/>
          <w:b w:val="0"/>
          <w:sz w:val="20"/>
        </w:rPr>
        <w:t>applications</w:t>
      </w:r>
      <w:r w:rsidR="004C266C" w:rsidRPr="004C266C">
        <w:rPr>
          <w:rFonts w:ascii="Times New Roman" w:hAnsi="Times New Roman"/>
          <w:b w:val="0"/>
          <w:sz w:val="20"/>
        </w:rPr>
        <w:t xml:space="preserve"> as additives in diesel.</w:t>
      </w:r>
      <w:r w:rsidRPr="000C230D">
        <w:rPr>
          <w:rFonts w:ascii="Times New Roman" w:hAnsi="Times New Roman"/>
          <w:b w:val="0"/>
          <w:sz w:val="20"/>
        </w:rPr>
        <w:t xml:space="preserve"> </w:t>
      </w:r>
    </w:p>
    <w:p w14:paraId="5F4A84E8" w14:textId="1D57EC5F" w:rsidR="00EA4E1B" w:rsidRPr="000C230D" w:rsidRDefault="00EA4E1B" w:rsidP="00EA4E1B">
      <w:pPr>
        <w:pStyle w:val="BDAbstract"/>
        <w:spacing w:before="0" w:after="120" w:line="240" w:lineRule="auto"/>
        <w:rPr>
          <w:rFonts w:ascii="Times New Roman" w:hAnsi="Times New Roman"/>
          <w:b w:val="0"/>
          <w:i/>
          <w:sz w:val="20"/>
        </w:rPr>
      </w:pPr>
      <w:r w:rsidRPr="000C230D">
        <w:rPr>
          <w:rFonts w:ascii="Times New Roman" w:hAnsi="Times New Roman"/>
          <w:b w:val="0"/>
          <w:i/>
          <w:sz w:val="20"/>
        </w:rPr>
        <w:t xml:space="preserve">Keywords: </w:t>
      </w:r>
      <w:r w:rsidR="00270091">
        <w:rPr>
          <w:rFonts w:ascii="Times New Roman" w:hAnsi="Times New Roman"/>
          <w:b w:val="0"/>
          <w:i/>
          <w:sz w:val="20"/>
        </w:rPr>
        <w:t xml:space="preserve">rhodium, </w:t>
      </w:r>
      <w:r w:rsidR="008D304A">
        <w:rPr>
          <w:rFonts w:ascii="Times New Roman" w:hAnsi="Times New Roman"/>
          <w:b w:val="0"/>
          <w:i/>
          <w:sz w:val="20"/>
        </w:rPr>
        <w:t>glycerol</w:t>
      </w:r>
      <w:r w:rsidR="00D76A2B" w:rsidRPr="000C230D">
        <w:rPr>
          <w:rFonts w:ascii="Times New Roman" w:hAnsi="Times New Roman"/>
          <w:b w:val="0"/>
          <w:i/>
          <w:sz w:val="20"/>
        </w:rPr>
        <w:t xml:space="preserve">, </w:t>
      </w:r>
      <w:r w:rsidR="008D304A">
        <w:rPr>
          <w:rFonts w:ascii="Times New Roman" w:hAnsi="Times New Roman"/>
          <w:b w:val="0"/>
          <w:i/>
          <w:sz w:val="20"/>
        </w:rPr>
        <w:t>acetals</w:t>
      </w:r>
      <w:r w:rsidR="00D76A2B" w:rsidRPr="000C230D">
        <w:rPr>
          <w:rFonts w:ascii="Times New Roman" w:hAnsi="Times New Roman"/>
          <w:b w:val="0"/>
          <w:i/>
          <w:sz w:val="20"/>
        </w:rPr>
        <w:t xml:space="preserve">, fuel. </w:t>
      </w:r>
    </w:p>
    <w:bookmarkEnd w:id="1"/>
    <w:p w14:paraId="48D9B0C4" w14:textId="77777777" w:rsidR="00EA4E1B" w:rsidRPr="00607E1D" w:rsidRDefault="00EA4E1B" w:rsidP="00EA4E1B">
      <w:pPr>
        <w:rPr>
          <w:lang w:val="en-US"/>
        </w:rPr>
        <w:sectPr w:rsidR="00EA4E1B" w:rsidRPr="00607E1D" w:rsidSect="004B2E34">
          <w:headerReference w:type="default" r:id="rId8"/>
          <w:endnotePr>
            <w:numFmt w:val="decimal"/>
          </w:endnotePr>
          <w:pgSz w:w="11906" w:h="16838"/>
          <w:pgMar w:top="1418" w:right="567" w:bottom="1134" w:left="567" w:header="709" w:footer="709" w:gutter="0"/>
          <w:cols w:space="708"/>
          <w:docGrid w:linePitch="360"/>
        </w:sectPr>
      </w:pPr>
    </w:p>
    <w:p w14:paraId="625F2C0A" w14:textId="77777777" w:rsidR="00EA4E1B" w:rsidRPr="001F25B2" w:rsidRDefault="00EA4E1B" w:rsidP="00EA4E1B">
      <w:pPr>
        <w:pStyle w:val="Ttulo2"/>
        <w:spacing w:before="0"/>
        <w:rPr>
          <w:rFonts w:ascii="Helvetica" w:hAnsi="Helvetica" w:cs="Helvetica"/>
          <w:sz w:val="24"/>
          <w:szCs w:val="24"/>
        </w:rPr>
      </w:pPr>
      <w:r w:rsidRPr="001F25B2">
        <w:rPr>
          <w:rFonts w:ascii="Helvetica" w:hAnsi="Helvetica" w:cs="Helvetica"/>
          <w:sz w:val="24"/>
          <w:szCs w:val="24"/>
        </w:rPr>
        <w:t>Introdução</w:t>
      </w:r>
    </w:p>
    <w:p w14:paraId="1893F8BF" w14:textId="385A48E0" w:rsidR="00C84B42" w:rsidRDefault="00C84B42" w:rsidP="00EA4E1B">
      <w:pPr>
        <w:pStyle w:val="TAMainText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 xml:space="preserve">A procura por alternativas </w:t>
      </w:r>
      <w:proofErr w:type="spellStart"/>
      <w:r>
        <w:rPr>
          <w:rFonts w:ascii="Times New Roman" w:hAnsi="Times New Roman"/>
          <w:lang w:val="pt-BR"/>
        </w:rPr>
        <w:t>biorrenováveis</w:t>
      </w:r>
      <w:proofErr w:type="spellEnd"/>
      <w:r>
        <w:rPr>
          <w:rFonts w:ascii="Times New Roman" w:hAnsi="Times New Roman"/>
          <w:lang w:val="pt-BR"/>
        </w:rPr>
        <w:t xml:space="preserve"> para a substituição dos produtos petroquímicos vem sendo palco </w:t>
      </w:r>
      <w:r w:rsidR="008D304A">
        <w:rPr>
          <w:rFonts w:ascii="Times New Roman" w:hAnsi="Times New Roman"/>
          <w:lang w:val="pt-BR"/>
        </w:rPr>
        <w:t xml:space="preserve">de discussões </w:t>
      </w:r>
      <w:r>
        <w:rPr>
          <w:rFonts w:ascii="Times New Roman" w:hAnsi="Times New Roman"/>
          <w:lang w:val="pt-BR"/>
        </w:rPr>
        <w:t xml:space="preserve">tanto no âmbito acadêmico como no industrial. Setores, como por exemplo, automobilístico </w:t>
      </w:r>
      <w:r w:rsidR="008D304A">
        <w:rPr>
          <w:rFonts w:ascii="Times New Roman" w:hAnsi="Times New Roman"/>
          <w:lang w:val="pt-BR"/>
        </w:rPr>
        <w:t xml:space="preserve">vem sendo incentivado a </w:t>
      </w:r>
      <w:r w:rsidR="00624C6C">
        <w:rPr>
          <w:rFonts w:ascii="Times New Roman" w:hAnsi="Times New Roman"/>
          <w:lang w:val="pt-BR"/>
        </w:rPr>
        <w:t>trocar</w:t>
      </w:r>
      <w:r w:rsidR="008D304A">
        <w:rPr>
          <w:rFonts w:ascii="Times New Roman" w:hAnsi="Times New Roman"/>
          <w:lang w:val="pt-BR"/>
        </w:rPr>
        <w:t>e</w:t>
      </w:r>
      <w:r w:rsidR="00624C6C">
        <w:rPr>
          <w:rFonts w:ascii="Times New Roman" w:hAnsi="Times New Roman"/>
          <w:lang w:val="pt-BR"/>
        </w:rPr>
        <w:t xml:space="preserve">m combustíveis derivados do petróleo por biocombustíveis. Além disso, para melhorar a qualidade dos combustíveis existentes, o uso </w:t>
      </w:r>
      <w:r w:rsidR="008D304A">
        <w:rPr>
          <w:rFonts w:ascii="Times New Roman" w:hAnsi="Times New Roman"/>
          <w:lang w:val="pt-BR"/>
        </w:rPr>
        <w:t xml:space="preserve">principalmente </w:t>
      </w:r>
      <w:r w:rsidR="00624C6C">
        <w:rPr>
          <w:rFonts w:ascii="Times New Roman" w:hAnsi="Times New Roman"/>
          <w:lang w:val="pt-BR"/>
        </w:rPr>
        <w:t xml:space="preserve">de compostos </w:t>
      </w:r>
      <w:proofErr w:type="spellStart"/>
      <w:r w:rsidR="00624C6C">
        <w:rPr>
          <w:rFonts w:ascii="Times New Roman" w:hAnsi="Times New Roman"/>
          <w:lang w:val="pt-BR"/>
        </w:rPr>
        <w:t>biorrenováveis</w:t>
      </w:r>
      <w:proofErr w:type="spellEnd"/>
      <w:r w:rsidR="00624C6C">
        <w:rPr>
          <w:rFonts w:ascii="Times New Roman" w:hAnsi="Times New Roman"/>
          <w:lang w:val="pt-BR"/>
        </w:rPr>
        <w:t xml:space="preserve"> </w:t>
      </w:r>
      <w:r w:rsidR="009A251D">
        <w:rPr>
          <w:rFonts w:ascii="Times New Roman" w:hAnsi="Times New Roman"/>
          <w:lang w:val="pt-BR"/>
        </w:rPr>
        <w:t>está</w:t>
      </w:r>
      <w:r w:rsidR="00134437">
        <w:rPr>
          <w:rFonts w:ascii="Times New Roman" w:hAnsi="Times New Roman"/>
          <w:lang w:val="pt-BR"/>
        </w:rPr>
        <w:t xml:space="preserve"> </w:t>
      </w:r>
      <w:r w:rsidR="008D304A">
        <w:rPr>
          <w:rFonts w:ascii="Times New Roman" w:hAnsi="Times New Roman"/>
          <w:lang w:val="pt-BR"/>
        </w:rPr>
        <w:t xml:space="preserve">sendo </w:t>
      </w:r>
      <w:r w:rsidR="009A251D">
        <w:rPr>
          <w:rFonts w:ascii="Times New Roman" w:hAnsi="Times New Roman"/>
          <w:lang w:val="pt-BR"/>
        </w:rPr>
        <w:t xml:space="preserve">investigado </w:t>
      </w:r>
      <w:r w:rsidR="00186355">
        <w:rPr>
          <w:rFonts w:ascii="Times New Roman" w:hAnsi="Times New Roman"/>
          <w:lang w:val="pt-BR"/>
        </w:rPr>
        <w:t xml:space="preserve">para contornar </w:t>
      </w:r>
      <w:r w:rsidR="009A251D">
        <w:rPr>
          <w:rFonts w:ascii="Times New Roman" w:hAnsi="Times New Roman"/>
          <w:lang w:val="pt-BR"/>
        </w:rPr>
        <w:t>o</w:t>
      </w:r>
      <w:r w:rsidR="00186355">
        <w:rPr>
          <w:rFonts w:ascii="Times New Roman" w:hAnsi="Times New Roman"/>
          <w:lang w:val="pt-BR"/>
        </w:rPr>
        <w:t xml:space="preserve"> problem</w:t>
      </w:r>
      <w:r w:rsidR="009A251D">
        <w:rPr>
          <w:rFonts w:ascii="Times New Roman" w:hAnsi="Times New Roman"/>
          <w:lang w:val="pt-BR"/>
        </w:rPr>
        <w:t>a</w:t>
      </w:r>
      <w:r w:rsidR="00186355">
        <w:rPr>
          <w:rFonts w:ascii="Times New Roman" w:hAnsi="Times New Roman"/>
          <w:lang w:val="pt-BR"/>
        </w:rPr>
        <w:t xml:space="preserve"> relacionado a poluição do ar</w:t>
      </w:r>
      <w:r w:rsidR="00AA0060">
        <w:rPr>
          <w:rFonts w:ascii="Times New Roman" w:hAnsi="Times New Roman"/>
          <w:lang w:val="pt-BR"/>
        </w:rPr>
        <w:t xml:space="preserve"> (</w:t>
      </w:r>
      <w:r w:rsidR="004B2E34">
        <w:rPr>
          <w:rFonts w:ascii="Times New Roman" w:hAnsi="Times New Roman"/>
          <w:lang w:val="pt-BR"/>
        </w:rPr>
        <w:t>1)</w:t>
      </w:r>
      <w:r w:rsidR="008D304A">
        <w:rPr>
          <w:rFonts w:ascii="Times New Roman" w:hAnsi="Times New Roman"/>
          <w:lang w:val="pt-BR"/>
        </w:rPr>
        <w:t>.</w:t>
      </w:r>
      <w:r w:rsidR="00624C6C">
        <w:rPr>
          <w:rFonts w:ascii="Times New Roman" w:hAnsi="Times New Roman"/>
          <w:lang w:val="pt-BR"/>
        </w:rPr>
        <w:t xml:space="preserve"> Visto que além do melhoramento da qualidade do combustível, estudos </w:t>
      </w:r>
      <w:r w:rsidR="005A7FCE">
        <w:rPr>
          <w:rFonts w:ascii="Times New Roman" w:hAnsi="Times New Roman"/>
          <w:lang w:val="pt-BR"/>
        </w:rPr>
        <w:t xml:space="preserve">sugerem </w:t>
      </w:r>
      <w:r w:rsidR="00624C6C">
        <w:rPr>
          <w:rFonts w:ascii="Times New Roman" w:hAnsi="Times New Roman"/>
          <w:lang w:val="pt-BR"/>
        </w:rPr>
        <w:t xml:space="preserve">que acetais </w:t>
      </w:r>
      <w:r w:rsidR="005A7FCE">
        <w:rPr>
          <w:rFonts w:ascii="Times New Roman" w:hAnsi="Times New Roman"/>
          <w:lang w:val="pt-BR"/>
        </w:rPr>
        <w:t xml:space="preserve">podem atuar </w:t>
      </w:r>
      <w:r w:rsidR="00624C6C">
        <w:rPr>
          <w:rFonts w:ascii="Times New Roman" w:hAnsi="Times New Roman"/>
          <w:lang w:val="pt-BR"/>
        </w:rPr>
        <w:t xml:space="preserve">como aditivo </w:t>
      </w:r>
      <w:r w:rsidR="005A7FCE">
        <w:rPr>
          <w:rFonts w:ascii="Times New Roman" w:hAnsi="Times New Roman"/>
          <w:lang w:val="pt-BR"/>
        </w:rPr>
        <w:t>d</w:t>
      </w:r>
      <w:r w:rsidR="00624C6C">
        <w:rPr>
          <w:rFonts w:ascii="Times New Roman" w:hAnsi="Times New Roman"/>
          <w:lang w:val="pt-BR"/>
        </w:rPr>
        <w:t>o óleo diesel, ajuda</w:t>
      </w:r>
      <w:r w:rsidR="005A7FCE">
        <w:rPr>
          <w:rFonts w:ascii="Times New Roman" w:hAnsi="Times New Roman"/>
          <w:lang w:val="pt-BR"/>
        </w:rPr>
        <w:t>ndo</w:t>
      </w:r>
      <w:r w:rsidR="00624C6C">
        <w:rPr>
          <w:rFonts w:ascii="Times New Roman" w:hAnsi="Times New Roman"/>
          <w:lang w:val="pt-BR"/>
        </w:rPr>
        <w:t xml:space="preserve"> </w:t>
      </w:r>
      <w:r w:rsidR="005A7FCE">
        <w:rPr>
          <w:rFonts w:ascii="Times New Roman" w:hAnsi="Times New Roman"/>
          <w:lang w:val="pt-BR"/>
        </w:rPr>
        <w:t xml:space="preserve">a </w:t>
      </w:r>
      <w:r w:rsidR="00624C6C">
        <w:rPr>
          <w:rFonts w:ascii="Times New Roman" w:hAnsi="Times New Roman"/>
          <w:lang w:val="pt-BR"/>
        </w:rPr>
        <w:t>reduzi</w:t>
      </w:r>
      <w:r w:rsidR="005A7FCE">
        <w:rPr>
          <w:rFonts w:ascii="Times New Roman" w:hAnsi="Times New Roman"/>
          <w:lang w:val="pt-BR"/>
        </w:rPr>
        <w:t>r</w:t>
      </w:r>
      <w:r w:rsidR="00624C6C">
        <w:rPr>
          <w:rFonts w:ascii="Times New Roman" w:hAnsi="Times New Roman"/>
          <w:lang w:val="pt-BR"/>
        </w:rPr>
        <w:t xml:space="preserve"> a quantidade de fuligem e partículas emitid</w:t>
      </w:r>
      <w:r w:rsidR="008D304A">
        <w:rPr>
          <w:rFonts w:ascii="Times New Roman" w:hAnsi="Times New Roman"/>
          <w:lang w:val="pt-BR"/>
        </w:rPr>
        <w:t>a</w:t>
      </w:r>
      <w:r w:rsidR="00624C6C">
        <w:rPr>
          <w:rFonts w:ascii="Times New Roman" w:hAnsi="Times New Roman"/>
          <w:lang w:val="pt-BR"/>
        </w:rPr>
        <w:t xml:space="preserve">s durante </w:t>
      </w:r>
      <w:r w:rsidR="005A7FCE">
        <w:rPr>
          <w:rFonts w:ascii="Times New Roman" w:hAnsi="Times New Roman"/>
          <w:lang w:val="pt-BR"/>
        </w:rPr>
        <w:t xml:space="preserve">o processo de </w:t>
      </w:r>
      <w:r w:rsidR="00624C6C">
        <w:rPr>
          <w:rFonts w:ascii="Times New Roman" w:hAnsi="Times New Roman"/>
          <w:lang w:val="pt-BR"/>
        </w:rPr>
        <w:t>combustão</w:t>
      </w:r>
      <w:r w:rsidR="00F70A81">
        <w:rPr>
          <w:rFonts w:ascii="Times New Roman" w:hAnsi="Times New Roman"/>
          <w:lang w:val="pt-BR"/>
        </w:rPr>
        <w:t xml:space="preserve"> </w:t>
      </w:r>
      <w:r w:rsidR="00970AC0">
        <w:rPr>
          <w:rFonts w:ascii="Times New Roman" w:hAnsi="Times New Roman"/>
          <w:lang w:val="pt-BR"/>
        </w:rPr>
        <w:t>(</w:t>
      </w:r>
      <w:r w:rsidR="00AA0060">
        <w:rPr>
          <w:rFonts w:ascii="Times New Roman" w:hAnsi="Times New Roman"/>
          <w:lang w:val="pt-BR"/>
        </w:rPr>
        <w:t>2</w:t>
      </w:r>
      <w:r w:rsidR="00970AC0">
        <w:rPr>
          <w:rFonts w:ascii="Times New Roman" w:hAnsi="Times New Roman"/>
          <w:lang w:val="pt-BR"/>
        </w:rPr>
        <w:t>)</w:t>
      </w:r>
      <w:r w:rsidR="00624C6C">
        <w:rPr>
          <w:rFonts w:ascii="Times New Roman" w:hAnsi="Times New Roman"/>
          <w:lang w:val="pt-BR"/>
        </w:rPr>
        <w:t>.</w:t>
      </w:r>
    </w:p>
    <w:p w14:paraId="11B667A3" w14:textId="606AC242" w:rsidR="0006580C" w:rsidRDefault="005A7FCE" w:rsidP="00EA4E1B">
      <w:pPr>
        <w:pStyle w:val="TAMainText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 xml:space="preserve">O processo </w:t>
      </w:r>
      <w:r w:rsidR="00AF6E69">
        <w:rPr>
          <w:rFonts w:ascii="Times New Roman" w:hAnsi="Times New Roman"/>
          <w:lang w:val="pt-BR"/>
        </w:rPr>
        <w:t xml:space="preserve">tandem </w:t>
      </w:r>
      <w:r>
        <w:rPr>
          <w:rFonts w:ascii="Times New Roman" w:hAnsi="Times New Roman"/>
          <w:lang w:val="pt-BR"/>
        </w:rPr>
        <w:t>“</w:t>
      </w:r>
      <w:proofErr w:type="spellStart"/>
      <w:r>
        <w:rPr>
          <w:rFonts w:ascii="Times New Roman" w:hAnsi="Times New Roman"/>
          <w:lang w:val="pt-BR"/>
        </w:rPr>
        <w:t>one-pot</w:t>
      </w:r>
      <w:proofErr w:type="spellEnd"/>
      <w:r>
        <w:rPr>
          <w:rFonts w:ascii="Times New Roman" w:hAnsi="Times New Roman"/>
          <w:lang w:val="pt-BR"/>
        </w:rPr>
        <w:t>”</w:t>
      </w:r>
      <w:r w:rsidR="00F70A81">
        <w:rPr>
          <w:rFonts w:ascii="Times New Roman" w:hAnsi="Times New Roman"/>
          <w:lang w:val="pt-BR"/>
        </w:rPr>
        <w:t xml:space="preserve"> </w:t>
      </w:r>
      <w:r>
        <w:rPr>
          <w:rFonts w:ascii="Times New Roman" w:hAnsi="Times New Roman"/>
          <w:lang w:val="pt-BR"/>
        </w:rPr>
        <w:t xml:space="preserve">envolvendo as reações </w:t>
      </w:r>
      <w:r w:rsidR="00F70A81">
        <w:rPr>
          <w:rFonts w:ascii="Times New Roman" w:hAnsi="Times New Roman"/>
          <w:lang w:val="pt-BR"/>
        </w:rPr>
        <w:t xml:space="preserve">de </w:t>
      </w:r>
      <w:proofErr w:type="spellStart"/>
      <w:r w:rsidR="00F70A81">
        <w:rPr>
          <w:rFonts w:ascii="Times New Roman" w:hAnsi="Times New Roman"/>
          <w:lang w:val="pt-BR"/>
        </w:rPr>
        <w:t>hidroformilação</w:t>
      </w:r>
      <w:proofErr w:type="spellEnd"/>
      <w:r w:rsidR="00F70A81">
        <w:rPr>
          <w:rFonts w:ascii="Times New Roman" w:hAnsi="Times New Roman"/>
          <w:lang w:val="pt-BR"/>
        </w:rPr>
        <w:t xml:space="preserve"> e </w:t>
      </w:r>
      <w:proofErr w:type="spellStart"/>
      <w:r w:rsidR="00F70A81">
        <w:rPr>
          <w:rFonts w:ascii="Times New Roman" w:hAnsi="Times New Roman"/>
          <w:lang w:val="pt-BR"/>
        </w:rPr>
        <w:t>acetalização</w:t>
      </w:r>
      <w:proofErr w:type="spellEnd"/>
      <w:r w:rsidR="00F70A81">
        <w:rPr>
          <w:rFonts w:ascii="Times New Roman" w:hAnsi="Times New Roman"/>
          <w:lang w:val="pt-BR"/>
        </w:rPr>
        <w:t>, catalisada</w:t>
      </w:r>
      <w:r w:rsidR="00AF6E69">
        <w:rPr>
          <w:rFonts w:ascii="Times New Roman" w:hAnsi="Times New Roman"/>
          <w:lang w:val="pt-BR"/>
        </w:rPr>
        <w:t>s</w:t>
      </w:r>
      <w:r w:rsidR="00F70A81">
        <w:rPr>
          <w:rFonts w:ascii="Times New Roman" w:hAnsi="Times New Roman"/>
          <w:lang w:val="pt-BR"/>
        </w:rPr>
        <w:t xml:space="preserve"> por complexos de ródio, </w:t>
      </w:r>
      <w:r w:rsidR="00AF6E69">
        <w:rPr>
          <w:rFonts w:ascii="Times New Roman" w:hAnsi="Times New Roman"/>
          <w:lang w:val="pt-BR"/>
        </w:rPr>
        <w:t>pode ser utilizado</w:t>
      </w:r>
      <w:r w:rsidR="00F70A81">
        <w:rPr>
          <w:rFonts w:ascii="Times New Roman" w:hAnsi="Times New Roman"/>
          <w:lang w:val="pt-BR"/>
        </w:rPr>
        <w:t xml:space="preserve"> na </w:t>
      </w:r>
      <w:r w:rsidR="00864F27">
        <w:rPr>
          <w:rFonts w:ascii="Times New Roman" w:hAnsi="Times New Roman"/>
          <w:lang w:val="pt-BR"/>
        </w:rPr>
        <w:t xml:space="preserve">produção </w:t>
      </w:r>
      <w:r w:rsidR="00F70A81">
        <w:rPr>
          <w:rFonts w:ascii="Times New Roman" w:hAnsi="Times New Roman"/>
          <w:lang w:val="pt-BR"/>
        </w:rPr>
        <w:t>d</w:t>
      </w:r>
      <w:r w:rsidR="00A936C2">
        <w:rPr>
          <w:rFonts w:ascii="Times New Roman" w:hAnsi="Times New Roman"/>
          <w:lang w:val="pt-BR"/>
        </w:rPr>
        <w:t>os</w:t>
      </w:r>
      <w:r w:rsidR="00F70A81">
        <w:rPr>
          <w:rFonts w:ascii="Times New Roman" w:hAnsi="Times New Roman"/>
          <w:lang w:val="pt-BR"/>
        </w:rPr>
        <w:t xml:space="preserve"> acetais</w:t>
      </w:r>
      <w:r>
        <w:rPr>
          <w:rFonts w:ascii="Times New Roman" w:hAnsi="Times New Roman"/>
          <w:lang w:val="pt-BR"/>
        </w:rPr>
        <w:t xml:space="preserve"> de forma eficiente e sustentável</w:t>
      </w:r>
      <w:r w:rsidR="00F70A81">
        <w:rPr>
          <w:rFonts w:ascii="Times New Roman" w:hAnsi="Times New Roman"/>
          <w:lang w:val="pt-BR"/>
        </w:rPr>
        <w:t xml:space="preserve">. </w:t>
      </w:r>
      <w:r w:rsidR="001F24A0">
        <w:rPr>
          <w:rFonts w:ascii="Times New Roman" w:hAnsi="Times New Roman"/>
          <w:lang w:val="pt-BR"/>
        </w:rPr>
        <w:t xml:space="preserve">A reação de </w:t>
      </w:r>
      <w:proofErr w:type="spellStart"/>
      <w:r w:rsidR="001F24A0">
        <w:rPr>
          <w:rFonts w:ascii="Times New Roman" w:hAnsi="Times New Roman"/>
          <w:lang w:val="pt-BR"/>
        </w:rPr>
        <w:t>hidroformilação</w:t>
      </w:r>
      <w:proofErr w:type="spellEnd"/>
      <w:r w:rsidR="001F24A0">
        <w:rPr>
          <w:rFonts w:ascii="Times New Roman" w:hAnsi="Times New Roman"/>
          <w:lang w:val="pt-BR"/>
        </w:rPr>
        <w:t xml:space="preserve"> consiste na adição dos gases CO e H</w:t>
      </w:r>
      <w:r w:rsidR="001F24A0" w:rsidRPr="001F24A0">
        <w:rPr>
          <w:rFonts w:ascii="Times New Roman" w:hAnsi="Times New Roman"/>
          <w:vertAlign w:val="subscript"/>
          <w:lang w:val="pt-BR"/>
        </w:rPr>
        <w:t>2</w:t>
      </w:r>
      <w:r w:rsidR="001F24A0">
        <w:rPr>
          <w:rFonts w:ascii="Times New Roman" w:hAnsi="Times New Roman"/>
          <w:lang w:val="pt-BR"/>
        </w:rPr>
        <w:t xml:space="preserve"> à um alqueno, </w:t>
      </w:r>
      <w:r w:rsidR="00677D4A">
        <w:rPr>
          <w:rFonts w:ascii="Times New Roman" w:hAnsi="Times New Roman"/>
          <w:lang w:val="pt-BR"/>
        </w:rPr>
        <w:t>formando respectivos</w:t>
      </w:r>
      <w:r w:rsidR="001F24A0">
        <w:rPr>
          <w:rFonts w:ascii="Times New Roman" w:hAnsi="Times New Roman"/>
          <w:lang w:val="pt-BR"/>
        </w:rPr>
        <w:t xml:space="preserve"> aldeídos</w:t>
      </w:r>
      <w:r w:rsidR="00970AC0">
        <w:rPr>
          <w:rFonts w:ascii="Times New Roman" w:hAnsi="Times New Roman"/>
          <w:lang w:val="pt-BR"/>
        </w:rPr>
        <w:t xml:space="preserve"> (</w:t>
      </w:r>
      <w:r w:rsidR="00AA0060">
        <w:rPr>
          <w:rFonts w:ascii="Times New Roman" w:hAnsi="Times New Roman"/>
          <w:lang w:val="pt-BR"/>
        </w:rPr>
        <w:t>3</w:t>
      </w:r>
      <w:r w:rsidR="00970AC0">
        <w:rPr>
          <w:rFonts w:ascii="Times New Roman" w:hAnsi="Times New Roman"/>
          <w:lang w:val="pt-BR"/>
        </w:rPr>
        <w:t>)</w:t>
      </w:r>
      <w:r w:rsidR="001F24A0">
        <w:rPr>
          <w:rFonts w:ascii="Times New Roman" w:hAnsi="Times New Roman"/>
          <w:lang w:val="pt-BR"/>
        </w:rPr>
        <w:t xml:space="preserve">. </w:t>
      </w:r>
      <w:r>
        <w:rPr>
          <w:rFonts w:ascii="Times New Roman" w:hAnsi="Times New Roman"/>
          <w:lang w:val="pt-BR"/>
        </w:rPr>
        <w:t>Em s</w:t>
      </w:r>
      <w:r w:rsidR="001F24A0">
        <w:rPr>
          <w:rFonts w:ascii="Times New Roman" w:hAnsi="Times New Roman"/>
          <w:lang w:val="pt-BR"/>
        </w:rPr>
        <w:t>eguid</w:t>
      </w:r>
      <w:r>
        <w:rPr>
          <w:rFonts w:ascii="Times New Roman" w:hAnsi="Times New Roman"/>
          <w:lang w:val="pt-BR"/>
        </w:rPr>
        <w:t>a,</w:t>
      </w:r>
      <w:r w:rsidR="001F24A0">
        <w:rPr>
          <w:rFonts w:ascii="Times New Roman" w:hAnsi="Times New Roman"/>
          <w:lang w:val="pt-BR"/>
        </w:rPr>
        <w:t xml:space="preserve"> </w:t>
      </w:r>
      <w:r>
        <w:rPr>
          <w:rFonts w:ascii="Times New Roman" w:hAnsi="Times New Roman"/>
          <w:lang w:val="pt-BR"/>
        </w:rPr>
        <w:t>ocorre a</w:t>
      </w:r>
      <w:r w:rsidR="001F24A0">
        <w:rPr>
          <w:rFonts w:ascii="Times New Roman" w:hAnsi="Times New Roman"/>
          <w:lang w:val="pt-BR"/>
        </w:rPr>
        <w:t xml:space="preserve"> </w:t>
      </w:r>
      <w:proofErr w:type="spellStart"/>
      <w:r w:rsidR="001F24A0">
        <w:rPr>
          <w:rFonts w:ascii="Times New Roman" w:hAnsi="Times New Roman"/>
          <w:lang w:val="pt-BR"/>
        </w:rPr>
        <w:t>acetalização</w:t>
      </w:r>
      <w:proofErr w:type="spellEnd"/>
      <w:r w:rsidR="001F24A0">
        <w:rPr>
          <w:rFonts w:ascii="Times New Roman" w:hAnsi="Times New Roman"/>
          <w:lang w:val="pt-BR"/>
        </w:rPr>
        <w:t xml:space="preserve"> </w:t>
      </w:r>
      <w:r w:rsidR="00065541">
        <w:rPr>
          <w:rFonts w:ascii="Times New Roman" w:hAnsi="Times New Roman"/>
          <w:lang w:val="pt-BR"/>
        </w:rPr>
        <w:t xml:space="preserve">dos aldeídos </w:t>
      </w:r>
      <w:r w:rsidR="001F24A0">
        <w:rPr>
          <w:rFonts w:ascii="Times New Roman" w:hAnsi="Times New Roman"/>
          <w:lang w:val="pt-BR"/>
        </w:rPr>
        <w:t>na presença de um álcool</w:t>
      </w:r>
      <w:r w:rsidR="00AA0060">
        <w:rPr>
          <w:rFonts w:ascii="Times New Roman" w:hAnsi="Times New Roman"/>
          <w:lang w:val="pt-BR"/>
        </w:rPr>
        <w:t xml:space="preserve"> (4).</w:t>
      </w:r>
    </w:p>
    <w:p w14:paraId="55570D3A" w14:textId="7C7C3502" w:rsidR="00F70A81" w:rsidRDefault="005A7FCE" w:rsidP="00677D4A">
      <w:pPr>
        <w:pStyle w:val="TAMainText"/>
        <w:ind w:firstLine="204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Este trabalho tem como</w:t>
      </w:r>
      <w:r w:rsidR="001F24A0">
        <w:rPr>
          <w:rFonts w:ascii="Times New Roman" w:hAnsi="Times New Roman"/>
          <w:lang w:val="pt-BR"/>
        </w:rPr>
        <w:t xml:space="preserve"> objetivo </w:t>
      </w:r>
      <w:r w:rsidR="005E69AA">
        <w:rPr>
          <w:rFonts w:ascii="Times New Roman" w:hAnsi="Times New Roman"/>
          <w:lang w:val="pt-BR"/>
        </w:rPr>
        <w:t xml:space="preserve">a valorização de </w:t>
      </w:r>
      <w:r w:rsidR="00134437">
        <w:rPr>
          <w:rFonts w:ascii="Times New Roman" w:hAnsi="Times New Roman"/>
          <w:lang w:val="pt-BR"/>
        </w:rPr>
        <w:t xml:space="preserve">substâncias de origem </w:t>
      </w:r>
      <w:r w:rsidR="005E69AA">
        <w:rPr>
          <w:rFonts w:ascii="Times New Roman" w:hAnsi="Times New Roman"/>
          <w:lang w:val="pt-BR"/>
        </w:rPr>
        <w:t>naturais,</w:t>
      </w:r>
      <w:r>
        <w:rPr>
          <w:rFonts w:ascii="Times New Roman" w:hAnsi="Times New Roman"/>
          <w:lang w:val="pt-BR"/>
        </w:rPr>
        <w:t xml:space="preserve"> em particular o </w:t>
      </w:r>
      <w:proofErr w:type="spellStart"/>
      <w:r>
        <w:rPr>
          <w:rFonts w:ascii="Times New Roman" w:hAnsi="Times New Roman"/>
          <w:lang w:val="pt-BR"/>
        </w:rPr>
        <w:t>limoneno</w:t>
      </w:r>
      <w:proofErr w:type="spellEnd"/>
      <w:r>
        <w:rPr>
          <w:rFonts w:ascii="Times New Roman" w:hAnsi="Times New Roman"/>
          <w:lang w:val="pt-BR"/>
        </w:rPr>
        <w:t>,</w:t>
      </w:r>
      <w:r w:rsidR="005E69AA">
        <w:rPr>
          <w:rFonts w:ascii="Times New Roman" w:hAnsi="Times New Roman"/>
          <w:lang w:val="pt-BR"/>
        </w:rPr>
        <w:t xml:space="preserve"> para </w:t>
      </w:r>
      <w:r>
        <w:rPr>
          <w:rFonts w:ascii="Times New Roman" w:hAnsi="Times New Roman"/>
          <w:lang w:val="pt-BR"/>
        </w:rPr>
        <w:t xml:space="preserve">produção de </w:t>
      </w:r>
      <w:r w:rsidR="000C230D">
        <w:rPr>
          <w:rFonts w:ascii="Times New Roman" w:hAnsi="Times New Roman"/>
          <w:lang w:val="pt-BR"/>
        </w:rPr>
        <w:t>potenciais aditivos</w:t>
      </w:r>
      <w:r w:rsidR="005E69AA">
        <w:rPr>
          <w:rFonts w:ascii="Times New Roman" w:hAnsi="Times New Roman"/>
          <w:lang w:val="pt-BR"/>
        </w:rPr>
        <w:t xml:space="preserve"> </w:t>
      </w:r>
      <w:r>
        <w:rPr>
          <w:rFonts w:ascii="Times New Roman" w:hAnsi="Times New Roman"/>
          <w:lang w:val="pt-BR"/>
        </w:rPr>
        <w:t>do</w:t>
      </w:r>
      <w:r w:rsidR="005E69AA">
        <w:rPr>
          <w:rFonts w:ascii="Times New Roman" w:hAnsi="Times New Roman"/>
          <w:lang w:val="pt-BR"/>
        </w:rPr>
        <w:t xml:space="preserve"> óleo </w:t>
      </w:r>
      <w:r w:rsidR="00134437">
        <w:rPr>
          <w:rFonts w:ascii="Times New Roman" w:hAnsi="Times New Roman"/>
          <w:lang w:val="pt-BR"/>
        </w:rPr>
        <w:t>(</w:t>
      </w:r>
      <w:proofErr w:type="spellStart"/>
      <w:r w:rsidR="00134437">
        <w:rPr>
          <w:rFonts w:ascii="Times New Roman" w:hAnsi="Times New Roman"/>
          <w:lang w:val="pt-BR"/>
        </w:rPr>
        <w:t>bio</w:t>
      </w:r>
      <w:proofErr w:type="spellEnd"/>
      <w:r w:rsidR="00134437">
        <w:rPr>
          <w:rFonts w:ascii="Times New Roman" w:hAnsi="Times New Roman"/>
          <w:lang w:val="pt-BR"/>
        </w:rPr>
        <w:t>)</w:t>
      </w:r>
      <w:r w:rsidR="005E69AA">
        <w:rPr>
          <w:rFonts w:ascii="Times New Roman" w:hAnsi="Times New Roman"/>
          <w:lang w:val="pt-BR"/>
        </w:rPr>
        <w:t>diesel.</w:t>
      </w:r>
      <w:r>
        <w:rPr>
          <w:rFonts w:ascii="Times New Roman" w:hAnsi="Times New Roman"/>
          <w:lang w:val="pt-BR"/>
        </w:rPr>
        <w:t xml:space="preserve"> Como álcool </w:t>
      </w:r>
      <w:r w:rsidR="00942E18">
        <w:rPr>
          <w:rFonts w:ascii="Times New Roman" w:hAnsi="Times New Roman"/>
          <w:lang w:val="pt-BR"/>
        </w:rPr>
        <w:t>n</w:t>
      </w:r>
      <w:r>
        <w:rPr>
          <w:rFonts w:ascii="Times New Roman" w:hAnsi="Times New Roman"/>
          <w:lang w:val="pt-BR"/>
        </w:rPr>
        <w:t>a</w:t>
      </w:r>
      <w:r w:rsidR="00942E18">
        <w:rPr>
          <w:rFonts w:ascii="Times New Roman" w:hAnsi="Times New Roman"/>
          <w:lang w:val="pt-BR"/>
        </w:rPr>
        <w:t xml:space="preserve"> etapa de</w:t>
      </w:r>
      <w:r>
        <w:rPr>
          <w:rFonts w:ascii="Times New Roman" w:hAnsi="Times New Roman"/>
          <w:lang w:val="pt-BR"/>
        </w:rPr>
        <w:t xml:space="preserve"> </w:t>
      </w:r>
      <w:proofErr w:type="spellStart"/>
      <w:r>
        <w:rPr>
          <w:rFonts w:ascii="Times New Roman" w:hAnsi="Times New Roman"/>
          <w:lang w:val="pt-BR"/>
        </w:rPr>
        <w:t>acetalização</w:t>
      </w:r>
      <w:proofErr w:type="spellEnd"/>
      <w:r>
        <w:rPr>
          <w:rFonts w:ascii="Times New Roman" w:hAnsi="Times New Roman"/>
          <w:lang w:val="pt-BR"/>
        </w:rPr>
        <w:t xml:space="preserve"> será empregado o glicerol, um importante resíduo da produção do biodiesel.</w:t>
      </w:r>
    </w:p>
    <w:p w14:paraId="143CD8C8" w14:textId="77777777" w:rsidR="000D74D7" w:rsidRPr="001F25B2" w:rsidRDefault="000D74D7" w:rsidP="00A00C17">
      <w:pPr>
        <w:pStyle w:val="TAMainText"/>
        <w:ind w:firstLine="0"/>
        <w:rPr>
          <w:rFonts w:ascii="Times New Roman" w:hAnsi="Times New Roman"/>
          <w:b/>
          <w:lang w:val="pt-BR"/>
        </w:rPr>
      </w:pPr>
    </w:p>
    <w:p w14:paraId="52FFAC79" w14:textId="77777777" w:rsidR="00EA4E1B" w:rsidRPr="001F25B2" w:rsidRDefault="00EA4E1B" w:rsidP="00EA4E1B">
      <w:pPr>
        <w:pStyle w:val="Ttulo2"/>
        <w:rPr>
          <w:rFonts w:ascii="Helvetica" w:hAnsi="Helvetica" w:cs="Helvetica"/>
          <w:sz w:val="24"/>
          <w:szCs w:val="24"/>
        </w:rPr>
      </w:pPr>
      <w:r w:rsidRPr="001F25B2">
        <w:rPr>
          <w:rFonts w:ascii="Helvetica" w:hAnsi="Helvetica" w:cs="Helvetica"/>
          <w:sz w:val="24"/>
          <w:szCs w:val="24"/>
        </w:rPr>
        <w:t>Experimental</w:t>
      </w:r>
    </w:p>
    <w:p w14:paraId="2FCB21DC" w14:textId="66231014" w:rsidR="00643232" w:rsidRDefault="00A00C17" w:rsidP="00F1439C">
      <w:pPr>
        <w:pStyle w:val="TAMainText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 xml:space="preserve">Os testes catalíticos foram realizados em frascos de vidro </w:t>
      </w:r>
      <w:r w:rsidR="001144B9">
        <w:rPr>
          <w:rFonts w:ascii="Times New Roman" w:hAnsi="Times New Roman"/>
          <w:lang w:val="pt-BR"/>
        </w:rPr>
        <w:t xml:space="preserve">com septo de borracha </w:t>
      </w:r>
      <w:r>
        <w:rPr>
          <w:rFonts w:ascii="Times New Roman" w:hAnsi="Times New Roman"/>
          <w:lang w:val="pt-BR"/>
        </w:rPr>
        <w:t>inseridos no interior de um reator de aço. Fo</w:t>
      </w:r>
      <w:r w:rsidR="003F505B">
        <w:rPr>
          <w:rFonts w:ascii="Times New Roman" w:hAnsi="Times New Roman"/>
          <w:lang w:val="pt-BR"/>
        </w:rPr>
        <w:t>i</w:t>
      </w:r>
      <w:r>
        <w:rPr>
          <w:rFonts w:ascii="Times New Roman" w:hAnsi="Times New Roman"/>
          <w:lang w:val="pt-BR"/>
        </w:rPr>
        <w:t xml:space="preserve"> adicionad</w:t>
      </w:r>
      <w:r w:rsidR="001144B9">
        <w:rPr>
          <w:rFonts w:ascii="Times New Roman" w:hAnsi="Times New Roman"/>
          <w:lang w:val="pt-BR"/>
        </w:rPr>
        <w:t>a</w:t>
      </w:r>
      <w:r>
        <w:rPr>
          <w:rFonts w:ascii="Times New Roman" w:hAnsi="Times New Roman"/>
          <w:lang w:val="pt-BR"/>
        </w:rPr>
        <w:t xml:space="preserve"> em um frasco de 4 </w:t>
      </w:r>
      <w:proofErr w:type="spellStart"/>
      <w:r>
        <w:rPr>
          <w:rFonts w:ascii="Times New Roman" w:hAnsi="Times New Roman"/>
          <w:lang w:val="pt-BR"/>
        </w:rPr>
        <w:t>mL</w:t>
      </w:r>
      <w:proofErr w:type="spellEnd"/>
      <w:r>
        <w:rPr>
          <w:rFonts w:ascii="Times New Roman" w:hAnsi="Times New Roman"/>
          <w:lang w:val="pt-BR"/>
        </w:rPr>
        <w:t xml:space="preserve"> </w:t>
      </w:r>
      <w:r w:rsidR="003F505B">
        <w:rPr>
          <w:rFonts w:ascii="Times New Roman" w:hAnsi="Times New Roman"/>
          <w:lang w:val="pt-BR"/>
        </w:rPr>
        <w:t xml:space="preserve">uma solução contendo </w:t>
      </w:r>
      <w:r>
        <w:rPr>
          <w:rFonts w:ascii="Times New Roman" w:hAnsi="Times New Roman"/>
          <w:lang w:val="pt-BR"/>
        </w:rPr>
        <w:t>o catalisador Rh</w:t>
      </w:r>
      <w:r w:rsidR="005A7FCE">
        <w:rPr>
          <w:rFonts w:ascii="Times New Roman" w:hAnsi="Times New Roman"/>
          <w:lang w:val="pt-BR"/>
        </w:rPr>
        <w:t>(</w:t>
      </w:r>
      <w:proofErr w:type="spellStart"/>
      <w:r w:rsidR="005A7FCE">
        <w:rPr>
          <w:rFonts w:ascii="Times New Roman" w:hAnsi="Times New Roman"/>
          <w:lang w:val="pt-BR"/>
        </w:rPr>
        <w:t>acac</w:t>
      </w:r>
      <w:proofErr w:type="spellEnd"/>
      <w:r w:rsidR="005A7FCE">
        <w:rPr>
          <w:rFonts w:ascii="Times New Roman" w:hAnsi="Times New Roman"/>
          <w:lang w:val="pt-BR"/>
        </w:rPr>
        <w:t>)(CO)</w:t>
      </w:r>
      <w:r w:rsidR="005A7FCE" w:rsidRPr="000C230D">
        <w:rPr>
          <w:rFonts w:ascii="Times New Roman" w:hAnsi="Times New Roman"/>
          <w:vertAlign w:val="subscript"/>
          <w:lang w:val="pt-BR"/>
        </w:rPr>
        <w:t>2</w:t>
      </w:r>
      <w:r>
        <w:rPr>
          <w:rFonts w:ascii="Times New Roman" w:hAnsi="Times New Roman"/>
          <w:lang w:val="pt-BR"/>
        </w:rPr>
        <w:t xml:space="preserve">, o ligante </w:t>
      </w:r>
      <w:proofErr w:type="spellStart"/>
      <w:r w:rsidR="00904343">
        <w:rPr>
          <w:rFonts w:ascii="Times New Roman" w:hAnsi="Times New Roman"/>
          <w:lang w:val="pt-BR"/>
        </w:rPr>
        <w:t>trifenilfosfina</w:t>
      </w:r>
      <w:proofErr w:type="spellEnd"/>
      <w:r w:rsidR="00441766">
        <w:rPr>
          <w:rFonts w:ascii="Times New Roman" w:hAnsi="Times New Roman"/>
          <w:lang w:val="pt-BR"/>
        </w:rPr>
        <w:t xml:space="preserve"> </w:t>
      </w:r>
      <w:r>
        <w:rPr>
          <w:rFonts w:ascii="Times New Roman" w:hAnsi="Times New Roman"/>
          <w:lang w:val="pt-BR"/>
        </w:rPr>
        <w:t>(PPh</w:t>
      </w:r>
      <w:r w:rsidRPr="00A00C17">
        <w:rPr>
          <w:rFonts w:ascii="Times New Roman" w:hAnsi="Times New Roman"/>
          <w:vertAlign w:val="subscript"/>
          <w:lang w:val="pt-BR"/>
        </w:rPr>
        <w:t>3</w:t>
      </w:r>
      <w:r>
        <w:rPr>
          <w:rFonts w:ascii="Times New Roman" w:hAnsi="Times New Roman"/>
          <w:lang w:val="pt-BR"/>
        </w:rPr>
        <w:t>), o glicerol</w:t>
      </w:r>
      <w:r w:rsidR="00012630">
        <w:rPr>
          <w:rFonts w:ascii="Times New Roman" w:hAnsi="Times New Roman"/>
          <w:lang w:val="pt-BR"/>
        </w:rPr>
        <w:t xml:space="preserve"> (1 mmol)</w:t>
      </w:r>
      <w:r>
        <w:rPr>
          <w:rFonts w:ascii="Times New Roman" w:hAnsi="Times New Roman"/>
          <w:lang w:val="pt-BR"/>
        </w:rPr>
        <w:t>,</w:t>
      </w:r>
      <w:r w:rsidRPr="00441766">
        <w:rPr>
          <w:rFonts w:ascii="Times New Roman" w:hAnsi="Times New Roman"/>
          <w:i/>
          <w:iCs/>
          <w:lang w:val="pt-BR"/>
        </w:rPr>
        <w:t xml:space="preserve"> </w:t>
      </w:r>
      <w:r w:rsidR="00441766" w:rsidRPr="00441766">
        <w:rPr>
          <w:rFonts w:ascii="Times New Roman" w:hAnsi="Times New Roman"/>
          <w:i/>
          <w:iCs/>
          <w:lang w:val="pt-BR"/>
        </w:rPr>
        <w:t>p</w:t>
      </w:r>
      <w:r w:rsidR="00441766" w:rsidRPr="00441766">
        <w:rPr>
          <w:rFonts w:ascii="Times New Roman" w:hAnsi="Times New Roman"/>
          <w:lang w:val="pt-BR"/>
        </w:rPr>
        <w:t>-</w:t>
      </w:r>
      <w:proofErr w:type="spellStart"/>
      <w:r w:rsidR="00441766">
        <w:rPr>
          <w:rFonts w:ascii="Times New Roman" w:hAnsi="Times New Roman"/>
          <w:lang w:val="pt-BR"/>
        </w:rPr>
        <w:t>t</w:t>
      </w:r>
      <w:r w:rsidR="00441766" w:rsidRPr="00441766">
        <w:rPr>
          <w:rFonts w:ascii="Times New Roman" w:hAnsi="Times New Roman"/>
          <w:lang w:val="pt-BR"/>
        </w:rPr>
        <w:t>oluenossulfonato</w:t>
      </w:r>
      <w:proofErr w:type="spellEnd"/>
      <w:r w:rsidR="00441766" w:rsidRPr="00441766">
        <w:rPr>
          <w:rFonts w:ascii="Times New Roman" w:hAnsi="Times New Roman"/>
          <w:lang w:val="pt-BR"/>
        </w:rPr>
        <w:t xml:space="preserve"> de piridina</w:t>
      </w:r>
      <w:r w:rsidR="00441766">
        <w:rPr>
          <w:rFonts w:ascii="Times New Roman" w:hAnsi="Times New Roman"/>
          <w:lang w:val="pt-BR"/>
        </w:rPr>
        <w:t xml:space="preserve"> </w:t>
      </w:r>
      <w:r w:rsidR="00012630">
        <w:rPr>
          <w:rFonts w:ascii="Times New Roman" w:hAnsi="Times New Roman"/>
          <w:lang w:val="pt-BR"/>
        </w:rPr>
        <w:t>(</w:t>
      </w:r>
      <w:r w:rsidR="002C4C2F">
        <w:rPr>
          <w:rFonts w:ascii="Times New Roman" w:hAnsi="Times New Roman"/>
          <w:lang w:val="pt-BR"/>
        </w:rPr>
        <w:t xml:space="preserve">PTTS </w:t>
      </w:r>
      <w:r w:rsidR="005A7FCE">
        <w:rPr>
          <w:rFonts w:ascii="Times New Roman" w:hAnsi="Times New Roman"/>
          <w:lang w:val="pt-BR"/>
        </w:rPr>
        <w:t>1-</w:t>
      </w:r>
      <w:r w:rsidR="00012630">
        <w:rPr>
          <w:rFonts w:ascii="Times New Roman" w:hAnsi="Times New Roman"/>
          <w:lang w:val="pt-BR"/>
        </w:rPr>
        <w:t>2</w:t>
      </w:r>
      <w:r w:rsidR="003E71C9">
        <w:rPr>
          <w:rFonts w:ascii="Times New Roman" w:hAnsi="Times New Roman"/>
          <w:lang w:val="pt-BR"/>
        </w:rPr>
        <w:t xml:space="preserve"> </w:t>
      </w:r>
      <w:r w:rsidR="00012630">
        <w:rPr>
          <w:rFonts w:ascii="Times New Roman" w:hAnsi="Times New Roman"/>
          <w:lang w:val="pt-BR"/>
        </w:rPr>
        <w:t>mol</w:t>
      </w:r>
      <w:r w:rsidR="003E71C9">
        <w:rPr>
          <w:rFonts w:ascii="Times New Roman" w:hAnsi="Times New Roman"/>
          <w:lang w:val="pt-BR"/>
        </w:rPr>
        <w:t>%</w:t>
      </w:r>
      <w:r w:rsidR="00012630">
        <w:rPr>
          <w:rFonts w:ascii="Times New Roman" w:hAnsi="Times New Roman"/>
          <w:lang w:val="pt-BR"/>
        </w:rPr>
        <w:t xml:space="preserve">), o </w:t>
      </w:r>
      <w:proofErr w:type="spellStart"/>
      <w:r w:rsidR="00012630">
        <w:rPr>
          <w:rFonts w:ascii="Times New Roman" w:hAnsi="Times New Roman"/>
          <w:lang w:val="pt-BR"/>
        </w:rPr>
        <w:t>limoneno</w:t>
      </w:r>
      <w:proofErr w:type="spellEnd"/>
      <w:r w:rsidR="00012630">
        <w:rPr>
          <w:rFonts w:ascii="Times New Roman" w:hAnsi="Times New Roman"/>
          <w:lang w:val="pt-BR"/>
        </w:rPr>
        <w:t xml:space="preserve"> (1</w:t>
      </w:r>
      <w:r w:rsidR="005A7FCE">
        <w:rPr>
          <w:rFonts w:ascii="Times New Roman" w:hAnsi="Times New Roman"/>
          <w:lang w:val="pt-BR"/>
        </w:rPr>
        <w:t xml:space="preserve"> </w:t>
      </w:r>
      <w:r w:rsidR="00012630">
        <w:rPr>
          <w:rFonts w:ascii="Times New Roman" w:hAnsi="Times New Roman"/>
          <w:lang w:val="pt-BR"/>
        </w:rPr>
        <w:t>mmol)</w:t>
      </w:r>
      <w:r w:rsidR="005A7FCE">
        <w:rPr>
          <w:rFonts w:ascii="Times New Roman" w:hAnsi="Times New Roman"/>
          <w:lang w:val="pt-BR"/>
        </w:rPr>
        <w:t xml:space="preserve">, </w:t>
      </w:r>
      <w:r w:rsidR="00012630">
        <w:rPr>
          <w:rFonts w:ascii="Times New Roman" w:hAnsi="Times New Roman"/>
          <w:lang w:val="pt-BR"/>
        </w:rPr>
        <w:t xml:space="preserve">e o </w:t>
      </w:r>
      <w:r w:rsidR="009C035A" w:rsidRPr="00012630">
        <w:rPr>
          <w:rFonts w:ascii="Times New Roman" w:hAnsi="Times New Roman"/>
          <w:i/>
          <w:iCs/>
          <w:lang w:val="pt-BR"/>
        </w:rPr>
        <w:t>p</w:t>
      </w:r>
      <w:r w:rsidR="009C035A">
        <w:rPr>
          <w:rFonts w:ascii="Times New Roman" w:hAnsi="Times New Roman"/>
          <w:lang w:val="pt-BR"/>
        </w:rPr>
        <w:t xml:space="preserve">-xileno </w:t>
      </w:r>
      <w:r w:rsidR="00012630">
        <w:rPr>
          <w:rFonts w:ascii="Times New Roman" w:hAnsi="Times New Roman"/>
          <w:lang w:val="pt-BR"/>
        </w:rPr>
        <w:t>(</w:t>
      </w:r>
      <w:r w:rsidR="009C035A">
        <w:rPr>
          <w:rFonts w:ascii="Times New Roman" w:hAnsi="Times New Roman"/>
          <w:lang w:val="pt-BR"/>
        </w:rPr>
        <w:t xml:space="preserve">padrão interno, </w:t>
      </w:r>
      <w:r w:rsidR="00012630">
        <w:rPr>
          <w:rFonts w:ascii="Times New Roman" w:hAnsi="Times New Roman"/>
          <w:lang w:val="pt-BR"/>
        </w:rPr>
        <w:t>1 mmol) sob atmosfera de argônio</w:t>
      </w:r>
      <w:r w:rsidR="00B27151">
        <w:rPr>
          <w:rFonts w:ascii="Times New Roman" w:hAnsi="Times New Roman"/>
          <w:lang w:val="pt-BR"/>
        </w:rPr>
        <w:t xml:space="preserve"> (</w:t>
      </w:r>
      <w:r w:rsidR="00012630">
        <w:rPr>
          <w:rFonts w:ascii="Times New Roman" w:hAnsi="Times New Roman"/>
          <w:lang w:val="pt-BR"/>
        </w:rPr>
        <w:t xml:space="preserve">volume </w:t>
      </w:r>
      <w:proofErr w:type="spellStart"/>
      <w:r w:rsidR="00B65D46">
        <w:rPr>
          <w:rFonts w:ascii="Times New Roman" w:hAnsi="Times New Roman"/>
          <w:lang w:val="pt-BR"/>
        </w:rPr>
        <w:t>totaal</w:t>
      </w:r>
      <w:proofErr w:type="spellEnd"/>
      <w:r w:rsidR="00B65D46">
        <w:rPr>
          <w:rFonts w:ascii="Times New Roman" w:hAnsi="Times New Roman"/>
          <w:lang w:val="pt-BR"/>
        </w:rPr>
        <w:t xml:space="preserve"> </w:t>
      </w:r>
      <w:r w:rsidR="00012630">
        <w:rPr>
          <w:rFonts w:ascii="Times New Roman" w:hAnsi="Times New Roman"/>
          <w:lang w:val="pt-BR"/>
        </w:rPr>
        <w:t xml:space="preserve">de aproximadamente 2 </w:t>
      </w:r>
      <w:proofErr w:type="spellStart"/>
      <w:r w:rsidR="00012630">
        <w:rPr>
          <w:rFonts w:ascii="Times New Roman" w:hAnsi="Times New Roman"/>
          <w:lang w:val="pt-BR"/>
        </w:rPr>
        <w:t>mL</w:t>
      </w:r>
      <w:proofErr w:type="spellEnd"/>
      <w:r w:rsidR="00B27151">
        <w:rPr>
          <w:rFonts w:ascii="Times New Roman" w:hAnsi="Times New Roman"/>
          <w:lang w:val="pt-BR"/>
        </w:rPr>
        <w:t>)</w:t>
      </w:r>
      <w:r w:rsidR="00012630">
        <w:rPr>
          <w:rFonts w:ascii="Times New Roman" w:hAnsi="Times New Roman"/>
          <w:lang w:val="pt-BR"/>
        </w:rPr>
        <w:t xml:space="preserve">. </w:t>
      </w:r>
      <w:r w:rsidR="00B65D46">
        <w:rPr>
          <w:rFonts w:ascii="Times New Roman" w:hAnsi="Times New Roman"/>
          <w:lang w:val="pt-BR"/>
        </w:rPr>
        <w:t xml:space="preserve">O </w:t>
      </w:r>
      <w:r w:rsidR="00012630">
        <w:rPr>
          <w:rFonts w:ascii="Times New Roman" w:hAnsi="Times New Roman"/>
          <w:lang w:val="pt-BR"/>
        </w:rPr>
        <w:t>frasco foi fechado, sendo que no septo foi inserid</w:t>
      </w:r>
      <w:r w:rsidR="00B65D46">
        <w:rPr>
          <w:rFonts w:ascii="Times New Roman" w:hAnsi="Times New Roman"/>
          <w:lang w:val="pt-BR"/>
        </w:rPr>
        <w:t>a</w:t>
      </w:r>
      <w:r w:rsidR="00012630">
        <w:rPr>
          <w:rFonts w:ascii="Times New Roman" w:hAnsi="Times New Roman"/>
          <w:lang w:val="pt-BR"/>
        </w:rPr>
        <w:t xml:space="preserve"> uma agulha hipodérmica para permitir a </w:t>
      </w:r>
      <w:r w:rsidR="005A7FCE">
        <w:rPr>
          <w:rFonts w:ascii="Times New Roman" w:hAnsi="Times New Roman"/>
          <w:lang w:val="pt-BR"/>
        </w:rPr>
        <w:t>troca de gases</w:t>
      </w:r>
      <w:r w:rsidR="00012630">
        <w:rPr>
          <w:rFonts w:ascii="Times New Roman" w:hAnsi="Times New Roman"/>
          <w:lang w:val="pt-BR"/>
        </w:rPr>
        <w:t>. A autoclave foi fechada e pressurizada com CO e H</w:t>
      </w:r>
      <w:r w:rsidR="00012630" w:rsidRPr="000C230D">
        <w:rPr>
          <w:rFonts w:ascii="Times New Roman" w:hAnsi="Times New Roman"/>
          <w:vertAlign w:val="subscript"/>
          <w:lang w:val="pt-BR"/>
        </w:rPr>
        <w:t>2</w:t>
      </w:r>
      <w:r w:rsidR="00012630">
        <w:rPr>
          <w:rFonts w:ascii="Times New Roman" w:hAnsi="Times New Roman"/>
          <w:lang w:val="pt-BR"/>
        </w:rPr>
        <w:t>, e colocad</w:t>
      </w:r>
      <w:r w:rsidR="00BA2795">
        <w:rPr>
          <w:rFonts w:ascii="Times New Roman" w:hAnsi="Times New Roman"/>
          <w:lang w:val="pt-BR"/>
        </w:rPr>
        <w:t>a</w:t>
      </w:r>
      <w:r w:rsidR="00012630">
        <w:rPr>
          <w:rFonts w:ascii="Times New Roman" w:hAnsi="Times New Roman"/>
          <w:lang w:val="pt-BR"/>
        </w:rPr>
        <w:t xml:space="preserve"> em um banho </w:t>
      </w:r>
      <w:proofErr w:type="spellStart"/>
      <w:r w:rsidR="00012630">
        <w:rPr>
          <w:rFonts w:ascii="Times New Roman" w:hAnsi="Times New Roman"/>
          <w:lang w:val="pt-BR"/>
        </w:rPr>
        <w:t>termostatizado</w:t>
      </w:r>
      <w:proofErr w:type="spellEnd"/>
      <w:r w:rsidR="00012630">
        <w:rPr>
          <w:rFonts w:ascii="Times New Roman" w:hAnsi="Times New Roman"/>
          <w:lang w:val="pt-BR"/>
        </w:rPr>
        <w:t>, posteriormente foi ligad</w:t>
      </w:r>
      <w:r w:rsidR="00BA2795">
        <w:rPr>
          <w:rFonts w:ascii="Times New Roman" w:hAnsi="Times New Roman"/>
          <w:lang w:val="pt-BR"/>
        </w:rPr>
        <w:t>a</w:t>
      </w:r>
      <w:r w:rsidR="00012630">
        <w:rPr>
          <w:rFonts w:ascii="Times New Roman" w:hAnsi="Times New Roman"/>
          <w:lang w:val="pt-BR"/>
        </w:rPr>
        <w:t xml:space="preserve"> a agitação magnética. Ao final das 24 horas, o </w:t>
      </w:r>
      <w:r w:rsidR="00BA2795">
        <w:rPr>
          <w:rFonts w:ascii="Times New Roman" w:hAnsi="Times New Roman"/>
          <w:lang w:val="pt-BR"/>
        </w:rPr>
        <w:t>aquecimento</w:t>
      </w:r>
      <w:r w:rsidR="00012630">
        <w:rPr>
          <w:rFonts w:ascii="Times New Roman" w:hAnsi="Times New Roman"/>
          <w:lang w:val="pt-BR"/>
        </w:rPr>
        <w:t xml:space="preserve"> foi desligado, a autoclave foi despressurizada, e </w:t>
      </w:r>
      <w:r w:rsidR="009824C0">
        <w:rPr>
          <w:rFonts w:ascii="Times New Roman" w:hAnsi="Times New Roman"/>
          <w:lang w:val="pt-BR"/>
        </w:rPr>
        <w:t>a mistura foi</w:t>
      </w:r>
      <w:r w:rsidR="00012630">
        <w:rPr>
          <w:rFonts w:ascii="Times New Roman" w:hAnsi="Times New Roman"/>
          <w:lang w:val="pt-BR"/>
        </w:rPr>
        <w:t xml:space="preserve"> analisad</w:t>
      </w:r>
      <w:r w:rsidR="009824C0">
        <w:rPr>
          <w:rFonts w:ascii="Times New Roman" w:hAnsi="Times New Roman"/>
          <w:lang w:val="pt-BR"/>
        </w:rPr>
        <w:t>a</w:t>
      </w:r>
      <w:r w:rsidR="00012630">
        <w:rPr>
          <w:rFonts w:ascii="Times New Roman" w:hAnsi="Times New Roman"/>
          <w:lang w:val="pt-BR"/>
        </w:rPr>
        <w:t xml:space="preserve"> por cromatografia gasosa (CG)</w:t>
      </w:r>
      <w:r w:rsidR="00015912">
        <w:rPr>
          <w:rFonts w:ascii="Times New Roman" w:hAnsi="Times New Roman"/>
          <w:lang w:val="pt-BR"/>
        </w:rPr>
        <w:t xml:space="preserve"> com uso de padrão interno</w:t>
      </w:r>
      <w:r w:rsidR="00012630">
        <w:rPr>
          <w:rFonts w:ascii="Times New Roman" w:hAnsi="Times New Roman"/>
          <w:lang w:val="pt-BR"/>
        </w:rPr>
        <w:t>.</w:t>
      </w:r>
      <w:r w:rsidR="00F1439C">
        <w:rPr>
          <w:rFonts w:ascii="Times New Roman" w:hAnsi="Times New Roman"/>
          <w:lang w:val="pt-BR"/>
        </w:rPr>
        <w:t xml:space="preserve"> </w:t>
      </w:r>
      <w:r w:rsidR="00643232">
        <w:rPr>
          <w:rFonts w:ascii="Times New Roman" w:hAnsi="Times New Roman"/>
          <w:lang w:val="pt-BR"/>
        </w:rPr>
        <w:t xml:space="preserve">Os produtos da reação </w:t>
      </w:r>
      <w:r w:rsidR="00F1439C">
        <w:rPr>
          <w:rFonts w:ascii="Times New Roman" w:hAnsi="Times New Roman"/>
          <w:lang w:val="pt-BR"/>
        </w:rPr>
        <w:t>f</w:t>
      </w:r>
      <w:r w:rsidR="00643232">
        <w:rPr>
          <w:rFonts w:ascii="Times New Roman" w:hAnsi="Times New Roman"/>
          <w:lang w:val="pt-BR"/>
        </w:rPr>
        <w:t>oram identificados por espectrometria de massas acoplada ao um cromatógrafo a gás (CG-MS)</w:t>
      </w:r>
      <w:r w:rsidR="00C34195">
        <w:rPr>
          <w:rFonts w:ascii="Times New Roman" w:hAnsi="Times New Roman"/>
          <w:lang w:val="pt-BR"/>
        </w:rPr>
        <w:t>.</w:t>
      </w:r>
    </w:p>
    <w:p w14:paraId="25E2C2D6" w14:textId="77777777" w:rsidR="00841996" w:rsidRPr="001F25B2" w:rsidRDefault="00841996" w:rsidP="00F1439C">
      <w:pPr>
        <w:pStyle w:val="TAMainText"/>
        <w:rPr>
          <w:rFonts w:ascii="Times New Roman" w:hAnsi="Times New Roman"/>
          <w:lang w:val="pt-BR"/>
        </w:rPr>
      </w:pPr>
    </w:p>
    <w:p w14:paraId="136BD1AC" w14:textId="731A63B1" w:rsidR="00EA4E1B" w:rsidRPr="001F25B2" w:rsidRDefault="00EA4E1B" w:rsidP="00EA4E1B">
      <w:pPr>
        <w:pStyle w:val="Ttulo2"/>
        <w:rPr>
          <w:rFonts w:ascii="Helvetica" w:hAnsi="Helvetica" w:cs="Helvetica"/>
          <w:sz w:val="24"/>
          <w:szCs w:val="24"/>
        </w:rPr>
      </w:pPr>
      <w:r w:rsidRPr="001F25B2">
        <w:rPr>
          <w:rFonts w:ascii="Helvetica" w:hAnsi="Helvetica" w:cs="Helvetica"/>
          <w:sz w:val="24"/>
          <w:szCs w:val="24"/>
        </w:rPr>
        <w:t>Resultados e Discussão</w:t>
      </w:r>
    </w:p>
    <w:p w14:paraId="619B558F" w14:textId="77777777" w:rsidR="00186355" w:rsidRDefault="00186355" w:rsidP="00EA4E1B">
      <w:pPr>
        <w:pStyle w:val="TAMainText"/>
        <w:ind w:firstLine="187"/>
        <w:rPr>
          <w:rFonts w:ascii="Times New Roman" w:hAnsi="Times New Roman"/>
          <w:lang w:val="pt-BR"/>
        </w:rPr>
      </w:pPr>
    </w:p>
    <w:p w14:paraId="7B3B7DEC" w14:textId="258A4A2B" w:rsidR="002C4C2F" w:rsidRDefault="005A7FCE" w:rsidP="00EA4E1B">
      <w:pPr>
        <w:pStyle w:val="TAMainText"/>
        <w:ind w:firstLine="187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Na</w:t>
      </w:r>
      <w:r w:rsidR="00EA613C">
        <w:rPr>
          <w:rFonts w:ascii="Times New Roman" w:hAnsi="Times New Roman"/>
          <w:lang w:val="pt-BR"/>
        </w:rPr>
        <w:t xml:space="preserve">s reações de </w:t>
      </w:r>
      <w:proofErr w:type="spellStart"/>
      <w:r w:rsidR="00EA613C">
        <w:rPr>
          <w:rFonts w:ascii="Times New Roman" w:hAnsi="Times New Roman"/>
          <w:lang w:val="pt-BR"/>
        </w:rPr>
        <w:t>hidroformilação</w:t>
      </w:r>
      <w:proofErr w:type="spellEnd"/>
      <w:r>
        <w:rPr>
          <w:rFonts w:ascii="Times New Roman" w:hAnsi="Times New Roman"/>
          <w:lang w:val="pt-BR"/>
        </w:rPr>
        <w:t>/</w:t>
      </w:r>
      <w:proofErr w:type="spellStart"/>
      <w:r w:rsidR="00EA613C">
        <w:rPr>
          <w:rFonts w:ascii="Times New Roman" w:hAnsi="Times New Roman"/>
          <w:lang w:val="pt-BR"/>
        </w:rPr>
        <w:t>acetalização</w:t>
      </w:r>
      <w:proofErr w:type="spellEnd"/>
      <w:r w:rsidR="00EA613C">
        <w:rPr>
          <w:rFonts w:ascii="Times New Roman" w:hAnsi="Times New Roman"/>
          <w:lang w:val="pt-BR"/>
        </w:rPr>
        <w:t xml:space="preserve"> do </w:t>
      </w:r>
      <w:proofErr w:type="spellStart"/>
      <w:r w:rsidR="00EA613C">
        <w:rPr>
          <w:rFonts w:ascii="Times New Roman" w:hAnsi="Times New Roman"/>
          <w:lang w:val="pt-BR"/>
        </w:rPr>
        <w:t>limoneno</w:t>
      </w:r>
      <w:proofErr w:type="spellEnd"/>
      <w:r w:rsidR="00EA613C">
        <w:rPr>
          <w:rFonts w:ascii="Times New Roman" w:hAnsi="Times New Roman"/>
          <w:lang w:val="pt-BR"/>
        </w:rPr>
        <w:t xml:space="preserve">, </w:t>
      </w:r>
      <w:r>
        <w:rPr>
          <w:rFonts w:ascii="Times New Roman" w:hAnsi="Times New Roman"/>
          <w:lang w:val="pt-BR"/>
        </w:rPr>
        <w:t xml:space="preserve">observou-se a </w:t>
      </w:r>
      <w:r w:rsidR="00EA613C">
        <w:rPr>
          <w:rFonts w:ascii="Times New Roman" w:hAnsi="Times New Roman"/>
          <w:lang w:val="pt-BR"/>
        </w:rPr>
        <w:t>form</w:t>
      </w:r>
      <w:r>
        <w:rPr>
          <w:rFonts w:ascii="Times New Roman" w:hAnsi="Times New Roman"/>
          <w:lang w:val="pt-BR"/>
        </w:rPr>
        <w:t>ação</w:t>
      </w:r>
      <w:r w:rsidR="00EA613C">
        <w:rPr>
          <w:rFonts w:ascii="Times New Roman" w:hAnsi="Times New Roman"/>
          <w:lang w:val="pt-BR"/>
        </w:rPr>
        <w:t xml:space="preserve"> </w:t>
      </w:r>
      <w:r w:rsidR="00EA24B2">
        <w:rPr>
          <w:rFonts w:ascii="Times New Roman" w:hAnsi="Times New Roman"/>
          <w:lang w:val="pt-BR"/>
        </w:rPr>
        <w:t>de dois acetais isoméricos</w:t>
      </w:r>
      <w:r w:rsidR="00EA613C">
        <w:rPr>
          <w:rFonts w:ascii="Times New Roman" w:hAnsi="Times New Roman"/>
          <w:lang w:val="pt-BR"/>
        </w:rPr>
        <w:t xml:space="preserve"> </w:t>
      </w:r>
      <w:r w:rsidR="00EA613C" w:rsidRPr="000C230D">
        <w:rPr>
          <w:rFonts w:ascii="Times New Roman" w:hAnsi="Times New Roman"/>
          <w:b/>
          <w:bCs/>
          <w:lang w:val="pt-BR"/>
        </w:rPr>
        <w:t>1</w:t>
      </w:r>
      <w:r w:rsidR="00EA613C">
        <w:rPr>
          <w:rFonts w:ascii="Times New Roman" w:hAnsi="Times New Roman"/>
          <w:lang w:val="pt-BR"/>
        </w:rPr>
        <w:t xml:space="preserve"> e </w:t>
      </w:r>
      <w:r w:rsidR="00EA613C" w:rsidRPr="000C230D">
        <w:rPr>
          <w:rFonts w:ascii="Times New Roman" w:hAnsi="Times New Roman"/>
          <w:b/>
          <w:bCs/>
          <w:lang w:val="pt-BR"/>
        </w:rPr>
        <w:t>2</w:t>
      </w:r>
      <w:r w:rsidR="00EA24B2">
        <w:rPr>
          <w:rFonts w:ascii="Times New Roman" w:hAnsi="Times New Roman"/>
          <w:lang w:val="pt-BR"/>
        </w:rPr>
        <w:t xml:space="preserve">, </w:t>
      </w:r>
      <w:r w:rsidR="00DA26D4">
        <w:rPr>
          <w:rFonts w:ascii="Times New Roman" w:hAnsi="Times New Roman"/>
          <w:lang w:val="pt-BR"/>
        </w:rPr>
        <w:t xml:space="preserve">resultantes de duas maneiras de </w:t>
      </w:r>
      <w:r w:rsidR="00B237AD">
        <w:rPr>
          <w:rFonts w:ascii="Times New Roman" w:hAnsi="Times New Roman"/>
          <w:lang w:val="pt-BR"/>
        </w:rPr>
        <w:t>interação</w:t>
      </w:r>
      <w:r w:rsidR="00DA26D4">
        <w:rPr>
          <w:rFonts w:ascii="Times New Roman" w:hAnsi="Times New Roman"/>
          <w:lang w:val="pt-BR"/>
        </w:rPr>
        <w:t xml:space="preserve"> do</w:t>
      </w:r>
      <w:r w:rsidR="00EA24B2">
        <w:rPr>
          <w:rFonts w:ascii="Times New Roman" w:hAnsi="Times New Roman"/>
          <w:lang w:val="pt-BR"/>
        </w:rPr>
        <w:t xml:space="preserve"> </w:t>
      </w:r>
      <w:r w:rsidR="00DA26D4">
        <w:rPr>
          <w:rFonts w:ascii="Times New Roman" w:hAnsi="Times New Roman"/>
          <w:lang w:val="pt-BR"/>
        </w:rPr>
        <w:t xml:space="preserve">glicerol </w:t>
      </w:r>
      <w:r w:rsidR="00B237AD">
        <w:rPr>
          <w:rFonts w:ascii="Times New Roman" w:hAnsi="Times New Roman"/>
          <w:lang w:val="pt-BR"/>
        </w:rPr>
        <w:t>com</w:t>
      </w:r>
      <w:r w:rsidR="00EA24B2">
        <w:rPr>
          <w:rFonts w:ascii="Times New Roman" w:hAnsi="Times New Roman"/>
          <w:lang w:val="pt-BR"/>
        </w:rPr>
        <w:t xml:space="preserve"> aldeído</w:t>
      </w:r>
      <w:r w:rsidR="00B237AD">
        <w:rPr>
          <w:rFonts w:ascii="Times New Roman" w:hAnsi="Times New Roman"/>
          <w:lang w:val="pt-BR"/>
        </w:rPr>
        <w:t xml:space="preserve">: via hidroxilas terminais ou adjacentes </w:t>
      </w:r>
      <w:r w:rsidR="004F6E94">
        <w:rPr>
          <w:rFonts w:ascii="Times New Roman" w:hAnsi="Times New Roman"/>
          <w:lang w:val="pt-BR"/>
        </w:rPr>
        <w:t>(</w:t>
      </w:r>
      <w:r w:rsidR="00EA24B2">
        <w:rPr>
          <w:rFonts w:ascii="Times New Roman" w:hAnsi="Times New Roman"/>
          <w:lang w:val="pt-BR"/>
        </w:rPr>
        <w:t>F</w:t>
      </w:r>
      <w:r w:rsidR="004F6E94">
        <w:rPr>
          <w:rFonts w:ascii="Times New Roman" w:hAnsi="Times New Roman"/>
          <w:lang w:val="pt-BR"/>
        </w:rPr>
        <w:t>igura 1)</w:t>
      </w:r>
      <w:r w:rsidR="00EA613C">
        <w:rPr>
          <w:rFonts w:ascii="Times New Roman" w:hAnsi="Times New Roman"/>
          <w:lang w:val="pt-BR"/>
        </w:rPr>
        <w:t xml:space="preserve">. </w:t>
      </w:r>
      <w:r w:rsidR="002C4C2F">
        <w:rPr>
          <w:rFonts w:ascii="Times New Roman" w:hAnsi="Times New Roman"/>
          <w:lang w:val="pt-BR"/>
        </w:rPr>
        <w:t xml:space="preserve">Além dos </w:t>
      </w:r>
      <w:r w:rsidR="00EA24B2">
        <w:rPr>
          <w:rFonts w:ascii="Times New Roman" w:hAnsi="Times New Roman"/>
          <w:lang w:val="pt-BR"/>
        </w:rPr>
        <w:t xml:space="preserve">acetais, foi detectada a formação do álcool </w:t>
      </w:r>
      <w:r w:rsidR="00EA24B2" w:rsidRPr="003E46CC">
        <w:rPr>
          <w:rFonts w:ascii="Times New Roman" w:hAnsi="Times New Roman"/>
          <w:b/>
          <w:bCs/>
          <w:lang w:val="pt-BR"/>
        </w:rPr>
        <w:t>3</w:t>
      </w:r>
      <w:r w:rsidR="00EA24B2">
        <w:rPr>
          <w:rFonts w:ascii="Times New Roman" w:hAnsi="Times New Roman"/>
          <w:b/>
          <w:bCs/>
          <w:lang w:val="pt-BR"/>
        </w:rPr>
        <w:t xml:space="preserve"> </w:t>
      </w:r>
      <w:r w:rsidR="00015912" w:rsidRPr="00677D4A">
        <w:rPr>
          <w:rFonts w:ascii="Times New Roman" w:hAnsi="Times New Roman"/>
          <w:lang w:val="pt-BR"/>
        </w:rPr>
        <w:t>(Figura 1)</w:t>
      </w:r>
      <w:r w:rsidR="00015912">
        <w:rPr>
          <w:rFonts w:ascii="Times New Roman" w:hAnsi="Times New Roman"/>
          <w:b/>
          <w:bCs/>
          <w:lang w:val="pt-BR"/>
        </w:rPr>
        <w:t xml:space="preserve"> </w:t>
      </w:r>
      <w:r w:rsidR="00EA24B2" w:rsidRPr="00EA24B2">
        <w:rPr>
          <w:rFonts w:ascii="Times New Roman" w:hAnsi="Times New Roman"/>
          <w:lang w:val="pt-BR"/>
        </w:rPr>
        <w:t>resultante</w:t>
      </w:r>
      <w:r w:rsidR="00EA24B2">
        <w:rPr>
          <w:rFonts w:ascii="Times New Roman" w:hAnsi="Times New Roman"/>
          <w:b/>
          <w:bCs/>
          <w:lang w:val="pt-BR"/>
        </w:rPr>
        <w:t xml:space="preserve"> </w:t>
      </w:r>
      <w:r w:rsidR="00EA24B2">
        <w:rPr>
          <w:rFonts w:ascii="Times New Roman" w:hAnsi="Times New Roman"/>
          <w:lang w:val="pt-BR"/>
        </w:rPr>
        <w:t xml:space="preserve">da </w:t>
      </w:r>
      <w:proofErr w:type="spellStart"/>
      <w:r w:rsidR="002C4C2F">
        <w:rPr>
          <w:rFonts w:ascii="Times New Roman" w:hAnsi="Times New Roman"/>
          <w:lang w:val="pt-BR"/>
        </w:rPr>
        <w:t>ciclização</w:t>
      </w:r>
      <w:proofErr w:type="spellEnd"/>
      <w:r w:rsidR="002C4C2F">
        <w:rPr>
          <w:rFonts w:ascii="Times New Roman" w:hAnsi="Times New Roman"/>
          <w:lang w:val="pt-BR"/>
        </w:rPr>
        <w:t xml:space="preserve"> </w:t>
      </w:r>
      <w:r w:rsidR="00EA24B2">
        <w:rPr>
          <w:rFonts w:ascii="Times New Roman" w:hAnsi="Times New Roman"/>
          <w:lang w:val="pt-BR"/>
        </w:rPr>
        <w:t xml:space="preserve">intermolecular do </w:t>
      </w:r>
      <w:r w:rsidR="002C4C2F">
        <w:rPr>
          <w:rFonts w:ascii="Times New Roman" w:hAnsi="Times New Roman"/>
          <w:lang w:val="pt-BR"/>
        </w:rPr>
        <w:t xml:space="preserve">aldeído proveniente </w:t>
      </w:r>
      <w:r w:rsidR="002C4C2F">
        <w:rPr>
          <w:rFonts w:ascii="Times New Roman" w:hAnsi="Times New Roman"/>
          <w:lang w:val="pt-BR"/>
        </w:rPr>
        <w:lastRenderedPageBreak/>
        <w:t xml:space="preserve">da </w:t>
      </w:r>
      <w:proofErr w:type="spellStart"/>
      <w:r w:rsidR="002C4C2F">
        <w:rPr>
          <w:rFonts w:ascii="Times New Roman" w:hAnsi="Times New Roman"/>
          <w:lang w:val="pt-BR"/>
        </w:rPr>
        <w:t>hidroformilação</w:t>
      </w:r>
      <w:proofErr w:type="spellEnd"/>
      <w:r w:rsidR="00EA24B2">
        <w:rPr>
          <w:rFonts w:ascii="Times New Roman" w:hAnsi="Times New Roman"/>
          <w:lang w:val="pt-BR"/>
        </w:rPr>
        <w:t xml:space="preserve"> do </w:t>
      </w:r>
      <w:proofErr w:type="spellStart"/>
      <w:r w:rsidR="00EA24B2">
        <w:rPr>
          <w:rFonts w:ascii="Times New Roman" w:hAnsi="Times New Roman"/>
          <w:lang w:val="pt-BR"/>
        </w:rPr>
        <w:t>limoneno</w:t>
      </w:r>
      <w:proofErr w:type="spellEnd"/>
      <w:r w:rsidR="00657591">
        <w:rPr>
          <w:rFonts w:ascii="Times New Roman" w:hAnsi="Times New Roman"/>
          <w:lang w:val="pt-BR"/>
        </w:rPr>
        <w:t xml:space="preserve"> descrita em trabalhos anteriores do grupo</w:t>
      </w:r>
      <w:r w:rsidR="00EA24B2">
        <w:rPr>
          <w:rFonts w:ascii="Times New Roman" w:hAnsi="Times New Roman"/>
          <w:lang w:val="pt-BR"/>
        </w:rPr>
        <w:t xml:space="preserve"> </w:t>
      </w:r>
      <w:r w:rsidR="00441766">
        <w:rPr>
          <w:rFonts w:ascii="Times New Roman" w:hAnsi="Times New Roman"/>
          <w:lang w:val="pt-BR"/>
        </w:rPr>
        <w:t>(5)</w:t>
      </w:r>
      <w:r w:rsidR="002C4C2F">
        <w:rPr>
          <w:rFonts w:ascii="Times New Roman" w:hAnsi="Times New Roman"/>
          <w:lang w:val="pt-BR"/>
        </w:rPr>
        <w:t xml:space="preserve">. </w:t>
      </w:r>
      <w:r w:rsidR="008B6E94">
        <w:rPr>
          <w:rFonts w:ascii="Times New Roman" w:hAnsi="Times New Roman"/>
          <w:lang w:val="pt-BR"/>
        </w:rPr>
        <w:t xml:space="preserve"> </w:t>
      </w:r>
    </w:p>
    <w:p w14:paraId="675A77E8" w14:textId="2BA0E250" w:rsidR="00EA4E1B" w:rsidRDefault="00854EBF" w:rsidP="00C61A8F">
      <w:pPr>
        <w:pStyle w:val="TAMainText"/>
        <w:ind w:firstLine="187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A</w:t>
      </w:r>
      <w:r w:rsidR="00FE0529">
        <w:rPr>
          <w:rFonts w:ascii="Times New Roman" w:hAnsi="Times New Roman"/>
          <w:lang w:val="pt-BR"/>
        </w:rPr>
        <w:t>valiou-se a influência da temperatura</w:t>
      </w:r>
      <w:r w:rsidR="004A6574">
        <w:rPr>
          <w:rFonts w:ascii="Times New Roman" w:hAnsi="Times New Roman"/>
          <w:lang w:val="pt-BR"/>
        </w:rPr>
        <w:t xml:space="preserve"> e</w:t>
      </w:r>
      <w:r w:rsidR="00FE0529">
        <w:rPr>
          <w:rFonts w:ascii="Times New Roman" w:hAnsi="Times New Roman"/>
          <w:lang w:val="pt-BR"/>
        </w:rPr>
        <w:t xml:space="preserve"> </w:t>
      </w:r>
      <w:r w:rsidR="008040BB">
        <w:rPr>
          <w:rFonts w:ascii="Times New Roman" w:hAnsi="Times New Roman"/>
          <w:lang w:val="pt-BR"/>
        </w:rPr>
        <w:t>d</w:t>
      </w:r>
      <w:r w:rsidR="00FE0529">
        <w:rPr>
          <w:rFonts w:ascii="Times New Roman" w:hAnsi="Times New Roman"/>
          <w:lang w:val="pt-BR"/>
        </w:rPr>
        <w:t xml:space="preserve">a quantidade de </w:t>
      </w:r>
      <w:r w:rsidR="005504D2">
        <w:rPr>
          <w:rFonts w:ascii="Times New Roman" w:hAnsi="Times New Roman"/>
          <w:lang w:val="pt-BR"/>
        </w:rPr>
        <w:t xml:space="preserve">PPTS </w:t>
      </w:r>
      <w:r w:rsidR="008040BB">
        <w:rPr>
          <w:rFonts w:ascii="Times New Roman" w:hAnsi="Times New Roman"/>
          <w:lang w:val="pt-BR"/>
        </w:rPr>
        <w:t xml:space="preserve">no desempenho do sistema catalítico com objetivo de maximizar a formação dos acetais. O PPTS foi </w:t>
      </w:r>
      <w:r w:rsidR="00D70090">
        <w:rPr>
          <w:rFonts w:ascii="Times New Roman" w:hAnsi="Times New Roman"/>
          <w:lang w:val="pt-BR"/>
        </w:rPr>
        <w:t>utilizad</w:t>
      </w:r>
      <w:r>
        <w:rPr>
          <w:rFonts w:ascii="Times New Roman" w:hAnsi="Times New Roman"/>
          <w:lang w:val="pt-BR"/>
        </w:rPr>
        <w:t xml:space="preserve">o </w:t>
      </w:r>
      <w:r w:rsidR="008040BB">
        <w:rPr>
          <w:rFonts w:ascii="Times New Roman" w:hAnsi="Times New Roman"/>
          <w:lang w:val="pt-BR"/>
        </w:rPr>
        <w:t xml:space="preserve">como catalisador ácido </w:t>
      </w:r>
      <w:r>
        <w:rPr>
          <w:rFonts w:ascii="Times New Roman" w:hAnsi="Times New Roman"/>
          <w:lang w:val="pt-BR"/>
        </w:rPr>
        <w:t xml:space="preserve">para acelerar a etapa da </w:t>
      </w:r>
      <w:proofErr w:type="spellStart"/>
      <w:r>
        <w:rPr>
          <w:rFonts w:ascii="Times New Roman" w:hAnsi="Times New Roman"/>
          <w:lang w:val="pt-BR"/>
        </w:rPr>
        <w:t>acetalização</w:t>
      </w:r>
      <w:proofErr w:type="spellEnd"/>
      <w:r w:rsidR="008040BB">
        <w:rPr>
          <w:rFonts w:ascii="Times New Roman" w:hAnsi="Times New Roman"/>
          <w:lang w:val="pt-BR"/>
        </w:rPr>
        <w:t xml:space="preserve"> do aldeído</w:t>
      </w:r>
      <w:r>
        <w:rPr>
          <w:rFonts w:ascii="Times New Roman" w:hAnsi="Times New Roman"/>
          <w:lang w:val="pt-BR"/>
        </w:rPr>
        <w:t>.</w:t>
      </w:r>
      <w:r w:rsidR="004A6574">
        <w:rPr>
          <w:rFonts w:ascii="Times New Roman" w:hAnsi="Times New Roman"/>
          <w:lang w:val="pt-BR"/>
        </w:rPr>
        <w:t xml:space="preserve"> Foi observado que aumentando a temperatura </w:t>
      </w:r>
      <w:r w:rsidR="00C87E74">
        <w:rPr>
          <w:rFonts w:ascii="Times New Roman" w:hAnsi="Times New Roman"/>
          <w:lang w:val="pt-BR"/>
        </w:rPr>
        <w:t>de 100</w:t>
      </w:r>
      <w:r w:rsidR="004F5CDC">
        <w:rPr>
          <w:rFonts w:ascii="Times New Roman" w:hAnsi="Times New Roman"/>
          <w:lang w:val="pt-BR"/>
        </w:rPr>
        <w:t xml:space="preserve"> °C</w:t>
      </w:r>
      <w:r w:rsidR="00C87E74">
        <w:rPr>
          <w:rFonts w:ascii="Times New Roman" w:hAnsi="Times New Roman"/>
          <w:lang w:val="pt-BR"/>
        </w:rPr>
        <w:t xml:space="preserve"> para 120 </w:t>
      </w:r>
      <w:r w:rsidR="00C87E74" w:rsidRPr="000C230D">
        <w:rPr>
          <w:rFonts w:ascii="Times New Roman" w:hAnsi="Times New Roman"/>
          <w:lang w:val="pt-BR"/>
        </w:rPr>
        <w:t>°</w:t>
      </w:r>
      <w:r w:rsidR="00C87E74">
        <w:rPr>
          <w:rFonts w:ascii="Times New Roman" w:hAnsi="Times New Roman"/>
          <w:lang w:val="pt-BR"/>
        </w:rPr>
        <w:t>C</w:t>
      </w:r>
      <w:r w:rsidR="00CB4BDC">
        <w:rPr>
          <w:rFonts w:ascii="Times New Roman" w:hAnsi="Times New Roman"/>
          <w:lang w:val="pt-BR"/>
        </w:rPr>
        <w:t>,</w:t>
      </w:r>
      <w:r w:rsidR="004A6574">
        <w:rPr>
          <w:rFonts w:ascii="Times New Roman" w:hAnsi="Times New Roman"/>
          <w:lang w:val="pt-BR"/>
        </w:rPr>
        <w:t xml:space="preserve"> </w:t>
      </w:r>
      <w:r w:rsidR="004F5CDC">
        <w:rPr>
          <w:rFonts w:ascii="Times New Roman" w:hAnsi="Times New Roman"/>
          <w:lang w:val="pt-BR"/>
        </w:rPr>
        <w:t xml:space="preserve">a </w:t>
      </w:r>
      <w:r w:rsidR="004A6574">
        <w:rPr>
          <w:rFonts w:ascii="Times New Roman" w:hAnsi="Times New Roman"/>
          <w:lang w:val="pt-BR"/>
        </w:rPr>
        <w:t xml:space="preserve">seletividade </w:t>
      </w:r>
      <w:r w:rsidR="00C87E74">
        <w:rPr>
          <w:rFonts w:ascii="Times New Roman" w:hAnsi="Times New Roman"/>
          <w:lang w:val="pt-BR"/>
        </w:rPr>
        <w:t>para a</w:t>
      </w:r>
      <w:r w:rsidR="004A6574">
        <w:rPr>
          <w:rFonts w:ascii="Times New Roman" w:hAnsi="Times New Roman"/>
          <w:lang w:val="pt-BR"/>
        </w:rPr>
        <w:t xml:space="preserve"> formação de acetais </w:t>
      </w:r>
      <w:r w:rsidR="00C87E74">
        <w:rPr>
          <w:rFonts w:ascii="Times New Roman" w:hAnsi="Times New Roman"/>
          <w:lang w:val="pt-BR"/>
        </w:rPr>
        <w:t>foi reduzida ligeiramente</w:t>
      </w:r>
      <w:r w:rsidR="0021347A">
        <w:rPr>
          <w:rFonts w:ascii="Times New Roman" w:hAnsi="Times New Roman"/>
          <w:lang w:val="pt-BR"/>
        </w:rPr>
        <w:t xml:space="preserve"> (</w:t>
      </w:r>
      <w:r w:rsidR="0010244E">
        <w:rPr>
          <w:rFonts w:ascii="Times New Roman" w:hAnsi="Times New Roman"/>
          <w:lang w:val="pt-BR"/>
        </w:rPr>
        <w:t xml:space="preserve">de 64 </w:t>
      </w:r>
      <w:r w:rsidR="00D55E2A">
        <w:rPr>
          <w:rFonts w:ascii="Times New Roman" w:hAnsi="Times New Roman"/>
          <w:lang w:val="pt-BR"/>
        </w:rPr>
        <w:t>para</w:t>
      </w:r>
      <w:r w:rsidR="0010244E">
        <w:rPr>
          <w:rFonts w:ascii="Times New Roman" w:hAnsi="Times New Roman"/>
          <w:lang w:val="pt-BR"/>
        </w:rPr>
        <w:t xml:space="preserve"> 58%</w:t>
      </w:r>
      <w:r w:rsidR="00D55E2A">
        <w:rPr>
          <w:rFonts w:ascii="Times New Roman" w:hAnsi="Times New Roman"/>
          <w:lang w:val="pt-BR"/>
        </w:rPr>
        <w:t>;</w:t>
      </w:r>
      <w:r w:rsidR="0010244E">
        <w:rPr>
          <w:rFonts w:ascii="Times New Roman" w:hAnsi="Times New Roman"/>
          <w:lang w:val="pt-BR"/>
        </w:rPr>
        <w:t xml:space="preserve"> </w:t>
      </w:r>
      <w:r w:rsidR="0021347A">
        <w:rPr>
          <w:rFonts w:ascii="Times New Roman" w:hAnsi="Times New Roman"/>
          <w:lang w:val="pt-BR"/>
        </w:rPr>
        <w:t>Tabela 1, exp</w:t>
      </w:r>
      <w:r w:rsidR="00D153C7">
        <w:rPr>
          <w:rFonts w:ascii="Times New Roman" w:hAnsi="Times New Roman"/>
          <w:lang w:val="pt-BR"/>
        </w:rPr>
        <w:t>.</w:t>
      </w:r>
      <w:r w:rsidR="0021347A">
        <w:rPr>
          <w:rFonts w:ascii="Times New Roman" w:hAnsi="Times New Roman"/>
          <w:lang w:val="pt-BR"/>
        </w:rPr>
        <w:t xml:space="preserve"> 4</w:t>
      </w:r>
      <w:r w:rsidR="00CB4BDC" w:rsidRPr="00CB4BDC">
        <w:rPr>
          <w:rFonts w:ascii="Times New Roman" w:hAnsi="Times New Roman"/>
          <w:i/>
          <w:iCs/>
          <w:lang w:val="pt-BR"/>
        </w:rPr>
        <w:t xml:space="preserve"> </w:t>
      </w:r>
      <w:r w:rsidR="00CB4BDC" w:rsidRPr="004A6574">
        <w:rPr>
          <w:rFonts w:ascii="Times New Roman" w:hAnsi="Times New Roman"/>
          <w:i/>
          <w:iCs/>
          <w:lang w:val="pt-BR"/>
        </w:rPr>
        <w:t>vs</w:t>
      </w:r>
      <w:r w:rsidR="00CB4BDC">
        <w:rPr>
          <w:rFonts w:ascii="Times New Roman" w:hAnsi="Times New Roman"/>
          <w:i/>
          <w:iCs/>
          <w:lang w:val="pt-BR"/>
        </w:rPr>
        <w:t>.</w:t>
      </w:r>
      <w:r w:rsidR="00CB4BDC" w:rsidRPr="00CB4BDC">
        <w:rPr>
          <w:rFonts w:ascii="Times New Roman" w:hAnsi="Times New Roman"/>
          <w:lang w:val="pt-BR"/>
        </w:rPr>
        <w:t xml:space="preserve"> </w:t>
      </w:r>
      <w:r w:rsidR="00CB4BDC">
        <w:rPr>
          <w:rFonts w:ascii="Times New Roman" w:hAnsi="Times New Roman"/>
          <w:lang w:val="pt-BR"/>
        </w:rPr>
        <w:t>exp. 1</w:t>
      </w:r>
      <w:r w:rsidR="0021347A">
        <w:rPr>
          <w:rFonts w:ascii="Times New Roman" w:hAnsi="Times New Roman"/>
          <w:lang w:val="pt-BR"/>
        </w:rPr>
        <w:t>)</w:t>
      </w:r>
      <w:r w:rsidR="00A06DF6">
        <w:rPr>
          <w:rFonts w:ascii="Times New Roman" w:hAnsi="Times New Roman"/>
          <w:lang w:val="pt-BR"/>
        </w:rPr>
        <w:t xml:space="preserve">. </w:t>
      </w:r>
      <w:r w:rsidR="0053158D">
        <w:rPr>
          <w:rFonts w:ascii="Times New Roman" w:hAnsi="Times New Roman"/>
          <w:lang w:val="pt-BR"/>
        </w:rPr>
        <w:t xml:space="preserve">Por outro lado, </w:t>
      </w:r>
      <w:r w:rsidR="0010244E">
        <w:rPr>
          <w:rFonts w:ascii="Times New Roman" w:hAnsi="Times New Roman"/>
          <w:lang w:val="pt-BR"/>
        </w:rPr>
        <w:t>a diminuição da temperatura de 100 até</w:t>
      </w:r>
      <w:r w:rsidR="00622D65">
        <w:rPr>
          <w:rFonts w:ascii="Times New Roman" w:hAnsi="Times New Roman"/>
          <w:lang w:val="pt-BR"/>
        </w:rPr>
        <w:t xml:space="preserve"> </w:t>
      </w:r>
      <w:r w:rsidR="0010244E">
        <w:rPr>
          <w:rFonts w:ascii="Times New Roman" w:hAnsi="Times New Roman"/>
          <w:lang w:val="pt-BR"/>
        </w:rPr>
        <w:t xml:space="preserve">80 </w:t>
      </w:r>
      <w:r w:rsidR="0010244E" w:rsidRPr="00677D4A">
        <w:rPr>
          <w:rFonts w:ascii="Times New Roman" w:hAnsi="Times New Roman"/>
          <w:vertAlign w:val="superscript"/>
        </w:rPr>
        <w:t>o</w:t>
      </w:r>
      <w:r w:rsidR="0010244E">
        <w:rPr>
          <w:rFonts w:ascii="Times New Roman" w:hAnsi="Times New Roman"/>
          <w:lang w:val="pt-BR"/>
        </w:rPr>
        <w:t xml:space="preserve">C favoreceu a formação do álcool </w:t>
      </w:r>
      <w:r w:rsidR="0010244E" w:rsidRPr="00677D4A">
        <w:rPr>
          <w:rFonts w:ascii="Times New Roman" w:hAnsi="Times New Roman"/>
          <w:b/>
          <w:bCs/>
        </w:rPr>
        <w:t>3</w:t>
      </w:r>
      <w:r w:rsidR="0010244E">
        <w:rPr>
          <w:rFonts w:ascii="Times New Roman" w:hAnsi="Times New Roman"/>
          <w:lang w:val="pt-BR"/>
        </w:rPr>
        <w:t xml:space="preserve"> em detrimento dos acetais</w:t>
      </w:r>
      <w:r w:rsidR="00D55E2A">
        <w:rPr>
          <w:rFonts w:ascii="Times New Roman" w:hAnsi="Times New Roman"/>
          <w:lang w:val="pt-BR"/>
        </w:rPr>
        <w:t xml:space="preserve"> cuja seletividade diminuiu de 64 para 33%</w:t>
      </w:r>
      <w:r w:rsidR="0010244E">
        <w:rPr>
          <w:rFonts w:ascii="Times New Roman" w:hAnsi="Times New Roman"/>
          <w:lang w:val="pt-BR"/>
        </w:rPr>
        <w:t xml:space="preserve"> (Tabela 1, exp. 1 </w:t>
      </w:r>
      <w:r w:rsidR="0010244E" w:rsidRPr="004A6574">
        <w:rPr>
          <w:rFonts w:ascii="Times New Roman" w:hAnsi="Times New Roman"/>
          <w:i/>
          <w:iCs/>
          <w:lang w:val="pt-BR"/>
        </w:rPr>
        <w:t>vs</w:t>
      </w:r>
      <w:r w:rsidR="0010244E">
        <w:rPr>
          <w:rFonts w:ascii="Times New Roman" w:hAnsi="Times New Roman"/>
          <w:i/>
          <w:iCs/>
          <w:lang w:val="pt-BR"/>
        </w:rPr>
        <w:t>.</w:t>
      </w:r>
      <w:r w:rsidR="0010244E">
        <w:rPr>
          <w:rFonts w:ascii="Times New Roman" w:hAnsi="Times New Roman"/>
          <w:lang w:val="pt-BR"/>
        </w:rPr>
        <w:t xml:space="preserve"> exp. 2)</w:t>
      </w:r>
      <w:r w:rsidR="0021347A">
        <w:rPr>
          <w:rFonts w:ascii="Times New Roman" w:hAnsi="Times New Roman"/>
          <w:lang w:val="pt-BR"/>
        </w:rPr>
        <w:t xml:space="preserve">. </w:t>
      </w:r>
    </w:p>
    <w:p w14:paraId="307595D3" w14:textId="77777777" w:rsidR="00E038AF" w:rsidRDefault="00E038AF" w:rsidP="00677D4A">
      <w:pPr>
        <w:pStyle w:val="TAMainText"/>
        <w:ind w:firstLine="187"/>
        <w:rPr>
          <w:lang w:val="pt-BR"/>
        </w:rPr>
      </w:pPr>
    </w:p>
    <w:p w14:paraId="7F644015" w14:textId="763DCF04" w:rsidR="00EA4E1B" w:rsidRDefault="00B47363" w:rsidP="00EA4E1B">
      <w:pPr>
        <w:jc w:val="center"/>
      </w:pPr>
      <w:r w:rsidRPr="00B47363">
        <w:rPr>
          <w:noProof/>
        </w:rPr>
        <w:drawing>
          <wp:inline distT="0" distB="0" distL="0" distR="0" wp14:anchorId="0C1D80A1" wp14:editId="2CC5D460">
            <wp:extent cx="3069392" cy="990600"/>
            <wp:effectExtent l="0" t="0" r="0" b="0"/>
            <wp:docPr id="1734522080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9741" cy="100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0E7515" w14:textId="163265CB" w:rsidR="00EA4E1B" w:rsidRPr="00E038AF" w:rsidRDefault="00EA4E1B" w:rsidP="00EA4E1B">
      <w:pPr>
        <w:pStyle w:val="VAFigureCaption"/>
        <w:spacing w:before="0"/>
        <w:rPr>
          <w:rFonts w:ascii="Times New Roman" w:hAnsi="Times New Roman"/>
          <w:lang w:val="pt-BR"/>
        </w:rPr>
      </w:pPr>
      <w:r w:rsidRPr="00E038AF">
        <w:rPr>
          <w:rFonts w:ascii="Times New Roman" w:hAnsi="Times New Roman"/>
          <w:b/>
          <w:lang w:val="pt-BR"/>
        </w:rPr>
        <w:t>Figura 1.</w:t>
      </w:r>
      <w:r w:rsidRPr="00E038AF">
        <w:rPr>
          <w:rFonts w:ascii="Times New Roman" w:hAnsi="Times New Roman"/>
          <w:lang w:val="pt-BR"/>
        </w:rPr>
        <w:t xml:space="preserve"> </w:t>
      </w:r>
      <w:proofErr w:type="spellStart"/>
      <w:r w:rsidR="008D304A">
        <w:rPr>
          <w:rFonts w:ascii="Times New Roman" w:hAnsi="Times New Roman"/>
          <w:lang w:val="pt-BR"/>
        </w:rPr>
        <w:t>H</w:t>
      </w:r>
      <w:r w:rsidR="001F24A0">
        <w:rPr>
          <w:rFonts w:ascii="Times New Roman" w:hAnsi="Times New Roman"/>
          <w:lang w:val="pt-BR"/>
        </w:rPr>
        <w:t>idroformilação</w:t>
      </w:r>
      <w:proofErr w:type="spellEnd"/>
      <w:r w:rsidR="008D304A">
        <w:rPr>
          <w:rFonts w:ascii="Times New Roman" w:hAnsi="Times New Roman"/>
          <w:lang w:val="pt-BR"/>
        </w:rPr>
        <w:t>/</w:t>
      </w:r>
      <w:proofErr w:type="spellStart"/>
      <w:r w:rsidR="001F24A0">
        <w:rPr>
          <w:rFonts w:ascii="Times New Roman" w:hAnsi="Times New Roman"/>
          <w:lang w:val="pt-BR"/>
        </w:rPr>
        <w:t>acetalização</w:t>
      </w:r>
      <w:proofErr w:type="spellEnd"/>
      <w:r w:rsidR="001F24A0">
        <w:rPr>
          <w:rFonts w:ascii="Times New Roman" w:hAnsi="Times New Roman"/>
          <w:lang w:val="pt-BR"/>
        </w:rPr>
        <w:t xml:space="preserve"> do </w:t>
      </w:r>
      <w:proofErr w:type="spellStart"/>
      <w:r w:rsidR="001F24A0">
        <w:rPr>
          <w:rFonts w:ascii="Times New Roman" w:hAnsi="Times New Roman"/>
          <w:lang w:val="pt-BR"/>
        </w:rPr>
        <w:t>limoneno</w:t>
      </w:r>
      <w:proofErr w:type="spellEnd"/>
      <w:r w:rsidR="008D304A">
        <w:rPr>
          <w:rFonts w:ascii="Times New Roman" w:hAnsi="Times New Roman"/>
          <w:lang w:val="pt-BR"/>
        </w:rPr>
        <w:t xml:space="preserve"> usando glicerol</w:t>
      </w:r>
      <w:r w:rsidRPr="00E038AF">
        <w:rPr>
          <w:rFonts w:ascii="Times New Roman" w:hAnsi="Times New Roman"/>
          <w:lang w:val="pt-BR"/>
        </w:rPr>
        <w:t>.</w:t>
      </w:r>
    </w:p>
    <w:p w14:paraId="413B1E29" w14:textId="77777777" w:rsidR="00DA5328" w:rsidRDefault="00DA5328" w:rsidP="00EA4E1B">
      <w:pPr>
        <w:pStyle w:val="TAMainText"/>
        <w:rPr>
          <w:lang w:val="pt-BR"/>
        </w:rPr>
      </w:pPr>
    </w:p>
    <w:p w14:paraId="37279C06" w14:textId="4F7B12E3" w:rsidR="00666929" w:rsidRDefault="00C61A8F" w:rsidP="00666929">
      <w:pPr>
        <w:pStyle w:val="TAMainText"/>
        <w:ind w:firstLine="187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A redução da quantidade de catalisador ácido PPTS a 100</w:t>
      </w:r>
      <w:r w:rsidRPr="00AD5B32">
        <w:rPr>
          <w:rFonts w:ascii="Times New Roman" w:hAnsi="Times New Roman"/>
          <w:vertAlign w:val="superscript"/>
          <w:lang w:val="pt-BR"/>
        </w:rPr>
        <w:t>o</w:t>
      </w:r>
      <w:r>
        <w:rPr>
          <w:rFonts w:ascii="Times New Roman" w:hAnsi="Times New Roman"/>
          <w:lang w:val="pt-BR"/>
        </w:rPr>
        <w:t xml:space="preserve">C, não resultou numa mudança significativa na distribuição dos produtos (Tabela 1, exp. 1 </w:t>
      </w:r>
      <w:r w:rsidRPr="004E5ABD">
        <w:rPr>
          <w:rFonts w:ascii="Times New Roman" w:hAnsi="Times New Roman"/>
          <w:i/>
          <w:iCs/>
          <w:lang w:val="pt-BR"/>
        </w:rPr>
        <w:t>vs</w:t>
      </w:r>
      <w:r>
        <w:rPr>
          <w:rFonts w:ascii="Times New Roman" w:hAnsi="Times New Roman"/>
          <w:i/>
          <w:iCs/>
          <w:lang w:val="pt-BR"/>
        </w:rPr>
        <w:t>.</w:t>
      </w:r>
      <w:r>
        <w:rPr>
          <w:rFonts w:ascii="Times New Roman" w:hAnsi="Times New Roman"/>
          <w:lang w:val="pt-BR"/>
        </w:rPr>
        <w:t xml:space="preserve"> exp. 5). </w:t>
      </w:r>
      <w:r w:rsidR="00666929">
        <w:rPr>
          <w:rFonts w:ascii="Times New Roman" w:hAnsi="Times New Roman"/>
          <w:lang w:val="pt-BR"/>
        </w:rPr>
        <w:t>Entretanto, a diminuição na concentração do PPTS na reação a 120</w:t>
      </w:r>
      <w:r w:rsidR="00666929" w:rsidRPr="00AD5B32">
        <w:rPr>
          <w:rFonts w:ascii="Times New Roman" w:hAnsi="Times New Roman"/>
          <w:vertAlign w:val="superscript"/>
          <w:lang w:val="pt-BR"/>
        </w:rPr>
        <w:t>o</w:t>
      </w:r>
      <w:r w:rsidR="00666929">
        <w:rPr>
          <w:rFonts w:ascii="Times New Roman" w:hAnsi="Times New Roman"/>
          <w:lang w:val="pt-BR"/>
        </w:rPr>
        <w:t xml:space="preserve">C permitiu </w:t>
      </w:r>
      <w:r>
        <w:rPr>
          <w:rFonts w:ascii="Times New Roman" w:hAnsi="Times New Roman"/>
          <w:lang w:val="pt-BR"/>
        </w:rPr>
        <w:t>aumentar significativamente</w:t>
      </w:r>
      <w:r w:rsidR="00666929">
        <w:rPr>
          <w:rFonts w:ascii="Times New Roman" w:hAnsi="Times New Roman"/>
          <w:lang w:val="pt-BR"/>
        </w:rPr>
        <w:t xml:space="preserve"> a seletividade para formação de acetais (Tabela 1, exp. 3 </w:t>
      </w:r>
      <w:r w:rsidR="00666929" w:rsidRPr="00D70090">
        <w:rPr>
          <w:rFonts w:ascii="Times New Roman" w:hAnsi="Times New Roman"/>
          <w:i/>
          <w:iCs/>
          <w:lang w:val="pt-BR"/>
        </w:rPr>
        <w:t>vs</w:t>
      </w:r>
      <w:r w:rsidR="00666929">
        <w:rPr>
          <w:rFonts w:ascii="Times New Roman" w:hAnsi="Times New Roman"/>
          <w:i/>
          <w:iCs/>
          <w:lang w:val="pt-BR"/>
        </w:rPr>
        <w:t>.</w:t>
      </w:r>
      <w:r w:rsidR="00666929">
        <w:rPr>
          <w:rFonts w:ascii="Times New Roman" w:hAnsi="Times New Roman"/>
          <w:lang w:val="pt-BR"/>
        </w:rPr>
        <w:t xml:space="preserve"> exp. 4). A reação no exp. 4 resultou em 72% de acetais e apenas 28% de álcool </w:t>
      </w:r>
      <w:r w:rsidR="00666929" w:rsidRPr="00AD5B32">
        <w:rPr>
          <w:rFonts w:ascii="Times New Roman" w:hAnsi="Times New Roman"/>
          <w:b/>
          <w:bCs/>
          <w:lang w:val="pt-BR"/>
        </w:rPr>
        <w:t>3</w:t>
      </w:r>
      <w:r w:rsidR="00666929">
        <w:rPr>
          <w:rFonts w:ascii="Times New Roman" w:hAnsi="Times New Roman"/>
          <w:lang w:val="pt-BR"/>
        </w:rPr>
        <w:t xml:space="preserve">, </w:t>
      </w:r>
      <w:r w:rsidR="00584E71">
        <w:rPr>
          <w:rFonts w:ascii="Times New Roman" w:hAnsi="Times New Roman"/>
          <w:lang w:val="pt-BR"/>
        </w:rPr>
        <w:t>enquanto</w:t>
      </w:r>
      <w:r w:rsidR="00666929">
        <w:rPr>
          <w:rFonts w:ascii="Times New Roman" w:hAnsi="Times New Roman"/>
          <w:lang w:val="pt-BR"/>
        </w:rPr>
        <w:t xml:space="preserve"> no exp. 4, com a concentração do PPTS mais alta, as seletividades </w:t>
      </w:r>
      <w:r w:rsidR="00584E71">
        <w:rPr>
          <w:rFonts w:ascii="Times New Roman" w:hAnsi="Times New Roman"/>
          <w:lang w:val="pt-BR"/>
        </w:rPr>
        <w:t xml:space="preserve">para acetais e álcool </w:t>
      </w:r>
      <w:r w:rsidR="00584E71" w:rsidRPr="00AD5B32">
        <w:rPr>
          <w:rFonts w:ascii="Times New Roman" w:hAnsi="Times New Roman"/>
          <w:b/>
          <w:bCs/>
          <w:lang w:val="pt-BR"/>
        </w:rPr>
        <w:t>3</w:t>
      </w:r>
      <w:r w:rsidR="00584E71">
        <w:rPr>
          <w:rFonts w:ascii="Times New Roman" w:hAnsi="Times New Roman"/>
          <w:b/>
          <w:bCs/>
          <w:lang w:val="pt-BR"/>
        </w:rPr>
        <w:t xml:space="preserve"> </w:t>
      </w:r>
      <w:r w:rsidR="00666929">
        <w:rPr>
          <w:rFonts w:ascii="Times New Roman" w:hAnsi="Times New Roman"/>
          <w:lang w:val="pt-BR"/>
        </w:rPr>
        <w:t xml:space="preserve">foram 58 e 42%, respectivamente (Tabela 1). Assim, o uso de uma quantidade menor de catalisador ácido numa mesma temperatura contribui para prevenção da </w:t>
      </w:r>
      <w:proofErr w:type="spellStart"/>
      <w:r w:rsidR="00666929">
        <w:rPr>
          <w:rFonts w:ascii="Times New Roman" w:hAnsi="Times New Roman"/>
          <w:lang w:val="pt-BR"/>
        </w:rPr>
        <w:t>ciclização</w:t>
      </w:r>
      <w:proofErr w:type="spellEnd"/>
      <w:r w:rsidR="00666929">
        <w:rPr>
          <w:rFonts w:ascii="Times New Roman" w:hAnsi="Times New Roman"/>
          <w:lang w:val="pt-BR"/>
        </w:rPr>
        <w:t xml:space="preserve"> intermolecular do aldeído, viabilizando sua interação com glicerol </w:t>
      </w:r>
      <w:r w:rsidR="00032A4F">
        <w:rPr>
          <w:rFonts w:ascii="Times New Roman" w:hAnsi="Times New Roman"/>
          <w:lang w:val="pt-BR"/>
        </w:rPr>
        <w:t>para forma</w:t>
      </w:r>
      <w:r w:rsidR="000216FF">
        <w:rPr>
          <w:rFonts w:ascii="Times New Roman" w:hAnsi="Times New Roman"/>
          <w:lang w:val="pt-BR"/>
        </w:rPr>
        <w:t>r</w:t>
      </w:r>
      <w:r w:rsidR="00032A4F">
        <w:rPr>
          <w:rFonts w:ascii="Times New Roman" w:hAnsi="Times New Roman"/>
          <w:lang w:val="pt-BR"/>
        </w:rPr>
        <w:t xml:space="preserve"> </w:t>
      </w:r>
      <w:r w:rsidR="00666929">
        <w:rPr>
          <w:rFonts w:ascii="Times New Roman" w:hAnsi="Times New Roman"/>
          <w:lang w:val="pt-BR"/>
        </w:rPr>
        <w:t>acetais.</w:t>
      </w:r>
    </w:p>
    <w:p w14:paraId="196081DF" w14:textId="77777777" w:rsidR="00DA5328" w:rsidRDefault="00DA5328" w:rsidP="00EA4E1B">
      <w:pPr>
        <w:pStyle w:val="TAMainText"/>
        <w:rPr>
          <w:lang w:val="pt-BR"/>
        </w:rPr>
      </w:pPr>
    </w:p>
    <w:p w14:paraId="483DF959" w14:textId="237F8C28" w:rsidR="00EA4E1B" w:rsidRPr="00DA21F5" w:rsidRDefault="00EA4E1B" w:rsidP="00677D4A">
      <w:pPr>
        <w:pStyle w:val="TAMainText"/>
        <w:ind w:firstLine="0"/>
        <w:rPr>
          <w:sz w:val="18"/>
          <w:szCs w:val="18"/>
          <w:vertAlign w:val="superscript"/>
        </w:rPr>
      </w:pPr>
      <w:r w:rsidRPr="00DA21F5">
        <w:rPr>
          <w:b/>
          <w:sz w:val="18"/>
          <w:szCs w:val="18"/>
          <w:lang w:val="pt-BR"/>
        </w:rPr>
        <w:t>Tabela 1.</w:t>
      </w:r>
      <w:r w:rsidRPr="00DA21F5">
        <w:rPr>
          <w:sz w:val="18"/>
          <w:szCs w:val="18"/>
          <w:lang w:val="pt-BR"/>
        </w:rPr>
        <w:t xml:space="preserve"> </w:t>
      </w:r>
      <w:proofErr w:type="spellStart"/>
      <w:r w:rsidR="00E546D3" w:rsidRPr="00DA21F5">
        <w:rPr>
          <w:sz w:val="18"/>
          <w:szCs w:val="18"/>
          <w:lang w:val="pt-BR"/>
        </w:rPr>
        <w:t>H</w:t>
      </w:r>
      <w:r w:rsidR="001F24A0" w:rsidRPr="00DA21F5">
        <w:rPr>
          <w:sz w:val="18"/>
          <w:szCs w:val="18"/>
          <w:lang w:val="pt-BR"/>
        </w:rPr>
        <w:t>idroformilação</w:t>
      </w:r>
      <w:proofErr w:type="spellEnd"/>
      <w:r w:rsidR="000C230D" w:rsidRPr="00DA21F5">
        <w:rPr>
          <w:sz w:val="18"/>
          <w:szCs w:val="18"/>
          <w:lang w:val="pt-BR"/>
        </w:rPr>
        <w:t>/</w:t>
      </w:r>
      <w:proofErr w:type="spellStart"/>
      <w:r w:rsidR="001F24A0" w:rsidRPr="00DA21F5">
        <w:rPr>
          <w:sz w:val="18"/>
          <w:szCs w:val="18"/>
          <w:lang w:val="pt-BR"/>
        </w:rPr>
        <w:t>acetalização</w:t>
      </w:r>
      <w:proofErr w:type="spellEnd"/>
      <w:r w:rsidR="001F24A0" w:rsidRPr="00DA21F5">
        <w:rPr>
          <w:sz w:val="18"/>
          <w:szCs w:val="18"/>
          <w:lang w:val="pt-BR"/>
        </w:rPr>
        <w:t xml:space="preserve"> </w:t>
      </w:r>
      <w:r w:rsidR="00904343" w:rsidRPr="00DA21F5">
        <w:rPr>
          <w:sz w:val="18"/>
          <w:szCs w:val="18"/>
          <w:lang w:val="pt-BR"/>
        </w:rPr>
        <w:t xml:space="preserve">tandem </w:t>
      </w:r>
      <w:r w:rsidR="001F24A0" w:rsidRPr="00DA21F5">
        <w:rPr>
          <w:sz w:val="18"/>
          <w:szCs w:val="18"/>
          <w:lang w:val="pt-BR"/>
        </w:rPr>
        <w:t xml:space="preserve">do </w:t>
      </w:r>
      <w:proofErr w:type="spellStart"/>
      <w:r w:rsidR="001F24A0" w:rsidRPr="00DA21F5">
        <w:rPr>
          <w:sz w:val="18"/>
          <w:szCs w:val="18"/>
          <w:lang w:val="pt-BR"/>
        </w:rPr>
        <w:t>limoneno</w:t>
      </w:r>
      <w:r w:rsidR="008D304A" w:rsidRPr="00DA21F5">
        <w:rPr>
          <w:sz w:val="18"/>
          <w:szCs w:val="18"/>
          <w:vertAlign w:val="superscript"/>
          <w:lang w:val="pt-BR"/>
        </w:rPr>
        <w:t>a</w:t>
      </w:r>
      <w:proofErr w:type="spellEnd"/>
    </w:p>
    <w:p w14:paraId="42199419" w14:textId="77777777" w:rsidR="00841996" w:rsidRPr="00622D65" w:rsidRDefault="00841996" w:rsidP="00677D4A">
      <w:pPr>
        <w:spacing w:after="0" w:line="240" w:lineRule="atLeast"/>
        <w:rPr>
          <w:rFonts w:ascii="Times New Roman" w:hAnsi="Times New Roman"/>
          <w:sz w:val="20"/>
          <w:szCs w:val="20"/>
        </w:rPr>
      </w:pPr>
    </w:p>
    <w:tbl>
      <w:tblPr>
        <w:tblW w:w="52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1"/>
        <w:gridCol w:w="873"/>
        <w:gridCol w:w="830"/>
        <w:gridCol w:w="530"/>
        <w:gridCol w:w="525"/>
        <w:gridCol w:w="179"/>
        <w:gridCol w:w="1155"/>
        <w:gridCol w:w="951"/>
        <w:gridCol w:w="24"/>
      </w:tblGrid>
      <w:tr w:rsidR="005D295F" w:rsidRPr="00072C7A" w14:paraId="0D4316DE" w14:textId="77777777" w:rsidTr="005D295F">
        <w:trPr>
          <w:gridAfter w:val="1"/>
          <w:wAfter w:w="24" w:type="dxa"/>
          <w:trHeight w:val="148"/>
          <w:jc w:val="center"/>
        </w:trPr>
        <w:tc>
          <w:tcPr>
            <w:tcW w:w="1034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180E9228" w14:textId="41EEE968" w:rsidR="005D295F" w:rsidRDefault="005D295F" w:rsidP="002534D8">
            <w:pPr>
              <w:pStyle w:val="TCTableBody"/>
              <w:spacing w:after="0" w:line="240" w:lineRule="atLeast"/>
              <w:ind w:right="337"/>
              <w:jc w:val="center"/>
              <w:rPr>
                <w:lang w:val="pt-BR"/>
              </w:rPr>
            </w:pPr>
            <w:r>
              <w:rPr>
                <w:lang w:val="pt-BR"/>
              </w:rPr>
              <w:t>Exp.</w:t>
            </w:r>
          </w:p>
        </w:tc>
        <w:tc>
          <w:tcPr>
            <w:tcW w:w="83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0209BF4F" w14:textId="6B5B74B6" w:rsidR="005D295F" w:rsidRDefault="005D295F" w:rsidP="002534D8">
            <w:pPr>
              <w:pStyle w:val="TCTableBody"/>
              <w:spacing w:after="0" w:line="240" w:lineRule="atLeast"/>
              <w:jc w:val="center"/>
              <w:rPr>
                <w:lang w:val="pt-BR"/>
              </w:rPr>
            </w:pPr>
            <w:r w:rsidRPr="00BE095D">
              <w:rPr>
                <w:lang w:val="pt-BR"/>
              </w:rPr>
              <w:t>PPTS</w:t>
            </w:r>
          </w:p>
        </w:tc>
        <w:tc>
          <w:tcPr>
            <w:tcW w:w="53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35E44830" w14:textId="5CA332B4" w:rsidR="005D295F" w:rsidRDefault="005D295F" w:rsidP="002534D8">
            <w:pPr>
              <w:pStyle w:val="TCTableBody"/>
              <w:spacing w:after="0" w:line="240" w:lineRule="atLeast"/>
              <w:jc w:val="center"/>
              <w:rPr>
                <w:lang w:val="pt-BR"/>
              </w:rPr>
            </w:pPr>
            <w:r>
              <w:rPr>
                <w:lang w:val="pt-BR"/>
              </w:rPr>
              <w:t>T</w:t>
            </w:r>
          </w:p>
        </w:tc>
        <w:tc>
          <w:tcPr>
            <w:tcW w:w="525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4AFCE4B5" w14:textId="3E9C6FA8" w:rsidR="005D295F" w:rsidRDefault="005D295F" w:rsidP="002534D8">
            <w:pPr>
              <w:pStyle w:val="TCTableBody"/>
              <w:spacing w:after="0" w:line="240" w:lineRule="atLeast"/>
              <w:jc w:val="center"/>
              <w:rPr>
                <w:lang w:val="pt-BR"/>
              </w:rPr>
            </w:pPr>
            <w:r>
              <w:rPr>
                <w:lang w:val="pt-BR"/>
              </w:rPr>
              <w:t>C</w:t>
            </w:r>
          </w:p>
        </w:tc>
        <w:tc>
          <w:tcPr>
            <w:tcW w:w="17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AA55DD3" w14:textId="77777777" w:rsidR="005D295F" w:rsidRDefault="005D295F" w:rsidP="002534D8">
            <w:pPr>
              <w:pStyle w:val="TCTableBody"/>
              <w:spacing w:after="0" w:line="240" w:lineRule="atLeast"/>
              <w:jc w:val="center"/>
              <w:rPr>
                <w:lang w:val="pt-BR"/>
              </w:rPr>
            </w:pPr>
          </w:p>
        </w:tc>
        <w:tc>
          <w:tcPr>
            <w:tcW w:w="210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1A035791" w14:textId="47503245" w:rsidR="005D295F" w:rsidDel="00BE095D" w:rsidRDefault="005D295F" w:rsidP="002534D8">
            <w:pPr>
              <w:pStyle w:val="TCTableBody"/>
              <w:spacing w:after="0" w:line="240" w:lineRule="atLeast"/>
              <w:jc w:val="center"/>
              <w:rPr>
                <w:lang w:val="pt-BR"/>
              </w:rPr>
            </w:pPr>
            <w:r>
              <w:rPr>
                <w:lang w:val="pt-BR"/>
              </w:rPr>
              <w:t>Seletividade (%)</w:t>
            </w:r>
          </w:p>
        </w:tc>
      </w:tr>
      <w:tr w:rsidR="005D295F" w:rsidRPr="00072C7A" w14:paraId="5F3AF0A2" w14:textId="77777777" w:rsidTr="005D295F">
        <w:trPr>
          <w:gridAfter w:val="1"/>
          <w:wAfter w:w="24" w:type="dxa"/>
          <w:trHeight w:val="304"/>
          <w:jc w:val="center"/>
        </w:trPr>
        <w:tc>
          <w:tcPr>
            <w:tcW w:w="1034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59E71D16" w14:textId="3562CD49" w:rsidR="005D295F" w:rsidRDefault="005D295F" w:rsidP="002534D8">
            <w:pPr>
              <w:pStyle w:val="TCTableBody"/>
              <w:spacing w:after="0" w:line="240" w:lineRule="atLeast"/>
              <w:ind w:right="337"/>
              <w:jc w:val="center"/>
              <w:rPr>
                <w:lang w:val="pt-BR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4340078" w14:textId="4A1FACA9" w:rsidR="005D295F" w:rsidRDefault="005D295F" w:rsidP="002534D8">
            <w:pPr>
              <w:pStyle w:val="TCTableBody"/>
              <w:spacing w:after="0" w:line="240" w:lineRule="atLeast"/>
              <w:jc w:val="center"/>
              <w:rPr>
                <w:lang w:val="pt-BR"/>
              </w:rPr>
            </w:pPr>
            <w:r>
              <w:rPr>
                <w:lang w:val="pt-BR"/>
              </w:rPr>
              <w:t>(mol%)</w:t>
            </w:r>
          </w:p>
        </w:tc>
        <w:tc>
          <w:tcPr>
            <w:tcW w:w="53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7935A131" w14:textId="7BDD12BB" w:rsidR="005D295F" w:rsidRDefault="005D295F" w:rsidP="002534D8">
            <w:pPr>
              <w:pStyle w:val="TCTableBody"/>
              <w:spacing w:after="0" w:line="240" w:lineRule="atLeast"/>
              <w:jc w:val="center"/>
              <w:rPr>
                <w:lang w:val="pt-BR"/>
              </w:rPr>
            </w:pPr>
            <w:r>
              <w:rPr>
                <w:lang w:val="pt-BR"/>
              </w:rPr>
              <w:t>(</w:t>
            </w:r>
            <w:proofErr w:type="spellStart"/>
            <w:r w:rsidRPr="00677D4A">
              <w:rPr>
                <w:vertAlign w:val="superscript"/>
                <w:lang w:val="pt-BR"/>
              </w:rPr>
              <w:t>o</w:t>
            </w:r>
            <w:r>
              <w:rPr>
                <w:lang w:val="pt-BR"/>
              </w:rPr>
              <w:t>C</w:t>
            </w:r>
            <w:proofErr w:type="spellEnd"/>
            <w:r>
              <w:rPr>
                <w:lang w:val="pt-BR"/>
              </w:rPr>
              <w:t>)</w:t>
            </w:r>
          </w:p>
        </w:tc>
        <w:tc>
          <w:tcPr>
            <w:tcW w:w="52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1253BBB9" w14:textId="3EBE5C1E" w:rsidR="005D295F" w:rsidRDefault="005D295F" w:rsidP="002534D8">
            <w:pPr>
              <w:pStyle w:val="TCTableBody"/>
              <w:spacing w:after="0" w:line="240" w:lineRule="atLeast"/>
              <w:jc w:val="center"/>
              <w:rPr>
                <w:lang w:val="pt-BR"/>
              </w:rPr>
            </w:pPr>
            <w:r>
              <w:rPr>
                <w:lang w:val="pt-BR"/>
              </w:rPr>
              <w:t>(%)</w:t>
            </w:r>
          </w:p>
        </w:tc>
        <w:tc>
          <w:tcPr>
            <w:tcW w:w="17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D9856C4" w14:textId="77777777" w:rsidR="005D295F" w:rsidRDefault="005D295F" w:rsidP="002534D8">
            <w:pPr>
              <w:pStyle w:val="TCTableBody"/>
              <w:spacing w:after="0" w:line="240" w:lineRule="atLeast"/>
              <w:jc w:val="center"/>
              <w:rPr>
                <w:lang w:val="pt-BR"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31555CCF" w14:textId="650D62E8" w:rsidR="005D295F" w:rsidRDefault="005D295F" w:rsidP="002534D8">
            <w:pPr>
              <w:pStyle w:val="TCTableBody"/>
              <w:spacing w:after="0" w:line="240" w:lineRule="atLeast"/>
              <w:jc w:val="center"/>
              <w:rPr>
                <w:lang w:val="pt-BR"/>
              </w:rPr>
            </w:pPr>
            <w:r>
              <w:rPr>
                <w:lang w:val="pt-BR"/>
              </w:rPr>
              <w:t>Acetais (</w:t>
            </w:r>
            <w:r w:rsidRPr="003E46CC">
              <w:rPr>
                <w:b/>
                <w:bCs/>
                <w:lang w:val="pt-BR"/>
              </w:rPr>
              <w:t>1</w:t>
            </w:r>
            <w:r>
              <w:rPr>
                <w:lang w:val="pt-BR"/>
              </w:rPr>
              <w:t>+</w:t>
            </w:r>
            <w:r w:rsidRPr="003E46CC">
              <w:rPr>
                <w:b/>
                <w:bCs/>
                <w:lang w:val="pt-BR"/>
              </w:rPr>
              <w:t>2</w:t>
            </w:r>
            <w:r>
              <w:rPr>
                <w:lang w:val="pt-BR"/>
              </w:rPr>
              <w:t>)</w:t>
            </w:r>
          </w:p>
        </w:tc>
        <w:tc>
          <w:tcPr>
            <w:tcW w:w="95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10E3C004" w14:textId="2B9ADF25" w:rsidR="005D295F" w:rsidRDefault="005D295F" w:rsidP="002534D8">
            <w:pPr>
              <w:pStyle w:val="TCTableBody"/>
              <w:spacing w:after="0" w:line="240" w:lineRule="atLeast"/>
              <w:jc w:val="center"/>
              <w:rPr>
                <w:lang w:val="pt-BR"/>
              </w:rPr>
            </w:pPr>
            <w:r>
              <w:rPr>
                <w:lang w:val="pt-BR"/>
              </w:rPr>
              <w:t>Álcool</w:t>
            </w:r>
          </w:p>
          <w:p w14:paraId="32D6384F" w14:textId="51EE74CB" w:rsidR="005D295F" w:rsidRDefault="005D295F" w:rsidP="002534D8">
            <w:pPr>
              <w:pStyle w:val="TCTableBody"/>
              <w:spacing w:after="0" w:line="240" w:lineRule="atLeast"/>
              <w:jc w:val="center"/>
              <w:rPr>
                <w:lang w:val="pt-BR"/>
              </w:rPr>
            </w:pPr>
            <w:r w:rsidRPr="003E46CC">
              <w:rPr>
                <w:b/>
                <w:bCs/>
                <w:lang w:val="pt-BR"/>
              </w:rPr>
              <w:t>3</w:t>
            </w:r>
          </w:p>
        </w:tc>
      </w:tr>
      <w:tr w:rsidR="005D295F" w:rsidRPr="00072C7A" w14:paraId="558CCDEB" w14:textId="77777777" w:rsidTr="005D295F">
        <w:trPr>
          <w:gridAfter w:val="1"/>
          <w:wAfter w:w="24" w:type="dxa"/>
          <w:trHeight w:val="148"/>
          <w:jc w:val="center"/>
        </w:trPr>
        <w:tc>
          <w:tcPr>
            <w:tcW w:w="1034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521F8978" w14:textId="16136325" w:rsidR="005D295F" w:rsidRDefault="005D295F" w:rsidP="002534D8">
            <w:pPr>
              <w:pStyle w:val="TCTableBody"/>
              <w:spacing w:after="0" w:line="240" w:lineRule="atLeast"/>
              <w:ind w:right="337"/>
              <w:jc w:val="center"/>
              <w:rPr>
                <w:lang w:val="pt-BR"/>
              </w:rPr>
            </w:pPr>
            <w:r>
              <w:rPr>
                <w:lang w:val="pt-BR"/>
              </w:rPr>
              <w:t>1</w:t>
            </w:r>
          </w:p>
        </w:tc>
        <w:tc>
          <w:tcPr>
            <w:tcW w:w="83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78B4A126" w14:textId="2D1458EA" w:rsidR="005D295F" w:rsidRDefault="005D295F" w:rsidP="002534D8">
            <w:pPr>
              <w:pStyle w:val="TCTableBody"/>
              <w:spacing w:after="0" w:line="240" w:lineRule="atLeast"/>
              <w:jc w:val="center"/>
              <w:rPr>
                <w:lang w:val="pt-BR"/>
              </w:rPr>
            </w:pPr>
            <w:r>
              <w:rPr>
                <w:lang w:val="pt-BR"/>
              </w:rPr>
              <w:t>2</w:t>
            </w:r>
          </w:p>
        </w:tc>
        <w:tc>
          <w:tcPr>
            <w:tcW w:w="53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5593BA7A" w14:textId="6B248CFD" w:rsidR="005D295F" w:rsidRDefault="005D295F" w:rsidP="002534D8">
            <w:pPr>
              <w:pStyle w:val="TCTableBody"/>
              <w:spacing w:after="0" w:line="240" w:lineRule="atLeast"/>
              <w:jc w:val="center"/>
              <w:rPr>
                <w:lang w:val="pt-BR"/>
              </w:rPr>
            </w:pPr>
            <w:r>
              <w:rPr>
                <w:lang w:val="pt-BR"/>
              </w:rPr>
              <w:t>100</w:t>
            </w:r>
          </w:p>
        </w:tc>
        <w:tc>
          <w:tcPr>
            <w:tcW w:w="525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1EE9A63D" w14:textId="139A8A22" w:rsidR="005D295F" w:rsidRDefault="002534D8" w:rsidP="002534D8">
            <w:pPr>
              <w:pStyle w:val="TCTableBody"/>
              <w:spacing w:after="0" w:line="240" w:lineRule="atLeast"/>
              <w:jc w:val="center"/>
              <w:rPr>
                <w:lang w:val="pt-BR"/>
              </w:rPr>
            </w:pPr>
            <w:r>
              <w:rPr>
                <w:lang w:val="pt-BR"/>
              </w:rPr>
              <w:t>97</w:t>
            </w:r>
          </w:p>
        </w:tc>
        <w:tc>
          <w:tcPr>
            <w:tcW w:w="17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4C67AD7F" w14:textId="77777777" w:rsidR="005D295F" w:rsidRPr="00070860" w:rsidRDefault="005D295F" w:rsidP="002534D8">
            <w:pPr>
              <w:pStyle w:val="TCTableBody"/>
              <w:spacing w:after="0" w:line="240" w:lineRule="atLeast"/>
              <w:jc w:val="center"/>
              <w:rPr>
                <w:lang w:val="pt-BR"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049B2D22" w14:textId="68457A0A" w:rsidR="005D295F" w:rsidRDefault="005D295F" w:rsidP="002534D8">
            <w:pPr>
              <w:pStyle w:val="TCTableBody"/>
              <w:spacing w:after="0" w:line="240" w:lineRule="atLeast"/>
              <w:jc w:val="center"/>
              <w:rPr>
                <w:lang w:val="pt-BR"/>
              </w:rPr>
            </w:pPr>
            <w:r w:rsidRPr="00070860">
              <w:rPr>
                <w:lang w:val="pt-BR"/>
              </w:rPr>
              <w:t>64</w:t>
            </w:r>
          </w:p>
        </w:tc>
        <w:tc>
          <w:tcPr>
            <w:tcW w:w="951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501F22F4" w14:textId="0579FA62" w:rsidR="005D295F" w:rsidRDefault="005D295F" w:rsidP="002534D8">
            <w:pPr>
              <w:pStyle w:val="TCTableBody"/>
              <w:spacing w:after="0" w:line="240" w:lineRule="atLeast"/>
              <w:jc w:val="center"/>
              <w:rPr>
                <w:lang w:val="pt-BR"/>
              </w:rPr>
            </w:pPr>
            <w:r>
              <w:rPr>
                <w:lang w:val="pt-BR"/>
              </w:rPr>
              <w:t>36</w:t>
            </w:r>
          </w:p>
        </w:tc>
      </w:tr>
      <w:tr w:rsidR="005D295F" w:rsidRPr="00072C7A" w14:paraId="0F12ABC1" w14:textId="77777777" w:rsidTr="005D295F">
        <w:trPr>
          <w:gridAfter w:val="1"/>
          <w:wAfter w:w="24" w:type="dxa"/>
          <w:trHeight w:val="148"/>
          <w:jc w:val="center"/>
        </w:trPr>
        <w:tc>
          <w:tcPr>
            <w:tcW w:w="10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93B642" w14:textId="00CF50BF" w:rsidR="005D295F" w:rsidRDefault="005D295F" w:rsidP="002534D8">
            <w:pPr>
              <w:pStyle w:val="TCTableBody"/>
              <w:spacing w:after="0" w:line="240" w:lineRule="atLeast"/>
              <w:ind w:right="337"/>
              <w:jc w:val="center"/>
              <w:rPr>
                <w:lang w:val="pt-BR"/>
              </w:rPr>
            </w:pPr>
            <w:r>
              <w:rPr>
                <w:lang w:val="pt-BR"/>
              </w:rPr>
              <w:t>2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</w:tcPr>
          <w:p w14:paraId="7771ABC8" w14:textId="630F5414" w:rsidR="005D295F" w:rsidRDefault="005D295F" w:rsidP="002534D8">
            <w:pPr>
              <w:pStyle w:val="TCTableBody"/>
              <w:spacing w:after="0" w:line="240" w:lineRule="atLeast"/>
              <w:jc w:val="center"/>
              <w:rPr>
                <w:lang w:val="pt-BR"/>
              </w:rPr>
            </w:pPr>
            <w:r>
              <w:rPr>
                <w:lang w:val="pt-BR"/>
              </w:rPr>
              <w:t>2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13C233" w14:textId="73BD5DF4" w:rsidR="005D295F" w:rsidRDefault="005D295F" w:rsidP="002534D8">
            <w:pPr>
              <w:pStyle w:val="TCTableBody"/>
              <w:spacing w:after="0" w:line="240" w:lineRule="atLeast"/>
              <w:jc w:val="center"/>
              <w:rPr>
                <w:lang w:val="pt-BR"/>
              </w:rPr>
            </w:pPr>
            <w:r>
              <w:rPr>
                <w:lang w:val="pt-BR"/>
              </w:rPr>
              <w:t>80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C3BD2C" w14:textId="5EF3640D" w:rsidR="005D295F" w:rsidRDefault="002534D8" w:rsidP="002534D8">
            <w:pPr>
              <w:pStyle w:val="TCTableBody"/>
              <w:spacing w:after="0" w:line="240" w:lineRule="atLeast"/>
              <w:jc w:val="center"/>
              <w:rPr>
                <w:lang w:val="pt-BR"/>
              </w:rPr>
            </w:pPr>
            <w:r>
              <w:rPr>
                <w:lang w:val="pt-BR"/>
              </w:rPr>
              <w:t>94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4A86AEED" w14:textId="77777777" w:rsidR="005D295F" w:rsidRDefault="005D295F" w:rsidP="002534D8">
            <w:pPr>
              <w:pStyle w:val="TCTableBody"/>
              <w:spacing w:after="0" w:line="240" w:lineRule="atLeast"/>
              <w:jc w:val="center"/>
              <w:rPr>
                <w:lang w:val="pt-BR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3D077F" w14:textId="4077AF23" w:rsidR="005D295F" w:rsidRDefault="005D295F" w:rsidP="002534D8">
            <w:pPr>
              <w:pStyle w:val="TCTableBody"/>
              <w:spacing w:after="0" w:line="240" w:lineRule="atLeast"/>
              <w:jc w:val="center"/>
              <w:rPr>
                <w:lang w:val="pt-BR"/>
              </w:rPr>
            </w:pPr>
            <w:r>
              <w:rPr>
                <w:lang w:val="pt-BR"/>
              </w:rPr>
              <w:t>33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5543B2" w14:textId="79E38DAB" w:rsidR="005D295F" w:rsidRDefault="005D295F" w:rsidP="002534D8">
            <w:pPr>
              <w:pStyle w:val="TCTableBody"/>
              <w:spacing w:after="0" w:line="240" w:lineRule="atLeast"/>
              <w:jc w:val="center"/>
              <w:rPr>
                <w:lang w:val="pt-BR"/>
              </w:rPr>
            </w:pPr>
            <w:r>
              <w:rPr>
                <w:lang w:val="pt-BR"/>
              </w:rPr>
              <w:t>67</w:t>
            </w:r>
          </w:p>
        </w:tc>
      </w:tr>
      <w:tr w:rsidR="005D295F" w:rsidRPr="00072C7A" w14:paraId="73B6EC3D" w14:textId="77777777" w:rsidTr="005D295F">
        <w:trPr>
          <w:gridAfter w:val="1"/>
          <w:wAfter w:w="24" w:type="dxa"/>
          <w:trHeight w:val="148"/>
          <w:jc w:val="center"/>
        </w:trPr>
        <w:tc>
          <w:tcPr>
            <w:tcW w:w="10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226C29" w14:textId="2C595BBF" w:rsidR="005D295F" w:rsidRDefault="005D295F" w:rsidP="002534D8">
            <w:pPr>
              <w:pStyle w:val="TCTableBody"/>
              <w:spacing w:after="0" w:line="240" w:lineRule="exact"/>
              <w:ind w:right="337"/>
              <w:jc w:val="center"/>
              <w:rPr>
                <w:lang w:val="pt-BR"/>
              </w:rPr>
            </w:pPr>
            <w:r>
              <w:rPr>
                <w:lang w:val="pt-BR"/>
              </w:rPr>
              <w:t>3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</w:tcPr>
          <w:p w14:paraId="1FE4E99B" w14:textId="0DC0A99C" w:rsidR="005D295F" w:rsidRDefault="005D295F" w:rsidP="002534D8">
            <w:pPr>
              <w:pStyle w:val="TCTableBody"/>
              <w:spacing w:after="0" w:line="240" w:lineRule="exact"/>
              <w:jc w:val="center"/>
              <w:rPr>
                <w:lang w:val="pt-BR"/>
              </w:rPr>
            </w:pPr>
            <w:r>
              <w:rPr>
                <w:lang w:val="pt-BR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1E4C71" w14:textId="15860FE5" w:rsidR="005D295F" w:rsidRDefault="005D295F" w:rsidP="002534D8">
            <w:pPr>
              <w:pStyle w:val="TCTableBody"/>
              <w:spacing w:after="0" w:line="240" w:lineRule="exact"/>
              <w:jc w:val="center"/>
              <w:rPr>
                <w:lang w:val="pt-BR"/>
              </w:rPr>
            </w:pPr>
            <w:r>
              <w:rPr>
                <w:lang w:val="pt-BR"/>
              </w:rPr>
              <w:t>120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9C44B3" w14:textId="79A3BAC9" w:rsidR="005D295F" w:rsidRDefault="002534D8" w:rsidP="002534D8">
            <w:pPr>
              <w:pStyle w:val="TCTableBody"/>
              <w:spacing w:after="0" w:line="240" w:lineRule="exact"/>
              <w:jc w:val="center"/>
              <w:rPr>
                <w:lang w:val="pt-BR"/>
              </w:rPr>
            </w:pPr>
            <w:r>
              <w:rPr>
                <w:lang w:val="pt-BR"/>
              </w:rPr>
              <w:t>99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6D8BB272" w14:textId="77777777" w:rsidR="005D295F" w:rsidRDefault="005D295F" w:rsidP="002534D8">
            <w:pPr>
              <w:pStyle w:val="TCTableBody"/>
              <w:spacing w:after="0" w:line="240" w:lineRule="exact"/>
              <w:jc w:val="center"/>
              <w:rPr>
                <w:lang w:val="pt-BR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045EC5" w14:textId="2BF19271" w:rsidR="005D295F" w:rsidRDefault="005D295F" w:rsidP="002534D8">
            <w:pPr>
              <w:pStyle w:val="TCTableBody"/>
              <w:spacing w:after="0" w:line="240" w:lineRule="exact"/>
              <w:jc w:val="center"/>
              <w:rPr>
                <w:lang w:val="pt-BR"/>
              </w:rPr>
            </w:pPr>
            <w:r>
              <w:rPr>
                <w:lang w:val="pt-BR"/>
              </w:rPr>
              <w:t>72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B479F1" w14:textId="5296085D" w:rsidR="005D295F" w:rsidRDefault="005D295F" w:rsidP="002534D8">
            <w:pPr>
              <w:pStyle w:val="TCTableBody"/>
              <w:spacing w:after="0" w:line="240" w:lineRule="exact"/>
              <w:jc w:val="center"/>
              <w:rPr>
                <w:lang w:val="pt-BR"/>
              </w:rPr>
            </w:pPr>
            <w:r>
              <w:rPr>
                <w:lang w:val="pt-BR"/>
              </w:rPr>
              <w:t>28</w:t>
            </w:r>
          </w:p>
        </w:tc>
      </w:tr>
      <w:tr w:rsidR="005D295F" w:rsidRPr="00072C7A" w14:paraId="331D322E" w14:textId="77777777" w:rsidTr="005D295F">
        <w:trPr>
          <w:gridAfter w:val="1"/>
          <w:wAfter w:w="24" w:type="dxa"/>
          <w:trHeight w:val="148"/>
          <w:jc w:val="center"/>
        </w:trPr>
        <w:tc>
          <w:tcPr>
            <w:tcW w:w="10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DFAD6E" w14:textId="13F2FA70" w:rsidR="005D295F" w:rsidRDefault="005D295F" w:rsidP="002534D8">
            <w:pPr>
              <w:pStyle w:val="TCTableBody"/>
              <w:spacing w:after="0" w:line="240" w:lineRule="exact"/>
              <w:ind w:right="337"/>
              <w:jc w:val="center"/>
              <w:rPr>
                <w:lang w:val="pt-BR"/>
              </w:rPr>
            </w:pPr>
            <w:r>
              <w:rPr>
                <w:lang w:val="pt-BR"/>
              </w:rPr>
              <w:t>4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</w:tcPr>
          <w:p w14:paraId="4C0D0E21" w14:textId="51435C37" w:rsidR="005D295F" w:rsidRDefault="005D295F" w:rsidP="002534D8">
            <w:pPr>
              <w:pStyle w:val="TCTableBody"/>
              <w:spacing w:after="0" w:line="240" w:lineRule="exact"/>
              <w:jc w:val="center"/>
              <w:rPr>
                <w:lang w:val="pt-BR"/>
              </w:rPr>
            </w:pPr>
            <w:r>
              <w:rPr>
                <w:lang w:val="pt-BR"/>
              </w:rPr>
              <w:t>2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1E6F7B" w14:textId="531C859A" w:rsidR="005D295F" w:rsidRDefault="005D295F" w:rsidP="002534D8">
            <w:pPr>
              <w:pStyle w:val="TCTableBody"/>
              <w:spacing w:after="0" w:line="240" w:lineRule="exact"/>
              <w:jc w:val="center"/>
              <w:rPr>
                <w:lang w:val="pt-BR"/>
              </w:rPr>
            </w:pPr>
            <w:r>
              <w:rPr>
                <w:lang w:val="pt-BR"/>
              </w:rPr>
              <w:t>120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E3F888" w14:textId="54348167" w:rsidR="005D295F" w:rsidRDefault="002534D8" w:rsidP="002534D8">
            <w:pPr>
              <w:pStyle w:val="TCTableBody"/>
              <w:spacing w:after="0" w:line="240" w:lineRule="exact"/>
              <w:jc w:val="center"/>
              <w:rPr>
                <w:lang w:val="pt-BR"/>
              </w:rPr>
            </w:pPr>
            <w:r>
              <w:rPr>
                <w:lang w:val="pt-BR"/>
              </w:rPr>
              <w:t>99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5A525B4E" w14:textId="77777777" w:rsidR="005D295F" w:rsidRPr="00070860" w:rsidRDefault="005D295F" w:rsidP="002534D8">
            <w:pPr>
              <w:pStyle w:val="TCTableBody"/>
              <w:spacing w:after="0" w:line="240" w:lineRule="exact"/>
              <w:jc w:val="center"/>
              <w:rPr>
                <w:lang w:val="pt-BR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C24C80" w14:textId="23499E80" w:rsidR="005D295F" w:rsidRDefault="005D295F" w:rsidP="002534D8">
            <w:pPr>
              <w:pStyle w:val="TCTableBody"/>
              <w:spacing w:after="0" w:line="240" w:lineRule="exact"/>
              <w:jc w:val="center"/>
              <w:rPr>
                <w:lang w:val="pt-BR"/>
              </w:rPr>
            </w:pPr>
            <w:r w:rsidRPr="00070860">
              <w:rPr>
                <w:lang w:val="pt-BR"/>
              </w:rPr>
              <w:t>58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FDB533" w14:textId="09BEB921" w:rsidR="005D295F" w:rsidRDefault="005D295F" w:rsidP="002534D8">
            <w:pPr>
              <w:pStyle w:val="TCTableBody"/>
              <w:spacing w:after="0" w:line="240" w:lineRule="exact"/>
              <w:jc w:val="center"/>
              <w:rPr>
                <w:lang w:val="pt-BR"/>
              </w:rPr>
            </w:pPr>
            <w:r>
              <w:rPr>
                <w:lang w:val="pt-BR"/>
              </w:rPr>
              <w:t>42</w:t>
            </w:r>
          </w:p>
        </w:tc>
      </w:tr>
      <w:tr w:rsidR="005D295F" w:rsidRPr="00072C7A" w14:paraId="2B495E42" w14:textId="77777777" w:rsidTr="005D295F">
        <w:trPr>
          <w:gridAfter w:val="1"/>
          <w:wAfter w:w="24" w:type="dxa"/>
          <w:trHeight w:val="148"/>
          <w:jc w:val="center"/>
        </w:trPr>
        <w:tc>
          <w:tcPr>
            <w:tcW w:w="10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59E07F" w14:textId="028E61F6" w:rsidR="005D295F" w:rsidRDefault="005D295F" w:rsidP="002534D8">
            <w:pPr>
              <w:pStyle w:val="TCTableBody"/>
              <w:spacing w:after="0" w:line="240" w:lineRule="exact"/>
              <w:ind w:right="337"/>
              <w:jc w:val="center"/>
              <w:rPr>
                <w:lang w:val="pt-BR"/>
              </w:rPr>
            </w:pPr>
            <w:r>
              <w:rPr>
                <w:lang w:val="pt-BR"/>
              </w:rPr>
              <w:t>5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</w:tcPr>
          <w:p w14:paraId="70060FB2" w14:textId="166E574B" w:rsidR="005D295F" w:rsidRDefault="005D295F" w:rsidP="002534D8">
            <w:pPr>
              <w:pStyle w:val="TCTableBody"/>
              <w:spacing w:after="0" w:line="240" w:lineRule="exact"/>
              <w:jc w:val="center"/>
              <w:rPr>
                <w:lang w:val="pt-BR"/>
              </w:rPr>
            </w:pPr>
            <w:r>
              <w:rPr>
                <w:lang w:val="pt-BR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C3C14F" w14:textId="083E54BE" w:rsidR="005D295F" w:rsidRDefault="005D295F" w:rsidP="002534D8">
            <w:pPr>
              <w:pStyle w:val="TCTableBody"/>
              <w:spacing w:after="0" w:line="240" w:lineRule="exact"/>
              <w:jc w:val="center"/>
              <w:rPr>
                <w:lang w:val="pt-BR"/>
              </w:rPr>
            </w:pPr>
            <w:r>
              <w:rPr>
                <w:lang w:val="pt-BR"/>
              </w:rPr>
              <w:t>100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951C46" w14:textId="4A3E8018" w:rsidR="005D295F" w:rsidRDefault="00C61B08" w:rsidP="002534D8">
            <w:pPr>
              <w:pStyle w:val="TCTableBody"/>
              <w:spacing w:after="0" w:line="240" w:lineRule="exact"/>
              <w:jc w:val="center"/>
              <w:rPr>
                <w:lang w:val="pt-BR"/>
              </w:rPr>
            </w:pPr>
            <w:r>
              <w:rPr>
                <w:lang w:val="pt-BR"/>
              </w:rPr>
              <w:t>98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380F59F4" w14:textId="77777777" w:rsidR="005D295F" w:rsidRDefault="005D295F" w:rsidP="002534D8">
            <w:pPr>
              <w:pStyle w:val="TCTableBody"/>
              <w:spacing w:after="0" w:line="240" w:lineRule="exact"/>
              <w:jc w:val="center"/>
              <w:rPr>
                <w:lang w:val="pt-BR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6A6B23" w14:textId="2485B221" w:rsidR="005D295F" w:rsidRDefault="005D295F" w:rsidP="002534D8">
            <w:pPr>
              <w:pStyle w:val="TCTableBody"/>
              <w:spacing w:after="0" w:line="240" w:lineRule="exact"/>
              <w:jc w:val="center"/>
              <w:rPr>
                <w:lang w:val="pt-BR"/>
              </w:rPr>
            </w:pPr>
            <w:r>
              <w:rPr>
                <w:lang w:val="pt-BR"/>
              </w:rPr>
              <w:t>65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9D2961" w14:textId="707C2014" w:rsidR="005D295F" w:rsidRDefault="005D295F" w:rsidP="002534D8">
            <w:pPr>
              <w:pStyle w:val="TCTableBody"/>
              <w:spacing w:after="0" w:line="240" w:lineRule="exact"/>
              <w:jc w:val="center"/>
              <w:rPr>
                <w:lang w:val="pt-BR"/>
              </w:rPr>
            </w:pPr>
            <w:r>
              <w:rPr>
                <w:lang w:val="pt-BR"/>
              </w:rPr>
              <w:t>35</w:t>
            </w:r>
          </w:p>
        </w:tc>
      </w:tr>
      <w:tr w:rsidR="005D295F" w:rsidRPr="00072C7A" w14:paraId="0FF50CF1" w14:textId="77777777" w:rsidTr="005D295F">
        <w:trPr>
          <w:trHeight w:val="768"/>
          <w:jc w:val="center"/>
        </w:trPr>
        <w:tc>
          <w:tcPr>
            <w:tcW w:w="161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2CFB501" w14:textId="77777777" w:rsidR="005D295F" w:rsidRPr="003E71C9" w:rsidRDefault="005D295F" w:rsidP="005D295F">
            <w:pPr>
              <w:pStyle w:val="TCTableBody"/>
              <w:spacing w:after="0" w:line="240" w:lineRule="auto"/>
              <w:rPr>
                <w:rFonts w:ascii="Times New Roman" w:hAnsi="Times New Roman"/>
                <w:vertAlign w:val="superscript"/>
                <w:lang w:val="pt-BR"/>
              </w:rPr>
            </w:pPr>
          </w:p>
        </w:tc>
        <w:tc>
          <w:tcPr>
            <w:tcW w:w="5067" w:type="dxa"/>
            <w:gridSpan w:val="8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4E19C95B" w14:textId="33F9F051" w:rsidR="005D295F" w:rsidRPr="005D295F" w:rsidRDefault="005D295F" w:rsidP="005D295F">
            <w:pPr>
              <w:pStyle w:val="TCTableBody"/>
              <w:spacing w:after="0" w:line="240" w:lineRule="auto"/>
              <w:ind w:left="-86"/>
              <w:rPr>
                <w:rFonts w:ascii="Times New Roman" w:hAnsi="Times New Roman"/>
                <w:lang w:val="pt-BR"/>
              </w:rPr>
            </w:pPr>
            <w:r w:rsidRPr="005D295F">
              <w:rPr>
                <w:rFonts w:ascii="Times New Roman" w:hAnsi="Times New Roman"/>
                <w:lang w:val="pt-BR"/>
              </w:rPr>
              <w:tab/>
            </w:r>
          </w:p>
          <w:p w14:paraId="4A33285E" w14:textId="77777777" w:rsidR="005D295F" w:rsidRDefault="005D295F" w:rsidP="005D295F">
            <w:pPr>
              <w:pStyle w:val="TCTableBody"/>
              <w:spacing w:after="0" w:line="240" w:lineRule="auto"/>
              <w:ind w:left="-86"/>
              <w:rPr>
                <w:rFonts w:ascii="Times New Roman" w:hAnsi="Times New Roman"/>
                <w:lang w:val="pt-BR"/>
              </w:rPr>
            </w:pPr>
            <w:r w:rsidRPr="00DA21F5">
              <w:rPr>
                <w:rFonts w:ascii="Times New Roman" w:hAnsi="Times New Roman"/>
                <w:vertAlign w:val="superscript"/>
                <w:lang w:val="pt-BR"/>
              </w:rPr>
              <w:t xml:space="preserve">a </w:t>
            </w:r>
            <w:r w:rsidRPr="005D295F">
              <w:rPr>
                <w:rFonts w:ascii="Times New Roman" w:hAnsi="Times New Roman"/>
                <w:lang w:val="pt-BR"/>
              </w:rPr>
              <w:t xml:space="preserve">Condições reacionais: </w:t>
            </w:r>
            <w:proofErr w:type="spellStart"/>
            <w:r w:rsidRPr="005D295F">
              <w:rPr>
                <w:rFonts w:ascii="Times New Roman" w:hAnsi="Times New Roman"/>
                <w:lang w:val="pt-BR"/>
              </w:rPr>
              <w:t>limoneno</w:t>
            </w:r>
            <w:proofErr w:type="spellEnd"/>
            <w:r w:rsidRPr="005D295F">
              <w:rPr>
                <w:rFonts w:ascii="Times New Roman" w:hAnsi="Times New Roman"/>
                <w:lang w:val="pt-BR"/>
              </w:rPr>
              <w:t xml:space="preserve"> (1 mmol), Rh(</w:t>
            </w:r>
            <w:proofErr w:type="spellStart"/>
            <w:r w:rsidRPr="005D295F">
              <w:rPr>
                <w:rFonts w:ascii="Times New Roman" w:hAnsi="Times New Roman"/>
                <w:lang w:val="pt-BR"/>
              </w:rPr>
              <w:t>acac</w:t>
            </w:r>
            <w:proofErr w:type="spellEnd"/>
            <w:r w:rsidRPr="005D295F">
              <w:rPr>
                <w:rFonts w:ascii="Times New Roman" w:hAnsi="Times New Roman"/>
                <w:lang w:val="pt-BR"/>
              </w:rPr>
              <w:t>)(CO)</w:t>
            </w:r>
            <w:r w:rsidRPr="002534D8">
              <w:rPr>
                <w:rFonts w:ascii="Times New Roman" w:hAnsi="Times New Roman"/>
                <w:vertAlign w:val="subscript"/>
                <w:lang w:val="pt-BR"/>
              </w:rPr>
              <w:t>2</w:t>
            </w:r>
            <w:r w:rsidRPr="005D295F">
              <w:rPr>
                <w:rFonts w:ascii="Times New Roman" w:hAnsi="Times New Roman"/>
                <w:lang w:val="pt-BR"/>
              </w:rPr>
              <w:t xml:space="preserve"> (1 mol%), PPh</w:t>
            </w:r>
            <w:r w:rsidRPr="002534D8">
              <w:rPr>
                <w:rFonts w:ascii="Times New Roman" w:hAnsi="Times New Roman"/>
                <w:vertAlign w:val="subscript"/>
                <w:lang w:val="pt-BR"/>
              </w:rPr>
              <w:t>3</w:t>
            </w:r>
            <w:r w:rsidRPr="005D295F">
              <w:rPr>
                <w:rFonts w:ascii="Times New Roman" w:hAnsi="Times New Roman"/>
                <w:lang w:val="pt-BR"/>
              </w:rPr>
              <w:t xml:space="preserve"> (P/Rh =10), fase gasosa (CO/H</w:t>
            </w:r>
            <w:r w:rsidRPr="00DA21F5">
              <w:rPr>
                <w:rFonts w:ascii="Times New Roman" w:hAnsi="Times New Roman"/>
                <w:vertAlign w:val="subscript"/>
                <w:lang w:val="pt-BR"/>
              </w:rPr>
              <w:t>2</w:t>
            </w:r>
            <w:r w:rsidRPr="005D295F">
              <w:rPr>
                <w:rFonts w:ascii="Times New Roman" w:hAnsi="Times New Roman"/>
                <w:lang w:val="pt-BR"/>
              </w:rPr>
              <w:t xml:space="preserve"> = 1/1) 40 </w:t>
            </w:r>
            <w:proofErr w:type="spellStart"/>
            <w:r w:rsidRPr="005D295F">
              <w:rPr>
                <w:rFonts w:ascii="Times New Roman" w:hAnsi="Times New Roman"/>
                <w:lang w:val="pt-BR"/>
              </w:rPr>
              <w:t>atm</w:t>
            </w:r>
            <w:proofErr w:type="spellEnd"/>
            <w:r w:rsidRPr="005D295F">
              <w:rPr>
                <w:rFonts w:ascii="Times New Roman" w:hAnsi="Times New Roman"/>
                <w:lang w:val="pt-BR"/>
              </w:rPr>
              <w:t xml:space="preserve">, PPTS (1-2 mol%), glicerol (1 mmol), tolueno (2 </w:t>
            </w:r>
            <w:proofErr w:type="spellStart"/>
            <w:r w:rsidRPr="005D295F">
              <w:rPr>
                <w:rFonts w:ascii="Times New Roman" w:hAnsi="Times New Roman"/>
                <w:lang w:val="pt-BR"/>
              </w:rPr>
              <w:t>mL</w:t>
            </w:r>
            <w:proofErr w:type="spellEnd"/>
            <w:r w:rsidRPr="005D295F">
              <w:rPr>
                <w:rFonts w:ascii="Times New Roman" w:hAnsi="Times New Roman"/>
                <w:lang w:val="pt-BR"/>
              </w:rPr>
              <w:t>), tempo da reação 24 horas.</w:t>
            </w:r>
          </w:p>
          <w:p w14:paraId="1AD8F328" w14:textId="4E4E7C0D" w:rsidR="002534D8" w:rsidRPr="003E71C9" w:rsidRDefault="002534D8" w:rsidP="005D295F">
            <w:pPr>
              <w:pStyle w:val="TCTableBody"/>
              <w:spacing w:after="0" w:line="240" w:lineRule="auto"/>
              <w:ind w:left="-86"/>
              <w:rPr>
                <w:rFonts w:ascii="Times New Roman" w:hAnsi="Times New Roman"/>
                <w:lang w:val="pt-BR"/>
              </w:rPr>
            </w:pPr>
          </w:p>
        </w:tc>
      </w:tr>
    </w:tbl>
    <w:p w14:paraId="20AA905D" w14:textId="09EB3D13" w:rsidR="00EA4E1B" w:rsidRPr="001F25B2" w:rsidRDefault="00EA4E1B" w:rsidP="00EA4E1B">
      <w:pPr>
        <w:pStyle w:val="Ttulo2"/>
        <w:rPr>
          <w:rFonts w:ascii="Helvetica" w:hAnsi="Helvetica" w:cs="Helvetica"/>
          <w:sz w:val="24"/>
          <w:szCs w:val="24"/>
        </w:rPr>
      </w:pPr>
      <w:r w:rsidRPr="001F25B2">
        <w:rPr>
          <w:rFonts w:ascii="Helvetica" w:hAnsi="Helvetica" w:cs="Helvetica"/>
          <w:sz w:val="24"/>
          <w:szCs w:val="24"/>
        </w:rPr>
        <w:t>Conclusões</w:t>
      </w:r>
    </w:p>
    <w:p w14:paraId="4A70FE93" w14:textId="65457602" w:rsidR="00EA4E1B" w:rsidRPr="001F25B2" w:rsidRDefault="00872C35" w:rsidP="00EA4E1B">
      <w:pPr>
        <w:pStyle w:val="TAMainText"/>
        <w:ind w:firstLine="187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O processo tandem “</w:t>
      </w:r>
      <w:proofErr w:type="spellStart"/>
      <w:r>
        <w:rPr>
          <w:rFonts w:ascii="Times New Roman" w:hAnsi="Times New Roman"/>
          <w:lang w:val="pt-BR"/>
        </w:rPr>
        <w:t>one-pot</w:t>
      </w:r>
      <w:proofErr w:type="spellEnd"/>
      <w:r>
        <w:rPr>
          <w:rFonts w:ascii="Times New Roman" w:hAnsi="Times New Roman"/>
          <w:lang w:val="pt-BR"/>
        </w:rPr>
        <w:t xml:space="preserve">” de </w:t>
      </w:r>
      <w:proofErr w:type="spellStart"/>
      <w:r w:rsidR="0006580C">
        <w:rPr>
          <w:rFonts w:ascii="Times New Roman" w:hAnsi="Times New Roman"/>
          <w:lang w:val="pt-BR"/>
        </w:rPr>
        <w:t>hidroformilação</w:t>
      </w:r>
      <w:proofErr w:type="spellEnd"/>
      <w:r w:rsidR="00C87E74">
        <w:rPr>
          <w:rFonts w:ascii="Times New Roman" w:hAnsi="Times New Roman"/>
          <w:lang w:val="pt-BR"/>
        </w:rPr>
        <w:t>/</w:t>
      </w:r>
      <w:proofErr w:type="spellStart"/>
      <w:r w:rsidR="0006580C">
        <w:rPr>
          <w:rFonts w:ascii="Times New Roman" w:hAnsi="Times New Roman"/>
          <w:lang w:val="pt-BR"/>
        </w:rPr>
        <w:t>acetalização</w:t>
      </w:r>
      <w:proofErr w:type="spellEnd"/>
      <w:r w:rsidR="0006580C">
        <w:rPr>
          <w:rFonts w:ascii="Times New Roman" w:hAnsi="Times New Roman"/>
          <w:lang w:val="pt-BR"/>
        </w:rPr>
        <w:t xml:space="preserve"> do </w:t>
      </w:r>
      <w:proofErr w:type="spellStart"/>
      <w:r w:rsidR="0006580C">
        <w:rPr>
          <w:rFonts w:ascii="Times New Roman" w:hAnsi="Times New Roman"/>
          <w:lang w:val="pt-BR"/>
        </w:rPr>
        <w:t>limoneno</w:t>
      </w:r>
      <w:proofErr w:type="spellEnd"/>
      <w:r w:rsidR="0006580C">
        <w:rPr>
          <w:rFonts w:ascii="Times New Roman" w:hAnsi="Times New Roman"/>
          <w:lang w:val="pt-BR"/>
        </w:rPr>
        <w:t xml:space="preserve"> </w:t>
      </w:r>
      <w:r>
        <w:rPr>
          <w:rFonts w:ascii="Times New Roman" w:hAnsi="Times New Roman"/>
          <w:lang w:val="pt-BR"/>
        </w:rPr>
        <w:t xml:space="preserve">utilizando glicerol como reagente </w:t>
      </w:r>
      <w:r w:rsidR="007D4994">
        <w:rPr>
          <w:rFonts w:ascii="Times New Roman" w:hAnsi="Times New Roman"/>
          <w:lang w:val="pt-BR"/>
        </w:rPr>
        <w:t xml:space="preserve">na etapa de </w:t>
      </w:r>
      <w:proofErr w:type="spellStart"/>
      <w:r w:rsidR="007D4994">
        <w:rPr>
          <w:rFonts w:ascii="Times New Roman" w:hAnsi="Times New Roman"/>
          <w:lang w:val="pt-BR"/>
        </w:rPr>
        <w:t>acetalização</w:t>
      </w:r>
      <w:proofErr w:type="spellEnd"/>
      <w:r w:rsidR="007D4994">
        <w:rPr>
          <w:rFonts w:ascii="Times New Roman" w:hAnsi="Times New Roman"/>
          <w:lang w:val="pt-BR"/>
        </w:rPr>
        <w:t xml:space="preserve"> </w:t>
      </w:r>
      <w:r>
        <w:rPr>
          <w:rFonts w:ascii="Times New Roman" w:hAnsi="Times New Roman"/>
          <w:lang w:val="pt-BR"/>
        </w:rPr>
        <w:t>foi desenvolvido.</w:t>
      </w:r>
      <w:r w:rsidR="0089203D">
        <w:rPr>
          <w:rFonts w:ascii="Times New Roman" w:hAnsi="Times New Roman"/>
          <w:lang w:val="pt-BR"/>
        </w:rPr>
        <w:t xml:space="preserve"> Os respectivos acetais</w:t>
      </w:r>
      <w:r w:rsidR="00D305DE">
        <w:rPr>
          <w:rFonts w:ascii="Times New Roman" w:hAnsi="Times New Roman"/>
          <w:lang w:val="pt-BR"/>
        </w:rPr>
        <w:t xml:space="preserve"> </w:t>
      </w:r>
      <w:r w:rsidR="00D305DE" w:rsidRPr="00AD5B32">
        <w:rPr>
          <w:rFonts w:ascii="Times New Roman" w:hAnsi="Times New Roman"/>
          <w:b/>
          <w:bCs/>
          <w:lang w:val="pt-BR"/>
        </w:rPr>
        <w:t>1</w:t>
      </w:r>
      <w:r w:rsidR="00D305DE">
        <w:rPr>
          <w:rFonts w:ascii="Times New Roman" w:hAnsi="Times New Roman"/>
          <w:lang w:val="pt-BR"/>
        </w:rPr>
        <w:t xml:space="preserve"> e </w:t>
      </w:r>
      <w:r w:rsidR="00D305DE" w:rsidRPr="00AD5B32">
        <w:rPr>
          <w:rFonts w:ascii="Times New Roman" w:hAnsi="Times New Roman"/>
          <w:b/>
          <w:bCs/>
          <w:lang w:val="pt-BR"/>
        </w:rPr>
        <w:t>2</w:t>
      </w:r>
      <w:r w:rsidR="005827E4">
        <w:rPr>
          <w:rFonts w:ascii="Times New Roman" w:hAnsi="Times New Roman"/>
          <w:lang w:val="pt-BR"/>
        </w:rPr>
        <w:t xml:space="preserve">, </w:t>
      </w:r>
      <w:r w:rsidR="007D4994">
        <w:rPr>
          <w:rFonts w:ascii="Times New Roman" w:hAnsi="Times New Roman"/>
          <w:lang w:val="pt-BR"/>
        </w:rPr>
        <w:t xml:space="preserve">obtidos com rendimento conjunto cerca de 70% nas condições optimizadas, são </w:t>
      </w:r>
      <w:r w:rsidR="005827E4">
        <w:rPr>
          <w:rFonts w:ascii="Times New Roman" w:hAnsi="Times New Roman"/>
          <w:lang w:val="pt-BR"/>
        </w:rPr>
        <w:t>derivados d</w:t>
      </w:r>
      <w:r w:rsidR="009731B8">
        <w:rPr>
          <w:rFonts w:ascii="Times New Roman" w:hAnsi="Times New Roman"/>
          <w:lang w:val="pt-BR"/>
        </w:rPr>
        <w:t>e</w:t>
      </w:r>
      <w:r w:rsidR="005827E4">
        <w:rPr>
          <w:rFonts w:ascii="Times New Roman" w:hAnsi="Times New Roman"/>
          <w:lang w:val="pt-BR"/>
        </w:rPr>
        <w:t xml:space="preserve"> dois substratos </w:t>
      </w:r>
      <w:proofErr w:type="spellStart"/>
      <w:r w:rsidR="005827E4">
        <w:rPr>
          <w:rFonts w:ascii="Times New Roman" w:hAnsi="Times New Roman"/>
          <w:lang w:val="pt-BR"/>
        </w:rPr>
        <w:t>bio-renováveis</w:t>
      </w:r>
      <w:proofErr w:type="spellEnd"/>
      <w:r w:rsidR="007D4994">
        <w:rPr>
          <w:rFonts w:ascii="Times New Roman" w:hAnsi="Times New Roman"/>
          <w:lang w:val="pt-BR"/>
        </w:rPr>
        <w:t xml:space="preserve">: </w:t>
      </w:r>
      <w:r w:rsidR="005827E4">
        <w:rPr>
          <w:rFonts w:ascii="Times New Roman" w:hAnsi="Times New Roman"/>
          <w:lang w:val="pt-BR"/>
        </w:rPr>
        <w:t xml:space="preserve"> </w:t>
      </w:r>
      <w:proofErr w:type="spellStart"/>
      <w:r w:rsidR="005827E4">
        <w:rPr>
          <w:rFonts w:ascii="Times New Roman" w:hAnsi="Times New Roman"/>
          <w:lang w:val="pt-BR"/>
        </w:rPr>
        <w:t>limoneno</w:t>
      </w:r>
      <w:proofErr w:type="spellEnd"/>
      <w:r w:rsidR="005827E4">
        <w:rPr>
          <w:rFonts w:ascii="Times New Roman" w:hAnsi="Times New Roman"/>
          <w:lang w:val="pt-BR"/>
        </w:rPr>
        <w:t xml:space="preserve"> e glicerol</w:t>
      </w:r>
      <w:r w:rsidR="007D4994">
        <w:rPr>
          <w:rFonts w:ascii="Times New Roman" w:hAnsi="Times New Roman"/>
          <w:lang w:val="pt-BR"/>
        </w:rPr>
        <w:t xml:space="preserve">. </w:t>
      </w:r>
      <w:r w:rsidR="003229A6">
        <w:rPr>
          <w:rFonts w:ascii="Times New Roman" w:hAnsi="Times New Roman"/>
          <w:lang w:val="pt-BR"/>
        </w:rPr>
        <w:t xml:space="preserve">A principal reação que concorre com </w:t>
      </w:r>
      <w:proofErr w:type="spellStart"/>
      <w:r w:rsidR="003229A6">
        <w:rPr>
          <w:rFonts w:ascii="Times New Roman" w:hAnsi="Times New Roman"/>
          <w:lang w:val="pt-BR"/>
        </w:rPr>
        <w:t>acetalização</w:t>
      </w:r>
      <w:proofErr w:type="spellEnd"/>
      <w:r w:rsidR="003229A6">
        <w:rPr>
          <w:rFonts w:ascii="Times New Roman" w:hAnsi="Times New Roman"/>
          <w:lang w:val="pt-BR"/>
        </w:rPr>
        <w:t xml:space="preserve"> do aldeído</w:t>
      </w:r>
      <w:r w:rsidR="00F343D5">
        <w:rPr>
          <w:rFonts w:ascii="Times New Roman" w:hAnsi="Times New Roman"/>
          <w:lang w:val="pt-BR"/>
        </w:rPr>
        <w:t xml:space="preserve"> é </w:t>
      </w:r>
      <w:r w:rsidR="003229A6">
        <w:rPr>
          <w:rFonts w:ascii="Times New Roman" w:hAnsi="Times New Roman"/>
          <w:lang w:val="pt-BR"/>
        </w:rPr>
        <w:t xml:space="preserve">a sua </w:t>
      </w:r>
      <w:proofErr w:type="spellStart"/>
      <w:r w:rsidR="003229A6">
        <w:rPr>
          <w:rFonts w:ascii="Times New Roman" w:hAnsi="Times New Roman"/>
          <w:lang w:val="pt-BR"/>
        </w:rPr>
        <w:t>ciclização</w:t>
      </w:r>
      <w:proofErr w:type="spellEnd"/>
      <w:r w:rsidR="003229A6">
        <w:rPr>
          <w:rFonts w:ascii="Times New Roman" w:hAnsi="Times New Roman"/>
          <w:lang w:val="pt-BR"/>
        </w:rPr>
        <w:t xml:space="preserve"> intermolecular</w:t>
      </w:r>
      <w:r w:rsidR="009731B8">
        <w:rPr>
          <w:rFonts w:ascii="Times New Roman" w:hAnsi="Times New Roman"/>
          <w:lang w:val="pt-BR"/>
        </w:rPr>
        <w:t xml:space="preserve"> </w:t>
      </w:r>
      <w:r w:rsidR="003229A6">
        <w:rPr>
          <w:rFonts w:ascii="Times New Roman" w:hAnsi="Times New Roman"/>
          <w:lang w:val="pt-BR"/>
        </w:rPr>
        <w:t>também é catalisada PPTS</w:t>
      </w:r>
      <w:r w:rsidR="009731B8">
        <w:rPr>
          <w:rFonts w:ascii="Times New Roman" w:hAnsi="Times New Roman"/>
          <w:lang w:val="pt-BR"/>
        </w:rPr>
        <w:t>. Esta reação</w:t>
      </w:r>
      <w:r w:rsidR="00C10C42">
        <w:rPr>
          <w:rFonts w:ascii="Times New Roman" w:hAnsi="Times New Roman"/>
          <w:lang w:val="pt-BR"/>
        </w:rPr>
        <w:t xml:space="preserve"> está </w:t>
      </w:r>
      <w:r w:rsidR="009C15B2">
        <w:rPr>
          <w:rFonts w:ascii="Times New Roman" w:hAnsi="Times New Roman"/>
          <w:lang w:val="pt-BR"/>
        </w:rPr>
        <w:t xml:space="preserve">responsável pela formação do principal produto minoritário, o álcool </w:t>
      </w:r>
      <w:r w:rsidR="009C15B2" w:rsidRPr="00AD5B32">
        <w:rPr>
          <w:rFonts w:ascii="Times New Roman" w:hAnsi="Times New Roman"/>
          <w:b/>
          <w:bCs/>
          <w:lang w:val="pt-BR"/>
        </w:rPr>
        <w:t>3</w:t>
      </w:r>
      <w:r w:rsidR="009C15B2">
        <w:rPr>
          <w:rFonts w:ascii="Times New Roman" w:hAnsi="Times New Roman"/>
          <w:lang w:val="pt-BR"/>
        </w:rPr>
        <w:t>.</w:t>
      </w:r>
      <w:r w:rsidR="003229A6">
        <w:rPr>
          <w:rFonts w:ascii="Times New Roman" w:hAnsi="Times New Roman"/>
          <w:lang w:val="pt-BR"/>
        </w:rPr>
        <w:t xml:space="preserve">  </w:t>
      </w:r>
      <w:r w:rsidR="00C801E5">
        <w:rPr>
          <w:rFonts w:ascii="Times New Roman" w:hAnsi="Times New Roman"/>
          <w:lang w:val="pt-BR"/>
        </w:rPr>
        <w:t xml:space="preserve">Importante ressaltar, que </w:t>
      </w:r>
      <w:r w:rsidR="00657591">
        <w:rPr>
          <w:rFonts w:ascii="Times New Roman" w:hAnsi="Times New Roman"/>
          <w:lang w:val="pt-BR"/>
        </w:rPr>
        <w:t xml:space="preserve">tanto acetais </w:t>
      </w:r>
      <w:r w:rsidR="00657591" w:rsidRPr="00AD5B32">
        <w:rPr>
          <w:rFonts w:ascii="Times New Roman" w:hAnsi="Times New Roman"/>
          <w:b/>
          <w:bCs/>
          <w:lang w:val="pt-BR"/>
        </w:rPr>
        <w:t>1</w:t>
      </w:r>
      <w:r w:rsidR="00657591">
        <w:rPr>
          <w:rFonts w:ascii="Times New Roman" w:hAnsi="Times New Roman"/>
          <w:lang w:val="pt-BR"/>
        </w:rPr>
        <w:t xml:space="preserve"> e </w:t>
      </w:r>
      <w:r w:rsidR="00657591" w:rsidRPr="00AD5B32">
        <w:rPr>
          <w:rFonts w:ascii="Times New Roman" w:hAnsi="Times New Roman"/>
          <w:b/>
          <w:bCs/>
          <w:lang w:val="pt-BR"/>
        </w:rPr>
        <w:t>2</w:t>
      </w:r>
      <w:r w:rsidR="00657591">
        <w:rPr>
          <w:rFonts w:ascii="Times New Roman" w:hAnsi="Times New Roman"/>
          <w:lang w:val="pt-BR"/>
        </w:rPr>
        <w:t xml:space="preserve"> quanto o álcool </w:t>
      </w:r>
      <w:r w:rsidR="00657591" w:rsidRPr="00AD5B32">
        <w:rPr>
          <w:rFonts w:ascii="Times New Roman" w:hAnsi="Times New Roman"/>
          <w:b/>
          <w:bCs/>
          <w:lang w:val="pt-BR"/>
        </w:rPr>
        <w:t>3</w:t>
      </w:r>
      <w:r w:rsidR="00657591">
        <w:rPr>
          <w:rFonts w:ascii="Times New Roman" w:hAnsi="Times New Roman"/>
          <w:lang w:val="pt-BR"/>
        </w:rPr>
        <w:t xml:space="preserve"> tem potencial de aplicação como aditivos em diesel </w:t>
      </w:r>
      <w:r w:rsidR="00C10C42">
        <w:rPr>
          <w:rFonts w:ascii="Times New Roman" w:hAnsi="Times New Roman"/>
          <w:lang w:val="pt-BR"/>
        </w:rPr>
        <w:t>melhorando sua</w:t>
      </w:r>
      <w:r w:rsidR="0029157B">
        <w:rPr>
          <w:rFonts w:ascii="Times New Roman" w:hAnsi="Times New Roman"/>
          <w:lang w:val="pt-BR"/>
        </w:rPr>
        <w:t>s características</w:t>
      </w:r>
      <w:r w:rsidR="00C10C42">
        <w:rPr>
          <w:rFonts w:ascii="Times New Roman" w:hAnsi="Times New Roman"/>
          <w:lang w:val="pt-BR"/>
        </w:rPr>
        <w:t xml:space="preserve">, </w:t>
      </w:r>
      <w:r w:rsidR="00657591">
        <w:rPr>
          <w:rFonts w:ascii="Times New Roman" w:hAnsi="Times New Roman"/>
          <w:lang w:val="pt-BR"/>
        </w:rPr>
        <w:t>portanto a mistura destes produtos pode ser utilizada diretamente sem a separação dos componentes individuais.</w:t>
      </w:r>
    </w:p>
    <w:p w14:paraId="5E77787E" w14:textId="78273211" w:rsidR="00C801E5" w:rsidRPr="00C801E5" w:rsidRDefault="00EA4E1B" w:rsidP="00C801E5">
      <w:pPr>
        <w:pStyle w:val="Ttulo2"/>
        <w:rPr>
          <w:rFonts w:ascii="Helvetica" w:hAnsi="Helvetica" w:cs="Helvetica"/>
          <w:sz w:val="24"/>
          <w:szCs w:val="24"/>
        </w:rPr>
      </w:pPr>
      <w:r w:rsidRPr="001F25B2">
        <w:rPr>
          <w:rFonts w:ascii="Helvetica" w:hAnsi="Helvetica" w:cs="Helvetica"/>
          <w:sz w:val="24"/>
          <w:szCs w:val="24"/>
        </w:rPr>
        <w:t>Agradecimentos</w:t>
      </w:r>
    </w:p>
    <w:p w14:paraId="089A4C2D" w14:textId="3C3BCF81" w:rsidR="00B47363" w:rsidRDefault="008D304A" w:rsidP="00EA4E1B">
      <w:pPr>
        <w:pStyle w:val="TAMainText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Agradecimentos a</w:t>
      </w:r>
      <w:r w:rsidR="000C230D">
        <w:rPr>
          <w:rFonts w:ascii="Times New Roman" w:hAnsi="Times New Roman"/>
          <w:lang w:val="pt-BR"/>
        </w:rPr>
        <w:t xml:space="preserve"> </w:t>
      </w:r>
      <w:r w:rsidR="00280FD8">
        <w:rPr>
          <w:rFonts w:ascii="Times New Roman" w:hAnsi="Times New Roman"/>
          <w:lang w:val="pt-BR"/>
        </w:rPr>
        <w:t xml:space="preserve">ANP, </w:t>
      </w:r>
      <w:r w:rsidRPr="00816D55">
        <w:rPr>
          <w:rFonts w:ascii="Times New Roman" w:hAnsi="Times New Roman"/>
          <w:lang w:val="pt-BR"/>
        </w:rPr>
        <w:t>CNPq, CAPES, FAPEMIG</w:t>
      </w:r>
      <w:r>
        <w:rPr>
          <w:rFonts w:ascii="Times New Roman" w:hAnsi="Times New Roman"/>
          <w:lang w:val="pt-BR"/>
        </w:rPr>
        <w:t xml:space="preserve"> e</w:t>
      </w:r>
      <w:r w:rsidRPr="00816D55">
        <w:rPr>
          <w:rFonts w:ascii="Times New Roman" w:hAnsi="Times New Roman"/>
          <w:lang w:val="pt-BR"/>
        </w:rPr>
        <w:t xml:space="preserve"> INCT-Catálise</w:t>
      </w:r>
      <w:r>
        <w:rPr>
          <w:rFonts w:ascii="Times New Roman" w:hAnsi="Times New Roman"/>
          <w:lang w:val="pt-BR"/>
        </w:rPr>
        <w:t>.</w:t>
      </w:r>
    </w:p>
    <w:p w14:paraId="31D3C72D" w14:textId="248CE895" w:rsidR="00FE0529" w:rsidRPr="00FE0529" w:rsidRDefault="00EA4E1B" w:rsidP="00FE0529">
      <w:pPr>
        <w:pStyle w:val="Ttulo2"/>
        <w:rPr>
          <w:rFonts w:ascii="Helvetica" w:hAnsi="Helvetica" w:cs="Helvetica"/>
          <w:sz w:val="24"/>
          <w:szCs w:val="24"/>
        </w:rPr>
      </w:pPr>
      <w:r w:rsidRPr="001F25B2">
        <w:rPr>
          <w:rFonts w:ascii="Helvetica" w:hAnsi="Helvetica" w:cs="Helvetica"/>
          <w:sz w:val="24"/>
          <w:szCs w:val="24"/>
        </w:rPr>
        <w:t>Referências</w:t>
      </w:r>
    </w:p>
    <w:p w14:paraId="533E978B" w14:textId="07821646" w:rsidR="004B2E34" w:rsidRPr="004B2E34" w:rsidRDefault="00B47363" w:rsidP="004F5CDC">
      <w:pPr>
        <w:pStyle w:val="TAMainText"/>
        <w:numPr>
          <w:ilvl w:val="0"/>
          <w:numId w:val="3"/>
        </w:numPr>
        <w:rPr>
          <w:rFonts w:ascii="Times New Roman" w:hAnsi="Times New Roman"/>
          <w:lang w:val="pt-BR"/>
        </w:rPr>
      </w:pPr>
      <w:r>
        <w:rPr>
          <w:rFonts w:ascii="Times New Roman" w:hAnsi="Times New Roman"/>
        </w:rPr>
        <w:t>A. Behr, T. Seidensticker</w:t>
      </w:r>
      <w:r w:rsidR="004F5CDC">
        <w:rPr>
          <w:rFonts w:ascii="Times New Roman" w:hAnsi="Times New Roman"/>
        </w:rPr>
        <w:t>.</w:t>
      </w:r>
      <w:r w:rsidR="004B2E34" w:rsidRPr="000C230D">
        <w:rPr>
          <w:rFonts w:ascii="Times New Roman" w:hAnsi="Times New Roman"/>
        </w:rPr>
        <w:t xml:space="preserve"> </w:t>
      </w:r>
      <w:r w:rsidR="004B2E34" w:rsidRPr="00C34195">
        <w:rPr>
          <w:rFonts w:ascii="Times New Roman" w:hAnsi="Times New Roman"/>
          <w:i/>
          <w:iCs/>
        </w:rPr>
        <w:t>Chemistry of Renewables</w:t>
      </w:r>
      <w:r w:rsidR="00C34195">
        <w:rPr>
          <w:rFonts w:ascii="Times New Roman" w:hAnsi="Times New Roman"/>
        </w:rPr>
        <w:t>,</w:t>
      </w:r>
      <w:r w:rsidR="004B2E34" w:rsidRPr="000C230D">
        <w:rPr>
          <w:rFonts w:ascii="Times New Roman" w:hAnsi="Times New Roman"/>
        </w:rPr>
        <w:t xml:space="preserve"> </w:t>
      </w:r>
      <w:r w:rsidR="004B2E34" w:rsidRPr="00134437">
        <w:rPr>
          <w:rFonts w:ascii="Times New Roman" w:hAnsi="Times New Roman"/>
        </w:rPr>
        <w:t xml:space="preserve">Springer, </w:t>
      </w:r>
      <w:r w:rsidR="004B2E34" w:rsidRPr="00134437">
        <w:rPr>
          <w:rFonts w:ascii="Times New Roman" w:hAnsi="Times New Roman"/>
          <w:b/>
          <w:bCs/>
        </w:rPr>
        <w:t>2020</w:t>
      </w:r>
      <w:r w:rsidR="004B2E34" w:rsidRPr="00134437">
        <w:rPr>
          <w:rFonts w:ascii="Times New Roman" w:hAnsi="Times New Roman"/>
        </w:rPr>
        <w:t xml:space="preserve">. </w:t>
      </w:r>
      <w:r w:rsidR="004B2E34" w:rsidRPr="0072476E">
        <w:rPr>
          <w:rFonts w:ascii="Times New Roman" w:hAnsi="Times New Roman"/>
          <w:lang w:val="pt-BR"/>
        </w:rPr>
        <w:t>P 35-43;</w:t>
      </w:r>
    </w:p>
    <w:p w14:paraId="6B517886" w14:textId="3BEDF7D1" w:rsidR="004B2E34" w:rsidRPr="00C34195" w:rsidRDefault="00B47363" w:rsidP="004F5CDC">
      <w:pPr>
        <w:pStyle w:val="PargrafodaLista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r w:rsidRPr="00677D4A">
        <w:rPr>
          <w:rFonts w:ascii="Times New Roman" w:hAnsi="Times New Roman" w:cs="Times New Roman"/>
          <w:color w:val="000000"/>
          <w:sz w:val="20"/>
          <w:szCs w:val="20"/>
          <w:lang w:val="en-US"/>
        </w:rPr>
        <w:t>G. Centi, et al</w:t>
      </w:r>
      <w:r w:rsidR="004F5CDC" w:rsidRPr="00677D4A">
        <w:rPr>
          <w:rFonts w:ascii="Times New Roman" w:hAnsi="Times New Roman" w:cs="Times New Roman"/>
          <w:color w:val="000000"/>
          <w:sz w:val="20"/>
          <w:szCs w:val="20"/>
          <w:lang w:val="en-US"/>
        </w:rPr>
        <w:t>.</w:t>
      </w:r>
      <w:r w:rsidRPr="00677D4A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="004B2E34" w:rsidRPr="00C34195">
        <w:rPr>
          <w:rFonts w:ascii="Times New Roman" w:hAnsi="Times New Roman" w:cs="Times New Roman"/>
          <w:i/>
          <w:iCs/>
          <w:color w:val="000000"/>
          <w:sz w:val="20"/>
          <w:szCs w:val="20"/>
          <w:lang w:val="en-US"/>
        </w:rPr>
        <w:t>Catalysis for Renewables: From Feedstock to Energy Production</w:t>
      </w:r>
      <w:r w:rsidR="004B2E34" w:rsidRPr="004B2E34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. </w:t>
      </w:r>
      <w:r w:rsidR="004B2E34" w:rsidRPr="00C34195">
        <w:rPr>
          <w:rFonts w:ascii="Times New Roman" w:hAnsi="Times New Roman" w:cs="Times New Roman"/>
          <w:bCs/>
          <w:color w:val="000000"/>
          <w:sz w:val="20"/>
          <w:szCs w:val="20"/>
          <w:lang w:val="en-US"/>
        </w:rPr>
        <w:t xml:space="preserve">Wiley‐VCH Verlag GmbH &amp; Co. </w:t>
      </w:r>
      <w:proofErr w:type="spellStart"/>
      <w:r w:rsidR="004B2E34" w:rsidRPr="00C34195">
        <w:rPr>
          <w:rFonts w:ascii="Times New Roman" w:hAnsi="Times New Roman" w:cs="Times New Roman"/>
          <w:bCs/>
          <w:color w:val="000000"/>
          <w:sz w:val="20"/>
          <w:szCs w:val="20"/>
          <w:lang w:val="en-US"/>
        </w:rPr>
        <w:t>Kga</w:t>
      </w:r>
      <w:proofErr w:type="spellEnd"/>
      <w:r w:rsidR="001279BE">
        <w:rPr>
          <w:rFonts w:ascii="Times New Roman" w:hAnsi="Times New Roman" w:cs="Times New Roman"/>
          <w:bCs/>
          <w:color w:val="000000"/>
          <w:sz w:val="20"/>
          <w:szCs w:val="20"/>
          <w:lang w:val="en-US"/>
        </w:rPr>
        <w:t xml:space="preserve"> </w:t>
      </w:r>
      <w:r w:rsidR="004B2E34" w:rsidRPr="00C34195">
        <w:rPr>
          <w:rFonts w:ascii="Times New Roman" w:hAnsi="Times New Roman" w:cs="Times New Roman"/>
          <w:bCs/>
          <w:color w:val="000000"/>
          <w:sz w:val="20"/>
          <w:szCs w:val="20"/>
          <w:lang w:val="en-US"/>
        </w:rPr>
        <w:t>A.</w:t>
      </w:r>
      <w:r w:rsidR="004B2E34" w:rsidRPr="00C34195"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  <w:t xml:space="preserve"> 2007</w:t>
      </w:r>
      <w:r w:rsidR="004B2E34" w:rsidRPr="00C34195">
        <w:rPr>
          <w:rFonts w:ascii="Times New Roman" w:hAnsi="Times New Roman" w:cs="Times New Roman"/>
          <w:color w:val="000000"/>
          <w:sz w:val="20"/>
          <w:szCs w:val="20"/>
          <w:lang w:val="en-US"/>
        </w:rPr>
        <w:t>. p 19-255.</w:t>
      </w:r>
    </w:p>
    <w:p w14:paraId="166250FA" w14:textId="78595E84" w:rsidR="005E3E19" w:rsidRPr="005E3E19" w:rsidRDefault="0072476E" w:rsidP="004F5CDC">
      <w:pPr>
        <w:pStyle w:val="PargrafodaLista"/>
        <w:numPr>
          <w:ilvl w:val="0"/>
          <w:numId w:val="3"/>
        </w:numPr>
        <w:jc w:val="both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r w:rsidRPr="00677D4A">
        <w:rPr>
          <w:rFonts w:ascii="Times New Roman" w:hAnsi="Times New Roman" w:cs="Times New Roman"/>
          <w:color w:val="000000"/>
          <w:sz w:val="20"/>
          <w:szCs w:val="20"/>
          <w:lang w:val="es-ES"/>
        </w:rPr>
        <w:t xml:space="preserve">C. Claver, P.W. </w:t>
      </w:r>
      <w:proofErr w:type="spellStart"/>
      <w:r w:rsidRPr="00677D4A">
        <w:rPr>
          <w:rFonts w:ascii="Times New Roman" w:hAnsi="Times New Roman" w:cs="Times New Roman"/>
          <w:color w:val="000000"/>
          <w:sz w:val="20"/>
          <w:szCs w:val="20"/>
          <w:lang w:val="es-ES"/>
        </w:rPr>
        <w:t>Leeuwen</w:t>
      </w:r>
      <w:proofErr w:type="spellEnd"/>
      <w:r w:rsidRPr="00677D4A">
        <w:rPr>
          <w:rFonts w:ascii="Times New Roman" w:hAnsi="Times New Roman" w:cs="Times New Roman"/>
          <w:color w:val="000000"/>
          <w:sz w:val="20"/>
          <w:szCs w:val="20"/>
          <w:lang w:val="es-ES"/>
        </w:rPr>
        <w:t xml:space="preserve">. </w:t>
      </w:r>
      <w:proofErr w:type="spellStart"/>
      <w:r w:rsidR="005E3E19" w:rsidRPr="005E3E19">
        <w:rPr>
          <w:rFonts w:ascii="Times New Roman" w:hAnsi="Times New Roman" w:cs="Times New Roman"/>
          <w:i/>
          <w:iCs/>
          <w:color w:val="000000"/>
          <w:sz w:val="20"/>
          <w:szCs w:val="20"/>
          <w:lang w:val="en-US"/>
        </w:rPr>
        <w:t>Klu</w:t>
      </w:r>
      <w:proofErr w:type="spellEnd"/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en-US"/>
        </w:rPr>
        <w:t xml:space="preserve">. </w:t>
      </w:r>
      <w:r w:rsidR="005E3E19" w:rsidRPr="005E3E19">
        <w:rPr>
          <w:rFonts w:ascii="Times New Roman" w:hAnsi="Times New Roman" w:cs="Times New Roman"/>
          <w:i/>
          <w:iCs/>
          <w:color w:val="000000"/>
          <w:sz w:val="20"/>
          <w:szCs w:val="20"/>
          <w:lang w:val="en-US"/>
        </w:rPr>
        <w:t>Acad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en-US"/>
        </w:rPr>
        <w:t xml:space="preserve">. </w:t>
      </w:r>
      <w:proofErr w:type="spellStart"/>
      <w:r w:rsidR="005E3E19" w:rsidRPr="005E3E19">
        <w:rPr>
          <w:rFonts w:ascii="Times New Roman" w:hAnsi="Times New Roman" w:cs="Times New Roman"/>
          <w:i/>
          <w:iCs/>
          <w:color w:val="000000"/>
          <w:sz w:val="20"/>
          <w:szCs w:val="20"/>
          <w:lang w:val="en-US"/>
        </w:rPr>
        <w:t>Pushiers</w:t>
      </w:r>
      <w:proofErr w:type="spellEnd"/>
      <w:r w:rsidR="005E3E19" w:rsidRPr="005E3E19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. </w:t>
      </w:r>
      <w:r w:rsidR="005E3E19" w:rsidRPr="005E3E19"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  <w:t>2000</w:t>
      </w:r>
      <w:r w:rsidR="005E3E19" w:rsidRPr="005E3E19">
        <w:rPr>
          <w:rFonts w:ascii="Times New Roman" w:hAnsi="Times New Roman" w:cs="Times New Roman"/>
          <w:color w:val="000000"/>
          <w:sz w:val="20"/>
          <w:szCs w:val="20"/>
          <w:lang w:val="en-US"/>
        </w:rPr>
        <w:t>. 147 – 187p.</w:t>
      </w:r>
    </w:p>
    <w:p w14:paraId="2DBFFC4D" w14:textId="3F8D0FE4" w:rsidR="005E3E19" w:rsidRPr="004F5CDC" w:rsidRDefault="00B47363" w:rsidP="004F5CDC">
      <w:pPr>
        <w:pStyle w:val="PargrafodaLista"/>
        <w:numPr>
          <w:ilvl w:val="0"/>
          <w:numId w:val="3"/>
        </w:numPr>
        <w:jc w:val="both"/>
        <w:rPr>
          <w:rFonts w:ascii="Times New Roman" w:hAnsi="Times New Roman" w:cs="Times New Roman"/>
          <w:i/>
          <w:iCs/>
          <w:color w:val="000000"/>
          <w:sz w:val="20"/>
          <w:szCs w:val="20"/>
          <w:lang w:val="en-US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>A. Börner, et al</w:t>
      </w:r>
      <w:r w:rsidR="004F5CDC">
        <w:rPr>
          <w:rFonts w:ascii="Times New Roman" w:hAnsi="Times New Roman" w:cs="Times New Roman"/>
          <w:color w:val="000000"/>
          <w:sz w:val="20"/>
          <w:szCs w:val="20"/>
          <w:lang w:val="en-US"/>
        </w:rPr>
        <w:t>.</w:t>
      </w: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="005E3E19" w:rsidRPr="005E3E19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="005E3E19" w:rsidRPr="004F5CDC">
        <w:rPr>
          <w:rFonts w:ascii="Times New Roman" w:hAnsi="Times New Roman" w:cs="Times New Roman"/>
          <w:i/>
          <w:iCs/>
          <w:color w:val="000000"/>
          <w:sz w:val="20"/>
          <w:szCs w:val="20"/>
          <w:lang w:val="en-US"/>
        </w:rPr>
        <w:t>Hydroformylation: Fundamentals, Processes and Application in Organic Synthesis</w:t>
      </w:r>
      <w:r w:rsidR="005E3E19" w:rsidRPr="005E3E19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. </w:t>
      </w:r>
      <w:r w:rsidR="005E3E19" w:rsidRPr="004F5CDC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Wiley‐VCH Verlag GmbH &amp; Co. </w:t>
      </w:r>
      <w:proofErr w:type="spellStart"/>
      <w:r w:rsidR="005E3E19" w:rsidRPr="004F5CDC">
        <w:rPr>
          <w:rFonts w:ascii="Times New Roman" w:hAnsi="Times New Roman" w:cs="Times New Roman"/>
          <w:color w:val="000000"/>
          <w:sz w:val="20"/>
          <w:szCs w:val="20"/>
          <w:lang w:val="en-US"/>
        </w:rPr>
        <w:t>KgaA</w:t>
      </w:r>
      <w:proofErr w:type="spellEnd"/>
      <w:r w:rsidR="005E3E19" w:rsidRPr="004F5CDC">
        <w:rPr>
          <w:rFonts w:ascii="Times New Roman" w:hAnsi="Times New Roman" w:cs="Times New Roman"/>
          <w:i/>
          <w:iCs/>
          <w:color w:val="000000"/>
          <w:sz w:val="20"/>
          <w:szCs w:val="20"/>
          <w:lang w:val="en-US"/>
        </w:rPr>
        <w:t xml:space="preserve">, </w:t>
      </w:r>
      <w:r w:rsidR="005E3E19" w:rsidRPr="004F5CDC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  <w:lang w:val="en-US"/>
        </w:rPr>
        <w:t>2016</w:t>
      </w:r>
      <w:r w:rsidR="005E3E19" w:rsidRPr="004F5CDC">
        <w:rPr>
          <w:rFonts w:ascii="Times New Roman" w:hAnsi="Times New Roman" w:cs="Times New Roman"/>
          <w:i/>
          <w:iCs/>
          <w:color w:val="000000"/>
          <w:sz w:val="20"/>
          <w:szCs w:val="20"/>
          <w:lang w:val="en-US"/>
        </w:rPr>
        <w:t>. p 290-305</w:t>
      </w:r>
    </w:p>
    <w:p w14:paraId="7E621A4B" w14:textId="747288C5" w:rsidR="004B2E34" w:rsidRPr="00EA4E1B" w:rsidRDefault="0072476E" w:rsidP="004E5ABD">
      <w:pPr>
        <w:pStyle w:val="PargrafodaLista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C.G. Vieira, M.C. De Freitas, E.N. Dos Santos, E. V.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Gusevskaya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  <w:proofErr w:type="spellStart"/>
      <w:r w:rsidR="005E3E19" w:rsidRPr="000C230D">
        <w:rPr>
          <w:rFonts w:ascii="Times New Roman" w:hAnsi="Times New Roman" w:cs="Times New Roman"/>
          <w:i/>
          <w:iCs/>
          <w:color w:val="000000"/>
          <w:sz w:val="20"/>
          <w:szCs w:val="20"/>
        </w:rPr>
        <w:t>ChemCatChem</w:t>
      </w:r>
      <w:proofErr w:type="spellEnd"/>
      <w:r w:rsidR="005E3E19" w:rsidRPr="000C230D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r w:rsidR="005E3E19" w:rsidRPr="000C230D">
        <w:rPr>
          <w:rFonts w:ascii="Times New Roman" w:hAnsi="Times New Roman" w:cs="Times New Roman"/>
          <w:b/>
          <w:bCs/>
          <w:color w:val="000000"/>
          <w:sz w:val="20"/>
          <w:szCs w:val="20"/>
        </w:rPr>
        <w:t>2012</w:t>
      </w:r>
      <w:r w:rsidR="005E3E19" w:rsidRPr="000C230D">
        <w:rPr>
          <w:rFonts w:ascii="Times New Roman" w:hAnsi="Times New Roman" w:cs="Times New Roman"/>
          <w:color w:val="000000"/>
          <w:sz w:val="20"/>
          <w:szCs w:val="20"/>
        </w:rPr>
        <w:t>, 4: 795-801</w:t>
      </w:r>
    </w:p>
    <w:sectPr w:rsidR="004B2E34" w:rsidRPr="00EA4E1B" w:rsidSect="004B2E34">
      <w:type w:val="continuous"/>
      <w:pgSz w:w="11906" w:h="16838"/>
      <w:pgMar w:top="1418" w:right="567" w:bottom="1134" w:left="567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C4D0E4" w14:textId="77777777" w:rsidR="00325027" w:rsidRDefault="00325027" w:rsidP="00EA4E1B">
      <w:pPr>
        <w:spacing w:after="0" w:line="240" w:lineRule="auto"/>
      </w:pPr>
      <w:r>
        <w:separator/>
      </w:r>
    </w:p>
  </w:endnote>
  <w:endnote w:type="continuationSeparator" w:id="0">
    <w:p w14:paraId="60401AE4" w14:textId="77777777" w:rsidR="00325027" w:rsidRDefault="00325027" w:rsidP="00EA4E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13F68A" w14:textId="77777777" w:rsidR="00325027" w:rsidRDefault="00325027" w:rsidP="00EA4E1B">
      <w:pPr>
        <w:spacing w:after="0" w:line="240" w:lineRule="auto"/>
      </w:pPr>
      <w:r>
        <w:separator/>
      </w:r>
    </w:p>
  </w:footnote>
  <w:footnote w:type="continuationSeparator" w:id="0">
    <w:p w14:paraId="1B71DF16" w14:textId="77777777" w:rsidR="00325027" w:rsidRDefault="00325027" w:rsidP="00EA4E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79F22" w14:textId="15EBCFB1" w:rsidR="00EA4E1B" w:rsidRDefault="00AF0400" w:rsidP="00EA4E1B">
    <w:pPr>
      <w:pStyle w:val="Cabealho"/>
      <w:jc w:val="center"/>
    </w:pPr>
    <w:r>
      <w:rPr>
        <w:noProof/>
      </w:rPr>
      <w:drawing>
        <wp:inline distT="0" distB="0" distL="0" distR="0" wp14:anchorId="128B8774" wp14:editId="6C5718AB">
          <wp:extent cx="1524000" cy="1049325"/>
          <wp:effectExtent l="0" t="0" r="0" b="0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623" t="15704" r="28688" b="16130"/>
                  <a:stretch/>
                </pic:blipFill>
                <pic:spPr bwMode="auto">
                  <a:xfrm>
                    <a:off x="0" y="0"/>
                    <a:ext cx="1552733" cy="106910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EA4E1B">
      <w:rPr>
        <w:noProof/>
      </w:rPr>
      <w:t xml:space="preserve">                                                </w:t>
    </w:r>
    <w:r w:rsidR="00EA4E1B">
      <w:rPr>
        <w:noProof/>
        <w:lang w:eastAsia="pt-BR"/>
      </w:rPr>
      <w:drawing>
        <wp:inline distT="0" distB="0" distL="0" distR="0" wp14:anchorId="10EB0FB8" wp14:editId="021C4271">
          <wp:extent cx="1963713" cy="696036"/>
          <wp:effectExtent l="0" t="0" r="0" b="8890"/>
          <wp:docPr id="9" name="Imagem 9" descr="Logo do Si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do Si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3713" cy="6960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F20AA"/>
    <w:multiLevelType w:val="hybridMultilevel"/>
    <w:tmpl w:val="8DC40BDA"/>
    <w:lvl w:ilvl="0" w:tplc="18B05DA0">
      <w:start w:val="1"/>
      <w:numFmt w:val="decimal"/>
      <w:lvlText w:val="%1."/>
      <w:lvlJc w:val="left"/>
      <w:pPr>
        <w:ind w:left="218" w:hanging="360"/>
      </w:pPr>
      <w:rPr>
        <w:rFonts w:hint="default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938" w:hanging="360"/>
      </w:pPr>
    </w:lvl>
    <w:lvl w:ilvl="2" w:tplc="FFFFFFFF" w:tentative="1">
      <w:start w:val="1"/>
      <w:numFmt w:val="lowerRoman"/>
      <w:lvlText w:val="%3."/>
      <w:lvlJc w:val="right"/>
      <w:pPr>
        <w:ind w:left="1658" w:hanging="180"/>
      </w:pPr>
    </w:lvl>
    <w:lvl w:ilvl="3" w:tplc="FFFFFFFF" w:tentative="1">
      <w:start w:val="1"/>
      <w:numFmt w:val="decimal"/>
      <w:lvlText w:val="%4."/>
      <w:lvlJc w:val="left"/>
      <w:pPr>
        <w:ind w:left="2378" w:hanging="360"/>
      </w:pPr>
    </w:lvl>
    <w:lvl w:ilvl="4" w:tplc="FFFFFFFF" w:tentative="1">
      <w:start w:val="1"/>
      <w:numFmt w:val="lowerLetter"/>
      <w:lvlText w:val="%5."/>
      <w:lvlJc w:val="left"/>
      <w:pPr>
        <w:ind w:left="3098" w:hanging="360"/>
      </w:pPr>
    </w:lvl>
    <w:lvl w:ilvl="5" w:tplc="FFFFFFFF" w:tentative="1">
      <w:start w:val="1"/>
      <w:numFmt w:val="lowerRoman"/>
      <w:lvlText w:val="%6."/>
      <w:lvlJc w:val="right"/>
      <w:pPr>
        <w:ind w:left="3818" w:hanging="180"/>
      </w:pPr>
    </w:lvl>
    <w:lvl w:ilvl="6" w:tplc="FFFFFFFF" w:tentative="1">
      <w:start w:val="1"/>
      <w:numFmt w:val="decimal"/>
      <w:lvlText w:val="%7."/>
      <w:lvlJc w:val="left"/>
      <w:pPr>
        <w:ind w:left="4538" w:hanging="360"/>
      </w:pPr>
    </w:lvl>
    <w:lvl w:ilvl="7" w:tplc="FFFFFFFF" w:tentative="1">
      <w:start w:val="1"/>
      <w:numFmt w:val="lowerLetter"/>
      <w:lvlText w:val="%8."/>
      <w:lvlJc w:val="left"/>
      <w:pPr>
        <w:ind w:left="5258" w:hanging="360"/>
      </w:pPr>
    </w:lvl>
    <w:lvl w:ilvl="8" w:tplc="FFFFFFFF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258F119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2EB3357A"/>
    <w:multiLevelType w:val="hybridMultilevel"/>
    <w:tmpl w:val="7B9A43D6"/>
    <w:lvl w:ilvl="0" w:tplc="F39E76DC">
      <w:start w:val="1"/>
      <w:numFmt w:val="decimal"/>
      <w:lvlText w:val="%1-"/>
      <w:lvlJc w:val="left"/>
      <w:pPr>
        <w:ind w:left="21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938" w:hanging="360"/>
      </w:pPr>
    </w:lvl>
    <w:lvl w:ilvl="2" w:tplc="0416001B" w:tentative="1">
      <w:start w:val="1"/>
      <w:numFmt w:val="lowerRoman"/>
      <w:lvlText w:val="%3."/>
      <w:lvlJc w:val="right"/>
      <w:pPr>
        <w:ind w:left="1658" w:hanging="180"/>
      </w:pPr>
    </w:lvl>
    <w:lvl w:ilvl="3" w:tplc="0416000F" w:tentative="1">
      <w:start w:val="1"/>
      <w:numFmt w:val="decimal"/>
      <w:lvlText w:val="%4."/>
      <w:lvlJc w:val="left"/>
      <w:pPr>
        <w:ind w:left="2378" w:hanging="360"/>
      </w:pPr>
    </w:lvl>
    <w:lvl w:ilvl="4" w:tplc="04160019" w:tentative="1">
      <w:start w:val="1"/>
      <w:numFmt w:val="lowerLetter"/>
      <w:lvlText w:val="%5."/>
      <w:lvlJc w:val="left"/>
      <w:pPr>
        <w:ind w:left="3098" w:hanging="360"/>
      </w:pPr>
    </w:lvl>
    <w:lvl w:ilvl="5" w:tplc="0416001B" w:tentative="1">
      <w:start w:val="1"/>
      <w:numFmt w:val="lowerRoman"/>
      <w:lvlText w:val="%6."/>
      <w:lvlJc w:val="right"/>
      <w:pPr>
        <w:ind w:left="3818" w:hanging="180"/>
      </w:pPr>
    </w:lvl>
    <w:lvl w:ilvl="6" w:tplc="0416000F" w:tentative="1">
      <w:start w:val="1"/>
      <w:numFmt w:val="decimal"/>
      <w:lvlText w:val="%7."/>
      <w:lvlJc w:val="left"/>
      <w:pPr>
        <w:ind w:left="4538" w:hanging="360"/>
      </w:pPr>
    </w:lvl>
    <w:lvl w:ilvl="7" w:tplc="04160019" w:tentative="1">
      <w:start w:val="1"/>
      <w:numFmt w:val="lowerLetter"/>
      <w:lvlText w:val="%8."/>
      <w:lvlJc w:val="left"/>
      <w:pPr>
        <w:ind w:left="5258" w:hanging="360"/>
      </w:pPr>
    </w:lvl>
    <w:lvl w:ilvl="8" w:tplc="0416001B" w:tentative="1">
      <w:start w:val="1"/>
      <w:numFmt w:val="lowerRoman"/>
      <w:lvlText w:val="%9."/>
      <w:lvlJc w:val="right"/>
      <w:pPr>
        <w:ind w:left="5978" w:hanging="180"/>
      </w:pPr>
    </w:lvl>
  </w:abstractNum>
  <w:num w:numId="1" w16cid:durableId="1811439884">
    <w:abstractNumId w:val="1"/>
  </w:num>
  <w:num w:numId="2" w16cid:durableId="970742229">
    <w:abstractNumId w:val="2"/>
  </w:num>
  <w:num w:numId="3" w16cid:durableId="13559610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LE0NDMzNbI0NjQzNzBT0lEKTi0uzszPAykwrgUAlyCUJCwAAAA="/>
  </w:docVars>
  <w:rsids>
    <w:rsidRoot w:val="00EA4E1B"/>
    <w:rsid w:val="00012630"/>
    <w:rsid w:val="0001264A"/>
    <w:rsid w:val="00015912"/>
    <w:rsid w:val="000216FF"/>
    <w:rsid w:val="00032A4F"/>
    <w:rsid w:val="00061A72"/>
    <w:rsid w:val="00065541"/>
    <w:rsid w:val="0006580C"/>
    <w:rsid w:val="00070860"/>
    <w:rsid w:val="000775BD"/>
    <w:rsid w:val="000C230D"/>
    <w:rsid w:val="000D74D7"/>
    <w:rsid w:val="000F1D24"/>
    <w:rsid w:val="000F619E"/>
    <w:rsid w:val="0010244E"/>
    <w:rsid w:val="001144B9"/>
    <w:rsid w:val="001279BE"/>
    <w:rsid w:val="00134437"/>
    <w:rsid w:val="00186355"/>
    <w:rsid w:val="00192A9C"/>
    <w:rsid w:val="001A2B80"/>
    <w:rsid w:val="001B15F2"/>
    <w:rsid w:val="001B1E9B"/>
    <w:rsid w:val="001B512C"/>
    <w:rsid w:val="001E58A9"/>
    <w:rsid w:val="001F24A0"/>
    <w:rsid w:val="001F25B2"/>
    <w:rsid w:val="0021347A"/>
    <w:rsid w:val="00222230"/>
    <w:rsid w:val="00234170"/>
    <w:rsid w:val="00237D95"/>
    <w:rsid w:val="002463BD"/>
    <w:rsid w:val="002534D8"/>
    <w:rsid w:val="00270091"/>
    <w:rsid w:val="00280FD8"/>
    <w:rsid w:val="0029157B"/>
    <w:rsid w:val="002C4C2F"/>
    <w:rsid w:val="002F590E"/>
    <w:rsid w:val="003229A6"/>
    <w:rsid w:val="00325027"/>
    <w:rsid w:val="00340B1E"/>
    <w:rsid w:val="003C5560"/>
    <w:rsid w:val="003E46CC"/>
    <w:rsid w:val="003E4BC9"/>
    <w:rsid w:val="003E71C9"/>
    <w:rsid w:val="003F505B"/>
    <w:rsid w:val="00402F3E"/>
    <w:rsid w:val="00441766"/>
    <w:rsid w:val="004A6574"/>
    <w:rsid w:val="004B2E34"/>
    <w:rsid w:val="004C20D8"/>
    <w:rsid w:val="004C266C"/>
    <w:rsid w:val="004E5554"/>
    <w:rsid w:val="004E5ABD"/>
    <w:rsid w:val="004F3F42"/>
    <w:rsid w:val="004F5CDC"/>
    <w:rsid w:val="004F6E94"/>
    <w:rsid w:val="0052112E"/>
    <w:rsid w:val="0053158D"/>
    <w:rsid w:val="005504D2"/>
    <w:rsid w:val="005658C8"/>
    <w:rsid w:val="005827E4"/>
    <w:rsid w:val="00584E71"/>
    <w:rsid w:val="00585807"/>
    <w:rsid w:val="005A44DC"/>
    <w:rsid w:val="005A7FCE"/>
    <w:rsid w:val="005B0C6F"/>
    <w:rsid w:val="005C2775"/>
    <w:rsid w:val="005D295F"/>
    <w:rsid w:val="005D65EB"/>
    <w:rsid w:val="005E3E19"/>
    <w:rsid w:val="005E69AA"/>
    <w:rsid w:val="005F00C6"/>
    <w:rsid w:val="005F739F"/>
    <w:rsid w:val="00604718"/>
    <w:rsid w:val="00607E1D"/>
    <w:rsid w:val="00622D65"/>
    <w:rsid w:val="00624C6C"/>
    <w:rsid w:val="00643232"/>
    <w:rsid w:val="00650A22"/>
    <w:rsid w:val="00650CDB"/>
    <w:rsid w:val="00652815"/>
    <w:rsid w:val="00657591"/>
    <w:rsid w:val="00666929"/>
    <w:rsid w:val="00677D4A"/>
    <w:rsid w:val="006A2D6A"/>
    <w:rsid w:val="006A6B3F"/>
    <w:rsid w:val="006F599B"/>
    <w:rsid w:val="0072476E"/>
    <w:rsid w:val="007670A0"/>
    <w:rsid w:val="00775BFE"/>
    <w:rsid w:val="00776986"/>
    <w:rsid w:val="00781685"/>
    <w:rsid w:val="00786335"/>
    <w:rsid w:val="007B4B2B"/>
    <w:rsid w:val="007B7531"/>
    <w:rsid w:val="007C56D4"/>
    <w:rsid w:val="007D4994"/>
    <w:rsid w:val="007F3219"/>
    <w:rsid w:val="008040BB"/>
    <w:rsid w:val="00841996"/>
    <w:rsid w:val="00854EBF"/>
    <w:rsid w:val="00864F27"/>
    <w:rsid w:val="00866822"/>
    <w:rsid w:val="00872C35"/>
    <w:rsid w:val="00881402"/>
    <w:rsid w:val="0089203D"/>
    <w:rsid w:val="008B1683"/>
    <w:rsid w:val="008B6E94"/>
    <w:rsid w:val="008C1B30"/>
    <w:rsid w:val="008D304A"/>
    <w:rsid w:val="00904343"/>
    <w:rsid w:val="009106EC"/>
    <w:rsid w:val="009160AB"/>
    <w:rsid w:val="00925D9C"/>
    <w:rsid w:val="00937C6B"/>
    <w:rsid w:val="00942362"/>
    <w:rsid w:val="00942E18"/>
    <w:rsid w:val="0095475F"/>
    <w:rsid w:val="009656D9"/>
    <w:rsid w:val="00970AC0"/>
    <w:rsid w:val="009731B8"/>
    <w:rsid w:val="00975FC2"/>
    <w:rsid w:val="00981C5A"/>
    <w:rsid w:val="009824C0"/>
    <w:rsid w:val="009A251D"/>
    <w:rsid w:val="009B6219"/>
    <w:rsid w:val="009C035A"/>
    <w:rsid w:val="009C15B2"/>
    <w:rsid w:val="009C15EF"/>
    <w:rsid w:val="009C7CB0"/>
    <w:rsid w:val="009F5D0C"/>
    <w:rsid w:val="00A00C17"/>
    <w:rsid w:val="00A06DF6"/>
    <w:rsid w:val="00A37A67"/>
    <w:rsid w:val="00A92D4E"/>
    <w:rsid w:val="00A936C2"/>
    <w:rsid w:val="00AA0060"/>
    <w:rsid w:val="00AA182E"/>
    <w:rsid w:val="00AB4812"/>
    <w:rsid w:val="00AE7EA3"/>
    <w:rsid w:val="00AF0400"/>
    <w:rsid w:val="00AF49EF"/>
    <w:rsid w:val="00AF6E69"/>
    <w:rsid w:val="00B001B6"/>
    <w:rsid w:val="00B025EC"/>
    <w:rsid w:val="00B11174"/>
    <w:rsid w:val="00B237AD"/>
    <w:rsid w:val="00B27151"/>
    <w:rsid w:val="00B30AEB"/>
    <w:rsid w:val="00B47363"/>
    <w:rsid w:val="00B65D46"/>
    <w:rsid w:val="00B8078F"/>
    <w:rsid w:val="00BA2795"/>
    <w:rsid w:val="00BA6A6E"/>
    <w:rsid w:val="00BE095D"/>
    <w:rsid w:val="00C10C42"/>
    <w:rsid w:val="00C11C8C"/>
    <w:rsid w:val="00C158A8"/>
    <w:rsid w:val="00C319B9"/>
    <w:rsid w:val="00C34195"/>
    <w:rsid w:val="00C45200"/>
    <w:rsid w:val="00C557E2"/>
    <w:rsid w:val="00C61A8F"/>
    <w:rsid w:val="00C61B08"/>
    <w:rsid w:val="00C76E54"/>
    <w:rsid w:val="00C801E5"/>
    <w:rsid w:val="00C814B1"/>
    <w:rsid w:val="00C84B42"/>
    <w:rsid w:val="00C87E74"/>
    <w:rsid w:val="00CA024B"/>
    <w:rsid w:val="00CB4BDC"/>
    <w:rsid w:val="00D153C7"/>
    <w:rsid w:val="00D305DE"/>
    <w:rsid w:val="00D51CE6"/>
    <w:rsid w:val="00D55E2A"/>
    <w:rsid w:val="00D70090"/>
    <w:rsid w:val="00D76A2B"/>
    <w:rsid w:val="00D77848"/>
    <w:rsid w:val="00D96135"/>
    <w:rsid w:val="00D977DB"/>
    <w:rsid w:val="00DA103F"/>
    <w:rsid w:val="00DA21F5"/>
    <w:rsid w:val="00DA26D4"/>
    <w:rsid w:val="00DA5328"/>
    <w:rsid w:val="00DD0750"/>
    <w:rsid w:val="00DD2640"/>
    <w:rsid w:val="00E02A21"/>
    <w:rsid w:val="00E038AF"/>
    <w:rsid w:val="00E35978"/>
    <w:rsid w:val="00E4010B"/>
    <w:rsid w:val="00E546D3"/>
    <w:rsid w:val="00E72862"/>
    <w:rsid w:val="00EA09E9"/>
    <w:rsid w:val="00EA24B2"/>
    <w:rsid w:val="00EA4E1B"/>
    <w:rsid w:val="00EA613C"/>
    <w:rsid w:val="00F1439C"/>
    <w:rsid w:val="00F276F6"/>
    <w:rsid w:val="00F30661"/>
    <w:rsid w:val="00F343D5"/>
    <w:rsid w:val="00F621CA"/>
    <w:rsid w:val="00F70A81"/>
    <w:rsid w:val="00F72559"/>
    <w:rsid w:val="00F80B78"/>
    <w:rsid w:val="00F83333"/>
    <w:rsid w:val="00F917DA"/>
    <w:rsid w:val="00FE0529"/>
    <w:rsid w:val="00FF1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43DEEE"/>
  <w15:docId w15:val="{42978627-3C31-4E6D-8975-4AA8F2062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pt-BR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25B2"/>
  </w:style>
  <w:style w:type="paragraph" w:styleId="Ttulo1">
    <w:name w:val="heading 1"/>
    <w:basedOn w:val="Normal"/>
    <w:next w:val="Normal"/>
    <w:link w:val="Ttulo1Char"/>
    <w:uiPriority w:val="9"/>
    <w:qFormat/>
    <w:rsid w:val="001F25B2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1F25B2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F25B2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F25B2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F25B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F25B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F25B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F25B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F25B2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notaderodap">
    <w:name w:val="footnote reference"/>
    <w:semiHidden/>
    <w:rsid w:val="00EA4E1B"/>
    <w:rPr>
      <w:vertAlign w:val="superscript"/>
    </w:rPr>
  </w:style>
  <w:style w:type="paragraph" w:styleId="Textodenotaderodap">
    <w:name w:val="footnote text"/>
    <w:basedOn w:val="Normal"/>
    <w:next w:val="Normal"/>
    <w:link w:val="TextodenotaderodapChar"/>
    <w:semiHidden/>
    <w:rsid w:val="00EA4E1B"/>
    <w:pPr>
      <w:spacing w:after="0" w:line="170" w:lineRule="exact"/>
      <w:ind w:firstLine="187"/>
      <w:jc w:val="both"/>
    </w:pPr>
    <w:rPr>
      <w:rFonts w:ascii="Times" w:eastAsia="Times New Roman" w:hAnsi="Times" w:cs="Times New Roman"/>
      <w:sz w:val="16"/>
      <w:szCs w:val="20"/>
      <w:lang w:val="en-US" w:eastAsia="pt-BR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EA4E1B"/>
    <w:rPr>
      <w:rFonts w:ascii="Times" w:eastAsia="Times New Roman" w:hAnsi="Times" w:cs="Times New Roman"/>
      <w:sz w:val="16"/>
      <w:szCs w:val="20"/>
      <w:lang w:val="en-US" w:eastAsia="pt-BR"/>
    </w:rPr>
  </w:style>
  <w:style w:type="paragraph" w:customStyle="1" w:styleId="BATitle">
    <w:name w:val="BA_Title"/>
    <w:basedOn w:val="Normal"/>
    <w:next w:val="BBAuthorName"/>
    <w:rsid w:val="00EA4E1B"/>
    <w:pPr>
      <w:spacing w:before="720" w:after="240" w:line="480" w:lineRule="exact"/>
      <w:ind w:right="3024"/>
    </w:pPr>
    <w:rPr>
      <w:rFonts w:ascii="Helvetica" w:eastAsia="Times New Roman" w:hAnsi="Helvetica" w:cs="Times New Roman"/>
      <w:b/>
      <w:sz w:val="44"/>
      <w:szCs w:val="20"/>
      <w:lang w:val="en-US" w:eastAsia="pt-BR"/>
    </w:rPr>
  </w:style>
  <w:style w:type="paragraph" w:customStyle="1" w:styleId="BBAuthorName">
    <w:name w:val="BB_Author_Name"/>
    <w:basedOn w:val="Normal"/>
    <w:next w:val="BCAuthorAddress"/>
    <w:rsid w:val="00EA4E1B"/>
    <w:pPr>
      <w:spacing w:after="240" w:line="240" w:lineRule="exact"/>
      <w:ind w:right="3024"/>
    </w:pPr>
    <w:rPr>
      <w:rFonts w:ascii="Helvetica" w:eastAsia="Times New Roman" w:hAnsi="Helvetica" w:cs="Times New Roman"/>
      <w:b/>
      <w:szCs w:val="20"/>
      <w:lang w:val="en-US" w:eastAsia="pt-BR"/>
    </w:rPr>
  </w:style>
  <w:style w:type="paragraph" w:customStyle="1" w:styleId="BCAuthorAddress">
    <w:name w:val="BC_Author_Address"/>
    <w:basedOn w:val="Normal"/>
    <w:next w:val="Normal"/>
    <w:rsid w:val="00EA4E1B"/>
    <w:pPr>
      <w:spacing w:after="120" w:line="240" w:lineRule="exact"/>
      <w:ind w:right="3024"/>
    </w:pPr>
    <w:rPr>
      <w:rFonts w:ascii="Times" w:eastAsia="Times New Roman" w:hAnsi="Times" w:cs="Times New Roman"/>
      <w:i/>
      <w:sz w:val="20"/>
      <w:szCs w:val="20"/>
      <w:lang w:val="en-US" w:eastAsia="pt-BR"/>
    </w:rPr>
  </w:style>
  <w:style w:type="paragraph" w:customStyle="1" w:styleId="Absbox">
    <w:name w:val="Absbox"/>
    <w:basedOn w:val="BDAbstract"/>
    <w:rsid w:val="00EA4E1B"/>
    <w:pPr>
      <w:pBdr>
        <w:top w:val="single" w:sz="6" w:space="0" w:color="800000"/>
        <w:left w:val="single" w:sz="6" w:space="4" w:color="800000"/>
        <w:bottom w:val="single" w:sz="6" w:space="0" w:color="800000"/>
        <w:right w:val="single" w:sz="6" w:space="4" w:color="800000"/>
      </w:pBdr>
      <w:shd w:val="solid" w:color="800000" w:fill="800000"/>
      <w:spacing w:after="320"/>
      <w:ind w:left="86" w:right="130"/>
      <w:jc w:val="center"/>
    </w:pPr>
    <w:rPr>
      <w:color w:val="FFFFFF"/>
      <w:sz w:val="20"/>
    </w:rPr>
  </w:style>
  <w:style w:type="paragraph" w:customStyle="1" w:styleId="BDAbstract">
    <w:name w:val="BD_Abstract"/>
    <w:rsid w:val="00EA4E1B"/>
    <w:pPr>
      <w:pBdr>
        <w:bottom w:val="single" w:sz="6" w:space="12" w:color="auto"/>
      </w:pBdr>
      <w:spacing w:before="200" w:after="200" w:line="220" w:lineRule="exact"/>
      <w:jc w:val="both"/>
    </w:pPr>
    <w:rPr>
      <w:rFonts w:ascii="Helvetica" w:eastAsia="Times New Roman" w:hAnsi="Helvetica" w:cs="Times New Roman"/>
      <w:b/>
      <w:sz w:val="18"/>
      <w:szCs w:val="20"/>
      <w:lang w:val="en-US" w:eastAsia="pt-BR"/>
    </w:rPr>
  </w:style>
  <w:style w:type="character" w:customStyle="1" w:styleId="Ttulo2Char">
    <w:name w:val="Título 2 Char"/>
    <w:basedOn w:val="Fontepargpadro"/>
    <w:link w:val="Ttulo2"/>
    <w:uiPriority w:val="9"/>
    <w:rsid w:val="001F25B2"/>
    <w:rPr>
      <w:rFonts w:asciiTheme="majorHAnsi" w:eastAsiaTheme="majorEastAsia" w:hAnsiTheme="majorHAnsi" w:cstheme="majorBidi"/>
      <w:sz w:val="32"/>
      <w:szCs w:val="32"/>
    </w:rPr>
  </w:style>
  <w:style w:type="paragraph" w:customStyle="1" w:styleId="TFReferencesSection">
    <w:name w:val="TF_References_Section"/>
    <w:basedOn w:val="Normal"/>
    <w:rsid w:val="00EA4E1B"/>
    <w:pPr>
      <w:spacing w:after="0" w:line="170" w:lineRule="exact"/>
      <w:ind w:firstLine="187"/>
      <w:jc w:val="both"/>
    </w:pPr>
    <w:rPr>
      <w:rFonts w:ascii="Times" w:eastAsia="Times New Roman" w:hAnsi="Times" w:cs="Times New Roman"/>
      <w:sz w:val="16"/>
      <w:szCs w:val="20"/>
      <w:lang w:val="en-US" w:eastAsia="pt-BR"/>
    </w:rPr>
  </w:style>
  <w:style w:type="paragraph" w:customStyle="1" w:styleId="TAMainText">
    <w:name w:val="TA_Main_Text"/>
    <w:basedOn w:val="Normal"/>
    <w:rsid w:val="00EA4E1B"/>
    <w:pPr>
      <w:spacing w:after="0" w:line="240" w:lineRule="exact"/>
      <w:ind w:firstLine="202"/>
      <w:jc w:val="both"/>
    </w:pPr>
    <w:rPr>
      <w:rFonts w:ascii="Times" w:eastAsia="Times New Roman" w:hAnsi="Times" w:cs="Times New Roman"/>
      <w:sz w:val="20"/>
      <w:szCs w:val="20"/>
      <w:lang w:val="en-US" w:eastAsia="pt-BR"/>
    </w:rPr>
  </w:style>
  <w:style w:type="paragraph" w:customStyle="1" w:styleId="VDTableTitle">
    <w:name w:val="VD_Table_Title"/>
    <w:basedOn w:val="Normal"/>
    <w:next w:val="Normal"/>
    <w:rsid w:val="00EA4E1B"/>
    <w:pPr>
      <w:spacing w:after="240" w:line="200" w:lineRule="exact"/>
    </w:pPr>
    <w:rPr>
      <w:rFonts w:ascii="Times" w:eastAsia="Times New Roman" w:hAnsi="Times" w:cs="Times New Roman"/>
      <w:sz w:val="18"/>
      <w:szCs w:val="20"/>
      <w:lang w:val="en-US" w:eastAsia="pt-BR"/>
    </w:rPr>
  </w:style>
  <w:style w:type="paragraph" w:customStyle="1" w:styleId="VAFigureCaption">
    <w:name w:val="VA_Figure_Caption"/>
    <w:basedOn w:val="Normal"/>
    <w:next w:val="Normal"/>
    <w:rsid w:val="00EA4E1B"/>
    <w:pPr>
      <w:spacing w:before="240" w:after="0" w:line="200" w:lineRule="exact"/>
      <w:jc w:val="both"/>
    </w:pPr>
    <w:rPr>
      <w:rFonts w:ascii="Times" w:eastAsia="Times New Roman" w:hAnsi="Times" w:cs="Times New Roman"/>
      <w:sz w:val="18"/>
      <w:szCs w:val="20"/>
      <w:lang w:val="en-US" w:eastAsia="pt-BR"/>
    </w:rPr>
  </w:style>
  <w:style w:type="paragraph" w:customStyle="1" w:styleId="TCTableBody">
    <w:name w:val="TC_Table_Body"/>
    <w:basedOn w:val="VDTableTitle"/>
    <w:rsid w:val="00EA4E1B"/>
    <w:pPr>
      <w:jc w:val="both"/>
    </w:pPr>
  </w:style>
  <w:style w:type="paragraph" w:styleId="Cabealho">
    <w:name w:val="header"/>
    <w:basedOn w:val="Normal"/>
    <w:link w:val="CabealhoChar"/>
    <w:unhideWhenUsed/>
    <w:rsid w:val="00EA4E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A4E1B"/>
  </w:style>
  <w:style w:type="paragraph" w:styleId="Rodap">
    <w:name w:val="footer"/>
    <w:basedOn w:val="Normal"/>
    <w:link w:val="RodapChar"/>
    <w:uiPriority w:val="99"/>
    <w:unhideWhenUsed/>
    <w:rsid w:val="00EA4E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A4E1B"/>
  </w:style>
  <w:style w:type="paragraph" w:styleId="Textodebalo">
    <w:name w:val="Balloon Text"/>
    <w:basedOn w:val="Normal"/>
    <w:link w:val="TextodebaloChar"/>
    <w:uiPriority w:val="99"/>
    <w:semiHidden/>
    <w:unhideWhenUsed/>
    <w:rsid w:val="001E58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E58A9"/>
    <w:rPr>
      <w:rFonts w:ascii="Tahoma" w:hAnsi="Tahoma" w:cs="Tahoma"/>
      <w:sz w:val="16"/>
      <w:szCs w:val="1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1E58A9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1E58A9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1E58A9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1F25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F25B2"/>
    <w:rPr>
      <w:rFonts w:asciiTheme="majorHAnsi" w:eastAsiaTheme="majorEastAsia" w:hAnsiTheme="majorHAnsi" w:cstheme="majorBidi"/>
      <w:sz w:val="32"/>
      <w:szCs w:val="32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F25B2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F25B2"/>
    <w:rPr>
      <w:rFonts w:asciiTheme="majorHAnsi" w:eastAsiaTheme="majorEastAsia" w:hAnsiTheme="majorHAnsi" w:cstheme="majorBidi"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F25B2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F25B2"/>
    <w:rPr>
      <w:rFonts w:asciiTheme="majorHAnsi" w:eastAsiaTheme="majorEastAsia" w:hAnsiTheme="majorHAnsi" w:cstheme="maj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F25B2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F25B2"/>
    <w:rPr>
      <w:b/>
      <w:bCs/>
      <w:i/>
      <w:iCs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1F25B2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tulo">
    <w:name w:val="Title"/>
    <w:basedOn w:val="Normal"/>
    <w:next w:val="Normal"/>
    <w:link w:val="TtuloChar"/>
    <w:uiPriority w:val="10"/>
    <w:qFormat/>
    <w:rsid w:val="001F25B2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tuloChar">
    <w:name w:val="Título Char"/>
    <w:basedOn w:val="Fontepargpadro"/>
    <w:link w:val="Ttulo"/>
    <w:uiPriority w:val="10"/>
    <w:rsid w:val="001F25B2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ubttulo">
    <w:name w:val="Subtitle"/>
    <w:basedOn w:val="Normal"/>
    <w:next w:val="Normal"/>
    <w:link w:val="SubttuloChar"/>
    <w:uiPriority w:val="11"/>
    <w:qFormat/>
    <w:rsid w:val="001F25B2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F25B2"/>
    <w:rPr>
      <w:color w:val="44546A" w:themeColor="text2"/>
      <w:sz w:val="28"/>
      <w:szCs w:val="28"/>
    </w:rPr>
  </w:style>
  <w:style w:type="character" w:styleId="Forte">
    <w:name w:val="Strong"/>
    <w:basedOn w:val="Fontepargpadro"/>
    <w:uiPriority w:val="22"/>
    <w:qFormat/>
    <w:rsid w:val="001F25B2"/>
    <w:rPr>
      <w:b/>
      <w:bCs/>
    </w:rPr>
  </w:style>
  <w:style w:type="character" w:styleId="nfase">
    <w:name w:val="Emphasis"/>
    <w:basedOn w:val="Fontepargpadro"/>
    <w:uiPriority w:val="20"/>
    <w:qFormat/>
    <w:rsid w:val="001F25B2"/>
    <w:rPr>
      <w:i/>
      <w:iCs/>
      <w:color w:val="000000" w:themeColor="text1"/>
    </w:rPr>
  </w:style>
  <w:style w:type="paragraph" w:styleId="SemEspaamento">
    <w:name w:val="No Spacing"/>
    <w:uiPriority w:val="1"/>
    <w:qFormat/>
    <w:rsid w:val="001F25B2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1F25B2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CitaoChar">
    <w:name w:val="Citação Char"/>
    <w:basedOn w:val="Fontepargpadro"/>
    <w:link w:val="Citao"/>
    <w:uiPriority w:val="29"/>
    <w:rsid w:val="001F25B2"/>
    <w:rPr>
      <w:i/>
      <w:iCs/>
      <w:color w:val="7B7B7B" w:themeColor="accent3" w:themeShade="BF"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F25B2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F25B2"/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styleId="nfaseSutil">
    <w:name w:val="Subtle Emphasis"/>
    <w:basedOn w:val="Fontepargpadro"/>
    <w:uiPriority w:val="19"/>
    <w:qFormat/>
    <w:rsid w:val="001F25B2"/>
    <w:rPr>
      <w:i/>
      <w:iCs/>
      <w:color w:val="595959" w:themeColor="text1" w:themeTint="A6"/>
    </w:rPr>
  </w:style>
  <w:style w:type="character" w:styleId="nfaseIntensa">
    <w:name w:val="Intense Emphasis"/>
    <w:basedOn w:val="Fontepargpadro"/>
    <w:uiPriority w:val="21"/>
    <w:qFormat/>
    <w:rsid w:val="001F25B2"/>
    <w:rPr>
      <w:b/>
      <w:bCs/>
      <w:i/>
      <w:iCs/>
      <w:color w:val="auto"/>
    </w:rPr>
  </w:style>
  <w:style w:type="character" w:styleId="RefernciaSutil">
    <w:name w:val="Subtle Reference"/>
    <w:basedOn w:val="Fontepargpadro"/>
    <w:uiPriority w:val="31"/>
    <w:qFormat/>
    <w:rsid w:val="001F25B2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1F25B2"/>
    <w:rPr>
      <w:b/>
      <w:bCs/>
      <w:caps w:val="0"/>
      <w:smallCaps/>
      <w:color w:val="auto"/>
      <w:spacing w:val="0"/>
      <w:u w:val="single"/>
    </w:rPr>
  </w:style>
  <w:style w:type="character" w:styleId="TtulodoLivro">
    <w:name w:val="Book Title"/>
    <w:basedOn w:val="Fontepargpadro"/>
    <w:uiPriority w:val="33"/>
    <w:qFormat/>
    <w:rsid w:val="001F25B2"/>
    <w:rPr>
      <w:b/>
      <w:bCs/>
      <w:caps w:val="0"/>
      <w:smallCaps/>
      <w:spacing w:val="0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1F25B2"/>
    <w:pPr>
      <w:outlineLvl w:val="9"/>
    </w:pPr>
  </w:style>
  <w:style w:type="character" w:styleId="Hyperlink">
    <w:name w:val="Hyperlink"/>
    <w:basedOn w:val="Fontepargpadro"/>
    <w:uiPriority w:val="99"/>
    <w:unhideWhenUsed/>
    <w:rsid w:val="00FE0529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E0529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4B2E34"/>
    <w:pPr>
      <w:ind w:left="720"/>
      <w:contextualSpacing/>
    </w:pPr>
  </w:style>
  <w:style w:type="paragraph" w:styleId="Reviso">
    <w:name w:val="Revision"/>
    <w:hidden/>
    <w:uiPriority w:val="99"/>
    <w:semiHidden/>
    <w:rsid w:val="00270091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27009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270091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270091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7009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7009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0C4864-6DA6-4DBF-87D2-C1D41352C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1199</Words>
  <Characters>6480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 Marcel Ribeiro Gallo</dc:creator>
  <cp:lastModifiedBy>Rayssa Lorrana</cp:lastModifiedBy>
  <cp:revision>3</cp:revision>
  <dcterms:created xsi:type="dcterms:W3CDTF">2023-08-11T21:47:00Z</dcterms:created>
  <dcterms:modified xsi:type="dcterms:W3CDTF">2023-08-11T21:53:00Z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http://www.zotero.org/styles/american-sociological-association</vt:lpwstr>
  </property>
  <property fmtid="{D5CDD505-2E9C-101B-9397-08002B2CF9AE}" pid="3" name="Mendeley Recent Style Name 0_1">
    <vt:lpwstr>American Sociological Association</vt:lpwstr>
  </property>
  <property fmtid="{D5CDD505-2E9C-101B-9397-08002B2CF9AE}" pid="4" name="Mendeley Recent Style Id 1_1">
    <vt:lpwstr>http://www.zotero.org/styles/angewandte-chemie</vt:lpwstr>
  </property>
  <property fmtid="{D5CDD505-2E9C-101B-9397-08002B2CF9AE}" pid="5" name="Mendeley Recent Style Name 1_1">
    <vt:lpwstr>Angewandte Chemie International Edition</vt:lpwstr>
  </property>
  <property fmtid="{D5CDD505-2E9C-101B-9397-08002B2CF9AE}" pid="6" name="Mendeley Recent Style Id 2_1">
    <vt:lpwstr>http://www.zotero.org/styles/applied-catalysis-a-general</vt:lpwstr>
  </property>
  <property fmtid="{D5CDD505-2E9C-101B-9397-08002B2CF9AE}" pid="7" name="Mendeley Recent Style Name 2_1">
    <vt:lpwstr>Applied Catalysis A, General</vt:lpwstr>
  </property>
  <property fmtid="{D5CDD505-2E9C-101B-9397-08002B2CF9AE}" pid="8" name="Mendeley Recent Style Id 3_1">
    <vt:lpwstr>http://www.zotero.org/styles/chicago-author-date</vt:lpwstr>
  </property>
  <property fmtid="{D5CDD505-2E9C-101B-9397-08002B2CF9AE}" pid="9" name="Mendeley Recent Style Name 3_1">
    <vt:lpwstr>Chicago Manual of Style 17th edition (author-date)</vt:lpwstr>
  </property>
  <property fmtid="{D5CDD505-2E9C-101B-9397-08002B2CF9AE}" pid="10" name="Mendeley Recent Style Id 4_1">
    <vt:lpwstr>http://www.zotero.org/styles/harvard-cite-them-right</vt:lpwstr>
  </property>
  <property fmtid="{D5CDD505-2E9C-101B-9397-08002B2CF9AE}" pid="11" name="Mendeley Recent Style Name 4_1">
    <vt:lpwstr>Cite Them Right 10th edition - Harvard</vt:lpwstr>
  </property>
  <property fmtid="{D5CDD505-2E9C-101B-9397-08002B2CF9AE}" pid="12" name="Mendeley Recent Style Id 5_1">
    <vt:lpwstr>http://www.zotero.org/styles/fuel</vt:lpwstr>
  </property>
  <property fmtid="{D5CDD505-2E9C-101B-9397-08002B2CF9AE}" pid="13" name="Mendeley Recent Style Name 5_1">
    <vt:lpwstr>Fuel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http://www.zotero.org/styles/microporous-and-mesoporous-materials</vt:lpwstr>
  </property>
  <property fmtid="{D5CDD505-2E9C-101B-9397-08002B2CF9AE}" pid="17" name="Mendeley Recent Style Name 7_1">
    <vt:lpwstr>Microporous and Mesoporous Materials</vt:lpwstr>
  </property>
  <property fmtid="{D5CDD505-2E9C-101B-9397-08002B2CF9AE}" pid="18" name="Mendeley Recent Style Id 8_1">
    <vt:lpwstr>http://www.zotero.org/styles/modern-humanities-research-association</vt:lpwstr>
  </property>
  <property fmtid="{D5CDD505-2E9C-101B-9397-08002B2CF9AE}" pid="19" name="Mendeley Recent Style Name 8_1">
    <vt:lpwstr>Modern Humanities Research Association 3rd edition (note with bibliography)</vt:lpwstr>
  </property>
  <property fmtid="{D5CDD505-2E9C-101B-9397-08002B2CF9AE}" pid="20" name="Mendeley Recent Style Id 9_1">
    <vt:lpwstr>http://www.zotero.org/styles/modern-language-association</vt:lpwstr>
  </property>
  <property fmtid="{D5CDD505-2E9C-101B-9397-08002B2CF9AE}" pid="21" name="Mendeley Recent Style Name 9_1">
    <vt:lpwstr>Modern Language Association 7th edition</vt:lpwstr>
  </property>
  <property fmtid="{D5CDD505-2E9C-101B-9397-08002B2CF9AE}" pid="22" name="GrammarlyDocumentId">
    <vt:lpwstr>af420dee763ffd727e52a3609ce3572324f70ea4d68a2ee483665117b52dfb83</vt:lpwstr>
  </property>
</Properties>
</file>