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66A0208E" w:rsidR="00EA4E1B" w:rsidRDefault="00385C1B" w:rsidP="00EA4E1B">
      <w:pPr>
        <w:pStyle w:val="BATitle"/>
        <w:spacing w:before="0" w:after="0" w:line="240" w:lineRule="auto"/>
        <w:ind w:right="0"/>
        <w:jc w:val="both"/>
        <w:rPr>
          <w:sz w:val="32"/>
          <w:lang w:val="pt-BR"/>
        </w:rPr>
      </w:pPr>
      <w:r>
        <w:rPr>
          <w:sz w:val="32"/>
          <w:lang w:val="pt-BR"/>
        </w:rPr>
        <w:t xml:space="preserve">Síntese e caracterização de </w:t>
      </w:r>
      <w:proofErr w:type="spellStart"/>
      <w:r w:rsidR="0055407C">
        <w:rPr>
          <w:sz w:val="32"/>
          <w:lang w:val="pt-BR"/>
        </w:rPr>
        <w:t>Mo</w:t>
      </w:r>
      <w:proofErr w:type="spellEnd"/>
      <w:r w:rsidR="004D06E1">
        <w:rPr>
          <w:sz w:val="32"/>
          <w:lang w:val="pt-BR"/>
        </w:rPr>
        <w:t>/</w:t>
      </w:r>
      <w:r w:rsidR="0055407C">
        <w:rPr>
          <w:sz w:val="32"/>
          <w:lang w:val="pt-BR"/>
        </w:rPr>
        <w:t>K</w:t>
      </w:r>
      <w:r w:rsidR="004D06E1">
        <w:rPr>
          <w:sz w:val="32"/>
          <w:lang w:val="pt-BR"/>
        </w:rPr>
        <w:t>IT</w:t>
      </w:r>
      <w:r w:rsidR="0055407C">
        <w:rPr>
          <w:sz w:val="32"/>
          <w:lang w:val="pt-BR"/>
        </w:rPr>
        <w:t>-6</w:t>
      </w:r>
      <w:r>
        <w:rPr>
          <w:sz w:val="32"/>
          <w:lang w:val="pt-BR"/>
        </w:rPr>
        <w:t xml:space="preserve"> e sua aplicação na produção de biodiesel metílico.</w:t>
      </w:r>
      <w:r w:rsidR="00EA4E1B">
        <w:rPr>
          <w:sz w:val="32"/>
          <w:lang w:val="pt-BR"/>
        </w:rPr>
        <w:t xml:space="preserve"> </w:t>
      </w:r>
    </w:p>
    <w:p w14:paraId="18735493" w14:textId="39BC0B58" w:rsidR="00EA4E1B" w:rsidRDefault="003756E0" w:rsidP="00EA4E1B">
      <w:pPr>
        <w:pStyle w:val="BBAuthorName"/>
        <w:spacing w:after="120"/>
        <w:ind w:right="0"/>
        <w:jc w:val="both"/>
        <w:rPr>
          <w:rFonts w:ascii="Times New Roman" w:hAnsi="Times New Roman"/>
          <w:sz w:val="20"/>
          <w:vertAlign w:val="superscript"/>
          <w:lang w:val="pt-BR"/>
        </w:rPr>
      </w:pPr>
      <w:r>
        <w:rPr>
          <w:rFonts w:ascii="Times New Roman" w:hAnsi="Times New Roman"/>
          <w:sz w:val="20"/>
          <w:lang w:val="pt-BR"/>
        </w:rPr>
        <w:t>Vicente da Silva Lima</w:t>
      </w:r>
      <w:r w:rsidR="00EA4E1B" w:rsidRPr="001F25B2">
        <w:rPr>
          <w:rFonts w:ascii="Times New Roman" w:hAnsi="Times New Roman"/>
          <w:sz w:val="20"/>
          <w:vertAlign w:val="superscript"/>
          <w:lang w:val="pt-BR"/>
        </w:rPr>
        <w:t>1</w:t>
      </w:r>
      <w:r>
        <w:rPr>
          <w:rFonts w:ascii="Times New Roman" w:hAnsi="Times New Roman"/>
          <w:sz w:val="20"/>
          <w:vertAlign w:val="superscript"/>
          <w:lang w:val="pt-BR"/>
        </w:rPr>
        <w:t xml:space="preserve"> </w:t>
      </w:r>
      <w:proofErr w:type="spellStart"/>
      <w:r>
        <w:rPr>
          <w:rFonts w:ascii="Times New Roman" w:hAnsi="Times New Roman"/>
          <w:sz w:val="20"/>
          <w:lang w:val="pt-BR"/>
        </w:rPr>
        <w:t>Hiarla</w:t>
      </w:r>
      <w:proofErr w:type="spellEnd"/>
      <w:r>
        <w:rPr>
          <w:rFonts w:ascii="Times New Roman" w:hAnsi="Times New Roman"/>
          <w:sz w:val="20"/>
          <w:lang w:val="pt-BR"/>
        </w:rPr>
        <w:t xml:space="preserve"> Cristina Lima dos Santos</w:t>
      </w:r>
      <w:r>
        <w:rPr>
          <w:rFonts w:ascii="Times New Roman" w:hAnsi="Times New Roman"/>
          <w:sz w:val="20"/>
          <w:vertAlign w:val="superscript"/>
          <w:lang w:val="pt-BR"/>
        </w:rPr>
        <w:t>2</w:t>
      </w:r>
      <w:r>
        <w:rPr>
          <w:rFonts w:ascii="Times New Roman" w:hAnsi="Times New Roman"/>
          <w:sz w:val="20"/>
          <w:lang w:val="pt-BR"/>
        </w:rPr>
        <w:t xml:space="preserve"> Matheus Arrais Gonçalves</w:t>
      </w:r>
      <w:r w:rsidR="00D50EFF">
        <w:rPr>
          <w:rFonts w:ascii="Times New Roman" w:hAnsi="Times New Roman"/>
          <w:sz w:val="20"/>
          <w:vertAlign w:val="superscript"/>
          <w:lang w:val="pt-BR"/>
        </w:rPr>
        <w:t>2</w:t>
      </w:r>
      <w:r>
        <w:rPr>
          <w:rFonts w:ascii="Times New Roman" w:hAnsi="Times New Roman"/>
          <w:sz w:val="20"/>
          <w:lang w:val="pt-BR"/>
        </w:rPr>
        <w:t xml:space="preserve"> </w:t>
      </w:r>
      <w:proofErr w:type="spellStart"/>
      <w:r>
        <w:rPr>
          <w:rFonts w:ascii="Times New Roman" w:hAnsi="Times New Roman"/>
          <w:sz w:val="20"/>
          <w:lang w:val="pt-BR"/>
        </w:rPr>
        <w:t>Izadora</w:t>
      </w:r>
      <w:proofErr w:type="spellEnd"/>
      <w:r>
        <w:rPr>
          <w:rFonts w:ascii="Times New Roman" w:hAnsi="Times New Roman"/>
          <w:sz w:val="20"/>
          <w:lang w:val="pt-BR"/>
        </w:rPr>
        <w:t xml:space="preserve"> de Araújo Sobrinho</w:t>
      </w:r>
      <w:r w:rsidR="00D50EFF">
        <w:rPr>
          <w:rFonts w:ascii="Times New Roman" w:hAnsi="Times New Roman"/>
          <w:sz w:val="20"/>
          <w:vertAlign w:val="superscript"/>
          <w:lang w:val="pt-BR"/>
        </w:rPr>
        <w:t>2</w:t>
      </w:r>
      <w:r>
        <w:rPr>
          <w:rFonts w:ascii="Times New Roman" w:hAnsi="Times New Roman"/>
          <w:sz w:val="20"/>
          <w:lang w:val="pt-BR"/>
        </w:rPr>
        <w:t xml:space="preserve"> </w:t>
      </w:r>
      <w:proofErr w:type="spellStart"/>
      <w:r>
        <w:rPr>
          <w:rFonts w:ascii="Times New Roman" w:hAnsi="Times New Roman"/>
          <w:sz w:val="20"/>
          <w:lang w:val="pt-BR"/>
        </w:rPr>
        <w:t>Thaissa</w:t>
      </w:r>
      <w:proofErr w:type="spellEnd"/>
      <w:r>
        <w:rPr>
          <w:rFonts w:ascii="Times New Roman" w:hAnsi="Times New Roman"/>
          <w:sz w:val="20"/>
          <w:lang w:val="pt-BR"/>
        </w:rPr>
        <w:t xml:space="preserve"> Saraiva Ribeiro</w:t>
      </w:r>
      <w:r w:rsidR="00D50EFF">
        <w:rPr>
          <w:rFonts w:ascii="Times New Roman" w:hAnsi="Times New Roman"/>
          <w:sz w:val="20"/>
          <w:vertAlign w:val="superscript"/>
          <w:lang w:val="pt-BR"/>
        </w:rPr>
        <w:t>2</w:t>
      </w:r>
      <w:r>
        <w:rPr>
          <w:rFonts w:ascii="Times New Roman" w:hAnsi="Times New Roman"/>
          <w:sz w:val="20"/>
          <w:lang w:val="pt-BR"/>
        </w:rPr>
        <w:t xml:space="preserve"> </w:t>
      </w:r>
      <w:proofErr w:type="spellStart"/>
      <w:r>
        <w:rPr>
          <w:rFonts w:ascii="Times New Roman" w:hAnsi="Times New Roman"/>
          <w:sz w:val="20"/>
          <w:lang w:val="pt-BR"/>
        </w:rPr>
        <w:t>Klemerson</w:t>
      </w:r>
      <w:proofErr w:type="spellEnd"/>
      <w:r>
        <w:rPr>
          <w:rFonts w:ascii="Times New Roman" w:hAnsi="Times New Roman"/>
          <w:sz w:val="20"/>
          <w:lang w:val="pt-BR"/>
        </w:rPr>
        <w:t xml:space="preserve"> Luiz da Silva</w:t>
      </w:r>
      <w:r w:rsidR="00D50EFF">
        <w:rPr>
          <w:rFonts w:ascii="Times New Roman" w:hAnsi="Times New Roman"/>
          <w:sz w:val="20"/>
          <w:vertAlign w:val="superscript"/>
          <w:lang w:val="pt-BR"/>
        </w:rPr>
        <w:t>2</w:t>
      </w:r>
      <w:r>
        <w:rPr>
          <w:rFonts w:ascii="Times New Roman" w:hAnsi="Times New Roman"/>
          <w:sz w:val="20"/>
          <w:lang w:val="pt-BR"/>
        </w:rPr>
        <w:t xml:space="preserve"> Geraldo Narciso da Rocha Filho</w:t>
      </w:r>
      <w:r w:rsidR="00D50EFF">
        <w:rPr>
          <w:rFonts w:ascii="Times New Roman" w:hAnsi="Times New Roman"/>
          <w:sz w:val="20"/>
          <w:vertAlign w:val="superscript"/>
          <w:lang w:val="pt-BR"/>
        </w:rPr>
        <w:t>2</w:t>
      </w:r>
      <w:r>
        <w:rPr>
          <w:rFonts w:ascii="Times New Roman" w:hAnsi="Times New Roman"/>
          <w:sz w:val="20"/>
          <w:lang w:val="pt-BR"/>
        </w:rPr>
        <w:t xml:space="preserve"> </w:t>
      </w:r>
      <w:proofErr w:type="spellStart"/>
      <w:r>
        <w:rPr>
          <w:rFonts w:ascii="Times New Roman" w:hAnsi="Times New Roman"/>
          <w:sz w:val="20"/>
          <w:lang w:val="pt-BR"/>
        </w:rPr>
        <w:t>Leyvison</w:t>
      </w:r>
      <w:proofErr w:type="spellEnd"/>
      <w:r>
        <w:rPr>
          <w:rFonts w:ascii="Times New Roman" w:hAnsi="Times New Roman"/>
          <w:sz w:val="20"/>
          <w:lang w:val="pt-BR"/>
        </w:rPr>
        <w:t xml:space="preserve"> Rafael Vieira da Conceição</w:t>
      </w:r>
      <w:r w:rsidR="00D50EFF">
        <w:rPr>
          <w:rFonts w:ascii="Times New Roman" w:hAnsi="Times New Roman"/>
          <w:sz w:val="20"/>
          <w:vertAlign w:val="superscript"/>
          <w:lang w:val="pt-BR"/>
        </w:rPr>
        <w:t>2</w:t>
      </w:r>
    </w:p>
    <w:p w14:paraId="1AC3E9F4" w14:textId="5230FB9B" w:rsidR="00D50EFF" w:rsidRPr="00F54040" w:rsidRDefault="00D50EFF" w:rsidP="00D50EFF">
      <w:pPr>
        <w:pStyle w:val="BCAuthorAddress"/>
        <w:rPr>
          <w:lang w:val="pt-BR"/>
        </w:rPr>
      </w:pPr>
      <w:r w:rsidRPr="00F54040">
        <w:rPr>
          <w:vertAlign w:val="superscript"/>
          <w:lang w:val="pt-BR"/>
        </w:rPr>
        <w:t>1</w:t>
      </w:r>
      <w:r w:rsidRPr="00F54040">
        <w:rPr>
          <w:lang w:val="pt-BR"/>
        </w:rPr>
        <w:t>Departamento de Engenharia de Materiais, Instituto Federal de Educação, Ciência e Tecnologia do Pará (IFPA).</w:t>
      </w:r>
    </w:p>
    <w:p w14:paraId="2DF187ED" w14:textId="11B0540D" w:rsidR="00D50EFF" w:rsidRPr="00D50EFF" w:rsidRDefault="00D50EFF" w:rsidP="00D50EFF">
      <w:pPr>
        <w:rPr>
          <w:rFonts w:ascii="Times" w:hAnsi="Times" w:cs="Times"/>
          <w:i/>
          <w:sz w:val="20"/>
          <w:szCs w:val="20"/>
          <w:lang w:eastAsia="pt-BR"/>
        </w:rPr>
      </w:pPr>
      <w:r>
        <w:rPr>
          <w:rFonts w:ascii="Times" w:hAnsi="Times" w:cs="Times"/>
          <w:i/>
          <w:sz w:val="20"/>
          <w:szCs w:val="20"/>
          <w:vertAlign w:val="superscript"/>
          <w:lang w:eastAsia="pt-BR"/>
        </w:rPr>
        <w:t>2</w:t>
      </w:r>
      <w:r w:rsidRPr="00D50EFF">
        <w:rPr>
          <w:rFonts w:ascii="Times" w:hAnsi="Times" w:cs="Times"/>
          <w:i/>
          <w:sz w:val="20"/>
          <w:szCs w:val="20"/>
          <w:lang w:eastAsia="pt-BR"/>
        </w:rPr>
        <w:t xml:space="preserve"> Departamento de Química, Universidade Federal do Pará (UFPA).</w:t>
      </w:r>
    </w:p>
    <w:p w14:paraId="22D38595" w14:textId="66F81ED8" w:rsidR="00EA4E1B" w:rsidRPr="00B0116D" w:rsidRDefault="00EA4E1B" w:rsidP="00EA4E1B">
      <w:pPr>
        <w:pStyle w:val="BCAuthorAddress"/>
        <w:spacing w:after="0"/>
        <w:ind w:right="0"/>
        <w:jc w:val="both"/>
        <w:rPr>
          <w:lang w:val="pt-BR"/>
        </w:rPr>
      </w:pPr>
      <w:r>
        <w:rPr>
          <w:vertAlign w:val="superscript"/>
          <w:lang w:val="pt-BR"/>
        </w:rPr>
        <w:t>1</w:t>
      </w:r>
      <w:r w:rsidR="00E531CB">
        <w:rPr>
          <w:lang w:val="pt-BR"/>
        </w:rPr>
        <w:t>Vicente25lima@gmail.com</w:t>
      </w:r>
      <w:r w:rsidR="00D50EFF">
        <w:rPr>
          <w:vertAlign w:val="superscript"/>
          <w:lang w:val="pt-BR"/>
        </w:rPr>
        <w:t>2</w:t>
      </w:r>
      <w:r w:rsidR="00D50EFF">
        <w:rPr>
          <w:lang w:val="pt-BR"/>
        </w:rPr>
        <w:t>hiarla</w:t>
      </w:r>
      <w:r w:rsidR="00D21562">
        <w:rPr>
          <w:lang w:val="pt-BR"/>
        </w:rPr>
        <w:t>cristina@gmail.com</w:t>
      </w:r>
      <w:r w:rsidR="00D21562">
        <w:rPr>
          <w:vertAlign w:val="superscript"/>
          <w:lang w:val="pt-BR"/>
        </w:rPr>
        <w:t>2</w:t>
      </w:r>
      <w:r w:rsidR="00D21562">
        <w:rPr>
          <w:lang w:val="pt-BR"/>
        </w:rPr>
        <w:t>matheusarrais38@gmail.com</w:t>
      </w:r>
      <w:r w:rsidR="00D21562">
        <w:rPr>
          <w:vertAlign w:val="superscript"/>
          <w:lang w:val="pt-BR"/>
        </w:rPr>
        <w:t>2</w:t>
      </w:r>
      <w:r w:rsidR="00D21562">
        <w:rPr>
          <w:lang w:val="pt-BR"/>
        </w:rPr>
        <w:t>izadora.sobrinho27@gmail.com</w:t>
      </w:r>
      <w:r w:rsidR="00B0116D">
        <w:rPr>
          <w:lang w:val="pt-BR"/>
        </w:rPr>
        <w:t xml:space="preserve"> </w:t>
      </w:r>
      <w:r w:rsidR="00D21562">
        <w:rPr>
          <w:vertAlign w:val="superscript"/>
          <w:lang w:val="pt-BR"/>
        </w:rPr>
        <w:t>2</w:t>
      </w:r>
      <w:r w:rsidR="00D21562">
        <w:rPr>
          <w:lang w:val="pt-BR"/>
        </w:rPr>
        <w:t xml:space="preserve">saraivathaissa@gmail.com </w:t>
      </w:r>
      <w:r w:rsidR="00D21562">
        <w:rPr>
          <w:vertAlign w:val="superscript"/>
          <w:lang w:val="pt-BR"/>
        </w:rPr>
        <w:t>2</w:t>
      </w:r>
      <w:r w:rsidR="00B0116D">
        <w:rPr>
          <w:lang w:val="pt-BR"/>
        </w:rPr>
        <w:t xml:space="preserve">klemersonluizsilva@gmail.com </w:t>
      </w:r>
      <w:r w:rsidR="00B0116D">
        <w:rPr>
          <w:vertAlign w:val="superscript"/>
          <w:lang w:val="pt-BR"/>
        </w:rPr>
        <w:t>2</w:t>
      </w:r>
      <w:r w:rsidR="00B0116D">
        <w:rPr>
          <w:lang w:val="pt-BR"/>
        </w:rPr>
        <w:t xml:space="preserve">narciso@ufpa.br </w:t>
      </w:r>
      <w:r w:rsidR="00B0116D">
        <w:rPr>
          <w:vertAlign w:val="superscript"/>
          <w:lang w:val="pt-BR"/>
        </w:rPr>
        <w:t>2</w:t>
      </w:r>
      <w:r w:rsidR="00B0116D">
        <w:rPr>
          <w:lang w:val="pt-BR"/>
        </w:rPr>
        <w:t>rafaelvieira@ufpa.br</w:t>
      </w:r>
    </w:p>
    <w:bookmarkEnd w:id="0"/>
    <w:p w14:paraId="238E7EC1" w14:textId="3C0E0803"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B2A8AF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B2A8AF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r w:rsidR="00D21562">
        <w:rPr>
          <w:rFonts w:ascii="Times New Roman" w:hAnsi="Times New Roman"/>
          <w:b w:val="0"/>
          <w:sz w:val="20"/>
          <w:lang w:val="pt-BR"/>
        </w:rPr>
        <w:t xml:space="preserve"> </w: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09B41B70" w14:textId="383CB4BA" w:rsidR="00EA4E1B" w:rsidRDefault="00EA4E1B" w:rsidP="00D96CF6">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D96CF6" w:rsidRPr="00D96CF6">
        <w:rPr>
          <w:rFonts w:ascii="Times New Roman" w:hAnsi="Times New Roman"/>
          <w:b w:val="0"/>
          <w:sz w:val="20"/>
          <w:lang w:val="pt-BR"/>
        </w:rPr>
        <w:t>No contexto atual existem diversas preocupações associadas ao consumo de energia não renovável como a emissão de gases de efeito estufa e o aumento constante da demanda por esse tipo de energia. Esta situação pode levar a um esgotamento de energia mais significativo, mudanças climáticas e aquecimento global sem a adoção de medidas plausíveis. Sendo assim, fica evidente a necessidade da busca por fontes de energia alternativa.</w:t>
      </w:r>
      <w:r w:rsidR="00D96CF6">
        <w:rPr>
          <w:rFonts w:ascii="Times New Roman" w:hAnsi="Times New Roman"/>
          <w:b w:val="0"/>
          <w:sz w:val="20"/>
          <w:lang w:val="pt-BR"/>
        </w:rPr>
        <w:t xml:space="preserve"> </w:t>
      </w:r>
      <w:r w:rsidR="00D96CF6" w:rsidRPr="00D96CF6">
        <w:rPr>
          <w:rFonts w:ascii="Times New Roman" w:hAnsi="Times New Roman"/>
          <w:b w:val="0"/>
          <w:sz w:val="20"/>
          <w:lang w:val="pt-BR"/>
        </w:rPr>
        <w:t xml:space="preserve">Um material que vem chamando a atenção de pesquisadores e indústrias é o material </w:t>
      </w:r>
      <w:proofErr w:type="spellStart"/>
      <w:r w:rsidR="00D96CF6" w:rsidRPr="00D96CF6">
        <w:rPr>
          <w:rFonts w:ascii="Times New Roman" w:hAnsi="Times New Roman"/>
          <w:b w:val="0"/>
          <w:sz w:val="20"/>
          <w:lang w:val="pt-BR"/>
        </w:rPr>
        <w:t>mesoporoso</w:t>
      </w:r>
      <w:proofErr w:type="spellEnd"/>
      <w:r w:rsidR="00D96CF6" w:rsidRPr="00D96CF6">
        <w:rPr>
          <w:rFonts w:ascii="Times New Roman" w:hAnsi="Times New Roman"/>
          <w:b w:val="0"/>
          <w:sz w:val="20"/>
          <w:lang w:val="pt-BR"/>
        </w:rPr>
        <w:t xml:space="preserve"> do tipo K</w:t>
      </w:r>
      <w:r w:rsidR="00C108A6">
        <w:rPr>
          <w:rFonts w:ascii="Times New Roman" w:hAnsi="Times New Roman"/>
          <w:b w:val="0"/>
          <w:sz w:val="20"/>
          <w:lang w:val="pt-BR"/>
        </w:rPr>
        <w:t>it</w:t>
      </w:r>
      <w:r w:rsidR="00D96CF6" w:rsidRPr="00D96CF6">
        <w:rPr>
          <w:rFonts w:ascii="Times New Roman" w:hAnsi="Times New Roman"/>
          <w:b w:val="0"/>
          <w:sz w:val="20"/>
          <w:lang w:val="pt-BR"/>
        </w:rPr>
        <w:t>-6. O K</w:t>
      </w:r>
      <w:r w:rsidR="004D06E1">
        <w:rPr>
          <w:rFonts w:ascii="Times New Roman" w:hAnsi="Times New Roman"/>
          <w:b w:val="0"/>
          <w:sz w:val="20"/>
          <w:lang w:val="pt-BR"/>
        </w:rPr>
        <w:t>IT</w:t>
      </w:r>
      <w:r w:rsidR="00D96CF6" w:rsidRPr="00D96CF6">
        <w:rPr>
          <w:rFonts w:ascii="Times New Roman" w:hAnsi="Times New Roman"/>
          <w:b w:val="0"/>
          <w:sz w:val="20"/>
          <w:lang w:val="pt-BR"/>
        </w:rPr>
        <w:t xml:space="preserve">-6 é um material a base de silício e oxigênio, possuiu estrutura cúbica, com grupo de simetria espacial </w:t>
      </w:r>
      <w:r w:rsidR="00D96CF6" w:rsidRPr="00D96CF6">
        <w:rPr>
          <w:rFonts w:ascii="Times New Roman" w:hAnsi="Times New Roman"/>
          <w:b w:val="0"/>
          <w:i/>
          <w:iCs/>
          <w:sz w:val="20"/>
          <w:lang w:val="pt-BR"/>
        </w:rPr>
        <w:t xml:space="preserve">Ia3d </w:t>
      </w:r>
      <w:r w:rsidR="00D96CF6" w:rsidRPr="00D96CF6">
        <w:rPr>
          <w:rFonts w:ascii="Times New Roman" w:hAnsi="Times New Roman"/>
          <w:b w:val="0"/>
          <w:sz w:val="20"/>
          <w:lang w:val="pt-BR"/>
        </w:rPr>
        <w:t xml:space="preserve">com poros interconectados em sistema 3D, semelhante ao MCM-48, porém apresentam poros maiores, maior estabilidade térmica e hidrotérmica e um sistema de </w:t>
      </w:r>
      <w:r w:rsidR="00FE1324" w:rsidRPr="00D96CF6">
        <w:rPr>
          <w:rFonts w:ascii="Times New Roman" w:hAnsi="Times New Roman"/>
          <w:b w:val="0"/>
          <w:sz w:val="20"/>
          <w:lang w:val="pt-BR"/>
        </w:rPr>
        <w:t>micro poros</w:t>
      </w:r>
      <w:r w:rsidR="00D96CF6" w:rsidRPr="00D96CF6">
        <w:rPr>
          <w:rFonts w:ascii="Times New Roman" w:hAnsi="Times New Roman"/>
          <w:b w:val="0"/>
          <w:sz w:val="20"/>
          <w:lang w:val="pt-BR"/>
        </w:rPr>
        <w:t xml:space="preserve"> (com diâmetro médio de 1,8 </w:t>
      </w:r>
      <w:proofErr w:type="spellStart"/>
      <w:r w:rsidR="00D96CF6" w:rsidRPr="00D96CF6">
        <w:rPr>
          <w:rFonts w:ascii="Times New Roman" w:hAnsi="Times New Roman"/>
          <w:b w:val="0"/>
          <w:sz w:val="20"/>
          <w:lang w:val="pt-BR"/>
        </w:rPr>
        <w:t>nm</w:t>
      </w:r>
      <w:proofErr w:type="spellEnd"/>
      <w:r w:rsidR="00D96CF6" w:rsidRPr="00D96CF6">
        <w:rPr>
          <w:rFonts w:ascii="Times New Roman" w:hAnsi="Times New Roman"/>
          <w:b w:val="0"/>
          <w:sz w:val="20"/>
          <w:lang w:val="pt-BR"/>
        </w:rPr>
        <w:t xml:space="preserve">) que interligam os </w:t>
      </w:r>
      <w:proofErr w:type="spellStart"/>
      <w:r w:rsidR="00D96CF6" w:rsidRPr="00D96CF6">
        <w:rPr>
          <w:rFonts w:ascii="Times New Roman" w:hAnsi="Times New Roman"/>
          <w:b w:val="0"/>
          <w:sz w:val="20"/>
          <w:lang w:val="pt-BR"/>
        </w:rPr>
        <w:t>mesoporos</w:t>
      </w:r>
      <w:proofErr w:type="spellEnd"/>
      <w:r w:rsidR="00D96CF6" w:rsidRPr="00D96CF6">
        <w:rPr>
          <w:rFonts w:ascii="Times New Roman" w:hAnsi="Times New Roman"/>
          <w:b w:val="0"/>
          <w:sz w:val="20"/>
          <w:lang w:val="pt-BR"/>
        </w:rPr>
        <w:t>. Com base no que foi exposto, o presente trabalho tem como objetivos sintetizar, caracterizar e avaliar o desempenho do catalisador KIT-6 impregnado com óxido molibdênio, com diferentes teores de fase ativa, na conversão do óleo residual (fritura) em biodiesel metílico, por meio da reação de transesterificação, bem como realizar estudos de reutilização do catalisador</w:t>
      </w:r>
      <w:r w:rsidR="00D96CF6">
        <w:rPr>
          <w:rFonts w:ascii="Times New Roman" w:hAnsi="Times New Roman"/>
          <w:b w:val="0"/>
          <w:sz w:val="20"/>
          <w:lang w:val="pt-BR"/>
        </w:rPr>
        <w:t>.</w:t>
      </w:r>
    </w:p>
    <w:p w14:paraId="1D38A36B" w14:textId="4A736AB4" w:rsidR="00C108A6" w:rsidRPr="00C108A6" w:rsidRDefault="00C108A6" w:rsidP="00D96CF6">
      <w:pPr>
        <w:pStyle w:val="BDAbstract"/>
        <w:spacing w:before="0" w:after="0" w:line="240" w:lineRule="auto"/>
        <w:rPr>
          <w:rFonts w:ascii="Times New Roman" w:hAnsi="Times New Roman"/>
          <w:b w:val="0"/>
          <w:i/>
          <w:iCs/>
          <w:sz w:val="20"/>
          <w:lang w:val="pt-BR"/>
        </w:rPr>
      </w:pPr>
      <w:r w:rsidRPr="00C108A6">
        <w:rPr>
          <w:rFonts w:ascii="Times New Roman" w:hAnsi="Times New Roman"/>
          <w:b w:val="0"/>
          <w:i/>
          <w:iCs/>
          <w:sz w:val="20"/>
          <w:lang w:val="pt-BR"/>
        </w:rPr>
        <w:t>Palavras-chave: K</w:t>
      </w:r>
      <w:r w:rsidR="004D06E1">
        <w:rPr>
          <w:rFonts w:ascii="Times New Roman" w:hAnsi="Times New Roman"/>
          <w:b w:val="0"/>
          <w:i/>
          <w:iCs/>
          <w:sz w:val="20"/>
          <w:lang w:val="pt-BR"/>
        </w:rPr>
        <w:t>IT</w:t>
      </w:r>
      <w:r w:rsidRPr="00C108A6">
        <w:rPr>
          <w:rFonts w:ascii="Times New Roman" w:hAnsi="Times New Roman"/>
          <w:b w:val="0"/>
          <w:i/>
          <w:iCs/>
          <w:sz w:val="20"/>
          <w:lang w:val="pt-BR"/>
        </w:rPr>
        <w:t xml:space="preserve">-6, </w:t>
      </w:r>
      <w:r w:rsidR="004D06E1">
        <w:rPr>
          <w:rFonts w:ascii="Times New Roman" w:hAnsi="Times New Roman"/>
          <w:b w:val="0"/>
          <w:i/>
          <w:iCs/>
          <w:sz w:val="20"/>
          <w:lang w:val="pt-BR"/>
        </w:rPr>
        <w:t>óxido de molibdênio</w:t>
      </w:r>
      <w:r w:rsidRPr="00C108A6">
        <w:rPr>
          <w:rFonts w:ascii="Times New Roman" w:hAnsi="Times New Roman"/>
          <w:b w:val="0"/>
          <w:i/>
          <w:iCs/>
          <w:sz w:val="20"/>
          <w:lang w:val="pt-BR"/>
        </w:rPr>
        <w:t>, biodiesel</w:t>
      </w:r>
      <w:r w:rsidR="001E3540">
        <w:rPr>
          <w:rFonts w:ascii="Times New Roman" w:hAnsi="Times New Roman"/>
          <w:b w:val="0"/>
          <w:i/>
          <w:iCs/>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77C78EED" w:rsidR="00EA4E1B" w:rsidRPr="00F933D7" w:rsidRDefault="00EA4E1B" w:rsidP="00EA4E1B">
      <w:pPr>
        <w:pStyle w:val="BDAbstract"/>
        <w:spacing w:before="0" w:after="0" w:line="240" w:lineRule="auto"/>
        <w:rPr>
          <w:rFonts w:ascii="Times New Roman" w:hAnsi="Times New Roman"/>
          <w:b w:val="0"/>
          <w:sz w:val="20"/>
        </w:rPr>
      </w:pPr>
      <w:r w:rsidRPr="00F54040">
        <w:rPr>
          <w:rFonts w:ascii="Times New Roman" w:hAnsi="Times New Roman"/>
          <w:b w:val="0"/>
          <w:sz w:val="20"/>
        </w:rPr>
        <w:t xml:space="preserve">ABSTRACT - </w:t>
      </w:r>
      <w:r w:rsidR="00D96CF6" w:rsidRPr="00F933D7">
        <w:rPr>
          <w:rFonts w:ascii="Times New Roman" w:hAnsi="Times New Roman"/>
          <w:b w:val="0"/>
          <w:sz w:val="20"/>
        </w:rPr>
        <w:t>In the current context, there are several concerns associated with the consumption of non-renewable energy, such as the emission of greenhouse gases and the constant increase in demand for this type of energy. This situation could lead to more significant energy depletion, climate change and global warming without taking plausible measures. Therefore, the need to search for alternative energy sources is evident. A material that has been calling the attention of researchers and industries is the KIT-6 type mesoporous material. KIT-6 is a material based on silicon and oxygen, it has a cubic structure, with a spatial symmetry group Ia3d with pores interconnected in a 3D system, similar to MCM-48, but with larger pores, greater thermal and hydrothermal stability and a system of micropores (with an average diameter of 1.8 nm) that interconnect the mesopores. Based on what has been exposed, the present work aims to synthesize, characterize and evaluate the performance of the KIT-6 catalyst impregnated with molybdenum oxide, with different levels of active phase, in the conversion of residual oil (frying) into methyl biodiesel, by through the transesterification reaction, as well as carrying out catalyst reuse studies.</w:t>
      </w:r>
    </w:p>
    <w:p w14:paraId="5F4A84E8" w14:textId="2F7C1FFC" w:rsidR="00EA4E1B" w:rsidRPr="00F933D7" w:rsidRDefault="00EA4E1B" w:rsidP="00EA4E1B">
      <w:pPr>
        <w:pStyle w:val="BDAbstract"/>
        <w:spacing w:before="0" w:after="120" w:line="240" w:lineRule="auto"/>
        <w:rPr>
          <w:rFonts w:ascii="Times New Roman" w:hAnsi="Times New Roman"/>
          <w:b w:val="0"/>
          <w:i/>
          <w:sz w:val="20"/>
        </w:rPr>
      </w:pPr>
      <w:r w:rsidRPr="00F933D7">
        <w:rPr>
          <w:rFonts w:ascii="Times New Roman" w:hAnsi="Times New Roman"/>
          <w:b w:val="0"/>
          <w:i/>
          <w:sz w:val="20"/>
        </w:rPr>
        <w:t xml:space="preserve">Keywords: </w:t>
      </w:r>
      <w:r w:rsidR="001E3540" w:rsidRPr="001E3540">
        <w:rPr>
          <w:rFonts w:ascii="Times New Roman" w:hAnsi="Times New Roman"/>
          <w:b w:val="0"/>
          <w:i/>
          <w:sz w:val="20"/>
        </w:rPr>
        <w:t xml:space="preserve">Kit-6, </w:t>
      </w:r>
      <w:r w:rsidR="004D06E1" w:rsidRPr="004D06E1">
        <w:rPr>
          <w:rFonts w:ascii="Times New Roman" w:hAnsi="Times New Roman"/>
          <w:b w:val="0"/>
          <w:i/>
          <w:sz w:val="20"/>
        </w:rPr>
        <w:t>molybdenum oxide</w:t>
      </w:r>
      <w:r w:rsidR="001E3540" w:rsidRPr="001E3540">
        <w:rPr>
          <w:rFonts w:ascii="Times New Roman" w:hAnsi="Times New Roman"/>
          <w:b w:val="0"/>
          <w:i/>
          <w:sz w:val="20"/>
        </w:rPr>
        <w:t>, biodiesel</w:t>
      </w:r>
      <w:r w:rsidR="001E3540">
        <w:rPr>
          <w:rFonts w:ascii="Times New Roman" w:hAnsi="Times New Roman"/>
          <w:b w:val="0"/>
          <w:i/>
          <w:sz w:val="20"/>
        </w:rPr>
        <w:t>.</w:t>
      </w:r>
    </w:p>
    <w:bookmarkEnd w:id="1"/>
    <w:p w14:paraId="48D9B0C4" w14:textId="77777777" w:rsidR="00EA4E1B" w:rsidRPr="00F54040" w:rsidRDefault="00EA4E1B" w:rsidP="00EA4E1B">
      <w:pPr>
        <w:rPr>
          <w:lang w:val="en-US"/>
        </w:rPr>
        <w:sectPr w:rsidR="00EA4E1B" w:rsidRPr="00F54040"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7829577E" w14:textId="1FDA15DE" w:rsidR="00EA4E1B" w:rsidRDefault="005E67FC" w:rsidP="00EA4E1B">
      <w:pPr>
        <w:pStyle w:val="TAMainText"/>
        <w:rPr>
          <w:rFonts w:ascii="Times New Roman" w:hAnsi="Times New Roman"/>
          <w:lang w:val="pt-BR"/>
        </w:rPr>
      </w:pPr>
      <w:r w:rsidRPr="005E67FC">
        <w:rPr>
          <w:rFonts w:ascii="Times New Roman" w:hAnsi="Times New Roman"/>
          <w:lang w:val="pt-BR"/>
        </w:rPr>
        <w:t xml:space="preserve">Por muitos anos, os combustíveis fósseis, como petróleo bruto, permaneceram como uma das principais fontes de energia do mundo, seja para aplicações industriais ou transporte. No entanto, sabe-se que essas fontes tradicionais de energia estão associadas à tendência ao esgotamento e às questões ambientais. Recentemente, a atenção dos especialistas em energia mudou para fontes alternativas de energia devido aos desafios ambientais e um aumento na demanda de energia como resultado da superpopulação e proliferação de indústrias </w:t>
      </w:r>
      <w:r w:rsidR="00D9063F">
        <w:rPr>
          <w:rFonts w:ascii="Times New Roman" w:hAnsi="Times New Roman"/>
          <w:lang w:val="pt-BR"/>
        </w:rPr>
        <w:t xml:space="preserve">(1) </w:t>
      </w:r>
      <w:r w:rsidR="00D306BF">
        <w:rPr>
          <w:rFonts w:ascii="Times New Roman" w:hAnsi="Times New Roman"/>
          <w:lang w:val="pt-BR"/>
        </w:rPr>
        <w:t xml:space="preserve">Neste cenário, </w:t>
      </w:r>
      <w:r w:rsidR="00BD510B" w:rsidRPr="00BD510B">
        <w:rPr>
          <w:rFonts w:ascii="Times New Roman" w:hAnsi="Times New Roman"/>
          <w:lang w:val="pt-BR"/>
        </w:rPr>
        <w:t xml:space="preserve">o biodiesel é uma alternativa renovável que tem sido apontada como combustível versátil para aplicações em motores a diesel. É </w:t>
      </w:r>
      <w:r w:rsidR="00BD510B" w:rsidRPr="00BD510B">
        <w:rPr>
          <w:rFonts w:ascii="Times New Roman" w:hAnsi="Times New Roman"/>
          <w:lang w:val="pt-BR"/>
        </w:rPr>
        <w:t>miscível com diesel em qualquer proporção e não requer grandes modificações no motor</w:t>
      </w:r>
      <w:r w:rsidR="00D9063F">
        <w:rPr>
          <w:rFonts w:ascii="Times New Roman" w:hAnsi="Times New Roman"/>
          <w:lang w:val="pt-BR"/>
        </w:rPr>
        <w:t xml:space="preserve"> (2) </w:t>
      </w:r>
      <w:r w:rsidR="00D9063F" w:rsidRPr="00D9063F">
        <w:rPr>
          <w:rFonts w:ascii="Times New Roman" w:hAnsi="Times New Roman"/>
          <w:lang w:val="pt-BR"/>
        </w:rPr>
        <w:t xml:space="preserve">Um material que vem chamando a atenção de pesquisadores e indústrias é o material </w:t>
      </w:r>
      <w:proofErr w:type="spellStart"/>
      <w:r w:rsidR="00D9063F" w:rsidRPr="00D9063F">
        <w:rPr>
          <w:rFonts w:ascii="Times New Roman" w:hAnsi="Times New Roman"/>
          <w:lang w:val="pt-BR"/>
        </w:rPr>
        <w:t>mesoporoso</w:t>
      </w:r>
      <w:proofErr w:type="spellEnd"/>
      <w:r w:rsidR="00D9063F" w:rsidRPr="00D9063F">
        <w:rPr>
          <w:rFonts w:ascii="Times New Roman" w:hAnsi="Times New Roman"/>
          <w:lang w:val="pt-BR"/>
        </w:rPr>
        <w:t xml:space="preserve"> do tipo KIT-6, objeto de estudo como catalisador sólido ácido, impregnado com </w:t>
      </w:r>
      <w:r w:rsidR="00F54040">
        <w:rPr>
          <w:rFonts w:ascii="Times New Roman" w:hAnsi="Times New Roman"/>
          <w:lang w:val="pt-BR"/>
        </w:rPr>
        <w:t>óxido de molibdênio</w:t>
      </w:r>
      <w:r w:rsidR="00D9063F" w:rsidRPr="00D9063F">
        <w:rPr>
          <w:rFonts w:ascii="Times New Roman" w:hAnsi="Times New Roman"/>
          <w:lang w:val="pt-BR"/>
        </w:rPr>
        <w:t xml:space="preserve"> e utilizado na reação de transesterificação metílica do óleo residual para produção de biodiesel</w:t>
      </w:r>
      <w:r w:rsidR="00D306BF">
        <w:rPr>
          <w:rFonts w:ascii="Times New Roman" w:hAnsi="Times New Roman"/>
          <w:lang w:val="pt-BR"/>
        </w:rPr>
        <w:t>.</w:t>
      </w:r>
    </w:p>
    <w:p w14:paraId="52CC1321" w14:textId="77777777" w:rsidR="00C03DD3" w:rsidRDefault="00C03DD3" w:rsidP="00C03DD3">
      <w:pPr>
        <w:pStyle w:val="TAMainText"/>
        <w:jc w:val="center"/>
        <w:rPr>
          <w:rFonts w:ascii="Helvetica" w:hAnsi="Helvetica" w:cs="Helvetica"/>
          <w:sz w:val="22"/>
          <w:szCs w:val="22"/>
          <w:lang w:val="pt-BR"/>
        </w:rPr>
      </w:pPr>
    </w:p>
    <w:p w14:paraId="2F8A34AB" w14:textId="7212B58F" w:rsidR="00D306BF" w:rsidRDefault="00D306BF" w:rsidP="00C03DD3">
      <w:pPr>
        <w:pStyle w:val="TAMainText"/>
        <w:jc w:val="center"/>
        <w:rPr>
          <w:rFonts w:ascii="Helvetica" w:hAnsi="Helvetica" w:cs="Helvetica"/>
          <w:sz w:val="22"/>
          <w:szCs w:val="22"/>
          <w:lang w:val="pt-BR"/>
        </w:rPr>
      </w:pPr>
      <w:r w:rsidRPr="00D306BF">
        <w:rPr>
          <w:rFonts w:ascii="Helvetica" w:hAnsi="Helvetica" w:cs="Helvetica"/>
          <w:sz w:val="22"/>
          <w:szCs w:val="22"/>
          <w:lang w:val="pt-BR"/>
        </w:rPr>
        <w:t>Experimental</w:t>
      </w:r>
    </w:p>
    <w:p w14:paraId="388E5DE0" w14:textId="77777777" w:rsidR="00254B5B" w:rsidRPr="00F54040" w:rsidRDefault="00254B5B" w:rsidP="00254B5B">
      <w:pPr>
        <w:pStyle w:val="TAMainText"/>
        <w:rPr>
          <w:rFonts w:ascii="Times New Roman" w:hAnsi="Times New Roman"/>
          <w:i/>
          <w:lang w:val="pt-BR"/>
        </w:rPr>
      </w:pPr>
      <w:r w:rsidRPr="00F54040">
        <w:rPr>
          <w:rFonts w:ascii="Times New Roman" w:hAnsi="Times New Roman"/>
          <w:i/>
          <w:lang w:val="pt-BR"/>
        </w:rPr>
        <w:t>Microscopia Eletrônica de Varredura (MEV)</w:t>
      </w:r>
    </w:p>
    <w:p w14:paraId="031FF375" w14:textId="77777777" w:rsidR="004F3174" w:rsidRDefault="002B44FF" w:rsidP="002B44FF">
      <w:pPr>
        <w:pStyle w:val="TAMainText"/>
        <w:rPr>
          <w:rFonts w:ascii="Times New Roman" w:hAnsi="Times New Roman"/>
          <w:iCs/>
          <w:lang w:val="pt-BR"/>
        </w:rPr>
      </w:pPr>
      <w:r w:rsidRPr="002B44FF">
        <w:rPr>
          <w:rFonts w:ascii="Times New Roman" w:hAnsi="Times New Roman"/>
          <w:iCs/>
          <w:lang w:val="pt-BR"/>
        </w:rPr>
        <w:t>A análise de MEV foi realizada para avaliar a morfologia do suporte e catalisador. As micrografias</w:t>
      </w:r>
      <w:r>
        <w:rPr>
          <w:rFonts w:ascii="Times New Roman" w:hAnsi="Times New Roman"/>
          <w:iCs/>
          <w:lang w:val="pt-BR"/>
        </w:rPr>
        <w:t xml:space="preserve"> foram</w:t>
      </w:r>
      <w:r w:rsidRPr="002B44FF">
        <w:rPr>
          <w:rFonts w:ascii="Times New Roman" w:hAnsi="Times New Roman"/>
          <w:iCs/>
          <w:lang w:val="pt-BR"/>
        </w:rPr>
        <w:t xml:space="preserve"> capturadas em uma resolução de 5000</w:t>
      </w:r>
      <w:r>
        <w:rPr>
          <w:rFonts w:ascii="Times New Roman" w:hAnsi="Times New Roman"/>
          <w:iCs/>
          <w:lang w:val="pt-BR"/>
        </w:rPr>
        <w:t>, 1000, 500 e 100x</w:t>
      </w:r>
      <w:r w:rsidRPr="002B44FF">
        <w:rPr>
          <w:rFonts w:ascii="Times New Roman" w:hAnsi="Times New Roman"/>
          <w:iCs/>
          <w:lang w:val="pt-BR"/>
        </w:rPr>
        <w:t xml:space="preserve">. </w:t>
      </w:r>
    </w:p>
    <w:p w14:paraId="5210DA89" w14:textId="549F4E6C" w:rsidR="00093EB7" w:rsidRDefault="00093EB7" w:rsidP="00093EB7">
      <w:pPr>
        <w:pStyle w:val="TAMainText"/>
        <w:rPr>
          <w:rFonts w:ascii="Times New Roman" w:hAnsi="Times New Roman"/>
          <w:i/>
          <w:lang w:val="pt-BR"/>
        </w:rPr>
      </w:pPr>
      <w:r>
        <w:rPr>
          <w:rFonts w:ascii="Times New Roman" w:hAnsi="Times New Roman"/>
          <w:i/>
          <w:lang w:val="pt-BR"/>
        </w:rPr>
        <w:lastRenderedPageBreak/>
        <w:t xml:space="preserve">Análise </w:t>
      </w:r>
      <w:r w:rsidR="00A67CC7">
        <w:rPr>
          <w:rFonts w:ascii="Times New Roman" w:hAnsi="Times New Roman"/>
          <w:i/>
          <w:lang w:val="pt-BR"/>
        </w:rPr>
        <w:t>T</w:t>
      </w:r>
      <w:r>
        <w:rPr>
          <w:rFonts w:ascii="Times New Roman" w:hAnsi="Times New Roman"/>
          <w:i/>
          <w:lang w:val="pt-BR"/>
        </w:rPr>
        <w:t>ermogravimétrica (TG/DTG)</w:t>
      </w:r>
    </w:p>
    <w:p w14:paraId="61F5886C" w14:textId="66D55C43" w:rsidR="00D306BF" w:rsidRDefault="001D18D9" w:rsidP="001D18D9">
      <w:pPr>
        <w:pStyle w:val="TAMainText"/>
        <w:rPr>
          <w:rFonts w:ascii="Times New Roman" w:hAnsi="Times New Roman"/>
          <w:iCs/>
          <w:lang w:val="pt-BR"/>
        </w:rPr>
      </w:pPr>
      <w:r w:rsidRPr="001D18D9">
        <w:rPr>
          <w:rFonts w:ascii="Times New Roman" w:hAnsi="Times New Roman"/>
          <w:iCs/>
          <w:lang w:val="pt-BR"/>
        </w:rPr>
        <w:t>A análise térmica de amostras sintetizadas é essencial, pois</w:t>
      </w:r>
      <w:r>
        <w:rPr>
          <w:rFonts w:ascii="Times New Roman" w:hAnsi="Times New Roman"/>
          <w:iCs/>
          <w:lang w:val="pt-BR"/>
        </w:rPr>
        <w:t xml:space="preserve"> </w:t>
      </w:r>
      <w:r w:rsidRPr="001D18D9">
        <w:rPr>
          <w:rFonts w:ascii="Times New Roman" w:hAnsi="Times New Roman"/>
          <w:iCs/>
          <w:lang w:val="pt-BR"/>
        </w:rPr>
        <w:t>auxilia na otimização do processo de preparação do material,</w:t>
      </w:r>
      <w:r>
        <w:rPr>
          <w:rFonts w:ascii="Times New Roman" w:hAnsi="Times New Roman"/>
          <w:iCs/>
          <w:lang w:val="pt-BR"/>
        </w:rPr>
        <w:t xml:space="preserve"> </w:t>
      </w:r>
      <w:r w:rsidRPr="001D18D9">
        <w:rPr>
          <w:rFonts w:ascii="Times New Roman" w:hAnsi="Times New Roman"/>
          <w:iCs/>
          <w:lang w:val="pt-BR"/>
        </w:rPr>
        <w:t>mostrando seu comportamento após ser submetido a várias temperaturas. Portanto, análises termogravimétricas TGA e DTGA foram realizadas a fim de acompanhar o processo de síntese d</w:t>
      </w:r>
      <w:r>
        <w:rPr>
          <w:rFonts w:ascii="Times New Roman" w:hAnsi="Times New Roman"/>
          <w:iCs/>
          <w:lang w:val="pt-BR"/>
        </w:rPr>
        <w:t>o</w:t>
      </w:r>
      <w:r w:rsidRPr="001D18D9">
        <w:rPr>
          <w:rFonts w:ascii="Times New Roman" w:hAnsi="Times New Roman"/>
          <w:iCs/>
          <w:lang w:val="pt-BR"/>
        </w:rPr>
        <w:t xml:space="preserve"> </w:t>
      </w:r>
      <w:r>
        <w:rPr>
          <w:rFonts w:ascii="Times New Roman" w:hAnsi="Times New Roman"/>
          <w:iCs/>
          <w:lang w:val="pt-BR"/>
        </w:rPr>
        <w:t xml:space="preserve">suporte </w:t>
      </w:r>
      <w:r w:rsidRPr="001D18D9">
        <w:rPr>
          <w:rFonts w:ascii="Times New Roman" w:hAnsi="Times New Roman"/>
          <w:iCs/>
          <w:lang w:val="pt-BR"/>
        </w:rPr>
        <w:t>(</w:t>
      </w:r>
      <w:r>
        <w:rPr>
          <w:rFonts w:ascii="Times New Roman" w:hAnsi="Times New Roman"/>
          <w:iCs/>
          <w:lang w:val="pt-BR"/>
        </w:rPr>
        <w:t>K</w:t>
      </w:r>
      <w:r w:rsidR="004D06E1">
        <w:rPr>
          <w:rFonts w:ascii="Times New Roman" w:hAnsi="Times New Roman"/>
          <w:iCs/>
          <w:lang w:val="pt-BR"/>
        </w:rPr>
        <w:t>IT</w:t>
      </w:r>
      <w:r>
        <w:rPr>
          <w:rFonts w:ascii="Times New Roman" w:hAnsi="Times New Roman"/>
          <w:iCs/>
          <w:lang w:val="pt-BR"/>
        </w:rPr>
        <w:t>-6</w:t>
      </w:r>
      <w:r w:rsidRPr="001D18D9">
        <w:rPr>
          <w:rFonts w:ascii="Times New Roman" w:hAnsi="Times New Roman"/>
          <w:iCs/>
          <w:lang w:val="pt-BR"/>
        </w:rPr>
        <w:t xml:space="preserve">) e catalisador </w:t>
      </w:r>
      <w:r>
        <w:rPr>
          <w:rFonts w:ascii="Times New Roman" w:hAnsi="Times New Roman"/>
          <w:iCs/>
          <w:lang w:val="pt-BR"/>
        </w:rPr>
        <w:t>Mo_K</w:t>
      </w:r>
      <w:r w:rsidR="004D06E1">
        <w:rPr>
          <w:rFonts w:ascii="Times New Roman" w:hAnsi="Times New Roman"/>
          <w:iCs/>
          <w:lang w:val="pt-BR"/>
        </w:rPr>
        <w:t>IT</w:t>
      </w:r>
      <w:r>
        <w:rPr>
          <w:rFonts w:ascii="Times New Roman" w:hAnsi="Times New Roman"/>
          <w:iCs/>
          <w:lang w:val="pt-BR"/>
        </w:rPr>
        <w:t>-6 10, 20 e 30%</w:t>
      </w:r>
      <w:r w:rsidRPr="001D18D9">
        <w:rPr>
          <w:rFonts w:ascii="Times New Roman" w:hAnsi="Times New Roman"/>
          <w:iCs/>
          <w:lang w:val="pt-BR"/>
        </w:rPr>
        <w:t xml:space="preserve">. </w:t>
      </w:r>
    </w:p>
    <w:p w14:paraId="114F5E45" w14:textId="569D864F" w:rsidR="00C03DD3" w:rsidRPr="00C03DD3" w:rsidRDefault="00C03DD3" w:rsidP="00C03DD3">
      <w:pPr>
        <w:pStyle w:val="TAMainText"/>
        <w:rPr>
          <w:rFonts w:ascii="Times New Roman" w:hAnsi="Times New Roman"/>
          <w:i/>
          <w:iCs/>
          <w:lang w:val="pt-BR"/>
        </w:rPr>
      </w:pPr>
      <w:r w:rsidRPr="00C03DD3">
        <w:rPr>
          <w:rFonts w:ascii="Times New Roman" w:hAnsi="Times New Roman"/>
          <w:i/>
          <w:iCs/>
          <w:lang w:val="pt-BR"/>
        </w:rPr>
        <w:t>Reação de transesterificação</w:t>
      </w:r>
    </w:p>
    <w:p w14:paraId="2CE0423A" w14:textId="7A70CC1E" w:rsidR="00C03DD3" w:rsidRPr="00C03DD3" w:rsidRDefault="00C03DD3" w:rsidP="00C03DD3">
      <w:pPr>
        <w:pStyle w:val="TAMainText"/>
        <w:ind w:firstLine="0"/>
        <w:rPr>
          <w:rFonts w:ascii="Times New Roman" w:hAnsi="Times New Roman"/>
          <w:iCs/>
          <w:lang w:val="pt-BR"/>
        </w:rPr>
      </w:pPr>
      <w:r w:rsidRPr="00C03DD3">
        <w:rPr>
          <w:rFonts w:ascii="Times New Roman" w:hAnsi="Times New Roman"/>
          <w:iCs/>
          <w:lang w:val="pt-BR"/>
        </w:rPr>
        <w:t xml:space="preserve">Os testes catalíticos foram conduzidos em </w:t>
      </w:r>
      <w:proofErr w:type="spellStart"/>
      <w:r w:rsidRPr="00C03DD3">
        <w:rPr>
          <w:rFonts w:ascii="Times New Roman" w:hAnsi="Times New Roman"/>
          <w:iCs/>
          <w:lang w:val="pt-BR"/>
        </w:rPr>
        <w:t>multireator</w:t>
      </w:r>
      <w:proofErr w:type="spellEnd"/>
      <w:r w:rsidRPr="00C03DD3">
        <w:rPr>
          <w:rFonts w:ascii="Times New Roman" w:hAnsi="Times New Roman"/>
          <w:iCs/>
          <w:lang w:val="pt-BR"/>
        </w:rPr>
        <w:t xml:space="preserve"> </w:t>
      </w:r>
      <w:proofErr w:type="spellStart"/>
      <w:r w:rsidRPr="00C03DD3">
        <w:rPr>
          <w:rFonts w:ascii="Times New Roman" w:hAnsi="Times New Roman"/>
          <w:iCs/>
          <w:lang w:val="pt-BR"/>
        </w:rPr>
        <w:t>Parr</w:t>
      </w:r>
      <w:proofErr w:type="spellEnd"/>
      <w:r w:rsidRPr="00C03DD3">
        <w:rPr>
          <w:rFonts w:ascii="Times New Roman" w:hAnsi="Times New Roman"/>
          <w:iCs/>
          <w:lang w:val="pt-BR"/>
        </w:rPr>
        <w:t xml:space="preserve"> 5000, com agitação fixa em </w:t>
      </w:r>
      <w:r>
        <w:rPr>
          <w:rFonts w:ascii="Times New Roman" w:hAnsi="Times New Roman"/>
          <w:iCs/>
          <w:lang w:val="pt-BR"/>
        </w:rPr>
        <w:t>8</w:t>
      </w:r>
      <w:r w:rsidRPr="00C03DD3">
        <w:rPr>
          <w:rFonts w:ascii="Times New Roman" w:hAnsi="Times New Roman"/>
          <w:iCs/>
          <w:lang w:val="pt-BR"/>
        </w:rPr>
        <w:t xml:space="preserve">00 rpm, utilizando óleo de soja e metanol. Os biodieseis foram avaliados quanto ao seu teor de éster </w:t>
      </w:r>
      <w:r w:rsidR="00EC01A6">
        <w:rPr>
          <w:rFonts w:ascii="Times New Roman" w:hAnsi="Times New Roman"/>
          <w:iCs/>
          <w:lang w:val="pt-BR"/>
        </w:rPr>
        <w:t>por cromatografia com fase gasosa</w:t>
      </w:r>
      <w:r w:rsidRPr="00C03DD3">
        <w:rPr>
          <w:rFonts w:ascii="Times New Roman" w:hAnsi="Times New Roman"/>
          <w:iCs/>
          <w:lang w:val="pt-BR"/>
        </w:rPr>
        <w:t>.</w:t>
      </w:r>
    </w:p>
    <w:p w14:paraId="21B24616" w14:textId="77777777" w:rsidR="00C03DD3" w:rsidRPr="001D18D9" w:rsidRDefault="00C03DD3" w:rsidP="00C03DD3">
      <w:pPr>
        <w:pStyle w:val="TAMainText"/>
        <w:ind w:firstLine="0"/>
        <w:rPr>
          <w:rFonts w:ascii="Times New Roman" w:hAnsi="Times New Roman"/>
          <w:iCs/>
          <w:lang w:val="pt-BR"/>
        </w:rPr>
      </w:pPr>
    </w:p>
    <w:p w14:paraId="136BD1AC" w14:textId="40100953" w:rsidR="00EA4E1B" w:rsidRPr="001F25B2" w:rsidRDefault="00C03DD3" w:rsidP="00EA4E1B">
      <w:pPr>
        <w:pStyle w:val="Ttulo2"/>
        <w:rPr>
          <w:rFonts w:ascii="Helvetica" w:hAnsi="Helvetica" w:cs="Helvetica"/>
          <w:sz w:val="24"/>
          <w:szCs w:val="24"/>
        </w:rPr>
      </w:pPr>
      <w:r>
        <w:rPr>
          <w:noProof/>
        </w:rPr>
        <w:drawing>
          <wp:anchor distT="0" distB="0" distL="114300" distR="114300" simplePos="0" relativeHeight="251664383" behindDoc="1" locked="0" layoutInCell="1" allowOverlap="1" wp14:anchorId="2A0CAA78" wp14:editId="0076B649">
            <wp:simplePos x="0" y="0"/>
            <wp:positionH relativeFrom="column">
              <wp:posOffset>-22225</wp:posOffset>
            </wp:positionH>
            <wp:positionV relativeFrom="paragraph">
              <wp:posOffset>367665</wp:posOffset>
            </wp:positionV>
            <wp:extent cx="3051810" cy="3117850"/>
            <wp:effectExtent l="0" t="0" r="0" b="6350"/>
            <wp:wrapTight wrapText="bothSides">
              <wp:wrapPolygon edited="0">
                <wp:start x="0" y="0"/>
                <wp:lineTo x="0" y="21512"/>
                <wp:lineTo x="21438" y="21512"/>
                <wp:lineTo x="21438" y="0"/>
                <wp:lineTo x="0" y="0"/>
              </wp:wrapPolygon>
            </wp:wrapTight>
            <wp:docPr id="10055504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1810" cy="311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4E1B" w:rsidRPr="001F25B2">
        <w:rPr>
          <w:rFonts w:ascii="Helvetica" w:hAnsi="Helvetica" w:cs="Helvetica"/>
          <w:sz w:val="24"/>
          <w:szCs w:val="24"/>
        </w:rPr>
        <w:t>Resultados e Discussão</w:t>
      </w:r>
    </w:p>
    <w:p w14:paraId="4E7A39A5" w14:textId="35EEA7CB" w:rsidR="00A52B65" w:rsidRDefault="0095373D" w:rsidP="00C03DD3">
      <w:pPr>
        <w:pStyle w:val="TAMainText"/>
        <w:ind w:firstLine="0"/>
        <w:jc w:val="center"/>
        <w:rPr>
          <w:rFonts w:ascii="Times New Roman" w:hAnsi="Times New Roman"/>
          <w:lang w:val="pt-BR"/>
        </w:rPr>
      </w:pPr>
      <w:r w:rsidRPr="00060E17">
        <w:rPr>
          <w:rFonts w:ascii="Times New Roman" w:hAnsi="Times New Roman"/>
          <w:b/>
          <w:color w:val="FFFFFF" w:themeColor="background1"/>
          <w:lang w:val="pt-BR"/>
        </w:rPr>
        <w:t>gura 1.</w:t>
      </w:r>
      <w:r w:rsidRPr="00060E17">
        <w:rPr>
          <w:rFonts w:ascii="Times New Roman" w:hAnsi="Times New Roman"/>
          <w:color w:val="FFFFFF" w:themeColor="background1"/>
          <w:lang w:val="pt-BR"/>
        </w:rPr>
        <w:t xml:space="preserve"> Inserir aqui título da figura. A numeração</w:t>
      </w:r>
      <w:r w:rsidR="00060E17">
        <w:rPr>
          <w:rFonts w:ascii="Times New Roman" w:hAnsi="Times New Roman"/>
          <w:lang w:val="pt-BR"/>
        </w:rPr>
        <w:t xml:space="preserve">   </w:t>
      </w:r>
      <w:r w:rsidRPr="0095373D">
        <w:rPr>
          <w:rFonts w:ascii="Times New Roman" w:hAnsi="Times New Roman"/>
          <w:lang w:val="pt-BR"/>
        </w:rPr>
        <w:t xml:space="preserve"> </w:t>
      </w:r>
      <w:r w:rsidR="00C03DD3">
        <w:rPr>
          <w:rFonts w:ascii="Times New Roman" w:hAnsi="Times New Roman"/>
          <w:lang w:val="pt-BR"/>
        </w:rPr>
        <w:t xml:space="preserve">          </w:t>
      </w:r>
      <w:r w:rsidR="00394467" w:rsidRPr="00394467">
        <w:rPr>
          <w:rFonts w:ascii="Times New Roman" w:hAnsi="Times New Roman"/>
          <w:b/>
          <w:lang w:val="pt-BR"/>
        </w:rPr>
        <w:t>Figura 1.</w:t>
      </w:r>
      <w:r w:rsidR="00394467" w:rsidRPr="00394467">
        <w:rPr>
          <w:rFonts w:ascii="Times New Roman" w:hAnsi="Times New Roman"/>
          <w:lang w:val="pt-BR"/>
        </w:rPr>
        <w:t xml:space="preserve"> </w:t>
      </w:r>
      <w:r w:rsidR="00060E17">
        <w:rPr>
          <w:rFonts w:ascii="Times New Roman" w:hAnsi="Times New Roman"/>
          <w:lang w:val="pt-BR"/>
        </w:rPr>
        <w:t>Microscopia Eletrônica de Varredura</w:t>
      </w:r>
      <w:r w:rsidR="005177E3">
        <w:rPr>
          <w:rFonts w:ascii="Times New Roman" w:hAnsi="Times New Roman"/>
          <w:lang w:val="pt-BR"/>
        </w:rPr>
        <w:t xml:space="preserve"> Kit-6</w:t>
      </w:r>
    </w:p>
    <w:p w14:paraId="40462F44" w14:textId="77777777" w:rsidR="00FE078D" w:rsidRDefault="00FE078D" w:rsidP="00FE078D">
      <w:pPr>
        <w:pStyle w:val="TAMainText"/>
        <w:rPr>
          <w:rFonts w:ascii="Times New Roman" w:hAnsi="Times New Roman"/>
          <w:lang w:val="pt-BR"/>
        </w:rPr>
      </w:pPr>
    </w:p>
    <w:p w14:paraId="5848EEAB" w14:textId="5EA81B0A" w:rsidR="00FE078D" w:rsidRDefault="00390E96" w:rsidP="00FE078D">
      <w:pPr>
        <w:pStyle w:val="TAMainText"/>
        <w:rPr>
          <w:rFonts w:ascii="Times New Roman" w:hAnsi="Times New Roman"/>
          <w:lang w:val="pt-BR"/>
        </w:rPr>
      </w:pPr>
      <w:r>
        <w:rPr>
          <w:rFonts w:ascii="Times New Roman" w:hAnsi="Times New Roman"/>
          <w:lang w:val="pt-BR"/>
        </w:rPr>
        <w:t xml:space="preserve">A </w:t>
      </w:r>
      <w:r w:rsidR="00F54040">
        <w:rPr>
          <w:rFonts w:ascii="Times New Roman" w:hAnsi="Times New Roman"/>
          <w:lang w:val="pt-BR"/>
        </w:rPr>
        <w:t>F</w:t>
      </w:r>
      <w:r>
        <w:rPr>
          <w:rFonts w:ascii="Times New Roman" w:hAnsi="Times New Roman"/>
          <w:lang w:val="pt-BR"/>
        </w:rPr>
        <w:t>igura 1 mostra</w:t>
      </w:r>
      <w:r w:rsidR="00FE078D">
        <w:rPr>
          <w:rFonts w:ascii="Times New Roman" w:hAnsi="Times New Roman"/>
          <w:lang w:val="pt-BR"/>
        </w:rPr>
        <w:t xml:space="preserve"> </w:t>
      </w:r>
      <w:r>
        <w:rPr>
          <w:rFonts w:ascii="Times New Roman" w:hAnsi="Times New Roman"/>
          <w:lang w:val="pt-BR"/>
        </w:rPr>
        <w:t>que a</w:t>
      </w:r>
      <w:r w:rsidR="00FE078D">
        <w:rPr>
          <w:rFonts w:ascii="Times New Roman" w:hAnsi="Times New Roman"/>
          <w:lang w:val="pt-BR"/>
        </w:rPr>
        <w:t xml:space="preserve"> morfologia do K</w:t>
      </w:r>
      <w:r w:rsidR="004D06E1">
        <w:rPr>
          <w:rFonts w:ascii="Times New Roman" w:hAnsi="Times New Roman"/>
          <w:lang w:val="pt-BR"/>
        </w:rPr>
        <w:t>IT</w:t>
      </w:r>
      <w:r w:rsidR="00FE078D">
        <w:rPr>
          <w:rFonts w:ascii="Times New Roman" w:hAnsi="Times New Roman"/>
          <w:lang w:val="pt-BR"/>
        </w:rPr>
        <w:t>-6</w:t>
      </w:r>
      <w:r w:rsidR="00FE078D" w:rsidRPr="00FE078D">
        <w:rPr>
          <w:rFonts w:ascii="Times New Roman" w:hAnsi="Times New Roman"/>
          <w:lang w:val="pt-BR"/>
        </w:rPr>
        <w:t xml:space="preserve"> </w:t>
      </w:r>
      <w:r>
        <w:rPr>
          <w:rFonts w:ascii="Times New Roman" w:hAnsi="Times New Roman"/>
          <w:lang w:val="pt-BR"/>
        </w:rPr>
        <w:t xml:space="preserve">corresponde a estrutura </w:t>
      </w:r>
      <w:r w:rsidR="00FE078D" w:rsidRPr="00FE078D">
        <w:rPr>
          <w:rFonts w:ascii="Times New Roman" w:hAnsi="Times New Roman"/>
          <w:lang w:val="pt-BR"/>
        </w:rPr>
        <w:t>porosa</w:t>
      </w:r>
      <w:r w:rsidR="00FE078D">
        <w:rPr>
          <w:rFonts w:ascii="Times New Roman" w:hAnsi="Times New Roman"/>
          <w:lang w:val="pt-BR"/>
        </w:rPr>
        <w:t xml:space="preserve">. A imagem </w:t>
      </w:r>
      <w:r w:rsidR="00FE078D" w:rsidRPr="00FE078D">
        <w:rPr>
          <w:rFonts w:ascii="Times New Roman" w:hAnsi="Times New Roman"/>
          <w:lang w:val="pt-BR"/>
        </w:rPr>
        <w:t>mostr</w:t>
      </w:r>
      <w:r w:rsidR="00FE078D">
        <w:rPr>
          <w:rFonts w:ascii="Times New Roman" w:hAnsi="Times New Roman"/>
          <w:lang w:val="pt-BR"/>
        </w:rPr>
        <w:t>a</w:t>
      </w:r>
      <w:r w:rsidR="00FE078D" w:rsidRPr="00FE078D">
        <w:rPr>
          <w:rFonts w:ascii="Times New Roman" w:hAnsi="Times New Roman"/>
          <w:lang w:val="pt-BR"/>
        </w:rPr>
        <w:t xml:space="preserve"> espaçamento de 0,508 </w:t>
      </w:r>
      <w:proofErr w:type="spellStart"/>
      <w:r w:rsidR="00FE078D" w:rsidRPr="00FE078D">
        <w:rPr>
          <w:rFonts w:ascii="Times New Roman" w:hAnsi="Times New Roman"/>
          <w:lang w:val="pt-BR"/>
        </w:rPr>
        <w:t>nm</w:t>
      </w:r>
      <w:proofErr w:type="spellEnd"/>
      <w:r w:rsidR="00FE078D" w:rsidRPr="00FE078D">
        <w:rPr>
          <w:rFonts w:ascii="Times New Roman" w:hAnsi="Times New Roman"/>
          <w:lang w:val="pt-BR"/>
        </w:rPr>
        <w:t xml:space="preserve"> e 0,279 </w:t>
      </w:r>
      <w:proofErr w:type="spellStart"/>
      <w:r w:rsidR="00FE078D" w:rsidRPr="00FE078D">
        <w:rPr>
          <w:rFonts w:ascii="Times New Roman" w:hAnsi="Times New Roman"/>
          <w:lang w:val="pt-BR"/>
        </w:rPr>
        <w:t>nm</w:t>
      </w:r>
      <w:proofErr w:type="spellEnd"/>
      <w:r w:rsidR="00FE078D">
        <w:rPr>
          <w:rFonts w:ascii="Times New Roman" w:hAnsi="Times New Roman"/>
          <w:lang w:val="pt-BR"/>
        </w:rPr>
        <w:t>.</w:t>
      </w:r>
      <w:r w:rsidR="00FE078D" w:rsidRPr="00FE078D">
        <w:rPr>
          <w:rFonts w:ascii="Times New Roman" w:hAnsi="Times New Roman"/>
          <w:lang w:val="pt-BR"/>
        </w:rPr>
        <w:t xml:space="preserve"> </w:t>
      </w:r>
      <w:r>
        <w:rPr>
          <w:rFonts w:ascii="Times New Roman" w:hAnsi="Times New Roman"/>
          <w:lang w:val="pt-BR"/>
        </w:rPr>
        <w:t>Essas características morfológicas são semelhantes as relatadas em estudos com foco na síntese do suporte.</w:t>
      </w:r>
    </w:p>
    <w:p w14:paraId="19DE4F09" w14:textId="307CBFEC" w:rsidR="007B4680" w:rsidRPr="007B4680" w:rsidRDefault="007B4680" w:rsidP="007B4680">
      <w:pPr>
        <w:pStyle w:val="TAMainText"/>
        <w:rPr>
          <w:rFonts w:ascii="Times New Roman" w:hAnsi="Times New Roman"/>
          <w:iCs/>
          <w:lang w:val="pt-BR"/>
        </w:rPr>
      </w:pPr>
      <w:r w:rsidRPr="007B4680">
        <w:rPr>
          <w:rFonts w:ascii="Times New Roman" w:hAnsi="Times New Roman"/>
          <w:iCs/>
          <w:lang w:val="pt-BR"/>
        </w:rPr>
        <w:t>A partir da análise termogravimétrica</w:t>
      </w:r>
      <w:r>
        <w:rPr>
          <w:rFonts w:ascii="Times New Roman" w:hAnsi="Times New Roman"/>
          <w:iCs/>
          <w:lang w:val="pt-BR"/>
        </w:rPr>
        <w:t xml:space="preserve"> (</w:t>
      </w:r>
      <w:r w:rsidR="00F54040">
        <w:rPr>
          <w:rFonts w:ascii="Times New Roman" w:hAnsi="Times New Roman"/>
          <w:iCs/>
          <w:lang w:val="pt-BR"/>
        </w:rPr>
        <w:t>F</w:t>
      </w:r>
      <w:r>
        <w:rPr>
          <w:rFonts w:ascii="Times New Roman" w:hAnsi="Times New Roman"/>
          <w:iCs/>
          <w:lang w:val="pt-BR"/>
        </w:rPr>
        <w:t>igura 2),</w:t>
      </w:r>
      <w:r w:rsidRPr="007B4680">
        <w:rPr>
          <w:rFonts w:ascii="Times New Roman" w:hAnsi="Times New Roman"/>
          <w:iCs/>
          <w:lang w:val="pt-BR"/>
        </w:rPr>
        <w:t xml:space="preserve"> nos gráficos (</w:t>
      </w:r>
      <w:proofErr w:type="spellStart"/>
      <w:proofErr w:type="gramStart"/>
      <w:r w:rsidRPr="007B4680">
        <w:rPr>
          <w:rFonts w:ascii="Times New Roman" w:hAnsi="Times New Roman"/>
          <w:iCs/>
          <w:lang w:val="pt-BR"/>
        </w:rPr>
        <w:t>a,b</w:t>
      </w:r>
      <w:proofErr w:type="gramEnd"/>
      <w:r w:rsidRPr="007B4680">
        <w:rPr>
          <w:rFonts w:ascii="Times New Roman" w:hAnsi="Times New Roman"/>
          <w:iCs/>
          <w:lang w:val="pt-BR"/>
        </w:rPr>
        <w:t>,c,d</w:t>
      </w:r>
      <w:proofErr w:type="spellEnd"/>
      <w:r w:rsidRPr="007B4680">
        <w:rPr>
          <w:rFonts w:ascii="Times New Roman" w:hAnsi="Times New Roman"/>
          <w:iCs/>
          <w:lang w:val="pt-BR"/>
        </w:rPr>
        <w:t>) temos que no primeiro evento 1, ocorre a eliminação de moléculas de água adsorvidas e estruturais. E nos gráficos (c, d) o segundo evento 2 corresponde ao ponto de fusão do material e sua sublimação, logo, o produto obtido é termicamente estável e a temperatura de calcinação foi adequada para o processo de obtenção do suporte e do catalisador.</w:t>
      </w:r>
    </w:p>
    <w:p w14:paraId="76012AF6" w14:textId="77777777" w:rsidR="004F3174" w:rsidRDefault="004F3174" w:rsidP="00FE078D">
      <w:pPr>
        <w:pStyle w:val="TAMainText"/>
        <w:rPr>
          <w:rFonts w:ascii="Times New Roman" w:hAnsi="Times New Roman"/>
          <w:lang w:val="pt-BR"/>
        </w:rPr>
      </w:pPr>
    </w:p>
    <w:p w14:paraId="6E0AC2AD" w14:textId="0FB76C7A" w:rsidR="00A52B65" w:rsidRPr="00EC01A6" w:rsidRDefault="00390E96" w:rsidP="001278C8">
      <w:pPr>
        <w:pStyle w:val="TAMainText"/>
        <w:ind w:firstLine="187"/>
        <w:rPr>
          <w:rFonts w:ascii="Times New Roman" w:hAnsi="Times New Roman"/>
          <w:lang w:val="pt-BR"/>
        </w:rPr>
      </w:pPr>
      <w:r>
        <w:rPr>
          <w:noProof/>
        </w:rPr>
        <w:drawing>
          <wp:anchor distT="0" distB="0" distL="114300" distR="114300" simplePos="0" relativeHeight="251662335" behindDoc="1" locked="0" layoutInCell="1" allowOverlap="1" wp14:anchorId="4B2F126B" wp14:editId="6A74BCEC">
            <wp:simplePos x="0" y="0"/>
            <wp:positionH relativeFrom="column">
              <wp:align>left</wp:align>
            </wp:positionH>
            <wp:positionV relativeFrom="paragraph">
              <wp:posOffset>-6684645</wp:posOffset>
            </wp:positionV>
            <wp:extent cx="3194050" cy="2501900"/>
            <wp:effectExtent l="0" t="0" r="6350" b="2540"/>
            <wp:wrapSquare wrapText="bothSides"/>
            <wp:docPr id="102858387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4050" cy="250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373D" w:rsidRPr="0095373D">
        <w:rPr>
          <w:rFonts w:ascii="Times New Roman" w:hAnsi="Times New Roman"/>
          <w:b/>
          <w:lang w:val="pt-BR"/>
        </w:rPr>
        <w:t xml:space="preserve">Figura </w:t>
      </w:r>
      <w:r w:rsidR="0095373D">
        <w:rPr>
          <w:rFonts w:ascii="Times New Roman" w:hAnsi="Times New Roman"/>
          <w:b/>
          <w:lang w:val="pt-BR"/>
        </w:rPr>
        <w:t>2</w:t>
      </w:r>
      <w:r w:rsidR="0095373D" w:rsidRPr="0095373D">
        <w:rPr>
          <w:rFonts w:ascii="Times New Roman" w:hAnsi="Times New Roman"/>
          <w:b/>
          <w:lang w:val="pt-BR"/>
        </w:rPr>
        <w:t>.</w:t>
      </w:r>
      <w:r w:rsidR="0095373D" w:rsidRPr="0095373D">
        <w:rPr>
          <w:rFonts w:ascii="Times New Roman" w:hAnsi="Times New Roman"/>
          <w:lang w:val="pt-BR"/>
        </w:rPr>
        <w:t xml:space="preserve"> </w:t>
      </w:r>
      <w:r w:rsidR="00060E17">
        <w:rPr>
          <w:rFonts w:ascii="Times New Roman" w:hAnsi="Times New Roman"/>
          <w:lang w:val="pt-BR"/>
        </w:rPr>
        <w:t>Análise Termogravimétrica.</w:t>
      </w:r>
      <w:r w:rsidR="005177E3">
        <w:rPr>
          <w:rFonts w:ascii="Times New Roman" w:hAnsi="Times New Roman"/>
          <w:lang w:val="pt-BR"/>
        </w:rPr>
        <w:t xml:space="preserve"> </w:t>
      </w:r>
      <w:r w:rsidR="00C03DD3" w:rsidRPr="00EC01A6">
        <w:rPr>
          <w:rFonts w:ascii="Times New Roman" w:hAnsi="Times New Roman"/>
          <w:lang w:val="pt-BR"/>
        </w:rPr>
        <w:t>K</w:t>
      </w:r>
      <w:r w:rsidR="004D06E1" w:rsidRPr="00EC01A6">
        <w:rPr>
          <w:rFonts w:ascii="Times New Roman" w:hAnsi="Times New Roman"/>
          <w:lang w:val="pt-BR"/>
        </w:rPr>
        <w:t>IT</w:t>
      </w:r>
      <w:r w:rsidR="00C03DD3" w:rsidRPr="00EC01A6">
        <w:rPr>
          <w:rFonts w:ascii="Times New Roman" w:hAnsi="Times New Roman"/>
          <w:lang w:val="pt-BR"/>
        </w:rPr>
        <w:t xml:space="preserve">-6, </w:t>
      </w:r>
      <w:proofErr w:type="spellStart"/>
      <w:r w:rsidR="005177E3" w:rsidRPr="00EC01A6">
        <w:rPr>
          <w:rFonts w:ascii="Times New Roman" w:hAnsi="Times New Roman"/>
          <w:lang w:val="pt-BR"/>
        </w:rPr>
        <w:t>Mo</w:t>
      </w:r>
      <w:proofErr w:type="spellEnd"/>
      <w:r w:rsidR="004D06E1" w:rsidRPr="00EC01A6">
        <w:rPr>
          <w:rFonts w:ascii="Times New Roman" w:hAnsi="Times New Roman"/>
          <w:lang w:val="pt-BR"/>
        </w:rPr>
        <w:t>/</w:t>
      </w:r>
      <w:r w:rsidR="005177E3" w:rsidRPr="00EC01A6">
        <w:rPr>
          <w:rFonts w:ascii="Times New Roman" w:hAnsi="Times New Roman"/>
          <w:lang w:val="pt-BR"/>
        </w:rPr>
        <w:t>K</w:t>
      </w:r>
      <w:r w:rsidR="004D06E1" w:rsidRPr="00EC01A6">
        <w:rPr>
          <w:rFonts w:ascii="Times New Roman" w:hAnsi="Times New Roman"/>
          <w:lang w:val="pt-BR"/>
        </w:rPr>
        <w:t>IT</w:t>
      </w:r>
      <w:r w:rsidR="005177E3" w:rsidRPr="00EC01A6">
        <w:rPr>
          <w:rFonts w:ascii="Times New Roman" w:hAnsi="Times New Roman"/>
          <w:lang w:val="pt-BR"/>
        </w:rPr>
        <w:t xml:space="preserve">-6_10%, </w:t>
      </w:r>
      <w:proofErr w:type="spellStart"/>
      <w:r w:rsidR="005177E3" w:rsidRPr="00EC01A6">
        <w:rPr>
          <w:rFonts w:ascii="Times New Roman" w:hAnsi="Times New Roman"/>
          <w:lang w:val="pt-BR"/>
        </w:rPr>
        <w:t>Mo</w:t>
      </w:r>
      <w:proofErr w:type="spellEnd"/>
      <w:r w:rsidR="004D06E1" w:rsidRPr="00EC01A6">
        <w:rPr>
          <w:rFonts w:ascii="Times New Roman" w:hAnsi="Times New Roman"/>
          <w:lang w:val="pt-BR"/>
        </w:rPr>
        <w:t>/</w:t>
      </w:r>
      <w:r w:rsidR="005177E3" w:rsidRPr="00EC01A6">
        <w:rPr>
          <w:rFonts w:ascii="Times New Roman" w:hAnsi="Times New Roman"/>
          <w:lang w:val="pt-BR"/>
        </w:rPr>
        <w:t>K</w:t>
      </w:r>
      <w:r w:rsidR="004D06E1" w:rsidRPr="00EC01A6">
        <w:rPr>
          <w:rFonts w:ascii="Times New Roman" w:hAnsi="Times New Roman"/>
          <w:lang w:val="pt-BR"/>
        </w:rPr>
        <w:t>IT</w:t>
      </w:r>
      <w:r w:rsidR="005177E3" w:rsidRPr="00EC01A6">
        <w:rPr>
          <w:rFonts w:ascii="Times New Roman" w:hAnsi="Times New Roman"/>
          <w:lang w:val="pt-BR"/>
        </w:rPr>
        <w:t xml:space="preserve">-6_20% e </w:t>
      </w:r>
      <w:proofErr w:type="spellStart"/>
      <w:r w:rsidR="005177E3" w:rsidRPr="00EC01A6">
        <w:rPr>
          <w:rFonts w:ascii="Times New Roman" w:hAnsi="Times New Roman"/>
          <w:lang w:val="pt-BR"/>
        </w:rPr>
        <w:t>Mo</w:t>
      </w:r>
      <w:proofErr w:type="spellEnd"/>
      <w:r w:rsidR="004D06E1" w:rsidRPr="00EC01A6">
        <w:rPr>
          <w:rFonts w:ascii="Times New Roman" w:hAnsi="Times New Roman"/>
          <w:lang w:val="pt-BR"/>
        </w:rPr>
        <w:t>/</w:t>
      </w:r>
      <w:r w:rsidR="005177E3" w:rsidRPr="00EC01A6">
        <w:rPr>
          <w:rFonts w:ascii="Times New Roman" w:hAnsi="Times New Roman"/>
          <w:lang w:val="pt-BR"/>
        </w:rPr>
        <w:t>K</w:t>
      </w:r>
      <w:r w:rsidR="004D06E1" w:rsidRPr="00EC01A6">
        <w:rPr>
          <w:rFonts w:ascii="Times New Roman" w:hAnsi="Times New Roman"/>
          <w:lang w:val="pt-BR"/>
        </w:rPr>
        <w:t>IT</w:t>
      </w:r>
      <w:r w:rsidR="005177E3" w:rsidRPr="00EC01A6">
        <w:rPr>
          <w:rFonts w:ascii="Times New Roman" w:hAnsi="Times New Roman"/>
          <w:lang w:val="pt-BR"/>
        </w:rPr>
        <w:t>-6_30%.</w:t>
      </w:r>
    </w:p>
    <w:p w14:paraId="0C49F81C" w14:textId="77777777" w:rsidR="000A0509" w:rsidRPr="00EC01A6" w:rsidRDefault="000A0509" w:rsidP="00C03DD3">
      <w:pPr>
        <w:pStyle w:val="TAMainText"/>
        <w:ind w:firstLine="187"/>
        <w:jc w:val="center"/>
        <w:rPr>
          <w:rFonts w:ascii="Times New Roman" w:hAnsi="Times New Roman"/>
          <w:lang w:val="pt-BR"/>
        </w:rPr>
      </w:pPr>
    </w:p>
    <w:p w14:paraId="3EBFE077" w14:textId="689BFAB7" w:rsidR="000A0509" w:rsidRPr="000A0509" w:rsidRDefault="000A0509" w:rsidP="00C03DD3">
      <w:pPr>
        <w:pStyle w:val="TAMainText"/>
        <w:ind w:firstLine="187"/>
        <w:jc w:val="center"/>
        <w:rPr>
          <w:rFonts w:ascii="Times New Roman" w:hAnsi="Times New Roman"/>
          <w:b/>
          <w:bCs/>
          <w:lang w:val="pt-BR"/>
        </w:rPr>
      </w:pPr>
      <w:r w:rsidRPr="000A0509">
        <w:rPr>
          <w:rFonts w:ascii="Times New Roman" w:hAnsi="Times New Roman"/>
          <w:b/>
          <w:bCs/>
          <w:lang w:val="pt-BR"/>
        </w:rPr>
        <w:t>Condições reacionais</w:t>
      </w:r>
    </w:p>
    <w:p w14:paraId="50944003" w14:textId="55295BE6" w:rsidR="002C5C4C" w:rsidRDefault="000A0509" w:rsidP="000A0509">
      <w:pPr>
        <w:pStyle w:val="TAMainText"/>
        <w:numPr>
          <w:ilvl w:val="0"/>
          <w:numId w:val="2"/>
        </w:numPr>
        <w:jc w:val="left"/>
        <w:rPr>
          <w:rFonts w:ascii="Times New Roman" w:hAnsi="Times New Roman"/>
          <w:lang w:val="pt-BR"/>
        </w:rPr>
      </w:pPr>
      <w:r>
        <w:rPr>
          <w:rFonts w:ascii="Times New Roman" w:hAnsi="Times New Roman"/>
          <w:lang w:val="pt-BR"/>
        </w:rPr>
        <w:t>Temperatura de reação:150 ºC</w:t>
      </w:r>
    </w:p>
    <w:p w14:paraId="4BC8F690" w14:textId="1C5B797B" w:rsidR="000A0509" w:rsidRDefault="000A0509" w:rsidP="000A0509">
      <w:pPr>
        <w:pStyle w:val="TAMainText"/>
        <w:numPr>
          <w:ilvl w:val="0"/>
          <w:numId w:val="2"/>
        </w:numPr>
        <w:jc w:val="left"/>
        <w:rPr>
          <w:rFonts w:ascii="Times New Roman" w:hAnsi="Times New Roman"/>
          <w:lang w:val="pt-BR"/>
        </w:rPr>
      </w:pPr>
      <w:r>
        <w:rPr>
          <w:rFonts w:ascii="Times New Roman" w:hAnsi="Times New Roman"/>
          <w:lang w:val="pt-BR"/>
        </w:rPr>
        <w:t>Razão molar: 15:1</w:t>
      </w:r>
    </w:p>
    <w:p w14:paraId="28EE420D" w14:textId="2F23A6E8" w:rsidR="000A0509" w:rsidRDefault="000A0509" w:rsidP="000A0509">
      <w:pPr>
        <w:pStyle w:val="TAMainText"/>
        <w:numPr>
          <w:ilvl w:val="0"/>
          <w:numId w:val="2"/>
        </w:numPr>
        <w:jc w:val="left"/>
        <w:rPr>
          <w:rFonts w:ascii="Times New Roman" w:hAnsi="Times New Roman"/>
          <w:lang w:val="pt-BR"/>
        </w:rPr>
      </w:pPr>
      <w:r>
        <w:rPr>
          <w:rFonts w:ascii="Times New Roman" w:hAnsi="Times New Roman"/>
          <w:lang w:val="pt-BR"/>
        </w:rPr>
        <w:t>Concentração de catalisador: 10%</w:t>
      </w:r>
    </w:p>
    <w:p w14:paraId="3940CB3F" w14:textId="459C4CF0" w:rsidR="000A0509" w:rsidRDefault="000A0509" w:rsidP="000A0509">
      <w:pPr>
        <w:pStyle w:val="TAMainText"/>
        <w:numPr>
          <w:ilvl w:val="0"/>
          <w:numId w:val="2"/>
        </w:numPr>
        <w:jc w:val="left"/>
        <w:rPr>
          <w:rFonts w:ascii="Times New Roman" w:hAnsi="Times New Roman"/>
          <w:lang w:val="pt-BR"/>
        </w:rPr>
      </w:pPr>
      <w:r>
        <w:rPr>
          <w:rFonts w:ascii="Times New Roman" w:hAnsi="Times New Roman"/>
          <w:lang w:val="pt-BR"/>
        </w:rPr>
        <w:t xml:space="preserve">Tempo reacional: 3 h </w:t>
      </w:r>
    </w:p>
    <w:p w14:paraId="1A0B247F" w14:textId="424ADA57" w:rsidR="001E3540" w:rsidRPr="001E3540" w:rsidRDefault="001E3540" w:rsidP="001E3540">
      <w:pPr>
        <w:pStyle w:val="TAMainText"/>
        <w:rPr>
          <w:rFonts w:ascii="Times New Roman" w:hAnsi="Times New Roman"/>
          <w:sz w:val="18"/>
          <w:szCs w:val="18"/>
          <w:lang w:val="pt-BR"/>
        </w:rPr>
      </w:pPr>
      <w:r w:rsidRPr="001E3540">
        <w:rPr>
          <w:rFonts w:ascii="Times New Roman" w:hAnsi="Times New Roman"/>
          <w:b/>
          <w:sz w:val="18"/>
          <w:szCs w:val="18"/>
          <w:lang w:val="pt-BR"/>
        </w:rPr>
        <w:t>Tabela 1.</w:t>
      </w:r>
      <w:r w:rsidR="005315BD">
        <w:rPr>
          <w:rFonts w:ascii="Times New Roman" w:hAnsi="Times New Roman"/>
          <w:sz w:val="18"/>
          <w:szCs w:val="18"/>
          <w:lang w:val="pt-BR"/>
        </w:rPr>
        <w:t xml:space="preserve"> Reuso/Teor de éster</w:t>
      </w:r>
    </w:p>
    <w:tbl>
      <w:tblPr>
        <w:tblStyle w:val="Tabelacomgrade"/>
        <w:tblW w:w="0" w:type="auto"/>
        <w:tblLook w:val="04A0" w:firstRow="1" w:lastRow="0" w:firstColumn="1" w:lastColumn="0" w:noHBand="0" w:noVBand="1"/>
      </w:tblPr>
      <w:tblGrid>
        <w:gridCol w:w="2379"/>
        <w:gridCol w:w="2379"/>
      </w:tblGrid>
      <w:tr w:rsidR="001E3540" w14:paraId="64BE2E29" w14:textId="77777777" w:rsidTr="001E3540">
        <w:tc>
          <w:tcPr>
            <w:tcW w:w="2379" w:type="dxa"/>
            <w:shd w:val="clear" w:color="auto" w:fill="E7E6E6" w:themeFill="background2"/>
          </w:tcPr>
          <w:p w14:paraId="6D87522B" w14:textId="4C0CA9D6" w:rsidR="001E3540" w:rsidRDefault="001E3540" w:rsidP="001E3540">
            <w:pPr>
              <w:pStyle w:val="TAMainText"/>
              <w:ind w:firstLine="0"/>
              <w:jc w:val="center"/>
              <w:rPr>
                <w:rFonts w:ascii="Times New Roman" w:hAnsi="Times New Roman"/>
                <w:lang w:val="pt-BR"/>
              </w:rPr>
            </w:pPr>
            <w:r>
              <w:rPr>
                <w:rFonts w:ascii="Times New Roman" w:hAnsi="Times New Roman"/>
                <w:lang w:val="pt-BR"/>
              </w:rPr>
              <w:t>Reação</w:t>
            </w:r>
          </w:p>
        </w:tc>
        <w:tc>
          <w:tcPr>
            <w:tcW w:w="2379" w:type="dxa"/>
            <w:shd w:val="clear" w:color="auto" w:fill="E7E6E6" w:themeFill="background2"/>
          </w:tcPr>
          <w:p w14:paraId="7B6820C5" w14:textId="6C1F5F64" w:rsidR="001E3540" w:rsidRDefault="001E3540" w:rsidP="001E3540">
            <w:pPr>
              <w:pStyle w:val="TAMainText"/>
              <w:ind w:firstLine="0"/>
              <w:jc w:val="center"/>
              <w:rPr>
                <w:rFonts w:ascii="Times New Roman" w:hAnsi="Times New Roman"/>
                <w:lang w:val="pt-BR"/>
              </w:rPr>
            </w:pPr>
            <w:r>
              <w:rPr>
                <w:rFonts w:ascii="Times New Roman" w:hAnsi="Times New Roman"/>
                <w:lang w:val="pt-BR"/>
              </w:rPr>
              <w:t>Teor de éster (%)</w:t>
            </w:r>
          </w:p>
        </w:tc>
      </w:tr>
      <w:tr w:rsidR="001E3540" w14:paraId="186E6133" w14:textId="77777777" w:rsidTr="001E3540">
        <w:tc>
          <w:tcPr>
            <w:tcW w:w="2379" w:type="dxa"/>
          </w:tcPr>
          <w:p w14:paraId="6EFDB9D3" w14:textId="72F292AB" w:rsidR="001E3540" w:rsidRDefault="001E3540" w:rsidP="001E3540">
            <w:pPr>
              <w:pStyle w:val="TAMainText"/>
              <w:ind w:firstLine="0"/>
              <w:jc w:val="center"/>
              <w:rPr>
                <w:rFonts w:ascii="Times New Roman" w:hAnsi="Times New Roman"/>
                <w:lang w:val="pt-BR"/>
              </w:rPr>
            </w:pPr>
            <w:r>
              <w:rPr>
                <w:rFonts w:ascii="Times New Roman" w:hAnsi="Times New Roman"/>
                <w:lang w:val="pt-BR"/>
              </w:rPr>
              <w:t>1</w:t>
            </w:r>
            <w:r w:rsidR="00F54040">
              <w:rPr>
                <w:rFonts w:ascii="Times New Roman" w:hAnsi="Times New Roman"/>
                <w:lang w:val="pt-BR"/>
              </w:rPr>
              <w:t xml:space="preserve">º Ciclo </w:t>
            </w:r>
          </w:p>
        </w:tc>
        <w:tc>
          <w:tcPr>
            <w:tcW w:w="2379" w:type="dxa"/>
          </w:tcPr>
          <w:p w14:paraId="16CED92D" w14:textId="1205EA48" w:rsidR="001E3540" w:rsidRDefault="001E3540" w:rsidP="001E3540">
            <w:pPr>
              <w:pStyle w:val="TAMainText"/>
              <w:ind w:firstLine="0"/>
              <w:jc w:val="center"/>
              <w:rPr>
                <w:rFonts w:ascii="Times New Roman" w:hAnsi="Times New Roman"/>
                <w:lang w:val="pt-BR"/>
              </w:rPr>
            </w:pPr>
            <w:r>
              <w:rPr>
                <w:rFonts w:ascii="Times New Roman" w:hAnsi="Times New Roman"/>
                <w:lang w:val="pt-BR"/>
              </w:rPr>
              <w:t>95,8</w:t>
            </w:r>
          </w:p>
        </w:tc>
      </w:tr>
      <w:tr w:rsidR="001E3540" w14:paraId="4480BD18" w14:textId="77777777" w:rsidTr="001E3540">
        <w:tc>
          <w:tcPr>
            <w:tcW w:w="2379" w:type="dxa"/>
          </w:tcPr>
          <w:p w14:paraId="5D93B0CD" w14:textId="23756898" w:rsidR="001E3540" w:rsidRDefault="00EC01A6" w:rsidP="001E3540">
            <w:pPr>
              <w:pStyle w:val="TAMainText"/>
              <w:ind w:firstLine="0"/>
              <w:jc w:val="center"/>
              <w:rPr>
                <w:rFonts w:ascii="Times New Roman" w:hAnsi="Times New Roman"/>
                <w:lang w:val="pt-BR"/>
              </w:rPr>
            </w:pPr>
            <w:r>
              <w:rPr>
                <w:rFonts w:ascii="Times New Roman" w:hAnsi="Times New Roman"/>
                <w:lang w:val="pt-BR"/>
              </w:rPr>
              <w:t>2</w:t>
            </w:r>
            <w:r w:rsidR="001E3540">
              <w:rPr>
                <w:rFonts w:ascii="Times New Roman" w:hAnsi="Times New Roman"/>
                <w:lang w:val="pt-BR"/>
              </w:rPr>
              <w:t xml:space="preserve">º </w:t>
            </w:r>
            <w:r w:rsidR="00F54040" w:rsidRPr="00F54040">
              <w:rPr>
                <w:rFonts w:ascii="Times New Roman" w:hAnsi="Times New Roman"/>
                <w:lang w:val="pt-BR"/>
              </w:rPr>
              <w:t>Ciclo</w:t>
            </w:r>
          </w:p>
        </w:tc>
        <w:tc>
          <w:tcPr>
            <w:tcW w:w="2379" w:type="dxa"/>
          </w:tcPr>
          <w:p w14:paraId="05F2890F" w14:textId="376A614E" w:rsidR="001E3540" w:rsidRDefault="001E3540" w:rsidP="001E3540">
            <w:pPr>
              <w:pStyle w:val="TAMainText"/>
              <w:ind w:firstLine="0"/>
              <w:jc w:val="center"/>
              <w:rPr>
                <w:rFonts w:ascii="Times New Roman" w:hAnsi="Times New Roman"/>
                <w:lang w:val="pt-BR"/>
              </w:rPr>
            </w:pPr>
            <w:r>
              <w:rPr>
                <w:rFonts w:ascii="Times New Roman" w:hAnsi="Times New Roman"/>
                <w:lang w:val="pt-BR"/>
              </w:rPr>
              <w:t>95,2</w:t>
            </w:r>
          </w:p>
        </w:tc>
      </w:tr>
      <w:tr w:rsidR="001E3540" w14:paraId="544A9938" w14:textId="77777777" w:rsidTr="001E3540">
        <w:tc>
          <w:tcPr>
            <w:tcW w:w="2379" w:type="dxa"/>
          </w:tcPr>
          <w:p w14:paraId="19E327D9" w14:textId="5C64A710" w:rsidR="001E3540" w:rsidRDefault="00EC01A6" w:rsidP="001E3540">
            <w:pPr>
              <w:pStyle w:val="TAMainText"/>
              <w:ind w:firstLine="0"/>
              <w:jc w:val="center"/>
              <w:rPr>
                <w:rFonts w:ascii="Times New Roman" w:hAnsi="Times New Roman"/>
                <w:lang w:val="pt-BR"/>
              </w:rPr>
            </w:pPr>
            <w:r>
              <w:rPr>
                <w:rFonts w:ascii="Times New Roman" w:hAnsi="Times New Roman"/>
                <w:lang w:val="pt-BR"/>
              </w:rPr>
              <w:t>3</w:t>
            </w:r>
            <w:r w:rsidR="001E3540">
              <w:rPr>
                <w:rFonts w:ascii="Times New Roman" w:hAnsi="Times New Roman"/>
                <w:lang w:val="pt-BR"/>
              </w:rPr>
              <w:t xml:space="preserve">º </w:t>
            </w:r>
            <w:r w:rsidR="00F54040" w:rsidRPr="00F54040">
              <w:rPr>
                <w:rFonts w:ascii="Times New Roman" w:hAnsi="Times New Roman"/>
                <w:lang w:val="pt-BR"/>
              </w:rPr>
              <w:t>Ciclo</w:t>
            </w:r>
          </w:p>
        </w:tc>
        <w:tc>
          <w:tcPr>
            <w:tcW w:w="2379" w:type="dxa"/>
          </w:tcPr>
          <w:p w14:paraId="3A7C796A" w14:textId="6FBB5BB3" w:rsidR="001E3540" w:rsidRDefault="001E3540" w:rsidP="001E3540">
            <w:pPr>
              <w:pStyle w:val="TAMainText"/>
              <w:ind w:firstLine="0"/>
              <w:jc w:val="center"/>
              <w:rPr>
                <w:rFonts w:ascii="Times New Roman" w:hAnsi="Times New Roman"/>
                <w:lang w:val="pt-BR"/>
              </w:rPr>
            </w:pPr>
            <w:r>
              <w:rPr>
                <w:rFonts w:ascii="Times New Roman" w:hAnsi="Times New Roman"/>
                <w:lang w:val="pt-BR"/>
              </w:rPr>
              <w:t>92,7</w:t>
            </w:r>
          </w:p>
        </w:tc>
      </w:tr>
      <w:tr w:rsidR="001E3540" w14:paraId="088E590D" w14:textId="77777777" w:rsidTr="001E3540">
        <w:tc>
          <w:tcPr>
            <w:tcW w:w="2379" w:type="dxa"/>
          </w:tcPr>
          <w:p w14:paraId="4CE4DEA5" w14:textId="076FE6BA" w:rsidR="001E3540" w:rsidRDefault="00EC01A6" w:rsidP="00EC01A6">
            <w:pPr>
              <w:pStyle w:val="TAMainText"/>
              <w:ind w:firstLine="0"/>
              <w:jc w:val="center"/>
              <w:rPr>
                <w:rFonts w:ascii="Times New Roman" w:hAnsi="Times New Roman"/>
                <w:lang w:val="pt-BR"/>
              </w:rPr>
            </w:pPr>
            <w:r>
              <w:rPr>
                <w:rFonts w:ascii="Times New Roman" w:hAnsi="Times New Roman"/>
                <w:lang w:val="pt-BR"/>
              </w:rPr>
              <w:t>4</w:t>
            </w:r>
            <w:r w:rsidR="001E3540">
              <w:rPr>
                <w:rFonts w:ascii="Times New Roman" w:hAnsi="Times New Roman"/>
                <w:lang w:val="pt-BR"/>
              </w:rPr>
              <w:t xml:space="preserve">º </w:t>
            </w:r>
            <w:r w:rsidR="00F54040" w:rsidRPr="00F54040">
              <w:rPr>
                <w:rFonts w:ascii="Times New Roman" w:hAnsi="Times New Roman"/>
                <w:lang w:val="pt-BR"/>
              </w:rPr>
              <w:t>Ciclo</w:t>
            </w:r>
          </w:p>
        </w:tc>
        <w:tc>
          <w:tcPr>
            <w:tcW w:w="2379" w:type="dxa"/>
          </w:tcPr>
          <w:p w14:paraId="033E4FF7" w14:textId="01554C8E" w:rsidR="001E3540" w:rsidRDefault="001E3540" w:rsidP="001E3540">
            <w:pPr>
              <w:pStyle w:val="TAMainText"/>
              <w:ind w:firstLine="0"/>
              <w:jc w:val="center"/>
              <w:rPr>
                <w:rFonts w:ascii="Times New Roman" w:hAnsi="Times New Roman"/>
                <w:lang w:val="pt-BR"/>
              </w:rPr>
            </w:pPr>
            <w:r>
              <w:rPr>
                <w:rFonts w:ascii="Times New Roman" w:hAnsi="Times New Roman"/>
                <w:lang w:val="pt-BR"/>
              </w:rPr>
              <w:t>87,2</w:t>
            </w:r>
          </w:p>
        </w:tc>
      </w:tr>
      <w:tr w:rsidR="00F54040" w14:paraId="6EDC703B" w14:textId="77777777" w:rsidTr="001E3540">
        <w:tc>
          <w:tcPr>
            <w:tcW w:w="2379" w:type="dxa"/>
          </w:tcPr>
          <w:p w14:paraId="72104B02" w14:textId="634D01E3" w:rsidR="00F54040" w:rsidRDefault="00F54040" w:rsidP="001E3540">
            <w:pPr>
              <w:pStyle w:val="TAMainText"/>
              <w:ind w:firstLine="0"/>
              <w:jc w:val="center"/>
              <w:rPr>
                <w:rFonts w:ascii="Times New Roman" w:hAnsi="Times New Roman"/>
                <w:lang w:val="pt-BR"/>
              </w:rPr>
            </w:pPr>
            <w:r>
              <w:rPr>
                <w:rFonts w:ascii="Times New Roman" w:hAnsi="Times New Roman"/>
                <w:lang w:val="pt-BR"/>
              </w:rPr>
              <w:t>Branco</w:t>
            </w:r>
          </w:p>
        </w:tc>
        <w:tc>
          <w:tcPr>
            <w:tcW w:w="2379" w:type="dxa"/>
          </w:tcPr>
          <w:p w14:paraId="761A6D35" w14:textId="1C4E3BFB" w:rsidR="00F54040" w:rsidRDefault="00F54040" w:rsidP="001E3540">
            <w:pPr>
              <w:pStyle w:val="TAMainText"/>
              <w:ind w:firstLine="0"/>
              <w:jc w:val="center"/>
              <w:rPr>
                <w:rFonts w:ascii="Times New Roman" w:hAnsi="Times New Roman"/>
                <w:lang w:val="pt-BR"/>
              </w:rPr>
            </w:pPr>
            <w:r>
              <w:rPr>
                <w:rFonts w:ascii="Times New Roman" w:hAnsi="Times New Roman"/>
                <w:lang w:val="pt-BR"/>
              </w:rPr>
              <w:t>5</w:t>
            </w:r>
          </w:p>
        </w:tc>
      </w:tr>
    </w:tbl>
    <w:p w14:paraId="312891D3" w14:textId="77777777" w:rsidR="001E3540" w:rsidRDefault="001E3540" w:rsidP="001E3540">
      <w:pPr>
        <w:pStyle w:val="TAMainText"/>
        <w:jc w:val="center"/>
        <w:rPr>
          <w:rFonts w:ascii="Helvetica" w:hAnsi="Helvetica" w:cs="Helvetica"/>
          <w:sz w:val="24"/>
          <w:szCs w:val="24"/>
        </w:rPr>
      </w:pPr>
    </w:p>
    <w:p w14:paraId="20AA905D" w14:textId="3E6483FF" w:rsidR="00EA4E1B" w:rsidRPr="001F25B2" w:rsidRDefault="00EA4E1B" w:rsidP="001E3540">
      <w:pPr>
        <w:pStyle w:val="TAMainText"/>
        <w:jc w:val="center"/>
        <w:rPr>
          <w:rFonts w:ascii="Helvetica" w:hAnsi="Helvetica" w:cs="Helvetica"/>
          <w:sz w:val="24"/>
          <w:szCs w:val="24"/>
        </w:rPr>
      </w:pPr>
      <w:proofErr w:type="spellStart"/>
      <w:r w:rsidRPr="001F25B2">
        <w:rPr>
          <w:rFonts w:ascii="Helvetica" w:hAnsi="Helvetica" w:cs="Helvetica"/>
          <w:sz w:val="24"/>
          <w:szCs w:val="24"/>
        </w:rPr>
        <w:t>Conclusões</w:t>
      </w:r>
      <w:proofErr w:type="spellEnd"/>
    </w:p>
    <w:p w14:paraId="4A70FE93" w14:textId="2B48C41F" w:rsidR="00EA4E1B" w:rsidRPr="001F25B2" w:rsidRDefault="001A6E90" w:rsidP="00EA4E1B">
      <w:pPr>
        <w:pStyle w:val="TAMainText"/>
        <w:ind w:firstLine="187"/>
        <w:rPr>
          <w:rFonts w:ascii="Times New Roman" w:hAnsi="Times New Roman"/>
          <w:lang w:val="pt-BR"/>
        </w:rPr>
      </w:pPr>
      <w:r>
        <w:rPr>
          <w:rFonts w:ascii="Times New Roman" w:hAnsi="Times New Roman"/>
          <w:lang w:val="pt-BR"/>
        </w:rPr>
        <w:t xml:space="preserve">Este trabalho estudou a aplicação do catalisador ácido </w:t>
      </w:r>
      <w:proofErr w:type="spellStart"/>
      <w:r>
        <w:rPr>
          <w:rFonts w:ascii="Times New Roman" w:hAnsi="Times New Roman"/>
          <w:lang w:val="pt-BR"/>
        </w:rPr>
        <w:t>Mo</w:t>
      </w:r>
      <w:proofErr w:type="spellEnd"/>
      <w:r w:rsidR="004D06E1">
        <w:rPr>
          <w:rFonts w:ascii="Times New Roman" w:hAnsi="Times New Roman"/>
          <w:lang w:val="pt-BR"/>
        </w:rPr>
        <w:t>/</w:t>
      </w:r>
      <w:r>
        <w:rPr>
          <w:rFonts w:ascii="Times New Roman" w:hAnsi="Times New Roman"/>
          <w:lang w:val="pt-BR"/>
        </w:rPr>
        <w:t>K</w:t>
      </w:r>
      <w:r w:rsidR="004D06E1">
        <w:rPr>
          <w:rFonts w:ascii="Times New Roman" w:hAnsi="Times New Roman"/>
          <w:lang w:val="pt-BR"/>
        </w:rPr>
        <w:t>IT</w:t>
      </w:r>
      <w:r>
        <w:rPr>
          <w:rFonts w:ascii="Times New Roman" w:hAnsi="Times New Roman"/>
          <w:lang w:val="pt-BR"/>
        </w:rPr>
        <w:t>-6, na reação de transesterificação metílica de óleo residual para síntese de biodiesel. Verificou-se que o catalisador</w:t>
      </w:r>
      <w:r w:rsidR="00D71C3B">
        <w:rPr>
          <w:rFonts w:ascii="Times New Roman" w:hAnsi="Times New Roman"/>
          <w:lang w:val="pt-BR"/>
        </w:rPr>
        <w:t xml:space="preserve"> </w:t>
      </w:r>
      <w:r>
        <w:rPr>
          <w:rFonts w:ascii="Times New Roman" w:hAnsi="Times New Roman"/>
          <w:lang w:val="pt-BR"/>
        </w:rPr>
        <w:t>avaliado</w:t>
      </w:r>
      <w:r w:rsidR="00D71C3B">
        <w:rPr>
          <w:rFonts w:ascii="Times New Roman" w:hAnsi="Times New Roman"/>
          <w:lang w:val="pt-BR"/>
        </w:rPr>
        <w:t xml:space="preserve"> manteve rendimento relatado na literatura</w:t>
      </w:r>
      <w:r w:rsidR="001E3540">
        <w:rPr>
          <w:rFonts w:ascii="Times New Roman" w:hAnsi="Times New Roman"/>
          <w:lang w:val="pt-BR"/>
        </w:rPr>
        <w:t>, com bons índices de conversão.</w:t>
      </w:r>
    </w:p>
    <w:p w14:paraId="6BE32F7B" w14:textId="6D006E3E"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2E00C618" w:rsidR="00EA4E1B" w:rsidRPr="001F25B2" w:rsidRDefault="00E531CB" w:rsidP="00C0764D">
      <w:pPr>
        <w:pStyle w:val="TAMainText"/>
        <w:ind w:firstLine="0"/>
        <w:rPr>
          <w:rFonts w:ascii="Times New Roman" w:hAnsi="Times New Roman"/>
          <w:lang w:val="pt-BR"/>
        </w:rPr>
      </w:pPr>
      <w:r>
        <w:rPr>
          <w:rFonts w:ascii="Times New Roman" w:hAnsi="Times New Roman"/>
          <w:lang w:val="pt-BR"/>
        </w:rPr>
        <w:t>I</w:t>
      </w:r>
      <w:r w:rsidR="001E3540">
        <w:rPr>
          <w:rFonts w:ascii="Times New Roman" w:hAnsi="Times New Roman"/>
          <w:lang w:val="pt-BR"/>
        </w:rPr>
        <w:t>FPA</w:t>
      </w:r>
      <w:r>
        <w:rPr>
          <w:rFonts w:ascii="Times New Roman" w:hAnsi="Times New Roman"/>
          <w:lang w:val="pt-BR"/>
        </w:rPr>
        <w:t>; L</w:t>
      </w:r>
      <w:r w:rsidR="001E3540">
        <w:rPr>
          <w:rFonts w:ascii="Times New Roman" w:hAnsi="Times New Roman"/>
          <w:lang w:val="pt-BR"/>
        </w:rPr>
        <w:t>CO/UFPA</w:t>
      </w:r>
      <w:r>
        <w:rPr>
          <w:rFonts w:ascii="Times New Roman" w:hAnsi="Times New Roman"/>
          <w:lang w:val="pt-BR"/>
        </w:rPr>
        <w:t xml:space="preserve">; </w:t>
      </w:r>
      <w:r w:rsidR="001E3540">
        <w:rPr>
          <w:rFonts w:ascii="Times New Roman" w:hAnsi="Times New Roman"/>
          <w:lang w:val="pt-BR"/>
        </w:rPr>
        <w:t>LAPAC/UFPA</w:t>
      </w:r>
      <w:r>
        <w:rPr>
          <w:rFonts w:ascii="Times New Roman" w:hAnsi="Times New Roman"/>
          <w:lang w:val="pt-BR"/>
        </w:rPr>
        <w:t xml:space="preserve"> e </w:t>
      </w:r>
      <w:r w:rsidR="001E3540">
        <w:rPr>
          <w:rFonts w:ascii="Times New Roman" w:hAnsi="Times New Roman"/>
          <w:lang w:val="pt-BR"/>
        </w:rPr>
        <w:t>LOA/UFPA</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451D998B" w14:textId="60A732DC" w:rsidR="005E67FC" w:rsidRPr="005E67FC" w:rsidRDefault="005E67FC" w:rsidP="00E531CB">
      <w:pPr>
        <w:pStyle w:val="TAMainText"/>
        <w:numPr>
          <w:ilvl w:val="0"/>
          <w:numId w:val="1"/>
        </w:numPr>
      </w:pPr>
      <w:proofErr w:type="spellStart"/>
      <w:r w:rsidRPr="00F54040">
        <w:t>Olutoye</w:t>
      </w:r>
      <w:proofErr w:type="spellEnd"/>
      <w:r w:rsidRPr="00F54040">
        <w:t>, M.A., Wong, S.W., Chin, L.H., Amani, H., Asif, M., Hameed, B.H. Synthesis of fatty acid methyl esters via the transesterification of waste cooking oil by methanol with a barium-modified montmorillonite K10 catalyst, Renew Energy 86 (</w:t>
      </w:r>
      <w:r w:rsidRPr="00F54040">
        <w:rPr>
          <w:b/>
          <w:bCs/>
        </w:rPr>
        <w:t>2021</w:t>
      </w:r>
      <w:r w:rsidR="000A0509" w:rsidRPr="00F54040">
        <w:t>)</w:t>
      </w:r>
      <w:r w:rsidRPr="00F54040">
        <w:t xml:space="preserve">. </w:t>
      </w:r>
    </w:p>
    <w:p w14:paraId="58716424" w14:textId="09570129" w:rsidR="007B4B2B" w:rsidRPr="00EA4E1B" w:rsidRDefault="00BD510B" w:rsidP="00BD510B">
      <w:pPr>
        <w:pStyle w:val="TAMainText"/>
        <w:numPr>
          <w:ilvl w:val="0"/>
          <w:numId w:val="1"/>
        </w:numPr>
      </w:pPr>
      <w:proofErr w:type="spellStart"/>
      <w:r w:rsidRPr="00BD510B">
        <w:rPr>
          <w:lang w:val="pt-BR"/>
        </w:rPr>
        <w:t>Hosseinzadeh-Bandbafha</w:t>
      </w:r>
      <w:proofErr w:type="spellEnd"/>
      <w:r w:rsidRPr="00BD510B">
        <w:rPr>
          <w:lang w:val="pt-BR"/>
        </w:rPr>
        <w:t xml:space="preserve">, H., </w:t>
      </w:r>
      <w:proofErr w:type="spellStart"/>
      <w:r w:rsidRPr="00BD510B">
        <w:rPr>
          <w:lang w:val="pt-BR"/>
        </w:rPr>
        <w:t>Tabatabaei</w:t>
      </w:r>
      <w:proofErr w:type="spellEnd"/>
      <w:r w:rsidRPr="00BD510B">
        <w:rPr>
          <w:lang w:val="pt-BR"/>
        </w:rPr>
        <w:t xml:space="preserve">, M., </w:t>
      </w:r>
      <w:proofErr w:type="spellStart"/>
      <w:r w:rsidRPr="00BD510B">
        <w:rPr>
          <w:lang w:val="pt-BR"/>
        </w:rPr>
        <w:t>Aghbashlo</w:t>
      </w:r>
      <w:proofErr w:type="spellEnd"/>
      <w:r w:rsidRPr="00BD510B">
        <w:rPr>
          <w:lang w:val="pt-BR"/>
        </w:rPr>
        <w:t xml:space="preserve">, M., </w:t>
      </w:r>
      <w:proofErr w:type="spellStart"/>
      <w:r w:rsidRPr="00BD510B">
        <w:rPr>
          <w:lang w:val="pt-BR"/>
        </w:rPr>
        <w:t>Khanali</w:t>
      </w:r>
      <w:proofErr w:type="spellEnd"/>
      <w:r w:rsidR="00C01005">
        <w:rPr>
          <w:lang w:val="pt-BR"/>
        </w:rPr>
        <w:t>.</w:t>
      </w:r>
      <w:r w:rsidRPr="00BD510B">
        <w:rPr>
          <w:lang w:val="pt-BR"/>
        </w:rPr>
        <w:t xml:space="preserve"> </w:t>
      </w:r>
      <w:r w:rsidRPr="00F54040">
        <w:t>A comprehensive review on the environmental impacts of</w:t>
      </w:r>
      <w:r w:rsidR="00C01005" w:rsidRPr="00F54040">
        <w:t xml:space="preserve"> </w:t>
      </w:r>
      <w:r w:rsidRPr="00F54040">
        <w:t xml:space="preserve">diesel/biodiesel additives. </w:t>
      </w:r>
      <w:r w:rsidRPr="005315BD">
        <w:rPr>
          <w:lang w:val="pt-BR"/>
        </w:rPr>
        <w:t xml:space="preserve">Energy </w:t>
      </w:r>
      <w:proofErr w:type="spellStart"/>
      <w:r w:rsidRPr="005315BD">
        <w:rPr>
          <w:lang w:val="pt-BR"/>
        </w:rPr>
        <w:t>Convers</w:t>
      </w:r>
      <w:proofErr w:type="spellEnd"/>
      <w:r w:rsidRPr="005315BD">
        <w:rPr>
          <w:lang w:val="pt-BR"/>
        </w:rPr>
        <w:t xml:space="preserve">. </w:t>
      </w:r>
      <w:proofErr w:type="spellStart"/>
      <w:r w:rsidRPr="005315BD">
        <w:rPr>
          <w:lang w:val="pt-BR"/>
        </w:rPr>
        <w:t>Manage</w:t>
      </w:r>
      <w:proofErr w:type="spellEnd"/>
      <w:r w:rsidRPr="00BD510B">
        <w:rPr>
          <w:lang w:val="pt-BR"/>
        </w:rPr>
        <w:t xml:space="preserve">. </w:t>
      </w:r>
      <w:r w:rsidR="000A0509" w:rsidRPr="000A0509">
        <w:rPr>
          <w:b/>
          <w:bCs/>
          <w:lang w:val="pt-BR"/>
        </w:rPr>
        <w:t>2018</w:t>
      </w:r>
    </w:p>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34CC" w14:textId="77777777" w:rsidR="008F7A54" w:rsidRDefault="008F7A54" w:rsidP="00EA4E1B">
      <w:pPr>
        <w:spacing w:after="0" w:line="240" w:lineRule="auto"/>
      </w:pPr>
      <w:r>
        <w:separator/>
      </w:r>
    </w:p>
  </w:endnote>
  <w:endnote w:type="continuationSeparator" w:id="0">
    <w:p w14:paraId="05A61F94" w14:textId="77777777" w:rsidR="008F7A54" w:rsidRDefault="008F7A54"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36FF" w14:textId="77777777" w:rsidR="008F7A54" w:rsidRDefault="008F7A54" w:rsidP="00EA4E1B">
      <w:pPr>
        <w:spacing w:after="0" w:line="240" w:lineRule="auto"/>
      </w:pPr>
      <w:r>
        <w:separator/>
      </w:r>
    </w:p>
  </w:footnote>
  <w:footnote w:type="continuationSeparator" w:id="0">
    <w:p w14:paraId="3C9FCF7A" w14:textId="77777777" w:rsidR="008F7A54" w:rsidRDefault="008F7A54"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68AE23CD" w:rsidR="00EA4E1B" w:rsidRDefault="00AF0400" w:rsidP="00EA4E1B">
    <w:pPr>
      <w:pStyle w:val="Cabealho"/>
      <w:jc w:val="center"/>
    </w:pPr>
    <w:r>
      <w:rPr>
        <w:noProof/>
      </w:rPr>
      <w:drawing>
        <wp:inline distT="0" distB="0" distL="0" distR="0" wp14:anchorId="128B8774" wp14:editId="6C5718AB">
          <wp:extent cx="1524000" cy="1049325"/>
          <wp:effectExtent l="0" t="0" r="0" b="0"/>
          <wp:docPr id="1731481076" name="Imagem 173148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anchor distT="0" distB="0" distL="114300" distR="114300" simplePos="0" relativeHeight="251658240" behindDoc="1" locked="0" layoutInCell="1" allowOverlap="1" wp14:anchorId="10EB0FB8" wp14:editId="516839DE">
          <wp:simplePos x="0" y="0"/>
          <wp:positionH relativeFrom="column">
            <wp:posOffset>3754755</wp:posOffset>
          </wp:positionH>
          <wp:positionV relativeFrom="paragraph">
            <wp:posOffset>343535</wp:posOffset>
          </wp:positionV>
          <wp:extent cx="1963420" cy="695960"/>
          <wp:effectExtent l="0" t="0" r="0" b="8890"/>
          <wp:wrapTight wrapText="bothSides">
            <wp:wrapPolygon edited="0">
              <wp:start x="1886" y="0"/>
              <wp:lineTo x="0" y="3547"/>
              <wp:lineTo x="0" y="14781"/>
              <wp:lineTo x="1467" y="18920"/>
              <wp:lineTo x="419" y="20102"/>
              <wp:lineTo x="419" y="21285"/>
              <wp:lineTo x="1467" y="21285"/>
              <wp:lineTo x="5239" y="21285"/>
              <wp:lineTo x="6287" y="21285"/>
              <wp:lineTo x="21376" y="18328"/>
              <wp:lineTo x="21376" y="2956"/>
              <wp:lineTo x="5030" y="0"/>
              <wp:lineTo x="1886" y="0"/>
            </wp:wrapPolygon>
          </wp:wrapTight>
          <wp:docPr id="1167427616" name="Imagem 1167427616"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420" cy="6959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2EC0283F"/>
    <w:multiLevelType w:val="hybridMultilevel"/>
    <w:tmpl w:val="79263BFE"/>
    <w:lvl w:ilvl="0" w:tplc="04160001">
      <w:start w:val="1"/>
      <w:numFmt w:val="bullet"/>
      <w:lvlText w:val=""/>
      <w:lvlJc w:val="left"/>
      <w:pPr>
        <w:ind w:left="907" w:hanging="360"/>
      </w:pPr>
      <w:rPr>
        <w:rFonts w:ascii="Symbol" w:hAnsi="Symbol" w:hint="default"/>
      </w:rPr>
    </w:lvl>
    <w:lvl w:ilvl="1" w:tplc="04160003" w:tentative="1">
      <w:start w:val="1"/>
      <w:numFmt w:val="bullet"/>
      <w:lvlText w:val="o"/>
      <w:lvlJc w:val="left"/>
      <w:pPr>
        <w:ind w:left="1627" w:hanging="360"/>
      </w:pPr>
      <w:rPr>
        <w:rFonts w:ascii="Courier New" w:hAnsi="Courier New" w:cs="Courier New" w:hint="default"/>
      </w:rPr>
    </w:lvl>
    <w:lvl w:ilvl="2" w:tplc="04160005" w:tentative="1">
      <w:start w:val="1"/>
      <w:numFmt w:val="bullet"/>
      <w:lvlText w:val=""/>
      <w:lvlJc w:val="left"/>
      <w:pPr>
        <w:ind w:left="2347" w:hanging="360"/>
      </w:pPr>
      <w:rPr>
        <w:rFonts w:ascii="Wingdings" w:hAnsi="Wingdings" w:hint="default"/>
      </w:rPr>
    </w:lvl>
    <w:lvl w:ilvl="3" w:tplc="04160001" w:tentative="1">
      <w:start w:val="1"/>
      <w:numFmt w:val="bullet"/>
      <w:lvlText w:val=""/>
      <w:lvlJc w:val="left"/>
      <w:pPr>
        <w:ind w:left="3067" w:hanging="360"/>
      </w:pPr>
      <w:rPr>
        <w:rFonts w:ascii="Symbol" w:hAnsi="Symbol" w:hint="default"/>
      </w:rPr>
    </w:lvl>
    <w:lvl w:ilvl="4" w:tplc="04160003" w:tentative="1">
      <w:start w:val="1"/>
      <w:numFmt w:val="bullet"/>
      <w:lvlText w:val="o"/>
      <w:lvlJc w:val="left"/>
      <w:pPr>
        <w:ind w:left="3787" w:hanging="360"/>
      </w:pPr>
      <w:rPr>
        <w:rFonts w:ascii="Courier New" w:hAnsi="Courier New" w:cs="Courier New" w:hint="default"/>
      </w:rPr>
    </w:lvl>
    <w:lvl w:ilvl="5" w:tplc="04160005" w:tentative="1">
      <w:start w:val="1"/>
      <w:numFmt w:val="bullet"/>
      <w:lvlText w:val=""/>
      <w:lvlJc w:val="left"/>
      <w:pPr>
        <w:ind w:left="4507" w:hanging="360"/>
      </w:pPr>
      <w:rPr>
        <w:rFonts w:ascii="Wingdings" w:hAnsi="Wingdings" w:hint="default"/>
      </w:rPr>
    </w:lvl>
    <w:lvl w:ilvl="6" w:tplc="04160001" w:tentative="1">
      <w:start w:val="1"/>
      <w:numFmt w:val="bullet"/>
      <w:lvlText w:val=""/>
      <w:lvlJc w:val="left"/>
      <w:pPr>
        <w:ind w:left="5227" w:hanging="360"/>
      </w:pPr>
      <w:rPr>
        <w:rFonts w:ascii="Symbol" w:hAnsi="Symbol" w:hint="default"/>
      </w:rPr>
    </w:lvl>
    <w:lvl w:ilvl="7" w:tplc="04160003" w:tentative="1">
      <w:start w:val="1"/>
      <w:numFmt w:val="bullet"/>
      <w:lvlText w:val="o"/>
      <w:lvlJc w:val="left"/>
      <w:pPr>
        <w:ind w:left="5947" w:hanging="360"/>
      </w:pPr>
      <w:rPr>
        <w:rFonts w:ascii="Courier New" w:hAnsi="Courier New" w:cs="Courier New" w:hint="default"/>
      </w:rPr>
    </w:lvl>
    <w:lvl w:ilvl="8" w:tplc="04160005" w:tentative="1">
      <w:start w:val="1"/>
      <w:numFmt w:val="bullet"/>
      <w:lvlText w:val=""/>
      <w:lvlJc w:val="left"/>
      <w:pPr>
        <w:ind w:left="6667" w:hanging="360"/>
      </w:pPr>
      <w:rPr>
        <w:rFonts w:ascii="Wingdings" w:hAnsi="Wingdings" w:hint="default"/>
      </w:rPr>
    </w:lvl>
  </w:abstractNum>
  <w:num w:numId="1" w16cid:durableId="1811439884">
    <w:abstractNumId w:val="0"/>
  </w:num>
  <w:num w:numId="2" w16cid:durableId="588585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4413F"/>
    <w:rsid w:val="00060E17"/>
    <w:rsid w:val="00061A72"/>
    <w:rsid w:val="00093EB7"/>
    <w:rsid w:val="000A0509"/>
    <w:rsid w:val="000C36CF"/>
    <w:rsid w:val="000D74D7"/>
    <w:rsid w:val="000F1D24"/>
    <w:rsid w:val="001278C8"/>
    <w:rsid w:val="00156C0A"/>
    <w:rsid w:val="001601E0"/>
    <w:rsid w:val="00163B37"/>
    <w:rsid w:val="001A6E90"/>
    <w:rsid w:val="001D18D9"/>
    <w:rsid w:val="001E1560"/>
    <w:rsid w:val="001E3540"/>
    <w:rsid w:val="001E58A9"/>
    <w:rsid w:val="001F25B2"/>
    <w:rsid w:val="00222230"/>
    <w:rsid w:val="002237AC"/>
    <w:rsid w:val="00254B5B"/>
    <w:rsid w:val="002725CE"/>
    <w:rsid w:val="002B44FF"/>
    <w:rsid w:val="002C5C4C"/>
    <w:rsid w:val="00340B1E"/>
    <w:rsid w:val="003756E0"/>
    <w:rsid w:val="00385C1B"/>
    <w:rsid w:val="00390E96"/>
    <w:rsid w:val="00394467"/>
    <w:rsid w:val="003A7549"/>
    <w:rsid w:val="003B219A"/>
    <w:rsid w:val="003B5A1D"/>
    <w:rsid w:val="00402F3E"/>
    <w:rsid w:val="0041430C"/>
    <w:rsid w:val="004D06E1"/>
    <w:rsid w:val="004F3174"/>
    <w:rsid w:val="004F3F42"/>
    <w:rsid w:val="005177E3"/>
    <w:rsid w:val="0052112E"/>
    <w:rsid w:val="005315BD"/>
    <w:rsid w:val="0055407C"/>
    <w:rsid w:val="005A223F"/>
    <w:rsid w:val="005A4DB7"/>
    <w:rsid w:val="005C2775"/>
    <w:rsid w:val="005D65EB"/>
    <w:rsid w:val="005E67FC"/>
    <w:rsid w:val="005E7195"/>
    <w:rsid w:val="005F739F"/>
    <w:rsid w:val="00604718"/>
    <w:rsid w:val="00631255"/>
    <w:rsid w:val="0063365E"/>
    <w:rsid w:val="00652815"/>
    <w:rsid w:val="00661AC7"/>
    <w:rsid w:val="006F599B"/>
    <w:rsid w:val="007670A0"/>
    <w:rsid w:val="007812EB"/>
    <w:rsid w:val="00781685"/>
    <w:rsid w:val="007B4680"/>
    <w:rsid w:val="007B4B2B"/>
    <w:rsid w:val="007B626D"/>
    <w:rsid w:val="007F327B"/>
    <w:rsid w:val="00866822"/>
    <w:rsid w:val="00867853"/>
    <w:rsid w:val="008B1683"/>
    <w:rsid w:val="008C1B30"/>
    <w:rsid w:val="008F7A54"/>
    <w:rsid w:val="0095373D"/>
    <w:rsid w:val="009656D9"/>
    <w:rsid w:val="009C7CB0"/>
    <w:rsid w:val="009D74F5"/>
    <w:rsid w:val="00A52B65"/>
    <w:rsid w:val="00A67CC7"/>
    <w:rsid w:val="00AA182E"/>
    <w:rsid w:val="00AC0834"/>
    <w:rsid w:val="00AF0400"/>
    <w:rsid w:val="00B0116D"/>
    <w:rsid w:val="00B126C8"/>
    <w:rsid w:val="00B30AEB"/>
    <w:rsid w:val="00BA6A6E"/>
    <w:rsid w:val="00BD510B"/>
    <w:rsid w:val="00C01005"/>
    <w:rsid w:val="00C03DD3"/>
    <w:rsid w:val="00C0764D"/>
    <w:rsid w:val="00C108A6"/>
    <w:rsid w:val="00C441A0"/>
    <w:rsid w:val="00C66570"/>
    <w:rsid w:val="00C76E54"/>
    <w:rsid w:val="00D14889"/>
    <w:rsid w:val="00D21562"/>
    <w:rsid w:val="00D306BF"/>
    <w:rsid w:val="00D50EFF"/>
    <w:rsid w:val="00D574EF"/>
    <w:rsid w:val="00D71C3B"/>
    <w:rsid w:val="00D9063F"/>
    <w:rsid w:val="00D96135"/>
    <w:rsid w:val="00D96CF6"/>
    <w:rsid w:val="00DB0C0A"/>
    <w:rsid w:val="00DE4813"/>
    <w:rsid w:val="00E02A21"/>
    <w:rsid w:val="00E038AF"/>
    <w:rsid w:val="00E531CB"/>
    <w:rsid w:val="00EA4E1B"/>
    <w:rsid w:val="00EC01A6"/>
    <w:rsid w:val="00F30661"/>
    <w:rsid w:val="00F54040"/>
    <w:rsid w:val="00F80C6C"/>
    <w:rsid w:val="00F83333"/>
    <w:rsid w:val="00F917DA"/>
    <w:rsid w:val="00F933D7"/>
    <w:rsid w:val="00FA578F"/>
    <w:rsid w:val="00FE078D"/>
    <w:rsid w:val="00FE1324"/>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B"/>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D50EFF"/>
    <w:rPr>
      <w:color w:val="0563C1" w:themeColor="hyperlink"/>
      <w:u w:val="single"/>
    </w:rPr>
  </w:style>
  <w:style w:type="character" w:styleId="MenoPendente">
    <w:name w:val="Unresolved Mention"/>
    <w:basedOn w:val="Fontepargpadro"/>
    <w:uiPriority w:val="99"/>
    <w:semiHidden/>
    <w:unhideWhenUsed/>
    <w:rsid w:val="00D50EFF"/>
    <w:rPr>
      <w:color w:val="605E5C"/>
      <w:shd w:val="clear" w:color="auto" w:fill="E1DFDD"/>
    </w:rPr>
  </w:style>
  <w:style w:type="table" w:styleId="Tabelacomgrade">
    <w:name w:val="Table Grid"/>
    <w:basedOn w:val="Tabelanormal"/>
    <w:uiPriority w:val="39"/>
    <w:rsid w:val="001E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tif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2</Pages>
  <Words>1114</Words>
  <Characters>6020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Vicente</cp:lastModifiedBy>
  <cp:revision>38</cp:revision>
  <dcterms:created xsi:type="dcterms:W3CDTF">2023-05-19T13:29:00Z</dcterms:created>
  <dcterms:modified xsi:type="dcterms:W3CDTF">2023-08-21T20:07:00Z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