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C151D01" w:rsidR="00EA4E1B" w:rsidRDefault="00230FF1" w:rsidP="00EA4E1B">
      <w:pPr>
        <w:pStyle w:val="BATitle"/>
        <w:spacing w:before="0" w:after="0" w:line="240" w:lineRule="auto"/>
        <w:ind w:right="0"/>
        <w:jc w:val="both"/>
        <w:rPr>
          <w:sz w:val="32"/>
          <w:lang w:val="pt-BR"/>
        </w:rPr>
      </w:pPr>
      <w:r>
        <w:rPr>
          <w:sz w:val="32"/>
          <w:lang w:val="pt-BR"/>
        </w:rPr>
        <w:t xml:space="preserve">Desoxigenação catalítica de </w:t>
      </w:r>
      <w:r w:rsidR="0044086E">
        <w:rPr>
          <w:sz w:val="32"/>
          <w:lang w:val="pt-BR"/>
        </w:rPr>
        <w:t>óleo residual de fritura sobre zeólita Y impregnada com</w:t>
      </w:r>
      <w:r w:rsidR="003004AC">
        <w:rPr>
          <w:sz w:val="32"/>
          <w:lang w:val="pt-BR"/>
        </w:rPr>
        <w:t xml:space="preserve"> diferentes teores de</w:t>
      </w:r>
      <w:r w:rsidR="0044086E">
        <w:rPr>
          <w:sz w:val="32"/>
          <w:lang w:val="pt-BR"/>
        </w:rPr>
        <w:t xml:space="preserve"> níquel</w:t>
      </w:r>
    </w:p>
    <w:p w14:paraId="0F96DA78" w14:textId="77777777" w:rsidR="00230FF1" w:rsidRPr="00230FF1" w:rsidRDefault="00230FF1" w:rsidP="00230FF1">
      <w:pPr>
        <w:pStyle w:val="BBAuthorName"/>
        <w:rPr>
          <w:lang w:val="pt-BR"/>
        </w:rPr>
      </w:pPr>
    </w:p>
    <w:p w14:paraId="18735493" w14:textId="31B2C0F4" w:rsidR="00EA4E1B" w:rsidRPr="001F25B2" w:rsidRDefault="00230FF1" w:rsidP="00EA4E1B">
      <w:pPr>
        <w:pStyle w:val="BBAuthorName"/>
        <w:spacing w:after="120"/>
        <w:ind w:right="0"/>
        <w:jc w:val="both"/>
        <w:rPr>
          <w:rFonts w:ascii="Times New Roman" w:hAnsi="Times New Roman"/>
          <w:sz w:val="20"/>
          <w:lang w:val="pt-BR"/>
        </w:rPr>
      </w:pPr>
      <w:r>
        <w:rPr>
          <w:rFonts w:ascii="Times New Roman" w:hAnsi="Times New Roman"/>
          <w:sz w:val="20"/>
          <w:lang w:val="pt-BR"/>
        </w:rPr>
        <w:t>Ana Carla Specht Boeira*, Arthur Motta de Andrade, Márcia Messias da Silva, Maria do Carmo Rangel</w:t>
      </w:r>
      <w:r w:rsidR="00EA4E1B" w:rsidRPr="001F25B2">
        <w:rPr>
          <w:rFonts w:ascii="Times New Roman" w:hAnsi="Times New Roman"/>
          <w:sz w:val="20"/>
          <w:vertAlign w:val="superscript"/>
          <w:lang w:val="pt-BR"/>
        </w:rPr>
        <w:t>1</w:t>
      </w:r>
    </w:p>
    <w:p w14:paraId="22D38595" w14:textId="30C485C5" w:rsidR="00EA4E1B" w:rsidRDefault="00EA4E1B" w:rsidP="00EA4E1B">
      <w:pPr>
        <w:pStyle w:val="BCAuthorAddress"/>
        <w:spacing w:after="0"/>
        <w:ind w:right="0"/>
        <w:jc w:val="both"/>
        <w:rPr>
          <w:lang w:val="pt-BR"/>
        </w:rPr>
      </w:pPr>
      <w:r>
        <w:rPr>
          <w:vertAlign w:val="superscript"/>
          <w:lang w:val="pt-BR"/>
        </w:rPr>
        <w:t>1</w:t>
      </w:r>
      <w:r w:rsidR="00230FF1">
        <w:rPr>
          <w:lang w:val="pt-BR"/>
        </w:rPr>
        <w:t>Universidade Federal do Rio Grande do Sul, 91501-970, Porto Alegre, RS, Brasil *ana_sboeira@hotmail.com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317397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317397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3C237D96" w:rsidR="00EA4E1B" w:rsidRPr="006568B5" w:rsidRDefault="00EA4E1B" w:rsidP="00EA4E1B">
      <w:pPr>
        <w:pStyle w:val="BDAbstract"/>
        <w:spacing w:before="0" w:after="0" w:line="240" w:lineRule="auto"/>
        <w:rPr>
          <w:rFonts w:ascii="Times New Roman" w:hAnsi="Times New Roman"/>
          <w:b w:val="0"/>
          <w:sz w:val="20"/>
          <w:lang w:val="pt-BR"/>
        </w:rPr>
      </w:pPr>
      <w:r w:rsidRPr="006568B5">
        <w:rPr>
          <w:rFonts w:ascii="Times New Roman" w:hAnsi="Times New Roman"/>
          <w:b w:val="0"/>
          <w:sz w:val="20"/>
          <w:lang w:val="pt-BR"/>
        </w:rPr>
        <w:t>RESUMO</w:t>
      </w:r>
      <w:r w:rsidR="00463D5F" w:rsidRPr="006568B5">
        <w:rPr>
          <w:rFonts w:ascii="Times New Roman" w:hAnsi="Times New Roman"/>
          <w:b w:val="0"/>
          <w:sz w:val="20"/>
          <w:lang w:val="pt-BR"/>
        </w:rPr>
        <w:t xml:space="preserve"> - O objetivo deste trabalho foi impregnar </w:t>
      </w:r>
      <w:r w:rsidR="002703FF" w:rsidRPr="006568B5">
        <w:rPr>
          <w:rFonts w:ascii="Times New Roman" w:hAnsi="Times New Roman"/>
          <w:b w:val="0"/>
          <w:sz w:val="20"/>
          <w:lang w:val="pt-BR"/>
        </w:rPr>
        <w:t>uma</w:t>
      </w:r>
      <w:r w:rsidR="00463D5F" w:rsidRPr="006568B5">
        <w:rPr>
          <w:rFonts w:ascii="Times New Roman" w:hAnsi="Times New Roman"/>
          <w:b w:val="0"/>
          <w:sz w:val="20"/>
          <w:lang w:val="pt-BR"/>
        </w:rPr>
        <w:t xml:space="preserve"> zeólita faujasita Y comercial com diferentes teores de níquel</w:t>
      </w:r>
      <w:r w:rsidR="00662C6F" w:rsidRPr="006568B5">
        <w:rPr>
          <w:rFonts w:ascii="Times New Roman" w:hAnsi="Times New Roman"/>
          <w:b w:val="0"/>
          <w:sz w:val="20"/>
          <w:lang w:val="pt-BR"/>
        </w:rPr>
        <w:t xml:space="preserve"> (3, 5 e 7 % (m/m)</w:t>
      </w:r>
      <w:r w:rsidR="002D5E61" w:rsidRPr="006568B5">
        <w:rPr>
          <w:rFonts w:ascii="Times New Roman" w:hAnsi="Times New Roman"/>
          <w:b w:val="0"/>
          <w:sz w:val="20"/>
          <w:lang w:val="pt-BR"/>
        </w:rPr>
        <w:t>)</w:t>
      </w:r>
      <w:r w:rsidR="00463D5F" w:rsidRPr="006568B5">
        <w:rPr>
          <w:rFonts w:ascii="Times New Roman" w:hAnsi="Times New Roman"/>
          <w:b w:val="0"/>
          <w:sz w:val="20"/>
          <w:lang w:val="pt-BR"/>
        </w:rPr>
        <w:t xml:space="preserve">, para a obtenção de </w:t>
      </w:r>
      <w:r w:rsidR="00F761C1" w:rsidRPr="006568B5">
        <w:rPr>
          <w:rFonts w:ascii="Times New Roman" w:hAnsi="Times New Roman"/>
          <w:b w:val="0"/>
          <w:sz w:val="20"/>
          <w:lang w:val="pt-BR"/>
        </w:rPr>
        <w:t>catalisadores</w:t>
      </w:r>
      <w:r w:rsidR="00463D5F" w:rsidRPr="006568B5">
        <w:rPr>
          <w:rFonts w:ascii="Times New Roman" w:hAnsi="Times New Roman"/>
          <w:b w:val="0"/>
          <w:sz w:val="20"/>
          <w:lang w:val="pt-BR"/>
        </w:rPr>
        <w:t xml:space="preserve"> </w:t>
      </w:r>
      <w:r w:rsidR="00703747" w:rsidRPr="006568B5">
        <w:rPr>
          <w:rFonts w:ascii="Times New Roman" w:hAnsi="Times New Roman"/>
          <w:b w:val="0"/>
          <w:sz w:val="20"/>
          <w:lang w:val="pt-BR"/>
        </w:rPr>
        <w:t>bifunciona</w:t>
      </w:r>
      <w:r w:rsidR="00B33B6C" w:rsidRPr="006568B5">
        <w:rPr>
          <w:rFonts w:ascii="Times New Roman" w:hAnsi="Times New Roman"/>
          <w:b w:val="0"/>
          <w:sz w:val="20"/>
          <w:lang w:val="pt-BR"/>
        </w:rPr>
        <w:t>is</w:t>
      </w:r>
      <w:r w:rsidR="00703747" w:rsidRPr="006568B5">
        <w:rPr>
          <w:rFonts w:ascii="Times New Roman" w:hAnsi="Times New Roman"/>
          <w:b w:val="0"/>
          <w:sz w:val="20"/>
          <w:lang w:val="pt-BR"/>
        </w:rPr>
        <w:t>, os quais foram avaliados na desoxigenação de óleo residual de fritura</w:t>
      </w:r>
      <w:r w:rsidR="00B856FE" w:rsidRPr="006568B5">
        <w:rPr>
          <w:rFonts w:ascii="Times New Roman" w:hAnsi="Times New Roman"/>
          <w:b w:val="0"/>
          <w:sz w:val="20"/>
          <w:lang w:val="pt-BR"/>
        </w:rPr>
        <w:t>, para obter bioquerosene de aviaçã</w:t>
      </w:r>
      <w:r w:rsidR="004D6E16" w:rsidRPr="006568B5">
        <w:rPr>
          <w:rFonts w:ascii="Times New Roman" w:hAnsi="Times New Roman"/>
          <w:b w:val="0"/>
          <w:sz w:val="20"/>
          <w:lang w:val="pt-BR"/>
        </w:rPr>
        <w:t>o</w:t>
      </w:r>
      <w:r w:rsidR="00703747" w:rsidRPr="006568B5">
        <w:rPr>
          <w:rFonts w:ascii="Times New Roman" w:hAnsi="Times New Roman"/>
          <w:b w:val="0"/>
          <w:sz w:val="20"/>
          <w:lang w:val="pt-BR"/>
        </w:rPr>
        <w:t>.</w:t>
      </w:r>
      <w:r w:rsidR="005D7664" w:rsidRPr="006568B5">
        <w:rPr>
          <w:rFonts w:ascii="Times New Roman" w:hAnsi="Times New Roman"/>
          <w:b w:val="0"/>
          <w:sz w:val="20"/>
          <w:lang w:val="pt-BR"/>
        </w:rPr>
        <w:t xml:space="preserve"> </w:t>
      </w:r>
      <w:r w:rsidR="004D6E16" w:rsidRPr="006568B5">
        <w:rPr>
          <w:rFonts w:ascii="Times New Roman" w:hAnsi="Times New Roman"/>
          <w:b w:val="0"/>
          <w:sz w:val="20"/>
          <w:lang w:val="pt-BR"/>
        </w:rPr>
        <w:t>O</w:t>
      </w:r>
      <w:r w:rsidR="00592A50" w:rsidRPr="006568B5">
        <w:rPr>
          <w:rFonts w:ascii="Times New Roman" w:hAnsi="Times New Roman"/>
          <w:b w:val="0"/>
          <w:sz w:val="20"/>
          <w:lang w:val="pt-BR"/>
        </w:rPr>
        <w:t xml:space="preserve">s estudos </w:t>
      </w:r>
      <w:r w:rsidR="00B33B6C" w:rsidRPr="006568B5">
        <w:rPr>
          <w:rFonts w:ascii="Times New Roman" w:hAnsi="Times New Roman"/>
          <w:b w:val="0"/>
          <w:sz w:val="20"/>
          <w:lang w:val="pt-BR"/>
        </w:rPr>
        <w:t xml:space="preserve">mostraram </w:t>
      </w:r>
      <w:r w:rsidR="00592A50" w:rsidRPr="006568B5">
        <w:rPr>
          <w:rFonts w:ascii="Times New Roman" w:hAnsi="Times New Roman"/>
          <w:b w:val="0"/>
          <w:sz w:val="20"/>
          <w:lang w:val="pt-BR"/>
        </w:rPr>
        <w:t xml:space="preserve">que </w:t>
      </w:r>
      <w:r w:rsidR="00B33B6C" w:rsidRPr="006568B5">
        <w:rPr>
          <w:rFonts w:ascii="Times New Roman" w:hAnsi="Times New Roman"/>
          <w:b w:val="0"/>
          <w:sz w:val="20"/>
          <w:lang w:val="pt-BR"/>
        </w:rPr>
        <w:t xml:space="preserve">eles </w:t>
      </w:r>
      <w:r w:rsidR="00AB6F2B" w:rsidRPr="006568B5">
        <w:rPr>
          <w:rFonts w:ascii="Times New Roman" w:hAnsi="Times New Roman"/>
          <w:b w:val="0"/>
          <w:sz w:val="20"/>
          <w:lang w:val="pt-BR"/>
        </w:rPr>
        <w:t xml:space="preserve">aumentaram </w:t>
      </w:r>
      <w:r w:rsidR="00592A50" w:rsidRPr="006568B5">
        <w:rPr>
          <w:rFonts w:ascii="Times New Roman" w:hAnsi="Times New Roman"/>
          <w:b w:val="0"/>
          <w:sz w:val="20"/>
          <w:lang w:val="pt-BR"/>
        </w:rPr>
        <w:t>a</w:t>
      </w:r>
      <w:r w:rsidR="00EE57B7" w:rsidRPr="006568B5">
        <w:rPr>
          <w:rFonts w:ascii="Times New Roman" w:hAnsi="Times New Roman"/>
          <w:b w:val="0"/>
          <w:sz w:val="20"/>
          <w:lang w:val="pt-BR"/>
        </w:rPr>
        <w:t xml:space="preserve"> </w:t>
      </w:r>
      <w:r w:rsidR="00730748" w:rsidRPr="006568B5">
        <w:rPr>
          <w:rFonts w:ascii="Times New Roman" w:hAnsi="Times New Roman"/>
          <w:b w:val="0"/>
          <w:sz w:val="20"/>
          <w:lang w:val="pt-BR"/>
        </w:rPr>
        <w:t>conversão</w:t>
      </w:r>
      <w:r w:rsidR="006568B5" w:rsidRPr="006568B5">
        <w:rPr>
          <w:rFonts w:ascii="Times New Roman" w:hAnsi="Times New Roman"/>
          <w:b w:val="0"/>
          <w:sz w:val="20"/>
          <w:lang w:val="pt-BR"/>
        </w:rPr>
        <w:t xml:space="preserve">, sendo aquele com 5% </w:t>
      </w:r>
      <w:r w:rsidR="004A1733">
        <w:rPr>
          <w:rFonts w:ascii="Times New Roman" w:hAnsi="Times New Roman"/>
          <w:b w:val="0"/>
          <w:sz w:val="20"/>
          <w:lang w:val="pt-BR"/>
        </w:rPr>
        <w:t xml:space="preserve">de </w:t>
      </w:r>
      <w:r w:rsidR="006568B5" w:rsidRPr="006568B5">
        <w:rPr>
          <w:rFonts w:ascii="Times New Roman" w:hAnsi="Times New Roman"/>
          <w:b w:val="0"/>
          <w:sz w:val="20"/>
          <w:lang w:val="pt-BR"/>
        </w:rPr>
        <w:t>Ni o mais eficiente</w:t>
      </w:r>
      <w:r w:rsidR="00AB6F2B" w:rsidRPr="006568B5">
        <w:rPr>
          <w:rFonts w:ascii="Times New Roman" w:hAnsi="Times New Roman"/>
          <w:b w:val="0"/>
          <w:sz w:val="20"/>
          <w:lang w:val="pt-BR"/>
        </w:rPr>
        <w:t>.</w:t>
      </w:r>
      <w:r w:rsidR="00B856FE" w:rsidRPr="006568B5">
        <w:rPr>
          <w:rFonts w:ascii="Times New Roman" w:hAnsi="Times New Roman"/>
          <w:b w:val="0"/>
          <w:sz w:val="20"/>
          <w:lang w:val="pt-BR"/>
        </w:rPr>
        <w:t xml:space="preserve"> </w:t>
      </w:r>
    </w:p>
    <w:p w14:paraId="79C9D5EC" w14:textId="77777777" w:rsidR="00A30B53" w:rsidRPr="006568B5" w:rsidRDefault="00A30B53" w:rsidP="00EA4E1B">
      <w:pPr>
        <w:pStyle w:val="BDAbstract"/>
        <w:spacing w:before="0" w:after="0" w:line="240" w:lineRule="auto"/>
        <w:rPr>
          <w:rFonts w:ascii="Times New Roman" w:hAnsi="Times New Roman"/>
          <w:b w:val="0"/>
          <w:i/>
          <w:sz w:val="20"/>
          <w:lang w:val="pt-BR"/>
        </w:rPr>
      </w:pPr>
    </w:p>
    <w:p w14:paraId="09B41B70" w14:textId="44E05929" w:rsidR="00EA4E1B" w:rsidRPr="006568B5" w:rsidRDefault="00EA4E1B" w:rsidP="00EA4E1B">
      <w:pPr>
        <w:pStyle w:val="BDAbstract"/>
        <w:spacing w:before="0" w:after="0" w:line="240" w:lineRule="auto"/>
        <w:rPr>
          <w:rFonts w:ascii="Times New Roman" w:hAnsi="Times New Roman"/>
          <w:b w:val="0"/>
          <w:sz w:val="20"/>
          <w:lang w:val="pt-BR"/>
        </w:rPr>
      </w:pPr>
      <w:r w:rsidRPr="006568B5">
        <w:rPr>
          <w:rFonts w:ascii="Times New Roman" w:hAnsi="Times New Roman"/>
          <w:b w:val="0"/>
          <w:i/>
          <w:sz w:val="20"/>
          <w:lang w:val="pt-BR"/>
        </w:rPr>
        <w:t xml:space="preserve">Palavras-chave: </w:t>
      </w:r>
      <w:r w:rsidR="00727B11" w:rsidRPr="006568B5">
        <w:rPr>
          <w:rFonts w:ascii="Times New Roman" w:hAnsi="Times New Roman"/>
          <w:b w:val="0"/>
          <w:i/>
          <w:sz w:val="20"/>
          <w:lang w:val="pt-BR"/>
        </w:rPr>
        <w:t>zeólita Y, óleo</w:t>
      </w:r>
      <w:r w:rsidR="00920741" w:rsidRPr="006568B5">
        <w:rPr>
          <w:rFonts w:ascii="Times New Roman" w:hAnsi="Times New Roman"/>
          <w:b w:val="0"/>
          <w:i/>
          <w:sz w:val="20"/>
          <w:lang w:val="pt-BR"/>
        </w:rPr>
        <w:t xml:space="preserve"> residual</w:t>
      </w:r>
      <w:r w:rsidR="00727B11" w:rsidRPr="006568B5">
        <w:rPr>
          <w:rFonts w:ascii="Times New Roman" w:hAnsi="Times New Roman"/>
          <w:b w:val="0"/>
          <w:i/>
          <w:sz w:val="20"/>
          <w:lang w:val="pt-BR"/>
        </w:rPr>
        <w:t xml:space="preserve"> de fritura, desoxigenação catalítica</w:t>
      </w:r>
      <w:r w:rsidR="00283560" w:rsidRPr="006568B5">
        <w:rPr>
          <w:rFonts w:ascii="Times New Roman" w:hAnsi="Times New Roman"/>
          <w:b w:val="0"/>
          <w:i/>
          <w:sz w:val="20"/>
          <w:lang w:val="pt-BR"/>
        </w:rPr>
        <w:t>, bioquerosene</w:t>
      </w:r>
      <w:r w:rsidR="0068430F" w:rsidRPr="006568B5">
        <w:rPr>
          <w:rFonts w:ascii="Times New Roman" w:hAnsi="Times New Roman"/>
          <w:b w:val="0"/>
          <w:i/>
          <w:sz w:val="20"/>
          <w:lang w:val="pt-BR"/>
        </w:rPr>
        <w:t>, níquel</w:t>
      </w:r>
    </w:p>
    <w:p w14:paraId="5D8D4445" w14:textId="11D77547" w:rsidR="00EA4E1B" w:rsidRPr="006568B5" w:rsidRDefault="00EA4E1B" w:rsidP="00EA4E1B">
      <w:pPr>
        <w:pStyle w:val="BDAbstract"/>
        <w:spacing w:before="0" w:after="0" w:line="240" w:lineRule="auto"/>
        <w:rPr>
          <w:rFonts w:ascii="Times New Roman" w:hAnsi="Times New Roman"/>
          <w:b w:val="0"/>
          <w:sz w:val="20"/>
          <w:lang w:val="pt-BR"/>
        </w:rPr>
      </w:pPr>
    </w:p>
    <w:p w14:paraId="686DB089" w14:textId="7DCF9704" w:rsidR="005D7664" w:rsidRPr="006568B5" w:rsidRDefault="00EA4E1B" w:rsidP="00A30B53">
      <w:pPr>
        <w:pStyle w:val="BDAbstract"/>
        <w:spacing w:before="0" w:after="0" w:line="240" w:lineRule="auto"/>
        <w:rPr>
          <w:rFonts w:ascii="Times New Roman" w:hAnsi="Times New Roman"/>
          <w:b w:val="0"/>
          <w:sz w:val="20"/>
        </w:rPr>
      </w:pPr>
      <w:r w:rsidRPr="006568B5">
        <w:rPr>
          <w:rFonts w:ascii="Times New Roman" w:hAnsi="Times New Roman"/>
          <w:b w:val="0"/>
          <w:sz w:val="20"/>
        </w:rPr>
        <w:t xml:space="preserve">ABSTRACT </w:t>
      </w:r>
      <w:r w:rsidR="002703FF" w:rsidRPr="006568B5">
        <w:rPr>
          <w:rFonts w:ascii="Times New Roman" w:hAnsi="Times New Roman"/>
          <w:b w:val="0"/>
          <w:sz w:val="20"/>
        </w:rPr>
        <w:t>–</w:t>
      </w:r>
      <w:r w:rsidRPr="006568B5">
        <w:rPr>
          <w:rFonts w:ascii="Times New Roman" w:hAnsi="Times New Roman"/>
          <w:b w:val="0"/>
          <w:sz w:val="20"/>
        </w:rPr>
        <w:t xml:space="preserve"> </w:t>
      </w:r>
      <w:r w:rsidR="005D7664" w:rsidRPr="006568B5">
        <w:rPr>
          <w:rFonts w:ascii="Times New Roman" w:hAnsi="Times New Roman"/>
          <w:b w:val="0"/>
          <w:sz w:val="20"/>
        </w:rPr>
        <w:t>The objective of this work was to impregnate a commercial faujasite Y zeolite with different nickel contents</w:t>
      </w:r>
      <w:r w:rsidR="002D5E61" w:rsidRPr="006568B5">
        <w:rPr>
          <w:rFonts w:ascii="Times New Roman" w:hAnsi="Times New Roman"/>
          <w:b w:val="0"/>
          <w:sz w:val="20"/>
        </w:rPr>
        <w:t xml:space="preserve"> (3, 5 e 7 % </w:t>
      </w:r>
      <w:r w:rsidR="00730748" w:rsidRPr="006568B5">
        <w:rPr>
          <w:rFonts w:ascii="Times New Roman" w:hAnsi="Times New Roman"/>
          <w:b w:val="0"/>
          <w:sz w:val="20"/>
        </w:rPr>
        <w:t>w/w)</w:t>
      </w:r>
      <w:r w:rsidR="005D7664" w:rsidRPr="006568B5">
        <w:rPr>
          <w:rFonts w:ascii="Times New Roman" w:hAnsi="Times New Roman"/>
          <w:b w:val="0"/>
          <w:sz w:val="20"/>
        </w:rPr>
        <w:t xml:space="preserve">, to obtain bifunctional catalysts, which were evaluated in the deoxygenation of residual frying oil, to obtain aviation biokerosene. </w:t>
      </w:r>
      <w:r w:rsidR="00283560" w:rsidRPr="006568B5">
        <w:rPr>
          <w:rFonts w:ascii="Times New Roman" w:hAnsi="Times New Roman"/>
          <w:b w:val="0"/>
          <w:sz w:val="20"/>
        </w:rPr>
        <w:t xml:space="preserve">Studies have shown that they increase </w:t>
      </w:r>
      <w:r w:rsidR="00D20037" w:rsidRPr="006568B5">
        <w:rPr>
          <w:rFonts w:ascii="Times New Roman" w:hAnsi="Times New Roman"/>
          <w:b w:val="0"/>
          <w:sz w:val="20"/>
        </w:rPr>
        <w:t xml:space="preserve">the </w:t>
      </w:r>
      <w:r w:rsidR="00D20E51">
        <w:rPr>
          <w:rFonts w:ascii="Times New Roman" w:hAnsi="Times New Roman"/>
          <w:b w:val="0"/>
          <w:sz w:val="20"/>
        </w:rPr>
        <w:t>efficiency</w:t>
      </w:r>
      <w:r w:rsidR="006568B5" w:rsidRPr="006568B5">
        <w:rPr>
          <w:rFonts w:ascii="Times New Roman" w:hAnsi="Times New Roman"/>
          <w:b w:val="0"/>
          <w:sz w:val="20"/>
        </w:rPr>
        <w:t>, the catalyst with 5% Ni being the most efficient</w:t>
      </w:r>
      <w:r w:rsidR="00283560" w:rsidRPr="006568B5">
        <w:rPr>
          <w:rFonts w:ascii="Times New Roman" w:hAnsi="Times New Roman"/>
          <w:b w:val="0"/>
          <w:sz w:val="20"/>
        </w:rPr>
        <w:t>.</w:t>
      </w:r>
    </w:p>
    <w:p w14:paraId="2B749E38" w14:textId="77777777" w:rsidR="005D7664" w:rsidRPr="006568B5" w:rsidRDefault="005D7664" w:rsidP="00A30B53">
      <w:pPr>
        <w:pStyle w:val="BDAbstract"/>
        <w:spacing w:before="0" w:after="0" w:line="240" w:lineRule="auto"/>
        <w:rPr>
          <w:rFonts w:ascii="Times New Roman" w:hAnsi="Times New Roman"/>
          <w:b w:val="0"/>
          <w:sz w:val="20"/>
        </w:rPr>
      </w:pPr>
    </w:p>
    <w:p w14:paraId="5F4A84E8" w14:textId="2DCA72EC" w:rsidR="00EA4E1B" w:rsidRPr="00920741" w:rsidRDefault="00EA4E1B" w:rsidP="00A30B53">
      <w:pPr>
        <w:pStyle w:val="BDAbstract"/>
        <w:spacing w:before="0" w:after="0" w:line="240" w:lineRule="auto"/>
        <w:rPr>
          <w:rFonts w:ascii="Times New Roman" w:hAnsi="Times New Roman"/>
          <w:b w:val="0"/>
          <w:i/>
          <w:sz w:val="20"/>
        </w:rPr>
      </w:pPr>
      <w:r w:rsidRPr="00920741">
        <w:rPr>
          <w:rFonts w:ascii="Times New Roman" w:hAnsi="Times New Roman"/>
          <w:b w:val="0"/>
          <w:i/>
          <w:sz w:val="20"/>
        </w:rPr>
        <w:t xml:space="preserve">Keywords: </w:t>
      </w:r>
      <w:r w:rsidR="00920741" w:rsidRPr="00920741">
        <w:rPr>
          <w:rFonts w:ascii="Times New Roman" w:hAnsi="Times New Roman"/>
          <w:b w:val="0"/>
          <w:i/>
          <w:sz w:val="20"/>
        </w:rPr>
        <w:t>Y zeolit</w:t>
      </w:r>
      <w:r w:rsidR="00EC54DC">
        <w:rPr>
          <w:rFonts w:ascii="Times New Roman" w:hAnsi="Times New Roman"/>
          <w:b w:val="0"/>
          <w:i/>
          <w:sz w:val="20"/>
        </w:rPr>
        <w:t>e</w:t>
      </w:r>
      <w:r w:rsidR="00920741" w:rsidRPr="00920741">
        <w:rPr>
          <w:rFonts w:ascii="Times New Roman" w:hAnsi="Times New Roman"/>
          <w:b w:val="0"/>
          <w:i/>
          <w:sz w:val="20"/>
        </w:rPr>
        <w:t>,</w:t>
      </w:r>
      <w:r w:rsidR="00920741">
        <w:rPr>
          <w:rFonts w:ascii="Times New Roman" w:hAnsi="Times New Roman"/>
          <w:b w:val="0"/>
          <w:i/>
          <w:sz w:val="20"/>
        </w:rPr>
        <w:t xml:space="preserve"> waste cooking oil, </w:t>
      </w:r>
      <w:r w:rsidR="00920741" w:rsidRPr="00920741">
        <w:rPr>
          <w:rFonts w:ascii="Times New Roman" w:hAnsi="Times New Roman"/>
          <w:b w:val="0"/>
          <w:i/>
          <w:sz w:val="20"/>
        </w:rPr>
        <w:t>catalytic d</w:t>
      </w:r>
      <w:r w:rsidR="00920741">
        <w:rPr>
          <w:rFonts w:ascii="Times New Roman" w:hAnsi="Times New Roman"/>
          <w:b w:val="0"/>
          <w:i/>
          <w:sz w:val="20"/>
        </w:rPr>
        <w:t>eoxygenation</w:t>
      </w:r>
      <w:r w:rsidR="0068430F">
        <w:rPr>
          <w:rFonts w:ascii="Times New Roman" w:hAnsi="Times New Roman"/>
          <w:b w:val="0"/>
          <w:i/>
          <w:sz w:val="20"/>
        </w:rPr>
        <w:t>, biokerosene, nickel</w:t>
      </w:r>
    </w:p>
    <w:bookmarkEnd w:id="1"/>
    <w:p w14:paraId="48D9B0C4" w14:textId="77777777" w:rsidR="00EA4E1B" w:rsidRPr="00920741" w:rsidRDefault="00EA4E1B" w:rsidP="00EA4E1B">
      <w:pPr>
        <w:rPr>
          <w:lang w:val="en-US"/>
        </w:rPr>
        <w:sectPr w:rsidR="00EA4E1B" w:rsidRPr="00920741"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5956A5">
        <w:rPr>
          <w:rFonts w:ascii="Helvetica" w:hAnsi="Helvetica" w:cs="Helvetica"/>
          <w:sz w:val="24"/>
          <w:szCs w:val="24"/>
        </w:rPr>
        <w:t>Introdução</w:t>
      </w:r>
    </w:p>
    <w:p w14:paraId="30FDD39B" w14:textId="0CEBC1AD" w:rsidR="00BF6BFE" w:rsidRDefault="00BF6BFE" w:rsidP="009B3EFE">
      <w:pPr>
        <w:pStyle w:val="TAMainText"/>
        <w:rPr>
          <w:rFonts w:ascii="Times New Roman" w:hAnsi="Times New Roman"/>
          <w:lang w:val="pt-BR"/>
        </w:rPr>
      </w:pPr>
      <w:r>
        <w:rPr>
          <w:rFonts w:ascii="Times New Roman" w:hAnsi="Times New Roman"/>
          <w:lang w:val="pt-BR"/>
        </w:rPr>
        <w:t>As z</w:t>
      </w:r>
      <w:r w:rsidR="004369A9">
        <w:rPr>
          <w:rFonts w:ascii="Times New Roman" w:hAnsi="Times New Roman"/>
          <w:lang w:val="pt-BR"/>
        </w:rPr>
        <w:t xml:space="preserve">eólitas são materiais </w:t>
      </w:r>
      <w:r w:rsidR="00EA0F87">
        <w:rPr>
          <w:rFonts w:ascii="Times New Roman" w:hAnsi="Times New Roman"/>
          <w:lang w:val="pt-BR"/>
        </w:rPr>
        <w:t xml:space="preserve">microporosos </w:t>
      </w:r>
      <w:r w:rsidR="004369A9">
        <w:rPr>
          <w:rFonts w:ascii="Times New Roman" w:hAnsi="Times New Roman"/>
          <w:lang w:val="pt-BR"/>
        </w:rPr>
        <w:t xml:space="preserve">amplamente </w:t>
      </w:r>
      <w:r>
        <w:rPr>
          <w:rFonts w:ascii="Times New Roman" w:hAnsi="Times New Roman"/>
          <w:lang w:val="pt-BR"/>
        </w:rPr>
        <w:t>usados</w:t>
      </w:r>
      <w:r w:rsidR="004369A9">
        <w:rPr>
          <w:rFonts w:ascii="Times New Roman" w:hAnsi="Times New Roman"/>
          <w:lang w:val="pt-BR"/>
        </w:rPr>
        <w:t xml:space="preserve"> na área de catálise</w:t>
      </w:r>
      <w:r w:rsidR="009602A4">
        <w:rPr>
          <w:rFonts w:ascii="Times New Roman" w:hAnsi="Times New Roman"/>
          <w:lang w:val="pt-BR"/>
        </w:rPr>
        <w:t xml:space="preserve">. </w:t>
      </w:r>
      <w:r w:rsidR="002755D7">
        <w:rPr>
          <w:rFonts w:ascii="Times New Roman" w:hAnsi="Times New Roman"/>
          <w:lang w:val="pt-BR"/>
        </w:rPr>
        <w:t>Suas</w:t>
      </w:r>
      <w:r w:rsidR="009602A4">
        <w:rPr>
          <w:rFonts w:ascii="Times New Roman" w:hAnsi="Times New Roman"/>
          <w:lang w:val="pt-BR"/>
        </w:rPr>
        <w:t xml:space="preserve"> </w:t>
      </w:r>
      <w:r w:rsidR="002755D7">
        <w:rPr>
          <w:rFonts w:ascii="Times New Roman" w:hAnsi="Times New Roman"/>
          <w:lang w:val="pt-BR"/>
        </w:rPr>
        <w:t>propriedade</w:t>
      </w:r>
      <w:r w:rsidR="009602A4">
        <w:rPr>
          <w:rFonts w:ascii="Times New Roman" w:hAnsi="Times New Roman"/>
          <w:lang w:val="pt-BR"/>
        </w:rPr>
        <w:t>s</w:t>
      </w:r>
      <w:r w:rsidR="009602A4" w:rsidRPr="009602A4">
        <w:rPr>
          <w:rFonts w:ascii="Times New Roman" w:hAnsi="Times New Roman"/>
          <w:lang w:val="pt-BR"/>
        </w:rPr>
        <w:t xml:space="preserve"> </w:t>
      </w:r>
      <w:r w:rsidR="009602A4">
        <w:rPr>
          <w:rFonts w:ascii="Times New Roman" w:hAnsi="Times New Roman"/>
          <w:lang w:val="pt-BR"/>
        </w:rPr>
        <w:t>intrínsecas</w:t>
      </w:r>
      <w:r w:rsidR="002755D7">
        <w:rPr>
          <w:rFonts w:ascii="Times New Roman" w:hAnsi="Times New Roman"/>
          <w:lang w:val="pt-BR"/>
        </w:rPr>
        <w:t>, como</w:t>
      </w:r>
      <w:r w:rsidR="009602A4">
        <w:rPr>
          <w:rFonts w:ascii="Times New Roman" w:hAnsi="Times New Roman"/>
          <w:lang w:val="pt-BR"/>
        </w:rPr>
        <w:t xml:space="preserve"> elevada</w:t>
      </w:r>
      <w:r w:rsidR="009602A4" w:rsidRPr="004369A9">
        <w:rPr>
          <w:rFonts w:ascii="Times New Roman" w:hAnsi="Times New Roman"/>
          <w:lang w:val="pt-BR"/>
        </w:rPr>
        <w:t xml:space="preserve"> </w:t>
      </w:r>
      <w:r w:rsidR="009602A4">
        <w:rPr>
          <w:rFonts w:ascii="Times New Roman" w:hAnsi="Times New Roman"/>
          <w:lang w:val="pt-BR"/>
        </w:rPr>
        <w:t>área superficial</w:t>
      </w:r>
      <w:r>
        <w:rPr>
          <w:rFonts w:ascii="Times New Roman" w:hAnsi="Times New Roman"/>
          <w:lang w:val="pt-BR"/>
        </w:rPr>
        <w:t xml:space="preserve"> específica</w:t>
      </w:r>
      <w:r w:rsidR="009602A4">
        <w:rPr>
          <w:rFonts w:ascii="Times New Roman" w:hAnsi="Times New Roman"/>
          <w:lang w:val="pt-BR"/>
        </w:rPr>
        <w:t xml:space="preserve">, acidez e estabilidade térmica, </w:t>
      </w:r>
      <w:r>
        <w:rPr>
          <w:rFonts w:ascii="Times New Roman" w:hAnsi="Times New Roman"/>
          <w:lang w:val="pt-BR"/>
        </w:rPr>
        <w:t xml:space="preserve">os tornam catalisadores ativos e seletivos </w:t>
      </w:r>
      <w:r w:rsidR="002755D7">
        <w:rPr>
          <w:rFonts w:ascii="Times New Roman" w:hAnsi="Times New Roman"/>
          <w:lang w:val="pt-BR"/>
        </w:rPr>
        <w:t>em processos de craqueamento,</w:t>
      </w:r>
      <w:r w:rsidR="009602A4">
        <w:rPr>
          <w:rFonts w:ascii="Times New Roman" w:hAnsi="Times New Roman"/>
          <w:lang w:val="pt-BR"/>
        </w:rPr>
        <w:t xml:space="preserve"> </w:t>
      </w:r>
      <w:r w:rsidR="009B3EFE">
        <w:rPr>
          <w:rFonts w:ascii="Times New Roman" w:hAnsi="Times New Roman"/>
          <w:lang w:val="pt-BR"/>
        </w:rPr>
        <w:t xml:space="preserve">especialmente </w:t>
      </w:r>
      <w:r w:rsidR="00DB3825">
        <w:rPr>
          <w:rFonts w:ascii="Times New Roman" w:hAnsi="Times New Roman"/>
          <w:lang w:val="pt-BR"/>
        </w:rPr>
        <w:t>no melhoramento (</w:t>
      </w:r>
      <w:proofErr w:type="spellStart"/>
      <w:r w:rsidR="00DB3825" w:rsidRPr="00DE369F">
        <w:rPr>
          <w:rFonts w:ascii="Times New Roman" w:hAnsi="Times New Roman"/>
          <w:i/>
          <w:iCs/>
          <w:lang w:val="pt-BR"/>
        </w:rPr>
        <w:t>upgrading</w:t>
      </w:r>
      <w:proofErr w:type="spellEnd"/>
      <w:r w:rsidR="00DB3825">
        <w:rPr>
          <w:rFonts w:ascii="Times New Roman" w:hAnsi="Times New Roman"/>
          <w:lang w:val="pt-BR"/>
        </w:rPr>
        <w:t xml:space="preserve">) de óleos vegetais para </w:t>
      </w:r>
      <w:r w:rsidR="00EA0F87">
        <w:rPr>
          <w:rFonts w:ascii="Times New Roman" w:hAnsi="Times New Roman"/>
          <w:lang w:val="pt-BR"/>
        </w:rPr>
        <w:t xml:space="preserve">produção de biocombustíveis </w:t>
      </w:r>
      <w:r w:rsidR="00EA0F87">
        <w:rPr>
          <w:rFonts w:ascii="Times New Roman" w:hAnsi="Times New Roman"/>
          <w:lang w:val="pt-BR"/>
        </w:rPr>
        <w:fldChar w:fldCharType="begin" w:fldLock="1"/>
      </w:r>
      <w:r w:rsidR="00DE369F">
        <w:rPr>
          <w:rFonts w:ascii="Times New Roman" w:hAnsi="Times New Roman"/>
          <w:lang w:val="pt-BR"/>
        </w:rPr>
        <w:instrText>ADDIN CSL_CITATION {"citationItems":[{"id":"ITEM-1","itemData":{"DOI":"10.1016/j.jaap.2019.03.005","ISSN":"01652370","abstract":"Production of bio-jet fuel from triglycerides (TGs) based vegetable oils have recently received increased attention from research and industries because of its renewability and environmental benefits. Catalytic deoxygenation (DO) is a suitable way to produce bio-jet fuel from TGs. Presently, the main challenges faced by DO are the optimized selection of feedstocks, catalysts, reaction pathways and parameters. This review includes discussion on the feedstock and assessment of several potential catalysts: noble metals, sulphided, non-sulphided for DO of TGs. This assessment elucidates the model compounds of TGs, effect of operating parameters, potential catalysts and different DO reaction pathways to attain optimum yield and selectivity of desired products. In addition, some relevant discussion of TGs derived jet fuel specification, characteristics and fuel properties are also discussed. Overall, this review provides a comprehensive discussion on DO of TGs based vegetable oils in enhancing alternative jet fuel production in all relevant technical aspects.","author":[{"dropping-particle":"","family":"Khan","given":"Saima","non-dropping-particle":"","parse-names":false,"suffix":""},{"dropping-particle":"","family":"Kay Lup","given":"Andrew Ng","non-dropping-particle":"","parse-names":false,"suffix":""},{"dropping-particle":"","family":"Qureshi","given":"Khan Muhammad","non-dropping-particle":"","parse-names":false,"suffix":""},{"dropping-particle":"","family":"Abnisa","given":"Faisal","non-dropping-particle":"","parse-names":false,"suffix":""},{"dropping-particle":"","family":"Wan Daud","given":"Wan Mohd Ashri","non-dropping-particle":"","parse-names":false,"suffix":""},{"dropping-particle":"","family":"Patah","given":"Muhamad Fazly Abdul","non-dropping-particle":"","parse-names":false,"suffix":""}],"container-title":"Journal of Analytical and Applied Pyrolysis","id":"ITEM-1","issue":"November 2018","issued":{"date-parts":[["2019"]]},"page":"1-24","publisher":"Elsevier","title":"A review on deoxygenation of triglycerides for jet fuel range hydrocarbons","type":"article-journal","volume":"140"},"uris":["http://www.mendeley.com/documents/?uuid=f36585b2-d536-4a90-9f90-f94f32b3fd69"]}],"mendeley":{"formattedCitation":"(1)","plainTextFormattedCitation":"(1)","previouslyFormattedCitation":"(1)"},"properties":{"noteIndex":0},"schema":"https://github.com/citation-style-language/schema/raw/master/csl-citation.json"}</w:instrText>
      </w:r>
      <w:r w:rsidR="00EA0F87">
        <w:rPr>
          <w:rFonts w:ascii="Times New Roman" w:hAnsi="Times New Roman"/>
          <w:lang w:val="pt-BR"/>
        </w:rPr>
        <w:fldChar w:fldCharType="separate"/>
      </w:r>
      <w:r w:rsidR="00EA0F87" w:rsidRPr="00EA0F87">
        <w:rPr>
          <w:rFonts w:ascii="Times New Roman" w:hAnsi="Times New Roman"/>
          <w:noProof/>
          <w:lang w:val="pt-BR"/>
        </w:rPr>
        <w:t>(1)</w:t>
      </w:r>
      <w:r w:rsidR="00EA0F87">
        <w:rPr>
          <w:rFonts w:ascii="Times New Roman" w:hAnsi="Times New Roman"/>
          <w:lang w:val="pt-BR"/>
        </w:rPr>
        <w:fldChar w:fldCharType="end"/>
      </w:r>
      <w:r w:rsidR="004369A9">
        <w:rPr>
          <w:rFonts w:ascii="Times New Roman" w:hAnsi="Times New Roman"/>
          <w:lang w:val="pt-BR"/>
        </w:rPr>
        <w:t>.</w:t>
      </w:r>
      <w:r w:rsidR="00781DCA">
        <w:rPr>
          <w:rFonts w:ascii="Times New Roman" w:hAnsi="Times New Roman"/>
          <w:lang w:val="pt-BR"/>
        </w:rPr>
        <w:t xml:space="preserve"> </w:t>
      </w:r>
      <w:r w:rsidR="004369A9">
        <w:rPr>
          <w:rFonts w:ascii="Times New Roman" w:hAnsi="Times New Roman"/>
          <w:lang w:val="pt-BR"/>
        </w:rPr>
        <w:t xml:space="preserve"> </w:t>
      </w:r>
      <w:r w:rsidR="003431AC">
        <w:rPr>
          <w:rFonts w:ascii="Times New Roman" w:hAnsi="Times New Roman"/>
          <w:lang w:val="pt-BR"/>
        </w:rPr>
        <w:t xml:space="preserve">Visando aprimorar </w:t>
      </w:r>
      <w:r>
        <w:rPr>
          <w:rFonts w:ascii="Times New Roman" w:hAnsi="Times New Roman"/>
          <w:lang w:val="pt-BR"/>
        </w:rPr>
        <w:t xml:space="preserve">o desempenho </w:t>
      </w:r>
      <w:r w:rsidR="003431AC">
        <w:rPr>
          <w:rFonts w:ascii="Times New Roman" w:hAnsi="Times New Roman"/>
          <w:lang w:val="pt-BR"/>
        </w:rPr>
        <w:t>catalític</w:t>
      </w:r>
      <w:r>
        <w:rPr>
          <w:rFonts w:ascii="Times New Roman" w:hAnsi="Times New Roman"/>
          <w:lang w:val="pt-BR"/>
        </w:rPr>
        <w:t>o</w:t>
      </w:r>
      <w:r w:rsidR="003431AC">
        <w:rPr>
          <w:rFonts w:ascii="Times New Roman" w:hAnsi="Times New Roman"/>
          <w:lang w:val="pt-BR"/>
        </w:rPr>
        <w:t xml:space="preserve"> das zeólitas,</w:t>
      </w:r>
      <w:r w:rsidR="00803C9B">
        <w:rPr>
          <w:rFonts w:ascii="Times New Roman" w:hAnsi="Times New Roman"/>
          <w:lang w:val="pt-BR"/>
        </w:rPr>
        <w:t xml:space="preserve"> </w:t>
      </w:r>
      <w:r>
        <w:rPr>
          <w:rFonts w:ascii="Times New Roman" w:hAnsi="Times New Roman"/>
          <w:lang w:val="pt-BR"/>
        </w:rPr>
        <w:t xml:space="preserve">diversos </w:t>
      </w:r>
      <w:r w:rsidR="003431AC">
        <w:rPr>
          <w:rFonts w:ascii="Times New Roman" w:hAnsi="Times New Roman"/>
          <w:lang w:val="pt-BR"/>
        </w:rPr>
        <w:t>metais</w:t>
      </w:r>
      <w:r w:rsidR="00803C9B">
        <w:rPr>
          <w:rFonts w:ascii="Times New Roman" w:hAnsi="Times New Roman"/>
          <w:lang w:val="pt-BR"/>
        </w:rPr>
        <w:t xml:space="preserve"> ativos </w:t>
      </w:r>
      <w:r w:rsidR="003431AC">
        <w:rPr>
          <w:rFonts w:ascii="Times New Roman" w:hAnsi="Times New Roman"/>
          <w:lang w:val="pt-BR"/>
        </w:rPr>
        <w:t>podem ser incorporados</w:t>
      </w:r>
      <w:r w:rsidR="00DB3825">
        <w:rPr>
          <w:rFonts w:ascii="Times New Roman" w:hAnsi="Times New Roman"/>
          <w:lang w:val="pt-BR"/>
        </w:rPr>
        <w:t xml:space="preserve"> </w:t>
      </w:r>
      <w:r w:rsidR="00803C9B">
        <w:rPr>
          <w:rFonts w:ascii="Times New Roman" w:hAnsi="Times New Roman"/>
          <w:lang w:val="pt-BR"/>
        </w:rPr>
        <w:t>em sua</w:t>
      </w:r>
      <w:r w:rsidR="00DB3825">
        <w:rPr>
          <w:rFonts w:ascii="Times New Roman" w:hAnsi="Times New Roman"/>
          <w:lang w:val="pt-BR"/>
        </w:rPr>
        <w:t xml:space="preserve"> estrutura</w:t>
      </w:r>
      <w:r>
        <w:rPr>
          <w:rFonts w:ascii="Times New Roman" w:hAnsi="Times New Roman"/>
          <w:lang w:val="pt-BR"/>
        </w:rPr>
        <w:t>, originando os c</w:t>
      </w:r>
      <w:r w:rsidR="003431AC">
        <w:rPr>
          <w:rFonts w:ascii="Times New Roman" w:hAnsi="Times New Roman"/>
          <w:lang w:val="pt-BR"/>
        </w:rPr>
        <w:t>atalisadores bifuncionais</w:t>
      </w:r>
      <w:r>
        <w:rPr>
          <w:rFonts w:ascii="Times New Roman" w:hAnsi="Times New Roman"/>
          <w:lang w:val="pt-BR"/>
        </w:rPr>
        <w:t xml:space="preserve">. </w:t>
      </w:r>
    </w:p>
    <w:p w14:paraId="6D060C97" w14:textId="489FB1EC" w:rsidR="00452EE1" w:rsidRDefault="00BF6BFE" w:rsidP="009B3EFE">
      <w:pPr>
        <w:pStyle w:val="TAMainText"/>
        <w:rPr>
          <w:rFonts w:ascii="Times New Roman" w:hAnsi="Times New Roman"/>
          <w:lang w:val="pt-BR"/>
        </w:rPr>
      </w:pPr>
      <w:r>
        <w:rPr>
          <w:rFonts w:ascii="Times New Roman" w:hAnsi="Times New Roman"/>
          <w:lang w:val="pt-BR"/>
        </w:rPr>
        <w:t>Neste trabalho, catalisadores de níquel suportados na zeólita Y comercial foram avaliados na desoxigenação catalítica de óleo residual de fritura</w:t>
      </w:r>
      <w:r w:rsidR="007D2FA7">
        <w:rPr>
          <w:rFonts w:ascii="Times New Roman" w:hAnsi="Times New Roman"/>
          <w:lang w:val="pt-BR"/>
        </w:rPr>
        <w:t>, para produzir bioquerosene</w:t>
      </w:r>
      <w:r>
        <w:rPr>
          <w:rFonts w:ascii="Times New Roman" w:hAnsi="Times New Roman"/>
          <w:lang w:val="pt-BR"/>
        </w:rPr>
        <w:t xml:space="preserve">. Este sistema ainda não foi estudado nessa reação, mas a </w:t>
      </w:r>
      <w:r w:rsidR="00250AAC">
        <w:rPr>
          <w:rFonts w:ascii="Times New Roman" w:hAnsi="Times New Roman"/>
          <w:lang w:val="pt-BR"/>
        </w:rPr>
        <w:t xml:space="preserve"> ef</w:t>
      </w:r>
      <w:r w:rsidR="00803C9B">
        <w:rPr>
          <w:rFonts w:ascii="Times New Roman" w:hAnsi="Times New Roman"/>
          <w:lang w:val="pt-BR"/>
        </w:rPr>
        <w:t xml:space="preserve">iciência deste metal </w:t>
      </w:r>
      <w:r>
        <w:rPr>
          <w:rFonts w:ascii="Times New Roman" w:hAnsi="Times New Roman"/>
          <w:lang w:val="pt-BR"/>
        </w:rPr>
        <w:t xml:space="preserve">é bem conhecida </w:t>
      </w:r>
      <w:r w:rsidR="00663F4C">
        <w:rPr>
          <w:rFonts w:ascii="Times New Roman" w:hAnsi="Times New Roman"/>
          <w:lang w:val="pt-BR"/>
        </w:rPr>
        <w:t>em reações de hidrogenação e desidrogenação</w:t>
      </w:r>
      <w:r w:rsidR="00DE369F">
        <w:rPr>
          <w:rFonts w:ascii="Times New Roman" w:hAnsi="Times New Roman"/>
          <w:lang w:val="pt-BR"/>
        </w:rPr>
        <w:t xml:space="preserve"> </w:t>
      </w:r>
      <w:r w:rsidR="00DE369F">
        <w:rPr>
          <w:rFonts w:ascii="Times New Roman" w:hAnsi="Times New Roman"/>
          <w:lang w:val="pt-BR"/>
        </w:rPr>
        <w:fldChar w:fldCharType="begin" w:fldLock="1"/>
      </w:r>
      <w:r w:rsidR="00DE369F">
        <w:rPr>
          <w:rFonts w:ascii="Times New Roman" w:hAnsi="Times New Roman"/>
          <w:lang w:val="pt-BR"/>
        </w:rPr>
        <w:instrText>ADDIN CSL_CITATION {"citationItems":[{"id":"ITEM-1","itemData":{"DOI":"10.1016/j.fuel.2021.120472","ISSN":"00162361","abstract":"According to the regulation announced by International Air Transport Association to reduce greenhouse gas emissions, there are many attempts to produce bio-jet fuels from natural oils to replace, at least in part, the fossil fuels. However, bio-jet fuels usually suffer from poor cold flow properties. Hence, this research aimed to convert palm olein to bio-jet fuel range with high content of iso-alkanes via hydroconversion over nickel (Ni)/zeolite-based catalysts. The levels of liquid biofuels classified as bio-gasoline, bio-jet and green diesel, including the selectivity for chemical compositions were evaluated. Under 40 bar initial H2 pressure at 360 °C for 4 h, the use of Ni/NH4-Beta catalysts (Ni content = 10 wt%) provided the maximum iso-/n-alkane ratio at 1.67 with a bio-jet yield of 20.8 wt%. The schematic reaction mechanism for this process was also proposed. The incorporation of platinum (Pt) into the Ni/NH4-Beta catalysts to a Pt/(Pt + Ni) wt ratio of 0.24 increased the bio-jet yield to 28.7 wt% with iso-/n-alkane ratio of 1.02. Differential scanning calorimetry thermograms indicated that the freezing temperature (Tf) of the biofuels decreased with increasing iso-/n-alkane ratio, where the Tf of the liquid biofuels with iso-/n-alkane ratio &gt; 1.00 was not observed. For the biofuels/fossil jet fuel (Jet A-1) blends, the use of biofuels having iso-/n-alkane ratio of 1.67 could be blended with Jet A-1 up to 50/50 (v/v) and the Tf of the blended jet fuel was found at ca. −80 °C, which was lower than the limitation according to ASTM D1655-04a (−47 °C).","author":[{"dropping-particle":"","family":"Chintakanan","given":"Pachara","non-dropping-particle":"","parse-names":false,"suffix":""},{"dropping-particle":"","family":"Vitidsant","given":"Tharapong","non-dropping-particle":"","parse-names":false,"suffix":""},{"dropping-particle":"","family":"Reubroycharoen","given":"Prasert","non-dropping-particle":"","parse-names":false,"suffix":""},{"dropping-particle":"","family":"Kuchonthara","given":"Prapan","non-dropping-particle":"","parse-names":false,"suffix":""},{"dropping-particle":"","family":"Kida","given":"Tetsuya","non-dropping-particle":"","parse-names":false,"suffix":""},{"dropping-particle":"","family":"Hinchiranan","given":"Napida","non-dropping-particle":"","parse-names":false,"suffix":""}],"container-title":"Fuel","id":"ITEM-1","issue":"February","issued":{"date-parts":[["2021"]]},"page":"120472","publisher":"Elsevier Ltd","title":"Bio-jet fuel range in biofuels derived from hydroconversion of palm olein over Ni/zeolite catalysts and freezing point of biofuels/Jet A-1 blends","type":"article-journal","volume":"293"},"uris":["http://www.mendeley.com/documents/?uuid=b3ab523c-16d6-492c-9b47-5afc7c0971e3"]}],"mendeley":{"formattedCitation":"(2)","plainTextFormattedCitation":"(2)"},"properties":{"noteIndex":0},"schema":"https://github.com/citation-style-language/schema/raw/master/csl-citation.json"}</w:instrText>
      </w:r>
      <w:r w:rsidR="00DE369F">
        <w:rPr>
          <w:rFonts w:ascii="Times New Roman" w:hAnsi="Times New Roman"/>
          <w:lang w:val="pt-BR"/>
        </w:rPr>
        <w:fldChar w:fldCharType="separate"/>
      </w:r>
      <w:r w:rsidR="00DE369F" w:rsidRPr="00DE369F">
        <w:rPr>
          <w:rFonts w:ascii="Times New Roman" w:hAnsi="Times New Roman"/>
          <w:noProof/>
          <w:lang w:val="pt-BR"/>
        </w:rPr>
        <w:t>(2)</w:t>
      </w:r>
      <w:r w:rsidR="00DE369F">
        <w:rPr>
          <w:rFonts w:ascii="Times New Roman" w:hAnsi="Times New Roman"/>
          <w:lang w:val="pt-BR"/>
        </w:rPr>
        <w:fldChar w:fldCharType="end"/>
      </w:r>
      <w:r w:rsidR="00663F4C">
        <w:rPr>
          <w:rFonts w:ascii="Times New Roman" w:hAnsi="Times New Roman"/>
          <w:lang w:val="pt-BR"/>
        </w:rPr>
        <w:t>.</w:t>
      </w:r>
    </w:p>
    <w:p w14:paraId="4AD22C76" w14:textId="77777777" w:rsidR="005956A5" w:rsidRPr="004369A9" w:rsidRDefault="005956A5" w:rsidP="009B3EFE">
      <w:pPr>
        <w:pStyle w:val="TAMainText"/>
        <w:rPr>
          <w:rFonts w:ascii="Times New Roman" w:hAnsi="Times New Roman"/>
          <w:lang w:val="pt-BR"/>
        </w:rPr>
      </w:pPr>
    </w:p>
    <w:p w14:paraId="52FFAC79"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0E91A9F5" w14:textId="4C0DF4B0" w:rsidR="008E62B7" w:rsidRPr="001F25B2" w:rsidRDefault="00BF6BFE" w:rsidP="008E62B7">
      <w:pPr>
        <w:pStyle w:val="TAMainText"/>
        <w:ind w:firstLine="0"/>
        <w:rPr>
          <w:rFonts w:ascii="Times New Roman" w:hAnsi="Times New Roman"/>
          <w:i/>
          <w:lang w:val="pt-BR"/>
        </w:rPr>
      </w:pPr>
      <w:r>
        <w:rPr>
          <w:rFonts w:ascii="Times New Roman" w:hAnsi="Times New Roman"/>
          <w:i/>
          <w:lang w:val="pt-BR"/>
        </w:rPr>
        <w:t xml:space="preserve">Preparação dos catalisadores </w:t>
      </w:r>
    </w:p>
    <w:p w14:paraId="7C4D96FB" w14:textId="070D3730" w:rsidR="00CC15F2" w:rsidRDefault="00B536C7" w:rsidP="00BF6BFE">
      <w:pPr>
        <w:pStyle w:val="TAMainText"/>
        <w:ind w:firstLine="204"/>
        <w:rPr>
          <w:rFonts w:ascii="Times New Roman" w:hAnsi="Times New Roman"/>
          <w:lang w:val="pt-BR"/>
        </w:rPr>
      </w:pPr>
      <w:r>
        <w:rPr>
          <w:rFonts w:ascii="Times New Roman" w:hAnsi="Times New Roman"/>
          <w:lang w:val="pt-BR"/>
        </w:rPr>
        <w:t>A zeólita</w:t>
      </w:r>
      <w:r w:rsidR="00123019">
        <w:rPr>
          <w:rFonts w:ascii="Times New Roman" w:hAnsi="Times New Roman"/>
          <w:lang w:val="pt-BR"/>
        </w:rPr>
        <w:t xml:space="preserve"> faujasita</w:t>
      </w:r>
      <w:r>
        <w:rPr>
          <w:rFonts w:ascii="Times New Roman" w:hAnsi="Times New Roman"/>
          <w:lang w:val="pt-BR"/>
        </w:rPr>
        <w:t xml:space="preserve"> Y</w:t>
      </w:r>
      <w:r w:rsidR="00123019">
        <w:rPr>
          <w:rFonts w:ascii="Times New Roman" w:hAnsi="Times New Roman"/>
          <w:lang w:val="pt-BR"/>
        </w:rPr>
        <w:t xml:space="preserve"> (</w:t>
      </w:r>
      <w:r w:rsidR="00BF6BFE">
        <w:rPr>
          <w:rFonts w:ascii="Times New Roman" w:hAnsi="Times New Roman"/>
          <w:lang w:val="pt-BR"/>
        </w:rPr>
        <w:t>Si</w:t>
      </w:r>
      <w:r w:rsidR="00123019">
        <w:rPr>
          <w:rFonts w:ascii="Times New Roman" w:hAnsi="Times New Roman"/>
          <w:lang w:val="pt-BR"/>
        </w:rPr>
        <w:t>O</w:t>
      </w:r>
      <w:r w:rsidR="00123019">
        <w:rPr>
          <w:rFonts w:ascii="Times New Roman" w:hAnsi="Times New Roman"/>
          <w:vertAlign w:val="subscript"/>
          <w:lang w:val="pt-BR"/>
        </w:rPr>
        <w:t>2</w:t>
      </w:r>
      <w:r w:rsidR="00123019">
        <w:rPr>
          <w:rFonts w:ascii="Times New Roman" w:hAnsi="Times New Roman"/>
          <w:lang w:val="pt-BR"/>
        </w:rPr>
        <w:t>/Al</w:t>
      </w:r>
      <w:r w:rsidR="00123019">
        <w:rPr>
          <w:rFonts w:ascii="Times New Roman" w:hAnsi="Times New Roman"/>
          <w:vertAlign w:val="subscript"/>
          <w:lang w:val="pt-BR"/>
        </w:rPr>
        <w:t>2</w:t>
      </w:r>
      <w:r w:rsidR="00123019">
        <w:rPr>
          <w:rFonts w:ascii="Times New Roman" w:hAnsi="Times New Roman"/>
          <w:lang w:val="pt-BR"/>
        </w:rPr>
        <w:t>O</w:t>
      </w:r>
      <w:r w:rsidR="00123019">
        <w:rPr>
          <w:rFonts w:ascii="Times New Roman" w:hAnsi="Times New Roman"/>
          <w:vertAlign w:val="subscript"/>
          <w:lang w:val="pt-BR"/>
        </w:rPr>
        <w:t>3</w:t>
      </w:r>
      <w:r w:rsidR="00BF6BFE">
        <w:rPr>
          <w:rFonts w:ascii="Times New Roman" w:hAnsi="Times New Roman"/>
          <w:lang w:val="pt-BR"/>
        </w:rPr>
        <w:t xml:space="preserve"> (molar)</w:t>
      </w:r>
      <w:r w:rsidR="007B17DF">
        <w:rPr>
          <w:rFonts w:ascii="Times New Roman" w:hAnsi="Times New Roman"/>
          <w:lang w:val="pt-BR"/>
        </w:rPr>
        <w:t xml:space="preserve"> </w:t>
      </w:r>
      <w:r w:rsidR="00123019">
        <w:rPr>
          <w:rFonts w:ascii="Times New Roman" w:hAnsi="Times New Roman"/>
          <w:lang w:val="pt-BR"/>
        </w:rPr>
        <w:t xml:space="preserve">= 30, </w:t>
      </w:r>
      <w:r w:rsidR="00123019" w:rsidRPr="00123019">
        <w:rPr>
          <w:rFonts w:ascii="Times New Roman" w:hAnsi="Times New Roman"/>
          <w:lang w:val="pt-BR"/>
        </w:rPr>
        <w:t>Zeolyst International</w:t>
      </w:r>
      <w:r w:rsidR="00123019">
        <w:rPr>
          <w:rFonts w:ascii="Times New Roman" w:hAnsi="Times New Roman"/>
          <w:lang w:val="pt-BR"/>
        </w:rPr>
        <w:t>, EUA) foi impregnada por via úmida</w:t>
      </w:r>
      <w:r w:rsidR="0096722B">
        <w:rPr>
          <w:rFonts w:ascii="Times New Roman" w:hAnsi="Times New Roman"/>
          <w:lang w:val="pt-BR"/>
        </w:rPr>
        <w:t>,</w:t>
      </w:r>
      <w:r w:rsidR="00551FEC">
        <w:rPr>
          <w:rFonts w:ascii="Times New Roman" w:hAnsi="Times New Roman"/>
          <w:lang w:val="pt-BR"/>
        </w:rPr>
        <w:t xml:space="preserve"> </w:t>
      </w:r>
      <w:r w:rsidR="00123019">
        <w:rPr>
          <w:rFonts w:ascii="Times New Roman" w:hAnsi="Times New Roman"/>
          <w:lang w:val="pt-BR"/>
        </w:rPr>
        <w:t>com soluç</w:t>
      </w:r>
      <w:r w:rsidR="00BF6BFE">
        <w:rPr>
          <w:rFonts w:ascii="Times New Roman" w:hAnsi="Times New Roman"/>
          <w:lang w:val="pt-BR"/>
        </w:rPr>
        <w:t xml:space="preserve">ões </w:t>
      </w:r>
      <w:r w:rsidR="00123019">
        <w:rPr>
          <w:rFonts w:ascii="Times New Roman" w:hAnsi="Times New Roman"/>
          <w:lang w:val="pt-BR"/>
        </w:rPr>
        <w:t>de nitrato de níquel</w:t>
      </w:r>
      <w:r w:rsidR="00BF6BFE">
        <w:rPr>
          <w:rFonts w:ascii="Times New Roman" w:hAnsi="Times New Roman"/>
          <w:lang w:val="pt-BR"/>
        </w:rPr>
        <w:t xml:space="preserve">, para obter </w:t>
      </w:r>
      <w:r w:rsidR="00551FEC">
        <w:rPr>
          <w:rFonts w:ascii="Times New Roman" w:hAnsi="Times New Roman"/>
          <w:lang w:val="pt-BR"/>
        </w:rPr>
        <w:t>teor</w:t>
      </w:r>
      <w:r w:rsidR="00BF6BFE">
        <w:rPr>
          <w:rFonts w:ascii="Times New Roman" w:hAnsi="Times New Roman"/>
          <w:lang w:val="pt-BR"/>
        </w:rPr>
        <w:t>es</w:t>
      </w:r>
      <w:r w:rsidR="00551FEC">
        <w:rPr>
          <w:rFonts w:ascii="Times New Roman" w:hAnsi="Times New Roman"/>
          <w:lang w:val="pt-BR"/>
        </w:rPr>
        <w:t xml:space="preserve"> fina</w:t>
      </w:r>
      <w:r w:rsidR="00BF6BFE">
        <w:rPr>
          <w:rFonts w:ascii="Times New Roman" w:hAnsi="Times New Roman"/>
          <w:lang w:val="pt-BR"/>
        </w:rPr>
        <w:t xml:space="preserve">is </w:t>
      </w:r>
      <w:r w:rsidR="00551FEC">
        <w:rPr>
          <w:rFonts w:ascii="Times New Roman" w:hAnsi="Times New Roman"/>
          <w:lang w:val="pt-BR"/>
        </w:rPr>
        <w:t xml:space="preserve">de </w:t>
      </w:r>
      <w:r w:rsidR="00123019">
        <w:rPr>
          <w:rFonts w:ascii="Times New Roman" w:hAnsi="Times New Roman"/>
          <w:lang w:val="pt-BR"/>
        </w:rPr>
        <w:t>3, 5 e 7</w:t>
      </w:r>
      <w:r w:rsidR="00551FEC">
        <w:rPr>
          <w:rFonts w:ascii="Times New Roman" w:hAnsi="Times New Roman"/>
          <w:lang w:val="pt-BR"/>
        </w:rPr>
        <w:t xml:space="preserve"> </w:t>
      </w:r>
      <w:r w:rsidR="00123019">
        <w:rPr>
          <w:rFonts w:ascii="Times New Roman" w:hAnsi="Times New Roman"/>
          <w:lang w:val="pt-BR"/>
        </w:rPr>
        <w:t>%</w:t>
      </w:r>
      <w:r w:rsidR="00551FEC">
        <w:rPr>
          <w:rFonts w:ascii="Times New Roman" w:hAnsi="Times New Roman"/>
          <w:lang w:val="pt-BR"/>
        </w:rPr>
        <w:t xml:space="preserve"> </w:t>
      </w:r>
      <w:r w:rsidR="0096722B">
        <w:rPr>
          <w:rFonts w:ascii="Times New Roman" w:hAnsi="Times New Roman"/>
          <w:lang w:val="pt-BR"/>
        </w:rPr>
        <w:t xml:space="preserve">(m/m) </w:t>
      </w:r>
      <w:r w:rsidR="00551FEC">
        <w:rPr>
          <w:rFonts w:ascii="Times New Roman" w:hAnsi="Times New Roman"/>
          <w:lang w:val="pt-BR"/>
        </w:rPr>
        <w:t>de níquel</w:t>
      </w:r>
      <w:r w:rsidR="00BF6BFE">
        <w:rPr>
          <w:rFonts w:ascii="Times New Roman" w:hAnsi="Times New Roman"/>
          <w:lang w:val="pt-BR"/>
        </w:rPr>
        <w:t xml:space="preserve"> (Amostras </w:t>
      </w:r>
      <w:bookmarkStart w:id="2" w:name="_Hlk142045131"/>
      <w:r w:rsidR="00BF6BFE">
        <w:rPr>
          <w:rFonts w:ascii="Times New Roman" w:hAnsi="Times New Roman"/>
          <w:lang w:val="pt-BR"/>
        </w:rPr>
        <w:t>Y3Ni, Y5Ni e Y7Ni</w:t>
      </w:r>
      <w:bookmarkEnd w:id="2"/>
      <w:r w:rsidR="00BF6BFE">
        <w:rPr>
          <w:rFonts w:ascii="Times New Roman" w:hAnsi="Times New Roman"/>
          <w:lang w:val="pt-BR"/>
        </w:rPr>
        <w:t>)</w:t>
      </w:r>
      <w:r w:rsidR="00551FEC">
        <w:rPr>
          <w:rFonts w:ascii="Times New Roman" w:hAnsi="Times New Roman"/>
          <w:lang w:val="pt-BR"/>
        </w:rPr>
        <w:t xml:space="preserve">. </w:t>
      </w:r>
      <w:r w:rsidR="00BF6BFE">
        <w:rPr>
          <w:rFonts w:ascii="Times New Roman" w:hAnsi="Times New Roman"/>
          <w:lang w:val="pt-BR"/>
        </w:rPr>
        <w:t>As amostras</w:t>
      </w:r>
      <w:r w:rsidR="0096722B">
        <w:rPr>
          <w:rFonts w:ascii="Times New Roman" w:hAnsi="Times New Roman"/>
          <w:lang w:val="pt-BR"/>
        </w:rPr>
        <w:t xml:space="preserve"> foram sec</w:t>
      </w:r>
      <w:r w:rsidR="00BF6BFE">
        <w:rPr>
          <w:rFonts w:ascii="Times New Roman" w:hAnsi="Times New Roman"/>
          <w:lang w:val="pt-BR"/>
        </w:rPr>
        <w:t>a</w:t>
      </w:r>
      <w:r w:rsidR="0096722B">
        <w:rPr>
          <w:rFonts w:ascii="Times New Roman" w:hAnsi="Times New Roman"/>
          <w:lang w:val="pt-BR"/>
        </w:rPr>
        <w:t>s a 110 ºC por 24 h, e em seguida, calcinad</w:t>
      </w:r>
      <w:r w:rsidR="00BF6BFE">
        <w:rPr>
          <w:rFonts w:ascii="Times New Roman" w:hAnsi="Times New Roman"/>
          <w:lang w:val="pt-BR"/>
        </w:rPr>
        <w:t>a</w:t>
      </w:r>
      <w:r w:rsidR="0096722B">
        <w:rPr>
          <w:rFonts w:ascii="Times New Roman" w:hAnsi="Times New Roman"/>
          <w:lang w:val="pt-BR"/>
        </w:rPr>
        <w:t xml:space="preserve">s </w:t>
      </w:r>
      <w:r w:rsidR="00BF6BFE">
        <w:rPr>
          <w:rFonts w:ascii="Times New Roman" w:hAnsi="Times New Roman"/>
          <w:lang w:val="pt-BR"/>
        </w:rPr>
        <w:t>(2 ºC min</w:t>
      </w:r>
      <w:r w:rsidR="00BF6BFE">
        <w:rPr>
          <w:rFonts w:ascii="Times New Roman" w:hAnsi="Times New Roman"/>
          <w:vertAlign w:val="superscript"/>
          <w:lang w:val="pt-BR"/>
        </w:rPr>
        <w:t>-1</w:t>
      </w:r>
      <w:r w:rsidR="00BF6BFE">
        <w:rPr>
          <w:rFonts w:ascii="Times New Roman" w:hAnsi="Times New Roman"/>
          <w:lang w:val="pt-BR"/>
        </w:rPr>
        <w:t xml:space="preserve">) </w:t>
      </w:r>
      <w:r w:rsidR="0096722B">
        <w:rPr>
          <w:rFonts w:ascii="Times New Roman" w:hAnsi="Times New Roman"/>
          <w:lang w:val="pt-BR"/>
        </w:rPr>
        <w:t>a 550 °C durante 5 h.</w:t>
      </w:r>
      <w:r w:rsidR="00CD2B53">
        <w:rPr>
          <w:rFonts w:ascii="Times New Roman" w:hAnsi="Times New Roman"/>
          <w:lang w:val="pt-BR"/>
        </w:rPr>
        <w:t xml:space="preserve"> </w:t>
      </w:r>
      <w:r w:rsidR="00BF6BFE">
        <w:rPr>
          <w:rFonts w:ascii="Times New Roman" w:hAnsi="Times New Roman"/>
          <w:lang w:val="pt-BR"/>
        </w:rPr>
        <w:t xml:space="preserve">Os catalisadores obtidos, e a zeólita Y, </w:t>
      </w:r>
      <w:r w:rsidR="00CD2B53">
        <w:rPr>
          <w:rFonts w:ascii="Times New Roman" w:hAnsi="Times New Roman"/>
          <w:lang w:val="pt-BR"/>
        </w:rPr>
        <w:t>foram caracterizad</w:t>
      </w:r>
      <w:r w:rsidR="007B17DF">
        <w:rPr>
          <w:rFonts w:ascii="Times New Roman" w:hAnsi="Times New Roman"/>
          <w:lang w:val="pt-BR"/>
        </w:rPr>
        <w:t>o</w:t>
      </w:r>
      <w:r w:rsidR="00CD2B53">
        <w:rPr>
          <w:rFonts w:ascii="Times New Roman" w:hAnsi="Times New Roman"/>
          <w:lang w:val="pt-BR"/>
        </w:rPr>
        <w:t xml:space="preserve">s por difração de raios X </w:t>
      </w:r>
      <w:r w:rsidR="00F97CE4">
        <w:rPr>
          <w:rFonts w:ascii="Times New Roman" w:hAnsi="Times New Roman"/>
          <w:lang w:val="pt-BR"/>
        </w:rPr>
        <w:t>e</w:t>
      </w:r>
      <w:r w:rsidR="00CD2B53">
        <w:rPr>
          <w:rFonts w:ascii="Times New Roman" w:hAnsi="Times New Roman"/>
          <w:lang w:val="pt-BR"/>
        </w:rPr>
        <w:t xml:space="preserve"> </w:t>
      </w:r>
      <w:r w:rsidR="00BF6BFE">
        <w:rPr>
          <w:rFonts w:ascii="Times New Roman" w:hAnsi="Times New Roman"/>
          <w:lang w:val="pt-BR"/>
        </w:rPr>
        <w:t xml:space="preserve">por </w:t>
      </w:r>
      <w:r w:rsidR="00CD2B53">
        <w:rPr>
          <w:rFonts w:ascii="Times New Roman" w:hAnsi="Times New Roman"/>
          <w:lang w:val="pt-BR"/>
        </w:rPr>
        <w:t>fis</w:t>
      </w:r>
      <w:r w:rsidR="00BF6BFE">
        <w:rPr>
          <w:rFonts w:ascii="Times New Roman" w:hAnsi="Times New Roman"/>
          <w:lang w:val="pt-BR"/>
        </w:rPr>
        <w:t>i</w:t>
      </w:r>
      <w:r w:rsidR="00CD2B53">
        <w:rPr>
          <w:rFonts w:ascii="Times New Roman" w:hAnsi="Times New Roman"/>
          <w:lang w:val="pt-BR"/>
        </w:rPr>
        <w:t xml:space="preserve">ssorção de </w:t>
      </w:r>
      <w:r w:rsidR="00BF6BFE">
        <w:rPr>
          <w:rFonts w:ascii="Times New Roman" w:hAnsi="Times New Roman"/>
          <w:lang w:val="pt-BR"/>
        </w:rPr>
        <w:t>nitrogênio</w:t>
      </w:r>
      <w:r w:rsidR="00CD2B53">
        <w:rPr>
          <w:rFonts w:ascii="Times New Roman" w:hAnsi="Times New Roman"/>
          <w:lang w:val="pt-BR"/>
        </w:rPr>
        <w:t>.</w:t>
      </w:r>
      <w:r w:rsidR="0096722B">
        <w:rPr>
          <w:rFonts w:ascii="Times New Roman" w:hAnsi="Times New Roman"/>
          <w:lang w:val="pt-BR"/>
        </w:rPr>
        <w:t xml:space="preserve"> </w:t>
      </w:r>
    </w:p>
    <w:p w14:paraId="76EE53BE" w14:textId="77777777" w:rsidR="00907A67" w:rsidRDefault="00907A67" w:rsidP="00907A67">
      <w:pPr>
        <w:pStyle w:val="TAMainText"/>
        <w:rPr>
          <w:rFonts w:ascii="Times New Roman" w:hAnsi="Times New Roman"/>
          <w:i/>
          <w:lang w:val="pt-BR"/>
        </w:rPr>
      </w:pPr>
    </w:p>
    <w:p w14:paraId="35887134" w14:textId="037CB680" w:rsidR="00EA4E1B" w:rsidRPr="001F25B2" w:rsidRDefault="00E23C13" w:rsidP="00EA4E1B">
      <w:pPr>
        <w:pStyle w:val="TAMainText"/>
        <w:ind w:firstLine="0"/>
        <w:rPr>
          <w:rFonts w:ascii="Times New Roman" w:hAnsi="Times New Roman"/>
          <w:i/>
          <w:lang w:val="pt-BR"/>
        </w:rPr>
      </w:pPr>
      <w:r>
        <w:rPr>
          <w:rFonts w:ascii="Times New Roman" w:hAnsi="Times New Roman"/>
          <w:i/>
          <w:lang w:val="pt-BR"/>
        </w:rPr>
        <w:t>Reações</w:t>
      </w:r>
      <w:r w:rsidR="00052E54">
        <w:rPr>
          <w:rFonts w:ascii="Times New Roman" w:hAnsi="Times New Roman"/>
          <w:i/>
          <w:lang w:val="pt-BR"/>
        </w:rPr>
        <w:t xml:space="preserve"> de desoxigenação</w:t>
      </w:r>
      <w:r>
        <w:rPr>
          <w:rFonts w:ascii="Times New Roman" w:hAnsi="Times New Roman"/>
          <w:i/>
          <w:lang w:val="pt-BR"/>
        </w:rPr>
        <w:t xml:space="preserve"> catalítica</w:t>
      </w:r>
    </w:p>
    <w:p w14:paraId="3F8A25A0" w14:textId="47E4622E" w:rsidR="006F316C" w:rsidRDefault="00E23C13" w:rsidP="007B17DF">
      <w:pPr>
        <w:pStyle w:val="TAMainText"/>
        <w:rPr>
          <w:rFonts w:ascii="Times New Roman" w:hAnsi="Times New Roman"/>
          <w:lang w:val="pt-BR"/>
        </w:rPr>
      </w:pPr>
      <w:bookmarkStart w:id="3" w:name="_Hlk141277885"/>
      <w:r>
        <w:rPr>
          <w:rFonts w:ascii="Times New Roman" w:hAnsi="Times New Roman"/>
          <w:lang w:val="pt-BR"/>
        </w:rPr>
        <w:t>As reações</w:t>
      </w:r>
      <w:r w:rsidR="00052E54">
        <w:rPr>
          <w:rFonts w:ascii="Times New Roman" w:hAnsi="Times New Roman"/>
          <w:lang w:val="pt-BR"/>
        </w:rPr>
        <w:t xml:space="preserve"> de desoxigenação</w:t>
      </w:r>
      <w:r>
        <w:rPr>
          <w:rFonts w:ascii="Times New Roman" w:hAnsi="Times New Roman"/>
          <w:lang w:val="pt-BR"/>
        </w:rPr>
        <w:t xml:space="preserve"> catalítica foram realizadas em um reator Parr </w:t>
      </w:r>
      <w:r w:rsidR="00BF6BFE">
        <w:rPr>
          <w:rFonts w:ascii="Times New Roman" w:hAnsi="Times New Roman"/>
          <w:lang w:val="pt-BR"/>
        </w:rPr>
        <w:t>(</w:t>
      </w:r>
      <w:r w:rsidR="00907A67">
        <w:rPr>
          <w:rFonts w:ascii="Times New Roman" w:hAnsi="Times New Roman"/>
          <w:lang w:val="pt-BR"/>
        </w:rPr>
        <w:t>6</w:t>
      </w:r>
      <w:r>
        <w:rPr>
          <w:rFonts w:ascii="Times New Roman" w:hAnsi="Times New Roman"/>
          <w:lang w:val="pt-BR"/>
        </w:rPr>
        <w:t>0 m</w:t>
      </w:r>
      <w:r w:rsidR="00BF6BFE">
        <w:rPr>
          <w:rFonts w:ascii="Times New Roman" w:hAnsi="Times New Roman"/>
          <w:lang w:val="pt-BR"/>
        </w:rPr>
        <w:t xml:space="preserve">L), sobre os </w:t>
      </w:r>
      <w:r w:rsidR="00052E54">
        <w:rPr>
          <w:rFonts w:ascii="Times New Roman" w:hAnsi="Times New Roman"/>
          <w:lang w:val="pt-BR"/>
        </w:rPr>
        <w:t xml:space="preserve">catalisadores </w:t>
      </w:r>
      <w:r w:rsidR="00BF6BFE">
        <w:rPr>
          <w:rFonts w:ascii="Times New Roman" w:hAnsi="Times New Roman"/>
          <w:lang w:val="pt-BR"/>
        </w:rPr>
        <w:t>obtidos</w:t>
      </w:r>
      <w:r w:rsidR="00052E54">
        <w:rPr>
          <w:rFonts w:ascii="Times New Roman" w:hAnsi="Times New Roman"/>
          <w:lang w:val="pt-BR"/>
        </w:rPr>
        <w:t xml:space="preserve">. </w:t>
      </w:r>
      <w:r w:rsidR="00BF6BFE">
        <w:rPr>
          <w:rFonts w:ascii="Times New Roman" w:hAnsi="Times New Roman"/>
          <w:lang w:val="pt-BR"/>
        </w:rPr>
        <w:t xml:space="preserve">Em </w:t>
      </w:r>
      <w:r w:rsidR="00BF6766">
        <w:rPr>
          <w:rFonts w:ascii="Times New Roman" w:hAnsi="Times New Roman"/>
          <w:lang w:val="pt-BR"/>
        </w:rPr>
        <w:t xml:space="preserve">cada </w:t>
      </w:r>
      <w:r w:rsidR="00052E54">
        <w:rPr>
          <w:rFonts w:ascii="Times New Roman" w:hAnsi="Times New Roman"/>
          <w:lang w:val="pt-BR"/>
        </w:rPr>
        <w:t>teste</w:t>
      </w:r>
      <w:r w:rsidR="00BF6766">
        <w:rPr>
          <w:rFonts w:ascii="Times New Roman" w:hAnsi="Times New Roman"/>
          <w:lang w:val="pt-BR"/>
        </w:rPr>
        <w:t>, 3 % (m/m) de catalisador</w:t>
      </w:r>
      <w:r w:rsidR="00052E54">
        <w:rPr>
          <w:rFonts w:ascii="Times New Roman" w:hAnsi="Times New Roman"/>
          <w:lang w:val="pt-BR"/>
        </w:rPr>
        <w:t xml:space="preserve"> foi adicionado a 30 g de óleo residual de fritura</w:t>
      </w:r>
      <w:r w:rsidR="006F316C">
        <w:rPr>
          <w:rFonts w:ascii="Times New Roman" w:hAnsi="Times New Roman"/>
          <w:lang w:val="pt-BR"/>
        </w:rPr>
        <w:t xml:space="preserve"> (coletado em um restaurante local)</w:t>
      </w:r>
      <w:r w:rsidR="00052E54">
        <w:rPr>
          <w:rFonts w:ascii="Times New Roman" w:hAnsi="Times New Roman"/>
          <w:lang w:val="pt-BR"/>
        </w:rPr>
        <w:t>. O reator foi pressurizado com 40 bar de H</w:t>
      </w:r>
      <w:r w:rsidR="00052E54">
        <w:rPr>
          <w:rFonts w:ascii="Times New Roman" w:hAnsi="Times New Roman"/>
          <w:vertAlign w:val="subscript"/>
          <w:lang w:val="pt-BR"/>
        </w:rPr>
        <w:t>2</w:t>
      </w:r>
      <w:r w:rsidR="00052E54">
        <w:rPr>
          <w:rFonts w:ascii="Times New Roman" w:hAnsi="Times New Roman"/>
          <w:lang w:val="pt-BR"/>
        </w:rPr>
        <w:t xml:space="preserve">, e as reações foram </w:t>
      </w:r>
      <w:r w:rsidR="00704103">
        <w:rPr>
          <w:rFonts w:ascii="Times New Roman" w:hAnsi="Times New Roman"/>
          <w:lang w:val="pt-BR"/>
        </w:rPr>
        <w:t>realizadas por 4</w:t>
      </w:r>
      <w:r w:rsidR="00BF6BFE">
        <w:rPr>
          <w:rFonts w:ascii="Times New Roman" w:hAnsi="Times New Roman"/>
          <w:lang w:val="pt-BR"/>
        </w:rPr>
        <w:t xml:space="preserve"> </w:t>
      </w:r>
      <w:r w:rsidR="00704103">
        <w:rPr>
          <w:rFonts w:ascii="Times New Roman" w:hAnsi="Times New Roman"/>
          <w:lang w:val="pt-BR"/>
        </w:rPr>
        <w:t xml:space="preserve">h, </w:t>
      </w:r>
      <w:r w:rsidR="00BF6BFE">
        <w:rPr>
          <w:rFonts w:ascii="Times New Roman" w:hAnsi="Times New Roman"/>
          <w:lang w:val="pt-BR"/>
        </w:rPr>
        <w:t>a</w:t>
      </w:r>
      <w:r w:rsidR="00704103">
        <w:rPr>
          <w:rFonts w:ascii="Times New Roman" w:hAnsi="Times New Roman"/>
          <w:lang w:val="pt-BR"/>
        </w:rPr>
        <w:t xml:space="preserve"> 400 ºC</w:t>
      </w:r>
      <w:r w:rsidR="00BF6BFE">
        <w:rPr>
          <w:rFonts w:ascii="Times New Roman" w:hAnsi="Times New Roman"/>
          <w:lang w:val="pt-BR"/>
        </w:rPr>
        <w:t>, sob agitação (</w:t>
      </w:r>
      <w:r w:rsidR="00704103">
        <w:rPr>
          <w:rFonts w:ascii="Times New Roman" w:hAnsi="Times New Roman"/>
          <w:lang w:val="pt-BR"/>
        </w:rPr>
        <w:t>200 rpm</w:t>
      </w:r>
      <w:r w:rsidR="00BF6BFE">
        <w:rPr>
          <w:rFonts w:ascii="Times New Roman" w:hAnsi="Times New Roman"/>
          <w:lang w:val="pt-BR"/>
        </w:rPr>
        <w:t>)</w:t>
      </w:r>
      <w:r w:rsidR="00704103">
        <w:rPr>
          <w:rFonts w:ascii="Times New Roman" w:hAnsi="Times New Roman"/>
          <w:lang w:val="pt-BR"/>
        </w:rPr>
        <w:t>.</w:t>
      </w:r>
      <w:r w:rsidR="00BF6766">
        <w:rPr>
          <w:rFonts w:ascii="Times New Roman" w:hAnsi="Times New Roman"/>
          <w:lang w:val="pt-BR"/>
        </w:rPr>
        <w:t xml:space="preserve"> </w:t>
      </w:r>
      <w:r w:rsidR="00F87CF9">
        <w:rPr>
          <w:rFonts w:ascii="Times New Roman" w:hAnsi="Times New Roman"/>
          <w:lang w:val="pt-BR"/>
        </w:rPr>
        <w:t>Foi realizado, também, um</w:t>
      </w:r>
      <w:r w:rsidR="007B17DF">
        <w:rPr>
          <w:rFonts w:ascii="Times New Roman" w:hAnsi="Times New Roman"/>
          <w:lang w:val="pt-BR"/>
        </w:rPr>
        <w:t xml:space="preserve"> </w:t>
      </w:r>
      <w:r w:rsidR="006F316C">
        <w:rPr>
          <w:rFonts w:ascii="Times New Roman" w:hAnsi="Times New Roman"/>
          <w:lang w:val="pt-BR"/>
        </w:rPr>
        <w:t xml:space="preserve">teste comparativo </w:t>
      </w:r>
      <w:r w:rsidR="00344229">
        <w:rPr>
          <w:rFonts w:ascii="Times New Roman" w:hAnsi="Times New Roman"/>
          <w:lang w:val="pt-BR"/>
        </w:rPr>
        <w:t xml:space="preserve">nas mesmas condições de reação, porém na ausência de catalisador. </w:t>
      </w:r>
    </w:p>
    <w:p w14:paraId="155FA505" w14:textId="26785483" w:rsidR="00ED416D" w:rsidRDefault="00344229" w:rsidP="00516528">
      <w:pPr>
        <w:pStyle w:val="TAMainText"/>
        <w:rPr>
          <w:rFonts w:ascii="Times New Roman" w:hAnsi="Times New Roman"/>
          <w:lang w:val="pt-BR"/>
        </w:rPr>
      </w:pPr>
      <w:r>
        <w:rPr>
          <w:rFonts w:ascii="Times New Roman" w:hAnsi="Times New Roman"/>
          <w:lang w:val="pt-BR"/>
        </w:rPr>
        <w:t>Os produtos</w:t>
      </w:r>
      <w:r w:rsidR="00516528">
        <w:rPr>
          <w:rFonts w:ascii="Times New Roman" w:hAnsi="Times New Roman"/>
          <w:lang w:val="pt-BR"/>
        </w:rPr>
        <w:t xml:space="preserve"> líquidos</w:t>
      </w:r>
      <w:r>
        <w:rPr>
          <w:rFonts w:ascii="Times New Roman" w:hAnsi="Times New Roman"/>
          <w:lang w:val="pt-BR"/>
        </w:rPr>
        <w:t xml:space="preserve"> obtidos</w:t>
      </w:r>
      <w:r w:rsidR="00516528">
        <w:rPr>
          <w:rFonts w:ascii="Times New Roman" w:hAnsi="Times New Roman"/>
          <w:lang w:val="pt-BR"/>
        </w:rPr>
        <w:t xml:space="preserve"> e o óleo de partida </w:t>
      </w:r>
      <w:r>
        <w:rPr>
          <w:rFonts w:ascii="Times New Roman" w:hAnsi="Times New Roman"/>
          <w:lang w:val="pt-BR"/>
        </w:rPr>
        <w:t xml:space="preserve">foram analisados por </w:t>
      </w:r>
      <w:r w:rsidR="00516528">
        <w:rPr>
          <w:rFonts w:ascii="Times New Roman" w:hAnsi="Times New Roman"/>
          <w:lang w:val="pt-BR"/>
        </w:rPr>
        <w:t>espectrometria de infravermelho com transformada de Fourier (FTIR) para avaliar</w:t>
      </w:r>
      <w:r w:rsidR="00B16E3C">
        <w:rPr>
          <w:rFonts w:ascii="Times New Roman" w:hAnsi="Times New Roman"/>
          <w:lang w:val="pt-BR"/>
        </w:rPr>
        <w:t xml:space="preserve"> </w:t>
      </w:r>
      <w:r w:rsidR="00516528">
        <w:rPr>
          <w:rFonts w:ascii="Times New Roman" w:hAnsi="Times New Roman"/>
          <w:lang w:val="pt-BR"/>
        </w:rPr>
        <w:t xml:space="preserve">o grau de desoxigenação. Os espectros foram </w:t>
      </w:r>
      <w:r w:rsidR="00E84AC8">
        <w:rPr>
          <w:rFonts w:ascii="Times New Roman" w:hAnsi="Times New Roman"/>
          <w:lang w:val="pt-BR"/>
        </w:rPr>
        <w:t>coletados</w:t>
      </w:r>
      <w:r w:rsidR="00516528">
        <w:rPr>
          <w:rFonts w:ascii="Times New Roman" w:hAnsi="Times New Roman"/>
          <w:lang w:val="pt-BR"/>
        </w:rPr>
        <w:t xml:space="preserve"> em um </w:t>
      </w:r>
      <w:r w:rsidR="007F3061">
        <w:rPr>
          <w:rFonts w:ascii="Times New Roman" w:hAnsi="Times New Roman"/>
          <w:lang w:val="pt-BR"/>
        </w:rPr>
        <w:t>espectrofotômetro modelo Alpha-P, da Bruker Corporation, com 24 varreduras e resolução de 4 cm</w:t>
      </w:r>
      <w:r w:rsidR="007F3061">
        <w:rPr>
          <w:rFonts w:ascii="Times New Roman" w:hAnsi="Times New Roman"/>
          <w:vertAlign w:val="superscript"/>
          <w:lang w:val="pt-BR"/>
        </w:rPr>
        <w:t>-1</w:t>
      </w:r>
      <w:r w:rsidR="007F3061">
        <w:rPr>
          <w:rFonts w:ascii="Times New Roman" w:hAnsi="Times New Roman"/>
          <w:lang w:val="pt-BR"/>
        </w:rPr>
        <w:t>, utilizando uma célula</w:t>
      </w:r>
      <w:r w:rsidR="00E44009">
        <w:rPr>
          <w:rFonts w:ascii="Times New Roman" w:hAnsi="Times New Roman"/>
          <w:lang w:val="pt-BR"/>
        </w:rPr>
        <w:t xml:space="preserve"> de reflectância total atenuada (ATR) </w:t>
      </w:r>
      <w:r w:rsidR="007F3061">
        <w:rPr>
          <w:rFonts w:ascii="Times New Roman" w:hAnsi="Times New Roman"/>
          <w:lang w:val="pt-BR"/>
        </w:rPr>
        <w:t>de</w:t>
      </w:r>
      <w:r w:rsidR="00E44009">
        <w:rPr>
          <w:rFonts w:ascii="Times New Roman" w:hAnsi="Times New Roman"/>
          <w:lang w:val="pt-BR"/>
        </w:rPr>
        <w:t xml:space="preserve"> diamante de platina.</w:t>
      </w:r>
      <w:r w:rsidR="007F3061">
        <w:rPr>
          <w:rFonts w:ascii="Times New Roman" w:hAnsi="Times New Roman"/>
          <w:lang w:val="pt-BR"/>
        </w:rPr>
        <w:t xml:space="preserve"> </w:t>
      </w:r>
    </w:p>
    <w:p w14:paraId="6BCF2FA1" w14:textId="77777777" w:rsidR="00516528" w:rsidRPr="001F25B2" w:rsidRDefault="00516528" w:rsidP="00516528">
      <w:pPr>
        <w:pStyle w:val="TAMainText"/>
        <w:rPr>
          <w:rFonts w:ascii="Times New Roman" w:hAnsi="Times New Roman"/>
          <w:lang w:val="pt-BR"/>
        </w:rPr>
      </w:pPr>
    </w:p>
    <w:bookmarkEnd w:id="3"/>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14B6F11A" w14:textId="28544E3C" w:rsidR="00EA4E1B" w:rsidRDefault="0022597E" w:rsidP="0022597E">
      <w:pPr>
        <w:pStyle w:val="TAMainText"/>
        <w:ind w:firstLine="0"/>
        <w:rPr>
          <w:lang w:val="pt-BR"/>
        </w:rPr>
      </w:pPr>
      <w:r>
        <w:rPr>
          <w:rFonts w:ascii="Times New Roman" w:hAnsi="Times New Roman"/>
          <w:i/>
          <w:lang w:val="pt-BR"/>
        </w:rPr>
        <w:t>Caracterização das zeólitas</w:t>
      </w:r>
    </w:p>
    <w:p w14:paraId="307595D3" w14:textId="4C97362E" w:rsidR="00E038AF" w:rsidRDefault="0022597E" w:rsidP="0022597E">
      <w:pPr>
        <w:pStyle w:val="TAMainText"/>
        <w:ind w:firstLine="204"/>
        <w:rPr>
          <w:rFonts w:ascii="Times New Roman" w:hAnsi="Times New Roman"/>
          <w:lang w:val="pt-BR"/>
        </w:rPr>
      </w:pPr>
      <w:r>
        <w:rPr>
          <w:rFonts w:ascii="Times New Roman" w:hAnsi="Times New Roman"/>
          <w:lang w:val="pt-BR"/>
        </w:rPr>
        <w:t xml:space="preserve">A Figura 1 </w:t>
      </w:r>
      <w:r w:rsidR="00425FE6">
        <w:rPr>
          <w:rFonts w:ascii="Times New Roman" w:hAnsi="Times New Roman"/>
          <w:lang w:val="pt-BR"/>
        </w:rPr>
        <w:t xml:space="preserve">mostra os padrões de difração de raios X </w:t>
      </w:r>
      <w:r w:rsidR="00F87CF9">
        <w:rPr>
          <w:rFonts w:ascii="Times New Roman" w:hAnsi="Times New Roman"/>
          <w:lang w:val="pt-BR"/>
        </w:rPr>
        <w:t>d</w:t>
      </w:r>
      <w:r w:rsidR="00425FE6">
        <w:rPr>
          <w:rFonts w:ascii="Times New Roman" w:hAnsi="Times New Roman"/>
          <w:lang w:val="pt-BR"/>
        </w:rPr>
        <w:t>a  zeólita faujasita Y comercial e do</w:t>
      </w:r>
      <w:r w:rsidR="00F87CF9">
        <w:rPr>
          <w:rFonts w:ascii="Times New Roman" w:hAnsi="Times New Roman"/>
          <w:lang w:val="pt-BR"/>
        </w:rPr>
        <w:t xml:space="preserve">s catalisadores </w:t>
      </w:r>
      <w:r w:rsidR="00425FE6">
        <w:rPr>
          <w:rFonts w:ascii="Times New Roman" w:hAnsi="Times New Roman"/>
          <w:lang w:val="pt-BR"/>
        </w:rPr>
        <w:t xml:space="preserve">com diferentes teores de níquel. </w:t>
      </w:r>
      <w:r w:rsidR="00473240">
        <w:rPr>
          <w:rFonts w:ascii="Times New Roman" w:hAnsi="Times New Roman"/>
          <w:lang w:val="pt-BR"/>
        </w:rPr>
        <w:t>Todos os difratogramas apresentaram reflexões características do padrão de zeólita Y, localizadas em 2</w:t>
      </w:r>
      <w:r w:rsidR="00473240">
        <w:rPr>
          <w:rFonts w:ascii="Times New Roman" w:hAnsi="Times New Roman"/>
          <w:lang w:val="pt-BR"/>
        </w:rPr>
        <w:sym w:font="Symbol" w:char="F071"/>
      </w:r>
      <w:r w:rsidR="00473240">
        <w:rPr>
          <w:rFonts w:ascii="Times New Roman" w:hAnsi="Times New Roman"/>
          <w:lang w:val="pt-BR"/>
        </w:rPr>
        <w:t xml:space="preserve"> </w:t>
      </w:r>
      <w:r w:rsidR="00204CC7">
        <w:rPr>
          <w:rFonts w:ascii="Times New Roman" w:hAnsi="Times New Roman"/>
          <w:lang w:val="pt-BR"/>
        </w:rPr>
        <w:t>=</w:t>
      </w:r>
      <w:r w:rsidR="00473240">
        <w:rPr>
          <w:rFonts w:ascii="Times New Roman" w:hAnsi="Times New Roman"/>
          <w:lang w:val="pt-BR"/>
        </w:rPr>
        <w:t xml:space="preserve"> </w:t>
      </w:r>
      <w:r w:rsidR="009B539C">
        <w:rPr>
          <w:rFonts w:ascii="Times New Roman" w:hAnsi="Times New Roman"/>
          <w:lang w:val="pt-BR"/>
        </w:rPr>
        <w:t xml:space="preserve">6,2; 10,1; 11,8; </w:t>
      </w:r>
      <w:r w:rsidR="003E5831">
        <w:rPr>
          <w:rFonts w:ascii="Times New Roman" w:hAnsi="Times New Roman"/>
          <w:lang w:val="pt-BR"/>
        </w:rPr>
        <w:t>15,6; 18,6; 20,3 e 23,8º, correspondendo aos planos cristalinos (111), (220), (311), (331), (333), (440) e (622), respectivamente</w:t>
      </w:r>
      <w:r w:rsidR="005B302E">
        <w:rPr>
          <w:rFonts w:ascii="Times New Roman" w:hAnsi="Times New Roman"/>
          <w:lang w:val="pt-BR"/>
        </w:rPr>
        <w:t xml:space="preserve"> </w:t>
      </w:r>
      <w:r w:rsidR="005B302E">
        <w:rPr>
          <w:rFonts w:ascii="Times New Roman" w:hAnsi="Times New Roman"/>
          <w:lang w:val="pt-BR"/>
        </w:rPr>
        <w:fldChar w:fldCharType="begin" w:fldLock="1"/>
      </w:r>
      <w:r w:rsidR="00DE369F">
        <w:rPr>
          <w:rFonts w:ascii="Times New Roman" w:hAnsi="Times New Roman"/>
          <w:lang w:val="pt-BR"/>
        </w:rPr>
        <w:instrText>ADDIN CSL_CITATION {"citationItems":[{"id":"ITEM-1","itemData":{"ISSN":"03885585","PMID":"6557302","edition":"4th ed","editor":[{"dropping-particle":"","family":"Treacy","given":"M. M. J.; J. B. Higgins","non-dropping-particle":"","parse-names":false,"suffix":""}],"id":"ITEM-1","issued":{"date-parts":[["2001"]]},"number-of-pages":"1-586","publisher":"Elsevier","publisher-place":"Published on behalf of the Stucture Commision of the International Zeolite Association","title":"Collection of Simulated XRD Powder Patterns for Zeolites","type":"book"},"uris":["http://www.mendeley.com/documents/?uuid=4fbdb831-1df9-4205-8174-fb9afd590607"]}],"mendeley":{"formattedCitation":"(3)","plainTextFormattedCitation":"(3)","previouslyFormattedCitation":"(2)"},"properties":{"noteIndex":0},"schema":"https://github.com/citation-style-language/schema/raw/master/csl-citation.json"}</w:instrText>
      </w:r>
      <w:r w:rsidR="005B302E">
        <w:rPr>
          <w:rFonts w:ascii="Times New Roman" w:hAnsi="Times New Roman"/>
          <w:lang w:val="pt-BR"/>
        </w:rPr>
        <w:fldChar w:fldCharType="separate"/>
      </w:r>
      <w:r w:rsidR="00DE369F" w:rsidRPr="00DE369F">
        <w:rPr>
          <w:rFonts w:ascii="Times New Roman" w:hAnsi="Times New Roman"/>
          <w:noProof/>
          <w:lang w:val="pt-BR"/>
        </w:rPr>
        <w:t>(3)</w:t>
      </w:r>
      <w:r w:rsidR="005B302E">
        <w:rPr>
          <w:rFonts w:ascii="Times New Roman" w:hAnsi="Times New Roman"/>
          <w:lang w:val="pt-BR"/>
        </w:rPr>
        <w:fldChar w:fldCharType="end"/>
      </w:r>
      <w:r w:rsidR="003E5831">
        <w:rPr>
          <w:rFonts w:ascii="Times New Roman" w:hAnsi="Times New Roman"/>
          <w:lang w:val="pt-BR"/>
        </w:rPr>
        <w:t>.</w:t>
      </w:r>
      <w:r w:rsidR="00E15F89">
        <w:rPr>
          <w:rFonts w:ascii="Times New Roman" w:hAnsi="Times New Roman"/>
          <w:lang w:val="pt-BR"/>
        </w:rPr>
        <w:t xml:space="preserve"> A presença destas reflexões </w:t>
      </w:r>
      <w:r w:rsidR="00F87CF9">
        <w:rPr>
          <w:rFonts w:ascii="Times New Roman" w:hAnsi="Times New Roman"/>
          <w:lang w:val="pt-BR"/>
        </w:rPr>
        <w:t>confirma</w:t>
      </w:r>
      <w:r w:rsidR="00E15F89">
        <w:rPr>
          <w:rFonts w:ascii="Times New Roman" w:hAnsi="Times New Roman"/>
          <w:lang w:val="pt-BR"/>
        </w:rPr>
        <w:t xml:space="preserve"> que a estrutura da zeólita </w:t>
      </w:r>
      <w:r w:rsidR="00E15F89">
        <w:rPr>
          <w:rFonts w:ascii="Times New Roman" w:hAnsi="Times New Roman"/>
          <w:lang w:val="pt-BR"/>
        </w:rPr>
        <w:lastRenderedPageBreak/>
        <w:t>Y foi preservada</w:t>
      </w:r>
      <w:r w:rsidR="00405E6C">
        <w:rPr>
          <w:rFonts w:ascii="Times New Roman" w:hAnsi="Times New Roman"/>
          <w:lang w:val="pt-BR"/>
        </w:rPr>
        <w:t xml:space="preserve">, </w:t>
      </w:r>
      <w:r w:rsidR="00E15F89">
        <w:rPr>
          <w:rFonts w:ascii="Times New Roman" w:hAnsi="Times New Roman"/>
          <w:lang w:val="pt-BR"/>
        </w:rPr>
        <w:t>após a impregnação e o tratamento térmico.</w:t>
      </w:r>
      <w:r w:rsidR="00405E6C">
        <w:rPr>
          <w:rFonts w:ascii="Times New Roman" w:hAnsi="Times New Roman"/>
          <w:lang w:val="pt-BR"/>
        </w:rPr>
        <w:t xml:space="preserve"> Nos difratogramas do</w:t>
      </w:r>
      <w:r w:rsidR="00F87CF9">
        <w:rPr>
          <w:rFonts w:ascii="Times New Roman" w:hAnsi="Times New Roman"/>
          <w:lang w:val="pt-BR"/>
        </w:rPr>
        <w:t>s catalisadores com</w:t>
      </w:r>
      <w:r w:rsidR="00405E6C">
        <w:rPr>
          <w:rFonts w:ascii="Times New Roman" w:hAnsi="Times New Roman"/>
          <w:lang w:val="pt-BR"/>
        </w:rPr>
        <w:t xml:space="preserve"> teores </w:t>
      </w:r>
      <w:r w:rsidR="00F87CF9">
        <w:rPr>
          <w:rFonts w:ascii="Times New Roman" w:hAnsi="Times New Roman"/>
          <w:lang w:val="pt-BR"/>
        </w:rPr>
        <w:t xml:space="preserve">mais altos </w:t>
      </w:r>
      <w:r w:rsidR="00405E6C">
        <w:rPr>
          <w:rFonts w:ascii="Times New Roman" w:hAnsi="Times New Roman"/>
          <w:lang w:val="pt-BR"/>
        </w:rPr>
        <w:t>de níquel (Y5Ni e Y7Ni)</w:t>
      </w:r>
      <w:r w:rsidR="00404B1D">
        <w:rPr>
          <w:rFonts w:ascii="Times New Roman" w:hAnsi="Times New Roman"/>
          <w:lang w:val="pt-BR"/>
        </w:rPr>
        <w:t>,</w:t>
      </w:r>
      <w:r w:rsidR="00405E6C">
        <w:rPr>
          <w:rFonts w:ascii="Times New Roman" w:hAnsi="Times New Roman"/>
          <w:lang w:val="pt-BR"/>
        </w:rPr>
        <w:t xml:space="preserve"> </w:t>
      </w:r>
      <w:r w:rsidR="00F87CF9">
        <w:rPr>
          <w:rFonts w:ascii="Times New Roman" w:hAnsi="Times New Roman"/>
          <w:lang w:val="pt-BR"/>
        </w:rPr>
        <w:t>são observados</w:t>
      </w:r>
      <w:r w:rsidR="00405E6C">
        <w:rPr>
          <w:rFonts w:ascii="Times New Roman" w:hAnsi="Times New Roman"/>
          <w:lang w:val="pt-BR"/>
        </w:rPr>
        <w:t xml:space="preserve"> dois picos adicionais, em 2</w:t>
      </w:r>
      <w:r w:rsidR="00405E6C">
        <w:rPr>
          <w:rFonts w:ascii="Times New Roman" w:hAnsi="Times New Roman"/>
          <w:lang w:val="pt-BR"/>
        </w:rPr>
        <w:sym w:font="Symbol" w:char="F071"/>
      </w:r>
      <w:r w:rsidR="00405E6C">
        <w:rPr>
          <w:rFonts w:ascii="Times New Roman" w:hAnsi="Times New Roman"/>
          <w:lang w:val="pt-BR"/>
        </w:rPr>
        <w:t xml:space="preserve"> </w:t>
      </w:r>
      <w:r w:rsidR="00204CC7">
        <w:rPr>
          <w:rFonts w:ascii="Times New Roman" w:hAnsi="Times New Roman"/>
          <w:lang w:val="pt-BR"/>
        </w:rPr>
        <w:t>=</w:t>
      </w:r>
      <w:r w:rsidR="00405E6C">
        <w:rPr>
          <w:rFonts w:ascii="Times New Roman" w:hAnsi="Times New Roman"/>
          <w:lang w:val="pt-BR"/>
        </w:rPr>
        <w:t xml:space="preserve"> 37,2º e 43,3º, </w:t>
      </w:r>
      <w:r w:rsidR="00404B1D">
        <w:rPr>
          <w:rFonts w:ascii="Times New Roman" w:hAnsi="Times New Roman"/>
          <w:lang w:val="pt-BR"/>
        </w:rPr>
        <w:t>indicando a presença de cristais de óxido de níquel (</w:t>
      </w:r>
      <w:proofErr w:type="spellStart"/>
      <w:r w:rsidR="00404B1D">
        <w:rPr>
          <w:rFonts w:ascii="Times New Roman" w:hAnsi="Times New Roman"/>
          <w:lang w:val="pt-BR"/>
        </w:rPr>
        <w:t>NiO</w:t>
      </w:r>
      <w:proofErr w:type="spellEnd"/>
      <w:r w:rsidR="00404B1D">
        <w:rPr>
          <w:rFonts w:ascii="Times New Roman" w:hAnsi="Times New Roman"/>
          <w:lang w:val="pt-BR"/>
        </w:rPr>
        <w:t xml:space="preserve">) </w:t>
      </w:r>
      <w:r w:rsidR="00404B1D">
        <w:rPr>
          <w:rFonts w:ascii="Times New Roman" w:hAnsi="Times New Roman"/>
          <w:lang w:val="pt-BR"/>
        </w:rPr>
        <w:fldChar w:fldCharType="begin" w:fldLock="1"/>
      </w:r>
      <w:r w:rsidR="00DE369F">
        <w:rPr>
          <w:rFonts w:ascii="Times New Roman" w:hAnsi="Times New Roman"/>
          <w:lang w:val="pt-BR"/>
        </w:rPr>
        <w:instrText>ADDIN CSL_CITATION {"citationItems":[{"id":"ITEM-1","itemData":{"DOI":"10.1016/j.fuel.2021.120472","ISSN":"00162361","abstract":"According to the regulation announced by International Air Transport Association to reduce greenhouse gas emissions, there are many attempts to produce bio-jet fuels from natural oils to replace, at least in part, the fossil fuels. However, bio-jet fuels usually suffer from poor cold flow properties. Hence, this research aimed to convert palm olein to bio-jet fuel range with high content of iso-alkanes via hydroconversion over nickel (Ni)/zeolite-based catalysts. The levels of liquid biofuels classified as bio-gasoline, bio-jet and green diesel, including the selectivity for chemical compositions were evaluated. Under 40 bar initial H2 pressure at 360 °C for 4 h, the use of Ni/NH4-Beta catalysts (Ni content = 10 wt%) provided the maximum iso-/n-alkane ratio at 1.67 with a bio-jet yield of 20.8 wt%. The schematic reaction mechanism for this process was also proposed. The incorporation of platinum (Pt) into the Ni/NH4-Beta catalysts to a Pt/(Pt + Ni) wt ratio of 0.24 increased the bio-jet yield to 28.7 wt% with iso-/n-alkane ratio of 1.02. Differential scanning calorimetry thermograms indicated that the freezing temperature (Tf) of the biofuels decreased with increasing iso-/n-alkane ratio, where the Tf of the liquid biofuels with iso-/n-alkane ratio &gt; 1.00 was not observed. For the biofuels/fossil jet fuel (Jet A-1) blends, the use of biofuels having iso-/n-alkane ratio of 1.67 could be blended with Jet A-1 up to 50/50 (v/v) and the Tf of the blended jet fuel was found at ca. −80 °C, which was lower than the limitation according to ASTM D1655-04a (−47 °C).","author":[{"dropping-particle":"","family":"Chintakanan","given":"Pachara","non-dropping-particle":"","parse-names":false,"suffix":""},{"dropping-particle":"","family":"Vitidsant","given":"Tharapong","non-dropping-particle":"","parse-names":false,"suffix":""},{"dropping-particle":"","family":"Reubroycharoen","given":"Prasert","non-dropping-particle":"","parse-names":false,"suffix":""},{"dropping-particle":"","family":"Kuchonthara","given":"Prapan","non-dropping-particle":"","parse-names":false,"suffix":""},{"dropping-particle":"","family":"Kida","given":"Tetsuya","non-dropping-particle":"","parse-names":false,"suffix":""},{"dropping-particle":"","family":"Hinchiranan","given":"Napida","non-dropping-particle":"","parse-names":false,"suffix":""}],"container-title":"Fuel","id":"ITEM-1","issue":"February","issued":{"date-parts":[["2021"]]},"page":"120472","publisher":"Elsevier Ltd","title":"Bio-jet fuel range in biofuels derived from hydroconversion of palm olein over Ni/zeolite catalysts and freezing point of biofuels/Jet A-1 blends","type":"article-journal","volume":"293"},"uris":["http://www.mendeley.com/documents/?uuid=b3ab523c-16d6-492c-9b47-5afc7c0971e3"]}],"mendeley":{"formattedCitation":"(2)","plainTextFormattedCitation":"(2)","previouslyFormattedCitation":"(3)"},"properties":{"noteIndex":0},"schema":"https://github.com/citation-style-language/schema/raw/master/csl-citation.json"}</w:instrText>
      </w:r>
      <w:r w:rsidR="00404B1D">
        <w:rPr>
          <w:rFonts w:ascii="Times New Roman" w:hAnsi="Times New Roman"/>
          <w:lang w:val="pt-BR"/>
        </w:rPr>
        <w:fldChar w:fldCharType="separate"/>
      </w:r>
      <w:r w:rsidR="00DE369F" w:rsidRPr="00DE369F">
        <w:rPr>
          <w:rFonts w:ascii="Times New Roman" w:hAnsi="Times New Roman"/>
          <w:noProof/>
          <w:lang w:val="pt-BR"/>
        </w:rPr>
        <w:t>(2)</w:t>
      </w:r>
      <w:r w:rsidR="00404B1D">
        <w:rPr>
          <w:rFonts w:ascii="Times New Roman" w:hAnsi="Times New Roman"/>
          <w:lang w:val="pt-BR"/>
        </w:rPr>
        <w:fldChar w:fldCharType="end"/>
      </w:r>
      <w:r w:rsidR="00404B1D">
        <w:rPr>
          <w:rFonts w:ascii="Times New Roman" w:hAnsi="Times New Roman"/>
          <w:lang w:val="pt-BR"/>
        </w:rPr>
        <w:t xml:space="preserve">. </w:t>
      </w:r>
      <w:r w:rsidR="00F87CF9">
        <w:rPr>
          <w:rFonts w:ascii="Times New Roman" w:hAnsi="Times New Roman"/>
          <w:lang w:val="pt-BR"/>
        </w:rPr>
        <w:t xml:space="preserve">Na amostra com o teor mais baixo do </w:t>
      </w:r>
      <w:r w:rsidR="00404B1D">
        <w:rPr>
          <w:rFonts w:ascii="Times New Roman" w:hAnsi="Times New Roman"/>
          <w:lang w:val="pt-BR"/>
        </w:rPr>
        <w:t xml:space="preserve">metal (Y3Ni), </w:t>
      </w:r>
      <w:r w:rsidR="00F87CF9">
        <w:rPr>
          <w:rFonts w:ascii="Times New Roman" w:hAnsi="Times New Roman"/>
          <w:lang w:val="pt-BR"/>
        </w:rPr>
        <w:t>eles não foram detectados,</w:t>
      </w:r>
      <w:r w:rsidR="00404B1D">
        <w:rPr>
          <w:rFonts w:ascii="Times New Roman" w:hAnsi="Times New Roman"/>
          <w:lang w:val="pt-BR"/>
        </w:rPr>
        <w:t xml:space="preserve"> provavelmente devido à </w:t>
      </w:r>
      <w:r w:rsidR="00F87CF9">
        <w:rPr>
          <w:rFonts w:ascii="Times New Roman" w:hAnsi="Times New Roman"/>
          <w:lang w:val="pt-BR"/>
        </w:rPr>
        <w:t xml:space="preserve">sua </w:t>
      </w:r>
      <w:r w:rsidR="00404B1D">
        <w:rPr>
          <w:rFonts w:ascii="Times New Roman" w:hAnsi="Times New Roman"/>
          <w:lang w:val="pt-BR"/>
        </w:rPr>
        <w:t>baixa concentração</w:t>
      </w:r>
      <w:r w:rsidR="00F87CF9">
        <w:rPr>
          <w:rFonts w:ascii="Times New Roman" w:hAnsi="Times New Roman"/>
          <w:lang w:val="pt-BR"/>
        </w:rPr>
        <w:t>.</w:t>
      </w:r>
    </w:p>
    <w:p w14:paraId="17132443" w14:textId="1B317918" w:rsidR="00425FE6" w:rsidRDefault="00405E6C" w:rsidP="00405E6C">
      <w:pPr>
        <w:pStyle w:val="TAMainText"/>
        <w:rPr>
          <w:lang w:val="pt-BR"/>
        </w:rPr>
      </w:pPr>
      <w:r>
        <w:rPr>
          <w:lang w:val="pt-BR"/>
        </w:rPr>
        <w:t xml:space="preserve"> </w:t>
      </w:r>
    </w:p>
    <w:p w14:paraId="7F644015" w14:textId="6C93A3D1" w:rsidR="00EA4E1B" w:rsidRDefault="00425FE6" w:rsidP="00EA4E1B">
      <w:pPr>
        <w:jc w:val="center"/>
      </w:pPr>
      <w:r>
        <w:rPr>
          <w:noProof/>
        </w:rPr>
        <w:drawing>
          <wp:inline distT="0" distB="0" distL="0" distR="0" wp14:anchorId="77006E60" wp14:editId="27432466">
            <wp:extent cx="2762250" cy="2397760"/>
            <wp:effectExtent l="0" t="0" r="0" b="2540"/>
            <wp:docPr id="145412276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22764" name="Imagem 3"/>
                    <pic:cNvPicPr/>
                  </pic:nvPicPr>
                  <pic:blipFill rotWithShape="1">
                    <a:blip r:embed="rId9">
                      <a:extLst>
                        <a:ext uri="{28A0092B-C50C-407E-A947-70E740481C1C}">
                          <a14:useLocalDpi xmlns:a14="http://schemas.microsoft.com/office/drawing/2010/main" val="0"/>
                        </a:ext>
                      </a:extLst>
                    </a:blip>
                    <a:srcRect l="3803" t="11215" r="12963" b="9755"/>
                    <a:stretch/>
                  </pic:blipFill>
                  <pic:spPr bwMode="auto">
                    <a:xfrm>
                      <a:off x="0" y="0"/>
                      <a:ext cx="2775087" cy="2408903"/>
                    </a:xfrm>
                    <a:prstGeom prst="rect">
                      <a:avLst/>
                    </a:prstGeom>
                    <a:ln>
                      <a:noFill/>
                    </a:ln>
                    <a:extLst>
                      <a:ext uri="{53640926-AAD7-44D8-BBD7-CCE9431645EC}">
                        <a14:shadowObscured xmlns:a14="http://schemas.microsoft.com/office/drawing/2010/main"/>
                      </a:ext>
                    </a:extLst>
                  </pic:spPr>
                </pic:pic>
              </a:graphicData>
            </a:graphic>
          </wp:inline>
        </w:drawing>
      </w:r>
    </w:p>
    <w:p w14:paraId="540E7515" w14:textId="60065EF2" w:rsidR="00EA4E1B" w:rsidRPr="00E038AF" w:rsidRDefault="00EA4E1B" w:rsidP="00EA4E1B">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425FE6">
        <w:rPr>
          <w:rFonts w:ascii="Times New Roman" w:hAnsi="Times New Roman"/>
          <w:lang w:val="pt-BR"/>
        </w:rPr>
        <w:t>Padrões de difração de raios X dos catalisadores.</w:t>
      </w:r>
    </w:p>
    <w:p w14:paraId="49AE8C02" w14:textId="77777777" w:rsidR="00EA4E1B" w:rsidRDefault="00EA4E1B" w:rsidP="00EA4E1B">
      <w:pPr>
        <w:pStyle w:val="TAMainText"/>
        <w:rPr>
          <w:lang w:val="pt-BR"/>
        </w:rPr>
      </w:pPr>
    </w:p>
    <w:p w14:paraId="67C7CC5D" w14:textId="759AE268" w:rsidR="00751A68" w:rsidRPr="006A7AFA" w:rsidRDefault="006A7AFA" w:rsidP="00EA4E1B">
      <w:pPr>
        <w:pStyle w:val="TAMainText"/>
        <w:rPr>
          <w:lang w:val="pt-BR"/>
        </w:rPr>
      </w:pPr>
      <w:r>
        <w:rPr>
          <w:lang w:val="pt-BR"/>
        </w:rPr>
        <w:t xml:space="preserve">A influência da impregnação de níquel nas propriedades texturais da zeólita Y foi avaliada por fisissorção de nitrogênio. Os resultados estão apresentados na Tabela 1. A área superficial específica da </w:t>
      </w:r>
      <w:r w:rsidR="00F87CF9">
        <w:rPr>
          <w:lang w:val="pt-BR"/>
        </w:rPr>
        <w:t xml:space="preserve">zeólita </w:t>
      </w:r>
      <w:r>
        <w:rPr>
          <w:lang w:val="pt-BR"/>
        </w:rPr>
        <w:t>Y foi de 794 m</w:t>
      </w:r>
      <w:r>
        <w:rPr>
          <w:vertAlign w:val="superscript"/>
          <w:lang w:val="pt-BR"/>
        </w:rPr>
        <w:t>2</w:t>
      </w:r>
      <w:r>
        <w:rPr>
          <w:lang w:val="pt-BR"/>
        </w:rPr>
        <w:t xml:space="preserve">/g, e está de acordo com o valor </w:t>
      </w:r>
      <w:r w:rsidR="00F87CF9">
        <w:rPr>
          <w:lang w:val="pt-BR"/>
        </w:rPr>
        <w:t>fornecido</w:t>
      </w:r>
      <w:r>
        <w:rPr>
          <w:lang w:val="pt-BR"/>
        </w:rPr>
        <w:t xml:space="preserve"> pelo </w:t>
      </w:r>
      <w:r w:rsidR="00F87CF9">
        <w:rPr>
          <w:lang w:val="pt-BR"/>
        </w:rPr>
        <w:t>fabricante</w:t>
      </w:r>
      <w:r>
        <w:rPr>
          <w:lang w:val="pt-BR"/>
        </w:rPr>
        <w:t xml:space="preserve"> (780 m</w:t>
      </w:r>
      <w:r>
        <w:rPr>
          <w:vertAlign w:val="superscript"/>
          <w:lang w:val="pt-BR"/>
        </w:rPr>
        <w:t>2</w:t>
      </w:r>
      <w:r>
        <w:rPr>
          <w:lang w:val="pt-BR"/>
        </w:rPr>
        <w:t xml:space="preserve">/g), considerando a variabilidade estimada de 10 % do modelo BET. </w:t>
      </w:r>
      <w:r w:rsidR="00BB0209">
        <w:rPr>
          <w:lang w:val="pt-BR"/>
        </w:rPr>
        <w:t xml:space="preserve">Além disso, a diminuição nos valores de área superficial e volume de microporos, após a impregnação com 3, 5 e 7% de Ni, está dentro da variação experimental do método utilizado </w:t>
      </w:r>
      <w:r w:rsidR="00F87CF9">
        <w:rPr>
          <w:lang w:val="pt-BR"/>
        </w:rPr>
        <w:t>n</w:t>
      </w:r>
      <w:r w:rsidR="00BB0209">
        <w:rPr>
          <w:lang w:val="pt-BR"/>
        </w:rPr>
        <w:t xml:space="preserve">os cálculos. Isto indica que os cristais de </w:t>
      </w:r>
      <w:proofErr w:type="spellStart"/>
      <w:r w:rsidR="00BB0209">
        <w:rPr>
          <w:lang w:val="pt-BR"/>
        </w:rPr>
        <w:t>NiO</w:t>
      </w:r>
      <w:proofErr w:type="spellEnd"/>
      <w:r w:rsidR="00BB0209">
        <w:rPr>
          <w:lang w:val="pt-BR"/>
        </w:rPr>
        <w:t xml:space="preserve"> não bloquearam os poros da zeólita</w:t>
      </w:r>
      <w:r w:rsidR="00F87CF9">
        <w:rPr>
          <w:lang w:val="pt-BR"/>
        </w:rPr>
        <w:t xml:space="preserve"> Y</w:t>
      </w:r>
      <w:r w:rsidR="00BB0209">
        <w:rPr>
          <w:lang w:val="pt-BR"/>
        </w:rPr>
        <w:t>.</w:t>
      </w:r>
    </w:p>
    <w:p w14:paraId="36E22174" w14:textId="77777777" w:rsidR="00751A68" w:rsidRDefault="00751A68" w:rsidP="00BB0209">
      <w:pPr>
        <w:pStyle w:val="TAMainText"/>
        <w:ind w:firstLine="0"/>
        <w:rPr>
          <w:lang w:val="pt-BR"/>
        </w:rPr>
      </w:pPr>
    </w:p>
    <w:p w14:paraId="483DF959" w14:textId="0E3A53E5" w:rsidR="00EA4E1B" w:rsidRPr="00E038AF"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751A68">
        <w:rPr>
          <w:rFonts w:ascii="Times New Roman" w:hAnsi="Times New Roman"/>
          <w:lang w:val="pt-BR"/>
        </w:rPr>
        <w:t xml:space="preserve">Propriedades texturais </w:t>
      </w:r>
      <w:r w:rsidR="003010BC">
        <w:rPr>
          <w:rFonts w:ascii="Times New Roman" w:hAnsi="Times New Roman"/>
          <w:lang w:val="pt-BR"/>
        </w:rPr>
        <w:t>da zeólita Y comercial, e do material impregnado com diferentes teores de níquel.</w:t>
      </w:r>
      <w:r w:rsidR="00751A68">
        <w:rPr>
          <w:rFonts w:ascii="Times New Roman" w:hAnsi="Times New Roman"/>
          <w:lang w:val="pt-BR"/>
        </w:rPr>
        <w:t xml:space="preserve"> </w:t>
      </w:r>
    </w:p>
    <w:tbl>
      <w:tblPr>
        <w:tblW w:w="46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850"/>
        <w:gridCol w:w="851"/>
        <w:gridCol w:w="1134"/>
        <w:gridCol w:w="850"/>
      </w:tblGrid>
      <w:tr w:rsidR="002310CD" w:rsidRPr="00072C7A" w14:paraId="0F12ABC1" w14:textId="423558CC" w:rsidTr="00810A9B">
        <w:trPr>
          <w:trHeight w:val="386"/>
        </w:trPr>
        <w:tc>
          <w:tcPr>
            <w:tcW w:w="988" w:type="dxa"/>
            <w:vAlign w:val="center"/>
          </w:tcPr>
          <w:p w14:paraId="0C93B642" w14:textId="7F05EFB5" w:rsidR="002310CD" w:rsidRPr="003010BC" w:rsidRDefault="002310CD" w:rsidP="00781DCA">
            <w:pPr>
              <w:pStyle w:val="TCTableBody"/>
              <w:spacing w:after="0"/>
              <w:jc w:val="center"/>
              <w:rPr>
                <w:b/>
                <w:bCs/>
                <w:lang w:val="pt-BR"/>
              </w:rPr>
            </w:pPr>
            <w:r w:rsidRPr="003010BC">
              <w:rPr>
                <w:b/>
                <w:bCs/>
                <w:lang w:val="pt-BR"/>
              </w:rPr>
              <w:t>Material</w:t>
            </w:r>
          </w:p>
        </w:tc>
        <w:tc>
          <w:tcPr>
            <w:tcW w:w="850" w:type="dxa"/>
            <w:vAlign w:val="center"/>
          </w:tcPr>
          <w:p w14:paraId="19C3BD2C" w14:textId="7F6E8250" w:rsidR="002310CD" w:rsidRPr="003010BC" w:rsidRDefault="002310CD" w:rsidP="00781DCA">
            <w:pPr>
              <w:pStyle w:val="TCTableBody"/>
              <w:spacing w:after="0"/>
              <w:jc w:val="center"/>
              <w:rPr>
                <w:b/>
                <w:bCs/>
                <w:lang w:val="pt-BR"/>
              </w:rPr>
            </w:pPr>
            <w:r w:rsidRPr="003010BC">
              <w:rPr>
                <w:b/>
                <w:bCs/>
                <w:lang w:val="pt-BR"/>
              </w:rPr>
              <w:t>S</w:t>
            </w:r>
            <w:r w:rsidRPr="003010BC">
              <w:rPr>
                <w:b/>
                <w:bCs/>
                <w:vertAlign w:val="subscript"/>
                <w:lang w:val="pt-BR"/>
              </w:rPr>
              <w:t>BET</w:t>
            </w:r>
            <w:r w:rsidRPr="003010BC">
              <w:rPr>
                <w:b/>
                <w:bCs/>
                <w:lang w:val="pt-BR"/>
              </w:rPr>
              <w:t xml:space="preserve"> (m</w:t>
            </w:r>
            <w:r w:rsidRPr="003010BC">
              <w:rPr>
                <w:b/>
                <w:bCs/>
                <w:vertAlign w:val="superscript"/>
                <w:lang w:val="pt-BR"/>
              </w:rPr>
              <w:t>2</w:t>
            </w:r>
            <w:r w:rsidRPr="003010BC">
              <w:rPr>
                <w:b/>
                <w:bCs/>
                <w:lang w:val="pt-BR"/>
              </w:rPr>
              <w:t>/g)</w:t>
            </w:r>
          </w:p>
        </w:tc>
        <w:tc>
          <w:tcPr>
            <w:tcW w:w="851" w:type="dxa"/>
            <w:vAlign w:val="center"/>
          </w:tcPr>
          <w:p w14:paraId="053D077F" w14:textId="6D335C89" w:rsidR="002310CD" w:rsidRPr="003010BC" w:rsidRDefault="002310CD" w:rsidP="00781DCA">
            <w:pPr>
              <w:pStyle w:val="TCTableBody"/>
              <w:spacing w:after="0"/>
              <w:jc w:val="center"/>
              <w:rPr>
                <w:b/>
                <w:bCs/>
                <w:lang w:val="pt-BR"/>
              </w:rPr>
            </w:pPr>
            <w:proofErr w:type="spellStart"/>
            <w:r w:rsidRPr="003010BC">
              <w:rPr>
                <w:b/>
                <w:bCs/>
                <w:lang w:val="pt-BR"/>
              </w:rPr>
              <w:t>S</w:t>
            </w:r>
            <w:r w:rsidRPr="003010BC">
              <w:rPr>
                <w:b/>
                <w:bCs/>
                <w:vertAlign w:val="subscript"/>
                <w:lang w:val="pt-BR"/>
              </w:rPr>
              <w:t>ext</w:t>
            </w:r>
            <w:proofErr w:type="spellEnd"/>
            <w:r w:rsidRPr="003010BC">
              <w:rPr>
                <w:b/>
                <w:bCs/>
                <w:lang w:val="pt-BR"/>
              </w:rPr>
              <w:t xml:space="preserve"> (m</w:t>
            </w:r>
            <w:r w:rsidRPr="003010BC">
              <w:rPr>
                <w:b/>
                <w:bCs/>
                <w:vertAlign w:val="superscript"/>
                <w:lang w:val="pt-BR"/>
              </w:rPr>
              <w:t>2</w:t>
            </w:r>
            <w:r w:rsidRPr="003010BC">
              <w:rPr>
                <w:b/>
                <w:bCs/>
                <w:lang w:val="pt-BR"/>
              </w:rPr>
              <w:t>/g)</w:t>
            </w:r>
          </w:p>
        </w:tc>
        <w:tc>
          <w:tcPr>
            <w:tcW w:w="1134" w:type="dxa"/>
            <w:vAlign w:val="center"/>
          </w:tcPr>
          <w:p w14:paraId="115543B2" w14:textId="6016D82B" w:rsidR="002310CD" w:rsidRPr="003010BC" w:rsidRDefault="002310CD" w:rsidP="00781DCA">
            <w:pPr>
              <w:pStyle w:val="TCTableBody"/>
              <w:spacing w:after="0"/>
              <w:jc w:val="center"/>
              <w:rPr>
                <w:b/>
                <w:bCs/>
                <w:lang w:val="pt-BR"/>
              </w:rPr>
            </w:pPr>
            <w:proofErr w:type="spellStart"/>
            <w:r w:rsidRPr="003010BC">
              <w:rPr>
                <w:b/>
                <w:bCs/>
                <w:lang w:val="pt-BR"/>
              </w:rPr>
              <w:t>V</w:t>
            </w:r>
            <w:r w:rsidRPr="003010BC">
              <w:rPr>
                <w:b/>
                <w:bCs/>
                <w:vertAlign w:val="subscript"/>
                <w:lang w:val="pt-BR"/>
              </w:rPr>
              <w:t>micro</w:t>
            </w:r>
            <w:proofErr w:type="spellEnd"/>
            <w:r w:rsidRPr="003010BC">
              <w:rPr>
                <w:b/>
                <w:bCs/>
                <w:lang w:val="pt-BR"/>
              </w:rPr>
              <w:t xml:space="preserve"> (cm</w:t>
            </w:r>
            <w:r w:rsidRPr="003010BC">
              <w:rPr>
                <w:b/>
                <w:bCs/>
                <w:vertAlign w:val="superscript"/>
                <w:lang w:val="pt-BR"/>
              </w:rPr>
              <w:t>3</w:t>
            </w:r>
            <w:r w:rsidRPr="003010BC">
              <w:rPr>
                <w:b/>
                <w:bCs/>
                <w:lang w:val="pt-BR"/>
              </w:rPr>
              <w:t>/g)</w:t>
            </w:r>
          </w:p>
        </w:tc>
        <w:tc>
          <w:tcPr>
            <w:tcW w:w="850" w:type="dxa"/>
            <w:vAlign w:val="center"/>
          </w:tcPr>
          <w:p w14:paraId="5E6C11FE" w14:textId="5F1C95AE" w:rsidR="002310CD" w:rsidRPr="003010BC" w:rsidRDefault="002310CD" w:rsidP="00781DCA">
            <w:pPr>
              <w:pStyle w:val="TCTableBody"/>
              <w:spacing w:after="0"/>
              <w:jc w:val="center"/>
              <w:rPr>
                <w:b/>
                <w:bCs/>
                <w:vertAlign w:val="subscript"/>
                <w:lang w:val="pt-BR"/>
              </w:rPr>
            </w:pPr>
            <w:proofErr w:type="spellStart"/>
            <w:r w:rsidRPr="003010BC">
              <w:rPr>
                <w:b/>
                <w:bCs/>
                <w:lang w:val="pt-BR"/>
              </w:rPr>
              <w:t>V</w:t>
            </w:r>
            <w:r w:rsidRPr="003010BC">
              <w:rPr>
                <w:b/>
                <w:bCs/>
                <w:vertAlign w:val="subscript"/>
                <w:lang w:val="pt-BR"/>
              </w:rPr>
              <w:t>tot</w:t>
            </w:r>
            <w:proofErr w:type="spellEnd"/>
            <w:r w:rsidRPr="003010BC">
              <w:rPr>
                <w:b/>
                <w:bCs/>
                <w:vertAlign w:val="subscript"/>
                <w:lang w:val="pt-BR"/>
              </w:rPr>
              <w:t xml:space="preserve"> </w:t>
            </w:r>
            <w:r w:rsidRPr="003010BC">
              <w:rPr>
                <w:b/>
                <w:bCs/>
                <w:lang w:val="pt-BR"/>
              </w:rPr>
              <w:t>(cm</w:t>
            </w:r>
            <w:r w:rsidRPr="003010BC">
              <w:rPr>
                <w:b/>
                <w:bCs/>
                <w:vertAlign w:val="superscript"/>
                <w:lang w:val="pt-BR"/>
              </w:rPr>
              <w:t>3</w:t>
            </w:r>
            <w:r w:rsidRPr="003010BC">
              <w:rPr>
                <w:b/>
                <w:bCs/>
                <w:lang w:val="pt-BR"/>
              </w:rPr>
              <w:t>/g)</w:t>
            </w:r>
          </w:p>
        </w:tc>
      </w:tr>
      <w:tr w:rsidR="002310CD" w:rsidRPr="00072C7A" w14:paraId="31EE37A1" w14:textId="7023A4EC" w:rsidTr="00810A9B">
        <w:trPr>
          <w:trHeight w:val="290"/>
        </w:trPr>
        <w:tc>
          <w:tcPr>
            <w:tcW w:w="988" w:type="dxa"/>
            <w:tcBorders>
              <w:bottom w:val="single" w:sz="6" w:space="0" w:color="auto"/>
            </w:tcBorders>
            <w:vAlign w:val="center"/>
          </w:tcPr>
          <w:p w14:paraId="5A53C568" w14:textId="240AB82D" w:rsidR="002310CD" w:rsidRDefault="002310CD" w:rsidP="00781DCA">
            <w:pPr>
              <w:pStyle w:val="TCTableBody"/>
              <w:spacing w:after="0"/>
              <w:jc w:val="center"/>
              <w:rPr>
                <w:lang w:val="pt-BR"/>
              </w:rPr>
            </w:pPr>
            <w:r>
              <w:rPr>
                <w:lang w:val="pt-BR"/>
              </w:rPr>
              <w:t>Y</w:t>
            </w:r>
          </w:p>
        </w:tc>
        <w:tc>
          <w:tcPr>
            <w:tcW w:w="850" w:type="dxa"/>
            <w:tcBorders>
              <w:bottom w:val="single" w:sz="6" w:space="0" w:color="auto"/>
            </w:tcBorders>
            <w:vAlign w:val="center"/>
          </w:tcPr>
          <w:p w14:paraId="5AC90CC2" w14:textId="684A6DF0" w:rsidR="002310CD" w:rsidRDefault="002310CD" w:rsidP="00781DCA">
            <w:pPr>
              <w:pStyle w:val="TCTableBody"/>
              <w:spacing w:after="0"/>
              <w:jc w:val="center"/>
              <w:rPr>
                <w:lang w:val="pt-BR"/>
              </w:rPr>
            </w:pPr>
            <w:r>
              <w:rPr>
                <w:lang w:val="pt-BR"/>
              </w:rPr>
              <w:t>794</w:t>
            </w:r>
          </w:p>
        </w:tc>
        <w:tc>
          <w:tcPr>
            <w:tcW w:w="851" w:type="dxa"/>
            <w:tcBorders>
              <w:bottom w:val="single" w:sz="6" w:space="0" w:color="auto"/>
            </w:tcBorders>
            <w:vAlign w:val="center"/>
          </w:tcPr>
          <w:p w14:paraId="6DFB507B" w14:textId="0AA2EDF4" w:rsidR="002310CD" w:rsidRDefault="002310CD" w:rsidP="00781DCA">
            <w:pPr>
              <w:pStyle w:val="TCTableBody"/>
              <w:spacing w:after="0"/>
              <w:jc w:val="center"/>
              <w:rPr>
                <w:lang w:val="pt-BR"/>
              </w:rPr>
            </w:pPr>
            <w:r>
              <w:rPr>
                <w:lang w:val="pt-BR"/>
              </w:rPr>
              <w:t>244</w:t>
            </w:r>
          </w:p>
        </w:tc>
        <w:tc>
          <w:tcPr>
            <w:tcW w:w="1134" w:type="dxa"/>
            <w:tcBorders>
              <w:bottom w:val="single" w:sz="6" w:space="0" w:color="auto"/>
            </w:tcBorders>
            <w:vAlign w:val="center"/>
          </w:tcPr>
          <w:p w14:paraId="5D4B6F00" w14:textId="0EBAA863" w:rsidR="002310CD" w:rsidRDefault="002310CD" w:rsidP="00781DCA">
            <w:pPr>
              <w:pStyle w:val="TCTableBody"/>
              <w:spacing w:after="0"/>
              <w:jc w:val="center"/>
              <w:rPr>
                <w:lang w:val="pt-BR"/>
              </w:rPr>
            </w:pPr>
            <w:r>
              <w:rPr>
                <w:lang w:val="pt-BR"/>
              </w:rPr>
              <w:t>0,24</w:t>
            </w:r>
          </w:p>
        </w:tc>
        <w:tc>
          <w:tcPr>
            <w:tcW w:w="850" w:type="dxa"/>
            <w:tcBorders>
              <w:bottom w:val="single" w:sz="6" w:space="0" w:color="auto"/>
            </w:tcBorders>
            <w:vAlign w:val="center"/>
          </w:tcPr>
          <w:p w14:paraId="26A11A7A" w14:textId="7E509C08" w:rsidR="002310CD" w:rsidRDefault="002310CD" w:rsidP="00781DCA">
            <w:pPr>
              <w:pStyle w:val="TCTableBody"/>
              <w:spacing w:after="0"/>
              <w:jc w:val="center"/>
              <w:rPr>
                <w:lang w:val="pt-BR"/>
              </w:rPr>
            </w:pPr>
            <w:r>
              <w:rPr>
                <w:lang w:val="pt-BR"/>
              </w:rPr>
              <w:t>0,49</w:t>
            </w:r>
          </w:p>
        </w:tc>
      </w:tr>
      <w:tr w:rsidR="002310CD" w:rsidRPr="00072C7A" w14:paraId="684B90E7" w14:textId="77777777" w:rsidTr="00810A9B">
        <w:trPr>
          <w:trHeight w:val="238"/>
        </w:trPr>
        <w:tc>
          <w:tcPr>
            <w:tcW w:w="988" w:type="dxa"/>
            <w:tcBorders>
              <w:bottom w:val="single" w:sz="6" w:space="0" w:color="auto"/>
            </w:tcBorders>
            <w:vAlign w:val="center"/>
          </w:tcPr>
          <w:p w14:paraId="00939F06" w14:textId="432EC832" w:rsidR="002310CD" w:rsidRDefault="002310CD" w:rsidP="00781DCA">
            <w:pPr>
              <w:pStyle w:val="TCTableBody"/>
              <w:spacing w:after="0"/>
              <w:jc w:val="center"/>
              <w:rPr>
                <w:lang w:val="pt-BR"/>
              </w:rPr>
            </w:pPr>
            <w:r>
              <w:rPr>
                <w:lang w:val="pt-BR"/>
              </w:rPr>
              <w:t>Y3Ni</w:t>
            </w:r>
          </w:p>
        </w:tc>
        <w:tc>
          <w:tcPr>
            <w:tcW w:w="850" w:type="dxa"/>
            <w:tcBorders>
              <w:bottom w:val="single" w:sz="6" w:space="0" w:color="auto"/>
            </w:tcBorders>
            <w:vAlign w:val="center"/>
          </w:tcPr>
          <w:p w14:paraId="3A4869FE" w14:textId="4766F5D3" w:rsidR="002310CD" w:rsidRDefault="002310CD" w:rsidP="00781DCA">
            <w:pPr>
              <w:pStyle w:val="TCTableBody"/>
              <w:spacing w:after="0"/>
              <w:jc w:val="center"/>
              <w:rPr>
                <w:lang w:val="pt-BR"/>
              </w:rPr>
            </w:pPr>
            <w:r>
              <w:rPr>
                <w:lang w:val="pt-BR"/>
              </w:rPr>
              <w:t>770</w:t>
            </w:r>
          </w:p>
        </w:tc>
        <w:tc>
          <w:tcPr>
            <w:tcW w:w="851" w:type="dxa"/>
            <w:tcBorders>
              <w:bottom w:val="single" w:sz="6" w:space="0" w:color="auto"/>
            </w:tcBorders>
            <w:vAlign w:val="center"/>
          </w:tcPr>
          <w:p w14:paraId="071713B0" w14:textId="6377C153" w:rsidR="002310CD" w:rsidRDefault="002310CD" w:rsidP="00781DCA">
            <w:pPr>
              <w:pStyle w:val="TCTableBody"/>
              <w:spacing w:after="0"/>
              <w:jc w:val="center"/>
              <w:rPr>
                <w:lang w:val="pt-BR"/>
              </w:rPr>
            </w:pPr>
            <w:r>
              <w:rPr>
                <w:lang w:val="pt-BR"/>
              </w:rPr>
              <w:t>207</w:t>
            </w:r>
          </w:p>
        </w:tc>
        <w:tc>
          <w:tcPr>
            <w:tcW w:w="1134" w:type="dxa"/>
            <w:tcBorders>
              <w:bottom w:val="single" w:sz="6" w:space="0" w:color="auto"/>
            </w:tcBorders>
            <w:vAlign w:val="center"/>
          </w:tcPr>
          <w:p w14:paraId="1B5B00C9" w14:textId="382E5C72" w:rsidR="002310CD" w:rsidRDefault="002310CD" w:rsidP="00781DCA">
            <w:pPr>
              <w:pStyle w:val="TCTableBody"/>
              <w:spacing w:after="0"/>
              <w:jc w:val="center"/>
              <w:rPr>
                <w:lang w:val="pt-BR"/>
              </w:rPr>
            </w:pPr>
            <w:r>
              <w:rPr>
                <w:lang w:val="pt-BR"/>
              </w:rPr>
              <w:t>0,25</w:t>
            </w:r>
          </w:p>
        </w:tc>
        <w:tc>
          <w:tcPr>
            <w:tcW w:w="850" w:type="dxa"/>
            <w:tcBorders>
              <w:bottom w:val="single" w:sz="6" w:space="0" w:color="auto"/>
            </w:tcBorders>
            <w:vAlign w:val="center"/>
          </w:tcPr>
          <w:p w14:paraId="0D39DB31" w14:textId="2B66A929" w:rsidR="002310CD" w:rsidRDefault="002310CD" w:rsidP="00781DCA">
            <w:pPr>
              <w:pStyle w:val="TCTableBody"/>
              <w:spacing w:after="0"/>
              <w:jc w:val="center"/>
              <w:rPr>
                <w:lang w:val="pt-BR"/>
              </w:rPr>
            </w:pPr>
            <w:r>
              <w:rPr>
                <w:lang w:val="pt-BR"/>
              </w:rPr>
              <w:t>0,48</w:t>
            </w:r>
          </w:p>
        </w:tc>
      </w:tr>
      <w:tr w:rsidR="004A1733" w:rsidRPr="00072C7A" w14:paraId="43DBF70E" w14:textId="77777777" w:rsidTr="00810A9B">
        <w:trPr>
          <w:trHeight w:val="238"/>
        </w:trPr>
        <w:tc>
          <w:tcPr>
            <w:tcW w:w="988" w:type="dxa"/>
            <w:tcBorders>
              <w:bottom w:val="single" w:sz="6" w:space="0" w:color="auto"/>
            </w:tcBorders>
            <w:vAlign w:val="center"/>
          </w:tcPr>
          <w:p w14:paraId="74AC979B" w14:textId="38AB9227" w:rsidR="004A1733" w:rsidRDefault="004A1733" w:rsidP="00781DCA">
            <w:pPr>
              <w:pStyle w:val="TCTableBody"/>
              <w:spacing w:after="0"/>
              <w:jc w:val="center"/>
              <w:rPr>
                <w:lang w:val="pt-BR"/>
              </w:rPr>
            </w:pPr>
            <w:r>
              <w:rPr>
                <w:lang w:val="pt-BR"/>
              </w:rPr>
              <w:t>Y5Ni</w:t>
            </w:r>
          </w:p>
        </w:tc>
        <w:tc>
          <w:tcPr>
            <w:tcW w:w="850" w:type="dxa"/>
            <w:tcBorders>
              <w:bottom w:val="single" w:sz="6" w:space="0" w:color="auto"/>
            </w:tcBorders>
            <w:vAlign w:val="center"/>
          </w:tcPr>
          <w:p w14:paraId="1C41003C" w14:textId="61EEB1B0" w:rsidR="004A1733" w:rsidRDefault="004A1733" w:rsidP="00781DCA">
            <w:pPr>
              <w:pStyle w:val="TCTableBody"/>
              <w:spacing w:after="0"/>
              <w:jc w:val="center"/>
              <w:rPr>
                <w:lang w:val="pt-BR"/>
              </w:rPr>
            </w:pPr>
            <w:r>
              <w:rPr>
                <w:lang w:val="pt-BR"/>
              </w:rPr>
              <w:t>720</w:t>
            </w:r>
          </w:p>
        </w:tc>
        <w:tc>
          <w:tcPr>
            <w:tcW w:w="851" w:type="dxa"/>
            <w:tcBorders>
              <w:bottom w:val="single" w:sz="6" w:space="0" w:color="auto"/>
            </w:tcBorders>
            <w:vAlign w:val="center"/>
          </w:tcPr>
          <w:p w14:paraId="04B2B912" w14:textId="412701F7" w:rsidR="004A1733" w:rsidRDefault="004A1733" w:rsidP="00781DCA">
            <w:pPr>
              <w:pStyle w:val="TCTableBody"/>
              <w:spacing w:after="0"/>
              <w:jc w:val="center"/>
              <w:rPr>
                <w:lang w:val="pt-BR"/>
              </w:rPr>
            </w:pPr>
            <w:r>
              <w:rPr>
                <w:lang w:val="pt-BR"/>
              </w:rPr>
              <w:t>197</w:t>
            </w:r>
          </w:p>
        </w:tc>
        <w:tc>
          <w:tcPr>
            <w:tcW w:w="1134" w:type="dxa"/>
            <w:tcBorders>
              <w:bottom w:val="single" w:sz="6" w:space="0" w:color="auto"/>
            </w:tcBorders>
            <w:vAlign w:val="center"/>
          </w:tcPr>
          <w:p w14:paraId="57728EA7" w14:textId="4390B7C0" w:rsidR="004A1733" w:rsidRDefault="004A1733" w:rsidP="00781DCA">
            <w:pPr>
              <w:pStyle w:val="TCTableBody"/>
              <w:spacing w:after="0"/>
              <w:jc w:val="center"/>
              <w:rPr>
                <w:lang w:val="pt-BR"/>
              </w:rPr>
            </w:pPr>
            <w:r>
              <w:rPr>
                <w:lang w:val="pt-BR"/>
              </w:rPr>
              <w:t>0,23</w:t>
            </w:r>
          </w:p>
        </w:tc>
        <w:tc>
          <w:tcPr>
            <w:tcW w:w="850" w:type="dxa"/>
            <w:tcBorders>
              <w:bottom w:val="single" w:sz="6" w:space="0" w:color="auto"/>
            </w:tcBorders>
            <w:vAlign w:val="center"/>
          </w:tcPr>
          <w:p w14:paraId="60D76F76" w14:textId="6CFB5A9D" w:rsidR="004A1733" w:rsidRDefault="004A1733" w:rsidP="00781DCA">
            <w:pPr>
              <w:pStyle w:val="TCTableBody"/>
              <w:spacing w:after="0"/>
              <w:jc w:val="center"/>
              <w:rPr>
                <w:lang w:val="pt-BR"/>
              </w:rPr>
            </w:pPr>
            <w:r>
              <w:rPr>
                <w:lang w:val="pt-BR"/>
              </w:rPr>
              <w:t>0,46</w:t>
            </w:r>
          </w:p>
        </w:tc>
      </w:tr>
      <w:tr w:rsidR="002310CD" w:rsidRPr="00072C7A" w14:paraId="302BAFA0" w14:textId="77777777" w:rsidTr="00810A9B">
        <w:trPr>
          <w:trHeight w:val="260"/>
        </w:trPr>
        <w:tc>
          <w:tcPr>
            <w:tcW w:w="988" w:type="dxa"/>
            <w:tcBorders>
              <w:bottom w:val="single" w:sz="6" w:space="0" w:color="auto"/>
            </w:tcBorders>
            <w:vAlign w:val="center"/>
          </w:tcPr>
          <w:p w14:paraId="0E9F858F" w14:textId="6C968753" w:rsidR="002310CD" w:rsidRDefault="002310CD" w:rsidP="00781DCA">
            <w:pPr>
              <w:pStyle w:val="TCTableBody"/>
              <w:spacing w:after="0"/>
              <w:jc w:val="center"/>
              <w:rPr>
                <w:lang w:val="pt-BR"/>
              </w:rPr>
            </w:pPr>
            <w:r>
              <w:rPr>
                <w:lang w:val="pt-BR"/>
              </w:rPr>
              <w:t>Y7Ni</w:t>
            </w:r>
          </w:p>
        </w:tc>
        <w:tc>
          <w:tcPr>
            <w:tcW w:w="850" w:type="dxa"/>
            <w:tcBorders>
              <w:bottom w:val="single" w:sz="6" w:space="0" w:color="auto"/>
            </w:tcBorders>
            <w:vAlign w:val="center"/>
          </w:tcPr>
          <w:p w14:paraId="18D37AAB" w14:textId="24DAACAE" w:rsidR="002310CD" w:rsidRDefault="002310CD" w:rsidP="00781DCA">
            <w:pPr>
              <w:pStyle w:val="TCTableBody"/>
              <w:spacing w:after="0"/>
              <w:jc w:val="center"/>
              <w:rPr>
                <w:lang w:val="pt-BR"/>
              </w:rPr>
            </w:pPr>
            <w:r>
              <w:rPr>
                <w:lang w:val="pt-BR"/>
              </w:rPr>
              <w:t>723</w:t>
            </w:r>
          </w:p>
        </w:tc>
        <w:tc>
          <w:tcPr>
            <w:tcW w:w="851" w:type="dxa"/>
            <w:tcBorders>
              <w:bottom w:val="single" w:sz="6" w:space="0" w:color="auto"/>
            </w:tcBorders>
            <w:vAlign w:val="center"/>
          </w:tcPr>
          <w:p w14:paraId="0415C30C" w14:textId="2E08F82E" w:rsidR="002310CD" w:rsidRDefault="002310CD" w:rsidP="00781DCA">
            <w:pPr>
              <w:pStyle w:val="TCTableBody"/>
              <w:spacing w:after="0"/>
              <w:jc w:val="center"/>
              <w:rPr>
                <w:lang w:val="pt-BR"/>
              </w:rPr>
            </w:pPr>
            <w:r>
              <w:rPr>
                <w:lang w:val="pt-BR"/>
              </w:rPr>
              <w:t>204</w:t>
            </w:r>
          </w:p>
        </w:tc>
        <w:tc>
          <w:tcPr>
            <w:tcW w:w="1134" w:type="dxa"/>
            <w:tcBorders>
              <w:bottom w:val="single" w:sz="6" w:space="0" w:color="auto"/>
            </w:tcBorders>
            <w:vAlign w:val="center"/>
          </w:tcPr>
          <w:p w14:paraId="51E85D6E" w14:textId="04103F14" w:rsidR="002310CD" w:rsidRDefault="002310CD" w:rsidP="00781DCA">
            <w:pPr>
              <w:pStyle w:val="TCTableBody"/>
              <w:spacing w:after="0"/>
              <w:jc w:val="center"/>
              <w:rPr>
                <w:lang w:val="pt-BR"/>
              </w:rPr>
            </w:pPr>
            <w:r>
              <w:rPr>
                <w:lang w:val="pt-BR"/>
              </w:rPr>
              <w:t>0,23</w:t>
            </w:r>
          </w:p>
        </w:tc>
        <w:tc>
          <w:tcPr>
            <w:tcW w:w="850" w:type="dxa"/>
            <w:tcBorders>
              <w:bottom w:val="single" w:sz="6" w:space="0" w:color="auto"/>
            </w:tcBorders>
            <w:vAlign w:val="center"/>
          </w:tcPr>
          <w:p w14:paraId="5A551608" w14:textId="226F13B8" w:rsidR="002310CD" w:rsidRDefault="002310CD" w:rsidP="00781DCA">
            <w:pPr>
              <w:pStyle w:val="TCTableBody"/>
              <w:spacing w:after="0"/>
              <w:jc w:val="center"/>
              <w:rPr>
                <w:lang w:val="pt-BR"/>
              </w:rPr>
            </w:pPr>
            <w:r>
              <w:rPr>
                <w:lang w:val="pt-BR"/>
              </w:rPr>
              <w:t>0,46</w:t>
            </w:r>
          </w:p>
        </w:tc>
      </w:tr>
      <w:tr w:rsidR="002310CD" w:rsidRPr="003010BC" w14:paraId="0FF50CF1" w14:textId="612A7B4F" w:rsidTr="002310CD">
        <w:tc>
          <w:tcPr>
            <w:tcW w:w="3823" w:type="dxa"/>
            <w:gridSpan w:val="4"/>
            <w:tcBorders>
              <w:top w:val="single" w:sz="6" w:space="0" w:color="auto"/>
              <w:left w:val="nil"/>
              <w:bottom w:val="nil"/>
              <w:right w:val="nil"/>
            </w:tcBorders>
            <w:vAlign w:val="center"/>
          </w:tcPr>
          <w:p w14:paraId="1AD8F328" w14:textId="65D27BCD" w:rsidR="002310CD" w:rsidRPr="00E038AF" w:rsidRDefault="002310CD" w:rsidP="00805FBE">
            <w:pPr>
              <w:pStyle w:val="TCTableBody"/>
              <w:spacing w:after="0" w:line="240" w:lineRule="auto"/>
              <w:rPr>
                <w:rFonts w:ascii="Times New Roman" w:hAnsi="Times New Roman"/>
                <w:lang w:val="pt-BR"/>
              </w:rPr>
            </w:pPr>
          </w:p>
        </w:tc>
        <w:tc>
          <w:tcPr>
            <w:tcW w:w="850" w:type="dxa"/>
            <w:tcBorders>
              <w:top w:val="single" w:sz="6" w:space="0" w:color="auto"/>
              <w:left w:val="nil"/>
              <w:bottom w:val="nil"/>
              <w:right w:val="nil"/>
            </w:tcBorders>
          </w:tcPr>
          <w:p w14:paraId="39CB37DE" w14:textId="77777777" w:rsidR="002310CD" w:rsidRPr="00E038AF" w:rsidRDefault="002310CD" w:rsidP="00805FBE">
            <w:pPr>
              <w:pStyle w:val="TCTableBody"/>
              <w:spacing w:after="0" w:line="240" w:lineRule="auto"/>
              <w:rPr>
                <w:rFonts w:ascii="Times New Roman" w:hAnsi="Times New Roman"/>
                <w:lang w:val="pt-BR"/>
              </w:rPr>
            </w:pPr>
          </w:p>
        </w:tc>
      </w:tr>
    </w:tbl>
    <w:p w14:paraId="6335631A" w14:textId="10C1A143" w:rsidR="00F55309" w:rsidRPr="001F25B2" w:rsidRDefault="00F55309" w:rsidP="00F55309">
      <w:pPr>
        <w:pStyle w:val="TAMainText"/>
        <w:ind w:firstLine="0"/>
        <w:rPr>
          <w:rFonts w:ascii="Times New Roman" w:hAnsi="Times New Roman"/>
          <w:i/>
          <w:lang w:val="pt-BR"/>
        </w:rPr>
      </w:pPr>
      <w:r>
        <w:rPr>
          <w:rFonts w:ascii="Times New Roman" w:hAnsi="Times New Roman"/>
          <w:i/>
          <w:lang w:val="pt-BR"/>
        </w:rPr>
        <w:t>Avaliação dos catalisadores na desoxigenação catalítica</w:t>
      </w:r>
    </w:p>
    <w:p w14:paraId="46FE30FF" w14:textId="44CE5D14" w:rsidR="00EA4E1B" w:rsidRPr="003C65A1" w:rsidRDefault="00F55309" w:rsidP="00F55309">
      <w:pPr>
        <w:spacing w:after="0" w:line="240" w:lineRule="exact"/>
        <w:ind w:firstLine="204"/>
        <w:jc w:val="both"/>
        <w:rPr>
          <w:rFonts w:ascii="Times New Roman" w:hAnsi="Times New Roman"/>
          <w:sz w:val="20"/>
          <w:szCs w:val="20"/>
        </w:rPr>
      </w:pPr>
      <w:r w:rsidRPr="00204CC7">
        <w:rPr>
          <w:rFonts w:ascii="Times New Roman" w:hAnsi="Times New Roman"/>
          <w:sz w:val="20"/>
          <w:szCs w:val="20"/>
        </w:rPr>
        <w:t xml:space="preserve">A Figura </w:t>
      </w:r>
      <w:r w:rsidR="008213A0">
        <w:rPr>
          <w:rFonts w:ascii="Times New Roman" w:hAnsi="Times New Roman"/>
          <w:sz w:val="20"/>
          <w:szCs w:val="20"/>
        </w:rPr>
        <w:t>2</w:t>
      </w:r>
      <w:r w:rsidR="00EF74D9" w:rsidRPr="00204CC7">
        <w:rPr>
          <w:rFonts w:ascii="Times New Roman" w:hAnsi="Times New Roman"/>
          <w:sz w:val="20"/>
          <w:szCs w:val="20"/>
        </w:rPr>
        <w:t xml:space="preserve"> mostra os espectros </w:t>
      </w:r>
      <w:r w:rsidR="00204CC7" w:rsidRPr="00204CC7">
        <w:rPr>
          <w:rFonts w:ascii="Times New Roman" w:hAnsi="Times New Roman"/>
          <w:sz w:val="20"/>
          <w:szCs w:val="20"/>
        </w:rPr>
        <w:t xml:space="preserve">de </w:t>
      </w:r>
      <w:r w:rsidR="00B73955">
        <w:rPr>
          <w:rFonts w:ascii="Times New Roman" w:hAnsi="Times New Roman"/>
          <w:sz w:val="20"/>
          <w:szCs w:val="20"/>
        </w:rPr>
        <w:t>FTIR d</w:t>
      </w:r>
      <w:r w:rsidR="008213A0">
        <w:rPr>
          <w:rFonts w:ascii="Times New Roman" w:hAnsi="Times New Roman"/>
          <w:sz w:val="20"/>
          <w:szCs w:val="20"/>
        </w:rPr>
        <w:t>o</w:t>
      </w:r>
      <w:r w:rsidR="00B73955">
        <w:rPr>
          <w:rFonts w:ascii="Times New Roman" w:hAnsi="Times New Roman"/>
          <w:sz w:val="20"/>
          <w:szCs w:val="20"/>
        </w:rPr>
        <w:t xml:space="preserve"> </w:t>
      </w:r>
      <w:r w:rsidR="008213A0">
        <w:rPr>
          <w:rFonts w:ascii="Times New Roman" w:hAnsi="Times New Roman"/>
          <w:sz w:val="20"/>
          <w:szCs w:val="20"/>
        </w:rPr>
        <w:t xml:space="preserve">material de partida </w:t>
      </w:r>
      <w:r w:rsidR="00B73955">
        <w:rPr>
          <w:rFonts w:ascii="Times New Roman" w:hAnsi="Times New Roman"/>
          <w:sz w:val="20"/>
          <w:szCs w:val="20"/>
        </w:rPr>
        <w:t>(óleo</w:t>
      </w:r>
      <w:r w:rsidR="008213A0">
        <w:rPr>
          <w:rFonts w:ascii="Times New Roman" w:hAnsi="Times New Roman"/>
          <w:sz w:val="20"/>
          <w:szCs w:val="20"/>
        </w:rPr>
        <w:t xml:space="preserve"> residual</w:t>
      </w:r>
      <w:r w:rsidR="00B73955">
        <w:rPr>
          <w:rFonts w:ascii="Times New Roman" w:hAnsi="Times New Roman"/>
          <w:sz w:val="20"/>
          <w:szCs w:val="20"/>
        </w:rPr>
        <w:t xml:space="preserve"> de fritura) e dos produtos</w:t>
      </w:r>
      <w:r w:rsidR="00247184">
        <w:rPr>
          <w:rFonts w:ascii="Times New Roman" w:hAnsi="Times New Roman"/>
          <w:sz w:val="20"/>
          <w:szCs w:val="20"/>
        </w:rPr>
        <w:t xml:space="preserve"> líquidos</w:t>
      </w:r>
      <w:r w:rsidR="00C85241">
        <w:rPr>
          <w:rFonts w:ascii="Times New Roman" w:hAnsi="Times New Roman"/>
          <w:sz w:val="20"/>
          <w:szCs w:val="20"/>
        </w:rPr>
        <w:t xml:space="preserve"> (P1, P2 e P3)</w:t>
      </w:r>
      <w:r w:rsidR="00B73955">
        <w:rPr>
          <w:rFonts w:ascii="Times New Roman" w:hAnsi="Times New Roman"/>
          <w:sz w:val="20"/>
          <w:szCs w:val="20"/>
        </w:rPr>
        <w:t xml:space="preserve"> obtidos</w:t>
      </w:r>
      <w:r w:rsidR="00247184">
        <w:rPr>
          <w:rFonts w:ascii="Times New Roman" w:hAnsi="Times New Roman"/>
          <w:sz w:val="20"/>
          <w:szCs w:val="20"/>
        </w:rPr>
        <w:t xml:space="preserve"> na desoxigenação catalítica empregando zeólitas Y. </w:t>
      </w:r>
      <w:r w:rsidR="00F87CF9">
        <w:rPr>
          <w:rFonts w:ascii="Times New Roman" w:hAnsi="Times New Roman"/>
          <w:sz w:val="20"/>
          <w:szCs w:val="20"/>
        </w:rPr>
        <w:t>O</w:t>
      </w:r>
      <w:r w:rsidR="00F97CE4">
        <w:rPr>
          <w:rFonts w:ascii="Times New Roman" w:hAnsi="Times New Roman"/>
          <w:sz w:val="20"/>
          <w:szCs w:val="20"/>
        </w:rPr>
        <w:t xml:space="preserve">bserva-se </w:t>
      </w:r>
      <w:r w:rsidR="009B01E2">
        <w:rPr>
          <w:rFonts w:ascii="Times New Roman" w:hAnsi="Times New Roman"/>
          <w:sz w:val="20"/>
          <w:szCs w:val="20"/>
        </w:rPr>
        <w:t>diminuição da intensidad</w:t>
      </w:r>
      <w:r w:rsidR="0003338F">
        <w:rPr>
          <w:rFonts w:ascii="Times New Roman" w:hAnsi="Times New Roman"/>
          <w:sz w:val="20"/>
          <w:szCs w:val="20"/>
        </w:rPr>
        <w:t>e</w:t>
      </w:r>
      <w:r w:rsidR="00247184">
        <w:rPr>
          <w:rFonts w:ascii="Times New Roman" w:hAnsi="Times New Roman"/>
          <w:sz w:val="20"/>
          <w:szCs w:val="20"/>
        </w:rPr>
        <w:t xml:space="preserve"> da</w:t>
      </w:r>
      <w:r w:rsidR="004E2EC1">
        <w:rPr>
          <w:rFonts w:ascii="Times New Roman" w:hAnsi="Times New Roman"/>
          <w:sz w:val="20"/>
          <w:szCs w:val="20"/>
        </w:rPr>
        <w:t>s</w:t>
      </w:r>
      <w:r w:rsidR="00247184">
        <w:rPr>
          <w:rFonts w:ascii="Times New Roman" w:hAnsi="Times New Roman"/>
          <w:sz w:val="20"/>
          <w:szCs w:val="20"/>
        </w:rPr>
        <w:t xml:space="preserve"> banda</w:t>
      </w:r>
      <w:r w:rsidR="004E2EC1">
        <w:rPr>
          <w:rFonts w:ascii="Times New Roman" w:hAnsi="Times New Roman"/>
          <w:sz w:val="20"/>
          <w:szCs w:val="20"/>
        </w:rPr>
        <w:t>s</w:t>
      </w:r>
      <w:r w:rsidR="00247184">
        <w:rPr>
          <w:rFonts w:ascii="Times New Roman" w:hAnsi="Times New Roman"/>
          <w:sz w:val="20"/>
          <w:szCs w:val="20"/>
        </w:rPr>
        <w:t xml:space="preserve"> </w:t>
      </w:r>
      <w:r w:rsidR="00F97CE4">
        <w:rPr>
          <w:rFonts w:ascii="Times New Roman" w:hAnsi="Times New Roman"/>
          <w:sz w:val="20"/>
          <w:szCs w:val="20"/>
        </w:rPr>
        <w:t>relacionada</w:t>
      </w:r>
      <w:r w:rsidR="004E2EC1">
        <w:rPr>
          <w:rFonts w:ascii="Times New Roman" w:hAnsi="Times New Roman"/>
          <w:sz w:val="20"/>
          <w:szCs w:val="20"/>
        </w:rPr>
        <w:t>s</w:t>
      </w:r>
      <w:r w:rsidR="00F97CE4">
        <w:rPr>
          <w:rFonts w:ascii="Times New Roman" w:hAnsi="Times New Roman"/>
          <w:sz w:val="20"/>
          <w:szCs w:val="20"/>
        </w:rPr>
        <w:t xml:space="preserve"> </w:t>
      </w:r>
      <w:r w:rsidR="00F87CF9">
        <w:rPr>
          <w:rFonts w:ascii="Times New Roman" w:hAnsi="Times New Roman"/>
          <w:sz w:val="20"/>
          <w:szCs w:val="20"/>
        </w:rPr>
        <w:t>à</w:t>
      </w:r>
      <w:r w:rsidR="00F97CE4">
        <w:rPr>
          <w:rFonts w:ascii="Times New Roman" w:hAnsi="Times New Roman"/>
          <w:sz w:val="20"/>
          <w:szCs w:val="20"/>
        </w:rPr>
        <w:t xml:space="preserve"> carbonila</w:t>
      </w:r>
      <w:r w:rsidR="004E2EC1">
        <w:rPr>
          <w:rFonts w:ascii="Times New Roman" w:hAnsi="Times New Roman"/>
          <w:sz w:val="20"/>
          <w:szCs w:val="20"/>
        </w:rPr>
        <w:t xml:space="preserve"> e </w:t>
      </w:r>
      <w:r w:rsidR="007319F9">
        <w:rPr>
          <w:rFonts w:ascii="Times New Roman" w:hAnsi="Times New Roman"/>
          <w:sz w:val="20"/>
          <w:szCs w:val="20"/>
        </w:rPr>
        <w:t>à</w:t>
      </w:r>
      <w:r w:rsidR="004E2EC1">
        <w:rPr>
          <w:rFonts w:ascii="Times New Roman" w:hAnsi="Times New Roman"/>
          <w:sz w:val="20"/>
          <w:szCs w:val="20"/>
        </w:rPr>
        <w:t xml:space="preserve"> ligação C-O de ésteres </w:t>
      </w:r>
      <w:r w:rsidR="004E2EC1">
        <w:rPr>
          <w:rFonts w:ascii="Times New Roman" w:hAnsi="Times New Roman"/>
          <w:sz w:val="20"/>
          <w:szCs w:val="20"/>
        </w:rPr>
        <w:t>em 1745 e 1160 cm</w:t>
      </w:r>
      <w:r w:rsidR="004E2EC1">
        <w:rPr>
          <w:rFonts w:ascii="Times New Roman" w:hAnsi="Times New Roman"/>
          <w:sz w:val="20"/>
          <w:szCs w:val="20"/>
          <w:vertAlign w:val="superscript"/>
        </w:rPr>
        <w:t>-1</w:t>
      </w:r>
      <w:r w:rsidR="00F97CE4">
        <w:rPr>
          <w:rFonts w:ascii="Times New Roman" w:hAnsi="Times New Roman"/>
          <w:sz w:val="20"/>
          <w:szCs w:val="20"/>
        </w:rPr>
        <w:t xml:space="preserve">, </w:t>
      </w:r>
      <w:r w:rsidR="004E2EC1">
        <w:rPr>
          <w:rFonts w:ascii="Times New Roman" w:hAnsi="Times New Roman"/>
          <w:sz w:val="20"/>
          <w:szCs w:val="20"/>
        </w:rPr>
        <w:t xml:space="preserve">respectivamente, </w:t>
      </w:r>
      <w:r w:rsidR="00F97CE4">
        <w:rPr>
          <w:rFonts w:ascii="Times New Roman" w:hAnsi="Times New Roman"/>
          <w:sz w:val="20"/>
          <w:szCs w:val="20"/>
        </w:rPr>
        <w:t>e o surgimento d</w:t>
      </w:r>
      <w:r w:rsidR="003C65A1">
        <w:rPr>
          <w:rFonts w:ascii="Times New Roman" w:hAnsi="Times New Roman"/>
          <w:sz w:val="20"/>
          <w:szCs w:val="20"/>
        </w:rPr>
        <w:t>a banda referente a ácidos carboxílicos em 1710 cm</w:t>
      </w:r>
      <w:r w:rsidR="003C65A1">
        <w:rPr>
          <w:rFonts w:ascii="Times New Roman" w:hAnsi="Times New Roman"/>
          <w:sz w:val="20"/>
          <w:szCs w:val="20"/>
          <w:vertAlign w:val="superscript"/>
        </w:rPr>
        <w:t>-1</w:t>
      </w:r>
      <w:r w:rsidR="003C65A1">
        <w:rPr>
          <w:rFonts w:ascii="Times New Roman" w:hAnsi="Times New Roman"/>
          <w:sz w:val="20"/>
          <w:szCs w:val="20"/>
        </w:rPr>
        <w:t xml:space="preserve">, indicando a conversão de triglicerídeos em ácidos graxos livres em todas as reações. </w:t>
      </w:r>
      <w:r w:rsidR="006F6EB4">
        <w:rPr>
          <w:rFonts w:ascii="Times New Roman" w:hAnsi="Times New Roman"/>
          <w:sz w:val="20"/>
          <w:szCs w:val="20"/>
        </w:rPr>
        <w:t>U</w:t>
      </w:r>
      <w:r w:rsidR="00AF1A2E">
        <w:rPr>
          <w:rFonts w:ascii="Times New Roman" w:hAnsi="Times New Roman"/>
          <w:sz w:val="20"/>
          <w:szCs w:val="20"/>
        </w:rPr>
        <w:t>m</w:t>
      </w:r>
      <w:r w:rsidR="003C65A1">
        <w:rPr>
          <w:rFonts w:ascii="Times New Roman" w:hAnsi="Times New Roman"/>
          <w:sz w:val="20"/>
          <w:szCs w:val="20"/>
        </w:rPr>
        <w:t>a</w:t>
      </w:r>
      <w:r w:rsidR="00AF1A2E">
        <w:rPr>
          <w:rFonts w:ascii="Times New Roman" w:hAnsi="Times New Roman"/>
          <w:sz w:val="20"/>
          <w:szCs w:val="20"/>
        </w:rPr>
        <w:t xml:space="preserve"> vez que a</w:t>
      </w:r>
      <w:r w:rsidR="003C65A1">
        <w:rPr>
          <w:rFonts w:ascii="Times New Roman" w:hAnsi="Times New Roman"/>
          <w:sz w:val="20"/>
          <w:szCs w:val="20"/>
        </w:rPr>
        <w:t xml:space="preserve"> intensidade do pico em 1710 cm</w:t>
      </w:r>
      <w:r w:rsidR="00AF1A2E">
        <w:rPr>
          <w:rFonts w:ascii="Times New Roman" w:hAnsi="Times New Roman"/>
          <w:sz w:val="20"/>
          <w:szCs w:val="20"/>
          <w:vertAlign w:val="superscript"/>
        </w:rPr>
        <w:t>-</w:t>
      </w:r>
      <w:r w:rsidR="003C65A1">
        <w:rPr>
          <w:rFonts w:ascii="Times New Roman" w:hAnsi="Times New Roman"/>
          <w:sz w:val="20"/>
          <w:szCs w:val="20"/>
          <w:vertAlign w:val="superscript"/>
        </w:rPr>
        <w:t>1</w:t>
      </w:r>
      <w:r w:rsidR="003C65A1">
        <w:rPr>
          <w:rFonts w:ascii="Times New Roman" w:hAnsi="Times New Roman"/>
          <w:sz w:val="20"/>
          <w:szCs w:val="20"/>
        </w:rPr>
        <w:t xml:space="preserve"> pode ser relacionada </w:t>
      </w:r>
      <w:r w:rsidR="006F6EB4">
        <w:rPr>
          <w:rFonts w:ascii="Times New Roman" w:hAnsi="Times New Roman"/>
          <w:sz w:val="20"/>
          <w:szCs w:val="20"/>
        </w:rPr>
        <w:t>a</w:t>
      </w:r>
      <w:r w:rsidR="003C65A1">
        <w:rPr>
          <w:rFonts w:ascii="Times New Roman" w:hAnsi="Times New Roman"/>
          <w:sz w:val="20"/>
          <w:szCs w:val="20"/>
        </w:rPr>
        <w:t>o grau de desoxigenação</w:t>
      </w:r>
      <w:r w:rsidR="00AF1A2E">
        <w:rPr>
          <w:rFonts w:ascii="Times New Roman" w:hAnsi="Times New Roman"/>
          <w:sz w:val="20"/>
          <w:szCs w:val="20"/>
        </w:rPr>
        <w:t>,</w:t>
      </w:r>
      <w:r w:rsidR="00C859F4">
        <w:rPr>
          <w:rFonts w:ascii="Times New Roman" w:hAnsi="Times New Roman"/>
          <w:sz w:val="20"/>
          <w:szCs w:val="20"/>
        </w:rPr>
        <w:t xml:space="preserve"> </w:t>
      </w:r>
      <w:r w:rsidR="006F6EB4">
        <w:rPr>
          <w:rFonts w:ascii="Times New Roman" w:hAnsi="Times New Roman"/>
          <w:sz w:val="20"/>
          <w:szCs w:val="20"/>
        </w:rPr>
        <w:t xml:space="preserve">pode-se concluir </w:t>
      </w:r>
      <w:r w:rsidR="00C859F4">
        <w:rPr>
          <w:rFonts w:ascii="Times New Roman" w:hAnsi="Times New Roman"/>
          <w:sz w:val="20"/>
          <w:szCs w:val="20"/>
        </w:rPr>
        <w:t>que</w:t>
      </w:r>
      <w:r w:rsidR="00AF1A2E">
        <w:rPr>
          <w:rFonts w:ascii="Times New Roman" w:hAnsi="Times New Roman"/>
          <w:sz w:val="20"/>
          <w:szCs w:val="20"/>
        </w:rPr>
        <w:t xml:space="preserve"> o catalisador com 5% de Ni (Y5Ni)</w:t>
      </w:r>
      <w:r w:rsidR="00C859F4">
        <w:rPr>
          <w:rFonts w:ascii="Times New Roman" w:hAnsi="Times New Roman"/>
          <w:sz w:val="20"/>
          <w:szCs w:val="20"/>
        </w:rPr>
        <w:t xml:space="preserve"> </w:t>
      </w:r>
      <w:r w:rsidR="006F6EB4">
        <w:rPr>
          <w:rFonts w:ascii="Times New Roman" w:hAnsi="Times New Roman"/>
          <w:sz w:val="20"/>
          <w:szCs w:val="20"/>
        </w:rPr>
        <w:t xml:space="preserve">foi o </w:t>
      </w:r>
      <w:r w:rsidR="00C859F4">
        <w:rPr>
          <w:rFonts w:ascii="Times New Roman" w:hAnsi="Times New Roman"/>
          <w:sz w:val="20"/>
          <w:szCs w:val="20"/>
        </w:rPr>
        <w:t>mais eficiente</w:t>
      </w:r>
      <w:r w:rsidR="006F6EB4">
        <w:rPr>
          <w:rFonts w:ascii="Times New Roman" w:hAnsi="Times New Roman"/>
          <w:sz w:val="20"/>
          <w:szCs w:val="20"/>
        </w:rPr>
        <w:t xml:space="preserve">. </w:t>
      </w:r>
    </w:p>
    <w:p w14:paraId="2755512B" w14:textId="77777777" w:rsidR="00204CC7" w:rsidRDefault="00204CC7" w:rsidP="00F55309">
      <w:pPr>
        <w:spacing w:after="0" w:line="240" w:lineRule="exact"/>
        <w:ind w:firstLine="204"/>
        <w:jc w:val="both"/>
        <w:rPr>
          <w:rFonts w:ascii="Times New Roman" w:hAnsi="Times New Roman"/>
          <w:sz w:val="20"/>
          <w:szCs w:val="20"/>
        </w:rPr>
      </w:pPr>
    </w:p>
    <w:p w14:paraId="58C77E52" w14:textId="747DFDAC" w:rsidR="00204CC7" w:rsidRDefault="00204CC7" w:rsidP="00204CC7">
      <w:pPr>
        <w:jc w:val="center"/>
      </w:pPr>
      <w:r>
        <w:rPr>
          <w:noProof/>
        </w:rPr>
        <w:drawing>
          <wp:inline distT="0" distB="0" distL="0" distR="0" wp14:anchorId="7B11EF92" wp14:editId="667BFA21">
            <wp:extent cx="3180785" cy="2699482"/>
            <wp:effectExtent l="0" t="0" r="635" b="5715"/>
            <wp:docPr id="27124999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49998" name="Imagem 6"/>
                    <pic:cNvPicPr>
                      <a:picLocks noChangeAspect="1" noChangeArrowheads="1"/>
                    </pic:cNvPicPr>
                  </pic:nvPicPr>
                  <pic:blipFill rotWithShape="1">
                    <a:blip r:embed="rId10">
                      <a:extLst>
                        <a:ext uri="{28A0092B-C50C-407E-A947-70E740481C1C}">
                          <a14:useLocalDpi xmlns:a14="http://schemas.microsoft.com/office/drawing/2010/main" val="0"/>
                        </a:ext>
                      </a:extLst>
                    </a:blip>
                    <a:srcRect l="6440" t="11795" r="14140" b="12328"/>
                    <a:stretch/>
                  </pic:blipFill>
                  <pic:spPr bwMode="auto">
                    <a:xfrm>
                      <a:off x="0" y="0"/>
                      <a:ext cx="3217965" cy="2731036"/>
                    </a:xfrm>
                    <a:prstGeom prst="rect">
                      <a:avLst/>
                    </a:prstGeom>
                    <a:noFill/>
                    <a:ln>
                      <a:noFill/>
                    </a:ln>
                    <a:extLst>
                      <a:ext uri="{53640926-AAD7-44D8-BBD7-CCE9431645EC}">
                        <a14:shadowObscured xmlns:a14="http://schemas.microsoft.com/office/drawing/2010/main"/>
                      </a:ext>
                    </a:extLst>
                  </pic:spPr>
                </pic:pic>
              </a:graphicData>
            </a:graphic>
          </wp:inline>
        </w:drawing>
      </w:r>
    </w:p>
    <w:p w14:paraId="4B60C4BC" w14:textId="67CEE603" w:rsidR="00204CC7" w:rsidRPr="007B17DF" w:rsidRDefault="00204CC7" w:rsidP="006F6EB4">
      <w:pPr>
        <w:pStyle w:val="VAFigureCaption"/>
        <w:spacing w:before="0"/>
        <w:rPr>
          <w:sz w:val="20"/>
          <w:lang w:val="pt-BR"/>
        </w:rPr>
      </w:pPr>
      <w:r w:rsidRPr="00E038AF">
        <w:rPr>
          <w:rFonts w:ascii="Times New Roman" w:hAnsi="Times New Roman"/>
          <w:b/>
          <w:lang w:val="pt-BR"/>
        </w:rPr>
        <w:t xml:space="preserve">Figura </w:t>
      </w:r>
      <w:r w:rsidR="007B17DF">
        <w:rPr>
          <w:rFonts w:ascii="Times New Roman" w:hAnsi="Times New Roman"/>
          <w:b/>
          <w:lang w:val="pt-BR"/>
        </w:rPr>
        <w:t>2</w:t>
      </w:r>
      <w:r>
        <w:rPr>
          <w:rFonts w:ascii="Times New Roman" w:hAnsi="Times New Roman"/>
          <w:b/>
          <w:lang w:val="pt-BR"/>
        </w:rPr>
        <w:t>.</w:t>
      </w:r>
      <w:r w:rsidRPr="00E038AF">
        <w:rPr>
          <w:rFonts w:ascii="Times New Roman" w:hAnsi="Times New Roman"/>
          <w:lang w:val="pt-BR"/>
        </w:rPr>
        <w:t xml:space="preserve"> </w:t>
      </w:r>
      <w:r w:rsidR="00B73955">
        <w:rPr>
          <w:rFonts w:ascii="Times New Roman" w:hAnsi="Times New Roman"/>
          <w:lang w:val="pt-BR"/>
        </w:rPr>
        <w:t>Espectros de FTIR da matéria-prima e dos produtos</w:t>
      </w:r>
      <w:r w:rsidR="006A4F8B">
        <w:rPr>
          <w:rFonts w:ascii="Times New Roman" w:hAnsi="Times New Roman"/>
          <w:lang w:val="pt-BR"/>
        </w:rPr>
        <w:t xml:space="preserve"> (P1, P2 e P3)</w:t>
      </w:r>
      <w:r w:rsidR="00B73955">
        <w:rPr>
          <w:rFonts w:ascii="Times New Roman" w:hAnsi="Times New Roman"/>
          <w:lang w:val="pt-BR"/>
        </w:rPr>
        <w:t xml:space="preserve"> da desoxigenação catalítica.</w:t>
      </w:r>
      <w:r w:rsidR="007319F9">
        <w:rPr>
          <w:rFonts w:ascii="Times New Roman" w:hAnsi="Times New Roman"/>
          <w:lang w:val="pt-BR"/>
        </w:rPr>
        <w:t xml:space="preserve"> </w:t>
      </w:r>
    </w:p>
    <w:p w14:paraId="20AA905D" w14:textId="09EB3D13" w:rsidR="00EA4E1B" w:rsidRPr="001F25B2" w:rsidRDefault="00EA4E1B" w:rsidP="00EA4E1B">
      <w:pPr>
        <w:pStyle w:val="Ttulo2"/>
        <w:rPr>
          <w:rFonts w:ascii="Helvetica" w:hAnsi="Helvetica" w:cs="Helvetica"/>
          <w:sz w:val="24"/>
          <w:szCs w:val="24"/>
        </w:rPr>
      </w:pPr>
      <w:r w:rsidRPr="00185188">
        <w:rPr>
          <w:rFonts w:ascii="Helvetica" w:hAnsi="Helvetica" w:cs="Helvetica"/>
          <w:sz w:val="24"/>
          <w:szCs w:val="24"/>
        </w:rPr>
        <w:t>Conclusões</w:t>
      </w:r>
    </w:p>
    <w:p w14:paraId="4A70FE93" w14:textId="5F46BB46" w:rsidR="00EA4E1B" w:rsidRPr="0047106B" w:rsidRDefault="00185188" w:rsidP="00EA4E1B">
      <w:pPr>
        <w:pStyle w:val="TAMainText"/>
        <w:ind w:firstLine="187"/>
        <w:rPr>
          <w:rFonts w:ascii="Times New Roman" w:hAnsi="Times New Roman"/>
          <w:lang w:val="pt-BR"/>
        </w:rPr>
      </w:pPr>
      <w:r>
        <w:rPr>
          <w:rFonts w:ascii="Times New Roman" w:hAnsi="Times New Roman"/>
          <w:lang w:val="pt-BR"/>
        </w:rPr>
        <w:t xml:space="preserve">O uso de zeólitas Y impregnadas com níquel </w:t>
      </w:r>
      <w:r w:rsidR="006F6EB4">
        <w:rPr>
          <w:rFonts w:ascii="Times New Roman" w:hAnsi="Times New Roman"/>
          <w:lang w:val="pt-BR"/>
        </w:rPr>
        <w:t>aument</w:t>
      </w:r>
      <w:r w:rsidR="006568B5">
        <w:rPr>
          <w:rFonts w:ascii="Times New Roman" w:hAnsi="Times New Roman"/>
          <w:lang w:val="pt-BR"/>
        </w:rPr>
        <w:t xml:space="preserve">ou </w:t>
      </w:r>
      <w:r>
        <w:rPr>
          <w:rFonts w:ascii="Times New Roman" w:hAnsi="Times New Roman"/>
          <w:lang w:val="pt-BR"/>
        </w:rPr>
        <w:t xml:space="preserve">a </w:t>
      </w:r>
      <w:r w:rsidR="005E29EC">
        <w:rPr>
          <w:rFonts w:ascii="Times New Roman" w:hAnsi="Times New Roman"/>
          <w:lang w:val="pt-BR"/>
        </w:rPr>
        <w:t>conversão n</w:t>
      </w:r>
      <w:r>
        <w:rPr>
          <w:rFonts w:ascii="Times New Roman" w:hAnsi="Times New Roman"/>
          <w:lang w:val="pt-BR"/>
        </w:rPr>
        <w:t>a desoxigenação catalítica de óleo residual de fritura</w:t>
      </w:r>
      <w:r w:rsidRPr="0047106B">
        <w:rPr>
          <w:rFonts w:ascii="Times New Roman" w:hAnsi="Times New Roman"/>
          <w:lang w:val="pt-BR"/>
        </w:rPr>
        <w:t xml:space="preserve">. </w:t>
      </w:r>
      <w:r w:rsidR="006568B5">
        <w:rPr>
          <w:rFonts w:ascii="Times New Roman" w:hAnsi="Times New Roman"/>
          <w:lang w:val="pt-BR"/>
        </w:rPr>
        <w:t xml:space="preserve">O catalisador com 5% Ni mostrou-se o mais eficiente.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478AAB81" w14:textId="0BD76E66" w:rsidR="005B302E" w:rsidRPr="001F25B2" w:rsidRDefault="005B302E" w:rsidP="005B302E">
      <w:pPr>
        <w:pStyle w:val="TAMainText"/>
        <w:rPr>
          <w:rFonts w:ascii="Times New Roman" w:hAnsi="Times New Roman"/>
          <w:lang w:val="pt-BR"/>
        </w:rPr>
      </w:pPr>
      <w:r>
        <w:rPr>
          <w:rFonts w:ascii="Times New Roman" w:hAnsi="Times New Roman"/>
          <w:lang w:val="pt-BR"/>
        </w:rPr>
        <w:t>Os autores agradecem ao CNPq</w:t>
      </w:r>
      <w:r w:rsidR="008213A0">
        <w:rPr>
          <w:rFonts w:ascii="Times New Roman" w:hAnsi="Times New Roman"/>
          <w:lang w:val="pt-BR"/>
        </w:rPr>
        <w:t>,</w:t>
      </w:r>
      <w:r>
        <w:rPr>
          <w:rFonts w:ascii="Times New Roman" w:hAnsi="Times New Roman"/>
          <w:lang w:val="pt-BR"/>
        </w:rPr>
        <w:t xml:space="preserve"> </w:t>
      </w:r>
      <w:r w:rsidR="007319F9">
        <w:rPr>
          <w:rFonts w:ascii="Times New Roman" w:hAnsi="Times New Roman"/>
          <w:lang w:val="pt-BR"/>
        </w:rPr>
        <w:t xml:space="preserve">à </w:t>
      </w:r>
      <w:r>
        <w:rPr>
          <w:rFonts w:ascii="Times New Roman" w:hAnsi="Times New Roman"/>
          <w:lang w:val="pt-BR"/>
        </w:rPr>
        <w:t>FINEP</w:t>
      </w:r>
      <w:r w:rsidR="008213A0">
        <w:rPr>
          <w:rFonts w:ascii="Times New Roman" w:hAnsi="Times New Roman"/>
          <w:lang w:val="pt-BR"/>
        </w:rPr>
        <w:t xml:space="preserve"> e à ANP</w:t>
      </w:r>
      <w:r>
        <w:rPr>
          <w:rFonts w:ascii="Times New Roman" w:hAnsi="Times New Roman"/>
          <w:lang w:val="pt-BR"/>
        </w:rPr>
        <w:t xml:space="preserve"> pelo auxílio financeiro</w:t>
      </w:r>
      <w:r w:rsidR="008213A0">
        <w:rPr>
          <w:rFonts w:ascii="Times New Roman" w:hAnsi="Times New Roman"/>
          <w:lang w:val="pt-BR"/>
        </w:rPr>
        <w:t>.</w:t>
      </w:r>
    </w:p>
    <w:p w14:paraId="1EAAA287" w14:textId="77777777" w:rsidR="00EA4E1B" w:rsidRDefault="00EA4E1B" w:rsidP="00EA4E1B">
      <w:pPr>
        <w:pStyle w:val="Ttulo2"/>
        <w:rPr>
          <w:rFonts w:ascii="Helvetica" w:hAnsi="Helvetica" w:cs="Helvetica"/>
          <w:sz w:val="24"/>
          <w:szCs w:val="24"/>
        </w:rPr>
      </w:pPr>
      <w:r w:rsidRPr="005B77D4">
        <w:rPr>
          <w:rFonts w:ascii="Helvetica" w:hAnsi="Helvetica" w:cs="Helvetica"/>
          <w:sz w:val="24"/>
          <w:szCs w:val="24"/>
        </w:rPr>
        <w:t>Referências</w:t>
      </w:r>
    </w:p>
    <w:p w14:paraId="3383D245" w14:textId="4FD17060" w:rsidR="00DE369F" w:rsidRPr="00DE369F" w:rsidRDefault="005B302E" w:rsidP="006812AA">
      <w:pPr>
        <w:widowControl w:val="0"/>
        <w:autoSpaceDE w:val="0"/>
        <w:autoSpaceDN w:val="0"/>
        <w:adjustRightInd w:val="0"/>
        <w:spacing w:after="0" w:line="240" w:lineRule="exact"/>
        <w:ind w:left="357" w:hanging="357"/>
        <w:jc w:val="both"/>
        <w:rPr>
          <w:rFonts w:ascii="Times" w:hAnsi="Times" w:cs="Times"/>
          <w:noProof/>
          <w:sz w:val="20"/>
          <w:szCs w:val="24"/>
        </w:rPr>
      </w:pPr>
      <w:r>
        <w:fldChar w:fldCharType="begin" w:fldLock="1"/>
      </w:r>
      <w:r>
        <w:instrText xml:space="preserve">ADDIN Mendeley Bibliography CSL_BIBLIOGRAPHY </w:instrText>
      </w:r>
      <w:r>
        <w:fldChar w:fldCharType="separate"/>
      </w:r>
      <w:r w:rsidR="00DE369F" w:rsidRPr="00DE369F">
        <w:rPr>
          <w:rFonts w:ascii="Times" w:hAnsi="Times" w:cs="Times"/>
          <w:noProof/>
          <w:sz w:val="20"/>
          <w:szCs w:val="24"/>
        </w:rPr>
        <w:t xml:space="preserve">1. </w:t>
      </w:r>
      <w:r w:rsidR="006812AA">
        <w:rPr>
          <w:rFonts w:ascii="Times" w:hAnsi="Times" w:cs="Times"/>
          <w:noProof/>
          <w:sz w:val="20"/>
          <w:szCs w:val="24"/>
        </w:rPr>
        <w:t xml:space="preserve">  </w:t>
      </w:r>
      <w:r w:rsidR="005B77D4">
        <w:rPr>
          <w:rFonts w:ascii="Times" w:hAnsi="Times" w:cs="Times"/>
          <w:noProof/>
          <w:sz w:val="20"/>
          <w:szCs w:val="24"/>
        </w:rPr>
        <w:t xml:space="preserve">S. </w:t>
      </w:r>
      <w:r w:rsidR="00DE369F" w:rsidRPr="00DE369F">
        <w:rPr>
          <w:rFonts w:ascii="Times" w:hAnsi="Times" w:cs="Times"/>
          <w:noProof/>
          <w:sz w:val="20"/>
          <w:szCs w:val="24"/>
        </w:rPr>
        <w:t>Khan</w:t>
      </w:r>
      <w:r w:rsidR="005B77D4">
        <w:rPr>
          <w:rFonts w:ascii="Times" w:hAnsi="Times" w:cs="Times"/>
          <w:noProof/>
          <w:sz w:val="20"/>
          <w:szCs w:val="24"/>
        </w:rPr>
        <w:t>; A. N. K.</w:t>
      </w:r>
      <w:r w:rsidR="00DE369F" w:rsidRPr="00BF6BFE">
        <w:rPr>
          <w:rFonts w:ascii="Times" w:hAnsi="Times" w:cs="Times"/>
          <w:noProof/>
          <w:sz w:val="20"/>
          <w:szCs w:val="24"/>
        </w:rPr>
        <w:t xml:space="preserve"> Lup</w:t>
      </w:r>
      <w:r w:rsidR="005B77D4" w:rsidRPr="00BF6BFE">
        <w:rPr>
          <w:rFonts w:ascii="Times" w:hAnsi="Times" w:cs="Times"/>
          <w:noProof/>
          <w:sz w:val="20"/>
          <w:szCs w:val="24"/>
        </w:rPr>
        <w:t>; K. M.</w:t>
      </w:r>
      <w:r w:rsidR="00DE369F" w:rsidRPr="00BF6BFE">
        <w:rPr>
          <w:rFonts w:ascii="Times" w:hAnsi="Times" w:cs="Times"/>
          <w:noProof/>
          <w:sz w:val="20"/>
          <w:szCs w:val="24"/>
        </w:rPr>
        <w:t xml:space="preserve"> Qureshi</w:t>
      </w:r>
      <w:r w:rsidR="005B77D4" w:rsidRPr="00BF6BFE">
        <w:rPr>
          <w:rFonts w:ascii="Times" w:hAnsi="Times" w:cs="Times"/>
          <w:noProof/>
          <w:sz w:val="20"/>
          <w:szCs w:val="24"/>
        </w:rPr>
        <w:t>; F.</w:t>
      </w:r>
      <w:r w:rsidR="00DE369F" w:rsidRPr="00BF6BFE">
        <w:rPr>
          <w:rFonts w:ascii="Times" w:hAnsi="Times" w:cs="Times"/>
          <w:noProof/>
          <w:sz w:val="20"/>
          <w:szCs w:val="24"/>
        </w:rPr>
        <w:t xml:space="preserve"> Abnisa</w:t>
      </w:r>
      <w:r w:rsidR="005B77D4" w:rsidRPr="00BF6BFE">
        <w:rPr>
          <w:rFonts w:ascii="Times" w:hAnsi="Times" w:cs="Times"/>
          <w:noProof/>
          <w:sz w:val="20"/>
          <w:szCs w:val="24"/>
        </w:rPr>
        <w:t>; W. M. A. W.</w:t>
      </w:r>
      <w:r w:rsidR="00DE369F" w:rsidRPr="00BF6BFE">
        <w:rPr>
          <w:rFonts w:ascii="Times" w:hAnsi="Times" w:cs="Times"/>
          <w:noProof/>
          <w:sz w:val="20"/>
          <w:szCs w:val="24"/>
        </w:rPr>
        <w:t xml:space="preserve"> Daud</w:t>
      </w:r>
      <w:r w:rsidR="005B77D4" w:rsidRPr="00BF6BFE">
        <w:rPr>
          <w:rFonts w:ascii="Times" w:hAnsi="Times" w:cs="Times"/>
          <w:noProof/>
          <w:sz w:val="20"/>
          <w:szCs w:val="24"/>
        </w:rPr>
        <w:t>;</w:t>
      </w:r>
      <w:r w:rsidR="006812AA" w:rsidRPr="00BF6BFE">
        <w:rPr>
          <w:rFonts w:ascii="Times" w:hAnsi="Times" w:cs="Times"/>
          <w:noProof/>
          <w:sz w:val="20"/>
          <w:szCs w:val="24"/>
        </w:rPr>
        <w:t xml:space="preserve"> M. F. A.</w:t>
      </w:r>
      <w:r w:rsidR="00DE369F" w:rsidRPr="00BF6BFE">
        <w:rPr>
          <w:rFonts w:ascii="Times" w:hAnsi="Times" w:cs="Times"/>
          <w:noProof/>
          <w:sz w:val="20"/>
          <w:szCs w:val="24"/>
        </w:rPr>
        <w:t xml:space="preserve"> Patah</w:t>
      </w:r>
      <w:r w:rsidR="006812AA">
        <w:rPr>
          <w:rFonts w:ascii="Times" w:hAnsi="Times" w:cs="Times"/>
          <w:noProof/>
          <w:sz w:val="20"/>
          <w:szCs w:val="24"/>
        </w:rPr>
        <w:t>,</w:t>
      </w:r>
      <w:r w:rsidR="00DE369F" w:rsidRPr="00DE369F">
        <w:rPr>
          <w:rFonts w:ascii="Times" w:hAnsi="Times" w:cs="Times"/>
          <w:noProof/>
          <w:sz w:val="20"/>
          <w:szCs w:val="24"/>
        </w:rPr>
        <w:t xml:space="preserve"> </w:t>
      </w:r>
      <w:r w:rsidR="00DE369F" w:rsidRPr="006812AA">
        <w:rPr>
          <w:rFonts w:ascii="Times" w:hAnsi="Times" w:cs="Times"/>
          <w:i/>
          <w:iCs/>
          <w:noProof/>
          <w:sz w:val="20"/>
          <w:szCs w:val="24"/>
        </w:rPr>
        <w:t>J</w:t>
      </w:r>
      <w:r w:rsidR="006812AA" w:rsidRPr="006812AA">
        <w:rPr>
          <w:rFonts w:ascii="Times" w:hAnsi="Times" w:cs="Times"/>
          <w:i/>
          <w:iCs/>
          <w:noProof/>
          <w:sz w:val="20"/>
          <w:szCs w:val="24"/>
        </w:rPr>
        <w:t>.</w:t>
      </w:r>
      <w:r w:rsidR="00DE369F" w:rsidRPr="006812AA">
        <w:rPr>
          <w:rFonts w:ascii="Times" w:hAnsi="Times" w:cs="Times"/>
          <w:i/>
          <w:iCs/>
          <w:noProof/>
          <w:sz w:val="20"/>
          <w:szCs w:val="24"/>
        </w:rPr>
        <w:t xml:space="preserve"> Anal</w:t>
      </w:r>
      <w:r w:rsidR="006812AA" w:rsidRPr="006812AA">
        <w:rPr>
          <w:rFonts w:ascii="Times" w:hAnsi="Times" w:cs="Times"/>
          <w:i/>
          <w:iCs/>
          <w:noProof/>
          <w:sz w:val="20"/>
          <w:szCs w:val="24"/>
        </w:rPr>
        <w:t>.</w:t>
      </w:r>
      <w:r w:rsidR="00DE369F" w:rsidRPr="006812AA">
        <w:rPr>
          <w:rFonts w:ascii="Times" w:hAnsi="Times" w:cs="Times"/>
          <w:i/>
          <w:iCs/>
          <w:noProof/>
          <w:sz w:val="20"/>
          <w:szCs w:val="24"/>
        </w:rPr>
        <w:t xml:space="preserve"> Appl</w:t>
      </w:r>
      <w:r w:rsidR="006812AA" w:rsidRPr="006812AA">
        <w:rPr>
          <w:rFonts w:ascii="Times" w:hAnsi="Times" w:cs="Times"/>
          <w:i/>
          <w:iCs/>
          <w:noProof/>
          <w:sz w:val="20"/>
          <w:szCs w:val="24"/>
        </w:rPr>
        <w:t>.</w:t>
      </w:r>
      <w:r w:rsidR="00DE369F" w:rsidRPr="006812AA">
        <w:rPr>
          <w:rFonts w:ascii="Times" w:hAnsi="Times" w:cs="Times"/>
          <w:i/>
          <w:iCs/>
          <w:noProof/>
          <w:sz w:val="20"/>
          <w:szCs w:val="24"/>
        </w:rPr>
        <w:t xml:space="preserve"> Pyrolysis</w:t>
      </w:r>
      <w:r w:rsidR="00DE369F" w:rsidRPr="00DE369F">
        <w:rPr>
          <w:rFonts w:ascii="Times" w:hAnsi="Times" w:cs="Times"/>
          <w:noProof/>
          <w:sz w:val="20"/>
          <w:szCs w:val="24"/>
        </w:rPr>
        <w:t xml:space="preserve">. </w:t>
      </w:r>
      <w:r w:rsidR="00DE369F" w:rsidRPr="006812AA">
        <w:rPr>
          <w:rFonts w:ascii="Times" w:hAnsi="Times" w:cs="Times"/>
          <w:b/>
          <w:bCs/>
          <w:noProof/>
          <w:sz w:val="20"/>
          <w:szCs w:val="24"/>
        </w:rPr>
        <w:t>2019</w:t>
      </w:r>
      <w:r w:rsidR="006812AA">
        <w:rPr>
          <w:rFonts w:ascii="Times" w:hAnsi="Times" w:cs="Times"/>
          <w:noProof/>
          <w:sz w:val="20"/>
          <w:szCs w:val="24"/>
        </w:rPr>
        <w:t>,</w:t>
      </w:r>
      <w:r w:rsidR="00A8373C">
        <w:rPr>
          <w:rFonts w:ascii="Times" w:hAnsi="Times" w:cs="Times"/>
          <w:noProof/>
          <w:sz w:val="20"/>
          <w:szCs w:val="24"/>
        </w:rPr>
        <w:t xml:space="preserve"> </w:t>
      </w:r>
      <w:r w:rsidR="00DE369F" w:rsidRPr="006812AA">
        <w:rPr>
          <w:rFonts w:ascii="Times" w:hAnsi="Times" w:cs="Times"/>
          <w:i/>
          <w:iCs/>
          <w:noProof/>
          <w:sz w:val="20"/>
          <w:szCs w:val="24"/>
        </w:rPr>
        <w:t>140</w:t>
      </w:r>
      <w:r w:rsidR="006812AA">
        <w:rPr>
          <w:rFonts w:ascii="Times" w:hAnsi="Times" w:cs="Times"/>
          <w:noProof/>
          <w:sz w:val="20"/>
          <w:szCs w:val="24"/>
        </w:rPr>
        <w:t xml:space="preserve">, </w:t>
      </w:r>
      <w:r w:rsidR="00DE369F" w:rsidRPr="00DE369F">
        <w:rPr>
          <w:rFonts w:ascii="Times" w:hAnsi="Times" w:cs="Times"/>
          <w:noProof/>
          <w:sz w:val="20"/>
          <w:szCs w:val="24"/>
        </w:rPr>
        <w:t>1–24.</w:t>
      </w:r>
    </w:p>
    <w:p w14:paraId="63266E51" w14:textId="5341903C" w:rsidR="00DE369F" w:rsidRPr="00A8373C" w:rsidRDefault="00DE369F" w:rsidP="00A8373C">
      <w:pPr>
        <w:widowControl w:val="0"/>
        <w:autoSpaceDE w:val="0"/>
        <w:autoSpaceDN w:val="0"/>
        <w:adjustRightInd w:val="0"/>
        <w:spacing w:after="0" w:line="240" w:lineRule="exact"/>
        <w:ind w:left="357" w:hanging="357"/>
        <w:jc w:val="both"/>
        <w:rPr>
          <w:rFonts w:ascii="Times" w:hAnsi="Times" w:cs="Times"/>
          <w:noProof/>
          <w:sz w:val="20"/>
          <w:szCs w:val="24"/>
        </w:rPr>
      </w:pPr>
      <w:r w:rsidRPr="00DE369F">
        <w:rPr>
          <w:rFonts w:ascii="Times" w:hAnsi="Times" w:cs="Times"/>
          <w:noProof/>
          <w:sz w:val="20"/>
          <w:szCs w:val="24"/>
        </w:rPr>
        <w:t xml:space="preserve">2. </w:t>
      </w:r>
      <w:r w:rsidRPr="00DE369F">
        <w:rPr>
          <w:rFonts w:ascii="Times" w:hAnsi="Times" w:cs="Times"/>
          <w:noProof/>
          <w:sz w:val="20"/>
          <w:szCs w:val="24"/>
        </w:rPr>
        <w:tab/>
      </w:r>
      <w:r w:rsidR="006812AA" w:rsidRPr="006812AA">
        <w:rPr>
          <w:rFonts w:ascii="Times" w:hAnsi="Times" w:cs="Times"/>
          <w:noProof/>
          <w:sz w:val="20"/>
          <w:szCs w:val="24"/>
        </w:rPr>
        <w:t xml:space="preserve">P. </w:t>
      </w:r>
      <w:r w:rsidRPr="006812AA">
        <w:rPr>
          <w:rFonts w:ascii="Times" w:hAnsi="Times" w:cs="Times"/>
          <w:noProof/>
          <w:sz w:val="20"/>
          <w:szCs w:val="24"/>
        </w:rPr>
        <w:t>Chintakanan</w:t>
      </w:r>
      <w:r w:rsidR="006812AA" w:rsidRPr="006812AA">
        <w:rPr>
          <w:rFonts w:ascii="Times" w:hAnsi="Times" w:cs="Times"/>
          <w:noProof/>
          <w:sz w:val="20"/>
          <w:szCs w:val="24"/>
        </w:rPr>
        <w:t>; T.</w:t>
      </w:r>
      <w:r w:rsidRPr="006812AA">
        <w:rPr>
          <w:rFonts w:ascii="Times" w:hAnsi="Times" w:cs="Times"/>
          <w:noProof/>
          <w:sz w:val="20"/>
          <w:szCs w:val="24"/>
        </w:rPr>
        <w:t xml:space="preserve"> Vitidsant</w:t>
      </w:r>
      <w:r w:rsidR="006812AA" w:rsidRPr="006812AA">
        <w:rPr>
          <w:rFonts w:ascii="Times" w:hAnsi="Times" w:cs="Times"/>
          <w:noProof/>
          <w:sz w:val="20"/>
          <w:szCs w:val="24"/>
        </w:rPr>
        <w:t xml:space="preserve">; P. </w:t>
      </w:r>
      <w:r w:rsidRPr="006812AA">
        <w:rPr>
          <w:rFonts w:ascii="Times" w:hAnsi="Times" w:cs="Times"/>
          <w:noProof/>
          <w:sz w:val="20"/>
          <w:szCs w:val="24"/>
        </w:rPr>
        <w:t>Reubroycharoen</w:t>
      </w:r>
      <w:r w:rsidR="006812AA" w:rsidRPr="006812AA">
        <w:rPr>
          <w:rFonts w:ascii="Times" w:hAnsi="Times" w:cs="Times"/>
          <w:noProof/>
          <w:sz w:val="20"/>
          <w:szCs w:val="24"/>
        </w:rPr>
        <w:t xml:space="preserve">; P. </w:t>
      </w:r>
      <w:r w:rsidRPr="00DE369F">
        <w:rPr>
          <w:rFonts w:ascii="Times" w:hAnsi="Times" w:cs="Times"/>
          <w:noProof/>
          <w:sz w:val="20"/>
          <w:szCs w:val="24"/>
        </w:rPr>
        <w:t>Kuchonthara</w:t>
      </w:r>
      <w:r w:rsidR="006812AA">
        <w:rPr>
          <w:rFonts w:ascii="Times" w:hAnsi="Times" w:cs="Times"/>
          <w:noProof/>
          <w:sz w:val="20"/>
          <w:szCs w:val="24"/>
        </w:rPr>
        <w:t xml:space="preserve">; T. </w:t>
      </w:r>
      <w:r w:rsidRPr="00DE369F">
        <w:rPr>
          <w:rFonts w:ascii="Times" w:hAnsi="Times" w:cs="Times"/>
          <w:noProof/>
          <w:sz w:val="20"/>
          <w:szCs w:val="24"/>
        </w:rPr>
        <w:t>Kida</w:t>
      </w:r>
      <w:r w:rsidR="006812AA">
        <w:rPr>
          <w:rFonts w:ascii="Times" w:hAnsi="Times" w:cs="Times"/>
          <w:noProof/>
          <w:sz w:val="20"/>
          <w:szCs w:val="24"/>
        </w:rPr>
        <w:t>; N.</w:t>
      </w:r>
      <w:r w:rsidRPr="00DE369F">
        <w:rPr>
          <w:rFonts w:ascii="Times" w:hAnsi="Times" w:cs="Times"/>
          <w:noProof/>
          <w:sz w:val="20"/>
          <w:szCs w:val="24"/>
        </w:rPr>
        <w:t xml:space="preserve"> Hinchiranan</w:t>
      </w:r>
      <w:r w:rsidR="006812AA">
        <w:rPr>
          <w:rFonts w:ascii="Times" w:hAnsi="Times" w:cs="Times"/>
          <w:noProof/>
          <w:sz w:val="20"/>
          <w:szCs w:val="24"/>
        </w:rPr>
        <w:t>,</w:t>
      </w:r>
      <w:r w:rsidRPr="006812AA">
        <w:rPr>
          <w:rFonts w:ascii="Times" w:hAnsi="Times" w:cs="Times"/>
          <w:i/>
          <w:iCs/>
          <w:noProof/>
          <w:sz w:val="20"/>
          <w:szCs w:val="24"/>
        </w:rPr>
        <w:t xml:space="preserve"> Fuel</w:t>
      </w:r>
      <w:r w:rsidR="006812AA">
        <w:rPr>
          <w:rFonts w:ascii="Times" w:hAnsi="Times" w:cs="Times"/>
          <w:i/>
          <w:iCs/>
          <w:noProof/>
          <w:sz w:val="20"/>
          <w:szCs w:val="24"/>
        </w:rPr>
        <w:t>.</w:t>
      </w:r>
      <w:r w:rsidRPr="00DE369F">
        <w:rPr>
          <w:rFonts w:ascii="Times" w:hAnsi="Times" w:cs="Times"/>
          <w:noProof/>
          <w:sz w:val="20"/>
          <w:szCs w:val="24"/>
        </w:rPr>
        <w:t xml:space="preserve"> </w:t>
      </w:r>
      <w:r w:rsidRPr="006812AA">
        <w:rPr>
          <w:rFonts w:ascii="Times" w:hAnsi="Times" w:cs="Times"/>
          <w:b/>
          <w:bCs/>
          <w:noProof/>
          <w:sz w:val="20"/>
          <w:szCs w:val="24"/>
        </w:rPr>
        <w:t>2021</w:t>
      </w:r>
      <w:r w:rsidR="00A8373C">
        <w:rPr>
          <w:rFonts w:ascii="Times" w:hAnsi="Times" w:cs="Times"/>
          <w:noProof/>
          <w:sz w:val="20"/>
          <w:szCs w:val="24"/>
        </w:rPr>
        <w:t xml:space="preserve">, </w:t>
      </w:r>
      <w:r w:rsidRPr="00A8373C">
        <w:rPr>
          <w:rFonts w:ascii="Times" w:hAnsi="Times" w:cs="Times"/>
          <w:i/>
          <w:iCs/>
          <w:noProof/>
          <w:sz w:val="20"/>
          <w:szCs w:val="24"/>
        </w:rPr>
        <w:t>293</w:t>
      </w:r>
      <w:r w:rsidR="00A8373C">
        <w:rPr>
          <w:rFonts w:ascii="Times" w:hAnsi="Times" w:cs="Times"/>
          <w:noProof/>
          <w:sz w:val="20"/>
          <w:szCs w:val="24"/>
        </w:rPr>
        <w:t>, 120472.</w:t>
      </w:r>
    </w:p>
    <w:p w14:paraId="5462FDAE" w14:textId="26E917DF" w:rsidR="00DE369F" w:rsidRPr="00A8373C" w:rsidRDefault="00DE369F" w:rsidP="00A8373C">
      <w:pPr>
        <w:widowControl w:val="0"/>
        <w:autoSpaceDE w:val="0"/>
        <w:autoSpaceDN w:val="0"/>
        <w:adjustRightInd w:val="0"/>
        <w:spacing w:after="0" w:line="240" w:lineRule="exact"/>
        <w:ind w:left="357" w:hanging="357"/>
        <w:jc w:val="both"/>
        <w:rPr>
          <w:rFonts w:ascii="Times" w:hAnsi="Times" w:cs="Times"/>
          <w:noProof/>
          <w:sz w:val="20"/>
          <w:lang w:val="en-US"/>
        </w:rPr>
      </w:pPr>
      <w:r w:rsidRPr="00BF6BFE">
        <w:rPr>
          <w:rFonts w:ascii="Times" w:hAnsi="Times" w:cs="Times"/>
          <w:noProof/>
          <w:sz w:val="20"/>
          <w:szCs w:val="24"/>
          <w:lang w:val="en-US"/>
        </w:rPr>
        <w:t xml:space="preserve">3. </w:t>
      </w:r>
      <w:r w:rsidRPr="00BF6BFE">
        <w:rPr>
          <w:rFonts w:ascii="Times" w:hAnsi="Times" w:cs="Times"/>
          <w:noProof/>
          <w:sz w:val="20"/>
          <w:szCs w:val="24"/>
          <w:lang w:val="en-US"/>
        </w:rPr>
        <w:tab/>
      </w:r>
      <w:r w:rsidR="00A8373C" w:rsidRPr="00A8373C">
        <w:rPr>
          <w:rFonts w:ascii="Times" w:hAnsi="Times" w:cs="Times"/>
          <w:noProof/>
          <w:sz w:val="20"/>
          <w:szCs w:val="24"/>
          <w:lang w:val="en-US"/>
        </w:rPr>
        <w:t xml:space="preserve">M. M. J. </w:t>
      </w:r>
      <w:r w:rsidRPr="00A8373C">
        <w:rPr>
          <w:rFonts w:ascii="Times" w:hAnsi="Times" w:cs="Times"/>
          <w:noProof/>
          <w:sz w:val="20"/>
          <w:szCs w:val="24"/>
          <w:lang w:val="en-US"/>
        </w:rPr>
        <w:t>Treacy</w:t>
      </w:r>
      <w:r w:rsidR="00A8373C" w:rsidRPr="00A8373C">
        <w:rPr>
          <w:rFonts w:ascii="Times" w:hAnsi="Times" w:cs="Times"/>
          <w:noProof/>
          <w:sz w:val="20"/>
          <w:szCs w:val="24"/>
          <w:lang w:val="en-US"/>
        </w:rPr>
        <w:t>;</w:t>
      </w:r>
      <w:r w:rsidRPr="00A8373C">
        <w:rPr>
          <w:rFonts w:ascii="Times" w:hAnsi="Times" w:cs="Times"/>
          <w:noProof/>
          <w:sz w:val="20"/>
          <w:szCs w:val="24"/>
          <w:lang w:val="en-US"/>
        </w:rPr>
        <w:t xml:space="preserve"> J</w:t>
      </w:r>
      <w:r w:rsidR="00A8373C" w:rsidRPr="00A8373C">
        <w:rPr>
          <w:rFonts w:ascii="Times" w:hAnsi="Times" w:cs="Times"/>
          <w:noProof/>
          <w:sz w:val="20"/>
          <w:szCs w:val="24"/>
          <w:lang w:val="en-US"/>
        </w:rPr>
        <w:t xml:space="preserve">. </w:t>
      </w:r>
      <w:r w:rsidRPr="00A8373C">
        <w:rPr>
          <w:rFonts w:ascii="Times" w:hAnsi="Times" w:cs="Times"/>
          <w:noProof/>
          <w:sz w:val="20"/>
          <w:szCs w:val="24"/>
          <w:lang w:val="en-US"/>
        </w:rPr>
        <w:t>B</w:t>
      </w:r>
      <w:r w:rsidR="00A8373C">
        <w:rPr>
          <w:rFonts w:ascii="Times" w:hAnsi="Times" w:cs="Times"/>
          <w:noProof/>
          <w:sz w:val="20"/>
          <w:szCs w:val="24"/>
          <w:lang w:val="en-US"/>
        </w:rPr>
        <w:t xml:space="preserve">. </w:t>
      </w:r>
      <w:r w:rsidRPr="00A8373C">
        <w:rPr>
          <w:rFonts w:ascii="Times" w:hAnsi="Times" w:cs="Times"/>
          <w:noProof/>
          <w:sz w:val="20"/>
          <w:szCs w:val="24"/>
          <w:lang w:val="en-US"/>
        </w:rPr>
        <w:t>H</w:t>
      </w:r>
      <w:r w:rsidR="00A8373C">
        <w:rPr>
          <w:rFonts w:ascii="Times" w:hAnsi="Times" w:cs="Times"/>
          <w:noProof/>
          <w:sz w:val="20"/>
          <w:szCs w:val="24"/>
          <w:lang w:val="en-US"/>
        </w:rPr>
        <w:t xml:space="preserve">iggins in </w:t>
      </w:r>
      <w:r w:rsidRPr="00A8373C">
        <w:rPr>
          <w:rFonts w:ascii="Times" w:hAnsi="Times" w:cs="Times"/>
          <w:i/>
          <w:iCs/>
          <w:noProof/>
          <w:sz w:val="20"/>
          <w:szCs w:val="24"/>
          <w:lang w:val="en-US"/>
        </w:rPr>
        <w:t>Collection of Simulated XRD Powder Patterns for Zeolites</w:t>
      </w:r>
      <w:r w:rsidR="00A8373C">
        <w:rPr>
          <w:rFonts w:ascii="Times" w:hAnsi="Times" w:cs="Times"/>
          <w:noProof/>
          <w:sz w:val="20"/>
          <w:szCs w:val="24"/>
          <w:lang w:val="en-US"/>
        </w:rPr>
        <w:t xml:space="preserve">, </w:t>
      </w:r>
      <w:r w:rsidR="00A8373C" w:rsidRPr="00A8373C">
        <w:rPr>
          <w:rFonts w:ascii="Times New Roman" w:hAnsi="Times New Roman" w:cs="Times New Roman"/>
          <w:sz w:val="20"/>
          <w:szCs w:val="20"/>
          <w:lang w:val="en-US"/>
        </w:rPr>
        <w:t>St</w:t>
      </w:r>
      <w:r w:rsidR="00ED56B0">
        <w:rPr>
          <w:rFonts w:ascii="Times New Roman" w:hAnsi="Times New Roman" w:cs="Times New Roman"/>
          <w:sz w:val="20"/>
          <w:szCs w:val="20"/>
          <w:lang w:val="en-US"/>
        </w:rPr>
        <w:t>r</w:t>
      </w:r>
      <w:r w:rsidR="00A8373C" w:rsidRPr="00A8373C">
        <w:rPr>
          <w:rFonts w:ascii="Times New Roman" w:hAnsi="Times New Roman" w:cs="Times New Roman"/>
          <w:sz w:val="20"/>
          <w:szCs w:val="20"/>
          <w:lang w:val="en-US"/>
        </w:rPr>
        <w:t>ucture Com</w:t>
      </w:r>
      <w:r w:rsidR="00ED56B0">
        <w:rPr>
          <w:rFonts w:ascii="Times New Roman" w:hAnsi="Times New Roman" w:cs="Times New Roman"/>
          <w:sz w:val="20"/>
          <w:szCs w:val="20"/>
          <w:lang w:val="en-US"/>
        </w:rPr>
        <w:t>m</w:t>
      </w:r>
      <w:r w:rsidR="00A8373C" w:rsidRPr="00A8373C">
        <w:rPr>
          <w:rFonts w:ascii="Times New Roman" w:hAnsi="Times New Roman" w:cs="Times New Roman"/>
          <w:sz w:val="20"/>
          <w:szCs w:val="20"/>
          <w:lang w:val="en-US"/>
        </w:rPr>
        <w:t>is</w:t>
      </w:r>
      <w:r w:rsidR="00ED56B0">
        <w:rPr>
          <w:rFonts w:ascii="Times New Roman" w:hAnsi="Times New Roman" w:cs="Times New Roman"/>
          <w:sz w:val="20"/>
          <w:szCs w:val="20"/>
          <w:lang w:val="en-US"/>
        </w:rPr>
        <w:t>s</w:t>
      </w:r>
      <w:r w:rsidR="00A8373C" w:rsidRPr="00A8373C">
        <w:rPr>
          <w:rFonts w:ascii="Times New Roman" w:hAnsi="Times New Roman" w:cs="Times New Roman"/>
          <w:sz w:val="20"/>
          <w:szCs w:val="20"/>
          <w:lang w:val="en-US"/>
        </w:rPr>
        <w:t>ion of the International Zeolite Association</w:t>
      </w:r>
      <w:r w:rsidR="00ED56B0">
        <w:rPr>
          <w:rFonts w:ascii="Times New Roman" w:hAnsi="Times New Roman" w:cs="Times New Roman"/>
          <w:sz w:val="20"/>
          <w:szCs w:val="20"/>
          <w:lang w:val="en-US"/>
        </w:rPr>
        <w:t>,</w:t>
      </w:r>
      <w:r w:rsidRPr="00A8373C">
        <w:rPr>
          <w:rFonts w:ascii="Times" w:hAnsi="Times" w:cs="Times"/>
          <w:noProof/>
          <w:sz w:val="20"/>
          <w:szCs w:val="24"/>
          <w:lang w:val="en-US"/>
        </w:rPr>
        <w:t xml:space="preserve"> 4</w:t>
      </w:r>
      <w:r w:rsidRPr="00ED56B0">
        <w:rPr>
          <w:rFonts w:ascii="Times" w:hAnsi="Times" w:cs="Times"/>
          <w:noProof/>
          <w:sz w:val="20"/>
          <w:szCs w:val="24"/>
          <w:vertAlign w:val="superscript"/>
          <w:lang w:val="en-US"/>
        </w:rPr>
        <w:t>th</w:t>
      </w:r>
      <w:r w:rsidRPr="00A8373C">
        <w:rPr>
          <w:rFonts w:ascii="Times" w:hAnsi="Times" w:cs="Times"/>
          <w:noProof/>
          <w:sz w:val="20"/>
          <w:szCs w:val="24"/>
          <w:lang w:val="en-US"/>
        </w:rPr>
        <w:t xml:space="preserve"> </w:t>
      </w:r>
      <w:r w:rsidR="00ED56B0">
        <w:rPr>
          <w:rFonts w:ascii="Times" w:hAnsi="Times" w:cs="Times"/>
          <w:noProof/>
          <w:sz w:val="20"/>
          <w:szCs w:val="24"/>
          <w:lang w:val="en-US"/>
        </w:rPr>
        <w:t>E</w:t>
      </w:r>
      <w:r w:rsidRPr="00A8373C">
        <w:rPr>
          <w:rFonts w:ascii="Times" w:hAnsi="Times" w:cs="Times"/>
          <w:noProof/>
          <w:sz w:val="20"/>
          <w:szCs w:val="24"/>
          <w:lang w:val="en-US"/>
        </w:rPr>
        <w:t>d.</w:t>
      </w:r>
      <w:r w:rsidR="00ED56B0">
        <w:rPr>
          <w:rFonts w:ascii="Times" w:hAnsi="Times" w:cs="Times"/>
          <w:noProof/>
          <w:sz w:val="20"/>
          <w:szCs w:val="24"/>
          <w:lang w:val="en-US"/>
        </w:rPr>
        <w:t xml:space="preserve">; </w:t>
      </w:r>
      <w:r w:rsidRPr="00A8373C">
        <w:rPr>
          <w:rFonts w:ascii="Times" w:hAnsi="Times" w:cs="Times"/>
          <w:noProof/>
          <w:sz w:val="20"/>
          <w:szCs w:val="24"/>
          <w:lang w:val="en-US"/>
        </w:rPr>
        <w:t>Elsevier</w:t>
      </w:r>
      <w:r w:rsidR="00ED56B0">
        <w:rPr>
          <w:rFonts w:ascii="Times" w:hAnsi="Times" w:cs="Times"/>
          <w:noProof/>
          <w:sz w:val="20"/>
          <w:szCs w:val="24"/>
          <w:lang w:val="en-US"/>
        </w:rPr>
        <w:t>,</w:t>
      </w:r>
      <w:r w:rsidRPr="00A8373C">
        <w:rPr>
          <w:rFonts w:ascii="Times" w:hAnsi="Times" w:cs="Times"/>
          <w:noProof/>
          <w:sz w:val="20"/>
          <w:szCs w:val="24"/>
          <w:lang w:val="en-US"/>
        </w:rPr>
        <w:t xml:space="preserve"> </w:t>
      </w:r>
      <w:r w:rsidRPr="00A8373C">
        <w:rPr>
          <w:rFonts w:ascii="Times" w:hAnsi="Times" w:cs="Times"/>
          <w:b/>
          <w:bCs/>
          <w:noProof/>
          <w:sz w:val="20"/>
          <w:szCs w:val="24"/>
          <w:lang w:val="en-US"/>
        </w:rPr>
        <w:t>2001</w:t>
      </w:r>
      <w:r w:rsidR="00A8373C" w:rsidRPr="00A8373C">
        <w:rPr>
          <w:rFonts w:ascii="Times" w:hAnsi="Times" w:cs="Times"/>
          <w:noProof/>
          <w:sz w:val="20"/>
          <w:szCs w:val="24"/>
          <w:lang w:val="en-US"/>
        </w:rPr>
        <w:t>;</w:t>
      </w:r>
      <w:r w:rsidRPr="00A8373C">
        <w:rPr>
          <w:rFonts w:ascii="Times" w:hAnsi="Times" w:cs="Times"/>
          <w:noProof/>
          <w:sz w:val="20"/>
          <w:szCs w:val="24"/>
          <w:lang w:val="en-US"/>
        </w:rPr>
        <w:t xml:space="preserve"> 1–586</w:t>
      </w:r>
      <w:r w:rsidR="00A8373C" w:rsidRPr="00A8373C">
        <w:rPr>
          <w:rFonts w:ascii="Times" w:hAnsi="Times" w:cs="Times"/>
          <w:noProof/>
          <w:sz w:val="20"/>
          <w:szCs w:val="24"/>
          <w:lang w:val="en-US"/>
        </w:rPr>
        <w:t>.</w:t>
      </w:r>
      <w:r w:rsidRPr="00A8373C">
        <w:rPr>
          <w:rFonts w:ascii="Times" w:hAnsi="Times" w:cs="Times"/>
          <w:noProof/>
          <w:sz w:val="20"/>
          <w:szCs w:val="24"/>
          <w:lang w:val="en-US"/>
        </w:rPr>
        <w:t xml:space="preserve"> </w:t>
      </w:r>
    </w:p>
    <w:p w14:paraId="58716424" w14:textId="421BE5A5" w:rsidR="007B4B2B" w:rsidRPr="00A8373C" w:rsidRDefault="005B302E" w:rsidP="00B10901">
      <w:pPr>
        <w:pStyle w:val="TAMainText"/>
        <w:ind w:firstLine="0"/>
      </w:pPr>
      <w:r>
        <w:rPr>
          <w:lang w:val="pt-BR"/>
        </w:rPr>
        <w:fldChar w:fldCharType="end"/>
      </w:r>
    </w:p>
    <w:sectPr w:rsidR="007B4B2B" w:rsidRPr="00A8373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F99B" w14:textId="77777777" w:rsidR="009D122E" w:rsidRDefault="009D122E" w:rsidP="00EA4E1B">
      <w:pPr>
        <w:spacing w:after="0" w:line="240" w:lineRule="auto"/>
      </w:pPr>
      <w:r>
        <w:separator/>
      </w:r>
    </w:p>
  </w:endnote>
  <w:endnote w:type="continuationSeparator" w:id="0">
    <w:p w14:paraId="20182034" w14:textId="77777777" w:rsidR="009D122E" w:rsidRDefault="009D122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4942" w14:textId="77777777" w:rsidR="009D122E" w:rsidRDefault="009D122E" w:rsidP="00EA4E1B">
      <w:pPr>
        <w:spacing w:after="0" w:line="240" w:lineRule="auto"/>
      </w:pPr>
      <w:r>
        <w:separator/>
      </w:r>
    </w:p>
  </w:footnote>
  <w:footnote w:type="continuationSeparator" w:id="0">
    <w:p w14:paraId="455DD713" w14:textId="77777777" w:rsidR="009D122E" w:rsidRDefault="009D122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0E6F"/>
    <w:rsid w:val="0003338F"/>
    <w:rsid w:val="00052E54"/>
    <w:rsid w:val="00061A72"/>
    <w:rsid w:val="00096533"/>
    <w:rsid w:val="000D57AC"/>
    <w:rsid w:val="000D748F"/>
    <w:rsid w:val="000D74D7"/>
    <w:rsid w:val="000F1D24"/>
    <w:rsid w:val="00123019"/>
    <w:rsid w:val="001545A2"/>
    <w:rsid w:val="00185188"/>
    <w:rsid w:val="001C6EBB"/>
    <w:rsid w:val="001E58A9"/>
    <w:rsid w:val="001F25B2"/>
    <w:rsid w:val="00204CC7"/>
    <w:rsid w:val="00222230"/>
    <w:rsid w:val="00224146"/>
    <w:rsid w:val="0022597E"/>
    <w:rsid w:val="00230FF1"/>
    <w:rsid w:val="002310CD"/>
    <w:rsid w:val="00247184"/>
    <w:rsid w:val="00250AAC"/>
    <w:rsid w:val="00265E0A"/>
    <w:rsid w:val="002703FF"/>
    <w:rsid w:val="0027058F"/>
    <w:rsid w:val="002755D7"/>
    <w:rsid w:val="00283560"/>
    <w:rsid w:val="002D5E61"/>
    <w:rsid w:val="003004AC"/>
    <w:rsid w:val="003010BC"/>
    <w:rsid w:val="00340B1E"/>
    <w:rsid w:val="003431AC"/>
    <w:rsid w:val="00344229"/>
    <w:rsid w:val="0035334E"/>
    <w:rsid w:val="003C65A1"/>
    <w:rsid w:val="003E5831"/>
    <w:rsid w:val="00402F3E"/>
    <w:rsid w:val="00404B1D"/>
    <w:rsid w:val="00405E6C"/>
    <w:rsid w:val="00425FE6"/>
    <w:rsid w:val="004369A9"/>
    <w:rsid w:val="0044086E"/>
    <w:rsid w:val="00452EE1"/>
    <w:rsid w:val="00463D5F"/>
    <w:rsid w:val="0047106B"/>
    <w:rsid w:val="00473240"/>
    <w:rsid w:val="00484787"/>
    <w:rsid w:val="004A1733"/>
    <w:rsid w:val="004D6E16"/>
    <w:rsid w:val="004E2EC1"/>
    <w:rsid w:val="004F3F42"/>
    <w:rsid w:val="00516528"/>
    <w:rsid w:val="0052112E"/>
    <w:rsid w:val="00551FEC"/>
    <w:rsid w:val="00592A50"/>
    <w:rsid w:val="005956A5"/>
    <w:rsid w:val="005B302E"/>
    <w:rsid w:val="005B77D4"/>
    <w:rsid w:val="005C2775"/>
    <w:rsid w:val="005D65EB"/>
    <w:rsid w:val="005D7664"/>
    <w:rsid w:val="005E29EC"/>
    <w:rsid w:val="005F12A7"/>
    <w:rsid w:val="005F739F"/>
    <w:rsid w:val="005F7904"/>
    <w:rsid w:val="00604718"/>
    <w:rsid w:val="00652815"/>
    <w:rsid w:val="006568B5"/>
    <w:rsid w:val="00662C6F"/>
    <w:rsid w:val="00663F4C"/>
    <w:rsid w:val="006812AA"/>
    <w:rsid w:val="0068430F"/>
    <w:rsid w:val="006A04CB"/>
    <w:rsid w:val="006A4F8B"/>
    <w:rsid w:val="006A7AFA"/>
    <w:rsid w:val="006F316C"/>
    <w:rsid w:val="006F599B"/>
    <w:rsid w:val="006F6EB4"/>
    <w:rsid w:val="00701B93"/>
    <w:rsid w:val="00701F5F"/>
    <w:rsid w:val="00703747"/>
    <w:rsid w:val="00704103"/>
    <w:rsid w:val="00727B11"/>
    <w:rsid w:val="00730748"/>
    <w:rsid w:val="007319F9"/>
    <w:rsid w:val="0073282B"/>
    <w:rsid w:val="00751A68"/>
    <w:rsid w:val="007670A0"/>
    <w:rsid w:val="00781685"/>
    <w:rsid w:val="00781DCA"/>
    <w:rsid w:val="007B17DF"/>
    <w:rsid w:val="007B4B2B"/>
    <w:rsid w:val="007D2FA7"/>
    <w:rsid w:val="007F3061"/>
    <w:rsid w:val="00803C9B"/>
    <w:rsid w:val="00810A9B"/>
    <w:rsid w:val="00811F60"/>
    <w:rsid w:val="008213A0"/>
    <w:rsid w:val="008426A5"/>
    <w:rsid w:val="00853508"/>
    <w:rsid w:val="00855088"/>
    <w:rsid w:val="00857CCC"/>
    <w:rsid w:val="00866822"/>
    <w:rsid w:val="008843CE"/>
    <w:rsid w:val="008B1683"/>
    <w:rsid w:val="008B721A"/>
    <w:rsid w:val="008C16E6"/>
    <w:rsid w:val="008C1B30"/>
    <w:rsid w:val="008E62B7"/>
    <w:rsid w:val="00907A67"/>
    <w:rsid w:val="00920741"/>
    <w:rsid w:val="009602A4"/>
    <w:rsid w:val="009656D9"/>
    <w:rsid w:val="0096722B"/>
    <w:rsid w:val="009A6D39"/>
    <w:rsid w:val="009B01E2"/>
    <w:rsid w:val="009B12F4"/>
    <w:rsid w:val="009B3EFE"/>
    <w:rsid w:val="009B539C"/>
    <w:rsid w:val="009C7CB0"/>
    <w:rsid w:val="009D122E"/>
    <w:rsid w:val="009E7D23"/>
    <w:rsid w:val="00A30B53"/>
    <w:rsid w:val="00A8373C"/>
    <w:rsid w:val="00AA182E"/>
    <w:rsid w:val="00AA7EB8"/>
    <w:rsid w:val="00AB6F2B"/>
    <w:rsid w:val="00AD6560"/>
    <w:rsid w:val="00AF0400"/>
    <w:rsid w:val="00AF1A2E"/>
    <w:rsid w:val="00B10901"/>
    <w:rsid w:val="00B16E3C"/>
    <w:rsid w:val="00B24DCE"/>
    <w:rsid w:val="00B30AEB"/>
    <w:rsid w:val="00B33B6C"/>
    <w:rsid w:val="00B536C7"/>
    <w:rsid w:val="00B73955"/>
    <w:rsid w:val="00B856FE"/>
    <w:rsid w:val="00BA6A6E"/>
    <w:rsid w:val="00BB0209"/>
    <w:rsid w:val="00BD123D"/>
    <w:rsid w:val="00BE2B5E"/>
    <w:rsid w:val="00BF6766"/>
    <w:rsid w:val="00BF6BFE"/>
    <w:rsid w:val="00C01FC4"/>
    <w:rsid w:val="00C76E54"/>
    <w:rsid w:val="00C85241"/>
    <w:rsid w:val="00C859F4"/>
    <w:rsid w:val="00CB0419"/>
    <w:rsid w:val="00CC15F2"/>
    <w:rsid w:val="00CD1D70"/>
    <w:rsid w:val="00CD2B53"/>
    <w:rsid w:val="00D01E99"/>
    <w:rsid w:val="00D20037"/>
    <w:rsid w:val="00D20E51"/>
    <w:rsid w:val="00D31C11"/>
    <w:rsid w:val="00D52C8E"/>
    <w:rsid w:val="00D96135"/>
    <w:rsid w:val="00DB3825"/>
    <w:rsid w:val="00DE369F"/>
    <w:rsid w:val="00E02A21"/>
    <w:rsid w:val="00E038AF"/>
    <w:rsid w:val="00E15F89"/>
    <w:rsid w:val="00E23C13"/>
    <w:rsid w:val="00E2590B"/>
    <w:rsid w:val="00E43F4D"/>
    <w:rsid w:val="00E44009"/>
    <w:rsid w:val="00E84AC8"/>
    <w:rsid w:val="00EA0F87"/>
    <w:rsid w:val="00EA4E1B"/>
    <w:rsid w:val="00EB40CC"/>
    <w:rsid w:val="00EC54DC"/>
    <w:rsid w:val="00ED416D"/>
    <w:rsid w:val="00ED56B0"/>
    <w:rsid w:val="00EE57B7"/>
    <w:rsid w:val="00EF74D9"/>
    <w:rsid w:val="00F22DB9"/>
    <w:rsid w:val="00F30661"/>
    <w:rsid w:val="00F55309"/>
    <w:rsid w:val="00F761C1"/>
    <w:rsid w:val="00F83333"/>
    <w:rsid w:val="00F87CF9"/>
    <w:rsid w:val="00F917DA"/>
    <w:rsid w:val="00F97CE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2597</Words>
  <Characters>14030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Ana Carla Boeira</cp:lastModifiedBy>
  <cp:revision>2</cp:revision>
  <dcterms:created xsi:type="dcterms:W3CDTF">2023-08-15T00:20:00Z</dcterms:created>
  <dcterms:modified xsi:type="dcterms:W3CDTF">2023-08-15T00:20:00Z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http://www.zotero.org/styles/analytica-chimica-acta</vt:lpwstr>
  </property>
  <property fmtid="{D5CDD505-2E9C-101B-9397-08002B2CF9AE}" pid="7" name="Mendeley Recent Style Name 2_1">
    <vt:lpwstr>Analytica Chimica Acta</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http://csl.mendeley.com/styles/242715311/Quimica-Nova-3</vt:lpwstr>
  </property>
  <property fmtid="{D5CDD505-2E9C-101B-9397-08002B2CF9AE}" pid="13" name="Mendeley Recent Style Name 5_1">
    <vt:lpwstr>Quimica Nova</vt:lpwstr>
  </property>
  <property fmtid="{D5CDD505-2E9C-101B-9397-08002B2CF9AE}" pid="14" name="Mendeley Recent Style Id 6_1">
    <vt:lpwstr>http://www.zotero.org/styles/associacao-brasileira-de-normas-tecnicas-ufrgs-initials</vt:lpwstr>
  </property>
  <property fmtid="{D5CDD505-2E9C-101B-9397-08002B2CF9AE}" pid="15" name="Mendeley Recent Style Name 6_1">
    <vt:lpwstr>Universidade Federal do Rio Grande do Sul - ABNT (autoria abreviada) (Portuguese - Brazil)</vt:lpwstr>
  </property>
  <property fmtid="{D5CDD505-2E9C-101B-9397-08002B2CF9AE}" pid="16" name="Mendeley Recent Style Id 7_1">
    <vt:lpwstr>http://www.zotero.org/styles/associacao-brasileira-de-normas-tecnicas-ufrgs-note-initials-with-ibid</vt:lpwstr>
  </property>
  <property fmtid="{D5CDD505-2E9C-101B-9397-08002B2CF9AE}" pid="17" name="Mendeley Recent Style Name 7_1">
    <vt:lpwstr>Universidade Federal do Rio Grande do Sul - ABNT (autoria abreviada, nota, com Ibid.) (Portuguese - Brazil)</vt:lpwstr>
  </property>
  <property fmtid="{D5CDD505-2E9C-101B-9397-08002B2CF9AE}" pid="18" name="Mendeley Recent Style Id 8_1">
    <vt:lpwstr>http://www.zotero.org/styles/associacao-brasileira-de-normas-tecnicas-ufrgs</vt:lpwstr>
  </property>
  <property fmtid="{D5CDD505-2E9C-101B-9397-08002B2CF9AE}" pid="19" name="Mendeley Recent Style Name 8_1">
    <vt:lpwstr>Universidade Federal do Rio Grande do Sul - ABNT (autoria completa)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844e154d-96eb-359a-abb4-4c3720fc52a8</vt:lpwstr>
  </property>
  <property fmtid="{D5CDD505-2E9C-101B-9397-08002B2CF9AE}" pid="24" name="Mendeley Citation Style_1">
    <vt:lpwstr>http://www.zotero.org/styles/vancouver</vt:lpwstr>
  </property>
</Properties>
</file>