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26CEE" w14:textId="4B25CA65" w:rsidR="00AF0400" w:rsidRDefault="00866822" w:rsidP="00EA4E1B">
      <w:pPr>
        <w:pStyle w:val="BATitle"/>
        <w:spacing w:before="0" w:after="0" w:line="240" w:lineRule="auto"/>
        <w:ind w:right="0"/>
        <w:jc w:val="both"/>
        <w:rPr>
          <w:sz w:val="32"/>
          <w:lang w:val="pt-BR"/>
        </w:rPr>
      </w:pPr>
      <w:bookmarkStart w:id="0" w:name="_Hlk1324517"/>
      <w:bookmarkStart w:id="1" w:name="_Hlk1324670"/>
      <w:r>
        <w:rPr>
          <w:noProof/>
          <w:sz w:val="32"/>
          <w:lang w:val="pt-BR"/>
        </w:rPr>
        <mc:AlternateContent>
          <mc:Choice Requires="wps">
            <w:drawing>
              <wp:anchor distT="0" distB="0" distL="114300" distR="114300" simplePos="0" relativeHeight="251660287" behindDoc="0" locked="0" layoutInCell="1" allowOverlap="1" wp14:anchorId="03D250BF" wp14:editId="367070E0">
                <wp:simplePos x="0" y="0"/>
                <wp:positionH relativeFrom="margin">
                  <wp:posOffset>0</wp:posOffset>
                </wp:positionH>
                <wp:positionV relativeFrom="paragraph">
                  <wp:posOffset>0</wp:posOffset>
                </wp:positionV>
                <wp:extent cx="6507480" cy="167640"/>
                <wp:effectExtent l="0" t="0" r="7620" b="3810"/>
                <wp:wrapNone/>
                <wp:docPr id="3" name="Retângulo 3"/>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250BF" id="Retângulo 3" o:spid="_x0000_s1026" style="position:absolute;left:0;text-align:left;margin-left:0;margin-top:0;width:512.4pt;height:13.2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" fillcolor="#9a0000" stroked="f" strokeweight="1pt">
                <v:textbox inset=",0,,0">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v:textbox>
                <w10:wrap anchorx="margin"/>
              </v:rect>
            </w:pict>
          </mc:Fallback>
        </mc:AlternateContent>
      </w:r>
    </w:p>
    <w:p w14:paraId="2654583A" w14:textId="64A7716F" w:rsidR="000715F4" w:rsidRDefault="00F25C2D" w:rsidP="000715F4">
      <w:pPr>
        <w:pStyle w:val="BATitle"/>
        <w:spacing w:before="0" w:after="0" w:line="240" w:lineRule="auto"/>
        <w:ind w:right="0"/>
        <w:jc w:val="both"/>
        <w:rPr>
          <w:sz w:val="32"/>
          <w:lang w:val="pt-BR"/>
        </w:rPr>
      </w:pPr>
      <w:r>
        <w:rPr>
          <w:sz w:val="32"/>
          <w:lang w:val="pt-BR"/>
        </w:rPr>
        <w:t xml:space="preserve">Produção de hidrogênio sustentável via reforma do biogás sobre catalisadores </w:t>
      </w:r>
      <w:proofErr w:type="spellStart"/>
      <w:r>
        <w:rPr>
          <w:sz w:val="32"/>
          <w:lang w:val="pt-BR"/>
        </w:rPr>
        <w:t>NiO-M</w:t>
      </w:r>
      <w:r>
        <w:rPr>
          <w:sz w:val="32"/>
          <w:vertAlign w:val="subscript"/>
          <w:lang w:val="pt-BR"/>
        </w:rPr>
        <w:t>x</w:t>
      </w:r>
      <w:r>
        <w:rPr>
          <w:sz w:val="32"/>
          <w:lang w:val="pt-BR"/>
        </w:rPr>
        <w:t>O</w:t>
      </w:r>
      <w:r>
        <w:rPr>
          <w:sz w:val="32"/>
          <w:vertAlign w:val="subscript"/>
          <w:lang w:val="pt-BR"/>
        </w:rPr>
        <w:t>y</w:t>
      </w:r>
      <w:proofErr w:type="spellEnd"/>
      <w:r>
        <w:rPr>
          <w:sz w:val="32"/>
          <w:vertAlign w:val="subscript"/>
          <w:lang w:val="pt-BR"/>
        </w:rPr>
        <w:t xml:space="preserve"> </w:t>
      </w:r>
      <w:r>
        <w:rPr>
          <w:sz w:val="32"/>
          <w:lang w:val="pt-BR"/>
        </w:rPr>
        <w:t>- Al</w:t>
      </w:r>
      <w:r>
        <w:rPr>
          <w:sz w:val="32"/>
          <w:vertAlign w:val="subscript"/>
          <w:lang w:val="pt-BR"/>
        </w:rPr>
        <w:t>2</w:t>
      </w:r>
      <w:r>
        <w:rPr>
          <w:sz w:val="32"/>
          <w:lang w:val="pt-BR"/>
        </w:rPr>
        <w:t>O</w:t>
      </w:r>
      <w:r>
        <w:rPr>
          <w:sz w:val="32"/>
          <w:vertAlign w:val="subscript"/>
          <w:lang w:val="pt-BR"/>
        </w:rPr>
        <w:t>3</w:t>
      </w:r>
      <w:r>
        <w:rPr>
          <w:sz w:val="32"/>
          <w:lang w:val="pt-BR"/>
        </w:rPr>
        <w:t xml:space="preserve">(M = </w:t>
      </w:r>
      <w:r w:rsidR="00A12CC5">
        <w:rPr>
          <w:sz w:val="32"/>
          <w:lang w:val="pt-BR"/>
        </w:rPr>
        <w:t>Na, K, Ca e Mg</w:t>
      </w:r>
      <w:r>
        <w:rPr>
          <w:sz w:val="32"/>
          <w:lang w:val="pt-BR"/>
        </w:rPr>
        <w:t>)</w:t>
      </w:r>
    </w:p>
    <w:p w14:paraId="4D269EA0" w14:textId="77777777" w:rsidR="00643B23" w:rsidRPr="00643B23" w:rsidRDefault="00643B23" w:rsidP="00643B23">
      <w:pPr>
        <w:pStyle w:val="BBAuthorName"/>
        <w:rPr>
          <w:lang w:val="pt-BR"/>
        </w:rPr>
      </w:pPr>
    </w:p>
    <w:p w14:paraId="069BC1CF" w14:textId="1E6F6D91" w:rsidR="00AD6FB4" w:rsidRPr="00AD6FB4" w:rsidRDefault="00F65B51" w:rsidP="00AD6FB4">
      <w:pPr>
        <w:pStyle w:val="BATitle"/>
        <w:spacing w:before="0" w:after="0" w:line="240" w:lineRule="auto"/>
        <w:ind w:right="0"/>
        <w:jc w:val="both"/>
        <w:rPr>
          <w:rFonts w:ascii="Times New Roman" w:hAnsi="Times New Roman"/>
          <w:sz w:val="20"/>
          <w:lang w:val="pt-BR"/>
        </w:rPr>
      </w:pPr>
      <w:r w:rsidRPr="00F65B51">
        <w:rPr>
          <w:rFonts w:ascii="Times New Roman" w:hAnsi="Times New Roman"/>
          <w:sz w:val="20"/>
          <w:lang w:val="pt-BR"/>
        </w:rPr>
        <w:t>José Luiz Cunha Cordeiro</w:t>
      </w:r>
      <w:proofErr w:type="gramStart"/>
      <w:r w:rsidRPr="00F65B51">
        <w:rPr>
          <w:rFonts w:ascii="Times New Roman" w:hAnsi="Times New Roman"/>
          <w:sz w:val="20"/>
          <w:lang w:val="pt-BR"/>
        </w:rPr>
        <w:t>¹,²</w:t>
      </w:r>
      <w:proofErr w:type="gramEnd"/>
      <w:r w:rsidRPr="00F65B51">
        <w:rPr>
          <w:rFonts w:ascii="Times New Roman" w:hAnsi="Times New Roman"/>
          <w:sz w:val="20"/>
          <w:lang w:val="pt-BR"/>
        </w:rPr>
        <w:t xml:space="preserve">; Gabrielle S. Aquino²; Jefferson S.Silva¹,²; Karen V. Pontes¹; </w:t>
      </w:r>
      <w:proofErr w:type="spellStart"/>
      <w:r w:rsidRPr="00F65B51">
        <w:rPr>
          <w:rFonts w:ascii="Times New Roman" w:hAnsi="Times New Roman"/>
          <w:sz w:val="20"/>
          <w:lang w:val="pt-BR"/>
        </w:rPr>
        <w:t>Muddasar</w:t>
      </w:r>
      <w:proofErr w:type="spellEnd"/>
      <w:r w:rsidRPr="00F65B51">
        <w:rPr>
          <w:rFonts w:ascii="Times New Roman" w:hAnsi="Times New Roman"/>
          <w:sz w:val="20"/>
          <w:lang w:val="pt-BR"/>
        </w:rPr>
        <w:t xml:space="preserve"> </w:t>
      </w:r>
      <w:proofErr w:type="spellStart"/>
      <w:r w:rsidRPr="00F65B51">
        <w:rPr>
          <w:rFonts w:ascii="Times New Roman" w:hAnsi="Times New Roman"/>
          <w:sz w:val="20"/>
          <w:lang w:val="pt-BR"/>
        </w:rPr>
        <w:t>Safdar</w:t>
      </w:r>
      <w:proofErr w:type="spellEnd"/>
      <w:r w:rsidRPr="00F65B51">
        <w:rPr>
          <w:rFonts w:ascii="Times New Roman" w:hAnsi="Times New Roman"/>
          <w:sz w:val="20"/>
          <w:lang w:val="pt-BR"/>
        </w:rPr>
        <w:t xml:space="preserve"> ³; Jessica S. </w:t>
      </w:r>
      <w:proofErr w:type="spellStart"/>
      <w:r w:rsidRPr="00F65B51">
        <w:rPr>
          <w:rFonts w:ascii="Times New Roman" w:hAnsi="Times New Roman"/>
          <w:sz w:val="20"/>
          <w:lang w:val="pt-BR"/>
        </w:rPr>
        <w:t>Paff</w:t>
      </w:r>
      <w:proofErr w:type="spellEnd"/>
      <w:r w:rsidRPr="00F65B51">
        <w:rPr>
          <w:rFonts w:ascii="Times New Roman" w:hAnsi="Times New Roman"/>
          <w:sz w:val="20"/>
          <w:lang w:val="pt-BR"/>
        </w:rPr>
        <w:t xml:space="preserve"> ³; </w:t>
      </w:r>
      <w:proofErr w:type="spellStart"/>
      <w:r w:rsidRPr="00F65B51">
        <w:rPr>
          <w:rFonts w:ascii="Times New Roman" w:hAnsi="Times New Roman"/>
          <w:sz w:val="20"/>
          <w:lang w:val="pt-BR"/>
        </w:rPr>
        <w:t>Bogdan</w:t>
      </w:r>
      <w:proofErr w:type="spellEnd"/>
      <w:r w:rsidRPr="00F65B51">
        <w:rPr>
          <w:rFonts w:ascii="Times New Roman" w:hAnsi="Times New Roman"/>
          <w:sz w:val="20"/>
          <w:lang w:val="pt-BR"/>
        </w:rPr>
        <w:t xml:space="preserve"> Dorneanu</w:t>
      </w:r>
      <w:r w:rsidRPr="002D4AE4">
        <w:rPr>
          <w:rFonts w:ascii="Times New Roman" w:hAnsi="Times New Roman"/>
          <w:sz w:val="20"/>
          <w:vertAlign w:val="superscript"/>
          <w:lang w:val="pt-BR"/>
        </w:rPr>
        <w:t>3</w:t>
      </w:r>
      <w:r w:rsidRPr="00F65B51">
        <w:rPr>
          <w:rFonts w:ascii="Times New Roman" w:hAnsi="Times New Roman"/>
          <w:sz w:val="20"/>
          <w:lang w:val="pt-BR"/>
        </w:rPr>
        <w:t>; Harvey Arellano-Garcia</w:t>
      </w:r>
      <w:r w:rsidRPr="002D4AE4">
        <w:rPr>
          <w:rFonts w:ascii="Times New Roman" w:hAnsi="Times New Roman"/>
          <w:sz w:val="20"/>
          <w:vertAlign w:val="superscript"/>
          <w:lang w:val="pt-BR"/>
        </w:rPr>
        <w:t>3</w:t>
      </w:r>
      <w:r w:rsidRPr="00F65B51">
        <w:rPr>
          <w:rFonts w:ascii="Times New Roman" w:hAnsi="Times New Roman"/>
          <w:sz w:val="20"/>
          <w:lang w:val="pt-BR"/>
        </w:rPr>
        <w:t>; Artur José. S. Mascarenhas¹,²</w:t>
      </w:r>
    </w:p>
    <w:p w14:paraId="57949DC1" w14:textId="77777777" w:rsidR="00F25C2D" w:rsidRDefault="00F25C2D" w:rsidP="00F25C2D">
      <w:pPr>
        <w:pStyle w:val="BCAuthorAddress"/>
        <w:spacing w:after="0"/>
        <w:ind w:right="0"/>
        <w:jc w:val="both"/>
        <w:rPr>
          <w:lang w:val="pt-BR"/>
        </w:rPr>
      </w:pPr>
      <w:r>
        <w:rPr>
          <w:vertAlign w:val="superscript"/>
          <w:lang w:val="pt-BR"/>
        </w:rPr>
        <w:t>1</w:t>
      </w:r>
      <w:r w:rsidRPr="00F25C2D">
        <w:rPr>
          <w:lang w:val="pt-BR"/>
        </w:rPr>
        <w:t>Programa de Pós-Graduação em Energia e Ambiente (PGENAM), Escola Politécnica, Universidade Federal da Bahia, R. Prof. Aristides Novis, 2, Federação, 40210-910, Salvador –BA.</w:t>
      </w:r>
      <w:r>
        <w:rPr>
          <w:lang w:val="pt-BR"/>
        </w:rPr>
        <w:t xml:space="preserve"> </w:t>
      </w:r>
    </w:p>
    <w:p w14:paraId="6227853D" w14:textId="6484D963" w:rsidR="00F25C2D" w:rsidRDefault="00F25C2D" w:rsidP="00F25C2D">
      <w:pPr>
        <w:pStyle w:val="BCAuthorAddress"/>
        <w:spacing w:after="0"/>
        <w:ind w:right="0"/>
        <w:jc w:val="both"/>
      </w:pPr>
      <w:r>
        <w:rPr>
          <w:lang w:val="pt-BR"/>
        </w:rPr>
        <w:t xml:space="preserve">² </w:t>
      </w:r>
      <w:r w:rsidRPr="00390DC8">
        <w:rPr>
          <w:lang w:val="pt-BR"/>
        </w:rPr>
        <w:t>Laboratório de Catálise e Materiais,</w:t>
      </w:r>
      <w:r w:rsidRPr="00390DC8">
        <w:rPr>
          <w:rFonts w:cs="Mangal"/>
          <w:color w:val="000000"/>
          <w:lang w:val="pt-BR" w:bidi="hi-IN"/>
        </w:rPr>
        <w:t xml:space="preserve"> </w:t>
      </w:r>
      <w:r w:rsidRPr="00390DC8">
        <w:rPr>
          <w:lang w:val="pt-BR"/>
        </w:rPr>
        <w:t>Departamento de Química Geral e Inorgânica,</w:t>
      </w:r>
      <w:r w:rsidRPr="00390DC8">
        <w:rPr>
          <w:rFonts w:cs="Mangal"/>
          <w:color w:val="000000"/>
          <w:lang w:val="pt-BR" w:bidi="hi-IN"/>
        </w:rPr>
        <w:t xml:space="preserve"> </w:t>
      </w:r>
      <w:r w:rsidRPr="00390DC8">
        <w:rPr>
          <w:lang w:val="pt-BR"/>
        </w:rPr>
        <w:t>Instituto de Química,</w:t>
      </w:r>
      <w:r w:rsidRPr="00390DC8">
        <w:rPr>
          <w:rFonts w:cs="Mangal"/>
          <w:color w:val="000000"/>
          <w:lang w:val="pt-BR" w:bidi="hi-IN"/>
        </w:rPr>
        <w:t xml:space="preserve"> Universidade Federal da Bahia</w:t>
      </w:r>
      <w:r w:rsidRPr="00390DC8">
        <w:rPr>
          <w:lang w:val="pt-BR"/>
        </w:rPr>
        <w:t xml:space="preserve">, Trav. </w:t>
      </w:r>
      <w:r>
        <w:t xml:space="preserve">Barão de </w:t>
      </w:r>
      <w:proofErr w:type="spellStart"/>
      <w:r>
        <w:t>Jeremoabo</w:t>
      </w:r>
      <w:proofErr w:type="spellEnd"/>
      <w:r>
        <w:t>, 147, Campus de Ondina, 40170-280, Salvador – BA</w:t>
      </w:r>
    </w:p>
    <w:p w14:paraId="2EC58026" w14:textId="604CB3A6" w:rsidR="006B7ECD" w:rsidRPr="008E452C" w:rsidRDefault="006B7ECD" w:rsidP="006B7ECD">
      <w:pPr>
        <w:pStyle w:val="BCAuthorAddress"/>
        <w:spacing w:after="0"/>
        <w:ind w:right="0"/>
        <w:jc w:val="both"/>
        <w:rPr>
          <w:vertAlign w:val="superscript"/>
        </w:rPr>
      </w:pPr>
      <w:r w:rsidRPr="008E452C">
        <w:rPr>
          <w:vertAlign w:val="superscript"/>
        </w:rPr>
        <w:t>3</w:t>
      </w:r>
      <w:r w:rsidRPr="008E452C">
        <w:t>Department of Process and Plant Technology at the Branden-burg University of Technology Cottbus-</w:t>
      </w:r>
      <w:proofErr w:type="spellStart"/>
      <w:r w:rsidRPr="008E452C">
        <w:t>Senftenberg</w:t>
      </w:r>
      <w:proofErr w:type="spellEnd"/>
      <w:r w:rsidRPr="008E452C">
        <w:t>, Germany</w:t>
      </w:r>
    </w:p>
    <w:bookmarkEnd w:id="0"/>
    <w:p w14:paraId="238E7EC1" w14:textId="5D4AB3B8" w:rsidR="00AF0400" w:rsidRPr="008E452C" w:rsidRDefault="00AF0400" w:rsidP="00EA4E1B">
      <w:pPr>
        <w:pStyle w:val="BDAbstract"/>
        <w:spacing w:before="0" w:after="0" w:line="240" w:lineRule="auto"/>
        <w:rPr>
          <w:rFonts w:ascii="Times New Roman" w:hAnsi="Times New Roman"/>
          <w:b w:val="0"/>
          <w:sz w:val="20"/>
        </w:rPr>
      </w:pPr>
      <w:r>
        <w:rPr>
          <w:noProof/>
          <w:sz w:val="32"/>
          <w:lang w:val="pt-BR"/>
        </w:rPr>
        <mc:AlternateContent>
          <mc:Choice Requires="wps">
            <w:drawing>
              <wp:anchor distT="0" distB="0" distL="114300" distR="114300" simplePos="0" relativeHeight="251658239" behindDoc="0" locked="0" layoutInCell="1" allowOverlap="1" wp14:anchorId="7596F111" wp14:editId="08A165F8">
                <wp:simplePos x="0" y="0"/>
                <wp:positionH relativeFrom="margin">
                  <wp:align>right</wp:align>
                </wp:positionH>
                <wp:positionV relativeFrom="paragraph">
                  <wp:posOffset>34925</wp:posOffset>
                </wp:positionV>
                <wp:extent cx="6507480" cy="167640"/>
                <wp:effectExtent l="0" t="0" r="7620" b="3810"/>
                <wp:wrapNone/>
                <wp:docPr id="4" name="Retângulo 4"/>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0F07B3" w14:textId="7DCB8857"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Resumo/Abstract (Helvética, tam. 12)</w:t>
                            </w:r>
                          </w:p>
                          <w:p w14:paraId="7638102C" w14:textId="04A73240" w:rsidR="00AF0400" w:rsidRPr="008C1B30" w:rsidRDefault="00AF0400" w:rsidP="008C1B30">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6F111" id="Retângulo 4" o:spid="_x0000_s1027" style="position:absolute;left:0;text-align:left;margin-left:461.2pt;margin-top:2.75pt;width:512.4pt;height:13.2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" fillcolor="#9a0000" stroked="f" strokeweight="1pt">
                <v:textbox inset=",0,,0">
                  <w:txbxContent>
                    <w:p w14:paraId="3D0F07B3" w14:textId="7DCB8857"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Resumo/Abstract (Helvética, tam. 12)</w:t>
                      </w:r>
                    </w:p>
                    <w:p w14:paraId="7638102C" w14:textId="04A73240" w:rsidR="00AF0400" w:rsidRPr="008C1B30" w:rsidRDefault="00AF0400" w:rsidP="008C1B30">
                      <w:pPr>
                        <w:pStyle w:val="SemEspaamento"/>
                      </w:pPr>
                    </w:p>
                  </w:txbxContent>
                </v:textbox>
                <w10:wrap anchorx="margin"/>
              </v:rect>
            </w:pict>
          </mc:Fallback>
        </mc:AlternateContent>
      </w:r>
    </w:p>
    <w:p w14:paraId="4A5DDA03" w14:textId="738EF898" w:rsidR="00AF0400" w:rsidRPr="008E452C" w:rsidRDefault="00AF0400" w:rsidP="00EA4E1B">
      <w:pPr>
        <w:pStyle w:val="BDAbstract"/>
        <w:spacing w:before="0" w:after="0" w:line="240" w:lineRule="auto"/>
        <w:rPr>
          <w:rFonts w:ascii="Times New Roman" w:hAnsi="Times New Roman"/>
          <w:b w:val="0"/>
          <w:sz w:val="20"/>
        </w:rPr>
      </w:pPr>
    </w:p>
    <w:p w14:paraId="0E0ECFF8" w14:textId="61D381A7" w:rsidR="00251BD1" w:rsidRPr="000715F4" w:rsidRDefault="00EA4E1B" w:rsidP="00251BD1">
      <w:pPr>
        <w:pStyle w:val="BDAbstract"/>
        <w:spacing w:before="0" w:after="0" w:line="240" w:lineRule="auto"/>
        <w:rPr>
          <w:rFonts w:ascii="Times New Roman" w:hAnsi="Times New Roman"/>
          <w:b w:val="0"/>
          <w:sz w:val="20"/>
          <w:lang w:val="pt-BR"/>
        </w:rPr>
      </w:pPr>
      <w:r>
        <w:rPr>
          <w:rFonts w:ascii="Times New Roman" w:hAnsi="Times New Roman"/>
          <w:b w:val="0"/>
          <w:sz w:val="20"/>
          <w:lang w:val="pt-BR"/>
        </w:rPr>
        <w:t xml:space="preserve">RESUMO </w:t>
      </w:r>
      <w:r w:rsidR="00B44DDF">
        <w:rPr>
          <w:rFonts w:ascii="Times New Roman" w:hAnsi="Times New Roman"/>
          <w:b w:val="0"/>
          <w:sz w:val="20"/>
          <w:lang w:val="pt-BR"/>
        </w:rPr>
        <w:t>–</w:t>
      </w:r>
      <w:r w:rsidR="000715F4" w:rsidRPr="00390DC8">
        <w:rPr>
          <w:lang w:val="pt-BR"/>
        </w:rPr>
        <w:t xml:space="preserve"> </w:t>
      </w:r>
      <w:r w:rsidR="000715F4" w:rsidRPr="000715F4">
        <w:rPr>
          <w:rFonts w:ascii="Times New Roman" w:hAnsi="Times New Roman"/>
          <w:b w:val="0"/>
          <w:sz w:val="20"/>
          <w:lang w:val="pt-BR"/>
        </w:rPr>
        <w:t>Uma maneira sustentável de gerar hidrogênio é através da reforma seca do biogás, que usa gás metano e dióxido de carbono para produzir hidrogênio. Este estudo revela resultados parciais da reforma seca do biogás em catalisadores NiO-M</w:t>
      </w:r>
      <w:r w:rsidR="000715F4" w:rsidRPr="000715F4">
        <w:rPr>
          <w:rFonts w:ascii="Times New Roman" w:hAnsi="Times New Roman"/>
          <w:b w:val="0"/>
          <w:sz w:val="20"/>
          <w:vertAlign w:val="subscript"/>
          <w:lang w:val="pt-BR"/>
        </w:rPr>
        <w:t>x</w:t>
      </w:r>
      <w:r w:rsidR="000715F4" w:rsidRPr="000715F4">
        <w:rPr>
          <w:rFonts w:ascii="Times New Roman" w:hAnsi="Times New Roman"/>
          <w:b w:val="0"/>
          <w:sz w:val="20"/>
          <w:lang w:val="pt-BR"/>
        </w:rPr>
        <w:t>O</w:t>
      </w:r>
      <w:r w:rsidR="000715F4" w:rsidRPr="000715F4">
        <w:rPr>
          <w:rFonts w:ascii="Times New Roman" w:hAnsi="Times New Roman"/>
          <w:b w:val="0"/>
          <w:sz w:val="20"/>
          <w:vertAlign w:val="subscript"/>
          <w:lang w:val="pt-BR"/>
        </w:rPr>
        <w:t>y</w:t>
      </w:r>
      <w:r w:rsidR="000715F4" w:rsidRPr="000715F4">
        <w:rPr>
          <w:rFonts w:ascii="Times New Roman" w:hAnsi="Times New Roman"/>
          <w:b w:val="0"/>
          <w:sz w:val="20"/>
          <w:lang w:val="pt-BR"/>
        </w:rPr>
        <w:t>-Al</w:t>
      </w:r>
      <w:r w:rsidR="000715F4" w:rsidRPr="000715F4">
        <w:rPr>
          <w:rFonts w:ascii="Times New Roman" w:hAnsi="Times New Roman"/>
          <w:b w:val="0"/>
          <w:sz w:val="20"/>
          <w:vertAlign w:val="subscript"/>
          <w:lang w:val="pt-BR"/>
        </w:rPr>
        <w:t>2</w:t>
      </w:r>
      <w:r w:rsidR="000715F4" w:rsidRPr="000715F4">
        <w:rPr>
          <w:rFonts w:ascii="Times New Roman" w:hAnsi="Times New Roman"/>
          <w:b w:val="0"/>
          <w:sz w:val="20"/>
          <w:lang w:val="pt-BR"/>
        </w:rPr>
        <w:t>O</w:t>
      </w:r>
      <w:r w:rsidR="000715F4" w:rsidRPr="000715F4">
        <w:rPr>
          <w:rFonts w:ascii="Times New Roman" w:hAnsi="Times New Roman"/>
          <w:b w:val="0"/>
          <w:sz w:val="20"/>
          <w:vertAlign w:val="subscript"/>
          <w:lang w:val="pt-BR"/>
        </w:rPr>
        <w:t>3</w:t>
      </w:r>
      <w:r w:rsidR="000715F4" w:rsidRPr="000715F4">
        <w:rPr>
          <w:rFonts w:ascii="Times New Roman" w:hAnsi="Times New Roman"/>
          <w:b w:val="0"/>
          <w:sz w:val="20"/>
          <w:lang w:val="pt-BR"/>
        </w:rPr>
        <w:t xml:space="preserve"> (M=Na, K, Ca e Mg). A conversão de CO</w:t>
      </w:r>
      <w:r w:rsidR="000715F4" w:rsidRPr="008E452C">
        <w:rPr>
          <w:rFonts w:ascii="Times New Roman" w:hAnsi="Times New Roman"/>
          <w:b w:val="0"/>
          <w:sz w:val="20"/>
          <w:vertAlign w:val="subscript"/>
          <w:lang w:val="pt-BR"/>
        </w:rPr>
        <w:t>2</w:t>
      </w:r>
      <w:r w:rsidR="000715F4" w:rsidRPr="000715F4">
        <w:rPr>
          <w:rFonts w:ascii="Times New Roman" w:hAnsi="Times New Roman"/>
          <w:b w:val="0"/>
          <w:sz w:val="20"/>
          <w:lang w:val="pt-BR"/>
        </w:rPr>
        <w:t xml:space="preserve"> variou entre 79% e 94%, a de CH</w:t>
      </w:r>
      <w:r w:rsidR="000715F4" w:rsidRPr="008E452C">
        <w:rPr>
          <w:rFonts w:ascii="Times New Roman" w:hAnsi="Times New Roman"/>
          <w:b w:val="0"/>
          <w:sz w:val="20"/>
          <w:vertAlign w:val="subscript"/>
          <w:lang w:val="pt-BR"/>
        </w:rPr>
        <w:t>4</w:t>
      </w:r>
      <w:r w:rsidR="000715F4" w:rsidRPr="000715F4">
        <w:rPr>
          <w:rFonts w:ascii="Times New Roman" w:hAnsi="Times New Roman"/>
          <w:b w:val="0"/>
          <w:sz w:val="20"/>
          <w:lang w:val="pt-BR"/>
        </w:rPr>
        <w:t xml:space="preserve"> entre 58% e 75%, a razão H</w:t>
      </w:r>
      <w:r w:rsidR="000715F4" w:rsidRPr="008E452C">
        <w:rPr>
          <w:rFonts w:ascii="Times New Roman" w:hAnsi="Times New Roman"/>
          <w:b w:val="0"/>
          <w:sz w:val="20"/>
          <w:vertAlign w:val="subscript"/>
          <w:lang w:val="pt-BR"/>
        </w:rPr>
        <w:t>2</w:t>
      </w:r>
      <w:r w:rsidR="000715F4" w:rsidRPr="000715F4">
        <w:rPr>
          <w:rFonts w:ascii="Times New Roman" w:hAnsi="Times New Roman"/>
          <w:b w:val="0"/>
          <w:sz w:val="20"/>
          <w:lang w:val="pt-BR"/>
        </w:rPr>
        <w:t>/CO entre 0,98 e 1,15 e o rendimento de H</w:t>
      </w:r>
      <w:r w:rsidR="000715F4" w:rsidRPr="008E452C">
        <w:rPr>
          <w:rFonts w:ascii="Times New Roman" w:hAnsi="Times New Roman"/>
          <w:b w:val="0"/>
          <w:sz w:val="20"/>
          <w:vertAlign w:val="subscript"/>
          <w:lang w:val="pt-BR"/>
        </w:rPr>
        <w:t>2</w:t>
      </w:r>
      <w:r w:rsidR="000715F4" w:rsidRPr="000715F4">
        <w:rPr>
          <w:rFonts w:ascii="Times New Roman" w:hAnsi="Times New Roman"/>
          <w:b w:val="0"/>
          <w:sz w:val="20"/>
          <w:lang w:val="pt-BR"/>
        </w:rPr>
        <w:t xml:space="preserve"> entre 37% e 45%. Esses valores superam referências literárias e o catalisador industrial, destacando a promessa desses materiais para</w:t>
      </w:r>
      <w:r w:rsidR="00643B23">
        <w:rPr>
          <w:rFonts w:ascii="Times New Roman" w:hAnsi="Times New Roman"/>
          <w:b w:val="0"/>
          <w:sz w:val="20"/>
          <w:lang w:val="pt-BR"/>
        </w:rPr>
        <w:t xml:space="preserve"> produção de</w:t>
      </w:r>
      <w:r w:rsidR="000715F4" w:rsidRPr="000715F4">
        <w:rPr>
          <w:rFonts w:ascii="Times New Roman" w:hAnsi="Times New Roman"/>
          <w:b w:val="0"/>
          <w:sz w:val="20"/>
          <w:lang w:val="pt-BR"/>
        </w:rPr>
        <w:t xml:space="preserve"> hidrogênio sustentável. O</w:t>
      </w:r>
      <w:r w:rsidR="00643B23">
        <w:rPr>
          <w:rFonts w:ascii="Times New Roman" w:hAnsi="Times New Roman"/>
          <w:b w:val="0"/>
          <w:sz w:val="20"/>
          <w:lang w:val="pt-BR"/>
        </w:rPr>
        <w:t xml:space="preserve"> catalisador com</w:t>
      </w:r>
      <w:r w:rsidR="000715F4" w:rsidRPr="000715F4">
        <w:rPr>
          <w:rFonts w:ascii="Times New Roman" w:hAnsi="Times New Roman"/>
          <w:b w:val="0"/>
          <w:sz w:val="20"/>
          <w:lang w:val="pt-BR"/>
        </w:rPr>
        <w:t xml:space="preserve"> Ca se destacou devido à maior basicidade superficial, exibindo os melhores resultados de conversão e rendimento em H</w:t>
      </w:r>
      <w:r w:rsidR="000715F4" w:rsidRPr="00643B23">
        <w:rPr>
          <w:rFonts w:ascii="Times New Roman" w:hAnsi="Times New Roman"/>
          <w:b w:val="0"/>
          <w:sz w:val="20"/>
          <w:vertAlign w:val="subscript"/>
          <w:lang w:val="pt-BR"/>
        </w:rPr>
        <w:t>2</w:t>
      </w:r>
      <w:r w:rsidR="000715F4" w:rsidRPr="000715F4">
        <w:rPr>
          <w:rFonts w:ascii="Times New Roman" w:hAnsi="Times New Roman"/>
          <w:b w:val="0"/>
          <w:sz w:val="20"/>
          <w:lang w:val="pt-BR"/>
        </w:rPr>
        <w:t>.</w:t>
      </w:r>
    </w:p>
    <w:p w14:paraId="5D8D4445" w14:textId="4B4649CC" w:rsidR="00EA4E1B" w:rsidRPr="00DA4DFC" w:rsidRDefault="00251BD1" w:rsidP="00251BD1">
      <w:pPr>
        <w:pStyle w:val="BDAbstract"/>
        <w:spacing w:before="0" w:after="0" w:line="240" w:lineRule="auto"/>
        <w:rPr>
          <w:rFonts w:ascii="Times New Roman" w:hAnsi="Times New Roman"/>
          <w:b w:val="0"/>
          <w:sz w:val="20"/>
          <w:lang w:val="pt-BR"/>
        </w:rPr>
      </w:pPr>
      <w:r w:rsidRPr="00870522">
        <w:rPr>
          <w:rFonts w:ascii="Times New Roman" w:hAnsi="Times New Roman"/>
          <w:b w:val="0"/>
          <w:i/>
          <w:sz w:val="20"/>
          <w:lang w:val="pt-BR"/>
        </w:rPr>
        <w:t xml:space="preserve">Palavras-chave: </w:t>
      </w:r>
      <w:r>
        <w:rPr>
          <w:rFonts w:ascii="Times New Roman" w:hAnsi="Times New Roman"/>
          <w:b w:val="0"/>
          <w:i/>
          <w:sz w:val="20"/>
          <w:lang w:val="pt-BR"/>
        </w:rPr>
        <w:t xml:space="preserve">Hidrogênio sustentável; </w:t>
      </w:r>
      <w:r w:rsidR="00A5679E">
        <w:rPr>
          <w:rFonts w:ascii="Times New Roman" w:hAnsi="Times New Roman"/>
          <w:b w:val="0"/>
          <w:i/>
          <w:sz w:val="20"/>
          <w:lang w:val="pt-BR"/>
        </w:rPr>
        <w:t>reforma seca; biogás; catalisadores.</w:t>
      </w:r>
    </w:p>
    <w:p w14:paraId="78229BE3" w14:textId="77777777" w:rsidR="00251BD1" w:rsidRDefault="00251BD1" w:rsidP="00EA4E1B">
      <w:pPr>
        <w:pStyle w:val="BDAbstract"/>
        <w:spacing w:before="0" w:after="0" w:line="240" w:lineRule="auto"/>
        <w:rPr>
          <w:rFonts w:ascii="Times New Roman" w:hAnsi="Times New Roman"/>
          <w:b w:val="0"/>
          <w:sz w:val="20"/>
          <w:lang w:val="pt-BR"/>
        </w:rPr>
      </w:pPr>
    </w:p>
    <w:p w14:paraId="0F80E7D5" w14:textId="12585D45" w:rsidR="00EA4E1B" w:rsidRPr="00390DC8" w:rsidRDefault="00EA4E1B" w:rsidP="00EA4E1B">
      <w:pPr>
        <w:pStyle w:val="BDAbstract"/>
        <w:spacing w:before="0" w:after="0" w:line="240" w:lineRule="auto"/>
        <w:rPr>
          <w:rFonts w:ascii="Times New Roman" w:hAnsi="Times New Roman"/>
          <w:b w:val="0"/>
          <w:sz w:val="20"/>
        </w:rPr>
      </w:pPr>
      <w:r w:rsidRPr="00390DC8">
        <w:rPr>
          <w:rFonts w:ascii="Times New Roman" w:hAnsi="Times New Roman"/>
          <w:b w:val="0"/>
          <w:sz w:val="20"/>
        </w:rPr>
        <w:t xml:space="preserve">ABSTRACT - </w:t>
      </w:r>
      <w:r w:rsidR="00643B23" w:rsidRPr="00390DC8">
        <w:rPr>
          <w:rFonts w:ascii="Times New Roman" w:hAnsi="Times New Roman"/>
          <w:b w:val="0"/>
          <w:sz w:val="20"/>
        </w:rPr>
        <w:t>A sustainable way to generate hydrogen is through dry reforming of biogas, which utilizes methane and carbon dioxide to produce hydrogen. This study presents partial results of dry biogas reforming on NiO-M</w:t>
      </w:r>
      <w:r w:rsidR="00643B23" w:rsidRPr="00390DC8">
        <w:rPr>
          <w:rFonts w:ascii="Times New Roman" w:hAnsi="Times New Roman"/>
          <w:b w:val="0"/>
          <w:sz w:val="20"/>
          <w:vertAlign w:val="subscript"/>
        </w:rPr>
        <w:t>x</w:t>
      </w:r>
      <w:r w:rsidR="00643B23" w:rsidRPr="00390DC8">
        <w:rPr>
          <w:rFonts w:ascii="Times New Roman" w:hAnsi="Times New Roman"/>
          <w:b w:val="0"/>
          <w:sz w:val="20"/>
        </w:rPr>
        <w:t>O</w:t>
      </w:r>
      <w:r w:rsidR="00643B23" w:rsidRPr="00390DC8">
        <w:rPr>
          <w:rFonts w:ascii="Times New Roman" w:hAnsi="Times New Roman"/>
          <w:b w:val="0"/>
          <w:sz w:val="20"/>
          <w:vertAlign w:val="subscript"/>
        </w:rPr>
        <w:t>y</w:t>
      </w:r>
      <w:r w:rsidR="00643B23" w:rsidRPr="00390DC8">
        <w:rPr>
          <w:rFonts w:ascii="Times New Roman" w:hAnsi="Times New Roman"/>
          <w:b w:val="0"/>
          <w:sz w:val="20"/>
        </w:rPr>
        <w:t>-Al</w:t>
      </w:r>
      <w:r w:rsidR="00643B23" w:rsidRPr="00390DC8">
        <w:rPr>
          <w:rFonts w:ascii="Times New Roman" w:hAnsi="Times New Roman"/>
          <w:b w:val="0"/>
          <w:sz w:val="20"/>
          <w:vertAlign w:val="subscript"/>
        </w:rPr>
        <w:t>2</w:t>
      </w:r>
      <w:r w:rsidR="00643B23" w:rsidRPr="00390DC8">
        <w:rPr>
          <w:rFonts w:ascii="Times New Roman" w:hAnsi="Times New Roman"/>
          <w:b w:val="0"/>
          <w:sz w:val="20"/>
        </w:rPr>
        <w:t>O</w:t>
      </w:r>
      <w:r w:rsidR="00643B23" w:rsidRPr="00390DC8">
        <w:rPr>
          <w:rFonts w:ascii="Times New Roman" w:hAnsi="Times New Roman"/>
          <w:b w:val="0"/>
          <w:sz w:val="20"/>
          <w:vertAlign w:val="subscript"/>
        </w:rPr>
        <w:t>3</w:t>
      </w:r>
      <w:r w:rsidR="00643B23" w:rsidRPr="00390DC8">
        <w:rPr>
          <w:rFonts w:ascii="Times New Roman" w:hAnsi="Times New Roman"/>
          <w:b w:val="0"/>
          <w:sz w:val="20"/>
        </w:rPr>
        <w:t xml:space="preserve"> catalysts (M=Na, K, Ca, and Mg). CO</w:t>
      </w:r>
      <w:r w:rsidR="00643B23" w:rsidRPr="00390DC8">
        <w:rPr>
          <w:rFonts w:ascii="Times New Roman" w:hAnsi="Times New Roman"/>
          <w:b w:val="0"/>
          <w:sz w:val="20"/>
          <w:vertAlign w:val="subscript"/>
        </w:rPr>
        <w:t>2</w:t>
      </w:r>
      <w:r w:rsidR="00643B23" w:rsidRPr="00390DC8">
        <w:rPr>
          <w:rFonts w:ascii="Times New Roman" w:hAnsi="Times New Roman"/>
          <w:b w:val="0"/>
          <w:sz w:val="20"/>
        </w:rPr>
        <w:t xml:space="preserve"> conversion ranged from 79% to 94%, CH</w:t>
      </w:r>
      <w:r w:rsidR="00643B23" w:rsidRPr="008E452C">
        <w:rPr>
          <w:rFonts w:ascii="Times New Roman" w:hAnsi="Times New Roman"/>
          <w:b w:val="0"/>
          <w:sz w:val="20"/>
          <w:vertAlign w:val="subscript"/>
        </w:rPr>
        <w:t>4</w:t>
      </w:r>
      <w:r w:rsidR="00643B23" w:rsidRPr="00390DC8">
        <w:rPr>
          <w:rFonts w:ascii="Times New Roman" w:hAnsi="Times New Roman"/>
          <w:b w:val="0"/>
          <w:sz w:val="20"/>
        </w:rPr>
        <w:t xml:space="preserve"> conversion from 58% to 75%, H</w:t>
      </w:r>
      <w:r w:rsidR="00643B23" w:rsidRPr="008E452C">
        <w:rPr>
          <w:rFonts w:ascii="Times New Roman" w:hAnsi="Times New Roman"/>
          <w:b w:val="0"/>
          <w:sz w:val="20"/>
          <w:vertAlign w:val="subscript"/>
        </w:rPr>
        <w:t>2</w:t>
      </w:r>
      <w:r w:rsidR="00643B23" w:rsidRPr="00390DC8">
        <w:rPr>
          <w:rFonts w:ascii="Times New Roman" w:hAnsi="Times New Roman"/>
          <w:b w:val="0"/>
          <w:sz w:val="20"/>
        </w:rPr>
        <w:t>/CO ratio between 0.98 and 1.15, and H</w:t>
      </w:r>
      <w:r w:rsidR="00643B23" w:rsidRPr="008E452C">
        <w:rPr>
          <w:rFonts w:ascii="Times New Roman" w:hAnsi="Times New Roman"/>
          <w:b w:val="0"/>
          <w:sz w:val="20"/>
          <w:vertAlign w:val="subscript"/>
        </w:rPr>
        <w:t>2</w:t>
      </w:r>
      <w:r w:rsidR="00643B23" w:rsidRPr="00390DC8">
        <w:rPr>
          <w:rFonts w:ascii="Times New Roman" w:hAnsi="Times New Roman"/>
          <w:b w:val="0"/>
          <w:sz w:val="20"/>
        </w:rPr>
        <w:t xml:space="preserve"> yield between 37% and 45%. These values surpass literary references and industrial catalyst, highlighting the promise of these materials for sustainable hydrogen production. The Ca-promoted catalyst stood out due to higher surface basicity, exhibiting the best conversion and H</w:t>
      </w:r>
      <w:r w:rsidR="00643B23" w:rsidRPr="00390DC8">
        <w:rPr>
          <w:rFonts w:ascii="Times New Roman" w:hAnsi="Times New Roman"/>
          <w:b w:val="0"/>
          <w:sz w:val="20"/>
          <w:vertAlign w:val="subscript"/>
        </w:rPr>
        <w:t>2</w:t>
      </w:r>
      <w:r w:rsidR="00643B23" w:rsidRPr="00390DC8">
        <w:rPr>
          <w:rFonts w:ascii="Times New Roman" w:hAnsi="Times New Roman"/>
          <w:b w:val="0"/>
          <w:sz w:val="20"/>
        </w:rPr>
        <w:t xml:space="preserve"> yield results.</w:t>
      </w:r>
    </w:p>
    <w:p w14:paraId="48D9B0C4" w14:textId="2AF60012" w:rsidR="00EA4E1B" w:rsidRPr="00390DC8" w:rsidRDefault="00EA4E1B" w:rsidP="007664A1">
      <w:pPr>
        <w:pStyle w:val="BDAbstract"/>
        <w:spacing w:before="0" w:after="120" w:line="240" w:lineRule="auto"/>
        <w:rPr>
          <w:rFonts w:ascii="Times New Roman" w:hAnsi="Times New Roman"/>
          <w:b w:val="0"/>
          <w:i/>
          <w:sz w:val="20"/>
        </w:rPr>
        <w:sectPr w:rsidR="00EA4E1B" w:rsidRPr="00390DC8" w:rsidSect="00EA4E1B">
          <w:headerReference w:type="default" r:id="rId8"/>
          <w:endnotePr>
            <w:numFmt w:val="decimal"/>
          </w:endnotePr>
          <w:pgSz w:w="11906" w:h="16838"/>
          <w:pgMar w:top="1418" w:right="1094" w:bottom="1418" w:left="567" w:header="709" w:footer="709" w:gutter="0"/>
          <w:cols w:space="708"/>
          <w:docGrid w:linePitch="360"/>
        </w:sectPr>
      </w:pPr>
      <w:r w:rsidRPr="00390DC8">
        <w:rPr>
          <w:rFonts w:ascii="Times New Roman" w:hAnsi="Times New Roman"/>
          <w:b w:val="0"/>
          <w:i/>
          <w:sz w:val="20"/>
        </w:rPr>
        <w:t xml:space="preserve">Keywords: </w:t>
      </w:r>
      <w:bookmarkEnd w:id="1"/>
      <w:r w:rsidR="00A5679E" w:rsidRPr="00390DC8">
        <w:rPr>
          <w:rFonts w:ascii="Times New Roman" w:hAnsi="Times New Roman"/>
          <w:b w:val="0"/>
          <w:i/>
          <w:sz w:val="20"/>
        </w:rPr>
        <w:t>Sustainable Hydrogen; Dry Reforming; Biogas; Catalysts.</w:t>
      </w:r>
    </w:p>
    <w:p w14:paraId="625F2C0A" w14:textId="77777777" w:rsidR="00EA4E1B" w:rsidRPr="001F25B2" w:rsidRDefault="00EA4E1B" w:rsidP="00EA4E1B">
      <w:pPr>
        <w:pStyle w:val="Ttulo2"/>
        <w:spacing w:before="0"/>
        <w:rPr>
          <w:rFonts w:ascii="Helvetica" w:hAnsi="Helvetica" w:cs="Helvetica"/>
          <w:sz w:val="24"/>
          <w:szCs w:val="24"/>
        </w:rPr>
      </w:pPr>
      <w:r w:rsidRPr="001F25B2">
        <w:rPr>
          <w:rFonts w:ascii="Helvetica" w:hAnsi="Helvetica" w:cs="Helvetica"/>
          <w:sz w:val="24"/>
          <w:szCs w:val="24"/>
        </w:rPr>
        <w:t>Introdução</w:t>
      </w:r>
    </w:p>
    <w:p w14:paraId="0C9739BD" w14:textId="1DFC05B6" w:rsidR="004C16DC" w:rsidRDefault="004C16DC" w:rsidP="004C16DC">
      <w:pPr>
        <w:pStyle w:val="TAMainText"/>
        <w:rPr>
          <w:rFonts w:ascii="Times New Roman" w:hAnsi="Times New Roman"/>
          <w:lang w:val="pt-BR"/>
        </w:rPr>
      </w:pPr>
      <w:r>
        <w:rPr>
          <w:rFonts w:ascii="Times New Roman" w:hAnsi="Times New Roman"/>
          <w:lang w:val="pt-BR"/>
        </w:rPr>
        <w:t>A produção de hidrogênio sustentável como novo vetor energético é de extrema importância</w:t>
      </w:r>
      <w:r w:rsidR="00390DC8">
        <w:rPr>
          <w:rFonts w:ascii="Times New Roman" w:hAnsi="Times New Roman"/>
          <w:lang w:val="pt-BR"/>
        </w:rPr>
        <w:t xml:space="preserve"> devido ao seu papel n</w:t>
      </w:r>
      <w:r>
        <w:rPr>
          <w:rFonts w:ascii="Times New Roman" w:hAnsi="Times New Roman"/>
          <w:lang w:val="pt-BR"/>
        </w:rPr>
        <w:t>o processo de transição energética para uma economia de baixo carbono. Uma das formas de se produzir hidrogênio sustentável é a partir da reforma do biogás, que é um gás gerado pela decomposição da matéria orgânica, constituído predominantemente por metano (CH</w:t>
      </w:r>
      <w:r>
        <w:rPr>
          <w:rFonts w:ascii="Times New Roman" w:hAnsi="Times New Roman"/>
          <w:vertAlign w:val="subscript"/>
          <w:lang w:val="pt-BR"/>
        </w:rPr>
        <w:t>4</w:t>
      </w:r>
      <w:r>
        <w:rPr>
          <w:rFonts w:ascii="Times New Roman" w:hAnsi="Times New Roman"/>
          <w:lang w:val="pt-BR"/>
        </w:rPr>
        <w:t>) e dióxido de carbono (CO</w:t>
      </w:r>
      <w:r>
        <w:rPr>
          <w:rFonts w:ascii="Times New Roman" w:hAnsi="Times New Roman"/>
          <w:vertAlign w:val="subscript"/>
          <w:lang w:val="pt-BR"/>
        </w:rPr>
        <w:t>2</w:t>
      </w:r>
      <w:r>
        <w:rPr>
          <w:rFonts w:ascii="Times New Roman" w:hAnsi="Times New Roman"/>
          <w:lang w:val="pt-BR"/>
        </w:rPr>
        <w:t>)</w:t>
      </w:r>
      <w:r w:rsidR="00390DC8">
        <w:rPr>
          <w:rFonts w:ascii="Times New Roman" w:hAnsi="Times New Roman"/>
          <w:lang w:val="pt-BR"/>
        </w:rPr>
        <w:t>.</w:t>
      </w:r>
      <w:r>
        <w:rPr>
          <w:rFonts w:ascii="Times New Roman" w:hAnsi="Times New Roman"/>
          <w:lang w:val="pt-BR"/>
        </w:rPr>
        <w:t xml:space="preserve"> </w:t>
      </w:r>
      <w:r w:rsidR="00390DC8">
        <w:rPr>
          <w:rFonts w:ascii="Times New Roman" w:hAnsi="Times New Roman"/>
          <w:lang w:val="pt-BR"/>
        </w:rPr>
        <w:t xml:space="preserve">A reforma do biogás </w:t>
      </w:r>
      <w:r>
        <w:rPr>
          <w:rFonts w:ascii="Times New Roman" w:hAnsi="Times New Roman"/>
          <w:lang w:val="pt-BR"/>
        </w:rPr>
        <w:t xml:space="preserve">colabora de forma conjunta com a diminuição da emissão de gases potencialmente estufa, bem como com </w:t>
      </w:r>
      <w:r w:rsidR="00390DC8">
        <w:rPr>
          <w:rFonts w:ascii="Times New Roman" w:hAnsi="Times New Roman"/>
          <w:lang w:val="pt-BR"/>
        </w:rPr>
        <w:t>a produção de hidrogênio sustentável</w:t>
      </w:r>
      <w:r>
        <w:rPr>
          <w:rFonts w:ascii="Times New Roman" w:hAnsi="Times New Roman"/>
          <w:lang w:val="pt-BR"/>
        </w:rPr>
        <w:t>.</w:t>
      </w:r>
    </w:p>
    <w:p w14:paraId="694230DF" w14:textId="761FA2DB" w:rsidR="00E02FFC" w:rsidRPr="00B23540" w:rsidRDefault="004C16DC" w:rsidP="008E452C">
      <w:pPr>
        <w:pStyle w:val="TAMainText"/>
        <w:widowControl w:val="0"/>
        <w:ind w:firstLine="204"/>
        <w:rPr>
          <w:rFonts w:ascii="Times New Roman" w:hAnsi="Times New Roman"/>
          <w:lang w:val="pt-BR"/>
        </w:rPr>
      </w:pPr>
      <w:r>
        <w:rPr>
          <w:rFonts w:ascii="Times New Roman" w:hAnsi="Times New Roman"/>
          <w:lang w:val="pt-BR"/>
        </w:rPr>
        <w:t>Os catalisadores mais empregados para a produção de hidrogênio sustentável via reforma do biogás são catalisadores baseados em óxido de níquel e óxido de alumínio</w:t>
      </w:r>
      <w:r w:rsidR="00390DC8">
        <w:rPr>
          <w:rFonts w:ascii="Times New Roman" w:hAnsi="Times New Roman"/>
          <w:lang w:val="pt-BR"/>
        </w:rPr>
        <w:t>. A</w:t>
      </w:r>
      <w:r>
        <w:rPr>
          <w:rFonts w:ascii="Times New Roman" w:hAnsi="Times New Roman"/>
          <w:lang w:val="pt-BR"/>
        </w:rPr>
        <w:t xml:space="preserve"> inserção de promotores para maximizar a produção de hidrogênio faz-se necessária</w:t>
      </w:r>
      <w:r w:rsidR="00390DC8">
        <w:rPr>
          <w:rFonts w:ascii="Times New Roman" w:hAnsi="Times New Roman"/>
          <w:lang w:val="pt-BR"/>
        </w:rPr>
        <w:t xml:space="preserve"> tendo em </w:t>
      </w:r>
      <w:r>
        <w:rPr>
          <w:rFonts w:ascii="Times New Roman" w:hAnsi="Times New Roman"/>
          <w:lang w:val="pt-BR"/>
        </w:rPr>
        <w:t>vist</w:t>
      </w:r>
      <w:r w:rsidR="00390DC8">
        <w:rPr>
          <w:rFonts w:ascii="Times New Roman" w:hAnsi="Times New Roman"/>
          <w:lang w:val="pt-BR"/>
        </w:rPr>
        <w:t>a</w:t>
      </w:r>
      <w:r>
        <w:rPr>
          <w:rFonts w:ascii="Times New Roman" w:hAnsi="Times New Roman"/>
          <w:lang w:val="pt-BR"/>
        </w:rPr>
        <w:t xml:space="preserve"> que catalisadores de níquel e alumina sofrem desativação muito rápida devido </w:t>
      </w:r>
      <w:r w:rsidR="00390DC8">
        <w:rPr>
          <w:rFonts w:ascii="Times New Roman" w:hAnsi="Times New Roman"/>
          <w:lang w:val="pt-BR"/>
        </w:rPr>
        <w:t xml:space="preserve">à </w:t>
      </w:r>
      <w:r>
        <w:rPr>
          <w:rFonts w:ascii="Times New Roman" w:hAnsi="Times New Roman"/>
          <w:lang w:val="pt-BR"/>
        </w:rPr>
        <w:t>elevada deposição de coque (2). Com base nisso, o presente trabalho tem como objetivo principal testar catalisadores de níquel alumina com diferentes promotores para produção de hidrogênio sustentável.</w:t>
      </w:r>
    </w:p>
    <w:p w14:paraId="52FFAC79" w14:textId="2F3C9C85"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Experimental</w:t>
      </w:r>
    </w:p>
    <w:p w14:paraId="2341D695" w14:textId="082B50F1" w:rsidR="000A546F" w:rsidRDefault="00CC2738" w:rsidP="00CC2738">
      <w:pPr>
        <w:pStyle w:val="TAMainText"/>
        <w:ind w:firstLine="0"/>
        <w:rPr>
          <w:rFonts w:ascii="Times New Roman" w:hAnsi="Times New Roman"/>
          <w:i/>
          <w:lang w:val="pt-BR"/>
        </w:rPr>
      </w:pPr>
      <w:r>
        <w:rPr>
          <w:rFonts w:ascii="Times New Roman" w:hAnsi="Times New Roman"/>
          <w:i/>
          <w:lang w:val="pt-BR"/>
        </w:rPr>
        <w:t>Síntese dos catalisadores</w:t>
      </w:r>
    </w:p>
    <w:p w14:paraId="6295A67A" w14:textId="721ED683" w:rsidR="006B7ECD" w:rsidRDefault="004C16DC" w:rsidP="00EE0EF3">
      <w:pPr>
        <w:pStyle w:val="TAMainText"/>
        <w:rPr>
          <w:rFonts w:ascii="Times New Roman" w:hAnsi="Times New Roman"/>
          <w:lang w:val="pt-BR"/>
        </w:rPr>
      </w:pPr>
      <w:r w:rsidRPr="00CC2738">
        <w:rPr>
          <w:rFonts w:ascii="Times New Roman" w:hAnsi="Times New Roman"/>
          <w:lang w:val="pt-BR"/>
        </w:rPr>
        <w:t xml:space="preserve">Os materiais foram preparados pelo método da combustão, utilizando precursores de grau analítico: ureia (Merck), </w:t>
      </w:r>
      <w:proofErr w:type="gramStart"/>
      <w:r w:rsidRPr="00CC2738">
        <w:rPr>
          <w:rFonts w:ascii="Times New Roman" w:hAnsi="Times New Roman"/>
          <w:lang w:val="pt-BR"/>
        </w:rPr>
        <w:t>Ni(</w:t>
      </w:r>
      <w:proofErr w:type="gramEnd"/>
      <w:r w:rsidRPr="00CC2738">
        <w:rPr>
          <w:rFonts w:ascii="Times New Roman" w:hAnsi="Times New Roman"/>
          <w:lang w:val="pt-BR"/>
        </w:rPr>
        <w:t>NO</w:t>
      </w:r>
      <w:r w:rsidRPr="00CC2738">
        <w:rPr>
          <w:rFonts w:ascii="Times New Roman" w:hAnsi="Times New Roman"/>
          <w:vertAlign w:val="subscript"/>
          <w:lang w:val="pt-BR"/>
        </w:rPr>
        <w:t>3</w:t>
      </w:r>
      <w:r w:rsidRPr="00CC2738">
        <w:rPr>
          <w:rFonts w:ascii="Times New Roman" w:hAnsi="Times New Roman"/>
          <w:lang w:val="pt-BR"/>
        </w:rPr>
        <w:t>)</w:t>
      </w:r>
      <w:r w:rsidRPr="00CC2738">
        <w:rPr>
          <w:rFonts w:ascii="Times New Roman" w:hAnsi="Times New Roman"/>
          <w:vertAlign w:val="subscript"/>
          <w:lang w:val="pt-BR"/>
        </w:rPr>
        <w:t>2</w:t>
      </w:r>
      <w:r w:rsidRPr="00CC2738">
        <w:rPr>
          <w:rFonts w:ascii="Times New Roman" w:hAnsi="Times New Roman"/>
          <w:lang w:val="pt-BR"/>
        </w:rPr>
        <w:t>.6H</w:t>
      </w:r>
      <w:r w:rsidRPr="00CC2738">
        <w:rPr>
          <w:rFonts w:ascii="Times New Roman" w:hAnsi="Times New Roman"/>
          <w:vertAlign w:val="subscript"/>
          <w:lang w:val="pt-BR"/>
        </w:rPr>
        <w:t>2</w:t>
      </w:r>
      <w:r w:rsidRPr="00CC2738">
        <w:rPr>
          <w:rFonts w:ascii="Times New Roman" w:hAnsi="Times New Roman"/>
          <w:lang w:val="pt-BR"/>
        </w:rPr>
        <w:t>O (Merck) e Al</w:t>
      </w:r>
      <w:r w:rsidRPr="0085646C">
        <w:rPr>
          <w:rFonts w:ascii="Times New Roman" w:hAnsi="Times New Roman"/>
          <w:vertAlign w:val="subscript"/>
          <w:lang w:val="pt-BR"/>
        </w:rPr>
        <w:t>2</w:t>
      </w:r>
      <w:r w:rsidRPr="00CC2738">
        <w:rPr>
          <w:rFonts w:ascii="Times New Roman" w:hAnsi="Times New Roman"/>
          <w:lang w:val="pt-BR"/>
        </w:rPr>
        <w:t>O</w:t>
      </w:r>
      <w:r w:rsidRPr="0085646C">
        <w:rPr>
          <w:rFonts w:ascii="Times New Roman" w:hAnsi="Times New Roman"/>
          <w:vertAlign w:val="subscript"/>
          <w:lang w:val="pt-BR"/>
        </w:rPr>
        <w:t>3</w:t>
      </w:r>
      <w:r w:rsidRPr="00CC2738">
        <w:rPr>
          <w:rFonts w:ascii="Times New Roman" w:hAnsi="Times New Roman"/>
          <w:lang w:val="pt-BR"/>
        </w:rPr>
        <w:t>.9H</w:t>
      </w:r>
      <w:r w:rsidRPr="0085646C">
        <w:rPr>
          <w:rFonts w:ascii="Times New Roman" w:hAnsi="Times New Roman"/>
          <w:vertAlign w:val="subscript"/>
          <w:lang w:val="pt-BR"/>
        </w:rPr>
        <w:t>2</w:t>
      </w:r>
      <w:r w:rsidRPr="00CC2738">
        <w:rPr>
          <w:rFonts w:ascii="Times New Roman" w:hAnsi="Times New Roman"/>
          <w:lang w:val="pt-BR"/>
        </w:rPr>
        <w:t>O (Merck), e variando a composição do precursor com</w:t>
      </w:r>
      <w:r>
        <w:rPr>
          <w:rFonts w:ascii="Times New Roman" w:hAnsi="Times New Roman"/>
          <w:lang w:val="pt-BR"/>
        </w:rPr>
        <w:t xml:space="preserve"> NaNO</w:t>
      </w:r>
      <w:r>
        <w:rPr>
          <w:rFonts w:ascii="Times New Roman" w:hAnsi="Times New Roman"/>
          <w:vertAlign w:val="subscript"/>
          <w:lang w:val="pt-BR"/>
        </w:rPr>
        <w:t>3</w:t>
      </w:r>
      <w:r>
        <w:rPr>
          <w:rFonts w:ascii="Times New Roman" w:hAnsi="Times New Roman"/>
          <w:lang w:val="pt-BR"/>
        </w:rPr>
        <w:t xml:space="preserve"> (Merck), KNO</w:t>
      </w:r>
      <w:r>
        <w:rPr>
          <w:rFonts w:ascii="Times New Roman" w:hAnsi="Times New Roman"/>
          <w:vertAlign w:val="subscript"/>
          <w:lang w:val="pt-BR"/>
        </w:rPr>
        <w:t>3</w:t>
      </w:r>
      <w:r>
        <w:rPr>
          <w:rFonts w:ascii="Times New Roman" w:hAnsi="Times New Roman"/>
          <w:lang w:val="pt-BR"/>
        </w:rPr>
        <w:t>(Merck)</w:t>
      </w:r>
      <w:r w:rsidR="00390DC8">
        <w:rPr>
          <w:rFonts w:ascii="Times New Roman" w:hAnsi="Times New Roman"/>
          <w:lang w:val="pt-BR"/>
        </w:rPr>
        <w:t>,</w:t>
      </w:r>
      <w:r w:rsidRPr="00CC2738">
        <w:rPr>
          <w:rFonts w:ascii="Times New Roman" w:hAnsi="Times New Roman"/>
          <w:lang w:val="pt-BR"/>
        </w:rPr>
        <w:t xml:space="preserve"> </w:t>
      </w:r>
      <w:r>
        <w:rPr>
          <w:rFonts w:ascii="Times New Roman" w:hAnsi="Times New Roman"/>
          <w:lang w:val="pt-BR"/>
        </w:rPr>
        <w:t>Ca(NO</w:t>
      </w:r>
      <w:r>
        <w:rPr>
          <w:rFonts w:ascii="Times New Roman" w:hAnsi="Times New Roman"/>
          <w:vertAlign w:val="subscript"/>
          <w:lang w:val="pt-BR"/>
        </w:rPr>
        <w:t>3</w:t>
      </w:r>
      <w:r>
        <w:rPr>
          <w:rFonts w:ascii="Times New Roman" w:hAnsi="Times New Roman"/>
          <w:lang w:val="pt-BR"/>
        </w:rPr>
        <w:t>)</w:t>
      </w:r>
      <w:r>
        <w:rPr>
          <w:rFonts w:ascii="Times New Roman" w:hAnsi="Times New Roman"/>
          <w:vertAlign w:val="subscript"/>
          <w:lang w:val="pt-BR"/>
        </w:rPr>
        <w:t>2</w:t>
      </w:r>
      <w:r>
        <w:rPr>
          <w:rFonts w:ascii="Times New Roman" w:hAnsi="Times New Roman"/>
          <w:lang w:val="pt-BR"/>
        </w:rPr>
        <w:t>.4H</w:t>
      </w:r>
      <w:r>
        <w:rPr>
          <w:rFonts w:ascii="Times New Roman" w:hAnsi="Times New Roman"/>
          <w:vertAlign w:val="subscript"/>
          <w:lang w:val="pt-BR"/>
        </w:rPr>
        <w:t>2</w:t>
      </w:r>
      <w:r>
        <w:rPr>
          <w:rFonts w:ascii="Times New Roman" w:hAnsi="Times New Roman"/>
          <w:lang w:val="pt-BR"/>
        </w:rPr>
        <w:t>O</w:t>
      </w:r>
      <w:r w:rsidRPr="00CC2738">
        <w:rPr>
          <w:rFonts w:ascii="Times New Roman" w:hAnsi="Times New Roman"/>
          <w:lang w:val="pt-BR"/>
        </w:rPr>
        <w:t xml:space="preserve"> (Merck),</w:t>
      </w:r>
      <w:r>
        <w:rPr>
          <w:rFonts w:ascii="Times New Roman" w:hAnsi="Times New Roman"/>
          <w:lang w:val="pt-BR"/>
        </w:rPr>
        <w:t xml:space="preserve"> </w:t>
      </w:r>
      <w:r w:rsidRPr="00CC2738">
        <w:rPr>
          <w:rFonts w:ascii="Times New Roman" w:hAnsi="Times New Roman"/>
          <w:lang w:val="pt-BR"/>
        </w:rPr>
        <w:t>e Mg(NO</w:t>
      </w:r>
      <w:r w:rsidRPr="0085646C">
        <w:rPr>
          <w:rFonts w:ascii="Times New Roman" w:hAnsi="Times New Roman"/>
          <w:vertAlign w:val="subscript"/>
          <w:lang w:val="pt-BR"/>
        </w:rPr>
        <w:t>3</w:t>
      </w:r>
      <w:r w:rsidRPr="00CC2738">
        <w:rPr>
          <w:rFonts w:ascii="Times New Roman" w:hAnsi="Times New Roman"/>
          <w:lang w:val="pt-BR"/>
        </w:rPr>
        <w:t>)</w:t>
      </w:r>
      <w:r>
        <w:rPr>
          <w:rFonts w:ascii="Times New Roman" w:hAnsi="Times New Roman"/>
          <w:vertAlign w:val="subscript"/>
          <w:lang w:val="pt-BR"/>
        </w:rPr>
        <w:t>2</w:t>
      </w:r>
      <w:r w:rsidRPr="00CC2738">
        <w:rPr>
          <w:rFonts w:ascii="Times New Roman" w:hAnsi="Times New Roman"/>
          <w:lang w:val="pt-BR"/>
        </w:rPr>
        <w:t>.6H</w:t>
      </w:r>
      <w:r w:rsidRPr="0085646C">
        <w:rPr>
          <w:rFonts w:ascii="Times New Roman" w:hAnsi="Times New Roman"/>
          <w:vertAlign w:val="subscript"/>
          <w:lang w:val="pt-BR"/>
        </w:rPr>
        <w:t>2</w:t>
      </w:r>
      <w:r w:rsidRPr="00CC2738">
        <w:rPr>
          <w:rFonts w:ascii="Times New Roman" w:hAnsi="Times New Roman"/>
          <w:lang w:val="pt-BR"/>
        </w:rPr>
        <w:t>O (Merck).</w:t>
      </w:r>
      <w:r>
        <w:rPr>
          <w:rFonts w:ascii="Times New Roman" w:hAnsi="Times New Roman"/>
          <w:lang w:val="pt-BR"/>
        </w:rPr>
        <w:t xml:space="preserve"> </w:t>
      </w:r>
      <w:r w:rsidR="008B13B0">
        <w:rPr>
          <w:rFonts w:ascii="Times New Roman" w:hAnsi="Times New Roman"/>
          <w:lang w:val="pt-BR"/>
        </w:rPr>
        <w:t xml:space="preserve">O processo de combustão se inicia a 400ºC com a </w:t>
      </w:r>
      <w:proofErr w:type="spellStart"/>
      <w:r w:rsidR="0081363E">
        <w:rPr>
          <w:rFonts w:ascii="Times New Roman" w:hAnsi="Times New Roman"/>
          <w:lang w:val="pt-BR"/>
        </w:rPr>
        <w:t>auto-ignição</w:t>
      </w:r>
      <w:proofErr w:type="spellEnd"/>
      <w:r w:rsidR="008B13B0">
        <w:rPr>
          <w:rFonts w:ascii="Times New Roman" w:hAnsi="Times New Roman"/>
          <w:lang w:val="pt-BR"/>
        </w:rPr>
        <w:t xml:space="preserve"> dos reagentes e</w:t>
      </w:r>
      <w:r w:rsidR="006E04CC">
        <w:rPr>
          <w:rFonts w:ascii="Times New Roman" w:hAnsi="Times New Roman"/>
          <w:lang w:val="pt-BR"/>
        </w:rPr>
        <w:t>,</w:t>
      </w:r>
      <w:r w:rsidR="008B13B0">
        <w:rPr>
          <w:rFonts w:ascii="Times New Roman" w:hAnsi="Times New Roman"/>
          <w:lang w:val="pt-BR"/>
        </w:rPr>
        <w:t xml:space="preserve"> </w:t>
      </w:r>
      <w:r w:rsidR="008B13B0" w:rsidRPr="0081363E">
        <w:rPr>
          <w:rFonts w:ascii="Times New Roman" w:hAnsi="Times New Roman"/>
          <w:lang w:val="pt-BR"/>
        </w:rPr>
        <w:t>a</w:t>
      </w:r>
      <w:r w:rsidRPr="0081363E">
        <w:rPr>
          <w:rFonts w:ascii="Times New Roman" w:hAnsi="Times New Roman"/>
          <w:lang w:val="pt-BR"/>
        </w:rPr>
        <w:t>pós o processo de combustão se completar</w:t>
      </w:r>
      <w:r w:rsidRPr="002B69A7">
        <w:rPr>
          <w:rFonts w:ascii="Times New Roman" w:hAnsi="Times New Roman"/>
          <w:lang w:val="pt-BR"/>
        </w:rPr>
        <w:t>, os sólidos formados permanece</w:t>
      </w:r>
      <w:r>
        <w:rPr>
          <w:rFonts w:ascii="Times New Roman" w:hAnsi="Times New Roman"/>
          <w:lang w:val="pt-BR"/>
        </w:rPr>
        <w:t>ram</w:t>
      </w:r>
      <w:r w:rsidRPr="002B69A7">
        <w:rPr>
          <w:rFonts w:ascii="Times New Roman" w:hAnsi="Times New Roman"/>
          <w:lang w:val="pt-BR"/>
        </w:rPr>
        <w:t xml:space="preserve"> ainda por 30 minutos para eliminação de resíduos nitratos ou carbonáceos. Por fim, os materiais foram calcinados a 800°C por 3 horas e peneirados entre 100-200 </w:t>
      </w:r>
      <w:proofErr w:type="spellStart"/>
      <w:r w:rsidRPr="002B69A7">
        <w:rPr>
          <w:rFonts w:ascii="Times New Roman" w:hAnsi="Times New Roman"/>
          <w:lang w:val="pt-BR"/>
        </w:rPr>
        <w:t>mesh</w:t>
      </w:r>
      <w:proofErr w:type="spellEnd"/>
      <w:r w:rsidRPr="002B69A7">
        <w:rPr>
          <w:rFonts w:ascii="Times New Roman" w:hAnsi="Times New Roman"/>
          <w:lang w:val="pt-BR"/>
        </w:rPr>
        <w:t xml:space="preserve">. </w:t>
      </w:r>
      <w:r w:rsidR="00EE0EF3">
        <w:rPr>
          <w:rFonts w:ascii="Times New Roman" w:hAnsi="Times New Roman"/>
          <w:lang w:val="pt-BR"/>
        </w:rPr>
        <w:t>Os materiais sintetizados foram 30%NiO-Al</w:t>
      </w:r>
      <w:r w:rsidR="00EE0EF3">
        <w:rPr>
          <w:rFonts w:ascii="Times New Roman" w:hAnsi="Times New Roman"/>
          <w:vertAlign w:val="subscript"/>
          <w:lang w:val="pt-BR"/>
        </w:rPr>
        <w:t>2</w:t>
      </w:r>
      <w:r w:rsidR="00EE0EF3">
        <w:rPr>
          <w:rFonts w:ascii="Times New Roman" w:hAnsi="Times New Roman"/>
          <w:lang w:val="pt-BR"/>
        </w:rPr>
        <w:t>O</w:t>
      </w:r>
      <w:r w:rsidR="00EE0EF3">
        <w:rPr>
          <w:rFonts w:ascii="Times New Roman" w:hAnsi="Times New Roman"/>
          <w:vertAlign w:val="subscript"/>
          <w:lang w:val="pt-BR"/>
        </w:rPr>
        <w:t xml:space="preserve">3 </w:t>
      </w:r>
      <w:r w:rsidR="00EE0EF3">
        <w:rPr>
          <w:rFonts w:ascii="Times New Roman" w:hAnsi="Times New Roman"/>
          <w:lang w:val="pt-BR"/>
        </w:rPr>
        <w:t>e 30%NiO-6%MxOy - Al</w:t>
      </w:r>
      <w:r w:rsidR="00EE0EF3">
        <w:rPr>
          <w:rFonts w:ascii="Times New Roman" w:hAnsi="Times New Roman"/>
          <w:vertAlign w:val="subscript"/>
          <w:lang w:val="pt-BR"/>
        </w:rPr>
        <w:t>2</w:t>
      </w:r>
      <w:r w:rsidR="00EE0EF3">
        <w:rPr>
          <w:rFonts w:ascii="Times New Roman" w:hAnsi="Times New Roman"/>
          <w:lang w:val="pt-BR"/>
        </w:rPr>
        <w:t>O</w:t>
      </w:r>
      <w:r w:rsidR="00EE0EF3">
        <w:rPr>
          <w:rFonts w:ascii="Times New Roman" w:hAnsi="Times New Roman"/>
          <w:vertAlign w:val="subscript"/>
          <w:lang w:val="pt-BR"/>
        </w:rPr>
        <w:t>3</w:t>
      </w:r>
      <w:r w:rsidR="00EE0EF3">
        <w:rPr>
          <w:rFonts w:ascii="Times New Roman" w:hAnsi="Times New Roman"/>
          <w:lang w:val="pt-BR"/>
        </w:rPr>
        <w:t xml:space="preserve"> (M = Na, K, Ca e Mg).</w:t>
      </w:r>
    </w:p>
    <w:p w14:paraId="2BB592D7" w14:textId="77777777" w:rsidR="006B7ECD" w:rsidRPr="00737756" w:rsidRDefault="006B7ECD" w:rsidP="006B7ECD">
      <w:pPr>
        <w:pStyle w:val="TAMainText"/>
        <w:ind w:firstLine="0"/>
        <w:rPr>
          <w:rFonts w:ascii="Times New Roman" w:hAnsi="Times New Roman"/>
          <w:i/>
          <w:lang w:val="pt-BR"/>
        </w:rPr>
      </w:pPr>
      <w:r>
        <w:rPr>
          <w:rFonts w:ascii="Times New Roman" w:hAnsi="Times New Roman"/>
          <w:i/>
          <w:lang w:val="pt-BR"/>
        </w:rPr>
        <w:t>Teste catalítico</w:t>
      </w:r>
    </w:p>
    <w:p w14:paraId="6FCF1978" w14:textId="62C14F43" w:rsidR="006B7ECD" w:rsidRDefault="00365A03" w:rsidP="006B7ECD">
      <w:pPr>
        <w:pStyle w:val="TAMainText"/>
        <w:rPr>
          <w:lang w:val="pt-BR"/>
        </w:rPr>
      </w:pPr>
      <w:r>
        <w:rPr>
          <w:lang w:val="pt-BR"/>
        </w:rPr>
        <w:t>Inicialmente r</w:t>
      </w:r>
      <w:r w:rsidR="002D4AE4">
        <w:rPr>
          <w:lang w:val="pt-BR"/>
        </w:rPr>
        <w:t>eduziu-se</w:t>
      </w:r>
      <w:r w:rsidR="006B7ECD" w:rsidRPr="00390DC8">
        <w:rPr>
          <w:lang w:val="pt-BR"/>
        </w:rPr>
        <w:t xml:space="preserve"> 200 mg de catalisador a uma temperatur</w:t>
      </w:r>
      <w:r w:rsidR="006B7ECD">
        <w:rPr>
          <w:lang w:val="pt-BR"/>
        </w:rPr>
        <w:t>a</w:t>
      </w:r>
      <w:r w:rsidR="006B7ECD" w:rsidRPr="00390DC8">
        <w:rPr>
          <w:lang w:val="pt-BR"/>
        </w:rPr>
        <w:t xml:space="preserve"> de 700ºC em um fluxo total de 100 mL</w:t>
      </w:r>
      <w:r w:rsidR="006B7ECD">
        <w:rPr>
          <w:lang w:val="pt-BR"/>
        </w:rPr>
        <w:t>.</w:t>
      </w:r>
      <w:r w:rsidR="006B7ECD" w:rsidRPr="00390DC8">
        <w:rPr>
          <w:lang w:val="pt-BR"/>
        </w:rPr>
        <w:t>min</w:t>
      </w:r>
      <w:r w:rsidR="006B7ECD" w:rsidRPr="00390DC8">
        <w:rPr>
          <w:vertAlign w:val="superscript"/>
          <w:lang w:val="pt-BR"/>
        </w:rPr>
        <w:t>-1</w:t>
      </w:r>
      <w:r w:rsidR="006B7ECD" w:rsidRPr="00390DC8">
        <w:rPr>
          <w:lang w:val="pt-BR"/>
        </w:rPr>
        <w:t xml:space="preserve"> durante uma hora na composição 1:9 de H</w:t>
      </w:r>
      <w:r w:rsidR="006B7ECD" w:rsidRPr="00390DC8">
        <w:rPr>
          <w:vertAlign w:val="subscript"/>
          <w:lang w:val="pt-BR"/>
        </w:rPr>
        <w:t>2</w:t>
      </w:r>
      <w:r w:rsidR="006B7ECD" w:rsidRPr="00390DC8">
        <w:rPr>
          <w:lang w:val="pt-BR"/>
        </w:rPr>
        <w:t>/N</w:t>
      </w:r>
      <w:r w:rsidR="006B7ECD" w:rsidRPr="00390DC8">
        <w:rPr>
          <w:vertAlign w:val="subscript"/>
          <w:lang w:val="pt-BR"/>
        </w:rPr>
        <w:t>2</w:t>
      </w:r>
      <w:r w:rsidR="006B7ECD" w:rsidRPr="00390DC8">
        <w:rPr>
          <w:lang w:val="pt-BR"/>
        </w:rPr>
        <w:t xml:space="preserve">. Após a redução, foram realizados os testes catalíticos em um reator de leito fixo (PID) com analisador de gases acoplado, com um fluxo total de 150 </w:t>
      </w:r>
      <w:proofErr w:type="spellStart"/>
      <w:r w:rsidR="006B7ECD" w:rsidRPr="00390DC8">
        <w:rPr>
          <w:lang w:val="pt-BR"/>
        </w:rPr>
        <w:t>mL</w:t>
      </w:r>
      <w:proofErr w:type="spellEnd"/>
      <w:r w:rsidR="006B7ECD" w:rsidRPr="00390DC8">
        <w:rPr>
          <w:lang w:val="pt-BR"/>
        </w:rPr>
        <w:t xml:space="preserve"> min</w:t>
      </w:r>
      <w:r w:rsidR="006B7ECD" w:rsidRPr="00390DC8">
        <w:rPr>
          <w:vertAlign w:val="superscript"/>
          <w:lang w:val="pt-BR"/>
        </w:rPr>
        <w:t>-1</w:t>
      </w:r>
      <w:r w:rsidR="006B7ECD" w:rsidRPr="00390DC8">
        <w:rPr>
          <w:lang w:val="pt-BR"/>
        </w:rPr>
        <w:t xml:space="preserve">, sendo 60 </w:t>
      </w:r>
      <w:proofErr w:type="spellStart"/>
      <w:r w:rsidR="006B7ECD" w:rsidRPr="00390DC8">
        <w:rPr>
          <w:lang w:val="pt-BR"/>
        </w:rPr>
        <w:t>mL</w:t>
      </w:r>
      <w:proofErr w:type="spellEnd"/>
      <w:r w:rsidR="006B7ECD" w:rsidRPr="00390DC8">
        <w:rPr>
          <w:lang w:val="pt-BR"/>
        </w:rPr>
        <w:t xml:space="preserve"> min</w:t>
      </w:r>
      <w:r w:rsidR="006B7ECD" w:rsidRPr="00390DC8">
        <w:rPr>
          <w:vertAlign w:val="superscript"/>
          <w:lang w:val="pt-BR"/>
        </w:rPr>
        <w:t>-1</w:t>
      </w:r>
      <w:r w:rsidR="006B7ECD" w:rsidRPr="00390DC8">
        <w:rPr>
          <w:lang w:val="pt-BR"/>
        </w:rPr>
        <w:t xml:space="preserve"> de CH</w:t>
      </w:r>
      <w:r w:rsidR="006B7ECD" w:rsidRPr="00390DC8">
        <w:rPr>
          <w:vertAlign w:val="subscript"/>
          <w:lang w:val="pt-BR"/>
        </w:rPr>
        <w:t>4</w:t>
      </w:r>
      <w:r w:rsidR="006B7ECD" w:rsidRPr="00390DC8">
        <w:rPr>
          <w:lang w:val="pt-BR"/>
        </w:rPr>
        <w:t xml:space="preserve">, </w:t>
      </w:r>
      <w:r w:rsidR="006B7ECD" w:rsidRPr="00390DC8">
        <w:rPr>
          <w:lang w:val="pt-BR"/>
        </w:rPr>
        <w:lastRenderedPageBreak/>
        <w:t xml:space="preserve">40 </w:t>
      </w:r>
      <w:proofErr w:type="spellStart"/>
      <w:r w:rsidR="006B7ECD" w:rsidRPr="00390DC8">
        <w:rPr>
          <w:lang w:val="pt-BR"/>
        </w:rPr>
        <w:t>mL</w:t>
      </w:r>
      <w:proofErr w:type="spellEnd"/>
      <w:r w:rsidR="006B7ECD" w:rsidRPr="00390DC8">
        <w:rPr>
          <w:lang w:val="pt-BR"/>
        </w:rPr>
        <w:t>/min de CO</w:t>
      </w:r>
      <w:r w:rsidR="006B7ECD" w:rsidRPr="00390DC8">
        <w:rPr>
          <w:vertAlign w:val="subscript"/>
          <w:lang w:val="pt-BR"/>
        </w:rPr>
        <w:t xml:space="preserve">2 </w:t>
      </w:r>
      <w:r w:rsidR="006B7ECD" w:rsidRPr="00390DC8">
        <w:rPr>
          <w:lang w:val="pt-BR"/>
        </w:rPr>
        <w:t>e 50mL/min de N</w:t>
      </w:r>
      <w:r w:rsidR="006B7ECD" w:rsidRPr="00390DC8">
        <w:rPr>
          <w:vertAlign w:val="subscript"/>
          <w:lang w:val="pt-BR"/>
        </w:rPr>
        <w:t xml:space="preserve">2 </w:t>
      </w:r>
      <w:r w:rsidR="006B7ECD" w:rsidRPr="00390DC8">
        <w:rPr>
          <w:lang w:val="pt-BR"/>
        </w:rPr>
        <w:t>durante 6 horas (2). Como critério de comparação, testes com catalisador industrial foram realizados nas mesmas condições dos catalisadores sintetizados. Os parâmetros catalíticos foram calculados de acordo com</w:t>
      </w:r>
      <w:r w:rsidR="006B7ECD">
        <w:rPr>
          <w:lang w:val="pt-BR"/>
        </w:rPr>
        <w:t>:</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4248"/>
        <w:gridCol w:w="510"/>
      </w:tblGrid>
      <w:tr w:rsidR="006B7ECD" w14:paraId="46B06095" w14:textId="77777777" w:rsidTr="008E452C">
        <w:trPr>
          <w:trHeight w:val="283"/>
        </w:trPr>
        <w:tc>
          <w:tcPr>
            <w:tcW w:w="4248" w:type="dxa"/>
          </w:tcPr>
          <w:p w14:paraId="771108DA" w14:textId="77777777" w:rsidR="006B7ECD" w:rsidRPr="006E04CC" w:rsidRDefault="00000000" w:rsidP="006F4DEF">
            <w:pPr>
              <w:pStyle w:val="TAMainText"/>
              <w:spacing w:line="240" w:lineRule="auto"/>
              <w:ind w:firstLine="0"/>
              <w:rPr>
                <w:lang w:val="pt-BR"/>
              </w:rPr>
            </w:pPr>
            <m:oMathPara>
              <m:oMathParaPr>
                <m:jc m:val="left"/>
              </m:oMathParaPr>
              <m:oMath>
                <m:sSub>
                  <m:sSubPr>
                    <m:ctrlPr>
                      <w:rPr>
                        <w:rFonts w:ascii="Cambria Math" w:hAnsi="Cambria Math"/>
                        <w:i/>
                        <w:lang w:val="pt-BR"/>
                      </w:rPr>
                    </m:ctrlPr>
                  </m:sSubPr>
                  <m:e>
                    <m:r>
                      <w:rPr>
                        <w:rFonts w:ascii="Cambria Math" w:hAnsi="Cambria Math"/>
                      </w:rPr>
                      <m:t>X</m:t>
                    </m:r>
                    <m:ctrlPr>
                      <w:rPr>
                        <w:rFonts w:ascii="Cambria Math" w:hAnsi="Cambria Math"/>
                        <w:i/>
                      </w:rPr>
                    </m:ctrlPr>
                  </m:e>
                  <m:sub>
                    <m:r>
                      <w:rPr>
                        <w:rFonts w:ascii="Cambria Math" w:hAnsi="Cambria Math"/>
                      </w:rPr>
                      <m:t>C</m:t>
                    </m:r>
                    <m:sSub>
                      <m:sSubPr>
                        <m:ctrlPr>
                          <w:rPr>
                            <w:rFonts w:ascii="Cambria Math" w:hAnsi="Cambria Math"/>
                            <w:i/>
                          </w:rPr>
                        </m:ctrlPr>
                      </m:sSubPr>
                      <m:e>
                        <m:r>
                          <w:rPr>
                            <w:rFonts w:ascii="Cambria Math" w:hAnsi="Cambria Math"/>
                          </w:rPr>
                          <m:t>H</m:t>
                        </m:r>
                      </m:e>
                      <m:sub>
                        <m:r>
                          <w:rPr>
                            <w:rFonts w:ascii="Cambria Math" w:hAnsi="Cambria Math"/>
                            <w:vertAlign w:val="subscript"/>
                            <w:lang w:val="pt-BR"/>
                          </w:rPr>
                          <m:t>4</m:t>
                        </m:r>
                      </m:sub>
                    </m:sSub>
                  </m:sub>
                </m:sSub>
                <m:r>
                  <w:rPr>
                    <w:rFonts w:ascii="Cambria Math" w:hAnsi="Cambria Math"/>
                    <w:lang w:val="pt-BR"/>
                  </w:rPr>
                  <m:t>(%)=(</m:t>
                </m:r>
                <m:r>
                  <w:rPr>
                    <w:rFonts w:ascii="Cambria Math" w:hAnsi="Cambria Math"/>
                  </w:rPr>
                  <m:t>C</m:t>
                </m:r>
                <m:sSub>
                  <m:sSubPr>
                    <m:ctrlPr>
                      <w:rPr>
                        <w:rFonts w:ascii="Cambria Math" w:hAnsi="Cambria Math"/>
                        <w:i/>
                      </w:rPr>
                    </m:ctrlPr>
                  </m:sSubPr>
                  <m:e>
                    <m:r>
                      <w:rPr>
                        <w:rFonts w:ascii="Cambria Math" w:hAnsi="Cambria Math"/>
                      </w:rPr>
                      <m:t>H</m:t>
                    </m:r>
                  </m:e>
                  <m:sub>
                    <m:r>
                      <w:rPr>
                        <w:rFonts w:ascii="Cambria Math" w:hAnsi="Cambria Math"/>
                        <w:lang w:val="pt-BR"/>
                      </w:rPr>
                      <m:t>4,entra</m:t>
                    </m:r>
                  </m:sub>
                </m:sSub>
                <m:r>
                  <w:rPr>
                    <w:rFonts w:ascii="Cambria Math" w:hAnsi="Cambria Math"/>
                    <w:lang w:val="pt-BR"/>
                  </w:rPr>
                  <m:t>–</m:t>
                </m:r>
                <m:r>
                  <w:rPr>
                    <w:rFonts w:ascii="Cambria Math" w:hAnsi="Cambria Math"/>
                  </w:rPr>
                  <m:t>C</m:t>
                </m:r>
                <m:sSub>
                  <m:sSubPr>
                    <m:ctrlPr>
                      <w:rPr>
                        <w:rFonts w:ascii="Cambria Math" w:hAnsi="Cambria Math"/>
                        <w:i/>
                      </w:rPr>
                    </m:ctrlPr>
                  </m:sSubPr>
                  <m:e>
                    <m:r>
                      <w:rPr>
                        <w:rFonts w:ascii="Cambria Math" w:hAnsi="Cambria Math"/>
                      </w:rPr>
                      <m:t>H</m:t>
                    </m:r>
                  </m:e>
                  <m:sub>
                    <m:r>
                      <w:rPr>
                        <w:rFonts w:ascii="Cambria Math" w:hAnsi="Cambria Math"/>
                        <w:lang w:val="pt-BR"/>
                      </w:rPr>
                      <m:t>4,sai</m:t>
                    </m:r>
                  </m:sub>
                </m:sSub>
                <m:r>
                  <w:rPr>
                    <w:rFonts w:ascii="Cambria Math" w:hAnsi="Cambria Math"/>
                    <w:lang w:val="pt-BR"/>
                  </w:rPr>
                  <m:t>)/</m:t>
                </m:r>
                <m:r>
                  <w:rPr>
                    <w:rFonts w:ascii="Cambria Math" w:hAnsi="Cambria Math"/>
                  </w:rPr>
                  <m:t>C</m:t>
                </m:r>
                <m:sSub>
                  <m:sSubPr>
                    <m:ctrlPr>
                      <w:rPr>
                        <w:rFonts w:ascii="Cambria Math" w:hAnsi="Cambria Math"/>
                        <w:i/>
                      </w:rPr>
                    </m:ctrlPr>
                  </m:sSubPr>
                  <m:e>
                    <m:r>
                      <w:rPr>
                        <w:rFonts w:ascii="Cambria Math" w:hAnsi="Cambria Math"/>
                      </w:rPr>
                      <m:t>H</m:t>
                    </m:r>
                  </m:e>
                  <m:sub>
                    <m:r>
                      <w:rPr>
                        <w:rFonts w:ascii="Cambria Math" w:hAnsi="Cambria Math"/>
                        <w:lang w:val="pt-BR"/>
                      </w:rPr>
                      <m:t>4,entra</m:t>
                    </m:r>
                  </m:sub>
                </m:sSub>
                <m:r>
                  <w:rPr>
                    <w:rFonts w:ascii="Cambria Math" w:hAnsi="Cambria Math"/>
                    <w:lang w:val="pt-BR"/>
                  </w:rPr>
                  <m:t>∙100</m:t>
                </m:r>
              </m:oMath>
            </m:oMathPara>
          </w:p>
        </w:tc>
        <w:tc>
          <w:tcPr>
            <w:tcW w:w="510" w:type="dxa"/>
          </w:tcPr>
          <w:p w14:paraId="638D8190" w14:textId="77777777" w:rsidR="006B7ECD" w:rsidRDefault="006B7ECD" w:rsidP="006F4DEF">
            <w:pPr>
              <w:pStyle w:val="TAMainText"/>
              <w:spacing w:line="240" w:lineRule="auto"/>
              <w:ind w:firstLine="0"/>
              <w:rPr>
                <w:lang w:val="pt-BR"/>
              </w:rPr>
            </w:pPr>
            <w:r>
              <w:rPr>
                <w:lang w:val="pt-BR"/>
              </w:rPr>
              <w:t>(1)</w:t>
            </w:r>
          </w:p>
        </w:tc>
      </w:tr>
      <w:tr w:rsidR="006B7ECD" w14:paraId="66BBC56D" w14:textId="77777777" w:rsidTr="008E452C">
        <w:trPr>
          <w:trHeight w:val="283"/>
        </w:trPr>
        <w:tc>
          <w:tcPr>
            <w:tcW w:w="4248" w:type="dxa"/>
            <w:vAlign w:val="center"/>
          </w:tcPr>
          <w:p w14:paraId="777603D9" w14:textId="77777777" w:rsidR="006B7ECD" w:rsidRPr="006E04CC" w:rsidRDefault="00000000" w:rsidP="006F4DEF">
            <w:pPr>
              <w:pStyle w:val="TAMainText"/>
              <w:spacing w:line="240" w:lineRule="auto"/>
              <w:ind w:firstLine="0"/>
              <w:rPr>
                <w:lang w:val="pt-BR"/>
              </w:rPr>
            </w:pPr>
            <m:oMathPara>
              <m:oMathParaPr>
                <m:jc m:val="left"/>
              </m:oMathParaPr>
              <m:oMath>
                <m:sSub>
                  <m:sSubPr>
                    <m:ctrlPr>
                      <w:rPr>
                        <w:rFonts w:ascii="Cambria Math" w:hAnsi="Cambria Math"/>
                        <w:i/>
                        <w:lang w:val="pt-BR"/>
                      </w:rPr>
                    </m:ctrlPr>
                  </m:sSubPr>
                  <m:e>
                    <m:r>
                      <w:rPr>
                        <w:rFonts w:ascii="Cambria Math" w:hAnsi="Cambria Math"/>
                      </w:rPr>
                      <m:t>X</m:t>
                    </m:r>
                    <m:ctrlPr>
                      <w:rPr>
                        <w:rFonts w:ascii="Cambria Math" w:hAnsi="Cambria Math"/>
                        <w:i/>
                      </w:rPr>
                    </m:ctrlPr>
                  </m:e>
                  <m:sub>
                    <m:r>
                      <w:rPr>
                        <w:rFonts w:ascii="Cambria Math" w:hAnsi="Cambria Math"/>
                      </w:rPr>
                      <m:t>C</m:t>
                    </m:r>
                    <m:sSub>
                      <m:sSubPr>
                        <m:ctrlPr>
                          <w:rPr>
                            <w:rFonts w:ascii="Cambria Math" w:hAnsi="Cambria Math"/>
                            <w:i/>
                          </w:rPr>
                        </m:ctrlPr>
                      </m:sSubPr>
                      <m:e>
                        <m:r>
                          <w:rPr>
                            <w:rFonts w:ascii="Cambria Math" w:hAnsi="Cambria Math"/>
                          </w:rPr>
                          <m:t>O</m:t>
                        </m:r>
                      </m:e>
                      <m:sub>
                        <m:r>
                          <w:rPr>
                            <w:rFonts w:ascii="Cambria Math" w:hAnsi="Cambria Math"/>
                          </w:rPr>
                          <m:t>2</m:t>
                        </m:r>
                      </m:sub>
                    </m:sSub>
                  </m:sub>
                </m:sSub>
                <m:r>
                  <w:rPr>
                    <w:rFonts w:ascii="Cambria Math" w:hAnsi="Cambria Math"/>
                    <w:lang w:val="pt-BR"/>
                  </w:rPr>
                  <m:t>(%)=(</m:t>
                </m:r>
                <m:r>
                  <w:rPr>
                    <w:rFonts w:ascii="Cambria Math" w:hAnsi="Cambria Math"/>
                  </w:rPr>
                  <m:t>C</m:t>
                </m:r>
                <m:sSub>
                  <m:sSubPr>
                    <m:ctrlPr>
                      <w:rPr>
                        <w:rFonts w:ascii="Cambria Math" w:hAnsi="Cambria Math"/>
                        <w:i/>
                      </w:rPr>
                    </m:ctrlPr>
                  </m:sSubPr>
                  <m:e>
                    <m:r>
                      <w:rPr>
                        <w:rFonts w:ascii="Cambria Math" w:hAnsi="Cambria Math"/>
                      </w:rPr>
                      <m:t>O</m:t>
                    </m:r>
                  </m:e>
                  <m:sub>
                    <m:r>
                      <w:rPr>
                        <w:rFonts w:ascii="Cambria Math" w:hAnsi="Cambria Math"/>
                        <w:lang w:val="pt-BR"/>
                      </w:rPr>
                      <m:t>2,entra</m:t>
                    </m:r>
                  </m:sub>
                </m:sSub>
                <m:r>
                  <w:rPr>
                    <w:rFonts w:ascii="Cambria Math" w:hAnsi="Cambria Math"/>
                    <w:lang w:val="pt-BR"/>
                  </w:rPr>
                  <m:t>–</m:t>
                </m:r>
                <m:r>
                  <w:rPr>
                    <w:rFonts w:ascii="Cambria Math" w:hAnsi="Cambria Math"/>
                  </w:rPr>
                  <m:t>C</m:t>
                </m:r>
                <m:sSub>
                  <m:sSubPr>
                    <m:ctrlPr>
                      <w:rPr>
                        <w:rFonts w:ascii="Cambria Math" w:hAnsi="Cambria Math"/>
                        <w:i/>
                      </w:rPr>
                    </m:ctrlPr>
                  </m:sSubPr>
                  <m:e>
                    <m:r>
                      <w:rPr>
                        <w:rFonts w:ascii="Cambria Math" w:hAnsi="Cambria Math"/>
                      </w:rPr>
                      <m:t>O</m:t>
                    </m:r>
                  </m:e>
                  <m:sub>
                    <m:r>
                      <w:rPr>
                        <w:rFonts w:ascii="Cambria Math" w:hAnsi="Cambria Math"/>
                        <w:lang w:val="pt-BR"/>
                      </w:rPr>
                      <m:t>2,sai</m:t>
                    </m:r>
                  </m:sub>
                </m:sSub>
                <m:r>
                  <w:rPr>
                    <w:rFonts w:ascii="Cambria Math" w:hAnsi="Cambria Math"/>
                    <w:lang w:val="pt-BR"/>
                  </w:rPr>
                  <m:t>)/</m:t>
                </m:r>
                <m:r>
                  <w:rPr>
                    <w:rFonts w:ascii="Cambria Math" w:hAnsi="Cambria Math"/>
                  </w:rPr>
                  <m:t>C</m:t>
                </m:r>
                <m:sSub>
                  <m:sSubPr>
                    <m:ctrlPr>
                      <w:rPr>
                        <w:rFonts w:ascii="Cambria Math" w:hAnsi="Cambria Math"/>
                        <w:i/>
                      </w:rPr>
                    </m:ctrlPr>
                  </m:sSubPr>
                  <m:e>
                    <m:r>
                      <w:rPr>
                        <w:rFonts w:ascii="Cambria Math" w:hAnsi="Cambria Math"/>
                      </w:rPr>
                      <m:t>O</m:t>
                    </m:r>
                  </m:e>
                  <m:sub>
                    <m:r>
                      <w:rPr>
                        <w:rFonts w:ascii="Cambria Math" w:hAnsi="Cambria Math"/>
                        <w:lang w:val="pt-BR"/>
                      </w:rPr>
                      <m:t>2,entra</m:t>
                    </m:r>
                  </m:sub>
                </m:sSub>
                <m:r>
                  <w:rPr>
                    <w:rFonts w:ascii="Cambria Math" w:hAnsi="Cambria Math"/>
                    <w:lang w:val="pt-BR"/>
                  </w:rPr>
                  <m:t>∙100</m:t>
                </m:r>
              </m:oMath>
            </m:oMathPara>
          </w:p>
        </w:tc>
        <w:tc>
          <w:tcPr>
            <w:tcW w:w="510" w:type="dxa"/>
          </w:tcPr>
          <w:p w14:paraId="057EA63A" w14:textId="77777777" w:rsidR="006B7ECD" w:rsidRDefault="006B7ECD" w:rsidP="006F4DEF">
            <w:pPr>
              <w:pStyle w:val="TAMainText"/>
              <w:spacing w:line="240" w:lineRule="auto"/>
              <w:ind w:firstLine="0"/>
              <w:rPr>
                <w:lang w:val="pt-BR"/>
              </w:rPr>
            </w:pPr>
            <w:r>
              <w:rPr>
                <w:lang w:val="pt-BR"/>
              </w:rPr>
              <w:t>(2)</w:t>
            </w:r>
          </w:p>
        </w:tc>
      </w:tr>
      <w:tr w:rsidR="006B7ECD" w14:paraId="73D80B6E" w14:textId="77777777" w:rsidTr="008E452C">
        <w:trPr>
          <w:trHeight w:val="283"/>
        </w:trPr>
        <w:tc>
          <w:tcPr>
            <w:tcW w:w="4248" w:type="dxa"/>
          </w:tcPr>
          <w:p w14:paraId="4C91D5F1" w14:textId="77777777" w:rsidR="006B7ECD" w:rsidRPr="006E04CC" w:rsidRDefault="00000000" w:rsidP="006F4DEF">
            <w:pPr>
              <w:pStyle w:val="TAMainText"/>
              <w:spacing w:line="240" w:lineRule="auto"/>
              <w:ind w:firstLine="0"/>
              <w:rPr>
                <w:lang w:val="pt-BR"/>
              </w:rPr>
            </w:pPr>
            <m:oMathPara>
              <m:oMathParaPr>
                <m:jc m:val="left"/>
              </m:oMathParaPr>
              <m:oMath>
                <m:sSub>
                  <m:sSubPr>
                    <m:ctrlPr>
                      <w:rPr>
                        <w:rFonts w:ascii="Cambria Math" w:hAnsi="Cambria Math"/>
                        <w:i/>
                        <w:lang w:val="pt-BR"/>
                      </w:rPr>
                    </m:ctrlPr>
                  </m:sSubPr>
                  <m:e>
                    <m:r>
                      <w:rPr>
                        <w:rFonts w:ascii="Cambria Math" w:hAnsi="Cambria Math"/>
                      </w:rPr>
                      <m:t>R</m:t>
                    </m:r>
                    <m:ctrlPr>
                      <w:rPr>
                        <w:rFonts w:ascii="Cambria Math" w:hAnsi="Cambria Math"/>
                        <w:i/>
                      </w:rPr>
                    </m:ctrlPr>
                  </m:e>
                  <m:sub>
                    <m:sSub>
                      <m:sSubPr>
                        <m:ctrlPr>
                          <w:rPr>
                            <w:rFonts w:ascii="Cambria Math" w:hAnsi="Cambria Math"/>
                            <w:i/>
                          </w:rPr>
                        </m:ctrlPr>
                      </m:sSubPr>
                      <m:e>
                        <m:r>
                          <w:rPr>
                            <w:rFonts w:ascii="Cambria Math" w:hAnsi="Cambria Math"/>
                          </w:rPr>
                          <m:t>H</m:t>
                        </m:r>
                      </m:e>
                      <m:sub>
                        <m:r>
                          <w:rPr>
                            <w:rFonts w:ascii="Cambria Math" w:hAnsi="Cambria Math"/>
                          </w:rPr>
                          <m:t>2</m:t>
                        </m:r>
                      </m:sub>
                    </m:sSub>
                    <m:r>
                      <w:rPr>
                        <w:rFonts w:ascii="Cambria Math" w:hAnsi="Cambria Math"/>
                      </w:rPr>
                      <m:t>-CO</m:t>
                    </m:r>
                  </m:sub>
                </m:sSub>
                <m:r>
                  <w:rPr>
                    <w:rFonts w:ascii="Cambria Math" w:hAnsi="Cambria Math"/>
                    <w:lang w:val="pt-BR"/>
                  </w:rPr>
                  <m:t>=</m:t>
                </m:r>
                <m:sSub>
                  <m:sSubPr>
                    <m:ctrlPr>
                      <w:rPr>
                        <w:rFonts w:ascii="Cambria Math" w:hAnsi="Cambria Math"/>
                        <w:i/>
                      </w:rPr>
                    </m:ctrlPr>
                  </m:sSubPr>
                  <m:e>
                    <m:r>
                      <w:rPr>
                        <w:rFonts w:ascii="Cambria Math" w:hAnsi="Cambria Math"/>
                      </w:rPr>
                      <m:t>H</m:t>
                    </m:r>
                  </m:e>
                  <m:sub>
                    <m:r>
                      <w:rPr>
                        <w:rFonts w:ascii="Cambria Math" w:hAnsi="Cambria Math"/>
                        <w:lang w:val="pt-BR"/>
                      </w:rPr>
                      <m:t>2,sai</m:t>
                    </m:r>
                  </m:sub>
                </m:sSub>
                <m:r>
                  <w:rPr>
                    <w:rFonts w:ascii="Cambria Math" w:hAnsi="Cambria Math"/>
                    <w:lang w:val="pt-BR"/>
                  </w:rPr>
                  <m:t>/</m:t>
                </m:r>
                <m:r>
                  <w:rPr>
                    <w:rFonts w:ascii="Cambria Math" w:hAnsi="Cambria Math"/>
                  </w:rPr>
                  <m:t>C</m:t>
                </m:r>
                <m:sSub>
                  <m:sSubPr>
                    <m:ctrlPr>
                      <w:rPr>
                        <w:rFonts w:ascii="Cambria Math" w:hAnsi="Cambria Math"/>
                        <w:i/>
                      </w:rPr>
                    </m:ctrlPr>
                  </m:sSubPr>
                  <m:e>
                    <m:r>
                      <w:rPr>
                        <w:rFonts w:ascii="Cambria Math" w:hAnsi="Cambria Math"/>
                      </w:rPr>
                      <m:t>O</m:t>
                    </m:r>
                  </m:e>
                  <m:sub>
                    <m:r>
                      <w:rPr>
                        <w:rFonts w:ascii="Cambria Math" w:hAnsi="Cambria Math"/>
                        <w:lang w:val="pt-BR"/>
                      </w:rPr>
                      <m:t>sai</m:t>
                    </m:r>
                  </m:sub>
                </m:sSub>
                <m:r>
                  <w:rPr>
                    <w:rFonts w:ascii="Cambria Math" w:hAnsi="Cambria Math"/>
                    <w:lang w:val="pt-BR"/>
                  </w:rPr>
                  <m:t>∙100</m:t>
                </m:r>
              </m:oMath>
            </m:oMathPara>
          </w:p>
        </w:tc>
        <w:tc>
          <w:tcPr>
            <w:tcW w:w="510" w:type="dxa"/>
          </w:tcPr>
          <w:p w14:paraId="11C9553F" w14:textId="77777777" w:rsidR="006B7ECD" w:rsidRDefault="006B7ECD" w:rsidP="006F4DEF">
            <w:pPr>
              <w:pStyle w:val="TAMainText"/>
              <w:spacing w:line="240" w:lineRule="auto"/>
              <w:ind w:firstLine="0"/>
              <w:rPr>
                <w:lang w:val="pt-BR"/>
              </w:rPr>
            </w:pPr>
            <w:r>
              <w:rPr>
                <w:lang w:val="pt-BR"/>
              </w:rPr>
              <w:t>(3)</w:t>
            </w:r>
          </w:p>
        </w:tc>
      </w:tr>
      <w:tr w:rsidR="006B7ECD" w14:paraId="30653EB6" w14:textId="77777777" w:rsidTr="008E452C">
        <w:trPr>
          <w:trHeight w:val="283"/>
        </w:trPr>
        <w:tc>
          <w:tcPr>
            <w:tcW w:w="4248" w:type="dxa"/>
          </w:tcPr>
          <w:p w14:paraId="423B67FB" w14:textId="77777777" w:rsidR="006B7ECD" w:rsidRPr="006E04CC" w:rsidRDefault="00000000" w:rsidP="006F4DEF">
            <w:pPr>
              <w:pStyle w:val="TAMainText"/>
              <w:spacing w:line="240" w:lineRule="auto"/>
              <w:ind w:firstLine="0"/>
              <w:rPr>
                <w:rFonts w:ascii="Calibri" w:hAnsi="Calibri"/>
                <w:lang w:val="pt-BR"/>
              </w:rPr>
            </w:pPr>
            <m:oMathPara>
              <m:oMathParaPr>
                <m:jc m:val="left"/>
              </m:oMathParaPr>
              <m:oMath>
                <m:sSub>
                  <m:sSubPr>
                    <m:ctrlPr>
                      <w:rPr>
                        <w:rFonts w:ascii="Cambria Math" w:hAnsi="Cambria Math"/>
                        <w:i/>
                      </w:rPr>
                    </m:ctrlPr>
                  </m:sSubPr>
                  <m:e>
                    <m:r>
                      <w:rPr>
                        <w:rFonts w:ascii="Cambria Math" w:hAnsi="Cambria Math"/>
                      </w:rPr>
                      <m:t>Y</m:t>
                    </m:r>
                  </m:e>
                  <m:sub>
                    <m:sSub>
                      <m:sSubPr>
                        <m:ctrlPr>
                          <w:rPr>
                            <w:rFonts w:ascii="Cambria Math" w:hAnsi="Cambria Math"/>
                            <w:i/>
                            <w:lang w:val="pt-BR"/>
                          </w:rPr>
                        </m:ctrlPr>
                      </m:sSubPr>
                      <m:e>
                        <m:r>
                          <w:rPr>
                            <w:rFonts w:ascii="Cambria Math" w:hAnsi="Cambria Math"/>
                            <w:lang w:val="pt-BR"/>
                          </w:rPr>
                          <m:t>H</m:t>
                        </m:r>
                      </m:e>
                      <m:sub>
                        <m:r>
                          <w:rPr>
                            <w:rFonts w:ascii="Cambria Math" w:hAnsi="Cambria Math"/>
                            <w:lang w:val="pt-BR"/>
                          </w:rPr>
                          <m:t>2</m:t>
                        </m:r>
                      </m:sub>
                    </m:sSub>
                  </m:sub>
                </m:sSub>
                <m:r>
                  <w:rPr>
                    <w:rFonts w:ascii="Cambria Math" w:hAnsi="Cambria Math"/>
                    <w:lang w:val="pt-BR"/>
                  </w:rPr>
                  <m:t>(%)</m:t>
                </m:r>
                <m:r>
                  <w:rPr>
                    <w:rFonts w:ascii="Cambria Math" w:hAnsi="Cambria Math"/>
                  </w:rPr>
                  <m:t>=</m:t>
                </m:r>
                <m:sSub>
                  <m:sSubPr>
                    <m:ctrlPr>
                      <w:rPr>
                        <w:rFonts w:ascii="Cambria Math" w:hAnsi="Cambria Math"/>
                        <w:i/>
                      </w:rPr>
                    </m:ctrlPr>
                  </m:sSubPr>
                  <m:e>
                    <m:r>
                      <w:rPr>
                        <w:rFonts w:ascii="Cambria Math" w:hAnsi="Cambria Math"/>
                      </w:rPr>
                      <m:t>H</m:t>
                    </m:r>
                  </m:e>
                  <m:sub>
                    <m:r>
                      <w:rPr>
                        <w:rFonts w:ascii="Cambria Math" w:hAnsi="Cambria Math"/>
                      </w:rPr>
                      <m:t>2,sai</m:t>
                    </m:r>
                  </m:sub>
                </m:sSub>
                <m:r>
                  <w:rPr>
                    <w:rFonts w:ascii="Cambria Math" w:hAnsi="Cambria Math"/>
                  </w:rPr>
                  <m:t>/2∙C</m:t>
                </m:r>
                <m:sSub>
                  <m:sSubPr>
                    <m:ctrlPr>
                      <w:rPr>
                        <w:rFonts w:ascii="Cambria Math" w:hAnsi="Cambria Math"/>
                        <w:i/>
                      </w:rPr>
                    </m:ctrlPr>
                  </m:sSubPr>
                  <m:e>
                    <m:r>
                      <w:rPr>
                        <w:rFonts w:ascii="Cambria Math" w:hAnsi="Cambria Math"/>
                      </w:rPr>
                      <m:t>H</m:t>
                    </m:r>
                  </m:e>
                  <m:sub>
                    <m:r>
                      <w:rPr>
                        <w:rFonts w:ascii="Cambria Math" w:hAnsi="Cambria Math"/>
                      </w:rPr>
                      <m:t>4,in</m:t>
                    </m:r>
                  </m:sub>
                </m:sSub>
              </m:oMath>
            </m:oMathPara>
          </w:p>
        </w:tc>
        <w:tc>
          <w:tcPr>
            <w:tcW w:w="510" w:type="dxa"/>
          </w:tcPr>
          <w:p w14:paraId="7C10ED1C" w14:textId="77777777" w:rsidR="006B7ECD" w:rsidRDefault="006B7ECD" w:rsidP="006F4DEF">
            <w:pPr>
              <w:pStyle w:val="TAMainText"/>
              <w:spacing w:line="240" w:lineRule="auto"/>
              <w:ind w:firstLine="0"/>
              <w:rPr>
                <w:lang w:val="pt-BR"/>
              </w:rPr>
            </w:pPr>
            <w:r>
              <w:rPr>
                <w:lang w:val="pt-BR"/>
              </w:rPr>
              <w:t>(4)</w:t>
            </w:r>
          </w:p>
        </w:tc>
      </w:tr>
      <w:tr w:rsidR="00EE0EF3" w14:paraId="140C5EB4" w14:textId="77777777" w:rsidTr="008E452C">
        <w:trPr>
          <w:trHeight w:val="283"/>
        </w:trPr>
        <w:tc>
          <w:tcPr>
            <w:tcW w:w="4248" w:type="dxa"/>
          </w:tcPr>
          <w:p w14:paraId="40AF9FE6" w14:textId="52007A64" w:rsidR="00EE0EF3" w:rsidRDefault="00EE0EF3" w:rsidP="002D4AE4">
            <w:pPr>
              <w:pStyle w:val="Ttulo2"/>
            </w:pPr>
            <w:proofErr w:type="spellStart"/>
            <w:r w:rsidRPr="001F25B2">
              <w:rPr>
                <w:rFonts w:ascii="Helvetica" w:hAnsi="Helvetica" w:cs="Helvetica"/>
                <w:sz w:val="24"/>
                <w:szCs w:val="24"/>
              </w:rPr>
              <w:t>Resultados</w:t>
            </w:r>
            <w:proofErr w:type="spellEnd"/>
            <w:r w:rsidRPr="001F25B2">
              <w:rPr>
                <w:rFonts w:ascii="Helvetica" w:hAnsi="Helvetica" w:cs="Helvetica"/>
                <w:sz w:val="24"/>
                <w:szCs w:val="24"/>
              </w:rPr>
              <w:t xml:space="preserve"> e </w:t>
            </w:r>
            <w:proofErr w:type="spellStart"/>
            <w:r w:rsidRPr="001F25B2">
              <w:rPr>
                <w:rFonts w:ascii="Helvetica" w:hAnsi="Helvetica" w:cs="Helvetica"/>
                <w:sz w:val="24"/>
                <w:szCs w:val="24"/>
              </w:rPr>
              <w:t>Discuss</w:t>
            </w:r>
            <w:r>
              <w:rPr>
                <w:rFonts w:ascii="Helvetica" w:hAnsi="Helvetica" w:cs="Helvetica"/>
                <w:sz w:val="24"/>
                <w:szCs w:val="24"/>
              </w:rPr>
              <w:t>ões</w:t>
            </w:r>
            <w:proofErr w:type="spellEnd"/>
          </w:p>
        </w:tc>
        <w:tc>
          <w:tcPr>
            <w:tcW w:w="510" w:type="dxa"/>
          </w:tcPr>
          <w:p w14:paraId="2C9610B9" w14:textId="77777777" w:rsidR="00EE0EF3" w:rsidRDefault="00EE0EF3" w:rsidP="006F4DEF">
            <w:pPr>
              <w:pStyle w:val="TAMainText"/>
              <w:spacing w:line="240" w:lineRule="auto"/>
              <w:ind w:firstLine="0"/>
              <w:rPr>
                <w:lang w:val="pt-BR"/>
              </w:rPr>
            </w:pPr>
          </w:p>
        </w:tc>
      </w:tr>
    </w:tbl>
    <w:p w14:paraId="19A45B82" w14:textId="5BECAB65" w:rsidR="000A546F" w:rsidRPr="00390DC8" w:rsidRDefault="00011C73" w:rsidP="000A546F">
      <w:pPr>
        <w:pStyle w:val="TAMainText"/>
        <w:rPr>
          <w:lang w:val="pt-BR"/>
        </w:rPr>
      </w:pPr>
      <w:r w:rsidRPr="00390DC8">
        <w:rPr>
          <w:lang w:val="pt-BR"/>
        </w:rPr>
        <w:t xml:space="preserve">Os resultados dos testes catalíticos </w:t>
      </w:r>
      <w:r w:rsidR="00A223B8" w:rsidRPr="00390DC8">
        <w:rPr>
          <w:lang w:val="pt-BR"/>
        </w:rPr>
        <w:t xml:space="preserve">são expressos em função da </w:t>
      </w:r>
      <w:r w:rsidR="006E04CC" w:rsidRPr="00390DC8">
        <w:rPr>
          <w:lang w:val="pt-BR"/>
        </w:rPr>
        <w:t>temperatur</w:t>
      </w:r>
      <w:r w:rsidR="006E04CC">
        <w:rPr>
          <w:lang w:val="pt-BR"/>
        </w:rPr>
        <w:t>a</w:t>
      </w:r>
      <w:r w:rsidR="006E04CC" w:rsidRPr="00390DC8">
        <w:rPr>
          <w:lang w:val="pt-BR"/>
        </w:rPr>
        <w:t xml:space="preserve"> </w:t>
      </w:r>
      <w:r w:rsidR="00A223B8" w:rsidRPr="00390DC8">
        <w:rPr>
          <w:lang w:val="pt-BR"/>
        </w:rPr>
        <w:t xml:space="preserve">de 700ºC, que foi a temperatura utilizado em todos os testes catalíticos. </w:t>
      </w:r>
      <w:r w:rsidR="00591B5B" w:rsidRPr="00390DC8">
        <w:rPr>
          <w:lang w:val="pt-BR"/>
        </w:rPr>
        <w:t xml:space="preserve"> Os resultados foram expressos em função da conversão de CO</w:t>
      </w:r>
      <w:r w:rsidR="00591B5B" w:rsidRPr="00390DC8">
        <w:rPr>
          <w:vertAlign w:val="subscript"/>
          <w:lang w:val="pt-BR"/>
        </w:rPr>
        <w:t>2</w:t>
      </w:r>
      <w:r w:rsidR="006E04CC">
        <w:rPr>
          <w:lang w:val="pt-BR"/>
        </w:rPr>
        <w:t xml:space="preserve">, </w:t>
      </w:r>
      <w:r w:rsidR="00591B5B" w:rsidRPr="00390DC8">
        <w:rPr>
          <w:lang w:val="pt-BR"/>
        </w:rPr>
        <w:t>conversão de CH</w:t>
      </w:r>
      <w:r w:rsidR="00591B5B" w:rsidRPr="00390DC8">
        <w:rPr>
          <w:vertAlign w:val="subscript"/>
          <w:lang w:val="pt-BR"/>
        </w:rPr>
        <w:t>4</w:t>
      </w:r>
      <w:r w:rsidR="00591B5B" w:rsidRPr="00390DC8">
        <w:rPr>
          <w:lang w:val="pt-BR"/>
        </w:rPr>
        <w:t>, rendimento em H</w:t>
      </w:r>
      <w:r w:rsidR="00591B5B" w:rsidRPr="00390DC8">
        <w:rPr>
          <w:vertAlign w:val="subscript"/>
          <w:lang w:val="pt-BR"/>
        </w:rPr>
        <w:t>2</w:t>
      </w:r>
      <w:r w:rsidR="00591B5B" w:rsidRPr="00390DC8">
        <w:rPr>
          <w:lang w:val="pt-BR"/>
        </w:rPr>
        <w:t xml:space="preserve"> e razão H</w:t>
      </w:r>
      <w:r w:rsidR="00591B5B" w:rsidRPr="00390DC8">
        <w:rPr>
          <w:vertAlign w:val="subscript"/>
          <w:lang w:val="pt-BR"/>
        </w:rPr>
        <w:t>2</w:t>
      </w:r>
      <w:r w:rsidR="00591B5B" w:rsidRPr="00390DC8">
        <w:rPr>
          <w:lang w:val="pt-BR"/>
        </w:rPr>
        <w:t xml:space="preserve">/CO. A tabela 2, apresenta os resultados obtidos após 6 horas de teste </w:t>
      </w:r>
      <w:r w:rsidR="006E04CC">
        <w:rPr>
          <w:lang w:val="pt-BR"/>
        </w:rPr>
        <w:t>catalítico.</w:t>
      </w:r>
    </w:p>
    <w:p w14:paraId="4B4BBAAE" w14:textId="46FCDA42" w:rsidR="00EB4013" w:rsidRPr="00011C73" w:rsidRDefault="00011C73" w:rsidP="00011C73">
      <w:pPr>
        <w:pStyle w:val="TAMainText"/>
        <w:ind w:firstLine="0"/>
        <w:rPr>
          <w:rFonts w:ascii="Times New Roman" w:hAnsi="Times New Roman"/>
          <w:lang w:val="pt-BR"/>
        </w:rPr>
      </w:pPr>
      <w:r w:rsidRPr="00E038AF">
        <w:rPr>
          <w:rFonts w:ascii="Times New Roman" w:hAnsi="Times New Roman"/>
          <w:b/>
          <w:lang w:val="pt-BR"/>
        </w:rPr>
        <w:t xml:space="preserve">Tabela </w:t>
      </w:r>
      <w:r w:rsidR="00591B5B">
        <w:rPr>
          <w:rFonts w:ascii="Times New Roman" w:hAnsi="Times New Roman"/>
          <w:b/>
          <w:lang w:val="pt-BR"/>
        </w:rPr>
        <w:t>2</w:t>
      </w:r>
      <w:r w:rsidRPr="00E038AF">
        <w:rPr>
          <w:rFonts w:ascii="Times New Roman" w:hAnsi="Times New Roman"/>
          <w:b/>
          <w:lang w:val="pt-BR"/>
        </w:rPr>
        <w:t>.</w:t>
      </w:r>
      <w:r>
        <w:rPr>
          <w:rFonts w:ascii="Times New Roman" w:hAnsi="Times New Roman"/>
          <w:lang w:val="pt-BR"/>
        </w:rPr>
        <w:t xml:space="preserve"> Resultados obtidos </w:t>
      </w:r>
      <w:r w:rsidR="00591B5B">
        <w:rPr>
          <w:rFonts w:ascii="Times New Roman" w:hAnsi="Times New Roman"/>
          <w:lang w:val="pt-BR"/>
        </w:rPr>
        <w:t>após 6 horas de teste catalítico</w:t>
      </w:r>
    </w:p>
    <w:tbl>
      <w:tblPr>
        <w:tblStyle w:val="Tabelacomgrade"/>
        <w:tblW w:w="4791" w:type="dxa"/>
        <w:tblLayout w:type="fixed"/>
        <w:tblLook w:val="04A0" w:firstRow="1" w:lastRow="0" w:firstColumn="1" w:lastColumn="0" w:noHBand="0" w:noVBand="1"/>
      </w:tblPr>
      <w:tblGrid>
        <w:gridCol w:w="1843"/>
        <w:gridCol w:w="737"/>
        <w:gridCol w:w="737"/>
        <w:gridCol w:w="737"/>
        <w:gridCol w:w="737"/>
      </w:tblGrid>
      <w:tr w:rsidR="00E02FFC" w:rsidRPr="00B73ADA" w14:paraId="1B9565C8" w14:textId="77777777" w:rsidTr="008E452C">
        <w:trPr>
          <w:trHeight w:val="20"/>
        </w:trPr>
        <w:tc>
          <w:tcPr>
            <w:tcW w:w="1843" w:type="dxa"/>
          </w:tcPr>
          <w:p w14:paraId="6EE8CA7A" w14:textId="77777777" w:rsidR="00B50514" w:rsidRPr="0081096E" w:rsidRDefault="00B50514" w:rsidP="003A121E">
            <w:pPr>
              <w:pStyle w:val="Legenda"/>
              <w:jc w:val="center"/>
              <w:rPr>
                <w:rFonts w:ascii="Times New Roman" w:hAnsi="Times New Roman" w:cs="Times New Roman"/>
                <w:b w:val="0"/>
                <w:bCs w:val="0"/>
                <w:sz w:val="18"/>
                <w:szCs w:val="18"/>
              </w:rPr>
            </w:pPr>
            <w:r w:rsidRPr="0081096E">
              <w:rPr>
                <w:rFonts w:ascii="Times New Roman" w:hAnsi="Times New Roman" w:cs="Times New Roman"/>
                <w:b w:val="0"/>
                <w:bCs w:val="0"/>
                <w:sz w:val="18"/>
                <w:szCs w:val="18"/>
              </w:rPr>
              <w:t>Nome</w:t>
            </w:r>
          </w:p>
        </w:tc>
        <w:tc>
          <w:tcPr>
            <w:tcW w:w="737" w:type="dxa"/>
          </w:tcPr>
          <w:p w14:paraId="73AC9072" w14:textId="7836B4D8" w:rsidR="00B50514" w:rsidRPr="0081096E" w:rsidRDefault="00000000" w:rsidP="003A121E">
            <w:pPr>
              <w:pStyle w:val="Legenda"/>
              <w:jc w:val="center"/>
              <w:rPr>
                <w:rFonts w:ascii="Times New Roman" w:hAnsi="Times New Roman" w:cs="Times New Roman"/>
                <w:b w:val="0"/>
                <w:bCs w:val="0"/>
                <w:sz w:val="18"/>
                <w:szCs w:val="18"/>
              </w:rPr>
            </w:pPr>
            <m:oMathPara>
              <m:oMath>
                <m:sSub>
                  <m:sSubPr>
                    <m:ctrlPr>
                      <w:rPr>
                        <w:rFonts w:ascii="Cambria Math" w:hAnsi="Cambria Math"/>
                        <w:i/>
                        <w:lang w:val="pt-BR"/>
                      </w:rPr>
                    </m:ctrlPr>
                  </m:sSubPr>
                  <m:e>
                    <m:r>
                      <m:rPr>
                        <m:sty m:val="bi"/>
                      </m:rPr>
                      <w:rPr>
                        <w:rFonts w:ascii="Cambria Math" w:hAnsi="Cambria Math"/>
                      </w:rPr>
                      <m:t>X</m:t>
                    </m:r>
                    <m:ctrlPr>
                      <w:rPr>
                        <w:rFonts w:ascii="Cambria Math" w:hAnsi="Cambria Math"/>
                        <w:i/>
                      </w:rPr>
                    </m:ctrlPr>
                  </m:e>
                  <m:sub>
                    <m:r>
                      <m:rPr>
                        <m:sty m:val="bi"/>
                      </m:rPr>
                      <w:rPr>
                        <w:rFonts w:ascii="Cambria Math" w:hAnsi="Cambria Math"/>
                      </w:rPr>
                      <m:t>C</m:t>
                    </m:r>
                    <m:sSub>
                      <m:sSubPr>
                        <m:ctrlPr>
                          <w:rPr>
                            <w:rFonts w:ascii="Cambria Math" w:hAnsi="Cambria Math"/>
                            <w:i/>
                          </w:rPr>
                        </m:ctrlPr>
                      </m:sSubPr>
                      <m:e>
                        <m:r>
                          <m:rPr>
                            <m:sty m:val="bi"/>
                          </m:rPr>
                          <w:rPr>
                            <w:rFonts w:ascii="Cambria Math" w:hAnsi="Cambria Math"/>
                          </w:rPr>
                          <m:t>H</m:t>
                        </m:r>
                      </m:e>
                      <m:sub>
                        <m:r>
                          <m:rPr>
                            <m:sty m:val="bi"/>
                          </m:rPr>
                          <w:rPr>
                            <w:rFonts w:ascii="Cambria Math" w:hAnsi="Cambria Math"/>
                            <w:vertAlign w:val="subscript"/>
                            <w:lang w:val="pt-BR"/>
                          </w:rPr>
                          <m:t>4</m:t>
                        </m:r>
                      </m:sub>
                    </m:sSub>
                  </m:sub>
                </m:sSub>
                <m:r>
                  <m:rPr>
                    <m:sty m:val="bi"/>
                  </m:rPr>
                  <w:rPr>
                    <w:rFonts w:ascii="Cambria Math" w:hAnsi="Cambria Math"/>
                    <w:lang w:val="pt-BR"/>
                  </w:rPr>
                  <m:t>(%)</m:t>
                </m:r>
              </m:oMath>
            </m:oMathPara>
          </w:p>
        </w:tc>
        <w:tc>
          <w:tcPr>
            <w:tcW w:w="737" w:type="dxa"/>
          </w:tcPr>
          <w:p w14:paraId="3E2E556F" w14:textId="7AA4F337" w:rsidR="00B50514" w:rsidRPr="0081096E" w:rsidRDefault="00000000" w:rsidP="003A121E">
            <w:pPr>
              <w:pStyle w:val="Legenda"/>
              <w:jc w:val="center"/>
              <w:rPr>
                <w:rFonts w:ascii="Times New Roman" w:hAnsi="Times New Roman" w:cs="Times New Roman"/>
                <w:b w:val="0"/>
                <w:bCs w:val="0"/>
                <w:sz w:val="18"/>
                <w:szCs w:val="18"/>
              </w:rPr>
            </w:pPr>
            <m:oMathPara>
              <m:oMath>
                <m:sSub>
                  <m:sSubPr>
                    <m:ctrlPr>
                      <w:rPr>
                        <w:rFonts w:ascii="Cambria Math" w:hAnsi="Cambria Math"/>
                        <w:i/>
                        <w:lang w:val="pt-BR"/>
                      </w:rPr>
                    </m:ctrlPr>
                  </m:sSubPr>
                  <m:e>
                    <m:r>
                      <m:rPr>
                        <m:sty m:val="bi"/>
                      </m:rPr>
                      <w:rPr>
                        <w:rFonts w:ascii="Cambria Math" w:hAnsi="Cambria Math"/>
                      </w:rPr>
                      <m:t>X</m:t>
                    </m:r>
                    <m:ctrlPr>
                      <w:rPr>
                        <w:rFonts w:ascii="Cambria Math" w:hAnsi="Cambria Math"/>
                        <w:i/>
                      </w:rPr>
                    </m:ctrlPr>
                  </m:e>
                  <m:sub>
                    <m:r>
                      <m:rPr>
                        <m:sty m:val="bi"/>
                      </m:rPr>
                      <w:rPr>
                        <w:rFonts w:ascii="Cambria Math" w:hAnsi="Cambria Math"/>
                      </w:rPr>
                      <m:t>C</m:t>
                    </m:r>
                    <m:sSub>
                      <m:sSubPr>
                        <m:ctrlPr>
                          <w:rPr>
                            <w:rFonts w:ascii="Cambria Math" w:hAnsi="Cambria Math"/>
                            <w:i/>
                          </w:rPr>
                        </m:ctrlPr>
                      </m:sSubPr>
                      <m:e>
                        <m:r>
                          <m:rPr>
                            <m:sty m:val="bi"/>
                          </m:rPr>
                          <w:rPr>
                            <w:rFonts w:ascii="Cambria Math" w:hAnsi="Cambria Math"/>
                          </w:rPr>
                          <m:t>O</m:t>
                        </m:r>
                      </m:e>
                      <m:sub>
                        <m:r>
                          <m:rPr>
                            <m:sty m:val="bi"/>
                          </m:rPr>
                          <w:rPr>
                            <w:rFonts w:ascii="Cambria Math" w:hAnsi="Cambria Math"/>
                          </w:rPr>
                          <m:t>2</m:t>
                        </m:r>
                      </m:sub>
                    </m:sSub>
                  </m:sub>
                </m:sSub>
                <m:r>
                  <m:rPr>
                    <m:sty m:val="bi"/>
                  </m:rPr>
                  <w:rPr>
                    <w:rFonts w:ascii="Cambria Math" w:hAnsi="Cambria Math"/>
                    <w:lang w:val="pt-BR"/>
                  </w:rPr>
                  <m:t>(%)</m:t>
                </m:r>
              </m:oMath>
            </m:oMathPara>
          </w:p>
        </w:tc>
        <w:tc>
          <w:tcPr>
            <w:tcW w:w="737" w:type="dxa"/>
          </w:tcPr>
          <w:p w14:paraId="12904C15" w14:textId="0AAE99D2" w:rsidR="00084B89" w:rsidRPr="00084B89" w:rsidRDefault="00000000" w:rsidP="00084B89">
            <w:pPr>
              <w:pStyle w:val="Legenda"/>
              <w:jc w:val="center"/>
              <w:rPr>
                <w:rFonts w:ascii="Times New Roman" w:hAnsi="Times New Roman" w:cs="Times New Roman"/>
                <w:b w:val="0"/>
                <w:bCs w:val="0"/>
                <w:sz w:val="18"/>
                <w:szCs w:val="18"/>
              </w:rPr>
            </w:pPr>
            <m:oMathPara>
              <m:oMath>
                <m:sSub>
                  <m:sSubPr>
                    <m:ctrlPr>
                      <w:rPr>
                        <w:rFonts w:ascii="Cambria Math" w:hAnsi="Cambria Math"/>
                        <w:i/>
                      </w:rPr>
                    </m:ctrlPr>
                  </m:sSubPr>
                  <m:e>
                    <m:r>
                      <m:rPr>
                        <m:sty m:val="bi"/>
                      </m:rPr>
                      <w:rPr>
                        <w:rFonts w:ascii="Cambria Math" w:hAnsi="Cambria Math"/>
                      </w:rPr>
                      <m:t>Y</m:t>
                    </m:r>
                  </m:e>
                  <m:sub>
                    <m:sSub>
                      <m:sSubPr>
                        <m:ctrlPr>
                          <w:rPr>
                            <w:rFonts w:ascii="Cambria Math" w:hAnsi="Cambria Math"/>
                            <w:i/>
                            <w:lang w:val="pt-BR"/>
                          </w:rPr>
                        </m:ctrlPr>
                      </m:sSubPr>
                      <m:e>
                        <m:r>
                          <m:rPr>
                            <m:sty m:val="bi"/>
                          </m:rPr>
                          <w:rPr>
                            <w:rFonts w:ascii="Cambria Math" w:hAnsi="Cambria Math"/>
                            <w:lang w:val="pt-BR"/>
                          </w:rPr>
                          <m:t>H</m:t>
                        </m:r>
                      </m:e>
                      <m:sub>
                        <m:r>
                          <m:rPr>
                            <m:sty m:val="bi"/>
                          </m:rPr>
                          <w:rPr>
                            <w:rFonts w:ascii="Cambria Math" w:hAnsi="Cambria Math"/>
                            <w:lang w:val="pt-BR"/>
                          </w:rPr>
                          <m:t>2</m:t>
                        </m:r>
                      </m:sub>
                    </m:sSub>
                  </m:sub>
                </m:sSub>
                <m:r>
                  <m:rPr>
                    <m:sty m:val="bi"/>
                  </m:rPr>
                  <w:rPr>
                    <w:rFonts w:ascii="Cambria Math" w:hAnsi="Cambria Math"/>
                    <w:lang w:val="pt-BR"/>
                  </w:rPr>
                  <m:t>(%)</m:t>
                </m:r>
              </m:oMath>
            </m:oMathPara>
          </w:p>
        </w:tc>
        <w:tc>
          <w:tcPr>
            <w:tcW w:w="737" w:type="dxa"/>
          </w:tcPr>
          <w:p w14:paraId="44C3836A" w14:textId="1EB10133" w:rsidR="00B50514" w:rsidRPr="0081096E" w:rsidRDefault="00000000" w:rsidP="003A121E">
            <w:pPr>
              <w:pStyle w:val="Legenda"/>
              <w:jc w:val="center"/>
              <w:rPr>
                <w:rFonts w:ascii="Times New Roman" w:hAnsi="Times New Roman" w:cs="Times New Roman"/>
                <w:b w:val="0"/>
                <w:bCs w:val="0"/>
                <w:sz w:val="18"/>
                <w:szCs w:val="18"/>
              </w:rPr>
            </w:pPr>
            <m:oMathPara>
              <m:oMath>
                <m:sSub>
                  <m:sSubPr>
                    <m:ctrlPr>
                      <w:rPr>
                        <w:rFonts w:ascii="Cambria Math" w:hAnsi="Cambria Math"/>
                        <w:i/>
                        <w:lang w:val="pt-BR"/>
                      </w:rPr>
                    </m:ctrlPr>
                  </m:sSubPr>
                  <m:e>
                    <m:r>
                      <m:rPr>
                        <m:sty m:val="bi"/>
                      </m:rPr>
                      <w:rPr>
                        <w:rFonts w:ascii="Cambria Math" w:hAnsi="Cambria Math"/>
                      </w:rPr>
                      <m:t>R</m:t>
                    </m:r>
                    <m:ctrlPr>
                      <w:rPr>
                        <w:rFonts w:ascii="Cambria Math" w:hAnsi="Cambria Math"/>
                        <w:i/>
                      </w:rPr>
                    </m:ctrlPr>
                  </m:e>
                  <m:sub>
                    <m:sSub>
                      <m:sSubPr>
                        <m:ctrlPr>
                          <w:rPr>
                            <w:rFonts w:ascii="Cambria Math" w:hAnsi="Cambria Math"/>
                            <w:i/>
                          </w:rPr>
                        </m:ctrlPr>
                      </m:sSubPr>
                      <m:e>
                        <m:r>
                          <m:rPr>
                            <m:sty m:val="bi"/>
                          </m:rPr>
                          <w:rPr>
                            <w:rFonts w:ascii="Cambria Math" w:hAnsi="Cambria Math"/>
                          </w:rPr>
                          <m:t>H</m:t>
                        </m:r>
                      </m:e>
                      <m:sub>
                        <m:r>
                          <m:rPr>
                            <m:sty m:val="bi"/>
                          </m:rPr>
                          <w:rPr>
                            <w:rFonts w:ascii="Cambria Math" w:hAnsi="Cambria Math"/>
                          </w:rPr>
                          <m:t>2</m:t>
                        </m:r>
                      </m:sub>
                    </m:sSub>
                    <m:r>
                      <m:rPr>
                        <m:sty m:val="bi"/>
                      </m:rPr>
                      <w:rPr>
                        <w:rFonts w:ascii="Cambria Math" w:hAnsi="Cambria Math"/>
                      </w:rPr>
                      <m:t>-CO</m:t>
                    </m:r>
                  </m:sub>
                </m:sSub>
              </m:oMath>
            </m:oMathPara>
          </w:p>
        </w:tc>
      </w:tr>
      <w:tr w:rsidR="00E02FFC" w14:paraId="304E21EF" w14:textId="77777777" w:rsidTr="008E452C">
        <w:trPr>
          <w:trHeight w:val="20"/>
        </w:trPr>
        <w:tc>
          <w:tcPr>
            <w:tcW w:w="1843" w:type="dxa"/>
          </w:tcPr>
          <w:p w14:paraId="4D6E6F30" w14:textId="77777777" w:rsidR="00B50514" w:rsidRPr="0055185B" w:rsidRDefault="00B50514" w:rsidP="003A121E">
            <w:pPr>
              <w:pStyle w:val="Legenda"/>
              <w:jc w:val="center"/>
              <w:rPr>
                <w:rFonts w:ascii="Times New Roman" w:hAnsi="Times New Roman" w:cs="Times New Roman"/>
                <w:b w:val="0"/>
                <w:bCs w:val="0"/>
                <w:i/>
                <w:iCs/>
                <w:sz w:val="18"/>
                <w:szCs w:val="18"/>
                <w:vertAlign w:val="subscript"/>
              </w:rPr>
            </w:pPr>
            <w:r w:rsidRPr="0055185B">
              <w:rPr>
                <w:rFonts w:ascii="Times New Roman" w:hAnsi="Times New Roman" w:cs="Times New Roman"/>
                <w:b w:val="0"/>
                <w:bCs w:val="0"/>
                <w:sz w:val="18"/>
                <w:szCs w:val="18"/>
              </w:rPr>
              <w:t>NiO-Al</w:t>
            </w:r>
            <w:r w:rsidRPr="0055185B">
              <w:rPr>
                <w:rFonts w:ascii="Times New Roman" w:hAnsi="Times New Roman" w:cs="Times New Roman"/>
                <w:b w:val="0"/>
                <w:bCs w:val="0"/>
                <w:sz w:val="18"/>
                <w:szCs w:val="18"/>
                <w:vertAlign w:val="subscript"/>
              </w:rPr>
              <w:t>2</w:t>
            </w:r>
            <w:r w:rsidRPr="0055185B">
              <w:rPr>
                <w:rFonts w:ascii="Times New Roman" w:hAnsi="Times New Roman" w:cs="Times New Roman"/>
                <w:b w:val="0"/>
                <w:bCs w:val="0"/>
                <w:sz w:val="18"/>
                <w:szCs w:val="18"/>
              </w:rPr>
              <w:t>O</w:t>
            </w:r>
            <w:r w:rsidRPr="0055185B">
              <w:rPr>
                <w:rFonts w:ascii="Times New Roman" w:hAnsi="Times New Roman" w:cs="Times New Roman"/>
                <w:b w:val="0"/>
                <w:bCs w:val="0"/>
                <w:sz w:val="18"/>
                <w:szCs w:val="18"/>
                <w:vertAlign w:val="subscript"/>
              </w:rPr>
              <w:t>3</w:t>
            </w:r>
          </w:p>
        </w:tc>
        <w:tc>
          <w:tcPr>
            <w:tcW w:w="737" w:type="dxa"/>
          </w:tcPr>
          <w:p w14:paraId="20AC73DC" w14:textId="748AFB56" w:rsidR="00B50514" w:rsidRPr="006E04CC" w:rsidRDefault="00B50514" w:rsidP="003A121E">
            <w:pPr>
              <w:pStyle w:val="Legenda"/>
              <w:jc w:val="center"/>
              <w:rPr>
                <w:rFonts w:ascii="Times New Roman" w:hAnsi="Times New Roman" w:cs="Times New Roman"/>
                <w:b w:val="0"/>
                <w:bCs w:val="0"/>
                <w:sz w:val="18"/>
                <w:szCs w:val="18"/>
              </w:rPr>
            </w:pPr>
            <w:r w:rsidRPr="006E04CC">
              <w:rPr>
                <w:rFonts w:ascii="Times New Roman" w:hAnsi="Times New Roman" w:cs="Times New Roman"/>
                <w:b w:val="0"/>
                <w:bCs w:val="0"/>
                <w:sz w:val="18"/>
                <w:szCs w:val="18"/>
              </w:rPr>
              <w:t>88</w:t>
            </w:r>
          </w:p>
        </w:tc>
        <w:tc>
          <w:tcPr>
            <w:tcW w:w="737" w:type="dxa"/>
          </w:tcPr>
          <w:p w14:paraId="12E57639" w14:textId="7D0F2487" w:rsidR="00B50514" w:rsidRPr="008E452C" w:rsidRDefault="00B50514" w:rsidP="003A121E">
            <w:pPr>
              <w:pStyle w:val="Legenda"/>
              <w:jc w:val="center"/>
              <w:rPr>
                <w:rFonts w:ascii="Times New Roman" w:hAnsi="Times New Roman" w:cs="Times New Roman"/>
                <w:b w:val="0"/>
                <w:bCs w:val="0"/>
                <w:sz w:val="18"/>
                <w:szCs w:val="18"/>
              </w:rPr>
            </w:pPr>
            <w:r w:rsidRPr="008E452C">
              <w:rPr>
                <w:rFonts w:ascii="Times New Roman" w:hAnsi="Times New Roman" w:cs="Times New Roman"/>
                <w:b w:val="0"/>
                <w:bCs w:val="0"/>
                <w:sz w:val="18"/>
                <w:szCs w:val="18"/>
              </w:rPr>
              <w:t>6</w:t>
            </w:r>
            <w:r w:rsidR="00B25F40" w:rsidRPr="008E452C">
              <w:rPr>
                <w:rFonts w:ascii="Times New Roman" w:hAnsi="Times New Roman" w:cs="Times New Roman"/>
                <w:b w:val="0"/>
                <w:bCs w:val="0"/>
                <w:sz w:val="18"/>
                <w:szCs w:val="18"/>
              </w:rPr>
              <w:t>9</w:t>
            </w:r>
          </w:p>
        </w:tc>
        <w:tc>
          <w:tcPr>
            <w:tcW w:w="737" w:type="dxa"/>
          </w:tcPr>
          <w:p w14:paraId="07F51E22" w14:textId="3896AAD4" w:rsidR="00B50514" w:rsidRPr="008E452C" w:rsidRDefault="00B50514" w:rsidP="003A121E">
            <w:pPr>
              <w:pStyle w:val="Legenda"/>
              <w:jc w:val="center"/>
              <w:rPr>
                <w:rFonts w:ascii="Times New Roman" w:hAnsi="Times New Roman" w:cs="Times New Roman"/>
                <w:b w:val="0"/>
                <w:bCs w:val="0"/>
                <w:sz w:val="18"/>
                <w:szCs w:val="18"/>
              </w:rPr>
            </w:pPr>
            <w:r w:rsidRPr="008E452C">
              <w:rPr>
                <w:rFonts w:ascii="Times New Roman" w:hAnsi="Times New Roman" w:cs="Times New Roman"/>
                <w:b w:val="0"/>
                <w:bCs w:val="0"/>
                <w:sz w:val="18"/>
                <w:szCs w:val="18"/>
              </w:rPr>
              <w:t>4</w:t>
            </w:r>
            <w:r w:rsidR="00B25F40" w:rsidRPr="008E452C">
              <w:rPr>
                <w:rFonts w:ascii="Times New Roman" w:hAnsi="Times New Roman" w:cs="Times New Roman"/>
                <w:b w:val="0"/>
                <w:bCs w:val="0"/>
                <w:sz w:val="18"/>
                <w:szCs w:val="18"/>
              </w:rPr>
              <w:t>1</w:t>
            </w:r>
          </w:p>
        </w:tc>
        <w:tc>
          <w:tcPr>
            <w:tcW w:w="737" w:type="dxa"/>
          </w:tcPr>
          <w:p w14:paraId="6191C562" w14:textId="77777777" w:rsidR="00B50514" w:rsidRPr="006E04CC" w:rsidRDefault="00B50514" w:rsidP="003A121E">
            <w:pPr>
              <w:pStyle w:val="Legenda"/>
              <w:jc w:val="center"/>
              <w:rPr>
                <w:rFonts w:ascii="Times New Roman" w:hAnsi="Times New Roman" w:cs="Times New Roman"/>
                <w:b w:val="0"/>
                <w:bCs w:val="0"/>
                <w:sz w:val="18"/>
                <w:szCs w:val="18"/>
              </w:rPr>
            </w:pPr>
            <w:r w:rsidRPr="006E04CC">
              <w:rPr>
                <w:rFonts w:ascii="Times New Roman" w:hAnsi="Times New Roman" w:cs="Times New Roman"/>
                <w:b w:val="0"/>
                <w:bCs w:val="0"/>
                <w:sz w:val="18"/>
                <w:szCs w:val="18"/>
              </w:rPr>
              <w:t>0,98</w:t>
            </w:r>
          </w:p>
        </w:tc>
      </w:tr>
      <w:tr w:rsidR="00E02FFC" w14:paraId="35BF7CBA" w14:textId="77777777" w:rsidTr="008E452C">
        <w:trPr>
          <w:trHeight w:val="20"/>
        </w:trPr>
        <w:tc>
          <w:tcPr>
            <w:tcW w:w="1843" w:type="dxa"/>
          </w:tcPr>
          <w:p w14:paraId="4078A5CA" w14:textId="77777777" w:rsidR="00B50514" w:rsidRPr="0055185B" w:rsidRDefault="00B50514" w:rsidP="003A121E">
            <w:pPr>
              <w:pStyle w:val="Legenda"/>
              <w:jc w:val="center"/>
              <w:rPr>
                <w:rFonts w:ascii="Times New Roman" w:hAnsi="Times New Roman" w:cs="Times New Roman"/>
                <w:b w:val="0"/>
                <w:bCs w:val="0"/>
                <w:i/>
                <w:iCs/>
                <w:sz w:val="18"/>
                <w:szCs w:val="18"/>
              </w:rPr>
            </w:pPr>
            <w:r>
              <w:rPr>
                <w:rFonts w:ascii="Times New Roman" w:hAnsi="Times New Roman" w:cs="Times New Roman"/>
                <w:b w:val="0"/>
                <w:bCs w:val="0"/>
                <w:sz w:val="18"/>
                <w:szCs w:val="18"/>
              </w:rPr>
              <w:t>Na</w:t>
            </w:r>
            <w:r w:rsidRPr="0055185B">
              <w:rPr>
                <w:rFonts w:ascii="Times New Roman" w:hAnsi="Times New Roman" w:cs="Times New Roman"/>
                <w:b w:val="0"/>
                <w:bCs w:val="0"/>
                <w:sz w:val="18"/>
                <w:szCs w:val="18"/>
              </w:rPr>
              <w:t>-NiO-Al</w:t>
            </w:r>
            <w:r w:rsidRPr="0055185B">
              <w:rPr>
                <w:rFonts w:ascii="Times New Roman" w:hAnsi="Times New Roman" w:cs="Times New Roman"/>
                <w:b w:val="0"/>
                <w:bCs w:val="0"/>
                <w:sz w:val="18"/>
                <w:szCs w:val="18"/>
                <w:vertAlign w:val="subscript"/>
              </w:rPr>
              <w:t>2</w:t>
            </w:r>
            <w:r w:rsidRPr="0055185B">
              <w:rPr>
                <w:rFonts w:ascii="Times New Roman" w:hAnsi="Times New Roman" w:cs="Times New Roman"/>
                <w:b w:val="0"/>
                <w:bCs w:val="0"/>
                <w:sz w:val="18"/>
                <w:szCs w:val="18"/>
              </w:rPr>
              <w:t>O</w:t>
            </w:r>
            <w:r w:rsidRPr="0055185B">
              <w:rPr>
                <w:rFonts w:ascii="Times New Roman" w:hAnsi="Times New Roman" w:cs="Times New Roman"/>
                <w:b w:val="0"/>
                <w:bCs w:val="0"/>
                <w:sz w:val="18"/>
                <w:szCs w:val="18"/>
                <w:vertAlign w:val="subscript"/>
              </w:rPr>
              <w:t>3</w:t>
            </w:r>
          </w:p>
        </w:tc>
        <w:tc>
          <w:tcPr>
            <w:tcW w:w="737" w:type="dxa"/>
          </w:tcPr>
          <w:p w14:paraId="6F7D19A9" w14:textId="629183A8" w:rsidR="00B50514" w:rsidRPr="008E452C" w:rsidRDefault="00B50514" w:rsidP="003A121E">
            <w:pPr>
              <w:pStyle w:val="Legenda"/>
              <w:jc w:val="center"/>
              <w:rPr>
                <w:rFonts w:ascii="Times New Roman" w:hAnsi="Times New Roman" w:cs="Times New Roman"/>
                <w:b w:val="0"/>
                <w:bCs w:val="0"/>
                <w:sz w:val="18"/>
                <w:szCs w:val="18"/>
              </w:rPr>
            </w:pPr>
            <w:r w:rsidRPr="008E452C">
              <w:rPr>
                <w:rFonts w:ascii="Times New Roman" w:hAnsi="Times New Roman" w:cs="Times New Roman"/>
                <w:b w:val="0"/>
                <w:bCs w:val="0"/>
                <w:sz w:val="18"/>
                <w:szCs w:val="18"/>
              </w:rPr>
              <w:t>79</w:t>
            </w:r>
          </w:p>
        </w:tc>
        <w:tc>
          <w:tcPr>
            <w:tcW w:w="737" w:type="dxa"/>
          </w:tcPr>
          <w:p w14:paraId="2D4E5C16" w14:textId="4061D3D1" w:rsidR="00B50514" w:rsidRPr="006E04CC" w:rsidRDefault="00B50514" w:rsidP="003A121E">
            <w:pPr>
              <w:pStyle w:val="Legenda"/>
              <w:jc w:val="center"/>
              <w:rPr>
                <w:rFonts w:ascii="Times New Roman" w:hAnsi="Times New Roman" w:cs="Times New Roman"/>
                <w:b w:val="0"/>
                <w:bCs w:val="0"/>
                <w:sz w:val="18"/>
                <w:szCs w:val="18"/>
              </w:rPr>
            </w:pPr>
            <w:r w:rsidRPr="006E04CC">
              <w:rPr>
                <w:rFonts w:ascii="Times New Roman" w:hAnsi="Times New Roman" w:cs="Times New Roman"/>
                <w:b w:val="0"/>
                <w:bCs w:val="0"/>
                <w:sz w:val="18"/>
                <w:szCs w:val="18"/>
              </w:rPr>
              <w:t>58</w:t>
            </w:r>
          </w:p>
        </w:tc>
        <w:tc>
          <w:tcPr>
            <w:tcW w:w="737" w:type="dxa"/>
          </w:tcPr>
          <w:p w14:paraId="322F7CDA" w14:textId="6923FB09" w:rsidR="00B50514" w:rsidRPr="006E04CC" w:rsidRDefault="00B50514" w:rsidP="003A121E">
            <w:pPr>
              <w:pStyle w:val="Legenda"/>
              <w:jc w:val="center"/>
              <w:rPr>
                <w:rFonts w:ascii="Times New Roman" w:hAnsi="Times New Roman" w:cs="Times New Roman"/>
                <w:b w:val="0"/>
                <w:bCs w:val="0"/>
                <w:sz w:val="18"/>
                <w:szCs w:val="18"/>
              </w:rPr>
            </w:pPr>
            <w:r w:rsidRPr="006E04CC">
              <w:rPr>
                <w:rFonts w:ascii="Times New Roman" w:hAnsi="Times New Roman" w:cs="Times New Roman"/>
                <w:b w:val="0"/>
                <w:bCs w:val="0"/>
                <w:sz w:val="18"/>
                <w:szCs w:val="18"/>
              </w:rPr>
              <w:t>37</w:t>
            </w:r>
          </w:p>
        </w:tc>
        <w:tc>
          <w:tcPr>
            <w:tcW w:w="737" w:type="dxa"/>
          </w:tcPr>
          <w:p w14:paraId="62D58E43" w14:textId="77777777" w:rsidR="00B50514" w:rsidRPr="006E04CC" w:rsidRDefault="00B50514" w:rsidP="003A121E">
            <w:pPr>
              <w:pStyle w:val="Legenda"/>
              <w:jc w:val="center"/>
              <w:rPr>
                <w:rFonts w:ascii="Times New Roman" w:hAnsi="Times New Roman" w:cs="Times New Roman"/>
                <w:b w:val="0"/>
                <w:bCs w:val="0"/>
                <w:sz w:val="18"/>
                <w:szCs w:val="18"/>
              </w:rPr>
            </w:pPr>
            <w:r w:rsidRPr="006E04CC">
              <w:rPr>
                <w:rFonts w:ascii="Times New Roman" w:hAnsi="Times New Roman" w:cs="Times New Roman"/>
                <w:b w:val="0"/>
                <w:bCs w:val="0"/>
                <w:sz w:val="18"/>
                <w:szCs w:val="18"/>
              </w:rPr>
              <w:t>1,15</w:t>
            </w:r>
          </w:p>
        </w:tc>
      </w:tr>
      <w:tr w:rsidR="00E02FFC" w14:paraId="7972DBFC" w14:textId="77777777" w:rsidTr="008E452C">
        <w:trPr>
          <w:trHeight w:val="20"/>
        </w:trPr>
        <w:tc>
          <w:tcPr>
            <w:tcW w:w="1843" w:type="dxa"/>
          </w:tcPr>
          <w:p w14:paraId="0E20C3FD" w14:textId="77777777" w:rsidR="00B50514" w:rsidRPr="0055185B" w:rsidRDefault="00B50514" w:rsidP="003A121E">
            <w:pPr>
              <w:pStyle w:val="Legenda"/>
              <w:jc w:val="center"/>
              <w:rPr>
                <w:rFonts w:ascii="Times New Roman" w:hAnsi="Times New Roman" w:cs="Times New Roman"/>
                <w:b w:val="0"/>
                <w:bCs w:val="0"/>
                <w:i/>
                <w:iCs/>
                <w:sz w:val="18"/>
                <w:szCs w:val="18"/>
              </w:rPr>
            </w:pPr>
            <w:r>
              <w:rPr>
                <w:rFonts w:ascii="Times New Roman" w:hAnsi="Times New Roman" w:cs="Times New Roman"/>
                <w:b w:val="0"/>
                <w:bCs w:val="0"/>
                <w:sz w:val="18"/>
                <w:szCs w:val="18"/>
              </w:rPr>
              <w:t>K</w:t>
            </w:r>
            <w:r w:rsidRPr="0055185B">
              <w:rPr>
                <w:rFonts w:ascii="Times New Roman" w:hAnsi="Times New Roman" w:cs="Times New Roman"/>
                <w:b w:val="0"/>
                <w:bCs w:val="0"/>
                <w:sz w:val="18"/>
                <w:szCs w:val="18"/>
              </w:rPr>
              <w:t>-NiO-Al</w:t>
            </w:r>
            <w:r w:rsidRPr="0055185B">
              <w:rPr>
                <w:rFonts w:ascii="Times New Roman" w:hAnsi="Times New Roman" w:cs="Times New Roman"/>
                <w:b w:val="0"/>
                <w:bCs w:val="0"/>
                <w:sz w:val="18"/>
                <w:szCs w:val="18"/>
                <w:vertAlign w:val="subscript"/>
              </w:rPr>
              <w:t>2</w:t>
            </w:r>
            <w:r w:rsidRPr="0055185B">
              <w:rPr>
                <w:rFonts w:ascii="Times New Roman" w:hAnsi="Times New Roman" w:cs="Times New Roman"/>
                <w:b w:val="0"/>
                <w:bCs w:val="0"/>
                <w:sz w:val="18"/>
                <w:szCs w:val="18"/>
              </w:rPr>
              <w:t>O</w:t>
            </w:r>
            <w:r w:rsidRPr="0055185B">
              <w:rPr>
                <w:rFonts w:ascii="Times New Roman" w:hAnsi="Times New Roman" w:cs="Times New Roman"/>
                <w:b w:val="0"/>
                <w:bCs w:val="0"/>
                <w:sz w:val="18"/>
                <w:szCs w:val="18"/>
                <w:vertAlign w:val="subscript"/>
              </w:rPr>
              <w:t>3</w:t>
            </w:r>
          </w:p>
        </w:tc>
        <w:tc>
          <w:tcPr>
            <w:tcW w:w="737" w:type="dxa"/>
          </w:tcPr>
          <w:p w14:paraId="1A0B8147" w14:textId="08B2D710" w:rsidR="00B50514" w:rsidRPr="008E452C" w:rsidRDefault="00B50514" w:rsidP="003A121E">
            <w:pPr>
              <w:pStyle w:val="Legenda"/>
              <w:jc w:val="center"/>
              <w:rPr>
                <w:rFonts w:ascii="Times New Roman" w:hAnsi="Times New Roman" w:cs="Times New Roman"/>
                <w:b w:val="0"/>
                <w:bCs w:val="0"/>
                <w:sz w:val="18"/>
                <w:szCs w:val="18"/>
              </w:rPr>
            </w:pPr>
            <w:r w:rsidRPr="008E452C">
              <w:rPr>
                <w:rFonts w:ascii="Times New Roman" w:hAnsi="Times New Roman" w:cs="Times New Roman"/>
                <w:b w:val="0"/>
                <w:bCs w:val="0"/>
                <w:sz w:val="18"/>
                <w:szCs w:val="18"/>
              </w:rPr>
              <w:t>8</w:t>
            </w:r>
            <w:r w:rsidR="00B25F40" w:rsidRPr="008E452C">
              <w:rPr>
                <w:rFonts w:ascii="Times New Roman" w:hAnsi="Times New Roman" w:cs="Times New Roman"/>
                <w:b w:val="0"/>
                <w:bCs w:val="0"/>
                <w:sz w:val="18"/>
                <w:szCs w:val="18"/>
              </w:rPr>
              <w:t>5</w:t>
            </w:r>
          </w:p>
        </w:tc>
        <w:tc>
          <w:tcPr>
            <w:tcW w:w="737" w:type="dxa"/>
          </w:tcPr>
          <w:p w14:paraId="466B3564" w14:textId="4BEFB368" w:rsidR="00B50514" w:rsidRPr="006E04CC" w:rsidRDefault="00B50514" w:rsidP="003A121E">
            <w:pPr>
              <w:pStyle w:val="Legenda"/>
              <w:jc w:val="center"/>
              <w:rPr>
                <w:rFonts w:ascii="Times New Roman" w:hAnsi="Times New Roman" w:cs="Times New Roman"/>
                <w:b w:val="0"/>
                <w:bCs w:val="0"/>
                <w:sz w:val="18"/>
                <w:szCs w:val="18"/>
              </w:rPr>
            </w:pPr>
            <w:r w:rsidRPr="006E04CC">
              <w:rPr>
                <w:rFonts w:ascii="Times New Roman" w:hAnsi="Times New Roman" w:cs="Times New Roman"/>
                <w:b w:val="0"/>
                <w:bCs w:val="0"/>
                <w:sz w:val="18"/>
                <w:szCs w:val="18"/>
              </w:rPr>
              <w:t>64</w:t>
            </w:r>
          </w:p>
        </w:tc>
        <w:tc>
          <w:tcPr>
            <w:tcW w:w="737" w:type="dxa"/>
          </w:tcPr>
          <w:p w14:paraId="19EC2ACD" w14:textId="04A85A20" w:rsidR="00B50514" w:rsidRPr="006E04CC" w:rsidRDefault="00B25F40" w:rsidP="003A121E">
            <w:pPr>
              <w:pStyle w:val="Legenda"/>
              <w:jc w:val="center"/>
              <w:rPr>
                <w:rFonts w:ascii="Times New Roman" w:hAnsi="Times New Roman" w:cs="Times New Roman"/>
                <w:b w:val="0"/>
                <w:bCs w:val="0"/>
                <w:sz w:val="18"/>
                <w:szCs w:val="18"/>
              </w:rPr>
            </w:pPr>
            <w:r w:rsidRPr="006E04CC">
              <w:rPr>
                <w:rFonts w:ascii="Times New Roman" w:hAnsi="Times New Roman" w:cs="Times New Roman"/>
                <w:b w:val="0"/>
                <w:bCs w:val="0"/>
                <w:sz w:val="18"/>
                <w:szCs w:val="18"/>
              </w:rPr>
              <w:t>40</w:t>
            </w:r>
          </w:p>
        </w:tc>
        <w:tc>
          <w:tcPr>
            <w:tcW w:w="737" w:type="dxa"/>
          </w:tcPr>
          <w:p w14:paraId="1432BC6A" w14:textId="77777777" w:rsidR="00B50514" w:rsidRPr="006E04CC" w:rsidRDefault="00B50514" w:rsidP="003A121E">
            <w:pPr>
              <w:pStyle w:val="Legenda"/>
              <w:jc w:val="center"/>
              <w:rPr>
                <w:rFonts w:ascii="Times New Roman" w:hAnsi="Times New Roman" w:cs="Times New Roman"/>
                <w:b w:val="0"/>
                <w:bCs w:val="0"/>
                <w:sz w:val="18"/>
                <w:szCs w:val="18"/>
              </w:rPr>
            </w:pPr>
            <w:r w:rsidRPr="006E04CC">
              <w:rPr>
                <w:rFonts w:ascii="Times New Roman" w:hAnsi="Times New Roman" w:cs="Times New Roman"/>
                <w:b w:val="0"/>
                <w:bCs w:val="0"/>
                <w:sz w:val="18"/>
                <w:szCs w:val="18"/>
              </w:rPr>
              <w:t>1,08</w:t>
            </w:r>
          </w:p>
        </w:tc>
      </w:tr>
      <w:tr w:rsidR="00E02FFC" w14:paraId="2E5987BD" w14:textId="77777777" w:rsidTr="008E452C">
        <w:trPr>
          <w:trHeight w:val="20"/>
        </w:trPr>
        <w:tc>
          <w:tcPr>
            <w:tcW w:w="1843" w:type="dxa"/>
          </w:tcPr>
          <w:p w14:paraId="466E5C91" w14:textId="77777777" w:rsidR="00B50514" w:rsidRPr="0055185B" w:rsidRDefault="00B50514" w:rsidP="003A121E">
            <w:pPr>
              <w:pStyle w:val="Legenda"/>
              <w:jc w:val="center"/>
              <w:rPr>
                <w:rFonts w:ascii="Times New Roman" w:hAnsi="Times New Roman" w:cs="Times New Roman"/>
                <w:b w:val="0"/>
                <w:bCs w:val="0"/>
                <w:i/>
                <w:iCs/>
                <w:sz w:val="18"/>
                <w:szCs w:val="18"/>
              </w:rPr>
            </w:pPr>
            <w:r>
              <w:rPr>
                <w:rFonts w:ascii="Times New Roman" w:hAnsi="Times New Roman" w:cs="Times New Roman"/>
                <w:b w:val="0"/>
                <w:bCs w:val="0"/>
                <w:sz w:val="18"/>
                <w:szCs w:val="18"/>
              </w:rPr>
              <w:t>Ca</w:t>
            </w:r>
            <w:r w:rsidRPr="0055185B">
              <w:rPr>
                <w:rFonts w:ascii="Times New Roman" w:hAnsi="Times New Roman" w:cs="Times New Roman"/>
                <w:b w:val="0"/>
                <w:bCs w:val="0"/>
                <w:sz w:val="18"/>
                <w:szCs w:val="18"/>
              </w:rPr>
              <w:t>-NiO-Al</w:t>
            </w:r>
            <w:r w:rsidRPr="0055185B">
              <w:rPr>
                <w:rFonts w:ascii="Times New Roman" w:hAnsi="Times New Roman" w:cs="Times New Roman"/>
                <w:b w:val="0"/>
                <w:bCs w:val="0"/>
                <w:sz w:val="18"/>
                <w:szCs w:val="18"/>
                <w:vertAlign w:val="subscript"/>
              </w:rPr>
              <w:t>2</w:t>
            </w:r>
            <w:r w:rsidRPr="0055185B">
              <w:rPr>
                <w:rFonts w:ascii="Times New Roman" w:hAnsi="Times New Roman" w:cs="Times New Roman"/>
                <w:b w:val="0"/>
                <w:bCs w:val="0"/>
                <w:sz w:val="18"/>
                <w:szCs w:val="18"/>
              </w:rPr>
              <w:t>O</w:t>
            </w:r>
            <w:r w:rsidRPr="0055185B">
              <w:rPr>
                <w:rFonts w:ascii="Times New Roman" w:hAnsi="Times New Roman" w:cs="Times New Roman"/>
                <w:b w:val="0"/>
                <w:bCs w:val="0"/>
                <w:sz w:val="18"/>
                <w:szCs w:val="18"/>
                <w:vertAlign w:val="subscript"/>
              </w:rPr>
              <w:t>3</w:t>
            </w:r>
          </w:p>
        </w:tc>
        <w:tc>
          <w:tcPr>
            <w:tcW w:w="737" w:type="dxa"/>
          </w:tcPr>
          <w:p w14:paraId="12E1F0A2" w14:textId="144EC56C" w:rsidR="00B50514" w:rsidRPr="008E452C" w:rsidRDefault="00B50514" w:rsidP="003A121E">
            <w:pPr>
              <w:pStyle w:val="Legenda"/>
              <w:jc w:val="center"/>
              <w:rPr>
                <w:rFonts w:ascii="Times New Roman" w:hAnsi="Times New Roman" w:cs="Times New Roman"/>
                <w:b w:val="0"/>
                <w:bCs w:val="0"/>
                <w:sz w:val="18"/>
                <w:szCs w:val="18"/>
              </w:rPr>
            </w:pPr>
            <w:r w:rsidRPr="008E452C">
              <w:rPr>
                <w:rFonts w:ascii="Times New Roman" w:hAnsi="Times New Roman" w:cs="Times New Roman"/>
                <w:b w:val="0"/>
                <w:bCs w:val="0"/>
                <w:sz w:val="18"/>
                <w:szCs w:val="18"/>
              </w:rPr>
              <w:t>9</w:t>
            </w:r>
            <w:r w:rsidR="00B25F40" w:rsidRPr="008E452C">
              <w:rPr>
                <w:rFonts w:ascii="Times New Roman" w:hAnsi="Times New Roman" w:cs="Times New Roman"/>
                <w:b w:val="0"/>
                <w:bCs w:val="0"/>
                <w:sz w:val="18"/>
                <w:szCs w:val="18"/>
              </w:rPr>
              <w:t>4</w:t>
            </w:r>
          </w:p>
        </w:tc>
        <w:tc>
          <w:tcPr>
            <w:tcW w:w="737" w:type="dxa"/>
          </w:tcPr>
          <w:p w14:paraId="00D9350C" w14:textId="217567C8" w:rsidR="00B50514" w:rsidRPr="006E04CC" w:rsidRDefault="00B50514" w:rsidP="003A121E">
            <w:pPr>
              <w:pStyle w:val="Legenda"/>
              <w:jc w:val="center"/>
              <w:rPr>
                <w:rFonts w:ascii="Times New Roman" w:hAnsi="Times New Roman" w:cs="Times New Roman"/>
                <w:b w:val="0"/>
                <w:bCs w:val="0"/>
                <w:sz w:val="18"/>
                <w:szCs w:val="18"/>
              </w:rPr>
            </w:pPr>
            <w:r w:rsidRPr="006E04CC">
              <w:rPr>
                <w:rFonts w:ascii="Times New Roman" w:hAnsi="Times New Roman" w:cs="Times New Roman"/>
                <w:b w:val="0"/>
                <w:bCs w:val="0"/>
                <w:sz w:val="18"/>
                <w:szCs w:val="18"/>
              </w:rPr>
              <w:t>7</w:t>
            </w:r>
            <w:r w:rsidR="00B25F40" w:rsidRPr="006E04CC">
              <w:rPr>
                <w:rFonts w:ascii="Times New Roman" w:hAnsi="Times New Roman" w:cs="Times New Roman"/>
                <w:b w:val="0"/>
                <w:bCs w:val="0"/>
                <w:sz w:val="18"/>
                <w:szCs w:val="18"/>
              </w:rPr>
              <w:t>5</w:t>
            </w:r>
          </w:p>
        </w:tc>
        <w:tc>
          <w:tcPr>
            <w:tcW w:w="737" w:type="dxa"/>
          </w:tcPr>
          <w:p w14:paraId="27D4B7B2" w14:textId="2CCAA380" w:rsidR="00B50514" w:rsidRPr="006E04CC" w:rsidRDefault="00B50514" w:rsidP="003A121E">
            <w:pPr>
              <w:pStyle w:val="Legenda"/>
              <w:jc w:val="center"/>
              <w:rPr>
                <w:rFonts w:ascii="Times New Roman" w:hAnsi="Times New Roman" w:cs="Times New Roman"/>
                <w:b w:val="0"/>
                <w:bCs w:val="0"/>
                <w:sz w:val="18"/>
                <w:szCs w:val="18"/>
              </w:rPr>
            </w:pPr>
            <w:r w:rsidRPr="006E04CC">
              <w:rPr>
                <w:rFonts w:ascii="Times New Roman" w:hAnsi="Times New Roman" w:cs="Times New Roman"/>
                <w:b w:val="0"/>
                <w:bCs w:val="0"/>
                <w:sz w:val="18"/>
                <w:szCs w:val="18"/>
              </w:rPr>
              <w:t>45</w:t>
            </w:r>
          </w:p>
        </w:tc>
        <w:tc>
          <w:tcPr>
            <w:tcW w:w="737" w:type="dxa"/>
          </w:tcPr>
          <w:p w14:paraId="2697F332" w14:textId="77777777" w:rsidR="00B50514" w:rsidRPr="006E04CC" w:rsidRDefault="00B50514" w:rsidP="003A121E">
            <w:pPr>
              <w:pStyle w:val="Legenda"/>
              <w:jc w:val="center"/>
              <w:rPr>
                <w:rFonts w:ascii="Times New Roman" w:hAnsi="Times New Roman" w:cs="Times New Roman"/>
                <w:b w:val="0"/>
                <w:bCs w:val="0"/>
                <w:sz w:val="18"/>
                <w:szCs w:val="18"/>
              </w:rPr>
            </w:pPr>
            <w:r w:rsidRPr="006E04CC">
              <w:rPr>
                <w:rFonts w:ascii="Times New Roman" w:hAnsi="Times New Roman" w:cs="Times New Roman"/>
                <w:b w:val="0"/>
                <w:bCs w:val="0"/>
                <w:sz w:val="18"/>
                <w:szCs w:val="18"/>
              </w:rPr>
              <w:t>1,01</w:t>
            </w:r>
          </w:p>
        </w:tc>
      </w:tr>
      <w:tr w:rsidR="00E02FFC" w14:paraId="644477A2" w14:textId="77777777" w:rsidTr="008E452C">
        <w:trPr>
          <w:trHeight w:val="20"/>
        </w:trPr>
        <w:tc>
          <w:tcPr>
            <w:tcW w:w="1843" w:type="dxa"/>
          </w:tcPr>
          <w:p w14:paraId="3BB93331" w14:textId="77777777" w:rsidR="00B50514" w:rsidRPr="0055185B" w:rsidRDefault="00B50514" w:rsidP="003A121E">
            <w:pPr>
              <w:pStyle w:val="Legenda"/>
              <w:jc w:val="center"/>
              <w:rPr>
                <w:rFonts w:ascii="Times New Roman" w:hAnsi="Times New Roman" w:cs="Times New Roman"/>
                <w:b w:val="0"/>
                <w:bCs w:val="0"/>
                <w:sz w:val="18"/>
                <w:szCs w:val="18"/>
              </w:rPr>
            </w:pPr>
            <w:r>
              <w:rPr>
                <w:rFonts w:ascii="Times New Roman" w:hAnsi="Times New Roman" w:cs="Times New Roman"/>
                <w:b w:val="0"/>
                <w:bCs w:val="0"/>
                <w:sz w:val="18"/>
                <w:szCs w:val="18"/>
              </w:rPr>
              <w:t>Mg</w:t>
            </w:r>
            <w:r w:rsidRPr="0055185B">
              <w:rPr>
                <w:rFonts w:ascii="Times New Roman" w:hAnsi="Times New Roman" w:cs="Times New Roman"/>
                <w:b w:val="0"/>
                <w:bCs w:val="0"/>
                <w:sz w:val="18"/>
                <w:szCs w:val="18"/>
              </w:rPr>
              <w:t>-NiO-Al</w:t>
            </w:r>
            <w:r w:rsidRPr="0055185B">
              <w:rPr>
                <w:rFonts w:ascii="Times New Roman" w:hAnsi="Times New Roman" w:cs="Times New Roman"/>
                <w:b w:val="0"/>
                <w:bCs w:val="0"/>
                <w:sz w:val="18"/>
                <w:szCs w:val="18"/>
                <w:vertAlign w:val="subscript"/>
              </w:rPr>
              <w:t>2</w:t>
            </w:r>
            <w:r w:rsidRPr="0055185B">
              <w:rPr>
                <w:rFonts w:ascii="Times New Roman" w:hAnsi="Times New Roman" w:cs="Times New Roman"/>
                <w:b w:val="0"/>
                <w:bCs w:val="0"/>
                <w:sz w:val="18"/>
                <w:szCs w:val="18"/>
              </w:rPr>
              <w:t>O</w:t>
            </w:r>
            <w:r w:rsidRPr="0055185B">
              <w:rPr>
                <w:rFonts w:ascii="Times New Roman" w:hAnsi="Times New Roman" w:cs="Times New Roman"/>
                <w:b w:val="0"/>
                <w:bCs w:val="0"/>
                <w:sz w:val="18"/>
                <w:szCs w:val="18"/>
                <w:vertAlign w:val="subscript"/>
              </w:rPr>
              <w:t>3</w:t>
            </w:r>
          </w:p>
        </w:tc>
        <w:tc>
          <w:tcPr>
            <w:tcW w:w="737" w:type="dxa"/>
          </w:tcPr>
          <w:p w14:paraId="4AEDB29C" w14:textId="464D212F" w:rsidR="00B50514" w:rsidRPr="008E452C" w:rsidRDefault="00B50514" w:rsidP="003A121E">
            <w:pPr>
              <w:pStyle w:val="Legenda"/>
              <w:jc w:val="center"/>
              <w:rPr>
                <w:rFonts w:ascii="Times New Roman" w:hAnsi="Times New Roman" w:cs="Times New Roman"/>
                <w:b w:val="0"/>
                <w:bCs w:val="0"/>
                <w:sz w:val="18"/>
                <w:szCs w:val="18"/>
              </w:rPr>
            </w:pPr>
            <w:r w:rsidRPr="008E452C">
              <w:rPr>
                <w:rFonts w:ascii="Times New Roman" w:hAnsi="Times New Roman" w:cs="Times New Roman"/>
                <w:b w:val="0"/>
                <w:bCs w:val="0"/>
                <w:sz w:val="18"/>
                <w:szCs w:val="18"/>
              </w:rPr>
              <w:t>8</w:t>
            </w:r>
            <w:r w:rsidR="00B25F40" w:rsidRPr="008E452C">
              <w:rPr>
                <w:rFonts w:ascii="Times New Roman" w:hAnsi="Times New Roman" w:cs="Times New Roman"/>
                <w:b w:val="0"/>
                <w:bCs w:val="0"/>
                <w:sz w:val="18"/>
                <w:szCs w:val="18"/>
              </w:rPr>
              <w:t>8</w:t>
            </w:r>
          </w:p>
        </w:tc>
        <w:tc>
          <w:tcPr>
            <w:tcW w:w="737" w:type="dxa"/>
          </w:tcPr>
          <w:p w14:paraId="1BE9D7B3" w14:textId="1CD04607" w:rsidR="00B50514" w:rsidRPr="006E04CC" w:rsidRDefault="00B50514" w:rsidP="003A121E">
            <w:pPr>
              <w:pStyle w:val="Legenda"/>
              <w:jc w:val="center"/>
              <w:rPr>
                <w:rFonts w:ascii="Times New Roman" w:hAnsi="Times New Roman" w:cs="Times New Roman"/>
                <w:b w:val="0"/>
                <w:bCs w:val="0"/>
                <w:sz w:val="18"/>
                <w:szCs w:val="18"/>
              </w:rPr>
            </w:pPr>
            <w:r w:rsidRPr="006E04CC">
              <w:rPr>
                <w:rFonts w:ascii="Times New Roman" w:hAnsi="Times New Roman" w:cs="Times New Roman"/>
                <w:b w:val="0"/>
                <w:bCs w:val="0"/>
                <w:sz w:val="18"/>
                <w:szCs w:val="18"/>
              </w:rPr>
              <w:t>69</w:t>
            </w:r>
          </w:p>
        </w:tc>
        <w:tc>
          <w:tcPr>
            <w:tcW w:w="737" w:type="dxa"/>
          </w:tcPr>
          <w:p w14:paraId="7504BD60" w14:textId="0D008A28" w:rsidR="00B50514" w:rsidRPr="006E04CC" w:rsidRDefault="00B50514" w:rsidP="003A121E">
            <w:pPr>
              <w:pStyle w:val="Legenda"/>
              <w:jc w:val="center"/>
              <w:rPr>
                <w:rFonts w:ascii="Times New Roman" w:hAnsi="Times New Roman" w:cs="Times New Roman"/>
                <w:b w:val="0"/>
                <w:bCs w:val="0"/>
                <w:sz w:val="18"/>
                <w:szCs w:val="18"/>
              </w:rPr>
            </w:pPr>
            <w:r w:rsidRPr="006E04CC">
              <w:rPr>
                <w:rFonts w:ascii="Times New Roman" w:hAnsi="Times New Roman" w:cs="Times New Roman"/>
                <w:b w:val="0"/>
                <w:bCs w:val="0"/>
                <w:sz w:val="18"/>
                <w:szCs w:val="18"/>
              </w:rPr>
              <w:t>42</w:t>
            </w:r>
          </w:p>
        </w:tc>
        <w:tc>
          <w:tcPr>
            <w:tcW w:w="737" w:type="dxa"/>
          </w:tcPr>
          <w:p w14:paraId="51E1F36D" w14:textId="77777777" w:rsidR="00B50514" w:rsidRPr="006E04CC" w:rsidRDefault="00B50514" w:rsidP="003A121E">
            <w:pPr>
              <w:pStyle w:val="Legenda"/>
              <w:jc w:val="center"/>
              <w:rPr>
                <w:rFonts w:ascii="Times New Roman" w:hAnsi="Times New Roman" w:cs="Times New Roman"/>
                <w:b w:val="0"/>
                <w:bCs w:val="0"/>
                <w:sz w:val="18"/>
                <w:szCs w:val="18"/>
              </w:rPr>
            </w:pPr>
            <w:r w:rsidRPr="006E04CC">
              <w:rPr>
                <w:rFonts w:ascii="Times New Roman" w:hAnsi="Times New Roman" w:cs="Times New Roman"/>
                <w:b w:val="0"/>
                <w:bCs w:val="0"/>
                <w:sz w:val="18"/>
                <w:szCs w:val="18"/>
              </w:rPr>
              <w:t>1,04</w:t>
            </w:r>
          </w:p>
        </w:tc>
      </w:tr>
      <w:tr w:rsidR="00E02FFC" w14:paraId="410CD674" w14:textId="77777777" w:rsidTr="008E452C">
        <w:trPr>
          <w:trHeight w:val="20"/>
        </w:trPr>
        <w:tc>
          <w:tcPr>
            <w:tcW w:w="1843" w:type="dxa"/>
          </w:tcPr>
          <w:p w14:paraId="34B914AA" w14:textId="6E773A81" w:rsidR="00257A6C" w:rsidRDefault="00257A6C" w:rsidP="003A121E">
            <w:pPr>
              <w:pStyle w:val="Legenda"/>
              <w:jc w:val="center"/>
              <w:rPr>
                <w:rFonts w:ascii="Times New Roman" w:hAnsi="Times New Roman" w:cs="Times New Roman"/>
                <w:b w:val="0"/>
                <w:bCs w:val="0"/>
                <w:sz w:val="18"/>
                <w:szCs w:val="18"/>
              </w:rPr>
            </w:pPr>
            <w:proofErr w:type="spellStart"/>
            <w:r>
              <w:rPr>
                <w:rFonts w:ascii="Times New Roman" w:hAnsi="Times New Roman" w:cs="Times New Roman"/>
                <w:b w:val="0"/>
                <w:bCs w:val="0"/>
                <w:sz w:val="18"/>
                <w:szCs w:val="18"/>
              </w:rPr>
              <w:t>Catalisador</w:t>
            </w:r>
            <w:proofErr w:type="spellEnd"/>
            <w:r>
              <w:rPr>
                <w:rFonts w:ascii="Times New Roman" w:hAnsi="Times New Roman" w:cs="Times New Roman"/>
                <w:b w:val="0"/>
                <w:bCs w:val="0"/>
                <w:sz w:val="18"/>
                <w:szCs w:val="18"/>
              </w:rPr>
              <w:t xml:space="preserve"> Industrial</w:t>
            </w:r>
          </w:p>
        </w:tc>
        <w:tc>
          <w:tcPr>
            <w:tcW w:w="737" w:type="dxa"/>
          </w:tcPr>
          <w:p w14:paraId="3B5A97F9" w14:textId="7A79AEA8" w:rsidR="00257A6C" w:rsidRPr="008E452C" w:rsidRDefault="00B25F40" w:rsidP="003A121E">
            <w:pPr>
              <w:pStyle w:val="Legenda"/>
              <w:jc w:val="center"/>
              <w:rPr>
                <w:rFonts w:ascii="Times New Roman" w:hAnsi="Times New Roman" w:cs="Times New Roman"/>
                <w:b w:val="0"/>
                <w:bCs w:val="0"/>
                <w:sz w:val="18"/>
                <w:szCs w:val="18"/>
              </w:rPr>
            </w:pPr>
            <w:r w:rsidRPr="008E452C">
              <w:rPr>
                <w:rFonts w:ascii="Times New Roman" w:hAnsi="Times New Roman" w:cs="Times New Roman"/>
                <w:b w:val="0"/>
                <w:bCs w:val="0"/>
                <w:sz w:val="18"/>
                <w:szCs w:val="18"/>
              </w:rPr>
              <w:t>70</w:t>
            </w:r>
          </w:p>
        </w:tc>
        <w:tc>
          <w:tcPr>
            <w:tcW w:w="737" w:type="dxa"/>
          </w:tcPr>
          <w:p w14:paraId="1D84F99C" w14:textId="02EC5A06" w:rsidR="00257A6C" w:rsidRPr="006E04CC" w:rsidRDefault="00257A6C" w:rsidP="003A121E">
            <w:pPr>
              <w:pStyle w:val="Legenda"/>
              <w:jc w:val="center"/>
              <w:rPr>
                <w:rFonts w:ascii="Times New Roman" w:hAnsi="Times New Roman" w:cs="Times New Roman"/>
                <w:b w:val="0"/>
                <w:bCs w:val="0"/>
                <w:sz w:val="18"/>
                <w:szCs w:val="18"/>
              </w:rPr>
            </w:pPr>
            <w:r w:rsidRPr="006E04CC">
              <w:rPr>
                <w:rFonts w:ascii="Times New Roman" w:hAnsi="Times New Roman" w:cs="Times New Roman"/>
                <w:b w:val="0"/>
                <w:bCs w:val="0"/>
                <w:sz w:val="18"/>
                <w:szCs w:val="18"/>
              </w:rPr>
              <w:t>49</w:t>
            </w:r>
          </w:p>
        </w:tc>
        <w:tc>
          <w:tcPr>
            <w:tcW w:w="737" w:type="dxa"/>
          </w:tcPr>
          <w:p w14:paraId="11689A76" w14:textId="77DF823E" w:rsidR="00257A6C" w:rsidRPr="006E04CC" w:rsidRDefault="00257A6C" w:rsidP="003A121E">
            <w:pPr>
              <w:pStyle w:val="Legenda"/>
              <w:jc w:val="center"/>
              <w:rPr>
                <w:rFonts w:ascii="Times New Roman" w:hAnsi="Times New Roman" w:cs="Times New Roman"/>
                <w:b w:val="0"/>
                <w:bCs w:val="0"/>
                <w:sz w:val="18"/>
                <w:szCs w:val="18"/>
              </w:rPr>
            </w:pPr>
            <w:r w:rsidRPr="006E04CC">
              <w:rPr>
                <w:rFonts w:ascii="Times New Roman" w:hAnsi="Times New Roman" w:cs="Times New Roman"/>
                <w:b w:val="0"/>
                <w:bCs w:val="0"/>
                <w:sz w:val="18"/>
                <w:szCs w:val="18"/>
              </w:rPr>
              <w:t>26</w:t>
            </w:r>
          </w:p>
        </w:tc>
        <w:tc>
          <w:tcPr>
            <w:tcW w:w="737" w:type="dxa"/>
          </w:tcPr>
          <w:p w14:paraId="74FA4A99" w14:textId="37A72FF9" w:rsidR="00257A6C" w:rsidRPr="006E04CC" w:rsidRDefault="00257A6C" w:rsidP="003A121E">
            <w:pPr>
              <w:pStyle w:val="Legenda"/>
              <w:jc w:val="center"/>
              <w:rPr>
                <w:rFonts w:ascii="Times New Roman" w:hAnsi="Times New Roman" w:cs="Times New Roman"/>
                <w:b w:val="0"/>
                <w:bCs w:val="0"/>
                <w:sz w:val="18"/>
                <w:szCs w:val="18"/>
              </w:rPr>
            </w:pPr>
            <w:r w:rsidRPr="006E04CC">
              <w:rPr>
                <w:rFonts w:ascii="Times New Roman" w:hAnsi="Times New Roman" w:cs="Times New Roman"/>
                <w:b w:val="0"/>
                <w:bCs w:val="0"/>
                <w:sz w:val="18"/>
                <w:szCs w:val="18"/>
              </w:rPr>
              <w:t>0,82</w:t>
            </w:r>
          </w:p>
        </w:tc>
      </w:tr>
    </w:tbl>
    <w:p w14:paraId="1A4771AE" w14:textId="169F9AEB" w:rsidR="00633655" w:rsidRPr="00390DC8" w:rsidRDefault="00F41921" w:rsidP="00F41921">
      <w:pPr>
        <w:pStyle w:val="TAMainText"/>
        <w:ind w:firstLine="0"/>
        <w:rPr>
          <w:lang w:val="pt-BR"/>
        </w:rPr>
      </w:pPr>
      <w:r w:rsidRPr="00390DC8">
        <w:rPr>
          <w:lang w:val="pt-BR"/>
        </w:rPr>
        <w:t xml:space="preserve">   </w:t>
      </w:r>
      <w:r w:rsidR="00633655" w:rsidRPr="00390DC8">
        <w:rPr>
          <w:lang w:val="pt-BR"/>
        </w:rPr>
        <w:t>O catalisador industrial</w:t>
      </w:r>
      <w:r w:rsidR="008E452C">
        <w:rPr>
          <w:lang w:val="pt-BR"/>
        </w:rPr>
        <w:t xml:space="preserve"> de reforma</w:t>
      </w:r>
      <w:r w:rsidR="00633655" w:rsidRPr="00390DC8">
        <w:rPr>
          <w:lang w:val="pt-BR"/>
        </w:rPr>
        <w:t xml:space="preserve"> reportado foi escolhido como critério de comparação. Observa-se que os materiais aqui produzidos possuem maiores valores de conversão de CO</w:t>
      </w:r>
      <w:r w:rsidR="00633655" w:rsidRPr="00390DC8">
        <w:rPr>
          <w:vertAlign w:val="subscript"/>
          <w:lang w:val="pt-BR"/>
        </w:rPr>
        <w:t>2</w:t>
      </w:r>
      <w:r w:rsidR="00633655" w:rsidRPr="00390DC8">
        <w:rPr>
          <w:lang w:val="pt-BR"/>
        </w:rPr>
        <w:t xml:space="preserve"> e CH</w:t>
      </w:r>
      <w:r w:rsidR="00633655" w:rsidRPr="00390DC8">
        <w:rPr>
          <w:vertAlign w:val="subscript"/>
          <w:lang w:val="pt-BR"/>
        </w:rPr>
        <w:t>4</w:t>
      </w:r>
      <w:r w:rsidR="00633655" w:rsidRPr="00390DC8">
        <w:rPr>
          <w:lang w:val="pt-BR"/>
        </w:rPr>
        <w:t xml:space="preserve"> que o catalisador industrial, o que mostra que são materiais promissores para o aproveitamento destes dois gases potencialmente estufa para geração de hidrogênio sustentável. Além disso, o rendimento em hidrogênio dos materia</w:t>
      </w:r>
      <w:r w:rsidR="00E02FFC">
        <w:rPr>
          <w:lang w:val="pt-BR"/>
        </w:rPr>
        <w:t>i</w:t>
      </w:r>
      <w:r w:rsidR="00633655" w:rsidRPr="00390DC8">
        <w:rPr>
          <w:lang w:val="pt-BR"/>
        </w:rPr>
        <w:t xml:space="preserve">s produzidos é mais de 10% superior em todos os catalisadores quando comparados ao catalisador industrial, o que mostra que esses materiais podem ser aplicados </w:t>
      </w:r>
      <w:r w:rsidR="00E02FFC">
        <w:rPr>
          <w:lang w:val="pt-BR"/>
        </w:rPr>
        <w:t xml:space="preserve">para </w:t>
      </w:r>
      <w:r w:rsidR="00633655" w:rsidRPr="00390DC8">
        <w:rPr>
          <w:lang w:val="pt-BR"/>
        </w:rPr>
        <w:t>produção de hidrogênio.</w:t>
      </w:r>
    </w:p>
    <w:p w14:paraId="5AEF5CA6" w14:textId="18C56F1F" w:rsidR="00084B89" w:rsidRPr="00390DC8" w:rsidRDefault="00633655" w:rsidP="0020342E">
      <w:pPr>
        <w:pStyle w:val="TAMainText"/>
        <w:ind w:firstLine="0"/>
        <w:rPr>
          <w:rFonts w:ascii="Times New Roman" w:hAnsi="Times New Roman"/>
          <w:sz w:val="18"/>
          <w:szCs w:val="18"/>
          <w:lang w:val="pt-BR"/>
        </w:rPr>
      </w:pPr>
      <w:r w:rsidRPr="00390DC8">
        <w:rPr>
          <w:lang w:val="pt-BR"/>
        </w:rPr>
        <w:t xml:space="preserve">   Um outro parâmetro catalítico importante é a razão H</w:t>
      </w:r>
      <w:r w:rsidRPr="00390DC8">
        <w:rPr>
          <w:vertAlign w:val="subscript"/>
          <w:lang w:val="pt-BR"/>
        </w:rPr>
        <w:t>2</w:t>
      </w:r>
      <w:r w:rsidRPr="00390DC8">
        <w:rPr>
          <w:lang w:val="pt-BR"/>
        </w:rPr>
        <w:t xml:space="preserve">/CO. Os materiais aqui </w:t>
      </w:r>
      <w:r w:rsidR="00E02FFC">
        <w:rPr>
          <w:lang w:val="pt-BR"/>
        </w:rPr>
        <w:t xml:space="preserve">sintetizados </w:t>
      </w:r>
      <w:r w:rsidRPr="00390DC8">
        <w:rPr>
          <w:lang w:val="pt-BR"/>
        </w:rPr>
        <w:t>apresentam valores da razão H</w:t>
      </w:r>
      <w:r w:rsidRPr="00390DC8">
        <w:rPr>
          <w:vertAlign w:val="subscript"/>
          <w:lang w:val="pt-BR"/>
        </w:rPr>
        <w:t>2</w:t>
      </w:r>
      <w:r w:rsidRPr="00390DC8">
        <w:rPr>
          <w:lang w:val="pt-BR"/>
        </w:rPr>
        <w:t xml:space="preserve">/CO maiores que o catalisador industrial, o que mostra que esses materiais estão produzindo um gás de síntese de maior qualidade, visto que a quantidade de hidrogênio produzida é maior que a do monóxido de carbono. Além disso, essa </w:t>
      </w:r>
      <w:r w:rsidR="00E02FFC">
        <w:rPr>
          <w:lang w:val="pt-BR"/>
        </w:rPr>
        <w:t xml:space="preserve">melhor </w:t>
      </w:r>
      <w:r w:rsidRPr="00390DC8">
        <w:rPr>
          <w:lang w:val="pt-BR"/>
        </w:rPr>
        <w:t xml:space="preserve">qualidade </w:t>
      </w:r>
      <w:r w:rsidR="00E02FFC">
        <w:rPr>
          <w:lang w:val="pt-BR"/>
        </w:rPr>
        <w:t>d</w:t>
      </w:r>
      <w:r w:rsidR="00E02FFC" w:rsidRPr="00390DC8">
        <w:rPr>
          <w:lang w:val="pt-BR"/>
        </w:rPr>
        <w:t xml:space="preserve">o </w:t>
      </w:r>
      <w:r w:rsidRPr="00390DC8">
        <w:rPr>
          <w:lang w:val="pt-BR"/>
        </w:rPr>
        <w:t xml:space="preserve">gás de síntese sugere que posteriormente esse gás de síntese pode ser utilizado para produção de produtos de alto valor agregado, tais como </w:t>
      </w:r>
      <w:r w:rsidR="006E72AC" w:rsidRPr="00390DC8">
        <w:rPr>
          <w:lang w:val="pt-BR"/>
        </w:rPr>
        <w:t xml:space="preserve">amônia, metanol, entre </w:t>
      </w:r>
      <w:proofErr w:type="gramStart"/>
      <w:r w:rsidR="006E72AC" w:rsidRPr="00390DC8">
        <w:rPr>
          <w:lang w:val="pt-BR"/>
        </w:rPr>
        <w:t>outros(</w:t>
      </w:r>
      <w:proofErr w:type="gramEnd"/>
      <w:r w:rsidR="006E72AC" w:rsidRPr="00390DC8">
        <w:rPr>
          <w:lang w:val="pt-BR"/>
        </w:rPr>
        <w:t xml:space="preserve">3)(4). </w:t>
      </w:r>
      <w:r w:rsidR="00084B89" w:rsidRPr="00390DC8">
        <w:rPr>
          <w:rFonts w:ascii="Times New Roman" w:hAnsi="Times New Roman"/>
          <w:sz w:val="18"/>
          <w:szCs w:val="18"/>
          <w:lang w:val="pt-BR"/>
        </w:rPr>
        <w:t xml:space="preserve"> </w:t>
      </w:r>
      <w:r w:rsidR="009A2D45" w:rsidRPr="00390DC8">
        <w:rPr>
          <w:rFonts w:ascii="Times New Roman" w:hAnsi="Times New Roman"/>
          <w:sz w:val="18"/>
          <w:szCs w:val="18"/>
          <w:lang w:val="pt-BR"/>
        </w:rPr>
        <w:t xml:space="preserve">  </w:t>
      </w:r>
    </w:p>
    <w:p w14:paraId="7D110573" w14:textId="0D7CC0CE" w:rsidR="009A2D45" w:rsidRPr="008E452C" w:rsidRDefault="009A2D45" w:rsidP="0020342E">
      <w:pPr>
        <w:pStyle w:val="TAMainText"/>
        <w:ind w:firstLine="0"/>
        <w:rPr>
          <w:rFonts w:ascii="Times New Roman" w:hAnsi="Times New Roman"/>
          <w:lang w:val="pt-BR"/>
        </w:rPr>
      </w:pPr>
      <w:r w:rsidRPr="008E452C">
        <w:rPr>
          <w:rFonts w:ascii="Times New Roman" w:hAnsi="Times New Roman"/>
          <w:lang w:val="pt-BR"/>
        </w:rPr>
        <w:t xml:space="preserve">   Ao compar</w:t>
      </w:r>
      <w:r w:rsidR="00CD271E" w:rsidRPr="008E452C">
        <w:rPr>
          <w:rFonts w:ascii="Times New Roman" w:hAnsi="Times New Roman"/>
          <w:lang w:val="pt-BR"/>
        </w:rPr>
        <w:t>a</w:t>
      </w:r>
      <w:r w:rsidRPr="008E452C">
        <w:rPr>
          <w:rFonts w:ascii="Times New Roman" w:hAnsi="Times New Roman"/>
          <w:lang w:val="pt-BR"/>
        </w:rPr>
        <w:t>r os materiais sintetizados com a literatura, observa-se que 3 dos parâmetros catalíticos são maiores que aqueles encontrados na literatura, enquanto apenas a razão H</w:t>
      </w:r>
      <w:r w:rsidRPr="008E452C">
        <w:rPr>
          <w:rFonts w:ascii="Times New Roman" w:hAnsi="Times New Roman"/>
          <w:vertAlign w:val="subscript"/>
          <w:lang w:val="pt-BR"/>
        </w:rPr>
        <w:t>2</w:t>
      </w:r>
      <w:r w:rsidRPr="008E452C">
        <w:rPr>
          <w:rFonts w:ascii="Times New Roman" w:hAnsi="Times New Roman"/>
          <w:lang w:val="pt-BR"/>
        </w:rPr>
        <w:t xml:space="preserve">/CO é próxima </w:t>
      </w:r>
      <w:proofErr w:type="gramStart"/>
      <w:r w:rsidRPr="008E452C">
        <w:rPr>
          <w:rFonts w:ascii="Times New Roman" w:hAnsi="Times New Roman"/>
          <w:lang w:val="pt-BR"/>
        </w:rPr>
        <w:t>ao valores</w:t>
      </w:r>
      <w:proofErr w:type="gramEnd"/>
      <w:r w:rsidRPr="008E452C">
        <w:rPr>
          <w:rFonts w:ascii="Times New Roman" w:hAnsi="Times New Roman"/>
          <w:lang w:val="pt-BR"/>
        </w:rPr>
        <w:t xml:space="preserve"> da literatura.</w:t>
      </w:r>
      <w:r w:rsidR="00CD271E" w:rsidRPr="008E452C">
        <w:rPr>
          <w:rFonts w:ascii="Times New Roman" w:hAnsi="Times New Roman"/>
          <w:lang w:val="pt-BR"/>
        </w:rPr>
        <w:t xml:space="preserve"> Catalisadores do tipo 5%NiO-Al</w:t>
      </w:r>
      <w:r w:rsidR="00CD271E" w:rsidRPr="008E452C">
        <w:rPr>
          <w:rFonts w:ascii="Times New Roman" w:hAnsi="Times New Roman"/>
          <w:vertAlign w:val="subscript"/>
          <w:lang w:val="pt-BR"/>
        </w:rPr>
        <w:t>2</w:t>
      </w:r>
      <w:r w:rsidR="00CD271E" w:rsidRPr="008E452C">
        <w:rPr>
          <w:rFonts w:ascii="Times New Roman" w:hAnsi="Times New Roman"/>
          <w:lang w:val="pt-BR"/>
        </w:rPr>
        <w:t>O</w:t>
      </w:r>
      <w:r w:rsidR="00CD271E" w:rsidRPr="008E452C">
        <w:rPr>
          <w:rFonts w:ascii="Times New Roman" w:hAnsi="Times New Roman"/>
          <w:vertAlign w:val="subscript"/>
          <w:lang w:val="pt-BR"/>
        </w:rPr>
        <w:t>3</w:t>
      </w:r>
      <w:r w:rsidR="00CD271E" w:rsidRPr="008E452C">
        <w:rPr>
          <w:rFonts w:ascii="Times New Roman" w:hAnsi="Times New Roman"/>
          <w:lang w:val="pt-BR"/>
        </w:rPr>
        <w:t>; Na-NiO-Al</w:t>
      </w:r>
      <w:r w:rsidR="00CD271E" w:rsidRPr="008E452C">
        <w:rPr>
          <w:rFonts w:ascii="Times New Roman" w:hAnsi="Times New Roman"/>
          <w:vertAlign w:val="subscript"/>
          <w:lang w:val="pt-BR"/>
        </w:rPr>
        <w:t>2</w:t>
      </w:r>
      <w:r w:rsidR="00CD271E" w:rsidRPr="008E452C">
        <w:rPr>
          <w:rFonts w:ascii="Times New Roman" w:hAnsi="Times New Roman"/>
          <w:lang w:val="pt-BR"/>
        </w:rPr>
        <w:t>O</w:t>
      </w:r>
      <w:r w:rsidR="00CD271E" w:rsidRPr="008E452C">
        <w:rPr>
          <w:rFonts w:ascii="Times New Roman" w:hAnsi="Times New Roman"/>
          <w:vertAlign w:val="subscript"/>
          <w:lang w:val="pt-BR"/>
        </w:rPr>
        <w:t>3</w:t>
      </w:r>
      <w:r w:rsidR="00CD271E" w:rsidRPr="008E452C">
        <w:rPr>
          <w:rFonts w:ascii="Times New Roman" w:hAnsi="Times New Roman"/>
          <w:lang w:val="pt-BR"/>
        </w:rPr>
        <w:t>; K-NiO-Al</w:t>
      </w:r>
      <w:r w:rsidR="00CD271E" w:rsidRPr="008E452C">
        <w:rPr>
          <w:rFonts w:ascii="Times New Roman" w:hAnsi="Times New Roman"/>
          <w:vertAlign w:val="subscript"/>
          <w:lang w:val="pt-BR"/>
        </w:rPr>
        <w:t>2</w:t>
      </w:r>
      <w:r w:rsidR="00CD271E" w:rsidRPr="008E452C">
        <w:rPr>
          <w:rFonts w:ascii="Times New Roman" w:hAnsi="Times New Roman"/>
          <w:lang w:val="pt-BR"/>
        </w:rPr>
        <w:t>O</w:t>
      </w:r>
      <w:r w:rsidR="00CD271E" w:rsidRPr="008E452C">
        <w:rPr>
          <w:rFonts w:ascii="Times New Roman" w:hAnsi="Times New Roman"/>
          <w:vertAlign w:val="subscript"/>
          <w:lang w:val="pt-BR"/>
        </w:rPr>
        <w:t>3</w:t>
      </w:r>
      <w:r w:rsidR="00CD271E" w:rsidRPr="008E452C">
        <w:rPr>
          <w:rFonts w:ascii="Times New Roman" w:hAnsi="Times New Roman"/>
          <w:lang w:val="pt-BR"/>
        </w:rPr>
        <w:t>; 5%Ca-5%NiO-Al</w:t>
      </w:r>
      <w:r w:rsidR="00CD271E" w:rsidRPr="008E452C">
        <w:rPr>
          <w:rFonts w:ascii="Times New Roman" w:hAnsi="Times New Roman"/>
          <w:vertAlign w:val="subscript"/>
          <w:lang w:val="pt-BR"/>
        </w:rPr>
        <w:t>2</w:t>
      </w:r>
      <w:r w:rsidR="00CD271E" w:rsidRPr="008E452C">
        <w:rPr>
          <w:rFonts w:ascii="Times New Roman" w:hAnsi="Times New Roman"/>
          <w:lang w:val="pt-BR"/>
        </w:rPr>
        <w:t>O</w:t>
      </w:r>
      <w:r w:rsidR="00CD271E" w:rsidRPr="008E452C">
        <w:rPr>
          <w:rFonts w:ascii="Times New Roman" w:hAnsi="Times New Roman"/>
          <w:vertAlign w:val="subscript"/>
          <w:lang w:val="pt-BR"/>
        </w:rPr>
        <w:t>3</w:t>
      </w:r>
      <w:r w:rsidR="00CD271E" w:rsidRPr="008E452C">
        <w:rPr>
          <w:rFonts w:ascii="Times New Roman" w:hAnsi="Times New Roman"/>
          <w:lang w:val="pt-BR"/>
        </w:rPr>
        <w:t>; 5%Mg-5%NiO-Al</w:t>
      </w:r>
      <w:r w:rsidR="00CD271E" w:rsidRPr="008E452C">
        <w:rPr>
          <w:rFonts w:ascii="Times New Roman" w:hAnsi="Times New Roman"/>
          <w:vertAlign w:val="subscript"/>
          <w:lang w:val="pt-BR"/>
        </w:rPr>
        <w:t>2</w:t>
      </w:r>
      <w:r w:rsidR="00CD271E" w:rsidRPr="008E452C">
        <w:rPr>
          <w:rFonts w:ascii="Times New Roman" w:hAnsi="Times New Roman"/>
          <w:lang w:val="pt-BR"/>
        </w:rPr>
        <w:t>O</w:t>
      </w:r>
      <w:r w:rsidR="00CD271E" w:rsidRPr="008E452C">
        <w:rPr>
          <w:rFonts w:ascii="Times New Roman" w:hAnsi="Times New Roman"/>
          <w:vertAlign w:val="subscript"/>
          <w:lang w:val="pt-BR"/>
        </w:rPr>
        <w:t>3</w:t>
      </w:r>
      <w:r w:rsidR="00CD271E" w:rsidRPr="008E452C">
        <w:rPr>
          <w:rFonts w:ascii="Times New Roman" w:hAnsi="Times New Roman"/>
          <w:lang w:val="pt-BR"/>
        </w:rPr>
        <w:t xml:space="preserve"> apresentaram valores de conversão de CO</w:t>
      </w:r>
      <w:r w:rsidR="00CD271E" w:rsidRPr="008E452C">
        <w:rPr>
          <w:rFonts w:ascii="Times New Roman" w:hAnsi="Times New Roman"/>
          <w:vertAlign w:val="subscript"/>
          <w:lang w:val="pt-BR"/>
        </w:rPr>
        <w:t xml:space="preserve">2 </w:t>
      </w:r>
      <w:r w:rsidR="00CD271E" w:rsidRPr="008E452C">
        <w:rPr>
          <w:rFonts w:ascii="Times New Roman" w:hAnsi="Times New Roman"/>
          <w:lang w:val="pt-BR"/>
        </w:rPr>
        <w:t xml:space="preserve">entre 45 e 80%, valores de conversão </w:t>
      </w:r>
      <w:r w:rsidR="00CD271E" w:rsidRPr="008E452C">
        <w:rPr>
          <w:rFonts w:ascii="Times New Roman" w:hAnsi="Times New Roman"/>
          <w:lang w:val="pt-BR"/>
        </w:rPr>
        <w:t>de CH</w:t>
      </w:r>
      <w:r w:rsidR="00CD271E" w:rsidRPr="008E452C">
        <w:rPr>
          <w:rFonts w:ascii="Times New Roman" w:hAnsi="Times New Roman"/>
          <w:vertAlign w:val="subscript"/>
          <w:lang w:val="pt-BR"/>
        </w:rPr>
        <w:t>4</w:t>
      </w:r>
      <w:r w:rsidR="00CD271E" w:rsidRPr="008E452C">
        <w:rPr>
          <w:rFonts w:ascii="Times New Roman" w:hAnsi="Times New Roman"/>
          <w:lang w:val="pt-BR"/>
        </w:rPr>
        <w:t xml:space="preserve"> entre 55 e 75%, valores de rendimento em H</w:t>
      </w:r>
      <w:r w:rsidR="00CD271E" w:rsidRPr="008E452C">
        <w:rPr>
          <w:rFonts w:ascii="Times New Roman" w:hAnsi="Times New Roman"/>
          <w:vertAlign w:val="subscript"/>
          <w:lang w:val="pt-BR"/>
        </w:rPr>
        <w:t xml:space="preserve">2 </w:t>
      </w:r>
      <w:r w:rsidR="00CD271E" w:rsidRPr="008E452C">
        <w:rPr>
          <w:rFonts w:ascii="Times New Roman" w:hAnsi="Times New Roman"/>
          <w:lang w:val="pt-BR"/>
        </w:rPr>
        <w:t>entre 10 e 35% e razão H</w:t>
      </w:r>
      <w:r w:rsidR="00CD271E" w:rsidRPr="008E452C">
        <w:rPr>
          <w:rFonts w:ascii="Times New Roman" w:hAnsi="Times New Roman"/>
          <w:vertAlign w:val="subscript"/>
          <w:lang w:val="pt-BR"/>
        </w:rPr>
        <w:t>2</w:t>
      </w:r>
      <w:r w:rsidR="00CD271E" w:rsidRPr="008E452C">
        <w:rPr>
          <w:rFonts w:ascii="Times New Roman" w:hAnsi="Times New Roman"/>
          <w:lang w:val="pt-BR"/>
        </w:rPr>
        <w:t>/CO entre 0,7 e 1,5 (3)(4), o que mostra que os materiais aqui apresentados são promissores.</w:t>
      </w:r>
    </w:p>
    <w:p w14:paraId="56A3BAB9" w14:textId="05FD5E14" w:rsidR="0020342E" w:rsidRPr="008E452C" w:rsidRDefault="00CD271E" w:rsidP="0020342E">
      <w:pPr>
        <w:pStyle w:val="TAMainText"/>
        <w:ind w:firstLine="0"/>
        <w:rPr>
          <w:rFonts w:ascii="Times New Roman" w:hAnsi="Times New Roman"/>
          <w:lang w:val="pt-BR"/>
        </w:rPr>
      </w:pPr>
      <w:r w:rsidRPr="008E452C">
        <w:rPr>
          <w:rFonts w:ascii="Times New Roman" w:hAnsi="Times New Roman"/>
          <w:lang w:val="pt-BR"/>
        </w:rPr>
        <w:t xml:space="preserve">   Entre os materiais sintetizados, o material Ca-NiO-Al</w:t>
      </w:r>
      <w:r w:rsidRPr="008E452C">
        <w:rPr>
          <w:rFonts w:ascii="Times New Roman" w:hAnsi="Times New Roman"/>
          <w:vertAlign w:val="subscript"/>
          <w:lang w:val="pt-BR"/>
        </w:rPr>
        <w:t>2</w:t>
      </w:r>
      <w:r w:rsidRPr="008E452C">
        <w:rPr>
          <w:rFonts w:ascii="Times New Roman" w:hAnsi="Times New Roman"/>
          <w:lang w:val="pt-BR"/>
        </w:rPr>
        <w:t>O</w:t>
      </w:r>
      <w:r w:rsidRPr="008E452C">
        <w:rPr>
          <w:rFonts w:ascii="Times New Roman" w:hAnsi="Times New Roman"/>
          <w:vertAlign w:val="subscript"/>
          <w:lang w:val="pt-BR"/>
        </w:rPr>
        <w:t xml:space="preserve">3 </w:t>
      </w:r>
      <w:r w:rsidRPr="008E452C">
        <w:rPr>
          <w:rFonts w:ascii="Times New Roman" w:hAnsi="Times New Roman"/>
          <w:lang w:val="pt-BR"/>
        </w:rPr>
        <w:t>se destacou nos parâmetros de conversão de CO</w:t>
      </w:r>
      <w:r w:rsidRPr="008E452C">
        <w:rPr>
          <w:rFonts w:ascii="Times New Roman" w:hAnsi="Times New Roman"/>
          <w:vertAlign w:val="subscript"/>
          <w:lang w:val="pt-BR"/>
        </w:rPr>
        <w:t>2</w:t>
      </w:r>
      <w:r w:rsidRPr="008E452C">
        <w:rPr>
          <w:rFonts w:ascii="Times New Roman" w:hAnsi="Times New Roman"/>
          <w:lang w:val="pt-BR"/>
        </w:rPr>
        <w:t xml:space="preserve"> e CH</w:t>
      </w:r>
      <w:r w:rsidRPr="008E452C">
        <w:rPr>
          <w:rFonts w:ascii="Times New Roman" w:hAnsi="Times New Roman"/>
          <w:vertAlign w:val="subscript"/>
          <w:lang w:val="pt-BR"/>
        </w:rPr>
        <w:t>4</w:t>
      </w:r>
      <w:r w:rsidR="007C08AB" w:rsidRPr="008E452C">
        <w:rPr>
          <w:rFonts w:ascii="Times New Roman" w:hAnsi="Times New Roman"/>
          <w:lang w:val="pt-BR"/>
        </w:rPr>
        <w:t xml:space="preserve"> e consequentemente no rendimento em H</w:t>
      </w:r>
      <w:r w:rsidR="007C08AB" w:rsidRPr="008E452C">
        <w:rPr>
          <w:rFonts w:ascii="Times New Roman" w:hAnsi="Times New Roman"/>
          <w:vertAlign w:val="subscript"/>
          <w:lang w:val="pt-BR"/>
        </w:rPr>
        <w:t>2</w:t>
      </w:r>
      <w:r w:rsidR="007C08AB" w:rsidRPr="008E452C">
        <w:rPr>
          <w:rFonts w:ascii="Times New Roman" w:hAnsi="Times New Roman"/>
          <w:lang w:val="pt-BR"/>
        </w:rPr>
        <w:t xml:space="preserve">. </w:t>
      </w:r>
      <w:r w:rsidR="00E666D6" w:rsidRPr="008E452C">
        <w:rPr>
          <w:rFonts w:ascii="Times New Roman" w:hAnsi="Times New Roman"/>
          <w:lang w:val="pt-BR"/>
        </w:rPr>
        <w:t>Isso se deve ao fato d</w:t>
      </w:r>
      <w:r w:rsidR="00E02FFC">
        <w:rPr>
          <w:rFonts w:ascii="Times New Roman" w:hAnsi="Times New Roman"/>
          <w:lang w:val="pt-BR"/>
        </w:rPr>
        <w:t xml:space="preserve">e </w:t>
      </w:r>
      <w:r w:rsidR="00E666D6" w:rsidRPr="008E452C">
        <w:rPr>
          <w:rFonts w:ascii="Times New Roman" w:hAnsi="Times New Roman"/>
          <w:lang w:val="pt-BR"/>
        </w:rPr>
        <w:t>o CO</w:t>
      </w:r>
      <w:r w:rsidR="00E666D6" w:rsidRPr="008E452C">
        <w:rPr>
          <w:rFonts w:ascii="Times New Roman" w:hAnsi="Times New Roman"/>
          <w:vertAlign w:val="subscript"/>
          <w:lang w:val="pt-BR"/>
        </w:rPr>
        <w:t>2</w:t>
      </w:r>
      <w:r w:rsidR="00E666D6" w:rsidRPr="008E452C">
        <w:rPr>
          <w:rFonts w:ascii="Times New Roman" w:hAnsi="Times New Roman"/>
          <w:lang w:val="pt-BR"/>
        </w:rPr>
        <w:t xml:space="preserve"> interagir de melhor maneira com os íons óxidos superficiais de natureza básica referentes </w:t>
      </w:r>
      <w:r w:rsidR="00E02FFC">
        <w:rPr>
          <w:rFonts w:ascii="Times New Roman" w:hAnsi="Times New Roman"/>
          <w:lang w:val="pt-BR"/>
        </w:rPr>
        <w:t>à</w:t>
      </w:r>
      <w:r w:rsidR="00E02FFC" w:rsidRPr="008E452C">
        <w:rPr>
          <w:rFonts w:ascii="Times New Roman" w:hAnsi="Times New Roman"/>
          <w:lang w:val="pt-BR"/>
        </w:rPr>
        <w:t xml:space="preserve">s </w:t>
      </w:r>
      <w:r w:rsidR="00E666D6" w:rsidRPr="008E452C">
        <w:rPr>
          <w:rFonts w:ascii="Times New Roman" w:hAnsi="Times New Roman"/>
          <w:lang w:val="pt-BR"/>
        </w:rPr>
        <w:t>espécies de óxido de cálcio e vão produzir carbonatos superficiais. Esses carbonatos podem participar do mecanismo da reação de reforma seca, visto que o aumento da basicidade promove uma maior adsorção dos gases sobre a superfície, promovendo assim melhores resultados</w:t>
      </w:r>
      <w:r w:rsidR="00E02FFC">
        <w:rPr>
          <w:rFonts w:ascii="Times New Roman" w:hAnsi="Times New Roman"/>
          <w:lang w:val="pt-BR"/>
        </w:rPr>
        <w:t xml:space="preserve"> </w:t>
      </w:r>
      <w:r w:rsidR="00B8244F" w:rsidRPr="008E452C">
        <w:rPr>
          <w:rFonts w:ascii="Times New Roman" w:hAnsi="Times New Roman"/>
          <w:lang w:val="pt-BR"/>
        </w:rPr>
        <w:t>(3)(4)</w:t>
      </w:r>
      <w:r w:rsidR="00E666D6" w:rsidRPr="008E452C">
        <w:rPr>
          <w:rFonts w:ascii="Times New Roman" w:hAnsi="Times New Roman"/>
          <w:lang w:val="pt-BR"/>
        </w:rPr>
        <w:t>. Estudos mais aprofundados de caracterização serão realizados para explicar melhor os fenômenos.</w:t>
      </w:r>
    </w:p>
    <w:p w14:paraId="20AA905D" w14:textId="09EB3D13"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Conclusões</w:t>
      </w:r>
    </w:p>
    <w:p w14:paraId="4A70FE93" w14:textId="640EE46E" w:rsidR="00EA4E1B" w:rsidRPr="001C63C7" w:rsidRDefault="00084B89" w:rsidP="00EA4E1B">
      <w:pPr>
        <w:pStyle w:val="TAMainText"/>
        <w:ind w:firstLine="187"/>
        <w:rPr>
          <w:rFonts w:ascii="Times New Roman" w:hAnsi="Times New Roman"/>
          <w:lang w:val="pt-BR"/>
        </w:rPr>
      </w:pPr>
      <w:r>
        <w:rPr>
          <w:rFonts w:ascii="Times New Roman" w:hAnsi="Times New Roman"/>
          <w:lang w:val="pt-BR"/>
        </w:rPr>
        <w:t>O método da combustão foi promissor para produção dos catalisadores, visto que os parâmetros catalíticos obtidos para os novos catalisadores são em todos os casos maiores que os parâmetros catalíticos para o catalisador industrial. O promotor que mostrou ser o melhor foi o Ca, devido aos maiores valores de conversão e rendimento alcançados</w:t>
      </w:r>
      <w:r w:rsidR="00E666D6">
        <w:rPr>
          <w:rFonts w:ascii="Times New Roman" w:hAnsi="Times New Roman"/>
          <w:lang w:val="pt-BR"/>
        </w:rPr>
        <w:t xml:space="preserve"> e isso pode estar ligado </w:t>
      </w:r>
      <w:r w:rsidR="00E02FFC">
        <w:rPr>
          <w:rFonts w:ascii="Times New Roman" w:hAnsi="Times New Roman"/>
          <w:lang w:val="pt-BR"/>
        </w:rPr>
        <w:t xml:space="preserve">à </w:t>
      </w:r>
      <w:r w:rsidR="00E666D6">
        <w:rPr>
          <w:rFonts w:ascii="Times New Roman" w:hAnsi="Times New Roman"/>
          <w:lang w:val="pt-BR"/>
        </w:rPr>
        <w:t>maior basicidade superficial. Estudos mais aprofundados de caracterização serão realizados.</w:t>
      </w:r>
    </w:p>
    <w:p w14:paraId="6BE32F7B" w14:textId="4F456A38"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Agradecimentos</w:t>
      </w:r>
    </w:p>
    <w:p w14:paraId="05A178F9" w14:textId="1FF55EE2" w:rsidR="00EA4E1B" w:rsidRPr="002D4AE4" w:rsidRDefault="00EE0EF3" w:rsidP="00EA4E1B">
      <w:pPr>
        <w:pStyle w:val="TAMainText"/>
        <w:rPr>
          <w:rFonts w:ascii="Times New Roman" w:hAnsi="Times New Roman"/>
          <w:lang w:val="pt-BR"/>
        </w:rPr>
      </w:pPr>
      <w:r w:rsidRPr="002D4AE4">
        <w:rPr>
          <w:rFonts w:ascii="Times New Roman" w:hAnsi="Times New Roman"/>
          <w:lang w:val="pt-BR"/>
        </w:rPr>
        <w:t xml:space="preserve">Os autores agradecem à Capes (001) e à GIZ (Deutsche </w:t>
      </w:r>
      <w:proofErr w:type="spellStart"/>
      <w:r w:rsidRPr="002D4AE4">
        <w:rPr>
          <w:rFonts w:ascii="Times New Roman" w:hAnsi="Times New Roman"/>
          <w:lang w:val="pt-BR"/>
        </w:rPr>
        <w:t>Gesellschaft</w:t>
      </w:r>
      <w:proofErr w:type="spellEnd"/>
      <w:r w:rsidRPr="002D4AE4">
        <w:rPr>
          <w:rFonts w:ascii="Times New Roman" w:hAnsi="Times New Roman"/>
          <w:lang w:val="pt-BR"/>
        </w:rPr>
        <w:t xml:space="preserve"> </w:t>
      </w:r>
      <w:proofErr w:type="spellStart"/>
      <w:r w:rsidRPr="002D4AE4">
        <w:rPr>
          <w:rFonts w:ascii="Times New Roman" w:hAnsi="Times New Roman"/>
          <w:lang w:val="pt-BR"/>
        </w:rPr>
        <w:t>für</w:t>
      </w:r>
      <w:proofErr w:type="spellEnd"/>
      <w:r w:rsidRPr="002D4AE4">
        <w:rPr>
          <w:rFonts w:ascii="Times New Roman" w:hAnsi="Times New Roman"/>
          <w:lang w:val="pt-BR"/>
        </w:rPr>
        <w:t xml:space="preserve"> Internationale </w:t>
      </w:r>
      <w:proofErr w:type="spellStart"/>
      <w:r w:rsidRPr="002D4AE4">
        <w:rPr>
          <w:rFonts w:ascii="Times New Roman" w:hAnsi="Times New Roman"/>
          <w:lang w:val="pt-BR"/>
        </w:rPr>
        <w:t>Zusammenarbeit</w:t>
      </w:r>
      <w:proofErr w:type="spellEnd"/>
      <w:r w:rsidRPr="002D4AE4">
        <w:rPr>
          <w:rFonts w:ascii="Times New Roman" w:hAnsi="Times New Roman"/>
          <w:lang w:val="pt-BR"/>
        </w:rPr>
        <w:t xml:space="preserve"> GmbH) pelo suporte financeiro. O Projeto "Produção de hidrogênio verde via reforma do biogás obtido de resíduos agropecuários – AGROH</w:t>
      </w:r>
      <w:r w:rsidRPr="00EC6DF0">
        <w:rPr>
          <w:rFonts w:ascii="Times New Roman" w:hAnsi="Times New Roman"/>
          <w:lang w:val="pt-BR"/>
        </w:rPr>
        <w:t>2</w:t>
      </w:r>
      <w:r w:rsidRPr="002D4AE4">
        <w:rPr>
          <w:rFonts w:ascii="Times New Roman" w:hAnsi="Times New Roman"/>
          <w:lang w:val="pt-BR"/>
        </w:rPr>
        <w:t>V" foi selecionado pelo Programa de Inovação em Hidrogênio Verde (iH</w:t>
      </w:r>
      <w:r w:rsidRPr="00EC6DF0">
        <w:rPr>
          <w:rFonts w:ascii="Times New Roman" w:hAnsi="Times New Roman"/>
          <w:lang w:val="pt-BR"/>
        </w:rPr>
        <w:t>2</w:t>
      </w:r>
      <w:r w:rsidRPr="002D4AE4">
        <w:rPr>
          <w:rFonts w:ascii="Times New Roman" w:hAnsi="Times New Roman"/>
          <w:lang w:val="pt-BR"/>
        </w:rPr>
        <w:t>Brasil) na categoria de INSTITUIÇÕES SEM FINS LUCRATIVOS. Este programa é uma realização da Aliança Brasil-Alemanha de Hidrogênio Verde com apoio do projeto H</w:t>
      </w:r>
      <w:r w:rsidRPr="00EC6DF0">
        <w:rPr>
          <w:rFonts w:ascii="Times New Roman" w:hAnsi="Times New Roman"/>
          <w:lang w:val="pt-BR"/>
        </w:rPr>
        <w:t>2</w:t>
      </w:r>
      <w:r w:rsidRPr="002D4AE4">
        <w:rPr>
          <w:rFonts w:ascii="Times New Roman" w:hAnsi="Times New Roman"/>
          <w:lang w:val="pt-BR"/>
        </w:rPr>
        <w:t xml:space="preserve">Brasil, que integra a Cooperação Brasil-Alemanha para o Desenvolvimento Sustentável e é implementado pela GIZ e pelo Ministério de Minas e Energia (MME) com apoio do Ministério Federal da Cooperação Econômica e do Desenvolvimento (BMZ) da Alemanha. O principal objetivo do H2Brasil é apoiar a expansão do mercado de hidrogênio verde e produtos derivados no Brasil. </w:t>
      </w:r>
    </w:p>
    <w:p w14:paraId="58716424" w14:textId="50749E84" w:rsidR="007B4B2B" w:rsidRPr="00F41921" w:rsidRDefault="00EA4E1B" w:rsidP="00F41921">
      <w:pPr>
        <w:pStyle w:val="Ttulo2"/>
        <w:rPr>
          <w:rFonts w:ascii="Helvetica" w:hAnsi="Helvetica" w:cs="Helvetica"/>
          <w:sz w:val="24"/>
          <w:szCs w:val="24"/>
        </w:rPr>
      </w:pPr>
      <w:r w:rsidRPr="001F25B2">
        <w:rPr>
          <w:rFonts w:ascii="Helvetica" w:hAnsi="Helvetica" w:cs="Helvetica"/>
          <w:sz w:val="24"/>
          <w:szCs w:val="24"/>
        </w:rPr>
        <w:t>Referências</w:t>
      </w:r>
    </w:p>
    <w:p w14:paraId="7287868E" w14:textId="35CBECCE" w:rsidR="00F41921" w:rsidRPr="00F41921" w:rsidRDefault="00F41921" w:rsidP="001C63C7">
      <w:pPr>
        <w:pStyle w:val="TAMainText"/>
        <w:numPr>
          <w:ilvl w:val="0"/>
          <w:numId w:val="1"/>
        </w:numPr>
        <w:rPr>
          <w:lang w:val="pt-BR"/>
        </w:rPr>
      </w:pPr>
      <w:r>
        <w:rPr>
          <w:bCs/>
          <w:lang w:val="pt-BR"/>
        </w:rPr>
        <w:t xml:space="preserve">Prato-Garcia, D; </w:t>
      </w:r>
      <w:r w:rsidRPr="00F41921">
        <w:rPr>
          <w:bCs/>
          <w:lang w:val="pt-BR"/>
        </w:rPr>
        <w:t xml:space="preserve">A. </w:t>
      </w:r>
      <w:proofErr w:type="spellStart"/>
      <w:r w:rsidRPr="00F41921">
        <w:rPr>
          <w:bCs/>
          <w:lang w:val="pt-BR"/>
        </w:rPr>
        <w:t>Robayo-Avendaño</w:t>
      </w:r>
      <w:proofErr w:type="spellEnd"/>
      <w:r>
        <w:rPr>
          <w:bCs/>
          <w:lang w:val="pt-BR"/>
        </w:rPr>
        <w:t xml:space="preserve">, A; </w:t>
      </w:r>
      <w:r w:rsidRPr="00F41921">
        <w:rPr>
          <w:bCs/>
          <w:lang w:val="pt-BR"/>
        </w:rPr>
        <w:t>Vasquez-</w:t>
      </w:r>
      <w:proofErr w:type="spellStart"/>
      <w:r w:rsidRPr="00F41921">
        <w:rPr>
          <w:bCs/>
          <w:lang w:val="pt-BR"/>
        </w:rPr>
        <w:t>Medrano</w:t>
      </w:r>
      <w:proofErr w:type="spellEnd"/>
      <w:r>
        <w:rPr>
          <w:bCs/>
          <w:lang w:val="pt-BR"/>
        </w:rPr>
        <w:t xml:space="preserve">, R, </w:t>
      </w:r>
      <w:proofErr w:type="spellStart"/>
      <w:r>
        <w:rPr>
          <w:bCs/>
          <w:i/>
          <w:iCs/>
          <w:lang w:val="pt-BR"/>
        </w:rPr>
        <w:t>Gas</w:t>
      </w:r>
      <w:proofErr w:type="spellEnd"/>
      <w:r>
        <w:rPr>
          <w:bCs/>
          <w:i/>
          <w:iCs/>
          <w:lang w:val="pt-BR"/>
        </w:rPr>
        <w:t xml:space="preserve"> </w:t>
      </w:r>
      <w:proofErr w:type="spellStart"/>
      <w:r>
        <w:rPr>
          <w:bCs/>
          <w:i/>
          <w:iCs/>
          <w:lang w:val="pt-BR"/>
        </w:rPr>
        <w:t>Sci</w:t>
      </w:r>
      <w:proofErr w:type="spellEnd"/>
      <w:r>
        <w:rPr>
          <w:bCs/>
          <w:i/>
          <w:iCs/>
          <w:lang w:val="pt-BR"/>
        </w:rPr>
        <w:t xml:space="preserve"> </w:t>
      </w:r>
      <w:proofErr w:type="spellStart"/>
      <w:r>
        <w:rPr>
          <w:bCs/>
          <w:i/>
          <w:iCs/>
          <w:lang w:val="pt-BR"/>
        </w:rPr>
        <w:t>Eng</w:t>
      </w:r>
      <w:proofErr w:type="spellEnd"/>
      <w:r>
        <w:rPr>
          <w:bCs/>
          <w:i/>
          <w:iCs/>
          <w:lang w:val="pt-BR"/>
        </w:rPr>
        <w:t xml:space="preserve">, </w:t>
      </w:r>
      <w:r w:rsidRPr="00F41921">
        <w:rPr>
          <w:b/>
          <w:lang w:val="pt-BR"/>
        </w:rPr>
        <w:t>2023</w:t>
      </w:r>
      <w:r>
        <w:rPr>
          <w:b/>
          <w:lang w:val="pt-BR"/>
        </w:rPr>
        <w:t xml:space="preserve">, </w:t>
      </w:r>
      <w:r w:rsidRPr="00F41921">
        <w:rPr>
          <w:bCs/>
          <w:lang w:val="pt-BR"/>
        </w:rPr>
        <w:t>111</w:t>
      </w:r>
      <w:r>
        <w:rPr>
          <w:bCs/>
          <w:lang w:val="pt-BR"/>
        </w:rPr>
        <w:t>, 204918.</w:t>
      </w:r>
    </w:p>
    <w:p w14:paraId="1E4AA4C4" w14:textId="17D0B6C3" w:rsidR="00F41921" w:rsidRPr="00F41921" w:rsidRDefault="00F41921" w:rsidP="001C63C7">
      <w:pPr>
        <w:pStyle w:val="TAMainText"/>
        <w:numPr>
          <w:ilvl w:val="0"/>
          <w:numId w:val="1"/>
        </w:numPr>
        <w:rPr>
          <w:lang w:val="pt-BR"/>
        </w:rPr>
      </w:pPr>
      <w:r>
        <w:rPr>
          <w:bCs/>
          <w:lang w:val="pt-BR"/>
        </w:rPr>
        <w:t xml:space="preserve">Rosset, M; </w:t>
      </w:r>
      <w:proofErr w:type="spellStart"/>
      <w:r>
        <w:rPr>
          <w:bCs/>
          <w:lang w:val="pt-BR"/>
        </w:rPr>
        <w:t>Féris</w:t>
      </w:r>
      <w:proofErr w:type="spellEnd"/>
      <w:r>
        <w:rPr>
          <w:bCs/>
          <w:lang w:val="pt-BR"/>
        </w:rPr>
        <w:t xml:space="preserve">, L.A; Perez-Lopez, O.W, </w:t>
      </w:r>
      <w:proofErr w:type="spellStart"/>
      <w:r w:rsidRPr="00F41921">
        <w:rPr>
          <w:bCs/>
          <w:i/>
          <w:iCs/>
          <w:lang w:val="pt-BR"/>
        </w:rPr>
        <w:t>Cat</w:t>
      </w:r>
      <w:proofErr w:type="spellEnd"/>
      <w:r w:rsidRPr="00F41921">
        <w:rPr>
          <w:bCs/>
          <w:i/>
          <w:iCs/>
          <w:lang w:val="pt-BR"/>
        </w:rPr>
        <w:t xml:space="preserve"> </w:t>
      </w:r>
      <w:proofErr w:type="spellStart"/>
      <w:r w:rsidRPr="00F41921">
        <w:rPr>
          <w:bCs/>
          <w:i/>
          <w:iCs/>
          <w:lang w:val="pt-BR"/>
        </w:rPr>
        <w:t>Tod</w:t>
      </w:r>
      <w:proofErr w:type="spellEnd"/>
      <w:r>
        <w:rPr>
          <w:bCs/>
          <w:lang w:val="pt-BR"/>
        </w:rPr>
        <w:t xml:space="preserve">, </w:t>
      </w:r>
      <w:r w:rsidRPr="00F41921">
        <w:rPr>
          <w:b/>
          <w:lang w:val="pt-BR"/>
        </w:rPr>
        <w:t>2021</w:t>
      </w:r>
      <w:r>
        <w:rPr>
          <w:bCs/>
          <w:lang w:val="pt-BR"/>
        </w:rPr>
        <w:t>, 381, 96-107</w:t>
      </w:r>
    </w:p>
    <w:p w14:paraId="492D8DD8" w14:textId="25B9FF9A" w:rsidR="00F41921" w:rsidRPr="00390DC8" w:rsidRDefault="00F41921" w:rsidP="001C63C7">
      <w:pPr>
        <w:pStyle w:val="TAMainText"/>
        <w:numPr>
          <w:ilvl w:val="0"/>
          <w:numId w:val="1"/>
        </w:numPr>
        <w:rPr>
          <w:b/>
          <w:bCs/>
        </w:rPr>
      </w:pPr>
      <w:r w:rsidRPr="00390DC8">
        <w:t xml:space="preserve">Park, M.J; Kim, H.M; Gu, </w:t>
      </w:r>
      <w:proofErr w:type="gramStart"/>
      <w:r w:rsidRPr="00390DC8">
        <w:t>Y;J</w:t>
      </w:r>
      <w:proofErr w:type="gramEnd"/>
      <w:r w:rsidRPr="00390DC8">
        <w:t>; Jeong, D.W</w:t>
      </w:r>
      <w:r w:rsidRPr="00390DC8">
        <w:rPr>
          <w:i/>
          <w:iCs/>
        </w:rPr>
        <w:t>, Energy</w:t>
      </w:r>
      <w:r w:rsidRPr="00390DC8">
        <w:t xml:space="preserve">, </w:t>
      </w:r>
      <w:r w:rsidRPr="00390DC8">
        <w:rPr>
          <w:b/>
          <w:bCs/>
        </w:rPr>
        <w:t>2023,</w:t>
      </w:r>
      <w:r w:rsidRPr="00390DC8">
        <w:t xml:space="preserve"> 265, 126273</w:t>
      </w:r>
    </w:p>
    <w:p w14:paraId="276FFFA0" w14:textId="3D52169B" w:rsidR="00643B23" w:rsidRPr="00643B23" w:rsidRDefault="003E6CD9" w:rsidP="00643B23">
      <w:pPr>
        <w:pStyle w:val="TAMainText"/>
        <w:numPr>
          <w:ilvl w:val="0"/>
          <w:numId w:val="1"/>
        </w:numPr>
        <w:rPr>
          <w:b/>
          <w:bCs/>
          <w:i/>
          <w:iCs/>
          <w:lang w:val="pt-BR"/>
        </w:rPr>
      </w:pPr>
      <w:r w:rsidRPr="00390DC8">
        <w:t xml:space="preserve">Jabbour, K </w:t>
      </w:r>
      <w:r w:rsidRPr="00390DC8">
        <w:rPr>
          <w:i/>
          <w:iCs/>
        </w:rPr>
        <w:t>et al.,</w:t>
      </w:r>
      <w:r w:rsidRPr="00390DC8">
        <w:t xml:space="preserve"> </w:t>
      </w:r>
      <w:r w:rsidRPr="00390DC8">
        <w:rPr>
          <w:i/>
          <w:iCs/>
        </w:rPr>
        <w:t>App Cat-B Env</w:t>
      </w:r>
      <w:r w:rsidRPr="00390DC8">
        <w:t xml:space="preserve">, </w:t>
      </w:r>
      <w:r w:rsidRPr="00390DC8">
        <w:rPr>
          <w:b/>
          <w:bCs/>
        </w:rPr>
        <w:t>2017</w:t>
      </w:r>
      <w:r w:rsidRPr="00390DC8">
        <w:t xml:space="preserve">, 201. </w:t>
      </w:r>
      <w:r>
        <w:rPr>
          <w:lang w:val="pt-BR"/>
        </w:rPr>
        <w:t>527-542.</w:t>
      </w:r>
    </w:p>
    <w:sectPr w:rsidR="00643B23" w:rsidRPr="00643B23" w:rsidSect="00EA4E1B">
      <w:type w:val="continuous"/>
      <w:pgSz w:w="11906" w:h="16838"/>
      <w:pgMar w:top="1418" w:right="1094" w:bottom="1418"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9693E" w14:textId="77777777" w:rsidR="00623F58" w:rsidRDefault="00623F58" w:rsidP="00EA4E1B">
      <w:pPr>
        <w:spacing w:after="0" w:line="240" w:lineRule="auto"/>
      </w:pPr>
      <w:r>
        <w:separator/>
      </w:r>
    </w:p>
  </w:endnote>
  <w:endnote w:type="continuationSeparator" w:id="0">
    <w:p w14:paraId="71630529" w14:textId="77777777" w:rsidR="00623F58" w:rsidRDefault="00623F58" w:rsidP="00EA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26386" w14:textId="77777777" w:rsidR="00623F58" w:rsidRDefault="00623F58" w:rsidP="00EA4E1B">
      <w:pPr>
        <w:spacing w:after="0" w:line="240" w:lineRule="auto"/>
      </w:pPr>
      <w:r>
        <w:separator/>
      </w:r>
    </w:p>
  </w:footnote>
  <w:footnote w:type="continuationSeparator" w:id="0">
    <w:p w14:paraId="5D6D0F0C" w14:textId="77777777" w:rsidR="00623F58" w:rsidRDefault="00623F58" w:rsidP="00EA4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9F22" w14:textId="15EBCFB1" w:rsidR="00EA4E1B" w:rsidRDefault="00AF0400" w:rsidP="00EA4E1B">
    <w:pPr>
      <w:pStyle w:val="Cabealho"/>
      <w:jc w:val="center"/>
    </w:pPr>
    <w:r>
      <w:rPr>
        <w:noProof/>
      </w:rPr>
      <w:drawing>
        <wp:inline distT="0" distB="0" distL="0" distR="0" wp14:anchorId="128B8774" wp14:editId="6C5718AB">
          <wp:extent cx="1524000" cy="104932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a:ext>
                  </a:extLst>
                </pic:spPr>
              </pic:pic>
            </a:graphicData>
          </a:graphic>
        </wp:inline>
      </w:drawing>
    </w:r>
    <w:r w:rsidR="00EA4E1B">
      <w:rPr>
        <w:noProof/>
      </w:rPr>
      <w:t xml:space="preserve">                                                </w:t>
    </w:r>
    <w:r w:rsidR="00EA4E1B">
      <w:rPr>
        <w:noProof/>
        <w:lang w:eastAsia="pt-BR"/>
      </w:rPr>
      <w:drawing>
        <wp:inline distT="0" distB="0" distL="0" distR="0" wp14:anchorId="10EB0FB8" wp14:editId="021C4271">
          <wp:extent cx="1963713" cy="696036"/>
          <wp:effectExtent l="0" t="0" r="0" b="8890"/>
          <wp:docPr id="9" name="Imagem 9"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F1197"/>
    <w:multiLevelType w:val="singleLevel"/>
    <w:tmpl w:val="154C566C"/>
    <w:lvl w:ilvl="0">
      <w:start w:val="1"/>
      <w:numFmt w:val="decimal"/>
      <w:lvlText w:val="%1."/>
      <w:lvlJc w:val="left"/>
      <w:pPr>
        <w:tabs>
          <w:tab w:val="num" w:pos="360"/>
        </w:tabs>
        <w:ind w:left="360" w:hanging="360"/>
      </w:pPr>
      <w:rPr>
        <w:b w:val="0"/>
        <w:bCs w:val="0"/>
      </w:rPr>
    </w:lvl>
  </w:abstractNum>
  <w:num w:numId="1" w16cid:durableId="1811439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E0NDMzNbI0NjQzNzBT0lEKTi0uzszPAykwqgUA1hGPPSwAAAA="/>
  </w:docVars>
  <w:rsids>
    <w:rsidRoot w:val="00EA4E1B"/>
    <w:rsid w:val="00011C73"/>
    <w:rsid w:val="0001264A"/>
    <w:rsid w:val="00061A72"/>
    <w:rsid w:val="000715F4"/>
    <w:rsid w:val="00084B89"/>
    <w:rsid w:val="00086CE4"/>
    <w:rsid w:val="000A546F"/>
    <w:rsid w:val="000D74D7"/>
    <w:rsid w:val="000F1D24"/>
    <w:rsid w:val="001C63C7"/>
    <w:rsid w:val="001E58A9"/>
    <w:rsid w:val="001F25B2"/>
    <w:rsid w:val="0020342E"/>
    <w:rsid w:val="0022095D"/>
    <w:rsid w:val="00222230"/>
    <w:rsid w:val="00242DEB"/>
    <w:rsid w:val="00251BD1"/>
    <w:rsid w:val="00257A6C"/>
    <w:rsid w:val="00270330"/>
    <w:rsid w:val="00270468"/>
    <w:rsid w:val="002B69A7"/>
    <w:rsid w:val="002D4AE4"/>
    <w:rsid w:val="002F4816"/>
    <w:rsid w:val="003024F4"/>
    <w:rsid w:val="00314085"/>
    <w:rsid w:val="00317BE0"/>
    <w:rsid w:val="00340B1E"/>
    <w:rsid w:val="00360619"/>
    <w:rsid w:val="00365A03"/>
    <w:rsid w:val="00390DC8"/>
    <w:rsid w:val="003E6CD9"/>
    <w:rsid w:val="00402F3E"/>
    <w:rsid w:val="004271FA"/>
    <w:rsid w:val="0043199D"/>
    <w:rsid w:val="0044215D"/>
    <w:rsid w:val="004634C2"/>
    <w:rsid w:val="004B167C"/>
    <w:rsid w:val="004C16DC"/>
    <w:rsid w:val="004D3EAA"/>
    <w:rsid w:val="004E274D"/>
    <w:rsid w:val="004E5FF1"/>
    <w:rsid w:val="004F3F42"/>
    <w:rsid w:val="005108B9"/>
    <w:rsid w:val="0052112E"/>
    <w:rsid w:val="00527F11"/>
    <w:rsid w:val="00531D32"/>
    <w:rsid w:val="00532516"/>
    <w:rsid w:val="00533CC0"/>
    <w:rsid w:val="0055185B"/>
    <w:rsid w:val="0056365E"/>
    <w:rsid w:val="00587C7D"/>
    <w:rsid w:val="00591B5B"/>
    <w:rsid w:val="00597543"/>
    <w:rsid w:val="005C2775"/>
    <w:rsid w:val="005D65EB"/>
    <w:rsid w:val="005F739F"/>
    <w:rsid w:val="00604718"/>
    <w:rsid w:val="00623F58"/>
    <w:rsid w:val="00633655"/>
    <w:rsid w:val="00643B23"/>
    <w:rsid w:val="00652815"/>
    <w:rsid w:val="00667CB7"/>
    <w:rsid w:val="00684F0D"/>
    <w:rsid w:val="006B2A63"/>
    <w:rsid w:val="006B7ECD"/>
    <w:rsid w:val="006E04CC"/>
    <w:rsid w:val="006E72AC"/>
    <w:rsid w:val="006F308C"/>
    <w:rsid w:val="006F599B"/>
    <w:rsid w:val="00737756"/>
    <w:rsid w:val="007664A1"/>
    <w:rsid w:val="007670A0"/>
    <w:rsid w:val="00781685"/>
    <w:rsid w:val="007B4B2B"/>
    <w:rsid w:val="007C08AB"/>
    <w:rsid w:val="0081096E"/>
    <w:rsid w:val="0081363E"/>
    <w:rsid w:val="0085646C"/>
    <w:rsid w:val="00866822"/>
    <w:rsid w:val="008B13B0"/>
    <w:rsid w:val="008B1683"/>
    <w:rsid w:val="008C1B30"/>
    <w:rsid w:val="008E2F68"/>
    <w:rsid w:val="008E452C"/>
    <w:rsid w:val="0093788B"/>
    <w:rsid w:val="009656D9"/>
    <w:rsid w:val="00996C96"/>
    <w:rsid w:val="009A2D45"/>
    <w:rsid w:val="009A7FFC"/>
    <w:rsid w:val="009B7AE5"/>
    <w:rsid w:val="009C7CB0"/>
    <w:rsid w:val="00A07F14"/>
    <w:rsid w:val="00A12CC5"/>
    <w:rsid w:val="00A223B8"/>
    <w:rsid w:val="00A5679E"/>
    <w:rsid w:val="00A62FAD"/>
    <w:rsid w:val="00AA182E"/>
    <w:rsid w:val="00AC110D"/>
    <w:rsid w:val="00AD6FB4"/>
    <w:rsid w:val="00AF0400"/>
    <w:rsid w:val="00B05D60"/>
    <w:rsid w:val="00B23540"/>
    <w:rsid w:val="00B25F40"/>
    <w:rsid w:val="00B30AEB"/>
    <w:rsid w:val="00B44DDF"/>
    <w:rsid w:val="00B50514"/>
    <w:rsid w:val="00B8244F"/>
    <w:rsid w:val="00BA6A6E"/>
    <w:rsid w:val="00BB5859"/>
    <w:rsid w:val="00BE2FC9"/>
    <w:rsid w:val="00BE4D14"/>
    <w:rsid w:val="00BF2B47"/>
    <w:rsid w:val="00BF4619"/>
    <w:rsid w:val="00C04568"/>
    <w:rsid w:val="00C76E54"/>
    <w:rsid w:val="00C8207E"/>
    <w:rsid w:val="00CA5ED2"/>
    <w:rsid w:val="00CB0AAF"/>
    <w:rsid w:val="00CC2738"/>
    <w:rsid w:val="00CD271E"/>
    <w:rsid w:val="00D96135"/>
    <w:rsid w:val="00DB2C86"/>
    <w:rsid w:val="00DC7190"/>
    <w:rsid w:val="00DE0582"/>
    <w:rsid w:val="00DE7B4F"/>
    <w:rsid w:val="00E02A21"/>
    <w:rsid w:val="00E02FFC"/>
    <w:rsid w:val="00E038AF"/>
    <w:rsid w:val="00E63538"/>
    <w:rsid w:val="00E66607"/>
    <w:rsid w:val="00E666D6"/>
    <w:rsid w:val="00E716A6"/>
    <w:rsid w:val="00E857AB"/>
    <w:rsid w:val="00E9213E"/>
    <w:rsid w:val="00E93C9B"/>
    <w:rsid w:val="00E96B9D"/>
    <w:rsid w:val="00EA4E1B"/>
    <w:rsid w:val="00EB4013"/>
    <w:rsid w:val="00EC6DF0"/>
    <w:rsid w:val="00EE0EF3"/>
    <w:rsid w:val="00EE4E60"/>
    <w:rsid w:val="00EF4608"/>
    <w:rsid w:val="00F14FB6"/>
    <w:rsid w:val="00F25C2D"/>
    <w:rsid w:val="00F30661"/>
    <w:rsid w:val="00F41921"/>
    <w:rsid w:val="00F61104"/>
    <w:rsid w:val="00F65B51"/>
    <w:rsid w:val="00F672D9"/>
    <w:rsid w:val="00F83333"/>
    <w:rsid w:val="00F917DA"/>
    <w:rsid w:val="00FF1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3DEEE"/>
  <w15:docId w15:val="{42978627-3C31-4E6D-8975-4AA8F206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C9B"/>
  </w:style>
  <w:style w:type="paragraph" w:styleId="Ttulo1">
    <w:name w:val="heading 1"/>
    <w:basedOn w:val="Normal"/>
    <w:next w:val="Normal"/>
    <w:link w:val="Ttulo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1F25B2"/>
    <w:pPr>
      <w:keepNext/>
      <w:keepLines/>
      <w:spacing w:before="40" w:after="0"/>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semiHidden/>
    <w:rsid w:val="00EA4E1B"/>
    <w:rPr>
      <w:vertAlign w:val="superscript"/>
    </w:rPr>
  </w:style>
  <w:style w:type="paragraph" w:styleId="Textodenotaderodap">
    <w:name w:val="footnote text"/>
    <w:basedOn w:val="Normal"/>
    <w:next w:val="Normal"/>
    <w:link w:val="TextodenotaderodapChar"/>
    <w:semiHidden/>
    <w:rsid w:val="00EA4E1B"/>
    <w:pPr>
      <w:spacing w:after="0" w:line="170" w:lineRule="exact"/>
      <w:ind w:firstLine="187"/>
      <w:jc w:val="both"/>
    </w:pPr>
    <w:rPr>
      <w:rFonts w:ascii="Times" w:eastAsia="Times New Roman" w:hAnsi="Times" w:cs="Times New Roman"/>
      <w:sz w:val="16"/>
      <w:szCs w:val="20"/>
      <w:lang w:val="en-US" w:eastAsia="pt-BR"/>
    </w:rPr>
  </w:style>
  <w:style w:type="character" w:customStyle="1" w:styleId="TextodenotaderodapChar">
    <w:name w:val="Texto de nota de rodapé Char"/>
    <w:basedOn w:val="Fontepargpadro"/>
    <w:link w:val="Textodenotaderodap"/>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Ttulo2Char">
    <w:name w:val="Título 2 Char"/>
    <w:basedOn w:val="Fontepargpadro"/>
    <w:link w:val="Ttulo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rsid w:val="00EA4E1B"/>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rsid w:val="00EA4E1B"/>
    <w:pPr>
      <w:jc w:val="both"/>
    </w:pPr>
  </w:style>
  <w:style w:type="paragraph" w:styleId="Cabealho">
    <w:name w:val="header"/>
    <w:basedOn w:val="Normal"/>
    <w:link w:val="CabealhoChar"/>
    <w:unhideWhenUsed/>
    <w:rsid w:val="00EA4E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E1B"/>
  </w:style>
  <w:style w:type="paragraph" w:styleId="Rodap">
    <w:name w:val="footer"/>
    <w:basedOn w:val="Normal"/>
    <w:link w:val="RodapChar"/>
    <w:uiPriority w:val="99"/>
    <w:unhideWhenUsed/>
    <w:rsid w:val="00EA4E1B"/>
    <w:pPr>
      <w:tabs>
        <w:tab w:val="center" w:pos="4252"/>
        <w:tab w:val="right" w:pos="8504"/>
      </w:tabs>
      <w:spacing w:after="0" w:line="240" w:lineRule="auto"/>
    </w:pPr>
  </w:style>
  <w:style w:type="character" w:customStyle="1" w:styleId="RodapChar">
    <w:name w:val="Rodapé Char"/>
    <w:basedOn w:val="Fontepargpadro"/>
    <w:link w:val="Rodap"/>
    <w:uiPriority w:val="99"/>
    <w:rsid w:val="00EA4E1B"/>
  </w:style>
  <w:style w:type="paragraph" w:styleId="Textodebalo">
    <w:name w:val="Balloon Text"/>
    <w:basedOn w:val="Normal"/>
    <w:link w:val="TextodebaloChar"/>
    <w:uiPriority w:val="99"/>
    <w:semiHidden/>
    <w:unhideWhenUsed/>
    <w:rsid w:val="001E58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58A9"/>
    <w:rPr>
      <w:rFonts w:ascii="Tahoma" w:hAnsi="Tahoma" w:cs="Tahoma"/>
      <w:sz w:val="16"/>
      <w:szCs w:val="16"/>
    </w:rPr>
  </w:style>
  <w:style w:type="paragraph" w:styleId="Textodenotadefim">
    <w:name w:val="endnote text"/>
    <w:basedOn w:val="Normal"/>
    <w:link w:val="TextodenotadefimChar"/>
    <w:uiPriority w:val="99"/>
    <w:semiHidden/>
    <w:unhideWhenUsed/>
    <w:rsid w:val="001E58A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E58A9"/>
    <w:rPr>
      <w:sz w:val="20"/>
      <w:szCs w:val="20"/>
    </w:rPr>
  </w:style>
  <w:style w:type="character" w:styleId="Refdenotadefim">
    <w:name w:val="endnote reference"/>
    <w:basedOn w:val="Fontepargpadro"/>
    <w:uiPriority w:val="99"/>
    <w:semiHidden/>
    <w:unhideWhenUsed/>
    <w:rsid w:val="001E58A9"/>
    <w:rPr>
      <w:vertAlign w:val="superscript"/>
    </w:rPr>
  </w:style>
  <w:style w:type="character" w:customStyle="1" w:styleId="Ttulo1Char">
    <w:name w:val="Título 1 Char"/>
    <w:basedOn w:val="Fontepargpadro"/>
    <w:link w:val="Ttulo1"/>
    <w:uiPriority w:val="9"/>
    <w:rsid w:val="001F25B2"/>
    <w:rPr>
      <w:rFonts w:asciiTheme="majorHAnsi" w:eastAsiaTheme="majorEastAsia" w:hAnsiTheme="majorHAnsi" w:cstheme="majorBidi"/>
      <w:color w:val="2F5496" w:themeColor="accent1" w:themeShade="BF"/>
      <w:sz w:val="40"/>
      <w:szCs w:val="40"/>
    </w:rPr>
  </w:style>
  <w:style w:type="character" w:customStyle="1" w:styleId="Ttulo3Char">
    <w:name w:val="Título 3 Char"/>
    <w:basedOn w:val="Fontepargpadro"/>
    <w:link w:val="Ttulo3"/>
    <w:uiPriority w:val="9"/>
    <w:semiHidden/>
    <w:rsid w:val="001F25B2"/>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rsid w:val="001F25B2"/>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sid w:val="001F25B2"/>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1F25B2"/>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1F25B2"/>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1F25B2"/>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1F25B2"/>
    <w:rPr>
      <w:b/>
      <w:bCs/>
      <w:i/>
      <w:iCs/>
    </w:rPr>
  </w:style>
  <w:style w:type="paragraph" w:styleId="Legenda">
    <w:name w:val="caption"/>
    <w:basedOn w:val="Normal"/>
    <w:next w:val="Normal"/>
    <w:unhideWhenUsed/>
    <w:qFormat/>
    <w:rsid w:val="001F25B2"/>
    <w:pPr>
      <w:spacing w:line="240" w:lineRule="auto"/>
    </w:pPr>
    <w:rPr>
      <w:b/>
      <w:bCs/>
      <w:color w:val="404040" w:themeColor="text1" w:themeTint="BF"/>
      <w:sz w:val="16"/>
      <w:szCs w:val="16"/>
    </w:rPr>
  </w:style>
  <w:style w:type="paragraph" w:styleId="Ttulo">
    <w:name w:val="Title"/>
    <w:basedOn w:val="Normal"/>
    <w:next w:val="Normal"/>
    <w:link w:val="Ttulo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har">
    <w:name w:val="Título Char"/>
    <w:basedOn w:val="Fontepargpadro"/>
    <w:link w:val="Ttulo"/>
    <w:uiPriority w:val="10"/>
    <w:rsid w:val="001F25B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har"/>
    <w:uiPriority w:val="11"/>
    <w:qFormat/>
    <w:rsid w:val="001F25B2"/>
    <w:pPr>
      <w:numPr>
        <w:ilvl w:val="1"/>
      </w:numPr>
      <w:jc w:val="center"/>
    </w:pPr>
    <w:rPr>
      <w:color w:val="44546A" w:themeColor="text2"/>
      <w:sz w:val="28"/>
      <w:szCs w:val="28"/>
    </w:rPr>
  </w:style>
  <w:style w:type="character" w:customStyle="1" w:styleId="SubttuloChar">
    <w:name w:val="Subtítulo Char"/>
    <w:basedOn w:val="Fontepargpadro"/>
    <w:link w:val="Subttulo"/>
    <w:uiPriority w:val="11"/>
    <w:rsid w:val="001F25B2"/>
    <w:rPr>
      <w:color w:val="44546A" w:themeColor="text2"/>
      <w:sz w:val="28"/>
      <w:szCs w:val="28"/>
    </w:rPr>
  </w:style>
  <w:style w:type="character" w:styleId="Forte">
    <w:name w:val="Strong"/>
    <w:basedOn w:val="Fontepargpadro"/>
    <w:uiPriority w:val="22"/>
    <w:qFormat/>
    <w:rsid w:val="001F25B2"/>
    <w:rPr>
      <w:b/>
      <w:bCs/>
    </w:rPr>
  </w:style>
  <w:style w:type="character" w:styleId="nfase">
    <w:name w:val="Emphasis"/>
    <w:basedOn w:val="Fontepargpadro"/>
    <w:uiPriority w:val="20"/>
    <w:qFormat/>
    <w:rsid w:val="001F25B2"/>
    <w:rPr>
      <w:i/>
      <w:iCs/>
      <w:color w:val="000000" w:themeColor="text1"/>
    </w:rPr>
  </w:style>
  <w:style w:type="paragraph" w:styleId="SemEspaamento">
    <w:name w:val="No Spacing"/>
    <w:uiPriority w:val="1"/>
    <w:qFormat/>
    <w:rsid w:val="001F25B2"/>
    <w:pPr>
      <w:spacing w:after="0" w:line="240" w:lineRule="auto"/>
    </w:pPr>
  </w:style>
  <w:style w:type="paragraph" w:styleId="Citao">
    <w:name w:val="Quote"/>
    <w:basedOn w:val="Normal"/>
    <w:next w:val="Normal"/>
    <w:link w:val="CitaoChar"/>
    <w:uiPriority w:val="29"/>
    <w:qFormat/>
    <w:rsid w:val="001F25B2"/>
    <w:pPr>
      <w:spacing w:before="160"/>
      <w:ind w:left="720" w:right="720"/>
      <w:jc w:val="center"/>
    </w:pPr>
    <w:rPr>
      <w:i/>
      <w:iCs/>
      <w:color w:val="7B7B7B" w:themeColor="accent3" w:themeShade="BF"/>
      <w:sz w:val="24"/>
      <w:szCs w:val="24"/>
    </w:rPr>
  </w:style>
  <w:style w:type="character" w:customStyle="1" w:styleId="CitaoChar">
    <w:name w:val="Citação Char"/>
    <w:basedOn w:val="Fontepargpadro"/>
    <w:link w:val="Citao"/>
    <w:uiPriority w:val="29"/>
    <w:rsid w:val="001F25B2"/>
    <w:rPr>
      <w:i/>
      <w:iCs/>
      <w:color w:val="7B7B7B" w:themeColor="accent3" w:themeShade="BF"/>
      <w:sz w:val="24"/>
      <w:szCs w:val="24"/>
    </w:rPr>
  </w:style>
  <w:style w:type="paragraph" w:styleId="CitaoIntensa">
    <w:name w:val="Intense Quote"/>
    <w:basedOn w:val="Normal"/>
    <w:next w:val="Normal"/>
    <w:link w:val="CitaoIntensa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oIntensaChar">
    <w:name w:val="Citação Intensa Char"/>
    <w:basedOn w:val="Fontepargpadro"/>
    <w:link w:val="CitaoIntensa"/>
    <w:uiPriority w:val="30"/>
    <w:rsid w:val="001F25B2"/>
    <w:rPr>
      <w:rFonts w:asciiTheme="majorHAnsi" w:eastAsiaTheme="majorEastAsia" w:hAnsiTheme="majorHAnsi" w:cstheme="majorBidi"/>
      <w:caps/>
      <w:color w:val="2F5496" w:themeColor="accent1" w:themeShade="BF"/>
      <w:sz w:val="28"/>
      <w:szCs w:val="28"/>
    </w:rPr>
  </w:style>
  <w:style w:type="character" w:styleId="nfaseSutil">
    <w:name w:val="Subtle Emphasis"/>
    <w:basedOn w:val="Fontepargpadro"/>
    <w:uiPriority w:val="19"/>
    <w:qFormat/>
    <w:rsid w:val="001F25B2"/>
    <w:rPr>
      <w:i/>
      <w:iCs/>
      <w:color w:val="595959" w:themeColor="text1" w:themeTint="A6"/>
    </w:rPr>
  </w:style>
  <w:style w:type="character" w:styleId="nfaseIntensa">
    <w:name w:val="Intense Emphasis"/>
    <w:basedOn w:val="Fontepargpadro"/>
    <w:uiPriority w:val="21"/>
    <w:qFormat/>
    <w:rsid w:val="001F25B2"/>
    <w:rPr>
      <w:b/>
      <w:bCs/>
      <w:i/>
      <w:iCs/>
      <w:color w:val="auto"/>
    </w:rPr>
  </w:style>
  <w:style w:type="character" w:styleId="RefernciaSutil">
    <w:name w:val="Subtle Reference"/>
    <w:basedOn w:val="Fontepargpadro"/>
    <w:uiPriority w:val="31"/>
    <w:qFormat/>
    <w:rsid w:val="001F25B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1F25B2"/>
    <w:rPr>
      <w:b/>
      <w:bCs/>
      <w:caps w:val="0"/>
      <w:smallCaps/>
      <w:color w:val="auto"/>
      <w:spacing w:val="0"/>
      <w:u w:val="single"/>
    </w:rPr>
  </w:style>
  <w:style w:type="character" w:styleId="TtulodoLivro">
    <w:name w:val="Book Title"/>
    <w:basedOn w:val="Fontepargpadro"/>
    <w:uiPriority w:val="33"/>
    <w:qFormat/>
    <w:rsid w:val="001F25B2"/>
    <w:rPr>
      <w:b/>
      <w:bCs/>
      <w:caps w:val="0"/>
      <w:smallCaps/>
      <w:spacing w:val="0"/>
    </w:rPr>
  </w:style>
  <w:style w:type="paragraph" w:styleId="CabealhodoSumrio">
    <w:name w:val="TOC Heading"/>
    <w:basedOn w:val="Ttulo1"/>
    <w:next w:val="Normal"/>
    <w:uiPriority w:val="39"/>
    <w:semiHidden/>
    <w:unhideWhenUsed/>
    <w:qFormat/>
    <w:rsid w:val="001F25B2"/>
    <w:pPr>
      <w:outlineLvl w:val="9"/>
    </w:pPr>
  </w:style>
  <w:style w:type="table" w:styleId="Tabelacomgrade">
    <w:name w:val="Table Grid"/>
    <w:basedOn w:val="Tabelanormal"/>
    <w:uiPriority w:val="39"/>
    <w:rsid w:val="002B69A7"/>
    <w:pPr>
      <w:spacing w:after="0" w:line="240" w:lineRule="auto"/>
    </w:pPr>
    <w:rPr>
      <w:rFonts w:ascii="Calibri" w:eastAsia="SimSun" w:hAnsi="Calibri" w:cs="Calibri"/>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EspaoReservado">
    <w:name w:val="Placeholder Text"/>
    <w:basedOn w:val="Fontepargpadro"/>
    <w:uiPriority w:val="99"/>
    <w:semiHidden/>
    <w:rsid w:val="00597543"/>
    <w:rPr>
      <w:color w:val="808080"/>
    </w:rPr>
  </w:style>
  <w:style w:type="character" w:styleId="Refdecomentrio">
    <w:name w:val="annotation reference"/>
    <w:basedOn w:val="Fontepargpadro"/>
    <w:uiPriority w:val="99"/>
    <w:semiHidden/>
    <w:unhideWhenUsed/>
    <w:rsid w:val="004C16DC"/>
    <w:rPr>
      <w:sz w:val="16"/>
      <w:szCs w:val="16"/>
    </w:rPr>
  </w:style>
  <w:style w:type="paragraph" w:styleId="Textodecomentrio">
    <w:name w:val="annotation text"/>
    <w:basedOn w:val="Normal"/>
    <w:link w:val="TextodecomentrioChar"/>
    <w:uiPriority w:val="99"/>
    <w:unhideWhenUsed/>
    <w:rsid w:val="004C16DC"/>
    <w:pPr>
      <w:spacing w:line="240" w:lineRule="auto"/>
    </w:pPr>
    <w:rPr>
      <w:sz w:val="20"/>
      <w:szCs w:val="20"/>
    </w:rPr>
  </w:style>
  <w:style w:type="character" w:customStyle="1" w:styleId="TextodecomentrioChar">
    <w:name w:val="Texto de comentário Char"/>
    <w:basedOn w:val="Fontepargpadro"/>
    <w:link w:val="Textodecomentrio"/>
    <w:uiPriority w:val="99"/>
    <w:rsid w:val="004C16DC"/>
    <w:rPr>
      <w:sz w:val="20"/>
      <w:szCs w:val="20"/>
    </w:rPr>
  </w:style>
  <w:style w:type="paragraph" w:styleId="Assuntodocomentrio">
    <w:name w:val="annotation subject"/>
    <w:basedOn w:val="Textodecomentrio"/>
    <w:next w:val="Textodecomentrio"/>
    <w:link w:val="AssuntodocomentrioChar"/>
    <w:uiPriority w:val="99"/>
    <w:semiHidden/>
    <w:unhideWhenUsed/>
    <w:rsid w:val="004C16DC"/>
    <w:rPr>
      <w:b/>
      <w:bCs/>
    </w:rPr>
  </w:style>
  <w:style w:type="character" w:customStyle="1" w:styleId="AssuntodocomentrioChar">
    <w:name w:val="Assunto do comentário Char"/>
    <w:basedOn w:val="TextodecomentrioChar"/>
    <w:link w:val="Assuntodocomentrio"/>
    <w:uiPriority w:val="99"/>
    <w:semiHidden/>
    <w:rsid w:val="004C16DC"/>
    <w:rPr>
      <w:b/>
      <w:bCs/>
      <w:sz w:val="20"/>
      <w:szCs w:val="20"/>
    </w:rPr>
  </w:style>
  <w:style w:type="paragraph" w:styleId="Reviso">
    <w:name w:val="Revision"/>
    <w:hidden/>
    <w:uiPriority w:val="99"/>
    <w:semiHidden/>
    <w:rsid w:val="00390D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81897">
      <w:bodyDiv w:val="1"/>
      <w:marLeft w:val="0"/>
      <w:marRight w:val="0"/>
      <w:marTop w:val="0"/>
      <w:marBottom w:val="0"/>
      <w:divBdr>
        <w:top w:val="none" w:sz="0" w:space="0" w:color="auto"/>
        <w:left w:val="none" w:sz="0" w:space="0" w:color="auto"/>
        <w:bottom w:val="none" w:sz="0" w:space="0" w:color="auto"/>
        <w:right w:val="none" w:sz="0" w:space="0" w:color="auto"/>
      </w:divBdr>
    </w:div>
    <w:div w:id="1538589314">
      <w:bodyDiv w:val="1"/>
      <w:marLeft w:val="0"/>
      <w:marRight w:val="0"/>
      <w:marTop w:val="0"/>
      <w:marBottom w:val="0"/>
      <w:divBdr>
        <w:top w:val="none" w:sz="0" w:space="0" w:color="auto"/>
        <w:left w:val="none" w:sz="0" w:space="0" w:color="auto"/>
        <w:bottom w:val="none" w:sz="0" w:space="0" w:color="auto"/>
        <w:right w:val="none" w:sz="0" w:space="0" w:color="auto"/>
      </w:divBdr>
    </w:div>
    <w:div w:id="174536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C4864-6DA6-4DBF-87D2-C1D41352C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1516</Words>
  <Characters>8188</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Marcel Ribeiro Gallo</dc:creator>
  <cp:lastModifiedBy>José Luiz Cunha Cordeiro</cp:lastModifiedBy>
  <cp:revision>12</cp:revision>
  <dcterms:created xsi:type="dcterms:W3CDTF">2023-08-15T14:05:00Z</dcterms:created>
  <dcterms:modified xsi:type="dcterms:W3CDTF">2023-08-19T01:15:00Z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http://www.zotero.org/styles/angewandte-chemie</vt:lpwstr>
  </property>
  <property fmtid="{D5CDD505-2E9C-101B-9397-08002B2CF9AE}" pid="5" name="Mendeley Recent Style Name 1_1">
    <vt:lpwstr>Angewandte Chemie International Edition</vt:lpwstr>
  </property>
  <property fmtid="{D5CDD505-2E9C-101B-9397-08002B2CF9AE}" pid="6" name="Mendeley Recent Style Id 2_1">
    <vt:lpwstr>http://www.zotero.org/styles/applied-catalysis-a-general</vt:lpwstr>
  </property>
  <property fmtid="{D5CDD505-2E9C-101B-9397-08002B2CF9AE}" pid="7" name="Mendeley Recent Style Name 2_1">
    <vt:lpwstr>Applied Catalysis A, General</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http://www.zotero.org/styles/fuel</vt:lpwstr>
  </property>
  <property fmtid="{D5CDD505-2E9C-101B-9397-08002B2CF9AE}" pid="13" name="Mendeley Recent Style Name 5_1">
    <vt:lpwstr>Fuel</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http://www.zotero.org/styles/microporous-and-mesoporous-materials</vt:lpwstr>
  </property>
  <property fmtid="{D5CDD505-2E9C-101B-9397-08002B2CF9AE}" pid="17" name="Mendeley Recent Style Name 7_1">
    <vt:lpwstr>Microporous and Mesoporous Materials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y fmtid="{D5CDD505-2E9C-101B-9397-08002B2CF9AE}" pid="22" name="GrammarlyDocumentId">
    <vt:lpwstr>28a3f005e14ec190cda811bb2361d036addfe9edd6f31c59fdb917741f210ce4</vt:lpwstr>
  </property>
</Properties>
</file>