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33E15EE4" w:rsidR="00AF0400" w:rsidRDefault="003776C6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17D51922" wp14:editId="76A505E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51922" id="Retângulo 2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Q/jQIAAHsFAAAOAAAAZHJzL2Uyb0RvYy54bWysVE1v2zAMvQ/YfxB0X+0UbboadYqgRYcB&#10;QVusHXpWZCk2JosapcTJfv0o+aNBV+wwzAdDEh8fySeKV9f71rCdQt+ALfnsJOdMWQlVYzcl//58&#10;9+kzZz4IWwkDVpX8oDy/Xnz8cNW5Qp1CDaZSyIjE+qJzJa9DcEWWeVmrVvgTcMqSUQO2ItAWN1mF&#10;oiP21mSneT7POsDKIUjlPZ3e9ka+SPxaKxketPYqMFNyyi2kP6b/Ov6zxZUoNihc3cghDfEPWbSi&#10;sRR0oroVQbAtNn9QtY1E8KDDiYQ2A60bqVINVM0sf1PNUy2cSrWQON5NMvn/Ryvvd0/uEWPq3q1A&#10;/vCkSNY5X0yWuPEDZq+xjVhKnO2TiodJRbUPTNLh/Dy/OPtMYkuyzeYX87MkcyaK0duhD18UtCwu&#10;So50S0k8sVv5EOOLYoSkxMA01V1jTNrgZn1jkO0E3ejlMqcvXiK5+GOYsRFsIbr15niSCutrSVWF&#10;g1ERZ+w3pVlTUfanKZPUf2qKI6RUNsx6Uy0q1Yc/P44eOzZ6pFwSYWTWFH/iHghGZE8ycvdZDvjo&#10;qlL7Ts753xLrnSePFBlsmJzbxgK+R2CoqiFyjx9F6qWJKoX9ek+QuFxDdXhEhtC/I+/kXUNXuBI+&#10;PAqkh0O3TsMgPNBPG+hKDsOKsxrw13vnEU/9TFbOOnqIJfc/twIVZ+arpU6/nJ1RA7GQNrTA49P1&#10;eGq37Q1QR8xo3DiZlhEbzLjUCO0LzYpljEYmYSXFLLkMOG5uQj8YaNpItVwmGL1SJ8LKPjkZyaOw&#10;sTWf9y8C3dC/gTr/HsbHKoo3bdxjo6eF5TaAblKPv+o5SE4vPPXOMI3iCDneJ9TrzFz8BgAA//8D&#10;AFBLAwQUAAYACAAAACEA10RqM9sAAAAFAQAADwAAAGRycy9kb3ducmV2LnhtbEyPQUvDQBCF74L/&#10;YRnBm900hKAxk1IqFfRm9NLbNjsmsdmZkN228d+79aKXB8Mb3vteuZrdoE40+V4YYblIQBE3Yntu&#10;ET7et3f3oHwwbM0gTAjf5GFVXV+VprBy5jc61aFVMYR9YRC6EMZCa9905IxfyEgcvU+ZnAnxnFpt&#10;J3OO4W7QaZLk2pmeY0NnRtp01Bzqo0N4mJey+1rnh22Tja+755dasqcN4u3NvH4EFWgOf89wwY/o&#10;UEWmvRzZejUgxCHhVy9ekmZxxx4hzTPQVan/01c/AAAA//8DAFBLAQItABQABgAIAAAAIQC2gziS&#10;/gAAAOEBAAATAAAAAAAAAAAAAAAAAAAAAABbQ29udGVudF9UeXBlc10ueG1sUEsBAi0AFAAGAAgA&#10;AAAhADj9If/WAAAAlAEAAAsAAAAAAAAAAAAAAAAALwEAAF9yZWxzLy5yZWxzUEsBAi0AFAAGAAgA&#10;AAAhAA+YtD+NAgAAewUAAA4AAAAAAAAAAAAAAAAALgIAAGRycy9lMm9Eb2MueG1sUEsBAi0AFAAG&#10;AAgAAAAhANdEajPbAAAABQEAAA8AAAAAAAAAAAAAAAAA5wQAAGRycy9kb3ducmV2LnhtbFBLBQYA&#10;AAAABAAEAPMAAADv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D79AD8" w14:textId="77777777" w:rsidR="003412E2" w:rsidRPr="00122A79" w:rsidRDefault="003412E2" w:rsidP="003412E2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>Transesterificação metílica do óleo de andiroba empregando catalisador ácido baseado em hidrocarvão de biomassa residual</w:t>
      </w:r>
    </w:p>
    <w:p w14:paraId="18735493" w14:textId="1F41821F" w:rsidR="00EA4E1B" w:rsidRPr="00A60B49" w:rsidRDefault="005F6837" w:rsidP="005F6837">
      <w:pPr>
        <w:pStyle w:val="BBAuthorName"/>
        <w:spacing w:before="120" w:after="120"/>
        <w:ind w:right="0"/>
        <w:jc w:val="both"/>
        <w:rPr>
          <w:rFonts w:ascii="Times New Roman" w:hAnsi="Times New Roman"/>
          <w:sz w:val="20"/>
          <w:vertAlign w:val="superscript"/>
          <w:lang w:val="pt-BR"/>
        </w:rPr>
      </w:pPr>
      <w:r>
        <w:rPr>
          <w:rFonts w:ascii="Times New Roman" w:hAnsi="Times New Roman"/>
          <w:sz w:val="20"/>
          <w:lang w:val="pt-BR"/>
        </w:rPr>
        <w:t>Klemerson L</w:t>
      </w:r>
      <w:r w:rsidR="00F97573">
        <w:rPr>
          <w:rFonts w:ascii="Times New Roman" w:hAnsi="Times New Roman"/>
          <w:sz w:val="20"/>
          <w:lang w:val="pt-BR"/>
        </w:rPr>
        <w:t>uiz</w:t>
      </w:r>
      <w:r>
        <w:rPr>
          <w:rFonts w:ascii="Times New Roman" w:hAnsi="Times New Roman"/>
          <w:sz w:val="20"/>
          <w:lang w:val="pt-BR"/>
        </w:rPr>
        <w:t xml:space="preserve"> </w:t>
      </w:r>
      <w:r w:rsidR="00F97573">
        <w:rPr>
          <w:rFonts w:ascii="Times New Roman" w:hAnsi="Times New Roman"/>
          <w:sz w:val="20"/>
          <w:lang w:val="pt-BR"/>
        </w:rPr>
        <w:t xml:space="preserve">da </w:t>
      </w:r>
      <w:r>
        <w:rPr>
          <w:rFonts w:ascii="Times New Roman" w:hAnsi="Times New Roman"/>
          <w:sz w:val="20"/>
          <w:lang w:val="pt-BR"/>
        </w:rPr>
        <w:t>Silva</w:t>
      </w:r>
      <w:r w:rsidR="00EA4E1B"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 w:rsidR="00CF6B9A">
        <w:rPr>
          <w:rFonts w:ascii="Times New Roman" w:hAnsi="Times New Roman"/>
          <w:sz w:val="20"/>
          <w:vertAlign w:val="superscript"/>
          <w:lang w:val="pt-BR"/>
        </w:rPr>
        <w:t>*</w:t>
      </w:r>
      <w:r w:rsidR="008608DD">
        <w:rPr>
          <w:rFonts w:ascii="Times New Roman" w:hAnsi="Times New Roman"/>
          <w:sz w:val="20"/>
          <w:vertAlign w:val="superscript"/>
          <w:lang w:val="pt-BR"/>
        </w:rPr>
        <w:softHyphen/>
      </w:r>
      <w:r w:rsidR="008608DD">
        <w:rPr>
          <w:rFonts w:ascii="Times New Roman" w:hAnsi="Times New Roman"/>
          <w:sz w:val="20"/>
          <w:vertAlign w:val="superscript"/>
          <w:lang w:val="pt-BR"/>
        </w:rPr>
        <w:softHyphen/>
      </w:r>
      <w:r w:rsidR="008608DD">
        <w:rPr>
          <w:rFonts w:ascii="Times New Roman" w:hAnsi="Times New Roman"/>
          <w:sz w:val="20"/>
          <w:lang w:val="pt-BR"/>
        </w:rPr>
        <w:t>, Thaissa Saraiva Ribeiro</w:t>
      </w:r>
      <w:r w:rsidR="008608DD">
        <w:rPr>
          <w:rFonts w:ascii="Times New Roman" w:hAnsi="Times New Roman"/>
          <w:sz w:val="20"/>
          <w:vertAlign w:val="superscript"/>
          <w:lang w:val="pt-BR"/>
        </w:rPr>
        <w:t>2</w:t>
      </w:r>
      <w:r w:rsidR="00E92DD2">
        <w:rPr>
          <w:rFonts w:ascii="Times New Roman" w:hAnsi="Times New Roman"/>
          <w:sz w:val="20"/>
          <w:lang w:val="pt-BR"/>
        </w:rPr>
        <w:t>,</w:t>
      </w:r>
      <w:r w:rsidR="00E92DD2" w:rsidRPr="00706186">
        <w:rPr>
          <w:rFonts w:ascii="Times New Roman" w:hAnsi="Times New Roman"/>
          <w:sz w:val="20"/>
          <w:lang w:val="pt-BR"/>
        </w:rPr>
        <w:t xml:space="preserve"> </w:t>
      </w:r>
      <w:r w:rsidR="00F146E5">
        <w:rPr>
          <w:rFonts w:ascii="Times New Roman" w:hAnsi="Times New Roman"/>
          <w:sz w:val="20"/>
          <w:lang w:val="pt-BR"/>
        </w:rPr>
        <w:t>Matheus Arrais Gonçalves</w:t>
      </w:r>
      <w:r w:rsidR="00F146E5">
        <w:rPr>
          <w:rFonts w:ascii="Times New Roman" w:hAnsi="Times New Roman"/>
          <w:sz w:val="20"/>
          <w:vertAlign w:val="superscript"/>
          <w:lang w:val="pt-BR"/>
        </w:rPr>
        <w:t>2</w:t>
      </w:r>
      <w:r w:rsidR="00E92DD2">
        <w:rPr>
          <w:rFonts w:ascii="Times New Roman" w:hAnsi="Times New Roman"/>
          <w:sz w:val="20"/>
          <w:lang w:val="pt-BR"/>
        </w:rPr>
        <w:t>, Hiarla Cristina Lima dos Santos</w:t>
      </w:r>
      <w:r w:rsidR="00E92DD2">
        <w:rPr>
          <w:rFonts w:ascii="Times New Roman" w:hAnsi="Times New Roman"/>
          <w:sz w:val="20"/>
          <w:vertAlign w:val="superscript"/>
          <w:lang w:val="pt-BR"/>
        </w:rPr>
        <w:t>2</w:t>
      </w:r>
      <w:r w:rsidR="00E92DD2">
        <w:rPr>
          <w:rFonts w:ascii="Times New Roman" w:hAnsi="Times New Roman"/>
          <w:sz w:val="20"/>
          <w:lang w:val="pt-BR"/>
        </w:rPr>
        <w:t>,</w:t>
      </w:r>
      <w:r w:rsidR="007763AF">
        <w:rPr>
          <w:rFonts w:ascii="Times New Roman" w:hAnsi="Times New Roman"/>
          <w:sz w:val="20"/>
          <w:lang w:val="pt-BR"/>
        </w:rPr>
        <w:t xml:space="preserve"> Beatriz dos Santos Silva</w:t>
      </w:r>
      <w:r w:rsidR="001E2B7C">
        <w:rPr>
          <w:rFonts w:ascii="Times New Roman" w:hAnsi="Times New Roman"/>
          <w:sz w:val="20"/>
          <w:vertAlign w:val="superscript"/>
          <w:lang w:val="pt-BR"/>
        </w:rPr>
        <w:t>2</w:t>
      </w:r>
      <w:r w:rsidR="007763AF">
        <w:rPr>
          <w:rFonts w:ascii="Times New Roman" w:hAnsi="Times New Roman"/>
          <w:sz w:val="20"/>
          <w:lang w:val="pt-BR"/>
        </w:rPr>
        <w:t>,</w:t>
      </w:r>
      <w:r w:rsidR="00F146E5">
        <w:rPr>
          <w:rFonts w:ascii="Times New Roman" w:hAnsi="Times New Roman"/>
          <w:sz w:val="20"/>
          <w:lang w:val="pt-BR"/>
        </w:rPr>
        <w:t xml:space="preserve"> Vicente</w:t>
      </w:r>
      <w:r w:rsidR="00C14E4C">
        <w:rPr>
          <w:rFonts w:ascii="Times New Roman" w:hAnsi="Times New Roman"/>
          <w:sz w:val="20"/>
          <w:lang w:val="pt-BR"/>
        </w:rPr>
        <w:t xml:space="preserve"> da</w:t>
      </w:r>
      <w:r w:rsidR="00F146E5">
        <w:rPr>
          <w:rFonts w:ascii="Times New Roman" w:hAnsi="Times New Roman"/>
          <w:sz w:val="20"/>
          <w:lang w:val="pt-BR"/>
        </w:rPr>
        <w:t xml:space="preserve"> </w:t>
      </w:r>
      <w:r w:rsidR="00BA7676">
        <w:rPr>
          <w:rFonts w:ascii="Times New Roman" w:hAnsi="Times New Roman"/>
          <w:sz w:val="20"/>
          <w:lang w:val="pt-BR"/>
        </w:rPr>
        <w:t xml:space="preserve">Silva </w:t>
      </w:r>
      <w:r w:rsidR="00F146E5">
        <w:rPr>
          <w:rFonts w:ascii="Times New Roman" w:hAnsi="Times New Roman"/>
          <w:sz w:val="20"/>
          <w:lang w:val="pt-BR"/>
        </w:rPr>
        <w:t>Lima</w:t>
      </w:r>
      <w:r w:rsidR="006302D3">
        <w:rPr>
          <w:rFonts w:ascii="Times New Roman" w:hAnsi="Times New Roman"/>
          <w:sz w:val="20"/>
          <w:vertAlign w:val="superscript"/>
          <w:lang w:val="pt-BR"/>
        </w:rPr>
        <w:t>3</w:t>
      </w:r>
      <w:r w:rsidR="004A153D">
        <w:rPr>
          <w:rFonts w:ascii="Times New Roman" w:hAnsi="Times New Roman"/>
          <w:sz w:val="20"/>
          <w:lang w:val="pt-BR"/>
        </w:rPr>
        <w:t>,</w:t>
      </w:r>
      <w:r w:rsidR="00D90967">
        <w:rPr>
          <w:rFonts w:ascii="Times New Roman" w:hAnsi="Times New Roman"/>
          <w:sz w:val="20"/>
          <w:lang w:val="pt-BR"/>
        </w:rPr>
        <w:t xml:space="preserve"> </w:t>
      </w:r>
      <w:r w:rsidR="00F146E5">
        <w:rPr>
          <w:rFonts w:ascii="Times New Roman" w:hAnsi="Times New Roman"/>
          <w:sz w:val="20"/>
          <w:lang w:val="pt-BR"/>
        </w:rPr>
        <w:t xml:space="preserve">Geraldo Narciso da Rocha </w:t>
      </w:r>
      <w:r w:rsidR="00F146E5" w:rsidRPr="00F146E5">
        <w:rPr>
          <w:rFonts w:ascii="Times New Roman" w:hAnsi="Times New Roman"/>
          <w:sz w:val="20"/>
          <w:lang w:val="pt-BR"/>
        </w:rPr>
        <w:t>Filho</w:t>
      </w:r>
      <w:r w:rsidR="00F146E5" w:rsidRPr="00CC004E">
        <w:rPr>
          <w:rFonts w:ascii="Times New Roman" w:hAnsi="Times New Roman"/>
          <w:sz w:val="20"/>
          <w:vertAlign w:val="superscript"/>
          <w:lang w:val="pt-BR"/>
        </w:rPr>
        <w:t>2</w:t>
      </w:r>
      <w:r w:rsidR="00F146E5">
        <w:rPr>
          <w:rFonts w:ascii="Times New Roman" w:hAnsi="Times New Roman"/>
          <w:sz w:val="20"/>
          <w:lang w:val="pt-BR"/>
        </w:rPr>
        <w:t xml:space="preserve">, </w:t>
      </w:r>
      <w:r w:rsidR="00D90967" w:rsidRPr="00F146E5">
        <w:rPr>
          <w:rFonts w:ascii="Times New Roman" w:hAnsi="Times New Roman"/>
          <w:sz w:val="20"/>
          <w:lang w:val="pt-BR"/>
        </w:rPr>
        <w:t>Leyvison</w:t>
      </w:r>
      <w:r w:rsidR="00D90967">
        <w:rPr>
          <w:rFonts w:ascii="Times New Roman" w:hAnsi="Times New Roman"/>
          <w:sz w:val="20"/>
          <w:lang w:val="pt-BR"/>
        </w:rPr>
        <w:t xml:space="preserve"> Rafael Vieira da Conceição</w:t>
      </w:r>
      <w:r w:rsidR="00D90967">
        <w:rPr>
          <w:rFonts w:ascii="Times New Roman" w:hAnsi="Times New Roman"/>
          <w:sz w:val="20"/>
          <w:vertAlign w:val="superscript"/>
          <w:lang w:val="pt-BR"/>
        </w:rPr>
        <w:t>2</w:t>
      </w:r>
      <w:r w:rsidR="00A60B49">
        <w:rPr>
          <w:rFonts w:ascii="Times New Roman" w:hAnsi="Times New Roman"/>
          <w:sz w:val="20"/>
          <w:lang w:val="pt-BR"/>
        </w:rPr>
        <w:t xml:space="preserve"> </w:t>
      </w:r>
    </w:p>
    <w:p w14:paraId="6E92CD10" w14:textId="240E187D" w:rsidR="00F8543E" w:rsidRPr="00721798" w:rsidRDefault="00EA4E1B" w:rsidP="00EA4E1B">
      <w:pPr>
        <w:pStyle w:val="BCAuthorAddress"/>
        <w:spacing w:after="0"/>
        <w:ind w:right="0"/>
        <w:jc w:val="both"/>
        <w:rPr>
          <w:lang w:val="pt-BR"/>
        </w:rPr>
      </w:pPr>
      <w:r w:rsidRPr="00721798">
        <w:rPr>
          <w:vertAlign w:val="superscript"/>
          <w:lang w:val="pt-BR"/>
        </w:rPr>
        <w:t>1</w:t>
      </w:r>
      <w:r w:rsidR="00F8543E" w:rsidRPr="00721798">
        <w:rPr>
          <w:lang w:val="pt-BR"/>
        </w:rPr>
        <w:t xml:space="preserve">Laboratório de Catálise e </w:t>
      </w:r>
      <w:r w:rsidR="00BF0061" w:rsidRPr="00721798">
        <w:rPr>
          <w:lang w:val="pt-BR"/>
        </w:rPr>
        <w:t>Oleoquímica</w:t>
      </w:r>
      <w:r w:rsidR="00F8543E" w:rsidRPr="00721798">
        <w:rPr>
          <w:lang w:val="pt-BR"/>
        </w:rPr>
        <w:t xml:space="preserve">, </w:t>
      </w:r>
      <w:r w:rsidR="002120F0" w:rsidRPr="00721798">
        <w:rPr>
          <w:lang w:val="pt-BR"/>
        </w:rPr>
        <w:t>Universidade Federal do Pará (</w:t>
      </w:r>
      <w:hyperlink r:id="rId8" w:history="1">
        <w:r w:rsidR="002120F0" w:rsidRPr="00721798">
          <w:rPr>
            <w:rStyle w:val="Hyperlink"/>
            <w:color w:val="auto"/>
            <w:u w:val="none"/>
            <w:lang w:val="pt-BR"/>
          </w:rPr>
          <w:t>klemersonluizsilva@gmail.com</w:t>
        </w:r>
      </w:hyperlink>
      <w:r w:rsidR="002120F0" w:rsidRPr="00721798">
        <w:rPr>
          <w:lang w:val="pt-BR"/>
        </w:rPr>
        <w:t>)</w:t>
      </w:r>
    </w:p>
    <w:p w14:paraId="3C018DC6" w14:textId="43E98842" w:rsidR="006302D3" w:rsidRPr="00721798" w:rsidRDefault="002120F0" w:rsidP="002120F0">
      <w:pPr>
        <w:pStyle w:val="BCAuthorAddress"/>
        <w:spacing w:after="0"/>
        <w:ind w:right="0"/>
        <w:jc w:val="both"/>
        <w:rPr>
          <w:lang w:val="pt-BR"/>
        </w:rPr>
      </w:pPr>
      <w:r w:rsidRPr="00721798">
        <w:rPr>
          <w:vertAlign w:val="superscript"/>
          <w:lang w:val="pt-BR"/>
        </w:rPr>
        <w:t>2</w:t>
      </w:r>
      <w:r w:rsidRPr="00721798">
        <w:rPr>
          <w:lang w:val="pt-BR"/>
        </w:rPr>
        <w:t xml:space="preserve">Laboratório de Catálise e </w:t>
      </w:r>
      <w:r w:rsidR="00BF0061" w:rsidRPr="00721798">
        <w:rPr>
          <w:lang w:val="pt-BR"/>
        </w:rPr>
        <w:t>Oleoquímica</w:t>
      </w:r>
      <w:r w:rsidRPr="00721798">
        <w:rPr>
          <w:lang w:val="pt-BR"/>
        </w:rPr>
        <w:t>, Universidade Federal do Pará</w:t>
      </w:r>
    </w:p>
    <w:p w14:paraId="0D3CCEA8" w14:textId="07B363EB" w:rsidR="002120F0" w:rsidRPr="00721798" w:rsidRDefault="006302D3" w:rsidP="002120F0">
      <w:pPr>
        <w:pStyle w:val="BCAuthorAddress"/>
        <w:spacing w:after="0"/>
        <w:ind w:right="0"/>
        <w:jc w:val="both"/>
        <w:rPr>
          <w:lang w:val="pt-BR"/>
        </w:rPr>
      </w:pPr>
      <w:r w:rsidRPr="00721798">
        <w:rPr>
          <w:vertAlign w:val="superscript"/>
          <w:lang w:val="pt-BR"/>
        </w:rPr>
        <w:t>3</w:t>
      </w:r>
      <w:r w:rsidRPr="00721798">
        <w:rPr>
          <w:lang w:val="pt-BR"/>
        </w:rPr>
        <w:t xml:space="preserve">Laboratório de Catálise e </w:t>
      </w:r>
      <w:r w:rsidR="00BF0061" w:rsidRPr="00721798">
        <w:rPr>
          <w:lang w:val="pt-BR"/>
        </w:rPr>
        <w:t>Oleoquímica</w:t>
      </w:r>
      <w:r w:rsidRPr="00721798">
        <w:rPr>
          <w:lang w:val="pt-BR"/>
        </w:rPr>
        <w:t xml:space="preserve">, </w:t>
      </w:r>
      <w:r w:rsidRPr="00721798">
        <w:rPr>
          <w:rFonts w:ascii="Times New Roman" w:hAnsi="Times New Roman"/>
          <w:iCs/>
          <w:lang w:val="pt-BR"/>
        </w:rPr>
        <w:t>Programa de Pós-Graduação em Engenharia de Materiais</w:t>
      </w:r>
      <w:r w:rsidR="00721798" w:rsidRPr="00721798">
        <w:rPr>
          <w:rFonts w:ascii="Times New Roman" w:hAnsi="Times New Roman"/>
          <w:iCs/>
          <w:lang w:val="pt-BR"/>
        </w:rPr>
        <w:t xml:space="preserve">, </w:t>
      </w:r>
      <w:r w:rsidRPr="00721798">
        <w:rPr>
          <w:rFonts w:ascii="Times New Roman" w:hAnsi="Times New Roman"/>
          <w:iCs/>
          <w:lang w:val="pt-BR"/>
        </w:rPr>
        <w:t>Instituto Federal de Educação, Ciência e Tecnologia do Pará, Campus Belém</w:t>
      </w:r>
    </w:p>
    <w:bookmarkEnd w:id="0"/>
    <w:p w14:paraId="238E7EC1" w14:textId="193C446E" w:rsidR="00AF0400" w:rsidRDefault="003776C6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A729D14" wp14:editId="0366C911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0" b="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3A73AEEC" w:rsidR="008C1B30" w:rsidRPr="008475ED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8475ED">
                              <w:rPr>
                                <w:rFonts w:cs="Helvetica"/>
                                <w:bCs/>
                                <w:sz w:val="24"/>
                                <w:szCs w:val="24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29D14" id="Retângulo 1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MDkQIAAIIFAAAOAAAAZHJzL2Uyb0RvYy54bWysVEtv2zAMvg/YfxB0X+0UbboadYqgRYcB&#10;QVusHXpWZCk2JosapcTJfv0o+dGgK3YY5oMhkR9fn0heXe9bw3YKfQO25LOTnDNlJVSN3ZT8+/Pd&#10;p8+c+SBsJQxYVfKD8vx68fHDVecKdQo1mEohIyfWF50reR2CK7LMy1q1wp+AU5aUGrAVga64ySoU&#10;HXlvTXaa5/OsA6wcglTek/S2V/JF8q+1kuFBa68CMyWn3EL6Y/qv4z9bXIlig8LVjRzSEP+QRSsa&#10;S0EnV7ciCLbF5g9XbSMRPOhwIqHNQOtGqlQDVTPL31TzVAunUi1EjncTTf7/uZX3uyf3iDF171Yg&#10;f3hiJOucLyZNvPgBs9fYRiwlzvaJxcPEotoHJkk4P88vzj4T2ZJ0s/nF/CzRnIlitHbowxcFLYuH&#10;kiO9UiJP7FY+xPiiGCEpMTBNddcYky64Wd8YZDtBL3q5zOmLj0gm/hhmbARbiGa9OkpSYX0tqapw&#10;MCrijP2mNGsqyv40ZZL6T01xhJTKhlmvqkWl+vDnx9Fjx0aLlEtyGD1rij/5HhyMyN7J6LvPcsBH&#10;U5XadzLO/5ZYbzxZpMhgw2TcNhbwPQeGqhoi9/iRpJ6ayFLYr/fEDb1lREbJGqrDIzKEfpy8k3cN&#10;veRK+PAokOaHHp92QnignzbQlRyGE2c14K/35BFPbU1azjqax5L7n1uBijPz1VLDX87OqI9YSBc6&#10;4LF0PUrttr0BaowZbR0n0zFigxmPGqF9oZWxjNFIJaykmCWXAcfLTej3Ay0dqZbLBKNhdSKs7JOT&#10;0XnkN3bo8/5FoBvaONAA3MM4s6J40809NlpaWG4D6Ca1+iufA/M06KmFhqUUN8nxPaFeV+fiNwAA&#10;AP//AwBQSwMEFAAGAAgAAAAhAIx7zmbcAAAABgEAAA8AAABkcnMvZG93bnJldi54bWxMj8FuwjAQ&#10;RO9I/QdrkXoDJzSgErJBiIpK7a1pL9xMvCSBeB3FBtK/rzmV42hGM2+y9WBacaXeNZYR4mkEgri0&#10;uuEK4ed7N3kF4bxirVrLhPBLDtb50yhTqbY3/qJr4SsRStilCqH2vkuldGVNRrmp7YiDd7S9UT7I&#10;vpK6V7dQblo5i6KFNKrhsFCrjrY1lefiYhCWQ2z3p83ivCuT7nP//lHY5G2L+DweNisQngb/H4Y7&#10;fkCHPDAd7IW1Ey1COOIR5nMQdzOaJeHIAeElXoLMM/mIn/8BAAD//wMAUEsBAi0AFAAGAAgAAAAh&#10;ALaDOJL+AAAA4QEAABMAAAAAAAAAAAAAAAAAAAAAAFtDb250ZW50X1R5cGVzXS54bWxQSwECLQAU&#10;AAYACAAAACEAOP0h/9YAAACUAQAACwAAAAAAAAAAAAAAAAAvAQAAX3JlbHMvLnJlbHNQSwECLQAU&#10;AAYACAAAACEATUHzA5ECAACCBQAADgAAAAAAAAAAAAAAAAAuAgAAZHJzL2Uyb0RvYy54bWxQSwEC&#10;LQAUAAYACAAAACEAjHvOZtwAAAAGAQAADwAAAAAAAAAAAAAAAADrBAAAZHJzL2Rvd25yZXYueG1s&#10;UEsFBgAAAAAEAAQA8wAAAPQFAAAAAA==&#10;" fillcolor="#9a0000" stroked="f" strokeweight="1pt">
                <v:textbox inset=",0,,0">
                  <w:txbxContent>
                    <w:p w14:paraId="3D0F07B3" w14:textId="3A73AEEC" w:rsidR="008C1B30" w:rsidRPr="008475ED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4"/>
                          <w:szCs w:val="24"/>
                          <w:lang w:val="pt-BR"/>
                        </w:rPr>
                      </w:pPr>
                      <w:r w:rsidRPr="008475ED">
                        <w:rPr>
                          <w:rFonts w:cs="Helvetica"/>
                          <w:bCs/>
                          <w:sz w:val="24"/>
                          <w:szCs w:val="24"/>
                          <w:lang w:val="pt-BR"/>
                        </w:rPr>
                        <w:t xml:space="preserve">Resumo/Abstract 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7283CCBC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2F0917">
        <w:rPr>
          <w:rFonts w:ascii="Times New Roman" w:hAnsi="Times New Roman"/>
          <w:b w:val="0"/>
          <w:sz w:val="20"/>
          <w:lang w:val="pt-BR"/>
        </w:rPr>
        <w:t>-</w:t>
      </w:r>
      <w:r>
        <w:rPr>
          <w:rFonts w:ascii="Times New Roman" w:hAnsi="Times New Roman"/>
          <w:b w:val="0"/>
          <w:sz w:val="20"/>
          <w:lang w:val="pt-BR"/>
        </w:rPr>
        <w:t xml:space="preserve"> </w:t>
      </w:r>
      <w:r w:rsidR="00F7113A" w:rsidRPr="00F7113A">
        <w:rPr>
          <w:rFonts w:ascii="Times New Roman" w:hAnsi="Times New Roman"/>
          <w:b w:val="0"/>
          <w:sz w:val="20"/>
          <w:lang w:val="pt-BR"/>
        </w:rPr>
        <w:t xml:space="preserve">Neste estudo, </w:t>
      </w:r>
      <w:r w:rsidR="001A54F2">
        <w:rPr>
          <w:rFonts w:ascii="Times New Roman" w:hAnsi="Times New Roman"/>
          <w:b w:val="0"/>
          <w:sz w:val="20"/>
          <w:lang w:val="pt-BR"/>
        </w:rPr>
        <w:t>a</w:t>
      </w:r>
      <w:r w:rsidR="00EF6C7E">
        <w:rPr>
          <w:rFonts w:ascii="Times New Roman" w:hAnsi="Times New Roman"/>
          <w:b w:val="0"/>
          <w:sz w:val="20"/>
          <w:lang w:val="pt-BR"/>
        </w:rPr>
        <w:t xml:space="preserve"> biomassa</w:t>
      </w:r>
      <w:r w:rsidR="00F7113A" w:rsidRPr="00F7113A">
        <w:rPr>
          <w:rFonts w:ascii="Times New Roman" w:hAnsi="Times New Roman"/>
          <w:b w:val="0"/>
          <w:sz w:val="20"/>
          <w:lang w:val="pt-BR"/>
        </w:rPr>
        <w:t xml:space="preserve"> </w:t>
      </w:r>
      <w:r w:rsidR="001A54F2">
        <w:rPr>
          <w:rFonts w:ascii="Times New Roman" w:hAnsi="Times New Roman"/>
          <w:b w:val="0"/>
          <w:sz w:val="20"/>
          <w:lang w:val="pt-BR"/>
        </w:rPr>
        <w:t>residual torta de andiroba</w:t>
      </w:r>
      <w:r w:rsidR="009C0502">
        <w:rPr>
          <w:rFonts w:ascii="Times New Roman" w:hAnsi="Times New Roman"/>
          <w:b w:val="0"/>
          <w:sz w:val="20"/>
          <w:lang w:val="pt-BR"/>
        </w:rPr>
        <w:t xml:space="preserve"> (TA)</w:t>
      </w:r>
      <w:r w:rsidR="001A54F2">
        <w:rPr>
          <w:rFonts w:ascii="Times New Roman" w:hAnsi="Times New Roman"/>
          <w:b w:val="0"/>
          <w:sz w:val="20"/>
          <w:lang w:val="pt-BR"/>
        </w:rPr>
        <w:t xml:space="preserve"> </w:t>
      </w:r>
      <w:r w:rsidR="00F7113A" w:rsidRPr="00F7113A">
        <w:rPr>
          <w:rFonts w:ascii="Times New Roman" w:hAnsi="Times New Roman"/>
          <w:b w:val="0"/>
          <w:sz w:val="20"/>
          <w:lang w:val="pt-BR"/>
        </w:rPr>
        <w:t xml:space="preserve">foi </w:t>
      </w:r>
      <w:r w:rsidR="009B66FF" w:rsidRPr="00F7113A">
        <w:rPr>
          <w:rFonts w:ascii="Times New Roman" w:hAnsi="Times New Roman"/>
          <w:b w:val="0"/>
          <w:sz w:val="20"/>
          <w:lang w:val="pt-BR"/>
        </w:rPr>
        <w:t>utilizada</w:t>
      </w:r>
      <w:r w:rsidR="00F7113A" w:rsidRPr="00F7113A">
        <w:rPr>
          <w:rFonts w:ascii="Times New Roman" w:hAnsi="Times New Roman"/>
          <w:b w:val="0"/>
          <w:sz w:val="20"/>
          <w:lang w:val="pt-BR"/>
        </w:rPr>
        <w:t xml:space="preserve"> como precursor para a preparação de biocarvão (HCTA), </w:t>
      </w:r>
      <w:r w:rsidR="00364A10">
        <w:rPr>
          <w:rFonts w:ascii="Times New Roman" w:hAnsi="Times New Roman"/>
          <w:b w:val="0"/>
          <w:sz w:val="20"/>
          <w:lang w:val="pt-BR"/>
        </w:rPr>
        <w:t>pela</w:t>
      </w:r>
      <w:r w:rsidR="00F7113A" w:rsidRPr="00F7113A">
        <w:rPr>
          <w:rFonts w:ascii="Times New Roman" w:hAnsi="Times New Roman"/>
          <w:b w:val="0"/>
          <w:sz w:val="20"/>
          <w:lang w:val="pt-BR"/>
        </w:rPr>
        <w:t xml:space="preserve"> da técnica de carbonização hidrotérmica</w:t>
      </w:r>
      <w:r w:rsidR="007F29CC">
        <w:rPr>
          <w:rFonts w:ascii="Times New Roman" w:hAnsi="Times New Roman"/>
          <w:b w:val="0"/>
          <w:sz w:val="20"/>
          <w:lang w:val="pt-BR"/>
        </w:rPr>
        <w:t xml:space="preserve"> </w:t>
      </w:r>
      <w:r w:rsidR="007F29CC" w:rsidRPr="00F7113A">
        <w:rPr>
          <w:rFonts w:ascii="Times New Roman" w:hAnsi="Times New Roman"/>
          <w:b w:val="0"/>
          <w:sz w:val="20"/>
          <w:lang w:val="pt-BR"/>
        </w:rPr>
        <w:t>à 180</w:t>
      </w:r>
      <w:r w:rsidR="00364A10">
        <w:rPr>
          <w:rFonts w:ascii="Times New Roman" w:hAnsi="Times New Roman"/>
          <w:b w:val="0"/>
          <w:sz w:val="20"/>
          <w:lang w:val="pt-BR"/>
        </w:rPr>
        <w:t xml:space="preserve"> </w:t>
      </w:r>
      <w:r w:rsidR="007F29CC" w:rsidRPr="00F7113A">
        <w:rPr>
          <w:rFonts w:ascii="Times New Roman" w:hAnsi="Times New Roman"/>
          <w:b w:val="0"/>
          <w:sz w:val="20"/>
          <w:lang w:val="pt-BR"/>
        </w:rPr>
        <w:t xml:space="preserve">°C por 24 </w:t>
      </w:r>
      <w:r w:rsidR="007F29CC" w:rsidRPr="00364A10">
        <w:rPr>
          <w:rFonts w:ascii="Times New Roman" w:hAnsi="Times New Roman"/>
          <w:b w:val="0"/>
          <w:sz w:val="20"/>
          <w:lang w:val="pt-BR"/>
        </w:rPr>
        <w:t>h</w:t>
      </w:r>
      <w:r w:rsidR="00F7113A" w:rsidRPr="00F7113A">
        <w:rPr>
          <w:rFonts w:ascii="Times New Roman" w:hAnsi="Times New Roman"/>
          <w:b w:val="0"/>
          <w:sz w:val="20"/>
          <w:lang w:val="pt-BR"/>
        </w:rPr>
        <w:t xml:space="preserve">, que </w:t>
      </w:r>
      <w:r w:rsidR="00AA79E0">
        <w:rPr>
          <w:rFonts w:ascii="Times New Roman" w:hAnsi="Times New Roman"/>
          <w:b w:val="0"/>
          <w:sz w:val="20"/>
          <w:lang w:val="pt-BR"/>
        </w:rPr>
        <w:t>será utilizado</w:t>
      </w:r>
      <w:r w:rsidR="00F7113A" w:rsidRPr="00F7113A">
        <w:rPr>
          <w:rFonts w:ascii="Times New Roman" w:hAnsi="Times New Roman"/>
          <w:b w:val="0"/>
          <w:sz w:val="20"/>
          <w:lang w:val="pt-BR"/>
        </w:rPr>
        <w:t xml:space="preserve"> como suporte </w:t>
      </w:r>
      <w:r w:rsidR="00FA6A55">
        <w:rPr>
          <w:rFonts w:ascii="Times New Roman" w:hAnsi="Times New Roman"/>
          <w:b w:val="0"/>
          <w:sz w:val="20"/>
          <w:lang w:val="pt-BR"/>
        </w:rPr>
        <w:t xml:space="preserve">catalítico </w:t>
      </w:r>
      <w:r w:rsidR="00F7113A" w:rsidRPr="00F7113A">
        <w:rPr>
          <w:rFonts w:ascii="Times New Roman" w:hAnsi="Times New Roman"/>
          <w:b w:val="0"/>
          <w:sz w:val="20"/>
          <w:lang w:val="pt-BR"/>
        </w:rPr>
        <w:t xml:space="preserve">e posteriormente funcionalizado </w:t>
      </w:r>
      <w:r w:rsidR="00364A10">
        <w:rPr>
          <w:rFonts w:ascii="Times New Roman" w:hAnsi="Times New Roman"/>
          <w:b w:val="0"/>
          <w:sz w:val="20"/>
          <w:lang w:val="pt-BR"/>
        </w:rPr>
        <w:t xml:space="preserve">por </w:t>
      </w:r>
      <w:r w:rsidR="00F7113A" w:rsidRPr="00F7113A">
        <w:rPr>
          <w:rFonts w:ascii="Times New Roman" w:hAnsi="Times New Roman"/>
          <w:b w:val="0"/>
          <w:sz w:val="20"/>
          <w:lang w:val="pt-BR"/>
        </w:rPr>
        <w:t>impregnação via úmida</w:t>
      </w:r>
      <w:r w:rsidR="007F29CC">
        <w:rPr>
          <w:rFonts w:ascii="Times New Roman" w:hAnsi="Times New Roman"/>
          <w:b w:val="0"/>
          <w:sz w:val="20"/>
          <w:lang w:val="pt-BR"/>
        </w:rPr>
        <w:t xml:space="preserve"> de </w:t>
      </w:r>
      <w:r w:rsidR="007F29CC" w:rsidRPr="00F7113A">
        <w:rPr>
          <w:rFonts w:ascii="Times New Roman" w:hAnsi="Times New Roman"/>
          <w:b w:val="0"/>
          <w:sz w:val="20"/>
          <w:lang w:val="pt-BR"/>
        </w:rPr>
        <w:t>óxido de molibdênio na proporção de 20% de molibdênio</w:t>
      </w:r>
      <w:r w:rsidR="007F29CC">
        <w:rPr>
          <w:rFonts w:ascii="Times New Roman" w:hAnsi="Times New Roman"/>
          <w:b w:val="0"/>
          <w:sz w:val="20"/>
          <w:lang w:val="pt-BR"/>
        </w:rPr>
        <w:t xml:space="preserve">. </w:t>
      </w:r>
      <w:r w:rsidR="00F7113A" w:rsidRPr="00F7113A">
        <w:rPr>
          <w:rFonts w:ascii="Times New Roman" w:hAnsi="Times New Roman"/>
          <w:b w:val="0"/>
          <w:sz w:val="20"/>
          <w:lang w:val="pt-BR"/>
        </w:rPr>
        <w:t>O catalisador heterogêneo ácido obtido (20Mo/HCTA) foi aplicado na reação de esterificação/transesterificação do óleo de andiroba para a síntese de biodiesel. O</w:t>
      </w:r>
      <w:r w:rsidR="00F60F38">
        <w:rPr>
          <w:rFonts w:ascii="Times New Roman" w:hAnsi="Times New Roman"/>
          <w:b w:val="0"/>
          <w:sz w:val="20"/>
          <w:lang w:val="pt-BR"/>
        </w:rPr>
        <w:t>s</w:t>
      </w:r>
      <w:r w:rsidR="00F7113A" w:rsidRPr="00F7113A">
        <w:rPr>
          <w:rFonts w:ascii="Times New Roman" w:hAnsi="Times New Roman"/>
          <w:b w:val="0"/>
          <w:sz w:val="20"/>
          <w:lang w:val="pt-BR"/>
        </w:rPr>
        <w:t xml:space="preserve"> </w:t>
      </w:r>
      <w:r w:rsidR="00F60F38">
        <w:rPr>
          <w:rFonts w:ascii="Times New Roman" w:hAnsi="Times New Roman"/>
          <w:b w:val="0"/>
          <w:sz w:val="20"/>
          <w:lang w:val="pt-BR"/>
        </w:rPr>
        <w:t>materiais</w:t>
      </w:r>
      <w:r w:rsidR="00F7113A" w:rsidRPr="00F7113A">
        <w:rPr>
          <w:rFonts w:ascii="Times New Roman" w:hAnsi="Times New Roman"/>
          <w:b w:val="0"/>
          <w:sz w:val="20"/>
          <w:lang w:val="pt-BR"/>
        </w:rPr>
        <w:t xml:space="preserve"> sintetizado</w:t>
      </w:r>
      <w:r w:rsidR="00F60F38">
        <w:rPr>
          <w:rFonts w:ascii="Times New Roman" w:hAnsi="Times New Roman"/>
          <w:b w:val="0"/>
          <w:sz w:val="20"/>
          <w:lang w:val="pt-BR"/>
        </w:rPr>
        <w:t>s</w:t>
      </w:r>
      <w:r w:rsidR="00F7113A" w:rsidRPr="00F7113A">
        <w:rPr>
          <w:rFonts w:ascii="Times New Roman" w:hAnsi="Times New Roman"/>
          <w:b w:val="0"/>
          <w:sz w:val="20"/>
          <w:lang w:val="pt-BR"/>
        </w:rPr>
        <w:t xml:space="preserve"> foram caracterizados por FT-IR, e as amostras de biodiesel foram avaliadas quanto a teor de éster. O catalisador foi </w:t>
      </w:r>
      <w:r w:rsidR="00F7113A" w:rsidRPr="00AA79E0">
        <w:rPr>
          <w:rFonts w:ascii="Times New Roman" w:hAnsi="Times New Roman"/>
          <w:b w:val="0"/>
          <w:sz w:val="20"/>
          <w:lang w:val="pt-BR"/>
        </w:rPr>
        <w:t xml:space="preserve">testado em condições ótimas de reação (140 ºC, </w:t>
      </w:r>
      <w:r w:rsidR="00820C4E">
        <w:rPr>
          <w:rFonts w:ascii="Times New Roman" w:hAnsi="Times New Roman"/>
          <w:b w:val="0"/>
          <w:sz w:val="20"/>
          <w:lang w:val="pt-BR"/>
        </w:rPr>
        <w:t>20</w:t>
      </w:r>
      <w:r w:rsidR="00F7113A" w:rsidRPr="00AA79E0">
        <w:rPr>
          <w:rFonts w:ascii="Times New Roman" w:hAnsi="Times New Roman"/>
          <w:b w:val="0"/>
          <w:sz w:val="20"/>
          <w:lang w:val="pt-BR"/>
        </w:rPr>
        <w:t xml:space="preserve">:1, </w:t>
      </w:r>
      <w:r w:rsidR="00820C4E">
        <w:rPr>
          <w:rFonts w:ascii="Times New Roman" w:hAnsi="Times New Roman"/>
          <w:b w:val="0"/>
          <w:sz w:val="20"/>
          <w:lang w:val="pt-BR"/>
        </w:rPr>
        <w:t>6</w:t>
      </w:r>
      <w:r w:rsidR="00F7113A" w:rsidRPr="00AA79E0">
        <w:rPr>
          <w:rFonts w:ascii="Times New Roman" w:hAnsi="Times New Roman"/>
          <w:b w:val="0"/>
          <w:sz w:val="20"/>
          <w:lang w:val="pt-BR"/>
        </w:rPr>
        <w:t xml:space="preserve">% e </w:t>
      </w:r>
      <w:r w:rsidR="00820C4E">
        <w:rPr>
          <w:rFonts w:ascii="Times New Roman" w:hAnsi="Times New Roman"/>
          <w:b w:val="0"/>
          <w:sz w:val="20"/>
          <w:lang w:val="pt-BR"/>
        </w:rPr>
        <w:t>2</w:t>
      </w:r>
      <w:r w:rsidR="00F7113A" w:rsidRPr="00AA79E0">
        <w:rPr>
          <w:rFonts w:ascii="Times New Roman" w:hAnsi="Times New Roman"/>
          <w:b w:val="0"/>
          <w:sz w:val="20"/>
          <w:lang w:val="pt-BR"/>
        </w:rPr>
        <w:t xml:space="preserve"> h) e mostrou-se eficiente, dado que acarretou teores de ésteres acima de 50% até o </w:t>
      </w:r>
      <w:r w:rsidR="00AB3947">
        <w:rPr>
          <w:rFonts w:ascii="Times New Roman" w:hAnsi="Times New Roman"/>
          <w:b w:val="0"/>
          <w:sz w:val="20"/>
          <w:lang w:val="pt-BR"/>
        </w:rPr>
        <w:t>4</w:t>
      </w:r>
      <w:r w:rsidR="00F7113A" w:rsidRPr="00AA79E0">
        <w:rPr>
          <w:rFonts w:ascii="Times New Roman" w:hAnsi="Times New Roman"/>
          <w:b w:val="0"/>
          <w:sz w:val="20"/>
          <w:lang w:val="pt-BR"/>
        </w:rPr>
        <w:t>º ciclo.</w:t>
      </w:r>
    </w:p>
    <w:p w14:paraId="09B41B70" w14:textId="75B69C67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9B66FF">
        <w:rPr>
          <w:rFonts w:ascii="Times New Roman" w:hAnsi="Times New Roman"/>
          <w:b w:val="0"/>
          <w:i/>
          <w:sz w:val="20"/>
          <w:lang w:val="pt-BR"/>
        </w:rPr>
        <w:t>c</w:t>
      </w:r>
      <w:r w:rsidR="00F7113A" w:rsidRPr="00F7113A">
        <w:rPr>
          <w:rFonts w:ascii="Times New Roman" w:hAnsi="Times New Roman"/>
          <w:b w:val="0"/>
          <w:i/>
          <w:sz w:val="20"/>
          <w:lang w:val="pt-BR"/>
        </w:rPr>
        <w:t>arbonização hidrotérmica</w:t>
      </w:r>
      <w:r w:rsidR="00F7113A">
        <w:rPr>
          <w:rFonts w:ascii="Times New Roman" w:hAnsi="Times New Roman"/>
          <w:b w:val="0"/>
          <w:i/>
          <w:sz w:val="20"/>
          <w:lang w:val="pt-BR"/>
        </w:rPr>
        <w:t>,</w:t>
      </w:r>
      <w:r w:rsidR="00F7113A" w:rsidRPr="00F7113A">
        <w:rPr>
          <w:rFonts w:ascii="Times New Roman" w:hAnsi="Times New Roman"/>
          <w:b w:val="0"/>
          <w:i/>
          <w:sz w:val="20"/>
          <w:lang w:val="pt-BR"/>
        </w:rPr>
        <w:t xml:space="preserve"> catálise heterogênea</w:t>
      </w:r>
      <w:r w:rsidR="00F7113A">
        <w:rPr>
          <w:rFonts w:ascii="Times New Roman" w:hAnsi="Times New Roman"/>
          <w:b w:val="0"/>
          <w:i/>
          <w:sz w:val="20"/>
          <w:lang w:val="pt-BR"/>
        </w:rPr>
        <w:t>,</w:t>
      </w:r>
      <w:r w:rsidR="00F7113A" w:rsidRPr="00F7113A">
        <w:rPr>
          <w:rFonts w:ascii="Times New Roman" w:hAnsi="Times New Roman"/>
          <w:b w:val="0"/>
          <w:i/>
          <w:sz w:val="20"/>
          <w:lang w:val="pt-BR"/>
        </w:rPr>
        <w:t xml:space="preserve"> biomassas residuais</w:t>
      </w:r>
      <w:r w:rsidR="00F7113A">
        <w:rPr>
          <w:rFonts w:ascii="Times New Roman" w:hAnsi="Times New Roman"/>
          <w:b w:val="0"/>
          <w:i/>
          <w:sz w:val="20"/>
          <w:lang w:val="pt-BR"/>
        </w:rPr>
        <w:t>,</w:t>
      </w:r>
      <w:r w:rsidR="00F7113A" w:rsidRPr="00F7113A">
        <w:rPr>
          <w:rFonts w:ascii="Times New Roman" w:hAnsi="Times New Roman"/>
          <w:b w:val="0"/>
          <w:i/>
          <w:sz w:val="20"/>
          <w:lang w:val="pt-BR"/>
        </w:rPr>
        <w:t xml:space="preserve"> biocarvão</w:t>
      </w:r>
      <w:r w:rsidR="009B66FF">
        <w:rPr>
          <w:rFonts w:ascii="Times New Roman" w:hAnsi="Times New Roman"/>
          <w:b w:val="0"/>
          <w:i/>
          <w:sz w:val="20"/>
          <w:lang w:val="pt-BR"/>
        </w:rPr>
        <w:t>,</w:t>
      </w:r>
      <w:r w:rsidR="00F7113A" w:rsidRPr="00F7113A">
        <w:rPr>
          <w:rFonts w:ascii="Times New Roman" w:hAnsi="Times New Roman"/>
          <w:b w:val="0"/>
          <w:i/>
          <w:sz w:val="20"/>
          <w:lang w:val="pt-BR"/>
        </w:rPr>
        <w:t xml:space="preserve"> biodiesel</w:t>
      </w:r>
      <w:r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889739A" w14:textId="6A6330CB" w:rsidR="006E78BF" w:rsidRPr="00BF0061" w:rsidRDefault="00EA4E1B" w:rsidP="00B72399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706186">
        <w:rPr>
          <w:rFonts w:ascii="Times New Roman" w:hAnsi="Times New Roman"/>
          <w:b w:val="0"/>
          <w:sz w:val="20"/>
        </w:rPr>
        <w:t xml:space="preserve">ABSTRACT </w:t>
      </w:r>
      <w:r w:rsidR="002F0917" w:rsidRPr="00706186">
        <w:rPr>
          <w:rFonts w:ascii="Times New Roman" w:hAnsi="Times New Roman"/>
          <w:b w:val="0"/>
          <w:sz w:val="20"/>
        </w:rPr>
        <w:t>-</w:t>
      </w:r>
      <w:r w:rsidRPr="00706186">
        <w:rPr>
          <w:rFonts w:ascii="Times New Roman" w:hAnsi="Times New Roman"/>
          <w:b w:val="0"/>
          <w:sz w:val="20"/>
        </w:rPr>
        <w:t xml:space="preserve"> </w:t>
      </w:r>
      <w:bookmarkEnd w:id="1"/>
      <w:r w:rsidR="006E78BF" w:rsidRPr="00F7113A">
        <w:rPr>
          <w:rFonts w:ascii="Times New Roman" w:hAnsi="Times New Roman"/>
          <w:b w:val="0"/>
          <w:sz w:val="20"/>
        </w:rPr>
        <w:t xml:space="preserve">In this study, the residual biomass andiroba (TA) was used as a precursor for the preparation of biochar (HCTA), by the technique of hydrothermal carbonization at 180 °C for 24 h, which will be used as catalytic support and later functionalized by wet impregnation of molybdenum oxide in the proportion of 20% molybdenum. The heterogeneous acid catalyst obtained (20Mo/HCTA) was applied in the esterification/transesterification reaction of andiroba oil for the synthesis of biodiesel. The synthesized materials were characterized by FT-IR, and the biodiesel samples were evaluated for ester content. The catalyst was tested under optimal reaction conditions (140 ºC, </w:t>
      </w:r>
      <w:r w:rsidR="00820C4E">
        <w:rPr>
          <w:rFonts w:ascii="Times New Roman" w:hAnsi="Times New Roman"/>
          <w:b w:val="0"/>
          <w:sz w:val="20"/>
        </w:rPr>
        <w:t>20</w:t>
      </w:r>
      <w:r w:rsidR="006E78BF" w:rsidRPr="00F7113A">
        <w:rPr>
          <w:rFonts w:ascii="Times New Roman" w:hAnsi="Times New Roman"/>
          <w:b w:val="0"/>
          <w:sz w:val="20"/>
        </w:rPr>
        <w:t xml:space="preserve">:1, </w:t>
      </w:r>
      <w:r w:rsidR="00820C4E">
        <w:rPr>
          <w:rFonts w:ascii="Times New Roman" w:hAnsi="Times New Roman"/>
          <w:b w:val="0"/>
          <w:sz w:val="20"/>
        </w:rPr>
        <w:t>6</w:t>
      </w:r>
      <w:r w:rsidR="006E78BF" w:rsidRPr="00F7113A">
        <w:rPr>
          <w:rFonts w:ascii="Times New Roman" w:hAnsi="Times New Roman"/>
          <w:b w:val="0"/>
          <w:sz w:val="20"/>
        </w:rPr>
        <w:t xml:space="preserve">% and </w:t>
      </w:r>
      <w:r w:rsidR="00820C4E">
        <w:rPr>
          <w:rFonts w:ascii="Times New Roman" w:hAnsi="Times New Roman"/>
          <w:b w:val="0"/>
          <w:sz w:val="20"/>
        </w:rPr>
        <w:t>2</w:t>
      </w:r>
      <w:r w:rsidR="006E78BF" w:rsidRPr="00F7113A">
        <w:rPr>
          <w:rFonts w:ascii="Times New Roman" w:hAnsi="Times New Roman"/>
          <w:b w:val="0"/>
          <w:sz w:val="20"/>
        </w:rPr>
        <w:t xml:space="preserve"> h) and proved to be efficient, since it caused ester contents above 50% until the 4th cycle.</w:t>
      </w:r>
    </w:p>
    <w:p w14:paraId="1C248F9F" w14:textId="77777777" w:rsidR="006E78BF" w:rsidRPr="00BF0061" w:rsidRDefault="006E78BF" w:rsidP="00B72399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870522">
        <w:rPr>
          <w:rFonts w:ascii="Times New Roman" w:hAnsi="Times New Roman"/>
          <w:b w:val="0"/>
          <w:i/>
          <w:sz w:val="20"/>
        </w:rPr>
        <w:t>Keywords: hydrothermal carbonization, heterogeneous catalysis, residual biomass, biochar, biodiesel.</w:t>
      </w:r>
    </w:p>
    <w:p w14:paraId="48D9B0C4" w14:textId="41A694D6" w:rsidR="006B1CCC" w:rsidRPr="00706186" w:rsidRDefault="006B1CCC" w:rsidP="006E78BF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</w:rPr>
        <w:sectPr w:rsidR="006B1CCC" w:rsidRPr="00706186" w:rsidSect="00EA4E1B">
          <w:headerReference w:type="default" r:id="rId9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4C2FEE1F" w14:textId="21FE0D48" w:rsidR="00173E1C" w:rsidRDefault="00D22CD2" w:rsidP="00173E1C">
      <w:pPr>
        <w:pStyle w:val="Ttulo2"/>
        <w:spacing w:before="0" w:after="0" w:line="240" w:lineRule="exact"/>
        <w:ind w:firstLine="17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22CD2">
        <w:rPr>
          <w:rFonts w:ascii="Times New Roman" w:eastAsia="Times New Roman" w:hAnsi="Times New Roman" w:cs="Times New Roman"/>
          <w:sz w:val="20"/>
          <w:szCs w:val="20"/>
          <w:lang w:eastAsia="pt-BR"/>
        </w:rPr>
        <w:t>O biodiesel é uma alternativa sustentável aos combustíveis fósseis, sintetizados a partir de óleos ou gorduras animais através de reações de esterificação e/ou transesterificação. O uso de catalisadores heterogêneos ácidos neste processo é eficaz e ecologicamente correto, permitindo reutilizações múltiplas e tornando-o mais econômico</w:t>
      </w:r>
      <w:r w:rsidR="00EB05E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(1)</w:t>
      </w:r>
      <w:r w:rsidRPr="00D22CD2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14:paraId="6992F201" w14:textId="1F5E7CA7" w:rsidR="00D22CD2" w:rsidRDefault="00D22CD2" w:rsidP="00173E1C">
      <w:pPr>
        <w:pStyle w:val="Ttulo2"/>
        <w:spacing w:before="0" w:after="0" w:line="240" w:lineRule="exact"/>
        <w:ind w:firstLine="17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22CD2">
        <w:rPr>
          <w:rFonts w:ascii="Times New Roman" w:eastAsia="Times New Roman" w:hAnsi="Times New Roman" w:cs="Times New Roman"/>
          <w:sz w:val="20"/>
          <w:szCs w:val="20"/>
          <w:lang w:eastAsia="pt-BR"/>
        </w:rPr>
        <w:t>Este estudo propõe melhorar a reutilização dos catalisadores ao adotar a técnica de hidrocarbonização</w:t>
      </w:r>
      <w:r w:rsidR="002D281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(2)</w:t>
      </w:r>
      <w:r w:rsidRPr="00D22CD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da biomassa residual Torta de Andiroba como suporte catalítico, impregnado com óxido de molibdênio para inserir características ácidas ao catalisador, objetivando sua aplicação na síntese de biodiesel</w:t>
      </w:r>
      <w:r w:rsidR="00AA79E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pela</w:t>
      </w:r>
      <w:r w:rsidRPr="00D22CD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da reação de esterificação/transesterificação do óleo de andiroba.</w:t>
      </w:r>
    </w:p>
    <w:p w14:paraId="627AD28B" w14:textId="2087F2DF" w:rsidR="008A003B" w:rsidRPr="007F4300" w:rsidRDefault="00EA4E1B" w:rsidP="007F4300">
      <w:pPr>
        <w:pStyle w:val="Ttulo2"/>
        <w:spacing w:before="60" w:after="6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371A4196" w14:textId="77777777" w:rsidR="007F4300" w:rsidRDefault="00021126" w:rsidP="000A2298">
      <w:pPr>
        <w:pStyle w:val="TAMainText"/>
        <w:spacing w:before="60" w:after="60"/>
        <w:ind w:firstLine="0"/>
        <w:rPr>
          <w:rFonts w:ascii="Times New Roman" w:hAnsi="Times New Roman"/>
          <w:i/>
          <w:lang w:val="pt-BR"/>
        </w:rPr>
      </w:pPr>
      <w:r w:rsidRPr="00762E13">
        <w:rPr>
          <w:rFonts w:ascii="Times New Roman" w:hAnsi="Times New Roman"/>
          <w:i/>
          <w:lang w:val="pt-BR"/>
        </w:rPr>
        <w:t>Síntese</w:t>
      </w:r>
      <w:r w:rsidR="00685170" w:rsidRPr="00762E13">
        <w:rPr>
          <w:rFonts w:ascii="Times New Roman" w:hAnsi="Times New Roman"/>
          <w:i/>
          <w:lang w:val="pt-BR"/>
        </w:rPr>
        <w:t xml:space="preserve"> d</w:t>
      </w:r>
      <w:r w:rsidR="00BB00C8" w:rsidRPr="00762E13">
        <w:rPr>
          <w:rFonts w:ascii="Times New Roman" w:hAnsi="Times New Roman"/>
          <w:i/>
          <w:lang w:val="pt-BR"/>
        </w:rPr>
        <w:t>o</w:t>
      </w:r>
      <w:r w:rsidR="00685170" w:rsidRPr="00762E13">
        <w:rPr>
          <w:rFonts w:ascii="Times New Roman" w:hAnsi="Times New Roman"/>
          <w:i/>
          <w:lang w:val="pt-BR"/>
        </w:rPr>
        <w:t xml:space="preserve"> catalisador</w:t>
      </w:r>
      <w:r w:rsidR="007F4300">
        <w:rPr>
          <w:rFonts w:ascii="Times New Roman" w:hAnsi="Times New Roman"/>
          <w:i/>
          <w:lang w:val="pt-BR"/>
        </w:rPr>
        <w:t xml:space="preserve"> </w:t>
      </w:r>
    </w:p>
    <w:p w14:paraId="6C08456D" w14:textId="26E79EB1" w:rsidR="003D6420" w:rsidRPr="000142DB" w:rsidRDefault="009B7C42" w:rsidP="009A08E8">
      <w:pPr>
        <w:pStyle w:val="TAMainText"/>
        <w:ind w:firstLine="170"/>
        <w:rPr>
          <w:rFonts w:ascii="Times New Roman" w:hAnsi="Times New Roman"/>
          <w:lang w:val="pt-BR"/>
        </w:rPr>
      </w:pPr>
      <w:r w:rsidRPr="000142DB">
        <w:rPr>
          <w:rFonts w:ascii="Times New Roman" w:hAnsi="Times New Roman"/>
          <w:lang w:val="pt-BR"/>
        </w:rPr>
        <w:t xml:space="preserve">A torta de andiroba (TA) foi seca e triturada para obter partículas menores. Em seguida, realizou-se tratamento hidrotérmico a </w:t>
      </w:r>
      <w:r w:rsidRPr="00AA79E0">
        <w:rPr>
          <w:rFonts w:ascii="Times New Roman" w:hAnsi="Times New Roman"/>
          <w:lang w:val="pt-BR"/>
        </w:rPr>
        <w:t>180</w:t>
      </w:r>
      <w:r w:rsidR="00AA79E0" w:rsidRPr="00AA79E0">
        <w:rPr>
          <w:rFonts w:ascii="Times New Roman" w:hAnsi="Times New Roman"/>
          <w:lang w:val="pt-BR"/>
        </w:rPr>
        <w:t xml:space="preserve"> </w:t>
      </w:r>
      <w:r w:rsidRPr="00AA79E0">
        <w:rPr>
          <w:rFonts w:ascii="Times New Roman" w:hAnsi="Times New Roman"/>
          <w:lang w:val="pt-BR"/>
        </w:rPr>
        <w:t>°C por 24 h</w:t>
      </w:r>
      <w:r w:rsidRPr="000142DB">
        <w:rPr>
          <w:rFonts w:ascii="Times New Roman" w:hAnsi="Times New Roman"/>
          <w:lang w:val="pt-BR"/>
        </w:rPr>
        <w:t xml:space="preserve"> para obter o hidrocarvão (HCTA). O HCTA foi lavado e seco. </w:t>
      </w:r>
      <w:r w:rsidR="001E2B7C" w:rsidRPr="00DA5695">
        <w:rPr>
          <w:rFonts w:ascii="Times New Roman" w:hAnsi="Times New Roman"/>
          <w:lang w:val="pt-BR"/>
        </w:rPr>
        <w:t>O</w:t>
      </w:r>
      <w:r w:rsidRPr="00DA5695">
        <w:rPr>
          <w:rFonts w:ascii="Times New Roman" w:hAnsi="Times New Roman"/>
          <w:lang w:val="pt-BR"/>
        </w:rPr>
        <w:t xml:space="preserve"> suporte foi </w:t>
      </w:r>
      <w:r w:rsidR="001E2B7C" w:rsidRPr="00DA5695">
        <w:rPr>
          <w:rFonts w:ascii="Times New Roman" w:hAnsi="Times New Roman"/>
          <w:lang w:val="pt-BR"/>
        </w:rPr>
        <w:t xml:space="preserve">pesado e </w:t>
      </w:r>
      <w:r w:rsidRPr="00DA5695">
        <w:rPr>
          <w:rFonts w:ascii="Times New Roman" w:hAnsi="Times New Roman"/>
          <w:lang w:val="pt-BR"/>
        </w:rPr>
        <w:t>adicionado</w:t>
      </w:r>
      <w:r w:rsidR="00A81E5D" w:rsidRPr="00DA5695">
        <w:rPr>
          <w:rFonts w:ascii="Times New Roman" w:hAnsi="Times New Roman"/>
          <w:lang w:val="pt-BR"/>
        </w:rPr>
        <w:t xml:space="preserve"> em um béquer contendo 20 mL</w:t>
      </w:r>
      <w:r w:rsidRPr="00DA5695">
        <w:rPr>
          <w:rFonts w:ascii="Times New Roman" w:hAnsi="Times New Roman"/>
          <w:lang w:val="pt-BR"/>
        </w:rPr>
        <w:t xml:space="preserve"> </w:t>
      </w:r>
      <w:r w:rsidR="00A81E5D" w:rsidRPr="00DA5695">
        <w:rPr>
          <w:rFonts w:ascii="Times New Roman" w:hAnsi="Times New Roman"/>
          <w:lang w:val="pt-BR"/>
        </w:rPr>
        <w:t>de</w:t>
      </w:r>
      <w:r w:rsidRPr="00DA5695">
        <w:rPr>
          <w:rFonts w:ascii="Times New Roman" w:hAnsi="Times New Roman"/>
          <w:lang w:val="pt-BR"/>
        </w:rPr>
        <w:t xml:space="preserve"> água</w:t>
      </w:r>
      <w:r w:rsidR="00A81E5D" w:rsidRPr="00DA5695">
        <w:rPr>
          <w:rFonts w:ascii="Times New Roman" w:hAnsi="Times New Roman"/>
          <w:lang w:val="pt-BR"/>
        </w:rPr>
        <w:t xml:space="preserve"> </w:t>
      </w:r>
      <w:r w:rsidRPr="00DA5695">
        <w:rPr>
          <w:rFonts w:ascii="Times New Roman" w:hAnsi="Times New Roman"/>
          <w:lang w:val="pt-BR"/>
        </w:rPr>
        <w:t xml:space="preserve">destilada </w:t>
      </w:r>
      <w:r w:rsidRPr="00DA5695">
        <w:rPr>
          <w:rFonts w:ascii="Times New Roman" w:hAnsi="Times New Roman"/>
          <w:lang w:val="pt-BR"/>
        </w:rPr>
        <w:t>e ao precursor catalítico (NH</w:t>
      </w:r>
      <w:r w:rsidRPr="00DA5695">
        <w:rPr>
          <w:rFonts w:ascii="Times New Roman" w:hAnsi="Times New Roman"/>
          <w:vertAlign w:val="subscript"/>
          <w:lang w:val="pt-BR"/>
        </w:rPr>
        <w:t>4</w:t>
      </w:r>
      <w:r w:rsidRPr="00DA5695">
        <w:rPr>
          <w:rFonts w:ascii="Times New Roman" w:hAnsi="Times New Roman"/>
          <w:lang w:val="pt-BR"/>
        </w:rPr>
        <w:t>)</w:t>
      </w:r>
      <w:r w:rsidRPr="00DA5695">
        <w:rPr>
          <w:rFonts w:ascii="Times New Roman" w:hAnsi="Times New Roman"/>
          <w:vertAlign w:val="subscript"/>
          <w:lang w:val="pt-BR"/>
        </w:rPr>
        <w:t>6</w:t>
      </w:r>
      <w:r w:rsidRPr="00DA5695">
        <w:rPr>
          <w:rFonts w:ascii="Times New Roman" w:hAnsi="Times New Roman"/>
          <w:lang w:val="pt-BR"/>
        </w:rPr>
        <w:t>Mo</w:t>
      </w:r>
      <w:r w:rsidRPr="00DA5695">
        <w:rPr>
          <w:rFonts w:ascii="Times New Roman" w:hAnsi="Times New Roman"/>
          <w:vertAlign w:val="subscript"/>
          <w:lang w:val="pt-BR"/>
        </w:rPr>
        <w:t>7</w:t>
      </w:r>
      <w:r w:rsidRPr="00DA5695">
        <w:rPr>
          <w:rFonts w:ascii="Times New Roman" w:hAnsi="Times New Roman"/>
          <w:lang w:val="pt-BR"/>
        </w:rPr>
        <w:t>O</w:t>
      </w:r>
      <w:r w:rsidRPr="00DA5695">
        <w:rPr>
          <w:rFonts w:ascii="Times New Roman" w:hAnsi="Times New Roman"/>
          <w:vertAlign w:val="subscript"/>
          <w:lang w:val="pt-BR"/>
        </w:rPr>
        <w:t>24</w:t>
      </w:r>
      <w:r w:rsidRPr="00DA5695">
        <w:rPr>
          <w:rFonts w:ascii="Times New Roman" w:hAnsi="Times New Roman"/>
          <w:lang w:val="pt-BR"/>
        </w:rPr>
        <w:t>, relacionado a 20% de molibdênio</w:t>
      </w:r>
      <w:r w:rsidR="00DA5695" w:rsidRPr="00DA5695">
        <w:rPr>
          <w:rFonts w:ascii="Times New Roman" w:hAnsi="Times New Roman"/>
          <w:lang w:val="pt-BR"/>
        </w:rPr>
        <w:t>,</w:t>
      </w:r>
      <w:r w:rsidRPr="00DA5695">
        <w:rPr>
          <w:rFonts w:ascii="Times New Roman" w:hAnsi="Times New Roman"/>
          <w:lang w:val="pt-BR"/>
        </w:rPr>
        <w:t xml:space="preserve"> foi agitado e seco a 105</w:t>
      </w:r>
      <w:r w:rsidR="007763AF" w:rsidRPr="00DA5695">
        <w:rPr>
          <w:rFonts w:ascii="Times New Roman" w:hAnsi="Times New Roman"/>
          <w:lang w:val="pt-BR"/>
        </w:rPr>
        <w:t xml:space="preserve"> </w:t>
      </w:r>
      <w:r w:rsidRPr="00DA5695">
        <w:rPr>
          <w:rFonts w:ascii="Times New Roman" w:hAnsi="Times New Roman"/>
          <w:lang w:val="pt-BR"/>
        </w:rPr>
        <w:t xml:space="preserve">°C. Por fim, o material foi calcinado </w:t>
      </w:r>
      <w:r w:rsidR="007763AF" w:rsidRPr="00DA5695">
        <w:rPr>
          <w:rFonts w:ascii="Times New Roman" w:hAnsi="Times New Roman"/>
          <w:lang w:val="pt-BR"/>
        </w:rPr>
        <w:t>à</w:t>
      </w:r>
      <w:r w:rsidRPr="00DA5695">
        <w:rPr>
          <w:rFonts w:ascii="Times New Roman" w:hAnsi="Times New Roman"/>
          <w:lang w:val="pt-BR"/>
        </w:rPr>
        <w:t xml:space="preserve"> 450</w:t>
      </w:r>
      <w:r w:rsidR="007763AF" w:rsidRPr="00DA5695">
        <w:rPr>
          <w:rFonts w:ascii="Times New Roman" w:hAnsi="Times New Roman"/>
          <w:lang w:val="pt-BR"/>
        </w:rPr>
        <w:t xml:space="preserve"> </w:t>
      </w:r>
      <w:r w:rsidRPr="00DA5695">
        <w:rPr>
          <w:rFonts w:ascii="Times New Roman" w:hAnsi="Times New Roman"/>
          <w:lang w:val="pt-BR"/>
        </w:rPr>
        <w:t>°C por 2 h, obtendo-se o catalisador 20Mo/HCTA</w:t>
      </w:r>
      <w:r w:rsidR="003D6420" w:rsidRPr="00DA5695">
        <w:rPr>
          <w:rFonts w:ascii="Times New Roman" w:hAnsi="Times New Roman"/>
          <w:lang w:val="pt-BR"/>
        </w:rPr>
        <w:t>.</w:t>
      </w:r>
    </w:p>
    <w:p w14:paraId="65AF3A67" w14:textId="19B64C0D" w:rsidR="00021126" w:rsidRPr="001F25B2" w:rsidRDefault="00052283" w:rsidP="000A2298">
      <w:pPr>
        <w:pStyle w:val="TAMainText"/>
        <w:spacing w:before="60" w:after="60"/>
        <w:ind w:firstLine="0"/>
        <w:rPr>
          <w:rFonts w:ascii="Times New Roman" w:hAnsi="Times New Roman"/>
          <w:i/>
          <w:lang w:val="pt-BR"/>
        </w:rPr>
      </w:pPr>
      <w:r w:rsidRPr="00762E13">
        <w:rPr>
          <w:rFonts w:ascii="Times New Roman" w:hAnsi="Times New Roman"/>
          <w:i/>
          <w:lang w:val="pt-BR"/>
        </w:rPr>
        <w:t>Caracterização dos materiais</w:t>
      </w:r>
    </w:p>
    <w:p w14:paraId="2A6E5855" w14:textId="4819BA74" w:rsidR="004F4581" w:rsidRPr="001F25B2" w:rsidRDefault="00904930" w:rsidP="009D7BE2">
      <w:pPr>
        <w:pStyle w:val="TAMainText"/>
        <w:ind w:firstLine="204"/>
        <w:rPr>
          <w:rFonts w:ascii="Times New Roman" w:hAnsi="Times New Roman"/>
          <w:lang w:val="pt-BR"/>
        </w:rPr>
      </w:pPr>
      <w:r w:rsidRPr="00904930">
        <w:rPr>
          <w:rFonts w:ascii="Times New Roman" w:hAnsi="Times New Roman"/>
          <w:lang w:val="pt-BR"/>
        </w:rPr>
        <w:t xml:space="preserve">Os espectros de </w:t>
      </w:r>
      <w:r w:rsidR="00952389" w:rsidRPr="008E4CD1">
        <w:rPr>
          <w:rFonts w:ascii="Times New Roman" w:hAnsi="Times New Roman"/>
          <w:iCs/>
          <w:lang w:val="pt-BR"/>
        </w:rPr>
        <w:t>Infravermelho com Transformada de Fourier (FT-IR)</w:t>
      </w:r>
      <w:r w:rsidRPr="00904930">
        <w:rPr>
          <w:rFonts w:ascii="Times New Roman" w:hAnsi="Times New Roman"/>
          <w:lang w:val="pt-BR"/>
        </w:rPr>
        <w:t xml:space="preserve"> </w:t>
      </w:r>
      <w:r w:rsidR="00481A09">
        <w:rPr>
          <w:rFonts w:ascii="Times New Roman" w:hAnsi="Times New Roman"/>
          <w:lang w:val="pt-BR"/>
        </w:rPr>
        <w:t>foram</w:t>
      </w:r>
      <w:r w:rsidRPr="00904930">
        <w:rPr>
          <w:rFonts w:ascii="Times New Roman" w:hAnsi="Times New Roman"/>
          <w:lang w:val="pt-BR"/>
        </w:rPr>
        <w:t xml:space="preserve"> registados em um </w:t>
      </w:r>
      <w:r w:rsidR="00952389" w:rsidRPr="008E4CD1">
        <w:rPr>
          <w:rFonts w:ascii="Times New Roman" w:hAnsi="Times New Roman"/>
          <w:iCs/>
          <w:lang w:val="pt-BR"/>
        </w:rPr>
        <w:t xml:space="preserve">espetrômetro </w:t>
      </w:r>
      <w:r w:rsidR="00FC3AB6">
        <w:rPr>
          <w:rFonts w:ascii="Times New Roman" w:hAnsi="Times New Roman"/>
          <w:iCs/>
          <w:lang w:val="pt-BR"/>
        </w:rPr>
        <w:t>SHIMADZU</w:t>
      </w:r>
      <w:r w:rsidR="00952389" w:rsidRPr="008E4CD1">
        <w:rPr>
          <w:rFonts w:ascii="Times New Roman" w:hAnsi="Times New Roman"/>
          <w:iCs/>
          <w:lang w:val="pt-BR"/>
        </w:rPr>
        <w:t xml:space="preserve"> modelo </w:t>
      </w:r>
      <w:r w:rsidR="00FC3AB6">
        <w:rPr>
          <w:rFonts w:ascii="Times New Roman" w:hAnsi="Times New Roman"/>
          <w:iCs/>
          <w:lang w:val="pt-BR"/>
        </w:rPr>
        <w:t>IR PRESTIGE-21</w:t>
      </w:r>
      <w:r w:rsidR="00952389">
        <w:rPr>
          <w:rFonts w:ascii="Times New Roman" w:hAnsi="Times New Roman"/>
          <w:iCs/>
          <w:lang w:val="pt-BR"/>
        </w:rPr>
        <w:t xml:space="preserve">, </w:t>
      </w:r>
      <w:r w:rsidR="00952389" w:rsidRPr="008E4CD1">
        <w:rPr>
          <w:rFonts w:ascii="Times New Roman" w:hAnsi="Times New Roman"/>
          <w:iCs/>
          <w:lang w:val="pt-BR"/>
        </w:rPr>
        <w:t>faixa espectral de 1900-500 cm</w:t>
      </w:r>
      <w:r w:rsidR="00952389" w:rsidRPr="008E4CD1">
        <w:rPr>
          <w:rFonts w:ascii="Times New Roman" w:hAnsi="Times New Roman"/>
          <w:iCs/>
          <w:vertAlign w:val="superscript"/>
          <w:lang w:val="pt-BR"/>
        </w:rPr>
        <w:t>-1</w:t>
      </w:r>
      <w:r w:rsidR="00952389" w:rsidRPr="008E4CD1">
        <w:rPr>
          <w:rFonts w:ascii="Times New Roman" w:hAnsi="Times New Roman"/>
          <w:iCs/>
          <w:lang w:val="pt-BR"/>
        </w:rPr>
        <w:t>, resolução de 4 cm</w:t>
      </w:r>
      <w:r w:rsidR="00952389" w:rsidRPr="00E231DA">
        <w:rPr>
          <w:rFonts w:ascii="Times New Roman" w:hAnsi="Times New Roman"/>
          <w:iCs/>
          <w:vertAlign w:val="superscript"/>
          <w:lang w:val="pt-BR"/>
        </w:rPr>
        <w:t>-1</w:t>
      </w:r>
      <w:r w:rsidR="00E231DA">
        <w:rPr>
          <w:rFonts w:ascii="Times New Roman" w:hAnsi="Times New Roman"/>
          <w:iCs/>
          <w:lang w:val="pt-BR"/>
        </w:rPr>
        <w:t xml:space="preserve"> </w:t>
      </w:r>
      <w:r w:rsidR="00952389" w:rsidRPr="00E231DA">
        <w:rPr>
          <w:rFonts w:ascii="Times New Roman" w:hAnsi="Times New Roman"/>
          <w:iCs/>
          <w:lang w:val="pt-BR"/>
        </w:rPr>
        <w:t>e</w:t>
      </w:r>
      <w:r w:rsidR="00952389" w:rsidRPr="008E4CD1">
        <w:rPr>
          <w:rFonts w:ascii="Times New Roman" w:hAnsi="Times New Roman"/>
          <w:iCs/>
          <w:lang w:val="pt-BR"/>
        </w:rPr>
        <w:t xml:space="preserve"> 32 acumulações.</w:t>
      </w:r>
    </w:p>
    <w:p w14:paraId="2C83A285" w14:textId="7016A134" w:rsidR="0095746A" w:rsidRPr="00762E13" w:rsidRDefault="0095746A" w:rsidP="000A2298">
      <w:pPr>
        <w:pStyle w:val="TAMainText"/>
        <w:spacing w:before="60" w:after="60"/>
        <w:ind w:firstLine="0"/>
        <w:rPr>
          <w:rFonts w:ascii="Times New Roman" w:hAnsi="Times New Roman"/>
          <w:i/>
          <w:lang w:val="pt-BR"/>
        </w:rPr>
      </w:pPr>
      <w:r w:rsidRPr="00762E13">
        <w:rPr>
          <w:rFonts w:ascii="Times New Roman" w:hAnsi="Times New Roman"/>
          <w:i/>
          <w:lang w:val="pt-BR"/>
        </w:rPr>
        <w:t>Síntese de biodiesel</w:t>
      </w:r>
      <w:r w:rsidR="001F3139">
        <w:rPr>
          <w:rFonts w:ascii="Times New Roman" w:hAnsi="Times New Roman"/>
          <w:i/>
          <w:lang w:val="pt-BR"/>
        </w:rPr>
        <w:t xml:space="preserve"> </w:t>
      </w:r>
    </w:p>
    <w:p w14:paraId="50FE8648" w14:textId="0983A1FE" w:rsidR="0095746A" w:rsidRDefault="0095746A" w:rsidP="0095746A">
      <w:pPr>
        <w:pStyle w:val="TAMainText"/>
        <w:ind w:firstLine="170"/>
        <w:rPr>
          <w:rFonts w:ascii="Times New Roman" w:hAnsi="Times New Roman"/>
          <w:lang w:val="pt-BR"/>
        </w:rPr>
      </w:pPr>
      <w:r w:rsidRPr="00762E13">
        <w:rPr>
          <w:rFonts w:ascii="Times New Roman" w:hAnsi="Times New Roman"/>
          <w:lang w:val="pt-BR"/>
        </w:rPr>
        <w:t>O óleo de andiroba</w:t>
      </w:r>
      <w:r w:rsidRPr="002C0F64">
        <w:rPr>
          <w:rFonts w:ascii="Times New Roman" w:hAnsi="Times New Roman"/>
          <w:lang w:val="pt-BR"/>
        </w:rPr>
        <w:t xml:space="preserve"> foi submetido às reações de esterificação/transesterificação sob as seguintes condições: temperatura de </w:t>
      </w:r>
      <w:r w:rsidRPr="001F3139">
        <w:rPr>
          <w:rFonts w:ascii="Times New Roman" w:hAnsi="Times New Roman"/>
          <w:lang w:val="pt-BR"/>
        </w:rPr>
        <w:t>140</w:t>
      </w:r>
      <w:r w:rsidR="001F3139" w:rsidRPr="001F3139">
        <w:rPr>
          <w:rFonts w:ascii="Times New Roman" w:hAnsi="Times New Roman"/>
          <w:lang w:val="pt-BR"/>
        </w:rPr>
        <w:t xml:space="preserve"> </w:t>
      </w:r>
      <w:r w:rsidRPr="001F3139">
        <w:rPr>
          <w:rFonts w:ascii="Times New Roman" w:hAnsi="Times New Roman"/>
          <w:lang w:val="pt-BR"/>
        </w:rPr>
        <w:t>°C, tempo de 2 h</w:t>
      </w:r>
      <w:r w:rsidRPr="002C0F64">
        <w:rPr>
          <w:rFonts w:ascii="Times New Roman" w:hAnsi="Times New Roman"/>
          <w:lang w:val="pt-BR"/>
        </w:rPr>
        <w:t xml:space="preserve">, concentração de catalisador de 6% (m/m) e razão molar MeOH:óleo de 20:1. Após a reação, o catalisador foi recuperado por centrifugação, lavado com álcool etílico e hexano, e seco em estufa a </w:t>
      </w:r>
      <w:r w:rsidRPr="001F3139">
        <w:rPr>
          <w:rFonts w:ascii="Times New Roman" w:hAnsi="Times New Roman"/>
          <w:lang w:val="pt-BR"/>
        </w:rPr>
        <w:t>105</w:t>
      </w:r>
      <w:r w:rsidR="001F3139" w:rsidRPr="001F3139">
        <w:rPr>
          <w:rFonts w:ascii="Times New Roman" w:hAnsi="Times New Roman"/>
          <w:lang w:val="pt-BR"/>
        </w:rPr>
        <w:t xml:space="preserve"> </w:t>
      </w:r>
      <w:r w:rsidRPr="001F3139">
        <w:rPr>
          <w:rFonts w:ascii="Times New Roman" w:hAnsi="Times New Roman"/>
          <w:lang w:val="pt-BR"/>
        </w:rPr>
        <w:t xml:space="preserve">°C </w:t>
      </w:r>
      <w:r w:rsidRPr="002C0F64">
        <w:rPr>
          <w:rFonts w:ascii="Times New Roman" w:hAnsi="Times New Roman"/>
          <w:lang w:val="pt-BR"/>
        </w:rPr>
        <w:t xml:space="preserve">para reutilização. Os produtos reacionais (ésteres e glicerol) foram separados por decantação e a fase éster foi purificada com lavagens de água destilada </w:t>
      </w:r>
      <w:r w:rsidR="001F3139">
        <w:rPr>
          <w:rFonts w:ascii="Times New Roman" w:hAnsi="Times New Roman"/>
          <w:lang w:val="pt-BR"/>
        </w:rPr>
        <w:t>à</w:t>
      </w:r>
      <w:r w:rsidRPr="001F3139">
        <w:rPr>
          <w:rFonts w:ascii="Times New Roman" w:hAnsi="Times New Roman"/>
          <w:lang w:val="pt-BR"/>
        </w:rPr>
        <w:t xml:space="preserve"> 80</w:t>
      </w:r>
      <w:r w:rsidR="001F3139" w:rsidRPr="001F3139">
        <w:rPr>
          <w:rFonts w:ascii="Times New Roman" w:hAnsi="Times New Roman"/>
          <w:lang w:val="pt-BR"/>
        </w:rPr>
        <w:t xml:space="preserve"> </w:t>
      </w:r>
      <w:r w:rsidRPr="001F3139">
        <w:rPr>
          <w:rFonts w:ascii="Times New Roman" w:hAnsi="Times New Roman"/>
          <w:lang w:val="pt-BR"/>
        </w:rPr>
        <w:t>°C</w:t>
      </w:r>
      <w:r w:rsidRPr="002C0F64">
        <w:rPr>
          <w:rFonts w:ascii="Times New Roman" w:hAnsi="Times New Roman"/>
          <w:lang w:val="pt-BR"/>
        </w:rPr>
        <w:t xml:space="preserve"> para remover resíduos. O biodiesel resultante foi seco em estufa a </w:t>
      </w:r>
      <w:r w:rsidRPr="001F3139">
        <w:rPr>
          <w:rFonts w:ascii="Times New Roman" w:hAnsi="Times New Roman"/>
          <w:lang w:val="pt-BR"/>
        </w:rPr>
        <w:t>60</w:t>
      </w:r>
      <w:r w:rsidR="001F3139" w:rsidRPr="001F3139">
        <w:rPr>
          <w:rFonts w:ascii="Times New Roman" w:hAnsi="Times New Roman"/>
          <w:lang w:val="pt-BR"/>
        </w:rPr>
        <w:t xml:space="preserve"> </w:t>
      </w:r>
      <w:r w:rsidRPr="001F3139">
        <w:rPr>
          <w:rFonts w:ascii="Times New Roman" w:hAnsi="Times New Roman"/>
          <w:lang w:val="pt-BR"/>
        </w:rPr>
        <w:t xml:space="preserve">°C </w:t>
      </w:r>
      <w:r w:rsidRPr="002C0F64">
        <w:rPr>
          <w:rFonts w:ascii="Times New Roman" w:hAnsi="Times New Roman"/>
          <w:lang w:val="pt-BR"/>
        </w:rPr>
        <w:t xml:space="preserve">e analisado quanto </w:t>
      </w:r>
      <w:r w:rsidR="001F3139">
        <w:rPr>
          <w:rFonts w:ascii="Times New Roman" w:hAnsi="Times New Roman"/>
          <w:lang w:val="pt-BR"/>
        </w:rPr>
        <w:t>ao</w:t>
      </w:r>
      <w:r w:rsidRPr="002C0F64">
        <w:rPr>
          <w:rFonts w:ascii="Times New Roman" w:hAnsi="Times New Roman"/>
          <w:lang w:val="pt-BR"/>
        </w:rPr>
        <w:t xml:space="preserve"> teor de éster.</w:t>
      </w:r>
    </w:p>
    <w:p w14:paraId="4CE4FED9" w14:textId="77777777" w:rsidR="001F3139" w:rsidRPr="000142DB" w:rsidRDefault="001F3139" w:rsidP="0095746A">
      <w:pPr>
        <w:pStyle w:val="TAMainText"/>
        <w:ind w:firstLine="170"/>
        <w:rPr>
          <w:rFonts w:ascii="Times New Roman" w:hAnsi="Times New Roman"/>
          <w:i/>
          <w:lang w:val="pt-BR"/>
        </w:rPr>
      </w:pPr>
    </w:p>
    <w:p w14:paraId="3EA6031B" w14:textId="340E4EE6" w:rsidR="00580C26" w:rsidRPr="00706186" w:rsidRDefault="00EA4E1B" w:rsidP="0095746A">
      <w:pPr>
        <w:pStyle w:val="TAMainText"/>
        <w:ind w:firstLine="170"/>
        <w:rPr>
          <w:rFonts w:ascii="Helvetica" w:hAnsi="Helvetica" w:cs="Helvetica"/>
          <w:sz w:val="24"/>
          <w:szCs w:val="24"/>
          <w:lang w:val="pt-BR"/>
        </w:rPr>
      </w:pPr>
      <w:r w:rsidRPr="00706186">
        <w:rPr>
          <w:rFonts w:ascii="Helvetica" w:hAnsi="Helvetica" w:cs="Helvetica"/>
          <w:sz w:val="24"/>
          <w:szCs w:val="24"/>
          <w:lang w:val="pt-BR"/>
        </w:rPr>
        <w:lastRenderedPageBreak/>
        <w:t>Resultados e Discussão</w:t>
      </w:r>
    </w:p>
    <w:p w14:paraId="6372322B" w14:textId="16F171F7" w:rsidR="00580C26" w:rsidRDefault="00580C26" w:rsidP="007722B6">
      <w:pPr>
        <w:pStyle w:val="TAMainText"/>
        <w:spacing w:before="60" w:after="60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Influência da concentração de molibdênio</w:t>
      </w:r>
    </w:p>
    <w:p w14:paraId="2AF73CBB" w14:textId="02FAC10F" w:rsidR="003E2437" w:rsidRPr="00E37D6A" w:rsidRDefault="003776C6" w:rsidP="002C4B91">
      <w:pPr>
        <w:pStyle w:val="TAMainText"/>
        <w:ind w:firstLine="187"/>
        <w:rPr>
          <w:rFonts w:ascii="Times New Roman" w:hAnsi="Times New Roman"/>
          <w:iCs/>
          <w:lang w:val="pt-BR"/>
        </w:rPr>
      </w:pPr>
      <w:r>
        <w:rPr>
          <w:rFonts w:ascii="Times New Roman" w:hAnsi="Times New Roman"/>
          <w:iCs/>
          <w:noProof/>
          <w:lang w:val="pt-BR"/>
        </w:rPr>
        <w:drawing>
          <wp:anchor distT="0" distB="0" distL="114300" distR="114300" simplePos="0" relativeHeight="251659264" behindDoc="0" locked="0" layoutInCell="1" allowOverlap="1" wp14:anchorId="3AE3B265" wp14:editId="24FEC25C">
            <wp:simplePos x="0" y="0"/>
            <wp:positionH relativeFrom="column">
              <wp:posOffset>231775</wp:posOffset>
            </wp:positionH>
            <wp:positionV relativeFrom="paragraph">
              <wp:posOffset>787458</wp:posOffset>
            </wp:positionV>
            <wp:extent cx="2586212" cy="2160000"/>
            <wp:effectExtent l="0" t="0" r="5080" b="0"/>
            <wp:wrapTopAndBottom/>
            <wp:docPr id="144327023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270235" name="Imagem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57" t="10342" r="12920" b="4029"/>
                    <a:stretch/>
                  </pic:blipFill>
                  <pic:spPr bwMode="auto">
                    <a:xfrm>
                      <a:off x="0" y="0"/>
                      <a:ext cx="258621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2B6" w:rsidRPr="007722B6">
        <w:rPr>
          <w:rFonts w:ascii="Times New Roman" w:hAnsi="Times New Roman"/>
          <w:iCs/>
          <w:lang w:val="pt-BR"/>
        </w:rPr>
        <w:t xml:space="preserve">A influência da concentração de molibdênio na composição final do catalisador foi estudada em relação ao teor de éster do biodiesel obtido, conforme a Figura </w:t>
      </w:r>
      <w:r w:rsidR="00E37D6A">
        <w:rPr>
          <w:rFonts w:ascii="Times New Roman" w:hAnsi="Times New Roman"/>
          <w:iCs/>
          <w:lang w:val="pt-BR"/>
        </w:rPr>
        <w:t>1</w:t>
      </w:r>
      <w:r w:rsidR="007722B6" w:rsidRPr="007722B6">
        <w:rPr>
          <w:rFonts w:ascii="Times New Roman" w:hAnsi="Times New Roman"/>
          <w:iCs/>
          <w:lang w:val="pt-BR"/>
        </w:rPr>
        <w:t xml:space="preserve">. As reações foram realizadas </w:t>
      </w:r>
      <w:r w:rsidR="00D51144">
        <w:rPr>
          <w:rFonts w:ascii="Times New Roman" w:hAnsi="Times New Roman"/>
          <w:iCs/>
          <w:lang w:val="pt-BR"/>
        </w:rPr>
        <w:t xml:space="preserve">em </w:t>
      </w:r>
      <w:r w:rsidR="007722B6" w:rsidRPr="007722B6">
        <w:rPr>
          <w:rFonts w:ascii="Times New Roman" w:hAnsi="Times New Roman"/>
          <w:iCs/>
          <w:lang w:val="pt-BR"/>
        </w:rPr>
        <w:t xml:space="preserve">condições </w:t>
      </w:r>
      <w:r w:rsidR="00D51144">
        <w:rPr>
          <w:rFonts w:ascii="Times New Roman" w:hAnsi="Times New Roman"/>
          <w:iCs/>
          <w:lang w:val="pt-BR"/>
        </w:rPr>
        <w:t xml:space="preserve">reacionais </w:t>
      </w:r>
      <w:r w:rsidR="007722B6" w:rsidRPr="007722B6">
        <w:rPr>
          <w:rFonts w:ascii="Times New Roman" w:hAnsi="Times New Roman"/>
          <w:iCs/>
          <w:lang w:val="pt-BR"/>
        </w:rPr>
        <w:t>não otimizadas</w:t>
      </w:r>
      <w:r w:rsidR="002D2DF0">
        <w:rPr>
          <w:rFonts w:ascii="Times New Roman" w:hAnsi="Times New Roman"/>
          <w:iCs/>
          <w:lang w:val="pt-BR"/>
        </w:rPr>
        <w:t>.</w:t>
      </w:r>
    </w:p>
    <w:p w14:paraId="660B39DE" w14:textId="666D1CE7" w:rsidR="00700284" w:rsidRDefault="00700284" w:rsidP="005E33BF">
      <w:pPr>
        <w:pStyle w:val="VAFigureCaption"/>
        <w:spacing w:before="0" w:after="60" w:line="240" w:lineRule="auto"/>
        <w:jc w:val="center"/>
        <w:rPr>
          <w:rFonts w:ascii="Times New Roman" w:hAnsi="Times New Roman"/>
          <w:lang w:val="pt-BR"/>
        </w:rPr>
      </w:pPr>
      <w:r w:rsidRPr="008E4CD1">
        <w:rPr>
          <w:rFonts w:ascii="Times New Roman" w:hAnsi="Times New Roman"/>
          <w:b/>
          <w:lang w:val="pt-BR"/>
        </w:rPr>
        <w:t>Figura 1.</w:t>
      </w:r>
      <w:r w:rsidRPr="008E4CD1">
        <w:rPr>
          <w:rFonts w:ascii="Times New Roman" w:hAnsi="Times New Roman"/>
          <w:lang w:val="pt-BR"/>
        </w:rPr>
        <w:t xml:space="preserve"> </w:t>
      </w:r>
      <w:r w:rsidR="005E33BF">
        <w:rPr>
          <w:rFonts w:ascii="Times New Roman" w:hAnsi="Times New Roman"/>
          <w:lang w:val="pt-BR"/>
        </w:rPr>
        <w:t>Influência da concentração de molibdênio</w:t>
      </w:r>
    </w:p>
    <w:p w14:paraId="11B7DC40" w14:textId="1EAFA47F" w:rsidR="00C65AB2" w:rsidRDefault="00C65AB2" w:rsidP="00C65AB2">
      <w:pPr>
        <w:pStyle w:val="TAMainText"/>
        <w:ind w:firstLine="170"/>
        <w:rPr>
          <w:rFonts w:ascii="Times New Roman" w:hAnsi="Times New Roman"/>
          <w:iCs/>
          <w:lang w:val="pt-BR"/>
        </w:rPr>
      </w:pPr>
      <w:r w:rsidRPr="00C65AB2">
        <w:rPr>
          <w:rFonts w:ascii="Times New Roman" w:hAnsi="Times New Roman"/>
          <w:iCs/>
          <w:lang w:val="pt-BR"/>
        </w:rPr>
        <w:t xml:space="preserve">O aumento da concentração de molibdênio no catalisador resulta em </w:t>
      </w:r>
      <w:r w:rsidR="00DA5695" w:rsidRPr="00DA5695">
        <w:rPr>
          <w:rFonts w:ascii="Times New Roman" w:hAnsi="Times New Roman"/>
          <w:iCs/>
          <w:lang w:val="pt-BR"/>
        </w:rPr>
        <w:t>elevado</w:t>
      </w:r>
      <w:r w:rsidRPr="00DA5695">
        <w:rPr>
          <w:rFonts w:ascii="Times New Roman" w:hAnsi="Times New Roman"/>
          <w:iCs/>
          <w:lang w:val="pt-BR"/>
        </w:rPr>
        <w:t xml:space="preserve"> teor de éster</w:t>
      </w:r>
      <w:r w:rsidRPr="00C65AB2">
        <w:rPr>
          <w:rFonts w:ascii="Times New Roman" w:hAnsi="Times New Roman"/>
          <w:iCs/>
          <w:lang w:val="pt-BR"/>
        </w:rPr>
        <w:t xml:space="preserve">, devido ao aumento de sítios ácidos em sua superfície, </w:t>
      </w:r>
      <w:r w:rsidR="00DA5695">
        <w:rPr>
          <w:rFonts w:ascii="Times New Roman" w:hAnsi="Times New Roman"/>
          <w:iCs/>
          <w:lang w:val="pt-BR"/>
        </w:rPr>
        <w:t xml:space="preserve">por </w:t>
      </w:r>
      <w:r w:rsidRPr="00C65AB2">
        <w:rPr>
          <w:rFonts w:ascii="Times New Roman" w:hAnsi="Times New Roman"/>
          <w:iCs/>
          <w:lang w:val="pt-BR"/>
        </w:rPr>
        <w:t>de troca iônica durante o processo reacional (</w:t>
      </w:r>
      <w:r w:rsidR="00275C73">
        <w:rPr>
          <w:rFonts w:ascii="Times New Roman" w:hAnsi="Times New Roman"/>
          <w:iCs/>
          <w:lang w:val="pt-BR"/>
        </w:rPr>
        <w:t>3</w:t>
      </w:r>
      <w:r w:rsidRPr="00C65AB2">
        <w:rPr>
          <w:rFonts w:ascii="Times New Roman" w:hAnsi="Times New Roman"/>
          <w:iCs/>
          <w:lang w:val="pt-BR"/>
        </w:rPr>
        <w:t>).  O catalisador com 20% de molibdênio demonstrou bom desempenho catalítico na produção de biodiesel, gerando uma amostra com teor de éster acima de 90%</w:t>
      </w:r>
      <w:r w:rsidR="001D5A98">
        <w:rPr>
          <w:rFonts w:ascii="Times New Roman" w:hAnsi="Times New Roman"/>
          <w:iCs/>
          <w:lang w:val="pt-BR"/>
        </w:rPr>
        <w:t>. Dessa forma</w:t>
      </w:r>
      <w:r w:rsidRPr="001D5A98">
        <w:rPr>
          <w:rFonts w:ascii="Times New Roman" w:hAnsi="Times New Roman"/>
          <w:iCs/>
          <w:lang w:val="pt-BR"/>
        </w:rPr>
        <w:t>, o catalisador foi denominado 20Mo/HCTA.</w:t>
      </w:r>
    </w:p>
    <w:p w14:paraId="6FF375AA" w14:textId="4A951F95" w:rsidR="00703DB6" w:rsidRPr="00BB4321" w:rsidRDefault="009A07F6" w:rsidP="00A93891">
      <w:pPr>
        <w:pStyle w:val="TAMainText"/>
        <w:spacing w:before="60" w:after="60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 xml:space="preserve">Análise de Infravermelho com Transformada de Fourier </w:t>
      </w:r>
    </w:p>
    <w:p w14:paraId="32353A1A" w14:textId="55E963A1" w:rsidR="008B69A7" w:rsidRPr="00AE447D" w:rsidRDefault="00BB4321" w:rsidP="001274F3">
      <w:pPr>
        <w:spacing w:after="0" w:line="240" w:lineRule="exact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7216" behindDoc="0" locked="0" layoutInCell="1" allowOverlap="1" wp14:anchorId="1C5D0705" wp14:editId="1BAC1EB9">
            <wp:simplePos x="0" y="0"/>
            <wp:positionH relativeFrom="margin">
              <wp:posOffset>250825</wp:posOffset>
            </wp:positionH>
            <wp:positionV relativeFrom="page">
              <wp:posOffset>7252219</wp:posOffset>
            </wp:positionV>
            <wp:extent cx="2448000" cy="2165372"/>
            <wp:effectExtent l="0" t="0" r="9525" b="6350"/>
            <wp:wrapTopAndBottom/>
            <wp:docPr id="1305818694" name="Imagem 2" descr="Gráfi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818694" name="Imagem 2" descr="Gráfi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84" t="20096" r="4628" b="18886"/>
                    <a:stretch/>
                  </pic:blipFill>
                  <pic:spPr bwMode="auto">
                    <a:xfrm>
                      <a:off x="0" y="0"/>
                      <a:ext cx="2448000" cy="216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9A7" w:rsidRPr="008B69A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Os espectros FT-IR para </w:t>
      </w:r>
      <w:r w:rsidR="008B69A7" w:rsidRPr="004249B0">
        <w:rPr>
          <w:rFonts w:ascii="Times New Roman" w:eastAsia="Times New Roman" w:hAnsi="Times New Roman" w:cs="Times New Roman"/>
          <w:sz w:val="20"/>
          <w:szCs w:val="20"/>
          <w:lang w:eastAsia="pt-BR"/>
        </w:rPr>
        <w:t>MoO</w:t>
      </w:r>
      <w:r w:rsidR="008B69A7" w:rsidRPr="004249B0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="008B69A7" w:rsidRPr="008B69A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HCTA e o catalisador 20Mo/HCTA podem ser visualizados na Figura </w:t>
      </w:r>
      <w:r w:rsidR="008B69A7">
        <w:rPr>
          <w:rFonts w:ascii="Times New Roman" w:eastAsia="Times New Roman" w:hAnsi="Times New Roman" w:cs="Times New Roman"/>
          <w:sz w:val="20"/>
          <w:szCs w:val="20"/>
          <w:lang w:eastAsia="pt-BR"/>
        </w:rPr>
        <w:t>2</w:t>
      </w:r>
      <w:r w:rsidR="008B69A7" w:rsidRPr="008B69A7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14:paraId="09E50674" w14:textId="566EA70E" w:rsidR="008B69A7" w:rsidRPr="008147FB" w:rsidRDefault="008B69A7" w:rsidP="008147FB">
      <w:pPr>
        <w:pStyle w:val="VAFigureCaption"/>
        <w:spacing w:before="60" w:after="60" w:line="240" w:lineRule="auto"/>
        <w:jc w:val="center"/>
        <w:rPr>
          <w:rFonts w:ascii="Times New Roman" w:hAnsi="Times New Roman"/>
          <w:b/>
          <w:lang w:val="pt-BR"/>
        </w:rPr>
      </w:pPr>
      <w:r w:rsidRPr="008E4CD1">
        <w:rPr>
          <w:rFonts w:ascii="Times New Roman" w:hAnsi="Times New Roman"/>
          <w:b/>
          <w:lang w:val="pt-BR"/>
        </w:rPr>
        <w:t xml:space="preserve">Figura </w:t>
      </w:r>
      <w:r>
        <w:rPr>
          <w:rFonts w:ascii="Times New Roman" w:hAnsi="Times New Roman"/>
          <w:b/>
          <w:lang w:val="pt-BR"/>
        </w:rPr>
        <w:t>2</w:t>
      </w:r>
      <w:r w:rsidRPr="008E4CD1">
        <w:rPr>
          <w:rFonts w:ascii="Times New Roman" w:hAnsi="Times New Roman"/>
          <w:b/>
          <w:lang w:val="pt-BR"/>
        </w:rPr>
        <w:t>.</w:t>
      </w:r>
      <w:r w:rsidRPr="008B69A7">
        <w:rPr>
          <w:rFonts w:ascii="Times New Roman" w:hAnsi="Times New Roman"/>
          <w:b/>
          <w:lang w:val="pt-BR"/>
        </w:rPr>
        <w:t xml:space="preserve"> </w:t>
      </w:r>
      <w:r w:rsidRPr="008B69A7">
        <w:rPr>
          <w:rFonts w:ascii="Times New Roman" w:hAnsi="Times New Roman"/>
          <w:bCs/>
          <w:lang w:val="pt-BR"/>
        </w:rPr>
        <w:t>Espectros FT-IR para MoO</w:t>
      </w:r>
      <w:r w:rsidRPr="0042311A">
        <w:rPr>
          <w:rFonts w:ascii="Times New Roman" w:hAnsi="Times New Roman"/>
          <w:bCs/>
          <w:vertAlign w:val="subscript"/>
          <w:lang w:val="pt-BR"/>
        </w:rPr>
        <w:t>3</w:t>
      </w:r>
      <w:r w:rsidRPr="008B69A7">
        <w:rPr>
          <w:rFonts w:ascii="Times New Roman" w:hAnsi="Times New Roman"/>
          <w:bCs/>
          <w:lang w:val="pt-BR"/>
        </w:rPr>
        <w:t>, HCTA e catalisador 20Mo/HCTA</w:t>
      </w:r>
    </w:p>
    <w:p w14:paraId="3925676B" w14:textId="5B739961" w:rsidR="006D4DA1" w:rsidRDefault="008B69A7" w:rsidP="008B69A7">
      <w:pPr>
        <w:spacing w:after="0" w:line="240" w:lineRule="exact"/>
        <w:ind w:firstLine="18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P</w:t>
      </w:r>
      <w:r w:rsidR="001A51D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ara </w:t>
      </w:r>
      <w:r w:rsidR="0079280A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>o espectro de</w:t>
      </w:r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MoO</w:t>
      </w:r>
      <w:r w:rsidR="009A07F6" w:rsidRPr="00DF4104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(em azul), a</w:t>
      </w:r>
      <w:r w:rsidR="0060135A">
        <w:rPr>
          <w:rFonts w:ascii="Times New Roman" w:eastAsia="Times New Roman" w:hAnsi="Times New Roman" w:cs="Times New Roman"/>
          <w:sz w:val="20"/>
          <w:szCs w:val="20"/>
          <w:lang w:eastAsia="pt-BR"/>
        </w:rPr>
        <w:t>s</w:t>
      </w:r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banda</w:t>
      </w:r>
      <w:r w:rsidR="0060135A">
        <w:rPr>
          <w:rFonts w:ascii="Times New Roman" w:eastAsia="Times New Roman" w:hAnsi="Times New Roman" w:cs="Times New Roman"/>
          <w:sz w:val="20"/>
          <w:szCs w:val="20"/>
          <w:lang w:eastAsia="pt-BR"/>
        </w:rPr>
        <w:t>s</w:t>
      </w:r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localizada</w:t>
      </w:r>
      <w:r w:rsidR="0060135A">
        <w:rPr>
          <w:rFonts w:ascii="Times New Roman" w:eastAsia="Times New Roman" w:hAnsi="Times New Roman" w:cs="Times New Roman"/>
          <w:sz w:val="20"/>
          <w:szCs w:val="20"/>
          <w:lang w:eastAsia="pt-BR"/>
        </w:rPr>
        <w:t>s</w:t>
      </w:r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em 535 cm</w:t>
      </w:r>
      <w:r w:rsidR="009A07F6" w:rsidRPr="0002058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-1</w:t>
      </w:r>
      <w:r w:rsidR="0060135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>805 cm</w:t>
      </w:r>
      <w:r w:rsidR="009A07F6" w:rsidRPr="0002058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-1</w:t>
      </w:r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 970 cm</w:t>
      </w:r>
      <w:r w:rsidR="009A07F6" w:rsidRPr="0002058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-1</w:t>
      </w:r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são características das ligações </w:t>
      </w:r>
      <w:r w:rsidR="0060135A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>Mo–O</w:t>
      </w:r>
      <w:r w:rsidR="0060135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>Mo–O–Mo e Mo=O, respectivamente (</w:t>
      </w:r>
      <w:r w:rsidR="00BB3110">
        <w:rPr>
          <w:rFonts w:ascii="Times New Roman" w:eastAsia="Times New Roman" w:hAnsi="Times New Roman" w:cs="Times New Roman"/>
          <w:sz w:val="20"/>
          <w:szCs w:val="20"/>
          <w:lang w:eastAsia="pt-BR"/>
        </w:rPr>
        <w:t>4</w:t>
      </w:r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). </w:t>
      </w:r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>Para o suporte H</w:t>
      </w:r>
      <w:r w:rsidR="0079280A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>CT</w:t>
      </w:r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>A</w:t>
      </w:r>
      <w:r w:rsidR="0079280A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>(em marrom), foram identificadas as bandas como C=C, com absorção em 1610 cm</w:t>
      </w:r>
      <w:r w:rsidR="009A07F6" w:rsidRPr="002C180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−1</w:t>
      </w:r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>, atribuída a anéis aromáticos, e C=O, com bandas de estiramento em 1712 cm</w:t>
      </w:r>
      <w:r w:rsidR="009A07F6" w:rsidRPr="002C180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−1</w:t>
      </w:r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grupos carboxílicos. As bandas localizadas em 880 cm</w:t>
      </w:r>
      <w:r w:rsidR="009A07F6" w:rsidRPr="002C180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−1</w:t>
      </w:r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 2919 cm</w:t>
      </w:r>
      <w:r w:rsidR="009A07F6" w:rsidRPr="002C180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−1</w:t>
      </w:r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correspondentes a ligações do tipo =C–H e C−H, respectivamente (</w:t>
      </w:r>
      <w:r w:rsidR="00BB3110">
        <w:rPr>
          <w:rFonts w:ascii="Times New Roman" w:eastAsia="Times New Roman" w:hAnsi="Times New Roman" w:cs="Times New Roman"/>
          <w:sz w:val="20"/>
          <w:szCs w:val="20"/>
          <w:lang w:eastAsia="pt-BR"/>
        </w:rPr>
        <w:t>2</w:t>
      </w:r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>)</w:t>
      </w:r>
      <w:r w:rsidR="006728B5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6728B5">
        <w:rPr>
          <w:rFonts w:ascii="Times New Roman" w:eastAsia="Times New Roman" w:hAnsi="Times New Roman" w:cs="Times New Roman"/>
          <w:sz w:val="20"/>
          <w:szCs w:val="20"/>
          <w:lang w:eastAsia="pt-BR"/>
        </w:rPr>
        <w:t>A</w:t>
      </w:r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banda em 3330 cm</w:t>
      </w:r>
      <w:r w:rsidR="009A07F6" w:rsidRPr="002C180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-1</w:t>
      </w:r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está relacionada às ligações −OH característica de moléculas de água. Para o catalisador </w:t>
      </w:r>
      <w:r w:rsidR="009D48ED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>20</w:t>
      </w:r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Mo/HCTA (em laranja), visualiza-se bandas referentes </w:t>
      </w:r>
      <w:r w:rsidR="002A7A57">
        <w:rPr>
          <w:rFonts w:ascii="Times New Roman" w:eastAsia="Times New Roman" w:hAnsi="Times New Roman" w:cs="Times New Roman"/>
          <w:sz w:val="20"/>
          <w:szCs w:val="20"/>
          <w:lang w:eastAsia="pt-BR"/>
        </w:rPr>
        <w:t>à fase ativa e ao suporte,</w:t>
      </w:r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bem como a presença de bandas nas regiões de 550 e 891 cm</w:t>
      </w:r>
      <w:r w:rsidR="009A07F6" w:rsidRPr="006E3AE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-1</w:t>
      </w:r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atribuídas </w:t>
      </w:r>
      <w:r w:rsidR="00D333D8">
        <w:rPr>
          <w:rFonts w:ascii="Times New Roman" w:eastAsia="Times New Roman" w:hAnsi="Times New Roman" w:cs="Times New Roman"/>
          <w:sz w:val="20"/>
          <w:szCs w:val="20"/>
          <w:lang w:eastAsia="pt-BR"/>
        </w:rPr>
        <w:t>à</w:t>
      </w:r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s ligações </w:t>
      </w:r>
      <w:proofErr w:type="spellStart"/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>Mo−O</w:t>
      </w:r>
      <w:proofErr w:type="spellEnd"/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 </w:t>
      </w:r>
      <w:proofErr w:type="spellStart"/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>Mo−O−O</w:t>
      </w:r>
      <w:proofErr w:type="spellEnd"/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>, respectivamente</w:t>
      </w:r>
      <w:r w:rsidR="00D333D8">
        <w:rPr>
          <w:rFonts w:ascii="Times New Roman" w:eastAsia="Times New Roman" w:hAnsi="Times New Roman" w:cs="Times New Roman"/>
          <w:sz w:val="20"/>
          <w:szCs w:val="20"/>
          <w:lang w:eastAsia="pt-BR"/>
        </w:rPr>
        <w:t>, o que</w:t>
      </w:r>
      <w:r w:rsidR="009A07F6" w:rsidRPr="008D678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sugerem o sucesso do processo de impregnação da fase ativa no suporte.</w:t>
      </w:r>
    </w:p>
    <w:p w14:paraId="20AA905D" w14:textId="68404443" w:rsidR="00EA4E1B" w:rsidRPr="001F25B2" w:rsidRDefault="00EA4E1B" w:rsidP="00F01751">
      <w:pPr>
        <w:pStyle w:val="Ttulo2"/>
        <w:spacing w:before="60" w:after="6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35AC060B" w14:textId="410B2EC2" w:rsidR="00386573" w:rsidRDefault="00386573" w:rsidP="00F86D65">
      <w:pPr>
        <w:pStyle w:val="Ttulo2"/>
        <w:spacing w:before="0" w:after="0" w:line="240" w:lineRule="exact"/>
        <w:ind w:firstLine="17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249B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Em resumo, a biomassa residual foi </w:t>
      </w:r>
      <w:r w:rsidR="004249B0" w:rsidRPr="004249B0">
        <w:rPr>
          <w:rFonts w:ascii="Times New Roman" w:eastAsia="Times New Roman" w:hAnsi="Times New Roman" w:cs="Times New Roman"/>
          <w:sz w:val="20"/>
          <w:szCs w:val="20"/>
          <w:lang w:eastAsia="pt-BR"/>
        </w:rPr>
        <w:t>convertida</w:t>
      </w:r>
      <w:r w:rsidRPr="004249B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com sucesso em biocarvão (HCTA) por carbonização hidrotérmica.</w:t>
      </w:r>
      <w:r w:rsidRPr="0038657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O processo de funcionalização com </w:t>
      </w:r>
      <w:r w:rsidRPr="004249B0">
        <w:rPr>
          <w:rFonts w:ascii="Times New Roman" w:eastAsia="Times New Roman" w:hAnsi="Times New Roman" w:cs="Times New Roman"/>
          <w:sz w:val="20"/>
          <w:szCs w:val="20"/>
          <w:lang w:eastAsia="pt-BR"/>
        </w:rPr>
        <w:t>MoO</w:t>
      </w:r>
      <w:r w:rsidRPr="004249B0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Pr="0038657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foi bem-sucedido</w:t>
      </w:r>
      <w:r w:rsidRPr="0042311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conforme foi </w:t>
      </w:r>
      <w:r w:rsidR="00AB3947" w:rsidRPr="0042311A">
        <w:rPr>
          <w:rFonts w:ascii="Times New Roman" w:eastAsia="Times New Roman" w:hAnsi="Times New Roman" w:cs="Times New Roman"/>
          <w:sz w:val="20"/>
          <w:szCs w:val="20"/>
          <w:lang w:eastAsia="pt-BR"/>
        </w:rPr>
        <w:t>co</w:t>
      </w:r>
      <w:r w:rsidR="0042311A" w:rsidRPr="0042311A">
        <w:rPr>
          <w:rFonts w:ascii="Times New Roman" w:eastAsia="Times New Roman" w:hAnsi="Times New Roman" w:cs="Times New Roman"/>
          <w:sz w:val="20"/>
          <w:szCs w:val="20"/>
          <w:lang w:eastAsia="pt-BR"/>
        </w:rPr>
        <w:t>nfirmado</w:t>
      </w:r>
      <w:r w:rsidRPr="0042311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na análise FT-IR,</w:t>
      </w:r>
      <w:r w:rsidRPr="0038657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dado que foi possível identificar a presença de bandas características da fase ativa, que resultou no catalisador 20Mo/HCTA</w:t>
      </w:r>
      <w:r w:rsidR="0072626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Este se mostrou </w:t>
      </w:r>
      <w:r w:rsidRPr="0072626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eficiente para a síntese de biodiesel </w:t>
      </w:r>
      <w:r w:rsidR="0072626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 partir </w:t>
      </w:r>
      <w:r w:rsidRPr="0072626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do óleo de andiroba em condições reacionais otimizadas, </w:t>
      </w:r>
      <w:r w:rsidR="006F49F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 </w:t>
      </w:r>
      <w:r w:rsidRPr="0072626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foi reutilizado </w:t>
      </w:r>
      <w:r w:rsidR="004249B0" w:rsidRPr="00726265">
        <w:rPr>
          <w:rFonts w:ascii="Times New Roman" w:eastAsia="Times New Roman" w:hAnsi="Times New Roman" w:cs="Times New Roman"/>
          <w:sz w:val="20"/>
          <w:szCs w:val="20"/>
          <w:lang w:eastAsia="pt-BR"/>
        </w:rPr>
        <w:t>3</w:t>
      </w:r>
      <w:r w:rsidRPr="0072626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vezes resultando em amostras com teores de ésteres acima de 50% até o </w:t>
      </w:r>
      <w:r w:rsidR="00AB3947" w:rsidRPr="00726265">
        <w:rPr>
          <w:rFonts w:ascii="Times New Roman" w:eastAsia="Times New Roman" w:hAnsi="Times New Roman" w:cs="Times New Roman"/>
          <w:sz w:val="20"/>
          <w:szCs w:val="20"/>
          <w:lang w:eastAsia="pt-BR"/>
        </w:rPr>
        <w:t>4</w:t>
      </w:r>
      <w:r w:rsidRPr="00726265">
        <w:rPr>
          <w:rFonts w:ascii="Times New Roman" w:eastAsia="Times New Roman" w:hAnsi="Times New Roman" w:cs="Times New Roman"/>
          <w:sz w:val="20"/>
          <w:szCs w:val="20"/>
          <w:lang w:eastAsia="pt-BR"/>
        </w:rPr>
        <w:t>º ciclo.</w:t>
      </w:r>
      <w:r w:rsidRPr="0038657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Os resultados demonstram a viabilidade do uso de resíduos agroindustriais como precursores para catalisadores heterogêneos ácidos na produção de biodiesel, obtendo um produto de alto valor agregado a partir de resíduos.</w:t>
      </w:r>
    </w:p>
    <w:p w14:paraId="6BE32F7B" w14:textId="14F27CD7" w:rsidR="00EA4E1B" w:rsidRPr="001F25B2" w:rsidRDefault="00EA4E1B" w:rsidP="00F01751">
      <w:pPr>
        <w:pStyle w:val="Ttulo2"/>
        <w:spacing w:before="60" w:after="6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24CD6E64" w14:textId="0DCD4081" w:rsidR="00F01751" w:rsidRDefault="00F01751" w:rsidP="00F01751">
      <w:pPr>
        <w:spacing w:after="0" w:line="240" w:lineRule="auto"/>
        <w:ind w:firstLine="204"/>
        <w:jc w:val="both"/>
        <w:rPr>
          <w:rFonts w:ascii="Helvetica" w:hAnsi="Helvetica" w:cs="Helvetica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Ao </w:t>
      </w:r>
      <w:r w:rsidRPr="00DC7706">
        <w:rPr>
          <w:rFonts w:ascii="Times New Roman" w:eastAsia="Times New Roman" w:hAnsi="Times New Roman" w:cs="Times New Roman"/>
          <w:sz w:val="20"/>
          <w:szCs w:val="20"/>
          <w:lang w:eastAsia="pt-BR"/>
        </w:rPr>
        <w:t>Laboratório de Catálise e Oleoquímica (LCO/UFPA)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 ao</w:t>
      </w:r>
      <w:r w:rsidRPr="00DC770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Laboratório de Pesquisa e Análise de Combustíveis (LAPAC/UFPA)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14:paraId="1EAAA287" w14:textId="1A0012E4" w:rsidR="00EA4E1B" w:rsidRPr="001F25B2" w:rsidRDefault="00EA4E1B" w:rsidP="00F01751">
      <w:pPr>
        <w:pStyle w:val="Ttulo2"/>
        <w:spacing w:before="60" w:after="6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45007906" w14:textId="2F6740B8" w:rsidR="009834A6" w:rsidRPr="00706186" w:rsidRDefault="009834A6" w:rsidP="009E5B87">
      <w:pPr>
        <w:pStyle w:val="TAMainText"/>
        <w:numPr>
          <w:ilvl w:val="0"/>
          <w:numId w:val="1"/>
        </w:numPr>
        <w:spacing w:line="240" w:lineRule="auto"/>
        <w:ind w:left="357" w:hanging="357"/>
        <w:rPr>
          <w:rFonts w:ascii="Times New Roman" w:hAnsi="Times New Roman"/>
        </w:rPr>
      </w:pPr>
      <w:r w:rsidRPr="00706186">
        <w:rPr>
          <w:rFonts w:ascii="Times New Roman" w:hAnsi="Times New Roman"/>
        </w:rPr>
        <w:t xml:space="preserve">C. T. </w:t>
      </w:r>
      <w:r w:rsidR="005F2DD1" w:rsidRPr="00706186">
        <w:rPr>
          <w:rFonts w:ascii="Times New Roman" w:hAnsi="Times New Roman"/>
        </w:rPr>
        <w:t>Chong</w:t>
      </w:r>
      <w:r w:rsidR="00927AB7" w:rsidRPr="00706186">
        <w:rPr>
          <w:rFonts w:ascii="Times New Roman" w:hAnsi="Times New Roman"/>
        </w:rPr>
        <w:t>;</w:t>
      </w:r>
      <w:r w:rsidR="008B671B" w:rsidRPr="00706186">
        <w:rPr>
          <w:rFonts w:ascii="Times New Roman" w:hAnsi="Times New Roman"/>
        </w:rPr>
        <w:t xml:space="preserve"> </w:t>
      </w:r>
      <w:r w:rsidR="00927AB7" w:rsidRPr="00706186">
        <w:rPr>
          <w:rFonts w:ascii="Times New Roman" w:hAnsi="Times New Roman"/>
        </w:rPr>
        <w:t xml:space="preserve">T. Y. </w:t>
      </w:r>
      <w:proofErr w:type="spellStart"/>
      <w:r w:rsidR="00927AB7" w:rsidRPr="00706186">
        <w:rPr>
          <w:rFonts w:ascii="Times New Roman" w:hAnsi="Times New Roman"/>
        </w:rPr>
        <w:t>Loe</w:t>
      </w:r>
      <w:proofErr w:type="spellEnd"/>
      <w:r w:rsidR="00927AB7" w:rsidRPr="00706186">
        <w:rPr>
          <w:rFonts w:ascii="Times New Roman" w:hAnsi="Times New Roman"/>
        </w:rPr>
        <w:t>; K. Y. Wong; V. Ashokkumar</w:t>
      </w:r>
      <w:r w:rsidR="003704D6" w:rsidRPr="00706186">
        <w:rPr>
          <w:rFonts w:ascii="Times New Roman" w:hAnsi="Times New Roman"/>
        </w:rPr>
        <w:t xml:space="preserve">; T. W. Chong; A. </w:t>
      </w:r>
      <w:proofErr w:type="spellStart"/>
      <w:r w:rsidR="003704D6" w:rsidRPr="00706186">
        <w:rPr>
          <w:rFonts w:ascii="Times New Roman" w:hAnsi="Times New Roman"/>
        </w:rPr>
        <w:t>Borrion</w:t>
      </w:r>
      <w:proofErr w:type="spellEnd"/>
      <w:r w:rsidR="003704D6" w:rsidRPr="00706186">
        <w:rPr>
          <w:rFonts w:ascii="Times New Roman" w:hAnsi="Times New Roman"/>
        </w:rPr>
        <w:t xml:space="preserve">; B. Tian; </w:t>
      </w:r>
      <w:r w:rsidR="00CF7050" w:rsidRPr="00706186">
        <w:rPr>
          <w:rFonts w:ascii="Times New Roman" w:hAnsi="Times New Roman"/>
        </w:rPr>
        <w:t>J. NG</w:t>
      </w:r>
      <w:r w:rsidRPr="00706186">
        <w:rPr>
          <w:rFonts w:ascii="Times New Roman" w:hAnsi="Times New Roman"/>
        </w:rPr>
        <w:t xml:space="preserve">., </w:t>
      </w:r>
      <w:proofErr w:type="spellStart"/>
      <w:r w:rsidR="002D281C" w:rsidRPr="00706186">
        <w:rPr>
          <w:rFonts w:ascii="Times New Roman" w:hAnsi="Times New Roman"/>
        </w:rPr>
        <w:t>Eviromental</w:t>
      </w:r>
      <w:proofErr w:type="spellEnd"/>
      <w:r w:rsidR="002D281C" w:rsidRPr="00706186">
        <w:rPr>
          <w:rFonts w:ascii="Times New Roman" w:hAnsi="Times New Roman"/>
        </w:rPr>
        <w:t xml:space="preserve"> </w:t>
      </w:r>
      <w:proofErr w:type="spellStart"/>
      <w:r w:rsidR="002D281C" w:rsidRPr="00706186">
        <w:rPr>
          <w:rFonts w:ascii="Times New Roman" w:hAnsi="Times New Roman"/>
        </w:rPr>
        <w:t>Tecnology</w:t>
      </w:r>
      <w:proofErr w:type="spellEnd"/>
      <w:r w:rsidR="002D281C" w:rsidRPr="00706186">
        <w:rPr>
          <w:rFonts w:ascii="Times New Roman" w:hAnsi="Times New Roman"/>
        </w:rPr>
        <w:t xml:space="preserve"> &amp; </w:t>
      </w:r>
      <w:proofErr w:type="spellStart"/>
      <w:r w:rsidR="002D281C" w:rsidRPr="00706186">
        <w:rPr>
          <w:rFonts w:ascii="Times New Roman" w:hAnsi="Times New Roman"/>
        </w:rPr>
        <w:t>Inovation</w:t>
      </w:r>
      <w:proofErr w:type="spellEnd"/>
      <w:r w:rsidR="002D281C" w:rsidRPr="00706186">
        <w:rPr>
          <w:rFonts w:ascii="Times New Roman" w:hAnsi="Times New Roman"/>
        </w:rPr>
        <w:t xml:space="preserve">, </w:t>
      </w:r>
      <w:r w:rsidR="002D281C" w:rsidRPr="00706186">
        <w:rPr>
          <w:rFonts w:ascii="Times New Roman" w:hAnsi="Times New Roman"/>
          <w:b/>
          <w:bCs/>
        </w:rPr>
        <w:t>2021</w:t>
      </w:r>
      <w:r w:rsidR="002D281C" w:rsidRPr="00706186">
        <w:rPr>
          <w:rFonts w:ascii="Times New Roman" w:hAnsi="Times New Roman"/>
        </w:rPr>
        <w:t>, 22, 101408.</w:t>
      </w:r>
    </w:p>
    <w:p w14:paraId="469999FD" w14:textId="09B89C49" w:rsidR="009834A6" w:rsidRPr="00706186" w:rsidRDefault="009834A6" w:rsidP="009E5B87">
      <w:pPr>
        <w:pStyle w:val="TAMainText"/>
        <w:numPr>
          <w:ilvl w:val="0"/>
          <w:numId w:val="1"/>
        </w:numPr>
        <w:spacing w:line="240" w:lineRule="auto"/>
        <w:ind w:left="357" w:hanging="357"/>
        <w:rPr>
          <w:rFonts w:ascii="Times New Roman" w:hAnsi="Times New Roman"/>
        </w:rPr>
      </w:pPr>
      <w:r w:rsidRPr="00706186">
        <w:rPr>
          <w:rFonts w:ascii="Times New Roman" w:hAnsi="Times New Roman"/>
        </w:rPr>
        <w:t>R. F. A</w:t>
      </w:r>
      <w:r w:rsidR="005F2DD1" w:rsidRPr="00706186">
        <w:rPr>
          <w:rFonts w:ascii="Times New Roman" w:hAnsi="Times New Roman"/>
        </w:rPr>
        <w:t>bdullah</w:t>
      </w:r>
      <w:r w:rsidR="003001E1" w:rsidRPr="00706186">
        <w:rPr>
          <w:rFonts w:ascii="Times New Roman" w:hAnsi="Times New Roman"/>
        </w:rPr>
        <w:t xml:space="preserve">; U. Rashid; M. L. Ibrahim; M. A. </w:t>
      </w:r>
      <w:r w:rsidR="008F52EF" w:rsidRPr="00706186">
        <w:rPr>
          <w:rFonts w:ascii="Times New Roman" w:hAnsi="Times New Roman"/>
        </w:rPr>
        <w:t xml:space="preserve">H. L. </w:t>
      </w:r>
      <w:proofErr w:type="spellStart"/>
      <w:r w:rsidR="003001E1" w:rsidRPr="00706186">
        <w:rPr>
          <w:rFonts w:ascii="Times New Roman" w:hAnsi="Times New Roman"/>
        </w:rPr>
        <w:t>Nolhakim</w:t>
      </w:r>
      <w:proofErr w:type="spellEnd"/>
      <w:r w:rsidR="003001E1" w:rsidRPr="00706186">
        <w:rPr>
          <w:rFonts w:ascii="Times New Roman" w:hAnsi="Times New Roman"/>
        </w:rPr>
        <w:t>;</w:t>
      </w:r>
      <w:r w:rsidR="0001384E" w:rsidRPr="00706186">
        <w:rPr>
          <w:rFonts w:ascii="Times New Roman" w:hAnsi="Times New Roman"/>
        </w:rPr>
        <w:t xml:space="preserve"> B.</w:t>
      </w:r>
      <w:r w:rsidR="00D0261A" w:rsidRPr="00706186">
        <w:rPr>
          <w:rFonts w:ascii="Times New Roman" w:hAnsi="Times New Roman"/>
        </w:rPr>
        <w:t xml:space="preserve"> R</w:t>
      </w:r>
      <w:r w:rsidRPr="00706186">
        <w:rPr>
          <w:rFonts w:ascii="Times New Roman" w:hAnsi="Times New Roman"/>
        </w:rPr>
        <w:t>.</w:t>
      </w:r>
      <w:r w:rsidR="00D0261A" w:rsidRPr="00706186">
        <w:rPr>
          <w:rFonts w:ascii="Times New Roman" w:hAnsi="Times New Roman"/>
        </w:rPr>
        <w:t xml:space="preserve"> Moser; F. A. Alharthi,</w:t>
      </w:r>
      <w:r w:rsidR="008A003B" w:rsidRPr="00706186">
        <w:rPr>
          <w:rFonts w:ascii="Times New Roman" w:hAnsi="Times New Roman"/>
        </w:rPr>
        <w:t xml:space="preserve"> </w:t>
      </w:r>
      <w:r w:rsidRPr="00706186">
        <w:rPr>
          <w:rFonts w:ascii="Times New Roman" w:hAnsi="Times New Roman"/>
        </w:rPr>
        <w:t xml:space="preserve">Process Safety and Environmental Protection, </w:t>
      </w:r>
      <w:r w:rsidRPr="00706186">
        <w:rPr>
          <w:rFonts w:ascii="Times New Roman" w:hAnsi="Times New Roman"/>
          <w:b/>
          <w:bCs/>
        </w:rPr>
        <w:t>2021</w:t>
      </w:r>
      <w:r w:rsidRPr="00706186">
        <w:rPr>
          <w:rFonts w:ascii="Times New Roman" w:hAnsi="Times New Roman"/>
        </w:rPr>
        <w:t>,</w:t>
      </w:r>
      <w:r w:rsidR="008A003B" w:rsidRPr="00706186">
        <w:rPr>
          <w:rFonts w:ascii="Times New Roman" w:hAnsi="Times New Roman"/>
        </w:rPr>
        <w:t xml:space="preserve"> </w:t>
      </w:r>
      <w:r w:rsidRPr="00706186">
        <w:rPr>
          <w:rFonts w:ascii="Times New Roman" w:hAnsi="Times New Roman"/>
        </w:rPr>
        <w:t>156, 219-230.</w:t>
      </w:r>
    </w:p>
    <w:p w14:paraId="70E40995" w14:textId="6D4DBDEA" w:rsidR="009834A6" w:rsidRDefault="005F2DD1" w:rsidP="009E5B87">
      <w:pPr>
        <w:pStyle w:val="TAMainText"/>
        <w:numPr>
          <w:ilvl w:val="0"/>
          <w:numId w:val="1"/>
        </w:numPr>
        <w:spacing w:line="240" w:lineRule="auto"/>
        <w:ind w:left="357" w:hanging="35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R. M.</w:t>
      </w:r>
      <w:r w:rsidR="00275C73" w:rsidRPr="00275C73">
        <w:rPr>
          <w:rFonts w:ascii="Times New Roman" w:hAnsi="Times New Roman"/>
          <w:lang w:val="pt-BR"/>
        </w:rPr>
        <w:t xml:space="preserve"> </w:t>
      </w:r>
      <w:r w:rsidR="00D27EB6">
        <w:rPr>
          <w:rFonts w:ascii="Times New Roman" w:hAnsi="Times New Roman"/>
          <w:lang w:val="pt-BR"/>
        </w:rPr>
        <w:t xml:space="preserve">Almeida; F. T. C. Souza; M. A. C. Junior; N. J. A. Albuquerque; </w:t>
      </w:r>
      <w:r w:rsidR="00783C43">
        <w:rPr>
          <w:rFonts w:ascii="Times New Roman" w:hAnsi="Times New Roman"/>
          <w:lang w:val="pt-BR"/>
        </w:rPr>
        <w:t>S. M. P. Meneghetti; M. R. Meneghetti,</w:t>
      </w:r>
      <w:r w:rsidR="00275C73" w:rsidRPr="00275C73">
        <w:rPr>
          <w:rFonts w:ascii="Times New Roman" w:hAnsi="Times New Roman"/>
          <w:lang w:val="pt-BR"/>
        </w:rPr>
        <w:t xml:space="preserve"> Catal. Comum., </w:t>
      </w:r>
      <w:r w:rsidR="00275C73" w:rsidRPr="00BB3110">
        <w:rPr>
          <w:rFonts w:ascii="Times New Roman" w:hAnsi="Times New Roman"/>
          <w:b/>
          <w:bCs/>
          <w:lang w:val="pt-BR"/>
        </w:rPr>
        <w:t>2014</w:t>
      </w:r>
      <w:r w:rsidR="00275C73" w:rsidRPr="00275C73">
        <w:rPr>
          <w:rFonts w:ascii="Times New Roman" w:hAnsi="Times New Roman"/>
          <w:lang w:val="pt-BR"/>
        </w:rPr>
        <w:t xml:space="preserve">, </w:t>
      </w:r>
      <w:r w:rsidR="008147FB">
        <w:rPr>
          <w:rFonts w:ascii="Times New Roman" w:hAnsi="Times New Roman"/>
          <w:lang w:val="pt-BR"/>
        </w:rPr>
        <w:t xml:space="preserve">46, </w:t>
      </w:r>
      <w:r w:rsidR="00275C73" w:rsidRPr="00275C73">
        <w:rPr>
          <w:rFonts w:ascii="Times New Roman" w:hAnsi="Times New Roman"/>
          <w:lang w:val="pt-BR"/>
        </w:rPr>
        <w:t>179-182.</w:t>
      </w:r>
    </w:p>
    <w:p w14:paraId="2BAE4A9E" w14:textId="0750ED58" w:rsidR="00EA4E1B" w:rsidRDefault="00022D10" w:rsidP="00A3756C">
      <w:pPr>
        <w:pStyle w:val="TAMainText"/>
        <w:numPr>
          <w:ilvl w:val="0"/>
          <w:numId w:val="1"/>
        </w:numPr>
        <w:spacing w:line="240" w:lineRule="auto"/>
        <w:ind w:left="357" w:hanging="35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A. </w:t>
      </w:r>
      <w:proofErr w:type="spellStart"/>
      <w:r w:rsidRPr="00022D10">
        <w:rPr>
          <w:rFonts w:ascii="Times New Roman" w:hAnsi="Times New Roman"/>
          <w:lang w:val="pt-BR"/>
        </w:rPr>
        <w:t>Chithambararaj</w:t>
      </w:r>
      <w:proofErr w:type="spellEnd"/>
      <w:r w:rsidR="00EB18EF">
        <w:rPr>
          <w:rFonts w:ascii="Times New Roman" w:hAnsi="Times New Roman"/>
          <w:lang w:val="pt-BR"/>
        </w:rPr>
        <w:t>; N. S</w:t>
      </w:r>
      <w:r w:rsidR="00792557">
        <w:rPr>
          <w:rFonts w:ascii="Times New Roman" w:hAnsi="Times New Roman"/>
          <w:lang w:val="pt-BR"/>
        </w:rPr>
        <w:t>.</w:t>
      </w:r>
      <w:r w:rsidR="00EB18EF">
        <w:rPr>
          <w:rFonts w:ascii="Times New Roman" w:hAnsi="Times New Roman"/>
          <w:lang w:val="pt-BR"/>
        </w:rPr>
        <w:t xml:space="preserve"> </w:t>
      </w:r>
      <w:proofErr w:type="spellStart"/>
      <w:r w:rsidR="00EB18EF">
        <w:rPr>
          <w:rFonts w:ascii="Times New Roman" w:hAnsi="Times New Roman"/>
          <w:lang w:val="pt-BR"/>
        </w:rPr>
        <w:t>S</w:t>
      </w:r>
      <w:r w:rsidR="00792557">
        <w:rPr>
          <w:rFonts w:ascii="Times New Roman" w:hAnsi="Times New Roman"/>
          <w:lang w:val="pt-BR"/>
        </w:rPr>
        <w:t>anjini</w:t>
      </w:r>
      <w:proofErr w:type="spellEnd"/>
      <w:r w:rsidR="00792557">
        <w:rPr>
          <w:rFonts w:ascii="Times New Roman" w:hAnsi="Times New Roman"/>
          <w:lang w:val="pt-BR"/>
        </w:rPr>
        <w:t xml:space="preserve">; A. Chandra Bose; S. </w:t>
      </w:r>
      <w:proofErr w:type="spellStart"/>
      <w:r w:rsidR="00792557">
        <w:rPr>
          <w:rFonts w:ascii="Times New Roman" w:hAnsi="Times New Roman"/>
          <w:lang w:val="pt-BR"/>
        </w:rPr>
        <w:t>Velmathi</w:t>
      </w:r>
      <w:proofErr w:type="spellEnd"/>
      <w:r w:rsidR="00792557">
        <w:rPr>
          <w:rFonts w:ascii="Times New Roman" w:hAnsi="Times New Roman"/>
          <w:lang w:val="pt-BR"/>
        </w:rPr>
        <w:t xml:space="preserve">, </w:t>
      </w:r>
      <w:proofErr w:type="spellStart"/>
      <w:r w:rsidRPr="00022D10">
        <w:rPr>
          <w:rFonts w:ascii="Times New Roman" w:hAnsi="Times New Roman"/>
          <w:lang w:val="pt-BR"/>
        </w:rPr>
        <w:t>Catalysis</w:t>
      </w:r>
      <w:proofErr w:type="spellEnd"/>
      <w:r w:rsidRPr="00022D10">
        <w:rPr>
          <w:rFonts w:ascii="Times New Roman" w:hAnsi="Times New Roman"/>
          <w:lang w:val="pt-BR"/>
        </w:rPr>
        <w:t xml:space="preserve"> Science &amp; Technology, </w:t>
      </w:r>
      <w:r w:rsidRPr="00792557">
        <w:rPr>
          <w:rFonts w:ascii="Times New Roman" w:hAnsi="Times New Roman"/>
          <w:b/>
          <w:bCs/>
          <w:lang w:val="pt-BR"/>
        </w:rPr>
        <w:t>2013</w:t>
      </w:r>
      <w:r w:rsidRPr="00022D10">
        <w:rPr>
          <w:rFonts w:ascii="Times New Roman" w:hAnsi="Times New Roman"/>
          <w:lang w:val="pt-BR"/>
        </w:rPr>
        <w:t>, 3, 1405.</w:t>
      </w:r>
    </w:p>
    <w:sectPr w:rsidR="00EA4E1B" w:rsidSect="001274F3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A23C" w14:textId="77777777" w:rsidR="00344601" w:rsidRDefault="00344601" w:rsidP="00EA4E1B">
      <w:pPr>
        <w:spacing w:after="0" w:line="240" w:lineRule="auto"/>
      </w:pPr>
      <w:r>
        <w:separator/>
      </w:r>
    </w:p>
  </w:endnote>
  <w:endnote w:type="continuationSeparator" w:id="0">
    <w:p w14:paraId="1C1D6BD1" w14:textId="77777777" w:rsidR="00344601" w:rsidRDefault="00344601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522BA" w14:textId="77777777" w:rsidR="00344601" w:rsidRDefault="00344601" w:rsidP="00EA4E1B">
      <w:pPr>
        <w:spacing w:after="0" w:line="240" w:lineRule="auto"/>
      </w:pPr>
      <w:r>
        <w:separator/>
      </w:r>
    </w:p>
  </w:footnote>
  <w:footnote w:type="continuationSeparator" w:id="0">
    <w:p w14:paraId="09E00C28" w14:textId="77777777" w:rsidR="00344601" w:rsidRDefault="00344601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8B8774" wp14:editId="6C5718AB">
          <wp:extent cx="1524000" cy="1049325"/>
          <wp:effectExtent l="0" t="0" r="0" b="0"/>
          <wp:docPr id="1038024309" name="Imagem 1038024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1932537847" name="Imagem 1932537847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725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2A22"/>
    <w:rsid w:val="0001264A"/>
    <w:rsid w:val="0001384E"/>
    <w:rsid w:val="000142DB"/>
    <w:rsid w:val="00014A46"/>
    <w:rsid w:val="0001600E"/>
    <w:rsid w:val="0002058E"/>
    <w:rsid w:val="00020706"/>
    <w:rsid w:val="00021126"/>
    <w:rsid w:val="00022D10"/>
    <w:rsid w:val="00042E39"/>
    <w:rsid w:val="00052283"/>
    <w:rsid w:val="00061A72"/>
    <w:rsid w:val="00084159"/>
    <w:rsid w:val="00085C51"/>
    <w:rsid w:val="0009203A"/>
    <w:rsid w:val="000A2298"/>
    <w:rsid w:val="000A6C28"/>
    <w:rsid w:val="000B04D2"/>
    <w:rsid w:val="000D74D7"/>
    <w:rsid w:val="000F1D24"/>
    <w:rsid w:val="000F7A67"/>
    <w:rsid w:val="001013A0"/>
    <w:rsid w:val="00120B12"/>
    <w:rsid w:val="00122A79"/>
    <w:rsid w:val="001274F3"/>
    <w:rsid w:val="0013747E"/>
    <w:rsid w:val="00140E6F"/>
    <w:rsid w:val="001439EA"/>
    <w:rsid w:val="0015133E"/>
    <w:rsid w:val="001544F9"/>
    <w:rsid w:val="00173E1C"/>
    <w:rsid w:val="001759E1"/>
    <w:rsid w:val="00194038"/>
    <w:rsid w:val="001A51D6"/>
    <w:rsid w:val="001A54F2"/>
    <w:rsid w:val="001C3CE6"/>
    <w:rsid w:val="001D08E1"/>
    <w:rsid w:val="001D5A98"/>
    <w:rsid w:val="001E2B7C"/>
    <w:rsid w:val="001E4A1B"/>
    <w:rsid w:val="001E58A9"/>
    <w:rsid w:val="001F25B2"/>
    <w:rsid w:val="001F3139"/>
    <w:rsid w:val="002120F0"/>
    <w:rsid w:val="00222230"/>
    <w:rsid w:val="002569B4"/>
    <w:rsid w:val="0026657F"/>
    <w:rsid w:val="00275C73"/>
    <w:rsid w:val="00281AD7"/>
    <w:rsid w:val="0028457E"/>
    <w:rsid w:val="002A7A57"/>
    <w:rsid w:val="002C0F64"/>
    <w:rsid w:val="002C1801"/>
    <w:rsid w:val="002C4B91"/>
    <w:rsid w:val="002D103B"/>
    <w:rsid w:val="002D281C"/>
    <w:rsid w:val="002D2DF0"/>
    <w:rsid w:val="002D5789"/>
    <w:rsid w:val="002E0D78"/>
    <w:rsid w:val="002F0917"/>
    <w:rsid w:val="003001E1"/>
    <w:rsid w:val="003068EF"/>
    <w:rsid w:val="00307174"/>
    <w:rsid w:val="00322A16"/>
    <w:rsid w:val="00331CBF"/>
    <w:rsid w:val="00331E7F"/>
    <w:rsid w:val="00340B1E"/>
    <w:rsid w:val="003412E2"/>
    <w:rsid w:val="00344601"/>
    <w:rsid w:val="0036361C"/>
    <w:rsid w:val="00364A10"/>
    <w:rsid w:val="003704D6"/>
    <w:rsid w:val="003776C6"/>
    <w:rsid w:val="00386573"/>
    <w:rsid w:val="003A2F5B"/>
    <w:rsid w:val="003B0310"/>
    <w:rsid w:val="003D6420"/>
    <w:rsid w:val="003E2437"/>
    <w:rsid w:val="003E6FB3"/>
    <w:rsid w:val="003E7779"/>
    <w:rsid w:val="00402F3E"/>
    <w:rsid w:val="004053B2"/>
    <w:rsid w:val="004110F3"/>
    <w:rsid w:val="00411F72"/>
    <w:rsid w:val="0041612E"/>
    <w:rsid w:val="0042311A"/>
    <w:rsid w:val="00424785"/>
    <w:rsid w:val="004249B0"/>
    <w:rsid w:val="004277C3"/>
    <w:rsid w:val="00437480"/>
    <w:rsid w:val="00447B40"/>
    <w:rsid w:val="004713AB"/>
    <w:rsid w:val="00481A09"/>
    <w:rsid w:val="004847AB"/>
    <w:rsid w:val="00496B55"/>
    <w:rsid w:val="004A153D"/>
    <w:rsid w:val="004A3BE8"/>
    <w:rsid w:val="004C0163"/>
    <w:rsid w:val="004C6598"/>
    <w:rsid w:val="004E6624"/>
    <w:rsid w:val="004F2051"/>
    <w:rsid w:val="004F2BE2"/>
    <w:rsid w:val="004F3F42"/>
    <w:rsid w:val="004F4581"/>
    <w:rsid w:val="005024E7"/>
    <w:rsid w:val="00507D79"/>
    <w:rsid w:val="00516E03"/>
    <w:rsid w:val="0052112E"/>
    <w:rsid w:val="00530664"/>
    <w:rsid w:val="005330F5"/>
    <w:rsid w:val="00553D61"/>
    <w:rsid w:val="00561A8B"/>
    <w:rsid w:val="00580C26"/>
    <w:rsid w:val="005839CB"/>
    <w:rsid w:val="005A6823"/>
    <w:rsid w:val="005C2775"/>
    <w:rsid w:val="005C277E"/>
    <w:rsid w:val="005D65EB"/>
    <w:rsid w:val="005E33BF"/>
    <w:rsid w:val="005F2DD1"/>
    <w:rsid w:val="005F6837"/>
    <w:rsid w:val="005F739F"/>
    <w:rsid w:val="0060135A"/>
    <w:rsid w:val="00604718"/>
    <w:rsid w:val="00610C93"/>
    <w:rsid w:val="00611B12"/>
    <w:rsid w:val="006302D3"/>
    <w:rsid w:val="00634210"/>
    <w:rsid w:val="00652815"/>
    <w:rsid w:val="00664C2F"/>
    <w:rsid w:val="006728B5"/>
    <w:rsid w:val="006747BC"/>
    <w:rsid w:val="00685170"/>
    <w:rsid w:val="00685BA2"/>
    <w:rsid w:val="006A1185"/>
    <w:rsid w:val="006B1CCC"/>
    <w:rsid w:val="006B2DAC"/>
    <w:rsid w:val="006C3200"/>
    <w:rsid w:val="006D4DA1"/>
    <w:rsid w:val="006E3AE3"/>
    <w:rsid w:val="006E7757"/>
    <w:rsid w:val="006E78BF"/>
    <w:rsid w:val="006F49FB"/>
    <w:rsid w:val="006F599B"/>
    <w:rsid w:val="00700284"/>
    <w:rsid w:val="00703DB6"/>
    <w:rsid w:val="00706186"/>
    <w:rsid w:val="00707B09"/>
    <w:rsid w:val="00721798"/>
    <w:rsid w:val="00726265"/>
    <w:rsid w:val="007339A1"/>
    <w:rsid w:val="00733F55"/>
    <w:rsid w:val="0073625D"/>
    <w:rsid w:val="0075506B"/>
    <w:rsid w:val="00762E13"/>
    <w:rsid w:val="007670A0"/>
    <w:rsid w:val="007722B6"/>
    <w:rsid w:val="007763AF"/>
    <w:rsid w:val="00781685"/>
    <w:rsid w:val="00783C43"/>
    <w:rsid w:val="00792557"/>
    <w:rsid w:val="0079280A"/>
    <w:rsid w:val="007B4B2B"/>
    <w:rsid w:val="007B70EA"/>
    <w:rsid w:val="007D0524"/>
    <w:rsid w:val="007D4B62"/>
    <w:rsid w:val="007E47E2"/>
    <w:rsid w:val="007E67F3"/>
    <w:rsid w:val="007F29CC"/>
    <w:rsid w:val="007F4300"/>
    <w:rsid w:val="008147FB"/>
    <w:rsid w:val="00820C4E"/>
    <w:rsid w:val="008255DE"/>
    <w:rsid w:val="00831C77"/>
    <w:rsid w:val="008453AE"/>
    <w:rsid w:val="00845E4A"/>
    <w:rsid w:val="008475ED"/>
    <w:rsid w:val="008608DD"/>
    <w:rsid w:val="00866822"/>
    <w:rsid w:val="00885BEE"/>
    <w:rsid w:val="008860EA"/>
    <w:rsid w:val="0089754F"/>
    <w:rsid w:val="008A003B"/>
    <w:rsid w:val="008B1683"/>
    <w:rsid w:val="008B671B"/>
    <w:rsid w:val="008B69A7"/>
    <w:rsid w:val="008C1B30"/>
    <w:rsid w:val="008D6789"/>
    <w:rsid w:val="008E4291"/>
    <w:rsid w:val="008F52EF"/>
    <w:rsid w:val="008F7B8C"/>
    <w:rsid w:val="00904930"/>
    <w:rsid w:val="009076A1"/>
    <w:rsid w:val="00907E4C"/>
    <w:rsid w:val="00923380"/>
    <w:rsid w:val="00927AB7"/>
    <w:rsid w:val="00932D08"/>
    <w:rsid w:val="00952389"/>
    <w:rsid w:val="0095746A"/>
    <w:rsid w:val="009656D9"/>
    <w:rsid w:val="00966676"/>
    <w:rsid w:val="00981235"/>
    <w:rsid w:val="009834A6"/>
    <w:rsid w:val="00985D01"/>
    <w:rsid w:val="00996B0F"/>
    <w:rsid w:val="009A07F6"/>
    <w:rsid w:val="009A08E8"/>
    <w:rsid w:val="009A5006"/>
    <w:rsid w:val="009B66FF"/>
    <w:rsid w:val="009B7C42"/>
    <w:rsid w:val="009C0502"/>
    <w:rsid w:val="009C0DD3"/>
    <w:rsid w:val="009C7AD3"/>
    <w:rsid w:val="009C7CB0"/>
    <w:rsid w:val="009D48ED"/>
    <w:rsid w:val="009D7BE2"/>
    <w:rsid w:val="009E5B87"/>
    <w:rsid w:val="00A108BE"/>
    <w:rsid w:val="00A13F5A"/>
    <w:rsid w:val="00A32A69"/>
    <w:rsid w:val="00A3756C"/>
    <w:rsid w:val="00A60B49"/>
    <w:rsid w:val="00A8145A"/>
    <w:rsid w:val="00A81E5D"/>
    <w:rsid w:val="00A93891"/>
    <w:rsid w:val="00AA182E"/>
    <w:rsid w:val="00AA79E0"/>
    <w:rsid w:val="00AB3947"/>
    <w:rsid w:val="00AC3F08"/>
    <w:rsid w:val="00AD2DE2"/>
    <w:rsid w:val="00AE447D"/>
    <w:rsid w:val="00AE4A6C"/>
    <w:rsid w:val="00AF0400"/>
    <w:rsid w:val="00B24CE0"/>
    <w:rsid w:val="00B30AEB"/>
    <w:rsid w:val="00B36C98"/>
    <w:rsid w:val="00B44672"/>
    <w:rsid w:val="00B4615B"/>
    <w:rsid w:val="00B536CF"/>
    <w:rsid w:val="00B57203"/>
    <w:rsid w:val="00B978C5"/>
    <w:rsid w:val="00BA6A6E"/>
    <w:rsid w:val="00BA6C0A"/>
    <w:rsid w:val="00BA7676"/>
    <w:rsid w:val="00BB00C8"/>
    <w:rsid w:val="00BB3110"/>
    <w:rsid w:val="00BB4321"/>
    <w:rsid w:val="00BB6DC9"/>
    <w:rsid w:val="00BC05C8"/>
    <w:rsid w:val="00BE6F5F"/>
    <w:rsid w:val="00BF0061"/>
    <w:rsid w:val="00C0207D"/>
    <w:rsid w:val="00C14E4C"/>
    <w:rsid w:val="00C3644D"/>
    <w:rsid w:val="00C614A1"/>
    <w:rsid w:val="00C65AB2"/>
    <w:rsid w:val="00C672BC"/>
    <w:rsid w:val="00C76E54"/>
    <w:rsid w:val="00C771E3"/>
    <w:rsid w:val="00C92BA1"/>
    <w:rsid w:val="00CC004E"/>
    <w:rsid w:val="00CC4E97"/>
    <w:rsid w:val="00CD54BF"/>
    <w:rsid w:val="00CF6B9A"/>
    <w:rsid w:val="00CF7050"/>
    <w:rsid w:val="00D0261A"/>
    <w:rsid w:val="00D22CD2"/>
    <w:rsid w:val="00D24418"/>
    <w:rsid w:val="00D27EB6"/>
    <w:rsid w:val="00D333D8"/>
    <w:rsid w:val="00D404B6"/>
    <w:rsid w:val="00D51144"/>
    <w:rsid w:val="00D63AEE"/>
    <w:rsid w:val="00D72049"/>
    <w:rsid w:val="00D7659E"/>
    <w:rsid w:val="00D90967"/>
    <w:rsid w:val="00D96135"/>
    <w:rsid w:val="00DA5695"/>
    <w:rsid w:val="00DB73BE"/>
    <w:rsid w:val="00DD5A80"/>
    <w:rsid w:val="00DF4104"/>
    <w:rsid w:val="00DF6CE4"/>
    <w:rsid w:val="00DF7090"/>
    <w:rsid w:val="00E02A21"/>
    <w:rsid w:val="00E038AF"/>
    <w:rsid w:val="00E106E2"/>
    <w:rsid w:val="00E231DA"/>
    <w:rsid w:val="00E37D6A"/>
    <w:rsid w:val="00E44451"/>
    <w:rsid w:val="00E56C28"/>
    <w:rsid w:val="00E630B8"/>
    <w:rsid w:val="00E74318"/>
    <w:rsid w:val="00E8359B"/>
    <w:rsid w:val="00E859D7"/>
    <w:rsid w:val="00E92329"/>
    <w:rsid w:val="00E92DD2"/>
    <w:rsid w:val="00E92FF1"/>
    <w:rsid w:val="00EA38E4"/>
    <w:rsid w:val="00EA4E1B"/>
    <w:rsid w:val="00EB05EC"/>
    <w:rsid w:val="00EB18EF"/>
    <w:rsid w:val="00EB2786"/>
    <w:rsid w:val="00EC7BF7"/>
    <w:rsid w:val="00EE0471"/>
    <w:rsid w:val="00EF6C7E"/>
    <w:rsid w:val="00F01751"/>
    <w:rsid w:val="00F146E5"/>
    <w:rsid w:val="00F30661"/>
    <w:rsid w:val="00F420D8"/>
    <w:rsid w:val="00F60F38"/>
    <w:rsid w:val="00F666B0"/>
    <w:rsid w:val="00F7113A"/>
    <w:rsid w:val="00F74379"/>
    <w:rsid w:val="00F83333"/>
    <w:rsid w:val="00F838EF"/>
    <w:rsid w:val="00F8543E"/>
    <w:rsid w:val="00F86D65"/>
    <w:rsid w:val="00F917DA"/>
    <w:rsid w:val="00F97573"/>
    <w:rsid w:val="00FA6A55"/>
    <w:rsid w:val="00FB0B28"/>
    <w:rsid w:val="00FC3AB6"/>
    <w:rsid w:val="00FE75C0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196EE56B-AFF0-4C23-9399-7C3A509A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table" w:styleId="Tabelacomgrade">
    <w:name w:val="Table Grid"/>
    <w:basedOn w:val="Tabelanormal"/>
    <w:uiPriority w:val="59"/>
    <w:rsid w:val="00AD2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4">
    <w:name w:val="Normal4"/>
    <w:qFormat/>
    <w:rsid w:val="00AD2DE2"/>
    <w:pPr>
      <w:spacing w:after="200" w:line="276" w:lineRule="auto"/>
    </w:pPr>
    <w:rPr>
      <w:rFonts w:ascii="Calibri" w:eastAsia="Calibri" w:hAnsi="Calibri" w:cs="Calibri"/>
      <w:sz w:val="22"/>
      <w:szCs w:val="22"/>
      <w:lang w:eastAsia="pt-BR"/>
    </w:rPr>
  </w:style>
  <w:style w:type="character" w:styleId="Hyperlink">
    <w:name w:val="Hyperlink"/>
    <w:basedOn w:val="Fontepargpadro"/>
    <w:uiPriority w:val="99"/>
    <w:unhideWhenUsed/>
    <w:rsid w:val="002120F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120F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E5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emersonluizsilv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482A6-C71E-4359-A25A-A38E1F3C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1249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Marcel Ribeiro Gallo</dc:creator>
  <cp:keywords/>
  <dc:description/>
  <cp:lastModifiedBy>klemerson luiz</cp:lastModifiedBy>
  <cp:revision>2</cp:revision>
  <dcterms:created xsi:type="dcterms:W3CDTF">2023-08-15T15:54:00Z</dcterms:created>
  <dcterms:modified xsi:type="dcterms:W3CDTF">2023-08-15T15:54:00Z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