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6CEE" w14:textId="4B25CA65" w:rsidR="00AF0400" w:rsidRPr="00CE03D7" w:rsidRDefault="00866822" w:rsidP="00EA4E1B">
      <w:pPr>
        <w:pStyle w:val="BATitle"/>
        <w:spacing w:before="0" w:after="0" w:line="240" w:lineRule="auto"/>
        <w:ind w:right="0"/>
        <w:jc w:val="both"/>
        <w:rPr>
          <w:sz w:val="32"/>
          <w:lang w:val="pt-BR"/>
        </w:rPr>
      </w:pPr>
      <w:bookmarkStart w:id="0" w:name="_Hlk1324670"/>
      <w:bookmarkStart w:id="1" w:name="_Hlk1324517"/>
      <w:bookmarkStart w:id="2" w:name="_Hlk143016782"/>
      <w:r w:rsidRPr="00CE03D7">
        <w:rPr>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74C04ED5" w:rsidR="00EA4E1B" w:rsidRPr="00CE03D7" w:rsidRDefault="00FD57A1" w:rsidP="00EA4E1B">
      <w:pPr>
        <w:pStyle w:val="BATitle"/>
        <w:spacing w:before="0" w:after="0" w:line="240" w:lineRule="auto"/>
        <w:ind w:right="0"/>
        <w:jc w:val="both"/>
        <w:rPr>
          <w:sz w:val="32"/>
          <w:lang w:val="pt-BR"/>
        </w:rPr>
      </w:pPr>
      <w:r w:rsidRPr="00CE03D7">
        <w:rPr>
          <w:sz w:val="32"/>
          <w:lang w:val="pt-BR"/>
        </w:rPr>
        <w:t>Otimização da Atividade Catalítica na Hidrogenação de CO</w:t>
      </w:r>
      <w:r w:rsidRPr="00CE03D7">
        <w:rPr>
          <w:sz w:val="32"/>
          <w:vertAlign w:val="subscript"/>
          <w:lang w:val="pt-BR"/>
        </w:rPr>
        <w:t>2</w:t>
      </w:r>
      <w:r w:rsidRPr="00CE03D7">
        <w:rPr>
          <w:sz w:val="32"/>
          <w:lang w:val="pt-BR"/>
        </w:rPr>
        <w:t xml:space="preserve">: Efeito da Calcinação do HDL de </w:t>
      </w:r>
      <w:proofErr w:type="spellStart"/>
      <w:r w:rsidRPr="00CE03D7">
        <w:rPr>
          <w:sz w:val="32"/>
          <w:lang w:val="pt-BR"/>
        </w:rPr>
        <w:t>MgFe</w:t>
      </w:r>
      <w:proofErr w:type="spellEnd"/>
      <w:r w:rsidRPr="00CE03D7">
        <w:rPr>
          <w:sz w:val="32"/>
          <w:lang w:val="pt-BR"/>
        </w:rPr>
        <w:t xml:space="preserve"> antes da Impregnação com Potássio</w:t>
      </w:r>
    </w:p>
    <w:p w14:paraId="1230E087" w14:textId="77777777" w:rsidR="00FD57A1" w:rsidRPr="00CE03D7" w:rsidRDefault="00FD57A1" w:rsidP="00EA4E1B">
      <w:pPr>
        <w:pStyle w:val="BBAuthorName"/>
        <w:spacing w:after="120"/>
        <w:ind w:right="0"/>
        <w:jc w:val="both"/>
        <w:rPr>
          <w:rFonts w:ascii="Times New Roman" w:hAnsi="Times New Roman"/>
          <w:sz w:val="20"/>
          <w:lang w:val="pt-BR"/>
        </w:rPr>
      </w:pPr>
    </w:p>
    <w:p w14:paraId="782242FA" w14:textId="24430A38" w:rsidR="00FD57A1" w:rsidRPr="00CE03D7" w:rsidRDefault="00FD57A1" w:rsidP="00FD57A1">
      <w:pPr>
        <w:pStyle w:val="BBAuthorName"/>
        <w:spacing w:after="120"/>
        <w:ind w:right="0"/>
        <w:jc w:val="both"/>
        <w:rPr>
          <w:rFonts w:ascii="Times New Roman" w:hAnsi="Times New Roman"/>
          <w:sz w:val="20"/>
          <w:lang w:val="pt-BR"/>
        </w:rPr>
      </w:pPr>
      <w:r w:rsidRPr="00CE03D7">
        <w:rPr>
          <w:rFonts w:ascii="Times New Roman" w:hAnsi="Times New Roman"/>
          <w:sz w:val="20"/>
          <w:lang w:val="pt-BR"/>
        </w:rPr>
        <w:t>Rosembergue G. L. Gonçalves</w:t>
      </w:r>
      <w:r w:rsidRPr="00CE03D7">
        <w:rPr>
          <w:rFonts w:ascii="Times New Roman" w:hAnsi="Times New Roman"/>
          <w:sz w:val="20"/>
          <w:vertAlign w:val="superscript"/>
          <w:lang w:val="pt-BR"/>
        </w:rPr>
        <w:t>1*</w:t>
      </w:r>
      <w:r w:rsidRPr="00CE03D7">
        <w:rPr>
          <w:rFonts w:ascii="Times New Roman" w:hAnsi="Times New Roman"/>
          <w:sz w:val="20"/>
          <w:lang w:val="pt-BR"/>
        </w:rPr>
        <w:t xml:space="preserve">; </w:t>
      </w:r>
      <w:r w:rsidRPr="00CE03D7">
        <w:rPr>
          <w:rFonts w:ascii="Times New Roman" w:hAnsi="Times New Roman"/>
          <w:sz w:val="20"/>
          <w:lang w:val="pt-BR"/>
        </w:rPr>
        <w:t>Gabriel L. Catuzo</w:t>
      </w:r>
      <w:r w:rsidRPr="00CE03D7">
        <w:rPr>
          <w:rFonts w:ascii="Times New Roman" w:hAnsi="Times New Roman"/>
          <w:sz w:val="20"/>
          <w:vertAlign w:val="superscript"/>
          <w:lang w:val="pt-BR"/>
        </w:rPr>
        <w:t>1*</w:t>
      </w:r>
      <w:r w:rsidRPr="00CE03D7">
        <w:rPr>
          <w:rFonts w:ascii="Times New Roman" w:hAnsi="Times New Roman"/>
          <w:sz w:val="20"/>
          <w:lang w:val="pt-BR"/>
        </w:rPr>
        <w:t>; José M. Assaf</w:t>
      </w:r>
      <w:r w:rsidRPr="00CE03D7">
        <w:rPr>
          <w:rFonts w:ascii="Times New Roman" w:hAnsi="Times New Roman"/>
          <w:sz w:val="20"/>
          <w:vertAlign w:val="superscript"/>
          <w:lang w:val="pt-BR"/>
        </w:rPr>
        <w:t>2</w:t>
      </w:r>
      <w:r w:rsidRPr="00CE03D7">
        <w:rPr>
          <w:rFonts w:ascii="Times New Roman" w:hAnsi="Times New Roman"/>
          <w:sz w:val="20"/>
          <w:lang w:val="pt-BR"/>
        </w:rPr>
        <w:t>; Elisabete M. Assaf</w:t>
      </w:r>
      <w:r w:rsidRPr="00CE03D7">
        <w:rPr>
          <w:rFonts w:ascii="Times New Roman" w:hAnsi="Times New Roman"/>
          <w:sz w:val="20"/>
          <w:vertAlign w:val="superscript"/>
          <w:lang w:val="pt-BR"/>
        </w:rPr>
        <w:t>1*</w:t>
      </w:r>
    </w:p>
    <w:p w14:paraId="5EDC600D" w14:textId="77777777" w:rsidR="00FD57A1" w:rsidRPr="00CE03D7" w:rsidRDefault="00FD57A1" w:rsidP="00FD57A1">
      <w:pPr>
        <w:pStyle w:val="BCAuthorAddress"/>
        <w:spacing w:after="0"/>
        <w:ind w:right="39"/>
        <w:rPr>
          <w:rFonts w:ascii="Times New Roman" w:eastAsia="GulliverRM" w:hAnsi="Times New Roman"/>
          <w:lang w:val="pt-BR"/>
        </w:rPr>
      </w:pPr>
      <w:r w:rsidRPr="00CE03D7">
        <w:rPr>
          <w:rFonts w:ascii="Times New Roman" w:eastAsia="GulliverRM" w:hAnsi="Times New Roman"/>
          <w:vertAlign w:val="superscript"/>
          <w:lang w:val="pt-BR"/>
        </w:rPr>
        <w:t xml:space="preserve">1 </w:t>
      </w:r>
      <w:r w:rsidRPr="00CE03D7">
        <w:rPr>
          <w:rFonts w:ascii="Times New Roman" w:eastAsia="GulliverRM" w:hAnsi="Times New Roman"/>
          <w:lang w:val="pt-BR"/>
        </w:rPr>
        <w:t>Instituto de Química de São Carlos, Universidade de São Paulo, 13560-970, São Carlos-SP, Brasil.</w:t>
      </w:r>
    </w:p>
    <w:p w14:paraId="475DBD7F" w14:textId="77777777" w:rsidR="00FD57A1" w:rsidRPr="00CE03D7" w:rsidRDefault="00FD57A1" w:rsidP="00FD57A1">
      <w:pPr>
        <w:spacing w:after="0" w:line="240" w:lineRule="exact"/>
        <w:rPr>
          <w:rFonts w:ascii="Times New Roman" w:eastAsia="GulliverRM" w:hAnsi="Times New Roman" w:cs="Times New Roman"/>
          <w:i/>
          <w:sz w:val="20"/>
          <w:szCs w:val="20"/>
        </w:rPr>
      </w:pPr>
      <w:r w:rsidRPr="00CE03D7">
        <w:rPr>
          <w:rFonts w:ascii="Times New Roman" w:hAnsi="Times New Roman" w:cs="Times New Roman"/>
          <w:i/>
          <w:sz w:val="20"/>
          <w:szCs w:val="20"/>
          <w:vertAlign w:val="superscript"/>
          <w:lang w:eastAsia="pt-BR"/>
        </w:rPr>
        <w:t xml:space="preserve">2 </w:t>
      </w:r>
      <w:r w:rsidRPr="00CE03D7">
        <w:rPr>
          <w:rFonts w:ascii="Times New Roman" w:hAnsi="Times New Roman" w:cs="Times New Roman"/>
          <w:i/>
          <w:sz w:val="20"/>
          <w:szCs w:val="20"/>
          <w:lang w:eastAsia="pt-BR"/>
        </w:rPr>
        <w:t>Departamento de Engenharia Química</w:t>
      </w:r>
      <w:r w:rsidRPr="00CE03D7">
        <w:rPr>
          <w:rFonts w:ascii="Times New Roman" w:eastAsia="GulliverRM" w:hAnsi="Times New Roman" w:cs="Times New Roman"/>
          <w:i/>
          <w:sz w:val="20"/>
          <w:szCs w:val="20"/>
        </w:rPr>
        <w:t>, Universidade Federal de São Carlos, 13565-905, São Carlos-SP, Brasil.</w:t>
      </w:r>
    </w:p>
    <w:bookmarkEnd w:id="1"/>
    <w:p w14:paraId="58FCCEF9" w14:textId="3A37D7B3" w:rsidR="00FD57A1" w:rsidRPr="00CE03D7" w:rsidRDefault="00FD57A1" w:rsidP="00FD57A1">
      <w:pPr>
        <w:spacing w:after="0" w:line="240" w:lineRule="exact"/>
        <w:rPr>
          <w:rFonts w:ascii="Times New Roman" w:hAnsi="Times New Roman" w:cs="Times New Roman"/>
          <w:i/>
          <w:sz w:val="20"/>
          <w:szCs w:val="20"/>
          <w:lang w:eastAsia="pt-BR"/>
        </w:rPr>
      </w:pPr>
      <w:r w:rsidRPr="00CE03D7">
        <w:rPr>
          <w:rFonts w:ascii="Times New Roman" w:hAnsi="Times New Roman" w:cs="Times New Roman"/>
          <w:i/>
          <w:sz w:val="20"/>
          <w:szCs w:val="20"/>
          <w:lang w:eastAsia="pt-BR"/>
        </w:rPr>
        <w:t>rosemberguegabriel@hotmail.com</w:t>
      </w:r>
      <w:r w:rsidRPr="00CE03D7">
        <w:rPr>
          <w:rFonts w:ascii="Times New Roman" w:hAnsi="Times New Roman" w:cs="Times New Roman"/>
          <w:i/>
          <w:sz w:val="20"/>
          <w:szCs w:val="20"/>
          <w:lang w:eastAsia="pt-BR"/>
        </w:rPr>
        <w:t>; eassaf@iqsc.usp.br</w:t>
      </w:r>
    </w:p>
    <w:p w14:paraId="238E7EC1" w14:textId="5D4AB3B8" w:rsidR="00AF0400" w:rsidRPr="00CE03D7" w:rsidRDefault="00AF0400" w:rsidP="0057599A">
      <w:pPr>
        <w:pStyle w:val="BDAbstract"/>
        <w:pBdr>
          <w:bottom w:val="single" w:sz="6" w:space="2" w:color="auto"/>
        </w:pBdr>
        <w:spacing w:before="0" w:after="0" w:line="240" w:lineRule="auto"/>
        <w:rPr>
          <w:rFonts w:ascii="Times New Roman" w:hAnsi="Times New Roman"/>
          <w:b w:val="0"/>
          <w:sz w:val="20"/>
          <w:lang w:val="pt-BR"/>
        </w:rPr>
      </w:pPr>
      <w:r w:rsidRPr="00CE03D7">
        <w:rPr>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2709B51"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32709B51"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CE03D7" w:rsidRDefault="00AF0400" w:rsidP="0057599A">
      <w:pPr>
        <w:pStyle w:val="BDAbstract"/>
        <w:pBdr>
          <w:bottom w:val="single" w:sz="6" w:space="2" w:color="auto"/>
        </w:pBdr>
        <w:spacing w:before="0" w:after="0" w:line="240" w:lineRule="auto"/>
        <w:rPr>
          <w:rFonts w:ascii="Times New Roman" w:hAnsi="Times New Roman"/>
          <w:b w:val="0"/>
          <w:sz w:val="20"/>
          <w:lang w:val="pt-BR"/>
        </w:rPr>
      </w:pPr>
    </w:p>
    <w:p w14:paraId="385490D5" w14:textId="77777777" w:rsidR="0057599A" w:rsidRDefault="00EA4E1B" w:rsidP="0057599A">
      <w:pPr>
        <w:pStyle w:val="BDAbstract"/>
        <w:pBdr>
          <w:bottom w:val="single" w:sz="6" w:space="2" w:color="auto"/>
        </w:pBdr>
        <w:spacing w:before="0" w:after="0" w:line="240" w:lineRule="auto"/>
        <w:rPr>
          <w:rFonts w:ascii="Times New Roman" w:hAnsi="Times New Roman"/>
          <w:b w:val="0"/>
          <w:sz w:val="20"/>
          <w:lang w:val="pt-BR"/>
        </w:rPr>
      </w:pPr>
      <w:r w:rsidRPr="00CE03D7">
        <w:rPr>
          <w:rFonts w:ascii="Times New Roman" w:hAnsi="Times New Roman"/>
          <w:b w:val="0"/>
          <w:sz w:val="20"/>
          <w:lang w:val="pt-BR"/>
        </w:rPr>
        <w:t xml:space="preserve">RESUMO - </w:t>
      </w:r>
      <w:r w:rsidR="00264E1C" w:rsidRPr="00CE03D7">
        <w:rPr>
          <w:rFonts w:ascii="Times New Roman" w:hAnsi="Times New Roman"/>
          <w:b w:val="0"/>
          <w:sz w:val="20"/>
          <w:lang w:val="pt-BR"/>
        </w:rPr>
        <w:t xml:space="preserve">Nesse trabalho, catalisadores de </w:t>
      </w:r>
      <w:proofErr w:type="spellStart"/>
      <w:r w:rsidR="00264E1C" w:rsidRPr="00CE03D7">
        <w:rPr>
          <w:rFonts w:ascii="Times New Roman" w:hAnsi="Times New Roman"/>
          <w:b w:val="0"/>
          <w:sz w:val="20"/>
          <w:lang w:val="pt-BR"/>
        </w:rPr>
        <w:t>MgFe</w:t>
      </w:r>
      <w:proofErr w:type="spellEnd"/>
      <w:r w:rsidR="00264E1C" w:rsidRPr="00CE03D7">
        <w:rPr>
          <w:rFonts w:ascii="Times New Roman" w:hAnsi="Times New Roman"/>
          <w:b w:val="0"/>
          <w:sz w:val="20"/>
          <w:lang w:val="pt-BR"/>
        </w:rPr>
        <w:t xml:space="preserve"> derivados da estrutura dos hidróxidos duplos lamelares (HDL)</w:t>
      </w:r>
      <w:r w:rsidR="00264E1C" w:rsidRPr="00CE03D7">
        <w:rPr>
          <w:rFonts w:ascii="Times New Roman" w:hAnsi="Times New Roman"/>
          <w:b w:val="0"/>
          <w:sz w:val="20"/>
          <w:lang w:val="pt-BR"/>
        </w:rPr>
        <w:t xml:space="preserve">, promovidos com átomos de </w:t>
      </w:r>
      <w:r w:rsidR="00264E1C" w:rsidRPr="00CE03D7">
        <w:rPr>
          <w:rFonts w:ascii="Times New Roman" w:hAnsi="Times New Roman"/>
          <w:b w:val="0"/>
          <w:sz w:val="20"/>
          <w:lang w:val="pt-BR"/>
        </w:rPr>
        <w:t>potássio (</w:t>
      </w:r>
      <w:r w:rsidR="00264E1C" w:rsidRPr="00CE03D7">
        <w:rPr>
          <w:rFonts w:ascii="Times New Roman" w:hAnsi="Times New Roman"/>
          <w:b w:val="0"/>
          <w:sz w:val="20"/>
          <w:lang w:val="pt-BR"/>
        </w:rPr>
        <w:t>K</w:t>
      </w:r>
      <w:r w:rsidR="00264E1C" w:rsidRPr="00CE03D7">
        <w:rPr>
          <w:rFonts w:ascii="Times New Roman" w:hAnsi="Times New Roman"/>
          <w:b w:val="0"/>
          <w:sz w:val="20"/>
          <w:lang w:val="pt-BR"/>
        </w:rPr>
        <w:t xml:space="preserve">) </w:t>
      </w:r>
      <w:r w:rsidR="00264E1C" w:rsidRPr="00CE03D7">
        <w:rPr>
          <w:rFonts w:ascii="Times New Roman" w:hAnsi="Times New Roman"/>
          <w:b w:val="0"/>
          <w:sz w:val="20"/>
          <w:lang w:val="pt-BR"/>
        </w:rPr>
        <w:t xml:space="preserve">foram estudados </w:t>
      </w:r>
      <w:r w:rsidR="00264E1C" w:rsidRPr="00CE03D7">
        <w:rPr>
          <w:rFonts w:ascii="Times New Roman" w:hAnsi="Times New Roman"/>
          <w:b w:val="0"/>
          <w:sz w:val="20"/>
          <w:lang w:val="pt-BR"/>
        </w:rPr>
        <w:t xml:space="preserve">na reação </w:t>
      </w:r>
      <w:r w:rsidR="00264E1C" w:rsidRPr="00CE03D7">
        <w:rPr>
          <w:rFonts w:ascii="Times New Roman" w:hAnsi="Times New Roman"/>
          <w:b w:val="0"/>
          <w:sz w:val="20"/>
          <w:lang w:val="pt-BR"/>
        </w:rPr>
        <w:t>reversa à de deslocamento gás-água, do inglês</w:t>
      </w:r>
      <w:r w:rsidR="00264E1C" w:rsidRPr="00CE03D7">
        <w:rPr>
          <w:rFonts w:ascii="Times New Roman" w:hAnsi="Times New Roman"/>
          <w:b w:val="0"/>
          <w:sz w:val="20"/>
          <w:lang w:val="pt-BR"/>
        </w:rPr>
        <w:t xml:space="preserve"> </w:t>
      </w:r>
      <w:r w:rsidR="00264E1C" w:rsidRPr="00CE03D7">
        <w:rPr>
          <w:rFonts w:ascii="Times New Roman" w:hAnsi="Times New Roman"/>
          <w:b w:val="0"/>
          <w:sz w:val="20"/>
          <w:lang w:val="pt-BR"/>
        </w:rPr>
        <w:t xml:space="preserve">Reverse </w:t>
      </w:r>
      <w:proofErr w:type="spellStart"/>
      <w:r w:rsidR="00264E1C" w:rsidRPr="00CE03D7">
        <w:rPr>
          <w:rFonts w:ascii="Times New Roman" w:hAnsi="Times New Roman"/>
          <w:b w:val="0"/>
          <w:sz w:val="20"/>
          <w:lang w:val="pt-BR"/>
        </w:rPr>
        <w:t>Water</w:t>
      </w:r>
      <w:proofErr w:type="spellEnd"/>
      <w:r w:rsidR="00264E1C" w:rsidRPr="00CE03D7">
        <w:rPr>
          <w:rFonts w:ascii="Times New Roman" w:hAnsi="Times New Roman"/>
          <w:b w:val="0"/>
          <w:sz w:val="20"/>
          <w:lang w:val="pt-BR"/>
        </w:rPr>
        <w:t xml:space="preserve"> </w:t>
      </w:r>
      <w:proofErr w:type="spellStart"/>
      <w:r w:rsidR="00264E1C" w:rsidRPr="00CE03D7">
        <w:rPr>
          <w:rFonts w:ascii="Times New Roman" w:hAnsi="Times New Roman"/>
          <w:b w:val="0"/>
          <w:sz w:val="20"/>
          <w:lang w:val="pt-BR"/>
        </w:rPr>
        <w:t>Gas</w:t>
      </w:r>
      <w:proofErr w:type="spellEnd"/>
      <w:r w:rsidR="00264E1C" w:rsidRPr="00CE03D7">
        <w:rPr>
          <w:rFonts w:ascii="Times New Roman" w:hAnsi="Times New Roman"/>
          <w:b w:val="0"/>
          <w:sz w:val="20"/>
          <w:lang w:val="pt-BR"/>
        </w:rPr>
        <w:t xml:space="preserve">-Shift </w:t>
      </w:r>
      <w:r w:rsidR="00264E1C" w:rsidRPr="00CE03D7">
        <w:rPr>
          <w:rFonts w:ascii="Times New Roman" w:hAnsi="Times New Roman"/>
          <w:b w:val="0"/>
          <w:sz w:val="20"/>
          <w:lang w:val="pt-BR"/>
        </w:rPr>
        <w:t>(</w:t>
      </w:r>
      <w:r w:rsidR="00264E1C" w:rsidRPr="00CE03D7">
        <w:rPr>
          <w:rFonts w:ascii="Times New Roman" w:hAnsi="Times New Roman"/>
          <w:b w:val="0"/>
          <w:sz w:val="20"/>
          <w:lang w:val="pt-BR"/>
        </w:rPr>
        <w:t>RWGS</w:t>
      </w:r>
      <w:r w:rsidR="00264E1C" w:rsidRPr="00CE03D7">
        <w:rPr>
          <w:rFonts w:ascii="Times New Roman" w:hAnsi="Times New Roman"/>
          <w:b w:val="0"/>
          <w:sz w:val="20"/>
          <w:lang w:val="pt-BR"/>
        </w:rPr>
        <w:t xml:space="preserve">). </w:t>
      </w:r>
      <w:r w:rsidR="009D5C8D" w:rsidRPr="00CE03D7">
        <w:rPr>
          <w:rFonts w:ascii="Times New Roman" w:hAnsi="Times New Roman"/>
          <w:b w:val="0"/>
          <w:sz w:val="20"/>
          <w:lang w:val="pt-BR"/>
        </w:rPr>
        <w:t>Com base nos resultados obtidos, observou-se que a adição de potássio promoveu a diminuição na produção de CH</w:t>
      </w:r>
      <w:r w:rsidR="009D5C8D" w:rsidRPr="00CE03D7">
        <w:rPr>
          <w:rFonts w:ascii="Times New Roman" w:hAnsi="Times New Roman"/>
          <w:b w:val="0"/>
          <w:sz w:val="20"/>
          <w:vertAlign w:val="subscript"/>
          <w:lang w:val="pt-BR"/>
        </w:rPr>
        <w:t>4</w:t>
      </w:r>
      <w:r w:rsidR="009D5C8D" w:rsidRPr="00CE03D7">
        <w:rPr>
          <w:rFonts w:ascii="Times New Roman" w:hAnsi="Times New Roman"/>
          <w:b w:val="0"/>
          <w:sz w:val="20"/>
          <w:lang w:val="pt-BR"/>
        </w:rPr>
        <w:t xml:space="preserve">, aumentando a seletividade à CO. Além disso, foi demonstrado que o material, quando não calcinado antes do processo de impregnação com 5% (em </w:t>
      </w:r>
      <w:r w:rsidR="009D4D2E" w:rsidRPr="00CE03D7">
        <w:rPr>
          <w:rFonts w:ascii="Times New Roman" w:hAnsi="Times New Roman"/>
          <w:b w:val="0"/>
          <w:sz w:val="20"/>
          <w:lang w:val="pt-BR"/>
        </w:rPr>
        <w:t>massa</w:t>
      </w:r>
      <w:r w:rsidR="009D5C8D" w:rsidRPr="00CE03D7">
        <w:rPr>
          <w:rFonts w:ascii="Times New Roman" w:hAnsi="Times New Roman"/>
          <w:b w:val="0"/>
          <w:sz w:val="20"/>
          <w:lang w:val="pt-BR"/>
        </w:rPr>
        <w:t xml:space="preserve">) de K, apresenta melhor desempenho catalítico do que catalisadores calcinados a 500 e 800°C. </w:t>
      </w:r>
      <w:r w:rsidR="009A5AB2" w:rsidRPr="00CE03D7">
        <w:rPr>
          <w:rFonts w:ascii="Times New Roman" w:hAnsi="Times New Roman"/>
          <w:b w:val="0"/>
          <w:sz w:val="20"/>
          <w:lang w:val="pt-BR"/>
        </w:rPr>
        <w:t xml:space="preserve">Dado o caráter inédito desta pesquisa, o presente estudo evidencia, pela primeira vez na literatura - até onde temos conhecimento - o método mais apropriado para a preparação de catalisadores provenientes da estrutura </w:t>
      </w:r>
      <w:proofErr w:type="spellStart"/>
      <w:r w:rsidR="009A5AB2" w:rsidRPr="00CE03D7">
        <w:rPr>
          <w:rFonts w:ascii="Times New Roman" w:hAnsi="Times New Roman"/>
          <w:b w:val="0"/>
          <w:sz w:val="20"/>
          <w:lang w:val="pt-BR"/>
        </w:rPr>
        <w:t>MgFe</w:t>
      </w:r>
      <w:proofErr w:type="spellEnd"/>
      <w:r w:rsidR="009A5AB2" w:rsidRPr="00CE03D7">
        <w:rPr>
          <w:rFonts w:ascii="Times New Roman" w:hAnsi="Times New Roman"/>
          <w:b w:val="0"/>
          <w:sz w:val="20"/>
          <w:lang w:val="pt-BR"/>
        </w:rPr>
        <w:t>-HDL impregnados com K, visando reações de hidrogenação de CO</w:t>
      </w:r>
      <w:r w:rsidR="009A5AB2" w:rsidRPr="00CE03D7">
        <w:rPr>
          <w:rFonts w:ascii="Times New Roman" w:hAnsi="Times New Roman"/>
          <w:b w:val="0"/>
          <w:sz w:val="20"/>
          <w:vertAlign w:val="subscript"/>
          <w:lang w:val="pt-BR"/>
        </w:rPr>
        <w:t>2</w:t>
      </w:r>
      <w:r w:rsidR="009A5AB2" w:rsidRPr="00CE03D7">
        <w:rPr>
          <w:rFonts w:ascii="Times New Roman" w:hAnsi="Times New Roman"/>
          <w:b w:val="0"/>
          <w:sz w:val="20"/>
          <w:lang w:val="pt-BR"/>
        </w:rPr>
        <w:t>, como a RWGS.</w:t>
      </w:r>
      <w:r w:rsidR="0057599A">
        <w:rPr>
          <w:rFonts w:ascii="Times New Roman" w:hAnsi="Times New Roman"/>
          <w:b w:val="0"/>
          <w:sz w:val="20"/>
          <w:lang w:val="pt-BR"/>
        </w:rPr>
        <w:t xml:space="preserve"> </w:t>
      </w:r>
    </w:p>
    <w:p w14:paraId="7FDFAC2C" w14:textId="77CAC0D5" w:rsidR="0057599A" w:rsidRDefault="0057599A" w:rsidP="0057599A">
      <w:pPr>
        <w:pStyle w:val="BDAbstract"/>
        <w:pBdr>
          <w:bottom w:val="single" w:sz="6" w:space="2" w:color="auto"/>
        </w:pBdr>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Pr>
          <w:rFonts w:ascii="Times New Roman" w:hAnsi="Times New Roman"/>
          <w:b w:val="0"/>
          <w:i/>
          <w:sz w:val="20"/>
          <w:lang w:val="pt-BR"/>
        </w:rPr>
        <w:t>hidrogenação do CO</w:t>
      </w:r>
      <w:r w:rsidRPr="00591939">
        <w:rPr>
          <w:rFonts w:ascii="Times New Roman" w:hAnsi="Times New Roman"/>
          <w:b w:val="0"/>
          <w:i/>
          <w:sz w:val="20"/>
          <w:vertAlign w:val="subscript"/>
          <w:lang w:val="pt-BR"/>
        </w:rPr>
        <w:t>2</w:t>
      </w:r>
      <w:r>
        <w:rPr>
          <w:rFonts w:ascii="Times New Roman" w:hAnsi="Times New Roman"/>
          <w:b w:val="0"/>
          <w:i/>
          <w:sz w:val="20"/>
          <w:lang w:val="pt-BR"/>
        </w:rPr>
        <w:t xml:space="preserve">, </w:t>
      </w:r>
      <w:r>
        <w:rPr>
          <w:rFonts w:ascii="Times New Roman" w:hAnsi="Times New Roman"/>
          <w:b w:val="0"/>
          <w:i/>
          <w:sz w:val="20"/>
          <w:lang w:val="pt-BR"/>
        </w:rPr>
        <w:t>CO</w:t>
      </w:r>
      <w:r>
        <w:rPr>
          <w:rFonts w:ascii="Times New Roman" w:hAnsi="Times New Roman"/>
          <w:b w:val="0"/>
          <w:i/>
          <w:sz w:val="20"/>
          <w:lang w:val="pt-BR"/>
        </w:rPr>
        <w:t xml:space="preserve">, catalisadores de </w:t>
      </w:r>
      <w:proofErr w:type="spellStart"/>
      <w:r>
        <w:rPr>
          <w:rFonts w:ascii="Times New Roman" w:hAnsi="Times New Roman"/>
          <w:b w:val="0"/>
          <w:i/>
          <w:sz w:val="20"/>
          <w:lang w:val="pt-BR"/>
        </w:rPr>
        <w:t>MgFe</w:t>
      </w:r>
      <w:proofErr w:type="spellEnd"/>
      <w:r>
        <w:rPr>
          <w:rFonts w:ascii="Times New Roman" w:hAnsi="Times New Roman"/>
          <w:b w:val="0"/>
          <w:i/>
          <w:sz w:val="20"/>
          <w:lang w:val="pt-BR"/>
        </w:rPr>
        <w:t>.</w:t>
      </w:r>
    </w:p>
    <w:p w14:paraId="101FD993" w14:textId="77777777" w:rsidR="00264E1C" w:rsidRPr="00CE03D7" w:rsidRDefault="00264E1C" w:rsidP="0057599A">
      <w:pPr>
        <w:pStyle w:val="BDAbstract"/>
        <w:pBdr>
          <w:bottom w:val="single" w:sz="6" w:space="2" w:color="auto"/>
        </w:pBdr>
        <w:spacing w:before="0" w:after="0" w:line="240" w:lineRule="auto"/>
        <w:rPr>
          <w:rFonts w:ascii="Times New Roman" w:hAnsi="Times New Roman"/>
          <w:b w:val="0"/>
          <w:sz w:val="20"/>
          <w:lang w:val="pt-BR"/>
        </w:rPr>
      </w:pPr>
    </w:p>
    <w:p w14:paraId="37FB5AA3" w14:textId="77777777" w:rsidR="0057599A" w:rsidRDefault="00EA4E1B" w:rsidP="0057599A">
      <w:pPr>
        <w:pStyle w:val="BDAbstract"/>
        <w:pBdr>
          <w:bottom w:val="single" w:sz="6" w:space="2" w:color="auto"/>
        </w:pBdr>
        <w:spacing w:before="0" w:after="120" w:line="240" w:lineRule="auto"/>
        <w:rPr>
          <w:rFonts w:ascii="Times New Roman" w:hAnsi="Times New Roman"/>
          <w:b w:val="0"/>
          <w:sz w:val="20"/>
          <w:lang w:val="pt-BR"/>
        </w:rPr>
      </w:pPr>
      <w:r w:rsidRPr="00CE03D7">
        <w:rPr>
          <w:rFonts w:ascii="Times New Roman" w:hAnsi="Times New Roman"/>
          <w:b w:val="0"/>
          <w:sz w:val="20"/>
          <w:lang w:val="pt-BR"/>
        </w:rPr>
        <w:t xml:space="preserve">ABSTRACT - </w:t>
      </w:r>
      <w:r w:rsidR="009D5C8D" w:rsidRPr="00CE03D7">
        <w:rPr>
          <w:rFonts w:ascii="Times New Roman" w:hAnsi="Times New Roman"/>
          <w:b w:val="0"/>
          <w:sz w:val="20"/>
          <w:lang w:val="pt-BR"/>
        </w:rPr>
        <w:t xml:space="preserve">In </w:t>
      </w:r>
      <w:proofErr w:type="spellStart"/>
      <w:r w:rsidR="009D5C8D" w:rsidRPr="00CE03D7">
        <w:rPr>
          <w:rFonts w:ascii="Times New Roman" w:hAnsi="Times New Roman"/>
          <w:b w:val="0"/>
          <w:sz w:val="20"/>
          <w:lang w:val="pt-BR"/>
        </w:rPr>
        <w:t>this</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study</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MgFe</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catalysts</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derived</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from</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the</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structure</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of</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layered</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double</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hydroxides</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LDHs</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enhanced</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with</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potassium</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atoms</w:t>
      </w:r>
      <w:proofErr w:type="spellEnd"/>
      <w:r w:rsidR="009D5C8D" w:rsidRPr="00CE03D7">
        <w:rPr>
          <w:rFonts w:ascii="Times New Roman" w:hAnsi="Times New Roman"/>
          <w:b w:val="0"/>
          <w:sz w:val="20"/>
          <w:lang w:val="pt-BR"/>
        </w:rPr>
        <w:t xml:space="preserve"> (K), </w:t>
      </w:r>
      <w:proofErr w:type="spellStart"/>
      <w:r w:rsidR="009D5C8D" w:rsidRPr="00CE03D7">
        <w:rPr>
          <w:rFonts w:ascii="Times New Roman" w:hAnsi="Times New Roman"/>
          <w:b w:val="0"/>
          <w:sz w:val="20"/>
          <w:lang w:val="pt-BR"/>
        </w:rPr>
        <w:t>were</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investigated</w:t>
      </w:r>
      <w:proofErr w:type="spellEnd"/>
      <w:r w:rsidR="009D5C8D" w:rsidRPr="00CE03D7">
        <w:rPr>
          <w:rFonts w:ascii="Times New Roman" w:hAnsi="Times New Roman"/>
          <w:b w:val="0"/>
          <w:sz w:val="20"/>
          <w:lang w:val="pt-BR"/>
        </w:rPr>
        <w:t xml:space="preserve"> in </w:t>
      </w:r>
      <w:proofErr w:type="spellStart"/>
      <w:r w:rsidR="009D5C8D" w:rsidRPr="00CE03D7">
        <w:rPr>
          <w:rFonts w:ascii="Times New Roman" w:hAnsi="Times New Roman"/>
          <w:b w:val="0"/>
          <w:sz w:val="20"/>
          <w:lang w:val="pt-BR"/>
        </w:rPr>
        <w:t>the</w:t>
      </w:r>
      <w:proofErr w:type="spellEnd"/>
      <w:r w:rsidR="009D5C8D" w:rsidRPr="00CE03D7">
        <w:rPr>
          <w:rFonts w:ascii="Times New Roman" w:hAnsi="Times New Roman"/>
          <w:b w:val="0"/>
          <w:sz w:val="20"/>
          <w:lang w:val="pt-BR"/>
        </w:rPr>
        <w:t xml:space="preserve"> reverse </w:t>
      </w:r>
      <w:proofErr w:type="spellStart"/>
      <w:r w:rsidR="009D5C8D" w:rsidRPr="00CE03D7">
        <w:rPr>
          <w:rFonts w:ascii="Times New Roman" w:hAnsi="Times New Roman"/>
          <w:b w:val="0"/>
          <w:sz w:val="20"/>
          <w:lang w:val="pt-BR"/>
        </w:rPr>
        <w:t>reaction</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of</w:t>
      </w:r>
      <w:proofErr w:type="spellEnd"/>
      <w:r w:rsidR="009D5C8D"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the</w:t>
      </w:r>
      <w:proofErr w:type="spellEnd"/>
      <w:r w:rsidR="009A5AB2" w:rsidRPr="00CE03D7">
        <w:rPr>
          <w:rFonts w:ascii="Times New Roman" w:hAnsi="Times New Roman"/>
          <w:b w:val="0"/>
          <w:sz w:val="20"/>
          <w:lang w:val="pt-BR"/>
        </w:rPr>
        <w:t xml:space="preserve"> </w:t>
      </w:r>
      <w:r w:rsidR="009D5C8D" w:rsidRPr="00CE03D7">
        <w:rPr>
          <w:rFonts w:ascii="Times New Roman" w:hAnsi="Times New Roman"/>
          <w:b w:val="0"/>
          <w:sz w:val="20"/>
          <w:lang w:val="pt-BR"/>
        </w:rPr>
        <w:t xml:space="preserve">Reverse </w:t>
      </w:r>
      <w:proofErr w:type="spellStart"/>
      <w:r w:rsidR="009D5C8D" w:rsidRPr="00CE03D7">
        <w:rPr>
          <w:rFonts w:ascii="Times New Roman" w:hAnsi="Times New Roman"/>
          <w:b w:val="0"/>
          <w:sz w:val="20"/>
          <w:lang w:val="pt-BR"/>
        </w:rPr>
        <w:t>Water</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Gas</w:t>
      </w:r>
      <w:proofErr w:type="spellEnd"/>
      <w:r w:rsidR="009D5C8D" w:rsidRPr="00CE03D7">
        <w:rPr>
          <w:rFonts w:ascii="Times New Roman" w:hAnsi="Times New Roman"/>
          <w:b w:val="0"/>
          <w:sz w:val="20"/>
          <w:lang w:val="pt-BR"/>
        </w:rPr>
        <w:t xml:space="preserve">-Shift (RWGS) </w:t>
      </w:r>
      <w:proofErr w:type="spellStart"/>
      <w:r w:rsidR="009D5C8D" w:rsidRPr="00CE03D7">
        <w:rPr>
          <w:rFonts w:ascii="Times New Roman" w:hAnsi="Times New Roman"/>
          <w:b w:val="0"/>
          <w:sz w:val="20"/>
          <w:lang w:val="pt-BR"/>
        </w:rPr>
        <w:t>reaction</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Based</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on</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the</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results</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obtained</w:t>
      </w:r>
      <w:proofErr w:type="spellEnd"/>
      <w:r w:rsidR="009D5C8D" w:rsidRPr="00CE03D7">
        <w:rPr>
          <w:rFonts w:ascii="Times New Roman" w:hAnsi="Times New Roman"/>
          <w:b w:val="0"/>
          <w:sz w:val="20"/>
          <w:lang w:val="pt-BR"/>
        </w:rPr>
        <w:t xml:space="preserve">, it </w:t>
      </w:r>
      <w:proofErr w:type="spellStart"/>
      <w:r w:rsidR="009D5C8D" w:rsidRPr="00CE03D7">
        <w:rPr>
          <w:rFonts w:ascii="Times New Roman" w:hAnsi="Times New Roman"/>
          <w:b w:val="0"/>
          <w:sz w:val="20"/>
          <w:lang w:val="pt-BR"/>
        </w:rPr>
        <w:t>was</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observed</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that</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the</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addition</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of</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potassium</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led</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to</w:t>
      </w:r>
      <w:proofErr w:type="spellEnd"/>
      <w:r w:rsidR="009D5C8D" w:rsidRPr="00CE03D7">
        <w:rPr>
          <w:rFonts w:ascii="Times New Roman" w:hAnsi="Times New Roman"/>
          <w:b w:val="0"/>
          <w:sz w:val="20"/>
          <w:lang w:val="pt-BR"/>
        </w:rPr>
        <w:t xml:space="preserve"> a </w:t>
      </w:r>
      <w:proofErr w:type="spellStart"/>
      <w:r w:rsidR="009D5C8D" w:rsidRPr="00CE03D7">
        <w:rPr>
          <w:rFonts w:ascii="Times New Roman" w:hAnsi="Times New Roman"/>
          <w:b w:val="0"/>
          <w:sz w:val="20"/>
          <w:lang w:val="pt-BR"/>
        </w:rPr>
        <w:t>decrease</w:t>
      </w:r>
      <w:proofErr w:type="spellEnd"/>
      <w:r w:rsidR="009D5C8D" w:rsidRPr="00CE03D7">
        <w:rPr>
          <w:rFonts w:ascii="Times New Roman" w:hAnsi="Times New Roman"/>
          <w:b w:val="0"/>
          <w:sz w:val="20"/>
          <w:lang w:val="pt-BR"/>
        </w:rPr>
        <w:t xml:space="preserve"> in CH</w:t>
      </w:r>
      <w:r w:rsidR="009D5C8D" w:rsidRPr="00CE03D7">
        <w:rPr>
          <w:rFonts w:ascii="Times New Roman" w:hAnsi="Times New Roman"/>
          <w:b w:val="0"/>
          <w:sz w:val="20"/>
          <w:vertAlign w:val="subscript"/>
          <w:lang w:val="pt-BR"/>
        </w:rPr>
        <w:t>4</w:t>
      </w:r>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production</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increasing</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selectivity</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towards</w:t>
      </w:r>
      <w:proofErr w:type="spellEnd"/>
      <w:r w:rsidR="009D5C8D" w:rsidRPr="00CE03D7">
        <w:rPr>
          <w:rFonts w:ascii="Times New Roman" w:hAnsi="Times New Roman"/>
          <w:b w:val="0"/>
          <w:sz w:val="20"/>
          <w:lang w:val="pt-BR"/>
        </w:rPr>
        <w:t xml:space="preserve"> CO. </w:t>
      </w:r>
      <w:proofErr w:type="spellStart"/>
      <w:r w:rsidR="009D5C8D" w:rsidRPr="00CE03D7">
        <w:rPr>
          <w:rFonts w:ascii="Times New Roman" w:hAnsi="Times New Roman"/>
          <w:b w:val="0"/>
          <w:sz w:val="20"/>
          <w:lang w:val="pt-BR"/>
        </w:rPr>
        <w:t>Additionally</w:t>
      </w:r>
      <w:proofErr w:type="spellEnd"/>
      <w:r w:rsidR="009D5C8D" w:rsidRPr="00CE03D7">
        <w:rPr>
          <w:rFonts w:ascii="Times New Roman" w:hAnsi="Times New Roman"/>
          <w:b w:val="0"/>
          <w:sz w:val="20"/>
          <w:lang w:val="pt-BR"/>
        </w:rPr>
        <w:t xml:space="preserve">, it </w:t>
      </w:r>
      <w:proofErr w:type="spellStart"/>
      <w:r w:rsidR="009D5C8D" w:rsidRPr="00CE03D7">
        <w:rPr>
          <w:rFonts w:ascii="Times New Roman" w:hAnsi="Times New Roman"/>
          <w:b w:val="0"/>
          <w:sz w:val="20"/>
          <w:lang w:val="pt-BR"/>
        </w:rPr>
        <w:t>was</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demonstrated</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that</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the</w:t>
      </w:r>
      <w:proofErr w:type="spellEnd"/>
      <w:r w:rsidR="009D5C8D" w:rsidRPr="00CE03D7">
        <w:rPr>
          <w:rFonts w:ascii="Times New Roman" w:hAnsi="Times New Roman"/>
          <w:b w:val="0"/>
          <w:sz w:val="20"/>
          <w:lang w:val="pt-BR"/>
        </w:rPr>
        <w:t xml:space="preserve"> material, </w:t>
      </w:r>
      <w:proofErr w:type="spellStart"/>
      <w:r w:rsidR="009D5C8D" w:rsidRPr="00CE03D7">
        <w:rPr>
          <w:rFonts w:ascii="Times New Roman" w:hAnsi="Times New Roman"/>
          <w:b w:val="0"/>
          <w:sz w:val="20"/>
          <w:lang w:val="pt-BR"/>
        </w:rPr>
        <w:t>when</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not</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calcined</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before</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the</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impregnation</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process</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with</w:t>
      </w:r>
      <w:proofErr w:type="spellEnd"/>
      <w:r w:rsidR="009D5C8D" w:rsidRPr="00CE03D7">
        <w:rPr>
          <w:rFonts w:ascii="Times New Roman" w:hAnsi="Times New Roman"/>
          <w:b w:val="0"/>
          <w:sz w:val="20"/>
          <w:lang w:val="pt-BR"/>
        </w:rPr>
        <w:t xml:space="preserve"> 5% (</w:t>
      </w:r>
      <w:r w:rsidR="009D4D2E" w:rsidRPr="00CE03D7">
        <w:rPr>
          <w:rFonts w:ascii="Times New Roman" w:hAnsi="Times New Roman"/>
          <w:b w:val="0"/>
          <w:sz w:val="20"/>
          <w:lang w:val="pt-BR"/>
        </w:rPr>
        <w:t>w.t.</w:t>
      </w:r>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of</w:t>
      </w:r>
      <w:proofErr w:type="spellEnd"/>
      <w:r w:rsidR="009D5C8D" w:rsidRPr="00CE03D7">
        <w:rPr>
          <w:rFonts w:ascii="Times New Roman" w:hAnsi="Times New Roman"/>
          <w:b w:val="0"/>
          <w:sz w:val="20"/>
          <w:lang w:val="pt-BR"/>
        </w:rPr>
        <w:t xml:space="preserve"> K, </w:t>
      </w:r>
      <w:proofErr w:type="spellStart"/>
      <w:r w:rsidR="009D5C8D" w:rsidRPr="00CE03D7">
        <w:rPr>
          <w:rFonts w:ascii="Times New Roman" w:hAnsi="Times New Roman"/>
          <w:b w:val="0"/>
          <w:sz w:val="20"/>
          <w:lang w:val="pt-BR"/>
        </w:rPr>
        <w:t>exhibited</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better</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catalytic</w:t>
      </w:r>
      <w:proofErr w:type="spellEnd"/>
      <w:r w:rsidR="009D5C8D" w:rsidRPr="00CE03D7">
        <w:rPr>
          <w:rFonts w:ascii="Times New Roman" w:hAnsi="Times New Roman"/>
          <w:b w:val="0"/>
          <w:sz w:val="20"/>
          <w:lang w:val="pt-BR"/>
        </w:rPr>
        <w:t xml:space="preserve"> performance </w:t>
      </w:r>
      <w:proofErr w:type="spellStart"/>
      <w:r w:rsidR="009D5C8D" w:rsidRPr="00CE03D7">
        <w:rPr>
          <w:rFonts w:ascii="Times New Roman" w:hAnsi="Times New Roman"/>
          <w:b w:val="0"/>
          <w:sz w:val="20"/>
          <w:lang w:val="pt-BR"/>
        </w:rPr>
        <w:t>than</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catalysts</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calcined</w:t>
      </w:r>
      <w:proofErr w:type="spellEnd"/>
      <w:r w:rsidR="009D5C8D" w:rsidRPr="00CE03D7">
        <w:rPr>
          <w:rFonts w:ascii="Times New Roman" w:hAnsi="Times New Roman"/>
          <w:b w:val="0"/>
          <w:sz w:val="20"/>
          <w:lang w:val="pt-BR"/>
        </w:rPr>
        <w:t xml:space="preserve"> </w:t>
      </w:r>
      <w:proofErr w:type="spellStart"/>
      <w:r w:rsidR="009D5C8D" w:rsidRPr="00CE03D7">
        <w:rPr>
          <w:rFonts w:ascii="Times New Roman" w:hAnsi="Times New Roman"/>
          <w:b w:val="0"/>
          <w:sz w:val="20"/>
          <w:lang w:val="pt-BR"/>
        </w:rPr>
        <w:t>at</w:t>
      </w:r>
      <w:proofErr w:type="spellEnd"/>
      <w:r w:rsidR="009D5C8D" w:rsidRPr="00CE03D7">
        <w:rPr>
          <w:rFonts w:ascii="Times New Roman" w:hAnsi="Times New Roman"/>
          <w:b w:val="0"/>
          <w:sz w:val="20"/>
          <w:lang w:val="pt-BR"/>
        </w:rPr>
        <w:t xml:space="preserve"> 500 </w:t>
      </w:r>
      <w:proofErr w:type="spellStart"/>
      <w:r w:rsidR="009D5C8D" w:rsidRPr="00CE03D7">
        <w:rPr>
          <w:rFonts w:ascii="Times New Roman" w:hAnsi="Times New Roman"/>
          <w:b w:val="0"/>
          <w:sz w:val="20"/>
          <w:lang w:val="pt-BR"/>
        </w:rPr>
        <w:t>and</w:t>
      </w:r>
      <w:proofErr w:type="spellEnd"/>
      <w:r w:rsidR="009D5C8D" w:rsidRPr="00CE03D7">
        <w:rPr>
          <w:rFonts w:ascii="Times New Roman" w:hAnsi="Times New Roman"/>
          <w:b w:val="0"/>
          <w:sz w:val="20"/>
          <w:lang w:val="pt-BR"/>
        </w:rPr>
        <w:t xml:space="preserve"> 800°C. </w:t>
      </w:r>
      <w:bookmarkEnd w:id="0"/>
      <w:proofErr w:type="spellStart"/>
      <w:r w:rsidR="009A5AB2" w:rsidRPr="00CE03D7">
        <w:rPr>
          <w:rFonts w:ascii="Times New Roman" w:hAnsi="Times New Roman"/>
          <w:b w:val="0"/>
          <w:sz w:val="20"/>
          <w:lang w:val="pt-BR"/>
        </w:rPr>
        <w:t>Given</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the</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unprecedented</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nature</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of</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this</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research</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the</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present</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study</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demonstrates</w:t>
      </w:r>
      <w:proofErr w:type="spellEnd"/>
      <w:r w:rsidR="009A5AB2" w:rsidRPr="00CE03D7">
        <w:rPr>
          <w:rFonts w:ascii="Times New Roman" w:hAnsi="Times New Roman"/>
          <w:b w:val="0"/>
          <w:sz w:val="20"/>
          <w:lang w:val="pt-BR"/>
        </w:rPr>
        <w:t xml:space="preserve">, for </w:t>
      </w:r>
      <w:proofErr w:type="spellStart"/>
      <w:r w:rsidR="009A5AB2" w:rsidRPr="00CE03D7">
        <w:rPr>
          <w:rFonts w:ascii="Times New Roman" w:hAnsi="Times New Roman"/>
          <w:b w:val="0"/>
          <w:sz w:val="20"/>
          <w:lang w:val="pt-BR"/>
        </w:rPr>
        <w:t>the</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first</w:t>
      </w:r>
      <w:proofErr w:type="spellEnd"/>
      <w:r w:rsidR="009A5AB2" w:rsidRPr="00CE03D7">
        <w:rPr>
          <w:rFonts w:ascii="Times New Roman" w:hAnsi="Times New Roman"/>
          <w:b w:val="0"/>
          <w:sz w:val="20"/>
          <w:lang w:val="pt-BR"/>
        </w:rPr>
        <w:t xml:space="preserve"> time in </w:t>
      </w:r>
      <w:proofErr w:type="spellStart"/>
      <w:r w:rsidR="009A5AB2" w:rsidRPr="00CE03D7">
        <w:rPr>
          <w:rFonts w:ascii="Times New Roman" w:hAnsi="Times New Roman"/>
          <w:b w:val="0"/>
          <w:sz w:val="20"/>
          <w:lang w:val="pt-BR"/>
        </w:rPr>
        <w:t>the</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literature</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to</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the</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best</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of</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our</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knowledge</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the</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most</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suitable</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method</w:t>
      </w:r>
      <w:proofErr w:type="spellEnd"/>
      <w:r w:rsidR="009A5AB2" w:rsidRPr="00CE03D7">
        <w:rPr>
          <w:rFonts w:ascii="Times New Roman" w:hAnsi="Times New Roman"/>
          <w:b w:val="0"/>
          <w:sz w:val="20"/>
          <w:lang w:val="pt-BR"/>
        </w:rPr>
        <w:t xml:space="preserve"> for </w:t>
      </w:r>
      <w:proofErr w:type="spellStart"/>
      <w:r w:rsidR="009A5AB2" w:rsidRPr="00CE03D7">
        <w:rPr>
          <w:rFonts w:ascii="Times New Roman" w:hAnsi="Times New Roman"/>
          <w:b w:val="0"/>
          <w:sz w:val="20"/>
          <w:lang w:val="pt-BR"/>
        </w:rPr>
        <w:t>preparing</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catalysts</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derived</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from</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the</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MgFe</w:t>
      </w:r>
      <w:proofErr w:type="spellEnd"/>
      <w:r w:rsidR="009A5AB2" w:rsidRPr="00CE03D7">
        <w:rPr>
          <w:rFonts w:ascii="Times New Roman" w:hAnsi="Times New Roman"/>
          <w:b w:val="0"/>
          <w:sz w:val="20"/>
          <w:lang w:val="pt-BR"/>
        </w:rPr>
        <w:t xml:space="preserve">-HDL </w:t>
      </w:r>
      <w:proofErr w:type="spellStart"/>
      <w:r w:rsidR="009A5AB2" w:rsidRPr="00CE03D7">
        <w:rPr>
          <w:rFonts w:ascii="Times New Roman" w:hAnsi="Times New Roman"/>
          <w:b w:val="0"/>
          <w:sz w:val="20"/>
          <w:lang w:val="pt-BR"/>
        </w:rPr>
        <w:t>structure</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impregnated</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with</w:t>
      </w:r>
      <w:proofErr w:type="spellEnd"/>
      <w:r w:rsidR="009A5AB2" w:rsidRPr="00CE03D7">
        <w:rPr>
          <w:rFonts w:ascii="Times New Roman" w:hAnsi="Times New Roman"/>
          <w:b w:val="0"/>
          <w:sz w:val="20"/>
          <w:lang w:val="pt-BR"/>
        </w:rPr>
        <w:t xml:space="preserve"> K, </w:t>
      </w:r>
      <w:proofErr w:type="spellStart"/>
      <w:r w:rsidR="009A5AB2" w:rsidRPr="00CE03D7">
        <w:rPr>
          <w:rFonts w:ascii="Times New Roman" w:hAnsi="Times New Roman"/>
          <w:b w:val="0"/>
          <w:sz w:val="20"/>
          <w:lang w:val="pt-BR"/>
        </w:rPr>
        <w:t>aiming</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at</w:t>
      </w:r>
      <w:proofErr w:type="spellEnd"/>
      <w:r w:rsidR="009A5AB2" w:rsidRPr="00CE03D7">
        <w:rPr>
          <w:rFonts w:ascii="Times New Roman" w:hAnsi="Times New Roman"/>
          <w:b w:val="0"/>
          <w:sz w:val="20"/>
          <w:lang w:val="pt-BR"/>
        </w:rPr>
        <w:t xml:space="preserve"> CO</w:t>
      </w:r>
      <w:r w:rsidR="009A5AB2" w:rsidRPr="00CE03D7">
        <w:rPr>
          <w:rFonts w:ascii="Times New Roman" w:hAnsi="Times New Roman"/>
          <w:b w:val="0"/>
          <w:sz w:val="20"/>
          <w:vertAlign w:val="subscript"/>
          <w:lang w:val="pt-BR"/>
        </w:rPr>
        <w:t>2</w:t>
      </w:r>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hydrogenation</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reactions</w:t>
      </w:r>
      <w:proofErr w:type="spellEnd"/>
      <w:r w:rsidR="009A5AB2" w:rsidRPr="00CE03D7">
        <w:rPr>
          <w:rFonts w:ascii="Times New Roman" w:hAnsi="Times New Roman"/>
          <w:b w:val="0"/>
          <w:sz w:val="20"/>
          <w:lang w:val="pt-BR"/>
        </w:rPr>
        <w:t xml:space="preserve"> </w:t>
      </w:r>
      <w:proofErr w:type="spellStart"/>
      <w:r w:rsidR="009A5AB2" w:rsidRPr="00CE03D7">
        <w:rPr>
          <w:rFonts w:ascii="Times New Roman" w:hAnsi="Times New Roman"/>
          <w:b w:val="0"/>
          <w:sz w:val="20"/>
          <w:lang w:val="pt-BR"/>
        </w:rPr>
        <w:t>such</w:t>
      </w:r>
      <w:proofErr w:type="spellEnd"/>
      <w:r w:rsidR="009A5AB2" w:rsidRPr="00CE03D7">
        <w:rPr>
          <w:rFonts w:ascii="Times New Roman" w:hAnsi="Times New Roman"/>
          <w:b w:val="0"/>
          <w:sz w:val="20"/>
          <w:lang w:val="pt-BR"/>
        </w:rPr>
        <w:t xml:space="preserve"> as RWGS.</w:t>
      </w:r>
      <w:r w:rsidR="0057599A">
        <w:rPr>
          <w:rFonts w:ascii="Times New Roman" w:hAnsi="Times New Roman"/>
          <w:b w:val="0"/>
          <w:sz w:val="20"/>
          <w:lang w:val="pt-BR"/>
        </w:rPr>
        <w:t xml:space="preserve"> </w:t>
      </w:r>
    </w:p>
    <w:p w14:paraId="47F40862" w14:textId="40D0F8E7" w:rsidR="0057599A" w:rsidRPr="0057599A" w:rsidRDefault="0057599A" w:rsidP="0057599A">
      <w:pPr>
        <w:pStyle w:val="BDAbstract"/>
        <w:pBdr>
          <w:bottom w:val="single" w:sz="6" w:space="2" w:color="auto"/>
        </w:pBdr>
        <w:spacing w:before="0" w:after="120" w:line="240" w:lineRule="auto"/>
        <w:rPr>
          <w:rFonts w:ascii="Times New Roman" w:hAnsi="Times New Roman"/>
          <w:b w:val="0"/>
          <w:sz w:val="20"/>
          <w:lang w:val="pt-BR"/>
        </w:rPr>
      </w:pPr>
      <w:r w:rsidRPr="00B271D4">
        <w:rPr>
          <w:rFonts w:ascii="Times New Roman" w:hAnsi="Times New Roman"/>
          <w:b w:val="0"/>
          <w:i/>
          <w:sz w:val="20"/>
        </w:rPr>
        <w:t>Keywords: CO</w:t>
      </w:r>
      <w:r w:rsidRPr="00B271D4">
        <w:rPr>
          <w:rFonts w:ascii="Times New Roman" w:hAnsi="Times New Roman"/>
          <w:b w:val="0"/>
          <w:i/>
          <w:sz w:val="20"/>
          <w:vertAlign w:val="subscript"/>
        </w:rPr>
        <w:t>2</w:t>
      </w:r>
      <w:r w:rsidRPr="00B271D4">
        <w:rPr>
          <w:rFonts w:ascii="Times New Roman" w:hAnsi="Times New Roman"/>
          <w:b w:val="0"/>
          <w:i/>
          <w:sz w:val="20"/>
        </w:rPr>
        <w:t xml:space="preserve"> hydrogenation, </w:t>
      </w:r>
      <w:r>
        <w:rPr>
          <w:rFonts w:ascii="Times New Roman" w:hAnsi="Times New Roman"/>
          <w:b w:val="0"/>
          <w:i/>
          <w:sz w:val="20"/>
        </w:rPr>
        <w:t>CO</w:t>
      </w:r>
      <w:r>
        <w:rPr>
          <w:rFonts w:ascii="Times New Roman" w:hAnsi="Times New Roman"/>
          <w:b w:val="0"/>
          <w:i/>
          <w:sz w:val="20"/>
        </w:rPr>
        <w:t xml:space="preserve">, </w:t>
      </w:r>
      <w:proofErr w:type="spellStart"/>
      <w:r>
        <w:rPr>
          <w:rFonts w:ascii="Times New Roman" w:hAnsi="Times New Roman"/>
          <w:b w:val="0"/>
          <w:i/>
          <w:sz w:val="20"/>
        </w:rPr>
        <w:t>MgFe</w:t>
      </w:r>
      <w:proofErr w:type="spellEnd"/>
      <w:r>
        <w:rPr>
          <w:rFonts w:ascii="Times New Roman" w:hAnsi="Times New Roman"/>
          <w:b w:val="0"/>
          <w:i/>
          <w:sz w:val="20"/>
        </w:rPr>
        <w:t>-based catalysts</w:t>
      </w:r>
    </w:p>
    <w:p w14:paraId="48D9B0C4" w14:textId="77F26AB2" w:rsidR="00EA4E1B" w:rsidRPr="00CE03D7" w:rsidRDefault="00EA4E1B" w:rsidP="009A5AB2">
      <w:pPr>
        <w:pStyle w:val="BDAbstract"/>
        <w:spacing w:before="0" w:after="0" w:line="240" w:lineRule="auto"/>
        <w:rPr>
          <w:lang w:val="pt-BR"/>
        </w:rPr>
        <w:sectPr w:rsidR="00EA4E1B" w:rsidRPr="00CE03D7"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CE03D7" w:rsidRDefault="00EA4E1B" w:rsidP="00EA4E1B">
      <w:pPr>
        <w:pStyle w:val="Ttulo2"/>
        <w:spacing w:before="0"/>
        <w:rPr>
          <w:rFonts w:ascii="Helvetica" w:hAnsi="Helvetica" w:cs="Helvetica"/>
          <w:sz w:val="24"/>
          <w:szCs w:val="24"/>
        </w:rPr>
      </w:pPr>
      <w:r w:rsidRPr="00CE03D7">
        <w:rPr>
          <w:rFonts w:ascii="Helvetica" w:hAnsi="Helvetica" w:cs="Helvetica"/>
          <w:sz w:val="24"/>
          <w:szCs w:val="24"/>
        </w:rPr>
        <w:t>Introdução</w:t>
      </w:r>
    </w:p>
    <w:p w14:paraId="01BC14BE" w14:textId="0C8B7E0B" w:rsidR="003E5467" w:rsidRPr="00CE03D7" w:rsidRDefault="003E5467" w:rsidP="00EA4E1B">
      <w:pPr>
        <w:pStyle w:val="TAMainText"/>
        <w:rPr>
          <w:rFonts w:ascii="Times New Roman" w:hAnsi="Times New Roman"/>
          <w:lang w:val="pt-BR"/>
        </w:rPr>
      </w:pPr>
      <w:r w:rsidRPr="00CE03D7">
        <w:rPr>
          <w:rFonts w:ascii="Times New Roman" w:hAnsi="Times New Roman"/>
          <w:lang w:val="pt-BR"/>
        </w:rPr>
        <w:t>As emissões antropogênicas de CO</w:t>
      </w:r>
      <w:r w:rsidRPr="00CE03D7">
        <w:rPr>
          <w:rFonts w:ascii="Times New Roman" w:hAnsi="Times New Roman"/>
          <w:vertAlign w:val="subscript"/>
          <w:lang w:val="pt-BR"/>
        </w:rPr>
        <w:t>2</w:t>
      </w:r>
      <w:r w:rsidRPr="00CE03D7">
        <w:rPr>
          <w:rFonts w:ascii="Times New Roman" w:hAnsi="Times New Roman"/>
          <w:lang w:val="pt-BR"/>
        </w:rPr>
        <w:t xml:space="preserve"> são reconhecidamente um problema de grande urgência pelo fato de o CO</w:t>
      </w:r>
      <w:r w:rsidRPr="00CE03D7">
        <w:rPr>
          <w:rFonts w:ascii="Times New Roman" w:hAnsi="Times New Roman"/>
          <w:vertAlign w:val="subscript"/>
          <w:lang w:val="pt-BR"/>
        </w:rPr>
        <w:t>2</w:t>
      </w:r>
      <w:r w:rsidRPr="00CE03D7">
        <w:rPr>
          <w:rFonts w:ascii="Times New Roman" w:hAnsi="Times New Roman"/>
          <w:lang w:val="pt-BR"/>
        </w:rPr>
        <w:t xml:space="preserve"> ser um dos principais responsáveis </w:t>
      </w:r>
      <w:r w:rsidRPr="00CE03D7">
        <w:rPr>
          <w:rFonts w:ascii="Times New Roman" w:hAnsi="Times New Roman"/>
          <w:lang w:val="pt-BR"/>
        </w:rPr>
        <w:t xml:space="preserve">pelo </w:t>
      </w:r>
      <w:r w:rsidRPr="00CE03D7">
        <w:rPr>
          <w:rFonts w:ascii="Times New Roman" w:hAnsi="Times New Roman"/>
          <w:lang w:val="pt-BR"/>
        </w:rPr>
        <w:t>aumento da temperatura média</w:t>
      </w:r>
      <w:r w:rsidRPr="00CE03D7">
        <w:rPr>
          <w:rFonts w:ascii="Times New Roman" w:hAnsi="Times New Roman"/>
          <w:lang w:val="pt-BR"/>
        </w:rPr>
        <w:t xml:space="preserve"> da Terra, acidificação dos oceanos</w:t>
      </w:r>
      <w:r w:rsidRPr="00CE03D7">
        <w:rPr>
          <w:rFonts w:ascii="Times New Roman" w:hAnsi="Times New Roman"/>
          <w:lang w:val="pt-BR"/>
        </w:rPr>
        <w:t xml:space="preserve"> e extinção de certas espécies de animais e plantas</w:t>
      </w:r>
      <w:r w:rsidR="008D56B8" w:rsidRPr="00CE03D7">
        <w:rPr>
          <w:rFonts w:ascii="Times New Roman" w:hAnsi="Times New Roman"/>
          <w:lang w:val="pt-BR"/>
        </w:rPr>
        <w:t xml:space="preserve"> </w:t>
      </w:r>
      <w:r w:rsidR="008D56B8" w:rsidRPr="00CE03D7">
        <w:rPr>
          <w:rFonts w:ascii="Times New Roman" w:hAnsi="Times New Roman"/>
          <w:lang w:val="pt-BR"/>
        </w:rPr>
        <w:fldChar w:fldCharType="begin" w:fldLock="1"/>
      </w:r>
      <w:r w:rsidR="008D56B8" w:rsidRPr="00CE03D7">
        <w:rPr>
          <w:rFonts w:ascii="Times New Roman" w:hAnsi="Times New Roman"/>
          <w:lang w:val="pt-BR"/>
        </w:rPr>
        <w:instrText>ADDIN CSL_CITATION {"citationItems":[{"id":"ITEM-1","itemData":{"DOI":"10.1021/ACSCATAL.0C04273","abstract":"Utilization of CO2 as feedstock to produce fine chemicals and renewable fuels is a highly promising field, which presents unique challenges in its implementation at scale. Heterogeneous catalysis w...","author":[{"dropping-particle":"","family":"De","given":"Sudipta","non-dropping-particle":"","parse-names":false,"suffix":""},{"dropping-particle":"","family":"Dokania","given":"Abhay","non-dropping-particle":"","parse-names":false,"suffix":""},{"dropping-particle":"","family":"Ramirez","given":"Adrian","non-dropping-particle":"","parse-names":false,"suffix":""},{"dropping-particle":"","family":"Gascon","given":"Jorge","non-dropping-particle":"","parse-names":false,"suffix":""}],"container-title":"ACS Catalysis","id":"ITEM-1","issue":"23","issued":{"date-parts":[["2020","12","4"]]},"page":"14147-14185","publisher":"American Chemical Society","title":"Advances in the Design of Heterogeneous Catalysts and Thermocatalytic Processes for CO2 Utilization","type":"article-journal","volume":"10"},"uris":["http://www.mendeley.com/documents/?uuid=527b9fe0-7c6c-3f7b-9625-da33a63b126d"]}],"mendeley":{"formattedCitation":"&lt;sup&gt;1&lt;/sup&gt;","plainTextFormattedCitation":"1","previouslyFormattedCitation":"&lt;sup&gt;2&lt;/sup&gt;"},"properties":{"noteIndex":0},"schema":"https://github.com/citation-style-language/schema/raw/master/csl-citation.json"}</w:instrText>
      </w:r>
      <w:r w:rsidR="008D56B8" w:rsidRPr="00CE03D7">
        <w:rPr>
          <w:rFonts w:ascii="Times New Roman" w:hAnsi="Times New Roman"/>
          <w:lang w:val="pt-BR"/>
        </w:rPr>
        <w:fldChar w:fldCharType="separate"/>
      </w:r>
      <w:r w:rsidR="008D56B8" w:rsidRPr="00CE03D7">
        <w:rPr>
          <w:rFonts w:ascii="Times New Roman" w:hAnsi="Times New Roman"/>
          <w:vertAlign w:val="superscript"/>
          <w:lang w:val="pt-BR"/>
        </w:rPr>
        <w:t>1</w:t>
      </w:r>
      <w:r w:rsidR="008D56B8" w:rsidRPr="00CE03D7">
        <w:rPr>
          <w:rFonts w:ascii="Times New Roman" w:hAnsi="Times New Roman"/>
          <w:lang w:val="pt-BR"/>
        </w:rPr>
        <w:fldChar w:fldCharType="end"/>
      </w:r>
      <w:r w:rsidRPr="00CE03D7">
        <w:rPr>
          <w:rFonts w:ascii="Times New Roman" w:hAnsi="Times New Roman"/>
          <w:lang w:val="pt-BR"/>
        </w:rPr>
        <w:t xml:space="preserve">. </w:t>
      </w:r>
    </w:p>
    <w:p w14:paraId="39EEFAAD" w14:textId="25CAD977" w:rsidR="003E5467" w:rsidRPr="00CE03D7" w:rsidRDefault="003E5467" w:rsidP="00EA4E1B">
      <w:pPr>
        <w:pStyle w:val="TAMainText"/>
        <w:rPr>
          <w:rFonts w:ascii="Times New Roman" w:hAnsi="Times New Roman"/>
          <w:lang w:val="pt-BR"/>
        </w:rPr>
      </w:pPr>
      <w:r w:rsidRPr="00CE03D7">
        <w:rPr>
          <w:rFonts w:ascii="Times New Roman" w:hAnsi="Times New Roman"/>
          <w:lang w:val="pt-BR"/>
        </w:rPr>
        <w:t>P</w:t>
      </w:r>
      <w:r w:rsidRPr="00CE03D7">
        <w:rPr>
          <w:rFonts w:ascii="Times New Roman" w:hAnsi="Times New Roman"/>
          <w:lang w:val="pt-BR"/>
        </w:rPr>
        <w:t>esquisas com hidrogênio verde e CO</w:t>
      </w:r>
      <w:r w:rsidRPr="00CE03D7">
        <w:rPr>
          <w:rFonts w:ascii="Times New Roman" w:hAnsi="Times New Roman"/>
          <w:vertAlign w:val="subscript"/>
          <w:lang w:val="pt-BR"/>
        </w:rPr>
        <w:t>2</w:t>
      </w:r>
      <w:r w:rsidRPr="00CE03D7">
        <w:rPr>
          <w:rFonts w:ascii="Times New Roman" w:hAnsi="Times New Roman"/>
          <w:lang w:val="pt-BR"/>
        </w:rPr>
        <w:t xml:space="preserve"> como matérias-primas para a produção de intermediários e moléculas de interesse industrial, como CO, metanol e olefinas estão se tornando cada vez mais importantes</w:t>
      </w:r>
      <w:r w:rsidR="00433E71" w:rsidRPr="00CE03D7">
        <w:rPr>
          <w:rFonts w:ascii="Times New Roman" w:hAnsi="Times New Roman"/>
          <w:lang w:val="pt-BR"/>
        </w:rPr>
        <w:t xml:space="preserve"> </w:t>
      </w:r>
      <w:r w:rsidR="00433E71" w:rsidRPr="00CE03D7">
        <w:rPr>
          <w:rFonts w:ascii="Times New Roman" w:hAnsi="Times New Roman"/>
          <w:lang w:val="pt-BR"/>
        </w:rPr>
        <w:fldChar w:fldCharType="begin" w:fldLock="1"/>
      </w:r>
      <w:r w:rsidR="008D56B8" w:rsidRPr="00CE03D7">
        <w:rPr>
          <w:rFonts w:ascii="Times New Roman" w:hAnsi="Times New Roman"/>
          <w:lang w:val="pt-BR"/>
        </w:rPr>
        <w:instrText>ADDIN CSL_CITATION {"citationItems":[{"id":"ITEM-1","itemData":{"DOI":"10.1021/ACSCATAL.0C04273","abstract":"Utilization of CO2 as feedstock to produce fine chemicals and renewable fuels is a highly promising field, which presents unique challenges in its implementation at scale. Heterogeneous catalysis w...","author":[{"dropping-particle":"","family":"De","given":"Sudipta","non-dropping-particle":"","parse-names":false,"suffix":""},{"dropping-particle":"","family":"Dokania","given":"Abhay","non-dropping-particle":"","parse-names":false,"suffix":""},{"dropping-particle":"","family":"Ramirez","given":"Adrian","non-dropping-particle":"","parse-names":false,"suffix":""},{"dropping-particle":"","family":"Gascon","given":"Jorge","non-dropping-particle":"","parse-names":false,"suffix":""}],"container-title":"ACS Catalysis","id":"ITEM-1","issue":"23","issued":{"date-parts":[["2020","12","4"]]},"page":"14147-14185","publisher":"American Chemical Society","title":"Advances in the Design of Heterogeneous Catalysts and Thermocatalytic Processes for CO2 Utilization","type":"article-journal","volume":"10"},"uris":["http://www.mendeley.com/documents/?uuid=527b9fe0-7c6c-3f7b-9625-da33a63b126d"]}],"mendeley":{"formattedCitation":"&lt;sup&gt;1&lt;/sup&gt;","plainTextFormattedCitation":"1","previouslyFormattedCitation":"&lt;sup&gt;2&lt;/sup&gt;"},"properties":{"noteIndex":0},"schema":"https://github.com/citation-style-language/schema/raw/master/csl-citation.json"}</w:instrText>
      </w:r>
      <w:r w:rsidR="00433E71" w:rsidRPr="00CE03D7">
        <w:rPr>
          <w:rFonts w:ascii="Times New Roman" w:hAnsi="Times New Roman"/>
          <w:lang w:val="pt-BR"/>
        </w:rPr>
        <w:fldChar w:fldCharType="separate"/>
      </w:r>
      <w:r w:rsidR="008D56B8" w:rsidRPr="00CE03D7">
        <w:rPr>
          <w:rFonts w:ascii="Times New Roman" w:hAnsi="Times New Roman"/>
          <w:vertAlign w:val="superscript"/>
          <w:lang w:val="pt-BR"/>
        </w:rPr>
        <w:t>1</w:t>
      </w:r>
      <w:r w:rsidR="00433E71" w:rsidRPr="00CE03D7">
        <w:rPr>
          <w:rFonts w:ascii="Times New Roman" w:hAnsi="Times New Roman"/>
          <w:lang w:val="pt-BR"/>
        </w:rPr>
        <w:fldChar w:fldCharType="end"/>
      </w:r>
      <w:r w:rsidRPr="00CE03D7">
        <w:rPr>
          <w:rFonts w:ascii="Times New Roman" w:hAnsi="Times New Roman"/>
          <w:lang w:val="pt-BR"/>
        </w:rPr>
        <w:t>. Essas tecnologias oferecem uma oportunidade promissora para reduzir as emissões de CO</w:t>
      </w:r>
      <w:r w:rsidRPr="00CE03D7">
        <w:rPr>
          <w:rFonts w:ascii="Times New Roman" w:hAnsi="Times New Roman"/>
          <w:vertAlign w:val="subscript"/>
          <w:lang w:val="pt-BR"/>
        </w:rPr>
        <w:t>2</w:t>
      </w:r>
      <w:r w:rsidRPr="00CE03D7">
        <w:rPr>
          <w:rFonts w:ascii="Times New Roman" w:hAnsi="Times New Roman"/>
          <w:lang w:val="pt-BR"/>
        </w:rPr>
        <w:t xml:space="preserve"> e promover uma economia mais limpa e sustentável. Entre os produtos, a produção de CO é crucial para a síntese de hidrocarbonetos líquidos e outros produtos químicos. No entanto, essa produção com alta seletividade em baixa temperatura é ainda um desafio</w:t>
      </w:r>
      <w:r w:rsidR="00433E71" w:rsidRPr="00CE03D7">
        <w:rPr>
          <w:rFonts w:ascii="Times New Roman" w:hAnsi="Times New Roman"/>
          <w:lang w:val="pt-BR"/>
        </w:rPr>
        <w:t xml:space="preserve"> </w:t>
      </w:r>
      <w:r w:rsidR="00433E71" w:rsidRPr="00CE03D7">
        <w:rPr>
          <w:rFonts w:ascii="Times New Roman" w:hAnsi="Times New Roman"/>
          <w:lang w:val="pt-BR"/>
        </w:rPr>
        <w:fldChar w:fldCharType="begin" w:fldLock="1"/>
      </w:r>
      <w:r w:rsidR="008D56B8" w:rsidRPr="00CE03D7">
        <w:rPr>
          <w:rFonts w:ascii="Times New Roman" w:hAnsi="Times New Roman"/>
          <w:lang w:val="pt-BR"/>
        </w:rPr>
        <w:instrText>ADDIN CSL_CITATION {"citationItems":[{"id":"ITEM-1","itemData":{"DOI":"10.1016/J.SCITOTENV.2022.159394","ISSN":"0048-9697","PMID":"36272470","abstract":"Understanding the viability of the RWGS from a thermodynamic and techno-economic angle opens new horizons within CO2 conversion technologies. Unfortunately, profitability studies of this technology are scarce in literature and mainly focused on overall conversion and selectivity trends with tangential remarks on energy demands and process costs. To address this research gap, herein we present a comprehensive techno-economic study of the RWGS reaction when coupling with Fischer-Tropsch synthesis is envisaged to produced fuels and chemicals using CO2 as building block. We showcase a remarkable impact of operating conditions in the final syngas product and both CAPEX and OPEX. From a capital investment perspective, optimal situations involve RWGS unit running at low temperatures and high pressures as evidenced by our results. However, from the running cost angle, operating at 4 bar is the most favorable alternative within the studied scenarios. Our findings showcase that, no matter the selected temperature the RWGS unit should be preferentially run at intermediate pressures. Ultimately, our work maps out multiple operating scenarios in terms of energy demand and process cost serving as guideline to set optimal reaction conditions to unlock the potential of the RWGS for chemical CO2 recycling.","author":[{"dropping-particle":"","family":"Portillo","given":"E.","non-dropping-particle":"","parse-names":false,"suffix":""},{"dropping-particle":"","family":"Gandara-Loe","given":"J.","non-dropping-particle":"","parse-names":false,"suffix":""},{"dropping-particle":"","family":"Reina","given":"T. R.","non-dropping-particle":"","parse-names":false,"suffix":""},{"dropping-particle":"","family":"Pastor-Pérez","given":"L.","non-dropping-particle":"","parse-names":false,"suffix":""}],"container-title":"Science of The Total Environment","id":"ITEM-1","issued":{"date-parts":[["2023","1","20"]]},"page":"159394","publisher":"Elsevier","title":"Is the RWGS a viable route for CO2 conversion to added value products? A techno-economic study to understand the optimal RWGS conditions","type":"article-journal","volume":"857"},"uris":["http://www.mendeley.com/documents/?uuid=cedeb841-cc39-3b9d-a20f-1ae8b46a308b"]}],"mendeley":{"formattedCitation":"&lt;sup&gt;2&lt;/sup&gt;","plainTextFormattedCitation":"2","previouslyFormattedCitation":"&lt;sup&gt;3&lt;/sup&gt;"},"properties":{"noteIndex":0},"schema":"https://github.com/citation-style-language/schema/raw/master/csl-citation.json"}</w:instrText>
      </w:r>
      <w:r w:rsidR="00433E71" w:rsidRPr="00CE03D7">
        <w:rPr>
          <w:rFonts w:ascii="Times New Roman" w:hAnsi="Times New Roman"/>
          <w:lang w:val="pt-BR"/>
        </w:rPr>
        <w:fldChar w:fldCharType="separate"/>
      </w:r>
      <w:r w:rsidR="008D56B8" w:rsidRPr="00CE03D7">
        <w:rPr>
          <w:rFonts w:ascii="Times New Roman" w:hAnsi="Times New Roman"/>
          <w:vertAlign w:val="superscript"/>
          <w:lang w:val="pt-BR"/>
        </w:rPr>
        <w:t>2</w:t>
      </w:r>
      <w:r w:rsidR="00433E71" w:rsidRPr="00CE03D7">
        <w:rPr>
          <w:rFonts w:ascii="Times New Roman" w:hAnsi="Times New Roman"/>
          <w:lang w:val="pt-BR"/>
        </w:rPr>
        <w:fldChar w:fldCharType="end"/>
      </w:r>
      <w:r w:rsidRPr="00CE03D7">
        <w:rPr>
          <w:rFonts w:ascii="Times New Roman" w:hAnsi="Times New Roman"/>
          <w:lang w:val="pt-BR"/>
        </w:rPr>
        <w:t>.</w:t>
      </w:r>
    </w:p>
    <w:p w14:paraId="0A0C166F" w14:textId="4DC90879" w:rsidR="00A76E62" w:rsidRPr="00CE03D7" w:rsidRDefault="003E5467" w:rsidP="008D56B8">
      <w:pPr>
        <w:pStyle w:val="TAMainText"/>
        <w:rPr>
          <w:lang w:val="pt-BR"/>
        </w:rPr>
      </w:pPr>
      <w:r w:rsidRPr="00CE03D7">
        <w:rPr>
          <w:lang w:val="pt-BR"/>
        </w:rPr>
        <w:t xml:space="preserve">Para superar tais desafios é proposto neste </w:t>
      </w:r>
      <w:r w:rsidRPr="00CE03D7">
        <w:rPr>
          <w:lang w:val="pt-BR"/>
        </w:rPr>
        <w:t>trabalho</w:t>
      </w:r>
      <w:r w:rsidRPr="00CE03D7">
        <w:rPr>
          <w:lang w:val="pt-BR"/>
        </w:rPr>
        <w:t xml:space="preserve"> a utilização da estrutura tridimensional e </w:t>
      </w:r>
      <w:proofErr w:type="spellStart"/>
      <w:r w:rsidRPr="00CE03D7">
        <w:rPr>
          <w:lang w:val="pt-BR"/>
        </w:rPr>
        <w:t>multi</w:t>
      </w:r>
      <w:proofErr w:type="spellEnd"/>
      <w:r w:rsidRPr="00CE03D7">
        <w:rPr>
          <w:lang w:val="pt-BR"/>
        </w:rPr>
        <w:t xml:space="preserve"> interface do HDL como catalisador multifuncional, pois a estrutura HDL fornece características fundamentais para o aumento da seletividade e estabilidade do catalisador na reação </w:t>
      </w:r>
      <w:r w:rsidRPr="00CE03D7">
        <w:rPr>
          <w:lang w:val="pt-BR"/>
        </w:rPr>
        <w:t>RWGS</w:t>
      </w:r>
      <w:r w:rsidRPr="00CE03D7">
        <w:rPr>
          <w:lang w:val="pt-BR"/>
        </w:rPr>
        <w:t xml:space="preserve">, como dispersão atômica e maior proximidade dos diferentes </w:t>
      </w:r>
      <w:r w:rsidRPr="00CE03D7">
        <w:rPr>
          <w:lang w:val="pt-BR"/>
        </w:rPr>
        <w:t>metais inseridos</w:t>
      </w:r>
      <w:r w:rsidR="00CE03D7">
        <w:rPr>
          <w:lang w:val="pt-BR"/>
        </w:rPr>
        <w:t xml:space="preserve"> </w:t>
      </w:r>
      <w:r w:rsidR="00433E71" w:rsidRPr="00CE03D7">
        <w:rPr>
          <w:lang w:val="pt-BR"/>
        </w:rPr>
        <w:fldChar w:fldCharType="begin" w:fldLock="1"/>
      </w:r>
      <w:r w:rsidR="008D56B8" w:rsidRPr="00CE03D7">
        <w:rPr>
          <w:lang w:val="pt-BR"/>
        </w:rPr>
        <w:instrText>ADDIN CSL_CITATION {"citationItems":[{"id":"ITEM-1","itemData":{"DOI":"10.1039/C4CS00160E","ISBN":"0306-0012","ISSN":"1460-4744","PMID":"25001024","abstract":"This review surveys recent advances in the applications of layered double hydroxides (LDHs) in heterogeneous catalysis. By virtue of the flexible tunability and uniform distribution of metal cations in the brucite-like layers and the facile exchangeability of intercalated anions, LDHs-both as directly prepared or after thermal treatment and/or reduction-have found many applications as stable and recyclable heterogeneous catalysts or catalyst supports for a variety of reactions with high industrial and academic importance. A major challenge in this rapidly growing field is to simultaneously improve the activity, selectivity and stability of these LDH-based materials by developing ways of tailoring the electronic structure of the catalysts and supports. Therefore, this Review article is mainly focused on the most recent developments in smart design strategies for LDH materials and the potential catalytic applications of the resulting materials.","author":[{"dropping-particle":"","family":"Fan","given":"Guoli","non-dropping-particle":"","parse-names":false,"suffix":""},{"dropping-particle":"","family":"Li","given":"Feng","non-dropping-particle":"","parse-names":false,"suffix":""},{"dropping-particle":"","family":"Evans","given":"David G","non-dropping-particle":"","parse-names":false,"suffix":""},{"dropping-particle":"","family":"Duan","given":"Xue","non-dropping-particle":"","parse-names":false,"suffix":""}],"container-title":"Chemical Society Reviews","id":"ITEM-1","issue":"20","issued":{"date-parts":[["2014"]]},"page":"7040-7066","title":"Catalytic applications of layered double hydroxides: recent advances and perspectives","type":"article-journal","volume":"43"},"uris":["http://www.mendeley.com/documents/?uuid=062a2af1-36f0-48e3-8fa9-4a9f84c9faae"]}],"mendeley":{"formattedCitation":"&lt;sup&gt;3&lt;/sup&gt;","plainTextFormattedCitation":"3","previouslyFormattedCitation":"&lt;sup&gt;4&lt;/sup&gt;"},"properties":{"noteIndex":0},"schema":"https://github.com/citation-style-language/schema/raw/master/csl-citation.json"}</w:instrText>
      </w:r>
      <w:r w:rsidR="00433E71" w:rsidRPr="00CE03D7">
        <w:rPr>
          <w:lang w:val="pt-BR"/>
        </w:rPr>
        <w:fldChar w:fldCharType="separate"/>
      </w:r>
      <w:r w:rsidR="008D56B8" w:rsidRPr="00CE03D7">
        <w:rPr>
          <w:vertAlign w:val="superscript"/>
          <w:lang w:val="pt-BR"/>
        </w:rPr>
        <w:t>3</w:t>
      </w:r>
      <w:r w:rsidR="00433E71" w:rsidRPr="00CE03D7">
        <w:rPr>
          <w:lang w:val="pt-BR"/>
        </w:rPr>
        <w:fldChar w:fldCharType="end"/>
      </w:r>
      <w:r w:rsidRPr="00CE03D7">
        <w:rPr>
          <w:lang w:val="pt-BR"/>
        </w:rPr>
        <w:t>.</w:t>
      </w:r>
      <w:r w:rsidR="00CE03D7">
        <w:rPr>
          <w:lang w:val="pt-BR"/>
        </w:rPr>
        <w:t xml:space="preserve"> </w:t>
      </w:r>
      <w:r w:rsidR="00CE03D7" w:rsidRPr="00CE03D7">
        <w:rPr>
          <w:lang w:val="pt-BR"/>
        </w:rPr>
        <w:t xml:space="preserve">Foi selecionado </w:t>
      </w:r>
      <w:r w:rsidR="00A76E62" w:rsidRPr="00CE03D7">
        <w:rPr>
          <w:lang w:val="pt-BR"/>
        </w:rPr>
        <w:t xml:space="preserve">como potencial catalisador para reação </w:t>
      </w:r>
      <w:r w:rsidR="00A76E62" w:rsidRPr="00CE03D7">
        <w:rPr>
          <w:lang w:val="pt-BR"/>
        </w:rPr>
        <w:t>RWGS</w:t>
      </w:r>
      <w:r w:rsidR="00A76E62" w:rsidRPr="00CE03D7">
        <w:rPr>
          <w:lang w:val="pt-BR"/>
        </w:rPr>
        <w:t xml:space="preserve"> u</w:t>
      </w:r>
      <w:r w:rsidR="00956058" w:rsidRPr="00CE03D7">
        <w:rPr>
          <w:lang w:val="pt-BR"/>
        </w:rPr>
        <w:t xml:space="preserve">m HDL do tipo </w:t>
      </w:r>
      <w:proofErr w:type="spellStart"/>
      <w:r w:rsidR="00956058" w:rsidRPr="00CE03D7">
        <w:rPr>
          <w:lang w:val="pt-BR"/>
        </w:rPr>
        <w:t>MgFe</w:t>
      </w:r>
      <w:proofErr w:type="spellEnd"/>
      <w:r w:rsidR="00956058" w:rsidRPr="00CE03D7">
        <w:rPr>
          <w:lang w:val="pt-BR"/>
        </w:rPr>
        <w:t xml:space="preserve"> com razão molar (M</w:t>
      </w:r>
      <w:r w:rsidR="00956058" w:rsidRPr="00CE03D7">
        <w:rPr>
          <w:vertAlign w:val="superscript"/>
          <w:lang w:val="pt-BR"/>
        </w:rPr>
        <w:t>2+</w:t>
      </w:r>
      <w:r w:rsidR="00956058" w:rsidRPr="00CE03D7">
        <w:rPr>
          <w:lang w:val="pt-BR"/>
        </w:rPr>
        <w:t>:M</w:t>
      </w:r>
      <w:r w:rsidR="00956058" w:rsidRPr="00CE03D7">
        <w:rPr>
          <w:vertAlign w:val="superscript"/>
          <w:lang w:val="pt-BR"/>
        </w:rPr>
        <w:t>3+</w:t>
      </w:r>
      <w:r w:rsidR="00956058" w:rsidRPr="00CE03D7">
        <w:rPr>
          <w:lang w:val="pt-BR"/>
        </w:rPr>
        <w:t>) de 3:1</w:t>
      </w:r>
      <w:r w:rsidR="00A76E62" w:rsidRPr="00CE03D7">
        <w:rPr>
          <w:lang w:val="pt-BR"/>
        </w:rPr>
        <w:t xml:space="preserve">. </w:t>
      </w:r>
      <w:r w:rsidR="00CE03D7" w:rsidRPr="00CE03D7">
        <w:rPr>
          <w:lang w:val="pt-BR"/>
        </w:rPr>
        <w:t>A escolha do magnésio baseou-se em suas propriedades básicas, que têm a capacidade de aumentar a adsorção de CO2 próximo aos sítios ativos. Por outro lado, a escolha do ferro deve-se à sua natureza como um metal não nobre, de baixo custo e amplamente disponível. Além disso, uma propriedade fundamental do ferro neste catalisador é a sua dispersão em nível atômico na estrutura do HDL. De acordo com a literatura, quanto menor o tamanho das partículas de ferro, maior é a seletividade para CO</w:t>
      </w:r>
      <w:r w:rsidR="00CE03D7" w:rsidRPr="00CE03D7">
        <w:rPr>
          <w:lang w:val="pt-BR"/>
        </w:rPr>
        <w:t xml:space="preserve"> </w:t>
      </w:r>
      <w:r w:rsidR="00956058" w:rsidRPr="00CE03D7">
        <w:rPr>
          <w:lang w:val="pt-BR"/>
        </w:rPr>
        <w:fldChar w:fldCharType="begin" w:fldLock="1"/>
      </w:r>
      <w:r w:rsidR="008D56B8" w:rsidRPr="00CE03D7">
        <w:rPr>
          <w:lang w:val="pt-BR"/>
        </w:rPr>
        <w:instrText>ADDIN CSL_CITATION {"citationItems":[{"id":"ITEM-1","itemData":{"DOI":"10.1021/ACSCATAL.0C01526/SUPPL_FILE/CS0C01526_SI_001.PDF","ISSN":"21555435","abstract":"Particle size is an important parameter of supported catalysts, but understanding the size-performance relationship is a challenge, especially in some complicated process. In this contribution, the particle size effect on CO2 hydrogenation to hydrocarbons over iron-based catalysts was deconvoluted into the effects on primary and secondary reactions. With a particle size range of 2.5-12.9 nm, the overall selectivity of C2+ hydrocarbons increases continuously, while that of CO decreases with the increasing size. The reverse water gas shift (RWGS) reaction and methanation are the main primary reactions and they are more sensitive within a particle size range of 6.1-12.9 nm. The formation of formate species is more favored, and thereby more CH4 is produced as a primary product on larger particles. The secondary process, the further hydrogenation of primary CO to hydrocarbons, is more sensitive within the particle size range of 2.5-9.8 nm, where the geometric effect or ensemble effect on larger particles leads to a higher chain-growth probability. More terrace sites may be conducive for C-C coupling, and the enhanced CO adsorption also benefits the secondary process. These findings highlight the deconvoluted particle size effect on CO2 hydrogenation and provide a dimension for understanding the catalysts in complicated reaction networks.","author":[{"dropping-particle":"","family":"Zhu","given":"Jie","non-dropping-particle":"","parse-names":false,"suffix":""},{"dropping-particle":"","family":"Zhang","given":"Guanghui","non-dropping-particle":"","parse-names":false,"suffix":""},{"dropping-particle":"","family":"Li","given":"Wenhui","non-dropping-particle":"","parse-names":false,"suffix":""},{"dropping-particle":"","family":"Zhang","given":"Xinbao","non-dropping-particle":"","parse-names":false,"suffix":""},{"dropping-particle":"","family":"Ding","given":"Fanshu","non-dropping-particle":"","parse-names":false,"suffix":""},{"dropping-particle":"","family":"Song","given":"Chunshan","non-dropping-particle":"","parse-names":false,"suffix":""},{"dropping-particle":"","family":"Guo","given":"Xinwen","non-dropping-particle":"","parse-names":false,"suffix":""}],"container-title":"ACS Catalysis","id":"ITEM-1","issue":"13","issued":{"date-parts":[["2020","7","2"]]},"page":"7424-7433","publisher":"American Chemical Society","title":"Deconvolution of the Particle Size Effect on CO2 Hydrogenation over Iron-Based Catalysts","type":"article-journal","volume":"10"},"uris":["http://www.mendeley.com/documents/?uuid=91b6082f-d449-304b-9804-3d3b0663d9be"]}],"mendeley":{"formattedCitation":"&lt;sup&gt;4&lt;/sup&gt;","plainTextFormattedCitation":"4","previouslyFormattedCitation":"&lt;sup&gt;1&lt;/sup&gt;"},"properties":{"noteIndex":0},"schema":"https://github.com/citation-style-language/schema/raw/master/csl-citation.json"}</w:instrText>
      </w:r>
      <w:r w:rsidR="00956058" w:rsidRPr="00CE03D7">
        <w:rPr>
          <w:lang w:val="pt-BR"/>
        </w:rPr>
        <w:fldChar w:fldCharType="separate"/>
      </w:r>
      <w:r w:rsidR="008D56B8" w:rsidRPr="00CE03D7">
        <w:rPr>
          <w:vertAlign w:val="superscript"/>
          <w:lang w:val="pt-BR"/>
        </w:rPr>
        <w:t>4</w:t>
      </w:r>
      <w:r w:rsidR="00956058" w:rsidRPr="00CE03D7">
        <w:rPr>
          <w:lang w:val="pt-BR"/>
        </w:rPr>
        <w:fldChar w:fldCharType="end"/>
      </w:r>
      <w:r w:rsidR="00956058" w:rsidRPr="00CE03D7">
        <w:rPr>
          <w:lang w:val="pt-BR"/>
        </w:rPr>
        <w:t>.</w:t>
      </w:r>
    </w:p>
    <w:p w14:paraId="4F7335A4" w14:textId="77777777" w:rsidR="008D56B8" w:rsidRPr="00CE03D7" w:rsidRDefault="008D56B8" w:rsidP="008D56B8">
      <w:pPr>
        <w:pStyle w:val="TAMainText"/>
        <w:rPr>
          <w:lang w:val="pt-BR"/>
        </w:rPr>
      </w:pPr>
    </w:p>
    <w:p w14:paraId="52FFAC79" w14:textId="2CA99E88" w:rsidR="00EA4E1B" w:rsidRPr="00CE03D7" w:rsidRDefault="00EA4E1B" w:rsidP="008D56B8">
      <w:pPr>
        <w:pStyle w:val="Ttulo2"/>
        <w:spacing w:before="0" w:after="0" w:line="240" w:lineRule="exact"/>
        <w:rPr>
          <w:rFonts w:ascii="Helvetica" w:hAnsi="Helvetica" w:cs="Helvetica"/>
          <w:sz w:val="24"/>
          <w:szCs w:val="24"/>
        </w:rPr>
      </w:pPr>
      <w:r w:rsidRPr="00CE03D7">
        <w:rPr>
          <w:rFonts w:ascii="Helvetica" w:hAnsi="Helvetica" w:cs="Helvetica"/>
          <w:sz w:val="24"/>
          <w:szCs w:val="24"/>
        </w:rPr>
        <w:t>Experimental</w:t>
      </w:r>
    </w:p>
    <w:p w14:paraId="4E6BAA29" w14:textId="1905EB34" w:rsidR="00EA4E1B" w:rsidRPr="00CE03D7" w:rsidRDefault="00A70330" w:rsidP="00F45C48">
      <w:pPr>
        <w:pStyle w:val="TAMainText"/>
        <w:rPr>
          <w:rFonts w:ascii="Times New Roman" w:hAnsi="Times New Roman"/>
          <w:iCs/>
          <w:lang w:val="pt-BR"/>
        </w:rPr>
      </w:pPr>
      <w:r w:rsidRPr="00CE03D7">
        <w:rPr>
          <w:rFonts w:ascii="Times New Roman" w:hAnsi="Times New Roman"/>
          <w:lang w:val="pt-BR"/>
        </w:rPr>
        <w:t>A síntese do</w:t>
      </w:r>
      <w:r w:rsidR="00D97CFE" w:rsidRPr="00CE03D7">
        <w:rPr>
          <w:rFonts w:ascii="Times New Roman" w:hAnsi="Times New Roman"/>
          <w:lang w:val="pt-BR"/>
        </w:rPr>
        <w:t xml:space="preserve"> precursor </w:t>
      </w:r>
      <w:proofErr w:type="spellStart"/>
      <w:r w:rsidR="00D97CFE" w:rsidRPr="00CE03D7">
        <w:rPr>
          <w:rFonts w:ascii="Times New Roman" w:hAnsi="Times New Roman"/>
          <w:lang w:val="pt-BR"/>
        </w:rPr>
        <w:t>MgFe</w:t>
      </w:r>
      <w:proofErr w:type="spellEnd"/>
      <w:r w:rsidR="00D97CFE" w:rsidRPr="00CE03D7">
        <w:rPr>
          <w:rFonts w:ascii="Times New Roman" w:hAnsi="Times New Roman"/>
          <w:lang w:val="pt-BR"/>
        </w:rPr>
        <w:t xml:space="preserve"> foi realizada por como descrito por Gonçalves </w:t>
      </w:r>
      <w:r w:rsidR="00D97CFE" w:rsidRPr="00CE03D7">
        <w:rPr>
          <w:rFonts w:ascii="Times New Roman" w:hAnsi="Times New Roman"/>
          <w:i/>
          <w:iCs/>
          <w:lang w:val="pt-BR"/>
        </w:rPr>
        <w:t>et al</w:t>
      </w:r>
      <w:r w:rsidR="00D97CFE" w:rsidRPr="00CE03D7">
        <w:rPr>
          <w:rFonts w:ascii="Times New Roman" w:hAnsi="Times New Roman"/>
          <w:lang w:val="pt-BR"/>
        </w:rPr>
        <w:t xml:space="preserve"> </w:t>
      </w:r>
      <w:r w:rsidR="00D97CFE" w:rsidRPr="00CE03D7">
        <w:rPr>
          <w:rFonts w:ascii="Times New Roman" w:hAnsi="Times New Roman"/>
          <w:lang w:val="pt-BR"/>
        </w:rPr>
        <w:fldChar w:fldCharType="begin" w:fldLock="1"/>
      </w:r>
      <w:r w:rsidR="008D56B8" w:rsidRPr="00CE03D7">
        <w:rPr>
          <w:rFonts w:ascii="Times New Roman" w:hAnsi="Times New Roman"/>
          <w:lang w:val="pt-BR"/>
        </w:rPr>
        <w:instrText>ADDIN CSL_CITATION {"citationItems":[{"id":"ITEM-1","itemData":{"DOI":"10.1016/J.CLAY.2020.105477","ISSN":"0169-1317","abstract":"In this work, the Layered Double Hydroxide (LDH) containing magnesium (Mg) and iron (Fe) was modified with Mn to investigate the effect of the addition from the structural and catalytic point of view. These materials were characterized by X-ray powder diffraction (XRD), scanning electron microscopy (SEM), N2 adsorption-desorption isotherms, X-ray photoelectron spectroscopy (XPS), thermogravimetric analyses, and evaluated as heterogeneous catalysts in Fenton-like reaction. The results showed that the Mn was incorporated in the LDH, promoting structural changes such as reduction of crystallographic parameters, decrease of crystallite size, and increase of surface area. The removal of methylene blue (MB) in aqueous solutions by LDH with and without Mn showed better results with increasing catalyst dosage, H2O2 volume, and temperature; and that under the best reaction conditions, the MnMgFe-LDH was the catalyst more efficient in removing MB, being reused for 5 reaction cycles with more than 80% removal.","author":[{"dropping-particle":"","family":"Gonçalves","given":"Rosembergue Gabriel Lima","non-dropping-particle":"","parse-names":false,"suffix":""},{"dropping-particle":"","family":"Mendes","given":"Hana Moreira","non-dropping-particle":"","parse-names":false,"suffix":""},{"dropping-particle":"","family":"Bastos","given":"Sibele Lima","non-dropping-particle":"","parse-names":false,"suffix":""},{"dropping-particle":"","family":"D'Agostino","given":"Lídia Cristina","non-dropping-particle":"","parse-names":false,"suffix":""},{"dropping-particle":"","family":"Tronto","given":"Jairo","non-dropping-particle":"","parse-names":false,"suffix":""},{"dropping-particle":"","family":"Pulcinelli","given":"Sandra Helena","non-dropping-particle":"","parse-names":false,"suffix":""},{"dropping-particle":"","family":"Santilli","given":"Celso Valentim","non-dropping-particle":"","parse-names":false,"suffix":""},{"dropping-particle":"","family":"Neto","given":"Jonas Leal","non-dropping-particle":"","parse-names":false,"suffix":""}],"container-title":"Applied Clay Science","id":"ITEM-1","issued":{"date-parts":[["2020","3","15"]]},"page":"105477","publisher":"Elsevier","title":"Fenton-like degradation of methylene blue using Mg/Fe and MnMg/Fe layered double hydroxides as reusable catalysts","type":"article-journal","volume":"187"},"uris":["http://www.mendeley.com/documents/?uuid=7b2ef187-2ead-3348-95c1-a6ba69d98669"]}],"mendeley":{"formattedCitation":"&lt;sup&gt;5&lt;/sup&gt;","plainTextFormattedCitation":"5","previouslyFormattedCitation":"&lt;sup&gt;5&lt;/sup&gt;"},"properties":{"noteIndex":0},"schema":"https://github.com/citation-style-language/schema/raw/master/csl-citation.json"}</w:instrText>
      </w:r>
      <w:r w:rsidR="00D97CFE" w:rsidRPr="00CE03D7">
        <w:rPr>
          <w:rFonts w:ascii="Times New Roman" w:hAnsi="Times New Roman"/>
          <w:lang w:val="pt-BR"/>
        </w:rPr>
        <w:fldChar w:fldCharType="separate"/>
      </w:r>
      <w:r w:rsidR="008D56B8" w:rsidRPr="00CE03D7">
        <w:rPr>
          <w:rFonts w:ascii="Times New Roman" w:hAnsi="Times New Roman"/>
          <w:vertAlign w:val="superscript"/>
          <w:lang w:val="pt-BR"/>
        </w:rPr>
        <w:t>5</w:t>
      </w:r>
      <w:r w:rsidR="00D97CFE" w:rsidRPr="00CE03D7">
        <w:rPr>
          <w:rFonts w:ascii="Times New Roman" w:hAnsi="Times New Roman"/>
          <w:lang w:val="pt-BR"/>
        </w:rPr>
        <w:fldChar w:fldCharType="end"/>
      </w:r>
      <w:r w:rsidR="00D97CFE" w:rsidRPr="00CE03D7">
        <w:rPr>
          <w:rFonts w:ascii="Times New Roman" w:hAnsi="Times New Roman"/>
          <w:lang w:val="pt-BR"/>
        </w:rPr>
        <w:t xml:space="preserve">. </w:t>
      </w:r>
      <w:r w:rsidR="00F45C48" w:rsidRPr="00CE03D7">
        <w:rPr>
          <w:lang w:val="pt-BR"/>
        </w:rPr>
        <w:t>Após a síntese, o material resultante foi impregnado com 5% (em peso) de K, tanto em sua forma como sintetizada quanto após calcinação a 500°C e 800°C</w:t>
      </w:r>
      <w:r w:rsidR="003160F9" w:rsidRPr="00CE03D7">
        <w:rPr>
          <w:lang w:val="pt-BR"/>
        </w:rPr>
        <w:t xml:space="preserve"> em atmosfera de ar sintético</w:t>
      </w:r>
      <w:r w:rsidR="00F45C48" w:rsidRPr="00CE03D7">
        <w:rPr>
          <w:lang w:val="pt-BR"/>
        </w:rPr>
        <w:t>.</w:t>
      </w:r>
      <w:r w:rsidR="00F45C48" w:rsidRPr="00CE03D7">
        <w:rPr>
          <w:lang w:val="pt-BR"/>
        </w:rPr>
        <w:t xml:space="preserve"> </w:t>
      </w:r>
      <w:r w:rsidR="003160F9" w:rsidRPr="00CE03D7">
        <w:rPr>
          <w:lang w:val="pt-BR"/>
        </w:rPr>
        <w:t xml:space="preserve">Após a impregnação todos catalisadores foram calcinados a 500°C </w:t>
      </w:r>
      <w:r w:rsidR="003160F9" w:rsidRPr="00CE03D7">
        <w:rPr>
          <w:lang w:val="pt-BR"/>
        </w:rPr>
        <w:t>em atmosfera de ar sintético</w:t>
      </w:r>
      <w:r w:rsidR="003160F9" w:rsidRPr="00CE03D7">
        <w:rPr>
          <w:lang w:val="pt-BR"/>
        </w:rPr>
        <w:t xml:space="preserve">. </w:t>
      </w:r>
      <w:r w:rsidR="00F45C48" w:rsidRPr="00CE03D7">
        <w:rPr>
          <w:lang w:val="pt-BR"/>
        </w:rPr>
        <w:t xml:space="preserve">Os catalisadores </w:t>
      </w:r>
      <w:r w:rsidR="003160F9" w:rsidRPr="00CE03D7">
        <w:rPr>
          <w:lang w:val="pt-BR"/>
        </w:rPr>
        <w:t>obtidos</w:t>
      </w:r>
      <w:r w:rsidR="00F45C48" w:rsidRPr="00CE03D7">
        <w:rPr>
          <w:lang w:val="pt-BR"/>
        </w:rPr>
        <w:t xml:space="preserve"> foram caracterizados por </w:t>
      </w:r>
      <w:r w:rsidR="00F45C48" w:rsidRPr="00CE03D7">
        <w:rPr>
          <w:rFonts w:ascii="Times New Roman" w:hAnsi="Times New Roman"/>
          <w:iCs/>
          <w:lang w:val="pt-BR"/>
        </w:rPr>
        <w:t>difração de raios X</w:t>
      </w:r>
      <w:r w:rsidR="00F45C48" w:rsidRPr="00CE03D7">
        <w:rPr>
          <w:rFonts w:ascii="Times New Roman" w:hAnsi="Times New Roman"/>
          <w:iCs/>
          <w:lang w:val="pt-BR"/>
        </w:rPr>
        <w:t xml:space="preserve"> (DRX), </w:t>
      </w:r>
      <w:r w:rsidR="00A54F15" w:rsidRPr="00CE03D7">
        <w:rPr>
          <w:lang w:val="pt-BR"/>
        </w:rPr>
        <w:lastRenderedPageBreak/>
        <w:drawing>
          <wp:anchor distT="0" distB="0" distL="114300" distR="114300" simplePos="0" relativeHeight="251666431" behindDoc="0" locked="0" layoutInCell="1" allowOverlap="1" wp14:anchorId="590486AE" wp14:editId="1595EEA1">
            <wp:simplePos x="0" y="0"/>
            <wp:positionH relativeFrom="column">
              <wp:posOffset>3551555</wp:posOffset>
            </wp:positionH>
            <wp:positionV relativeFrom="paragraph">
              <wp:posOffset>0</wp:posOffset>
            </wp:positionV>
            <wp:extent cx="2476500" cy="1897380"/>
            <wp:effectExtent l="0" t="0" r="0" b="7620"/>
            <wp:wrapTopAndBottom/>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0" cy="1897380"/>
                    </a:xfrm>
                    <a:prstGeom prst="rect">
                      <a:avLst/>
                    </a:prstGeom>
                    <a:noFill/>
                  </pic:spPr>
                </pic:pic>
              </a:graphicData>
            </a:graphic>
            <wp14:sizeRelH relativeFrom="margin">
              <wp14:pctWidth>0</wp14:pctWidth>
            </wp14:sizeRelH>
            <wp14:sizeRelV relativeFrom="margin">
              <wp14:pctHeight>0</wp14:pctHeight>
            </wp14:sizeRelV>
          </wp:anchor>
        </w:drawing>
      </w:r>
      <w:r w:rsidR="00F45C48" w:rsidRPr="00CE03D7">
        <w:rPr>
          <w:rFonts w:ascii="Times New Roman" w:hAnsi="Times New Roman"/>
          <w:iCs/>
          <w:lang w:val="pt-BR"/>
        </w:rPr>
        <w:t>adsorção/dessorção de N</w:t>
      </w:r>
      <w:r w:rsidR="00F45C48" w:rsidRPr="00CE03D7">
        <w:rPr>
          <w:rFonts w:ascii="Times New Roman" w:hAnsi="Times New Roman"/>
          <w:iCs/>
          <w:vertAlign w:val="subscript"/>
          <w:lang w:val="pt-BR"/>
        </w:rPr>
        <w:t>2</w:t>
      </w:r>
      <w:r w:rsidR="00F45C48" w:rsidRPr="00CE03D7">
        <w:rPr>
          <w:rFonts w:ascii="Times New Roman" w:hAnsi="Times New Roman"/>
          <w:iCs/>
          <w:lang w:val="pt-BR"/>
        </w:rPr>
        <w:t xml:space="preserve"> e microscopia eletrônica de transmissão</w:t>
      </w:r>
      <w:r w:rsidR="003160F9" w:rsidRPr="00CE03D7">
        <w:rPr>
          <w:rFonts w:ascii="Times New Roman" w:hAnsi="Times New Roman"/>
          <w:iCs/>
          <w:lang w:val="pt-BR"/>
        </w:rPr>
        <w:t xml:space="preserve"> (TEM)</w:t>
      </w:r>
      <w:r w:rsidR="00F45C48" w:rsidRPr="00CE03D7">
        <w:rPr>
          <w:rFonts w:ascii="Times New Roman" w:hAnsi="Times New Roman"/>
          <w:iCs/>
          <w:lang w:val="pt-BR"/>
        </w:rPr>
        <w:t>.</w:t>
      </w:r>
    </w:p>
    <w:p w14:paraId="35A80D04" w14:textId="07703820" w:rsidR="003160F9" w:rsidRPr="00CE03D7" w:rsidRDefault="003160F9" w:rsidP="008D56B8">
      <w:pPr>
        <w:pStyle w:val="TAMainText"/>
        <w:ind w:firstLine="204"/>
        <w:rPr>
          <w:rFonts w:ascii="Times New Roman" w:hAnsi="Times New Roman"/>
          <w:lang w:val="pt-BR"/>
        </w:rPr>
      </w:pPr>
      <w:r w:rsidRPr="00CE03D7">
        <w:rPr>
          <w:rFonts w:ascii="Times New Roman" w:hAnsi="Times New Roman"/>
          <w:lang w:val="pt-BR"/>
        </w:rPr>
        <w:t>As reações de hidrogenação do CO</w:t>
      </w:r>
      <w:r w:rsidRPr="00CE03D7">
        <w:rPr>
          <w:rFonts w:ascii="Times New Roman" w:hAnsi="Times New Roman"/>
          <w:vertAlign w:val="subscript"/>
          <w:lang w:val="pt-BR"/>
        </w:rPr>
        <w:t>2</w:t>
      </w:r>
      <w:r w:rsidRPr="00CE03D7">
        <w:rPr>
          <w:rFonts w:ascii="Times New Roman" w:hAnsi="Times New Roman"/>
          <w:lang w:val="pt-BR"/>
        </w:rPr>
        <w:t xml:space="preserve"> foram feitas em um sistema de </w:t>
      </w:r>
      <w:proofErr w:type="spellStart"/>
      <w:r w:rsidRPr="00CE03D7">
        <w:rPr>
          <w:rFonts w:ascii="Times New Roman" w:hAnsi="Times New Roman"/>
          <w:lang w:val="pt-BR"/>
        </w:rPr>
        <w:t>Microactivity</w:t>
      </w:r>
      <w:proofErr w:type="spellEnd"/>
      <w:r w:rsidRPr="00CE03D7">
        <w:rPr>
          <w:rFonts w:ascii="Times New Roman" w:hAnsi="Times New Roman"/>
          <w:lang w:val="pt-BR"/>
        </w:rPr>
        <w:t xml:space="preserve"> </w:t>
      </w:r>
      <w:proofErr w:type="spellStart"/>
      <w:r w:rsidRPr="00CE03D7">
        <w:rPr>
          <w:rFonts w:ascii="Times New Roman" w:hAnsi="Times New Roman"/>
          <w:lang w:val="pt-BR"/>
        </w:rPr>
        <w:t>Efficient</w:t>
      </w:r>
      <w:proofErr w:type="spellEnd"/>
      <w:r w:rsidRPr="00CE03D7">
        <w:rPr>
          <w:rFonts w:ascii="Times New Roman" w:hAnsi="Times New Roman"/>
          <w:lang w:val="pt-BR"/>
        </w:rPr>
        <w:t xml:space="preserve">, PID </w:t>
      </w:r>
      <w:proofErr w:type="spellStart"/>
      <w:r w:rsidRPr="00CE03D7">
        <w:rPr>
          <w:rFonts w:ascii="Times New Roman" w:hAnsi="Times New Roman"/>
          <w:lang w:val="pt-BR"/>
        </w:rPr>
        <w:t>Eng&amp;Tech</w:t>
      </w:r>
      <w:proofErr w:type="spellEnd"/>
      <w:r w:rsidRPr="00CE03D7">
        <w:rPr>
          <w:rFonts w:ascii="Times New Roman" w:hAnsi="Times New Roman"/>
          <w:lang w:val="pt-BR"/>
        </w:rPr>
        <w:t xml:space="preserve"> operado a </w:t>
      </w:r>
      <w:r w:rsidRPr="00CE03D7">
        <w:rPr>
          <w:rFonts w:ascii="Times New Roman" w:hAnsi="Times New Roman"/>
          <w:lang w:val="pt-BR"/>
        </w:rPr>
        <w:t>pressão atmosférica</w:t>
      </w:r>
      <w:r w:rsidRPr="00CE03D7">
        <w:rPr>
          <w:rFonts w:ascii="Times New Roman" w:hAnsi="Times New Roman"/>
          <w:lang w:val="pt-BR"/>
        </w:rPr>
        <w:t xml:space="preserve">, GHSV igual a </w:t>
      </w:r>
      <w:r w:rsidR="00BB79C1" w:rsidRPr="00CE03D7">
        <w:rPr>
          <w:rFonts w:ascii="Times New Roman" w:hAnsi="Times New Roman"/>
          <w:lang w:val="pt-BR"/>
        </w:rPr>
        <w:t>3600</w:t>
      </w:r>
      <w:r w:rsidRPr="00CE03D7">
        <w:rPr>
          <w:rFonts w:ascii="Times New Roman" w:hAnsi="Times New Roman"/>
          <w:lang w:val="pt-BR"/>
        </w:rPr>
        <w:t xml:space="preserve"> </w:t>
      </w:r>
      <w:proofErr w:type="spellStart"/>
      <w:r w:rsidRPr="00CE03D7">
        <w:rPr>
          <w:rFonts w:ascii="Times New Roman" w:hAnsi="Times New Roman"/>
          <w:lang w:val="pt-BR"/>
        </w:rPr>
        <w:t>mL</w:t>
      </w:r>
      <w:proofErr w:type="spellEnd"/>
      <w:r w:rsidR="00CE03D7">
        <w:rPr>
          <w:rFonts w:ascii="Times New Roman" w:hAnsi="Times New Roman"/>
          <w:lang w:val="pt-BR"/>
        </w:rPr>
        <w:t xml:space="preserve"> </w:t>
      </w:r>
      <w:r w:rsidRPr="00CE03D7">
        <w:rPr>
          <w:rFonts w:ascii="Times New Roman" w:hAnsi="Times New Roman"/>
          <w:lang w:val="pt-BR"/>
        </w:rPr>
        <w:t>gcat</w:t>
      </w:r>
      <w:r w:rsidRPr="00CE03D7">
        <w:rPr>
          <w:rFonts w:ascii="Times New Roman" w:hAnsi="Times New Roman"/>
          <w:vertAlign w:val="superscript"/>
          <w:lang w:val="pt-BR"/>
        </w:rPr>
        <w:t>-1</w:t>
      </w:r>
      <w:r w:rsidR="00CE03D7">
        <w:rPr>
          <w:rFonts w:ascii="Times New Roman" w:hAnsi="Times New Roman"/>
          <w:vertAlign w:val="superscript"/>
          <w:lang w:val="pt-BR"/>
        </w:rPr>
        <w:t xml:space="preserve"> </w:t>
      </w:r>
      <w:r w:rsidRPr="00CE03D7">
        <w:rPr>
          <w:rFonts w:ascii="Times New Roman" w:hAnsi="Times New Roman"/>
          <w:lang w:val="pt-BR"/>
        </w:rPr>
        <w:t>h</w:t>
      </w:r>
      <w:r w:rsidRPr="00CE03D7">
        <w:rPr>
          <w:rFonts w:ascii="Times New Roman" w:hAnsi="Times New Roman"/>
          <w:vertAlign w:val="superscript"/>
          <w:lang w:val="pt-BR"/>
        </w:rPr>
        <w:t>-1</w:t>
      </w:r>
      <w:r w:rsidRPr="00CE03D7">
        <w:rPr>
          <w:rFonts w:ascii="Times New Roman" w:hAnsi="Times New Roman"/>
          <w:lang w:val="pt-BR"/>
        </w:rPr>
        <w:t>, razão H</w:t>
      </w:r>
      <w:r w:rsidRPr="00CE03D7">
        <w:rPr>
          <w:rFonts w:ascii="Times New Roman" w:hAnsi="Times New Roman"/>
          <w:vertAlign w:val="subscript"/>
          <w:lang w:val="pt-BR"/>
        </w:rPr>
        <w:t>2</w:t>
      </w:r>
      <w:r w:rsidRPr="00CE03D7">
        <w:rPr>
          <w:rFonts w:ascii="Times New Roman" w:hAnsi="Times New Roman"/>
          <w:lang w:val="pt-BR"/>
        </w:rPr>
        <w:t>:</w:t>
      </w:r>
      <w:r w:rsidRPr="00CE03D7">
        <w:rPr>
          <w:rFonts w:ascii="Times New Roman" w:hAnsi="Times New Roman"/>
          <w:lang w:val="pt-BR"/>
        </w:rPr>
        <w:t>CO</w:t>
      </w:r>
      <w:r w:rsidRPr="00CE03D7">
        <w:rPr>
          <w:rFonts w:ascii="Times New Roman" w:hAnsi="Times New Roman"/>
          <w:vertAlign w:val="subscript"/>
          <w:lang w:val="pt-BR"/>
        </w:rPr>
        <w:t>2</w:t>
      </w:r>
      <w:r w:rsidRPr="00CE03D7">
        <w:rPr>
          <w:rFonts w:ascii="Times New Roman" w:hAnsi="Times New Roman"/>
          <w:lang w:val="pt-BR"/>
        </w:rPr>
        <w:t xml:space="preserve"> igual a 3 e temperatura </w:t>
      </w:r>
      <w:r w:rsidRPr="00CE03D7">
        <w:rPr>
          <w:rFonts w:ascii="Times New Roman" w:hAnsi="Times New Roman"/>
          <w:lang w:val="pt-BR"/>
        </w:rPr>
        <w:t>igual</w:t>
      </w:r>
      <w:r w:rsidRPr="00CE03D7">
        <w:rPr>
          <w:rFonts w:ascii="Times New Roman" w:hAnsi="Times New Roman"/>
          <w:lang w:val="pt-BR"/>
        </w:rPr>
        <w:t xml:space="preserve"> </w:t>
      </w:r>
      <w:r w:rsidR="009D4D2E" w:rsidRPr="00CE03D7">
        <w:rPr>
          <w:rFonts w:ascii="Times New Roman" w:hAnsi="Times New Roman"/>
          <w:lang w:val="pt-BR"/>
        </w:rPr>
        <w:t>3</w:t>
      </w:r>
      <w:r w:rsidRPr="00CE03D7">
        <w:rPr>
          <w:rFonts w:ascii="Times New Roman" w:hAnsi="Times New Roman"/>
          <w:lang w:val="pt-BR"/>
        </w:rPr>
        <w:t>70</w:t>
      </w:r>
      <w:r w:rsidRPr="00CE03D7">
        <w:rPr>
          <w:rFonts w:ascii="Times New Roman" w:hAnsi="Times New Roman"/>
          <w:lang w:val="pt-BR"/>
        </w:rPr>
        <w:t>ºC.</w:t>
      </w:r>
      <w:r w:rsidR="00BB79C1" w:rsidRPr="00CE03D7">
        <w:rPr>
          <w:rFonts w:ascii="Times New Roman" w:hAnsi="Times New Roman"/>
          <w:lang w:val="pt-BR"/>
        </w:rPr>
        <w:t xml:space="preserve"> </w:t>
      </w:r>
      <w:r w:rsidR="00BB79C1" w:rsidRPr="00CE03D7">
        <w:rPr>
          <w:rFonts w:ascii="Times New Roman" w:hAnsi="Times New Roman"/>
          <w:iCs/>
          <w:lang w:val="pt-BR"/>
        </w:rPr>
        <w:t>Antes do processo reacional, os catalisadores foram reduzidos em atmosfera de H</w:t>
      </w:r>
      <w:r w:rsidR="00BB79C1" w:rsidRPr="00CE03D7">
        <w:rPr>
          <w:rFonts w:ascii="Times New Roman" w:hAnsi="Times New Roman"/>
          <w:iCs/>
          <w:vertAlign w:val="subscript"/>
          <w:lang w:val="pt-BR"/>
        </w:rPr>
        <w:t xml:space="preserve">2 </w:t>
      </w:r>
      <w:r w:rsidR="00BB79C1" w:rsidRPr="00CE03D7">
        <w:rPr>
          <w:rFonts w:ascii="Times New Roman" w:hAnsi="Times New Roman"/>
          <w:iCs/>
          <w:lang w:val="pt-BR"/>
        </w:rPr>
        <w:t xml:space="preserve">(30 </w:t>
      </w:r>
      <w:proofErr w:type="spellStart"/>
      <w:r w:rsidR="00BB79C1" w:rsidRPr="00CE03D7">
        <w:rPr>
          <w:rFonts w:ascii="Times New Roman" w:hAnsi="Times New Roman"/>
          <w:iCs/>
          <w:lang w:val="pt-BR"/>
        </w:rPr>
        <w:t>mL</w:t>
      </w:r>
      <w:proofErr w:type="spellEnd"/>
      <w:r w:rsidR="00BB79C1" w:rsidRPr="00CE03D7">
        <w:rPr>
          <w:rFonts w:ascii="Times New Roman" w:hAnsi="Times New Roman"/>
          <w:iCs/>
          <w:lang w:val="pt-BR"/>
        </w:rPr>
        <w:t xml:space="preserve"> </w:t>
      </w:r>
      <w:r w:rsidR="00BB79C1" w:rsidRPr="00CE03D7">
        <w:rPr>
          <w:rFonts w:ascii="Times New Roman" w:hAnsi="Times New Roman"/>
          <w:iCs/>
          <w:lang w:val="pt-BR"/>
        </w:rPr>
        <w:t>min</w:t>
      </w:r>
      <w:r w:rsidR="00BB79C1" w:rsidRPr="00CE03D7">
        <w:rPr>
          <w:rFonts w:ascii="Times New Roman" w:hAnsi="Times New Roman"/>
          <w:iCs/>
          <w:vertAlign w:val="superscript"/>
          <w:lang w:val="pt-BR"/>
        </w:rPr>
        <w:t>-1</w:t>
      </w:r>
      <w:r w:rsidR="00BB79C1" w:rsidRPr="00CE03D7">
        <w:rPr>
          <w:rFonts w:ascii="Times New Roman" w:hAnsi="Times New Roman"/>
          <w:iCs/>
          <w:lang w:val="pt-BR"/>
        </w:rPr>
        <w:t xml:space="preserve">) a </w:t>
      </w:r>
      <w:r w:rsidR="00BB79C1" w:rsidRPr="00CE03D7">
        <w:rPr>
          <w:rFonts w:ascii="Times New Roman" w:hAnsi="Times New Roman"/>
          <w:iCs/>
          <w:lang w:val="pt-BR"/>
        </w:rPr>
        <w:t>5</w:t>
      </w:r>
      <w:r w:rsidR="00BB79C1" w:rsidRPr="00CE03D7">
        <w:rPr>
          <w:rFonts w:ascii="Times New Roman" w:hAnsi="Times New Roman"/>
          <w:iCs/>
          <w:lang w:val="pt-BR"/>
        </w:rPr>
        <w:t>00ºC, por 1 h. Toda a linha de reação foi mantida a 195ºC para evitar a condensação dos produtos da reação. Os valores de conversão (X%)</w:t>
      </w:r>
      <w:r w:rsidR="00BB79C1" w:rsidRPr="00CE03D7">
        <w:rPr>
          <w:rFonts w:ascii="Times New Roman" w:hAnsi="Times New Roman"/>
          <w:iCs/>
          <w:lang w:val="pt-BR"/>
        </w:rPr>
        <w:t xml:space="preserve"> e</w:t>
      </w:r>
      <w:r w:rsidR="00BB79C1" w:rsidRPr="00CE03D7">
        <w:rPr>
          <w:rFonts w:ascii="Times New Roman" w:hAnsi="Times New Roman"/>
          <w:iCs/>
          <w:lang w:val="pt-BR"/>
        </w:rPr>
        <w:t xml:space="preserve"> seletividade aos produtos foram calculados</w:t>
      </w:r>
      <w:r w:rsidR="00BB79C1" w:rsidRPr="00CE03D7">
        <w:rPr>
          <w:rFonts w:ascii="Times New Roman" w:hAnsi="Times New Roman"/>
          <w:iCs/>
          <w:lang w:val="pt-BR"/>
        </w:rPr>
        <w:t xml:space="preserve"> conforme estabelecido pela literatura. </w:t>
      </w:r>
    </w:p>
    <w:p w14:paraId="136BD1AC" w14:textId="2DD3EE6A" w:rsidR="00EA4E1B" w:rsidRPr="00CE03D7" w:rsidRDefault="00EA4E1B" w:rsidP="00EA4E1B">
      <w:pPr>
        <w:pStyle w:val="Ttulo2"/>
        <w:rPr>
          <w:rFonts w:ascii="Helvetica" w:hAnsi="Helvetica" w:cs="Helvetica"/>
          <w:sz w:val="24"/>
          <w:szCs w:val="24"/>
        </w:rPr>
      </w:pPr>
      <w:r w:rsidRPr="00CE03D7">
        <w:rPr>
          <w:rFonts w:ascii="Helvetica" w:hAnsi="Helvetica" w:cs="Helvetica"/>
          <w:sz w:val="24"/>
          <w:szCs w:val="24"/>
        </w:rPr>
        <w:t>Resultados e Discussão</w:t>
      </w:r>
    </w:p>
    <w:p w14:paraId="366E13C7" w14:textId="490DDBC4" w:rsidR="00DD07B8" w:rsidRPr="00CE03D7" w:rsidRDefault="00A54F15" w:rsidP="008D56B8">
      <w:pPr>
        <w:spacing w:after="0" w:line="240" w:lineRule="exact"/>
        <w:ind w:firstLine="142"/>
        <w:jc w:val="both"/>
        <w:rPr>
          <w:sz w:val="20"/>
          <w:szCs w:val="20"/>
        </w:rPr>
      </w:pPr>
      <w:r w:rsidRPr="00CE03D7">
        <w:rPr>
          <w:rFonts w:ascii="Times New Roman" w:hAnsi="Times New Roman" w:cs="Times New Roman"/>
          <w:sz w:val="20"/>
          <w:szCs w:val="20"/>
        </w:rPr>
        <w:drawing>
          <wp:anchor distT="0" distB="0" distL="114300" distR="114300" simplePos="0" relativeHeight="251664383" behindDoc="0" locked="0" layoutInCell="1" allowOverlap="1" wp14:anchorId="501CC176" wp14:editId="1BC8ABF1">
            <wp:simplePos x="0" y="0"/>
            <wp:positionH relativeFrom="margin">
              <wp:align>left</wp:align>
            </wp:positionH>
            <wp:positionV relativeFrom="paragraph">
              <wp:posOffset>1363345</wp:posOffset>
            </wp:positionV>
            <wp:extent cx="2381250" cy="1350010"/>
            <wp:effectExtent l="0" t="0" r="0" b="2540"/>
            <wp:wrapTopAndBottom/>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791" t="9317" r="11199" b="398"/>
                    <a:stretch/>
                  </pic:blipFill>
                  <pic:spPr bwMode="auto">
                    <a:xfrm>
                      <a:off x="0" y="0"/>
                      <a:ext cx="2381250" cy="135001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E03D7" w:rsidRPr="00CE03D7">
        <w:rPr>
          <w:rFonts w:ascii="Times New Roman" w:hAnsi="Times New Roman" w:cs="Times New Roman"/>
          <w:sz w:val="20"/>
          <w:szCs w:val="20"/>
        </w:rPr>
        <w:t xml:space="preserve"> </w:t>
      </w:r>
      <w:r w:rsidR="00CE03D7" w:rsidRPr="00CE03D7">
        <w:rPr>
          <w:rFonts w:ascii="Times New Roman" w:hAnsi="Times New Roman" w:cs="Times New Roman"/>
          <w:sz w:val="20"/>
          <w:szCs w:val="20"/>
        </w:rPr>
        <w:t>A Figura 1 apresenta os difratogramas dos catalisadores. Com base nesses resultados, é possível observar que o HDL calcinado a 800°C exibe picos de difração correspondentes às fases MgFe</w:t>
      </w:r>
      <w:r w:rsidR="00CE03D7" w:rsidRPr="00CE03D7">
        <w:rPr>
          <w:rFonts w:ascii="Times New Roman" w:hAnsi="Times New Roman" w:cs="Times New Roman"/>
          <w:sz w:val="20"/>
          <w:szCs w:val="20"/>
          <w:vertAlign w:val="subscript"/>
        </w:rPr>
        <w:t>2</w:t>
      </w:r>
      <w:r w:rsidR="00CE03D7" w:rsidRPr="00CE03D7">
        <w:rPr>
          <w:rFonts w:ascii="Times New Roman" w:hAnsi="Times New Roman" w:cs="Times New Roman"/>
          <w:sz w:val="20"/>
          <w:szCs w:val="20"/>
        </w:rPr>
        <w:t>O</w:t>
      </w:r>
      <w:r w:rsidR="00CE03D7" w:rsidRPr="00CE03D7">
        <w:rPr>
          <w:rFonts w:ascii="Times New Roman" w:hAnsi="Times New Roman" w:cs="Times New Roman"/>
          <w:sz w:val="20"/>
          <w:szCs w:val="20"/>
          <w:vertAlign w:val="subscript"/>
        </w:rPr>
        <w:t>4</w:t>
      </w:r>
      <w:r w:rsidR="00CE03D7" w:rsidRPr="00CE03D7">
        <w:rPr>
          <w:rFonts w:ascii="Times New Roman" w:hAnsi="Times New Roman" w:cs="Times New Roman"/>
          <w:sz w:val="20"/>
          <w:szCs w:val="20"/>
        </w:rPr>
        <w:t xml:space="preserve"> e </w:t>
      </w:r>
      <w:proofErr w:type="spellStart"/>
      <w:r w:rsidR="00CE03D7" w:rsidRPr="00CE03D7">
        <w:rPr>
          <w:rFonts w:ascii="Times New Roman" w:hAnsi="Times New Roman" w:cs="Times New Roman"/>
          <w:sz w:val="20"/>
          <w:szCs w:val="20"/>
        </w:rPr>
        <w:t>MgO</w:t>
      </w:r>
      <w:proofErr w:type="spellEnd"/>
      <w:r w:rsidR="00CE03D7" w:rsidRPr="00CE03D7">
        <w:rPr>
          <w:rFonts w:ascii="Times New Roman" w:hAnsi="Times New Roman" w:cs="Times New Roman"/>
          <w:sz w:val="20"/>
          <w:szCs w:val="20"/>
        </w:rPr>
        <w:t xml:space="preserve">, enquanto os demais catalisadores mostram apenas picos da fase </w:t>
      </w:r>
      <w:proofErr w:type="spellStart"/>
      <w:r w:rsidR="00CE03D7" w:rsidRPr="00CE03D7">
        <w:rPr>
          <w:rFonts w:ascii="Times New Roman" w:hAnsi="Times New Roman" w:cs="Times New Roman"/>
          <w:sz w:val="20"/>
          <w:szCs w:val="20"/>
        </w:rPr>
        <w:t>MgO</w:t>
      </w:r>
      <w:proofErr w:type="spellEnd"/>
      <w:r w:rsidR="00CE03D7" w:rsidRPr="00CE03D7">
        <w:rPr>
          <w:rFonts w:ascii="Times New Roman" w:hAnsi="Times New Roman" w:cs="Times New Roman"/>
          <w:sz w:val="20"/>
          <w:szCs w:val="20"/>
        </w:rPr>
        <w:t xml:space="preserve"> </w:t>
      </w:r>
      <w:r w:rsidR="008D56B8" w:rsidRPr="00CE03D7">
        <w:rPr>
          <w:rFonts w:ascii="Times New Roman" w:hAnsi="Times New Roman" w:cs="Times New Roman"/>
          <w:sz w:val="20"/>
          <w:szCs w:val="20"/>
        </w:rPr>
        <w:fldChar w:fldCharType="begin" w:fldLock="1"/>
      </w:r>
      <w:r w:rsidR="008D56B8" w:rsidRPr="00CE03D7">
        <w:rPr>
          <w:rFonts w:ascii="Times New Roman" w:hAnsi="Times New Roman" w:cs="Times New Roman"/>
          <w:sz w:val="20"/>
          <w:szCs w:val="20"/>
        </w:rPr>
        <w:instrText>ADDIN CSL_CITATION {"citationItems":[{"id":"ITEM-1","itemData":{"DOI":"10.1016/J.JSSC.2004.04.030","ISSN":"0022-4596","abstract":"The thermal decomposition and structural reconstruction of Mg-Fe-based hydrotalcites (HT) have been studied through thermogravimetric analyses, X-ray powder diffraction (XRD), Fourier transform infrared spectroscopy and Mössbauer spectroscopy. The destruction of the layered structure took place at about 300°C. The broad peaks observed in the X-ray diffractograms suggest that the resultant oxides constitute a solid solution. For samples treated at temperatures higher than 500°C, the formation of the MgO and MgFe2O4 spinel phases is observed. 57Fe Mössbauer spectroscopy was employed to monitor the Fe chemical environment for the samples annealed at different temperatures (100-900°C). In situ XRD experiments revealed that the HTs start an interlayer contraction at about 180°C. This phenomenon is identified as being due to a grafting process for which the interlamellar anions attach to the layers through a covalent bond. The reconstruction of the HTs was also investigated and its efficiency depends on the thermal annealing temperature and the Mg/Fe ratio. The structure of the reconstructed samples was found to be exactly the same as the parent structure. © 2004 Elsevier Inc. All rights reserved.","author":[{"dropping-particle":"","family":"Ferreira","given":"Odair P.","non-dropping-particle":"","parse-names":false,"suffix":""},{"dropping-particle":"","family":"Alves","given":"Oswaldo L.","non-dropping-particle":"","parse-names":false,"suffix":""},{"dropping-particle":"","family":"Gouveia","given":"Daniel X.","non-dropping-particle":"","parse-names":false,"suffix":""},{"dropping-particle":"","family":"Souza Filho","given":"Antonio G.","non-dropping-particle":"","parse-names":false,"suffix":""},{"dropping-particle":"","family":"Paiva","given":"José A.C.","non-dropping-particle":"De","parse-names":false,"suffix":""},{"dropping-particle":"","family":"Filho","given":"Josué Mendes","non-dropping-particle":"","parse-names":false,"suffix":""}],"container-title":"Journal of Solid State Chemistry","id":"ITEM-1","issue":"9","issued":{"date-parts":[["2004","9","1"]]},"page":"3058-3069","publisher":"Academic Press","title":"Thermal decomposition and structural reconstruction effect on Mg–Fe-based hydrotalcite compounds","type":"article-journal","volume":"177"},"uris":["http://www.mendeley.com/documents/?uuid=9d3baa90-ee88-3097-a123-fa117e30ec1e"]}],"mendeley":{"formattedCitation":"&lt;sup&gt;6&lt;/sup&gt;","plainTextFormattedCitation":"6","previouslyFormattedCitation":"&lt;sup&gt;6&lt;/sup&gt;"},"properties":{"noteIndex":0},"schema":"https://github.com/citation-style-language/schema/raw/master/csl-citation.json"}</w:instrText>
      </w:r>
      <w:r w:rsidR="008D56B8" w:rsidRPr="00CE03D7">
        <w:rPr>
          <w:rFonts w:ascii="Times New Roman" w:hAnsi="Times New Roman" w:cs="Times New Roman"/>
          <w:sz w:val="20"/>
          <w:szCs w:val="20"/>
        </w:rPr>
        <w:fldChar w:fldCharType="separate"/>
      </w:r>
      <w:r w:rsidR="008D56B8" w:rsidRPr="00CE03D7">
        <w:rPr>
          <w:rFonts w:ascii="Times New Roman" w:hAnsi="Times New Roman" w:cs="Times New Roman"/>
          <w:sz w:val="20"/>
          <w:szCs w:val="20"/>
          <w:vertAlign w:val="superscript"/>
        </w:rPr>
        <w:t>6</w:t>
      </w:r>
      <w:r w:rsidR="008D56B8" w:rsidRPr="00CE03D7">
        <w:rPr>
          <w:rFonts w:ascii="Times New Roman" w:hAnsi="Times New Roman" w:cs="Times New Roman"/>
          <w:sz w:val="20"/>
          <w:szCs w:val="20"/>
        </w:rPr>
        <w:fldChar w:fldCharType="end"/>
      </w:r>
      <w:r w:rsidR="00256481" w:rsidRPr="00CE03D7">
        <w:rPr>
          <w:rFonts w:ascii="Times New Roman" w:hAnsi="Times New Roman" w:cs="Times New Roman"/>
          <w:sz w:val="20"/>
          <w:szCs w:val="20"/>
        </w:rPr>
        <w:t xml:space="preserve">. </w:t>
      </w:r>
      <w:r w:rsidR="00CE03D7" w:rsidRPr="00CE03D7">
        <w:rPr>
          <w:rFonts w:ascii="Times New Roman" w:hAnsi="Times New Roman" w:cs="Times New Roman"/>
          <w:sz w:val="20"/>
          <w:szCs w:val="20"/>
        </w:rPr>
        <w:t>Essa observação ressalta que, mesmo derivando do mesmo precursor, a temperatura de calcinação afeta o tipo de fase presente no catalisador durante a etapa de impregnação com K.</w:t>
      </w:r>
    </w:p>
    <w:p w14:paraId="04372E61" w14:textId="37A44F25" w:rsidR="00A13122" w:rsidRPr="00CE03D7" w:rsidRDefault="00A13122" w:rsidP="008D56B8">
      <w:pPr>
        <w:spacing w:after="0" w:line="240" w:lineRule="exact"/>
        <w:rPr>
          <w:rFonts w:ascii="Times New Roman" w:hAnsi="Times New Roman"/>
          <w:sz w:val="18"/>
          <w:szCs w:val="18"/>
        </w:rPr>
      </w:pPr>
      <w:r w:rsidRPr="00CE03D7">
        <w:rPr>
          <w:rFonts w:ascii="Times New Roman" w:hAnsi="Times New Roman"/>
          <w:b/>
          <w:sz w:val="18"/>
          <w:szCs w:val="18"/>
        </w:rPr>
        <w:t>Figura 1.</w:t>
      </w:r>
      <w:r w:rsidRPr="00CE03D7">
        <w:rPr>
          <w:rFonts w:ascii="Times New Roman" w:hAnsi="Times New Roman"/>
          <w:sz w:val="18"/>
          <w:szCs w:val="18"/>
        </w:rPr>
        <w:t xml:space="preserve"> Difratogramas de raios-X</w:t>
      </w:r>
    </w:p>
    <w:p w14:paraId="4D3BA509" w14:textId="77777777" w:rsidR="00A13122" w:rsidRPr="00CE03D7" w:rsidRDefault="00A13122" w:rsidP="008D56B8">
      <w:pPr>
        <w:pStyle w:val="TAMainText"/>
        <w:ind w:firstLine="187"/>
        <w:rPr>
          <w:rFonts w:ascii="Times New Roman" w:hAnsi="Times New Roman"/>
          <w:lang w:val="pt-BR"/>
        </w:rPr>
      </w:pPr>
    </w:p>
    <w:p w14:paraId="48A8CE1B" w14:textId="77777777" w:rsidR="00CE03D7" w:rsidRDefault="00CE03D7" w:rsidP="000862F5">
      <w:pPr>
        <w:pStyle w:val="TAMainText"/>
        <w:ind w:firstLine="187"/>
        <w:rPr>
          <w:rFonts w:ascii="Times New Roman" w:hAnsi="Times New Roman"/>
          <w:iCs/>
          <w:lang w:val="pt-BR"/>
        </w:rPr>
      </w:pPr>
      <w:r w:rsidRPr="00CE03D7">
        <w:rPr>
          <w:rFonts w:ascii="Times New Roman" w:hAnsi="Times New Roman"/>
          <w:iCs/>
          <w:lang w:val="pt-BR"/>
        </w:rPr>
        <w:t>A análise de adsorção/dessorção de N</w:t>
      </w:r>
      <w:r w:rsidRPr="00CE03D7">
        <w:rPr>
          <w:rFonts w:ascii="Times New Roman" w:hAnsi="Times New Roman"/>
          <w:iCs/>
          <w:vertAlign w:val="subscript"/>
          <w:lang w:val="pt-BR"/>
        </w:rPr>
        <w:t>2</w:t>
      </w:r>
      <w:r w:rsidRPr="00CE03D7">
        <w:rPr>
          <w:rFonts w:ascii="Times New Roman" w:hAnsi="Times New Roman"/>
          <w:iCs/>
          <w:lang w:val="pt-BR"/>
        </w:rPr>
        <w:t xml:space="preserve"> revelou que o catalisador MgFe800/K apresenta uma área superficial de 44 m² g</w:t>
      </w:r>
      <w:r w:rsidRPr="00CE03D7">
        <w:rPr>
          <w:rFonts w:ascii="Times New Roman" w:hAnsi="Times New Roman"/>
          <w:iCs/>
          <w:vertAlign w:val="superscript"/>
          <w:lang w:val="pt-BR"/>
        </w:rPr>
        <w:t>-1</w:t>
      </w:r>
      <w:r w:rsidRPr="00CE03D7">
        <w:rPr>
          <w:rFonts w:ascii="Times New Roman" w:hAnsi="Times New Roman"/>
          <w:iCs/>
          <w:lang w:val="pt-BR"/>
        </w:rPr>
        <w:t xml:space="preserve">, a metade do valor observado nos catalisadores </w:t>
      </w:r>
      <w:proofErr w:type="spellStart"/>
      <w:r w:rsidRPr="00CE03D7">
        <w:rPr>
          <w:rFonts w:ascii="Times New Roman" w:hAnsi="Times New Roman"/>
          <w:iCs/>
          <w:lang w:val="pt-BR"/>
        </w:rPr>
        <w:t>MgFe</w:t>
      </w:r>
      <w:proofErr w:type="spellEnd"/>
      <w:r w:rsidRPr="00CE03D7">
        <w:rPr>
          <w:rFonts w:ascii="Times New Roman" w:hAnsi="Times New Roman"/>
          <w:iCs/>
          <w:lang w:val="pt-BR"/>
        </w:rPr>
        <w:t>/K e MgFe500/K, que foi de 85 m² g</w:t>
      </w:r>
      <w:r w:rsidRPr="00CE03D7">
        <w:rPr>
          <w:rFonts w:ascii="Times New Roman" w:hAnsi="Times New Roman"/>
          <w:iCs/>
          <w:vertAlign w:val="superscript"/>
          <w:lang w:val="pt-BR"/>
        </w:rPr>
        <w:t>-1</w:t>
      </w:r>
      <w:r w:rsidRPr="00CE03D7">
        <w:rPr>
          <w:rFonts w:ascii="Times New Roman" w:hAnsi="Times New Roman"/>
          <w:iCs/>
          <w:lang w:val="pt-BR"/>
        </w:rPr>
        <w:t>. Esse resultado pode ser atribuído a uma maior compactação da estrutura devido à formação da fase MgFe</w:t>
      </w:r>
      <w:r w:rsidRPr="00CE03D7">
        <w:rPr>
          <w:rFonts w:ascii="Times New Roman" w:hAnsi="Times New Roman"/>
          <w:iCs/>
          <w:vertAlign w:val="subscript"/>
          <w:lang w:val="pt-BR"/>
        </w:rPr>
        <w:t>2</w:t>
      </w:r>
      <w:r w:rsidRPr="00CE03D7">
        <w:rPr>
          <w:rFonts w:ascii="Times New Roman" w:hAnsi="Times New Roman"/>
          <w:iCs/>
          <w:lang w:val="pt-BR"/>
        </w:rPr>
        <w:t>O</w:t>
      </w:r>
      <w:r w:rsidRPr="00CE03D7">
        <w:rPr>
          <w:rFonts w:ascii="Times New Roman" w:hAnsi="Times New Roman"/>
          <w:iCs/>
          <w:vertAlign w:val="subscript"/>
          <w:lang w:val="pt-BR"/>
        </w:rPr>
        <w:t>4</w:t>
      </w:r>
      <w:r w:rsidRPr="00CE03D7">
        <w:rPr>
          <w:rFonts w:ascii="Times New Roman" w:hAnsi="Times New Roman"/>
          <w:iCs/>
          <w:lang w:val="pt-BR"/>
        </w:rPr>
        <w:t>, conforme evidenciado nos resultados de DRX.</w:t>
      </w:r>
    </w:p>
    <w:p w14:paraId="77EBEC4F" w14:textId="3FF0CA80" w:rsidR="008D56B8" w:rsidRDefault="00CE03D7" w:rsidP="00CE03D7">
      <w:pPr>
        <w:spacing w:after="0" w:line="240" w:lineRule="exact"/>
        <w:ind w:firstLine="187"/>
        <w:jc w:val="both"/>
        <w:rPr>
          <w:rFonts w:ascii="Times New Roman" w:eastAsia="Times New Roman" w:hAnsi="Times New Roman" w:cs="Times New Roman"/>
          <w:sz w:val="20"/>
          <w:szCs w:val="20"/>
          <w:lang w:eastAsia="pt-BR"/>
        </w:rPr>
      </w:pPr>
      <w:r w:rsidRPr="00CE03D7">
        <w:rPr>
          <w:rFonts w:ascii="Times New Roman" w:eastAsia="Times New Roman" w:hAnsi="Times New Roman" w:cs="Times New Roman"/>
          <w:sz w:val="20"/>
          <w:szCs w:val="20"/>
          <w:lang w:eastAsia="pt-BR"/>
        </w:rPr>
        <w:t>Na Figura 2, é apresentada a distribuição dos elementos nos catalisadores. As imagens de mapeamento de elementos obtidas por EDX fornecem evidências claras da distribuição uniforme dos elementos Mg, Fe e K por toda a amostra, mesmo após os processos de calcinação e redução.</w:t>
      </w:r>
    </w:p>
    <w:p w14:paraId="13956BEA" w14:textId="77777777" w:rsidR="00CE03D7" w:rsidRPr="00CE03D7" w:rsidRDefault="00CE03D7" w:rsidP="00CE03D7">
      <w:pPr>
        <w:spacing w:after="0" w:line="240" w:lineRule="exact"/>
        <w:ind w:firstLine="187"/>
        <w:jc w:val="both"/>
        <w:rPr>
          <w:lang w:eastAsia="pt-BR"/>
        </w:rPr>
      </w:pPr>
    </w:p>
    <w:p w14:paraId="38FFEF53" w14:textId="6373D6DB" w:rsidR="00A54F15" w:rsidRPr="00CE03D7" w:rsidRDefault="00A54F15" w:rsidP="00A54F15">
      <w:pPr>
        <w:spacing w:after="0" w:line="240" w:lineRule="exact"/>
        <w:jc w:val="both"/>
        <w:rPr>
          <w:rFonts w:ascii="Times New Roman" w:hAnsi="Times New Roman" w:cs="Times New Roman"/>
          <w:sz w:val="18"/>
          <w:szCs w:val="18"/>
        </w:rPr>
      </w:pPr>
      <w:r w:rsidRPr="00CE03D7">
        <w:rPr>
          <w:rFonts w:ascii="Times New Roman" w:hAnsi="Times New Roman"/>
          <w:b/>
          <w:sz w:val="18"/>
          <w:szCs w:val="18"/>
        </w:rPr>
        <w:t xml:space="preserve">Tabela </w:t>
      </w:r>
      <w:r w:rsidR="00680333">
        <w:rPr>
          <w:rFonts w:ascii="Times New Roman" w:hAnsi="Times New Roman"/>
          <w:b/>
          <w:sz w:val="18"/>
          <w:szCs w:val="18"/>
        </w:rPr>
        <w:t>1</w:t>
      </w:r>
      <w:r w:rsidRPr="00CE03D7">
        <w:rPr>
          <w:rFonts w:ascii="Times New Roman" w:hAnsi="Times New Roman"/>
          <w:b/>
          <w:sz w:val="18"/>
          <w:szCs w:val="18"/>
        </w:rPr>
        <w:t>.</w:t>
      </w:r>
      <w:r w:rsidRPr="00CE03D7">
        <w:rPr>
          <w:rFonts w:ascii="Times New Roman" w:hAnsi="Times New Roman"/>
          <w:sz w:val="18"/>
          <w:szCs w:val="18"/>
        </w:rPr>
        <w:t xml:space="preserve"> </w:t>
      </w:r>
      <w:r w:rsidRPr="00CE03D7">
        <w:rPr>
          <w:rFonts w:ascii="Times New Roman" w:hAnsi="Times New Roman" w:cs="Times New Roman"/>
          <w:sz w:val="18"/>
          <w:szCs w:val="18"/>
        </w:rPr>
        <w:t>Conversão do CO</w:t>
      </w:r>
      <w:r w:rsidRPr="00CE03D7">
        <w:rPr>
          <w:rFonts w:ascii="Times New Roman" w:hAnsi="Times New Roman" w:cs="Times New Roman"/>
          <w:sz w:val="18"/>
          <w:szCs w:val="18"/>
          <w:vertAlign w:val="subscript"/>
        </w:rPr>
        <w:t>2</w:t>
      </w:r>
      <w:r w:rsidRPr="00CE03D7">
        <w:rPr>
          <w:rFonts w:ascii="Times New Roman" w:hAnsi="Times New Roman" w:cs="Times New Roman"/>
          <w:sz w:val="18"/>
          <w:szCs w:val="18"/>
        </w:rPr>
        <w:t xml:space="preserve"> (</w:t>
      </w:r>
      <w:r w:rsidRPr="00CE03D7">
        <w:rPr>
          <w:rFonts w:ascii="Times New Roman" w:hAnsi="Times New Roman"/>
          <w:sz w:val="18"/>
          <w:szCs w:val="18"/>
        </w:rPr>
        <w:t xml:space="preserve">Χ%) </w:t>
      </w:r>
      <w:r w:rsidRPr="00CE03D7">
        <w:rPr>
          <w:rFonts w:ascii="Times New Roman" w:hAnsi="Times New Roman" w:cs="Times New Roman"/>
          <w:sz w:val="18"/>
          <w:szCs w:val="18"/>
        </w:rPr>
        <w:t>e seletividades aos produtos.</w:t>
      </w:r>
    </w:p>
    <w:tbl>
      <w:tblPr>
        <w:tblStyle w:val="Tabelacomgrade"/>
        <w:tblW w:w="4815" w:type="dxa"/>
        <w:tblLayout w:type="fixed"/>
        <w:tblLook w:val="0000" w:firstRow="0" w:lastRow="0" w:firstColumn="0" w:lastColumn="0" w:noHBand="0" w:noVBand="0"/>
      </w:tblPr>
      <w:tblGrid>
        <w:gridCol w:w="1129"/>
        <w:gridCol w:w="1418"/>
        <w:gridCol w:w="567"/>
        <w:gridCol w:w="567"/>
        <w:gridCol w:w="567"/>
        <w:gridCol w:w="567"/>
      </w:tblGrid>
      <w:tr w:rsidR="00A54F15" w:rsidRPr="00CE03D7" w14:paraId="595AAE6E" w14:textId="77777777" w:rsidTr="00343630">
        <w:tc>
          <w:tcPr>
            <w:tcW w:w="1129" w:type="dxa"/>
            <w:vMerge w:val="restart"/>
          </w:tcPr>
          <w:p w14:paraId="4D8D235C" w14:textId="77777777" w:rsidR="00A54F15" w:rsidRPr="00CE03D7" w:rsidRDefault="00A54F15" w:rsidP="00343630">
            <w:pPr>
              <w:pStyle w:val="TCTableBody"/>
              <w:spacing w:after="0" w:line="240" w:lineRule="exact"/>
              <w:jc w:val="center"/>
              <w:rPr>
                <w:rFonts w:ascii="Times New Roman" w:hAnsi="Times New Roman"/>
                <w:sz w:val="16"/>
                <w:szCs w:val="16"/>
                <w:lang w:val="pt-BR"/>
              </w:rPr>
            </w:pPr>
            <w:r w:rsidRPr="00CE03D7">
              <w:rPr>
                <w:rFonts w:ascii="Times New Roman" w:hAnsi="Times New Roman"/>
                <w:sz w:val="16"/>
                <w:szCs w:val="16"/>
                <w:lang w:val="pt-BR"/>
              </w:rPr>
              <w:t>Catalisador</w:t>
            </w:r>
          </w:p>
        </w:tc>
        <w:tc>
          <w:tcPr>
            <w:tcW w:w="1418" w:type="dxa"/>
            <w:vMerge w:val="restart"/>
          </w:tcPr>
          <w:p w14:paraId="3A9262F4" w14:textId="77777777" w:rsidR="00A54F15" w:rsidRPr="00CE03D7" w:rsidRDefault="00A54F15" w:rsidP="00343630">
            <w:pPr>
              <w:pStyle w:val="TCTableBody"/>
              <w:spacing w:after="0" w:line="240" w:lineRule="exact"/>
              <w:jc w:val="center"/>
              <w:rPr>
                <w:rFonts w:ascii="Times New Roman" w:hAnsi="Times New Roman"/>
                <w:iCs/>
                <w:sz w:val="16"/>
                <w:szCs w:val="16"/>
                <w:lang w:val="pt-BR"/>
              </w:rPr>
            </w:pPr>
            <w:r w:rsidRPr="00CE03D7">
              <w:rPr>
                <w:rFonts w:ascii="Times New Roman" w:hAnsi="Times New Roman"/>
                <w:sz w:val="16"/>
                <w:szCs w:val="16"/>
                <w:lang w:val="pt-BR"/>
              </w:rPr>
              <w:t>Temperatura (ºC)</w:t>
            </w:r>
          </w:p>
        </w:tc>
        <w:tc>
          <w:tcPr>
            <w:tcW w:w="567" w:type="dxa"/>
            <w:vMerge w:val="restart"/>
          </w:tcPr>
          <w:p w14:paraId="1CEAFF03" w14:textId="77777777" w:rsidR="00A54F15" w:rsidRPr="00CE03D7" w:rsidRDefault="00A54F15" w:rsidP="00343630">
            <w:pPr>
              <w:pStyle w:val="TCTableBody"/>
              <w:spacing w:after="0" w:line="240" w:lineRule="exact"/>
              <w:jc w:val="center"/>
              <w:rPr>
                <w:rFonts w:ascii="Times New Roman" w:hAnsi="Times New Roman"/>
                <w:sz w:val="16"/>
                <w:szCs w:val="16"/>
                <w:lang w:val="pt-BR"/>
              </w:rPr>
            </w:pPr>
            <w:r w:rsidRPr="00CE03D7">
              <w:rPr>
                <w:rFonts w:ascii="Times New Roman" w:hAnsi="Times New Roman"/>
                <w:sz w:val="16"/>
                <w:szCs w:val="16"/>
                <w:lang w:val="pt-BR"/>
              </w:rPr>
              <w:t>Χ%</w:t>
            </w:r>
          </w:p>
        </w:tc>
        <w:tc>
          <w:tcPr>
            <w:tcW w:w="1701" w:type="dxa"/>
            <w:gridSpan w:val="3"/>
          </w:tcPr>
          <w:p w14:paraId="7E45DDCB" w14:textId="77777777" w:rsidR="00A54F15" w:rsidRPr="00CE03D7" w:rsidRDefault="00A54F15" w:rsidP="00343630">
            <w:pPr>
              <w:pStyle w:val="TCTableBody"/>
              <w:spacing w:after="0" w:line="240" w:lineRule="exact"/>
              <w:jc w:val="center"/>
              <w:rPr>
                <w:rFonts w:ascii="Times New Roman" w:hAnsi="Times New Roman"/>
                <w:sz w:val="16"/>
                <w:szCs w:val="16"/>
                <w:lang w:val="pt-BR"/>
              </w:rPr>
            </w:pPr>
            <w:r w:rsidRPr="00CE03D7">
              <w:rPr>
                <w:rFonts w:ascii="Times New Roman" w:hAnsi="Times New Roman"/>
                <w:sz w:val="16"/>
                <w:szCs w:val="16"/>
                <w:lang w:val="pt-BR"/>
              </w:rPr>
              <w:t>Seletividade (%)</w:t>
            </w:r>
          </w:p>
        </w:tc>
      </w:tr>
      <w:tr w:rsidR="00A54F15" w:rsidRPr="00CE03D7" w14:paraId="0E643E08" w14:textId="77777777" w:rsidTr="00343630">
        <w:trPr>
          <w:trHeight w:val="91"/>
        </w:trPr>
        <w:tc>
          <w:tcPr>
            <w:tcW w:w="1129" w:type="dxa"/>
            <w:vMerge/>
          </w:tcPr>
          <w:p w14:paraId="06E28B34" w14:textId="77777777" w:rsidR="00A54F15" w:rsidRPr="00CE03D7" w:rsidRDefault="00A54F15" w:rsidP="00343630">
            <w:pPr>
              <w:pStyle w:val="TCTableBody"/>
              <w:spacing w:after="0" w:line="240" w:lineRule="exact"/>
              <w:jc w:val="center"/>
              <w:rPr>
                <w:rFonts w:ascii="Times New Roman" w:hAnsi="Times New Roman"/>
                <w:sz w:val="16"/>
                <w:szCs w:val="16"/>
                <w:lang w:val="pt-BR"/>
              </w:rPr>
            </w:pPr>
          </w:p>
        </w:tc>
        <w:tc>
          <w:tcPr>
            <w:tcW w:w="1418" w:type="dxa"/>
            <w:vMerge/>
          </w:tcPr>
          <w:p w14:paraId="3C030A2E" w14:textId="77777777" w:rsidR="00A54F15" w:rsidRPr="00CE03D7" w:rsidRDefault="00A54F15" w:rsidP="00343630">
            <w:pPr>
              <w:pStyle w:val="TCTableBody"/>
              <w:spacing w:after="0" w:line="240" w:lineRule="exact"/>
              <w:jc w:val="center"/>
              <w:rPr>
                <w:rFonts w:ascii="Times New Roman" w:hAnsi="Times New Roman"/>
                <w:sz w:val="16"/>
                <w:szCs w:val="16"/>
                <w:lang w:val="pt-BR"/>
              </w:rPr>
            </w:pPr>
          </w:p>
        </w:tc>
        <w:tc>
          <w:tcPr>
            <w:tcW w:w="567" w:type="dxa"/>
            <w:vMerge/>
          </w:tcPr>
          <w:p w14:paraId="5BAA5AB4" w14:textId="77777777" w:rsidR="00A54F15" w:rsidRPr="00CE03D7" w:rsidRDefault="00A54F15" w:rsidP="00343630">
            <w:pPr>
              <w:pStyle w:val="TCTableBody"/>
              <w:spacing w:after="0" w:line="240" w:lineRule="exact"/>
              <w:jc w:val="center"/>
              <w:rPr>
                <w:rFonts w:ascii="Times New Roman" w:hAnsi="Times New Roman"/>
                <w:sz w:val="16"/>
                <w:szCs w:val="16"/>
                <w:lang w:val="pt-BR"/>
              </w:rPr>
            </w:pPr>
          </w:p>
        </w:tc>
        <w:tc>
          <w:tcPr>
            <w:tcW w:w="567" w:type="dxa"/>
          </w:tcPr>
          <w:p w14:paraId="31669CFC" w14:textId="77777777" w:rsidR="00A54F15" w:rsidRPr="00CE03D7" w:rsidRDefault="00A54F15" w:rsidP="00343630">
            <w:pPr>
              <w:pStyle w:val="TCTableBody"/>
              <w:spacing w:after="0" w:line="240" w:lineRule="exact"/>
              <w:jc w:val="center"/>
              <w:rPr>
                <w:rFonts w:ascii="Times New Roman" w:hAnsi="Times New Roman"/>
                <w:sz w:val="16"/>
                <w:szCs w:val="16"/>
                <w:lang w:val="pt-BR"/>
              </w:rPr>
            </w:pPr>
            <w:r w:rsidRPr="00CE03D7">
              <w:rPr>
                <w:rFonts w:ascii="Times New Roman" w:hAnsi="Times New Roman"/>
                <w:sz w:val="16"/>
                <w:szCs w:val="16"/>
                <w:lang w:val="pt-BR"/>
              </w:rPr>
              <w:t>CO</w:t>
            </w:r>
          </w:p>
        </w:tc>
        <w:tc>
          <w:tcPr>
            <w:tcW w:w="567" w:type="dxa"/>
          </w:tcPr>
          <w:p w14:paraId="48A1311C" w14:textId="77777777" w:rsidR="00A54F15" w:rsidRPr="00CE03D7" w:rsidRDefault="00A54F15" w:rsidP="00343630">
            <w:pPr>
              <w:pStyle w:val="TCTableBody"/>
              <w:spacing w:after="0" w:line="240" w:lineRule="exact"/>
              <w:jc w:val="center"/>
              <w:rPr>
                <w:rFonts w:ascii="Times New Roman" w:hAnsi="Times New Roman"/>
                <w:sz w:val="16"/>
                <w:szCs w:val="16"/>
                <w:lang w:val="pt-BR"/>
              </w:rPr>
            </w:pPr>
            <w:r w:rsidRPr="00CE03D7">
              <w:rPr>
                <w:rFonts w:ascii="Times New Roman" w:hAnsi="Times New Roman"/>
                <w:sz w:val="16"/>
                <w:szCs w:val="16"/>
                <w:lang w:val="pt-BR"/>
              </w:rPr>
              <w:t>CH</w:t>
            </w:r>
            <w:r w:rsidRPr="00CE03D7">
              <w:rPr>
                <w:rFonts w:ascii="Times New Roman" w:hAnsi="Times New Roman"/>
                <w:sz w:val="16"/>
                <w:szCs w:val="16"/>
                <w:vertAlign w:val="subscript"/>
                <w:lang w:val="pt-BR"/>
              </w:rPr>
              <w:t>4</w:t>
            </w:r>
          </w:p>
        </w:tc>
        <w:tc>
          <w:tcPr>
            <w:tcW w:w="567" w:type="dxa"/>
          </w:tcPr>
          <w:p w14:paraId="6AE5D689" w14:textId="77777777" w:rsidR="00A54F15" w:rsidRPr="00CE03D7" w:rsidRDefault="00A54F15" w:rsidP="00343630">
            <w:pPr>
              <w:pStyle w:val="TCTableBody"/>
              <w:spacing w:after="0" w:line="240" w:lineRule="exact"/>
              <w:jc w:val="center"/>
              <w:rPr>
                <w:rFonts w:ascii="Times New Roman" w:hAnsi="Times New Roman"/>
                <w:sz w:val="16"/>
                <w:szCs w:val="16"/>
                <w:vertAlign w:val="superscript"/>
                <w:lang w:val="pt-BR"/>
              </w:rPr>
            </w:pPr>
            <w:r w:rsidRPr="00CE03D7">
              <w:rPr>
                <w:rFonts w:ascii="Times New Roman" w:hAnsi="Times New Roman"/>
                <w:sz w:val="16"/>
                <w:szCs w:val="16"/>
                <w:lang w:val="pt-BR"/>
              </w:rPr>
              <w:t>C</w:t>
            </w:r>
            <w:r w:rsidRPr="00CE03D7">
              <w:rPr>
                <w:rFonts w:ascii="Times New Roman" w:hAnsi="Times New Roman"/>
                <w:sz w:val="16"/>
                <w:szCs w:val="16"/>
                <w:vertAlign w:val="subscript"/>
                <w:lang w:val="pt-BR"/>
              </w:rPr>
              <w:t>2+</w:t>
            </w:r>
            <w:r w:rsidRPr="00CE03D7">
              <w:rPr>
                <w:rFonts w:ascii="Times New Roman" w:hAnsi="Times New Roman"/>
                <w:b/>
                <w:bCs/>
                <w:sz w:val="16"/>
                <w:szCs w:val="16"/>
                <w:vertAlign w:val="superscript"/>
                <w:lang w:val="pt-BR"/>
              </w:rPr>
              <w:t>1</w:t>
            </w:r>
          </w:p>
        </w:tc>
      </w:tr>
      <w:tr w:rsidR="00A54F15" w:rsidRPr="00CE03D7" w14:paraId="3DD8E823" w14:textId="77777777" w:rsidTr="00343630">
        <w:trPr>
          <w:trHeight w:val="148"/>
        </w:trPr>
        <w:tc>
          <w:tcPr>
            <w:tcW w:w="1129" w:type="dxa"/>
          </w:tcPr>
          <w:p w14:paraId="36AC80EA" w14:textId="77777777" w:rsidR="00A54F15" w:rsidRPr="00CE03D7" w:rsidRDefault="00A54F15" w:rsidP="00343630">
            <w:pPr>
              <w:pStyle w:val="TCTableBody"/>
              <w:spacing w:after="0" w:line="240" w:lineRule="auto"/>
              <w:jc w:val="center"/>
              <w:rPr>
                <w:rFonts w:ascii="Times New Roman" w:hAnsi="Times New Roman"/>
                <w:sz w:val="16"/>
                <w:szCs w:val="16"/>
                <w:lang w:val="pt-BR"/>
              </w:rPr>
            </w:pPr>
            <w:proofErr w:type="spellStart"/>
            <w:r w:rsidRPr="00CE03D7">
              <w:rPr>
                <w:rFonts w:ascii="Times New Roman" w:hAnsi="Times New Roman"/>
                <w:sz w:val="16"/>
                <w:szCs w:val="16"/>
                <w:lang w:val="pt-BR"/>
              </w:rPr>
              <w:t>MgFe</w:t>
            </w:r>
            <w:proofErr w:type="spellEnd"/>
          </w:p>
        </w:tc>
        <w:tc>
          <w:tcPr>
            <w:tcW w:w="1418" w:type="dxa"/>
          </w:tcPr>
          <w:p w14:paraId="12DA59D7"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370</w:t>
            </w:r>
          </w:p>
        </w:tc>
        <w:tc>
          <w:tcPr>
            <w:tcW w:w="567" w:type="dxa"/>
          </w:tcPr>
          <w:p w14:paraId="5DB555DC"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31</w:t>
            </w:r>
          </w:p>
        </w:tc>
        <w:tc>
          <w:tcPr>
            <w:tcW w:w="567" w:type="dxa"/>
          </w:tcPr>
          <w:p w14:paraId="10ABC113"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88</w:t>
            </w:r>
          </w:p>
        </w:tc>
        <w:tc>
          <w:tcPr>
            <w:tcW w:w="567" w:type="dxa"/>
          </w:tcPr>
          <w:p w14:paraId="281ABBD0"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9,5</w:t>
            </w:r>
          </w:p>
        </w:tc>
        <w:tc>
          <w:tcPr>
            <w:tcW w:w="567" w:type="dxa"/>
          </w:tcPr>
          <w:p w14:paraId="24A3E019"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2,5</w:t>
            </w:r>
          </w:p>
        </w:tc>
      </w:tr>
      <w:tr w:rsidR="00A54F15" w:rsidRPr="00CE03D7" w14:paraId="75D61DFD" w14:textId="77777777" w:rsidTr="00343630">
        <w:trPr>
          <w:trHeight w:val="137"/>
        </w:trPr>
        <w:tc>
          <w:tcPr>
            <w:tcW w:w="1129" w:type="dxa"/>
          </w:tcPr>
          <w:p w14:paraId="454E6460" w14:textId="77777777" w:rsidR="00A54F15" w:rsidRPr="00CE03D7" w:rsidRDefault="00A54F15" w:rsidP="00343630">
            <w:pPr>
              <w:pStyle w:val="TCTableBody"/>
              <w:spacing w:after="0" w:line="240" w:lineRule="auto"/>
              <w:jc w:val="center"/>
              <w:rPr>
                <w:rFonts w:ascii="Times New Roman" w:hAnsi="Times New Roman"/>
                <w:sz w:val="16"/>
                <w:szCs w:val="16"/>
                <w:lang w:val="pt-BR"/>
              </w:rPr>
            </w:pPr>
            <w:proofErr w:type="spellStart"/>
            <w:r w:rsidRPr="00CE03D7">
              <w:rPr>
                <w:rFonts w:ascii="Times New Roman" w:hAnsi="Times New Roman"/>
                <w:sz w:val="16"/>
                <w:szCs w:val="16"/>
                <w:lang w:val="pt-BR"/>
              </w:rPr>
              <w:t>MgFe</w:t>
            </w:r>
            <w:proofErr w:type="spellEnd"/>
            <w:r w:rsidRPr="00CE03D7">
              <w:rPr>
                <w:rFonts w:ascii="Times New Roman" w:hAnsi="Times New Roman"/>
                <w:sz w:val="16"/>
                <w:szCs w:val="16"/>
                <w:lang w:val="pt-BR"/>
              </w:rPr>
              <w:t>/K</w:t>
            </w:r>
          </w:p>
        </w:tc>
        <w:tc>
          <w:tcPr>
            <w:tcW w:w="1418" w:type="dxa"/>
          </w:tcPr>
          <w:p w14:paraId="6B6D92A9"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370</w:t>
            </w:r>
          </w:p>
        </w:tc>
        <w:tc>
          <w:tcPr>
            <w:tcW w:w="567" w:type="dxa"/>
          </w:tcPr>
          <w:p w14:paraId="65A04ACA"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35</w:t>
            </w:r>
          </w:p>
        </w:tc>
        <w:tc>
          <w:tcPr>
            <w:tcW w:w="567" w:type="dxa"/>
          </w:tcPr>
          <w:p w14:paraId="516208B7"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99</w:t>
            </w:r>
          </w:p>
        </w:tc>
        <w:tc>
          <w:tcPr>
            <w:tcW w:w="567" w:type="dxa"/>
          </w:tcPr>
          <w:p w14:paraId="38F52C72"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0,5</w:t>
            </w:r>
          </w:p>
        </w:tc>
        <w:tc>
          <w:tcPr>
            <w:tcW w:w="567" w:type="dxa"/>
          </w:tcPr>
          <w:p w14:paraId="30B6F4B2"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0,5</w:t>
            </w:r>
          </w:p>
        </w:tc>
      </w:tr>
      <w:tr w:rsidR="00A54F15" w:rsidRPr="00CE03D7" w14:paraId="564BEDBC" w14:textId="77777777" w:rsidTr="00343630">
        <w:trPr>
          <w:trHeight w:val="53"/>
        </w:trPr>
        <w:tc>
          <w:tcPr>
            <w:tcW w:w="1129" w:type="dxa"/>
          </w:tcPr>
          <w:p w14:paraId="32495E22"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MgFe500/K</w:t>
            </w:r>
          </w:p>
        </w:tc>
        <w:tc>
          <w:tcPr>
            <w:tcW w:w="1418" w:type="dxa"/>
          </w:tcPr>
          <w:p w14:paraId="43AD157E"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370</w:t>
            </w:r>
          </w:p>
        </w:tc>
        <w:tc>
          <w:tcPr>
            <w:tcW w:w="567" w:type="dxa"/>
          </w:tcPr>
          <w:p w14:paraId="621E6620"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34,5</w:t>
            </w:r>
          </w:p>
        </w:tc>
        <w:tc>
          <w:tcPr>
            <w:tcW w:w="567" w:type="dxa"/>
          </w:tcPr>
          <w:p w14:paraId="4340D448"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98</w:t>
            </w:r>
          </w:p>
        </w:tc>
        <w:tc>
          <w:tcPr>
            <w:tcW w:w="567" w:type="dxa"/>
          </w:tcPr>
          <w:p w14:paraId="291CB542"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1,3</w:t>
            </w:r>
          </w:p>
        </w:tc>
        <w:tc>
          <w:tcPr>
            <w:tcW w:w="567" w:type="dxa"/>
          </w:tcPr>
          <w:p w14:paraId="4D627C6B"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0,7</w:t>
            </w:r>
          </w:p>
        </w:tc>
      </w:tr>
      <w:tr w:rsidR="00A54F15" w:rsidRPr="00CE03D7" w14:paraId="6A95F81D" w14:textId="77777777" w:rsidTr="00343630">
        <w:trPr>
          <w:trHeight w:val="182"/>
        </w:trPr>
        <w:tc>
          <w:tcPr>
            <w:tcW w:w="1129" w:type="dxa"/>
          </w:tcPr>
          <w:p w14:paraId="39EC2F79"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MgFe800/K</w:t>
            </w:r>
          </w:p>
        </w:tc>
        <w:tc>
          <w:tcPr>
            <w:tcW w:w="1418" w:type="dxa"/>
          </w:tcPr>
          <w:p w14:paraId="34E5F732"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370</w:t>
            </w:r>
          </w:p>
        </w:tc>
        <w:tc>
          <w:tcPr>
            <w:tcW w:w="567" w:type="dxa"/>
          </w:tcPr>
          <w:p w14:paraId="75490284"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34</w:t>
            </w:r>
          </w:p>
        </w:tc>
        <w:tc>
          <w:tcPr>
            <w:tcW w:w="567" w:type="dxa"/>
          </w:tcPr>
          <w:p w14:paraId="0CF27B7E"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98</w:t>
            </w:r>
          </w:p>
        </w:tc>
        <w:tc>
          <w:tcPr>
            <w:tcW w:w="567" w:type="dxa"/>
          </w:tcPr>
          <w:p w14:paraId="4D7835DD"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1,3</w:t>
            </w:r>
          </w:p>
        </w:tc>
        <w:tc>
          <w:tcPr>
            <w:tcW w:w="567" w:type="dxa"/>
          </w:tcPr>
          <w:p w14:paraId="17B735C1" w14:textId="77777777" w:rsidR="00A54F15" w:rsidRPr="00CE03D7" w:rsidRDefault="00A54F15" w:rsidP="00343630">
            <w:pPr>
              <w:pStyle w:val="TCTableBody"/>
              <w:spacing w:after="0" w:line="240" w:lineRule="auto"/>
              <w:jc w:val="center"/>
              <w:rPr>
                <w:rFonts w:ascii="Times New Roman" w:hAnsi="Times New Roman"/>
                <w:sz w:val="16"/>
                <w:szCs w:val="16"/>
                <w:lang w:val="pt-BR"/>
              </w:rPr>
            </w:pPr>
            <w:r w:rsidRPr="00CE03D7">
              <w:rPr>
                <w:rFonts w:ascii="Times New Roman" w:hAnsi="Times New Roman"/>
                <w:sz w:val="16"/>
                <w:szCs w:val="16"/>
                <w:lang w:val="pt-BR"/>
              </w:rPr>
              <w:t>0,7</w:t>
            </w:r>
          </w:p>
        </w:tc>
      </w:tr>
    </w:tbl>
    <w:p w14:paraId="165C69EC" w14:textId="77777777" w:rsidR="00A54F15" w:rsidRPr="00CE03D7" w:rsidRDefault="00A54F15" w:rsidP="00A54F15">
      <w:pPr>
        <w:spacing w:after="0" w:line="240" w:lineRule="exact"/>
        <w:jc w:val="both"/>
        <w:rPr>
          <w:rFonts w:ascii="Times New Roman" w:hAnsi="Times New Roman" w:cs="Times New Roman"/>
          <w:sz w:val="18"/>
          <w:szCs w:val="18"/>
        </w:rPr>
      </w:pPr>
      <w:r w:rsidRPr="00CE03D7">
        <w:rPr>
          <w:rFonts w:ascii="Times New Roman" w:hAnsi="Times New Roman" w:cs="Times New Roman"/>
          <w:b/>
          <w:bCs/>
          <w:sz w:val="18"/>
          <w:szCs w:val="18"/>
        </w:rPr>
        <w:t>1.</w:t>
      </w:r>
      <w:r w:rsidRPr="00CE03D7">
        <w:rPr>
          <w:rFonts w:ascii="Times New Roman" w:hAnsi="Times New Roman" w:cs="Times New Roman"/>
          <w:sz w:val="18"/>
          <w:szCs w:val="18"/>
        </w:rPr>
        <w:t xml:space="preserve"> Hidrocarbonetos superiores</w:t>
      </w:r>
    </w:p>
    <w:p w14:paraId="7F2A92E1" w14:textId="77777777" w:rsidR="00A54F15" w:rsidRPr="00CE03D7" w:rsidRDefault="00A54F15" w:rsidP="00CE03D7">
      <w:pPr>
        <w:pStyle w:val="VAFigureCaption"/>
        <w:spacing w:before="0" w:line="240" w:lineRule="exact"/>
        <w:rPr>
          <w:rFonts w:ascii="Times New Roman" w:hAnsi="Times New Roman"/>
          <w:szCs w:val="18"/>
          <w:vertAlign w:val="subscript"/>
          <w:lang w:val="pt-BR"/>
        </w:rPr>
      </w:pPr>
      <w:r w:rsidRPr="00CE03D7">
        <w:rPr>
          <w:rFonts w:ascii="Times New Roman" w:hAnsi="Times New Roman"/>
          <w:b/>
          <w:szCs w:val="18"/>
          <w:lang w:val="pt-BR"/>
        </w:rPr>
        <w:t>Figura 2.</w:t>
      </w:r>
      <w:r w:rsidRPr="00CE03D7">
        <w:rPr>
          <w:rFonts w:ascii="Times New Roman" w:hAnsi="Times New Roman"/>
          <w:szCs w:val="18"/>
          <w:lang w:val="pt-BR"/>
        </w:rPr>
        <w:t xml:space="preserve"> Imagens de TEM e mapeamento </w:t>
      </w:r>
      <w:r w:rsidRPr="00CE03D7">
        <w:rPr>
          <w:rFonts w:ascii="Times New Roman" w:hAnsi="Times New Roman"/>
          <w:lang w:val="pt-BR"/>
        </w:rPr>
        <w:t>de raios-X por dispersão de energia (EDX)</w:t>
      </w:r>
      <w:r w:rsidRPr="00CE03D7">
        <w:rPr>
          <w:rFonts w:ascii="Times New Roman" w:hAnsi="Times New Roman"/>
          <w:szCs w:val="18"/>
          <w:lang w:val="pt-BR"/>
        </w:rPr>
        <w:t xml:space="preserve"> do (A) </w:t>
      </w:r>
      <w:proofErr w:type="spellStart"/>
      <w:r w:rsidRPr="00CE03D7">
        <w:rPr>
          <w:rFonts w:ascii="Times New Roman" w:hAnsi="Times New Roman"/>
          <w:szCs w:val="18"/>
          <w:lang w:val="pt-BR"/>
        </w:rPr>
        <w:t>MgFe</w:t>
      </w:r>
      <w:proofErr w:type="spellEnd"/>
      <w:r w:rsidRPr="00CE03D7">
        <w:rPr>
          <w:rFonts w:ascii="Times New Roman" w:hAnsi="Times New Roman"/>
          <w:szCs w:val="18"/>
          <w:lang w:val="pt-BR"/>
        </w:rPr>
        <w:t>/K, (B) MgFe500/K e (C) MgFe800/K</w:t>
      </w:r>
      <w:r w:rsidRPr="00CE03D7">
        <w:rPr>
          <w:rFonts w:ascii="Times New Roman" w:hAnsi="Times New Roman"/>
          <w:szCs w:val="18"/>
          <w:vertAlign w:val="subscript"/>
          <w:lang w:val="pt-BR"/>
        </w:rPr>
        <w:t>.</w:t>
      </w:r>
    </w:p>
    <w:p w14:paraId="1833E463" w14:textId="77777777" w:rsidR="00A54F15" w:rsidRPr="00CE03D7" w:rsidRDefault="00A54F15" w:rsidP="00CE03D7">
      <w:pPr>
        <w:pStyle w:val="TAMainText"/>
        <w:ind w:firstLine="187"/>
        <w:rPr>
          <w:lang w:val="pt-BR"/>
        </w:rPr>
      </w:pPr>
    </w:p>
    <w:p w14:paraId="4669A101" w14:textId="76DCC801" w:rsidR="00CE03D7" w:rsidRDefault="00CE03D7" w:rsidP="00CE03D7">
      <w:pPr>
        <w:pStyle w:val="TAMainText"/>
        <w:ind w:firstLine="187"/>
        <w:rPr>
          <w:lang w:val="pt-BR"/>
        </w:rPr>
      </w:pPr>
      <w:r w:rsidRPr="00CE03D7">
        <w:rPr>
          <w:lang w:val="pt-BR"/>
        </w:rPr>
        <w:t>Os resultados da atividade catalítica estão apresentados na Tabela 1. Conforme evidenciado, a adição de K demonstrou ser crucial para aumentar a conversão de CO</w:t>
      </w:r>
      <w:r w:rsidRPr="00CE03D7">
        <w:rPr>
          <w:vertAlign w:val="subscript"/>
          <w:lang w:val="pt-BR"/>
        </w:rPr>
        <w:t>2</w:t>
      </w:r>
      <w:r w:rsidRPr="00CE03D7">
        <w:rPr>
          <w:lang w:val="pt-BR"/>
        </w:rPr>
        <w:t xml:space="preserve"> e a seletividade para CO. Adicionalmente, foi determinado que o catalisador </w:t>
      </w:r>
      <w:proofErr w:type="spellStart"/>
      <w:r w:rsidRPr="00CE03D7">
        <w:rPr>
          <w:lang w:val="pt-BR"/>
        </w:rPr>
        <w:t>MgFe</w:t>
      </w:r>
      <w:proofErr w:type="spellEnd"/>
      <w:r w:rsidRPr="00CE03D7">
        <w:rPr>
          <w:lang w:val="pt-BR"/>
        </w:rPr>
        <w:t>/K é a opção mais vantajosa para a reação RWGS, pois, apresenta menor custo e um tempo de preparação.</w:t>
      </w:r>
    </w:p>
    <w:p w14:paraId="7C6D09FF" w14:textId="431637DB" w:rsidR="000862F5" w:rsidRPr="00CE03D7" w:rsidRDefault="008D56B8" w:rsidP="00CE03D7">
      <w:pPr>
        <w:pStyle w:val="TAMainText"/>
        <w:ind w:firstLine="187"/>
        <w:rPr>
          <w:lang w:val="pt-BR"/>
        </w:rPr>
      </w:pPr>
      <w:r w:rsidRPr="00CE03D7">
        <w:rPr>
          <w:rFonts w:ascii="Times New Roman" w:hAnsi="Times New Roman"/>
          <w:lang w:val="pt-BR"/>
        </w:rPr>
        <w:t xml:space="preserve">  </w:t>
      </w:r>
      <w:r w:rsidRPr="00CE03D7">
        <w:rPr>
          <w:rFonts w:ascii="Times New Roman" w:hAnsi="Times New Roman"/>
          <w:lang w:val="pt-BR"/>
        </w:rPr>
        <w:t xml:space="preserve">  </w:t>
      </w:r>
    </w:p>
    <w:p w14:paraId="20AA905D" w14:textId="09EB3D13" w:rsidR="00EA4E1B" w:rsidRPr="00CE03D7" w:rsidRDefault="00EA4E1B" w:rsidP="00CE03D7">
      <w:pPr>
        <w:pStyle w:val="Ttulo2"/>
        <w:spacing w:before="0" w:after="0" w:line="240" w:lineRule="exact"/>
        <w:rPr>
          <w:rFonts w:ascii="Helvetica" w:hAnsi="Helvetica" w:cs="Helvetica"/>
          <w:sz w:val="24"/>
          <w:szCs w:val="24"/>
        </w:rPr>
      </w:pPr>
      <w:r w:rsidRPr="00CE03D7">
        <w:rPr>
          <w:rFonts w:ascii="Helvetica" w:hAnsi="Helvetica" w:cs="Helvetica"/>
          <w:sz w:val="24"/>
          <w:szCs w:val="24"/>
        </w:rPr>
        <w:t>Conclusões</w:t>
      </w:r>
    </w:p>
    <w:p w14:paraId="106BDCA1" w14:textId="7A51F171" w:rsidR="00A54F15" w:rsidRPr="00CE03D7" w:rsidRDefault="00CE03D7" w:rsidP="00CE03D7">
      <w:pPr>
        <w:pStyle w:val="TAMainText"/>
        <w:ind w:firstLine="187"/>
        <w:rPr>
          <w:rFonts w:ascii="Times New Roman" w:hAnsi="Times New Roman"/>
          <w:lang w:val="pt-BR"/>
        </w:rPr>
      </w:pPr>
      <w:r w:rsidRPr="00CE03D7">
        <w:rPr>
          <w:rFonts w:ascii="Times New Roman" w:hAnsi="Times New Roman"/>
          <w:lang w:val="pt-BR"/>
        </w:rPr>
        <w:t>Os resultados obtidos demonstraram que a temperatura de calcinação do precursor influencia diretamente na porosidade e na formação da fase MgFe</w:t>
      </w:r>
      <w:r w:rsidRPr="00CE03D7">
        <w:rPr>
          <w:rFonts w:ascii="Times New Roman" w:hAnsi="Times New Roman"/>
          <w:vertAlign w:val="subscript"/>
          <w:lang w:val="pt-BR"/>
        </w:rPr>
        <w:t>2</w:t>
      </w:r>
      <w:r w:rsidRPr="00CE03D7">
        <w:rPr>
          <w:rFonts w:ascii="Times New Roman" w:hAnsi="Times New Roman"/>
          <w:lang w:val="pt-BR"/>
        </w:rPr>
        <w:t>O</w:t>
      </w:r>
      <w:r w:rsidRPr="00CE03D7">
        <w:rPr>
          <w:rFonts w:ascii="Times New Roman" w:hAnsi="Times New Roman"/>
          <w:vertAlign w:val="subscript"/>
          <w:lang w:val="pt-BR"/>
        </w:rPr>
        <w:t>4</w:t>
      </w:r>
      <w:r w:rsidRPr="00CE03D7">
        <w:rPr>
          <w:rFonts w:ascii="Times New Roman" w:hAnsi="Times New Roman"/>
          <w:lang w:val="pt-BR"/>
        </w:rPr>
        <w:t>. Além disso, foi mostrado que a estrutura HDL promove a dispersão uniforme dos cátions, e que a adição de K é importante para aumentar a seletividade ao CO, não sendo necessários tratamentos prévios no HDL para realizar a impregnação com K.</w:t>
      </w:r>
    </w:p>
    <w:p w14:paraId="6BE32F7B" w14:textId="4F456A38" w:rsidR="00EA4E1B" w:rsidRPr="00CE03D7" w:rsidRDefault="00EA4E1B" w:rsidP="00CE03D7">
      <w:pPr>
        <w:pStyle w:val="Ttulo2"/>
        <w:spacing w:before="0" w:after="0" w:line="240" w:lineRule="exact"/>
        <w:rPr>
          <w:rFonts w:ascii="Helvetica" w:hAnsi="Helvetica" w:cs="Helvetica"/>
          <w:sz w:val="24"/>
          <w:szCs w:val="24"/>
        </w:rPr>
      </w:pPr>
      <w:r w:rsidRPr="00CE03D7">
        <w:rPr>
          <w:rFonts w:ascii="Helvetica" w:hAnsi="Helvetica" w:cs="Helvetica"/>
          <w:sz w:val="24"/>
          <w:szCs w:val="24"/>
        </w:rPr>
        <w:t>Agradecimentos</w:t>
      </w:r>
    </w:p>
    <w:p w14:paraId="1E2077FA" w14:textId="0938BC86" w:rsidR="008D56B8" w:rsidRPr="00CE03D7" w:rsidRDefault="008D56B8" w:rsidP="00CE03D7">
      <w:pPr>
        <w:spacing w:after="0" w:line="240" w:lineRule="exact"/>
        <w:jc w:val="both"/>
        <w:rPr>
          <w:rFonts w:ascii="Times New Roman" w:eastAsia="Times New Roman" w:hAnsi="Times New Roman" w:cs="Times New Roman"/>
          <w:sz w:val="20"/>
          <w:szCs w:val="20"/>
          <w:lang w:eastAsia="pt-BR"/>
        </w:rPr>
      </w:pPr>
      <w:r w:rsidRPr="00CE03D7">
        <w:rPr>
          <w:rFonts w:ascii="Times New Roman" w:eastAsia="Times New Roman" w:hAnsi="Times New Roman" w:cs="Times New Roman"/>
          <w:sz w:val="20"/>
          <w:szCs w:val="20"/>
          <w:lang w:eastAsia="pt-BR"/>
        </w:rPr>
        <w:t>Fundação de Amparo à Pesquisa do Estado de São Paulo (2021/14230-4</w:t>
      </w:r>
      <w:r w:rsidRPr="00CE03D7">
        <w:rPr>
          <w:rFonts w:ascii="Times New Roman" w:eastAsia="Times New Roman" w:hAnsi="Times New Roman" w:cs="Times New Roman"/>
          <w:sz w:val="20"/>
          <w:szCs w:val="20"/>
          <w:lang w:eastAsia="pt-BR"/>
        </w:rPr>
        <w:t xml:space="preserve"> </w:t>
      </w:r>
      <w:r w:rsidRPr="00CE03D7">
        <w:rPr>
          <w:rFonts w:ascii="Times New Roman" w:eastAsia="Times New Roman" w:hAnsi="Times New Roman" w:cs="Times New Roman"/>
          <w:sz w:val="20"/>
          <w:szCs w:val="20"/>
          <w:lang w:eastAsia="pt-BR"/>
        </w:rPr>
        <w:t>e 2020/15230-5) e Shell Brasil.</w:t>
      </w:r>
    </w:p>
    <w:p w14:paraId="60A51966" w14:textId="77777777" w:rsidR="00A54F15" w:rsidRPr="00CE03D7" w:rsidRDefault="00A54F15" w:rsidP="00CE03D7">
      <w:pPr>
        <w:spacing w:after="0" w:line="240" w:lineRule="exact"/>
        <w:jc w:val="both"/>
        <w:rPr>
          <w:rFonts w:ascii="Times New Roman" w:eastAsia="Times New Roman" w:hAnsi="Times New Roman" w:cs="Times New Roman"/>
          <w:sz w:val="20"/>
          <w:szCs w:val="20"/>
          <w:lang w:eastAsia="pt-BR"/>
        </w:rPr>
      </w:pPr>
    </w:p>
    <w:p w14:paraId="1EAAA287" w14:textId="77777777" w:rsidR="00EA4E1B" w:rsidRPr="00CE03D7" w:rsidRDefault="00EA4E1B" w:rsidP="00CE03D7">
      <w:pPr>
        <w:pStyle w:val="Ttulo2"/>
        <w:spacing w:before="0" w:after="0" w:line="240" w:lineRule="exact"/>
        <w:rPr>
          <w:rFonts w:ascii="Helvetica" w:hAnsi="Helvetica" w:cs="Helvetica"/>
          <w:sz w:val="24"/>
          <w:szCs w:val="24"/>
        </w:rPr>
      </w:pPr>
      <w:r w:rsidRPr="00CE03D7">
        <w:rPr>
          <w:rFonts w:ascii="Helvetica" w:hAnsi="Helvetica" w:cs="Helvetica"/>
          <w:sz w:val="24"/>
          <w:szCs w:val="24"/>
        </w:rPr>
        <w:t>Referências</w:t>
      </w:r>
    </w:p>
    <w:p w14:paraId="63698EC7" w14:textId="192980C3" w:rsidR="008D56B8" w:rsidRPr="00CE03D7" w:rsidRDefault="008D56B8" w:rsidP="00CE03D7">
      <w:pPr>
        <w:widowControl w:val="0"/>
        <w:autoSpaceDE w:val="0"/>
        <w:autoSpaceDN w:val="0"/>
        <w:adjustRightInd w:val="0"/>
        <w:spacing w:after="0" w:line="240" w:lineRule="exact"/>
        <w:ind w:left="284" w:hanging="284"/>
        <w:jc w:val="both"/>
        <w:rPr>
          <w:rFonts w:ascii="Times New Roman" w:hAnsi="Times New Roman" w:cs="Times New Roman"/>
          <w:sz w:val="20"/>
          <w:szCs w:val="20"/>
        </w:rPr>
      </w:pPr>
      <w:r w:rsidRPr="00CE03D7">
        <w:rPr>
          <w:rFonts w:ascii="Times New Roman" w:hAnsi="Times New Roman" w:cs="Times New Roman"/>
          <w:sz w:val="20"/>
          <w:szCs w:val="20"/>
        </w:rPr>
        <w:fldChar w:fldCharType="begin" w:fldLock="1"/>
      </w:r>
      <w:r w:rsidRPr="00CE03D7">
        <w:rPr>
          <w:rFonts w:ascii="Times New Roman" w:hAnsi="Times New Roman" w:cs="Times New Roman"/>
          <w:sz w:val="20"/>
          <w:szCs w:val="20"/>
        </w:rPr>
        <w:instrText xml:space="preserve">ADDIN Mendeley Bibliography CSL_BIBLIOGRAPHY </w:instrText>
      </w:r>
      <w:r w:rsidRPr="00CE03D7">
        <w:rPr>
          <w:rFonts w:ascii="Times New Roman" w:hAnsi="Times New Roman" w:cs="Times New Roman"/>
          <w:sz w:val="20"/>
          <w:szCs w:val="20"/>
        </w:rPr>
        <w:fldChar w:fldCharType="separate"/>
      </w:r>
      <w:r w:rsidRPr="00CE03D7">
        <w:rPr>
          <w:rFonts w:ascii="Times New Roman" w:hAnsi="Times New Roman" w:cs="Times New Roman"/>
          <w:sz w:val="20"/>
          <w:szCs w:val="20"/>
        </w:rPr>
        <w:t>1.</w:t>
      </w:r>
      <w:r w:rsidRPr="00CE03D7">
        <w:rPr>
          <w:rFonts w:ascii="Times New Roman" w:hAnsi="Times New Roman" w:cs="Times New Roman"/>
          <w:sz w:val="20"/>
          <w:szCs w:val="20"/>
        </w:rPr>
        <w:tab/>
        <w:t>D</w:t>
      </w:r>
      <w:r w:rsidR="004F4DE4" w:rsidRPr="00CE03D7">
        <w:rPr>
          <w:rFonts w:ascii="Times New Roman" w:hAnsi="Times New Roman" w:cs="Times New Roman"/>
          <w:sz w:val="20"/>
          <w:szCs w:val="20"/>
        </w:rPr>
        <w:t xml:space="preserve">. </w:t>
      </w:r>
      <w:proofErr w:type="spellStart"/>
      <w:r w:rsidR="004F4DE4" w:rsidRPr="00CE03D7">
        <w:rPr>
          <w:rFonts w:ascii="Times New Roman" w:hAnsi="Times New Roman" w:cs="Times New Roman"/>
          <w:sz w:val="20"/>
          <w:szCs w:val="20"/>
        </w:rPr>
        <w:t>Sudipta</w:t>
      </w:r>
      <w:proofErr w:type="spellEnd"/>
      <w:r w:rsidR="004F4DE4" w:rsidRPr="00CE03D7">
        <w:rPr>
          <w:rFonts w:ascii="Times New Roman" w:hAnsi="Times New Roman" w:cs="Times New Roman"/>
          <w:sz w:val="20"/>
          <w:szCs w:val="20"/>
        </w:rPr>
        <w:t>;</w:t>
      </w:r>
      <w:r w:rsidRPr="00CE03D7">
        <w:rPr>
          <w:rFonts w:ascii="Times New Roman" w:hAnsi="Times New Roman" w:cs="Times New Roman"/>
          <w:sz w:val="20"/>
          <w:szCs w:val="20"/>
        </w:rPr>
        <w:t xml:space="preserve"> A.</w:t>
      </w:r>
      <w:r w:rsidR="004F4DE4" w:rsidRPr="00CE03D7">
        <w:rPr>
          <w:rFonts w:ascii="Times New Roman" w:hAnsi="Times New Roman" w:cs="Times New Roman"/>
          <w:sz w:val="20"/>
          <w:szCs w:val="20"/>
        </w:rPr>
        <w:t xml:space="preserve"> </w:t>
      </w:r>
      <w:proofErr w:type="spellStart"/>
      <w:r w:rsidR="004F4DE4" w:rsidRPr="00CE03D7">
        <w:rPr>
          <w:rFonts w:ascii="Times New Roman" w:hAnsi="Times New Roman" w:cs="Times New Roman"/>
          <w:sz w:val="20"/>
          <w:szCs w:val="20"/>
        </w:rPr>
        <w:t>Dokania</w:t>
      </w:r>
      <w:proofErr w:type="spellEnd"/>
      <w:r w:rsidR="004F4DE4" w:rsidRPr="00CE03D7">
        <w:rPr>
          <w:rFonts w:ascii="Times New Roman" w:hAnsi="Times New Roman" w:cs="Times New Roman"/>
          <w:sz w:val="20"/>
          <w:szCs w:val="20"/>
        </w:rPr>
        <w:t>;</w:t>
      </w:r>
      <w:r w:rsidRPr="00CE03D7">
        <w:rPr>
          <w:rFonts w:ascii="Times New Roman" w:hAnsi="Times New Roman" w:cs="Times New Roman"/>
          <w:sz w:val="20"/>
          <w:szCs w:val="20"/>
        </w:rPr>
        <w:t xml:space="preserve"> A.</w:t>
      </w:r>
      <w:r w:rsidR="004F4DE4" w:rsidRPr="00CE03D7">
        <w:rPr>
          <w:rFonts w:ascii="Times New Roman" w:hAnsi="Times New Roman" w:cs="Times New Roman"/>
          <w:sz w:val="20"/>
          <w:szCs w:val="20"/>
        </w:rPr>
        <w:t xml:space="preserve"> </w:t>
      </w:r>
      <w:r w:rsidR="004F4DE4" w:rsidRPr="00CE03D7">
        <w:rPr>
          <w:rFonts w:ascii="Times New Roman" w:hAnsi="Times New Roman" w:cs="Times New Roman"/>
          <w:sz w:val="20"/>
          <w:szCs w:val="20"/>
        </w:rPr>
        <w:t>Ramirez</w:t>
      </w:r>
      <w:r w:rsidR="004F4DE4" w:rsidRPr="00CE03D7">
        <w:rPr>
          <w:rFonts w:ascii="Times New Roman" w:hAnsi="Times New Roman" w:cs="Times New Roman"/>
          <w:sz w:val="20"/>
          <w:szCs w:val="20"/>
        </w:rPr>
        <w:t>;</w:t>
      </w:r>
      <w:r w:rsidRPr="00CE03D7">
        <w:rPr>
          <w:rFonts w:ascii="Times New Roman" w:hAnsi="Times New Roman" w:cs="Times New Roman"/>
          <w:sz w:val="20"/>
          <w:szCs w:val="20"/>
        </w:rPr>
        <w:t xml:space="preserve"> </w:t>
      </w:r>
      <w:r w:rsidR="004F4DE4" w:rsidRPr="00CE03D7">
        <w:rPr>
          <w:rFonts w:ascii="Times New Roman" w:hAnsi="Times New Roman" w:cs="Times New Roman"/>
          <w:sz w:val="20"/>
          <w:szCs w:val="20"/>
        </w:rPr>
        <w:t>J.</w:t>
      </w:r>
      <w:r w:rsidRPr="00CE03D7">
        <w:rPr>
          <w:rFonts w:ascii="Times New Roman" w:hAnsi="Times New Roman" w:cs="Times New Roman"/>
          <w:sz w:val="20"/>
          <w:szCs w:val="20"/>
        </w:rPr>
        <w:t xml:space="preserve"> </w:t>
      </w:r>
      <w:proofErr w:type="spellStart"/>
      <w:r w:rsidRPr="00CE03D7">
        <w:rPr>
          <w:rFonts w:ascii="Times New Roman" w:hAnsi="Times New Roman" w:cs="Times New Roman"/>
          <w:sz w:val="20"/>
          <w:szCs w:val="20"/>
        </w:rPr>
        <w:t>Gascon</w:t>
      </w:r>
      <w:proofErr w:type="spellEnd"/>
      <w:r w:rsidRPr="00CE03D7">
        <w:rPr>
          <w:rFonts w:ascii="Times New Roman" w:hAnsi="Times New Roman" w:cs="Times New Roman"/>
          <w:sz w:val="20"/>
          <w:szCs w:val="20"/>
        </w:rPr>
        <w:t xml:space="preserve">, ACS Catal. </w:t>
      </w:r>
      <w:r w:rsidR="004F4DE4" w:rsidRPr="00CE03D7">
        <w:rPr>
          <w:rFonts w:ascii="Times New Roman" w:hAnsi="Times New Roman" w:cs="Times New Roman"/>
          <w:b/>
          <w:bCs/>
          <w:sz w:val="20"/>
          <w:szCs w:val="20"/>
        </w:rPr>
        <w:t>2020</w:t>
      </w:r>
      <w:r w:rsidR="004F4DE4" w:rsidRPr="00CE03D7">
        <w:rPr>
          <w:rFonts w:ascii="Times New Roman" w:hAnsi="Times New Roman" w:cs="Times New Roman"/>
          <w:b/>
          <w:bCs/>
          <w:sz w:val="20"/>
          <w:szCs w:val="20"/>
        </w:rPr>
        <w:t xml:space="preserve">, </w:t>
      </w:r>
      <w:r w:rsidRPr="00CE03D7">
        <w:rPr>
          <w:rFonts w:ascii="Times New Roman" w:hAnsi="Times New Roman" w:cs="Times New Roman"/>
          <w:sz w:val="20"/>
          <w:szCs w:val="20"/>
        </w:rPr>
        <w:t>10, 14147–14185.</w:t>
      </w:r>
    </w:p>
    <w:p w14:paraId="6397444E" w14:textId="56AA0CA9" w:rsidR="008D56B8" w:rsidRPr="00CE03D7" w:rsidRDefault="008D56B8" w:rsidP="00CE03D7">
      <w:pPr>
        <w:widowControl w:val="0"/>
        <w:autoSpaceDE w:val="0"/>
        <w:autoSpaceDN w:val="0"/>
        <w:adjustRightInd w:val="0"/>
        <w:spacing w:after="0" w:line="240" w:lineRule="exact"/>
        <w:ind w:left="284" w:hanging="284"/>
        <w:jc w:val="both"/>
        <w:rPr>
          <w:rFonts w:ascii="Times New Roman" w:hAnsi="Times New Roman" w:cs="Times New Roman"/>
          <w:sz w:val="20"/>
          <w:szCs w:val="20"/>
        </w:rPr>
      </w:pPr>
      <w:r w:rsidRPr="00CE03D7">
        <w:rPr>
          <w:rFonts w:ascii="Times New Roman" w:hAnsi="Times New Roman" w:cs="Times New Roman"/>
          <w:sz w:val="20"/>
          <w:szCs w:val="20"/>
        </w:rPr>
        <w:t>2.</w:t>
      </w:r>
      <w:r w:rsidRPr="00CE03D7">
        <w:rPr>
          <w:rFonts w:ascii="Times New Roman" w:hAnsi="Times New Roman" w:cs="Times New Roman"/>
          <w:sz w:val="20"/>
          <w:szCs w:val="20"/>
        </w:rPr>
        <w:tab/>
        <w:t>E.</w:t>
      </w:r>
      <w:r w:rsidR="00A54F15" w:rsidRPr="00CE03D7">
        <w:rPr>
          <w:rFonts w:ascii="Times New Roman" w:hAnsi="Times New Roman" w:cs="Times New Roman"/>
          <w:sz w:val="20"/>
          <w:szCs w:val="20"/>
        </w:rPr>
        <w:t xml:space="preserve"> </w:t>
      </w:r>
      <w:r w:rsidR="00A54F15" w:rsidRPr="00CE03D7">
        <w:rPr>
          <w:rFonts w:ascii="Times New Roman" w:hAnsi="Times New Roman" w:cs="Times New Roman"/>
          <w:sz w:val="20"/>
          <w:szCs w:val="20"/>
        </w:rPr>
        <w:t>Portillo</w:t>
      </w:r>
      <w:r w:rsidR="00A54F15" w:rsidRPr="00CE03D7">
        <w:rPr>
          <w:rFonts w:ascii="Times New Roman" w:hAnsi="Times New Roman" w:cs="Times New Roman"/>
          <w:sz w:val="20"/>
          <w:szCs w:val="20"/>
        </w:rPr>
        <w:t xml:space="preserve">; </w:t>
      </w:r>
      <w:r w:rsidRPr="00CE03D7">
        <w:rPr>
          <w:rFonts w:ascii="Times New Roman" w:hAnsi="Times New Roman" w:cs="Times New Roman"/>
          <w:sz w:val="20"/>
          <w:szCs w:val="20"/>
        </w:rPr>
        <w:t>J.</w:t>
      </w:r>
      <w:r w:rsidR="00A54F15" w:rsidRPr="00CE03D7">
        <w:rPr>
          <w:rFonts w:ascii="Times New Roman" w:hAnsi="Times New Roman" w:cs="Times New Roman"/>
          <w:sz w:val="20"/>
          <w:szCs w:val="20"/>
        </w:rPr>
        <w:t xml:space="preserve"> </w:t>
      </w:r>
      <w:proofErr w:type="spellStart"/>
      <w:r w:rsidR="00A54F15" w:rsidRPr="00CE03D7">
        <w:rPr>
          <w:rFonts w:ascii="Times New Roman" w:hAnsi="Times New Roman" w:cs="Times New Roman"/>
          <w:sz w:val="20"/>
          <w:szCs w:val="20"/>
        </w:rPr>
        <w:t>Gandara-Loe</w:t>
      </w:r>
      <w:proofErr w:type="spellEnd"/>
      <w:r w:rsidR="00A54F15" w:rsidRPr="00CE03D7">
        <w:rPr>
          <w:rFonts w:ascii="Times New Roman" w:hAnsi="Times New Roman" w:cs="Times New Roman"/>
          <w:sz w:val="20"/>
          <w:szCs w:val="20"/>
        </w:rPr>
        <w:t xml:space="preserve">; </w:t>
      </w:r>
      <w:r w:rsidRPr="00CE03D7">
        <w:rPr>
          <w:rFonts w:ascii="Times New Roman" w:hAnsi="Times New Roman" w:cs="Times New Roman"/>
          <w:sz w:val="20"/>
          <w:szCs w:val="20"/>
        </w:rPr>
        <w:t>T. R.</w:t>
      </w:r>
      <w:r w:rsidR="00A54F15" w:rsidRPr="00CE03D7">
        <w:rPr>
          <w:rFonts w:ascii="Times New Roman" w:hAnsi="Times New Roman" w:cs="Times New Roman"/>
          <w:sz w:val="20"/>
          <w:szCs w:val="20"/>
        </w:rPr>
        <w:t xml:space="preserve"> </w:t>
      </w:r>
      <w:r w:rsidR="00A54F15" w:rsidRPr="00CE03D7">
        <w:rPr>
          <w:rFonts w:ascii="Times New Roman" w:hAnsi="Times New Roman" w:cs="Times New Roman"/>
          <w:sz w:val="20"/>
          <w:szCs w:val="20"/>
        </w:rPr>
        <w:t>Reina</w:t>
      </w:r>
      <w:r w:rsidR="00A54F15" w:rsidRPr="00CE03D7">
        <w:rPr>
          <w:rFonts w:ascii="Times New Roman" w:hAnsi="Times New Roman" w:cs="Times New Roman"/>
          <w:sz w:val="20"/>
          <w:szCs w:val="20"/>
        </w:rPr>
        <w:t>;</w:t>
      </w:r>
      <w:r w:rsidRPr="00CE03D7">
        <w:rPr>
          <w:rFonts w:ascii="Times New Roman" w:hAnsi="Times New Roman" w:cs="Times New Roman"/>
          <w:sz w:val="20"/>
          <w:szCs w:val="20"/>
        </w:rPr>
        <w:t xml:space="preserve"> L</w:t>
      </w:r>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Pastor-Pérez</w:t>
      </w:r>
      <w:r w:rsidR="00A54F15" w:rsidRPr="00CE03D7">
        <w:rPr>
          <w:rFonts w:ascii="Times New Roman" w:hAnsi="Times New Roman" w:cs="Times New Roman"/>
          <w:sz w:val="20"/>
          <w:szCs w:val="20"/>
        </w:rPr>
        <w:t>,</w:t>
      </w:r>
      <w:r w:rsidRPr="00CE03D7">
        <w:rPr>
          <w:rFonts w:ascii="Times New Roman" w:hAnsi="Times New Roman" w:cs="Times New Roman"/>
          <w:sz w:val="20"/>
          <w:szCs w:val="20"/>
        </w:rPr>
        <w:t xml:space="preserve"> </w:t>
      </w:r>
      <w:proofErr w:type="spellStart"/>
      <w:r w:rsidRPr="00CE03D7">
        <w:rPr>
          <w:rFonts w:ascii="Times New Roman" w:hAnsi="Times New Roman" w:cs="Times New Roman"/>
          <w:sz w:val="20"/>
          <w:szCs w:val="20"/>
        </w:rPr>
        <w:t>Sci</w:t>
      </w:r>
      <w:proofErr w:type="spellEnd"/>
      <w:r w:rsidRPr="00CE03D7">
        <w:rPr>
          <w:rFonts w:ascii="Times New Roman" w:hAnsi="Times New Roman" w:cs="Times New Roman"/>
          <w:sz w:val="20"/>
          <w:szCs w:val="20"/>
        </w:rPr>
        <w:t xml:space="preserve">. Total </w:t>
      </w:r>
      <w:proofErr w:type="spellStart"/>
      <w:r w:rsidRPr="00CE03D7">
        <w:rPr>
          <w:rFonts w:ascii="Times New Roman" w:hAnsi="Times New Roman" w:cs="Times New Roman"/>
          <w:sz w:val="20"/>
          <w:szCs w:val="20"/>
        </w:rPr>
        <w:t>Environ</w:t>
      </w:r>
      <w:proofErr w:type="spellEnd"/>
      <w:r w:rsidRPr="00CE03D7">
        <w:rPr>
          <w:rFonts w:ascii="Times New Roman" w:hAnsi="Times New Roman" w:cs="Times New Roman"/>
          <w:sz w:val="20"/>
          <w:szCs w:val="20"/>
        </w:rPr>
        <w:t xml:space="preserve">. </w:t>
      </w:r>
      <w:r w:rsidR="00A54F15" w:rsidRPr="00CE03D7">
        <w:rPr>
          <w:rFonts w:ascii="Times New Roman" w:hAnsi="Times New Roman" w:cs="Times New Roman"/>
          <w:b/>
          <w:bCs/>
          <w:sz w:val="20"/>
          <w:szCs w:val="20"/>
        </w:rPr>
        <w:t xml:space="preserve">2023, </w:t>
      </w:r>
      <w:r w:rsidRPr="00CE03D7">
        <w:rPr>
          <w:rFonts w:ascii="Times New Roman" w:hAnsi="Times New Roman" w:cs="Times New Roman"/>
          <w:sz w:val="20"/>
          <w:szCs w:val="20"/>
        </w:rPr>
        <w:t>857, 159394.</w:t>
      </w:r>
    </w:p>
    <w:p w14:paraId="3D244046" w14:textId="22C2C567" w:rsidR="008D56B8" w:rsidRPr="00CE03D7" w:rsidRDefault="008D56B8" w:rsidP="00CE03D7">
      <w:pPr>
        <w:widowControl w:val="0"/>
        <w:autoSpaceDE w:val="0"/>
        <w:autoSpaceDN w:val="0"/>
        <w:adjustRightInd w:val="0"/>
        <w:spacing w:after="0" w:line="240" w:lineRule="exact"/>
        <w:ind w:left="284" w:hanging="284"/>
        <w:jc w:val="both"/>
        <w:rPr>
          <w:rFonts w:ascii="Times New Roman" w:hAnsi="Times New Roman" w:cs="Times New Roman"/>
          <w:sz w:val="20"/>
          <w:szCs w:val="20"/>
        </w:rPr>
      </w:pPr>
      <w:r w:rsidRPr="00CE03D7">
        <w:rPr>
          <w:rFonts w:ascii="Times New Roman" w:hAnsi="Times New Roman" w:cs="Times New Roman"/>
          <w:sz w:val="20"/>
          <w:szCs w:val="20"/>
        </w:rPr>
        <w:t>3.</w:t>
      </w:r>
      <w:r w:rsidRPr="00CE03D7">
        <w:rPr>
          <w:rFonts w:ascii="Times New Roman" w:hAnsi="Times New Roman" w:cs="Times New Roman"/>
          <w:sz w:val="20"/>
          <w:szCs w:val="20"/>
        </w:rPr>
        <w:tab/>
        <w:t>G.</w:t>
      </w:r>
      <w:r w:rsidR="00A54F15" w:rsidRPr="00CE03D7">
        <w:rPr>
          <w:rFonts w:ascii="Times New Roman" w:hAnsi="Times New Roman" w:cs="Times New Roman"/>
          <w:sz w:val="20"/>
          <w:szCs w:val="20"/>
        </w:rPr>
        <w:t xml:space="preserve"> </w:t>
      </w:r>
      <w:proofErr w:type="spellStart"/>
      <w:r w:rsidR="00A54F15" w:rsidRPr="00CE03D7">
        <w:rPr>
          <w:rFonts w:ascii="Times New Roman" w:hAnsi="Times New Roman" w:cs="Times New Roman"/>
          <w:sz w:val="20"/>
          <w:szCs w:val="20"/>
        </w:rPr>
        <w:t>Fan</w:t>
      </w:r>
      <w:proofErr w:type="spellEnd"/>
      <w:r w:rsidR="00A54F15" w:rsidRPr="00CE03D7">
        <w:rPr>
          <w:rFonts w:ascii="Times New Roman" w:hAnsi="Times New Roman" w:cs="Times New Roman"/>
          <w:sz w:val="20"/>
          <w:szCs w:val="20"/>
        </w:rPr>
        <w:t xml:space="preserve">; </w:t>
      </w:r>
      <w:r w:rsidRPr="00CE03D7">
        <w:rPr>
          <w:rFonts w:ascii="Times New Roman" w:hAnsi="Times New Roman" w:cs="Times New Roman"/>
          <w:sz w:val="20"/>
          <w:szCs w:val="20"/>
        </w:rPr>
        <w:t>F.</w:t>
      </w:r>
      <w:r w:rsidR="00A54F15" w:rsidRPr="00CE03D7">
        <w:rPr>
          <w:rFonts w:ascii="Times New Roman" w:hAnsi="Times New Roman" w:cs="Times New Roman"/>
          <w:sz w:val="20"/>
          <w:szCs w:val="20"/>
        </w:rPr>
        <w:t xml:space="preserve"> Li; </w:t>
      </w:r>
      <w:r w:rsidRPr="00CE03D7">
        <w:rPr>
          <w:rFonts w:ascii="Times New Roman" w:hAnsi="Times New Roman" w:cs="Times New Roman"/>
          <w:sz w:val="20"/>
          <w:szCs w:val="20"/>
        </w:rPr>
        <w:t>D.</w:t>
      </w:r>
      <w:r w:rsidR="00A54F15" w:rsidRPr="00CE03D7">
        <w:rPr>
          <w:rFonts w:ascii="Times New Roman" w:hAnsi="Times New Roman" w:cs="Times New Roman"/>
          <w:sz w:val="20"/>
          <w:szCs w:val="20"/>
        </w:rPr>
        <w:t xml:space="preserve"> </w:t>
      </w:r>
      <w:r w:rsidRPr="00CE03D7">
        <w:rPr>
          <w:rFonts w:ascii="Times New Roman" w:hAnsi="Times New Roman" w:cs="Times New Roman"/>
          <w:sz w:val="20"/>
          <w:szCs w:val="20"/>
        </w:rPr>
        <w:t>G.</w:t>
      </w:r>
      <w:r w:rsidR="00A54F15" w:rsidRPr="00CE03D7">
        <w:rPr>
          <w:rFonts w:ascii="Times New Roman" w:hAnsi="Times New Roman" w:cs="Times New Roman"/>
          <w:sz w:val="20"/>
          <w:szCs w:val="20"/>
        </w:rPr>
        <w:t xml:space="preserve"> </w:t>
      </w:r>
      <w:r w:rsidR="00A54F15" w:rsidRPr="00CE03D7">
        <w:rPr>
          <w:rFonts w:ascii="Times New Roman" w:hAnsi="Times New Roman" w:cs="Times New Roman"/>
          <w:sz w:val="20"/>
          <w:szCs w:val="20"/>
        </w:rPr>
        <w:t>Evans</w:t>
      </w:r>
      <w:r w:rsidR="00A54F15" w:rsidRPr="00CE03D7">
        <w:rPr>
          <w:rFonts w:ascii="Times New Roman" w:hAnsi="Times New Roman" w:cs="Times New Roman"/>
          <w:sz w:val="20"/>
          <w:szCs w:val="20"/>
        </w:rPr>
        <w:t xml:space="preserve">; </w:t>
      </w:r>
      <w:r w:rsidRPr="00CE03D7">
        <w:rPr>
          <w:rFonts w:ascii="Times New Roman" w:hAnsi="Times New Roman" w:cs="Times New Roman"/>
          <w:sz w:val="20"/>
          <w:szCs w:val="20"/>
        </w:rPr>
        <w:t>X.</w:t>
      </w:r>
      <w:r w:rsidR="00A54F15" w:rsidRPr="00CE03D7">
        <w:rPr>
          <w:rFonts w:ascii="Times New Roman" w:hAnsi="Times New Roman" w:cs="Times New Roman"/>
          <w:sz w:val="20"/>
          <w:szCs w:val="20"/>
        </w:rPr>
        <w:t xml:space="preserve"> </w:t>
      </w:r>
      <w:proofErr w:type="spellStart"/>
      <w:r w:rsidR="00A54F15" w:rsidRPr="00CE03D7">
        <w:rPr>
          <w:rFonts w:ascii="Times New Roman" w:hAnsi="Times New Roman" w:cs="Times New Roman"/>
          <w:sz w:val="20"/>
          <w:szCs w:val="20"/>
        </w:rPr>
        <w:t>Duan</w:t>
      </w:r>
      <w:proofErr w:type="spellEnd"/>
      <w:r w:rsidR="00A54F15" w:rsidRPr="00CE03D7">
        <w:rPr>
          <w:rFonts w:ascii="Times New Roman" w:hAnsi="Times New Roman" w:cs="Times New Roman"/>
          <w:sz w:val="20"/>
          <w:szCs w:val="20"/>
        </w:rPr>
        <w:t>,</w:t>
      </w:r>
      <w:r w:rsidRPr="00CE03D7">
        <w:rPr>
          <w:rFonts w:ascii="Times New Roman" w:hAnsi="Times New Roman" w:cs="Times New Roman"/>
          <w:sz w:val="20"/>
          <w:szCs w:val="20"/>
        </w:rPr>
        <w:t xml:space="preserve"> </w:t>
      </w:r>
      <w:proofErr w:type="spellStart"/>
      <w:r w:rsidRPr="00CE03D7">
        <w:rPr>
          <w:rFonts w:ascii="Times New Roman" w:hAnsi="Times New Roman" w:cs="Times New Roman"/>
          <w:sz w:val="20"/>
          <w:szCs w:val="20"/>
        </w:rPr>
        <w:t>Chem</w:t>
      </w:r>
      <w:proofErr w:type="spellEnd"/>
      <w:r w:rsidRPr="00CE03D7">
        <w:rPr>
          <w:rFonts w:ascii="Times New Roman" w:hAnsi="Times New Roman" w:cs="Times New Roman"/>
          <w:sz w:val="20"/>
          <w:szCs w:val="20"/>
        </w:rPr>
        <w:t xml:space="preserve">. Soc. Rev. </w:t>
      </w:r>
      <w:r w:rsidR="00A54F15" w:rsidRPr="00CE03D7">
        <w:rPr>
          <w:rFonts w:ascii="Times New Roman" w:hAnsi="Times New Roman" w:cs="Times New Roman"/>
          <w:b/>
          <w:bCs/>
          <w:sz w:val="20"/>
          <w:szCs w:val="20"/>
        </w:rPr>
        <w:t xml:space="preserve">2014, </w:t>
      </w:r>
      <w:r w:rsidRPr="00CE03D7">
        <w:rPr>
          <w:rFonts w:ascii="Times New Roman" w:hAnsi="Times New Roman" w:cs="Times New Roman"/>
          <w:sz w:val="20"/>
          <w:szCs w:val="20"/>
        </w:rPr>
        <w:t>43, 7040–7066.</w:t>
      </w:r>
    </w:p>
    <w:p w14:paraId="32C29266" w14:textId="5A5F4F4E" w:rsidR="008D56B8" w:rsidRPr="00CE03D7" w:rsidRDefault="008D56B8" w:rsidP="00CE03D7">
      <w:pPr>
        <w:widowControl w:val="0"/>
        <w:autoSpaceDE w:val="0"/>
        <w:autoSpaceDN w:val="0"/>
        <w:adjustRightInd w:val="0"/>
        <w:spacing w:after="0" w:line="240" w:lineRule="exact"/>
        <w:ind w:left="284" w:hanging="284"/>
        <w:jc w:val="both"/>
        <w:rPr>
          <w:rFonts w:ascii="Times New Roman" w:hAnsi="Times New Roman" w:cs="Times New Roman"/>
          <w:sz w:val="20"/>
          <w:szCs w:val="20"/>
        </w:rPr>
      </w:pPr>
      <w:r w:rsidRPr="00CE03D7">
        <w:rPr>
          <w:rFonts w:ascii="Times New Roman" w:hAnsi="Times New Roman" w:cs="Times New Roman"/>
          <w:sz w:val="20"/>
          <w:szCs w:val="20"/>
        </w:rPr>
        <w:t>4.</w:t>
      </w:r>
      <w:r w:rsidRPr="00CE03D7">
        <w:rPr>
          <w:rFonts w:ascii="Times New Roman" w:hAnsi="Times New Roman" w:cs="Times New Roman"/>
          <w:sz w:val="20"/>
          <w:szCs w:val="20"/>
        </w:rPr>
        <w:tab/>
      </w:r>
      <w:r w:rsidR="00A54F15" w:rsidRPr="00CE03D7">
        <w:rPr>
          <w:rFonts w:ascii="Times New Roman" w:hAnsi="Times New Roman" w:cs="Times New Roman"/>
          <w:sz w:val="20"/>
          <w:szCs w:val="20"/>
        </w:rPr>
        <w:t xml:space="preserve">    J</w:t>
      </w:r>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Zhu</w:t>
      </w:r>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G</w:t>
      </w:r>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Zhang</w:t>
      </w:r>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W</w:t>
      </w:r>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Li</w:t>
      </w:r>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X</w:t>
      </w:r>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Zhang</w:t>
      </w:r>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F</w:t>
      </w:r>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w:t>
      </w:r>
      <w:proofErr w:type="spellStart"/>
      <w:r w:rsidR="00A54F15" w:rsidRPr="00CE03D7">
        <w:rPr>
          <w:rFonts w:ascii="Times New Roman" w:hAnsi="Times New Roman" w:cs="Times New Roman"/>
          <w:sz w:val="20"/>
          <w:szCs w:val="20"/>
        </w:rPr>
        <w:t>Ding</w:t>
      </w:r>
      <w:proofErr w:type="spellEnd"/>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C</w:t>
      </w:r>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Song</w:t>
      </w:r>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X</w:t>
      </w:r>
      <w:r w:rsidR="00A54F15" w:rsidRPr="00CE03D7">
        <w:rPr>
          <w:rFonts w:ascii="Times New Roman" w:hAnsi="Times New Roman" w:cs="Times New Roman"/>
          <w:sz w:val="20"/>
          <w:szCs w:val="20"/>
        </w:rPr>
        <w:t>.</w:t>
      </w:r>
      <w:r w:rsidR="00A54F15" w:rsidRPr="00CE03D7">
        <w:rPr>
          <w:rFonts w:ascii="Times New Roman" w:hAnsi="Times New Roman" w:cs="Times New Roman"/>
          <w:sz w:val="20"/>
          <w:szCs w:val="20"/>
        </w:rPr>
        <w:t xml:space="preserve"> </w:t>
      </w:r>
      <w:proofErr w:type="spellStart"/>
      <w:r w:rsidR="00A54F15" w:rsidRPr="00CE03D7">
        <w:rPr>
          <w:rFonts w:ascii="Times New Roman" w:hAnsi="Times New Roman" w:cs="Times New Roman"/>
          <w:sz w:val="20"/>
          <w:szCs w:val="20"/>
        </w:rPr>
        <w:t>Guo</w:t>
      </w:r>
      <w:proofErr w:type="spellEnd"/>
      <w:r w:rsidR="00A54F15" w:rsidRPr="00CE03D7">
        <w:rPr>
          <w:rFonts w:ascii="Times New Roman" w:hAnsi="Times New Roman" w:cs="Times New Roman"/>
          <w:sz w:val="20"/>
          <w:szCs w:val="20"/>
        </w:rPr>
        <w:t>,</w:t>
      </w:r>
      <w:r w:rsidRPr="00CE03D7">
        <w:rPr>
          <w:rFonts w:ascii="Times New Roman" w:hAnsi="Times New Roman" w:cs="Times New Roman"/>
          <w:sz w:val="20"/>
          <w:szCs w:val="20"/>
        </w:rPr>
        <w:t xml:space="preserve"> ACS Catal. </w:t>
      </w:r>
      <w:r w:rsidR="00A54F15" w:rsidRPr="00CE03D7">
        <w:rPr>
          <w:rFonts w:ascii="Times New Roman" w:hAnsi="Times New Roman" w:cs="Times New Roman"/>
          <w:b/>
          <w:bCs/>
          <w:sz w:val="20"/>
          <w:szCs w:val="20"/>
        </w:rPr>
        <w:t>2020,</w:t>
      </w:r>
      <w:r w:rsidR="00A54F15" w:rsidRPr="00CE03D7">
        <w:rPr>
          <w:rFonts w:ascii="Times New Roman" w:hAnsi="Times New Roman" w:cs="Times New Roman"/>
          <w:sz w:val="20"/>
          <w:szCs w:val="20"/>
        </w:rPr>
        <w:t xml:space="preserve"> </w:t>
      </w:r>
      <w:r w:rsidRPr="00CE03D7">
        <w:rPr>
          <w:rFonts w:ascii="Times New Roman" w:hAnsi="Times New Roman" w:cs="Times New Roman"/>
          <w:sz w:val="20"/>
          <w:szCs w:val="20"/>
        </w:rPr>
        <w:t>10, 7424–7433.</w:t>
      </w:r>
    </w:p>
    <w:p w14:paraId="6D772C24" w14:textId="3D2E05F9" w:rsidR="008D56B8" w:rsidRPr="00CE03D7" w:rsidRDefault="008D56B8" w:rsidP="00CE03D7">
      <w:pPr>
        <w:widowControl w:val="0"/>
        <w:autoSpaceDE w:val="0"/>
        <w:autoSpaceDN w:val="0"/>
        <w:adjustRightInd w:val="0"/>
        <w:spacing w:after="0" w:line="240" w:lineRule="exact"/>
        <w:ind w:left="284" w:hanging="284"/>
        <w:jc w:val="both"/>
        <w:rPr>
          <w:rFonts w:ascii="Times New Roman" w:hAnsi="Times New Roman" w:cs="Times New Roman"/>
          <w:sz w:val="20"/>
          <w:szCs w:val="20"/>
        </w:rPr>
      </w:pPr>
      <w:r w:rsidRPr="00CE03D7">
        <w:rPr>
          <w:rFonts w:ascii="Times New Roman" w:hAnsi="Times New Roman" w:cs="Times New Roman"/>
          <w:sz w:val="20"/>
          <w:szCs w:val="20"/>
        </w:rPr>
        <w:t>5.</w:t>
      </w:r>
      <w:r w:rsidRPr="00CE03D7">
        <w:rPr>
          <w:rFonts w:ascii="Times New Roman" w:hAnsi="Times New Roman" w:cs="Times New Roman"/>
          <w:sz w:val="20"/>
          <w:szCs w:val="20"/>
        </w:rPr>
        <w:tab/>
        <w:t>R. G. L.</w:t>
      </w:r>
      <w:r w:rsidR="00A54F15" w:rsidRPr="00CE03D7">
        <w:rPr>
          <w:rFonts w:ascii="Times New Roman" w:hAnsi="Times New Roman" w:cs="Times New Roman"/>
          <w:sz w:val="20"/>
          <w:szCs w:val="20"/>
        </w:rPr>
        <w:t xml:space="preserve"> </w:t>
      </w:r>
      <w:r w:rsidR="00A54F15" w:rsidRPr="00CE03D7">
        <w:rPr>
          <w:rFonts w:ascii="Times New Roman" w:hAnsi="Times New Roman" w:cs="Times New Roman"/>
          <w:sz w:val="20"/>
          <w:szCs w:val="20"/>
        </w:rPr>
        <w:t>Gonçalves</w:t>
      </w:r>
      <w:r w:rsidR="00A54F15" w:rsidRPr="00CE03D7">
        <w:rPr>
          <w:rFonts w:ascii="Times New Roman" w:hAnsi="Times New Roman" w:cs="Times New Roman"/>
          <w:sz w:val="20"/>
          <w:szCs w:val="20"/>
        </w:rPr>
        <w:t xml:space="preserve">; H. M. Mendes; S. L. Bastos; L. C. Agostinho; J. </w:t>
      </w:r>
      <w:proofErr w:type="spellStart"/>
      <w:r w:rsidR="00A54F15" w:rsidRPr="00CE03D7">
        <w:rPr>
          <w:rFonts w:ascii="Times New Roman" w:hAnsi="Times New Roman" w:cs="Times New Roman"/>
          <w:sz w:val="20"/>
          <w:szCs w:val="20"/>
        </w:rPr>
        <w:t>Tronto</w:t>
      </w:r>
      <w:proofErr w:type="spellEnd"/>
      <w:r w:rsidR="00A54F15" w:rsidRPr="00CE03D7">
        <w:rPr>
          <w:rFonts w:ascii="Times New Roman" w:hAnsi="Times New Roman" w:cs="Times New Roman"/>
          <w:sz w:val="20"/>
          <w:szCs w:val="20"/>
        </w:rPr>
        <w:t xml:space="preserve">; S. H. </w:t>
      </w:r>
      <w:proofErr w:type="spellStart"/>
      <w:r w:rsidR="00A54F15" w:rsidRPr="00CE03D7">
        <w:rPr>
          <w:rFonts w:ascii="Times New Roman" w:hAnsi="Times New Roman" w:cs="Times New Roman"/>
          <w:sz w:val="20"/>
          <w:szCs w:val="20"/>
        </w:rPr>
        <w:t>Pulcinelli</w:t>
      </w:r>
      <w:proofErr w:type="spellEnd"/>
      <w:r w:rsidR="00A54F15" w:rsidRPr="00CE03D7">
        <w:rPr>
          <w:rFonts w:ascii="Times New Roman" w:hAnsi="Times New Roman" w:cs="Times New Roman"/>
          <w:sz w:val="20"/>
          <w:szCs w:val="20"/>
        </w:rPr>
        <w:t xml:space="preserve">; C. V. </w:t>
      </w:r>
      <w:proofErr w:type="spellStart"/>
      <w:r w:rsidR="00A54F15" w:rsidRPr="00CE03D7">
        <w:rPr>
          <w:rFonts w:ascii="Times New Roman" w:hAnsi="Times New Roman" w:cs="Times New Roman"/>
          <w:sz w:val="20"/>
          <w:szCs w:val="20"/>
        </w:rPr>
        <w:t>Santilli</w:t>
      </w:r>
      <w:proofErr w:type="spellEnd"/>
      <w:r w:rsidR="00A54F15" w:rsidRPr="00CE03D7">
        <w:rPr>
          <w:rFonts w:ascii="Times New Roman" w:hAnsi="Times New Roman" w:cs="Times New Roman"/>
          <w:sz w:val="20"/>
          <w:szCs w:val="20"/>
        </w:rPr>
        <w:t>; J. L. Neto,</w:t>
      </w:r>
      <w:r w:rsidRPr="00CE03D7">
        <w:rPr>
          <w:rFonts w:ascii="Times New Roman" w:hAnsi="Times New Roman" w:cs="Times New Roman"/>
          <w:sz w:val="20"/>
          <w:szCs w:val="20"/>
        </w:rPr>
        <w:t xml:space="preserve"> </w:t>
      </w:r>
      <w:proofErr w:type="spellStart"/>
      <w:r w:rsidRPr="00CE03D7">
        <w:rPr>
          <w:rFonts w:ascii="Times New Roman" w:hAnsi="Times New Roman" w:cs="Times New Roman"/>
          <w:sz w:val="20"/>
          <w:szCs w:val="20"/>
        </w:rPr>
        <w:t>Appl</w:t>
      </w:r>
      <w:proofErr w:type="spellEnd"/>
      <w:r w:rsidRPr="00CE03D7">
        <w:rPr>
          <w:rFonts w:ascii="Times New Roman" w:hAnsi="Times New Roman" w:cs="Times New Roman"/>
          <w:sz w:val="20"/>
          <w:szCs w:val="20"/>
        </w:rPr>
        <w:t xml:space="preserve">. Clay </w:t>
      </w:r>
      <w:proofErr w:type="spellStart"/>
      <w:r w:rsidRPr="00CE03D7">
        <w:rPr>
          <w:rFonts w:ascii="Times New Roman" w:hAnsi="Times New Roman" w:cs="Times New Roman"/>
          <w:sz w:val="20"/>
          <w:szCs w:val="20"/>
        </w:rPr>
        <w:t>Sci</w:t>
      </w:r>
      <w:proofErr w:type="spellEnd"/>
      <w:r w:rsidRPr="00CE03D7">
        <w:rPr>
          <w:rFonts w:ascii="Times New Roman" w:hAnsi="Times New Roman" w:cs="Times New Roman"/>
          <w:sz w:val="20"/>
          <w:szCs w:val="20"/>
        </w:rPr>
        <w:t xml:space="preserve">. </w:t>
      </w:r>
      <w:r w:rsidR="00A54F15" w:rsidRPr="00CE03D7">
        <w:rPr>
          <w:rFonts w:ascii="Times New Roman" w:hAnsi="Times New Roman" w:cs="Times New Roman"/>
          <w:b/>
          <w:bCs/>
          <w:sz w:val="20"/>
          <w:szCs w:val="20"/>
        </w:rPr>
        <w:t>2020,</w:t>
      </w:r>
      <w:r w:rsidR="00A54F15" w:rsidRPr="00CE03D7">
        <w:rPr>
          <w:rFonts w:ascii="Times New Roman" w:hAnsi="Times New Roman" w:cs="Times New Roman"/>
          <w:sz w:val="20"/>
          <w:szCs w:val="20"/>
        </w:rPr>
        <w:t xml:space="preserve"> </w:t>
      </w:r>
      <w:r w:rsidRPr="00CE03D7">
        <w:rPr>
          <w:rFonts w:ascii="Times New Roman" w:hAnsi="Times New Roman" w:cs="Times New Roman"/>
          <w:sz w:val="20"/>
          <w:szCs w:val="20"/>
        </w:rPr>
        <w:t>187, 105477.</w:t>
      </w:r>
    </w:p>
    <w:p w14:paraId="51E75615" w14:textId="7223DB8E" w:rsidR="00AA6B7F" w:rsidRPr="00CE03D7" w:rsidRDefault="008D56B8" w:rsidP="00CE03D7">
      <w:pPr>
        <w:widowControl w:val="0"/>
        <w:autoSpaceDE w:val="0"/>
        <w:autoSpaceDN w:val="0"/>
        <w:adjustRightInd w:val="0"/>
        <w:spacing w:after="0" w:line="240" w:lineRule="exact"/>
        <w:ind w:left="284" w:hanging="284"/>
        <w:jc w:val="both"/>
        <w:rPr>
          <w:rFonts w:ascii="Times New Roman" w:hAnsi="Times New Roman" w:cs="Times New Roman"/>
        </w:rPr>
      </w:pPr>
      <w:r w:rsidRPr="00CE03D7">
        <w:rPr>
          <w:rFonts w:ascii="Times New Roman" w:hAnsi="Times New Roman" w:cs="Times New Roman"/>
          <w:sz w:val="20"/>
          <w:szCs w:val="20"/>
        </w:rPr>
        <w:t>6.</w:t>
      </w:r>
      <w:r w:rsidRPr="00CE03D7">
        <w:rPr>
          <w:rFonts w:ascii="Times New Roman" w:hAnsi="Times New Roman" w:cs="Times New Roman"/>
          <w:sz w:val="20"/>
          <w:szCs w:val="20"/>
        </w:rPr>
        <w:tab/>
        <w:t>O. P.</w:t>
      </w:r>
      <w:r w:rsidR="00A54F15" w:rsidRPr="00CE03D7">
        <w:rPr>
          <w:rFonts w:ascii="Times New Roman" w:hAnsi="Times New Roman" w:cs="Times New Roman"/>
          <w:sz w:val="20"/>
          <w:szCs w:val="20"/>
        </w:rPr>
        <w:t xml:space="preserve"> </w:t>
      </w:r>
      <w:r w:rsidR="00A54F15" w:rsidRPr="00CE03D7">
        <w:rPr>
          <w:rFonts w:ascii="Times New Roman" w:hAnsi="Times New Roman" w:cs="Times New Roman"/>
          <w:sz w:val="20"/>
          <w:szCs w:val="20"/>
        </w:rPr>
        <w:t>Ferreira</w:t>
      </w:r>
      <w:r w:rsidR="00A54F15" w:rsidRPr="00CE03D7">
        <w:rPr>
          <w:rFonts w:ascii="Times New Roman" w:hAnsi="Times New Roman" w:cs="Times New Roman"/>
          <w:sz w:val="20"/>
          <w:szCs w:val="20"/>
        </w:rPr>
        <w:t>; O. L. Alves; D. X. Gouveia; A. G. S. Filho; J. A. C. Paiva; J. M. Filho,</w:t>
      </w:r>
      <w:r w:rsidRPr="00CE03D7">
        <w:rPr>
          <w:rFonts w:ascii="Times New Roman" w:hAnsi="Times New Roman" w:cs="Times New Roman"/>
          <w:sz w:val="20"/>
          <w:szCs w:val="20"/>
        </w:rPr>
        <w:t xml:space="preserve"> J. </w:t>
      </w:r>
      <w:proofErr w:type="spellStart"/>
      <w:r w:rsidRPr="00CE03D7">
        <w:rPr>
          <w:rFonts w:ascii="Times New Roman" w:hAnsi="Times New Roman" w:cs="Times New Roman"/>
          <w:sz w:val="20"/>
          <w:szCs w:val="20"/>
        </w:rPr>
        <w:t>Solid</w:t>
      </w:r>
      <w:proofErr w:type="spellEnd"/>
      <w:r w:rsidRPr="00CE03D7">
        <w:rPr>
          <w:rFonts w:ascii="Times New Roman" w:hAnsi="Times New Roman" w:cs="Times New Roman"/>
          <w:sz w:val="20"/>
          <w:szCs w:val="20"/>
        </w:rPr>
        <w:t xml:space="preserve"> </w:t>
      </w:r>
      <w:proofErr w:type="spellStart"/>
      <w:r w:rsidRPr="00CE03D7">
        <w:rPr>
          <w:rFonts w:ascii="Times New Roman" w:hAnsi="Times New Roman" w:cs="Times New Roman"/>
          <w:sz w:val="20"/>
          <w:szCs w:val="20"/>
        </w:rPr>
        <w:t>State</w:t>
      </w:r>
      <w:proofErr w:type="spellEnd"/>
      <w:r w:rsidRPr="00CE03D7">
        <w:rPr>
          <w:rFonts w:ascii="Times New Roman" w:hAnsi="Times New Roman" w:cs="Times New Roman"/>
          <w:sz w:val="20"/>
          <w:szCs w:val="20"/>
        </w:rPr>
        <w:t xml:space="preserve"> </w:t>
      </w:r>
      <w:proofErr w:type="spellStart"/>
      <w:r w:rsidRPr="00CE03D7">
        <w:rPr>
          <w:rFonts w:ascii="Times New Roman" w:hAnsi="Times New Roman" w:cs="Times New Roman"/>
          <w:sz w:val="20"/>
          <w:szCs w:val="20"/>
        </w:rPr>
        <w:t>Chem</w:t>
      </w:r>
      <w:proofErr w:type="spellEnd"/>
      <w:r w:rsidRPr="00CE03D7">
        <w:rPr>
          <w:rFonts w:ascii="Times New Roman" w:hAnsi="Times New Roman" w:cs="Times New Roman"/>
          <w:sz w:val="20"/>
          <w:szCs w:val="20"/>
        </w:rPr>
        <w:t xml:space="preserve">. </w:t>
      </w:r>
      <w:r w:rsidR="00A54F15" w:rsidRPr="00CE03D7">
        <w:rPr>
          <w:rFonts w:ascii="Times New Roman" w:hAnsi="Times New Roman" w:cs="Times New Roman"/>
          <w:b/>
          <w:bCs/>
          <w:sz w:val="20"/>
          <w:szCs w:val="20"/>
        </w:rPr>
        <w:t xml:space="preserve">2004, </w:t>
      </w:r>
      <w:r w:rsidRPr="00CE03D7">
        <w:rPr>
          <w:rFonts w:ascii="Times New Roman" w:hAnsi="Times New Roman" w:cs="Times New Roman"/>
          <w:sz w:val="20"/>
          <w:szCs w:val="20"/>
        </w:rPr>
        <w:t>177, 3058–3069.</w:t>
      </w:r>
      <w:r w:rsidRPr="00CE03D7">
        <w:rPr>
          <w:rFonts w:ascii="Times New Roman" w:hAnsi="Times New Roman" w:cs="Times New Roman"/>
          <w:sz w:val="20"/>
          <w:szCs w:val="20"/>
        </w:rPr>
        <w:fldChar w:fldCharType="end"/>
      </w:r>
      <w:bookmarkEnd w:id="2"/>
    </w:p>
    <w:sectPr w:rsidR="00AA6B7F" w:rsidRPr="00CE03D7"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F0730" w14:textId="77777777" w:rsidR="00CF1ABF" w:rsidRDefault="00CF1ABF" w:rsidP="00EA4E1B">
      <w:pPr>
        <w:spacing w:after="0" w:line="240" w:lineRule="auto"/>
      </w:pPr>
      <w:r>
        <w:separator/>
      </w:r>
    </w:p>
  </w:endnote>
  <w:endnote w:type="continuationSeparator" w:id="0">
    <w:p w14:paraId="08A68593" w14:textId="77777777" w:rsidR="00CF1ABF" w:rsidRDefault="00CF1ABF"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Malgun Gothic"/>
    <w:charset w:val="00"/>
    <w:family w:val="auto"/>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AA790" w14:textId="77777777" w:rsidR="00CF1ABF" w:rsidRDefault="00CF1ABF" w:rsidP="00EA4E1B">
      <w:pPr>
        <w:spacing w:after="0" w:line="240" w:lineRule="auto"/>
      </w:pPr>
      <w:r>
        <w:separator/>
      </w:r>
    </w:p>
  </w:footnote>
  <w:footnote w:type="continuationSeparator" w:id="0">
    <w:p w14:paraId="569AD9BD" w14:textId="77777777" w:rsidR="00CF1ABF" w:rsidRDefault="00CF1ABF"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50" name="Imagem 50"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862F5"/>
    <w:rsid w:val="000D74D7"/>
    <w:rsid w:val="000F1D24"/>
    <w:rsid w:val="001E58A9"/>
    <w:rsid w:val="001F25B2"/>
    <w:rsid w:val="00222230"/>
    <w:rsid w:val="00256481"/>
    <w:rsid w:val="00264E1C"/>
    <w:rsid w:val="003160F9"/>
    <w:rsid w:val="00340B1E"/>
    <w:rsid w:val="003E5467"/>
    <w:rsid w:val="00402F3E"/>
    <w:rsid w:val="00433E71"/>
    <w:rsid w:val="004C10B9"/>
    <w:rsid w:val="004F3F42"/>
    <w:rsid w:val="004F4DE4"/>
    <w:rsid w:val="0052112E"/>
    <w:rsid w:val="005565CC"/>
    <w:rsid w:val="0057599A"/>
    <w:rsid w:val="005C2775"/>
    <w:rsid w:val="005D65EB"/>
    <w:rsid w:val="005F739F"/>
    <w:rsid w:val="00604718"/>
    <w:rsid w:val="00652815"/>
    <w:rsid w:val="00680333"/>
    <w:rsid w:val="006F599B"/>
    <w:rsid w:val="007670A0"/>
    <w:rsid w:val="00781685"/>
    <w:rsid w:val="007B4B2B"/>
    <w:rsid w:val="00866822"/>
    <w:rsid w:val="008B1683"/>
    <w:rsid w:val="008C1B30"/>
    <w:rsid w:val="008D56B8"/>
    <w:rsid w:val="00956058"/>
    <w:rsid w:val="009656D9"/>
    <w:rsid w:val="009A5AB2"/>
    <w:rsid w:val="009C7CB0"/>
    <w:rsid w:val="009D4D2E"/>
    <w:rsid w:val="009D5C8D"/>
    <w:rsid w:val="00A13122"/>
    <w:rsid w:val="00A54F15"/>
    <w:rsid w:val="00A70330"/>
    <w:rsid w:val="00A76E62"/>
    <w:rsid w:val="00AA182E"/>
    <w:rsid w:val="00AA6B7F"/>
    <w:rsid w:val="00AF0400"/>
    <w:rsid w:val="00B161D5"/>
    <w:rsid w:val="00B30AEB"/>
    <w:rsid w:val="00BA6A6E"/>
    <w:rsid w:val="00BB79C1"/>
    <w:rsid w:val="00C76E54"/>
    <w:rsid w:val="00CE03D7"/>
    <w:rsid w:val="00CF086B"/>
    <w:rsid w:val="00CF1ABF"/>
    <w:rsid w:val="00D96135"/>
    <w:rsid w:val="00D97CFE"/>
    <w:rsid w:val="00DD07B8"/>
    <w:rsid w:val="00E02A21"/>
    <w:rsid w:val="00E038AF"/>
    <w:rsid w:val="00EA4E1B"/>
    <w:rsid w:val="00F30661"/>
    <w:rsid w:val="00F45C48"/>
    <w:rsid w:val="00F83333"/>
    <w:rsid w:val="00F917DA"/>
    <w:rsid w:val="00FD57A1"/>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FD57A1"/>
    <w:rPr>
      <w:color w:val="0563C1" w:themeColor="hyperlink"/>
      <w:u w:val="single"/>
    </w:rPr>
  </w:style>
  <w:style w:type="paragraph" w:styleId="PargrafodaLista">
    <w:name w:val="List Paragraph"/>
    <w:basedOn w:val="Normal"/>
    <w:uiPriority w:val="34"/>
    <w:qFormat/>
    <w:rsid w:val="00B161D5"/>
    <w:pPr>
      <w:ind w:left="720"/>
      <w:contextualSpacing/>
    </w:pPr>
  </w:style>
  <w:style w:type="table" w:styleId="Tabelacomgrade">
    <w:name w:val="Table Grid"/>
    <w:basedOn w:val="Tabelanormal"/>
    <w:uiPriority w:val="39"/>
    <w:rsid w:val="00B1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867186">
      <w:bodyDiv w:val="1"/>
      <w:marLeft w:val="0"/>
      <w:marRight w:val="0"/>
      <w:marTop w:val="0"/>
      <w:marBottom w:val="0"/>
      <w:divBdr>
        <w:top w:val="none" w:sz="0" w:space="0" w:color="auto"/>
        <w:left w:val="none" w:sz="0" w:space="0" w:color="auto"/>
        <w:bottom w:val="none" w:sz="0" w:space="0" w:color="auto"/>
        <w:right w:val="none" w:sz="0" w:space="0" w:color="auto"/>
      </w:divBdr>
      <w:divsChild>
        <w:div w:id="1012801564">
          <w:marLeft w:val="0"/>
          <w:marRight w:val="0"/>
          <w:marTop w:val="0"/>
          <w:marBottom w:val="0"/>
          <w:divBdr>
            <w:top w:val="none" w:sz="0" w:space="0" w:color="auto"/>
            <w:left w:val="none" w:sz="0" w:space="0" w:color="auto"/>
            <w:bottom w:val="none" w:sz="0" w:space="0" w:color="auto"/>
            <w:right w:val="none" w:sz="0" w:space="0" w:color="auto"/>
          </w:divBdr>
          <w:divsChild>
            <w:div w:id="491409505">
              <w:marLeft w:val="0"/>
              <w:marRight w:val="0"/>
              <w:marTop w:val="0"/>
              <w:marBottom w:val="0"/>
              <w:divBdr>
                <w:top w:val="none" w:sz="0" w:space="0" w:color="auto"/>
                <w:left w:val="none" w:sz="0" w:space="0" w:color="auto"/>
                <w:bottom w:val="none" w:sz="0" w:space="0" w:color="auto"/>
                <w:right w:val="none" w:sz="0" w:space="0" w:color="auto"/>
              </w:divBdr>
              <w:divsChild>
                <w:div w:id="1384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9386">
          <w:marLeft w:val="0"/>
          <w:marRight w:val="0"/>
          <w:marTop w:val="0"/>
          <w:marBottom w:val="0"/>
          <w:divBdr>
            <w:top w:val="none" w:sz="0" w:space="0" w:color="auto"/>
            <w:left w:val="none" w:sz="0" w:space="0" w:color="auto"/>
            <w:bottom w:val="none" w:sz="0" w:space="0" w:color="auto"/>
            <w:right w:val="none" w:sz="0" w:space="0" w:color="auto"/>
          </w:divBdr>
          <w:divsChild>
            <w:div w:id="1224218943">
              <w:marLeft w:val="0"/>
              <w:marRight w:val="0"/>
              <w:marTop w:val="0"/>
              <w:marBottom w:val="0"/>
              <w:divBdr>
                <w:top w:val="none" w:sz="0" w:space="0" w:color="auto"/>
                <w:left w:val="none" w:sz="0" w:space="0" w:color="auto"/>
                <w:bottom w:val="none" w:sz="0" w:space="0" w:color="auto"/>
                <w:right w:val="none" w:sz="0" w:space="0" w:color="auto"/>
              </w:divBdr>
              <w:divsChild>
                <w:div w:id="1715806072">
                  <w:marLeft w:val="0"/>
                  <w:marRight w:val="0"/>
                  <w:marTop w:val="0"/>
                  <w:marBottom w:val="0"/>
                  <w:divBdr>
                    <w:top w:val="none" w:sz="0" w:space="0" w:color="auto"/>
                    <w:left w:val="none" w:sz="0" w:space="0" w:color="auto"/>
                    <w:bottom w:val="none" w:sz="0" w:space="0" w:color="auto"/>
                    <w:right w:val="none" w:sz="0" w:space="0" w:color="auto"/>
                  </w:divBdr>
                  <w:divsChild>
                    <w:div w:id="19507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06607">
          <w:marLeft w:val="0"/>
          <w:marRight w:val="0"/>
          <w:marTop w:val="0"/>
          <w:marBottom w:val="0"/>
          <w:divBdr>
            <w:top w:val="none" w:sz="0" w:space="0" w:color="auto"/>
            <w:left w:val="none" w:sz="0" w:space="0" w:color="auto"/>
            <w:bottom w:val="none" w:sz="0" w:space="0" w:color="auto"/>
            <w:right w:val="none" w:sz="0" w:space="0" w:color="auto"/>
          </w:divBdr>
          <w:divsChild>
            <w:div w:id="1433087359">
              <w:marLeft w:val="0"/>
              <w:marRight w:val="0"/>
              <w:marTop w:val="0"/>
              <w:marBottom w:val="0"/>
              <w:divBdr>
                <w:top w:val="none" w:sz="0" w:space="0" w:color="auto"/>
                <w:left w:val="none" w:sz="0" w:space="0" w:color="auto"/>
                <w:bottom w:val="none" w:sz="0" w:space="0" w:color="auto"/>
                <w:right w:val="none" w:sz="0" w:space="0" w:color="auto"/>
              </w:divBdr>
              <w:divsChild>
                <w:div w:id="6875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4110">
          <w:marLeft w:val="0"/>
          <w:marRight w:val="0"/>
          <w:marTop w:val="0"/>
          <w:marBottom w:val="0"/>
          <w:divBdr>
            <w:top w:val="none" w:sz="0" w:space="0" w:color="auto"/>
            <w:left w:val="none" w:sz="0" w:space="0" w:color="auto"/>
            <w:bottom w:val="none" w:sz="0" w:space="0" w:color="auto"/>
            <w:right w:val="none" w:sz="0" w:space="0" w:color="auto"/>
          </w:divBdr>
          <w:divsChild>
            <w:div w:id="401218905">
              <w:marLeft w:val="0"/>
              <w:marRight w:val="0"/>
              <w:marTop w:val="0"/>
              <w:marBottom w:val="0"/>
              <w:divBdr>
                <w:top w:val="none" w:sz="0" w:space="0" w:color="auto"/>
                <w:left w:val="none" w:sz="0" w:space="0" w:color="auto"/>
                <w:bottom w:val="none" w:sz="0" w:space="0" w:color="auto"/>
                <w:right w:val="none" w:sz="0" w:space="0" w:color="auto"/>
              </w:divBdr>
              <w:divsChild>
                <w:div w:id="1889603235">
                  <w:marLeft w:val="0"/>
                  <w:marRight w:val="0"/>
                  <w:marTop w:val="0"/>
                  <w:marBottom w:val="0"/>
                  <w:divBdr>
                    <w:top w:val="none" w:sz="0" w:space="0" w:color="auto"/>
                    <w:left w:val="none" w:sz="0" w:space="0" w:color="auto"/>
                    <w:bottom w:val="none" w:sz="0" w:space="0" w:color="auto"/>
                    <w:right w:val="none" w:sz="0" w:space="0" w:color="auto"/>
                  </w:divBdr>
                  <w:divsChild>
                    <w:div w:id="1875538374">
                      <w:marLeft w:val="0"/>
                      <w:marRight w:val="0"/>
                      <w:marTop w:val="0"/>
                      <w:marBottom w:val="0"/>
                      <w:divBdr>
                        <w:top w:val="none" w:sz="0" w:space="0" w:color="auto"/>
                        <w:left w:val="none" w:sz="0" w:space="0" w:color="auto"/>
                        <w:bottom w:val="none" w:sz="0" w:space="0" w:color="auto"/>
                        <w:right w:val="none" w:sz="0" w:space="0" w:color="auto"/>
                      </w:divBdr>
                      <w:divsChild>
                        <w:div w:id="289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2561">
          <w:marLeft w:val="0"/>
          <w:marRight w:val="0"/>
          <w:marTop w:val="0"/>
          <w:marBottom w:val="0"/>
          <w:divBdr>
            <w:top w:val="none" w:sz="0" w:space="0" w:color="auto"/>
            <w:left w:val="none" w:sz="0" w:space="0" w:color="auto"/>
            <w:bottom w:val="none" w:sz="0" w:space="0" w:color="auto"/>
            <w:right w:val="none" w:sz="0" w:space="0" w:color="auto"/>
          </w:divBdr>
          <w:divsChild>
            <w:div w:id="380061574">
              <w:marLeft w:val="0"/>
              <w:marRight w:val="0"/>
              <w:marTop w:val="0"/>
              <w:marBottom w:val="0"/>
              <w:divBdr>
                <w:top w:val="none" w:sz="0" w:space="0" w:color="auto"/>
                <w:left w:val="none" w:sz="0" w:space="0" w:color="auto"/>
                <w:bottom w:val="none" w:sz="0" w:space="0" w:color="auto"/>
                <w:right w:val="none" w:sz="0" w:space="0" w:color="auto"/>
              </w:divBdr>
              <w:divsChild>
                <w:div w:id="9926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4207">
          <w:marLeft w:val="0"/>
          <w:marRight w:val="0"/>
          <w:marTop w:val="0"/>
          <w:marBottom w:val="0"/>
          <w:divBdr>
            <w:top w:val="none" w:sz="0" w:space="0" w:color="auto"/>
            <w:left w:val="none" w:sz="0" w:space="0" w:color="auto"/>
            <w:bottom w:val="none" w:sz="0" w:space="0" w:color="auto"/>
            <w:right w:val="none" w:sz="0" w:space="0" w:color="auto"/>
          </w:divBdr>
          <w:divsChild>
            <w:div w:id="511802402">
              <w:marLeft w:val="0"/>
              <w:marRight w:val="0"/>
              <w:marTop w:val="0"/>
              <w:marBottom w:val="0"/>
              <w:divBdr>
                <w:top w:val="none" w:sz="0" w:space="0" w:color="auto"/>
                <w:left w:val="none" w:sz="0" w:space="0" w:color="auto"/>
                <w:bottom w:val="none" w:sz="0" w:space="0" w:color="auto"/>
                <w:right w:val="none" w:sz="0" w:space="0" w:color="auto"/>
              </w:divBdr>
              <w:divsChild>
                <w:div w:id="971639469">
                  <w:marLeft w:val="0"/>
                  <w:marRight w:val="0"/>
                  <w:marTop w:val="0"/>
                  <w:marBottom w:val="0"/>
                  <w:divBdr>
                    <w:top w:val="none" w:sz="0" w:space="0" w:color="auto"/>
                    <w:left w:val="none" w:sz="0" w:space="0" w:color="auto"/>
                    <w:bottom w:val="none" w:sz="0" w:space="0" w:color="auto"/>
                    <w:right w:val="none" w:sz="0" w:space="0" w:color="auto"/>
                  </w:divBdr>
                  <w:divsChild>
                    <w:div w:id="20529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37186">
          <w:marLeft w:val="0"/>
          <w:marRight w:val="0"/>
          <w:marTop w:val="0"/>
          <w:marBottom w:val="0"/>
          <w:divBdr>
            <w:top w:val="none" w:sz="0" w:space="0" w:color="auto"/>
            <w:left w:val="none" w:sz="0" w:space="0" w:color="auto"/>
            <w:bottom w:val="none" w:sz="0" w:space="0" w:color="auto"/>
            <w:right w:val="none" w:sz="0" w:space="0" w:color="auto"/>
          </w:divBdr>
          <w:divsChild>
            <w:div w:id="182522899">
              <w:marLeft w:val="0"/>
              <w:marRight w:val="0"/>
              <w:marTop w:val="0"/>
              <w:marBottom w:val="0"/>
              <w:divBdr>
                <w:top w:val="none" w:sz="0" w:space="0" w:color="auto"/>
                <w:left w:val="none" w:sz="0" w:space="0" w:color="auto"/>
                <w:bottom w:val="none" w:sz="0" w:space="0" w:color="auto"/>
                <w:right w:val="none" w:sz="0" w:space="0" w:color="auto"/>
              </w:divBdr>
              <w:divsChild>
                <w:div w:id="1916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8024">
          <w:marLeft w:val="0"/>
          <w:marRight w:val="0"/>
          <w:marTop w:val="0"/>
          <w:marBottom w:val="0"/>
          <w:divBdr>
            <w:top w:val="none" w:sz="0" w:space="0" w:color="auto"/>
            <w:left w:val="none" w:sz="0" w:space="0" w:color="auto"/>
            <w:bottom w:val="none" w:sz="0" w:space="0" w:color="auto"/>
            <w:right w:val="none" w:sz="0" w:space="0" w:color="auto"/>
          </w:divBdr>
          <w:divsChild>
            <w:div w:id="1696543064">
              <w:marLeft w:val="0"/>
              <w:marRight w:val="0"/>
              <w:marTop w:val="0"/>
              <w:marBottom w:val="0"/>
              <w:divBdr>
                <w:top w:val="none" w:sz="0" w:space="0" w:color="auto"/>
                <w:left w:val="none" w:sz="0" w:space="0" w:color="auto"/>
                <w:bottom w:val="none" w:sz="0" w:space="0" w:color="auto"/>
                <w:right w:val="none" w:sz="0" w:space="0" w:color="auto"/>
              </w:divBdr>
              <w:divsChild>
                <w:div w:id="457063628">
                  <w:marLeft w:val="0"/>
                  <w:marRight w:val="0"/>
                  <w:marTop w:val="0"/>
                  <w:marBottom w:val="0"/>
                  <w:divBdr>
                    <w:top w:val="none" w:sz="0" w:space="0" w:color="auto"/>
                    <w:left w:val="none" w:sz="0" w:space="0" w:color="auto"/>
                    <w:bottom w:val="none" w:sz="0" w:space="0" w:color="auto"/>
                    <w:right w:val="none" w:sz="0" w:space="0" w:color="auto"/>
                  </w:divBdr>
                  <w:divsChild>
                    <w:div w:id="307823590">
                      <w:marLeft w:val="0"/>
                      <w:marRight w:val="0"/>
                      <w:marTop w:val="0"/>
                      <w:marBottom w:val="0"/>
                      <w:divBdr>
                        <w:top w:val="none" w:sz="0" w:space="0" w:color="auto"/>
                        <w:left w:val="none" w:sz="0" w:space="0" w:color="auto"/>
                        <w:bottom w:val="none" w:sz="0" w:space="0" w:color="auto"/>
                        <w:right w:val="none" w:sz="0" w:space="0" w:color="auto"/>
                      </w:divBdr>
                      <w:divsChild>
                        <w:div w:id="193247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941882">
          <w:marLeft w:val="0"/>
          <w:marRight w:val="0"/>
          <w:marTop w:val="0"/>
          <w:marBottom w:val="0"/>
          <w:divBdr>
            <w:top w:val="none" w:sz="0" w:space="0" w:color="auto"/>
            <w:left w:val="none" w:sz="0" w:space="0" w:color="auto"/>
            <w:bottom w:val="none" w:sz="0" w:space="0" w:color="auto"/>
            <w:right w:val="none" w:sz="0" w:space="0" w:color="auto"/>
          </w:divBdr>
          <w:divsChild>
            <w:div w:id="306131774">
              <w:marLeft w:val="0"/>
              <w:marRight w:val="0"/>
              <w:marTop w:val="0"/>
              <w:marBottom w:val="0"/>
              <w:divBdr>
                <w:top w:val="none" w:sz="0" w:space="0" w:color="auto"/>
                <w:left w:val="none" w:sz="0" w:space="0" w:color="auto"/>
                <w:bottom w:val="none" w:sz="0" w:space="0" w:color="auto"/>
                <w:right w:val="none" w:sz="0" w:space="0" w:color="auto"/>
              </w:divBdr>
              <w:divsChild>
                <w:div w:id="1705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92511">
          <w:marLeft w:val="0"/>
          <w:marRight w:val="0"/>
          <w:marTop w:val="0"/>
          <w:marBottom w:val="0"/>
          <w:divBdr>
            <w:top w:val="none" w:sz="0" w:space="0" w:color="auto"/>
            <w:left w:val="none" w:sz="0" w:space="0" w:color="auto"/>
            <w:bottom w:val="none" w:sz="0" w:space="0" w:color="auto"/>
            <w:right w:val="none" w:sz="0" w:space="0" w:color="auto"/>
          </w:divBdr>
          <w:divsChild>
            <w:div w:id="1408528274">
              <w:marLeft w:val="0"/>
              <w:marRight w:val="0"/>
              <w:marTop w:val="0"/>
              <w:marBottom w:val="0"/>
              <w:divBdr>
                <w:top w:val="none" w:sz="0" w:space="0" w:color="auto"/>
                <w:left w:val="none" w:sz="0" w:space="0" w:color="auto"/>
                <w:bottom w:val="none" w:sz="0" w:space="0" w:color="auto"/>
                <w:right w:val="none" w:sz="0" w:space="0" w:color="auto"/>
              </w:divBdr>
              <w:divsChild>
                <w:div w:id="386950126">
                  <w:marLeft w:val="0"/>
                  <w:marRight w:val="0"/>
                  <w:marTop w:val="0"/>
                  <w:marBottom w:val="0"/>
                  <w:divBdr>
                    <w:top w:val="none" w:sz="0" w:space="0" w:color="auto"/>
                    <w:left w:val="none" w:sz="0" w:space="0" w:color="auto"/>
                    <w:bottom w:val="none" w:sz="0" w:space="0" w:color="auto"/>
                    <w:right w:val="none" w:sz="0" w:space="0" w:color="auto"/>
                  </w:divBdr>
                  <w:divsChild>
                    <w:div w:id="953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98635">
          <w:marLeft w:val="0"/>
          <w:marRight w:val="0"/>
          <w:marTop w:val="0"/>
          <w:marBottom w:val="0"/>
          <w:divBdr>
            <w:top w:val="none" w:sz="0" w:space="0" w:color="auto"/>
            <w:left w:val="none" w:sz="0" w:space="0" w:color="auto"/>
            <w:bottom w:val="none" w:sz="0" w:space="0" w:color="auto"/>
            <w:right w:val="none" w:sz="0" w:space="0" w:color="auto"/>
          </w:divBdr>
          <w:divsChild>
            <w:div w:id="2037539752">
              <w:marLeft w:val="0"/>
              <w:marRight w:val="0"/>
              <w:marTop w:val="0"/>
              <w:marBottom w:val="0"/>
              <w:divBdr>
                <w:top w:val="none" w:sz="0" w:space="0" w:color="auto"/>
                <w:left w:val="none" w:sz="0" w:space="0" w:color="auto"/>
                <w:bottom w:val="none" w:sz="0" w:space="0" w:color="auto"/>
                <w:right w:val="none" w:sz="0" w:space="0" w:color="auto"/>
              </w:divBdr>
              <w:divsChild>
                <w:div w:id="6756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2422">
          <w:marLeft w:val="0"/>
          <w:marRight w:val="0"/>
          <w:marTop w:val="0"/>
          <w:marBottom w:val="0"/>
          <w:divBdr>
            <w:top w:val="none" w:sz="0" w:space="0" w:color="auto"/>
            <w:left w:val="none" w:sz="0" w:space="0" w:color="auto"/>
            <w:bottom w:val="none" w:sz="0" w:space="0" w:color="auto"/>
            <w:right w:val="none" w:sz="0" w:space="0" w:color="auto"/>
          </w:divBdr>
          <w:divsChild>
            <w:div w:id="1448550557">
              <w:marLeft w:val="0"/>
              <w:marRight w:val="0"/>
              <w:marTop w:val="0"/>
              <w:marBottom w:val="0"/>
              <w:divBdr>
                <w:top w:val="none" w:sz="0" w:space="0" w:color="auto"/>
                <w:left w:val="none" w:sz="0" w:space="0" w:color="auto"/>
                <w:bottom w:val="none" w:sz="0" w:space="0" w:color="auto"/>
                <w:right w:val="none" w:sz="0" w:space="0" w:color="auto"/>
              </w:divBdr>
              <w:divsChild>
                <w:div w:id="854078570">
                  <w:marLeft w:val="0"/>
                  <w:marRight w:val="0"/>
                  <w:marTop w:val="0"/>
                  <w:marBottom w:val="0"/>
                  <w:divBdr>
                    <w:top w:val="none" w:sz="0" w:space="0" w:color="auto"/>
                    <w:left w:val="none" w:sz="0" w:space="0" w:color="auto"/>
                    <w:bottom w:val="none" w:sz="0" w:space="0" w:color="auto"/>
                    <w:right w:val="none" w:sz="0" w:space="0" w:color="auto"/>
                  </w:divBdr>
                  <w:divsChild>
                    <w:div w:id="1649701040">
                      <w:marLeft w:val="0"/>
                      <w:marRight w:val="0"/>
                      <w:marTop w:val="0"/>
                      <w:marBottom w:val="0"/>
                      <w:divBdr>
                        <w:top w:val="none" w:sz="0" w:space="0" w:color="auto"/>
                        <w:left w:val="none" w:sz="0" w:space="0" w:color="auto"/>
                        <w:bottom w:val="none" w:sz="0" w:space="0" w:color="auto"/>
                        <w:right w:val="none" w:sz="0" w:space="0" w:color="auto"/>
                      </w:divBdr>
                      <w:divsChild>
                        <w:div w:id="17875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072959">
          <w:marLeft w:val="0"/>
          <w:marRight w:val="0"/>
          <w:marTop w:val="0"/>
          <w:marBottom w:val="0"/>
          <w:divBdr>
            <w:top w:val="none" w:sz="0" w:space="0" w:color="auto"/>
            <w:left w:val="none" w:sz="0" w:space="0" w:color="auto"/>
            <w:bottom w:val="none" w:sz="0" w:space="0" w:color="auto"/>
            <w:right w:val="none" w:sz="0" w:space="0" w:color="auto"/>
          </w:divBdr>
          <w:divsChild>
            <w:div w:id="2008094593">
              <w:marLeft w:val="0"/>
              <w:marRight w:val="0"/>
              <w:marTop w:val="0"/>
              <w:marBottom w:val="0"/>
              <w:divBdr>
                <w:top w:val="none" w:sz="0" w:space="0" w:color="auto"/>
                <w:left w:val="none" w:sz="0" w:space="0" w:color="auto"/>
                <w:bottom w:val="none" w:sz="0" w:space="0" w:color="auto"/>
                <w:right w:val="none" w:sz="0" w:space="0" w:color="auto"/>
              </w:divBdr>
              <w:divsChild>
                <w:div w:id="21257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4665">
          <w:marLeft w:val="0"/>
          <w:marRight w:val="0"/>
          <w:marTop w:val="0"/>
          <w:marBottom w:val="0"/>
          <w:divBdr>
            <w:top w:val="none" w:sz="0" w:space="0" w:color="auto"/>
            <w:left w:val="none" w:sz="0" w:space="0" w:color="auto"/>
            <w:bottom w:val="none" w:sz="0" w:space="0" w:color="auto"/>
            <w:right w:val="none" w:sz="0" w:space="0" w:color="auto"/>
          </w:divBdr>
          <w:divsChild>
            <w:div w:id="170066193">
              <w:marLeft w:val="0"/>
              <w:marRight w:val="0"/>
              <w:marTop w:val="0"/>
              <w:marBottom w:val="0"/>
              <w:divBdr>
                <w:top w:val="none" w:sz="0" w:space="0" w:color="auto"/>
                <w:left w:val="none" w:sz="0" w:space="0" w:color="auto"/>
                <w:bottom w:val="none" w:sz="0" w:space="0" w:color="auto"/>
                <w:right w:val="none" w:sz="0" w:space="0" w:color="auto"/>
              </w:divBdr>
              <w:divsChild>
                <w:div w:id="659777387">
                  <w:marLeft w:val="0"/>
                  <w:marRight w:val="0"/>
                  <w:marTop w:val="0"/>
                  <w:marBottom w:val="0"/>
                  <w:divBdr>
                    <w:top w:val="none" w:sz="0" w:space="0" w:color="auto"/>
                    <w:left w:val="none" w:sz="0" w:space="0" w:color="auto"/>
                    <w:bottom w:val="none" w:sz="0" w:space="0" w:color="auto"/>
                    <w:right w:val="none" w:sz="0" w:space="0" w:color="auto"/>
                  </w:divBdr>
                  <w:divsChild>
                    <w:div w:id="18519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8553">
          <w:marLeft w:val="0"/>
          <w:marRight w:val="0"/>
          <w:marTop w:val="0"/>
          <w:marBottom w:val="0"/>
          <w:divBdr>
            <w:top w:val="none" w:sz="0" w:space="0" w:color="auto"/>
            <w:left w:val="none" w:sz="0" w:space="0" w:color="auto"/>
            <w:bottom w:val="none" w:sz="0" w:space="0" w:color="auto"/>
            <w:right w:val="none" w:sz="0" w:space="0" w:color="auto"/>
          </w:divBdr>
          <w:divsChild>
            <w:div w:id="619995652">
              <w:marLeft w:val="0"/>
              <w:marRight w:val="0"/>
              <w:marTop w:val="0"/>
              <w:marBottom w:val="0"/>
              <w:divBdr>
                <w:top w:val="none" w:sz="0" w:space="0" w:color="auto"/>
                <w:left w:val="none" w:sz="0" w:space="0" w:color="auto"/>
                <w:bottom w:val="none" w:sz="0" w:space="0" w:color="auto"/>
                <w:right w:val="none" w:sz="0" w:space="0" w:color="auto"/>
              </w:divBdr>
              <w:divsChild>
                <w:div w:id="12370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8565">
          <w:marLeft w:val="0"/>
          <w:marRight w:val="0"/>
          <w:marTop w:val="0"/>
          <w:marBottom w:val="0"/>
          <w:divBdr>
            <w:top w:val="none" w:sz="0" w:space="0" w:color="auto"/>
            <w:left w:val="none" w:sz="0" w:space="0" w:color="auto"/>
            <w:bottom w:val="none" w:sz="0" w:space="0" w:color="auto"/>
            <w:right w:val="none" w:sz="0" w:space="0" w:color="auto"/>
          </w:divBdr>
          <w:divsChild>
            <w:div w:id="1863202251">
              <w:marLeft w:val="0"/>
              <w:marRight w:val="0"/>
              <w:marTop w:val="0"/>
              <w:marBottom w:val="0"/>
              <w:divBdr>
                <w:top w:val="none" w:sz="0" w:space="0" w:color="auto"/>
                <w:left w:val="none" w:sz="0" w:space="0" w:color="auto"/>
                <w:bottom w:val="none" w:sz="0" w:space="0" w:color="auto"/>
                <w:right w:val="none" w:sz="0" w:space="0" w:color="auto"/>
              </w:divBdr>
              <w:divsChild>
                <w:div w:id="635530777">
                  <w:marLeft w:val="0"/>
                  <w:marRight w:val="0"/>
                  <w:marTop w:val="0"/>
                  <w:marBottom w:val="0"/>
                  <w:divBdr>
                    <w:top w:val="none" w:sz="0" w:space="0" w:color="auto"/>
                    <w:left w:val="none" w:sz="0" w:space="0" w:color="auto"/>
                    <w:bottom w:val="none" w:sz="0" w:space="0" w:color="auto"/>
                    <w:right w:val="none" w:sz="0" w:space="0" w:color="auto"/>
                  </w:divBdr>
                  <w:divsChild>
                    <w:div w:id="1003704974">
                      <w:marLeft w:val="0"/>
                      <w:marRight w:val="0"/>
                      <w:marTop w:val="0"/>
                      <w:marBottom w:val="0"/>
                      <w:divBdr>
                        <w:top w:val="none" w:sz="0" w:space="0" w:color="auto"/>
                        <w:left w:val="none" w:sz="0" w:space="0" w:color="auto"/>
                        <w:bottom w:val="none" w:sz="0" w:space="0" w:color="auto"/>
                        <w:right w:val="none" w:sz="0" w:space="0" w:color="auto"/>
                      </w:divBdr>
                      <w:divsChild>
                        <w:div w:id="10531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3235">
          <w:marLeft w:val="0"/>
          <w:marRight w:val="0"/>
          <w:marTop w:val="0"/>
          <w:marBottom w:val="0"/>
          <w:divBdr>
            <w:top w:val="none" w:sz="0" w:space="0" w:color="auto"/>
            <w:left w:val="none" w:sz="0" w:space="0" w:color="auto"/>
            <w:bottom w:val="none" w:sz="0" w:space="0" w:color="auto"/>
            <w:right w:val="none" w:sz="0" w:space="0" w:color="auto"/>
          </w:divBdr>
          <w:divsChild>
            <w:div w:id="1909878986">
              <w:marLeft w:val="0"/>
              <w:marRight w:val="0"/>
              <w:marTop w:val="0"/>
              <w:marBottom w:val="0"/>
              <w:divBdr>
                <w:top w:val="none" w:sz="0" w:space="0" w:color="auto"/>
                <w:left w:val="none" w:sz="0" w:space="0" w:color="auto"/>
                <w:bottom w:val="none" w:sz="0" w:space="0" w:color="auto"/>
                <w:right w:val="none" w:sz="0" w:space="0" w:color="auto"/>
              </w:divBdr>
              <w:divsChild>
                <w:div w:id="13093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46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CBCA6-D171-48B4-803C-DD9168BE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3789</Words>
  <Characters>20842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Rosembergue Gabriel Lima Gonçalves</cp:lastModifiedBy>
  <cp:revision>14</cp:revision>
  <dcterms:created xsi:type="dcterms:W3CDTF">2023-08-15T20:05:00Z</dcterms:created>
  <dcterms:modified xsi:type="dcterms:W3CDTF">2023-08-15T22:19:00Z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http://www.zotero.org/styles/applied-clay-science</vt:lpwstr>
  </property>
  <property fmtid="{D5CDD505-2E9C-101B-9397-08002B2CF9AE}" pid="5" name="Mendeley Recent Style Name 1_1">
    <vt:lpwstr>Applied Clay Science</vt:lpwstr>
  </property>
  <property fmtid="{D5CDD505-2E9C-101B-9397-08002B2CF9AE}" pid="6" name="Mendeley Recent Style Id 2_1">
    <vt:lpwstr>http://www.zotero.org/styles/environmental-science-and-pollution-research</vt:lpwstr>
  </property>
  <property fmtid="{D5CDD505-2E9C-101B-9397-08002B2CF9AE}" pid="7" name="Mendeley Recent Style Name 2_1">
    <vt:lpwstr>Environmental Science and Pollution Research</vt:lpwstr>
  </property>
  <property fmtid="{D5CDD505-2E9C-101B-9397-08002B2CF9AE}" pid="8" name="Mendeley Recent Style Id 3_1">
    <vt:lpwstr>http://www.zotero.org/styles/associacao-brasileira-de-normas-tecnicas-eceme</vt:lpwstr>
  </property>
  <property fmtid="{D5CDD505-2E9C-101B-9397-08002B2CF9AE}" pid="9" name="Mendeley Recent Style Name 3_1">
    <vt:lpwstr>Escola de Comando e Estado-Maior do Exército - ABNT (Portuguese - Brazil)</vt:lpwstr>
  </property>
  <property fmtid="{D5CDD505-2E9C-101B-9397-08002B2CF9AE}" pid="10" name="Mendeley Recent Style Id 4_1">
    <vt:lpwstr>http://www.zotero.org/styles/fuel</vt:lpwstr>
  </property>
  <property fmtid="{D5CDD505-2E9C-101B-9397-08002B2CF9AE}" pid="11" name="Mendeley Recent Style Name 4_1">
    <vt:lpwstr>Fuel</vt:lpwstr>
  </property>
  <property fmtid="{D5CDD505-2E9C-101B-9397-08002B2CF9AE}" pid="12" name="Mendeley Recent Style Id 5_1">
    <vt:lpwstr>http://www.zotero.org/styles/instituto-brasileiro-de-informacao-em-ciencia-e-tecnologia-abnt</vt:lpwstr>
  </property>
  <property fmtid="{D5CDD505-2E9C-101B-9397-08002B2CF9AE}" pid="13" name="Mendeley Recent Style Name 5_1">
    <vt:lpwstr>Instituto Brasileiro de Informação em Ciência e Tecnologia - ABNT (autoria completa)</vt:lpwstr>
  </property>
  <property fmtid="{D5CDD505-2E9C-101B-9397-08002B2CF9AE}" pid="14" name="Mendeley Recent Style Id 6_1">
    <vt:lpwstr>http://www.zotero.org/styles/journal-of-environmental-chemical-engineering</vt:lpwstr>
  </property>
  <property fmtid="{D5CDD505-2E9C-101B-9397-08002B2CF9AE}" pid="15" name="Mendeley Recent Style Name 6_1">
    <vt:lpwstr>Journal of Environmental Chemical Engineering</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http://www.zotero.org/styles/associacao-brasileira-de-normas-tecnicas-ufmg-face-full</vt:lpwstr>
  </property>
  <property fmtid="{D5CDD505-2E9C-101B-9397-08002B2CF9AE}" pid="19" name="Mendeley Recent Style Name 8_1">
    <vt:lpwstr>Universidade Federal de Minas Gerais - Faculdade de Ciências Econômicas - ABNT (autoria completa) (Portuguese - Brazil)</vt:lpwstr>
  </property>
  <property fmtid="{D5CDD505-2E9C-101B-9397-08002B2CF9AE}" pid="20" name="Mendeley Recent Style Id 9_1">
    <vt:lpwstr>http://www.zotero.org/styles/associacao-brasileira-de-normas-tecnicas-ufpr</vt:lpwstr>
  </property>
  <property fmtid="{D5CDD505-2E9C-101B-9397-08002B2CF9AE}" pid="21" name="Mendeley Recent Style Name 9_1">
    <vt:lpwstr>Universidade Federal do Paraná - ABNT (Portuguese - Brazil)</vt:lpwstr>
  </property>
  <property fmtid="{D5CDD505-2E9C-101B-9397-08002B2CF9AE}" pid="22" name="Mendeley Document_1">
    <vt:lpwstr>True</vt:lpwstr>
  </property>
  <property fmtid="{D5CDD505-2E9C-101B-9397-08002B2CF9AE}" pid="23" name="Mendeley Unique User Id_1">
    <vt:lpwstr>25e04a8f-d734-3adc-85ed-17e54683c6ac</vt:lpwstr>
  </property>
  <property fmtid="{D5CDD505-2E9C-101B-9397-08002B2CF9AE}" pid="24" name="Mendeley Citation Style_1">
    <vt:lpwstr>http://www.zotero.org/styles/nature</vt:lpwstr>
  </property>
</Properties>
</file>