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7216"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2EB4923B" w:rsidR="00EA4E1B" w:rsidRPr="00E20D54" w:rsidRDefault="00173377" w:rsidP="00E20D54">
      <w:pPr>
        <w:pStyle w:val="BATitle"/>
        <w:spacing w:before="0" w:line="240" w:lineRule="auto"/>
        <w:ind w:right="0"/>
        <w:jc w:val="both"/>
        <w:rPr>
          <w:sz w:val="32"/>
          <w:lang w:val="pt-BR"/>
        </w:rPr>
      </w:pPr>
      <w:r>
        <w:rPr>
          <w:sz w:val="32"/>
          <w:lang w:val="pt-BR"/>
        </w:rPr>
        <w:t xml:space="preserve">Catalisador </w:t>
      </w:r>
      <w:r w:rsidR="00113CDD">
        <w:rPr>
          <w:sz w:val="32"/>
          <w:lang w:val="pt-BR"/>
        </w:rPr>
        <w:t xml:space="preserve">sulfonado </w:t>
      </w:r>
      <w:r>
        <w:rPr>
          <w:sz w:val="32"/>
          <w:lang w:val="pt-BR"/>
        </w:rPr>
        <w:t xml:space="preserve">de </w:t>
      </w:r>
      <w:r w:rsidR="00AA25D9">
        <w:rPr>
          <w:sz w:val="32"/>
          <w:lang w:val="pt-BR"/>
        </w:rPr>
        <w:t>carvão</w:t>
      </w:r>
      <w:r w:rsidR="00113CDD">
        <w:rPr>
          <w:sz w:val="32"/>
          <w:lang w:val="pt-BR"/>
        </w:rPr>
        <w:t xml:space="preserve"> </w:t>
      </w:r>
      <w:r>
        <w:rPr>
          <w:sz w:val="32"/>
          <w:lang w:val="pt-BR"/>
        </w:rPr>
        <w:t>obtido a partir da</w:t>
      </w:r>
      <w:r w:rsidR="00E46AB4">
        <w:rPr>
          <w:sz w:val="32"/>
          <w:lang w:val="pt-BR"/>
        </w:rPr>
        <w:t xml:space="preserve"> casca de murumuru </w:t>
      </w:r>
      <w:r w:rsidR="00AA25D9">
        <w:rPr>
          <w:sz w:val="32"/>
          <w:lang w:val="pt-BR"/>
        </w:rPr>
        <w:t>para a</w:t>
      </w:r>
      <w:r w:rsidR="00E46AB4">
        <w:rPr>
          <w:sz w:val="32"/>
          <w:lang w:val="pt-BR"/>
        </w:rPr>
        <w:t xml:space="preserve"> esterificação d</w:t>
      </w:r>
      <w:r w:rsidR="00AA25D9">
        <w:rPr>
          <w:sz w:val="32"/>
          <w:lang w:val="pt-BR"/>
        </w:rPr>
        <w:t>e resíduo</w:t>
      </w:r>
      <w:r>
        <w:rPr>
          <w:sz w:val="32"/>
          <w:lang w:val="pt-BR"/>
        </w:rPr>
        <w:t xml:space="preserve"> da </w:t>
      </w:r>
      <w:r w:rsidR="00AA25D9">
        <w:rPr>
          <w:sz w:val="32"/>
          <w:lang w:val="pt-BR"/>
        </w:rPr>
        <w:t>d</w:t>
      </w:r>
      <w:r>
        <w:rPr>
          <w:sz w:val="32"/>
          <w:lang w:val="pt-BR"/>
        </w:rPr>
        <w:t xml:space="preserve">esodorização do </w:t>
      </w:r>
      <w:r w:rsidR="00AA25D9">
        <w:rPr>
          <w:sz w:val="32"/>
          <w:lang w:val="pt-BR"/>
        </w:rPr>
        <w:t>ó</w:t>
      </w:r>
      <w:r>
        <w:rPr>
          <w:sz w:val="32"/>
          <w:lang w:val="pt-BR"/>
        </w:rPr>
        <w:t>leo de Palma</w:t>
      </w:r>
    </w:p>
    <w:p w14:paraId="18735493" w14:textId="2FC35794" w:rsidR="00EA4E1B" w:rsidRPr="00173377" w:rsidRDefault="00173377" w:rsidP="00B42127">
      <w:pPr>
        <w:pStyle w:val="BBAuthorName"/>
        <w:spacing w:after="120" w:line="240" w:lineRule="auto"/>
        <w:ind w:right="0"/>
        <w:jc w:val="both"/>
        <w:rPr>
          <w:rFonts w:ascii="Times New Roman" w:hAnsi="Times New Roman"/>
          <w:sz w:val="20"/>
          <w:lang w:val="pt-BR"/>
        </w:rPr>
      </w:pPr>
      <w:bookmarkStart w:id="2" w:name="_Hlk142990335"/>
      <w:r>
        <w:rPr>
          <w:rFonts w:ascii="Times New Roman" w:hAnsi="Times New Roman"/>
          <w:sz w:val="20"/>
          <w:lang w:val="pt-BR"/>
        </w:rPr>
        <w:t>Maitê T. B. Campos</w:t>
      </w:r>
      <w:r w:rsidR="00EA4E1B" w:rsidRPr="001F25B2">
        <w:rPr>
          <w:rFonts w:ascii="Times New Roman" w:hAnsi="Times New Roman"/>
          <w:sz w:val="20"/>
          <w:vertAlign w:val="superscript"/>
          <w:lang w:val="pt-BR"/>
        </w:rPr>
        <w:t>1</w:t>
      </w:r>
      <w:r w:rsidR="00915D6E">
        <w:rPr>
          <w:rFonts w:ascii="Times New Roman" w:hAnsi="Times New Roman"/>
          <w:sz w:val="20"/>
          <w:lang w:val="pt-BR"/>
        </w:rPr>
        <w:t>*,</w:t>
      </w:r>
      <w:r>
        <w:rPr>
          <w:rFonts w:ascii="Times New Roman" w:hAnsi="Times New Roman"/>
          <w:sz w:val="20"/>
          <w:lang w:val="pt-BR"/>
        </w:rPr>
        <w:t xml:space="preserve"> </w:t>
      </w:r>
      <w:proofErr w:type="spellStart"/>
      <w:r>
        <w:rPr>
          <w:rFonts w:ascii="Times New Roman" w:hAnsi="Times New Roman"/>
          <w:sz w:val="20"/>
          <w:lang w:val="pt-BR"/>
        </w:rPr>
        <w:t>Erley</w:t>
      </w:r>
      <w:proofErr w:type="spellEnd"/>
      <w:r w:rsidR="00E26691">
        <w:rPr>
          <w:rFonts w:ascii="Times New Roman" w:hAnsi="Times New Roman"/>
          <w:sz w:val="20"/>
          <w:lang w:val="pt-BR"/>
        </w:rPr>
        <w:t xml:space="preserve"> S. </w:t>
      </w:r>
      <w:proofErr w:type="spellStart"/>
      <w:r w:rsidR="00E26691">
        <w:rPr>
          <w:rFonts w:ascii="Times New Roman" w:hAnsi="Times New Roman"/>
          <w:sz w:val="20"/>
          <w:lang w:val="pt-BR"/>
        </w:rPr>
        <w:t>da</w:t>
      </w:r>
      <w:proofErr w:type="spellEnd"/>
      <w:r w:rsidR="00E26691">
        <w:rPr>
          <w:rFonts w:ascii="Times New Roman" w:hAnsi="Times New Roman"/>
          <w:sz w:val="20"/>
          <w:lang w:val="pt-BR"/>
        </w:rPr>
        <w:t xml:space="preserve"> Costa</w:t>
      </w:r>
      <w:r w:rsidR="00B42127" w:rsidRPr="001F25B2">
        <w:rPr>
          <w:rFonts w:ascii="Times New Roman" w:hAnsi="Times New Roman"/>
          <w:sz w:val="20"/>
          <w:vertAlign w:val="superscript"/>
          <w:lang w:val="pt-BR"/>
        </w:rPr>
        <w:t>1</w:t>
      </w:r>
      <w:r>
        <w:rPr>
          <w:rFonts w:ascii="Times New Roman" w:hAnsi="Times New Roman"/>
          <w:sz w:val="20"/>
          <w:lang w:val="pt-BR"/>
        </w:rPr>
        <w:t>, Larissa C. P. Gatti</w:t>
      </w:r>
      <w:r w:rsidR="00B42127" w:rsidRPr="001F25B2">
        <w:rPr>
          <w:rFonts w:ascii="Times New Roman" w:hAnsi="Times New Roman"/>
          <w:sz w:val="20"/>
          <w:vertAlign w:val="superscript"/>
          <w:lang w:val="pt-BR"/>
        </w:rPr>
        <w:t>1</w:t>
      </w:r>
      <w:r>
        <w:rPr>
          <w:rFonts w:ascii="Times New Roman" w:hAnsi="Times New Roman"/>
          <w:sz w:val="20"/>
          <w:lang w:val="pt-BR"/>
        </w:rPr>
        <w:t>,</w:t>
      </w:r>
      <w:r w:rsidR="00113CDD">
        <w:rPr>
          <w:rFonts w:ascii="Times New Roman" w:hAnsi="Times New Roman"/>
          <w:sz w:val="20"/>
          <w:lang w:val="pt-BR"/>
        </w:rPr>
        <w:t xml:space="preserve"> Ana A. F. </w:t>
      </w:r>
      <w:proofErr w:type="spellStart"/>
      <w:r w:rsidR="00113CDD">
        <w:rPr>
          <w:rFonts w:ascii="Times New Roman" w:hAnsi="Times New Roman"/>
          <w:sz w:val="20"/>
          <w:lang w:val="pt-BR"/>
        </w:rPr>
        <w:t>da</w:t>
      </w:r>
      <w:proofErr w:type="spellEnd"/>
      <w:r w:rsidR="00113CDD">
        <w:rPr>
          <w:rFonts w:ascii="Times New Roman" w:hAnsi="Times New Roman"/>
          <w:sz w:val="20"/>
          <w:lang w:val="pt-BR"/>
        </w:rPr>
        <w:t xml:space="preserve"> Costa</w:t>
      </w:r>
      <w:r w:rsidR="00113CDD">
        <w:rPr>
          <w:rFonts w:ascii="Times New Roman" w:hAnsi="Times New Roman"/>
          <w:sz w:val="20"/>
          <w:vertAlign w:val="superscript"/>
          <w:lang w:val="pt-BR"/>
        </w:rPr>
        <w:t>1</w:t>
      </w:r>
      <w:r w:rsidR="00113CDD">
        <w:rPr>
          <w:rFonts w:ascii="Times New Roman" w:hAnsi="Times New Roman"/>
          <w:sz w:val="20"/>
          <w:lang w:val="pt-BR"/>
        </w:rPr>
        <w:t xml:space="preserve">, </w:t>
      </w:r>
      <w:r w:rsidR="00113CDD">
        <w:rPr>
          <w:rFonts w:ascii="Times New Roman" w:hAnsi="Times New Roman"/>
          <w:sz w:val="20"/>
          <w:lang w:val="pt-BR"/>
        </w:rPr>
        <w:t>Fabíola F. Costa</w:t>
      </w:r>
      <w:r w:rsidR="00113CDD">
        <w:rPr>
          <w:rFonts w:ascii="Times New Roman" w:hAnsi="Times New Roman"/>
          <w:sz w:val="20"/>
          <w:vertAlign w:val="superscript"/>
          <w:lang w:val="pt-BR"/>
        </w:rPr>
        <w:t>1</w:t>
      </w:r>
      <w:r w:rsidR="00113CDD">
        <w:rPr>
          <w:rFonts w:ascii="Times New Roman" w:hAnsi="Times New Roman"/>
          <w:sz w:val="20"/>
          <w:lang w:val="pt-BR"/>
        </w:rPr>
        <w:t>, Carlos E. F da Costa</w:t>
      </w:r>
      <w:r w:rsidR="00113CDD">
        <w:rPr>
          <w:rFonts w:ascii="Times New Roman" w:hAnsi="Times New Roman"/>
          <w:sz w:val="20"/>
          <w:vertAlign w:val="superscript"/>
          <w:lang w:val="pt-BR"/>
        </w:rPr>
        <w:t>1</w:t>
      </w:r>
      <w:r w:rsidR="00113CDD">
        <w:rPr>
          <w:rFonts w:ascii="Times New Roman" w:hAnsi="Times New Roman"/>
          <w:sz w:val="20"/>
          <w:lang w:val="pt-BR"/>
        </w:rPr>
        <w:t>,</w:t>
      </w:r>
      <w:r w:rsidR="00E20D54">
        <w:rPr>
          <w:rFonts w:ascii="Times New Roman" w:hAnsi="Times New Roman"/>
          <w:sz w:val="20"/>
          <w:lang w:val="pt-BR"/>
        </w:rPr>
        <w:t xml:space="preserve"> Geraldo</w:t>
      </w:r>
      <w:r w:rsidR="001359EE">
        <w:rPr>
          <w:rFonts w:ascii="Times New Roman" w:hAnsi="Times New Roman"/>
          <w:sz w:val="20"/>
          <w:lang w:val="pt-BR"/>
        </w:rPr>
        <w:t xml:space="preserve"> N</w:t>
      </w:r>
      <w:r w:rsidR="00F4103C">
        <w:rPr>
          <w:rFonts w:ascii="Times New Roman" w:hAnsi="Times New Roman"/>
          <w:sz w:val="20"/>
          <w:lang w:val="pt-BR"/>
        </w:rPr>
        <w:t>. R. Filho</w:t>
      </w:r>
      <w:r w:rsidR="00113CDD">
        <w:rPr>
          <w:rFonts w:ascii="Times New Roman" w:hAnsi="Times New Roman"/>
          <w:sz w:val="20"/>
          <w:vertAlign w:val="superscript"/>
          <w:lang w:val="pt-BR"/>
        </w:rPr>
        <w:t>1</w:t>
      </w:r>
      <w:r w:rsidR="00E20D54">
        <w:rPr>
          <w:rFonts w:ascii="Times New Roman" w:hAnsi="Times New Roman"/>
          <w:sz w:val="20"/>
          <w:lang w:val="pt-BR"/>
        </w:rPr>
        <w:t>, Luís A. S. do Nascimento</w:t>
      </w:r>
      <w:r w:rsidR="00B42127" w:rsidRPr="001F25B2">
        <w:rPr>
          <w:rFonts w:ascii="Times New Roman" w:hAnsi="Times New Roman"/>
          <w:sz w:val="20"/>
          <w:vertAlign w:val="superscript"/>
          <w:lang w:val="pt-BR"/>
        </w:rPr>
        <w:t>1</w:t>
      </w:r>
      <w:r w:rsidR="00E20D54">
        <w:rPr>
          <w:rFonts w:ascii="Times New Roman" w:hAnsi="Times New Roman"/>
          <w:sz w:val="20"/>
          <w:lang w:val="pt-BR"/>
        </w:rPr>
        <w:t>.</w:t>
      </w:r>
    </w:p>
    <w:p w14:paraId="4362A9E6" w14:textId="77777777" w:rsidR="000001C0" w:rsidRDefault="00EA4E1B" w:rsidP="000001C0">
      <w:pPr>
        <w:pStyle w:val="BCAuthorAddress"/>
        <w:spacing w:after="0"/>
        <w:ind w:right="0"/>
        <w:jc w:val="both"/>
        <w:rPr>
          <w:lang w:val="pt-BR"/>
        </w:rPr>
      </w:pPr>
      <w:bookmarkStart w:id="3" w:name="_Hlk142949034"/>
      <w:bookmarkEnd w:id="2"/>
      <w:r>
        <w:rPr>
          <w:vertAlign w:val="superscript"/>
          <w:lang w:val="pt-BR"/>
        </w:rPr>
        <w:t>1</w:t>
      </w:r>
      <w:r w:rsidR="009B715C">
        <w:rPr>
          <w:lang w:val="pt-BR"/>
        </w:rPr>
        <w:t>Lab</w:t>
      </w:r>
      <w:bookmarkEnd w:id="3"/>
      <w:r w:rsidR="009B715C">
        <w:rPr>
          <w:lang w:val="pt-BR"/>
        </w:rPr>
        <w:t>oratório de Óleos da Amazônia, Universidade Federal do Pará</w:t>
      </w:r>
      <w:r w:rsidR="00C82C48">
        <w:rPr>
          <w:lang w:val="pt-BR"/>
        </w:rPr>
        <w:t>.</w:t>
      </w:r>
    </w:p>
    <w:p w14:paraId="5D50F94D" w14:textId="4CA07984" w:rsidR="000001C0" w:rsidRPr="000001C0" w:rsidRDefault="000001C0" w:rsidP="000001C0">
      <w:pPr>
        <w:pStyle w:val="BCAuthorAddress"/>
        <w:spacing w:after="0"/>
        <w:ind w:right="0"/>
        <w:jc w:val="both"/>
        <w:rPr>
          <w:lang w:val="pt-BR"/>
        </w:rPr>
      </w:pPr>
      <w:r>
        <w:rPr>
          <w:lang w:val="pt-BR"/>
        </w:rPr>
        <w:t>*mtbcampos16@gmail.com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57DFFA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57DFFA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03CBFCAD" w:rsidR="00EA4E1B" w:rsidRDefault="00EA4E1B" w:rsidP="00E05449">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405ED5" w:rsidRPr="00405ED5">
        <w:rPr>
          <w:rFonts w:ascii="Times New Roman" w:hAnsi="Times New Roman"/>
          <w:b w:val="0"/>
          <w:sz w:val="20"/>
          <w:lang w:val="pt-BR"/>
        </w:rPr>
        <w:t>O murumuru é uma fruta com grande relevância, principalmente para a indústria cosmética</w:t>
      </w:r>
      <w:r w:rsidR="00583CC9">
        <w:rPr>
          <w:rFonts w:ascii="Times New Roman" w:hAnsi="Times New Roman"/>
          <w:b w:val="0"/>
          <w:sz w:val="20"/>
          <w:lang w:val="pt-BR"/>
        </w:rPr>
        <w:t>,</w:t>
      </w:r>
      <w:r w:rsidR="00405ED5" w:rsidRPr="00405ED5">
        <w:rPr>
          <w:rFonts w:ascii="Times New Roman" w:hAnsi="Times New Roman"/>
          <w:b w:val="0"/>
          <w:sz w:val="20"/>
          <w:lang w:val="pt-BR"/>
        </w:rPr>
        <w:t xml:space="preserve"> pelos seus ótimos princípios ativos. A polpa e as amêndoas do murumuru</w:t>
      </w:r>
      <w:r w:rsidR="00723562">
        <w:rPr>
          <w:rFonts w:ascii="Times New Roman" w:hAnsi="Times New Roman"/>
          <w:b w:val="0"/>
          <w:sz w:val="20"/>
          <w:lang w:val="pt-BR"/>
        </w:rPr>
        <w:t xml:space="preserve"> são utilizadas</w:t>
      </w:r>
      <w:r w:rsidR="00405ED5" w:rsidRPr="00405ED5">
        <w:rPr>
          <w:rFonts w:ascii="Times New Roman" w:hAnsi="Times New Roman"/>
          <w:b w:val="0"/>
          <w:sz w:val="20"/>
          <w:lang w:val="pt-BR"/>
        </w:rPr>
        <w:t>, no entanto, as cascas do caroço são tratadas como resíduo</w:t>
      </w:r>
      <w:r w:rsidR="00021A2E">
        <w:rPr>
          <w:rFonts w:ascii="Times New Roman" w:hAnsi="Times New Roman"/>
          <w:b w:val="0"/>
          <w:sz w:val="20"/>
          <w:lang w:val="pt-BR"/>
        </w:rPr>
        <w:t xml:space="preserve">. </w:t>
      </w:r>
      <w:r w:rsidR="00AA25D9">
        <w:rPr>
          <w:rFonts w:ascii="Times New Roman" w:hAnsi="Times New Roman"/>
          <w:b w:val="0"/>
          <w:sz w:val="20"/>
          <w:lang w:val="pt-BR"/>
        </w:rPr>
        <w:t>Assim, e</w:t>
      </w:r>
      <w:r w:rsidR="00856F09">
        <w:rPr>
          <w:rFonts w:ascii="Times New Roman" w:hAnsi="Times New Roman"/>
          <w:b w:val="0"/>
          <w:sz w:val="20"/>
          <w:lang w:val="pt-BR"/>
        </w:rPr>
        <w:t xml:space="preserve">ssas cascas </w:t>
      </w:r>
      <w:r w:rsidR="00AA25D9">
        <w:rPr>
          <w:rFonts w:ascii="Times New Roman" w:hAnsi="Times New Roman"/>
          <w:b w:val="0"/>
          <w:sz w:val="20"/>
          <w:lang w:val="pt-BR"/>
        </w:rPr>
        <w:t>têm</w:t>
      </w:r>
      <w:r w:rsidR="00856F09">
        <w:rPr>
          <w:rFonts w:ascii="Times New Roman" w:hAnsi="Times New Roman"/>
          <w:b w:val="0"/>
          <w:sz w:val="20"/>
          <w:lang w:val="pt-BR"/>
        </w:rPr>
        <w:t xml:space="preserve"> potencial para</w:t>
      </w:r>
      <w:r w:rsidR="0032630D">
        <w:rPr>
          <w:rFonts w:ascii="Times New Roman" w:hAnsi="Times New Roman"/>
          <w:b w:val="0"/>
          <w:sz w:val="20"/>
          <w:lang w:val="pt-BR"/>
        </w:rPr>
        <w:t xml:space="preserve"> a síntese</w:t>
      </w:r>
      <w:r w:rsidR="00856F09">
        <w:rPr>
          <w:rFonts w:ascii="Times New Roman" w:hAnsi="Times New Roman"/>
          <w:b w:val="0"/>
          <w:sz w:val="20"/>
          <w:lang w:val="pt-BR"/>
        </w:rPr>
        <w:t xml:space="preserve"> carvões</w:t>
      </w:r>
      <w:r w:rsidR="00AE74F6">
        <w:rPr>
          <w:rFonts w:ascii="Times New Roman" w:hAnsi="Times New Roman"/>
          <w:b w:val="0"/>
          <w:sz w:val="20"/>
          <w:lang w:val="pt-BR"/>
        </w:rPr>
        <w:t xml:space="preserve"> </w:t>
      </w:r>
      <w:r w:rsidR="00CF2211">
        <w:rPr>
          <w:rFonts w:ascii="Times New Roman" w:hAnsi="Times New Roman"/>
          <w:b w:val="0"/>
          <w:sz w:val="20"/>
          <w:lang w:val="pt-BR"/>
        </w:rPr>
        <w:t>ácidos</w:t>
      </w:r>
      <w:r w:rsidR="00BE0202">
        <w:rPr>
          <w:rFonts w:ascii="Times New Roman" w:hAnsi="Times New Roman"/>
          <w:b w:val="0"/>
          <w:sz w:val="20"/>
          <w:lang w:val="pt-BR"/>
        </w:rPr>
        <w:t>,</w:t>
      </w:r>
      <w:r w:rsidR="00856F09">
        <w:rPr>
          <w:rFonts w:ascii="Times New Roman" w:hAnsi="Times New Roman"/>
          <w:b w:val="0"/>
          <w:sz w:val="20"/>
          <w:lang w:val="pt-BR"/>
        </w:rPr>
        <w:t xml:space="preserve"> </w:t>
      </w:r>
      <w:r w:rsidR="00AA25D9">
        <w:rPr>
          <w:rFonts w:ascii="Times New Roman" w:hAnsi="Times New Roman"/>
          <w:b w:val="0"/>
          <w:sz w:val="20"/>
          <w:lang w:val="pt-BR"/>
        </w:rPr>
        <w:t>os quais</w:t>
      </w:r>
      <w:r w:rsidR="00E37699">
        <w:rPr>
          <w:rFonts w:ascii="Times New Roman" w:hAnsi="Times New Roman"/>
          <w:b w:val="0"/>
          <w:sz w:val="20"/>
          <w:lang w:val="pt-BR"/>
        </w:rPr>
        <w:t xml:space="preserve"> </w:t>
      </w:r>
      <w:r w:rsidR="00B42396">
        <w:rPr>
          <w:rFonts w:ascii="Times New Roman" w:hAnsi="Times New Roman"/>
          <w:b w:val="0"/>
          <w:sz w:val="20"/>
          <w:lang w:val="pt-BR"/>
        </w:rPr>
        <w:t>podem</w:t>
      </w:r>
      <w:r w:rsidR="00DB322A">
        <w:rPr>
          <w:rFonts w:ascii="Times New Roman" w:hAnsi="Times New Roman"/>
          <w:b w:val="0"/>
          <w:sz w:val="20"/>
          <w:lang w:val="pt-BR"/>
        </w:rPr>
        <w:t xml:space="preserve"> ser aplicados em reações de esterificação</w:t>
      </w:r>
      <w:r w:rsidR="004F5BE6">
        <w:rPr>
          <w:rFonts w:ascii="Times New Roman" w:hAnsi="Times New Roman"/>
          <w:b w:val="0"/>
          <w:sz w:val="20"/>
          <w:lang w:val="pt-BR"/>
        </w:rPr>
        <w:t xml:space="preserve"> na</w:t>
      </w:r>
      <w:r w:rsidR="00290D8D">
        <w:rPr>
          <w:rFonts w:ascii="Times New Roman" w:hAnsi="Times New Roman"/>
          <w:b w:val="0"/>
          <w:sz w:val="20"/>
          <w:lang w:val="pt-BR"/>
        </w:rPr>
        <w:t xml:space="preserve"> produção de biodiesel.</w:t>
      </w:r>
      <w:r w:rsidR="006A627E">
        <w:rPr>
          <w:rFonts w:ascii="Times New Roman" w:hAnsi="Times New Roman"/>
          <w:b w:val="0"/>
          <w:sz w:val="20"/>
          <w:lang w:val="pt-BR"/>
        </w:rPr>
        <w:t xml:space="preserve"> </w:t>
      </w:r>
      <w:r w:rsidR="00067518">
        <w:rPr>
          <w:rFonts w:ascii="Times New Roman" w:hAnsi="Times New Roman"/>
          <w:b w:val="0"/>
          <w:sz w:val="20"/>
          <w:lang w:val="pt-BR"/>
        </w:rPr>
        <w:t>Nesse contexto,</w:t>
      </w:r>
      <w:r w:rsidR="00CF2211">
        <w:rPr>
          <w:rFonts w:ascii="Times New Roman" w:hAnsi="Times New Roman"/>
          <w:b w:val="0"/>
          <w:sz w:val="20"/>
          <w:lang w:val="pt-BR"/>
        </w:rPr>
        <w:t xml:space="preserve"> </w:t>
      </w:r>
      <w:r w:rsidR="00BA0DDE">
        <w:rPr>
          <w:rFonts w:ascii="Times New Roman" w:hAnsi="Times New Roman"/>
          <w:b w:val="0"/>
          <w:sz w:val="20"/>
          <w:lang w:val="pt-BR"/>
        </w:rPr>
        <w:t>o biocarvão das cascas de murumuru f</w:t>
      </w:r>
      <w:r w:rsidR="00AE5F66">
        <w:rPr>
          <w:rFonts w:ascii="Times New Roman" w:hAnsi="Times New Roman"/>
          <w:b w:val="0"/>
          <w:sz w:val="20"/>
          <w:lang w:val="pt-BR"/>
        </w:rPr>
        <w:t>oi sulfonado</w:t>
      </w:r>
      <w:r w:rsidR="00BA0DDE">
        <w:rPr>
          <w:rFonts w:ascii="Times New Roman" w:hAnsi="Times New Roman"/>
          <w:b w:val="0"/>
          <w:sz w:val="20"/>
          <w:lang w:val="pt-BR"/>
        </w:rPr>
        <w:t xml:space="preserve"> com ácido sulfúrico concentrado para</w:t>
      </w:r>
      <w:r w:rsidR="00A56C98">
        <w:rPr>
          <w:rFonts w:ascii="Times New Roman" w:hAnsi="Times New Roman"/>
          <w:b w:val="0"/>
          <w:sz w:val="20"/>
          <w:lang w:val="pt-BR"/>
        </w:rPr>
        <w:t xml:space="preserve"> atuar como catalisador na esterificação</w:t>
      </w:r>
      <w:r w:rsidR="00067518">
        <w:rPr>
          <w:rFonts w:ascii="Times New Roman" w:hAnsi="Times New Roman"/>
          <w:b w:val="0"/>
          <w:sz w:val="20"/>
          <w:lang w:val="pt-BR"/>
        </w:rPr>
        <w:t xml:space="preserve"> </w:t>
      </w:r>
      <w:r w:rsidR="00A56C98">
        <w:rPr>
          <w:rFonts w:ascii="Times New Roman" w:hAnsi="Times New Roman"/>
          <w:b w:val="0"/>
          <w:sz w:val="20"/>
          <w:lang w:val="pt-BR"/>
        </w:rPr>
        <w:t>d</w:t>
      </w:r>
      <w:r w:rsidR="00B92A73">
        <w:rPr>
          <w:rFonts w:ascii="Times New Roman" w:hAnsi="Times New Roman"/>
          <w:b w:val="0"/>
          <w:sz w:val="20"/>
          <w:lang w:val="pt-BR"/>
        </w:rPr>
        <w:t xml:space="preserve">o Destilado </w:t>
      </w:r>
      <w:r w:rsidR="007923DE">
        <w:rPr>
          <w:rFonts w:ascii="Times New Roman" w:hAnsi="Times New Roman"/>
          <w:b w:val="0"/>
          <w:sz w:val="20"/>
          <w:lang w:val="pt-BR"/>
        </w:rPr>
        <w:t>da Desodorização do Óleo de Palma</w:t>
      </w:r>
      <w:r w:rsidR="002421C6">
        <w:rPr>
          <w:rFonts w:ascii="Times New Roman" w:hAnsi="Times New Roman"/>
          <w:b w:val="0"/>
          <w:sz w:val="20"/>
          <w:lang w:val="pt-BR"/>
        </w:rPr>
        <w:t xml:space="preserve"> (DDOP)</w:t>
      </w:r>
      <w:r w:rsidR="002B390E">
        <w:rPr>
          <w:rFonts w:ascii="Times New Roman" w:hAnsi="Times New Roman"/>
          <w:b w:val="0"/>
          <w:sz w:val="20"/>
          <w:lang w:val="pt-BR"/>
        </w:rPr>
        <w:t xml:space="preserve">, </w:t>
      </w:r>
      <w:r w:rsidR="0009399A">
        <w:rPr>
          <w:rFonts w:ascii="Times New Roman" w:hAnsi="Times New Roman"/>
          <w:b w:val="0"/>
          <w:sz w:val="20"/>
          <w:lang w:val="pt-BR"/>
        </w:rPr>
        <w:t xml:space="preserve">um resíduo do processo de refino do óleo </w:t>
      </w:r>
      <w:r w:rsidR="00DF0342">
        <w:rPr>
          <w:rFonts w:ascii="Times New Roman" w:hAnsi="Times New Roman"/>
          <w:b w:val="0"/>
          <w:sz w:val="20"/>
          <w:lang w:val="pt-BR"/>
        </w:rPr>
        <w:t>palma</w:t>
      </w:r>
      <w:r w:rsidR="00463AA3">
        <w:rPr>
          <w:rFonts w:ascii="Times New Roman" w:hAnsi="Times New Roman"/>
          <w:b w:val="0"/>
          <w:sz w:val="20"/>
          <w:lang w:val="pt-BR"/>
        </w:rPr>
        <w:t xml:space="preserve">, </w:t>
      </w:r>
      <w:r w:rsidR="00FA5ABF">
        <w:rPr>
          <w:rFonts w:ascii="Times New Roman" w:hAnsi="Times New Roman"/>
          <w:b w:val="0"/>
          <w:sz w:val="20"/>
          <w:lang w:val="pt-BR"/>
        </w:rPr>
        <w:t>que contém</w:t>
      </w:r>
      <w:r w:rsidR="00441FFF">
        <w:rPr>
          <w:rFonts w:ascii="Times New Roman" w:hAnsi="Times New Roman"/>
          <w:b w:val="0"/>
          <w:sz w:val="20"/>
          <w:lang w:val="pt-BR"/>
        </w:rPr>
        <w:t xml:space="preserve"> grande quantidade de </w:t>
      </w:r>
      <w:r w:rsidR="00FA5ABF">
        <w:rPr>
          <w:rFonts w:ascii="Times New Roman" w:hAnsi="Times New Roman"/>
          <w:b w:val="0"/>
          <w:sz w:val="20"/>
          <w:lang w:val="pt-BR"/>
        </w:rPr>
        <w:t>ácidos graxos</w:t>
      </w:r>
      <w:r w:rsidR="004A04A7">
        <w:rPr>
          <w:rFonts w:ascii="Times New Roman" w:hAnsi="Times New Roman"/>
          <w:b w:val="0"/>
          <w:sz w:val="20"/>
          <w:lang w:val="pt-BR"/>
        </w:rPr>
        <w:t xml:space="preserve"> livres</w:t>
      </w:r>
      <w:r w:rsidR="00AE5F66">
        <w:rPr>
          <w:rFonts w:ascii="Times New Roman" w:hAnsi="Times New Roman"/>
          <w:b w:val="0"/>
          <w:sz w:val="20"/>
          <w:lang w:val="pt-BR"/>
        </w:rPr>
        <w:t>.</w:t>
      </w:r>
      <w:r w:rsidR="00463AA3">
        <w:rPr>
          <w:rFonts w:ascii="Times New Roman" w:hAnsi="Times New Roman"/>
          <w:b w:val="0"/>
          <w:sz w:val="20"/>
          <w:lang w:val="pt-BR"/>
        </w:rPr>
        <w:t xml:space="preserve"> </w:t>
      </w:r>
      <w:r w:rsidR="007F0D49">
        <w:rPr>
          <w:rFonts w:ascii="Times New Roman" w:hAnsi="Times New Roman"/>
          <w:b w:val="0"/>
          <w:sz w:val="20"/>
          <w:lang w:val="pt-BR"/>
        </w:rPr>
        <w:t xml:space="preserve">A análise de EDS </w:t>
      </w:r>
      <w:r w:rsidR="0003006A">
        <w:rPr>
          <w:rFonts w:ascii="Times New Roman" w:hAnsi="Times New Roman"/>
          <w:b w:val="0"/>
          <w:sz w:val="20"/>
          <w:lang w:val="pt-BR"/>
        </w:rPr>
        <w:t>do catalisador</w:t>
      </w:r>
      <w:r w:rsidR="00DD4C0C">
        <w:rPr>
          <w:rFonts w:ascii="Times New Roman" w:hAnsi="Times New Roman"/>
          <w:b w:val="0"/>
          <w:sz w:val="20"/>
          <w:lang w:val="pt-BR"/>
        </w:rPr>
        <w:t xml:space="preserve"> mostra</w:t>
      </w:r>
      <w:r w:rsidR="0003006A">
        <w:rPr>
          <w:rFonts w:ascii="Times New Roman" w:hAnsi="Times New Roman"/>
          <w:b w:val="0"/>
          <w:sz w:val="20"/>
          <w:lang w:val="pt-BR"/>
        </w:rPr>
        <w:t xml:space="preserve"> a presença</w:t>
      </w:r>
      <w:r w:rsidR="00DD4C0C">
        <w:rPr>
          <w:rFonts w:ascii="Times New Roman" w:hAnsi="Times New Roman"/>
          <w:b w:val="0"/>
          <w:sz w:val="20"/>
          <w:lang w:val="pt-BR"/>
        </w:rPr>
        <w:t xml:space="preserve"> de</w:t>
      </w:r>
      <w:r w:rsidR="006C59E8">
        <w:rPr>
          <w:rFonts w:ascii="Times New Roman" w:hAnsi="Times New Roman"/>
          <w:b w:val="0"/>
          <w:sz w:val="20"/>
          <w:lang w:val="pt-BR"/>
        </w:rPr>
        <w:t xml:space="preserve"> 5% de enxofre</w:t>
      </w:r>
      <w:r w:rsidR="00DD4C0C">
        <w:rPr>
          <w:rFonts w:ascii="Times New Roman" w:hAnsi="Times New Roman"/>
          <w:b w:val="0"/>
          <w:sz w:val="20"/>
          <w:lang w:val="pt-BR"/>
        </w:rPr>
        <w:t xml:space="preserve">, </w:t>
      </w:r>
      <w:r w:rsidR="00C52829">
        <w:rPr>
          <w:rFonts w:ascii="Times New Roman" w:hAnsi="Times New Roman"/>
          <w:b w:val="0"/>
          <w:sz w:val="20"/>
          <w:lang w:val="pt-BR"/>
        </w:rPr>
        <w:t>atribuído à presença de</w:t>
      </w:r>
      <w:r w:rsidR="0003006A">
        <w:rPr>
          <w:rFonts w:ascii="Times New Roman" w:hAnsi="Times New Roman"/>
          <w:b w:val="0"/>
          <w:sz w:val="20"/>
          <w:lang w:val="pt-BR"/>
        </w:rPr>
        <w:t xml:space="preserve"> grupos sulfônicos no material</w:t>
      </w:r>
      <w:r w:rsidR="00AA25D9">
        <w:rPr>
          <w:rFonts w:ascii="Times New Roman" w:hAnsi="Times New Roman"/>
          <w:b w:val="0"/>
          <w:sz w:val="20"/>
          <w:lang w:val="pt-BR"/>
        </w:rPr>
        <w:t xml:space="preserve">. </w:t>
      </w:r>
      <w:r w:rsidR="000E2876">
        <w:rPr>
          <w:rFonts w:ascii="Times New Roman" w:hAnsi="Times New Roman"/>
          <w:b w:val="0"/>
          <w:sz w:val="20"/>
          <w:lang w:val="pt-BR"/>
        </w:rPr>
        <w:t>Na</w:t>
      </w:r>
      <w:r w:rsidR="004B21FD">
        <w:rPr>
          <w:rFonts w:ascii="Times New Roman" w:hAnsi="Times New Roman"/>
          <w:b w:val="0"/>
          <w:sz w:val="20"/>
          <w:lang w:val="pt-BR"/>
        </w:rPr>
        <w:t xml:space="preserve"> razão </w:t>
      </w:r>
      <w:r w:rsidR="0001797D">
        <w:rPr>
          <w:rFonts w:ascii="Times New Roman" w:hAnsi="Times New Roman"/>
          <w:b w:val="0"/>
          <w:sz w:val="20"/>
          <w:lang w:val="pt-BR"/>
        </w:rPr>
        <w:t xml:space="preserve">molar </w:t>
      </w:r>
      <w:r w:rsidR="004B21FD">
        <w:rPr>
          <w:rFonts w:ascii="Times New Roman" w:hAnsi="Times New Roman"/>
          <w:b w:val="0"/>
          <w:sz w:val="20"/>
          <w:lang w:val="pt-BR"/>
        </w:rPr>
        <w:t xml:space="preserve">de </w:t>
      </w:r>
      <w:r w:rsidR="00E60F39">
        <w:rPr>
          <w:rFonts w:ascii="Times New Roman" w:hAnsi="Times New Roman"/>
          <w:b w:val="0"/>
          <w:sz w:val="20"/>
          <w:lang w:val="pt-BR"/>
        </w:rPr>
        <w:t>1:10 (</w:t>
      </w:r>
      <w:r w:rsidR="002421C6">
        <w:rPr>
          <w:rFonts w:ascii="Times New Roman" w:hAnsi="Times New Roman"/>
          <w:b w:val="0"/>
          <w:sz w:val="20"/>
          <w:lang w:val="pt-BR"/>
        </w:rPr>
        <w:t>DDOP/metanol</w:t>
      </w:r>
      <w:r w:rsidR="00E60F39">
        <w:rPr>
          <w:rFonts w:ascii="Times New Roman" w:hAnsi="Times New Roman"/>
          <w:b w:val="0"/>
          <w:sz w:val="20"/>
          <w:lang w:val="pt-BR"/>
        </w:rPr>
        <w:t>)</w:t>
      </w:r>
      <w:r w:rsidR="0001797D">
        <w:rPr>
          <w:rFonts w:ascii="Times New Roman" w:hAnsi="Times New Roman"/>
          <w:b w:val="0"/>
          <w:sz w:val="20"/>
          <w:lang w:val="pt-BR"/>
        </w:rPr>
        <w:t xml:space="preserve"> </w:t>
      </w:r>
      <w:r w:rsidR="000E2876">
        <w:rPr>
          <w:rFonts w:ascii="Times New Roman" w:hAnsi="Times New Roman"/>
          <w:b w:val="0"/>
          <w:sz w:val="20"/>
          <w:lang w:val="pt-BR"/>
        </w:rPr>
        <w:t>houve uma</w:t>
      </w:r>
      <w:r w:rsidR="000B20DC">
        <w:rPr>
          <w:rFonts w:ascii="Times New Roman" w:hAnsi="Times New Roman"/>
          <w:b w:val="0"/>
          <w:sz w:val="20"/>
          <w:lang w:val="pt-BR"/>
        </w:rPr>
        <w:t xml:space="preserve"> </w:t>
      </w:r>
      <w:r w:rsidR="0001797D">
        <w:rPr>
          <w:rFonts w:ascii="Times New Roman" w:hAnsi="Times New Roman"/>
          <w:b w:val="0"/>
          <w:sz w:val="20"/>
          <w:lang w:val="pt-BR"/>
        </w:rPr>
        <w:t xml:space="preserve">conversão média de </w:t>
      </w:r>
      <w:r w:rsidR="00333919">
        <w:rPr>
          <w:rFonts w:ascii="Times New Roman" w:hAnsi="Times New Roman"/>
          <w:b w:val="0"/>
          <w:sz w:val="20"/>
          <w:lang w:val="pt-BR"/>
        </w:rPr>
        <w:t>aproximadamente 65% dos ácidos graxos livres</w:t>
      </w:r>
      <w:r w:rsidR="00CD7E7A">
        <w:rPr>
          <w:rFonts w:ascii="Times New Roman" w:hAnsi="Times New Roman"/>
          <w:b w:val="0"/>
          <w:sz w:val="20"/>
          <w:lang w:val="pt-BR"/>
        </w:rPr>
        <w:t xml:space="preserve">. Mais testes </w:t>
      </w:r>
      <w:r w:rsidR="00986736">
        <w:rPr>
          <w:rFonts w:ascii="Times New Roman" w:hAnsi="Times New Roman"/>
          <w:b w:val="0"/>
          <w:sz w:val="20"/>
          <w:lang w:val="pt-BR"/>
        </w:rPr>
        <w:t>são necessários para</w:t>
      </w:r>
      <w:r w:rsidR="00AA25D9">
        <w:rPr>
          <w:rFonts w:ascii="Times New Roman" w:hAnsi="Times New Roman"/>
          <w:b w:val="0"/>
          <w:sz w:val="20"/>
          <w:lang w:val="pt-BR"/>
        </w:rPr>
        <w:t xml:space="preserve"> caracterizar o catalisador, assim como avaliar outras condições</w:t>
      </w:r>
      <w:r w:rsidR="00986736">
        <w:rPr>
          <w:rFonts w:ascii="Times New Roman" w:hAnsi="Times New Roman"/>
          <w:b w:val="0"/>
          <w:sz w:val="20"/>
          <w:lang w:val="pt-BR"/>
        </w:rPr>
        <w:t xml:space="preserve"> reacionais</w:t>
      </w:r>
      <w:r w:rsidR="00AA25D9">
        <w:rPr>
          <w:rFonts w:ascii="Times New Roman" w:hAnsi="Times New Roman"/>
          <w:b w:val="0"/>
          <w:sz w:val="20"/>
          <w:lang w:val="pt-BR"/>
        </w:rPr>
        <w:t xml:space="preserve"> a fim de obter maiores valores de conversão.</w:t>
      </w:r>
      <w:r w:rsidR="00986736">
        <w:rPr>
          <w:rFonts w:ascii="Times New Roman" w:hAnsi="Times New Roman"/>
          <w:b w:val="0"/>
          <w:sz w:val="20"/>
          <w:lang w:val="pt-BR"/>
        </w:rPr>
        <w:t xml:space="preserve"> </w:t>
      </w:r>
      <w:r w:rsidR="00AA25D9">
        <w:rPr>
          <w:rFonts w:ascii="Times New Roman" w:hAnsi="Times New Roman"/>
          <w:b w:val="0"/>
          <w:sz w:val="20"/>
          <w:lang w:val="pt-BR"/>
        </w:rPr>
        <w:t>Apesar disso</w:t>
      </w:r>
      <w:r w:rsidR="00986736">
        <w:rPr>
          <w:rFonts w:ascii="Times New Roman" w:hAnsi="Times New Roman"/>
          <w:b w:val="0"/>
          <w:sz w:val="20"/>
          <w:lang w:val="pt-BR"/>
        </w:rPr>
        <w:t xml:space="preserve">, </w:t>
      </w:r>
      <w:r w:rsidR="00DC53B8">
        <w:rPr>
          <w:rFonts w:ascii="Times New Roman" w:hAnsi="Times New Roman"/>
          <w:b w:val="0"/>
          <w:sz w:val="20"/>
          <w:lang w:val="pt-BR"/>
        </w:rPr>
        <w:t>esses resultados são bons indicativos d</w:t>
      </w:r>
      <w:r w:rsidR="00986736">
        <w:rPr>
          <w:rFonts w:ascii="Times New Roman" w:hAnsi="Times New Roman"/>
          <w:b w:val="0"/>
          <w:sz w:val="20"/>
          <w:lang w:val="pt-BR"/>
        </w:rPr>
        <w:t xml:space="preserve">o </w:t>
      </w:r>
      <w:r w:rsidR="00DC53B8">
        <w:rPr>
          <w:rFonts w:ascii="Times New Roman" w:hAnsi="Times New Roman"/>
          <w:b w:val="0"/>
          <w:sz w:val="20"/>
          <w:lang w:val="pt-BR"/>
        </w:rPr>
        <w:t>seu potencial catalítico.</w:t>
      </w:r>
    </w:p>
    <w:p w14:paraId="1551585C" w14:textId="4D2C308C" w:rsidR="00A87729" w:rsidRPr="00CF1238" w:rsidRDefault="00CF1238" w:rsidP="00E05449">
      <w:pPr>
        <w:pStyle w:val="BDAbstract"/>
        <w:spacing w:before="0" w:after="0" w:line="240" w:lineRule="auto"/>
        <w:rPr>
          <w:rFonts w:ascii="Times New Roman" w:hAnsi="Times New Roman"/>
          <w:b w:val="0"/>
          <w:i/>
          <w:iCs/>
          <w:sz w:val="20"/>
          <w:lang w:val="pt-BR"/>
        </w:rPr>
      </w:pPr>
      <w:r w:rsidRPr="00CF1238">
        <w:rPr>
          <w:rFonts w:ascii="Times New Roman" w:hAnsi="Times New Roman"/>
          <w:b w:val="0"/>
          <w:i/>
          <w:iCs/>
          <w:sz w:val="20"/>
          <w:lang w:val="pt-BR"/>
        </w:rPr>
        <w:t>Palavras-chave:</w:t>
      </w:r>
      <w:r w:rsidR="000719FC">
        <w:rPr>
          <w:rFonts w:ascii="Times New Roman" w:hAnsi="Times New Roman"/>
          <w:b w:val="0"/>
          <w:i/>
          <w:iCs/>
          <w:sz w:val="20"/>
          <w:lang w:val="pt-BR"/>
        </w:rPr>
        <w:t xml:space="preserve"> cascas de murumuru, </w:t>
      </w:r>
      <w:r w:rsidR="00A750E6">
        <w:rPr>
          <w:rFonts w:ascii="Times New Roman" w:hAnsi="Times New Roman"/>
          <w:b w:val="0"/>
          <w:i/>
          <w:iCs/>
          <w:sz w:val="20"/>
          <w:lang w:val="pt-BR"/>
        </w:rPr>
        <w:t>biocarvão, catalisador</w:t>
      </w:r>
      <w:r w:rsidR="00A80FFA">
        <w:rPr>
          <w:rFonts w:ascii="Times New Roman" w:hAnsi="Times New Roman"/>
          <w:b w:val="0"/>
          <w:i/>
          <w:iCs/>
          <w:sz w:val="20"/>
          <w:lang w:val="pt-BR"/>
        </w:rPr>
        <w:t>, esterificação, DDOP.</w:t>
      </w:r>
      <w:r w:rsidR="00A750E6">
        <w:rPr>
          <w:rFonts w:ascii="Times New Roman" w:hAnsi="Times New Roman"/>
          <w:b w:val="0"/>
          <w:i/>
          <w:iCs/>
          <w:sz w:val="20"/>
          <w:lang w:val="pt-BR"/>
        </w:rPr>
        <w:t xml:space="preserve"> </w:t>
      </w:r>
    </w:p>
    <w:p w14:paraId="187E9351" w14:textId="77777777" w:rsidR="006F1F2A" w:rsidRPr="00DA4DFC" w:rsidRDefault="006F1F2A" w:rsidP="00EA4E1B">
      <w:pPr>
        <w:pStyle w:val="BDAbstract"/>
        <w:spacing w:before="0" w:after="0" w:line="240" w:lineRule="auto"/>
        <w:rPr>
          <w:rFonts w:ascii="Times New Roman" w:hAnsi="Times New Roman"/>
          <w:b w:val="0"/>
          <w:sz w:val="20"/>
          <w:lang w:val="pt-BR"/>
        </w:rPr>
      </w:pPr>
    </w:p>
    <w:p w14:paraId="41344DAB" w14:textId="43ACF8E6" w:rsidR="00A76BE9" w:rsidRPr="00113CDD" w:rsidRDefault="00EA4E1B" w:rsidP="00EA4E1B">
      <w:pPr>
        <w:pStyle w:val="BDAbstract"/>
        <w:spacing w:before="0" w:after="0" w:line="240" w:lineRule="auto"/>
        <w:rPr>
          <w:rFonts w:ascii="Times New Roman" w:hAnsi="Times New Roman"/>
          <w:b w:val="0"/>
          <w:sz w:val="20"/>
        </w:rPr>
      </w:pPr>
      <w:r w:rsidRPr="00113CDD">
        <w:rPr>
          <w:rFonts w:ascii="Times New Roman" w:hAnsi="Times New Roman"/>
          <w:b w:val="0"/>
          <w:sz w:val="20"/>
        </w:rPr>
        <w:t xml:space="preserve">ABSTRACT </w:t>
      </w:r>
      <w:r w:rsidR="00A76BE9" w:rsidRPr="00113CDD">
        <w:rPr>
          <w:rFonts w:ascii="Times New Roman" w:hAnsi="Times New Roman"/>
          <w:b w:val="0"/>
          <w:sz w:val="20"/>
        </w:rPr>
        <w:t>–</w:t>
      </w:r>
      <w:r w:rsidRPr="00113CDD">
        <w:rPr>
          <w:rFonts w:ascii="Times New Roman" w:hAnsi="Times New Roman"/>
          <w:b w:val="0"/>
          <w:sz w:val="20"/>
        </w:rPr>
        <w:t xml:space="preserve"> </w:t>
      </w:r>
      <w:r w:rsidR="00DC53B8" w:rsidRPr="00DC53B8">
        <w:rPr>
          <w:rFonts w:ascii="Times New Roman" w:hAnsi="Times New Roman"/>
          <w:b w:val="0"/>
          <w:sz w:val="20"/>
        </w:rPr>
        <w:t>Murumuru is a fruit of significant importance, particularly in the cosmetic industry, due to its beneficial active components. The pulp and kernels of the murumuru fruit are utilized, while the seed husks are considered as waste. Consequently, these husks hold potential for the synthesis of acidic chars, which can be employed in esterification reactions for biodiesel production. In this context, murumuru husk biochar was sulfonated using concentrated sulfuric acid to serve as a catalyst in the esterification of Palm Oil Deodorization Distillate (DDOP), a residue from the palm oil refining process containing a substantial amount of free fatty acids. Energy Dispersive X-ray Spectroscopy (EDS) analysis of the catalyst reveals the presence of 5% sulfur, attributed to sulfonic groups in the material. Under a molar ratio of 1:10 (DDOP/methanol), an average conversion of approximately 65% of the free fatty acids was achieved. Further tests are necessary to characterize the catalyst, as well as to assess other reaction conditions to achieve higher conversion yields. Nevertheless, these results provide promising indications of its catalytic potential.</w:t>
      </w:r>
    </w:p>
    <w:p w14:paraId="5F4A84E8" w14:textId="01DB5A68" w:rsidR="00EA4E1B" w:rsidRPr="00113CDD" w:rsidRDefault="00EA4E1B" w:rsidP="00EA4E1B">
      <w:pPr>
        <w:pStyle w:val="BDAbstract"/>
        <w:spacing w:before="0" w:after="120" w:line="240" w:lineRule="auto"/>
        <w:rPr>
          <w:rFonts w:ascii="Times New Roman" w:hAnsi="Times New Roman"/>
          <w:b w:val="0"/>
          <w:i/>
          <w:sz w:val="20"/>
        </w:rPr>
      </w:pPr>
      <w:r w:rsidRPr="00113CDD">
        <w:rPr>
          <w:rFonts w:ascii="Times New Roman" w:hAnsi="Times New Roman"/>
          <w:b w:val="0"/>
          <w:i/>
          <w:sz w:val="20"/>
        </w:rPr>
        <w:t xml:space="preserve">Keywords: </w:t>
      </w:r>
      <w:r w:rsidR="00A80FFA" w:rsidRPr="00113CDD">
        <w:rPr>
          <w:rFonts w:ascii="Times New Roman" w:hAnsi="Times New Roman"/>
          <w:b w:val="0"/>
          <w:i/>
          <w:sz w:val="20"/>
        </w:rPr>
        <w:t>husk</w:t>
      </w:r>
      <w:r w:rsidR="008963C5" w:rsidRPr="00113CDD">
        <w:rPr>
          <w:rFonts w:ascii="Times New Roman" w:hAnsi="Times New Roman"/>
          <w:b w:val="0"/>
          <w:i/>
          <w:sz w:val="20"/>
        </w:rPr>
        <w:t>s of murumuru, biochar, catalyst, esterification</w:t>
      </w:r>
      <w:r w:rsidR="00DF14BD" w:rsidRPr="00113CDD">
        <w:rPr>
          <w:rFonts w:ascii="Times New Roman" w:hAnsi="Times New Roman"/>
          <w:b w:val="0"/>
          <w:i/>
          <w:sz w:val="20"/>
        </w:rPr>
        <w:t>, DDOP.</w:t>
      </w:r>
    </w:p>
    <w:bookmarkEnd w:id="1"/>
    <w:p w14:paraId="48D9B0C4" w14:textId="77777777" w:rsidR="00EA4E1B" w:rsidRPr="00113CDD" w:rsidRDefault="00EA4E1B" w:rsidP="00EA4E1B">
      <w:pPr>
        <w:rPr>
          <w:lang w:val="en-US"/>
        </w:rPr>
        <w:sectPr w:rsidR="00EA4E1B" w:rsidRPr="00113CDD"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D520F21" w14:textId="6F58F00F" w:rsidR="009F5679" w:rsidRDefault="005F7F84" w:rsidP="009F5679">
      <w:pPr>
        <w:pStyle w:val="TAMainText"/>
        <w:rPr>
          <w:rFonts w:ascii="Times New Roman" w:hAnsi="Times New Roman"/>
          <w:bCs/>
          <w:lang w:val="pt-BR"/>
        </w:rPr>
      </w:pPr>
      <w:r>
        <w:rPr>
          <w:rFonts w:ascii="Times New Roman" w:hAnsi="Times New Roman"/>
          <w:bCs/>
          <w:lang w:val="pt-BR"/>
        </w:rPr>
        <w:t xml:space="preserve">O murumuru é um fruto nativo da região amazônica e </w:t>
      </w:r>
      <w:r w:rsidR="004848B4">
        <w:rPr>
          <w:rFonts w:ascii="Times New Roman" w:hAnsi="Times New Roman"/>
          <w:bCs/>
          <w:lang w:val="pt-BR"/>
        </w:rPr>
        <w:t>seu valor comercial está relacionado, principalmente, à manteiga extraída das amêndoas</w:t>
      </w:r>
      <w:r w:rsidR="006A5C78">
        <w:rPr>
          <w:rFonts w:ascii="Times New Roman" w:hAnsi="Times New Roman"/>
          <w:bCs/>
          <w:lang w:val="pt-BR"/>
        </w:rPr>
        <w:t xml:space="preserve"> contidas nos caroços</w:t>
      </w:r>
      <w:r w:rsidR="004848B4">
        <w:rPr>
          <w:rFonts w:ascii="Times New Roman" w:hAnsi="Times New Roman"/>
          <w:bCs/>
          <w:lang w:val="pt-BR"/>
        </w:rPr>
        <w:t xml:space="preserve"> para aplicação na indústria cosmética</w:t>
      </w:r>
      <w:r w:rsidR="001B30EF">
        <w:rPr>
          <w:rFonts w:ascii="Times New Roman" w:hAnsi="Times New Roman"/>
          <w:bCs/>
          <w:lang w:val="pt-BR"/>
        </w:rPr>
        <w:t xml:space="preserve"> (1).</w:t>
      </w:r>
      <w:r w:rsidR="008C304B">
        <w:rPr>
          <w:rFonts w:ascii="Times New Roman" w:hAnsi="Times New Roman"/>
          <w:bCs/>
          <w:lang w:val="pt-BR"/>
        </w:rPr>
        <w:t xml:space="preserve"> </w:t>
      </w:r>
      <w:r w:rsidR="006A5C78">
        <w:rPr>
          <w:rFonts w:ascii="Times New Roman" w:hAnsi="Times New Roman"/>
          <w:bCs/>
          <w:lang w:val="pt-BR"/>
        </w:rPr>
        <w:t xml:space="preserve">As cascas </w:t>
      </w:r>
      <w:r w:rsidR="009F5679">
        <w:rPr>
          <w:rFonts w:ascii="Times New Roman" w:hAnsi="Times New Roman"/>
          <w:bCs/>
          <w:lang w:val="pt-BR"/>
        </w:rPr>
        <w:t xml:space="preserve">representam pouco mais da metade do peso </w:t>
      </w:r>
      <w:r w:rsidR="006A5C78">
        <w:rPr>
          <w:rFonts w:ascii="Times New Roman" w:hAnsi="Times New Roman"/>
          <w:bCs/>
          <w:lang w:val="pt-BR"/>
        </w:rPr>
        <w:t xml:space="preserve">dos caroços de murumuru </w:t>
      </w:r>
      <w:r w:rsidR="009F5679">
        <w:rPr>
          <w:rFonts w:ascii="Times New Roman" w:hAnsi="Times New Roman"/>
          <w:bCs/>
          <w:lang w:val="pt-BR"/>
        </w:rPr>
        <w:t xml:space="preserve">e, após a retirada das amêndoas, se tornam um rejeito agroindustrial </w:t>
      </w:r>
      <w:r w:rsidR="00532E9E">
        <w:rPr>
          <w:rFonts w:ascii="Times New Roman" w:hAnsi="Times New Roman"/>
          <w:bCs/>
          <w:lang w:val="pt-BR"/>
        </w:rPr>
        <w:t>(2)</w:t>
      </w:r>
      <w:r w:rsidR="009F5679">
        <w:rPr>
          <w:rFonts w:ascii="Times New Roman" w:hAnsi="Times New Roman"/>
          <w:bCs/>
          <w:lang w:val="pt-BR"/>
        </w:rPr>
        <w:t xml:space="preserve">. </w:t>
      </w:r>
    </w:p>
    <w:p w14:paraId="070F04E5" w14:textId="789B526A" w:rsidR="00981C87" w:rsidRDefault="009F5679" w:rsidP="009F5679">
      <w:pPr>
        <w:pStyle w:val="TAMainText"/>
        <w:rPr>
          <w:rFonts w:ascii="Times New Roman" w:hAnsi="Times New Roman"/>
          <w:bCs/>
          <w:lang w:val="pt-BR"/>
        </w:rPr>
      </w:pPr>
      <w:r>
        <w:rPr>
          <w:rFonts w:ascii="Times New Roman" w:hAnsi="Times New Roman"/>
          <w:bCs/>
          <w:lang w:val="pt-BR"/>
        </w:rPr>
        <w:t xml:space="preserve">Biomassas lignocelulósicas residuais como precursoras de catalisadores ácidos já são amplamente utilizadas na literatura e, além reduzirem os custos da síntese, podem apresentar características benéficas oriundas </w:t>
      </w:r>
      <w:r w:rsidR="00981C87">
        <w:rPr>
          <w:rFonts w:ascii="Times New Roman" w:hAnsi="Times New Roman"/>
          <w:bCs/>
          <w:lang w:val="pt-BR"/>
        </w:rPr>
        <w:t xml:space="preserve">do carvão, como uma boa estabilidade térmica, alta porosidade e elevada área superficial </w:t>
      </w:r>
      <w:r w:rsidR="00981C87" w:rsidRPr="00C9658F">
        <w:rPr>
          <w:rFonts w:ascii="Times New Roman" w:hAnsi="Times New Roman"/>
          <w:bCs/>
          <w:lang w:val="pt-BR"/>
        </w:rPr>
        <w:t>(</w:t>
      </w:r>
      <w:r w:rsidR="00C9658F" w:rsidRPr="00C9658F">
        <w:rPr>
          <w:rFonts w:ascii="Times New Roman" w:hAnsi="Times New Roman"/>
          <w:bCs/>
          <w:lang w:val="pt-BR"/>
        </w:rPr>
        <w:t>3</w:t>
      </w:r>
      <w:r w:rsidR="00981C87" w:rsidRPr="00C9658F">
        <w:rPr>
          <w:rFonts w:ascii="Times New Roman" w:hAnsi="Times New Roman"/>
          <w:bCs/>
          <w:lang w:val="pt-BR"/>
        </w:rPr>
        <w:t>)</w:t>
      </w:r>
      <w:r w:rsidR="00981C87">
        <w:rPr>
          <w:rFonts w:ascii="Times New Roman" w:hAnsi="Times New Roman"/>
          <w:bCs/>
          <w:lang w:val="pt-BR"/>
        </w:rPr>
        <w:t xml:space="preserve">. </w:t>
      </w:r>
    </w:p>
    <w:p w14:paraId="4959871F" w14:textId="4ECBABD1" w:rsidR="00981C87" w:rsidRDefault="00981C87" w:rsidP="009F5679">
      <w:pPr>
        <w:pStyle w:val="TAMainText"/>
        <w:rPr>
          <w:rFonts w:ascii="Times New Roman" w:hAnsi="Times New Roman"/>
          <w:bCs/>
          <w:lang w:val="pt-BR"/>
        </w:rPr>
      </w:pPr>
      <w:r>
        <w:rPr>
          <w:rFonts w:ascii="Times New Roman" w:hAnsi="Times New Roman"/>
          <w:bCs/>
          <w:lang w:val="pt-BR"/>
        </w:rPr>
        <w:t xml:space="preserve">O Destilado da Desodorização do Óleo de Palma </w:t>
      </w:r>
      <w:r w:rsidR="006329ED">
        <w:rPr>
          <w:rFonts w:ascii="Times New Roman" w:hAnsi="Times New Roman"/>
          <w:bCs/>
          <w:lang w:val="pt-BR"/>
        </w:rPr>
        <w:t xml:space="preserve">(DDOP) </w:t>
      </w:r>
      <w:r>
        <w:rPr>
          <w:rFonts w:ascii="Times New Roman" w:hAnsi="Times New Roman"/>
          <w:bCs/>
          <w:lang w:val="pt-BR"/>
        </w:rPr>
        <w:t>é um subproduto gerado durante o processo de refino do óleo de pa</w:t>
      </w:r>
      <w:r w:rsidR="001C5D8C">
        <w:rPr>
          <w:rFonts w:ascii="Times New Roman" w:hAnsi="Times New Roman"/>
          <w:bCs/>
          <w:lang w:val="pt-BR"/>
        </w:rPr>
        <w:t>lma</w:t>
      </w:r>
      <w:r w:rsidR="00173112">
        <w:rPr>
          <w:rFonts w:ascii="Times New Roman" w:hAnsi="Times New Roman"/>
          <w:bCs/>
          <w:lang w:val="pt-BR"/>
        </w:rPr>
        <w:t xml:space="preserve"> e, por ainda conter </w:t>
      </w:r>
      <w:r w:rsidR="00353DBA">
        <w:rPr>
          <w:rFonts w:ascii="Times New Roman" w:hAnsi="Times New Roman"/>
          <w:bCs/>
          <w:lang w:val="pt-BR"/>
        </w:rPr>
        <w:t xml:space="preserve">cerca de </w:t>
      </w:r>
      <w:r w:rsidR="003C5725">
        <w:rPr>
          <w:rFonts w:ascii="Times New Roman" w:hAnsi="Times New Roman"/>
          <w:bCs/>
          <w:lang w:val="pt-BR"/>
        </w:rPr>
        <w:t xml:space="preserve">84 % de </w:t>
      </w:r>
      <w:r w:rsidR="00173112">
        <w:rPr>
          <w:rFonts w:ascii="Times New Roman" w:hAnsi="Times New Roman"/>
          <w:bCs/>
          <w:lang w:val="pt-BR"/>
        </w:rPr>
        <w:t xml:space="preserve">ácidos </w:t>
      </w:r>
      <w:r w:rsidR="00173112">
        <w:rPr>
          <w:rFonts w:ascii="Times New Roman" w:hAnsi="Times New Roman"/>
          <w:bCs/>
          <w:lang w:val="pt-BR"/>
        </w:rPr>
        <w:t>graxos</w:t>
      </w:r>
      <w:r w:rsidR="0012256C">
        <w:rPr>
          <w:rFonts w:ascii="Times New Roman" w:hAnsi="Times New Roman"/>
          <w:bCs/>
          <w:lang w:val="pt-BR"/>
        </w:rPr>
        <w:t xml:space="preserve"> livres</w:t>
      </w:r>
      <w:r w:rsidR="009B3554">
        <w:rPr>
          <w:rFonts w:ascii="Times New Roman" w:hAnsi="Times New Roman"/>
          <w:bCs/>
          <w:lang w:val="pt-BR"/>
        </w:rPr>
        <w:t xml:space="preserve"> (AGL)</w:t>
      </w:r>
      <w:r w:rsidR="00173112">
        <w:rPr>
          <w:rFonts w:ascii="Times New Roman" w:hAnsi="Times New Roman"/>
          <w:bCs/>
          <w:lang w:val="pt-BR"/>
        </w:rPr>
        <w:t>, pode ser aplicado em reações de esterificação para a obtenção de biodiesel</w:t>
      </w:r>
      <w:r w:rsidR="005B7B5B">
        <w:rPr>
          <w:rFonts w:ascii="Times New Roman" w:hAnsi="Times New Roman"/>
          <w:bCs/>
          <w:lang w:val="pt-BR"/>
        </w:rPr>
        <w:t xml:space="preserve"> </w:t>
      </w:r>
      <w:r w:rsidR="005B7B5B" w:rsidRPr="00460747">
        <w:rPr>
          <w:rFonts w:ascii="Times New Roman" w:hAnsi="Times New Roman"/>
          <w:bCs/>
          <w:lang w:val="pt-BR"/>
        </w:rPr>
        <w:t>(</w:t>
      </w:r>
      <w:r w:rsidR="00460747" w:rsidRPr="00460747">
        <w:rPr>
          <w:rFonts w:ascii="Times New Roman" w:hAnsi="Times New Roman"/>
          <w:bCs/>
          <w:lang w:val="pt-BR"/>
        </w:rPr>
        <w:t>4</w:t>
      </w:r>
      <w:r w:rsidR="005B7B5B" w:rsidRPr="00460747">
        <w:rPr>
          <w:rFonts w:ascii="Times New Roman" w:hAnsi="Times New Roman"/>
          <w:bCs/>
          <w:lang w:val="pt-BR"/>
        </w:rPr>
        <w:t>)</w:t>
      </w:r>
      <w:r w:rsidR="00173112" w:rsidRPr="00460747">
        <w:rPr>
          <w:rFonts w:ascii="Times New Roman" w:hAnsi="Times New Roman"/>
          <w:bCs/>
          <w:lang w:val="pt-BR"/>
        </w:rPr>
        <w:t>.</w:t>
      </w:r>
    </w:p>
    <w:p w14:paraId="191CCAFC" w14:textId="2B1ED67A" w:rsidR="00984856" w:rsidRPr="005F7F84" w:rsidRDefault="008A03BB" w:rsidP="00C93F6F">
      <w:pPr>
        <w:pStyle w:val="TAMainText"/>
        <w:rPr>
          <w:rFonts w:ascii="Times New Roman" w:hAnsi="Times New Roman"/>
          <w:bCs/>
          <w:lang w:val="pt-BR"/>
        </w:rPr>
      </w:pPr>
      <w:r>
        <w:rPr>
          <w:rFonts w:ascii="Times New Roman" w:hAnsi="Times New Roman"/>
          <w:bCs/>
          <w:lang w:val="pt-BR"/>
        </w:rPr>
        <w:t>O pre</w:t>
      </w:r>
      <w:r w:rsidR="005D116C">
        <w:rPr>
          <w:rFonts w:ascii="Times New Roman" w:hAnsi="Times New Roman"/>
          <w:bCs/>
          <w:lang w:val="pt-BR"/>
        </w:rPr>
        <w:t xml:space="preserve">sente trabalho visa </w:t>
      </w:r>
      <w:r w:rsidR="00563DA6">
        <w:rPr>
          <w:rFonts w:ascii="Times New Roman" w:hAnsi="Times New Roman"/>
          <w:bCs/>
          <w:lang w:val="pt-BR"/>
        </w:rPr>
        <w:t>utilizar dois resíduos agroindustriais</w:t>
      </w:r>
      <w:r w:rsidR="006329ED">
        <w:rPr>
          <w:rFonts w:ascii="Times New Roman" w:hAnsi="Times New Roman"/>
          <w:bCs/>
          <w:lang w:val="pt-BR"/>
        </w:rPr>
        <w:t>, as cascas do caroço de murumuru e o</w:t>
      </w:r>
      <w:r w:rsidR="00563DA6">
        <w:rPr>
          <w:rFonts w:ascii="Times New Roman" w:hAnsi="Times New Roman"/>
          <w:bCs/>
          <w:lang w:val="pt-BR"/>
        </w:rPr>
        <w:t xml:space="preserve"> </w:t>
      </w:r>
      <w:r w:rsidR="006329ED">
        <w:rPr>
          <w:rFonts w:ascii="Times New Roman" w:hAnsi="Times New Roman"/>
          <w:bCs/>
          <w:lang w:val="pt-BR"/>
        </w:rPr>
        <w:t xml:space="preserve">DDOP, </w:t>
      </w:r>
      <w:r w:rsidR="00483C95">
        <w:rPr>
          <w:rFonts w:ascii="Times New Roman" w:hAnsi="Times New Roman"/>
          <w:bCs/>
          <w:lang w:val="pt-BR"/>
        </w:rPr>
        <w:t>e aplicá-los e</w:t>
      </w:r>
      <w:r w:rsidR="00EF33B2">
        <w:rPr>
          <w:rFonts w:ascii="Times New Roman" w:hAnsi="Times New Roman"/>
          <w:bCs/>
          <w:lang w:val="pt-BR"/>
        </w:rPr>
        <w:t xml:space="preserve">m uma reação para gerar um produto de </w:t>
      </w:r>
      <w:r w:rsidR="002D3BBB">
        <w:rPr>
          <w:rFonts w:ascii="Times New Roman" w:hAnsi="Times New Roman"/>
          <w:bCs/>
          <w:lang w:val="pt-BR"/>
        </w:rPr>
        <w:t>valor agregado</w:t>
      </w:r>
      <w:r w:rsidR="009A3AF2">
        <w:rPr>
          <w:rFonts w:ascii="Times New Roman" w:hAnsi="Times New Roman"/>
          <w:bCs/>
          <w:lang w:val="pt-BR"/>
        </w:rPr>
        <w:t xml:space="preserve">, o biodiesel. </w:t>
      </w:r>
    </w:p>
    <w:p w14:paraId="52FFAC79" w14:textId="77777777" w:rsidR="00EA4E1B" w:rsidRPr="001F25B2" w:rsidRDefault="00EA4E1B" w:rsidP="00962FE5">
      <w:pPr>
        <w:pStyle w:val="Ttulo2"/>
        <w:rPr>
          <w:rFonts w:ascii="Helvetica" w:hAnsi="Helvetica" w:cs="Helvetica"/>
          <w:sz w:val="24"/>
          <w:szCs w:val="24"/>
        </w:rPr>
      </w:pPr>
      <w:r w:rsidRPr="001F25B2">
        <w:rPr>
          <w:rFonts w:ascii="Helvetica" w:hAnsi="Helvetica" w:cs="Helvetica"/>
          <w:sz w:val="24"/>
          <w:szCs w:val="24"/>
        </w:rPr>
        <w:t>Experimental</w:t>
      </w:r>
    </w:p>
    <w:p w14:paraId="13A174BA" w14:textId="3942B223" w:rsidR="00C0618E" w:rsidRDefault="00AF4D3A" w:rsidP="00EA4E1B">
      <w:pPr>
        <w:pStyle w:val="TAMainText"/>
        <w:ind w:firstLine="0"/>
        <w:rPr>
          <w:rFonts w:ascii="Times New Roman" w:hAnsi="Times New Roman"/>
          <w:i/>
          <w:lang w:val="pt-BR"/>
        </w:rPr>
      </w:pPr>
      <w:r>
        <w:rPr>
          <w:rFonts w:ascii="Times New Roman" w:hAnsi="Times New Roman"/>
          <w:i/>
          <w:lang w:val="pt-BR"/>
        </w:rPr>
        <w:t>Prepar</w:t>
      </w:r>
      <w:r w:rsidR="00BF516B">
        <w:rPr>
          <w:rFonts w:ascii="Times New Roman" w:hAnsi="Times New Roman"/>
          <w:i/>
          <w:lang w:val="pt-BR"/>
        </w:rPr>
        <w:t>o</w:t>
      </w:r>
      <w:r>
        <w:rPr>
          <w:rFonts w:ascii="Times New Roman" w:hAnsi="Times New Roman"/>
          <w:i/>
          <w:lang w:val="pt-BR"/>
        </w:rPr>
        <w:t xml:space="preserve"> do catalisador</w:t>
      </w:r>
    </w:p>
    <w:p w14:paraId="7BA02121" w14:textId="655E758C" w:rsidR="00CB7CF6" w:rsidRDefault="00DC53B8" w:rsidP="00114DD7">
      <w:pPr>
        <w:pStyle w:val="TAMainText"/>
        <w:rPr>
          <w:rFonts w:ascii="Times New Roman" w:hAnsi="Times New Roman"/>
          <w:lang w:val="pt-BR"/>
        </w:rPr>
      </w:pPr>
      <w:r>
        <w:rPr>
          <w:rFonts w:ascii="Times New Roman" w:hAnsi="Times New Roman"/>
          <w:lang w:val="pt-BR"/>
        </w:rPr>
        <w:t xml:space="preserve">O preparo do catalisador seguiu o descrito em Corrêa e colaboradores (3). </w:t>
      </w:r>
      <w:r w:rsidR="001C2A6A">
        <w:rPr>
          <w:rFonts w:ascii="Times New Roman" w:hAnsi="Times New Roman"/>
          <w:lang w:val="pt-BR"/>
        </w:rPr>
        <w:t>A</w:t>
      </w:r>
      <w:r w:rsidR="00CB7CF6">
        <w:rPr>
          <w:rFonts w:ascii="Times New Roman" w:hAnsi="Times New Roman"/>
          <w:lang w:val="pt-BR"/>
        </w:rPr>
        <w:t>s cascas de murumuru foram tritu</w:t>
      </w:r>
      <w:r w:rsidR="00114DD7">
        <w:rPr>
          <w:rFonts w:ascii="Times New Roman" w:hAnsi="Times New Roman"/>
          <w:lang w:val="pt-BR"/>
        </w:rPr>
        <w:t>radas e passaram por uma peneira de 35 mesh</w:t>
      </w:r>
      <w:r w:rsidR="000C1325">
        <w:rPr>
          <w:rFonts w:ascii="Times New Roman" w:hAnsi="Times New Roman"/>
          <w:lang w:val="pt-BR"/>
        </w:rPr>
        <w:t xml:space="preserve">. </w:t>
      </w:r>
      <w:r w:rsidR="001C2A6A">
        <w:rPr>
          <w:rFonts w:ascii="Times New Roman" w:hAnsi="Times New Roman"/>
          <w:lang w:val="pt-BR"/>
        </w:rPr>
        <w:t>O processo de</w:t>
      </w:r>
      <w:r w:rsidR="002C7317">
        <w:rPr>
          <w:rFonts w:ascii="Times New Roman" w:hAnsi="Times New Roman"/>
          <w:lang w:val="pt-BR"/>
        </w:rPr>
        <w:t xml:space="preserve"> carbonização ocorreu em forno tubular a uma temperatura</w:t>
      </w:r>
      <w:r w:rsidR="0043757D">
        <w:rPr>
          <w:rFonts w:ascii="Times New Roman" w:hAnsi="Times New Roman"/>
          <w:lang w:val="pt-BR"/>
        </w:rPr>
        <w:t xml:space="preserve"> de 600 ºC</w:t>
      </w:r>
      <w:r w:rsidR="001C2A6A">
        <w:rPr>
          <w:rFonts w:ascii="Times New Roman" w:hAnsi="Times New Roman"/>
          <w:lang w:val="pt-BR"/>
        </w:rPr>
        <w:t>, por 1 hora, sob taxa de aquecimento de 10 ºC</w:t>
      </w:r>
      <w:r w:rsidR="00586D30">
        <w:rPr>
          <w:rFonts w:ascii="Times New Roman" w:hAnsi="Times New Roman"/>
          <w:lang w:val="pt-BR"/>
        </w:rPr>
        <w:t xml:space="preserve"> min</w:t>
      </w:r>
      <w:r w:rsidR="00586D30">
        <w:rPr>
          <w:rFonts w:ascii="Times New Roman" w:hAnsi="Times New Roman"/>
          <w:vertAlign w:val="superscript"/>
          <w:lang w:val="pt-BR"/>
        </w:rPr>
        <w:t>-1</w:t>
      </w:r>
      <w:r w:rsidR="00586D30">
        <w:rPr>
          <w:rFonts w:ascii="Times New Roman" w:hAnsi="Times New Roman"/>
          <w:lang w:val="pt-BR"/>
        </w:rPr>
        <w:t xml:space="preserve"> e fluxo de N</w:t>
      </w:r>
      <w:r w:rsidR="00586D30">
        <w:rPr>
          <w:rFonts w:ascii="Times New Roman" w:hAnsi="Times New Roman"/>
          <w:vertAlign w:val="subscript"/>
          <w:lang w:val="pt-BR"/>
        </w:rPr>
        <w:t>2</w:t>
      </w:r>
      <w:r w:rsidR="00586D30">
        <w:rPr>
          <w:rFonts w:ascii="Times New Roman" w:hAnsi="Times New Roman"/>
          <w:lang w:val="pt-BR"/>
        </w:rPr>
        <w:t xml:space="preserve"> de </w:t>
      </w:r>
      <w:r w:rsidR="00711FC6">
        <w:rPr>
          <w:rFonts w:ascii="Times New Roman" w:hAnsi="Times New Roman"/>
          <w:lang w:val="pt-BR"/>
        </w:rPr>
        <w:t>80 mL min</w:t>
      </w:r>
      <w:r w:rsidR="00711FC6">
        <w:rPr>
          <w:rFonts w:ascii="Times New Roman" w:hAnsi="Times New Roman"/>
          <w:vertAlign w:val="superscript"/>
          <w:lang w:val="pt-BR"/>
        </w:rPr>
        <w:t>-1</w:t>
      </w:r>
      <w:r w:rsidR="00304B3B">
        <w:rPr>
          <w:rFonts w:ascii="Times New Roman" w:hAnsi="Times New Roman"/>
          <w:lang w:val="pt-BR"/>
        </w:rPr>
        <w:t>.</w:t>
      </w:r>
    </w:p>
    <w:p w14:paraId="18149297" w14:textId="2C14CBE9" w:rsidR="007C1FB6" w:rsidRDefault="005A40F6" w:rsidP="000D17ED">
      <w:pPr>
        <w:pStyle w:val="TAMainText"/>
        <w:rPr>
          <w:rFonts w:ascii="Times New Roman" w:hAnsi="Times New Roman"/>
          <w:lang w:val="pt-BR"/>
        </w:rPr>
      </w:pPr>
      <w:r>
        <w:rPr>
          <w:rFonts w:ascii="Times New Roman" w:hAnsi="Times New Roman"/>
          <w:lang w:val="pt-BR"/>
        </w:rPr>
        <w:t>O biocarvão obtido foi sulfonado em sistema de refluxo</w:t>
      </w:r>
      <w:r w:rsidR="00D44BFE">
        <w:rPr>
          <w:rFonts w:ascii="Times New Roman" w:hAnsi="Times New Roman"/>
          <w:lang w:val="pt-BR"/>
        </w:rPr>
        <w:t>,</w:t>
      </w:r>
      <w:r w:rsidR="00415585">
        <w:rPr>
          <w:rFonts w:ascii="Times New Roman" w:hAnsi="Times New Roman"/>
          <w:lang w:val="pt-BR"/>
        </w:rPr>
        <w:t xml:space="preserve"> </w:t>
      </w:r>
      <w:r>
        <w:rPr>
          <w:rFonts w:ascii="Times New Roman" w:hAnsi="Times New Roman"/>
          <w:lang w:val="pt-BR"/>
        </w:rPr>
        <w:t>com ácido sulfúrico concentrado</w:t>
      </w:r>
      <w:r w:rsidR="00D44BFE">
        <w:rPr>
          <w:rFonts w:ascii="Times New Roman" w:hAnsi="Times New Roman"/>
          <w:lang w:val="pt-BR"/>
        </w:rPr>
        <w:t xml:space="preserve"> a uma razão de 1:10 m</w:t>
      </w:r>
      <w:r w:rsidR="008C3F00">
        <w:rPr>
          <w:rFonts w:ascii="Times New Roman" w:hAnsi="Times New Roman"/>
          <w:lang w:val="pt-BR"/>
        </w:rPr>
        <w:t xml:space="preserve">/v </w:t>
      </w:r>
      <w:r w:rsidR="008C3F00">
        <w:rPr>
          <w:rFonts w:ascii="Times New Roman" w:hAnsi="Times New Roman"/>
          <w:lang w:val="pt-BR"/>
        </w:rPr>
        <w:lastRenderedPageBreak/>
        <w:t>(biocarvão/ácido)</w:t>
      </w:r>
      <w:r w:rsidR="001710F7">
        <w:rPr>
          <w:rFonts w:ascii="Times New Roman" w:hAnsi="Times New Roman"/>
          <w:lang w:val="pt-BR"/>
        </w:rPr>
        <w:t>, durante 4 horas</w:t>
      </w:r>
      <w:r w:rsidR="009A7E25">
        <w:rPr>
          <w:rFonts w:ascii="Times New Roman" w:hAnsi="Times New Roman"/>
          <w:lang w:val="pt-BR"/>
        </w:rPr>
        <w:t xml:space="preserve"> e sob</w:t>
      </w:r>
      <w:r w:rsidR="0062001C">
        <w:rPr>
          <w:rFonts w:ascii="Times New Roman" w:hAnsi="Times New Roman"/>
          <w:lang w:val="pt-BR"/>
        </w:rPr>
        <w:t xml:space="preserve"> uma temperatura de 200 ºC</w:t>
      </w:r>
      <w:r w:rsidR="009A7E25">
        <w:rPr>
          <w:rFonts w:ascii="Times New Roman" w:hAnsi="Times New Roman"/>
          <w:lang w:val="pt-BR"/>
        </w:rPr>
        <w:t xml:space="preserve">. Após esse processo, </w:t>
      </w:r>
      <w:r w:rsidR="009E69FA">
        <w:rPr>
          <w:rFonts w:ascii="Times New Roman" w:hAnsi="Times New Roman"/>
          <w:lang w:val="pt-BR"/>
        </w:rPr>
        <w:t xml:space="preserve">o conteúdo foi diluído </w:t>
      </w:r>
      <w:r w:rsidR="00E17067">
        <w:rPr>
          <w:rFonts w:ascii="Times New Roman" w:hAnsi="Times New Roman"/>
          <w:lang w:val="pt-BR"/>
        </w:rPr>
        <w:t xml:space="preserve">em 1 L de água </w:t>
      </w:r>
      <w:r w:rsidR="00AC316C">
        <w:rPr>
          <w:rFonts w:ascii="Times New Roman" w:hAnsi="Times New Roman"/>
          <w:lang w:val="pt-BR"/>
        </w:rPr>
        <w:t>destilada</w:t>
      </w:r>
      <w:r w:rsidR="0005626C">
        <w:rPr>
          <w:rFonts w:ascii="Times New Roman" w:hAnsi="Times New Roman"/>
          <w:lang w:val="pt-BR"/>
        </w:rPr>
        <w:t>, de maneira a diminuir os riscos,</w:t>
      </w:r>
      <w:r w:rsidR="00AC316C">
        <w:rPr>
          <w:rFonts w:ascii="Times New Roman" w:hAnsi="Times New Roman"/>
          <w:lang w:val="pt-BR"/>
        </w:rPr>
        <w:t xml:space="preserve"> </w:t>
      </w:r>
      <w:r w:rsidR="0022551E">
        <w:rPr>
          <w:rFonts w:ascii="Times New Roman" w:hAnsi="Times New Roman"/>
          <w:lang w:val="pt-BR"/>
        </w:rPr>
        <w:t>para passar pelo processo de filtragem à vácuo</w:t>
      </w:r>
      <w:r w:rsidR="0005626C">
        <w:rPr>
          <w:rFonts w:ascii="Times New Roman" w:hAnsi="Times New Roman"/>
          <w:lang w:val="pt-BR"/>
        </w:rPr>
        <w:t>.</w:t>
      </w:r>
      <w:r w:rsidR="009C3275">
        <w:rPr>
          <w:rFonts w:ascii="Times New Roman" w:hAnsi="Times New Roman"/>
          <w:lang w:val="pt-BR"/>
        </w:rPr>
        <w:t xml:space="preserve"> O biocarvão foi lavado com água destilada até a água de lavagem </w:t>
      </w:r>
      <w:r w:rsidR="00257A6A">
        <w:rPr>
          <w:rFonts w:ascii="Times New Roman" w:hAnsi="Times New Roman"/>
          <w:lang w:val="pt-BR"/>
        </w:rPr>
        <w:t xml:space="preserve">se encontrar em pH próximo de 7 e seco em estufa a </w:t>
      </w:r>
      <w:r w:rsidR="00E908FC">
        <w:rPr>
          <w:rFonts w:ascii="Times New Roman" w:hAnsi="Times New Roman"/>
          <w:lang w:val="pt-BR"/>
        </w:rPr>
        <w:t>110 ºC.</w:t>
      </w:r>
    </w:p>
    <w:p w14:paraId="5DD03A93" w14:textId="77777777" w:rsidR="007C1FB6" w:rsidRDefault="007C1FB6" w:rsidP="00962FE5">
      <w:pPr>
        <w:spacing w:after="0"/>
        <w:rPr>
          <w:rFonts w:ascii="Times New Roman" w:eastAsia="Calibri" w:hAnsi="Times New Roman" w:cs="Times New Roman"/>
        </w:rPr>
      </w:pPr>
      <w:r w:rsidRPr="009328F3">
        <w:rPr>
          <w:rFonts w:ascii="Times New Roman" w:hAnsi="Times New Roman"/>
          <w:i/>
          <w:sz w:val="20"/>
          <w:szCs w:val="20"/>
        </w:rPr>
        <w:t>Espectroscopia de Energia Dispersiva de Raios-X</w:t>
      </w:r>
      <w:r>
        <w:rPr>
          <w:rFonts w:ascii="Times New Roman" w:hAnsi="Times New Roman"/>
          <w:i/>
          <w:sz w:val="20"/>
          <w:szCs w:val="20"/>
        </w:rPr>
        <w:t xml:space="preserve"> (EDS)</w:t>
      </w:r>
      <w:r w:rsidRPr="009328F3">
        <w:rPr>
          <w:rFonts w:ascii="Times New Roman" w:hAnsi="Times New Roman"/>
          <w:i/>
          <w:sz w:val="20"/>
          <w:szCs w:val="20"/>
        </w:rPr>
        <w:t>.</w:t>
      </w:r>
    </w:p>
    <w:p w14:paraId="6CDFE1CE" w14:textId="246B417F" w:rsidR="00962FE5" w:rsidRPr="007C1FB6" w:rsidRDefault="007C1FB6" w:rsidP="000D17ED">
      <w:pPr>
        <w:pStyle w:val="TAMainText"/>
        <w:ind w:firstLine="187"/>
        <w:rPr>
          <w:rFonts w:ascii="Times New Roman" w:hAnsi="Times New Roman"/>
          <w:lang w:val="pt-BR"/>
        </w:rPr>
      </w:pPr>
      <w:r>
        <w:rPr>
          <w:rFonts w:ascii="Times New Roman" w:hAnsi="Times New Roman"/>
          <w:lang w:val="pt-BR"/>
        </w:rPr>
        <w:t xml:space="preserve">As análises por EDS (Energy Dispersive Spectroscopy) </w:t>
      </w:r>
      <w:r w:rsidR="006B72C5">
        <w:rPr>
          <w:rFonts w:ascii="Times New Roman" w:hAnsi="Times New Roman"/>
          <w:lang w:val="pt-BR"/>
        </w:rPr>
        <w:t xml:space="preserve">foram realizadas </w:t>
      </w:r>
      <w:r>
        <w:rPr>
          <w:rFonts w:ascii="Times New Roman" w:hAnsi="Times New Roman"/>
          <w:lang w:val="pt-BR"/>
        </w:rPr>
        <w:t xml:space="preserve">empregando-se um detector Oxford X-act e software Oxford </w:t>
      </w:r>
      <w:proofErr w:type="spellStart"/>
      <w:r>
        <w:rPr>
          <w:rFonts w:ascii="Times New Roman" w:hAnsi="Times New Roman"/>
          <w:lang w:val="pt-BR"/>
        </w:rPr>
        <w:t>AZtecOne</w:t>
      </w:r>
      <w:proofErr w:type="spellEnd"/>
      <w:r>
        <w:rPr>
          <w:rFonts w:ascii="Times New Roman" w:hAnsi="Times New Roman"/>
          <w:lang w:val="pt-BR"/>
        </w:rPr>
        <w:t>.</w:t>
      </w:r>
    </w:p>
    <w:p w14:paraId="35887134" w14:textId="5C5EBB42" w:rsidR="00EA4E1B" w:rsidRPr="001F25B2" w:rsidRDefault="00E908FC" w:rsidP="00EA4E1B">
      <w:pPr>
        <w:pStyle w:val="TAMainText"/>
        <w:ind w:firstLine="0"/>
        <w:rPr>
          <w:rFonts w:ascii="Times New Roman" w:hAnsi="Times New Roman"/>
          <w:i/>
          <w:lang w:val="pt-BR"/>
        </w:rPr>
      </w:pPr>
      <w:r>
        <w:rPr>
          <w:rFonts w:ascii="Times New Roman" w:hAnsi="Times New Roman"/>
          <w:i/>
          <w:lang w:val="pt-BR"/>
        </w:rPr>
        <w:t xml:space="preserve">Processo de </w:t>
      </w:r>
      <w:r w:rsidR="003526CE">
        <w:rPr>
          <w:rFonts w:ascii="Times New Roman" w:hAnsi="Times New Roman"/>
          <w:i/>
          <w:lang w:val="pt-BR"/>
        </w:rPr>
        <w:t>esterificação</w:t>
      </w:r>
    </w:p>
    <w:p w14:paraId="4E6BAA29" w14:textId="3B87D30C" w:rsidR="00EA4E1B" w:rsidRPr="0025771F" w:rsidRDefault="009A18C8" w:rsidP="00EA4E1B">
      <w:pPr>
        <w:pStyle w:val="TAMainText"/>
        <w:rPr>
          <w:rFonts w:ascii="Times New Roman" w:hAnsi="Times New Roman"/>
          <w:lang w:val="pt-BR"/>
        </w:rPr>
      </w:pPr>
      <w:r>
        <w:rPr>
          <w:rFonts w:ascii="Times New Roman" w:hAnsi="Times New Roman"/>
          <w:lang w:val="pt-BR"/>
        </w:rPr>
        <w:t xml:space="preserve">A esterificação de </w:t>
      </w:r>
      <w:r w:rsidR="005C0046">
        <w:rPr>
          <w:rFonts w:ascii="Times New Roman" w:hAnsi="Times New Roman"/>
          <w:lang w:val="pt-BR"/>
        </w:rPr>
        <w:t xml:space="preserve">DDOP </w:t>
      </w:r>
      <w:r w:rsidR="00CA2503">
        <w:rPr>
          <w:rFonts w:ascii="Times New Roman" w:hAnsi="Times New Roman"/>
          <w:lang w:val="pt-BR"/>
        </w:rPr>
        <w:t xml:space="preserve">foi realizada em um reator de bancada </w:t>
      </w:r>
      <w:proofErr w:type="spellStart"/>
      <w:r w:rsidR="00CA2503">
        <w:rPr>
          <w:rFonts w:ascii="Times New Roman" w:hAnsi="Times New Roman"/>
          <w:lang w:val="pt-BR"/>
        </w:rPr>
        <w:t>Parr</w:t>
      </w:r>
      <w:proofErr w:type="spellEnd"/>
      <w:r w:rsidR="00354C98">
        <w:rPr>
          <w:rFonts w:ascii="Times New Roman" w:hAnsi="Times New Roman"/>
          <w:lang w:val="pt-BR"/>
        </w:rPr>
        <w:t xml:space="preserve"> </w:t>
      </w:r>
      <w:r w:rsidR="003A74A6">
        <w:rPr>
          <w:rFonts w:ascii="Times New Roman" w:hAnsi="Times New Roman"/>
          <w:lang w:val="pt-BR"/>
        </w:rPr>
        <w:t>4848,</w:t>
      </w:r>
      <w:r w:rsidR="003A74A6">
        <w:rPr>
          <w:rFonts w:ascii="Times New Roman" w:hAnsi="Times New Roman"/>
          <w:color w:val="FF0000"/>
          <w:lang w:val="pt-BR"/>
        </w:rPr>
        <w:t xml:space="preserve"> </w:t>
      </w:r>
      <w:r w:rsidR="003A74A6">
        <w:rPr>
          <w:rFonts w:ascii="Times New Roman" w:hAnsi="Times New Roman"/>
          <w:lang w:val="pt-BR"/>
        </w:rPr>
        <w:t>na</w:t>
      </w:r>
      <w:r w:rsidR="00B75A7C">
        <w:rPr>
          <w:rFonts w:ascii="Times New Roman" w:hAnsi="Times New Roman"/>
          <w:lang w:val="pt-BR"/>
        </w:rPr>
        <w:t xml:space="preserve"> razão molar de </w:t>
      </w:r>
      <w:r w:rsidR="00B75A7C" w:rsidRPr="00354C98">
        <w:rPr>
          <w:rFonts w:ascii="Times New Roman" w:hAnsi="Times New Roman"/>
          <w:lang w:val="pt-BR"/>
        </w:rPr>
        <w:t xml:space="preserve">1:10 </w:t>
      </w:r>
      <w:r w:rsidR="001D75D3">
        <w:rPr>
          <w:rFonts w:ascii="Times New Roman" w:hAnsi="Times New Roman"/>
          <w:lang w:val="pt-BR"/>
        </w:rPr>
        <w:t>(DDOP/metanol)</w:t>
      </w:r>
      <w:r w:rsidR="007C54B0">
        <w:rPr>
          <w:rFonts w:ascii="Times New Roman" w:hAnsi="Times New Roman"/>
          <w:lang w:val="pt-BR"/>
        </w:rPr>
        <w:t>,</w:t>
      </w:r>
      <w:r w:rsidR="00D13D4C">
        <w:rPr>
          <w:rFonts w:ascii="Times New Roman" w:hAnsi="Times New Roman"/>
          <w:lang w:val="pt-BR"/>
        </w:rPr>
        <w:t xml:space="preserve"> a</w:t>
      </w:r>
      <w:r w:rsidR="00CE7D53">
        <w:rPr>
          <w:rFonts w:ascii="Times New Roman" w:hAnsi="Times New Roman"/>
          <w:lang w:val="pt-BR"/>
        </w:rPr>
        <w:t xml:space="preserve"> uma temperatura de</w:t>
      </w:r>
      <w:r w:rsidR="00D13D4C">
        <w:rPr>
          <w:rFonts w:ascii="Times New Roman" w:hAnsi="Times New Roman"/>
          <w:lang w:val="pt-BR"/>
        </w:rPr>
        <w:t xml:space="preserve"> 90ºC</w:t>
      </w:r>
      <w:r w:rsidR="00CE7D53">
        <w:rPr>
          <w:rFonts w:ascii="Times New Roman" w:hAnsi="Times New Roman"/>
          <w:lang w:val="pt-BR"/>
        </w:rPr>
        <w:t>,</w:t>
      </w:r>
      <w:r w:rsidR="00717B3A">
        <w:rPr>
          <w:rFonts w:ascii="Times New Roman" w:hAnsi="Times New Roman"/>
          <w:lang w:val="pt-BR"/>
        </w:rPr>
        <w:t xml:space="preserve"> durante </w:t>
      </w:r>
      <w:r w:rsidR="00717B3A" w:rsidRPr="00354C98">
        <w:rPr>
          <w:rFonts w:ascii="Times New Roman" w:hAnsi="Times New Roman"/>
          <w:lang w:val="pt-BR"/>
        </w:rPr>
        <w:t>1h30</w:t>
      </w:r>
      <w:r w:rsidR="00717B3A">
        <w:rPr>
          <w:rFonts w:ascii="Times New Roman" w:hAnsi="Times New Roman"/>
          <w:lang w:val="pt-BR"/>
        </w:rPr>
        <w:t xml:space="preserve"> e utilizando </w:t>
      </w:r>
      <w:r w:rsidR="007C54B0">
        <w:rPr>
          <w:rFonts w:ascii="Times New Roman" w:hAnsi="Times New Roman"/>
          <w:lang w:val="pt-BR"/>
        </w:rPr>
        <w:t>5% de catalisador</w:t>
      </w:r>
      <w:r w:rsidR="00067041">
        <w:rPr>
          <w:rFonts w:ascii="Times New Roman" w:hAnsi="Times New Roman"/>
          <w:lang w:val="pt-BR"/>
        </w:rPr>
        <w:t xml:space="preserve"> previamente seco na estufa por 1 hora a </w:t>
      </w:r>
      <w:r w:rsidR="00D13D4C">
        <w:rPr>
          <w:rFonts w:ascii="Times New Roman" w:hAnsi="Times New Roman"/>
          <w:lang w:val="pt-BR"/>
        </w:rPr>
        <w:t>130</w:t>
      </w:r>
      <w:r w:rsidR="008734E1" w:rsidRPr="00354C98">
        <w:rPr>
          <w:rFonts w:ascii="Times New Roman" w:hAnsi="Times New Roman"/>
          <w:lang w:val="pt-BR"/>
        </w:rPr>
        <w:t xml:space="preserve"> ºC</w:t>
      </w:r>
      <w:r w:rsidR="008734E1" w:rsidRPr="00916048">
        <w:rPr>
          <w:rFonts w:ascii="Times New Roman" w:hAnsi="Times New Roman"/>
          <w:color w:val="FF0000"/>
          <w:lang w:val="pt-BR"/>
        </w:rPr>
        <w:t>.</w:t>
      </w:r>
      <w:r w:rsidR="00067041" w:rsidRPr="00916048">
        <w:rPr>
          <w:rFonts w:ascii="Times New Roman" w:hAnsi="Times New Roman"/>
          <w:color w:val="FF0000"/>
          <w:lang w:val="pt-BR"/>
        </w:rPr>
        <w:t xml:space="preserve"> </w:t>
      </w:r>
      <w:r w:rsidR="007C54B0" w:rsidRPr="00916048">
        <w:rPr>
          <w:rFonts w:ascii="Times New Roman" w:hAnsi="Times New Roman"/>
          <w:color w:val="FF0000"/>
          <w:lang w:val="pt-BR"/>
        </w:rPr>
        <w:t xml:space="preserve"> </w:t>
      </w:r>
      <w:r w:rsidR="0025771F">
        <w:rPr>
          <w:rFonts w:ascii="Times New Roman" w:hAnsi="Times New Roman"/>
          <w:lang w:val="pt-BR"/>
        </w:rPr>
        <w:t>Após as reações, o produto foi</w:t>
      </w:r>
      <w:r w:rsidR="00552F64">
        <w:rPr>
          <w:rFonts w:ascii="Times New Roman" w:hAnsi="Times New Roman"/>
          <w:lang w:val="pt-BR"/>
        </w:rPr>
        <w:t xml:space="preserve"> filtrado para a separação </w:t>
      </w:r>
      <w:r w:rsidR="009523FB">
        <w:rPr>
          <w:rFonts w:ascii="Times New Roman" w:hAnsi="Times New Roman"/>
          <w:lang w:val="pt-BR"/>
        </w:rPr>
        <w:t>do catalisador e</w:t>
      </w:r>
      <w:r w:rsidR="0025771F">
        <w:rPr>
          <w:rFonts w:ascii="Times New Roman" w:hAnsi="Times New Roman"/>
          <w:lang w:val="pt-BR"/>
        </w:rPr>
        <w:t xml:space="preserve"> aquecido até 10</w:t>
      </w:r>
      <w:r w:rsidR="003A220C">
        <w:rPr>
          <w:rFonts w:ascii="Times New Roman" w:hAnsi="Times New Roman"/>
          <w:lang w:val="pt-BR"/>
        </w:rPr>
        <w:t>5 ºC para</w:t>
      </w:r>
      <w:r w:rsidR="009523FB">
        <w:rPr>
          <w:rFonts w:ascii="Times New Roman" w:hAnsi="Times New Roman"/>
          <w:lang w:val="pt-BR"/>
        </w:rPr>
        <w:t xml:space="preserve"> </w:t>
      </w:r>
      <w:r w:rsidR="00777B62">
        <w:rPr>
          <w:rFonts w:ascii="Times New Roman" w:hAnsi="Times New Roman"/>
          <w:lang w:val="pt-BR"/>
        </w:rPr>
        <w:t>a evaporação do álcool e da água.</w:t>
      </w:r>
    </w:p>
    <w:p w14:paraId="159B1D66" w14:textId="1E15A1F3" w:rsidR="00A513CE" w:rsidRDefault="00A513CE" w:rsidP="0022127A">
      <w:pPr>
        <w:pStyle w:val="TAMainText"/>
        <w:rPr>
          <w:rFonts w:ascii="Times New Roman" w:hAnsi="Times New Roman"/>
          <w:lang w:val="pt-BR"/>
        </w:rPr>
      </w:pPr>
      <w:bookmarkStart w:id="4" w:name="_Hlk142898956"/>
      <w:r>
        <w:rPr>
          <w:rFonts w:ascii="Times New Roman" w:hAnsi="Times New Roman"/>
          <w:lang w:val="pt-BR"/>
        </w:rPr>
        <w:t xml:space="preserve">As reações foram realizadas em triplicata </w:t>
      </w:r>
      <w:r w:rsidR="004E7737">
        <w:rPr>
          <w:rFonts w:ascii="Times New Roman" w:hAnsi="Times New Roman"/>
          <w:lang w:val="pt-BR"/>
        </w:rPr>
        <w:t>e a porcentagem de c</w:t>
      </w:r>
      <w:bookmarkEnd w:id="4"/>
      <w:r w:rsidR="004E7737">
        <w:rPr>
          <w:rFonts w:ascii="Times New Roman" w:hAnsi="Times New Roman"/>
          <w:lang w:val="pt-BR"/>
        </w:rPr>
        <w:t xml:space="preserve">onversão de ácidos graxos livres foi calculada </w:t>
      </w:r>
      <w:r w:rsidR="0023601C">
        <w:rPr>
          <w:rFonts w:ascii="Times New Roman" w:hAnsi="Times New Roman"/>
          <w:lang w:val="pt-BR"/>
        </w:rPr>
        <w:t xml:space="preserve">a partir dos resultados de índice de </w:t>
      </w:r>
      <w:r w:rsidR="00AB2E2F">
        <w:rPr>
          <w:rFonts w:ascii="Times New Roman" w:hAnsi="Times New Roman"/>
          <w:lang w:val="pt-BR"/>
        </w:rPr>
        <w:t>acidez das amostras</w:t>
      </w:r>
      <w:r w:rsidR="00E06E62">
        <w:rPr>
          <w:rFonts w:ascii="Times New Roman" w:hAnsi="Times New Roman"/>
          <w:lang w:val="pt-BR"/>
        </w:rPr>
        <w:t>, também realizado em triplicata</w:t>
      </w:r>
      <w:r w:rsidR="00AB2E2F">
        <w:rPr>
          <w:rFonts w:ascii="Times New Roman" w:hAnsi="Times New Roman"/>
          <w:lang w:val="pt-BR"/>
        </w:rPr>
        <w:t>.</w:t>
      </w:r>
      <w:r w:rsidR="00A230D8">
        <w:rPr>
          <w:rFonts w:ascii="Times New Roman" w:hAnsi="Times New Roman"/>
          <w:lang w:val="pt-BR"/>
        </w:rPr>
        <w:t xml:space="preserve"> A conversão foi calculada de</w:t>
      </w:r>
      <w:r w:rsidR="004E7737">
        <w:rPr>
          <w:rFonts w:ascii="Times New Roman" w:hAnsi="Times New Roman"/>
          <w:lang w:val="pt-BR"/>
        </w:rPr>
        <w:t xml:space="preserve"> acordo com a seguinte equação</w:t>
      </w:r>
      <w:r w:rsidR="006D1926">
        <w:rPr>
          <w:rFonts w:ascii="Times New Roman" w:hAnsi="Times New Roman"/>
          <w:lang w:val="pt-BR"/>
        </w:rPr>
        <w:t>:</w:t>
      </w:r>
    </w:p>
    <w:p w14:paraId="12252BF7" w14:textId="56ACF788" w:rsidR="00165170" w:rsidRPr="006277CA" w:rsidRDefault="00814C1C" w:rsidP="0022127A">
      <w:pPr>
        <w:spacing w:after="0"/>
        <w:rPr>
          <w:rFonts w:ascii="Times New Roman" w:eastAsia="Times New Roman" w:hAnsi="Times New Roman" w:cs="Times New Roman"/>
          <w:sz w:val="20"/>
          <w:szCs w:val="20"/>
        </w:rPr>
      </w:pPr>
      <m:oMathPara>
        <m:oMath>
          <m:r>
            <m:rPr>
              <m:sty m:val="p"/>
            </m:rPr>
            <w:rPr>
              <w:rFonts w:ascii="Cambria Math" w:hAnsi="Cambria Math"/>
              <w:sz w:val="20"/>
              <w:szCs w:val="20"/>
            </w:rPr>
            <m:t>%</m:t>
          </m:r>
          <m:r>
            <w:rPr>
              <w:rFonts w:ascii="Cambria Math" w:hAnsi="Cambria Math"/>
              <w:sz w:val="20"/>
              <w:szCs w:val="20"/>
            </w:rPr>
            <m:t>Convers</m:t>
          </m:r>
          <m:r>
            <m:rPr>
              <m:sty m:val="p"/>
            </m:rPr>
            <w:rPr>
              <w:rFonts w:ascii="Cambria Math" w:hAnsi="Cambria Math"/>
              <w:sz w:val="20"/>
              <w:szCs w:val="20"/>
            </w:rPr>
            <m:t>ã</m:t>
          </m:r>
          <m:r>
            <w:rPr>
              <w:rFonts w:ascii="Cambria Math" w:hAnsi="Cambria Math"/>
              <w:sz w:val="20"/>
              <w:szCs w:val="20"/>
            </w:rPr>
            <m:t>o</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1-</m:t>
              </m:r>
              <m:f>
                <m:fPr>
                  <m:ctrlPr>
                    <w:rPr>
                      <w:rFonts w:ascii="Cambria Math" w:hAnsi="Cambria Math"/>
                      <w:sz w:val="20"/>
                      <w:szCs w:val="20"/>
                    </w:rPr>
                  </m:ctrlPr>
                </m:fPr>
                <m:num>
                  <w:bookmarkStart w:id="5" w:name="_Hlk142866635"/>
                  <m:sSub>
                    <m:sSubPr>
                      <m:ctrlPr>
                        <w:rPr>
                          <w:rFonts w:ascii="Cambria Math" w:hAnsi="Cambria Math"/>
                          <w:sz w:val="20"/>
                          <w:szCs w:val="20"/>
                        </w:rPr>
                      </m:ctrlPr>
                    </m:sSubPr>
                    <m:e>
                      <m:r>
                        <w:rPr>
                          <w:rFonts w:ascii="Cambria Math" w:hAnsi="Cambria Math"/>
                          <w:sz w:val="20"/>
                          <w:szCs w:val="20"/>
                        </w:rPr>
                        <m:t>IA</m:t>
                      </m:r>
                    </m:e>
                    <m:sub>
                      <m:r>
                        <w:rPr>
                          <w:rFonts w:ascii="Cambria Math" w:hAnsi="Cambria Math"/>
                          <w:sz w:val="20"/>
                          <w:szCs w:val="20"/>
                        </w:rPr>
                        <m:t>f</m:t>
                      </m:r>
                    </m:sub>
                  </m:sSub>
                  <w:bookmarkEnd w:id="5"/>
                </m:num>
                <m:den>
                  <m:sSub>
                    <m:sSubPr>
                      <m:ctrlPr>
                        <w:rPr>
                          <w:rFonts w:ascii="Cambria Math" w:eastAsia="Times New Roman" w:hAnsi="Cambria Math" w:cs="Times New Roman"/>
                          <w:sz w:val="20"/>
                          <w:szCs w:val="20"/>
                          <w:lang w:eastAsia="pt-BR"/>
                        </w:rPr>
                      </m:ctrlPr>
                    </m:sSubPr>
                    <m:e>
                      <m:r>
                        <w:rPr>
                          <w:rFonts w:ascii="Cambria Math" w:hAnsi="Cambria Math"/>
                          <w:sz w:val="20"/>
                          <w:szCs w:val="20"/>
                        </w:rPr>
                        <m:t>IA</m:t>
                      </m:r>
                    </m:e>
                    <m:sub>
                      <m:r>
                        <w:rPr>
                          <w:rFonts w:ascii="Cambria Math" w:hAnsi="Cambria Math"/>
                          <w:sz w:val="20"/>
                          <w:szCs w:val="20"/>
                        </w:rPr>
                        <m:t>i</m:t>
                      </m:r>
                    </m:sub>
                  </m:sSub>
                </m:den>
              </m:f>
            </m:e>
          </m:d>
          <m:r>
            <w:rPr>
              <w:rFonts w:ascii="Cambria Math" w:hAnsi="Cambria Math"/>
              <w:sz w:val="20"/>
              <w:szCs w:val="20"/>
            </w:rPr>
            <m:t>x</m:t>
          </m:r>
          <m:r>
            <m:rPr>
              <m:sty m:val="p"/>
            </m:rPr>
            <w:rPr>
              <w:rFonts w:ascii="Cambria Math" w:hAnsi="Cambria Math"/>
              <w:sz w:val="20"/>
              <w:szCs w:val="20"/>
            </w:rPr>
            <m:t>100</m:t>
          </m:r>
        </m:oMath>
      </m:oMathPara>
    </w:p>
    <w:p w14:paraId="4C3D3F0B" w14:textId="39DE5736" w:rsidR="003B7C48" w:rsidRDefault="002E5E77" w:rsidP="003B7C4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Onde</w:t>
      </w:r>
      <w:r w:rsidR="00790BCA">
        <w:rPr>
          <w:rFonts w:ascii="Times New Roman" w:eastAsia="Times New Roman" w:hAnsi="Times New Roman" w:cs="Times New Roman"/>
          <w:sz w:val="20"/>
          <w:szCs w:val="20"/>
        </w:rPr>
        <w:t xml:space="preserve"> </w:t>
      </w:r>
      <m:oMath>
        <m:sSub>
          <m:sSubPr>
            <m:ctrlPr>
              <w:rPr>
                <w:rFonts w:ascii="Cambria Math" w:hAnsi="Cambria Math"/>
                <w:sz w:val="20"/>
                <w:szCs w:val="20"/>
              </w:rPr>
            </m:ctrlPr>
          </m:sSubPr>
          <m:e>
            <m:r>
              <m:rPr>
                <m:nor/>
              </m:rPr>
              <w:rPr>
                <w:rFonts w:ascii="Cambria Math" w:hAnsi="Cambria Math"/>
                <w:iCs/>
                <w:sz w:val="20"/>
                <w:szCs w:val="20"/>
              </w:rPr>
              <m:t>IA</m:t>
            </m:r>
          </m:e>
          <m:sub>
            <m:r>
              <m:rPr>
                <m:nor/>
              </m:rPr>
              <w:rPr>
                <w:rFonts w:ascii="Cambria Math" w:hAnsi="Cambria Math"/>
                <w:iCs/>
                <w:sz w:val="20"/>
                <w:szCs w:val="20"/>
              </w:rPr>
              <m:t>f</m:t>
            </m:r>
          </m:sub>
        </m:sSub>
      </m:oMath>
      <w:r w:rsidR="003B7C48">
        <w:rPr>
          <w:rFonts w:ascii="Times New Roman" w:eastAsia="Times New Roman" w:hAnsi="Times New Roman" w:cs="Times New Roman"/>
          <w:sz w:val="20"/>
          <w:szCs w:val="20"/>
        </w:rPr>
        <w:t xml:space="preserve"> </w:t>
      </w:r>
      <w:r w:rsidR="0022127A">
        <w:rPr>
          <w:rFonts w:ascii="Times New Roman" w:eastAsia="Times New Roman" w:hAnsi="Times New Roman" w:cs="Times New Roman"/>
          <w:sz w:val="20"/>
          <w:szCs w:val="20"/>
        </w:rPr>
        <w:t>representa</w:t>
      </w:r>
      <w:r w:rsidR="00C56C68">
        <w:rPr>
          <w:rFonts w:ascii="Times New Roman" w:eastAsia="Times New Roman" w:hAnsi="Times New Roman" w:cs="Times New Roman"/>
          <w:sz w:val="20"/>
          <w:szCs w:val="20"/>
        </w:rPr>
        <w:t xml:space="preserve"> o</w:t>
      </w:r>
      <w:r w:rsidR="003B7C48">
        <w:rPr>
          <w:rFonts w:ascii="Times New Roman" w:eastAsia="Times New Roman" w:hAnsi="Times New Roman" w:cs="Times New Roman"/>
          <w:sz w:val="20"/>
          <w:szCs w:val="20"/>
        </w:rPr>
        <w:t xml:space="preserve"> índice de acidez final</w:t>
      </w:r>
      <w:r w:rsidR="00C56C68">
        <w:rPr>
          <w:rFonts w:ascii="Times New Roman" w:eastAsia="Times New Roman" w:hAnsi="Times New Roman" w:cs="Times New Roman"/>
          <w:sz w:val="20"/>
          <w:szCs w:val="20"/>
        </w:rPr>
        <w:t xml:space="preserve"> e </w:t>
      </w:r>
      <m:oMath>
        <m:sSub>
          <m:sSubPr>
            <m:ctrlPr>
              <w:rPr>
                <w:rFonts w:ascii="Cambria Math" w:eastAsia="Times New Roman" w:hAnsi="Cambria Math" w:cs="Times New Roman"/>
                <w:iCs/>
                <w:sz w:val="20"/>
                <w:szCs w:val="20"/>
                <w:lang w:eastAsia="pt-BR"/>
              </w:rPr>
            </m:ctrlPr>
          </m:sSubPr>
          <m:e>
            <m:r>
              <m:rPr>
                <m:sty m:val="p"/>
              </m:rPr>
              <w:rPr>
                <w:rFonts w:ascii="Cambria Math" w:hAnsi="Cambria Math"/>
                <w:sz w:val="20"/>
                <w:szCs w:val="20"/>
              </w:rPr>
              <m:t>IA</m:t>
            </m:r>
          </m:e>
          <m:sub>
            <m:r>
              <m:rPr>
                <m:sty m:val="p"/>
              </m:rPr>
              <w:rPr>
                <w:rFonts w:ascii="Cambria Math" w:hAnsi="Cambria Math"/>
                <w:sz w:val="20"/>
                <w:szCs w:val="20"/>
              </w:rPr>
              <m:t>i</m:t>
            </m:r>
          </m:sub>
        </m:sSub>
      </m:oMath>
      <w:r w:rsidR="003B7C48" w:rsidRPr="00C56C68">
        <w:rPr>
          <w:rFonts w:ascii="Times New Roman" w:eastAsia="Times New Roman" w:hAnsi="Times New Roman" w:cs="Times New Roman"/>
          <w:iCs/>
          <w:sz w:val="20"/>
          <w:szCs w:val="20"/>
          <w:lang w:eastAsia="pt-BR"/>
        </w:rPr>
        <w:t xml:space="preserve"> </w:t>
      </w:r>
      <w:r w:rsidR="0022127A">
        <w:rPr>
          <w:rFonts w:ascii="Times New Roman" w:eastAsia="Times New Roman" w:hAnsi="Times New Roman" w:cs="Times New Roman"/>
          <w:sz w:val="20"/>
          <w:szCs w:val="20"/>
          <w:lang w:eastAsia="pt-BR"/>
        </w:rPr>
        <w:t>o</w:t>
      </w:r>
      <w:r w:rsidR="003B7C48">
        <w:rPr>
          <w:rFonts w:ascii="Times New Roman" w:eastAsia="Times New Roman" w:hAnsi="Times New Roman" w:cs="Times New Roman"/>
          <w:sz w:val="20"/>
          <w:szCs w:val="20"/>
          <w:lang w:eastAsia="pt-BR"/>
        </w:rPr>
        <w:t xml:space="preserve"> índice de acidez inicial</w:t>
      </w:r>
      <w:r w:rsidR="0022127A">
        <w:rPr>
          <w:rFonts w:ascii="Times New Roman" w:eastAsia="Times New Roman" w:hAnsi="Times New Roman" w:cs="Times New Roman"/>
          <w:sz w:val="20"/>
          <w:szCs w:val="20"/>
          <w:lang w:eastAsia="pt-BR"/>
        </w:rPr>
        <w:t>.</w:t>
      </w:r>
    </w:p>
    <w:p w14:paraId="60E638F6" w14:textId="050055B1" w:rsidR="00704995" w:rsidRPr="00704995" w:rsidRDefault="00EA4E1B" w:rsidP="00704995">
      <w:pPr>
        <w:pStyle w:val="Ttulo2"/>
        <w:rPr>
          <w:rFonts w:ascii="Helvetica" w:hAnsi="Helvetica" w:cs="Helvetica"/>
          <w:sz w:val="24"/>
          <w:szCs w:val="24"/>
        </w:rPr>
      </w:pPr>
      <w:r w:rsidRPr="001F25B2">
        <w:rPr>
          <w:rFonts w:ascii="Helvetica" w:hAnsi="Helvetica" w:cs="Helvetica"/>
          <w:sz w:val="24"/>
          <w:szCs w:val="24"/>
        </w:rPr>
        <w:t>Resultados e Discussão</w:t>
      </w:r>
    </w:p>
    <w:p w14:paraId="3371FD9D" w14:textId="60E82009" w:rsidR="00442062" w:rsidRPr="00113CDD" w:rsidRDefault="00AC17A6" w:rsidP="00892018">
      <w:pPr>
        <w:pStyle w:val="TAMainText"/>
        <w:ind w:firstLine="0"/>
        <w:rPr>
          <w:rFonts w:ascii="Times New Roman" w:hAnsi="Times New Roman"/>
          <w:i/>
          <w:lang w:val="pt-BR"/>
        </w:rPr>
      </w:pPr>
      <w:r w:rsidRPr="00113CDD">
        <w:rPr>
          <w:rFonts w:ascii="Times New Roman" w:hAnsi="Times New Roman"/>
          <w:i/>
          <w:lang w:val="pt-BR"/>
        </w:rPr>
        <w:t>Espectroscopia de Energia Dispersiva de Raios-X (EDS</w:t>
      </w:r>
      <w:r w:rsidR="00427C5B" w:rsidRPr="00113CDD">
        <w:rPr>
          <w:rFonts w:ascii="Times New Roman" w:hAnsi="Times New Roman"/>
          <w:i/>
          <w:lang w:val="pt-BR"/>
        </w:rPr>
        <w:t>)</w:t>
      </w:r>
    </w:p>
    <w:p w14:paraId="41993608" w14:textId="77777777" w:rsidR="00892018" w:rsidRDefault="00892018" w:rsidP="00892018">
      <w:pPr>
        <w:pStyle w:val="TAMainText"/>
        <w:ind w:firstLine="187"/>
        <w:rPr>
          <w:rFonts w:ascii="Times New Roman" w:hAnsi="Times New Roman"/>
          <w:lang w:val="pt-BR"/>
        </w:rPr>
      </w:pPr>
      <w:r>
        <w:rPr>
          <w:rFonts w:ascii="Times New Roman" w:hAnsi="Times New Roman"/>
          <w:lang w:val="pt-BR"/>
        </w:rPr>
        <w:t xml:space="preserve">Os resultados da análise de EDS das amostras de biocarvão e do catalisador podem ser visualizadas na tabela 1. </w:t>
      </w:r>
      <w:bookmarkStart w:id="6" w:name="_Hlk142913866"/>
      <w:r>
        <w:rPr>
          <w:rFonts w:ascii="Times New Roman" w:hAnsi="Times New Roman"/>
          <w:lang w:val="pt-BR"/>
        </w:rPr>
        <w:t xml:space="preserve">O biocarvão apresentou resultados característicos de materiais </w:t>
      </w:r>
      <w:bookmarkEnd w:id="6"/>
      <w:r>
        <w:rPr>
          <w:rFonts w:ascii="Times New Roman" w:hAnsi="Times New Roman"/>
          <w:lang w:val="pt-BR"/>
        </w:rPr>
        <w:t>carbonáceos, com 87% de carbono, resultante do processo de pirólise, e outros elementos comuns para esse tipo de material.</w:t>
      </w:r>
    </w:p>
    <w:p w14:paraId="2DF59671" w14:textId="77777777" w:rsidR="00892018" w:rsidRDefault="00892018" w:rsidP="009C0639">
      <w:pPr>
        <w:pStyle w:val="VDTableTitle"/>
        <w:spacing w:after="0"/>
        <w:jc w:val="both"/>
        <w:rPr>
          <w:rFonts w:ascii="Times New Roman" w:hAnsi="Times New Roman"/>
          <w:b/>
          <w:lang w:val="pt-BR"/>
        </w:rPr>
      </w:pPr>
    </w:p>
    <w:p w14:paraId="69B80B72" w14:textId="45E64518" w:rsidR="009C0639" w:rsidRPr="00E038AF" w:rsidRDefault="009C0639" w:rsidP="009C0639">
      <w:pPr>
        <w:pStyle w:val="VDTableTitle"/>
        <w:spacing w:after="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Composição elementar dos principais elementos presentes nas amostras.</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9"/>
        <w:gridCol w:w="614"/>
        <w:gridCol w:w="614"/>
        <w:gridCol w:w="615"/>
        <w:gridCol w:w="614"/>
        <w:gridCol w:w="614"/>
        <w:gridCol w:w="615"/>
      </w:tblGrid>
      <w:tr w:rsidR="009C0639" w:rsidRPr="00072C7A" w14:paraId="2D77986C" w14:textId="77777777" w:rsidTr="00E01490">
        <w:tc>
          <w:tcPr>
            <w:tcW w:w="1129" w:type="dxa"/>
            <w:vAlign w:val="bottom"/>
          </w:tcPr>
          <w:p w14:paraId="549C1284" w14:textId="77777777" w:rsidR="009C0639" w:rsidRPr="00DE6377" w:rsidRDefault="009C0639" w:rsidP="00E01490">
            <w:pPr>
              <w:pStyle w:val="TCTableBody"/>
              <w:rPr>
                <w:b/>
                <w:bCs/>
              </w:rPr>
            </w:pPr>
            <w:proofErr w:type="spellStart"/>
            <w:r w:rsidRPr="00DE6377">
              <w:rPr>
                <w:b/>
                <w:bCs/>
              </w:rPr>
              <w:t>Amostra</w:t>
            </w:r>
            <w:proofErr w:type="spellEnd"/>
          </w:p>
        </w:tc>
        <w:tc>
          <w:tcPr>
            <w:tcW w:w="614" w:type="dxa"/>
            <w:vAlign w:val="bottom"/>
          </w:tcPr>
          <w:p w14:paraId="027F46B2" w14:textId="77777777" w:rsidR="009C0639" w:rsidRPr="00DE6377" w:rsidRDefault="009C0639" w:rsidP="00E01490">
            <w:pPr>
              <w:pStyle w:val="TCTableBody"/>
              <w:jc w:val="center"/>
              <w:rPr>
                <w:b/>
                <w:bCs/>
              </w:rPr>
            </w:pPr>
            <w:r w:rsidRPr="00DE6377">
              <w:rPr>
                <w:b/>
                <w:bCs/>
              </w:rPr>
              <w:t>C</w:t>
            </w:r>
          </w:p>
        </w:tc>
        <w:tc>
          <w:tcPr>
            <w:tcW w:w="614" w:type="dxa"/>
            <w:vAlign w:val="bottom"/>
          </w:tcPr>
          <w:p w14:paraId="67C7CDFD" w14:textId="77777777" w:rsidR="009C0639" w:rsidRPr="00DE6377" w:rsidRDefault="009C0639" w:rsidP="00E01490">
            <w:pPr>
              <w:pStyle w:val="TCTableBody"/>
              <w:jc w:val="center"/>
              <w:rPr>
                <w:b/>
                <w:bCs/>
              </w:rPr>
            </w:pPr>
            <w:r w:rsidRPr="00DE6377">
              <w:rPr>
                <w:b/>
                <w:bCs/>
              </w:rPr>
              <w:t>O</w:t>
            </w:r>
          </w:p>
        </w:tc>
        <w:tc>
          <w:tcPr>
            <w:tcW w:w="615" w:type="dxa"/>
            <w:vAlign w:val="bottom"/>
          </w:tcPr>
          <w:p w14:paraId="77364D02" w14:textId="77777777" w:rsidR="009C0639" w:rsidRPr="00DE6377" w:rsidRDefault="009C0639" w:rsidP="00E01490">
            <w:pPr>
              <w:pStyle w:val="TCTableBody"/>
              <w:jc w:val="center"/>
              <w:rPr>
                <w:b/>
                <w:bCs/>
              </w:rPr>
            </w:pPr>
            <w:r w:rsidRPr="00DE6377">
              <w:rPr>
                <w:b/>
                <w:bCs/>
              </w:rPr>
              <w:t>Si</w:t>
            </w:r>
          </w:p>
        </w:tc>
        <w:tc>
          <w:tcPr>
            <w:tcW w:w="614" w:type="dxa"/>
            <w:vAlign w:val="bottom"/>
          </w:tcPr>
          <w:p w14:paraId="79353E5C" w14:textId="77777777" w:rsidR="009C0639" w:rsidRPr="00DE6377" w:rsidRDefault="009C0639" w:rsidP="00E01490">
            <w:pPr>
              <w:pStyle w:val="TCTableBody"/>
              <w:jc w:val="center"/>
              <w:rPr>
                <w:b/>
                <w:bCs/>
              </w:rPr>
            </w:pPr>
            <w:r w:rsidRPr="00DE6377">
              <w:rPr>
                <w:b/>
                <w:bCs/>
              </w:rPr>
              <w:t>Fe</w:t>
            </w:r>
          </w:p>
        </w:tc>
        <w:tc>
          <w:tcPr>
            <w:tcW w:w="614" w:type="dxa"/>
            <w:vAlign w:val="bottom"/>
          </w:tcPr>
          <w:p w14:paraId="0AA63A59" w14:textId="77777777" w:rsidR="009C0639" w:rsidRPr="00DE6377" w:rsidRDefault="009C0639" w:rsidP="00E01490">
            <w:pPr>
              <w:pStyle w:val="TCTableBody"/>
              <w:jc w:val="center"/>
              <w:rPr>
                <w:b/>
                <w:bCs/>
              </w:rPr>
            </w:pPr>
            <w:r w:rsidRPr="00DE6377">
              <w:rPr>
                <w:b/>
                <w:bCs/>
              </w:rPr>
              <w:t>Ca</w:t>
            </w:r>
          </w:p>
        </w:tc>
        <w:tc>
          <w:tcPr>
            <w:tcW w:w="615" w:type="dxa"/>
            <w:vAlign w:val="bottom"/>
          </w:tcPr>
          <w:p w14:paraId="2619239A" w14:textId="77777777" w:rsidR="009C0639" w:rsidRPr="00DE6377" w:rsidRDefault="009C0639" w:rsidP="00E01490">
            <w:pPr>
              <w:pStyle w:val="TCTableBody"/>
              <w:jc w:val="center"/>
              <w:rPr>
                <w:b/>
                <w:bCs/>
              </w:rPr>
            </w:pPr>
            <w:r w:rsidRPr="00DE6377">
              <w:rPr>
                <w:b/>
                <w:bCs/>
              </w:rPr>
              <w:t>S</w:t>
            </w:r>
          </w:p>
        </w:tc>
      </w:tr>
      <w:tr w:rsidR="009C0639" w:rsidRPr="00072C7A" w14:paraId="549A4C15" w14:textId="77777777" w:rsidTr="00E01490">
        <w:trPr>
          <w:trHeight w:val="454"/>
        </w:trPr>
        <w:tc>
          <w:tcPr>
            <w:tcW w:w="1129" w:type="dxa"/>
            <w:tcBorders>
              <w:bottom w:val="single" w:sz="6" w:space="0" w:color="auto"/>
            </w:tcBorders>
            <w:vAlign w:val="center"/>
          </w:tcPr>
          <w:p w14:paraId="601F3A07" w14:textId="77777777" w:rsidR="009C0639" w:rsidRPr="00DE6377" w:rsidRDefault="009C0639" w:rsidP="00E01490">
            <w:pPr>
              <w:pStyle w:val="TCTableBody"/>
              <w:rPr>
                <w:b/>
                <w:bCs/>
              </w:rPr>
            </w:pPr>
            <w:r w:rsidRPr="00DE6377">
              <w:rPr>
                <w:b/>
                <w:bCs/>
              </w:rPr>
              <w:t>Biocarvão</w:t>
            </w:r>
          </w:p>
        </w:tc>
        <w:tc>
          <w:tcPr>
            <w:tcW w:w="614" w:type="dxa"/>
            <w:tcBorders>
              <w:bottom w:val="single" w:sz="6" w:space="0" w:color="auto"/>
            </w:tcBorders>
            <w:vAlign w:val="bottom"/>
          </w:tcPr>
          <w:p w14:paraId="290213BC" w14:textId="77777777" w:rsidR="009C0639" w:rsidRPr="00FA34FF" w:rsidRDefault="009C0639" w:rsidP="00E01490">
            <w:pPr>
              <w:pStyle w:val="TCTableBody"/>
              <w:jc w:val="center"/>
            </w:pPr>
            <w:r w:rsidRPr="00FA34FF">
              <w:t>87,0</w:t>
            </w:r>
          </w:p>
        </w:tc>
        <w:tc>
          <w:tcPr>
            <w:tcW w:w="614" w:type="dxa"/>
            <w:tcBorders>
              <w:bottom w:val="single" w:sz="6" w:space="0" w:color="auto"/>
            </w:tcBorders>
            <w:vAlign w:val="bottom"/>
          </w:tcPr>
          <w:p w14:paraId="4FBBCA12" w14:textId="77777777" w:rsidR="009C0639" w:rsidRPr="00FA34FF" w:rsidRDefault="009C0639" w:rsidP="00E01490">
            <w:pPr>
              <w:pStyle w:val="TCTableBody"/>
              <w:jc w:val="center"/>
            </w:pPr>
            <w:r w:rsidRPr="00FA34FF">
              <w:t>12,3</w:t>
            </w:r>
          </w:p>
        </w:tc>
        <w:tc>
          <w:tcPr>
            <w:tcW w:w="615" w:type="dxa"/>
            <w:tcBorders>
              <w:bottom w:val="single" w:sz="6" w:space="0" w:color="auto"/>
            </w:tcBorders>
            <w:vAlign w:val="bottom"/>
          </w:tcPr>
          <w:p w14:paraId="7243E5E9" w14:textId="77777777" w:rsidR="009C0639" w:rsidRPr="00FA34FF" w:rsidRDefault="009C0639" w:rsidP="00E01490">
            <w:pPr>
              <w:pStyle w:val="TCTableBody"/>
              <w:jc w:val="center"/>
            </w:pPr>
            <w:r w:rsidRPr="00FA34FF">
              <w:t>0.3</w:t>
            </w:r>
          </w:p>
        </w:tc>
        <w:tc>
          <w:tcPr>
            <w:tcW w:w="614" w:type="dxa"/>
            <w:tcBorders>
              <w:bottom w:val="single" w:sz="6" w:space="0" w:color="auto"/>
            </w:tcBorders>
            <w:vAlign w:val="bottom"/>
          </w:tcPr>
          <w:p w14:paraId="31D7FF86" w14:textId="77777777" w:rsidR="009C0639" w:rsidRPr="00FA34FF" w:rsidRDefault="009C0639" w:rsidP="00E01490">
            <w:pPr>
              <w:pStyle w:val="TCTableBody"/>
              <w:jc w:val="center"/>
            </w:pPr>
            <w:r w:rsidRPr="00FA34FF">
              <w:t>0,3</w:t>
            </w:r>
          </w:p>
        </w:tc>
        <w:tc>
          <w:tcPr>
            <w:tcW w:w="614" w:type="dxa"/>
            <w:tcBorders>
              <w:bottom w:val="single" w:sz="6" w:space="0" w:color="auto"/>
            </w:tcBorders>
            <w:vAlign w:val="bottom"/>
          </w:tcPr>
          <w:p w14:paraId="46729677" w14:textId="77777777" w:rsidR="009C0639" w:rsidRPr="00FA34FF" w:rsidRDefault="009C0639" w:rsidP="00E01490">
            <w:pPr>
              <w:pStyle w:val="TCTableBody"/>
              <w:jc w:val="center"/>
            </w:pPr>
            <w:r w:rsidRPr="00FA34FF">
              <w:t>0,1</w:t>
            </w:r>
          </w:p>
        </w:tc>
        <w:tc>
          <w:tcPr>
            <w:tcW w:w="615" w:type="dxa"/>
            <w:tcBorders>
              <w:bottom w:val="single" w:sz="6" w:space="0" w:color="auto"/>
            </w:tcBorders>
            <w:vAlign w:val="bottom"/>
          </w:tcPr>
          <w:p w14:paraId="35032474" w14:textId="77777777" w:rsidR="009C0639" w:rsidRPr="00FA34FF" w:rsidRDefault="009C0639" w:rsidP="00E01490">
            <w:pPr>
              <w:pStyle w:val="TCTableBody"/>
              <w:jc w:val="center"/>
            </w:pPr>
            <w:r w:rsidRPr="00FA34FF">
              <w:t>---</w:t>
            </w:r>
          </w:p>
        </w:tc>
      </w:tr>
      <w:tr w:rsidR="009C0639" w:rsidRPr="00072C7A" w14:paraId="7383FF92" w14:textId="77777777" w:rsidTr="00E01490">
        <w:trPr>
          <w:trHeight w:val="454"/>
        </w:trPr>
        <w:tc>
          <w:tcPr>
            <w:tcW w:w="1129" w:type="dxa"/>
            <w:tcBorders>
              <w:bottom w:val="single" w:sz="6" w:space="0" w:color="auto"/>
            </w:tcBorders>
            <w:vAlign w:val="center"/>
          </w:tcPr>
          <w:p w14:paraId="3E65A895" w14:textId="77777777" w:rsidR="009C0639" w:rsidRPr="00DE6377" w:rsidRDefault="009C0639" w:rsidP="00E01490">
            <w:pPr>
              <w:pStyle w:val="TCTableBody"/>
              <w:rPr>
                <w:b/>
                <w:bCs/>
              </w:rPr>
            </w:pPr>
            <w:proofErr w:type="spellStart"/>
            <w:r w:rsidRPr="00DE6377">
              <w:rPr>
                <w:b/>
                <w:bCs/>
              </w:rPr>
              <w:t>Catalisador</w:t>
            </w:r>
            <w:proofErr w:type="spellEnd"/>
          </w:p>
        </w:tc>
        <w:tc>
          <w:tcPr>
            <w:tcW w:w="614" w:type="dxa"/>
            <w:tcBorders>
              <w:bottom w:val="single" w:sz="6" w:space="0" w:color="auto"/>
            </w:tcBorders>
            <w:vAlign w:val="bottom"/>
          </w:tcPr>
          <w:p w14:paraId="5D0125A2" w14:textId="7E148082" w:rsidR="009C0639" w:rsidRPr="00FA34FF" w:rsidRDefault="009C0639" w:rsidP="00E01490">
            <w:pPr>
              <w:pStyle w:val="TCTableBody"/>
              <w:jc w:val="center"/>
            </w:pPr>
            <w:r w:rsidRPr="00FA34FF">
              <w:t>68,6</w:t>
            </w:r>
          </w:p>
        </w:tc>
        <w:tc>
          <w:tcPr>
            <w:tcW w:w="614" w:type="dxa"/>
            <w:tcBorders>
              <w:bottom w:val="single" w:sz="6" w:space="0" w:color="auto"/>
            </w:tcBorders>
            <w:vAlign w:val="bottom"/>
          </w:tcPr>
          <w:p w14:paraId="100D98F6" w14:textId="3A26D05E" w:rsidR="009C0639" w:rsidRPr="00FA34FF" w:rsidRDefault="009C0639" w:rsidP="00E01490">
            <w:pPr>
              <w:pStyle w:val="TCTableBody"/>
              <w:jc w:val="center"/>
            </w:pPr>
            <w:r w:rsidRPr="00FA34FF">
              <w:t>25,</w:t>
            </w:r>
            <w:r w:rsidR="000001C0">
              <w:t>1</w:t>
            </w:r>
          </w:p>
        </w:tc>
        <w:tc>
          <w:tcPr>
            <w:tcW w:w="615" w:type="dxa"/>
            <w:tcBorders>
              <w:bottom w:val="single" w:sz="6" w:space="0" w:color="auto"/>
            </w:tcBorders>
            <w:vAlign w:val="bottom"/>
          </w:tcPr>
          <w:p w14:paraId="74B1D86D" w14:textId="46E93D68" w:rsidR="009C0639" w:rsidRPr="00FA34FF" w:rsidRDefault="009C0639" w:rsidP="00E01490">
            <w:pPr>
              <w:pStyle w:val="TCTableBody"/>
              <w:jc w:val="center"/>
            </w:pPr>
            <w:r w:rsidRPr="00FA34FF">
              <w:t>0,</w:t>
            </w:r>
            <w:r w:rsidR="000001C0">
              <w:t>3</w:t>
            </w:r>
          </w:p>
        </w:tc>
        <w:tc>
          <w:tcPr>
            <w:tcW w:w="614" w:type="dxa"/>
            <w:tcBorders>
              <w:bottom w:val="single" w:sz="6" w:space="0" w:color="auto"/>
            </w:tcBorders>
            <w:vAlign w:val="bottom"/>
          </w:tcPr>
          <w:p w14:paraId="65C8BD3D" w14:textId="7AAC7072" w:rsidR="009C0639" w:rsidRPr="00FA34FF" w:rsidRDefault="009C0639" w:rsidP="00E01490">
            <w:pPr>
              <w:pStyle w:val="TCTableBody"/>
              <w:jc w:val="center"/>
            </w:pPr>
            <w:r w:rsidRPr="00FA34FF">
              <w:t>0,2</w:t>
            </w:r>
          </w:p>
        </w:tc>
        <w:tc>
          <w:tcPr>
            <w:tcW w:w="614" w:type="dxa"/>
            <w:tcBorders>
              <w:bottom w:val="single" w:sz="6" w:space="0" w:color="auto"/>
            </w:tcBorders>
            <w:vAlign w:val="bottom"/>
          </w:tcPr>
          <w:p w14:paraId="6110BFE0" w14:textId="101B1976" w:rsidR="009C0639" w:rsidRPr="00FA34FF" w:rsidRDefault="009C0639" w:rsidP="00E01490">
            <w:pPr>
              <w:pStyle w:val="TCTableBody"/>
              <w:jc w:val="center"/>
            </w:pPr>
            <w:r w:rsidRPr="00FA34FF">
              <w:t>0,4</w:t>
            </w:r>
          </w:p>
        </w:tc>
        <w:tc>
          <w:tcPr>
            <w:tcW w:w="615" w:type="dxa"/>
            <w:tcBorders>
              <w:bottom w:val="single" w:sz="6" w:space="0" w:color="auto"/>
            </w:tcBorders>
            <w:vAlign w:val="bottom"/>
          </w:tcPr>
          <w:p w14:paraId="5A9DD1BC" w14:textId="4D354815" w:rsidR="009C0639" w:rsidRPr="00FA34FF" w:rsidRDefault="009C0639" w:rsidP="00E01490">
            <w:pPr>
              <w:pStyle w:val="TCTableBody"/>
              <w:jc w:val="center"/>
            </w:pPr>
            <w:r w:rsidRPr="00FA34FF">
              <w:t>5,</w:t>
            </w:r>
            <w:r w:rsidR="000001C0">
              <w:t>1</w:t>
            </w:r>
          </w:p>
        </w:tc>
      </w:tr>
      <w:tr w:rsidR="009C0639" w:rsidRPr="00072C7A" w14:paraId="0AB4F435" w14:textId="77777777" w:rsidTr="00E01490">
        <w:tc>
          <w:tcPr>
            <w:tcW w:w="4815" w:type="dxa"/>
            <w:gridSpan w:val="7"/>
            <w:tcBorders>
              <w:top w:val="single" w:sz="6" w:space="0" w:color="auto"/>
              <w:left w:val="nil"/>
              <w:bottom w:val="nil"/>
              <w:right w:val="nil"/>
            </w:tcBorders>
            <w:vAlign w:val="center"/>
          </w:tcPr>
          <w:p w14:paraId="29F081EC" w14:textId="68B4BA15" w:rsidR="009C0639" w:rsidRPr="00E038AF" w:rsidRDefault="009C0639" w:rsidP="00E01490">
            <w:pPr>
              <w:pStyle w:val="FETableFootnote"/>
            </w:pPr>
            <w:r>
              <w:t xml:space="preserve">Outros elementos não listados na tabela foram encontrados, no entanto se encontram em concentrações </w:t>
            </w:r>
            <w:r w:rsidR="000001C0">
              <w:t>inferiores</w:t>
            </w:r>
            <w:r>
              <w:t xml:space="preserve"> que 0,5%.</w:t>
            </w:r>
          </w:p>
        </w:tc>
      </w:tr>
    </w:tbl>
    <w:p w14:paraId="7ED66075" w14:textId="64382244" w:rsidR="00962FE5" w:rsidRPr="009C0639" w:rsidRDefault="002C53DE" w:rsidP="00892018">
      <w:pPr>
        <w:pStyle w:val="TAMainText"/>
        <w:spacing w:before="240"/>
        <w:ind w:firstLine="187"/>
        <w:rPr>
          <w:rFonts w:ascii="Times New Roman" w:hAnsi="Times New Roman"/>
          <w:lang w:val="pt-BR"/>
        </w:rPr>
      </w:pPr>
      <w:r>
        <w:rPr>
          <w:rFonts w:ascii="Times New Roman" w:hAnsi="Times New Roman"/>
          <w:lang w:val="pt-BR"/>
        </w:rPr>
        <w:t>Na análise da composição elementar do catalisador é possível verificar a presença de enxofre e um aumento na concentração de oxigênio, ambos os eventos podem ser atribuídos, respectivamente, ao ancoramento de grupos sulfônicos e grupos carboxílicos gerados após a sulfonação.</w:t>
      </w:r>
    </w:p>
    <w:p w14:paraId="27E3DDE2" w14:textId="3C7E826F" w:rsidR="00AB7938" w:rsidRPr="00DC4970" w:rsidRDefault="00AB7938" w:rsidP="00C47D4F">
      <w:pPr>
        <w:pStyle w:val="TAMainText"/>
        <w:ind w:firstLine="0"/>
        <w:rPr>
          <w:rFonts w:ascii="Times New Roman" w:hAnsi="Times New Roman"/>
          <w:i/>
          <w:lang w:val="pt-BR"/>
        </w:rPr>
      </w:pPr>
      <w:r w:rsidRPr="00113CDD">
        <w:rPr>
          <w:rFonts w:ascii="Times New Roman" w:hAnsi="Times New Roman"/>
          <w:i/>
          <w:lang w:val="pt-BR"/>
        </w:rPr>
        <w:t>Conversão de ácidos graxos livres</w:t>
      </w:r>
    </w:p>
    <w:p w14:paraId="654C19A5" w14:textId="474C12BF" w:rsidR="00E2290E" w:rsidRDefault="00407D59" w:rsidP="00892018">
      <w:pPr>
        <w:pStyle w:val="TAMainText"/>
        <w:spacing w:after="240"/>
        <w:ind w:firstLine="187"/>
        <w:rPr>
          <w:rFonts w:ascii="Times New Roman" w:hAnsi="Times New Roman"/>
          <w:lang w:val="pt-BR"/>
        </w:rPr>
      </w:pPr>
      <w:r>
        <w:rPr>
          <w:rFonts w:ascii="Times New Roman" w:hAnsi="Times New Roman"/>
          <w:lang w:val="pt-BR"/>
        </w:rPr>
        <w:t>Os resultados d</w:t>
      </w:r>
      <w:r w:rsidR="005B663D">
        <w:rPr>
          <w:rFonts w:ascii="Times New Roman" w:hAnsi="Times New Roman"/>
          <w:lang w:val="pt-BR"/>
        </w:rPr>
        <w:t xml:space="preserve">as </w:t>
      </w:r>
      <w:r w:rsidR="005425A7">
        <w:rPr>
          <w:rFonts w:ascii="Times New Roman" w:hAnsi="Times New Roman"/>
          <w:lang w:val="pt-BR"/>
        </w:rPr>
        <w:t>conversões</w:t>
      </w:r>
      <w:r w:rsidR="005B663D">
        <w:rPr>
          <w:rFonts w:ascii="Times New Roman" w:hAnsi="Times New Roman"/>
          <w:lang w:val="pt-BR"/>
        </w:rPr>
        <w:t xml:space="preserve"> de cada reação da triplicata</w:t>
      </w:r>
      <w:r w:rsidR="005425A7">
        <w:rPr>
          <w:rFonts w:ascii="Times New Roman" w:hAnsi="Times New Roman"/>
          <w:lang w:val="pt-BR"/>
        </w:rPr>
        <w:t>, bem como a média das conversões, estão descritos na tabela 2</w:t>
      </w:r>
      <w:r w:rsidR="009179EC">
        <w:rPr>
          <w:rFonts w:ascii="Times New Roman" w:hAnsi="Times New Roman"/>
          <w:lang w:val="pt-BR"/>
        </w:rPr>
        <w:t xml:space="preserve"> e mostra que a</w:t>
      </w:r>
      <w:r w:rsidR="000027A3">
        <w:rPr>
          <w:rFonts w:ascii="Times New Roman" w:hAnsi="Times New Roman"/>
          <w:lang w:val="pt-BR"/>
        </w:rPr>
        <w:t xml:space="preserve"> conversão </w:t>
      </w:r>
      <w:r w:rsidR="00177542">
        <w:rPr>
          <w:rFonts w:ascii="Times New Roman" w:hAnsi="Times New Roman"/>
          <w:lang w:val="pt-BR"/>
        </w:rPr>
        <w:t>média de</w:t>
      </w:r>
      <w:r w:rsidR="000027A3">
        <w:rPr>
          <w:rFonts w:ascii="Times New Roman" w:hAnsi="Times New Roman"/>
          <w:lang w:val="pt-BR"/>
        </w:rPr>
        <w:t xml:space="preserve"> ácidos graxos livres </w:t>
      </w:r>
      <w:r w:rsidR="00696885">
        <w:rPr>
          <w:rFonts w:ascii="Times New Roman" w:hAnsi="Times New Roman"/>
          <w:lang w:val="pt-BR"/>
        </w:rPr>
        <w:t>foi de aproximadamente 65%</w:t>
      </w:r>
      <w:r w:rsidR="009179EC">
        <w:rPr>
          <w:rFonts w:ascii="Times New Roman" w:hAnsi="Times New Roman"/>
          <w:lang w:val="pt-BR"/>
        </w:rPr>
        <w:t>.</w:t>
      </w:r>
      <w:r w:rsidR="003D0A9D">
        <w:rPr>
          <w:rFonts w:ascii="Times New Roman" w:hAnsi="Times New Roman"/>
          <w:lang w:val="pt-BR"/>
        </w:rPr>
        <w:t xml:space="preserve"> </w:t>
      </w:r>
      <w:r w:rsidR="00244EEB">
        <w:rPr>
          <w:rFonts w:ascii="Times New Roman" w:hAnsi="Times New Roman"/>
          <w:lang w:val="pt-BR"/>
        </w:rPr>
        <w:t xml:space="preserve">O presente trabalho foi desenvolvido seguindo </w:t>
      </w:r>
      <w:r w:rsidR="002A488C">
        <w:rPr>
          <w:rFonts w:ascii="Times New Roman" w:hAnsi="Times New Roman"/>
          <w:lang w:val="pt-BR"/>
        </w:rPr>
        <w:t xml:space="preserve">protocolos de esterificação </w:t>
      </w:r>
      <w:r w:rsidR="0009642B">
        <w:rPr>
          <w:rFonts w:ascii="Times New Roman" w:hAnsi="Times New Roman"/>
          <w:lang w:val="pt-BR"/>
        </w:rPr>
        <w:t>visando um</w:t>
      </w:r>
      <w:r w:rsidR="002A488C">
        <w:rPr>
          <w:rFonts w:ascii="Times New Roman" w:hAnsi="Times New Roman"/>
          <w:lang w:val="pt-BR"/>
        </w:rPr>
        <w:t xml:space="preserve"> baixo gasto de reagentes</w:t>
      </w:r>
      <w:r w:rsidR="0009642B">
        <w:rPr>
          <w:rFonts w:ascii="Times New Roman" w:hAnsi="Times New Roman"/>
          <w:lang w:val="pt-BR"/>
        </w:rPr>
        <w:t xml:space="preserve"> e </w:t>
      </w:r>
      <w:r w:rsidR="00CE67F1">
        <w:rPr>
          <w:rFonts w:ascii="Times New Roman" w:hAnsi="Times New Roman"/>
          <w:lang w:val="pt-BR"/>
        </w:rPr>
        <w:t>boas taxas de conversão</w:t>
      </w:r>
      <w:r w:rsidR="002A488C">
        <w:rPr>
          <w:rFonts w:ascii="Times New Roman" w:hAnsi="Times New Roman"/>
          <w:lang w:val="pt-BR"/>
        </w:rPr>
        <w:t>, no entanto, s</w:t>
      </w:r>
      <w:r w:rsidR="00177542">
        <w:rPr>
          <w:rFonts w:ascii="Times New Roman" w:hAnsi="Times New Roman"/>
          <w:lang w:val="pt-BR"/>
        </w:rPr>
        <w:t xml:space="preserve">egundo </w:t>
      </w:r>
      <w:r w:rsidR="000436C9">
        <w:rPr>
          <w:rFonts w:ascii="Times New Roman" w:hAnsi="Times New Roman"/>
          <w:lang w:val="pt-BR"/>
        </w:rPr>
        <w:t>d</w:t>
      </w:r>
      <w:r w:rsidR="00177542">
        <w:rPr>
          <w:rFonts w:ascii="Times New Roman" w:hAnsi="Times New Roman"/>
          <w:lang w:val="pt-BR"/>
        </w:rPr>
        <w:t xml:space="preserve">e </w:t>
      </w:r>
      <w:r w:rsidR="000436C9">
        <w:rPr>
          <w:rFonts w:ascii="Times New Roman" w:hAnsi="Times New Roman"/>
          <w:lang w:val="pt-BR"/>
        </w:rPr>
        <w:t>O</w:t>
      </w:r>
      <w:r w:rsidR="00177542">
        <w:rPr>
          <w:rFonts w:ascii="Times New Roman" w:hAnsi="Times New Roman"/>
          <w:lang w:val="pt-BR"/>
        </w:rPr>
        <w:t>liveira e</w:t>
      </w:r>
      <w:r w:rsidR="00225D3A">
        <w:rPr>
          <w:rFonts w:ascii="Times New Roman" w:hAnsi="Times New Roman"/>
          <w:lang w:val="pt-BR"/>
        </w:rPr>
        <w:t xml:space="preserve"> colaboradores</w:t>
      </w:r>
      <w:r w:rsidR="00177542">
        <w:rPr>
          <w:rFonts w:ascii="Times New Roman" w:hAnsi="Times New Roman"/>
          <w:lang w:val="pt-BR"/>
        </w:rPr>
        <w:t xml:space="preserve"> (4) o </w:t>
      </w:r>
      <w:r w:rsidR="00E2290E">
        <w:rPr>
          <w:rFonts w:ascii="Times New Roman" w:hAnsi="Times New Roman"/>
          <w:lang w:val="pt-BR"/>
        </w:rPr>
        <w:t xml:space="preserve">excesso de álcool é </w:t>
      </w:r>
      <w:r w:rsidR="00E6202E">
        <w:rPr>
          <w:rFonts w:ascii="Times New Roman" w:hAnsi="Times New Roman"/>
          <w:lang w:val="pt-BR"/>
        </w:rPr>
        <w:t xml:space="preserve">importante </w:t>
      </w:r>
      <w:r w:rsidR="00B317E4">
        <w:rPr>
          <w:rFonts w:ascii="Times New Roman" w:hAnsi="Times New Roman"/>
          <w:lang w:val="pt-BR"/>
        </w:rPr>
        <w:t>para possibili</w:t>
      </w:r>
      <w:r w:rsidR="00E73A51">
        <w:rPr>
          <w:rFonts w:ascii="Times New Roman" w:hAnsi="Times New Roman"/>
          <w:lang w:val="pt-BR"/>
        </w:rPr>
        <w:t xml:space="preserve">tar a formação dos ésteres e evitar </w:t>
      </w:r>
      <w:r w:rsidR="000436C9">
        <w:rPr>
          <w:rFonts w:ascii="Times New Roman" w:hAnsi="Times New Roman"/>
          <w:lang w:val="pt-BR"/>
        </w:rPr>
        <w:t>a hidrólise</w:t>
      </w:r>
      <w:r w:rsidR="00A02DEA">
        <w:rPr>
          <w:rFonts w:ascii="Times New Roman" w:hAnsi="Times New Roman"/>
          <w:lang w:val="pt-BR"/>
        </w:rPr>
        <w:t xml:space="preserve">. </w:t>
      </w:r>
      <w:r w:rsidR="00BC266A">
        <w:rPr>
          <w:rFonts w:ascii="Times New Roman" w:hAnsi="Times New Roman"/>
          <w:lang w:val="pt-BR"/>
        </w:rPr>
        <w:t>E, no</w:t>
      </w:r>
      <w:r w:rsidR="00686041">
        <w:rPr>
          <w:rFonts w:ascii="Times New Roman" w:hAnsi="Times New Roman"/>
          <w:lang w:val="pt-BR"/>
        </w:rPr>
        <w:t xml:space="preserve"> estudo realizado sobre as condições de esterificação de DDOP, concluiu que a razão molar ideal</w:t>
      </w:r>
      <w:r w:rsidR="00187F16">
        <w:rPr>
          <w:rFonts w:ascii="Times New Roman" w:hAnsi="Times New Roman"/>
          <w:lang w:val="pt-BR"/>
        </w:rPr>
        <w:t xml:space="preserve"> para esse tipo de reação é de 1:30.</w:t>
      </w:r>
    </w:p>
    <w:p w14:paraId="5B776546" w14:textId="4733F07B" w:rsidR="00427C5B" w:rsidRPr="00E038AF" w:rsidRDefault="00427C5B" w:rsidP="00855909">
      <w:pPr>
        <w:pStyle w:val="VDTableTitle"/>
        <w:spacing w:after="0"/>
        <w:jc w:val="both"/>
        <w:rPr>
          <w:rFonts w:ascii="Times New Roman" w:hAnsi="Times New Roman"/>
          <w:lang w:val="pt-BR"/>
        </w:rPr>
      </w:pPr>
      <w:r w:rsidRPr="00E038AF">
        <w:rPr>
          <w:rFonts w:ascii="Times New Roman" w:hAnsi="Times New Roman"/>
          <w:b/>
          <w:lang w:val="pt-BR"/>
        </w:rPr>
        <w:t xml:space="preserve">Tabela </w:t>
      </w:r>
      <w:r w:rsidR="0040779B">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E26053">
        <w:rPr>
          <w:rFonts w:ascii="Times New Roman" w:hAnsi="Times New Roman"/>
          <w:lang w:val="pt-BR"/>
        </w:rPr>
        <w:t>Conversão de ácidos graxos livres a partir da acidez encontrada em cada reação</w:t>
      </w:r>
      <w:r w:rsidR="00870126">
        <w:rPr>
          <w:rFonts w:ascii="Times New Roman" w:hAnsi="Times New Roman"/>
          <w:lang w:val="pt-BR"/>
        </w:rPr>
        <w:t>.</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1842"/>
        <w:gridCol w:w="1985"/>
      </w:tblGrid>
      <w:tr w:rsidR="00717EED" w:rsidRPr="00072C7A" w14:paraId="03AECDCC" w14:textId="77777777" w:rsidTr="000D17ED">
        <w:trPr>
          <w:trHeight w:val="170"/>
        </w:trPr>
        <w:tc>
          <w:tcPr>
            <w:tcW w:w="988" w:type="dxa"/>
            <w:vAlign w:val="center"/>
          </w:tcPr>
          <w:p w14:paraId="0E7504FA" w14:textId="13D9053F" w:rsidR="00717EED" w:rsidRDefault="00717EED" w:rsidP="007C1525">
            <w:pPr>
              <w:pStyle w:val="TCTableBody"/>
              <w:jc w:val="center"/>
              <w:rPr>
                <w:lang w:val="pt-BR"/>
              </w:rPr>
            </w:pPr>
            <w:r>
              <w:rPr>
                <w:lang w:val="pt-BR"/>
              </w:rPr>
              <w:t>Reação</w:t>
            </w:r>
          </w:p>
        </w:tc>
        <w:tc>
          <w:tcPr>
            <w:tcW w:w="1842" w:type="dxa"/>
            <w:vAlign w:val="center"/>
          </w:tcPr>
          <w:p w14:paraId="2733C8DD" w14:textId="7BE7F65B" w:rsidR="00717EED" w:rsidRDefault="00717EED" w:rsidP="007C1525">
            <w:pPr>
              <w:pStyle w:val="TCTableBody"/>
              <w:jc w:val="center"/>
              <w:rPr>
                <w:lang w:val="pt-BR"/>
              </w:rPr>
            </w:pPr>
            <w:r>
              <w:rPr>
                <w:lang w:val="pt-BR"/>
              </w:rPr>
              <w:t>Conversão (%)</w:t>
            </w:r>
          </w:p>
        </w:tc>
        <w:tc>
          <w:tcPr>
            <w:tcW w:w="1985" w:type="dxa"/>
            <w:vAlign w:val="center"/>
          </w:tcPr>
          <w:p w14:paraId="08AD8408" w14:textId="6370DAA9" w:rsidR="00717EED" w:rsidRDefault="00717EED" w:rsidP="00FC30F5">
            <w:pPr>
              <w:pStyle w:val="TCTableBody"/>
              <w:jc w:val="center"/>
              <w:rPr>
                <w:lang w:val="pt-BR"/>
              </w:rPr>
            </w:pPr>
            <w:r>
              <w:rPr>
                <w:lang w:val="pt-BR"/>
              </w:rPr>
              <w:t>Conversão média (%)</w:t>
            </w:r>
          </w:p>
        </w:tc>
      </w:tr>
      <w:tr w:rsidR="00717EED" w:rsidRPr="00072C7A" w14:paraId="5EDE1528" w14:textId="77777777" w:rsidTr="000D17ED">
        <w:trPr>
          <w:trHeight w:val="170"/>
        </w:trPr>
        <w:tc>
          <w:tcPr>
            <w:tcW w:w="988" w:type="dxa"/>
            <w:vAlign w:val="center"/>
          </w:tcPr>
          <w:p w14:paraId="1B5D5D68" w14:textId="08DE8849" w:rsidR="00717EED" w:rsidRDefault="00717EED" w:rsidP="007C1525">
            <w:pPr>
              <w:pStyle w:val="TCTableBody"/>
              <w:jc w:val="center"/>
              <w:rPr>
                <w:lang w:val="pt-BR"/>
              </w:rPr>
            </w:pPr>
            <w:r>
              <w:rPr>
                <w:lang w:val="pt-BR"/>
              </w:rPr>
              <w:t>1</w:t>
            </w:r>
          </w:p>
        </w:tc>
        <w:tc>
          <w:tcPr>
            <w:tcW w:w="1842" w:type="dxa"/>
            <w:vAlign w:val="center"/>
          </w:tcPr>
          <w:p w14:paraId="74F37698" w14:textId="5458DC85" w:rsidR="00717EED" w:rsidRDefault="00717EED" w:rsidP="007C1525">
            <w:pPr>
              <w:pStyle w:val="TCTableBody"/>
              <w:jc w:val="center"/>
              <w:rPr>
                <w:lang w:val="pt-BR"/>
              </w:rPr>
            </w:pPr>
            <w:r>
              <w:rPr>
                <w:lang w:val="pt-BR"/>
              </w:rPr>
              <w:t>66,0713</w:t>
            </w:r>
          </w:p>
        </w:tc>
        <w:tc>
          <w:tcPr>
            <w:tcW w:w="1985" w:type="dxa"/>
            <w:vMerge w:val="restart"/>
            <w:vAlign w:val="center"/>
          </w:tcPr>
          <w:p w14:paraId="3B19910B" w14:textId="01583046" w:rsidR="00717EED" w:rsidRDefault="00717EED" w:rsidP="00FC30F5">
            <w:pPr>
              <w:pStyle w:val="TCTableBody"/>
              <w:jc w:val="center"/>
              <w:rPr>
                <w:lang w:val="pt-BR"/>
              </w:rPr>
            </w:pPr>
            <w:r>
              <w:rPr>
                <w:lang w:val="pt-BR"/>
              </w:rPr>
              <w:t>64,99</w:t>
            </w:r>
          </w:p>
        </w:tc>
      </w:tr>
      <w:tr w:rsidR="00717EED" w:rsidRPr="00072C7A" w14:paraId="772C7FDE" w14:textId="77777777" w:rsidTr="000D17ED">
        <w:trPr>
          <w:trHeight w:val="170"/>
        </w:trPr>
        <w:tc>
          <w:tcPr>
            <w:tcW w:w="988" w:type="dxa"/>
            <w:vAlign w:val="center"/>
          </w:tcPr>
          <w:p w14:paraId="424FDE01" w14:textId="5EF72ACE" w:rsidR="00717EED" w:rsidRDefault="00717EED" w:rsidP="007C1525">
            <w:pPr>
              <w:pStyle w:val="TCTableBody"/>
              <w:jc w:val="center"/>
              <w:rPr>
                <w:lang w:val="pt-BR"/>
              </w:rPr>
            </w:pPr>
            <w:r>
              <w:rPr>
                <w:lang w:val="pt-BR"/>
              </w:rPr>
              <w:t>2</w:t>
            </w:r>
          </w:p>
        </w:tc>
        <w:tc>
          <w:tcPr>
            <w:tcW w:w="1842" w:type="dxa"/>
            <w:vAlign w:val="center"/>
          </w:tcPr>
          <w:p w14:paraId="05D0916C" w14:textId="2E1F3C34" w:rsidR="00717EED" w:rsidRDefault="00717EED" w:rsidP="007C1525">
            <w:pPr>
              <w:pStyle w:val="TCTableBody"/>
              <w:jc w:val="center"/>
              <w:rPr>
                <w:lang w:val="pt-BR"/>
              </w:rPr>
            </w:pPr>
            <w:r>
              <w:rPr>
                <w:lang w:val="pt-BR"/>
              </w:rPr>
              <w:t>63,0819</w:t>
            </w:r>
          </w:p>
        </w:tc>
        <w:tc>
          <w:tcPr>
            <w:tcW w:w="1985" w:type="dxa"/>
            <w:vMerge/>
            <w:vAlign w:val="center"/>
          </w:tcPr>
          <w:p w14:paraId="2D678380" w14:textId="77777777" w:rsidR="00717EED" w:rsidRDefault="00717EED" w:rsidP="00E01490">
            <w:pPr>
              <w:pStyle w:val="TCTableBody"/>
              <w:rPr>
                <w:lang w:val="pt-BR"/>
              </w:rPr>
            </w:pPr>
          </w:p>
        </w:tc>
      </w:tr>
      <w:tr w:rsidR="00717EED" w:rsidRPr="00072C7A" w14:paraId="7C1C3185" w14:textId="77777777" w:rsidTr="000D17ED">
        <w:trPr>
          <w:trHeight w:val="170"/>
        </w:trPr>
        <w:tc>
          <w:tcPr>
            <w:tcW w:w="988" w:type="dxa"/>
            <w:tcBorders>
              <w:bottom w:val="single" w:sz="6" w:space="0" w:color="auto"/>
            </w:tcBorders>
            <w:vAlign w:val="center"/>
          </w:tcPr>
          <w:p w14:paraId="6419C900" w14:textId="4B3208B0" w:rsidR="00717EED" w:rsidRDefault="00717EED" w:rsidP="007C1525">
            <w:pPr>
              <w:pStyle w:val="TCTableBody"/>
              <w:jc w:val="center"/>
              <w:rPr>
                <w:lang w:val="pt-BR"/>
              </w:rPr>
            </w:pPr>
            <w:r>
              <w:rPr>
                <w:lang w:val="pt-BR"/>
              </w:rPr>
              <w:t>3</w:t>
            </w:r>
          </w:p>
        </w:tc>
        <w:tc>
          <w:tcPr>
            <w:tcW w:w="1842" w:type="dxa"/>
            <w:tcBorders>
              <w:bottom w:val="single" w:sz="6" w:space="0" w:color="auto"/>
            </w:tcBorders>
            <w:vAlign w:val="center"/>
          </w:tcPr>
          <w:p w14:paraId="6FE56D72" w14:textId="6A946370" w:rsidR="00717EED" w:rsidRDefault="00717EED" w:rsidP="007C1525">
            <w:pPr>
              <w:pStyle w:val="TCTableBody"/>
              <w:jc w:val="center"/>
              <w:rPr>
                <w:lang w:val="pt-BR"/>
              </w:rPr>
            </w:pPr>
            <w:r>
              <w:rPr>
                <w:lang w:val="pt-BR"/>
              </w:rPr>
              <w:t>65,8449</w:t>
            </w:r>
          </w:p>
        </w:tc>
        <w:tc>
          <w:tcPr>
            <w:tcW w:w="1985" w:type="dxa"/>
            <w:vMerge/>
            <w:tcBorders>
              <w:bottom w:val="single" w:sz="6" w:space="0" w:color="auto"/>
            </w:tcBorders>
            <w:vAlign w:val="center"/>
          </w:tcPr>
          <w:p w14:paraId="4FA4B0B7" w14:textId="77777777" w:rsidR="00717EED" w:rsidRDefault="00717EED" w:rsidP="00E01490">
            <w:pPr>
              <w:pStyle w:val="TCTableBody"/>
              <w:rPr>
                <w:lang w:val="pt-BR"/>
              </w:rPr>
            </w:pPr>
          </w:p>
        </w:tc>
      </w:tr>
    </w:tbl>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691EE575" w:rsidR="00EA4E1B" w:rsidRDefault="00A113CF" w:rsidP="00EA4E1B">
      <w:pPr>
        <w:pStyle w:val="TAMainText"/>
        <w:ind w:firstLine="187"/>
        <w:rPr>
          <w:rFonts w:ascii="Times New Roman" w:hAnsi="Times New Roman"/>
          <w:lang w:val="pt-BR"/>
        </w:rPr>
      </w:pPr>
      <w:r>
        <w:rPr>
          <w:rFonts w:ascii="Times New Roman" w:hAnsi="Times New Roman"/>
          <w:lang w:val="pt-BR"/>
        </w:rPr>
        <w:t xml:space="preserve">Os resultados de </w:t>
      </w:r>
      <w:r w:rsidR="00811D93">
        <w:rPr>
          <w:rFonts w:ascii="Times New Roman" w:hAnsi="Times New Roman"/>
          <w:lang w:val="pt-BR"/>
        </w:rPr>
        <w:t xml:space="preserve">EDS </w:t>
      </w:r>
      <w:r w:rsidR="000001C0">
        <w:rPr>
          <w:rFonts w:ascii="Times New Roman" w:hAnsi="Times New Roman"/>
          <w:lang w:val="pt-BR"/>
        </w:rPr>
        <w:t xml:space="preserve">indicam </w:t>
      </w:r>
      <w:r w:rsidR="00811D93">
        <w:rPr>
          <w:rFonts w:ascii="Times New Roman" w:hAnsi="Times New Roman"/>
          <w:lang w:val="pt-BR"/>
        </w:rPr>
        <w:t>a presença de grupos sulfônicos no catalisador</w:t>
      </w:r>
      <w:r w:rsidR="00532DFA">
        <w:rPr>
          <w:rFonts w:ascii="Times New Roman" w:hAnsi="Times New Roman"/>
          <w:lang w:val="pt-BR"/>
        </w:rPr>
        <w:t xml:space="preserve"> e a reação de esterificação </w:t>
      </w:r>
      <w:r w:rsidR="000001C0">
        <w:rPr>
          <w:rFonts w:ascii="Times New Roman" w:hAnsi="Times New Roman"/>
          <w:lang w:val="pt-BR"/>
        </w:rPr>
        <w:t>teve</w:t>
      </w:r>
      <w:r w:rsidR="00B54C64">
        <w:rPr>
          <w:rFonts w:ascii="Times New Roman" w:hAnsi="Times New Roman"/>
          <w:lang w:val="pt-BR"/>
        </w:rPr>
        <w:t xml:space="preserve"> a </w:t>
      </w:r>
      <w:r w:rsidR="000001C0">
        <w:rPr>
          <w:rFonts w:ascii="Times New Roman" w:hAnsi="Times New Roman"/>
          <w:lang w:val="pt-BR"/>
        </w:rPr>
        <w:t xml:space="preserve">conversão </w:t>
      </w:r>
      <w:r w:rsidR="009B3554">
        <w:rPr>
          <w:rFonts w:ascii="Times New Roman" w:hAnsi="Times New Roman"/>
          <w:lang w:val="pt-BR"/>
        </w:rPr>
        <w:t xml:space="preserve">de 65% de </w:t>
      </w:r>
      <w:r w:rsidR="000001C0">
        <w:rPr>
          <w:rFonts w:ascii="Times New Roman" w:hAnsi="Times New Roman"/>
          <w:lang w:val="pt-BR"/>
        </w:rPr>
        <w:t>DDOP em éster, t</w:t>
      </w:r>
      <w:r w:rsidR="008A5868">
        <w:rPr>
          <w:rFonts w:ascii="Times New Roman" w:hAnsi="Times New Roman"/>
          <w:lang w:val="pt-BR"/>
        </w:rPr>
        <w:t xml:space="preserve">ornando esse catalisador um material promissor </w:t>
      </w:r>
      <w:r w:rsidR="003C2299">
        <w:rPr>
          <w:rFonts w:ascii="Times New Roman" w:hAnsi="Times New Roman"/>
          <w:lang w:val="pt-BR"/>
        </w:rPr>
        <w:t>em reações de esterificação de DDOP.</w:t>
      </w:r>
    </w:p>
    <w:p w14:paraId="4D255FB8" w14:textId="1E4E4E8C" w:rsidR="00407228" w:rsidRPr="001F25B2" w:rsidRDefault="000001C0" w:rsidP="00EA4E1B">
      <w:pPr>
        <w:pStyle w:val="TAMainText"/>
        <w:ind w:firstLine="187"/>
        <w:rPr>
          <w:rFonts w:ascii="Times New Roman" w:hAnsi="Times New Roman"/>
          <w:lang w:val="pt-BR"/>
        </w:rPr>
      </w:pPr>
      <w:r>
        <w:rPr>
          <w:rFonts w:ascii="Times New Roman" w:hAnsi="Times New Roman"/>
          <w:lang w:val="pt-BR"/>
        </w:rPr>
        <w:t>Mais caracterizações do catalisador e t</w:t>
      </w:r>
      <w:r w:rsidR="008A5444">
        <w:rPr>
          <w:rFonts w:ascii="Times New Roman" w:hAnsi="Times New Roman"/>
          <w:lang w:val="pt-BR"/>
        </w:rPr>
        <w:t>estes adicionais com variações de parâmetros como</w:t>
      </w:r>
      <w:r>
        <w:rPr>
          <w:rFonts w:ascii="Times New Roman" w:hAnsi="Times New Roman"/>
          <w:lang w:val="pt-BR"/>
        </w:rPr>
        <w:t xml:space="preserve"> temperatura,</w:t>
      </w:r>
      <w:r w:rsidR="008A5444">
        <w:rPr>
          <w:rFonts w:ascii="Times New Roman" w:hAnsi="Times New Roman"/>
          <w:lang w:val="pt-BR"/>
        </w:rPr>
        <w:t xml:space="preserve"> </w:t>
      </w:r>
      <w:r w:rsidR="005E5096">
        <w:rPr>
          <w:rFonts w:ascii="Times New Roman" w:hAnsi="Times New Roman"/>
          <w:lang w:val="pt-BR"/>
        </w:rPr>
        <w:t>razão molar d</w:t>
      </w:r>
      <w:r>
        <w:rPr>
          <w:rFonts w:ascii="Times New Roman" w:hAnsi="Times New Roman"/>
          <w:lang w:val="pt-BR"/>
        </w:rPr>
        <w:t>os reagentes</w:t>
      </w:r>
      <w:r w:rsidR="00835772">
        <w:rPr>
          <w:rFonts w:ascii="Times New Roman" w:hAnsi="Times New Roman"/>
          <w:lang w:val="pt-BR"/>
        </w:rPr>
        <w:t xml:space="preserve"> e tempo</w:t>
      </w:r>
      <w:r>
        <w:rPr>
          <w:rFonts w:ascii="Times New Roman" w:hAnsi="Times New Roman"/>
          <w:lang w:val="pt-BR"/>
        </w:rPr>
        <w:t xml:space="preserve"> reacional</w:t>
      </w:r>
      <w:r w:rsidR="00835772">
        <w:rPr>
          <w:rFonts w:ascii="Times New Roman" w:hAnsi="Times New Roman"/>
          <w:lang w:val="pt-BR"/>
        </w:rPr>
        <w:t xml:space="preserve"> </w:t>
      </w:r>
      <w:r w:rsidR="002109BC">
        <w:rPr>
          <w:rFonts w:ascii="Times New Roman" w:hAnsi="Times New Roman"/>
          <w:lang w:val="pt-BR"/>
        </w:rPr>
        <w:t>são necessários para o</w:t>
      </w:r>
      <w:r>
        <w:rPr>
          <w:rFonts w:ascii="Times New Roman" w:hAnsi="Times New Roman"/>
          <w:lang w:val="pt-BR"/>
        </w:rPr>
        <w:t>bter maiores</w:t>
      </w:r>
      <w:r w:rsidR="002109BC">
        <w:rPr>
          <w:rFonts w:ascii="Times New Roman" w:hAnsi="Times New Roman"/>
          <w:lang w:val="pt-BR"/>
        </w:rPr>
        <w:t xml:space="preserve"> </w:t>
      </w:r>
      <w:r>
        <w:rPr>
          <w:rFonts w:ascii="Times New Roman" w:hAnsi="Times New Roman"/>
          <w:lang w:val="pt-BR"/>
        </w:rPr>
        <w:t>conversões</w:t>
      </w:r>
      <w:r w:rsidR="00C17AE7">
        <w:rPr>
          <w:rFonts w:ascii="Times New Roman" w:hAnsi="Times New Roman"/>
          <w:lang w:val="pt-BR"/>
        </w:rPr>
        <w:t xml:space="preserve">, bem como testes de reuso para avaliar a atuação </w:t>
      </w:r>
      <w:r w:rsidR="00BF58BE">
        <w:rPr>
          <w:rFonts w:ascii="Times New Roman" w:hAnsi="Times New Roman"/>
          <w:lang w:val="pt-BR"/>
        </w:rPr>
        <w:t>como catalisador heterogêneo em repetidos ciclos reacionais.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6A0715C4" w:rsidR="00EA4E1B" w:rsidRPr="001F25B2" w:rsidRDefault="00390AC6" w:rsidP="00EA4E1B">
      <w:pPr>
        <w:pStyle w:val="TAMainText"/>
        <w:rPr>
          <w:rFonts w:ascii="Times New Roman" w:hAnsi="Times New Roman"/>
          <w:lang w:val="pt-BR"/>
        </w:rPr>
      </w:pPr>
      <w:r>
        <w:rPr>
          <w:rFonts w:ascii="Times New Roman" w:hAnsi="Times New Roman"/>
          <w:lang w:val="pt-BR"/>
        </w:rPr>
        <w:t>À CAPES</w:t>
      </w:r>
      <w:r w:rsidR="00FC37C6">
        <w:rPr>
          <w:rFonts w:ascii="Times New Roman" w:hAnsi="Times New Roman"/>
          <w:lang w:val="pt-BR"/>
        </w:rPr>
        <w:t xml:space="preserve">, </w:t>
      </w:r>
      <w:r w:rsidR="000001C0">
        <w:rPr>
          <w:rFonts w:ascii="Times New Roman" w:hAnsi="Times New Roman"/>
          <w:lang w:val="pt-BR"/>
        </w:rPr>
        <w:t>FAPESPA, BASA</w:t>
      </w:r>
      <w:r w:rsidR="0081535B">
        <w:rPr>
          <w:rFonts w:ascii="Times New Roman" w:hAnsi="Times New Roman"/>
          <w:lang w:val="pt-BR"/>
        </w:rPr>
        <w:t xml:space="preserve">, </w:t>
      </w:r>
      <w:r w:rsidR="00FC37C6">
        <w:rPr>
          <w:rFonts w:ascii="Times New Roman" w:hAnsi="Times New Roman"/>
          <w:lang w:val="pt-BR"/>
        </w:rPr>
        <w:t>LAPAC</w:t>
      </w:r>
      <w:r w:rsidR="000D17ED">
        <w:rPr>
          <w:rFonts w:ascii="Times New Roman" w:hAnsi="Times New Roman"/>
          <w:lang w:val="pt-BR"/>
        </w:rPr>
        <w:t xml:space="preserve">, PPGBIOTEC </w:t>
      </w:r>
      <w:r w:rsidR="0081535B">
        <w:rPr>
          <w:rFonts w:ascii="Times New Roman" w:hAnsi="Times New Roman"/>
          <w:lang w:val="pt-BR"/>
        </w:rPr>
        <w:t>e à Universidade Federal do Pará.</w:t>
      </w:r>
      <w:r>
        <w:rPr>
          <w:rFonts w:ascii="Times New Roman" w:hAnsi="Times New Roman"/>
          <w:lang w:val="pt-BR"/>
        </w:rPr>
        <w:t xml:space="preserve"> </w:t>
      </w:r>
    </w:p>
    <w:p w14:paraId="158D911D" w14:textId="01B62A0B" w:rsidR="00EA4E1B" w:rsidRPr="00C47D4F" w:rsidRDefault="00EA4E1B" w:rsidP="00C47D4F">
      <w:pPr>
        <w:pStyle w:val="Ttulo2"/>
        <w:rPr>
          <w:rFonts w:ascii="Helvetica" w:hAnsi="Helvetica" w:cs="Helvetica"/>
          <w:sz w:val="24"/>
          <w:szCs w:val="24"/>
        </w:rPr>
      </w:pPr>
      <w:r w:rsidRPr="001F25B2">
        <w:rPr>
          <w:rFonts w:ascii="Helvetica" w:hAnsi="Helvetica" w:cs="Helvetica"/>
          <w:sz w:val="24"/>
          <w:szCs w:val="24"/>
        </w:rPr>
        <w:t>Referências</w:t>
      </w:r>
    </w:p>
    <w:p w14:paraId="28BB58A1" w14:textId="7A5706FE" w:rsidR="009C3E05" w:rsidRDefault="00B24A49" w:rsidP="00540D56">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V.S. Bezerra; </w:t>
      </w:r>
      <w:r w:rsidR="00054D1E">
        <w:rPr>
          <w:rFonts w:ascii="Times New Roman" w:eastAsia="Times New Roman" w:hAnsi="Times New Roman" w:cs="Times New Roman"/>
          <w:sz w:val="20"/>
          <w:szCs w:val="20"/>
          <w:lang w:eastAsia="pt-BR"/>
        </w:rPr>
        <w:t>L.</w:t>
      </w:r>
      <w:r w:rsidR="00B72E51">
        <w:rPr>
          <w:rFonts w:ascii="Times New Roman" w:eastAsia="Times New Roman" w:hAnsi="Times New Roman" w:cs="Times New Roman"/>
          <w:sz w:val="20"/>
          <w:szCs w:val="20"/>
          <w:lang w:eastAsia="pt-BR"/>
        </w:rPr>
        <w:t>F. Damasceno</w:t>
      </w:r>
      <w:r w:rsidR="00540D56">
        <w:rPr>
          <w:rFonts w:ascii="Times New Roman" w:eastAsia="Times New Roman" w:hAnsi="Times New Roman" w:cs="Times New Roman"/>
          <w:sz w:val="20"/>
          <w:szCs w:val="20"/>
          <w:lang w:eastAsia="pt-BR"/>
        </w:rPr>
        <w:t xml:space="preserve">. </w:t>
      </w:r>
      <w:r w:rsidR="00540D56" w:rsidRPr="00540D56">
        <w:rPr>
          <w:rFonts w:ascii="Times New Roman" w:eastAsia="Times New Roman" w:hAnsi="Times New Roman" w:cs="Times New Roman"/>
          <w:sz w:val="20"/>
          <w:szCs w:val="20"/>
          <w:lang w:eastAsia="pt-BR"/>
        </w:rPr>
        <w:t xml:space="preserve">Espécies Oleaginosas Nativas da Região Norte - </w:t>
      </w:r>
      <w:proofErr w:type="spellStart"/>
      <w:r w:rsidR="00540D56" w:rsidRPr="00540D56">
        <w:rPr>
          <w:rFonts w:ascii="Times New Roman" w:eastAsia="Times New Roman" w:hAnsi="Times New Roman" w:cs="Times New Roman"/>
          <w:sz w:val="20"/>
          <w:szCs w:val="20"/>
          <w:lang w:eastAsia="pt-BR"/>
        </w:rPr>
        <w:t>Astrocaryum</w:t>
      </w:r>
      <w:proofErr w:type="spellEnd"/>
      <w:r w:rsidR="00540D56" w:rsidRPr="00540D56">
        <w:rPr>
          <w:rFonts w:ascii="Times New Roman" w:eastAsia="Times New Roman" w:hAnsi="Times New Roman" w:cs="Times New Roman"/>
          <w:sz w:val="20"/>
          <w:szCs w:val="20"/>
          <w:lang w:eastAsia="pt-BR"/>
        </w:rPr>
        <w:t xml:space="preserve"> murumuru. Em: Espécies Nativas da Flora Brasileira de Valor Econômico Atual ou Potencial – Plantas para o Futuro – Região Norte</w:t>
      </w:r>
      <w:r w:rsidR="00540D56">
        <w:rPr>
          <w:rFonts w:ascii="Times New Roman" w:eastAsia="Times New Roman" w:hAnsi="Times New Roman" w:cs="Times New Roman"/>
          <w:sz w:val="20"/>
          <w:szCs w:val="20"/>
          <w:lang w:eastAsia="pt-BR"/>
        </w:rPr>
        <w:t>.</w:t>
      </w:r>
      <w:r w:rsidR="00FA4C28">
        <w:rPr>
          <w:rFonts w:ascii="Times New Roman" w:eastAsia="Times New Roman" w:hAnsi="Times New Roman" w:cs="Times New Roman"/>
          <w:sz w:val="20"/>
          <w:szCs w:val="20"/>
          <w:lang w:eastAsia="pt-BR"/>
        </w:rPr>
        <w:t xml:space="preserve"> L.</w:t>
      </w:r>
      <w:r w:rsidR="00540D56">
        <w:rPr>
          <w:rFonts w:ascii="Times New Roman" w:eastAsia="Times New Roman" w:hAnsi="Times New Roman" w:cs="Times New Roman"/>
          <w:sz w:val="20"/>
          <w:szCs w:val="20"/>
          <w:lang w:eastAsia="pt-BR"/>
        </w:rPr>
        <w:t xml:space="preserve"> </w:t>
      </w:r>
      <w:proofErr w:type="spellStart"/>
      <w:r w:rsidR="00FA4C28" w:rsidRPr="00FA4C28">
        <w:rPr>
          <w:rFonts w:ascii="Times New Roman" w:eastAsia="Times New Roman" w:hAnsi="Times New Roman" w:cs="Times New Roman"/>
          <w:sz w:val="20"/>
          <w:szCs w:val="20"/>
          <w:lang w:eastAsia="pt-BR"/>
        </w:rPr>
        <w:t>C</w:t>
      </w:r>
      <w:r w:rsidR="00FA4C28">
        <w:rPr>
          <w:rFonts w:ascii="Times New Roman" w:eastAsia="Times New Roman" w:hAnsi="Times New Roman" w:cs="Times New Roman"/>
          <w:sz w:val="20"/>
          <w:szCs w:val="20"/>
          <w:lang w:eastAsia="pt-BR"/>
        </w:rPr>
        <w:t>oradin</w:t>
      </w:r>
      <w:proofErr w:type="spellEnd"/>
      <w:r w:rsidR="00FA4C28" w:rsidRPr="00FA4C28">
        <w:rPr>
          <w:rFonts w:ascii="Times New Roman" w:eastAsia="Times New Roman" w:hAnsi="Times New Roman" w:cs="Times New Roman"/>
          <w:sz w:val="20"/>
          <w:szCs w:val="20"/>
          <w:lang w:eastAsia="pt-BR"/>
        </w:rPr>
        <w:t>;</w:t>
      </w:r>
      <w:r w:rsidR="00FA4C28">
        <w:rPr>
          <w:rFonts w:ascii="Times New Roman" w:eastAsia="Times New Roman" w:hAnsi="Times New Roman" w:cs="Times New Roman"/>
          <w:sz w:val="20"/>
          <w:szCs w:val="20"/>
          <w:lang w:eastAsia="pt-BR"/>
        </w:rPr>
        <w:t xml:space="preserve"> J.</w:t>
      </w:r>
      <w:r w:rsidR="00FA4C28" w:rsidRPr="00FA4C28">
        <w:rPr>
          <w:rFonts w:ascii="Times New Roman" w:eastAsia="Times New Roman" w:hAnsi="Times New Roman" w:cs="Times New Roman"/>
          <w:sz w:val="20"/>
          <w:szCs w:val="20"/>
          <w:lang w:eastAsia="pt-BR"/>
        </w:rPr>
        <w:t xml:space="preserve"> C</w:t>
      </w:r>
      <w:r w:rsidR="00C74021">
        <w:rPr>
          <w:rFonts w:ascii="Times New Roman" w:eastAsia="Times New Roman" w:hAnsi="Times New Roman" w:cs="Times New Roman"/>
          <w:sz w:val="20"/>
          <w:szCs w:val="20"/>
          <w:lang w:eastAsia="pt-BR"/>
        </w:rPr>
        <w:t>amillo</w:t>
      </w:r>
      <w:r w:rsidR="00FA4C28" w:rsidRPr="00FA4C28">
        <w:rPr>
          <w:rFonts w:ascii="Times New Roman" w:eastAsia="Times New Roman" w:hAnsi="Times New Roman" w:cs="Times New Roman"/>
          <w:sz w:val="20"/>
          <w:szCs w:val="20"/>
          <w:lang w:eastAsia="pt-BR"/>
        </w:rPr>
        <w:t>;</w:t>
      </w:r>
      <w:r w:rsidR="00863C2D">
        <w:rPr>
          <w:rFonts w:ascii="Times New Roman" w:eastAsia="Times New Roman" w:hAnsi="Times New Roman" w:cs="Times New Roman"/>
          <w:sz w:val="20"/>
          <w:szCs w:val="20"/>
          <w:lang w:eastAsia="pt-BR"/>
        </w:rPr>
        <w:t xml:space="preserve"> I.C.G</w:t>
      </w:r>
      <w:r w:rsidR="00FA4C28" w:rsidRPr="00FA4C28">
        <w:rPr>
          <w:rFonts w:ascii="Times New Roman" w:eastAsia="Times New Roman" w:hAnsi="Times New Roman" w:cs="Times New Roman"/>
          <w:sz w:val="20"/>
          <w:szCs w:val="20"/>
          <w:lang w:eastAsia="pt-BR"/>
        </w:rPr>
        <w:t xml:space="preserve"> </w:t>
      </w:r>
      <w:r w:rsidR="00863C2D">
        <w:rPr>
          <w:rFonts w:ascii="Times New Roman" w:eastAsia="Times New Roman" w:hAnsi="Times New Roman" w:cs="Times New Roman"/>
          <w:sz w:val="20"/>
          <w:szCs w:val="20"/>
          <w:lang w:eastAsia="pt-BR"/>
        </w:rPr>
        <w:t>Vieira; Ed.</w:t>
      </w:r>
      <w:r w:rsidR="00B46C31">
        <w:rPr>
          <w:rFonts w:ascii="Times New Roman" w:eastAsia="Times New Roman" w:hAnsi="Times New Roman" w:cs="Times New Roman"/>
          <w:sz w:val="20"/>
          <w:szCs w:val="20"/>
          <w:lang w:eastAsia="pt-BR"/>
        </w:rPr>
        <w:t xml:space="preserve"> </w:t>
      </w:r>
      <w:r w:rsidR="00B46C31" w:rsidRPr="00B46C31">
        <w:rPr>
          <w:rFonts w:ascii="Times New Roman" w:eastAsia="Times New Roman" w:hAnsi="Times New Roman" w:cs="Times New Roman"/>
          <w:sz w:val="20"/>
          <w:szCs w:val="20"/>
          <w:lang w:eastAsia="pt-BR"/>
        </w:rPr>
        <w:t xml:space="preserve">Brasília, DF: MMA, </w:t>
      </w:r>
      <w:r w:rsidR="00B46C31" w:rsidRPr="007C3CD9">
        <w:rPr>
          <w:rFonts w:ascii="Times New Roman" w:eastAsia="Times New Roman" w:hAnsi="Times New Roman" w:cs="Times New Roman"/>
          <w:b/>
          <w:bCs/>
          <w:sz w:val="20"/>
          <w:szCs w:val="20"/>
          <w:lang w:eastAsia="pt-BR"/>
        </w:rPr>
        <w:t>2022</w:t>
      </w:r>
      <w:r w:rsidR="00B46C31" w:rsidRPr="00B46C31">
        <w:rPr>
          <w:rFonts w:ascii="Times New Roman" w:eastAsia="Times New Roman" w:hAnsi="Times New Roman" w:cs="Times New Roman"/>
          <w:sz w:val="20"/>
          <w:szCs w:val="20"/>
          <w:lang w:eastAsia="pt-BR"/>
        </w:rPr>
        <w:t>. Série Biodiversidade</w:t>
      </w:r>
      <w:r w:rsidR="00A537CE">
        <w:rPr>
          <w:rFonts w:ascii="Times New Roman" w:eastAsia="Times New Roman" w:hAnsi="Times New Roman" w:cs="Times New Roman"/>
          <w:sz w:val="20"/>
          <w:szCs w:val="20"/>
          <w:lang w:eastAsia="pt-BR"/>
        </w:rPr>
        <w:t>.</w:t>
      </w:r>
      <w:r w:rsidR="00B46C31" w:rsidRPr="00B46C31">
        <w:rPr>
          <w:rFonts w:ascii="Times New Roman" w:eastAsia="Times New Roman" w:hAnsi="Times New Roman" w:cs="Times New Roman"/>
          <w:sz w:val="20"/>
          <w:szCs w:val="20"/>
          <w:lang w:eastAsia="pt-BR"/>
        </w:rPr>
        <w:t xml:space="preserve"> Vol. </w:t>
      </w:r>
      <w:r w:rsidR="00A537CE">
        <w:rPr>
          <w:rFonts w:ascii="Times New Roman" w:eastAsia="Times New Roman" w:hAnsi="Times New Roman" w:cs="Times New Roman"/>
          <w:sz w:val="20"/>
          <w:szCs w:val="20"/>
          <w:lang w:eastAsia="pt-BR"/>
        </w:rPr>
        <w:t>53</w:t>
      </w:r>
      <w:r w:rsidR="00B46C31" w:rsidRPr="00B46C31">
        <w:rPr>
          <w:rFonts w:ascii="Times New Roman" w:eastAsia="Times New Roman" w:hAnsi="Times New Roman" w:cs="Times New Roman"/>
          <w:sz w:val="20"/>
          <w:szCs w:val="20"/>
          <w:lang w:eastAsia="pt-BR"/>
        </w:rPr>
        <w:t xml:space="preserve">, </w:t>
      </w:r>
      <w:r w:rsidR="007A072D" w:rsidRPr="007A072D">
        <w:rPr>
          <w:rFonts w:ascii="Times New Roman" w:eastAsia="Times New Roman" w:hAnsi="Times New Roman" w:cs="Times New Roman"/>
          <w:sz w:val="20"/>
          <w:szCs w:val="20"/>
          <w:lang w:eastAsia="pt-BR"/>
        </w:rPr>
        <w:t>1125-1136</w:t>
      </w:r>
      <w:r w:rsidR="00B46C31" w:rsidRPr="00B46C31">
        <w:rPr>
          <w:rFonts w:ascii="Times New Roman" w:eastAsia="Times New Roman" w:hAnsi="Times New Roman" w:cs="Times New Roman"/>
          <w:sz w:val="20"/>
          <w:szCs w:val="20"/>
          <w:lang w:eastAsia="pt-BR"/>
        </w:rPr>
        <w:t>.</w:t>
      </w:r>
    </w:p>
    <w:p w14:paraId="57286158" w14:textId="47007B9F" w:rsidR="00532E9E" w:rsidRDefault="00B85874" w:rsidP="00540D56">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 T. B. Campos, Dissertação de Mestrado</w:t>
      </w:r>
      <w:r w:rsidR="00DC1456">
        <w:rPr>
          <w:rFonts w:ascii="Times New Roman" w:eastAsia="Times New Roman" w:hAnsi="Times New Roman" w:cs="Times New Roman"/>
          <w:sz w:val="20"/>
          <w:szCs w:val="20"/>
          <w:lang w:eastAsia="pt-BR"/>
        </w:rPr>
        <w:t xml:space="preserve">, Universidade Federal do Pará, </w:t>
      </w:r>
      <w:r w:rsidR="00DC1456" w:rsidRPr="002012A6">
        <w:rPr>
          <w:rFonts w:ascii="Times New Roman" w:eastAsia="Times New Roman" w:hAnsi="Times New Roman" w:cs="Times New Roman"/>
          <w:b/>
          <w:bCs/>
          <w:sz w:val="20"/>
          <w:szCs w:val="20"/>
          <w:lang w:eastAsia="pt-BR"/>
        </w:rPr>
        <w:t>2023</w:t>
      </w:r>
      <w:r w:rsidR="00DC1456">
        <w:rPr>
          <w:rFonts w:ascii="Times New Roman" w:eastAsia="Times New Roman" w:hAnsi="Times New Roman" w:cs="Times New Roman"/>
          <w:sz w:val="20"/>
          <w:szCs w:val="20"/>
          <w:lang w:eastAsia="pt-BR"/>
        </w:rPr>
        <w:t>.</w:t>
      </w:r>
    </w:p>
    <w:p w14:paraId="49C16131" w14:textId="2CDB1A42" w:rsidR="00DC1456" w:rsidRDefault="003C60E5" w:rsidP="00540D56">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3C60E5">
        <w:rPr>
          <w:rFonts w:ascii="Times New Roman" w:eastAsia="Times New Roman" w:hAnsi="Times New Roman" w:cs="Times New Roman"/>
          <w:sz w:val="20"/>
          <w:szCs w:val="20"/>
          <w:lang w:eastAsia="pt-BR"/>
        </w:rPr>
        <w:t>A. P.</w:t>
      </w:r>
      <w:r w:rsidR="00682F72">
        <w:rPr>
          <w:rFonts w:ascii="Times New Roman" w:eastAsia="Times New Roman" w:hAnsi="Times New Roman" w:cs="Times New Roman"/>
          <w:sz w:val="20"/>
          <w:szCs w:val="20"/>
          <w:lang w:eastAsia="pt-BR"/>
        </w:rPr>
        <w:t xml:space="preserve"> Corrêa</w:t>
      </w:r>
      <w:r w:rsidRPr="003C60E5">
        <w:rPr>
          <w:rFonts w:ascii="Times New Roman" w:eastAsia="Times New Roman" w:hAnsi="Times New Roman" w:cs="Times New Roman"/>
          <w:sz w:val="20"/>
          <w:szCs w:val="20"/>
          <w:lang w:eastAsia="pt-BR"/>
        </w:rPr>
        <w:t xml:space="preserve"> </w:t>
      </w:r>
      <w:r w:rsidRPr="0006316F">
        <w:rPr>
          <w:rFonts w:ascii="Times New Roman" w:eastAsia="Times New Roman" w:hAnsi="Times New Roman" w:cs="Times New Roman"/>
          <w:i/>
          <w:iCs/>
          <w:sz w:val="20"/>
          <w:szCs w:val="20"/>
          <w:lang w:eastAsia="pt-BR"/>
        </w:rPr>
        <w:t>et al</w:t>
      </w:r>
      <w:r w:rsidR="00682F72">
        <w:rPr>
          <w:rFonts w:ascii="Times New Roman" w:eastAsia="Times New Roman" w:hAnsi="Times New Roman" w:cs="Times New Roman"/>
          <w:sz w:val="20"/>
          <w:szCs w:val="20"/>
          <w:lang w:eastAsia="pt-BR"/>
        </w:rPr>
        <w:t xml:space="preserve">. </w:t>
      </w:r>
      <w:r w:rsidRPr="003C60E5">
        <w:rPr>
          <w:rFonts w:ascii="Times New Roman" w:eastAsia="Times New Roman" w:hAnsi="Times New Roman" w:cs="Times New Roman"/>
          <w:sz w:val="20"/>
          <w:szCs w:val="20"/>
          <w:lang w:eastAsia="pt-BR"/>
        </w:rPr>
        <w:t xml:space="preserve">RSC </w:t>
      </w:r>
      <w:proofErr w:type="spellStart"/>
      <w:r w:rsidRPr="003C60E5">
        <w:rPr>
          <w:rFonts w:ascii="Times New Roman" w:eastAsia="Times New Roman" w:hAnsi="Times New Roman" w:cs="Times New Roman"/>
          <w:sz w:val="20"/>
          <w:szCs w:val="20"/>
          <w:lang w:eastAsia="pt-BR"/>
        </w:rPr>
        <w:t>Advances</w:t>
      </w:r>
      <w:proofErr w:type="spellEnd"/>
      <w:r w:rsidR="00544C93">
        <w:rPr>
          <w:rFonts w:ascii="Times New Roman" w:eastAsia="Times New Roman" w:hAnsi="Times New Roman" w:cs="Times New Roman"/>
          <w:sz w:val="20"/>
          <w:szCs w:val="20"/>
          <w:lang w:eastAsia="pt-BR"/>
        </w:rPr>
        <w:t xml:space="preserve">. </w:t>
      </w:r>
      <w:r w:rsidR="00782B06">
        <w:rPr>
          <w:rFonts w:ascii="Times New Roman" w:eastAsia="Times New Roman" w:hAnsi="Times New Roman" w:cs="Times New Roman"/>
          <w:b/>
          <w:bCs/>
          <w:sz w:val="20"/>
          <w:szCs w:val="20"/>
          <w:lang w:eastAsia="pt-BR"/>
        </w:rPr>
        <w:t>2020</w:t>
      </w:r>
      <w:r w:rsidR="00782B06">
        <w:rPr>
          <w:rFonts w:ascii="Times New Roman" w:eastAsia="Times New Roman" w:hAnsi="Times New Roman" w:cs="Times New Roman"/>
          <w:sz w:val="20"/>
          <w:szCs w:val="20"/>
          <w:lang w:eastAsia="pt-BR"/>
        </w:rPr>
        <w:t>,</w:t>
      </w:r>
      <w:r w:rsidRPr="003C60E5">
        <w:rPr>
          <w:rFonts w:ascii="Times New Roman" w:eastAsia="Times New Roman" w:hAnsi="Times New Roman" w:cs="Times New Roman"/>
          <w:sz w:val="20"/>
          <w:szCs w:val="20"/>
          <w:lang w:eastAsia="pt-BR"/>
        </w:rPr>
        <w:t xml:space="preserve"> </w:t>
      </w:r>
      <w:r w:rsidR="00380551">
        <w:rPr>
          <w:rFonts w:ascii="Times New Roman" w:eastAsia="Times New Roman" w:hAnsi="Times New Roman" w:cs="Times New Roman"/>
          <w:sz w:val="20"/>
          <w:szCs w:val="20"/>
          <w:lang w:eastAsia="pt-BR"/>
        </w:rPr>
        <w:t>10</w:t>
      </w:r>
      <w:r w:rsidRPr="003C60E5">
        <w:rPr>
          <w:rFonts w:ascii="Times New Roman" w:eastAsia="Times New Roman" w:hAnsi="Times New Roman" w:cs="Times New Roman"/>
          <w:sz w:val="20"/>
          <w:szCs w:val="20"/>
          <w:lang w:eastAsia="pt-BR"/>
        </w:rPr>
        <w:t>, 20245–20256</w:t>
      </w:r>
      <w:r w:rsidR="00544C93">
        <w:rPr>
          <w:rFonts w:ascii="Times New Roman" w:eastAsia="Times New Roman" w:hAnsi="Times New Roman" w:cs="Times New Roman"/>
          <w:sz w:val="20"/>
          <w:szCs w:val="20"/>
          <w:lang w:eastAsia="pt-BR"/>
        </w:rPr>
        <w:t>.</w:t>
      </w:r>
    </w:p>
    <w:p w14:paraId="58716424" w14:textId="35C2D236" w:rsidR="007B4B2B" w:rsidRPr="0006316F" w:rsidRDefault="00C46E7B" w:rsidP="00EA4E1B">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 </w:t>
      </w:r>
      <w:r w:rsidR="0074564A" w:rsidRPr="0074564A">
        <w:rPr>
          <w:rFonts w:ascii="Times New Roman" w:eastAsia="Times New Roman" w:hAnsi="Times New Roman" w:cs="Times New Roman"/>
          <w:sz w:val="20"/>
          <w:szCs w:val="20"/>
          <w:lang w:eastAsia="pt-BR"/>
        </w:rPr>
        <w:t>d</w:t>
      </w:r>
      <w:r>
        <w:rPr>
          <w:rFonts w:ascii="Times New Roman" w:eastAsia="Times New Roman" w:hAnsi="Times New Roman" w:cs="Times New Roman"/>
          <w:sz w:val="20"/>
          <w:szCs w:val="20"/>
          <w:lang w:eastAsia="pt-BR"/>
        </w:rPr>
        <w:t>e</w:t>
      </w:r>
      <w:r w:rsidR="0074564A" w:rsidRPr="0074564A">
        <w:rPr>
          <w:rFonts w:ascii="Times New Roman" w:eastAsia="Times New Roman" w:hAnsi="Times New Roman" w:cs="Times New Roman"/>
          <w:sz w:val="20"/>
          <w:szCs w:val="20"/>
          <w:lang w:eastAsia="pt-BR"/>
        </w:rPr>
        <w:t xml:space="preserve"> N</w:t>
      </w:r>
      <w:r>
        <w:rPr>
          <w:rFonts w:ascii="Times New Roman" w:eastAsia="Times New Roman" w:hAnsi="Times New Roman" w:cs="Times New Roman"/>
          <w:sz w:val="20"/>
          <w:szCs w:val="20"/>
          <w:lang w:eastAsia="pt-BR"/>
        </w:rPr>
        <w:t>.</w:t>
      </w:r>
      <w:r w:rsidR="0074564A" w:rsidRPr="0074564A">
        <w:rPr>
          <w:rFonts w:ascii="Times New Roman" w:eastAsia="Times New Roman" w:hAnsi="Times New Roman" w:cs="Times New Roman"/>
          <w:sz w:val="20"/>
          <w:szCs w:val="20"/>
          <w:lang w:eastAsia="pt-BR"/>
        </w:rPr>
        <w:t xml:space="preserve"> de Oliveira</w:t>
      </w:r>
      <w:r w:rsidR="003E50E7">
        <w:rPr>
          <w:rFonts w:ascii="Times New Roman" w:eastAsia="Times New Roman" w:hAnsi="Times New Roman" w:cs="Times New Roman"/>
          <w:sz w:val="20"/>
          <w:szCs w:val="20"/>
          <w:lang w:eastAsia="pt-BR"/>
        </w:rPr>
        <w:t xml:space="preserve"> </w:t>
      </w:r>
      <w:r w:rsidR="003E50E7" w:rsidRPr="0006316F">
        <w:rPr>
          <w:rFonts w:ascii="Times New Roman" w:eastAsia="Times New Roman" w:hAnsi="Times New Roman" w:cs="Times New Roman"/>
          <w:i/>
          <w:iCs/>
          <w:sz w:val="20"/>
          <w:szCs w:val="20"/>
          <w:lang w:eastAsia="pt-BR"/>
        </w:rPr>
        <w:t>et</w:t>
      </w:r>
      <w:r w:rsidR="00E131F6" w:rsidRPr="0006316F">
        <w:rPr>
          <w:rFonts w:ascii="Times New Roman" w:eastAsia="Times New Roman" w:hAnsi="Times New Roman" w:cs="Times New Roman"/>
          <w:i/>
          <w:iCs/>
          <w:sz w:val="20"/>
          <w:szCs w:val="20"/>
          <w:lang w:eastAsia="pt-BR"/>
        </w:rPr>
        <w:t xml:space="preserve"> al</w:t>
      </w:r>
      <w:r w:rsidR="00EA5639">
        <w:rPr>
          <w:rFonts w:ascii="Times New Roman" w:eastAsia="Times New Roman" w:hAnsi="Times New Roman" w:cs="Times New Roman"/>
          <w:sz w:val="20"/>
          <w:szCs w:val="20"/>
          <w:lang w:eastAsia="pt-BR"/>
        </w:rPr>
        <w:t xml:space="preserve">. </w:t>
      </w:r>
      <w:proofErr w:type="spellStart"/>
      <w:r w:rsidR="00F30372" w:rsidRPr="00F30372">
        <w:rPr>
          <w:rFonts w:ascii="Times New Roman" w:eastAsia="Times New Roman" w:hAnsi="Times New Roman" w:cs="Times New Roman"/>
          <w:sz w:val="20"/>
          <w:szCs w:val="20"/>
          <w:lang w:eastAsia="pt-BR"/>
        </w:rPr>
        <w:t>Catalysts</w:t>
      </w:r>
      <w:proofErr w:type="spellEnd"/>
      <w:r w:rsidR="007C3CD9">
        <w:rPr>
          <w:rFonts w:ascii="Times New Roman" w:eastAsia="Times New Roman" w:hAnsi="Times New Roman" w:cs="Times New Roman"/>
          <w:sz w:val="20"/>
          <w:szCs w:val="20"/>
          <w:lang w:eastAsia="pt-BR"/>
        </w:rPr>
        <w:t xml:space="preserve">. </w:t>
      </w:r>
      <w:r w:rsidR="00CE7D53" w:rsidRPr="002012A6">
        <w:rPr>
          <w:rFonts w:ascii="Times New Roman" w:eastAsia="Times New Roman" w:hAnsi="Times New Roman" w:cs="Times New Roman"/>
          <w:b/>
          <w:bCs/>
          <w:sz w:val="20"/>
          <w:szCs w:val="20"/>
          <w:lang w:eastAsia="pt-BR"/>
        </w:rPr>
        <w:t>2021</w:t>
      </w:r>
      <w:r w:rsidR="00CE7D53" w:rsidRPr="00F30372">
        <w:rPr>
          <w:rFonts w:ascii="Times New Roman" w:eastAsia="Times New Roman" w:hAnsi="Times New Roman" w:cs="Times New Roman"/>
          <w:sz w:val="20"/>
          <w:szCs w:val="20"/>
          <w:lang w:eastAsia="pt-BR"/>
        </w:rPr>
        <w:t>,</w:t>
      </w:r>
      <w:r w:rsidR="00F30372" w:rsidRPr="00F30372">
        <w:rPr>
          <w:rFonts w:ascii="Times New Roman" w:eastAsia="Times New Roman" w:hAnsi="Times New Roman" w:cs="Times New Roman"/>
          <w:sz w:val="20"/>
          <w:szCs w:val="20"/>
          <w:lang w:eastAsia="pt-BR"/>
        </w:rPr>
        <w:t xml:space="preserve"> 11 (5), 604</w:t>
      </w:r>
      <w:r w:rsidR="0006316F">
        <w:rPr>
          <w:rFonts w:ascii="Times New Roman" w:eastAsia="Times New Roman" w:hAnsi="Times New Roman" w:cs="Times New Roman"/>
          <w:sz w:val="20"/>
          <w:szCs w:val="20"/>
          <w:lang w:eastAsia="pt-BR"/>
        </w:rPr>
        <w:t>.</w:t>
      </w:r>
    </w:p>
    <w:sectPr w:rsidR="007B4B2B" w:rsidRPr="0006316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E247" w14:textId="77777777" w:rsidR="008A0318" w:rsidRDefault="008A0318" w:rsidP="00EA4E1B">
      <w:pPr>
        <w:spacing w:after="0" w:line="240" w:lineRule="auto"/>
      </w:pPr>
      <w:r>
        <w:separator/>
      </w:r>
    </w:p>
  </w:endnote>
  <w:endnote w:type="continuationSeparator" w:id="0">
    <w:p w14:paraId="317511A4" w14:textId="77777777" w:rsidR="008A0318" w:rsidRDefault="008A031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8A1F" w14:textId="77777777" w:rsidR="008A0318" w:rsidRDefault="008A0318" w:rsidP="00EA4E1B">
      <w:pPr>
        <w:spacing w:after="0" w:line="240" w:lineRule="auto"/>
      </w:pPr>
      <w:r>
        <w:separator/>
      </w:r>
    </w:p>
  </w:footnote>
  <w:footnote w:type="continuationSeparator" w:id="0">
    <w:p w14:paraId="5F7BBF47" w14:textId="77777777" w:rsidR="008A0318" w:rsidRDefault="008A031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1C0"/>
    <w:rsid w:val="000027A3"/>
    <w:rsid w:val="00004379"/>
    <w:rsid w:val="0001264A"/>
    <w:rsid w:val="0001797D"/>
    <w:rsid w:val="00020385"/>
    <w:rsid w:val="00021A2E"/>
    <w:rsid w:val="0002449A"/>
    <w:rsid w:val="00024CB8"/>
    <w:rsid w:val="00025962"/>
    <w:rsid w:val="0003006A"/>
    <w:rsid w:val="00037813"/>
    <w:rsid w:val="000436C9"/>
    <w:rsid w:val="00051B49"/>
    <w:rsid w:val="00054D1E"/>
    <w:rsid w:val="0005521B"/>
    <w:rsid w:val="00055A41"/>
    <w:rsid w:val="0005626C"/>
    <w:rsid w:val="00061A72"/>
    <w:rsid w:val="0006316F"/>
    <w:rsid w:val="00067041"/>
    <w:rsid w:val="00067518"/>
    <w:rsid w:val="000719FC"/>
    <w:rsid w:val="00084891"/>
    <w:rsid w:val="00092041"/>
    <w:rsid w:val="0009222E"/>
    <w:rsid w:val="0009399A"/>
    <w:rsid w:val="0009642B"/>
    <w:rsid w:val="000A445C"/>
    <w:rsid w:val="000A6433"/>
    <w:rsid w:val="000B20DC"/>
    <w:rsid w:val="000B2EDB"/>
    <w:rsid w:val="000C1325"/>
    <w:rsid w:val="000C3C7D"/>
    <w:rsid w:val="000C6623"/>
    <w:rsid w:val="000D17ED"/>
    <w:rsid w:val="000D74D7"/>
    <w:rsid w:val="000E2876"/>
    <w:rsid w:val="000F1D24"/>
    <w:rsid w:val="000F428C"/>
    <w:rsid w:val="00113CDD"/>
    <w:rsid w:val="00114DD7"/>
    <w:rsid w:val="00121ECA"/>
    <w:rsid w:val="0012256C"/>
    <w:rsid w:val="001315C8"/>
    <w:rsid w:val="00131F75"/>
    <w:rsid w:val="001359EE"/>
    <w:rsid w:val="00136F80"/>
    <w:rsid w:val="0015592A"/>
    <w:rsid w:val="00163DD7"/>
    <w:rsid w:val="00165170"/>
    <w:rsid w:val="001710F7"/>
    <w:rsid w:val="00173112"/>
    <w:rsid w:val="00173377"/>
    <w:rsid w:val="00177542"/>
    <w:rsid w:val="00187F16"/>
    <w:rsid w:val="001A08C5"/>
    <w:rsid w:val="001B30EF"/>
    <w:rsid w:val="001C2A6A"/>
    <w:rsid w:val="001C5D8C"/>
    <w:rsid w:val="001C7049"/>
    <w:rsid w:val="001D75D3"/>
    <w:rsid w:val="001E2D08"/>
    <w:rsid w:val="001E58A9"/>
    <w:rsid w:val="001E5BDC"/>
    <w:rsid w:val="001F25B2"/>
    <w:rsid w:val="001F393F"/>
    <w:rsid w:val="002012A6"/>
    <w:rsid w:val="00204AB4"/>
    <w:rsid w:val="002109BC"/>
    <w:rsid w:val="0021130E"/>
    <w:rsid w:val="0022127A"/>
    <w:rsid w:val="00222230"/>
    <w:rsid w:val="00223614"/>
    <w:rsid w:val="0022551E"/>
    <w:rsid w:val="00225D3A"/>
    <w:rsid w:val="0023601C"/>
    <w:rsid w:val="002421C6"/>
    <w:rsid w:val="00244EEB"/>
    <w:rsid w:val="0025771F"/>
    <w:rsid w:val="00257A6A"/>
    <w:rsid w:val="002651F8"/>
    <w:rsid w:val="00284718"/>
    <w:rsid w:val="00290D8D"/>
    <w:rsid w:val="0029432B"/>
    <w:rsid w:val="002A30B5"/>
    <w:rsid w:val="002A488C"/>
    <w:rsid w:val="002B390E"/>
    <w:rsid w:val="002B7438"/>
    <w:rsid w:val="002C53DE"/>
    <w:rsid w:val="002C7317"/>
    <w:rsid w:val="002D1BC1"/>
    <w:rsid w:val="002D3BBB"/>
    <w:rsid w:val="002E5E77"/>
    <w:rsid w:val="00301762"/>
    <w:rsid w:val="00304B3B"/>
    <w:rsid w:val="003103D4"/>
    <w:rsid w:val="0032630D"/>
    <w:rsid w:val="00333919"/>
    <w:rsid w:val="00340B1E"/>
    <w:rsid w:val="0034373D"/>
    <w:rsid w:val="00346C20"/>
    <w:rsid w:val="00346E4A"/>
    <w:rsid w:val="003526CE"/>
    <w:rsid w:val="00353DBA"/>
    <w:rsid w:val="00354C98"/>
    <w:rsid w:val="00367E3F"/>
    <w:rsid w:val="00367FE6"/>
    <w:rsid w:val="00376CBE"/>
    <w:rsid w:val="00380551"/>
    <w:rsid w:val="00390AC6"/>
    <w:rsid w:val="003A220C"/>
    <w:rsid w:val="003A4B1B"/>
    <w:rsid w:val="003A74A6"/>
    <w:rsid w:val="003B2D04"/>
    <w:rsid w:val="003B7C48"/>
    <w:rsid w:val="003C1DE8"/>
    <w:rsid w:val="003C2299"/>
    <w:rsid w:val="003C5725"/>
    <w:rsid w:val="003C60E5"/>
    <w:rsid w:val="003D0A9D"/>
    <w:rsid w:val="003E0098"/>
    <w:rsid w:val="003E22F2"/>
    <w:rsid w:val="003E50E7"/>
    <w:rsid w:val="003E6468"/>
    <w:rsid w:val="00402F3E"/>
    <w:rsid w:val="004058E1"/>
    <w:rsid w:val="00405ED5"/>
    <w:rsid w:val="00407228"/>
    <w:rsid w:val="0040779B"/>
    <w:rsid w:val="00407D59"/>
    <w:rsid w:val="00415585"/>
    <w:rsid w:val="004277C2"/>
    <w:rsid w:val="00427C5B"/>
    <w:rsid w:val="0043757D"/>
    <w:rsid w:val="00441FFF"/>
    <w:rsid w:val="00442062"/>
    <w:rsid w:val="00446157"/>
    <w:rsid w:val="00455E5E"/>
    <w:rsid w:val="00460747"/>
    <w:rsid w:val="004637E2"/>
    <w:rsid w:val="00463AA3"/>
    <w:rsid w:val="004729FD"/>
    <w:rsid w:val="004755A2"/>
    <w:rsid w:val="00483C95"/>
    <w:rsid w:val="004848B4"/>
    <w:rsid w:val="00492D2B"/>
    <w:rsid w:val="0049593E"/>
    <w:rsid w:val="004A04A7"/>
    <w:rsid w:val="004A1146"/>
    <w:rsid w:val="004A748F"/>
    <w:rsid w:val="004B0B57"/>
    <w:rsid w:val="004B21FD"/>
    <w:rsid w:val="004D4D3E"/>
    <w:rsid w:val="004E7737"/>
    <w:rsid w:val="004F179C"/>
    <w:rsid w:val="004F3F42"/>
    <w:rsid w:val="004F5BE6"/>
    <w:rsid w:val="00510ED1"/>
    <w:rsid w:val="0052112E"/>
    <w:rsid w:val="00532DFA"/>
    <w:rsid w:val="00532E9E"/>
    <w:rsid w:val="00535048"/>
    <w:rsid w:val="00540D56"/>
    <w:rsid w:val="005425A7"/>
    <w:rsid w:val="00544C93"/>
    <w:rsid w:val="00552F64"/>
    <w:rsid w:val="00563DA6"/>
    <w:rsid w:val="00566CB2"/>
    <w:rsid w:val="0057162C"/>
    <w:rsid w:val="00583CC9"/>
    <w:rsid w:val="00586D30"/>
    <w:rsid w:val="005A40F6"/>
    <w:rsid w:val="005B663D"/>
    <w:rsid w:val="005B7B5B"/>
    <w:rsid w:val="005C0046"/>
    <w:rsid w:val="005C2775"/>
    <w:rsid w:val="005D116C"/>
    <w:rsid w:val="005D65EB"/>
    <w:rsid w:val="005E5096"/>
    <w:rsid w:val="005E7B5C"/>
    <w:rsid w:val="005F3BE6"/>
    <w:rsid w:val="005F739F"/>
    <w:rsid w:val="005F7F84"/>
    <w:rsid w:val="00601671"/>
    <w:rsid w:val="00604718"/>
    <w:rsid w:val="0062001C"/>
    <w:rsid w:val="006277CA"/>
    <w:rsid w:val="006329ED"/>
    <w:rsid w:val="0063657F"/>
    <w:rsid w:val="00652815"/>
    <w:rsid w:val="006528EC"/>
    <w:rsid w:val="00654905"/>
    <w:rsid w:val="00655764"/>
    <w:rsid w:val="00664ADD"/>
    <w:rsid w:val="00673B38"/>
    <w:rsid w:val="00680970"/>
    <w:rsid w:val="006812E7"/>
    <w:rsid w:val="00682F72"/>
    <w:rsid w:val="00686041"/>
    <w:rsid w:val="0069257F"/>
    <w:rsid w:val="00696885"/>
    <w:rsid w:val="00697B3F"/>
    <w:rsid w:val="00697D35"/>
    <w:rsid w:val="006A433A"/>
    <w:rsid w:val="006A5C78"/>
    <w:rsid w:val="006A627E"/>
    <w:rsid w:val="006B0483"/>
    <w:rsid w:val="006B72C5"/>
    <w:rsid w:val="006C59E8"/>
    <w:rsid w:val="006C6BC1"/>
    <w:rsid w:val="006C7C9F"/>
    <w:rsid w:val="006D1926"/>
    <w:rsid w:val="006E3BAD"/>
    <w:rsid w:val="006E731C"/>
    <w:rsid w:val="006F1F2A"/>
    <w:rsid w:val="006F43EB"/>
    <w:rsid w:val="006F599B"/>
    <w:rsid w:val="006F7A00"/>
    <w:rsid w:val="00704995"/>
    <w:rsid w:val="00711FC6"/>
    <w:rsid w:val="00717B3A"/>
    <w:rsid w:val="00717EED"/>
    <w:rsid w:val="00723562"/>
    <w:rsid w:val="00727695"/>
    <w:rsid w:val="00730E4A"/>
    <w:rsid w:val="0074564A"/>
    <w:rsid w:val="00752205"/>
    <w:rsid w:val="007670A0"/>
    <w:rsid w:val="00767ACE"/>
    <w:rsid w:val="00777B62"/>
    <w:rsid w:val="00781685"/>
    <w:rsid w:val="00782654"/>
    <w:rsid w:val="00782B06"/>
    <w:rsid w:val="007844B4"/>
    <w:rsid w:val="007873DF"/>
    <w:rsid w:val="00790BCA"/>
    <w:rsid w:val="007923DE"/>
    <w:rsid w:val="00792B98"/>
    <w:rsid w:val="007A072D"/>
    <w:rsid w:val="007B171C"/>
    <w:rsid w:val="007B1768"/>
    <w:rsid w:val="007B4B2B"/>
    <w:rsid w:val="007C1525"/>
    <w:rsid w:val="007C1FB6"/>
    <w:rsid w:val="007C3CD9"/>
    <w:rsid w:val="007C54B0"/>
    <w:rsid w:val="007F0D49"/>
    <w:rsid w:val="0080583A"/>
    <w:rsid w:val="00811D93"/>
    <w:rsid w:val="00814C1C"/>
    <w:rsid w:val="0081535B"/>
    <w:rsid w:val="00833718"/>
    <w:rsid w:val="008340C4"/>
    <w:rsid w:val="00835772"/>
    <w:rsid w:val="00836BA9"/>
    <w:rsid w:val="00850D37"/>
    <w:rsid w:val="00855909"/>
    <w:rsid w:val="00856F09"/>
    <w:rsid w:val="00863C2D"/>
    <w:rsid w:val="00866822"/>
    <w:rsid w:val="00870126"/>
    <w:rsid w:val="008734E1"/>
    <w:rsid w:val="00892018"/>
    <w:rsid w:val="008927F2"/>
    <w:rsid w:val="00895E4F"/>
    <w:rsid w:val="008963C5"/>
    <w:rsid w:val="00897E6F"/>
    <w:rsid w:val="008A0318"/>
    <w:rsid w:val="008A03BB"/>
    <w:rsid w:val="008A0FD8"/>
    <w:rsid w:val="008A2B5F"/>
    <w:rsid w:val="008A5444"/>
    <w:rsid w:val="008A5868"/>
    <w:rsid w:val="008B1683"/>
    <w:rsid w:val="008B442C"/>
    <w:rsid w:val="008C1B30"/>
    <w:rsid w:val="008C304B"/>
    <w:rsid w:val="008C3F00"/>
    <w:rsid w:val="008D5BCC"/>
    <w:rsid w:val="008E641A"/>
    <w:rsid w:val="008F088F"/>
    <w:rsid w:val="008F3079"/>
    <w:rsid w:val="008F3987"/>
    <w:rsid w:val="00915D6E"/>
    <w:rsid w:val="00916048"/>
    <w:rsid w:val="009179EC"/>
    <w:rsid w:val="00925820"/>
    <w:rsid w:val="00927D0A"/>
    <w:rsid w:val="009328F3"/>
    <w:rsid w:val="009462EC"/>
    <w:rsid w:val="009523FB"/>
    <w:rsid w:val="00962FE5"/>
    <w:rsid w:val="009656D9"/>
    <w:rsid w:val="009758C3"/>
    <w:rsid w:val="0097698D"/>
    <w:rsid w:val="00981C87"/>
    <w:rsid w:val="00984856"/>
    <w:rsid w:val="009854DF"/>
    <w:rsid w:val="00986736"/>
    <w:rsid w:val="00992690"/>
    <w:rsid w:val="00993813"/>
    <w:rsid w:val="009A18C8"/>
    <w:rsid w:val="009A3AF2"/>
    <w:rsid w:val="009A3EAB"/>
    <w:rsid w:val="009A76E7"/>
    <w:rsid w:val="009A7E25"/>
    <w:rsid w:val="009B3554"/>
    <w:rsid w:val="009B715C"/>
    <w:rsid w:val="009C0518"/>
    <w:rsid w:val="009C0639"/>
    <w:rsid w:val="009C3275"/>
    <w:rsid w:val="009C3E05"/>
    <w:rsid w:val="009C7CB0"/>
    <w:rsid w:val="009E69FA"/>
    <w:rsid w:val="009F5679"/>
    <w:rsid w:val="009F6F0C"/>
    <w:rsid w:val="00A02DEA"/>
    <w:rsid w:val="00A113CF"/>
    <w:rsid w:val="00A12249"/>
    <w:rsid w:val="00A230D8"/>
    <w:rsid w:val="00A371A6"/>
    <w:rsid w:val="00A513CE"/>
    <w:rsid w:val="00A5179B"/>
    <w:rsid w:val="00A537CE"/>
    <w:rsid w:val="00A56C98"/>
    <w:rsid w:val="00A642B8"/>
    <w:rsid w:val="00A73D91"/>
    <w:rsid w:val="00A750E6"/>
    <w:rsid w:val="00A76BE9"/>
    <w:rsid w:val="00A80FFA"/>
    <w:rsid w:val="00A82F3E"/>
    <w:rsid w:val="00A87729"/>
    <w:rsid w:val="00AA182E"/>
    <w:rsid w:val="00AA25D9"/>
    <w:rsid w:val="00AA448B"/>
    <w:rsid w:val="00AB2E2F"/>
    <w:rsid w:val="00AB718B"/>
    <w:rsid w:val="00AB7938"/>
    <w:rsid w:val="00AC17A6"/>
    <w:rsid w:val="00AC316C"/>
    <w:rsid w:val="00AE52F4"/>
    <w:rsid w:val="00AE5F66"/>
    <w:rsid w:val="00AE74F6"/>
    <w:rsid w:val="00AF0400"/>
    <w:rsid w:val="00AF3961"/>
    <w:rsid w:val="00AF4D3A"/>
    <w:rsid w:val="00B14A88"/>
    <w:rsid w:val="00B2297F"/>
    <w:rsid w:val="00B24A49"/>
    <w:rsid w:val="00B30AEB"/>
    <w:rsid w:val="00B317E4"/>
    <w:rsid w:val="00B3687F"/>
    <w:rsid w:val="00B36BA2"/>
    <w:rsid w:val="00B42127"/>
    <w:rsid w:val="00B42396"/>
    <w:rsid w:val="00B42D62"/>
    <w:rsid w:val="00B441E0"/>
    <w:rsid w:val="00B46C31"/>
    <w:rsid w:val="00B46F6B"/>
    <w:rsid w:val="00B54C64"/>
    <w:rsid w:val="00B670EF"/>
    <w:rsid w:val="00B72E51"/>
    <w:rsid w:val="00B75A7C"/>
    <w:rsid w:val="00B85874"/>
    <w:rsid w:val="00B91523"/>
    <w:rsid w:val="00B92A73"/>
    <w:rsid w:val="00B96CE5"/>
    <w:rsid w:val="00BA0DDE"/>
    <w:rsid w:val="00BA6A6E"/>
    <w:rsid w:val="00BB03E4"/>
    <w:rsid w:val="00BB7E48"/>
    <w:rsid w:val="00BC266A"/>
    <w:rsid w:val="00BD6460"/>
    <w:rsid w:val="00BD6773"/>
    <w:rsid w:val="00BE0202"/>
    <w:rsid w:val="00BE71C8"/>
    <w:rsid w:val="00BF2C7A"/>
    <w:rsid w:val="00BF516B"/>
    <w:rsid w:val="00BF58BE"/>
    <w:rsid w:val="00C0618E"/>
    <w:rsid w:val="00C17AE7"/>
    <w:rsid w:val="00C32EBA"/>
    <w:rsid w:val="00C466CE"/>
    <w:rsid w:val="00C46E7B"/>
    <w:rsid w:val="00C47D4F"/>
    <w:rsid w:val="00C52829"/>
    <w:rsid w:val="00C56C68"/>
    <w:rsid w:val="00C711D2"/>
    <w:rsid w:val="00C74021"/>
    <w:rsid w:val="00C76E54"/>
    <w:rsid w:val="00C82C48"/>
    <w:rsid w:val="00C9031D"/>
    <w:rsid w:val="00C93F6F"/>
    <w:rsid w:val="00C9451B"/>
    <w:rsid w:val="00C95735"/>
    <w:rsid w:val="00C9658F"/>
    <w:rsid w:val="00CA21CE"/>
    <w:rsid w:val="00CA2503"/>
    <w:rsid w:val="00CB7CF6"/>
    <w:rsid w:val="00CD7E7A"/>
    <w:rsid w:val="00CE67F1"/>
    <w:rsid w:val="00CE7D53"/>
    <w:rsid w:val="00CF1238"/>
    <w:rsid w:val="00CF2211"/>
    <w:rsid w:val="00D00381"/>
    <w:rsid w:val="00D07173"/>
    <w:rsid w:val="00D07C5B"/>
    <w:rsid w:val="00D13D4C"/>
    <w:rsid w:val="00D2007D"/>
    <w:rsid w:val="00D32E00"/>
    <w:rsid w:val="00D33877"/>
    <w:rsid w:val="00D36738"/>
    <w:rsid w:val="00D42B14"/>
    <w:rsid w:val="00D44BFE"/>
    <w:rsid w:val="00D712ED"/>
    <w:rsid w:val="00D715A2"/>
    <w:rsid w:val="00D90C2D"/>
    <w:rsid w:val="00D96135"/>
    <w:rsid w:val="00DB322A"/>
    <w:rsid w:val="00DC0C28"/>
    <w:rsid w:val="00DC1456"/>
    <w:rsid w:val="00DC4970"/>
    <w:rsid w:val="00DC53B8"/>
    <w:rsid w:val="00DD1B93"/>
    <w:rsid w:val="00DD4C0C"/>
    <w:rsid w:val="00DD7384"/>
    <w:rsid w:val="00DE6377"/>
    <w:rsid w:val="00DF0342"/>
    <w:rsid w:val="00DF14BD"/>
    <w:rsid w:val="00DF39ED"/>
    <w:rsid w:val="00E02A21"/>
    <w:rsid w:val="00E038AF"/>
    <w:rsid w:val="00E05449"/>
    <w:rsid w:val="00E06E62"/>
    <w:rsid w:val="00E113D1"/>
    <w:rsid w:val="00E131F6"/>
    <w:rsid w:val="00E17067"/>
    <w:rsid w:val="00E20D54"/>
    <w:rsid w:val="00E2290E"/>
    <w:rsid w:val="00E23B98"/>
    <w:rsid w:val="00E26053"/>
    <w:rsid w:val="00E26691"/>
    <w:rsid w:val="00E37699"/>
    <w:rsid w:val="00E40A4B"/>
    <w:rsid w:val="00E46AB4"/>
    <w:rsid w:val="00E50B5A"/>
    <w:rsid w:val="00E57A20"/>
    <w:rsid w:val="00E60F39"/>
    <w:rsid w:val="00E6202E"/>
    <w:rsid w:val="00E73A51"/>
    <w:rsid w:val="00E908FC"/>
    <w:rsid w:val="00EA4E1B"/>
    <w:rsid w:val="00EA5639"/>
    <w:rsid w:val="00EA6727"/>
    <w:rsid w:val="00EA6C06"/>
    <w:rsid w:val="00EB1CF5"/>
    <w:rsid w:val="00EB5256"/>
    <w:rsid w:val="00EF33B2"/>
    <w:rsid w:val="00F0314A"/>
    <w:rsid w:val="00F07D02"/>
    <w:rsid w:val="00F30372"/>
    <w:rsid w:val="00F30661"/>
    <w:rsid w:val="00F4103C"/>
    <w:rsid w:val="00F53646"/>
    <w:rsid w:val="00F82B6E"/>
    <w:rsid w:val="00F83333"/>
    <w:rsid w:val="00F842D2"/>
    <w:rsid w:val="00F86E86"/>
    <w:rsid w:val="00F86F4A"/>
    <w:rsid w:val="00F917DA"/>
    <w:rsid w:val="00FA34FF"/>
    <w:rsid w:val="00FA4C28"/>
    <w:rsid w:val="00FA5ABF"/>
    <w:rsid w:val="00FC249B"/>
    <w:rsid w:val="00FC30F5"/>
    <w:rsid w:val="00FC3742"/>
    <w:rsid w:val="00FC37C6"/>
    <w:rsid w:val="00FF167E"/>
    <w:rsid w:val="00FF1E47"/>
    <w:rsid w:val="00FF3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6D1926"/>
    <w:rPr>
      <w:color w:val="808080"/>
    </w:rPr>
  </w:style>
  <w:style w:type="paragraph" w:customStyle="1" w:styleId="FETableFootnote">
    <w:name w:val="FE_Table_Footnote"/>
    <w:basedOn w:val="TCTableBody"/>
    <w:qFormat/>
    <w:rsid w:val="004277C2"/>
    <w:pPr>
      <w:spacing w:after="0" w:line="240" w:lineRule="auto"/>
    </w:pPr>
    <w:rPr>
      <w:rFonts w:ascii="Times New Roman" w:hAnsi="Times New Roman"/>
      <w:lang w:val="pt-BR"/>
    </w:rPr>
  </w:style>
  <w:style w:type="paragraph" w:styleId="PargrafodaLista">
    <w:name w:val="List Paragraph"/>
    <w:basedOn w:val="Normal"/>
    <w:uiPriority w:val="34"/>
    <w:qFormat/>
    <w:rsid w:val="008C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5513">
      <w:bodyDiv w:val="1"/>
      <w:marLeft w:val="0"/>
      <w:marRight w:val="0"/>
      <w:marTop w:val="0"/>
      <w:marBottom w:val="0"/>
      <w:divBdr>
        <w:top w:val="none" w:sz="0" w:space="0" w:color="auto"/>
        <w:left w:val="none" w:sz="0" w:space="0" w:color="auto"/>
        <w:bottom w:val="none" w:sz="0" w:space="0" w:color="auto"/>
        <w:right w:val="none" w:sz="0" w:space="0" w:color="auto"/>
      </w:divBdr>
      <w:divsChild>
        <w:div w:id="855970824">
          <w:marLeft w:val="0"/>
          <w:marRight w:val="0"/>
          <w:marTop w:val="0"/>
          <w:marBottom w:val="0"/>
          <w:divBdr>
            <w:top w:val="none" w:sz="0" w:space="0" w:color="auto"/>
            <w:left w:val="none" w:sz="0" w:space="0" w:color="auto"/>
            <w:bottom w:val="none" w:sz="0" w:space="0" w:color="auto"/>
            <w:right w:val="none" w:sz="0" w:space="0" w:color="auto"/>
          </w:divBdr>
          <w:divsChild>
            <w:div w:id="8955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2313">
      <w:bodyDiv w:val="1"/>
      <w:marLeft w:val="0"/>
      <w:marRight w:val="0"/>
      <w:marTop w:val="0"/>
      <w:marBottom w:val="0"/>
      <w:divBdr>
        <w:top w:val="none" w:sz="0" w:space="0" w:color="auto"/>
        <w:left w:val="none" w:sz="0" w:space="0" w:color="auto"/>
        <w:bottom w:val="none" w:sz="0" w:space="0" w:color="auto"/>
        <w:right w:val="none" w:sz="0" w:space="0" w:color="auto"/>
      </w:divBdr>
      <w:divsChild>
        <w:div w:id="81608182">
          <w:marLeft w:val="0"/>
          <w:marRight w:val="0"/>
          <w:marTop w:val="0"/>
          <w:marBottom w:val="0"/>
          <w:divBdr>
            <w:top w:val="none" w:sz="0" w:space="0" w:color="auto"/>
            <w:left w:val="none" w:sz="0" w:space="0" w:color="auto"/>
            <w:bottom w:val="none" w:sz="0" w:space="0" w:color="auto"/>
            <w:right w:val="none" w:sz="0" w:space="0" w:color="auto"/>
          </w:divBdr>
          <w:divsChild>
            <w:div w:id="6448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1367</Words>
  <Characters>7384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Maitê Campos</cp:lastModifiedBy>
  <cp:revision>2</cp:revision>
  <dcterms:created xsi:type="dcterms:W3CDTF">2023-08-15T14:46:00Z</dcterms:created>
  <dcterms:modified xsi:type="dcterms:W3CDTF">2023-08-15T14:46:00Z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ZOTERO_PREF_1">
    <vt:lpwstr>&lt;data data-version="3" zotero-version="6.0.26"&gt;&lt;session id="gwf1qXes"/&gt;&lt;style id="http://www.zotero.org/styles/associacao-brasileira-de-normas-tecnicas" hasBibliography="1" bibliographyStyleHasBeenSet="0"/&gt;&lt;prefs&gt;&lt;pref name="fieldType" value="Field"/&gt;&lt;pre</vt:lpwstr>
  </property>
  <property fmtid="{D5CDD505-2E9C-101B-9397-08002B2CF9AE}" pid="23" name="ZOTERO_PREF_2">
    <vt:lpwstr>f name="automaticJournalAbbreviations" value="true"/&gt;&lt;pref name="delayCitationUpdates" value="true"/&gt;&lt;/prefs&gt;&lt;/data&gt;</vt:lpwstr>
  </property>
</Properties>
</file>