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58F1DC7B" w:rsidR="00EA4E1B" w:rsidRDefault="009D0D93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 xml:space="preserve">SINTESE E CARACTERIZAÇÃO DE BIOADSORVENTES </w:t>
      </w:r>
      <w:r w:rsidR="001920F3">
        <w:rPr>
          <w:sz w:val="32"/>
          <w:lang w:val="pt-BR"/>
        </w:rPr>
        <w:t xml:space="preserve">MAGNETICOS </w:t>
      </w:r>
      <w:r w:rsidR="001920F3" w:rsidRPr="0087402B">
        <w:rPr>
          <w:sz w:val="32"/>
          <w:lang w:val="pt-BR"/>
        </w:rPr>
        <w:t>PELO MÉTODO PECHINI</w:t>
      </w:r>
    </w:p>
    <w:p w14:paraId="63BBE67E" w14:textId="77777777" w:rsidR="009D0D93" w:rsidRDefault="009D0D93" w:rsidP="008214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</w:pPr>
    </w:p>
    <w:p w14:paraId="554AE36C" w14:textId="7648D90E" w:rsidR="009D0D93" w:rsidRPr="0087402B" w:rsidRDefault="009D0D93" w:rsidP="009D0D9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87402B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Fabiana da S. Castro</w:t>
      </w:r>
      <w:r w:rsidRPr="0087402B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t-BR"/>
        </w:rPr>
        <w:t>1</w:t>
      </w:r>
      <w:r w:rsidRPr="0087402B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*, Artur José S. Mascarenhas</w:t>
      </w:r>
      <w:r w:rsidRPr="0087402B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t-BR"/>
        </w:rPr>
        <w:t>1</w:t>
      </w:r>
    </w:p>
    <w:bookmarkEnd w:id="0"/>
    <w:p w14:paraId="6F689D68" w14:textId="77777777" w:rsidR="009D0D93" w:rsidRPr="009D0D93" w:rsidRDefault="009D0D93" w:rsidP="009D0D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i/>
          <w:color w:val="000000"/>
          <w:sz w:val="20"/>
          <w:szCs w:val="20"/>
          <w:lang w:eastAsia="pt-BR"/>
        </w:rPr>
      </w:pPr>
      <w:r w:rsidRPr="009D0D93">
        <w:rPr>
          <w:rFonts w:ascii="Cambria" w:eastAsia="Cambria" w:hAnsi="Cambria" w:cs="Cambria"/>
          <w:sz w:val="20"/>
          <w:szCs w:val="20"/>
          <w:lang w:eastAsia="pt-BR"/>
        </w:rPr>
        <w:fldChar w:fldCharType="begin"/>
      </w:r>
      <w:r w:rsidRPr="009D0D93">
        <w:rPr>
          <w:rFonts w:ascii="Cambria" w:eastAsia="Cambria" w:hAnsi="Cambria" w:cs="Cambria"/>
          <w:sz w:val="20"/>
          <w:szCs w:val="20"/>
          <w:lang w:eastAsia="pt-BR"/>
        </w:rPr>
        <w:instrText>HYPERLINK "mailto:1*fabianasilvacastro027@gmail.com" \h</w:instrText>
      </w:r>
      <w:r w:rsidRPr="009D0D93">
        <w:rPr>
          <w:rFonts w:ascii="Cambria" w:eastAsia="Cambria" w:hAnsi="Cambria" w:cs="Cambria"/>
          <w:sz w:val="20"/>
          <w:szCs w:val="20"/>
          <w:lang w:eastAsia="pt-BR"/>
        </w:rPr>
      </w:r>
      <w:r w:rsidRPr="009D0D93">
        <w:rPr>
          <w:rFonts w:ascii="Cambria" w:eastAsia="Cambria" w:hAnsi="Cambria" w:cs="Cambria"/>
          <w:sz w:val="20"/>
          <w:szCs w:val="20"/>
          <w:lang w:eastAsia="pt-BR"/>
        </w:rPr>
        <w:fldChar w:fldCharType="separate"/>
      </w:r>
      <w:r w:rsidRPr="009D0D93">
        <w:rPr>
          <w:rFonts w:ascii="Times" w:eastAsia="Times" w:hAnsi="Times" w:cs="Times"/>
          <w:i/>
          <w:color w:val="000000"/>
          <w:sz w:val="20"/>
          <w:szCs w:val="20"/>
          <w:vertAlign w:val="superscript"/>
          <w:lang w:eastAsia="pt-BR"/>
        </w:rPr>
        <w:t>1*</w:t>
      </w:r>
      <w:r w:rsidRPr="009D0D93">
        <w:rPr>
          <w:rFonts w:ascii="Times" w:eastAsia="Times" w:hAnsi="Times" w:cs="Times"/>
          <w:i/>
          <w:color w:val="000000"/>
          <w:sz w:val="20"/>
          <w:szCs w:val="20"/>
          <w:vertAlign w:val="superscript"/>
          <w:lang w:eastAsia="pt-BR"/>
        </w:rPr>
        <w:fldChar w:fldCharType="end"/>
      </w:r>
      <w:hyperlink r:id="rId8">
        <w:r w:rsidRPr="009D0D93">
          <w:rPr>
            <w:rFonts w:ascii="Times" w:eastAsia="Times" w:hAnsi="Times" w:cs="Times"/>
            <w:i/>
            <w:color w:val="000000"/>
            <w:sz w:val="20"/>
            <w:szCs w:val="20"/>
            <w:lang w:eastAsia="pt-BR"/>
          </w:rPr>
          <w:t>fabianasilvacastro027@gmail.com</w:t>
        </w:r>
      </w:hyperlink>
      <w:r w:rsidRPr="009D0D93">
        <w:rPr>
          <w:rFonts w:ascii="Times" w:eastAsia="Times" w:hAnsi="Times" w:cs="Times"/>
          <w:i/>
          <w:color w:val="000000"/>
          <w:sz w:val="20"/>
          <w:szCs w:val="20"/>
          <w:lang w:eastAsia="pt-BR"/>
        </w:rPr>
        <w:t xml:space="preserve"> – Universidade Federal da Bahia, R. Barão de Jeremoabo, 147 - Ondina, Salvador - BA, 40170-115.</w:t>
      </w:r>
    </w:p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7C660074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 xml:space="preserve">Resumo/Abstract 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7C660074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 xml:space="preserve">Resumo/Abstract 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2276FA9F" w14:textId="17A02DB7" w:rsidR="00821401" w:rsidRDefault="00EA4E1B" w:rsidP="008214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hAnsi="Times New Roman"/>
          <w:sz w:val="20"/>
        </w:rPr>
        <w:t xml:space="preserve">RESUMO - </w:t>
      </w:r>
      <w:r w:rsidR="00821401" w:rsidRPr="00F04B3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 adsorção de </w:t>
      </w:r>
      <w:r w:rsidR="00DB1671">
        <w:rPr>
          <w:rFonts w:ascii="Times New Roman" w:eastAsia="Times New Roman" w:hAnsi="Times New Roman" w:cs="Times New Roman"/>
          <w:sz w:val="20"/>
          <w:szCs w:val="20"/>
          <w:lang w:eastAsia="pt-BR"/>
        </w:rPr>
        <w:t>poluentes</w:t>
      </w:r>
      <w:r w:rsidR="00821401" w:rsidRPr="00F04B3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em ambientes aquáticos provou ser um método eficaz para o tratamento de águas residuais industriais, produtos farmacêuticos e pesticidas de várias composições. Neste trabalho, novo</w:t>
      </w:r>
      <w:r w:rsidR="00F55BBC">
        <w:rPr>
          <w:rFonts w:ascii="Times New Roman" w:eastAsia="Times New Roman" w:hAnsi="Times New Roman" w:cs="Times New Roman"/>
          <w:sz w:val="20"/>
          <w:szCs w:val="20"/>
          <w:lang w:eastAsia="pt-BR"/>
        </w:rPr>
        <w:t>s</w:t>
      </w:r>
      <w:r w:rsidR="00821401" w:rsidRPr="00F04B3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tipo</w:t>
      </w:r>
      <w:r w:rsidR="00F55BBC">
        <w:rPr>
          <w:rFonts w:ascii="Times New Roman" w:eastAsia="Times New Roman" w:hAnsi="Times New Roman" w:cs="Times New Roman"/>
          <w:sz w:val="20"/>
          <w:szCs w:val="20"/>
          <w:lang w:eastAsia="pt-BR"/>
        </w:rPr>
        <w:t>s</w:t>
      </w:r>
      <w:r w:rsidR="00821401" w:rsidRPr="00F04B3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materia</w:t>
      </w:r>
      <w:r w:rsidR="00F55BBC">
        <w:rPr>
          <w:rFonts w:ascii="Times New Roman" w:eastAsia="Times New Roman" w:hAnsi="Times New Roman" w:cs="Times New Roman"/>
          <w:sz w:val="20"/>
          <w:szCs w:val="20"/>
          <w:lang w:eastAsia="pt-BR"/>
        </w:rPr>
        <w:t>is</w:t>
      </w:r>
      <w:r w:rsidR="00821401" w:rsidRPr="00F04B3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adsorvente</w:t>
      </w:r>
      <w:r w:rsidR="0087402B">
        <w:rPr>
          <w:rFonts w:ascii="Times New Roman" w:eastAsia="Times New Roman" w:hAnsi="Times New Roman" w:cs="Times New Roman"/>
          <w:sz w:val="20"/>
          <w:szCs w:val="20"/>
          <w:lang w:eastAsia="pt-BR"/>
        </w:rPr>
        <w:t>s</w:t>
      </w:r>
      <w:r w:rsidR="00821401" w:rsidRPr="00F04B3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fo</w:t>
      </w:r>
      <w:r w:rsidR="00F55BBC">
        <w:rPr>
          <w:rFonts w:ascii="Times New Roman" w:eastAsia="Times New Roman" w:hAnsi="Times New Roman" w:cs="Times New Roman"/>
          <w:sz w:val="20"/>
          <w:szCs w:val="20"/>
          <w:lang w:eastAsia="pt-BR"/>
        </w:rPr>
        <w:t>ram</w:t>
      </w:r>
      <w:r w:rsidR="00821401" w:rsidRPr="00F04B3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sintetizado</w:t>
      </w:r>
      <w:r w:rsidR="00F55BBC">
        <w:rPr>
          <w:rFonts w:ascii="Times New Roman" w:eastAsia="Times New Roman" w:hAnsi="Times New Roman" w:cs="Times New Roman"/>
          <w:sz w:val="20"/>
          <w:szCs w:val="20"/>
          <w:lang w:eastAsia="pt-BR"/>
        </w:rPr>
        <w:t>s</w:t>
      </w:r>
      <w:r w:rsidR="00821401" w:rsidRPr="00F04B3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pelo método </w:t>
      </w:r>
      <w:proofErr w:type="spellStart"/>
      <w:r w:rsidR="00821401" w:rsidRPr="00F04B3E">
        <w:rPr>
          <w:rFonts w:ascii="Times New Roman" w:eastAsia="Times New Roman" w:hAnsi="Times New Roman" w:cs="Times New Roman"/>
          <w:sz w:val="20"/>
          <w:szCs w:val="20"/>
          <w:lang w:eastAsia="pt-BR"/>
        </w:rPr>
        <w:t>Pechini</w:t>
      </w:r>
      <w:proofErr w:type="spellEnd"/>
      <w:r w:rsidR="00821401" w:rsidRPr="00F04B3E">
        <w:rPr>
          <w:rFonts w:ascii="Times New Roman" w:eastAsia="Times New Roman" w:hAnsi="Times New Roman" w:cs="Times New Roman"/>
          <w:sz w:val="20"/>
          <w:szCs w:val="20"/>
          <w:lang w:eastAsia="pt-BR"/>
        </w:rPr>
        <w:t>. O</w:t>
      </w:r>
      <w:r w:rsidR="00F55BBC">
        <w:rPr>
          <w:rFonts w:ascii="Times New Roman" w:eastAsia="Times New Roman" w:hAnsi="Times New Roman" w:cs="Times New Roman"/>
          <w:sz w:val="20"/>
          <w:szCs w:val="20"/>
          <w:lang w:eastAsia="pt-BR"/>
        </w:rPr>
        <w:t>s</w:t>
      </w:r>
      <w:r w:rsidR="00821401" w:rsidRPr="00F04B3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materia</w:t>
      </w:r>
      <w:r w:rsidR="00F55BBC">
        <w:rPr>
          <w:rFonts w:ascii="Times New Roman" w:eastAsia="Times New Roman" w:hAnsi="Times New Roman" w:cs="Times New Roman"/>
          <w:sz w:val="20"/>
          <w:szCs w:val="20"/>
          <w:lang w:eastAsia="pt-BR"/>
        </w:rPr>
        <w:t>is</w:t>
      </w:r>
      <w:r w:rsidR="00821401" w:rsidRPr="00F04B3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híbrido</w:t>
      </w:r>
      <w:r w:rsidR="00F55BBC">
        <w:rPr>
          <w:rFonts w:ascii="Times New Roman" w:eastAsia="Times New Roman" w:hAnsi="Times New Roman" w:cs="Times New Roman"/>
          <w:sz w:val="20"/>
          <w:szCs w:val="20"/>
          <w:lang w:eastAsia="pt-BR"/>
        </w:rPr>
        <w:t>s</w:t>
      </w:r>
      <w:r w:rsidR="00821401" w:rsidRPr="00F04B3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obtido</w:t>
      </w:r>
      <w:r w:rsidR="00F55BBC">
        <w:rPr>
          <w:rFonts w:ascii="Times New Roman" w:eastAsia="Times New Roman" w:hAnsi="Times New Roman" w:cs="Times New Roman"/>
          <w:sz w:val="20"/>
          <w:szCs w:val="20"/>
          <w:lang w:eastAsia="pt-BR"/>
        </w:rPr>
        <w:t>s</w:t>
      </w:r>
      <w:r w:rsidR="00821401" w:rsidRPr="00F04B3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F55BBC">
        <w:rPr>
          <w:rFonts w:ascii="Times New Roman" w:eastAsia="Times New Roman" w:hAnsi="Times New Roman" w:cs="Times New Roman"/>
          <w:sz w:val="20"/>
          <w:szCs w:val="20"/>
          <w:lang w:eastAsia="pt-BR"/>
        </w:rPr>
        <w:t>são</w:t>
      </w:r>
      <w:r w:rsidR="00821401" w:rsidRPr="00F04B3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constituído</w:t>
      </w:r>
      <w:r w:rsidR="00F55BBC">
        <w:rPr>
          <w:rFonts w:ascii="Times New Roman" w:eastAsia="Times New Roman" w:hAnsi="Times New Roman" w:cs="Times New Roman"/>
          <w:sz w:val="20"/>
          <w:szCs w:val="20"/>
          <w:lang w:eastAsia="pt-BR"/>
        </w:rPr>
        <w:t>s</w:t>
      </w:r>
      <w:r w:rsidR="00821401" w:rsidRPr="00F04B3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por resíduos secos de biomassa (cascas de cacau) e nanopartículas de óxido de ferro</w:t>
      </w:r>
      <w:r w:rsidR="001A0723">
        <w:rPr>
          <w:rFonts w:ascii="Times New Roman" w:eastAsia="Times New Roman" w:hAnsi="Times New Roman" w:cs="Times New Roman"/>
          <w:sz w:val="20"/>
          <w:szCs w:val="20"/>
          <w:lang w:eastAsia="pt-BR"/>
        </w:rPr>
        <w:t>,</w:t>
      </w:r>
      <w:r w:rsidR="00821401" w:rsidRPr="00F04B3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magnetita. </w:t>
      </w:r>
      <w:r w:rsidR="00F55BBC" w:rsidRPr="00F04B3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 fase cúbica de magnetita </w:t>
      </w:r>
      <w:r w:rsidR="00F55BBC">
        <w:rPr>
          <w:rFonts w:ascii="Times New Roman" w:eastAsia="Times New Roman" w:hAnsi="Times New Roman" w:cs="Times New Roman"/>
          <w:sz w:val="20"/>
          <w:szCs w:val="20"/>
          <w:lang w:eastAsia="pt-BR"/>
        </w:rPr>
        <w:t>nos</w:t>
      </w:r>
      <w:r w:rsidR="00F55BBC" w:rsidRPr="00F04B3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materia</w:t>
      </w:r>
      <w:r w:rsidR="00F55BBC">
        <w:rPr>
          <w:rFonts w:ascii="Times New Roman" w:eastAsia="Times New Roman" w:hAnsi="Times New Roman" w:cs="Times New Roman"/>
          <w:sz w:val="20"/>
          <w:szCs w:val="20"/>
          <w:lang w:eastAsia="pt-BR"/>
        </w:rPr>
        <w:t>is</w:t>
      </w:r>
      <w:r w:rsidR="00F55BBC" w:rsidRPr="00F04B3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fo</w:t>
      </w:r>
      <w:r w:rsidR="00F55BBC">
        <w:rPr>
          <w:rFonts w:ascii="Times New Roman" w:eastAsia="Times New Roman" w:hAnsi="Times New Roman" w:cs="Times New Roman"/>
          <w:sz w:val="20"/>
          <w:szCs w:val="20"/>
          <w:lang w:eastAsia="pt-BR"/>
        </w:rPr>
        <w:t>i</w:t>
      </w:r>
      <w:r w:rsidR="00821401" w:rsidRPr="00F04B3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identificada por difração de raios X, e as bandas vibracionais de </w:t>
      </w:r>
      <w:proofErr w:type="spellStart"/>
      <w:r w:rsidR="00821401" w:rsidRPr="00F04B3E">
        <w:rPr>
          <w:rFonts w:ascii="Times New Roman" w:eastAsia="Times New Roman" w:hAnsi="Times New Roman" w:cs="Times New Roman"/>
          <w:sz w:val="20"/>
          <w:szCs w:val="20"/>
          <w:lang w:eastAsia="pt-BR"/>
        </w:rPr>
        <w:t>FeO</w:t>
      </w:r>
      <w:proofErr w:type="spellEnd"/>
      <w:r w:rsidR="00821401" w:rsidRPr="00F04B3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características de óxidos de ferro foram observadas por FTIR. TG/DTG e FRX mostram o teor de carbono residual e a porcentagem de ferro na amostra. </w:t>
      </w:r>
      <w:r w:rsidR="001A0723">
        <w:rPr>
          <w:rFonts w:ascii="Times New Roman" w:eastAsia="Times New Roman" w:hAnsi="Times New Roman" w:cs="Times New Roman"/>
          <w:sz w:val="20"/>
          <w:szCs w:val="20"/>
          <w:lang w:eastAsia="pt-BR"/>
        </w:rPr>
        <w:t>O PCZ indicou</w:t>
      </w:r>
      <w:r w:rsidR="0054453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891C03">
        <w:rPr>
          <w:rFonts w:ascii="Times New Roman" w:eastAsia="Times New Roman" w:hAnsi="Times New Roman" w:cs="Times New Roman"/>
          <w:sz w:val="20"/>
          <w:szCs w:val="20"/>
          <w:lang w:eastAsia="pt-BR"/>
        </w:rPr>
        <w:t>a faixa de pH em que a adsorção de cátions e aníons é favorecida</w:t>
      </w:r>
      <w:r w:rsidR="001A0723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  <w:r w:rsidR="00F55BB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821401" w:rsidRPr="00CD652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Os </w:t>
      </w:r>
      <w:proofErr w:type="spellStart"/>
      <w:r w:rsidR="00821401" w:rsidRPr="00CD6528">
        <w:rPr>
          <w:rFonts w:ascii="Times New Roman" w:eastAsia="Times New Roman" w:hAnsi="Times New Roman" w:cs="Times New Roman"/>
          <w:sz w:val="20"/>
          <w:szCs w:val="20"/>
          <w:lang w:eastAsia="pt-BR"/>
        </w:rPr>
        <w:t>bioadsorventes</w:t>
      </w:r>
      <w:proofErr w:type="spellEnd"/>
      <w:r w:rsidR="00821401" w:rsidRPr="00CD652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magnéticos tornam-se assim materiais atraentes devido à facilidade técnica d</w:t>
      </w:r>
      <w:r w:rsidR="0087402B">
        <w:rPr>
          <w:rFonts w:ascii="Times New Roman" w:eastAsia="Times New Roman" w:hAnsi="Times New Roman" w:cs="Times New Roman"/>
          <w:sz w:val="20"/>
          <w:szCs w:val="20"/>
          <w:lang w:eastAsia="pt-BR"/>
        </w:rPr>
        <w:t>a</w:t>
      </w:r>
      <w:r w:rsidR="00821401" w:rsidRPr="00CD6528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sua remoção de soluções aquosas</w:t>
      </w:r>
      <w:r w:rsidR="0082140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 s</w:t>
      </w:r>
      <w:r w:rsidR="00821401" w:rsidRPr="00940E56">
        <w:rPr>
          <w:rFonts w:ascii="Times New Roman" w:eastAsia="Times New Roman" w:hAnsi="Times New Roman" w:cs="Times New Roman"/>
          <w:sz w:val="20"/>
          <w:szCs w:val="20"/>
          <w:lang w:eastAsia="pt-BR"/>
        </w:rPr>
        <w:t>ão materiais potenciais para o tratamento de efluentes.</w:t>
      </w:r>
    </w:p>
    <w:p w14:paraId="7F90C474" w14:textId="30409E70" w:rsidR="00CD6528" w:rsidRPr="00CD6528" w:rsidRDefault="00CD6528" w:rsidP="00CD652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870522">
        <w:rPr>
          <w:rFonts w:ascii="Times New Roman" w:hAnsi="Times New Roman"/>
          <w:i/>
          <w:sz w:val="20"/>
        </w:rPr>
        <w:t xml:space="preserve">Palavras-chave: </w:t>
      </w:r>
      <w:r w:rsidR="007F19F2" w:rsidRPr="007F19F2">
        <w:rPr>
          <w:rFonts w:ascii="Times New Roman" w:hAnsi="Times New Roman"/>
          <w:i/>
          <w:sz w:val="20"/>
        </w:rPr>
        <w:t xml:space="preserve">Materiais </w:t>
      </w:r>
      <w:r w:rsidR="00AA1139" w:rsidRPr="007F19F2">
        <w:rPr>
          <w:rFonts w:ascii="Times New Roman" w:hAnsi="Times New Roman"/>
          <w:i/>
          <w:sz w:val="20"/>
        </w:rPr>
        <w:t>magnéticos</w:t>
      </w:r>
      <w:r w:rsidR="007F19F2" w:rsidRPr="007F19F2">
        <w:rPr>
          <w:rFonts w:ascii="Times New Roman" w:hAnsi="Times New Roman"/>
          <w:i/>
          <w:sz w:val="20"/>
        </w:rPr>
        <w:t xml:space="preserve">, </w:t>
      </w:r>
      <w:proofErr w:type="spellStart"/>
      <w:r w:rsidR="007F19F2" w:rsidRPr="007F19F2">
        <w:rPr>
          <w:rFonts w:ascii="Times New Roman" w:hAnsi="Times New Roman"/>
          <w:i/>
          <w:sz w:val="20"/>
        </w:rPr>
        <w:t>bioadsorventes</w:t>
      </w:r>
      <w:proofErr w:type="spellEnd"/>
      <w:r w:rsidR="007F19F2" w:rsidRPr="007F19F2">
        <w:rPr>
          <w:rFonts w:ascii="Times New Roman" w:hAnsi="Times New Roman"/>
          <w:i/>
          <w:sz w:val="20"/>
        </w:rPr>
        <w:t xml:space="preserve">, </w:t>
      </w:r>
      <w:r w:rsidR="007F19F2">
        <w:rPr>
          <w:rFonts w:ascii="Times New Roman" w:hAnsi="Times New Roman"/>
          <w:i/>
          <w:sz w:val="20"/>
        </w:rPr>
        <w:t xml:space="preserve">adsorção, materiais </w:t>
      </w:r>
      <w:r w:rsidR="00AA1139">
        <w:rPr>
          <w:rFonts w:ascii="Times New Roman" w:hAnsi="Times New Roman"/>
          <w:i/>
          <w:sz w:val="20"/>
        </w:rPr>
        <w:t>híbridos</w:t>
      </w:r>
      <w:r w:rsidR="0087402B">
        <w:rPr>
          <w:rFonts w:ascii="Times New Roman" w:hAnsi="Times New Roman"/>
          <w:i/>
          <w:sz w:val="20"/>
        </w:rPr>
        <w:t>, biomassa</w:t>
      </w:r>
      <w:r w:rsidR="00AA1139">
        <w:rPr>
          <w:rFonts w:ascii="Times New Roman" w:hAnsi="Times New Roman"/>
          <w:i/>
          <w:sz w:val="20"/>
        </w:rPr>
        <w:t xml:space="preserve">. </w:t>
      </w:r>
    </w:p>
    <w:p w14:paraId="7D44B6CE" w14:textId="13A62DEC" w:rsidR="00AA1139" w:rsidRPr="00F04B3E" w:rsidRDefault="00CD6528" w:rsidP="00AA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pt-BR"/>
          <w14:ligatures w14:val="standardContextual"/>
        </w:rPr>
      </w:pPr>
      <w:r>
        <w:rPr>
          <w:rFonts w:ascii="Times New Roman" w:hAnsi="Times New Roman"/>
          <w:sz w:val="20"/>
        </w:rPr>
        <w:t xml:space="preserve">ABSTRACT -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Adsorption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pollutants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aquatic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environments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has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proven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be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effective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method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treating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industrial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wastewater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pharmaceuticals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pesticides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various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compositions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. In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work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, new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types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adsorbent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materials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synthesized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Pechini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method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. The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hybrid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materials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obtained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are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constituted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dry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residues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biomass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cocoa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husks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nanoparticles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iron oxide, magnetite. The magnetite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cubic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phase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materials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identified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X-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ray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diffraction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FeO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vibrational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bands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characteristic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iron oxides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observed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FTIR. TG/DTG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FRX show residual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carbon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content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percentage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iron in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sample. The PCZ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indicated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pH range in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which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adsorption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cations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anions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favored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Magnetic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biosorbents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thus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become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attractive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materials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due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technical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ease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their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removal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aqueous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solutions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are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potential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materials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treatment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7402B" w:rsidRPr="00E77D67">
        <w:rPr>
          <w:rFonts w:ascii="Times New Roman" w:hAnsi="Times New Roman" w:cs="Times New Roman"/>
          <w:sz w:val="20"/>
          <w:szCs w:val="20"/>
        </w:rPr>
        <w:t>effluents</w:t>
      </w:r>
      <w:proofErr w:type="spellEnd"/>
      <w:r w:rsidR="0087402B" w:rsidRPr="00E77D67">
        <w:rPr>
          <w:rFonts w:ascii="Times New Roman" w:hAnsi="Times New Roman" w:cs="Times New Roman"/>
          <w:sz w:val="20"/>
          <w:szCs w:val="20"/>
        </w:rPr>
        <w:t>.</w:t>
      </w:r>
    </w:p>
    <w:p w14:paraId="48D9B0C4" w14:textId="5542D4D3" w:rsidR="00EA4E1B" w:rsidRPr="00AA1139" w:rsidRDefault="00EA4E1B" w:rsidP="00AA1139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sz w:val="20"/>
          <w:lang w:val="pt-BR"/>
        </w:rPr>
        <w:sectPr w:rsidR="00EA4E1B" w:rsidRPr="00AA1139" w:rsidSect="00EA4E1B">
          <w:headerReference w:type="default" r:id="rId9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  <w:r w:rsidRPr="00870522">
        <w:rPr>
          <w:rFonts w:ascii="Times New Roman" w:hAnsi="Times New Roman"/>
          <w:b w:val="0"/>
          <w:i/>
          <w:sz w:val="20"/>
          <w:lang w:val="pt-BR"/>
        </w:rPr>
        <w:t>Keywords:</w:t>
      </w:r>
      <w:r w:rsidR="00AA1139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proofErr w:type="spellStart"/>
      <w:r w:rsidR="00AA1139" w:rsidRPr="00AA1139">
        <w:rPr>
          <w:rFonts w:ascii="Times New Roman" w:hAnsi="Times New Roman" w:cstheme="minorBidi"/>
          <w:b w:val="0"/>
          <w:bCs/>
          <w:i/>
          <w:sz w:val="20"/>
          <w:szCs w:val="21"/>
          <w:lang w:val="pt-BR"/>
        </w:rPr>
        <w:t>Magnetic</w:t>
      </w:r>
      <w:proofErr w:type="spellEnd"/>
      <w:r w:rsidR="00AA1139" w:rsidRPr="00AA1139">
        <w:rPr>
          <w:rFonts w:ascii="Times New Roman" w:hAnsi="Times New Roman" w:cstheme="minorBidi"/>
          <w:b w:val="0"/>
          <w:bCs/>
          <w:i/>
          <w:sz w:val="20"/>
          <w:szCs w:val="21"/>
          <w:lang w:val="pt-BR"/>
        </w:rPr>
        <w:t xml:space="preserve"> </w:t>
      </w:r>
      <w:proofErr w:type="spellStart"/>
      <w:r w:rsidR="00AA1139" w:rsidRPr="00AA1139">
        <w:rPr>
          <w:rFonts w:ascii="Times New Roman" w:hAnsi="Times New Roman" w:cstheme="minorBidi"/>
          <w:b w:val="0"/>
          <w:bCs/>
          <w:i/>
          <w:sz w:val="20"/>
          <w:szCs w:val="21"/>
          <w:lang w:val="pt-BR"/>
        </w:rPr>
        <w:t>materials</w:t>
      </w:r>
      <w:proofErr w:type="spellEnd"/>
      <w:r w:rsidR="00AA1139" w:rsidRPr="00AA1139">
        <w:rPr>
          <w:rFonts w:ascii="Times New Roman" w:hAnsi="Times New Roman"/>
          <w:b w:val="0"/>
          <w:i/>
          <w:sz w:val="20"/>
          <w:lang w:val="pt-BR"/>
        </w:rPr>
        <w:t xml:space="preserve">, </w:t>
      </w:r>
      <w:proofErr w:type="spellStart"/>
      <w:r w:rsidR="00AA1139" w:rsidRPr="00AA1139">
        <w:rPr>
          <w:rFonts w:ascii="Times New Roman" w:hAnsi="Times New Roman"/>
          <w:b w:val="0"/>
          <w:i/>
          <w:kern w:val="2"/>
          <w:sz w:val="20"/>
          <w:lang w:val="pt-BR"/>
          <w14:ligatures w14:val="standardContextual"/>
        </w:rPr>
        <w:t>bioadsorbents</w:t>
      </w:r>
      <w:proofErr w:type="spellEnd"/>
      <w:r w:rsidR="00AA1139" w:rsidRPr="00AA1139">
        <w:rPr>
          <w:rFonts w:ascii="Times New Roman" w:hAnsi="Times New Roman"/>
          <w:b w:val="0"/>
          <w:i/>
          <w:kern w:val="2"/>
          <w:sz w:val="20"/>
          <w:lang w:val="pt-BR"/>
          <w14:ligatures w14:val="standardContextual"/>
        </w:rPr>
        <w:t xml:space="preserve">, </w:t>
      </w:r>
      <w:proofErr w:type="spellStart"/>
      <w:r w:rsidR="00AA1139" w:rsidRPr="00AA1139">
        <w:rPr>
          <w:rFonts w:ascii="Times New Roman" w:hAnsi="Times New Roman"/>
          <w:b w:val="0"/>
          <w:i/>
          <w:kern w:val="2"/>
          <w:sz w:val="20"/>
          <w:lang w:val="pt-BR"/>
          <w14:ligatures w14:val="standardContextual"/>
        </w:rPr>
        <w:t>adsorption</w:t>
      </w:r>
      <w:proofErr w:type="spellEnd"/>
      <w:r w:rsidR="00AA1139" w:rsidRPr="00AA1139">
        <w:rPr>
          <w:rFonts w:ascii="Times New Roman" w:hAnsi="Times New Roman"/>
          <w:b w:val="0"/>
          <w:i/>
          <w:kern w:val="2"/>
          <w:sz w:val="20"/>
          <w:lang w:val="pt-BR"/>
          <w14:ligatures w14:val="standardContextual"/>
        </w:rPr>
        <w:t xml:space="preserve">, </w:t>
      </w:r>
      <w:proofErr w:type="spellStart"/>
      <w:r w:rsidR="00AA1139" w:rsidRPr="00AA1139">
        <w:rPr>
          <w:rFonts w:ascii="Times New Roman" w:hAnsi="Times New Roman"/>
          <w:b w:val="0"/>
          <w:i/>
          <w:kern w:val="2"/>
          <w:sz w:val="20"/>
          <w:lang w:val="pt-BR"/>
          <w14:ligatures w14:val="standardContextual"/>
        </w:rPr>
        <w:t>hybrid</w:t>
      </w:r>
      <w:proofErr w:type="spellEnd"/>
      <w:r w:rsidR="00AA1139" w:rsidRPr="00AA1139">
        <w:rPr>
          <w:rFonts w:ascii="Times New Roman" w:hAnsi="Times New Roman"/>
          <w:b w:val="0"/>
          <w:i/>
          <w:kern w:val="2"/>
          <w:sz w:val="20"/>
          <w:lang w:val="pt-BR"/>
          <w14:ligatures w14:val="standardContextual"/>
        </w:rPr>
        <w:t xml:space="preserve"> </w:t>
      </w:r>
      <w:proofErr w:type="spellStart"/>
      <w:r w:rsidR="00AA1139" w:rsidRPr="00AA1139">
        <w:rPr>
          <w:rFonts w:ascii="Times New Roman" w:hAnsi="Times New Roman"/>
          <w:b w:val="0"/>
          <w:i/>
          <w:kern w:val="2"/>
          <w:sz w:val="20"/>
          <w:lang w:val="pt-BR"/>
          <w14:ligatures w14:val="standardContextual"/>
        </w:rPr>
        <w:t>materials</w:t>
      </w:r>
      <w:bookmarkEnd w:id="1"/>
      <w:proofErr w:type="spellEnd"/>
      <w:r w:rsidR="0087402B">
        <w:rPr>
          <w:rFonts w:ascii="Times New Roman" w:hAnsi="Times New Roman"/>
          <w:b w:val="0"/>
          <w:i/>
          <w:kern w:val="2"/>
          <w:sz w:val="20"/>
          <w:lang w:val="pt-BR"/>
          <w14:ligatures w14:val="standardContextual"/>
        </w:rPr>
        <w:t xml:space="preserve">, </w:t>
      </w:r>
      <w:proofErr w:type="spellStart"/>
      <w:r w:rsidR="0087402B">
        <w:rPr>
          <w:rFonts w:ascii="Times New Roman" w:hAnsi="Times New Roman"/>
          <w:b w:val="0"/>
          <w:i/>
          <w:kern w:val="2"/>
          <w:sz w:val="20"/>
          <w:lang w:val="pt-BR"/>
          <w14:ligatures w14:val="standardContextual"/>
        </w:rPr>
        <w:t>biomass</w:t>
      </w:r>
      <w:proofErr w:type="spellEnd"/>
      <w:r w:rsidR="00AA1139">
        <w:rPr>
          <w:rFonts w:ascii="Times New Roman" w:hAnsi="Times New Roman"/>
          <w:b w:val="0"/>
          <w:i/>
          <w:sz w:val="20"/>
          <w:lang w:val="pt-BR"/>
        </w:rPr>
        <w:t>.</w:t>
      </w:r>
    </w:p>
    <w:p w14:paraId="625F2C0A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4303CFBE" w14:textId="72C9B185" w:rsidR="00563DFE" w:rsidRPr="00563DFE" w:rsidRDefault="00563DFE" w:rsidP="00563D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54F4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Os impactos sociais e ambientais causados pela falta de tratamento adequado de efluentes tem sido atual pauta de discussão no meio acadêmico e político, uma vez que no Brasil, questões referentes ao saneamento básico e tratamento de efluentes ainda são um grande problema. Uma alternativa bastante promissora no tratamento destes efluentes é o desenvolvimento de </w:t>
      </w:r>
      <w:proofErr w:type="spellStart"/>
      <w:r w:rsidRPr="00D54F45">
        <w:rPr>
          <w:rFonts w:ascii="Times New Roman" w:eastAsia="Times New Roman" w:hAnsi="Times New Roman" w:cs="Times New Roman"/>
          <w:sz w:val="20"/>
          <w:szCs w:val="20"/>
          <w:lang w:eastAsia="pt-BR"/>
        </w:rPr>
        <w:t>bioadsorventes</w:t>
      </w:r>
      <w:proofErr w:type="spellEnd"/>
      <w:r w:rsidRPr="00D54F4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magnéticos, que são materiais resultantes </w:t>
      </w:r>
      <w:r w:rsidR="00D54F45" w:rsidRPr="00D54F45">
        <w:rPr>
          <w:rFonts w:ascii="Times New Roman" w:eastAsia="Times New Roman" w:hAnsi="Times New Roman" w:cs="Times New Roman"/>
          <w:sz w:val="20"/>
          <w:szCs w:val="20"/>
          <w:lang w:eastAsia="pt-BR"/>
        </w:rPr>
        <w:t>da combinação</w:t>
      </w:r>
      <w:r w:rsidRPr="00D54F4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ou nanopartículas metálicas ou </w:t>
      </w:r>
      <w:proofErr w:type="spellStart"/>
      <w:r w:rsidRPr="00D54F45">
        <w:rPr>
          <w:rFonts w:ascii="Times New Roman" w:eastAsia="Times New Roman" w:hAnsi="Times New Roman" w:cs="Times New Roman"/>
          <w:sz w:val="20"/>
          <w:szCs w:val="20"/>
          <w:lang w:eastAsia="pt-BR"/>
        </w:rPr>
        <w:t>óxidas</w:t>
      </w:r>
      <w:proofErr w:type="spellEnd"/>
      <w:r w:rsidRPr="00D54F4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dispersas em materiais sintéticos ou naturais (</w:t>
      </w:r>
      <w:r w:rsidR="00DB1671">
        <w:rPr>
          <w:rFonts w:ascii="Times New Roman" w:eastAsia="Times New Roman" w:hAnsi="Times New Roman" w:cs="Times New Roman"/>
          <w:sz w:val="20"/>
          <w:szCs w:val="20"/>
          <w:lang w:eastAsia="pt-BR"/>
        </w:rPr>
        <w:t>1</w:t>
      </w:r>
      <w:r w:rsidRPr="00D54F4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). Estes materiais possuem propriedades interessantes como sítios manipuláveis, áreas superficiais relativamente altas, permitem controle da distribuição de tamanho de poros e podem ser facilmente separados do meio líquido, garantindo um elevado desempenho na remoção de contaminantes. Além disso, os </w:t>
      </w:r>
      <w:proofErr w:type="spellStart"/>
      <w:r w:rsidRPr="00D54F45">
        <w:rPr>
          <w:rFonts w:ascii="Times New Roman" w:eastAsia="Times New Roman" w:hAnsi="Times New Roman" w:cs="Times New Roman"/>
          <w:sz w:val="20"/>
          <w:szCs w:val="20"/>
          <w:lang w:eastAsia="pt-BR"/>
        </w:rPr>
        <w:t>bioadsorventes</w:t>
      </w:r>
      <w:proofErr w:type="spellEnd"/>
      <w:r w:rsidRPr="00D54F4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modificados por nanopartículas magnéticas são promissores em comparação a outros adsorventes, incluindo aqueles a base de carvão ativado, resíduos industriais de baixo custo, resíduos de plantas quimicamente e termicamente modificados dentre outros, em termos de sua eficiência de remoção, separação magnética rápida e fácil, o que garante um maior tempo de vida dado o processo facilitado de regeneração e reuso (</w:t>
      </w:r>
      <w:r w:rsidR="00DB1671">
        <w:rPr>
          <w:rFonts w:ascii="Times New Roman" w:eastAsia="Times New Roman" w:hAnsi="Times New Roman" w:cs="Times New Roman"/>
          <w:sz w:val="20"/>
          <w:szCs w:val="20"/>
          <w:lang w:eastAsia="pt-BR"/>
        </w:rPr>
        <w:t>2</w:t>
      </w:r>
      <w:r w:rsidRPr="00D54F4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). A utilização de </w:t>
      </w:r>
      <w:r w:rsidRPr="00D54F4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biomassas provenientes de resíduos agroindustriais surge como excelente oportunidade para o desenvolvimento de </w:t>
      </w:r>
      <w:proofErr w:type="spellStart"/>
      <w:r w:rsidRPr="00D54F45">
        <w:rPr>
          <w:rFonts w:ascii="Times New Roman" w:eastAsia="Times New Roman" w:hAnsi="Times New Roman" w:cs="Times New Roman"/>
          <w:sz w:val="20"/>
          <w:szCs w:val="20"/>
          <w:lang w:eastAsia="pt-BR"/>
        </w:rPr>
        <w:t>bioadsorventes</w:t>
      </w:r>
      <w:proofErr w:type="spellEnd"/>
      <w:r w:rsidRPr="00D54F4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magnéticos e agregação de valor do resíduo, gerando menor impacto ambiental, pois segundo a Organização das Nações Unidas Para a Alimentação e a Agricultura – FAO somente a produção de resíduos agroindustriais tem o alcance 1,3 bilhão de toneladas por ano (</w:t>
      </w:r>
      <w:r w:rsidR="00DB1671">
        <w:rPr>
          <w:rFonts w:ascii="Times New Roman" w:eastAsia="Times New Roman" w:hAnsi="Times New Roman" w:cs="Times New Roman"/>
          <w:sz w:val="20"/>
          <w:szCs w:val="20"/>
          <w:lang w:eastAsia="pt-BR"/>
        </w:rPr>
        <w:t>3</w:t>
      </w:r>
      <w:r w:rsidRPr="00D54F45">
        <w:rPr>
          <w:rFonts w:ascii="Times New Roman" w:eastAsia="Times New Roman" w:hAnsi="Times New Roman" w:cs="Times New Roman"/>
          <w:sz w:val="20"/>
          <w:szCs w:val="20"/>
          <w:lang w:eastAsia="pt-BR"/>
        </w:rPr>
        <w:t>). Dentro desta perspectiva, o presente trabalho investigou a produção de novos materiais magnéticos a partir de resíduos de biomassa impregnados com precursores metálicos para serem aplicados como adsorventes e catalisadores.</w:t>
      </w:r>
    </w:p>
    <w:p w14:paraId="52FFAC79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2733A051" w14:textId="1D05CF82" w:rsidR="009D0D93" w:rsidRPr="009D0D93" w:rsidRDefault="009D0D93" w:rsidP="009D0D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9D0D9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 metodologia consiste em uma suspensão contendo 10 g de resíduo de biomassa (casca de cacau) seca em uma solução preparada misturando-se diferentes valores de FeCl</w:t>
      </w:r>
      <w:r w:rsidRPr="009D0D93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pt-BR"/>
        </w:rPr>
        <w:t>3</w:t>
      </w:r>
      <w:r w:rsidRPr="009D0D9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.6H</w:t>
      </w:r>
      <w:r w:rsidRPr="009D0D93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eastAsia="pt-BR"/>
        </w:rPr>
        <w:t>2</w:t>
      </w:r>
      <w:r w:rsidRPr="009D0D9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O 12,9 g (FCT01), 6,4 g (FCT02), 3,2 g (FCT03), respectivamente, dissolvido em 5 </w:t>
      </w:r>
      <w:proofErr w:type="spellStart"/>
      <w:r w:rsidRPr="009D0D9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mL</w:t>
      </w:r>
      <w:proofErr w:type="spellEnd"/>
      <w:r w:rsidRPr="009D0D9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de água e dispersa em uma mistura de 41,5 g de ácido cítrico e 48,2 </w:t>
      </w:r>
      <w:proofErr w:type="spellStart"/>
      <w:r w:rsidRPr="009D0D9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mL</w:t>
      </w:r>
      <w:proofErr w:type="spellEnd"/>
      <w:r w:rsidRPr="009D0D9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de etilenoglicol numa proporção molar de 4:1, que foi agitada e aquecida a 80ºC por 20min, até obter uma suspensão coloidal clara. A suspensão foi aquecida a 120ºC até observar a formação de um gel citrato de cor escura. Em </w:t>
      </w:r>
      <w:r w:rsidRPr="009D0D9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lastRenderedPageBreak/>
        <w:t xml:space="preserve">seguida, o gel foi aquecido a 400°C. O material sem biomassa foi identificado FCT00. </w:t>
      </w:r>
    </w:p>
    <w:p w14:paraId="029A0FA2" w14:textId="14647BD2" w:rsidR="009D0D93" w:rsidRPr="009D0D93" w:rsidRDefault="009D0D93" w:rsidP="009D0D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Calibri" w:eastAsia="Calibri" w:hAnsi="Calibri" w:cs="Calibri"/>
          <w:color w:val="000000"/>
          <w:lang w:eastAsia="pt-BR"/>
        </w:rPr>
      </w:pPr>
      <w:r w:rsidRPr="009D0D9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Os materiais foram caracterizados por </w:t>
      </w:r>
      <w:proofErr w:type="spellStart"/>
      <w:r w:rsidRPr="009D0D9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difratometria</w:t>
      </w:r>
      <w:proofErr w:type="spellEnd"/>
      <w:r w:rsidRPr="009D0D9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de raios X (DRX), </w:t>
      </w:r>
      <w:proofErr w:type="spellStart"/>
      <w:r w:rsidRPr="009D0D9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termogravimetria</w:t>
      </w:r>
      <w:proofErr w:type="spellEnd"/>
      <w:r w:rsidRPr="009D0D9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(TG/DTG), análise elementar por fluorescência de raios X (FRX), espectroscopia na região do infravermelho (FTIR) e determinação do pH em ponto de carga zero (PC</w:t>
      </w:r>
      <w:r w:rsidR="00AE5FF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Z</w:t>
      </w:r>
      <w:r w:rsidRPr="009D0D9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).</w:t>
      </w:r>
    </w:p>
    <w:p w14:paraId="136BD1AC" w14:textId="731A63B1" w:rsidR="00EA4E1B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47457739" w14:textId="54B2E7FC" w:rsidR="0001625A" w:rsidRDefault="00402CFF" w:rsidP="00617F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8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02CFF">
        <w:rPr>
          <w:rFonts w:ascii="Times New Roman" w:eastAsia="Times New Roman" w:hAnsi="Times New Roman" w:cs="Times New Roman"/>
          <w:sz w:val="20"/>
          <w:szCs w:val="20"/>
          <w:lang w:eastAsia="pt-BR"/>
        </w:rPr>
        <w:t>O teor de carbono residual foi estimado p</w:t>
      </w:r>
      <w:r w:rsidR="006A477F">
        <w:rPr>
          <w:rFonts w:ascii="Times New Roman" w:eastAsia="Times New Roman" w:hAnsi="Times New Roman" w:cs="Times New Roman"/>
          <w:sz w:val="20"/>
          <w:szCs w:val="20"/>
          <w:lang w:eastAsia="pt-BR"/>
        </w:rPr>
        <w:t>or TG/DTG</w:t>
      </w:r>
      <w:r w:rsidRPr="00402CF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A composição elementar dos </w:t>
      </w:r>
      <w:r w:rsidRPr="00C709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materiais </w:t>
      </w:r>
      <w:r w:rsidR="00C709FC" w:rsidRPr="00C709FC">
        <w:rPr>
          <w:rFonts w:ascii="Times New Roman" w:eastAsia="Times New Roman" w:hAnsi="Times New Roman" w:cs="Times New Roman"/>
          <w:sz w:val="20"/>
          <w:szCs w:val="20"/>
          <w:lang w:eastAsia="pt-BR"/>
        </w:rPr>
        <w:t>híbridos</w:t>
      </w:r>
      <w:r w:rsidRPr="00C709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402CF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foi realizada por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FRX (Tabela 1)</w:t>
      </w:r>
      <w:r w:rsidRPr="00402CFF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14:paraId="440A9604" w14:textId="166BF804" w:rsidR="00402CFF" w:rsidRPr="00E038AF" w:rsidRDefault="00402CFF" w:rsidP="004F6174">
      <w:pPr>
        <w:pStyle w:val="VDTableTitle"/>
        <w:spacing w:after="0"/>
        <w:jc w:val="both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>Tabela 1.</w:t>
      </w:r>
      <w:r w:rsidRPr="00E038AF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Análise elementar dos matérias magnéticos por TG e FRX.</w:t>
      </w:r>
    </w:p>
    <w:tbl>
      <w:tblPr>
        <w:tblW w:w="4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201"/>
        <w:gridCol w:w="1201"/>
        <w:gridCol w:w="1201"/>
        <w:gridCol w:w="9"/>
      </w:tblGrid>
      <w:tr w:rsidR="00402CFF" w:rsidRPr="00072C7A" w14:paraId="717914B8" w14:textId="77777777" w:rsidTr="00EA1829">
        <w:trPr>
          <w:gridAfter w:val="1"/>
          <w:wAfter w:w="9" w:type="dxa"/>
          <w:trHeight w:val="20"/>
        </w:trPr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29F88F" w14:textId="08D74176" w:rsidR="00402CFF" w:rsidRPr="00EA1829" w:rsidRDefault="006A477F" w:rsidP="004B7599">
            <w:pPr>
              <w:pStyle w:val="TCTableBody"/>
              <w:spacing w:after="0"/>
              <w:jc w:val="center"/>
              <w:rPr>
                <w:b/>
                <w:bCs/>
                <w:lang w:val="pt-BR"/>
              </w:rPr>
            </w:pPr>
            <w:r w:rsidRPr="00EA1829">
              <w:rPr>
                <w:b/>
                <w:bCs/>
                <w:lang w:val="pt-BR"/>
              </w:rPr>
              <w:t>Amostras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316F60" w14:textId="3F7C8D90" w:rsidR="00402CFF" w:rsidRPr="00EA1829" w:rsidRDefault="006A477F" w:rsidP="004B7599">
            <w:pPr>
              <w:pStyle w:val="TCTableBody"/>
              <w:spacing w:after="0"/>
              <w:jc w:val="center"/>
              <w:rPr>
                <w:b/>
                <w:bCs/>
                <w:lang w:val="pt-BR"/>
              </w:rPr>
            </w:pPr>
            <w:r w:rsidRPr="00EA1829">
              <w:rPr>
                <w:b/>
                <w:bCs/>
                <w:lang w:val="pt-BR"/>
              </w:rPr>
              <w:t>C</w:t>
            </w:r>
            <w:r w:rsidR="003A45E8" w:rsidRPr="00EA1829">
              <w:rPr>
                <w:b/>
                <w:bCs/>
                <w:lang w:val="pt-BR"/>
              </w:rPr>
              <w:t xml:space="preserve"> </w:t>
            </w:r>
            <w:r w:rsidRPr="00EA1829">
              <w:rPr>
                <w:b/>
                <w:bCs/>
                <w:lang w:val="pt-BR"/>
              </w:rPr>
              <w:t>(%)</w:t>
            </w:r>
            <w:r w:rsidR="003A45E8" w:rsidRPr="00EA1829">
              <w:rPr>
                <w:b/>
                <w:bCs/>
                <w:lang w:val="pt-BR"/>
              </w:rPr>
              <w:t xml:space="preserve"> </w:t>
            </w:r>
            <w:r w:rsidR="003A45E8" w:rsidRPr="00EA1829">
              <w:rPr>
                <w:b/>
                <w:bCs/>
                <w:vertAlign w:val="superscript"/>
                <w:lang w:val="pt-BR"/>
              </w:rPr>
              <w:t>a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8A7F29" w14:textId="1BD6DD30" w:rsidR="00402CFF" w:rsidRPr="00EA1829" w:rsidRDefault="003A45E8" w:rsidP="004B7599">
            <w:pPr>
              <w:pStyle w:val="TCTableBody"/>
              <w:spacing w:after="0"/>
              <w:jc w:val="center"/>
              <w:rPr>
                <w:b/>
                <w:bCs/>
                <w:lang w:val="pt-BR"/>
              </w:rPr>
            </w:pPr>
            <w:r w:rsidRPr="00EA1829">
              <w:rPr>
                <w:b/>
                <w:bCs/>
                <w:lang w:val="pt-BR"/>
              </w:rPr>
              <w:t>Fe</w:t>
            </w:r>
            <w:r w:rsidRPr="00EA1829">
              <w:rPr>
                <w:b/>
                <w:bCs/>
                <w:vertAlign w:val="subscript"/>
                <w:lang w:val="pt-BR"/>
              </w:rPr>
              <w:t>3</w:t>
            </w:r>
            <w:r w:rsidRPr="00EA1829">
              <w:rPr>
                <w:b/>
                <w:bCs/>
                <w:lang w:val="pt-BR"/>
              </w:rPr>
              <w:t>O</w:t>
            </w:r>
            <w:r w:rsidRPr="00EA1829">
              <w:rPr>
                <w:b/>
                <w:bCs/>
                <w:vertAlign w:val="subscript"/>
                <w:lang w:val="pt-BR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3CEDBC" w14:textId="11D5A8A8" w:rsidR="00402CFF" w:rsidRPr="00EA1829" w:rsidRDefault="003A45E8" w:rsidP="004B7599">
            <w:pPr>
              <w:pStyle w:val="TCTableBody"/>
              <w:spacing w:after="0"/>
              <w:jc w:val="center"/>
              <w:rPr>
                <w:b/>
                <w:bCs/>
                <w:lang w:val="pt-BR"/>
              </w:rPr>
            </w:pPr>
            <w:r w:rsidRPr="00EA1829">
              <w:rPr>
                <w:b/>
                <w:bCs/>
                <w:lang w:val="pt-BR"/>
              </w:rPr>
              <w:t xml:space="preserve">Cinzas (%) </w:t>
            </w:r>
            <w:r w:rsidRPr="00EA1829">
              <w:rPr>
                <w:b/>
                <w:bCs/>
                <w:vertAlign w:val="superscript"/>
                <w:lang w:val="pt-BR"/>
              </w:rPr>
              <w:t>a</w:t>
            </w:r>
          </w:p>
        </w:tc>
      </w:tr>
      <w:tr w:rsidR="00402CFF" w:rsidRPr="00072C7A" w14:paraId="10BFDFDF" w14:textId="77777777" w:rsidTr="00EA1829">
        <w:trPr>
          <w:gridAfter w:val="1"/>
          <w:wAfter w:w="9" w:type="dxa"/>
          <w:trHeight w:val="57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CD0D4" w14:textId="4492214D" w:rsidR="00402CFF" w:rsidRDefault="006A477F" w:rsidP="004B7599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FCT00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423C3" w14:textId="76FDDADB" w:rsidR="00402CFF" w:rsidRDefault="00617F5E" w:rsidP="004B7599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52</w:t>
            </w:r>
            <w:r w:rsidR="003A45E8">
              <w:rPr>
                <w:lang w:val="pt-BR"/>
              </w:rPr>
              <w:t>,</w:t>
            </w:r>
            <w:r>
              <w:rPr>
                <w:lang w:val="pt-BR"/>
              </w:rPr>
              <w:t>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CEC60" w14:textId="4AD9F790" w:rsidR="00402CFF" w:rsidRDefault="003A45E8" w:rsidP="004B7599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9,96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4CE02" w14:textId="4903AECE" w:rsidR="00402CFF" w:rsidRDefault="003A45E8" w:rsidP="004B7599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 w:rsidR="003A45E8" w:rsidRPr="00072C7A" w14:paraId="4888EB60" w14:textId="77777777" w:rsidTr="00EA1829">
        <w:trPr>
          <w:gridAfter w:val="1"/>
          <w:wAfter w:w="9" w:type="dxa"/>
          <w:trHeight w:val="2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C3BC5" w14:textId="0F65954A" w:rsidR="003A45E8" w:rsidRDefault="003A45E8" w:rsidP="004B7599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FCT01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DDD18" w14:textId="0BF0B425" w:rsidR="003A45E8" w:rsidRDefault="003A45E8" w:rsidP="004B7599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90,82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7A41B" w14:textId="4AA5EFA8" w:rsidR="003A45E8" w:rsidRDefault="003A45E8" w:rsidP="004B7599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7,04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F771A" w14:textId="5BED80AC" w:rsidR="003A45E8" w:rsidRDefault="004938CC" w:rsidP="004B7599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1,52</w:t>
            </w:r>
          </w:p>
        </w:tc>
      </w:tr>
      <w:tr w:rsidR="003A45E8" w:rsidRPr="00072C7A" w14:paraId="1059DFF6" w14:textId="77777777" w:rsidTr="00EA1829">
        <w:trPr>
          <w:gridAfter w:val="1"/>
          <w:wAfter w:w="9" w:type="dxa"/>
          <w:trHeight w:val="2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6B565" w14:textId="226141D3" w:rsidR="003A45E8" w:rsidRDefault="003A45E8" w:rsidP="004B7599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FCT02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9C3AC" w14:textId="4AB9F6B9" w:rsidR="003A45E8" w:rsidRDefault="003A45E8" w:rsidP="004B7599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93,28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49178" w14:textId="0BD1C999" w:rsidR="003A45E8" w:rsidRDefault="003A45E8" w:rsidP="004B7599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4,51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DAFB2" w14:textId="03C2C967" w:rsidR="003A45E8" w:rsidRDefault="004938CC" w:rsidP="004B7599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1,59</w:t>
            </w:r>
          </w:p>
        </w:tc>
      </w:tr>
      <w:tr w:rsidR="003A45E8" w:rsidRPr="00072C7A" w14:paraId="2C09FA8C" w14:textId="77777777" w:rsidTr="00EA1829">
        <w:trPr>
          <w:gridAfter w:val="1"/>
          <w:wAfter w:w="9" w:type="dxa"/>
          <w:trHeight w:val="164"/>
        </w:trPr>
        <w:tc>
          <w:tcPr>
            <w:tcW w:w="97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32FC37F" w14:textId="4547875E" w:rsidR="003A45E8" w:rsidRDefault="003A45E8" w:rsidP="004B7599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FCT03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A6BADF5" w14:textId="1CF5BDFF" w:rsidR="003A45E8" w:rsidRDefault="003A45E8" w:rsidP="004B7599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95,3</w:t>
            </w:r>
            <w:r w:rsidR="004D0683">
              <w:rPr>
                <w:lang w:val="pt-BR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FFD9382" w14:textId="0077E155" w:rsidR="003A45E8" w:rsidRDefault="003A45E8" w:rsidP="004B7599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2,70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E108D50" w14:textId="61DB0459" w:rsidR="003A45E8" w:rsidRDefault="004938CC" w:rsidP="004B7599">
            <w:pPr>
              <w:pStyle w:val="TCTableBody"/>
              <w:spacing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1,38</w:t>
            </w:r>
          </w:p>
        </w:tc>
      </w:tr>
      <w:tr w:rsidR="00402CFF" w:rsidRPr="00072C7A" w14:paraId="03DF7B9A" w14:textId="77777777" w:rsidTr="00EA1829">
        <w:trPr>
          <w:trHeight w:val="20"/>
        </w:trPr>
        <w:tc>
          <w:tcPr>
            <w:tcW w:w="4582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28E3752" w14:textId="6262305E" w:rsidR="00402CFF" w:rsidRDefault="003A45E8" w:rsidP="007A387A">
            <w:pPr>
              <w:pStyle w:val="TCTableBody"/>
              <w:spacing w:after="0" w:line="240" w:lineRule="auto"/>
              <w:rPr>
                <w:rFonts w:ascii="Times New Roman" w:hAnsi="Times New Roman"/>
                <w:i/>
                <w:lang w:val="pt-BR"/>
              </w:rPr>
            </w:pPr>
            <w:r w:rsidRPr="00365343">
              <w:rPr>
                <w:rFonts w:ascii="Times New Roman" w:hAnsi="Times New Roman"/>
                <w:i/>
                <w:vertAlign w:val="superscript"/>
                <w:lang w:val="pt-BR"/>
              </w:rPr>
              <w:t>a</w:t>
            </w:r>
            <w:r w:rsidR="00365343">
              <w:rPr>
                <w:rFonts w:ascii="Times New Roman" w:hAnsi="Times New Roman"/>
                <w:i/>
                <w:vertAlign w:val="superscript"/>
                <w:lang w:val="pt-BR"/>
              </w:rPr>
              <w:t xml:space="preserve"> </w:t>
            </w:r>
            <w:r>
              <w:rPr>
                <w:rFonts w:ascii="Times New Roman" w:hAnsi="Times New Roman"/>
                <w:i/>
                <w:lang w:val="pt-BR"/>
              </w:rPr>
              <w:t>Teor de carbono fixo e cinzas (%, em base seca).</w:t>
            </w:r>
          </w:p>
          <w:p w14:paraId="2BFC29E2" w14:textId="1204EF6F" w:rsidR="003A45E8" w:rsidRPr="00E038AF" w:rsidRDefault="00365343" w:rsidP="00617F5E">
            <w:pPr>
              <w:pStyle w:val="TCTableBody"/>
              <w:spacing w:line="240" w:lineRule="auto"/>
              <w:rPr>
                <w:rFonts w:ascii="Times New Roman" w:hAnsi="Times New Roman"/>
                <w:lang w:val="pt-BR"/>
              </w:rPr>
            </w:pPr>
            <w:r w:rsidRPr="00365343">
              <w:rPr>
                <w:rFonts w:ascii="Times New Roman" w:hAnsi="Times New Roman"/>
                <w:i/>
                <w:vertAlign w:val="superscript"/>
                <w:lang w:val="pt-BR"/>
              </w:rPr>
              <w:t>b</w:t>
            </w:r>
            <w:r w:rsidR="003A45E8">
              <w:rPr>
                <w:rFonts w:ascii="Times New Roman" w:hAnsi="Times New Roman"/>
                <w:i/>
                <w:lang w:val="pt-BR"/>
              </w:rPr>
              <w:t xml:space="preserve"> Teor de Fe</w:t>
            </w:r>
            <w:r w:rsidR="003A45E8" w:rsidRPr="00365343">
              <w:rPr>
                <w:rFonts w:ascii="Times New Roman" w:hAnsi="Times New Roman"/>
                <w:i/>
                <w:vertAlign w:val="subscript"/>
                <w:lang w:val="pt-BR"/>
              </w:rPr>
              <w:t>3</w:t>
            </w:r>
            <w:r>
              <w:rPr>
                <w:rFonts w:ascii="Times New Roman" w:hAnsi="Times New Roman"/>
                <w:i/>
                <w:lang w:val="pt-BR"/>
              </w:rPr>
              <w:t>O</w:t>
            </w:r>
            <w:r w:rsidR="003A45E8" w:rsidRPr="00365343">
              <w:rPr>
                <w:rFonts w:ascii="Times New Roman" w:hAnsi="Times New Roman"/>
                <w:i/>
                <w:vertAlign w:val="subscript"/>
                <w:lang w:val="pt-BR"/>
              </w:rPr>
              <w:t>4</w:t>
            </w:r>
            <w:r w:rsidR="003A45E8">
              <w:rPr>
                <w:rFonts w:ascii="Times New Roman" w:hAnsi="Times New Roman"/>
                <w:i/>
                <w:lang w:val="pt-BR"/>
              </w:rPr>
              <w:t xml:space="preserve"> por FRX (%).</w:t>
            </w:r>
          </w:p>
        </w:tc>
      </w:tr>
    </w:tbl>
    <w:p w14:paraId="7C5EBEFD" w14:textId="5350C30D" w:rsidR="00617F5E" w:rsidRPr="00613C2D" w:rsidRDefault="00D36E3A" w:rsidP="00617F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bookmarkStart w:id="2" w:name="_Hlk143002004"/>
      <w:r w:rsidRPr="00617F5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Pode ser visto a partir da Tabela 1, que os materiais </w:t>
      </w:r>
      <w:r w:rsidR="00646466" w:rsidRPr="00617F5E">
        <w:rPr>
          <w:rFonts w:ascii="Times New Roman" w:eastAsia="Times New Roman" w:hAnsi="Times New Roman" w:cs="Times New Roman"/>
          <w:sz w:val="20"/>
          <w:szCs w:val="20"/>
          <w:lang w:eastAsia="pt-BR"/>
        </w:rPr>
        <w:t>híbridos</w:t>
      </w:r>
      <w:r w:rsidRPr="00617F5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</w:t>
      </w:r>
      <w:r w:rsidR="00FF01D5" w:rsidRPr="00617F5E">
        <w:rPr>
          <w:rFonts w:ascii="Times New Roman" w:eastAsia="Times New Roman" w:hAnsi="Times New Roman" w:cs="Times New Roman"/>
          <w:sz w:val="20"/>
          <w:szCs w:val="20"/>
          <w:lang w:eastAsia="pt-BR"/>
        </w:rPr>
        <w:t>p</w:t>
      </w:r>
      <w:r w:rsidRPr="00617F5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resentam um alto teor de carbono e baixo teor de cinza, sendo este, um aspecto fundamental para um bom adsorvente. </w:t>
      </w:r>
      <w:bookmarkEnd w:id="2"/>
      <w:r w:rsidR="00ED4DE5">
        <w:rPr>
          <w:rFonts w:ascii="Times New Roman" w:eastAsia="Times New Roman" w:hAnsi="Times New Roman" w:cs="Times New Roman"/>
          <w:sz w:val="20"/>
          <w:szCs w:val="20"/>
          <w:lang w:eastAsia="pt-BR"/>
        </w:rPr>
        <w:t>O alto teor de carbono nos materiais é devido a incorporação da biomassa.</w:t>
      </w:r>
    </w:p>
    <w:p w14:paraId="02DA2BF0" w14:textId="242D1471" w:rsidR="00402CFF" w:rsidRDefault="00D54F45" w:rsidP="00617F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Por análise por FRX foi </w:t>
      </w:r>
      <w:r w:rsidR="001A76D5">
        <w:rPr>
          <w:rFonts w:ascii="Times New Roman" w:eastAsia="Times New Roman" w:hAnsi="Times New Roman" w:cs="Times New Roman"/>
          <w:sz w:val="20"/>
          <w:szCs w:val="20"/>
          <w:lang w:eastAsia="pt-BR"/>
        </w:rPr>
        <w:t>possível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1A76D5">
        <w:rPr>
          <w:rFonts w:ascii="Times New Roman" w:eastAsia="Times New Roman" w:hAnsi="Times New Roman" w:cs="Times New Roman"/>
          <w:sz w:val="20"/>
          <w:szCs w:val="20"/>
          <w:lang w:eastAsia="pt-BR"/>
        </w:rPr>
        <w:t>observar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o sinal </w:t>
      </w:r>
      <w:r w:rsidR="00381552">
        <w:rPr>
          <w:rFonts w:ascii="Times New Roman" w:eastAsia="Times New Roman" w:hAnsi="Times New Roman" w:cs="Times New Roman"/>
          <w:sz w:val="20"/>
          <w:szCs w:val="20"/>
          <w:lang w:eastAsia="pt-BR"/>
        </w:rPr>
        <w:t>de</w:t>
      </w:r>
      <w:r w:rsidR="0082477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ferro</w:t>
      </w:r>
      <w:r w:rsidR="001A730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 </w:t>
      </w:r>
      <w:r w:rsidR="00613C2D">
        <w:rPr>
          <w:rFonts w:ascii="Times New Roman" w:eastAsia="Times New Roman" w:hAnsi="Times New Roman" w:cs="Times New Roman"/>
          <w:sz w:val="20"/>
          <w:szCs w:val="20"/>
          <w:lang w:eastAsia="pt-BR"/>
        </w:rPr>
        <w:t>quantificar os</w:t>
      </w:r>
      <w:r w:rsidR="001A730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diferentes teores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  <w:r w:rsidR="00E65ED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A evidencia da presença do</w:t>
      </w:r>
      <w:r w:rsidR="00523A0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82477A">
        <w:rPr>
          <w:rFonts w:ascii="Times New Roman" w:eastAsia="Times New Roman" w:hAnsi="Times New Roman" w:cs="Times New Roman"/>
          <w:sz w:val="20"/>
          <w:szCs w:val="20"/>
          <w:lang w:eastAsia="pt-BR"/>
        </w:rPr>
        <w:t>oxido de ferro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EF001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nos </w:t>
      </w:r>
      <w:proofErr w:type="spellStart"/>
      <w:r w:rsidR="001A76D5">
        <w:rPr>
          <w:rFonts w:ascii="Times New Roman" w:eastAsia="Times New Roman" w:hAnsi="Times New Roman" w:cs="Times New Roman"/>
          <w:sz w:val="20"/>
          <w:szCs w:val="20"/>
          <w:lang w:eastAsia="pt-BR"/>
        </w:rPr>
        <w:t>bioasorventes</w:t>
      </w:r>
      <w:proofErr w:type="spellEnd"/>
      <w:r w:rsidR="00EF001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é a significativa atração por um campo magnético externo. A </w:t>
      </w:r>
      <w:r w:rsidR="001A76D5">
        <w:rPr>
          <w:rFonts w:ascii="Times New Roman" w:eastAsia="Times New Roman" w:hAnsi="Times New Roman" w:cs="Times New Roman"/>
          <w:sz w:val="20"/>
          <w:szCs w:val="20"/>
          <w:lang w:eastAsia="pt-BR"/>
        </w:rPr>
        <w:t>análise</w:t>
      </w:r>
      <w:r w:rsidR="00EF001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de DRX </w:t>
      </w:r>
      <w:r w:rsidR="001A76D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corrobora com esses dados, por </w:t>
      </w:r>
      <w:r w:rsidR="0082477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identificar a </w:t>
      </w:r>
      <w:r w:rsidR="004F6174">
        <w:rPr>
          <w:rFonts w:ascii="Times New Roman" w:eastAsia="Times New Roman" w:hAnsi="Times New Roman" w:cs="Times New Roman"/>
          <w:sz w:val="20"/>
          <w:szCs w:val="20"/>
          <w:lang w:eastAsia="pt-BR"/>
        </w:rPr>
        <w:t>fase</w:t>
      </w:r>
      <w:r w:rsidR="0082477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do óxido de ferro</w:t>
      </w:r>
      <w:r w:rsidR="00EF001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nos </w:t>
      </w:r>
      <w:r w:rsidR="001A76D5">
        <w:rPr>
          <w:rFonts w:ascii="Times New Roman" w:eastAsia="Times New Roman" w:hAnsi="Times New Roman" w:cs="Times New Roman"/>
          <w:sz w:val="20"/>
          <w:szCs w:val="20"/>
          <w:lang w:eastAsia="pt-BR"/>
        </w:rPr>
        <w:t>materiais</w:t>
      </w:r>
      <w:r w:rsidR="00EF001A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14:paraId="2B765927" w14:textId="21D30627" w:rsidR="00FF01D5" w:rsidRDefault="00FF01D5" w:rsidP="004B7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F01D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Na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F</w:t>
      </w:r>
      <w:r w:rsidRPr="00FF01D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igura 1 estão apresentados os difratogramas de raios X obtidos, </w:t>
      </w:r>
      <w:r w:rsidR="00EF001A">
        <w:rPr>
          <w:rFonts w:ascii="Times New Roman" w:eastAsia="Times New Roman" w:hAnsi="Times New Roman" w:cs="Times New Roman"/>
          <w:sz w:val="20"/>
          <w:szCs w:val="20"/>
          <w:lang w:eastAsia="pt-BR"/>
        </w:rPr>
        <w:t>para os materiais magnéticos sem biomassa e</w:t>
      </w:r>
      <w:r w:rsidRPr="00FF01D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para os materiais híbridos.</w:t>
      </w:r>
    </w:p>
    <w:p w14:paraId="4C5FE1F2" w14:textId="6CF87B7C" w:rsidR="004F6174" w:rsidRDefault="009E093D" w:rsidP="009E093D">
      <w:pPr>
        <w:spacing w:after="0" w:line="240" w:lineRule="auto"/>
        <w:jc w:val="both"/>
        <w:rPr>
          <w:rFonts w:ascii="Times New Roman" w:hAnsi="Times New Roman"/>
          <w:b/>
        </w:rPr>
      </w:pPr>
      <w:r>
        <w:object w:dxaOrig="16839" w:dyaOrig="11907" w14:anchorId="6A5212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253.65pt;height:195.9pt" o:ole="">
            <v:imagedata r:id="rId10" o:title="" croptop="6698f" cropbottom="2850f" cropleft="8281f" cropright="6169f"/>
          </v:shape>
          <o:OLEObject Type="Embed" ProgID="Origin50.Graph" ShapeID="_x0000_i1041" DrawAspect="Content" ObjectID="_1753627093" r:id="rId11"/>
        </w:object>
      </w:r>
    </w:p>
    <w:p w14:paraId="5377713A" w14:textId="156BDDE7" w:rsidR="00FF01D5" w:rsidRPr="00E27AA0" w:rsidRDefault="00B11C3F" w:rsidP="004F617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t-BR"/>
        </w:rPr>
      </w:pPr>
      <w:r w:rsidRPr="00E27AA0">
        <w:rPr>
          <w:rFonts w:ascii="Times New Roman" w:eastAsia="Times New Roman" w:hAnsi="Times New Roman" w:cs="Times New Roman"/>
          <w:b/>
          <w:bCs/>
          <w:sz w:val="18"/>
          <w:szCs w:val="20"/>
          <w:lang w:eastAsia="pt-BR"/>
        </w:rPr>
        <w:t>Figura 1.</w:t>
      </w:r>
      <w:r w:rsidRPr="00E27AA0">
        <w:rPr>
          <w:rFonts w:ascii="Times New Roman" w:eastAsia="Times New Roman" w:hAnsi="Times New Roman" w:cs="Times New Roman"/>
          <w:sz w:val="18"/>
          <w:szCs w:val="20"/>
          <w:lang w:eastAsia="pt-BR"/>
        </w:rPr>
        <w:t xml:space="preserve"> </w:t>
      </w:r>
      <w:r w:rsidR="004F6174" w:rsidRPr="00E27AA0">
        <w:rPr>
          <w:rFonts w:ascii="Times New Roman" w:eastAsia="Times New Roman" w:hAnsi="Times New Roman" w:cs="Times New Roman"/>
          <w:sz w:val="18"/>
          <w:szCs w:val="20"/>
          <w:lang w:eastAsia="pt-BR"/>
        </w:rPr>
        <w:t>Difração de raios X dos materiais magnéticos com diferentes teores de oxido de ferro, e tratamento térmico a 400°C.</w:t>
      </w:r>
    </w:p>
    <w:p w14:paraId="60B7A97E" w14:textId="77777777" w:rsidR="004F6174" w:rsidRPr="00B11C3F" w:rsidRDefault="004F6174" w:rsidP="004B759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14:paraId="1A57F5E5" w14:textId="291188AD" w:rsidR="0082477A" w:rsidRDefault="001A76D5" w:rsidP="009E09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1A76D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Para os </w:t>
      </w:r>
      <w:r w:rsidRPr="00C709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matérias </w:t>
      </w:r>
      <w:r w:rsidR="00C709FC" w:rsidRPr="00C709FC">
        <w:rPr>
          <w:rFonts w:ascii="Times New Roman" w:eastAsia="Times New Roman" w:hAnsi="Times New Roman" w:cs="Times New Roman"/>
          <w:sz w:val="20"/>
          <w:szCs w:val="20"/>
          <w:lang w:eastAsia="pt-BR"/>
        </w:rPr>
        <w:t>híbridos</w:t>
      </w:r>
      <w:r w:rsidRPr="00C709F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1A76D5">
        <w:rPr>
          <w:rFonts w:ascii="Times New Roman" w:eastAsia="Times New Roman" w:hAnsi="Times New Roman" w:cs="Times New Roman"/>
          <w:sz w:val="20"/>
          <w:szCs w:val="20"/>
          <w:lang w:eastAsia="pt-BR"/>
        </w:rPr>
        <w:t>pode-se observar o padrão de difração característico da magnetita</w:t>
      </w:r>
      <w:r w:rsidR="009E326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1A76D5">
        <w:rPr>
          <w:rFonts w:ascii="Times New Roman" w:eastAsia="Times New Roman" w:hAnsi="Times New Roman" w:cs="Times New Roman"/>
          <w:sz w:val="20"/>
          <w:szCs w:val="20"/>
          <w:lang w:eastAsia="pt-BR"/>
        </w:rPr>
        <w:t>Fe</w:t>
      </w:r>
      <w:r w:rsidRPr="0082477A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3</w:t>
      </w:r>
      <w:r w:rsidRPr="001A76D5">
        <w:rPr>
          <w:rFonts w:ascii="Times New Roman" w:eastAsia="Times New Roman" w:hAnsi="Times New Roman" w:cs="Times New Roman"/>
          <w:sz w:val="20"/>
          <w:szCs w:val="20"/>
          <w:lang w:eastAsia="pt-BR"/>
        </w:rPr>
        <w:t>O</w:t>
      </w:r>
      <w:r w:rsidRPr="0082477A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4</w:t>
      </w:r>
      <w:r w:rsidRPr="001A76D5">
        <w:rPr>
          <w:rFonts w:ascii="Times New Roman" w:eastAsia="Times New Roman" w:hAnsi="Times New Roman" w:cs="Times New Roman"/>
          <w:sz w:val="20"/>
          <w:szCs w:val="20"/>
          <w:lang w:eastAsia="pt-BR"/>
        </w:rPr>
        <w:t>, carta COD nº 01-086</w:t>
      </w:r>
      <w:r w:rsidR="00E27AA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1A76D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- 1362. Fase cúbica, grupo espacial F d-3m e tamanho médio de cristalito (Tc) estimado utilizando a equação de Scherrer, em torno de </w:t>
      </w:r>
      <w:r w:rsidR="00B07DA1">
        <w:rPr>
          <w:rFonts w:ascii="Times New Roman" w:eastAsia="Times New Roman" w:hAnsi="Times New Roman" w:cs="Times New Roman"/>
          <w:sz w:val="20"/>
          <w:szCs w:val="20"/>
          <w:lang w:eastAsia="pt-BR"/>
        </w:rPr>
        <w:t>28,8</w:t>
      </w:r>
      <w:r w:rsidRPr="001A76D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nm</w:t>
      </w:r>
      <w:r w:rsidR="001047D5">
        <w:rPr>
          <w:rFonts w:ascii="Times New Roman" w:eastAsia="Times New Roman" w:hAnsi="Times New Roman" w:cs="Times New Roman"/>
          <w:sz w:val="20"/>
          <w:szCs w:val="20"/>
          <w:lang w:eastAsia="pt-BR"/>
        </w:rPr>
        <w:t>, 3</w:t>
      </w:r>
      <w:r w:rsidR="00B07DA1">
        <w:rPr>
          <w:rFonts w:ascii="Times New Roman" w:eastAsia="Times New Roman" w:hAnsi="Times New Roman" w:cs="Times New Roman"/>
          <w:sz w:val="20"/>
          <w:szCs w:val="20"/>
          <w:lang w:eastAsia="pt-BR"/>
        </w:rPr>
        <w:t>3,3</w:t>
      </w:r>
      <w:r w:rsidR="001047D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nm, 3</w:t>
      </w:r>
      <w:r w:rsidR="00B07DA1">
        <w:rPr>
          <w:rFonts w:ascii="Times New Roman" w:eastAsia="Times New Roman" w:hAnsi="Times New Roman" w:cs="Times New Roman"/>
          <w:sz w:val="20"/>
          <w:szCs w:val="20"/>
          <w:lang w:eastAsia="pt-BR"/>
        </w:rPr>
        <w:t>3,0</w:t>
      </w:r>
      <w:r w:rsidR="001047D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="001047D5">
        <w:rPr>
          <w:rFonts w:ascii="Times New Roman" w:eastAsia="Times New Roman" w:hAnsi="Times New Roman" w:cs="Times New Roman"/>
          <w:sz w:val="20"/>
          <w:szCs w:val="20"/>
          <w:lang w:eastAsia="pt-BR"/>
        </w:rPr>
        <w:t>nm</w:t>
      </w:r>
      <w:proofErr w:type="spellEnd"/>
      <w:r w:rsidR="001047D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 </w:t>
      </w:r>
      <w:r w:rsidR="00B07DA1">
        <w:rPr>
          <w:rFonts w:ascii="Times New Roman" w:eastAsia="Times New Roman" w:hAnsi="Times New Roman" w:cs="Times New Roman"/>
          <w:sz w:val="20"/>
          <w:szCs w:val="20"/>
          <w:lang w:eastAsia="pt-BR"/>
        </w:rPr>
        <w:t>29,2</w:t>
      </w:r>
      <w:r w:rsidR="001047D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="001047D5">
        <w:rPr>
          <w:rFonts w:ascii="Times New Roman" w:eastAsia="Times New Roman" w:hAnsi="Times New Roman" w:cs="Times New Roman"/>
          <w:sz w:val="20"/>
          <w:szCs w:val="20"/>
          <w:lang w:eastAsia="pt-BR"/>
        </w:rPr>
        <w:t>nm</w:t>
      </w:r>
      <w:proofErr w:type="spellEnd"/>
      <w:r w:rsidR="001047D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para </w:t>
      </w:r>
      <w:r w:rsidR="00613C2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os </w:t>
      </w:r>
      <w:r w:rsidR="009E093D">
        <w:rPr>
          <w:rFonts w:ascii="Times New Roman" w:eastAsia="Times New Roman" w:hAnsi="Times New Roman" w:cs="Times New Roman"/>
          <w:sz w:val="20"/>
          <w:szCs w:val="20"/>
          <w:lang w:eastAsia="pt-BR"/>
        </w:rPr>
        <w:t>materiais</w:t>
      </w:r>
      <w:r w:rsidR="001047D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FCT00, FCT01, FCT02 </w:t>
      </w:r>
      <w:r w:rsidR="00613C2D">
        <w:rPr>
          <w:rFonts w:ascii="Times New Roman" w:eastAsia="Times New Roman" w:hAnsi="Times New Roman" w:cs="Times New Roman"/>
          <w:sz w:val="20"/>
          <w:szCs w:val="20"/>
          <w:lang w:eastAsia="pt-BR"/>
        </w:rPr>
        <w:t>e</w:t>
      </w:r>
      <w:r w:rsidR="001047D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FCT03, respectivamente</w:t>
      </w:r>
      <w:r w:rsidRPr="001A76D5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14:paraId="7A4CA82A" w14:textId="5988E288" w:rsidR="00BC451B" w:rsidRPr="00BC451B" w:rsidRDefault="00BC451B" w:rsidP="008247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C451B">
        <w:rPr>
          <w:rFonts w:ascii="Times New Roman" w:eastAsia="Times New Roman" w:hAnsi="Times New Roman" w:cs="Times New Roman"/>
          <w:sz w:val="20"/>
          <w:szCs w:val="20"/>
          <w:lang w:eastAsia="pt-BR"/>
        </w:rPr>
        <w:t>Para o</w:t>
      </w:r>
      <w:r w:rsidR="00AE0F4B">
        <w:rPr>
          <w:rFonts w:ascii="Times New Roman" w:eastAsia="Times New Roman" w:hAnsi="Times New Roman" w:cs="Times New Roman"/>
          <w:sz w:val="20"/>
          <w:szCs w:val="20"/>
          <w:lang w:eastAsia="pt-BR"/>
        </w:rPr>
        <w:t>s</w:t>
      </w:r>
      <w:r w:rsidRPr="00BC451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materia</w:t>
      </w:r>
      <w:r w:rsidR="00AE0F4B">
        <w:rPr>
          <w:rFonts w:ascii="Times New Roman" w:eastAsia="Times New Roman" w:hAnsi="Times New Roman" w:cs="Times New Roman"/>
          <w:sz w:val="20"/>
          <w:szCs w:val="20"/>
          <w:lang w:eastAsia="pt-BR"/>
        </w:rPr>
        <w:t>is</w:t>
      </w:r>
      <w:r w:rsidRPr="00BC451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híbrido</w:t>
      </w:r>
      <w:r w:rsidR="00AE0F4B">
        <w:rPr>
          <w:rFonts w:ascii="Times New Roman" w:eastAsia="Times New Roman" w:hAnsi="Times New Roman" w:cs="Times New Roman"/>
          <w:sz w:val="20"/>
          <w:szCs w:val="20"/>
          <w:lang w:eastAsia="pt-BR"/>
        </w:rPr>
        <w:t>s</w:t>
      </w:r>
      <w:r w:rsidRPr="00BC451B">
        <w:rPr>
          <w:rFonts w:ascii="Times New Roman" w:eastAsia="Times New Roman" w:hAnsi="Times New Roman" w:cs="Times New Roman"/>
          <w:sz w:val="20"/>
          <w:szCs w:val="20"/>
          <w:lang w:eastAsia="pt-BR"/>
        </w:rPr>
        <w:t>, bandas de água características são observadas no material em torno de 3400 cm</w:t>
      </w:r>
      <w:r w:rsidRPr="00BE7B3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-1</w:t>
      </w:r>
      <w:r w:rsidRPr="00BC451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alongamento O-H. </w:t>
      </w:r>
      <w:bookmarkStart w:id="3" w:name="_Hlk142945579"/>
      <w:r w:rsidRPr="00BC451B">
        <w:rPr>
          <w:rFonts w:ascii="Times New Roman" w:eastAsia="Times New Roman" w:hAnsi="Times New Roman" w:cs="Times New Roman"/>
          <w:sz w:val="20"/>
          <w:szCs w:val="20"/>
          <w:lang w:eastAsia="pt-BR"/>
        </w:rPr>
        <w:t>A banda em torno de 650 cm</w:t>
      </w:r>
      <w:r w:rsidRPr="00F0327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t>-1</w:t>
      </w:r>
      <w:r w:rsidRPr="00BC451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foi indexada como estiramento das nanopartículas de óxido de ferro no modo vibracional Fe-O</w:t>
      </w:r>
      <w:bookmarkEnd w:id="3"/>
      <w:r w:rsidRPr="00BC451B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14:paraId="69DC5CE6" w14:textId="25B9B4A7" w:rsidR="00BC451B" w:rsidRDefault="00AE0F4B" w:rsidP="004B75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E0F4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Os resultados obtidos na determinação de PCZ de materiais </w:t>
      </w:r>
      <w:r w:rsidR="00475D89">
        <w:rPr>
          <w:rFonts w:ascii="Times New Roman" w:eastAsia="Times New Roman" w:hAnsi="Times New Roman" w:cs="Times New Roman"/>
          <w:sz w:val="20"/>
          <w:szCs w:val="20"/>
          <w:lang w:eastAsia="pt-BR"/>
        </w:rPr>
        <w:t>híbridos</w:t>
      </w:r>
      <w:r w:rsidRPr="00AE0F4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correspondem ao ponto em que o valor do pH permanece constante após o equilíbrio do sistema. Os valores médios de PCZ dos materiais FCT00, FCT01, FCT02 e FCT03 ficaram em torno de pH 7,4, 7,5, 7,5, 7,</w:t>
      </w:r>
      <w:r w:rsidR="00475D89">
        <w:rPr>
          <w:rFonts w:ascii="Times New Roman" w:eastAsia="Times New Roman" w:hAnsi="Times New Roman" w:cs="Times New Roman"/>
          <w:sz w:val="20"/>
          <w:szCs w:val="20"/>
          <w:lang w:eastAsia="pt-BR"/>
        </w:rPr>
        <w:t>4</w:t>
      </w:r>
      <w:r w:rsidRPr="00AE0F4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respectivamente. Pode-se observar que para materiais </w:t>
      </w:r>
      <w:r w:rsidR="00475D89">
        <w:rPr>
          <w:rFonts w:ascii="Times New Roman" w:eastAsia="Times New Roman" w:hAnsi="Times New Roman" w:cs="Times New Roman"/>
          <w:sz w:val="20"/>
          <w:szCs w:val="20"/>
          <w:lang w:eastAsia="pt-BR"/>
        </w:rPr>
        <w:t>híbridos</w:t>
      </w:r>
      <w:r w:rsidRPr="00AE0F4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o meio aquoso com pH &gt;7 deixará a superfície carregada negativamente, apresentando capacidade de troca catiônica. Em meio aquoso com pH &lt; 7, a superfície </w:t>
      </w:r>
      <w:r w:rsidR="00475D89" w:rsidRPr="00AE0F4B">
        <w:rPr>
          <w:rFonts w:ascii="Times New Roman" w:eastAsia="Times New Roman" w:hAnsi="Times New Roman" w:cs="Times New Roman"/>
          <w:sz w:val="20"/>
          <w:szCs w:val="20"/>
          <w:lang w:eastAsia="pt-BR"/>
        </w:rPr>
        <w:t>dos materiais</w:t>
      </w:r>
      <w:r w:rsidR="00475D8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híbridos</w:t>
      </w:r>
      <w:r w:rsidRPr="00AE0F4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é carregada positivamente e tem capacidade de troca aniônica.</w:t>
      </w:r>
      <w:r w:rsidR="00B84DD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Estes tipos de materiais podem ser utilizados tanto para adsorba</w:t>
      </w:r>
      <w:r w:rsidR="000354BF">
        <w:rPr>
          <w:rFonts w:ascii="Times New Roman" w:eastAsia="Times New Roman" w:hAnsi="Times New Roman" w:cs="Times New Roman"/>
          <w:sz w:val="20"/>
          <w:szCs w:val="20"/>
          <w:lang w:eastAsia="pt-BR"/>
        </w:rPr>
        <w:t>t</w:t>
      </w:r>
      <w:r w:rsidR="00B84DD9">
        <w:rPr>
          <w:rFonts w:ascii="Times New Roman" w:eastAsia="Times New Roman" w:hAnsi="Times New Roman" w:cs="Times New Roman"/>
          <w:sz w:val="20"/>
          <w:szCs w:val="20"/>
          <w:lang w:eastAsia="pt-BR"/>
        </w:rPr>
        <w:t>os neutros, catiônicos e aniônicos a depender do pH.</w:t>
      </w:r>
    </w:p>
    <w:p w14:paraId="20AA905D" w14:textId="09EB3D13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70FA21D0" w14:textId="62370FA1" w:rsidR="00691605" w:rsidRPr="00940E56" w:rsidRDefault="00691605" w:rsidP="006916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8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940E56">
        <w:rPr>
          <w:rFonts w:ascii="Times New Roman" w:eastAsia="Times New Roman" w:hAnsi="Times New Roman" w:cs="Times New Roman"/>
          <w:sz w:val="20"/>
          <w:szCs w:val="20"/>
          <w:lang w:eastAsia="pt-BR"/>
        </w:rPr>
        <w:t>Os materiais híbridos exibiram as propriedades magnéticas da magnetita, que não foram alteradas quando a biomassa foi adicionada à formulação do material. Pode-se observar que as nanopartículas de Fe</w:t>
      </w:r>
      <w:r w:rsidRPr="00940E56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3</w:t>
      </w:r>
      <w:r w:rsidRPr="00940E56">
        <w:rPr>
          <w:rFonts w:ascii="Times New Roman" w:eastAsia="Times New Roman" w:hAnsi="Times New Roman" w:cs="Times New Roman"/>
          <w:sz w:val="20"/>
          <w:szCs w:val="20"/>
          <w:lang w:eastAsia="pt-BR"/>
        </w:rPr>
        <w:t>O</w:t>
      </w:r>
      <w:r w:rsidRPr="00940E56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4</w:t>
      </w:r>
      <w:r w:rsidRPr="00940E5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estão dispersas na matriz de carbono e à base de P</w:t>
      </w:r>
      <w:r w:rsidR="009E093D">
        <w:rPr>
          <w:rFonts w:ascii="Times New Roman" w:eastAsia="Times New Roman" w:hAnsi="Times New Roman" w:cs="Times New Roman"/>
          <w:sz w:val="20"/>
          <w:szCs w:val="20"/>
          <w:lang w:eastAsia="pt-BR"/>
        </w:rPr>
        <w:t>C</w:t>
      </w:r>
      <w:r w:rsidR="00AE5FF1">
        <w:rPr>
          <w:rFonts w:ascii="Times New Roman" w:eastAsia="Times New Roman" w:hAnsi="Times New Roman" w:cs="Times New Roman"/>
          <w:sz w:val="20"/>
          <w:szCs w:val="20"/>
          <w:lang w:eastAsia="pt-BR"/>
        </w:rPr>
        <w:t>Z</w:t>
      </w:r>
      <w:r w:rsidRPr="00940E56">
        <w:rPr>
          <w:rFonts w:ascii="Times New Roman" w:eastAsia="Times New Roman" w:hAnsi="Times New Roman" w:cs="Times New Roman"/>
          <w:sz w:val="20"/>
          <w:szCs w:val="20"/>
          <w:lang w:eastAsia="pt-BR"/>
        </w:rPr>
        <w:t>, a adsorção de ânions é favorecida quando o valor de pH é menor que P</w:t>
      </w:r>
      <w:r w:rsidR="009E093D">
        <w:rPr>
          <w:rFonts w:ascii="Times New Roman" w:eastAsia="Times New Roman" w:hAnsi="Times New Roman" w:cs="Times New Roman"/>
          <w:sz w:val="20"/>
          <w:szCs w:val="20"/>
          <w:lang w:eastAsia="pt-BR"/>
        </w:rPr>
        <w:t>C</w:t>
      </w:r>
      <w:r w:rsidR="00AE5FF1">
        <w:rPr>
          <w:rFonts w:ascii="Times New Roman" w:eastAsia="Times New Roman" w:hAnsi="Times New Roman" w:cs="Times New Roman"/>
          <w:sz w:val="20"/>
          <w:szCs w:val="20"/>
          <w:lang w:eastAsia="pt-BR"/>
        </w:rPr>
        <w:t>Z</w:t>
      </w:r>
      <w:r w:rsidRPr="00940E56">
        <w:rPr>
          <w:rFonts w:ascii="Times New Roman" w:eastAsia="Times New Roman" w:hAnsi="Times New Roman" w:cs="Times New Roman"/>
          <w:sz w:val="20"/>
          <w:szCs w:val="20"/>
          <w:lang w:eastAsia="pt-BR"/>
        </w:rPr>
        <w:t>, enquanto a adsorção de cátions é favorecida quando o valor de pH da solução é maior que P</w:t>
      </w:r>
      <w:r w:rsidR="009E093D">
        <w:rPr>
          <w:rFonts w:ascii="Times New Roman" w:eastAsia="Times New Roman" w:hAnsi="Times New Roman" w:cs="Times New Roman"/>
          <w:sz w:val="20"/>
          <w:szCs w:val="20"/>
          <w:lang w:eastAsia="pt-BR"/>
        </w:rPr>
        <w:t>C</w:t>
      </w:r>
      <w:r w:rsidR="00AE5FF1">
        <w:rPr>
          <w:rFonts w:ascii="Times New Roman" w:eastAsia="Times New Roman" w:hAnsi="Times New Roman" w:cs="Times New Roman"/>
          <w:sz w:val="20"/>
          <w:szCs w:val="20"/>
          <w:lang w:eastAsia="pt-BR"/>
        </w:rPr>
        <w:t>Z</w:t>
      </w:r>
      <w:r w:rsidR="001047D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  <w:r w:rsidRPr="00940E56">
        <w:rPr>
          <w:rFonts w:ascii="Times New Roman" w:eastAsia="Times New Roman" w:hAnsi="Times New Roman" w:cs="Times New Roman"/>
          <w:sz w:val="20"/>
          <w:szCs w:val="20"/>
          <w:lang w:eastAsia="pt-BR"/>
        </w:rPr>
        <w:t>Portanto, pode-se concluir que materiais com propriedades magnéticas os tornam mais atrativos por serem tecnicamente fáceis de remover de soluções aquosas e são potenciais materiais para o tratamento de efluentes industriais, fármacos e pesticidas de diversas composições.</w:t>
      </w:r>
    </w:p>
    <w:p w14:paraId="7FCCBEE3" w14:textId="7EBB06B6" w:rsidR="00617F5E" w:rsidRDefault="00EA4E1B" w:rsidP="00617F5E">
      <w:pPr>
        <w:pStyle w:val="Ttulo2"/>
        <w:rPr>
          <w:rFonts w:ascii="Times New Roman" w:eastAsia="Times New Roman" w:hAnsi="Times New Roman" w:cs="Times New Roman"/>
          <w:color w:val="000000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66084BB2" w14:textId="3803AB3B" w:rsidR="00EB5767" w:rsidRPr="00E27AA0" w:rsidRDefault="00EB5767" w:rsidP="00617F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E27AA0">
        <w:rPr>
          <w:rFonts w:ascii="Times New Roman" w:eastAsia="Times New Roman" w:hAnsi="Times New Roman" w:cs="Times New Roman"/>
          <w:sz w:val="20"/>
          <w:szCs w:val="20"/>
          <w:lang w:eastAsia="pt-BR"/>
        </w:rPr>
        <w:t>Agradecimento a FAPESB pela bolsa de doutorado de F. da S. Castro.</w:t>
      </w:r>
    </w:p>
    <w:p w14:paraId="158D911D" w14:textId="63BE0350" w:rsidR="00A37CDC" w:rsidRPr="00B938F2" w:rsidRDefault="00EA4E1B" w:rsidP="00A37CDC">
      <w:pPr>
        <w:pStyle w:val="Ttulo2"/>
        <w:spacing w:before="0" w:after="0"/>
        <w:rPr>
          <w:rFonts w:ascii="Times" w:eastAsia="Times New Roman" w:hAnsi="Times" w:cs="Times New Roman"/>
          <w:sz w:val="20"/>
          <w:szCs w:val="20"/>
          <w:lang w:eastAsia="pt-BR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0B9204D5" w14:textId="77777777" w:rsidR="00A37CDC" w:rsidRPr="0091267B" w:rsidRDefault="00A37CDC" w:rsidP="00A37CDC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91267B">
        <w:rPr>
          <w:rFonts w:ascii="Times New Roman" w:hAnsi="Times New Roman"/>
          <w:sz w:val="20"/>
          <w:szCs w:val="20"/>
        </w:rPr>
        <w:t xml:space="preserve">R.F.D.; Nascimento; V.D.O.S.; Neto, D.D.Q, Melo. </w:t>
      </w:r>
      <w:r w:rsidRPr="0091267B">
        <w:rPr>
          <w:rFonts w:ascii="Times New Roman" w:hAnsi="Times New Roman"/>
          <w:i/>
          <w:iCs/>
          <w:sz w:val="20"/>
          <w:szCs w:val="20"/>
        </w:rPr>
        <w:t xml:space="preserve">Uso de </w:t>
      </w:r>
      <w:proofErr w:type="spellStart"/>
      <w:r w:rsidRPr="0091267B">
        <w:rPr>
          <w:rFonts w:ascii="Times New Roman" w:hAnsi="Times New Roman"/>
          <w:i/>
          <w:iCs/>
          <w:sz w:val="20"/>
          <w:szCs w:val="20"/>
        </w:rPr>
        <w:t>bioadsorventes</w:t>
      </w:r>
      <w:proofErr w:type="spellEnd"/>
      <w:r w:rsidRPr="0091267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91267B">
        <w:rPr>
          <w:rFonts w:ascii="Times New Roman" w:hAnsi="Times New Roman"/>
          <w:i/>
          <w:iCs/>
          <w:sz w:val="20"/>
          <w:szCs w:val="20"/>
        </w:rPr>
        <w:t>lignocelulósicos</w:t>
      </w:r>
      <w:proofErr w:type="spellEnd"/>
      <w:r w:rsidRPr="0091267B">
        <w:rPr>
          <w:rFonts w:ascii="Times New Roman" w:hAnsi="Times New Roman"/>
          <w:i/>
          <w:iCs/>
          <w:sz w:val="20"/>
          <w:szCs w:val="20"/>
        </w:rPr>
        <w:t xml:space="preserve"> na remoção de poluentes de efluentes aquosos</w:t>
      </w:r>
      <w:r w:rsidRPr="0091267B">
        <w:rPr>
          <w:rFonts w:ascii="Times New Roman" w:hAnsi="Times New Roman"/>
          <w:sz w:val="20"/>
          <w:szCs w:val="20"/>
        </w:rPr>
        <w:t xml:space="preserve">. Ed 1.; Imprensa Universitária, Fortaleza: </w:t>
      </w:r>
      <w:r w:rsidRPr="0091267B">
        <w:rPr>
          <w:rFonts w:ascii="Times New Roman" w:hAnsi="Times New Roman"/>
          <w:b/>
          <w:bCs/>
          <w:sz w:val="20"/>
          <w:szCs w:val="20"/>
        </w:rPr>
        <w:t>2014</w:t>
      </w:r>
      <w:r w:rsidRPr="0091267B">
        <w:rPr>
          <w:rFonts w:ascii="Times New Roman" w:hAnsi="Times New Roman"/>
          <w:sz w:val="20"/>
          <w:szCs w:val="20"/>
        </w:rPr>
        <w:t>; Vol. 1, 20 - 89.</w:t>
      </w:r>
    </w:p>
    <w:p w14:paraId="7BD02103" w14:textId="77777777" w:rsidR="00A37CDC" w:rsidRDefault="00A37CDC" w:rsidP="00A37CDC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91267B">
        <w:rPr>
          <w:rFonts w:ascii="Times New Roman" w:hAnsi="Times New Roman"/>
          <w:sz w:val="20"/>
          <w:szCs w:val="20"/>
        </w:rPr>
        <w:t xml:space="preserve">T.V.J. Charpentier; A. Neville; J.L., Lanigan; R. Barker; M.J. Smith; T. Richardson. </w:t>
      </w:r>
      <w:r w:rsidRPr="0091267B">
        <w:rPr>
          <w:rFonts w:ascii="Times New Roman" w:hAnsi="Times New Roman"/>
          <w:i/>
          <w:iCs/>
          <w:sz w:val="20"/>
          <w:szCs w:val="20"/>
        </w:rPr>
        <w:t xml:space="preserve">ACS </w:t>
      </w:r>
      <w:proofErr w:type="spellStart"/>
      <w:r w:rsidRPr="0091267B">
        <w:rPr>
          <w:rFonts w:ascii="Times New Roman" w:hAnsi="Times New Roman"/>
          <w:i/>
          <w:iCs/>
          <w:sz w:val="20"/>
          <w:szCs w:val="20"/>
        </w:rPr>
        <w:t>Omega</w:t>
      </w:r>
      <w:proofErr w:type="spellEnd"/>
      <w:r w:rsidRPr="0091267B">
        <w:rPr>
          <w:rFonts w:ascii="Times New Roman" w:hAnsi="Times New Roman"/>
          <w:sz w:val="20"/>
          <w:szCs w:val="20"/>
        </w:rPr>
        <w:t xml:space="preserve">. </w:t>
      </w:r>
      <w:r w:rsidRPr="0091267B">
        <w:rPr>
          <w:rFonts w:ascii="Times New Roman" w:hAnsi="Times New Roman"/>
          <w:b/>
          <w:bCs/>
          <w:sz w:val="20"/>
          <w:szCs w:val="20"/>
        </w:rPr>
        <w:t>2016</w:t>
      </w:r>
      <w:r w:rsidRPr="0091267B">
        <w:rPr>
          <w:rFonts w:ascii="Times New Roman" w:hAnsi="Times New Roman"/>
          <w:sz w:val="20"/>
          <w:szCs w:val="20"/>
        </w:rPr>
        <w:t>, 1, 77–83</w:t>
      </w:r>
      <w:r w:rsidRPr="000324D2">
        <w:rPr>
          <w:rFonts w:ascii="Times New Roman" w:hAnsi="Times New Roman"/>
        </w:rPr>
        <w:t>.</w:t>
      </w:r>
    </w:p>
    <w:p w14:paraId="58716424" w14:textId="75500C11" w:rsidR="007B4B2B" w:rsidRPr="00EA4E1B" w:rsidRDefault="00A37CDC" w:rsidP="00EA4E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91267B">
        <w:rPr>
          <w:rFonts w:ascii="Times New Roman" w:eastAsiaTheme="minorHAnsi" w:hAnsi="Times New Roman"/>
          <w:sz w:val="20"/>
          <w:szCs w:val="20"/>
        </w:rPr>
        <w:t xml:space="preserve">E. V Melo, R. Dolabella, M, Peixoto, A. Pinheiro. </w:t>
      </w:r>
      <w:r w:rsidRPr="0091267B">
        <w:rPr>
          <w:rFonts w:ascii="Times New Roman" w:eastAsiaTheme="minorHAnsi" w:hAnsi="Times New Roman"/>
          <w:i/>
          <w:iCs/>
          <w:sz w:val="20"/>
          <w:szCs w:val="20"/>
        </w:rPr>
        <w:t>Perdas e desperdício de alimentos: estratégias para redução</w:t>
      </w:r>
      <w:r w:rsidRPr="0091267B">
        <w:rPr>
          <w:rFonts w:ascii="Times New Roman" w:eastAsiaTheme="minorHAnsi" w:hAnsi="Times New Roman"/>
          <w:sz w:val="20"/>
          <w:szCs w:val="20"/>
        </w:rPr>
        <w:t xml:space="preserve">. Ed. 1; Câmara, Brasília, </w:t>
      </w:r>
      <w:r w:rsidRPr="0091267B">
        <w:rPr>
          <w:rFonts w:ascii="Times New Roman" w:eastAsiaTheme="minorHAnsi" w:hAnsi="Times New Roman"/>
          <w:b/>
          <w:bCs/>
          <w:sz w:val="20"/>
          <w:szCs w:val="20"/>
        </w:rPr>
        <w:t>2018</w:t>
      </w:r>
      <w:r w:rsidRPr="0091267B">
        <w:rPr>
          <w:rFonts w:ascii="Times New Roman" w:eastAsiaTheme="minorHAnsi" w:hAnsi="Times New Roman"/>
          <w:sz w:val="20"/>
          <w:szCs w:val="20"/>
        </w:rPr>
        <w:t>, Vol. 3, 33 – 37.</w:t>
      </w:r>
    </w:p>
    <w:sectPr w:rsidR="007B4B2B" w:rsidRPr="00EA4E1B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A3DB8" w14:textId="77777777" w:rsidR="00220DAA" w:rsidRDefault="00220DAA" w:rsidP="00EA4E1B">
      <w:pPr>
        <w:spacing w:after="0" w:line="240" w:lineRule="auto"/>
      </w:pPr>
      <w:r>
        <w:separator/>
      </w:r>
    </w:p>
  </w:endnote>
  <w:endnote w:type="continuationSeparator" w:id="0">
    <w:p w14:paraId="58C052B2" w14:textId="77777777" w:rsidR="00220DAA" w:rsidRDefault="00220DAA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169DC" w14:textId="77777777" w:rsidR="00220DAA" w:rsidRDefault="00220DAA" w:rsidP="00EA4E1B">
      <w:pPr>
        <w:spacing w:after="0" w:line="240" w:lineRule="auto"/>
      </w:pPr>
      <w:r>
        <w:separator/>
      </w:r>
    </w:p>
  </w:footnote>
  <w:footnote w:type="continuationSeparator" w:id="0">
    <w:p w14:paraId="317B4336" w14:textId="77777777" w:rsidR="00220DAA" w:rsidRDefault="00220DAA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611103179" name="Imagem 611103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1574455645" name="Imagem 1574455645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8CB259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num w:numId="1" w16cid:durableId="1811439884">
    <w:abstractNumId w:val="0"/>
  </w:num>
  <w:num w:numId="2" w16cid:durableId="416168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1264A"/>
    <w:rsid w:val="0001625A"/>
    <w:rsid w:val="000354BF"/>
    <w:rsid w:val="00052959"/>
    <w:rsid w:val="00061A72"/>
    <w:rsid w:val="00063C5C"/>
    <w:rsid w:val="000B352E"/>
    <w:rsid w:val="000D74D7"/>
    <w:rsid w:val="000F0866"/>
    <w:rsid w:val="000F1D24"/>
    <w:rsid w:val="001047D5"/>
    <w:rsid w:val="001920F3"/>
    <w:rsid w:val="001A0723"/>
    <w:rsid w:val="001A730F"/>
    <w:rsid w:val="001A76D5"/>
    <w:rsid w:val="001C2E77"/>
    <w:rsid w:val="001E5572"/>
    <w:rsid w:val="001E58A9"/>
    <w:rsid w:val="001F25B2"/>
    <w:rsid w:val="00220DAA"/>
    <w:rsid w:val="00222230"/>
    <w:rsid w:val="00226D38"/>
    <w:rsid w:val="002409D4"/>
    <w:rsid w:val="002947E4"/>
    <w:rsid w:val="00340B1E"/>
    <w:rsid w:val="00365343"/>
    <w:rsid w:val="003732B8"/>
    <w:rsid w:val="00381552"/>
    <w:rsid w:val="003A45E8"/>
    <w:rsid w:val="003B2974"/>
    <w:rsid w:val="00402CFF"/>
    <w:rsid w:val="00402F3E"/>
    <w:rsid w:val="00412CB4"/>
    <w:rsid w:val="0042794A"/>
    <w:rsid w:val="00475D89"/>
    <w:rsid w:val="00492176"/>
    <w:rsid w:val="004938CC"/>
    <w:rsid w:val="004B7599"/>
    <w:rsid w:val="004D0683"/>
    <w:rsid w:val="004F3F42"/>
    <w:rsid w:val="004F6174"/>
    <w:rsid w:val="0052112E"/>
    <w:rsid w:val="00523A0F"/>
    <w:rsid w:val="00541BDD"/>
    <w:rsid w:val="00544533"/>
    <w:rsid w:val="00563DFE"/>
    <w:rsid w:val="00594753"/>
    <w:rsid w:val="005C2775"/>
    <w:rsid w:val="005D65EB"/>
    <w:rsid w:val="005D7CDF"/>
    <w:rsid w:val="005F739F"/>
    <w:rsid w:val="00604718"/>
    <w:rsid w:val="00613C2D"/>
    <w:rsid w:val="00617F5E"/>
    <w:rsid w:val="00646466"/>
    <w:rsid w:val="00652815"/>
    <w:rsid w:val="00677481"/>
    <w:rsid w:val="00691605"/>
    <w:rsid w:val="006A17D8"/>
    <w:rsid w:val="006A477F"/>
    <w:rsid w:val="006B09EB"/>
    <w:rsid w:val="006F599B"/>
    <w:rsid w:val="007466A8"/>
    <w:rsid w:val="007670A0"/>
    <w:rsid w:val="00781685"/>
    <w:rsid w:val="007A387A"/>
    <w:rsid w:val="007B4B2B"/>
    <w:rsid w:val="007F19F2"/>
    <w:rsid w:val="00821401"/>
    <w:rsid w:val="0082477A"/>
    <w:rsid w:val="00845112"/>
    <w:rsid w:val="00846BFB"/>
    <w:rsid w:val="00866822"/>
    <w:rsid w:val="0087402B"/>
    <w:rsid w:val="00891C03"/>
    <w:rsid w:val="008B1683"/>
    <w:rsid w:val="008B2102"/>
    <w:rsid w:val="008C1B30"/>
    <w:rsid w:val="0091267B"/>
    <w:rsid w:val="009656D9"/>
    <w:rsid w:val="009731D7"/>
    <w:rsid w:val="009C7CB0"/>
    <w:rsid w:val="009D0D93"/>
    <w:rsid w:val="009D3A4B"/>
    <w:rsid w:val="009E093D"/>
    <w:rsid w:val="009E326C"/>
    <w:rsid w:val="00A37CDC"/>
    <w:rsid w:val="00AA1139"/>
    <w:rsid w:val="00AA182E"/>
    <w:rsid w:val="00AA60BD"/>
    <w:rsid w:val="00AE0F4B"/>
    <w:rsid w:val="00AE5FF1"/>
    <w:rsid w:val="00AF0400"/>
    <w:rsid w:val="00B07DA1"/>
    <w:rsid w:val="00B10D22"/>
    <w:rsid w:val="00B11C3F"/>
    <w:rsid w:val="00B30AEB"/>
    <w:rsid w:val="00B518CD"/>
    <w:rsid w:val="00B84DD9"/>
    <w:rsid w:val="00B938F2"/>
    <w:rsid w:val="00BA6A6E"/>
    <w:rsid w:val="00BC451B"/>
    <w:rsid w:val="00BE7B38"/>
    <w:rsid w:val="00C01A2C"/>
    <w:rsid w:val="00C515D0"/>
    <w:rsid w:val="00C709FC"/>
    <w:rsid w:val="00C76E54"/>
    <w:rsid w:val="00CD6528"/>
    <w:rsid w:val="00D36E3A"/>
    <w:rsid w:val="00D54F45"/>
    <w:rsid w:val="00D64144"/>
    <w:rsid w:val="00D96135"/>
    <w:rsid w:val="00DB1671"/>
    <w:rsid w:val="00E02A21"/>
    <w:rsid w:val="00E038AF"/>
    <w:rsid w:val="00E052C4"/>
    <w:rsid w:val="00E1734D"/>
    <w:rsid w:val="00E27AA0"/>
    <w:rsid w:val="00E65EDA"/>
    <w:rsid w:val="00EA1829"/>
    <w:rsid w:val="00EA4E1B"/>
    <w:rsid w:val="00EB5767"/>
    <w:rsid w:val="00ED4DE5"/>
    <w:rsid w:val="00EF001A"/>
    <w:rsid w:val="00F0327E"/>
    <w:rsid w:val="00F30661"/>
    <w:rsid w:val="00F55BBC"/>
    <w:rsid w:val="00F83333"/>
    <w:rsid w:val="00F917DA"/>
    <w:rsid w:val="00FA411A"/>
    <w:rsid w:val="00FF01D5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22AFD942-8D39-4295-99AC-77B73748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Refdecomentrio">
    <w:name w:val="annotation reference"/>
    <w:basedOn w:val="Fontepargpadro"/>
    <w:uiPriority w:val="99"/>
    <w:semiHidden/>
    <w:unhideWhenUsed/>
    <w:rsid w:val="009D0D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D0D93"/>
    <w:pPr>
      <w:spacing w:after="120" w:line="240" w:lineRule="auto"/>
    </w:pPr>
    <w:rPr>
      <w:rFonts w:ascii="Cambria" w:eastAsia="Cambria" w:hAnsi="Cambria"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D0D93"/>
    <w:rPr>
      <w:rFonts w:ascii="Cambria" w:eastAsia="Cambria" w:hAnsi="Cambria" w:cs="Cambria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01A2C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C01A2C"/>
    <w:pPr>
      <w:spacing w:after="0" w:line="240" w:lineRule="auto"/>
    </w:pPr>
    <w:rPr>
      <w:rFonts w:eastAsiaTheme="minorHAns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518CD"/>
    <w:pPr>
      <w:spacing w:after="160"/>
    </w:pPr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518CD"/>
    <w:rPr>
      <w:rFonts w:ascii="Cambria" w:eastAsia="Cambria" w:hAnsi="Cambria" w:cs="Cambria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7CDC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*fabianasilvacastro027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1418</Words>
  <Characters>7662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Marcel Ribeiro Gallo</dc:creator>
  <cp:keywords/>
  <dc:description/>
  <cp:lastModifiedBy>fabiana castro</cp:lastModifiedBy>
  <cp:revision>2</cp:revision>
  <dcterms:created xsi:type="dcterms:W3CDTF">2023-08-15T20:51:00Z</dcterms:created>
  <dcterms:modified xsi:type="dcterms:W3CDTF">2023-08-15T20:51:00Z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