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534B0398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B7D29">
        <w:rPr>
          <w:sz w:val="32"/>
          <w:lang w:val="pt-BR"/>
        </w:rPr>
        <w:t>8</w:t>
      </w:r>
    </w:p>
    <w:p w14:paraId="1A3745F7" w14:textId="339A922E" w:rsidR="00A77226" w:rsidRPr="002D0F2C" w:rsidRDefault="00D379B6" w:rsidP="002D0F2C">
      <w:pPr>
        <w:pStyle w:val="BBAuthorName"/>
        <w:ind w:right="39"/>
        <w:rPr>
          <w:rFonts w:cs="Helvetica"/>
          <w:sz w:val="24"/>
          <w:szCs w:val="24"/>
          <w:lang w:val="pt-BR"/>
        </w:rPr>
      </w:pPr>
      <w:r w:rsidRPr="002D0F2C">
        <w:rPr>
          <w:rFonts w:cs="Helvetica"/>
          <w:sz w:val="24"/>
          <w:szCs w:val="24"/>
          <w:lang w:val="pt-BR"/>
        </w:rPr>
        <w:t xml:space="preserve">Síntese e caracterização de catalisadores de </w:t>
      </w:r>
      <w:r w:rsidRPr="002D0F2C">
        <w:rPr>
          <w:rFonts w:cs="Helvetica"/>
          <w:sz w:val="24"/>
          <w:szCs w:val="24"/>
        </w:rPr>
        <w:t>Ni/CeO</w:t>
      </w:r>
      <w:r w:rsidRPr="002D0F2C">
        <w:rPr>
          <w:rFonts w:cs="Helvetica"/>
          <w:sz w:val="24"/>
          <w:szCs w:val="24"/>
          <w:vertAlign w:val="subscript"/>
        </w:rPr>
        <w:t>2</w:t>
      </w:r>
      <w:r w:rsidRPr="002D0F2C">
        <w:rPr>
          <w:rFonts w:cs="Helvetica"/>
          <w:sz w:val="24"/>
          <w:szCs w:val="24"/>
        </w:rPr>
        <w:t xml:space="preserve"> </w:t>
      </w:r>
      <w:proofErr w:type="spellStart"/>
      <w:r w:rsidRPr="002D0F2C">
        <w:rPr>
          <w:rFonts w:cs="Helvetica"/>
          <w:sz w:val="24"/>
          <w:szCs w:val="24"/>
        </w:rPr>
        <w:t>através</w:t>
      </w:r>
      <w:proofErr w:type="spellEnd"/>
      <w:r w:rsidRPr="002D0F2C">
        <w:rPr>
          <w:rFonts w:cs="Helvetica"/>
          <w:sz w:val="24"/>
          <w:szCs w:val="24"/>
        </w:rPr>
        <w:t xml:space="preserve"> da</w:t>
      </w:r>
      <w:r w:rsidR="00817CDA" w:rsidRPr="002D0F2C">
        <w:rPr>
          <w:rFonts w:cs="Helvetica"/>
          <w:sz w:val="24"/>
          <w:szCs w:val="24"/>
        </w:rPr>
        <w:t xml:space="preserve"> </w:t>
      </w:r>
      <w:proofErr w:type="spellStart"/>
      <w:r w:rsidRPr="002D0F2C">
        <w:rPr>
          <w:rFonts w:cs="Helvetica"/>
          <w:sz w:val="24"/>
          <w:szCs w:val="24"/>
        </w:rPr>
        <w:t>irradiação</w:t>
      </w:r>
      <w:proofErr w:type="spellEnd"/>
      <w:r w:rsidRPr="002D0F2C">
        <w:rPr>
          <w:rFonts w:cs="Helvetica"/>
          <w:sz w:val="24"/>
          <w:szCs w:val="24"/>
        </w:rPr>
        <w:t xml:space="preserve"> </w:t>
      </w:r>
      <w:proofErr w:type="spellStart"/>
      <w:r w:rsidRPr="002D0F2C">
        <w:rPr>
          <w:rFonts w:cs="Helvetica"/>
          <w:sz w:val="24"/>
          <w:szCs w:val="24"/>
        </w:rPr>
        <w:t>ultrassonica</w:t>
      </w:r>
      <w:proofErr w:type="spellEnd"/>
      <w:r w:rsidRPr="002D0F2C">
        <w:rPr>
          <w:rFonts w:cs="Helvetica"/>
          <w:sz w:val="24"/>
          <w:szCs w:val="24"/>
        </w:rPr>
        <w:t xml:space="preserve"> </w:t>
      </w:r>
    </w:p>
    <w:p w14:paraId="0C428664" w14:textId="1BE37148" w:rsidR="00BC3876" w:rsidRDefault="002B306C" w:rsidP="00BC3876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>
        <w:rPr>
          <w:rFonts w:ascii="Times New Roman" w:hAnsi="Times New Roman"/>
          <w:sz w:val="20"/>
          <w:lang w:val="pt-BR"/>
        </w:rPr>
        <w:t>Marcela de Andrade Lucas</w:t>
      </w:r>
      <w:r w:rsidR="00817CDA">
        <w:rPr>
          <w:rFonts w:ascii="Times New Roman" w:hAnsi="Times New Roman"/>
          <w:sz w:val="20"/>
          <w:lang w:val="pt-BR"/>
        </w:rPr>
        <w:t>*</w:t>
      </w:r>
      <w:r w:rsidR="00BC3876">
        <w:rPr>
          <w:rFonts w:ascii="Times New Roman" w:hAnsi="Times New Roman"/>
          <w:sz w:val="20"/>
          <w:vertAlign w:val="superscript"/>
          <w:lang w:val="pt-BR"/>
        </w:rPr>
        <w:t xml:space="preserve"> </w:t>
      </w:r>
      <w:r w:rsidR="00817CDA" w:rsidRPr="00817CDA">
        <w:rPr>
          <w:rFonts w:ascii="Times New Roman" w:hAnsi="Times New Roman"/>
          <w:sz w:val="20"/>
          <w:lang w:val="pt-BR"/>
        </w:rPr>
        <w:t xml:space="preserve">e </w:t>
      </w:r>
      <w:r w:rsidR="00487043">
        <w:rPr>
          <w:rFonts w:ascii="Times New Roman" w:hAnsi="Times New Roman"/>
          <w:sz w:val="20"/>
          <w:lang w:val="pt-BR"/>
        </w:rPr>
        <w:t>Luiz Gustavo Possato</w:t>
      </w:r>
      <w:bookmarkStart w:id="2" w:name="_Hlk142901772"/>
    </w:p>
    <w:p w14:paraId="11B7A5F3" w14:textId="1379886C" w:rsidR="00817CDA" w:rsidRDefault="00487043" w:rsidP="00817CDA">
      <w:pPr>
        <w:pStyle w:val="BBAuthorName"/>
        <w:spacing w:after="0" w:line="240" w:lineRule="auto"/>
        <w:ind w:right="0"/>
        <w:jc w:val="both"/>
        <w:rPr>
          <w:rFonts w:ascii="Times New Roman" w:hAnsi="Times New Roman"/>
          <w:b w:val="0"/>
          <w:bCs/>
          <w:sz w:val="20"/>
          <w:lang w:val="pt-BR"/>
        </w:rPr>
      </w:pPr>
      <w:r w:rsidRPr="00BC3876">
        <w:rPr>
          <w:rFonts w:ascii="Times New Roman" w:hAnsi="Times New Roman"/>
          <w:b w:val="0"/>
          <w:bCs/>
          <w:sz w:val="20"/>
          <w:lang w:val="pt-BR"/>
        </w:rPr>
        <w:t>Universidade Estadual Júlio de Mesquita Filho</w:t>
      </w:r>
      <w:r w:rsidR="00B10EC2" w:rsidRPr="00BC3876">
        <w:rPr>
          <w:rFonts w:ascii="Times New Roman" w:hAnsi="Times New Roman"/>
          <w:b w:val="0"/>
          <w:bCs/>
          <w:sz w:val="20"/>
          <w:lang w:val="pt-BR"/>
        </w:rPr>
        <w:t xml:space="preserve"> (Unesp)</w:t>
      </w:r>
      <w:r w:rsidRPr="00BC3876">
        <w:rPr>
          <w:rFonts w:ascii="Times New Roman" w:hAnsi="Times New Roman"/>
          <w:b w:val="0"/>
          <w:bCs/>
          <w:sz w:val="20"/>
          <w:lang w:val="pt-BR"/>
        </w:rPr>
        <w:t>, Faculdade de Ciências de Bauru</w:t>
      </w:r>
      <w:r w:rsidR="00E33E4D">
        <w:rPr>
          <w:rFonts w:ascii="Times New Roman" w:hAnsi="Times New Roman"/>
          <w:b w:val="0"/>
          <w:bCs/>
          <w:sz w:val="20"/>
          <w:lang w:val="pt-BR"/>
        </w:rPr>
        <w:t>, Departamento de Química</w:t>
      </w:r>
      <w:r w:rsidR="001E58A9" w:rsidRPr="00BC3876">
        <w:rPr>
          <w:rFonts w:ascii="Times New Roman" w:hAnsi="Times New Roman"/>
          <w:b w:val="0"/>
          <w:bCs/>
          <w:sz w:val="20"/>
          <w:lang w:val="pt-BR"/>
        </w:rPr>
        <w:t>.</w:t>
      </w:r>
      <w:r w:rsidR="00F33B00" w:rsidRPr="00BC3876">
        <w:rPr>
          <w:rFonts w:ascii="Times New Roman" w:hAnsi="Times New Roman"/>
          <w:b w:val="0"/>
          <w:bCs/>
          <w:sz w:val="20"/>
          <w:vertAlign w:val="superscript"/>
          <w:lang w:val="pt-BR"/>
        </w:rPr>
        <w:t>1</w:t>
      </w:r>
    </w:p>
    <w:p w14:paraId="22D38595" w14:textId="4D66108D" w:rsidR="00EA4E1B" w:rsidRPr="00817CDA" w:rsidRDefault="00817CDA" w:rsidP="00817CDA">
      <w:pPr>
        <w:pStyle w:val="BBAuthorName"/>
        <w:spacing w:after="0" w:line="240" w:lineRule="auto"/>
        <w:ind w:right="0"/>
        <w:jc w:val="both"/>
        <w:rPr>
          <w:rFonts w:ascii="Times New Roman" w:hAnsi="Times New Roman"/>
          <w:b w:val="0"/>
          <w:bCs/>
          <w:i/>
          <w:iCs/>
          <w:sz w:val="20"/>
          <w:vertAlign w:val="superscript"/>
          <w:lang w:val="pt-BR"/>
        </w:rPr>
      </w:pPr>
      <w:r w:rsidRPr="00817CDA">
        <w:rPr>
          <w:rFonts w:ascii="Times New Roman" w:hAnsi="Times New Roman"/>
          <w:b w:val="0"/>
          <w:bCs/>
          <w:i/>
          <w:iCs/>
          <w:sz w:val="20"/>
          <w:lang w:val="pt-BR"/>
        </w:rPr>
        <w:t>marcela.lucas@unesp.br</w:t>
      </w:r>
    </w:p>
    <w:p w14:paraId="431B3665" w14:textId="77777777" w:rsidR="00817CDA" w:rsidRPr="00817CDA" w:rsidRDefault="00817CDA" w:rsidP="00817CDA">
      <w:pPr>
        <w:pStyle w:val="BCAuthorAddress"/>
        <w:rPr>
          <w:lang w:val="pt-BR"/>
        </w:rPr>
      </w:pPr>
    </w:p>
    <w:bookmarkEnd w:id="0"/>
    <w:bookmarkEnd w:id="2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B15F7CD" w:rsidR="008C1B30" w:rsidRPr="002D0F2C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2D0F2C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B15F7CD" w:rsidR="008C1B30" w:rsidRPr="002D0F2C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2D0F2C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3A3570BE" w14:textId="621DCD54" w:rsidR="006D47F8" w:rsidRPr="002D0F2C" w:rsidRDefault="00EA4E1B" w:rsidP="002D0F2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F2C">
        <w:rPr>
          <w:rFonts w:ascii="Times New Roman" w:eastAsia="Times New Roman" w:hAnsi="Times New Roman" w:cs="Times New Roman"/>
          <w:sz w:val="20"/>
          <w:szCs w:val="20"/>
        </w:rPr>
        <w:t xml:space="preserve">RESUMO </w:t>
      </w:r>
      <w:r w:rsidR="00CD494F" w:rsidRPr="002D0F2C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  <w:shd w:val="clear" w:color="auto" w:fill="F7F7F8"/>
        </w:rPr>
        <w:t xml:space="preserve"> 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>A síntese de catalisadores Ni/CeO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 xml:space="preserve"> foi realizada através do método de irradiação ultrassôninca. A síntese possibilitou a obtenção</w:t>
      </w:r>
      <w:r w:rsidR="00FB7D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FB7D29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 xml:space="preserve"> cristais</w:t>
      </w:r>
      <w:proofErr w:type="gramEnd"/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 xml:space="preserve"> com 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diferentes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texturas, área específicas e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 xml:space="preserve"> tamanhos 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de poros.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 xml:space="preserve"> As técnicas de caracterização, incluindo DRX, fisissorção de N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 xml:space="preserve"> e microscopia eletrônica de varredura (MEV) foram aplicadas. A variação da potência da irr</w:t>
      </w:r>
      <w:r w:rsidR="00AF7279">
        <w:rPr>
          <w:rFonts w:ascii="Times New Roman" w:eastAsia="Times New Roman" w:hAnsi="Times New Roman" w:cs="Times New Roman"/>
          <w:sz w:val="20"/>
          <w:szCs w:val="20"/>
        </w:rPr>
        <w:t>a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>diação ultrassônica permitiu a alteração na cristalinidade dos catalisadores através da diminuição dos cristalitos. A técnica de ca</w:t>
      </w:r>
      <w:r w:rsidR="00AF7279">
        <w:rPr>
          <w:rFonts w:ascii="Times New Roman" w:eastAsia="Times New Roman" w:hAnsi="Times New Roman" w:cs="Times New Roman"/>
          <w:sz w:val="20"/>
          <w:szCs w:val="20"/>
        </w:rPr>
        <w:t>rac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 xml:space="preserve">terização de </w:t>
      </w:r>
      <w:proofErr w:type="spellStart"/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>fisissorção</w:t>
      </w:r>
      <w:proofErr w:type="spellEnd"/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 xml:space="preserve"> de nitrogênio mostrou a obtenção de isotermas do tipo IV características de sistemas 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com poros</w:t>
      </w:r>
      <w:r w:rsidR="006D47F8" w:rsidRPr="002D0F2C">
        <w:rPr>
          <w:rFonts w:ascii="Times New Roman" w:eastAsia="Times New Roman" w:hAnsi="Times New Roman" w:cs="Times New Roman"/>
          <w:sz w:val="20"/>
          <w:szCs w:val="20"/>
        </w:rPr>
        <w:t>.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O tamanho médio de poros das amostras preparadas com radiação ultrassônica f</w:t>
      </w:r>
      <w:r w:rsidR="00AF7279">
        <w:rPr>
          <w:rFonts w:ascii="Times New Roman" w:eastAsia="Times New Roman" w:hAnsi="Times New Roman" w:cs="Times New Roman"/>
          <w:sz w:val="20"/>
          <w:szCs w:val="20"/>
        </w:rPr>
        <w:t>o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i de 7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nm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6FE2AFA" w14:textId="77777777" w:rsidR="006D47F8" w:rsidRPr="002D0F2C" w:rsidRDefault="7A6E34FC" w:rsidP="002D0F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F2C">
        <w:rPr>
          <w:rFonts w:ascii="Times New Roman" w:hAnsi="Times New Roman" w:cs="Times New Roman"/>
          <w:i/>
          <w:iCs/>
          <w:sz w:val="20"/>
          <w:szCs w:val="20"/>
        </w:rPr>
        <w:t>Palavras-chave:</w:t>
      </w:r>
      <w:r w:rsidRPr="002D0F2C">
        <w:rPr>
          <w:rFonts w:ascii="Times New Roman" w:hAnsi="Times New Roman" w:cs="Times New Roman"/>
          <w:sz w:val="20"/>
          <w:szCs w:val="20"/>
        </w:rPr>
        <w:t xml:space="preserve"> </w:t>
      </w:r>
      <w:r w:rsidRPr="002D0F2C">
        <w:rPr>
          <w:rFonts w:ascii="Times New Roman" w:hAnsi="Times New Roman" w:cs="Times New Roman"/>
          <w:i/>
          <w:iCs/>
          <w:sz w:val="20"/>
          <w:szCs w:val="20"/>
        </w:rPr>
        <w:t>co-precipitação, catálise heterogênea, catalisadores Ni/CeO</w:t>
      </w:r>
      <w:r w:rsidRPr="002D0F2C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2</w:t>
      </w:r>
      <w:r w:rsidRPr="002D0F2C">
        <w:rPr>
          <w:rFonts w:ascii="Times New Roman" w:hAnsi="Times New Roman" w:cs="Times New Roman"/>
          <w:i/>
          <w:iCs/>
          <w:sz w:val="20"/>
          <w:szCs w:val="20"/>
        </w:rPr>
        <w:t>, irradiação ultrassônica</w:t>
      </w:r>
      <w:r w:rsidRPr="002D0F2C"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62CB8ABF" w14:textId="3748A3FD" w:rsidR="006D47F8" w:rsidRPr="002D0F2C" w:rsidRDefault="7911184C" w:rsidP="002D0F2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F2C">
        <w:rPr>
          <w:rFonts w:ascii="Times New Roman" w:hAnsi="Times New Roman" w:cs="Times New Roman"/>
          <w:sz w:val="20"/>
          <w:szCs w:val="20"/>
        </w:rPr>
        <w:t xml:space="preserve">ABSTRACT – 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synthesis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Ni/CeO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catalysts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was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performed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using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ultrasonic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irradiation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method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. The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synthesis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made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obtaining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crystals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different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textures,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specific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areas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pore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sizes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Characterization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techniques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including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XRD, N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2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physisorption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scanning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electron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microscopy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(SEM)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were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applied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. The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variation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power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ultrasonic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irradiation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allowed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alteration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crystallinity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catalysts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through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reduction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crystallites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. The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nitrogen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physisorption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characterization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technique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showed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obtaining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type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IV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isotherms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characteristic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systems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pores. The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average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pore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size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samples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prepared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ultrasonic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radiation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was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 xml:space="preserve"> 7 </w:t>
      </w:r>
      <w:proofErr w:type="spellStart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nm</w:t>
      </w:r>
      <w:proofErr w:type="spellEnd"/>
      <w:r w:rsidR="002D0F2C" w:rsidRPr="002D0F2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59EA6BE" w14:textId="39584B4C" w:rsidR="002D0F2C" w:rsidRPr="002D0F2C" w:rsidRDefault="7911184C" w:rsidP="002D0F2C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"/>
        </w:rPr>
      </w:pPr>
      <w:r w:rsidRPr="002D0F2C">
        <w:rPr>
          <w:rFonts w:ascii="Times New Roman" w:eastAsia="Times New Roman" w:hAnsi="Times New Roman" w:cs="Times New Roman"/>
          <w:i/>
          <w:iCs/>
          <w:sz w:val="20"/>
          <w:szCs w:val="20"/>
        </w:rPr>
        <w:t>Keywords:</w:t>
      </w:r>
      <w:r w:rsidRPr="002D0F2C">
        <w:rPr>
          <w:rStyle w:val="TextodenotaderodapChar"/>
          <w:rFonts w:ascii="Times New Roman" w:eastAsiaTheme="minorEastAsia" w:hAnsi="Times New Roman"/>
          <w:sz w:val="20"/>
          <w:lang w:val="en"/>
        </w:rPr>
        <w:t xml:space="preserve"> </w:t>
      </w:r>
      <w:r w:rsidRPr="002D0F2C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>co-precipitation, heterogeneous catalysis, Ni/CeO</w:t>
      </w:r>
      <w:r w:rsidRPr="002D0F2C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val="en"/>
        </w:rPr>
        <w:t>2</w:t>
      </w:r>
      <w:r w:rsidRPr="002D0F2C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 catalysts, ultrasonic irradiatio</w:t>
      </w:r>
      <w:r w:rsidR="002D0F2C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>n</w:t>
      </w:r>
    </w:p>
    <w:p w14:paraId="48D9B0C4" w14:textId="2698FF31" w:rsidR="006D47F8" w:rsidRPr="002D0F2C" w:rsidRDefault="002D0F2C" w:rsidP="002D0F2C">
      <w:pPr>
        <w:spacing w:after="0" w:line="240" w:lineRule="auto"/>
        <w:rPr>
          <w:rFonts w:cs="Helvetica"/>
          <w:i/>
          <w:iCs/>
          <w:sz w:val="16"/>
          <w:szCs w:val="16"/>
          <w:lang w:val="en"/>
        </w:rPr>
        <w:sectPr w:rsidR="006D47F8" w:rsidRPr="002D0F2C" w:rsidSect="00EA4E1B">
          <w:headerReference w:type="default" r:id="rId8"/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>
        <w:rPr>
          <w:rFonts w:cs="Helvetica"/>
          <w:i/>
          <w:iCs/>
          <w:sz w:val="16"/>
          <w:szCs w:val="16"/>
          <w:lang w:val="en"/>
        </w:rPr>
        <w:t>________________________________________________________________________________________________________________________________</w:t>
      </w:r>
    </w:p>
    <w:p w14:paraId="625F2C0A" w14:textId="77777777" w:rsidR="00EA4E1B" w:rsidRPr="002D0F2C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2D0F2C">
        <w:rPr>
          <w:rFonts w:ascii="Helvetica" w:hAnsi="Helvetica" w:cs="Helvetica"/>
          <w:sz w:val="24"/>
          <w:szCs w:val="24"/>
        </w:rPr>
        <w:t>Introdução</w:t>
      </w:r>
    </w:p>
    <w:p w14:paraId="7C6D3F8F" w14:textId="5869DE8A" w:rsidR="002B306C" w:rsidRPr="00AF7279" w:rsidRDefault="7A6E34FC" w:rsidP="002D0F2C">
      <w:pPr>
        <w:pStyle w:val="TAMainText"/>
        <w:ind w:firstLine="204"/>
        <w:rPr>
          <w:rFonts w:ascii="Times New Roman" w:hAnsi="Times New Roman"/>
          <w:lang w:val="pt-BR"/>
        </w:rPr>
      </w:pPr>
      <w:r w:rsidRPr="002D0F2C">
        <w:rPr>
          <w:rFonts w:ascii="Times New Roman" w:hAnsi="Times New Roman"/>
          <w:lang w:val="pt-BR"/>
        </w:rPr>
        <w:t>Na atmosfera, o dióxido de carbono, também conhecido como gás carbônico, é uma substância química formada por dois átomos de oxigênio e um de carbono, o CO</w:t>
      </w:r>
      <w:r w:rsidRPr="002D0F2C">
        <w:rPr>
          <w:rFonts w:ascii="Times New Roman" w:hAnsi="Times New Roman"/>
          <w:vertAlign w:val="subscript"/>
          <w:lang w:val="pt-BR"/>
        </w:rPr>
        <w:t>2</w:t>
      </w:r>
      <w:r w:rsidRPr="002D0F2C">
        <w:rPr>
          <w:rFonts w:ascii="Times New Roman" w:hAnsi="Times New Roman"/>
          <w:lang w:val="pt-BR"/>
        </w:rPr>
        <w:t xml:space="preserve"> é o principal gás causador do efeito estufa. O monitoramento com instrumentação moderna mostra que a concentração atmosférica dos principais gases de efeito estufa como o dióxido de carbono [CO2], metano [CH4] e óxido nitroso [N2O], já supera a 400 ppm, 1800 ppb e 330 ppb, respectivamente, que são concentrações muito elevadas quando comparadas com as que se estima</w:t>
      </w:r>
      <w:r w:rsidR="000958B6">
        <w:rPr>
          <w:rFonts w:ascii="Times New Roman" w:hAnsi="Times New Roman"/>
          <w:lang w:val="pt-BR"/>
        </w:rPr>
        <w:t xml:space="preserve"> que</w:t>
      </w:r>
      <w:r w:rsidRPr="002D0F2C">
        <w:rPr>
          <w:rFonts w:ascii="Times New Roman" w:hAnsi="Times New Roman"/>
          <w:lang w:val="pt-BR"/>
        </w:rPr>
        <w:t xml:space="preserve"> existiam no passado histórico da Terra. Observa-se grande incremento na concentração destes gases nos últimos 65 anos (1). Portanto, é importante desenvolver sistemas que possam diminuir a concentração do CO</w:t>
      </w:r>
      <w:r w:rsidRPr="002D0F2C">
        <w:rPr>
          <w:rFonts w:ascii="Times New Roman" w:hAnsi="Times New Roman"/>
          <w:vertAlign w:val="subscript"/>
          <w:lang w:val="pt-BR"/>
        </w:rPr>
        <w:t>2</w:t>
      </w:r>
      <w:r w:rsidRPr="002D0F2C">
        <w:rPr>
          <w:rFonts w:ascii="Times New Roman" w:hAnsi="Times New Roman"/>
          <w:lang w:val="pt-BR"/>
        </w:rPr>
        <w:t xml:space="preserve"> na atmosfera. Catalisadores do tipo Ni/CeO</w:t>
      </w:r>
      <w:r w:rsidRPr="002D0F2C">
        <w:rPr>
          <w:rFonts w:ascii="Times New Roman" w:hAnsi="Times New Roman"/>
          <w:vertAlign w:val="subscript"/>
          <w:lang w:val="pt-BR"/>
        </w:rPr>
        <w:t>2</w:t>
      </w:r>
      <w:r w:rsidRPr="002D0F2C">
        <w:rPr>
          <w:rFonts w:ascii="Times New Roman" w:hAnsi="Times New Roman"/>
          <w:lang w:val="pt-BR"/>
        </w:rPr>
        <w:t xml:space="preserve"> são capazes de converter o CO</w:t>
      </w:r>
      <w:r w:rsidRPr="002D0F2C">
        <w:rPr>
          <w:rFonts w:ascii="Times New Roman" w:hAnsi="Times New Roman"/>
          <w:vertAlign w:val="subscript"/>
          <w:lang w:val="pt-BR"/>
        </w:rPr>
        <w:t>2</w:t>
      </w:r>
      <w:r w:rsidRPr="002D0F2C">
        <w:rPr>
          <w:rFonts w:ascii="Times New Roman" w:hAnsi="Times New Roman"/>
          <w:lang w:val="pt-BR"/>
        </w:rPr>
        <w:t xml:space="preserve"> em moléculas de menor impacto ambiental e maior interesse</w:t>
      </w:r>
      <w:r w:rsidR="00AF7279">
        <w:rPr>
          <w:rFonts w:ascii="Times New Roman" w:hAnsi="Times New Roman"/>
          <w:lang w:val="pt-BR"/>
        </w:rPr>
        <w:t xml:space="preserve"> </w:t>
      </w:r>
      <w:r w:rsidR="00AF7279" w:rsidRPr="00AF7279">
        <w:rPr>
          <w:rFonts w:ascii="Times New Roman" w:hAnsi="Times New Roman"/>
          <w:lang w:val="pt-BR"/>
        </w:rPr>
        <w:t>socioeconômico</w:t>
      </w:r>
      <w:r w:rsidRPr="002D0F2C">
        <w:rPr>
          <w:rFonts w:ascii="Times New Roman" w:hAnsi="Times New Roman"/>
          <w:lang w:val="pt-BR"/>
        </w:rPr>
        <w:t>. Neste contex</w:t>
      </w:r>
      <w:r w:rsidR="00AF7279">
        <w:rPr>
          <w:rFonts w:ascii="Times New Roman" w:hAnsi="Times New Roman"/>
          <w:lang w:val="pt-BR"/>
        </w:rPr>
        <w:t>t</w:t>
      </w:r>
      <w:r w:rsidRPr="002D0F2C">
        <w:rPr>
          <w:rFonts w:ascii="Times New Roman" w:hAnsi="Times New Roman"/>
          <w:lang w:val="pt-BR"/>
        </w:rPr>
        <w:t>o, sintetizamos catalisadores Ni/CeO</w:t>
      </w:r>
      <w:r w:rsidRPr="00AF7279">
        <w:rPr>
          <w:rFonts w:ascii="Times New Roman" w:hAnsi="Times New Roman"/>
          <w:lang w:val="pt-BR"/>
        </w:rPr>
        <w:t>2</w:t>
      </w:r>
      <w:r w:rsidRPr="002D0F2C">
        <w:rPr>
          <w:rFonts w:ascii="Times New Roman" w:hAnsi="Times New Roman"/>
          <w:lang w:val="pt-BR"/>
        </w:rPr>
        <w:t xml:space="preserve"> através de irradiação ultrassônica com o objetivo de ob</w:t>
      </w:r>
      <w:r w:rsidR="00AF7279">
        <w:rPr>
          <w:rFonts w:ascii="Times New Roman" w:hAnsi="Times New Roman"/>
          <w:lang w:val="pt-BR"/>
        </w:rPr>
        <w:t>ten</w:t>
      </w:r>
      <w:r w:rsidRPr="002D0F2C">
        <w:rPr>
          <w:rFonts w:ascii="Times New Roman" w:hAnsi="Times New Roman"/>
          <w:lang w:val="pt-BR"/>
        </w:rPr>
        <w:t xml:space="preserve">ção de diferentes </w:t>
      </w:r>
      <w:r w:rsidRPr="00AF7279">
        <w:rPr>
          <w:rFonts w:ascii="Times New Roman" w:hAnsi="Times New Roman"/>
          <w:lang w:val="pt-BR"/>
        </w:rPr>
        <w:t>morfologias, tamanhos e texturas.</w:t>
      </w:r>
    </w:p>
    <w:p w14:paraId="080A053D" w14:textId="12A585E4" w:rsidR="7A6E34FC" w:rsidRPr="00AF7279" w:rsidRDefault="7A6E34FC" w:rsidP="7A6E34FC">
      <w:pPr>
        <w:pStyle w:val="TAMainText"/>
        <w:ind w:firstLine="0"/>
        <w:rPr>
          <w:rFonts w:ascii="Times New Roman" w:hAnsi="Times New Roman"/>
          <w:sz w:val="10"/>
          <w:szCs w:val="10"/>
          <w:lang w:val="pt-BR"/>
        </w:rPr>
      </w:pPr>
    </w:p>
    <w:p w14:paraId="35887134" w14:textId="66185E98" w:rsidR="00EA4E1B" w:rsidRPr="002D0F2C" w:rsidRDefault="00EA4E1B" w:rsidP="00BC3876">
      <w:pPr>
        <w:pStyle w:val="TAMainText"/>
        <w:jc w:val="center"/>
        <w:rPr>
          <w:rFonts w:ascii="Times New Roman" w:hAnsi="Times New Roman"/>
          <w:lang w:val="pt-BR"/>
        </w:rPr>
      </w:pPr>
      <w:r w:rsidRPr="002D0F2C">
        <w:rPr>
          <w:rFonts w:ascii="Helvetica" w:hAnsi="Helvetica" w:cs="Helvetica"/>
          <w:sz w:val="24"/>
          <w:szCs w:val="24"/>
        </w:rPr>
        <w:t>Experimental</w:t>
      </w:r>
    </w:p>
    <w:p w14:paraId="635DD7E6" w14:textId="012E0BCA" w:rsidR="00F0517B" w:rsidRPr="002D0F2C" w:rsidRDefault="7A6E34FC" w:rsidP="002D0F2C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pt-BR"/>
        </w:rPr>
      </w:pP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Foram sintetizados catalisadores de Ni/CeO</w:t>
      </w:r>
      <w:r w:rsidRPr="002D0F2C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utilizando o método de co-precipitação com auxílio de </w:t>
      </w:r>
      <w:r w:rsidR="000958B6">
        <w:rPr>
          <w:rFonts w:ascii="Times New Roman" w:eastAsia="Times New Roman" w:hAnsi="Times New Roman" w:cs="Times New Roman"/>
          <w:sz w:val="20"/>
          <w:szCs w:val="20"/>
          <w:lang w:eastAsia="pt-BR"/>
        </w:rPr>
        <w:t>ir</w:t>
      </w: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radiação ultrassônica, utilizando uma metodologia adaptada de </w:t>
      </w:r>
      <w:proofErr w:type="gramStart"/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P.Margan</w:t>
      </w:r>
      <w:proofErr w:type="gramEnd"/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, M.Haghighi (2). Na etapa preparatória, foram solubilizados cerca de 0,3654 g de nitrato de níquel e 4,1252 g de nitrato de cério em 200 mL de água ultrapura, seguidos por aquecimento a 70 °C para induzir a precipitação. Quando a temperatura foi atingida, uma solução aquosa de NH₄OH 0,1mol/L foi adicionada à mistura para elevar o pH para 8,5. Com o propósito de avaliar o efeito da irradiação ultrassônica</w:t>
      </w:r>
      <w:r w:rsidR="000958B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na dimensão da microestrutura dos catalisadores,</w:t>
      </w:r>
      <w:r w:rsidR="00AF727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dois</w:t>
      </w: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níveis de potência de irradiação: 45W</w:t>
      </w:r>
      <w:r w:rsidR="00E33E4D"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</w:t>
      </w: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90W, foram empregados durante o processo de síntese. Adicionalmente, uma amostra foi preparada sem a aplicação do método de sonocoprecipitação, visando a comparação dos efeitos da irradiação nas microestruturas. Na etapa de pós-tratamento as amostras se decantaram e foram centrifugadas até ocorrer a separação total de fazes. O precipitado separado foi seco em uma estufa sob 110 °C durante o período de aproximadamente 12 h  e depois foi calcinado a 450  °C por 4 h. As amostras foram nomeadas como: </w:t>
      </w:r>
      <w:r w:rsidR="00E33E4D"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Sem ultra 0,1 mol</w:t>
      </w: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="00E33E4D"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45W 0,1 mol e</w:t>
      </w: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E33E4D"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90W 0,1 mol.</w:t>
      </w:r>
    </w:p>
    <w:p w14:paraId="0C136371" w14:textId="3F8E4224" w:rsidR="002B306C" w:rsidRPr="002D0F2C" w:rsidRDefault="7A6E34FC" w:rsidP="002D0F2C">
      <w:pPr>
        <w:pStyle w:val="TAMainText"/>
        <w:spacing w:line="240" w:lineRule="atLeast"/>
        <w:rPr>
          <w:rFonts w:ascii="Times New Roman" w:hAnsi="Times New Roman"/>
          <w:lang w:val="pt-BR"/>
        </w:rPr>
      </w:pPr>
      <w:r w:rsidRPr="002D0F2C">
        <w:rPr>
          <w:rFonts w:ascii="Times New Roman" w:hAnsi="Times New Roman"/>
          <w:lang w:val="pt-BR"/>
        </w:rPr>
        <w:t>A morfologia geral dos catalisadores foi determinada por um microscópio eletrônico de varredura Zeiss EVO-LS15. As amostras foram preparadas em pó, depositadas em fitas de cobre e recobertas com ouro.</w:t>
      </w:r>
    </w:p>
    <w:p w14:paraId="6E84A84D" w14:textId="5343E879" w:rsidR="00D71C2D" w:rsidRPr="002D0F2C" w:rsidRDefault="7A6E34FC" w:rsidP="002D0F2C">
      <w:pPr>
        <w:spacing w:after="0" w:line="240" w:lineRule="atLeas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Para obter as isotermas de adsorção/dessorção de N</w:t>
      </w:r>
      <w:r w:rsidRPr="002D0F2C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foi utilizado um equipamento ASAP 2020 Plus 2.00. A área foi </w:t>
      </w: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calculada pelo método de BET (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3</w:t>
      </w: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) e a distribuição do tamanho médio de poros por BJH</w:t>
      </w:r>
      <w:r w:rsidR="002D0F2C"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126453F4" w14:textId="1D9077E3" w:rsidR="00EA4E1B" w:rsidRPr="002D0F2C" w:rsidRDefault="7A6E34FC" w:rsidP="002D0F2C">
      <w:pPr>
        <w:spacing w:after="0" w:line="240" w:lineRule="atLeas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Foi utilizado um </w:t>
      </w:r>
      <w:proofErr w:type="spellStart"/>
      <w:r w:rsidR="00AF7279">
        <w:rPr>
          <w:rFonts w:ascii="Times New Roman" w:eastAsia="Times New Roman" w:hAnsi="Times New Roman" w:cs="Times New Roman"/>
          <w:sz w:val="20"/>
          <w:szCs w:val="20"/>
          <w:lang w:eastAsia="pt-BR"/>
        </w:rPr>
        <w:t>d</w:t>
      </w:r>
      <w:r w:rsidR="00AF7279" w:rsidRPr="00AF7279">
        <w:rPr>
          <w:rFonts w:ascii="Times New Roman" w:eastAsia="Times New Roman" w:hAnsi="Times New Roman" w:cs="Times New Roman"/>
          <w:sz w:val="20"/>
          <w:szCs w:val="20"/>
          <w:lang w:eastAsia="pt-BR"/>
        </w:rPr>
        <w:t>ifratômetro</w:t>
      </w:r>
      <w:proofErr w:type="spellEnd"/>
      <w:r w:rsidR="00AF7279" w:rsidRPr="00AF7279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gramStart"/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>de</w:t>
      </w:r>
      <w:proofErr w:type="gramEnd"/>
      <w:r w:rsidRPr="002D0F2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raios X da marca Rigaku D/MAX-2100/PC para obter informações sobre a estrutura cristalina das amostras. O método de refinamento de Rietveld foi aplicado para a obtenção dos parâmetros estruturais.</w:t>
      </w:r>
    </w:p>
    <w:p w14:paraId="78012802" w14:textId="77777777" w:rsidR="002D0F2C" w:rsidRPr="002D0F2C" w:rsidRDefault="002D0F2C" w:rsidP="002D0F2C">
      <w:pPr>
        <w:spacing w:after="0" w:line="240" w:lineRule="atLeast"/>
        <w:ind w:firstLine="204"/>
        <w:jc w:val="both"/>
        <w:rPr>
          <w:rFonts w:ascii="Times New Roman" w:hAnsi="Times New Roman" w:cs="Times New Roman"/>
          <w:sz w:val="10"/>
          <w:szCs w:val="10"/>
        </w:rPr>
      </w:pPr>
    </w:p>
    <w:p w14:paraId="136BD1AC" w14:textId="282D663B" w:rsidR="00EA4E1B" w:rsidRDefault="7A6E34FC" w:rsidP="002D0F2C">
      <w:pPr>
        <w:spacing w:after="0"/>
        <w:jc w:val="center"/>
        <w:rPr>
          <w:rFonts w:ascii="Helvetica" w:hAnsi="Helvetica" w:cs="Helvetica"/>
          <w:sz w:val="24"/>
          <w:szCs w:val="24"/>
        </w:rPr>
      </w:pPr>
      <w:r w:rsidRPr="7A6E34FC">
        <w:rPr>
          <w:rFonts w:ascii="Helvetica" w:hAnsi="Helvetica" w:cs="Helvetica"/>
          <w:sz w:val="24"/>
          <w:szCs w:val="24"/>
        </w:rPr>
        <w:t>Resultados e Discussão</w:t>
      </w:r>
    </w:p>
    <w:p w14:paraId="52BF5356" w14:textId="4A54061F" w:rsidR="002D0F2C" w:rsidRDefault="002D0F2C" w:rsidP="002D0F2C">
      <w:pPr>
        <w:pStyle w:val="TAMainText"/>
        <w:ind w:firstLine="187"/>
        <w:rPr>
          <w:rFonts w:ascii="Times New Roman" w:hAnsi="Times New Roman"/>
          <w:lang w:val="pt-BR"/>
        </w:rPr>
      </w:pPr>
      <w:r w:rsidRPr="002D0F2C">
        <w:rPr>
          <w:rFonts w:ascii="Times New Roman" w:hAnsi="Times New Roman"/>
          <w:lang w:val="pt-BR"/>
        </w:rPr>
        <w:t>Através dos resultados de difração de raios X foi possível avaliar a presença da estrutura do tipo fluorita do CeO</w:t>
      </w:r>
      <w:r w:rsidRPr="002D0F2C">
        <w:rPr>
          <w:rFonts w:ascii="Times New Roman" w:hAnsi="Times New Roman"/>
          <w:vertAlign w:val="subscript"/>
          <w:lang w:val="pt-BR"/>
        </w:rPr>
        <w:t>2</w:t>
      </w:r>
      <w:r w:rsidRPr="002D0F2C">
        <w:rPr>
          <w:rFonts w:ascii="Times New Roman" w:hAnsi="Times New Roman"/>
          <w:lang w:val="pt-BR"/>
        </w:rPr>
        <w:t>. Não houve picos referentes ao NiO segregado</w:t>
      </w:r>
      <w:r>
        <w:rPr>
          <w:rFonts w:ascii="Times New Roman" w:hAnsi="Times New Roman"/>
          <w:lang w:val="pt-BR"/>
        </w:rPr>
        <w:t xml:space="preserve"> (Fig. 1)</w:t>
      </w:r>
      <w:r w:rsidRPr="002D0F2C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O refinamento estrutural possibilitou verificar a diminuição do tamanho médio de cristalito bem como o aumento do parâmetro de rede nas amostras preparadas com o sonicador (Tabela 1). As áreas específicas também foram maiores nas amostras irradiadas com o ultrassom.</w:t>
      </w:r>
    </w:p>
    <w:p w14:paraId="012018DB" w14:textId="7D855465" w:rsidR="00A05425" w:rsidRPr="002D0F2C" w:rsidRDefault="00A05425" w:rsidP="002D0F2C">
      <w:pPr>
        <w:pStyle w:val="TAMainText"/>
        <w:ind w:firstLine="0"/>
        <w:rPr>
          <w:rFonts w:ascii="Times New Roman" w:hAnsi="Times New Roman"/>
          <w:sz w:val="10"/>
          <w:szCs w:val="10"/>
          <w:lang w:val="pt-BR"/>
        </w:rPr>
      </w:pPr>
    </w:p>
    <w:p w14:paraId="4F3E75A1" w14:textId="71BA4037" w:rsidR="00A05425" w:rsidRDefault="002D0F2C" w:rsidP="7911184C">
      <w:r w:rsidRPr="002D0F2C">
        <w:rPr>
          <w:rFonts w:ascii="Times New Roman" w:hAnsi="Times New Roman"/>
          <w:noProof/>
        </w:rPr>
        <w:drawing>
          <wp:inline distT="0" distB="0" distL="0" distR="0" wp14:anchorId="113E7A71" wp14:editId="6A4CD535">
            <wp:extent cx="3016250" cy="2890573"/>
            <wp:effectExtent l="0" t="0" r="0" b="5080"/>
            <wp:docPr id="647690881" name="Imagem 1" descr="Interface gráfica do usuário, Histo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690881" name="Imagem 1" descr="Interface gráfica do usuário, Histograma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2" r="9396" b="5156"/>
                    <a:stretch/>
                  </pic:blipFill>
                  <pic:spPr bwMode="auto">
                    <a:xfrm>
                      <a:off x="0" y="0"/>
                      <a:ext cx="3023173" cy="2897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BB54FB" w14:textId="730C592F" w:rsidR="00A05425" w:rsidRPr="002D0F2C" w:rsidRDefault="7911184C" w:rsidP="002D0F2C">
      <w:pPr>
        <w:spacing w:line="20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2D0F2C">
        <w:rPr>
          <w:rFonts w:ascii="Times New Roman" w:hAnsi="Times New Roman" w:cs="Times New Roman"/>
          <w:b/>
          <w:bCs/>
          <w:sz w:val="18"/>
          <w:szCs w:val="18"/>
        </w:rPr>
        <w:t>Figura 1</w:t>
      </w:r>
      <w:r w:rsidR="002D0F2C" w:rsidRPr="002D0F2C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2D0F2C">
        <w:rPr>
          <w:rFonts w:ascii="Times New Roman" w:hAnsi="Times New Roman" w:cs="Times New Roman"/>
          <w:sz w:val="18"/>
          <w:szCs w:val="18"/>
        </w:rPr>
        <w:t xml:space="preserve"> </w:t>
      </w:r>
      <w:r w:rsidR="002D0F2C" w:rsidRPr="002D0F2C">
        <w:rPr>
          <w:rFonts w:ascii="Times New Roman" w:hAnsi="Times New Roman" w:cs="Times New Roman"/>
          <w:sz w:val="18"/>
          <w:szCs w:val="18"/>
        </w:rPr>
        <w:t>Padrão de difração de raios X das amostras. A linha preta refere-se ao dado experimental, a linha vermelha é o calculado pelo refinamento e a azul é a diferença entre os pontos calculados e experimentais.</w:t>
      </w:r>
      <w:r w:rsidR="00CA2560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elacomgrade"/>
        <w:tblW w:w="15422" w:type="dxa"/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191"/>
        <w:gridCol w:w="3912"/>
        <w:gridCol w:w="1191"/>
        <w:gridCol w:w="3912"/>
        <w:gridCol w:w="1191"/>
        <w:gridCol w:w="113"/>
      </w:tblGrid>
      <w:tr w:rsidR="0069427F" w:rsidRPr="002D0F2C" w14:paraId="57203414" w14:textId="7613F929" w:rsidTr="0069427F">
        <w:trPr>
          <w:gridAfter w:val="1"/>
          <w:wAfter w:w="113" w:type="dxa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F320F" w14:textId="77777777" w:rsidR="0069427F" w:rsidRPr="002D0F2C" w:rsidRDefault="0069427F" w:rsidP="00367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D0F2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Tabela</w:t>
            </w:r>
            <w:proofErr w:type="spellEnd"/>
            <w:r w:rsidRPr="002D0F2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1.</w:t>
            </w:r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Parâmetros</w:t>
            </w:r>
            <w:proofErr w:type="spellEnd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cristalográficos</w:t>
            </w:r>
            <w:proofErr w:type="spellEnd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obtidos</w:t>
            </w:r>
            <w:proofErr w:type="spellEnd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pelo</w:t>
            </w:r>
            <w:proofErr w:type="spellEnd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método</w:t>
            </w:r>
            <w:proofErr w:type="spellEnd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Rietveld e </w:t>
            </w:r>
            <w:proofErr w:type="spellStart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área</w:t>
            </w:r>
            <w:proofErr w:type="spellEnd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específica</w:t>
            </w:r>
            <w:proofErr w:type="spellEnd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das </w:t>
            </w:r>
            <w:proofErr w:type="spellStart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amostras</w:t>
            </w:r>
            <w:proofErr w:type="spellEnd"/>
            <w:r w:rsidRPr="002D0F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4D86C" w14:textId="77777777" w:rsidR="0069427F" w:rsidRPr="002D0F2C" w:rsidRDefault="0069427F" w:rsidP="00367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A8EA1" w14:textId="5FD132C0" w:rsidR="0069427F" w:rsidRPr="002D0F2C" w:rsidRDefault="0069427F" w:rsidP="00367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9427F" w:rsidRPr="002D0F2C" w14:paraId="54D98A81" w14:textId="77777777" w:rsidTr="0069427F"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7AB9D0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Amostra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370C2C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Parâmetro</w:t>
            </w:r>
            <w:proofErr w:type="spellEnd"/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 rede a (</w:t>
            </w:r>
            <w:r w:rsidRPr="002D0F2C">
              <w:rPr>
                <w:rFonts w:ascii="Times New Roman" w:hAnsi="Times New Roman" w:cs="Times New Roman"/>
                <w:b/>
                <w:bCs/>
                <w:noProof/>
                <w:spacing w:val="-4"/>
                <w:sz w:val="20"/>
                <w:szCs w:val="20"/>
                <w:lang w:val="en-US"/>
              </w:rPr>
              <w:t>Å</w:t>
            </w:r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DAC2E3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Tamanho</w:t>
            </w:r>
            <w:proofErr w:type="spellEnd"/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cristalito</w:t>
            </w:r>
            <w:proofErr w:type="spellEnd"/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2D0F2C">
              <w:rPr>
                <w:rFonts w:ascii="Times New Roman" w:hAnsi="Times New Roman" w:cs="Times New Roman"/>
                <w:b/>
                <w:bCs/>
                <w:noProof/>
                <w:spacing w:val="-4"/>
                <w:sz w:val="20"/>
                <w:szCs w:val="20"/>
                <w:lang w:val="en-US"/>
              </w:rPr>
              <w:t>Å</w:t>
            </w:r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79A35C9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0C3760D" w14:textId="243F9DEC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33C34" w14:textId="024EB6B2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BET</w:t>
            </w:r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(m</w:t>
            </w:r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2</w:t>
            </w:r>
            <w:r w:rsidRPr="002D0F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/g)</w:t>
            </w:r>
          </w:p>
        </w:tc>
      </w:tr>
      <w:tr w:rsidR="0069427F" w:rsidRPr="002D0F2C" w14:paraId="039A452F" w14:textId="77777777" w:rsidTr="0069427F"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14:paraId="38A35B31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 ultra 0,1 mol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14:paraId="6DEE48F4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5.4143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14:paraId="6971B6E5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</w:t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</w:tcPr>
          <w:p w14:paraId="64AF3709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</w:tcPr>
          <w:p w14:paraId="2E9A95F4" w14:textId="320E2BB3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824B94" w14:textId="05948AB9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</w:tr>
      <w:tr w:rsidR="0069427F" w:rsidRPr="002D0F2C" w14:paraId="77CC2F46" w14:textId="77777777" w:rsidTr="0069427F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CDC70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45W 0,1 mol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18FA7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5.4171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0C0C7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50692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4E6AC" w14:textId="30DF3946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543B" w14:textId="7B7774B3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</w:tr>
      <w:tr w:rsidR="0069427F" w:rsidRPr="002D0F2C" w14:paraId="0D06D098" w14:textId="77777777" w:rsidTr="0069427F"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3E9A72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90W 0,1 mol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B7F7BB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5.4174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7A590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DB082" w14:textId="7777777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28F1A" w14:textId="1BFA0E92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75CFB" w14:textId="0CD220D7" w:rsidR="0069427F" w:rsidRPr="002D0F2C" w:rsidRDefault="0069427F" w:rsidP="00367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</w:tr>
    </w:tbl>
    <w:p w14:paraId="5FE08E8A" w14:textId="0FA5E10D" w:rsidR="00A05425" w:rsidRDefault="002D0F2C" w:rsidP="002D0F2C">
      <w:pPr>
        <w:spacing w:before="160"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  <w:r w:rsidRPr="7911184C">
        <w:rPr>
          <w:rFonts w:ascii="Times New Roman" w:hAnsi="Times New Roman" w:cs="Times New Roman"/>
          <w:sz w:val="20"/>
          <w:szCs w:val="20"/>
        </w:rPr>
        <w:t xml:space="preserve">De acordo com </w:t>
      </w:r>
      <w:proofErr w:type="gramStart"/>
      <w:r w:rsidRPr="7911184C">
        <w:rPr>
          <w:rFonts w:ascii="Times New Roman" w:hAnsi="Times New Roman" w:cs="Times New Roman"/>
          <w:sz w:val="20"/>
          <w:szCs w:val="20"/>
        </w:rPr>
        <w:t>Greegg.S.J</w:t>
      </w:r>
      <w:proofErr w:type="gramEnd"/>
      <w:r w:rsidRPr="7911184C">
        <w:rPr>
          <w:rFonts w:ascii="Times New Roman" w:hAnsi="Times New Roman" w:cs="Times New Roman"/>
          <w:sz w:val="20"/>
          <w:szCs w:val="20"/>
        </w:rPr>
        <w:t xml:space="preserve">, Sing K.S.W </w:t>
      </w:r>
      <w:r>
        <w:rPr>
          <w:rFonts w:ascii="Times New Roman" w:hAnsi="Times New Roman" w:cs="Times New Roman"/>
          <w:sz w:val="20"/>
          <w:szCs w:val="20"/>
        </w:rPr>
        <w:t>(4</w:t>
      </w:r>
      <w:r w:rsidRPr="7911184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</w:t>
      </w:r>
      <w:r w:rsidRPr="791118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as isotermas são </w:t>
      </w:r>
      <w:r w:rsidR="00FB7D29">
        <w:rPr>
          <w:rFonts w:ascii="Times New Roman" w:hAnsi="Times New Roman" w:cs="Times New Roman"/>
          <w:sz w:val="20"/>
          <w:szCs w:val="20"/>
        </w:rPr>
        <w:t>c</w:t>
      </w:r>
      <w:r w:rsidR="00FB7D29" w:rsidRPr="00FB7D29">
        <w:rPr>
          <w:rFonts w:ascii="Times New Roman" w:hAnsi="Times New Roman" w:cs="Times New Roman"/>
          <w:sz w:val="20"/>
          <w:szCs w:val="20"/>
        </w:rPr>
        <w:t>aracterística</w:t>
      </w:r>
      <w:r w:rsidR="00FB7D29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do tipo II para amostra sem ultra </w:t>
      </w:r>
      <w:r>
        <w:rPr>
          <w:rFonts w:ascii="Times New Roman" w:hAnsi="Times New Roman" w:cs="Times New Roman"/>
          <w:sz w:val="20"/>
          <w:szCs w:val="20"/>
        </w:rPr>
        <w:t>0,1 mol/L, enquanto as amostras preparadas com ultrassom apresentaram isoterma do tipo IV com histeres</w:t>
      </w:r>
      <w:r w:rsidR="00FB7D29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definida com diâmetro de poros médio de 7 nm.</w:t>
      </w:r>
    </w:p>
    <w:p w14:paraId="24768DD2" w14:textId="77777777" w:rsidR="002D0F2C" w:rsidRPr="002D0F2C" w:rsidRDefault="002D0F2C" w:rsidP="002D0F2C">
      <w:pPr>
        <w:spacing w:before="160"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</w:p>
    <w:p w14:paraId="36336790" w14:textId="6C528A38" w:rsidR="002D0F2C" w:rsidRDefault="002D0F2C" w:rsidP="002D0F2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358D7144" wp14:editId="2B1662A9">
            <wp:extent cx="2700130" cy="2259072"/>
            <wp:effectExtent l="0" t="0" r="5080" b="8255"/>
            <wp:docPr id="52565629" name="Imagem 2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5629" name="Imagem 2" descr="Gráfico&#10;&#10;Descrição gerada automaticament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5" t="8857" r="13074" b="4581"/>
                    <a:stretch/>
                  </pic:blipFill>
                  <pic:spPr bwMode="auto">
                    <a:xfrm>
                      <a:off x="0" y="0"/>
                      <a:ext cx="2711385" cy="2268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E9B7C3" w14:textId="69B76332" w:rsidR="002D0F2C" w:rsidRPr="002D0F2C" w:rsidRDefault="00C00AAA" w:rsidP="002D0F2C">
      <w:pPr>
        <w:spacing w:line="20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2D0F2C">
        <w:rPr>
          <w:rFonts w:ascii="Times New Roman" w:hAnsi="Times New Roman" w:cs="Times New Roman"/>
          <w:b/>
          <w:bCs/>
          <w:sz w:val="18"/>
          <w:szCs w:val="18"/>
        </w:rPr>
        <w:t>Figura 2</w:t>
      </w:r>
      <w:r w:rsidR="002D0F2C" w:rsidRPr="002D0F2C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2D0F2C">
        <w:rPr>
          <w:rFonts w:ascii="Times New Roman" w:hAnsi="Times New Roman" w:cs="Times New Roman"/>
          <w:sz w:val="18"/>
          <w:szCs w:val="18"/>
        </w:rPr>
        <w:t xml:space="preserve"> </w:t>
      </w:r>
      <w:r w:rsidR="002D0F2C" w:rsidRPr="002D0F2C">
        <w:rPr>
          <w:rFonts w:ascii="Times New Roman" w:hAnsi="Times New Roman" w:cs="Times New Roman"/>
          <w:sz w:val="18"/>
          <w:szCs w:val="18"/>
        </w:rPr>
        <w:t>Isotermas de f</w:t>
      </w:r>
      <w:r w:rsidRPr="002D0F2C">
        <w:rPr>
          <w:rFonts w:ascii="Times New Roman" w:hAnsi="Times New Roman" w:cs="Times New Roman"/>
          <w:sz w:val="18"/>
          <w:szCs w:val="18"/>
        </w:rPr>
        <w:t>isissorção de</w:t>
      </w:r>
      <w:r w:rsidR="002D0F2C" w:rsidRPr="002D0F2C">
        <w:rPr>
          <w:rFonts w:ascii="Times New Roman" w:hAnsi="Times New Roman" w:cs="Times New Roman"/>
          <w:sz w:val="18"/>
          <w:szCs w:val="18"/>
        </w:rPr>
        <w:t xml:space="preserve"> nitrogênio.</w:t>
      </w:r>
      <w:r w:rsidR="002D0F2C">
        <w:rPr>
          <w:rFonts w:ascii="Times New Roman" w:hAnsi="Times New Roman" w:cs="Times New Roman"/>
          <w:sz w:val="18"/>
          <w:szCs w:val="18"/>
        </w:rPr>
        <w:t xml:space="preserve"> Os pontos cheios referem-se </w:t>
      </w:r>
      <w:proofErr w:type="gramStart"/>
      <w:r w:rsidR="002D0F2C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="002D0F2C">
        <w:rPr>
          <w:rFonts w:ascii="Times New Roman" w:hAnsi="Times New Roman" w:cs="Times New Roman"/>
          <w:sz w:val="18"/>
          <w:szCs w:val="18"/>
        </w:rPr>
        <w:t xml:space="preserve"> adsorção de N</w:t>
      </w:r>
      <w:r w:rsidR="002D0F2C" w:rsidRPr="002D0F2C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2D0F2C">
        <w:rPr>
          <w:rFonts w:ascii="Times New Roman" w:hAnsi="Times New Roman" w:cs="Times New Roman"/>
          <w:sz w:val="18"/>
          <w:szCs w:val="18"/>
        </w:rPr>
        <w:t>, e</w:t>
      </w:r>
      <w:r w:rsidR="00FB7D29">
        <w:rPr>
          <w:rFonts w:ascii="Times New Roman" w:hAnsi="Times New Roman" w:cs="Times New Roman"/>
          <w:sz w:val="18"/>
          <w:szCs w:val="18"/>
        </w:rPr>
        <w:t>n</w:t>
      </w:r>
      <w:r w:rsidR="002D0F2C">
        <w:rPr>
          <w:rFonts w:ascii="Times New Roman" w:hAnsi="Times New Roman" w:cs="Times New Roman"/>
          <w:sz w:val="18"/>
          <w:szCs w:val="18"/>
        </w:rPr>
        <w:t>quanto os vazios são da isoterma de dessorção.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5728B4E4" w14:textId="3D1B16EB" w:rsidR="00F33B00" w:rsidRPr="002D0F2C" w:rsidRDefault="002D0F2C" w:rsidP="002D0F2C">
      <w:pPr>
        <w:pStyle w:val="TAMainText"/>
        <w:ind w:firstLine="204"/>
        <w:rPr>
          <w:rFonts w:ascii="Times New Roman" w:hAnsi="Times New Roman"/>
          <w:spacing w:val="4"/>
          <w:lang w:val="pt-BR"/>
        </w:rPr>
      </w:pPr>
      <w:r w:rsidRPr="002D0F2C">
        <w:rPr>
          <w:rFonts w:ascii="Times New Roman" w:hAnsi="Times New Roman"/>
          <w:spacing w:val="4"/>
          <w:lang w:val="pt-BR"/>
        </w:rPr>
        <w:t>A síntese realizada através da presença de irradiação ultrassônica permitiu a obtenção de catalisadores Ni/CeO</w:t>
      </w:r>
      <w:r w:rsidRPr="002D0F2C">
        <w:rPr>
          <w:rFonts w:ascii="Times New Roman" w:hAnsi="Times New Roman"/>
          <w:spacing w:val="4"/>
          <w:vertAlign w:val="subscript"/>
          <w:lang w:val="pt-BR"/>
        </w:rPr>
        <w:t xml:space="preserve">2 </w:t>
      </w:r>
      <w:r w:rsidRPr="002D0F2C">
        <w:rPr>
          <w:rFonts w:ascii="Times New Roman" w:hAnsi="Times New Roman"/>
          <w:spacing w:val="4"/>
          <w:lang w:val="pt-BR"/>
        </w:rPr>
        <w:t xml:space="preserve">com sistema definido de poros com diâmetro médio de 7 nm. Aliado ao aumento da área específica, </w:t>
      </w:r>
      <w:proofErr w:type="gramStart"/>
      <w:r w:rsidRPr="002D0F2C">
        <w:rPr>
          <w:rFonts w:ascii="Times New Roman" w:hAnsi="Times New Roman"/>
          <w:spacing w:val="4"/>
          <w:lang w:val="pt-BR"/>
        </w:rPr>
        <w:t>esse catalis</w:t>
      </w:r>
      <w:r w:rsidR="00FB7D29">
        <w:rPr>
          <w:rFonts w:ascii="Times New Roman" w:hAnsi="Times New Roman"/>
          <w:spacing w:val="4"/>
          <w:lang w:val="pt-BR"/>
        </w:rPr>
        <w:t>a</w:t>
      </w:r>
      <w:r w:rsidRPr="002D0F2C">
        <w:rPr>
          <w:rFonts w:ascii="Times New Roman" w:hAnsi="Times New Roman"/>
          <w:spacing w:val="4"/>
          <w:lang w:val="pt-BR"/>
        </w:rPr>
        <w:t>dores</w:t>
      </w:r>
      <w:proofErr w:type="gramEnd"/>
      <w:r w:rsidRPr="002D0F2C">
        <w:rPr>
          <w:rFonts w:ascii="Times New Roman" w:hAnsi="Times New Roman"/>
          <w:spacing w:val="4"/>
          <w:lang w:val="pt-BR"/>
        </w:rPr>
        <w:t xml:space="preserve"> podem ser promissores para reações de redução de CO</w:t>
      </w:r>
      <w:r w:rsidRPr="002D0F2C">
        <w:rPr>
          <w:rFonts w:ascii="Times New Roman" w:hAnsi="Times New Roman"/>
          <w:spacing w:val="4"/>
          <w:vertAlign w:val="subscript"/>
          <w:lang w:val="pt-BR"/>
        </w:rPr>
        <w:t>2</w:t>
      </w:r>
      <w:r w:rsidRPr="002D0F2C">
        <w:rPr>
          <w:rFonts w:ascii="Times New Roman" w:hAnsi="Times New Roman"/>
          <w:spacing w:val="4"/>
          <w:lang w:val="pt-BR"/>
        </w:rPr>
        <w:t xml:space="preserve"> através de suas propriedades físico-químicas singulares. A introdução da porosidade e aumento da área pode aumentar, por exemplo, a vacância e oxigênio na estrutura cristalina, o que é positivo para conversões de CO</w:t>
      </w:r>
      <w:r w:rsidRPr="002D0F2C">
        <w:rPr>
          <w:rFonts w:ascii="Times New Roman" w:hAnsi="Times New Roman"/>
          <w:spacing w:val="4"/>
          <w:vertAlign w:val="subscript"/>
          <w:lang w:val="pt-BR"/>
        </w:rPr>
        <w:t>2</w:t>
      </w:r>
      <w:r w:rsidRPr="002D0F2C">
        <w:rPr>
          <w:rFonts w:ascii="Times New Roman" w:hAnsi="Times New Roman"/>
          <w:spacing w:val="4"/>
          <w:lang w:val="pt-BR"/>
        </w:rPr>
        <w:t xml:space="preserve">. 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3AF9E773" w:rsidR="00EA4E1B" w:rsidRPr="001F25B2" w:rsidRDefault="7911184C" w:rsidP="00EA4E1B">
      <w:pPr>
        <w:pStyle w:val="TAMainText"/>
        <w:rPr>
          <w:rFonts w:ascii="Times New Roman" w:hAnsi="Times New Roman"/>
          <w:lang w:val="pt-BR"/>
        </w:rPr>
      </w:pPr>
      <w:r w:rsidRPr="7911184C">
        <w:rPr>
          <w:rFonts w:ascii="Times New Roman" w:hAnsi="Times New Roman"/>
          <w:lang w:val="pt-BR"/>
        </w:rPr>
        <w:t>Agradeço à Unesp pelo suporte, aos professores do campus Unesp Bauru pela colaboração fundamental e à F</w:t>
      </w:r>
      <w:r w:rsidR="002D0F2C">
        <w:rPr>
          <w:rFonts w:ascii="Times New Roman" w:hAnsi="Times New Roman"/>
          <w:lang w:val="pt-BR"/>
        </w:rPr>
        <w:t>APESP</w:t>
      </w:r>
      <w:r w:rsidRPr="7911184C">
        <w:rPr>
          <w:rFonts w:ascii="Times New Roman" w:hAnsi="Times New Roman"/>
          <w:lang w:val="pt-BR"/>
        </w:rPr>
        <w:t xml:space="preserve"> pelo financiamento da bolsa</w:t>
      </w:r>
      <w:r w:rsidR="00F43123">
        <w:rPr>
          <w:rFonts w:ascii="Times New Roman" w:hAnsi="Times New Roman"/>
          <w:lang w:val="pt-BR"/>
        </w:rPr>
        <w:t>, CAPES e CNPq</w:t>
      </w:r>
      <w:r w:rsidRPr="7911184C">
        <w:rPr>
          <w:rFonts w:ascii="Times New Roman" w:hAnsi="Times New Roman"/>
          <w:lang w:val="pt-BR"/>
        </w:rPr>
        <w:t>.</w:t>
      </w:r>
    </w:p>
    <w:p w14:paraId="1707C43D" w14:textId="2000141B" w:rsidR="002D0F2C" w:rsidRPr="002D0F2C" w:rsidRDefault="00EA4E1B" w:rsidP="002D0F2C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12EC2F7F" w14:textId="3F807809" w:rsidR="002D0F2C" w:rsidRPr="00CA2560" w:rsidRDefault="00EB569F" w:rsidP="0069427F">
      <w:pPr>
        <w:pStyle w:val="PargrafodaLista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CO</w:t>
      </w:r>
      <w:r w:rsidRPr="00CA2560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now, 2015. Disponível: </w:t>
      </w:r>
      <w:hyperlink r:id="rId14">
        <w:r w:rsidRPr="00CA2560"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t>http://co2now.org/</w:t>
        </w:r>
      </w:hyperlink>
      <w:r w:rsidRPr="00CA2560">
        <w:rPr>
          <w:rFonts w:ascii="Times New Roman" w:hAnsi="Times New Roman" w:cs="Times New Roman"/>
          <w:sz w:val="20"/>
          <w:szCs w:val="20"/>
        </w:rPr>
        <w:t>.</w:t>
      </w:r>
    </w:p>
    <w:p w14:paraId="127B2F6B" w14:textId="431B4316" w:rsidR="00CA2560" w:rsidRPr="00CA2560" w:rsidRDefault="00EB569F" w:rsidP="0069427F">
      <w:pPr>
        <w:pStyle w:val="PargrafodaLista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spellStart"/>
      <w:r w:rsidRPr="00CA2560">
        <w:rPr>
          <w:rStyle w:val="given-name"/>
          <w:rFonts w:ascii="Times New Roman" w:hAnsi="Times New Roman" w:cs="Times New Roman"/>
          <w:sz w:val="20"/>
          <w:szCs w:val="20"/>
        </w:rPr>
        <w:t>Payam</w:t>
      </w:r>
      <w:proofErr w:type="spellEnd"/>
      <w:r w:rsidRPr="00CA2560">
        <w:rPr>
          <w:rStyle w:val="given-name"/>
          <w:rFonts w:ascii="Times New Roman" w:hAnsi="Times New Roman" w:cs="Times New Roman"/>
          <w:sz w:val="20"/>
          <w:szCs w:val="20"/>
        </w:rPr>
        <w:t> </w:t>
      </w:r>
      <w:proofErr w:type="spellStart"/>
      <w:proofErr w:type="gramStart"/>
      <w:r w:rsidRPr="00CA2560">
        <w:rPr>
          <w:rStyle w:val="text"/>
          <w:rFonts w:ascii="Times New Roman" w:hAnsi="Times New Roman" w:cs="Times New Roman"/>
          <w:sz w:val="20"/>
          <w:szCs w:val="20"/>
        </w:rPr>
        <w:t>Margan</w:t>
      </w:r>
      <w:r w:rsidRPr="00CA2560">
        <w:rPr>
          <w:rFonts w:ascii="Times New Roman" w:hAnsi="Times New Roman" w:cs="Times New Roman"/>
          <w:color w:val="2E2E2E"/>
          <w:sz w:val="20"/>
          <w:szCs w:val="20"/>
        </w:rPr>
        <w:t>,</w:t>
      </w:r>
      <w:r w:rsidRPr="00CA2560">
        <w:rPr>
          <w:rStyle w:val="given-name"/>
          <w:rFonts w:ascii="Times New Roman" w:hAnsi="Times New Roman" w:cs="Times New Roman"/>
          <w:sz w:val="20"/>
          <w:szCs w:val="20"/>
        </w:rPr>
        <w:t>Mohammad</w:t>
      </w:r>
      <w:proofErr w:type="spellEnd"/>
      <w:proofErr w:type="gramEnd"/>
      <w:r w:rsidRPr="00CA2560">
        <w:rPr>
          <w:rStyle w:val="given-name"/>
          <w:rFonts w:ascii="Times New Roman" w:hAnsi="Times New Roman" w:cs="Times New Roman"/>
          <w:sz w:val="20"/>
          <w:szCs w:val="20"/>
        </w:rPr>
        <w:t> </w:t>
      </w:r>
      <w:proofErr w:type="spellStart"/>
      <w:r w:rsidRPr="00CA2560">
        <w:rPr>
          <w:rStyle w:val="text"/>
          <w:rFonts w:ascii="Times New Roman" w:hAnsi="Times New Roman" w:cs="Times New Roman"/>
          <w:sz w:val="20"/>
          <w:szCs w:val="20"/>
        </w:rPr>
        <w:t>Haghigh</w:t>
      </w:r>
      <w:proofErr w:type="spellEnd"/>
      <w:r w:rsidRPr="00CA256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Ultrasonics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Sonochemistry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40 (2018) 323–332.</w:t>
      </w:r>
    </w:p>
    <w:p w14:paraId="15739054" w14:textId="4F0A98EC" w:rsidR="002D0F2C" w:rsidRPr="00CA2560" w:rsidRDefault="002D0F2C" w:rsidP="0069427F">
      <w:pPr>
        <w:pStyle w:val="PargrafodaLista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S.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Brunauer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P.H.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Emmett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E. Teller,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Adsorption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Gases in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Multimolecular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Layers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J Am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Chem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Soc. 60 (1938) 309–319.</w:t>
      </w:r>
    </w:p>
    <w:p w14:paraId="22A51824" w14:textId="77777777" w:rsidR="002D0F2C" w:rsidRPr="00CA2560" w:rsidRDefault="002D0F2C" w:rsidP="0069427F">
      <w:pPr>
        <w:pStyle w:val="PargrafodaLista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GREGG S. J.; SING K. S. W.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Adsorption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Surface Area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and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Porosity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spellStart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>Acadmic</w:t>
      </w:r>
      <w:proofErr w:type="spellEnd"/>
      <w:r w:rsidRPr="00CA256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Press, London, 1982.</w:t>
      </w:r>
    </w:p>
    <w:p w14:paraId="0D4195E8" w14:textId="28A6641B" w:rsidR="00D934C9" w:rsidRPr="002D0F2C" w:rsidRDefault="00D934C9" w:rsidP="000958B6">
      <w:pPr>
        <w:pStyle w:val="TAMainText"/>
        <w:rPr>
          <w:rFonts w:ascii="Times New Roman" w:hAnsi="Times New Roman"/>
          <w:lang w:val="pt-BR"/>
        </w:rPr>
      </w:pPr>
    </w:p>
    <w:sectPr w:rsidR="00D934C9" w:rsidRPr="002D0F2C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47EB4" w14:textId="77777777" w:rsidR="00352C58" w:rsidRDefault="00352C58" w:rsidP="00EA4E1B">
      <w:pPr>
        <w:spacing w:after="0" w:line="240" w:lineRule="auto"/>
      </w:pPr>
      <w:r>
        <w:separator/>
      </w:r>
    </w:p>
  </w:endnote>
  <w:endnote w:type="continuationSeparator" w:id="0">
    <w:p w14:paraId="12A09D85" w14:textId="77777777" w:rsidR="00352C58" w:rsidRDefault="00352C58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9BE1" w14:textId="0B9D2299" w:rsidR="00920070" w:rsidRDefault="0092007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44FCDC" wp14:editId="7FF5D9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Caixa de Texto 2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E5FC2" w14:textId="101C7FCE" w:rsidR="00920070" w:rsidRPr="00920070" w:rsidRDefault="00920070" w:rsidP="00920070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920070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4FC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A2E5FC2" w14:textId="101C7FCE" w:rsidR="00920070" w:rsidRPr="00920070" w:rsidRDefault="00920070" w:rsidP="00920070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920070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9B8E" w14:textId="7FD799E2" w:rsidR="00920070" w:rsidRDefault="0092007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377FD2" wp14:editId="6088F41B">
              <wp:simplePos x="36195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Caixa de Texto 5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691C5" w14:textId="7442F267" w:rsidR="00920070" w:rsidRPr="00920070" w:rsidRDefault="00920070" w:rsidP="00920070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920070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77FD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9" type="#_x0000_t202" alt="INTERN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EF691C5" w14:textId="7442F267" w:rsidR="00920070" w:rsidRPr="00920070" w:rsidRDefault="00920070" w:rsidP="00920070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920070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3DEB" w14:textId="2A1A7099" w:rsidR="00920070" w:rsidRDefault="0092007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5E6536" wp14:editId="20204D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Caixa de Texto 1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5CF71" w14:textId="2B53D335" w:rsidR="00920070" w:rsidRPr="00920070" w:rsidRDefault="00920070" w:rsidP="00920070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920070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E653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0E5CF71" w14:textId="2B53D335" w:rsidR="00920070" w:rsidRPr="00920070" w:rsidRDefault="00920070" w:rsidP="00920070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920070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D5FD" w14:textId="77777777" w:rsidR="00352C58" w:rsidRDefault="00352C58" w:rsidP="00EA4E1B">
      <w:pPr>
        <w:spacing w:after="0" w:line="240" w:lineRule="auto"/>
      </w:pPr>
      <w:r>
        <w:separator/>
      </w:r>
    </w:p>
  </w:footnote>
  <w:footnote w:type="continuationSeparator" w:id="0">
    <w:p w14:paraId="5EC6A42E" w14:textId="77777777" w:rsidR="00352C58" w:rsidRDefault="00352C58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r6BhYWSXhcI7f" int2:id="XHBlBPr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16A9"/>
    <w:multiLevelType w:val="hybridMultilevel"/>
    <w:tmpl w:val="1256F412"/>
    <w:lvl w:ilvl="0" w:tplc="2C68F15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3BDDAB3"/>
    <w:multiLevelType w:val="hybridMultilevel"/>
    <w:tmpl w:val="76DEB470"/>
    <w:lvl w:ilvl="0" w:tplc="AE42A714">
      <w:start w:val="1"/>
      <w:numFmt w:val="decimal"/>
      <w:lvlText w:val="%1-"/>
      <w:lvlJc w:val="left"/>
      <w:pPr>
        <w:ind w:left="720" w:hanging="360"/>
      </w:pPr>
    </w:lvl>
    <w:lvl w:ilvl="1" w:tplc="1374CE3C">
      <w:start w:val="1"/>
      <w:numFmt w:val="lowerLetter"/>
      <w:lvlText w:val="%2."/>
      <w:lvlJc w:val="left"/>
      <w:pPr>
        <w:ind w:left="1440" w:hanging="360"/>
      </w:pPr>
    </w:lvl>
    <w:lvl w:ilvl="2" w:tplc="776835BC">
      <w:start w:val="1"/>
      <w:numFmt w:val="lowerRoman"/>
      <w:lvlText w:val="%3."/>
      <w:lvlJc w:val="right"/>
      <w:pPr>
        <w:ind w:left="2160" w:hanging="180"/>
      </w:pPr>
    </w:lvl>
    <w:lvl w:ilvl="3" w:tplc="E904C17C">
      <w:start w:val="1"/>
      <w:numFmt w:val="decimal"/>
      <w:lvlText w:val="%4."/>
      <w:lvlJc w:val="left"/>
      <w:pPr>
        <w:ind w:left="2880" w:hanging="360"/>
      </w:pPr>
    </w:lvl>
    <w:lvl w:ilvl="4" w:tplc="2E30504C">
      <w:start w:val="1"/>
      <w:numFmt w:val="lowerLetter"/>
      <w:lvlText w:val="%5."/>
      <w:lvlJc w:val="left"/>
      <w:pPr>
        <w:ind w:left="3600" w:hanging="360"/>
      </w:pPr>
    </w:lvl>
    <w:lvl w:ilvl="5" w:tplc="F0826F86">
      <w:start w:val="1"/>
      <w:numFmt w:val="lowerRoman"/>
      <w:lvlText w:val="%6."/>
      <w:lvlJc w:val="right"/>
      <w:pPr>
        <w:ind w:left="4320" w:hanging="180"/>
      </w:pPr>
    </w:lvl>
    <w:lvl w:ilvl="6" w:tplc="F96AE0E6">
      <w:start w:val="1"/>
      <w:numFmt w:val="decimal"/>
      <w:lvlText w:val="%7."/>
      <w:lvlJc w:val="left"/>
      <w:pPr>
        <w:ind w:left="5040" w:hanging="360"/>
      </w:pPr>
    </w:lvl>
    <w:lvl w:ilvl="7" w:tplc="5D726978">
      <w:start w:val="1"/>
      <w:numFmt w:val="lowerLetter"/>
      <w:lvlText w:val="%8."/>
      <w:lvlJc w:val="left"/>
      <w:pPr>
        <w:ind w:left="5760" w:hanging="360"/>
      </w:pPr>
    </w:lvl>
    <w:lvl w:ilvl="8" w:tplc="ABFE9CAE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39884">
    <w:abstractNumId w:val="1"/>
  </w:num>
  <w:num w:numId="2" w16cid:durableId="397633445">
    <w:abstractNumId w:val="2"/>
  </w:num>
  <w:num w:numId="3" w16cid:durableId="80045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rgUAlyCUJCwAAAA="/>
  </w:docVars>
  <w:rsids>
    <w:rsidRoot w:val="00EA4E1B"/>
    <w:rsid w:val="0001264A"/>
    <w:rsid w:val="00061A72"/>
    <w:rsid w:val="000958B6"/>
    <w:rsid w:val="000D74D7"/>
    <w:rsid w:val="000F1D24"/>
    <w:rsid w:val="000F23A4"/>
    <w:rsid w:val="00122294"/>
    <w:rsid w:val="0013737C"/>
    <w:rsid w:val="001607C6"/>
    <w:rsid w:val="001C0179"/>
    <w:rsid w:val="001D7074"/>
    <w:rsid w:val="001E58A9"/>
    <w:rsid w:val="001F25B2"/>
    <w:rsid w:val="00222206"/>
    <w:rsid w:val="00222230"/>
    <w:rsid w:val="002244A6"/>
    <w:rsid w:val="00262339"/>
    <w:rsid w:val="0027293B"/>
    <w:rsid w:val="00284BCB"/>
    <w:rsid w:val="002B306C"/>
    <w:rsid w:val="002B613C"/>
    <w:rsid w:val="002D0F2C"/>
    <w:rsid w:val="002F7DEB"/>
    <w:rsid w:val="00340B1E"/>
    <w:rsid w:val="00352C58"/>
    <w:rsid w:val="00381AAD"/>
    <w:rsid w:val="003C78C6"/>
    <w:rsid w:val="003E0FF0"/>
    <w:rsid w:val="00402F3E"/>
    <w:rsid w:val="00425DD7"/>
    <w:rsid w:val="00430E58"/>
    <w:rsid w:val="0043677F"/>
    <w:rsid w:val="004810D6"/>
    <w:rsid w:val="004811BD"/>
    <w:rsid w:val="00487043"/>
    <w:rsid w:val="004A3449"/>
    <w:rsid w:val="004D50A8"/>
    <w:rsid w:val="004E4084"/>
    <w:rsid w:val="004E697F"/>
    <w:rsid w:val="004F3F42"/>
    <w:rsid w:val="0052112E"/>
    <w:rsid w:val="005662D8"/>
    <w:rsid w:val="005C2775"/>
    <w:rsid w:val="005C453B"/>
    <w:rsid w:val="005D3F41"/>
    <w:rsid w:val="005D65EB"/>
    <w:rsid w:val="005F739F"/>
    <w:rsid w:val="00604718"/>
    <w:rsid w:val="00620755"/>
    <w:rsid w:val="0064245B"/>
    <w:rsid w:val="00652815"/>
    <w:rsid w:val="00691F2A"/>
    <w:rsid w:val="0069427F"/>
    <w:rsid w:val="006B5B76"/>
    <w:rsid w:val="006B62E9"/>
    <w:rsid w:val="006D47F8"/>
    <w:rsid w:val="006D55C2"/>
    <w:rsid w:val="006E5446"/>
    <w:rsid w:val="006F599B"/>
    <w:rsid w:val="00701FA1"/>
    <w:rsid w:val="00730167"/>
    <w:rsid w:val="007670A0"/>
    <w:rsid w:val="00781685"/>
    <w:rsid w:val="0079267E"/>
    <w:rsid w:val="007B4B2B"/>
    <w:rsid w:val="007C3313"/>
    <w:rsid w:val="00812182"/>
    <w:rsid w:val="00817CDA"/>
    <w:rsid w:val="008301F2"/>
    <w:rsid w:val="008304D4"/>
    <w:rsid w:val="00866822"/>
    <w:rsid w:val="00887E4D"/>
    <w:rsid w:val="008B1683"/>
    <w:rsid w:val="008C1B30"/>
    <w:rsid w:val="008C6A4C"/>
    <w:rsid w:val="008C7D87"/>
    <w:rsid w:val="008D23C2"/>
    <w:rsid w:val="008E1288"/>
    <w:rsid w:val="008E5D96"/>
    <w:rsid w:val="00901C9D"/>
    <w:rsid w:val="0090618A"/>
    <w:rsid w:val="00920070"/>
    <w:rsid w:val="00933B02"/>
    <w:rsid w:val="009656D9"/>
    <w:rsid w:val="00976B45"/>
    <w:rsid w:val="009A669E"/>
    <w:rsid w:val="009C7CB0"/>
    <w:rsid w:val="009F0384"/>
    <w:rsid w:val="00A05425"/>
    <w:rsid w:val="00A069CC"/>
    <w:rsid w:val="00A16CC4"/>
    <w:rsid w:val="00A77226"/>
    <w:rsid w:val="00A8147C"/>
    <w:rsid w:val="00AA182E"/>
    <w:rsid w:val="00AA4972"/>
    <w:rsid w:val="00AD5181"/>
    <w:rsid w:val="00AE2835"/>
    <w:rsid w:val="00AF0400"/>
    <w:rsid w:val="00AF1E6A"/>
    <w:rsid w:val="00AF7279"/>
    <w:rsid w:val="00B0159F"/>
    <w:rsid w:val="00B10EC2"/>
    <w:rsid w:val="00B30AEB"/>
    <w:rsid w:val="00B629C5"/>
    <w:rsid w:val="00B93ADB"/>
    <w:rsid w:val="00BA6A6E"/>
    <w:rsid w:val="00BB16BC"/>
    <w:rsid w:val="00BC3876"/>
    <w:rsid w:val="00BF07B4"/>
    <w:rsid w:val="00BF4C2A"/>
    <w:rsid w:val="00C00AAA"/>
    <w:rsid w:val="00C22566"/>
    <w:rsid w:val="00C64F36"/>
    <w:rsid w:val="00C76E54"/>
    <w:rsid w:val="00C809A3"/>
    <w:rsid w:val="00C92FBA"/>
    <w:rsid w:val="00CA0388"/>
    <w:rsid w:val="00CA2560"/>
    <w:rsid w:val="00CA31B0"/>
    <w:rsid w:val="00CD494F"/>
    <w:rsid w:val="00D379B6"/>
    <w:rsid w:val="00D71C2D"/>
    <w:rsid w:val="00D934C9"/>
    <w:rsid w:val="00D96135"/>
    <w:rsid w:val="00DA347B"/>
    <w:rsid w:val="00DD643B"/>
    <w:rsid w:val="00E02A21"/>
    <w:rsid w:val="00E038AF"/>
    <w:rsid w:val="00E20071"/>
    <w:rsid w:val="00E3017A"/>
    <w:rsid w:val="00E33E4D"/>
    <w:rsid w:val="00E444BB"/>
    <w:rsid w:val="00E56494"/>
    <w:rsid w:val="00E77B1E"/>
    <w:rsid w:val="00E83DD9"/>
    <w:rsid w:val="00E973D8"/>
    <w:rsid w:val="00EA4E1B"/>
    <w:rsid w:val="00EB569F"/>
    <w:rsid w:val="00EC7663"/>
    <w:rsid w:val="00EE248B"/>
    <w:rsid w:val="00F01A3E"/>
    <w:rsid w:val="00F0517B"/>
    <w:rsid w:val="00F051F2"/>
    <w:rsid w:val="00F2425D"/>
    <w:rsid w:val="00F30661"/>
    <w:rsid w:val="00F33B00"/>
    <w:rsid w:val="00F429B5"/>
    <w:rsid w:val="00F43123"/>
    <w:rsid w:val="00F7614D"/>
    <w:rsid w:val="00F83333"/>
    <w:rsid w:val="00F917DA"/>
    <w:rsid w:val="00F96975"/>
    <w:rsid w:val="00FA3C51"/>
    <w:rsid w:val="00FB7D29"/>
    <w:rsid w:val="00FC1DD3"/>
    <w:rsid w:val="00FE59E6"/>
    <w:rsid w:val="00FE6F03"/>
    <w:rsid w:val="00FF1E47"/>
    <w:rsid w:val="7911184C"/>
    <w:rsid w:val="7A6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uiPriority w:val="1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CA0388"/>
    <w:rPr>
      <w:color w:val="808080"/>
    </w:rPr>
  </w:style>
  <w:style w:type="paragraph" w:customStyle="1" w:styleId="paragraph">
    <w:name w:val="paragraph"/>
    <w:basedOn w:val="Normal"/>
    <w:uiPriority w:val="1"/>
    <w:rsid w:val="002B306C"/>
    <w:pPr>
      <w:spacing w:before="100" w:beforeAutospacing="1" w:after="100" w:afterAutospacing="1" w:line="25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B306C"/>
  </w:style>
  <w:style w:type="character" w:customStyle="1" w:styleId="eop">
    <w:name w:val="eop"/>
    <w:basedOn w:val="Fontepargpadro"/>
    <w:rsid w:val="008E1288"/>
  </w:style>
  <w:style w:type="character" w:styleId="Hyperlink">
    <w:name w:val="Hyperlink"/>
    <w:basedOn w:val="Fontepargpadro"/>
    <w:uiPriority w:val="99"/>
    <w:unhideWhenUsed/>
    <w:rsid w:val="00EB569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B569F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given-name">
    <w:name w:val="given-name"/>
    <w:basedOn w:val="Fontepargpadro"/>
    <w:rsid w:val="00EB569F"/>
  </w:style>
  <w:style w:type="character" w:customStyle="1" w:styleId="text">
    <w:name w:val="text"/>
    <w:basedOn w:val="Fontepargpadro"/>
    <w:rsid w:val="00EB569F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D47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D47F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6D47F8"/>
  </w:style>
  <w:style w:type="table" w:styleId="Tabelacomgrade">
    <w:name w:val="Table Grid"/>
    <w:basedOn w:val="Tabelanormal"/>
    <w:uiPriority w:val="59"/>
    <w:rsid w:val="00E33E4D"/>
    <w:pPr>
      <w:spacing w:after="0" w:line="240" w:lineRule="auto"/>
    </w:pPr>
    <w:rPr>
      <w:rFonts w:eastAsiaTheme="minorHAns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co2now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A5E28A-CCE0-4E06-9042-506335419F31}">
  <we:reference id="wa104382081" version="1.55.1.0" store="pt-BR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Marcelo do Prado Lucas - PrestServ</cp:lastModifiedBy>
  <cp:revision>2</cp:revision>
  <dcterms:created xsi:type="dcterms:W3CDTF">2023-08-24T22:44:00Z</dcterms:created>
  <dcterms:modified xsi:type="dcterms:W3CDTF">2023-08-24T22:44:00Z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ClassificationContentMarkingFooterShapeIds">
    <vt:lpwstr>1,2,5</vt:lpwstr>
  </property>
  <property fmtid="{D5CDD505-2E9C-101B-9397-08002B2CF9AE}" pid="23" name="ClassificationContentMarkingFooterFontProps">
    <vt:lpwstr>#008542,9,Trebuchet MS</vt:lpwstr>
  </property>
  <property fmtid="{D5CDD505-2E9C-101B-9397-08002B2CF9AE}" pid="24" name="ClassificationContentMarkingFooterText">
    <vt:lpwstr>INTERNA</vt:lpwstr>
  </property>
  <property fmtid="{D5CDD505-2E9C-101B-9397-08002B2CF9AE}" pid="25" name="MSIP_Label_4bab8652-cb8e-45ed-9aff-00ed76a575bf_Enabled">
    <vt:lpwstr>true</vt:lpwstr>
  </property>
  <property fmtid="{D5CDD505-2E9C-101B-9397-08002B2CF9AE}" pid="26" name="MSIP_Label_4bab8652-cb8e-45ed-9aff-00ed76a575bf_SetDate">
    <vt:lpwstr>2023-08-24T22:39:48Z</vt:lpwstr>
  </property>
  <property fmtid="{D5CDD505-2E9C-101B-9397-08002B2CF9AE}" pid="27" name="MSIP_Label_4bab8652-cb8e-45ed-9aff-00ed76a575bf_Method">
    <vt:lpwstr>Privileged</vt:lpwstr>
  </property>
  <property fmtid="{D5CDD505-2E9C-101B-9397-08002B2CF9AE}" pid="28" name="MSIP_Label_4bab8652-cb8e-45ed-9aff-00ed76a575bf_Name">
    <vt:lpwstr>INTERNA_SUBLABEL-2</vt:lpwstr>
  </property>
  <property fmtid="{D5CDD505-2E9C-101B-9397-08002B2CF9AE}" pid="29" name="MSIP_Label_4bab8652-cb8e-45ed-9aff-00ed76a575bf_SiteId">
    <vt:lpwstr>5b6f6241-9a57-4be4-8e50-1dfa72e79a57</vt:lpwstr>
  </property>
  <property fmtid="{D5CDD505-2E9C-101B-9397-08002B2CF9AE}" pid="30" name="MSIP_Label_4bab8652-cb8e-45ed-9aff-00ed76a575bf_ActionId">
    <vt:lpwstr>ef027634-3470-4fbe-8251-5a9fa65fdd25</vt:lpwstr>
  </property>
  <property fmtid="{D5CDD505-2E9C-101B-9397-08002B2CF9AE}" pid="31" name="MSIP_Label_4bab8652-cb8e-45ed-9aff-00ed76a575bf_ContentBits">
    <vt:lpwstr>2</vt:lpwstr>
  </property>
</Properties>
</file>