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5F2BB39" w14:textId="14F3A07C" w:rsidR="005C0CE8" w:rsidRPr="00777DEE" w:rsidRDefault="00777DEE" w:rsidP="005C0CE8">
      <w:pPr>
        <w:pStyle w:val="BATitle"/>
        <w:spacing w:before="0" w:line="240" w:lineRule="auto"/>
        <w:ind w:right="0"/>
        <w:jc w:val="both"/>
        <w:rPr>
          <w:sz w:val="32"/>
        </w:rPr>
      </w:pPr>
      <w:r w:rsidRPr="00777DEE">
        <w:rPr>
          <w:sz w:val="32"/>
        </w:rPr>
        <w:t>Probing molybdenum oxycarbide catalytic s</w:t>
      </w:r>
      <w:r>
        <w:rPr>
          <w:sz w:val="32"/>
        </w:rPr>
        <w:t>ites through acetone hydrodeoxygenation reaction</w:t>
      </w:r>
    </w:p>
    <w:p w14:paraId="18735493" w14:textId="141B138D" w:rsidR="00EA4E1B" w:rsidRPr="001F25B2" w:rsidRDefault="005C0CE8" w:rsidP="00EA4E1B">
      <w:pPr>
        <w:pStyle w:val="BBAuthorName"/>
        <w:spacing w:after="120"/>
        <w:ind w:right="0"/>
        <w:jc w:val="both"/>
        <w:rPr>
          <w:rFonts w:ascii="Times New Roman" w:hAnsi="Times New Roman"/>
          <w:sz w:val="20"/>
          <w:lang w:val="pt-BR"/>
        </w:rPr>
      </w:pPr>
      <w:r>
        <w:rPr>
          <w:rFonts w:ascii="Times New Roman" w:hAnsi="Times New Roman"/>
          <w:sz w:val="20"/>
          <w:lang w:val="pt-BR"/>
        </w:rPr>
        <w:t>Gabriel B. Báfero</w:t>
      </w:r>
      <w:r w:rsidRPr="005C0CE8">
        <w:rPr>
          <w:rFonts w:ascii="Times New Roman" w:hAnsi="Times New Roman"/>
          <w:sz w:val="20"/>
          <w:vertAlign w:val="superscript"/>
          <w:lang w:val="pt-BR"/>
        </w:rPr>
        <w:t>1</w:t>
      </w:r>
      <w:r>
        <w:rPr>
          <w:rFonts w:ascii="Times New Roman" w:hAnsi="Times New Roman"/>
          <w:sz w:val="20"/>
          <w:lang w:val="pt-BR"/>
        </w:rPr>
        <w:t>, Guilherme B. Strapasson</w:t>
      </w:r>
      <w:r w:rsidRPr="005C0CE8">
        <w:rPr>
          <w:rFonts w:ascii="Times New Roman" w:hAnsi="Times New Roman"/>
          <w:sz w:val="20"/>
          <w:vertAlign w:val="superscript"/>
          <w:lang w:val="pt-BR"/>
        </w:rPr>
        <w:t>1,2</w:t>
      </w:r>
      <w:r>
        <w:rPr>
          <w:rFonts w:ascii="Times New Roman" w:hAnsi="Times New Roman"/>
          <w:sz w:val="20"/>
          <w:lang w:val="pt-BR"/>
        </w:rPr>
        <w:t>, Davi S. Leite</w:t>
      </w:r>
      <w:r w:rsidRPr="005C0CE8">
        <w:rPr>
          <w:rFonts w:ascii="Times New Roman" w:hAnsi="Times New Roman"/>
          <w:sz w:val="20"/>
          <w:vertAlign w:val="superscript"/>
          <w:lang w:val="pt-BR"/>
        </w:rPr>
        <w:t>1</w:t>
      </w:r>
      <w:r>
        <w:rPr>
          <w:rFonts w:ascii="Times New Roman" w:hAnsi="Times New Roman"/>
          <w:sz w:val="20"/>
          <w:lang w:val="pt-BR"/>
        </w:rPr>
        <w:t>, Daniela Zanchet</w:t>
      </w:r>
      <w:r w:rsidRPr="005C0CE8">
        <w:rPr>
          <w:rFonts w:ascii="Times New Roman" w:hAnsi="Times New Roman"/>
          <w:sz w:val="20"/>
          <w:vertAlign w:val="superscript"/>
          <w:lang w:val="pt-BR"/>
        </w:rPr>
        <w:t>1,</w:t>
      </w:r>
      <w:r>
        <w:rPr>
          <w:rFonts w:ascii="Times New Roman" w:hAnsi="Times New Roman"/>
          <w:sz w:val="20"/>
          <w:lang w:val="pt-BR"/>
        </w:rPr>
        <w:t>*</w:t>
      </w:r>
    </w:p>
    <w:p w14:paraId="74B3BC0E" w14:textId="5FCFB5D3" w:rsidR="005C0CE8" w:rsidRPr="005C0CE8" w:rsidRDefault="005C0CE8" w:rsidP="00EA4E1B">
      <w:pPr>
        <w:pStyle w:val="BCAuthorAddress"/>
        <w:spacing w:after="0"/>
        <w:ind w:right="0"/>
        <w:jc w:val="both"/>
      </w:pPr>
      <w:bookmarkStart w:id="2" w:name="_Hlk130552493"/>
      <w:r w:rsidRPr="00451E62">
        <w:rPr>
          <w:vertAlign w:val="superscript"/>
        </w:rPr>
        <w:t>1</w:t>
      </w:r>
      <w:r w:rsidRPr="005C0CE8">
        <w:t xml:space="preserve"> </w:t>
      </w:r>
      <w:bookmarkStart w:id="3" w:name="_Hlk130552535"/>
      <w:r w:rsidRPr="005C0CE8">
        <w:t xml:space="preserve">Institute of Chemistry, University of Campinas, UNICAMP, Campinas, SP, 13083-970, Brazil </w:t>
      </w:r>
      <w:bookmarkEnd w:id="3"/>
    </w:p>
    <w:p w14:paraId="718FE66E" w14:textId="77777777" w:rsidR="005C0CE8" w:rsidRDefault="005C0CE8" w:rsidP="005C0CE8">
      <w:pPr>
        <w:pStyle w:val="BCAuthorAddress"/>
        <w:spacing w:after="0"/>
        <w:ind w:right="0"/>
        <w:jc w:val="both"/>
      </w:pPr>
      <w:r w:rsidRPr="005C0CE8">
        <w:rPr>
          <w:vertAlign w:val="superscript"/>
        </w:rPr>
        <w:t>2</w:t>
      </w:r>
      <w:r w:rsidRPr="005C0CE8">
        <w:t xml:space="preserve"> Brazilian Synchrotron Light Laboratory, CNPEM, Campinas, SP, 13083-100, Brazi</w:t>
      </w:r>
      <w:r>
        <w:t xml:space="preserve">l </w:t>
      </w:r>
    </w:p>
    <w:p w14:paraId="56CBFE42" w14:textId="4B21FA66" w:rsidR="005C0CE8" w:rsidRPr="00CB1AED" w:rsidRDefault="005C0CE8" w:rsidP="005C0CE8">
      <w:pPr>
        <w:pStyle w:val="BCAuthorAddress"/>
        <w:spacing w:after="0"/>
        <w:ind w:right="0"/>
        <w:jc w:val="both"/>
        <w:rPr>
          <w:lang w:val="pt-BR"/>
        </w:rPr>
      </w:pPr>
      <w:bookmarkStart w:id="4" w:name="_Hlk130552559"/>
      <w:r w:rsidRPr="00CB1AED">
        <w:rPr>
          <w:lang w:val="pt-BR"/>
        </w:rPr>
        <w:t xml:space="preserve">* </w:t>
      </w:r>
      <w:r w:rsidRPr="00A17A53">
        <w:rPr>
          <w:lang w:val="pt-BR"/>
        </w:rPr>
        <w:t>Corresponding Author:</w:t>
      </w:r>
      <w:r w:rsidRPr="00CB1AED">
        <w:rPr>
          <w:lang w:val="pt-BR"/>
        </w:rPr>
        <w:t xml:space="preserve"> zanchet@unicamp.br</w:t>
      </w:r>
    </w:p>
    <w:bookmarkEnd w:id="0"/>
    <w:bookmarkEnd w:id="2"/>
    <w:bookmarkEnd w:id="4"/>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0065670"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0065670"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492BA18D"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DD6E4D" w:rsidRPr="00DD6E4D">
        <w:rPr>
          <w:rFonts w:ascii="Times New Roman" w:hAnsi="Times New Roman"/>
          <w:b w:val="0"/>
          <w:sz w:val="20"/>
          <w:lang w:val="pt-BR"/>
        </w:rPr>
        <w:t>As propriedades de superfície</w:t>
      </w:r>
      <w:r w:rsidR="00DD6E4D">
        <w:rPr>
          <w:rFonts w:ascii="Times New Roman" w:hAnsi="Times New Roman"/>
          <w:b w:val="0"/>
          <w:sz w:val="20"/>
          <w:lang w:val="pt-BR"/>
        </w:rPr>
        <w:t xml:space="preserve"> de</w:t>
      </w:r>
      <w:r w:rsidR="00DD6E4D" w:rsidRPr="00DD6E4D">
        <w:rPr>
          <w:rFonts w:ascii="Times New Roman" w:hAnsi="Times New Roman"/>
          <w:b w:val="0"/>
          <w:sz w:val="20"/>
          <w:lang w:val="pt-BR"/>
        </w:rPr>
        <w:t xml:space="preserve"> MoO</w:t>
      </w:r>
      <w:r w:rsidR="00DD6E4D" w:rsidRPr="00DD6E4D">
        <w:rPr>
          <w:rFonts w:ascii="Times New Roman" w:hAnsi="Times New Roman"/>
          <w:b w:val="0"/>
          <w:sz w:val="20"/>
          <w:vertAlign w:val="subscript"/>
          <w:lang w:val="pt-BR"/>
        </w:rPr>
        <w:t>3</w:t>
      </w:r>
      <w:r w:rsidR="00DD6E4D" w:rsidRPr="00DD6E4D">
        <w:rPr>
          <w:rFonts w:ascii="Times New Roman" w:hAnsi="Times New Roman"/>
          <w:b w:val="0"/>
          <w:sz w:val="20"/>
          <w:lang w:val="pt-BR"/>
        </w:rPr>
        <w:t xml:space="preserve"> foram </w:t>
      </w:r>
      <w:r w:rsidR="00DD6E4D">
        <w:rPr>
          <w:rFonts w:ascii="Times New Roman" w:hAnsi="Times New Roman"/>
          <w:b w:val="0"/>
          <w:sz w:val="20"/>
          <w:lang w:val="pt-BR"/>
        </w:rPr>
        <w:t>estudadas</w:t>
      </w:r>
      <w:r w:rsidR="00DD6E4D" w:rsidRPr="00DD6E4D">
        <w:rPr>
          <w:rFonts w:ascii="Times New Roman" w:hAnsi="Times New Roman"/>
          <w:b w:val="0"/>
          <w:sz w:val="20"/>
          <w:lang w:val="pt-BR"/>
        </w:rPr>
        <w:t xml:space="preserve"> através da reação de hidrodesoxigenação de acetona (HDO) em fase gasosa</w:t>
      </w:r>
      <w:r w:rsidR="002E10FC">
        <w:rPr>
          <w:rFonts w:ascii="Times New Roman" w:hAnsi="Times New Roman"/>
          <w:b w:val="0"/>
          <w:sz w:val="20"/>
          <w:lang w:val="pt-BR"/>
        </w:rPr>
        <w:t>, p</w:t>
      </w:r>
      <w:r w:rsidR="00CB1AED">
        <w:rPr>
          <w:rFonts w:ascii="Times New Roman" w:hAnsi="Times New Roman"/>
          <w:b w:val="0"/>
          <w:sz w:val="20"/>
          <w:lang w:val="pt-BR"/>
        </w:rPr>
        <w:t xml:space="preserve">ermitindo ampla discussão </w:t>
      </w:r>
      <w:r w:rsidR="002E10FC">
        <w:rPr>
          <w:rFonts w:ascii="Times New Roman" w:hAnsi="Times New Roman"/>
          <w:b w:val="0"/>
          <w:sz w:val="20"/>
          <w:lang w:val="pt-BR"/>
        </w:rPr>
        <w:t>acerca</w:t>
      </w:r>
      <w:r w:rsidR="00DD6E4D" w:rsidRPr="00DD6E4D">
        <w:rPr>
          <w:rFonts w:ascii="Times New Roman" w:hAnsi="Times New Roman"/>
          <w:b w:val="0"/>
          <w:sz w:val="20"/>
          <w:lang w:val="pt-BR"/>
        </w:rPr>
        <w:t xml:space="preserve"> </w:t>
      </w:r>
      <w:r w:rsidR="00CB1AED">
        <w:rPr>
          <w:rFonts w:ascii="Times New Roman" w:hAnsi="Times New Roman"/>
          <w:b w:val="0"/>
          <w:sz w:val="20"/>
          <w:lang w:val="pt-BR"/>
        </w:rPr>
        <w:t>da</w:t>
      </w:r>
      <w:r w:rsidR="00DD6E4D" w:rsidRPr="00DD6E4D">
        <w:rPr>
          <w:rFonts w:ascii="Times New Roman" w:hAnsi="Times New Roman"/>
          <w:b w:val="0"/>
          <w:sz w:val="20"/>
          <w:lang w:val="pt-BR"/>
        </w:rPr>
        <w:t xml:space="preserve"> correlação entre as </w:t>
      </w:r>
      <w:r w:rsidR="00DD6E4D">
        <w:rPr>
          <w:rFonts w:ascii="Times New Roman" w:hAnsi="Times New Roman"/>
          <w:b w:val="0"/>
          <w:sz w:val="20"/>
          <w:lang w:val="pt-BR"/>
        </w:rPr>
        <w:t>diferentes etapas reacionais</w:t>
      </w:r>
      <w:r w:rsidR="00DD6E4D" w:rsidRPr="00DD6E4D">
        <w:rPr>
          <w:rFonts w:ascii="Times New Roman" w:hAnsi="Times New Roman"/>
          <w:b w:val="0"/>
          <w:sz w:val="20"/>
          <w:lang w:val="pt-BR"/>
        </w:rPr>
        <w:t xml:space="preserve"> e os sítios ativos. Sob condições de redução/carburação</w:t>
      </w:r>
      <w:r w:rsidR="00DD6E4D">
        <w:rPr>
          <w:rFonts w:ascii="Times New Roman" w:hAnsi="Times New Roman"/>
          <w:b w:val="0"/>
          <w:sz w:val="20"/>
          <w:lang w:val="pt-BR"/>
        </w:rPr>
        <w:t>, como é o caso de</w:t>
      </w:r>
      <w:r w:rsidR="00DD6E4D" w:rsidRPr="00DD6E4D">
        <w:rPr>
          <w:rFonts w:ascii="Times New Roman" w:hAnsi="Times New Roman"/>
          <w:b w:val="0"/>
          <w:sz w:val="20"/>
          <w:lang w:val="pt-BR"/>
        </w:rPr>
        <w:t xml:space="preserve"> HDO, outros óxidos (MoO</w:t>
      </w:r>
      <w:r w:rsidR="00DD6E4D" w:rsidRPr="00DD6E4D">
        <w:rPr>
          <w:rFonts w:ascii="Times New Roman" w:hAnsi="Times New Roman"/>
          <w:b w:val="0"/>
          <w:sz w:val="20"/>
          <w:vertAlign w:val="subscript"/>
          <w:lang w:val="pt-BR"/>
        </w:rPr>
        <w:t>x</w:t>
      </w:r>
      <w:r w:rsidR="00DD6E4D" w:rsidRPr="00DD6E4D">
        <w:rPr>
          <w:rFonts w:ascii="Times New Roman" w:hAnsi="Times New Roman"/>
          <w:b w:val="0"/>
          <w:sz w:val="20"/>
          <w:lang w:val="pt-BR"/>
        </w:rPr>
        <w:t>) e oxicarb</w:t>
      </w:r>
      <w:r w:rsidR="00DD6E4D">
        <w:rPr>
          <w:rFonts w:ascii="Times New Roman" w:hAnsi="Times New Roman"/>
          <w:b w:val="0"/>
          <w:sz w:val="20"/>
          <w:lang w:val="pt-BR"/>
        </w:rPr>
        <w:t>etos</w:t>
      </w:r>
      <w:r w:rsidR="00DD6E4D" w:rsidRPr="00DD6E4D">
        <w:rPr>
          <w:rFonts w:ascii="Times New Roman" w:hAnsi="Times New Roman"/>
          <w:b w:val="0"/>
          <w:sz w:val="20"/>
          <w:lang w:val="pt-BR"/>
        </w:rPr>
        <w:t xml:space="preserve"> (MoO</w:t>
      </w:r>
      <w:r w:rsidR="00DD6E4D" w:rsidRPr="00DD6E4D">
        <w:rPr>
          <w:rFonts w:ascii="Times New Roman" w:hAnsi="Times New Roman"/>
          <w:b w:val="0"/>
          <w:sz w:val="20"/>
          <w:vertAlign w:val="subscript"/>
          <w:lang w:val="pt-BR"/>
        </w:rPr>
        <w:t>x</w:t>
      </w:r>
      <w:r w:rsidR="00DD6E4D" w:rsidRPr="00DD6E4D">
        <w:rPr>
          <w:rFonts w:ascii="Times New Roman" w:hAnsi="Times New Roman"/>
          <w:b w:val="0"/>
          <w:sz w:val="20"/>
          <w:lang w:val="pt-BR"/>
        </w:rPr>
        <w:t>C</w:t>
      </w:r>
      <w:r w:rsidR="00DD6E4D" w:rsidRPr="00DD6E4D">
        <w:rPr>
          <w:rFonts w:ascii="Times New Roman" w:hAnsi="Times New Roman"/>
          <w:b w:val="0"/>
          <w:sz w:val="20"/>
          <w:vertAlign w:val="subscript"/>
          <w:lang w:val="pt-BR"/>
        </w:rPr>
        <w:t>y</w:t>
      </w:r>
      <w:r w:rsidR="00DD6E4D" w:rsidRPr="00DD6E4D">
        <w:rPr>
          <w:rFonts w:ascii="Times New Roman" w:hAnsi="Times New Roman"/>
          <w:b w:val="0"/>
          <w:sz w:val="20"/>
          <w:lang w:val="pt-BR"/>
        </w:rPr>
        <w:t>)</w:t>
      </w:r>
      <w:r w:rsidR="00DD6E4D">
        <w:rPr>
          <w:rFonts w:ascii="Times New Roman" w:hAnsi="Times New Roman"/>
          <w:b w:val="0"/>
          <w:sz w:val="20"/>
          <w:lang w:val="pt-BR"/>
        </w:rPr>
        <w:t xml:space="preserve"> de molibdênio</w:t>
      </w:r>
      <w:r w:rsidR="00DD6E4D" w:rsidRPr="00DD6E4D">
        <w:rPr>
          <w:rFonts w:ascii="Times New Roman" w:hAnsi="Times New Roman"/>
          <w:b w:val="0"/>
          <w:sz w:val="20"/>
          <w:lang w:val="pt-BR"/>
        </w:rPr>
        <w:t xml:space="preserve"> foram </w:t>
      </w:r>
      <w:r w:rsidR="00DD6E4D">
        <w:rPr>
          <w:rFonts w:ascii="Times New Roman" w:hAnsi="Times New Roman"/>
          <w:b w:val="0"/>
          <w:sz w:val="20"/>
          <w:lang w:val="pt-BR"/>
        </w:rPr>
        <w:t>formados</w:t>
      </w:r>
      <w:r w:rsidR="00CB1AED">
        <w:rPr>
          <w:rFonts w:ascii="Times New Roman" w:hAnsi="Times New Roman"/>
          <w:b w:val="0"/>
          <w:sz w:val="20"/>
          <w:lang w:val="pt-BR"/>
        </w:rPr>
        <w:t>,</w:t>
      </w:r>
      <w:r w:rsidR="00DD6E4D" w:rsidRPr="00DD6E4D">
        <w:rPr>
          <w:rFonts w:ascii="Times New Roman" w:hAnsi="Times New Roman"/>
          <w:b w:val="0"/>
          <w:sz w:val="20"/>
          <w:lang w:val="pt-BR"/>
        </w:rPr>
        <w:t xml:space="preserve"> apresentando estados de oxidação variáveis. </w:t>
      </w:r>
      <w:r w:rsidR="00DD6E4D">
        <w:rPr>
          <w:rFonts w:ascii="Times New Roman" w:hAnsi="Times New Roman"/>
          <w:b w:val="0"/>
          <w:sz w:val="20"/>
          <w:lang w:val="pt-BR"/>
        </w:rPr>
        <w:t xml:space="preserve">Medidas de </w:t>
      </w:r>
      <w:r w:rsidR="00DD6E4D" w:rsidRPr="00DD6E4D">
        <w:rPr>
          <w:rFonts w:ascii="Times New Roman" w:hAnsi="Times New Roman"/>
          <w:b w:val="0"/>
          <w:sz w:val="20"/>
          <w:lang w:val="pt-BR"/>
        </w:rPr>
        <w:t xml:space="preserve">XPS mostraram a estabilização </w:t>
      </w:r>
      <w:r w:rsidR="00DD6E4D">
        <w:rPr>
          <w:rFonts w:ascii="Times New Roman" w:hAnsi="Times New Roman"/>
          <w:b w:val="0"/>
          <w:sz w:val="20"/>
          <w:lang w:val="pt-BR"/>
        </w:rPr>
        <w:t>de</w:t>
      </w:r>
      <w:r w:rsidR="00DD6E4D" w:rsidRPr="00DD6E4D">
        <w:rPr>
          <w:rFonts w:ascii="Times New Roman" w:hAnsi="Times New Roman"/>
          <w:b w:val="0"/>
          <w:sz w:val="20"/>
          <w:lang w:val="pt-BR"/>
        </w:rPr>
        <w:t xml:space="preserve"> espécies Mo</w:t>
      </w:r>
      <w:r w:rsidR="00DD6E4D" w:rsidRPr="00DD6E4D">
        <w:rPr>
          <w:rFonts w:ascii="Times New Roman" w:hAnsi="Times New Roman"/>
          <w:b w:val="0"/>
          <w:sz w:val="20"/>
          <w:vertAlign w:val="superscript"/>
          <w:lang w:val="pt-BR"/>
        </w:rPr>
        <w:t>5+</w:t>
      </w:r>
      <w:r w:rsidR="00DD6E4D" w:rsidRPr="00DD6E4D">
        <w:rPr>
          <w:rFonts w:ascii="Times New Roman" w:hAnsi="Times New Roman"/>
          <w:b w:val="0"/>
          <w:sz w:val="20"/>
          <w:lang w:val="pt-BR"/>
        </w:rPr>
        <w:t xml:space="preserve"> </w:t>
      </w:r>
      <w:r w:rsidR="00DD6E4D">
        <w:rPr>
          <w:rFonts w:ascii="Times New Roman" w:hAnsi="Times New Roman"/>
          <w:b w:val="0"/>
          <w:sz w:val="20"/>
          <w:lang w:val="pt-BR"/>
        </w:rPr>
        <w:t>na fase</w:t>
      </w:r>
      <w:r w:rsidR="00DD6E4D" w:rsidRPr="00DD6E4D">
        <w:rPr>
          <w:rFonts w:ascii="Times New Roman" w:hAnsi="Times New Roman"/>
          <w:b w:val="0"/>
          <w:sz w:val="20"/>
          <w:lang w:val="pt-BR"/>
        </w:rPr>
        <w:t xml:space="preserve"> MoO</w:t>
      </w:r>
      <w:r w:rsidR="00DD6E4D" w:rsidRPr="00DD6E4D">
        <w:rPr>
          <w:rFonts w:ascii="Times New Roman" w:hAnsi="Times New Roman"/>
          <w:b w:val="0"/>
          <w:sz w:val="20"/>
          <w:vertAlign w:val="subscript"/>
          <w:lang w:val="pt-BR"/>
        </w:rPr>
        <w:t>x</w:t>
      </w:r>
      <w:r w:rsidR="00DD6E4D" w:rsidRPr="00DD6E4D">
        <w:rPr>
          <w:rFonts w:ascii="Times New Roman" w:hAnsi="Times New Roman"/>
          <w:b w:val="0"/>
          <w:sz w:val="20"/>
          <w:lang w:val="pt-BR"/>
        </w:rPr>
        <w:t>C</w:t>
      </w:r>
      <w:r w:rsidR="00DD6E4D" w:rsidRPr="00DD6E4D">
        <w:rPr>
          <w:rFonts w:ascii="Times New Roman" w:hAnsi="Times New Roman"/>
          <w:b w:val="0"/>
          <w:sz w:val="20"/>
          <w:vertAlign w:val="subscript"/>
          <w:lang w:val="pt-BR"/>
        </w:rPr>
        <w:t>y</w:t>
      </w:r>
      <w:r w:rsidR="00DD6E4D" w:rsidRPr="00DD6E4D">
        <w:rPr>
          <w:rFonts w:ascii="Times New Roman" w:hAnsi="Times New Roman"/>
          <w:b w:val="0"/>
          <w:sz w:val="20"/>
          <w:lang w:val="pt-BR"/>
        </w:rPr>
        <w:t xml:space="preserve">, que </w:t>
      </w:r>
      <w:r w:rsidR="00CB1AED">
        <w:rPr>
          <w:rFonts w:ascii="Times New Roman" w:hAnsi="Times New Roman"/>
          <w:b w:val="0"/>
          <w:sz w:val="20"/>
          <w:lang w:val="pt-BR"/>
        </w:rPr>
        <w:t>exibiram</w:t>
      </w:r>
      <w:r w:rsidR="00DD6E4D" w:rsidRPr="00DD6E4D">
        <w:rPr>
          <w:rFonts w:ascii="Times New Roman" w:hAnsi="Times New Roman"/>
          <w:b w:val="0"/>
          <w:sz w:val="20"/>
          <w:lang w:val="pt-BR"/>
        </w:rPr>
        <w:t xml:space="preserve"> comportamento </w:t>
      </w:r>
      <w:r w:rsidR="00DE4489">
        <w:rPr>
          <w:rFonts w:ascii="Times New Roman" w:hAnsi="Times New Roman"/>
          <w:b w:val="0"/>
          <w:sz w:val="20"/>
          <w:lang w:val="pt-BR"/>
        </w:rPr>
        <w:t>hidrogenante</w:t>
      </w:r>
      <w:r w:rsidR="00DD6E4D" w:rsidRPr="00DD6E4D">
        <w:rPr>
          <w:rFonts w:ascii="Times New Roman" w:hAnsi="Times New Roman"/>
          <w:b w:val="0"/>
          <w:sz w:val="20"/>
          <w:lang w:val="pt-BR"/>
        </w:rPr>
        <w:t xml:space="preserve">. Além disso, a acidez total aumentou com a </w:t>
      </w:r>
      <w:r w:rsidR="00DD6E4D">
        <w:rPr>
          <w:rFonts w:ascii="Times New Roman" w:hAnsi="Times New Roman"/>
          <w:b w:val="0"/>
          <w:sz w:val="20"/>
          <w:lang w:val="pt-BR"/>
        </w:rPr>
        <w:t xml:space="preserve">transição </w:t>
      </w:r>
      <w:r w:rsidR="00CB1AED">
        <w:rPr>
          <w:rFonts w:ascii="Times New Roman" w:hAnsi="Times New Roman"/>
          <w:b w:val="0"/>
          <w:sz w:val="20"/>
          <w:lang w:val="pt-BR"/>
        </w:rPr>
        <w:t xml:space="preserve">de </w:t>
      </w:r>
      <w:r w:rsidR="00CB1AED" w:rsidRPr="00DD6E4D">
        <w:rPr>
          <w:rFonts w:ascii="Times New Roman" w:hAnsi="Times New Roman"/>
          <w:b w:val="0"/>
          <w:sz w:val="20"/>
          <w:lang w:val="pt-BR"/>
        </w:rPr>
        <w:t>MoO</w:t>
      </w:r>
      <w:r w:rsidR="00CB1AED" w:rsidRPr="00DD6E4D">
        <w:rPr>
          <w:rFonts w:ascii="Times New Roman" w:hAnsi="Times New Roman"/>
          <w:b w:val="0"/>
          <w:sz w:val="20"/>
          <w:vertAlign w:val="subscript"/>
          <w:lang w:val="pt-BR"/>
        </w:rPr>
        <w:t>3</w:t>
      </w:r>
      <w:r w:rsidR="00CB1AED">
        <w:rPr>
          <w:rFonts w:ascii="Times New Roman" w:hAnsi="Times New Roman"/>
          <w:b w:val="0"/>
          <w:sz w:val="20"/>
          <w:vertAlign w:val="subscript"/>
          <w:lang w:val="pt-BR"/>
        </w:rPr>
        <w:t xml:space="preserve"> </w:t>
      </w:r>
      <w:r w:rsidR="00DD6E4D">
        <w:rPr>
          <w:rFonts w:ascii="Times New Roman" w:hAnsi="Times New Roman"/>
          <w:b w:val="0"/>
          <w:sz w:val="20"/>
          <w:lang w:val="pt-BR"/>
        </w:rPr>
        <w:t>para as</w:t>
      </w:r>
      <w:r w:rsidR="00DD6E4D" w:rsidRPr="00DD6E4D">
        <w:rPr>
          <w:rFonts w:ascii="Times New Roman" w:hAnsi="Times New Roman"/>
          <w:b w:val="0"/>
          <w:sz w:val="20"/>
          <w:lang w:val="pt-BR"/>
        </w:rPr>
        <w:t xml:space="preserve"> fases MoO</w:t>
      </w:r>
      <w:r w:rsidR="00DD6E4D" w:rsidRPr="00DD6E4D">
        <w:rPr>
          <w:rFonts w:ascii="Times New Roman" w:hAnsi="Times New Roman"/>
          <w:b w:val="0"/>
          <w:sz w:val="20"/>
          <w:vertAlign w:val="subscript"/>
          <w:lang w:val="pt-BR"/>
        </w:rPr>
        <w:t>x</w:t>
      </w:r>
      <w:r w:rsidR="00DD6E4D" w:rsidRPr="00DD6E4D">
        <w:rPr>
          <w:rFonts w:ascii="Times New Roman" w:hAnsi="Times New Roman"/>
          <w:b w:val="0"/>
          <w:sz w:val="20"/>
          <w:lang w:val="pt-BR"/>
        </w:rPr>
        <w:t>/MoO</w:t>
      </w:r>
      <w:r w:rsidR="00DD6E4D" w:rsidRPr="00DD6E4D">
        <w:rPr>
          <w:rFonts w:ascii="Times New Roman" w:hAnsi="Times New Roman"/>
          <w:b w:val="0"/>
          <w:sz w:val="20"/>
          <w:vertAlign w:val="subscript"/>
          <w:lang w:val="pt-BR"/>
        </w:rPr>
        <w:t>x</w:t>
      </w:r>
      <w:r w:rsidR="00DD6E4D" w:rsidRPr="00DD6E4D">
        <w:rPr>
          <w:rFonts w:ascii="Times New Roman" w:hAnsi="Times New Roman"/>
          <w:b w:val="0"/>
          <w:sz w:val="20"/>
          <w:lang w:val="pt-BR"/>
        </w:rPr>
        <w:t>C</w:t>
      </w:r>
      <w:r w:rsidR="00DD6E4D" w:rsidRPr="00DD6E4D">
        <w:rPr>
          <w:rFonts w:ascii="Times New Roman" w:hAnsi="Times New Roman"/>
          <w:b w:val="0"/>
          <w:sz w:val="20"/>
          <w:vertAlign w:val="subscript"/>
          <w:lang w:val="pt-BR"/>
        </w:rPr>
        <w:t>y</w:t>
      </w:r>
      <w:r w:rsidR="00DD6E4D" w:rsidRPr="00DD6E4D">
        <w:rPr>
          <w:rFonts w:ascii="Times New Roman" w:hAnsi="Times New Roman"/>
          <w:b w:val="0"/>
          <w:sz w:val="20"/>
          <w:lang w:val="pt-BR"/>
        </w:rPr>
        <w:t xml:space="preserve">, </w:t>
      </w:r>
      <w:r w:rsidR="00CB1AED">
        <w:rPr>
          <w:rFonts w:ascii="Times New Roman" w:hAnsi="Times New Roman"/>
          <w:b w:val="0"/>
          <w:sz w:val="20"/>
          <w:lang w:val="pt-BR"/>
        </w:rPr>
        <w:t>participando</w:t>
      </w:r>
      <w:r w:rsidR="00DD6E4D" w:rsidRPr="00DD6E4D">
        <w:rPr>
          <w:rFonts w:ascii="Times New Roman" w:hAnsi="Times New Roman"/>
          <w:b w:val="0"/>
          <w:sz w:val="20"/>
          <w:lang w:val="pt-BR"/>
        </w:rPr>
        <w:t xml:space="preserve"> </w:t>
      </w:r>
      <w:r w:rsidR="00CB1AED">
        <w:rPr>
          <w:rFonts w:ascii="Times New Roman" w:hAnsi="Times New Roman"/>
          <w:b w:val="0"/>
          <w:sz w:val="20"/>
          <w:lang w:val="pt-BR"/>
        </w:rPr>
        <w:t>d</w:t>
      </w:r>
      <w:r w:rsidR="00DD6E4D" w:rsidRPr="00DD6E4D">
        <w:rPr>
          <w:rFonts w:ascii="Times New Roman" w:hAnsi="Times New Roman"/>
          <w:b w:val="0"/>
          <w:sz w:val="20"/>
          <w:lang w:val="pt-BR"/>
        </w:rPr>
        <w:t xml:space="preserve">as etapas de condensação e desidratação. </w:t>
      </w:r>
      <w:r w:rsidR="00CB1AED" w:rsidRPr="00DD6E4D">
        <w:rPr>
          <w:rFonts w:ascii="Times New Roman" w:hAnsi="Times New Roman"/>
          <w:b w:val="0"/>
          <w:sz w:val="20"/>
          <w:lang w:val="pt-BR"/>
        </w:rPr>
        <w:t>MoO</w:t>
      </w:r>
      <w:r w:rsidR="00CB1AED" w:rsidRPr="00DD6E4D">
        <w:rPr>
          <w:rFonts w:ascii="Times New Roman" w:hAnsi="Times New Roman"/>
          <w:b w:val="0"/>
          <w:sz w:val="20"/>
          <w:vertAlign w:val="subscript"/>
          <w:lang w:val="pt-BR"/>
        </w:rPr>
        <w:t>x</w:t>
      </w:r>
      <w:r w:rsidR="00CB1AED" w:rsidRPr="00DD6E4D">
        <w:rPr>
          <w:rFonts w:ascii="Times New Roman" w:hAnsi="Times New Roman"/>
          <w:b w:val="0"/>
          <w:sz w:val="20"/>
          <w:lang w:val="pt-BR"/>
        </w:rPr>
        <w:t>C</w:t>
      </w:r>
      <w:r w:rsidR="00CB1AED" w:rsidRPr="00DD6E4D">
        <w:rPr>
          <w:rFonts w:ascii="Times New Roman" w:hAnsi="Times New Roman"/>
          <w:b w:val="0"/>
          <w:sz w:val="20"/>
          <w:vertAlign w:val="subscript"/>
          <w:lang w:val="pt-BR"/>
        </w:rPr>
        <w:t>y</w:t>
      </w:r>
      <w:r w:rsidR="00CB1AED">
        <w:rPr>
          <w:rFonts w:ascii="Times New Roman" w:hAnsi="Times New Roman"/>
          <w:b w:val="0"/>
          <w:sz w:val="20"/>
          <w:lang w:val="pt-BR"/>
        </w:rPr>
        <w:t xml:space="preserve"> ainda </w:t>
      </w:r>
      <w:r w:rsidR="00DC0ED2">
        <w:rPr>
          <w:rFonts w:ascii="Times New Roman" w:hAnsi="Times New Roman"/>
          <w:b w:val="0"/>
          <w:sz w:val="20"/>
          <w:lang w:val="pt-BR"/>
        </w:rPr>
        <w:t>promoveu</w:t>
      </w:r>
      <w:r w:rsidR="00CB1AED">
        <w:rPr>
          <w:rFonts w:ascii="Times New Roman" w:hAnsi="Times New Roman"/>
          <w:b w:val="0"/>
          <w:sz w:val="20"/>
          <w:lang w:val="pt-BR"/>
        </w:rPr>
        <w:t xml:space="preserve"> s</w:t>
      </w:r>
      <w:r w:rsidR="00DD6E4D" w:rsidRPr="00DD6E4D">
        <w:rPr>
          <w:rFonts w:ascii="Times New Roman" w:hAnsi="Times New Roman"/>
          <w:b w:val="0"/>
          <w:sz w:val="20"/>
          <w:lang w:val="pt-BR"/>
        </w:rPr>
        <w:t xml:space="preserve">ítios de ácido de Brønsted </w:t>
      </w:r>
      <w:r w:rsidR="00CB1AED">
        <w:rPr>
          <w:rFonts w:ascii="Times New Roman" w:hAnsi="Times New Roman"/>
          <w:b w:val="0"/>
          <w:sz w:val="20"/>
          <w:lang w:val="pt-BR"/>
        </w:rPr>
        <w:t xml:space="preserve">mais </w:t>
      </w:r>
      <w:r w:rsidR="00DD6E4D">
        <w:rPr>
          <w:rFonts w:ascii="Times New Roman" w:hAnsi="Times New Roman"/>
          <w:b w:val="0"/>
          <w:sz w:val="20"/>
          <w:lang w:val="pt-BR"/>
        </w:rPr>
        <w:t>fortes</w:t>
      </w:r>
      <w:r w:rsidR="00DD6E4D" w:rsidRPr="00DD6E4D">
        <w:rPr>
          <w:rFonts w:ascii="Times New Roman" w:hAnsi="Times New Roman"/>
          <w:b w:val="0"/>
          <w:sz w:val="20"/>
          <w:lang w:val="pt-BR"/>
        </w:rPr>
        <w:t xml:space="preserve">, conforme </w:t>
      </w:r>
      <w:r w:rsidR="00DD6E4D">
        <w:rPr>
          <w:rFonts w:ascii="Times New Roman" w:hAnsi="Times New Roman"/>
          <w:b w:val="0"/>
          <w:sz w:val="20"/>
          <w:lang w:val="pt-BR"/>
        </w:rPr>
        <w:t>mostraram</w:t>
      </w:r>
      <w:r w:rsidR="00DD6E4D" w:rsidRPr="00DD6E4D">
        <w:rPr>
          <w:rFonts w:ascii="Times New Roman" w:hAnsi="Times New Roman"/>
          <w:b w:val="0"/>
          <w:sz w:val="20"/>
          <w:lang w:val="pt-BR"/>
        </w:rPr>
        <w:t xml:space="preserve"> os espectros</w:t>
      </w:r>
      <w:r w:rsidR="00CB1AED">
        <w:rPr>
          <w:rFonts w:ascii="Times New Roman" w:hAnsi="Times New Roman"/>
          <w:b w:val="0"/>
          <w:sz w:val="20"/>
          <w:lang w:val="pt-BR"/>
        </w:rPr>
        <w:t xml:space="preserve"> de</w:t>
      </w:r>
      <w:r w:rsidR="00DD6E4D" w:rsidRPr="00DD6E4D">
        <w:rPr>
          <w:rFonts w:ascii="Times New Roman" w:hAnsi="Times New Roman"/>
          <w:b w:val="0"/>
          <w:sz w:val="20"/>
          <w:lang w:val="pt-BR"/>
        </w:rPr>
        <w:t xml:space="preserve"> </w:t>
      </w:r>
      <w:r w:rsidR="00DD6E4D" w:rsidRPr="00DD6E4D">
        <w:rPr>
          <w:rFonts w:ascii="Times New Roman" w:hAnsi="Times New Roman"/>
          <w:b w:val="0"/>
          <w:sz w:val="20"/>
          <w:vertAlign w:val="superscript"/>
          <w:lang w:val="pt-BR"/>
        </w:rPr>
        <w:t>31</w:t>
      </w:r>
      <w:r w:rsidR="00DD6E4D" w:rsidRPr="00DD6E4D">
        <w:rPr>
          <w:rFonts w:ascii="Times New Roman" w:hAnsi="Times New Roman"/>
          <w:b w:val="0"/>
          <w:sz w:val="20"/>
          <w:lang w:val="pt-BR"/>
        </w:rPr>
        <w:t xml:space="preserve">P </w:t>
      </w:r>
      <w:r w:rsidR="00DD6E4D">
        <w:rPr>
          <w:rFonts w:ascii="Times New Roman" w:hAnsi="Times New Roman"/>
          <w:b w:val="0"/>
          <w:sz w:val="20"/>
          <w:lang w:val="pt-BR"/>
        </w:rPr>
        <w:t>RMN no estado sólido</w:t>
      </w:r>
      <w:r w:rsidR="00DD6E4D" w:rsidRPr="00DD6E4D">
        <w:rPr>
          <w:rFonts w:ascii="Times New Roman" w:hAnsi="Times New Roman"/>
          <w:b w:val="0"/>
          <w:sz w:val="20"/>
          <w:lang w:val="pt-BR"/>
        </w:rPr>
        <w:t xml:space="preserve"> d</w:t>
      </w:r>
      <w:r w:rsidR="00DD6E4D">
        <w:rPr>
          <w:rFonts w:ascii="Times New Roman" w:hAnsi="Times New Roman"/>
          <w:b w:val="0"/>
          <w:sz w:val="20"/>
          <w:lang w:val="pt-BR"/>
        </w:rPr>
        <w:t>as</w:t>
      </w:r>
      <w:r w:rsidR="00DD6E4D" w:rsidRPr="00DD6E4D">
        <w:rPr>
          <w:rFonts w:ascii="Times New Roman" w:hAnsi="Times New Roman"/>
          <w:b w:val="0"/>
          <w:sz w:val="20"/>
          <w:lang w:val="pt-BR"/>
        </w:rPr>
        <w:t xml:space="preserve"> amostras </w:t>
      </w:r>
      <w:r w:rsidR="00DD6E4D">
        <w:rPr>
          <w:rFonts w:ascii="Times New Roman" w:hAnsi="Times New Roman"/>
          <w:b w:val="0"/>
          <w:sz w:val="20"/>
          <w:lang w:val="pt-BR"/>
        </w:rPr>
        <w:t xml:space="preserve">com </w:t>
      </w:r>
      <w:r w:rsidR="00DD6E4D" w:rsidRPr="00DD6E4D">
        <w:rPr>
          <w:rFonts w:ascii="Times New Roman" w:hAnsi="Times New Roman"/>
          <w:b w:val="0"/>
          <w:sz w:val="20"/>
          <w:lang w:val="pt-BR"/>
        </w:rPr>
        <w:t>TMPO</w:t>
      </w:r>
      <w:r w:rsidR="00DD6E4D">
        <w:rPr>
          <w:rFonts w:ascii="Times New Roman" w:hAnsi="Times New Roman"/>
          <w:b w:val="0"/>
          <w:sz w:val="20"/>
          <w:lang w:val="pt-BR"/>
        </w:rPr>
        <w:t xml:space="preserve"> adsorvido</w:t>
      </w:r>
      <w:r w:rsidR="00DD6E4D" w:rsidRPr="00DD6E4D">
        <w:rPr>
          <w:rFonts w:ascii="Times New Roman" w:hAnsi="Times New Roman"/>
          <w:b w:val="0"/>
          <w:sz w:val="20"/>
          <w:lang w:val="pt-BR"/>
        </w:rPr>
        <w:t xml:space="preserve">. A </w:t>
      </w:r>
      <w:r w:rsidR="00CB1AED">
        <w:rPr>
          <w:rFonts w:ascii="Times New Roman" w:hAnsi="Times New Roman"/>
          <w:b w:val="0"/>
          <w:sz w:val="20"/>
          <w:lang w:val="pt-BR"/>
        </w:rPr>
        <w:t xml:space="preserve">atuação </w:t>
      </w:r>
      <w:r w:rsidR="002E10FC">
        <w:rPr>
          <w:rFonts w:ascii="Times New Roman" w:hAnsi="Times New Roman"/>
          <w:b w:val="0"/>
          <w:sz w:val="20"/>
          <w:lang w:val="pt-BR"/>
        </w:rPr>
        <w:t xml:space="preserve">das vacâncias de oxigênio na </w:t>
      </w:r>
      <w:r w:rsidR="00DD6E4D" w:rsidRPr="00DD6E4D">
        <w:rPr>
          <w:rFonts w:ascii="Times New Roman" w:hAnsi="Times New Roman"/>
          <w:b w:val="0"/>
          <w:sz w:val="20"/>
          <w:lang w:val="pt-BR"/>
        </w:rPr>
        <w:t>desoxigenação direta através do mecanismo de Mars-van-Krevelen reverso</w:t>
      </w:r>
      <w:r w:rsidR="002E10FC">
        <w:rPr>
          <w:rFonts w:ascii="Times New Roman" w:hAnsi="Times New Roman"/>
          <w:b w:val="0"/>
          <w:sz w:val="20"/>
          <w:lang w:val="pt-BR"/>
        </w:rPr>
        <w:t xml:space="preserve"> </w:t>
      </w:r>
      <w:r w:rsidR="00DD6E4D" w:rsidRPr="00DD6E4D">
        <w:rPr>
          <w:rFonts w:ascii="Times New Roman" w:hAnsi="Times New Roman"/>
          <w:b w:val="0"/>
          <w:sz w:val="20"/>
          <w:lang w:val="pt-BR"/>
        </w:rPr>
        <w:t xml:space="preserve">foi mais difícil de acompanhar, </w:t>
      </w:r>
      <w:r w:rsidR="002E10FC">
        <w:rPr>
          <w:rFonts w:ascii="Times New Roman" w:hAnsi="Times New Roman"/>
          <w:b w:val="0"/>
          <w:sz w:val="20"/>
          <w:lang w:val="pt-BR"/>
        </w:rPr>
        <w:t>no entanto,</w:t>
      </w:r>
      <w:r w:rsidR="00DD6E4D" w:rsidRPr="00DD6E4D">
        <w:rPr>
          <w:rFonts w:ascii="Times New Roman" w:hAnsi="Times New Roman"/>
          <w:b w:val="0"/>
          <w:sz w:val="20"/>
          <w:lang w:val="pt-BR"/>
        </w:rPr>
        <w:t xml:space="preserve"> a formação contínua de sítios </w:t>
      </w:r>
      <w:r w:rsidR="00DD6E4D">
        <w:rPr>
          <w:rFonts w:ascii="Times New Roman" w:hAnsi="Times New Roman"/>
          <w:b w:val="0"/>
          <w:sz w:val="20"/>
          <w:lang w:val="pt-BR"/>
        </w:rPr>
        <w:t xml:space="preserve">de Lewis </w:t>
      </w:r>
      <w:r w:rsidR="00DD6E4D" w:rsidRPr="00DD6E4D">
        <w:rPr>
          <w:rFonts w:ascii="Times New Roman" w:hAnsi="Times New Roman"/>
          <w:b w:val="0"/>
          <w:sz w:val="20"/>
          <w:lang w:val="pt-BR"/>
        </w:rPr>
        <w:t>Mo</w:t>
      </w:r>
      <w:r w:rsidR="00DD6E4D" w:rsidRPr="00DD6E4D">
        <w:rPr>
          <w:rFonts w:ascii="Times New Roman" w:hAnsi="Times New Roman"/>
          <w:b w:val="0"/>
          <w:sz w:val="20"/>
          <w:vertAlign w:val="superscript"/>
          <w:lang w:val="pt-BR"/>
        </w:rPr>
        <w:t>δ+</w:t>
      </w:r>
      <w:r w:rsidR="00DD6E4D">
        <w:rPr>
          <w:rFonts w:ascii="Times New Roman" w:hAnsi="Times New Roman"/>
          <w:b w:val="0"/>
          <w:sz w:val="20"/>
          <w:lang w:val="pt-BR"/>
        </w:rPr>
        <w:t xml:space="preserve"> é</w:t>
      </w:r>
      <w:r w:rsidR="00DD6E4D" w:rsidRPr="00DD6E4D">
        <w:rPr>
          <w:rFonts w:ascii="Times New Roman" w:hAnsi="Times New Roman"/>
          <w:b w:val="0"/>
          <w:sz w:val="20"/>
          <w:lang w:val="pt-BR"/>
        </w:rPr>
        <w:t xml:space="preserve"> um </w:t>
      </w:r>
      <w:r w:rsidR="00450CDC">
        <w:rPr>
          <w:rFonts w:ascii="Times New Roman" w:hAnsi="Times New Roman"/>
          <w:b w:val="0"/>
          <w:sz w:val="20"/>
          <w:lang w:val="pt-BR"/>
        </w:rPr>
        <w:t>bom indício</w:t>
      </w:r>
      <w:r w:rsidR="00DD6E4D" w:rsidRPr="00DD6E4D">
        <w:rPr>
          <w:rFonts w:ascii="Times New Roman" w:hAnsi="Times New Roman"/>
          <w:b w:val="0"/>
          <w:sz w:val="20"/>
          <w:lang w:val="pt-BR"/>
        </w:rPr>
        <w:t xml:space="preserve"> de que </w:t>
      </w:r>
      <w:r w:rsidR="002E10FC">
        <w:rPr>
          <w:rFonts w:ascii="Times New Roman" w:hAnsi="Times New Roman"/>
          <w:b w:val="0"/>
          <w:sz w:val="20"/>
          <w:lang w:val="pt-BR"/>
        </w:rPr>
        <w:t>esses sítios</w:t>
      </w:r>
      <w:r w:rsidR="00DD6E4D" w:rsidRPr="00DD6E4D">
        <w:rPr>
          <w:rFonts w:ascii="Times New Roman" w:hAnsi="Times New Roman"/>
          <w:b w:val="0"/>
          <w:sz w:val="20"/>
          <w:lang w:val="pt-BR"/>
        </w:rPr>
        <w:t xml:space="preserve"> também </w:t>
      </w:r>
      <w:r w:rsidR="002E10FC">
        <w:rPr>
          <w:rFonts w:ascii="Times New Roman" w:hAnsi="Times New Roman"/>
          <w:b w:val="0"/>
          <w:sz w:val="20"/>
          <w:lang w:val="pt-BR"/>
        </w:rPr>
        <w:t xml:space="preserve">estão </w:t>
      </w:r>
      <w:r w:rsidR="00DC0ED2">
        <w:rPr>
          <w:rFonts w:ascii="Times New Roman" w:hAnsi="Times New Roman"/>
          <w:b w:val="0"/>
          <w:sz w:val="20"/>
          <w:lang w:val="pt-BR"/>
        </w:rPr>
        <w:t>ativos.</w:t>
      </w:r>
    </w:p>
    <w:p w14:paraId="1722B52D" w14:textId="77777777" w:rsidR="00DD6E4D" w:rsidRDefault="00DD6E4D" w:rsidP="00EA4E1B">
      <w:pPr>
        <w:pStyle w:val="BDAbstract"/>
        <w:spacing w:before="0" w:after="0" w:line="240" w:lineRule="auto"/>
        <w:rPr>
          <w:rFonts w:ascii="Times New Roman" w:hAnsi="Times New Roman"/>
          <w:b w:val="0"/>
          <w:sz w:val="20"/>
          <w:lang w:val="pt-BR"/>
        </w:rPr>
      </w:pPr>
    </w:p>
    <w:p w14:paraId="09B41B70" w14:textId="6834D269"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450CDC">
        <w:rPr>
          <w:rFonts w:ascii="Times New Roman" w:hAnsi="Times New Roman"/>
          <w:b w:val="0"/>
          <w:i/>
          <w:sz w:val="20"/>
          <w:lang w:val="pt-BR"/>
        </w:rPr>
        <w:t xml:space="preserve">catálise, </w:t>
      </w:r>
      <w:r w:rsidR="008300F3">
        <w:rPr>
          <w:rFonts w:ascii="Times New Roman" w:hAnsi="Times New Roman"/>
          <w:b w:val="0"/>
          <w:i/>
          <w:sz w:val="20"/>
          <w:lang w:val="pt-BR"/>
        </w:rPr>
        <w:t xml:space="preserve">hidrodesoxigenação, </w:t>
      </w:r>
      <w:r w:rsidR="00450CDC">
        <w:rPr>
          <w:rFonts w:ascii="Times New Roman" w:hAnsi="Times New Roman"/>
          <w:b w:val="0"/>
          <w:i/>
          <w:sz w:val="20"/>
          <w:lang w:val="pt-BR"/>
        </w:rPr>
        <w:t>óxido de molibdênio, oxicarbeto de molibdênio, sítios ativos</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4F6FF7FB" w14:textId="49545C72" w:rsidR="00EF712F" w:rsidRDefault="00EA4E1B" w:rsidP="00EF712F">
      <w:pPr>
        <w:pStyle w:val="BDAbstract"/>
        <w:spacing w:before="0" w:after="0" w:line="240" w:lineRule="auto"/>
        <w:rPr>
          <w:rFonts w:ascii="Times New Roman" w:hAnsi="Times New Roman"/>
          <w:b w:val="0"/>
          <w:sz w:val="20"/>
        </w:rPr>
      </w:pPr>
      <w:r w:rsidRPr="00EF712F">
        <w:rPr>
          <w:rFonts w:ascii="Times New Roman" w:hAnsi="Times New Roman"/>
          <w:b w:val="0"/>
          <w:sz w:val="20"/>
        </w:rPr>
        <w:t xml:space="preserve">ABSTRACT </w:t>
      </w:r>
      <w:r w:rsidR="00EF712F">
        <w:rPr>
          <w:rFonts w:ascii="Times New Roman" w:hAnsi="Times New Roman"/>
          <w:b w:val="0"/>
          <w:sz w:val="20"/>
        </w:rPr>
        <w:t>–</w:t>
      </w:r>
      <w:r w:rsidRPr="00EF712F">
        <w:rPr>
          <w:rFonts w:ascii="Times New Roman" w:hAnsi="Times New Roman"/>
          <w:b w:val="0"/>
          <w:sz w:val="20"/>
        </w:rPr>
        <w:t xml:space="preserve"> </w:t>
      </w:r>
      <w:r w:rsidR="00EF712F">
        <w:rPr>
          <w:rFonts w:ascii="Times New Roman" w:hAnsi="Times New Roman"/>
          <w:b w:val="0"/>
          <w:sz w:val="20"/>
        </w:rPr>
        <w:t>The surface properties of MoO</w:t>
      </w:r>
      <w:r w:rsidR="00EF712F">
        <w:rPr>
          <w:rFonts w:ascii="Times New Roman" w:hAnsi="Times New Roman"/>
          <w:b w:val="0"/>
          <w:sz w:val="20"/>
          <w:vertAlign w:val="subscript"/>
        </w:rPr>
        <w:t>3</w:t>
      </w:r>
      <w:r w:rsidR="00EF712F">
        <w:rPr>
          <w:rFonts w:ascii="Times New Roman" w:hAnsi="Times New Roman"/>
          <w:b w:val="0"/>
          <w:sz w:val="20"/>
        </w:rPr>
        <w:t xml:space="preserve"> catalysts were addressed through the gas-phase acetone hydrodeoxygenation (HDO) reaction</w:t>
      </w:r>
      <w:r w:rsidR="002E10FC">
        <w:rPr>
          <w:rFonts w:ascii="Times New Roman" w:hAnsi="Times New Roman"/>
          <w:b w:val="0"/>
          <w:sz w:val="20"/>
        </w:rPr>
        <w:t>, allowing extensive discussion over</w:t>
      </w:r>
      <w:r w:rsidR="00EF712F">
        <w:rPr>
          <w:rFonts w:ascii="Times New Roman" w:hAnsi="Times New Roman"/>
          <w:b w:val="0"/>
          <w:sz w:val="20"/>
        </w:rPr>
        <w:t xml:space="preserve"> </w:t>
      </w:r>
      <w:r w:rsidR="002E10FC">
        <w:rPr>
          <w:rFonts w:ascii="Times New Roman" w:hAnsi="Times New Roman"/>
          <w:b w:val="0"/>
          <w:sz w:val="20"/>
        </w:rPr>
        <w:t>t</w:t>
      </w:r>
      <w:r w:rsidR="005C7B1D" w:rsidRPr="00EF712F">
        <w:rPr>
          <w:rFonts w:ascii="Times New Roman" w:hAnsi="Times New Roman"/>
          <w:b w:val="0"/>
          <w:sz w:val="20"/>
        </w:rPr>
        <w:t xml:space="preserve">he correlation between the </w:t>
      </w:r>
      <w:r w:rsidR="00DD6E4D">
        <w:rPr>
          <w:rFonts w:ascii="Times New Roman" w:hAnsi="Times New Roman"/>
          <w:b w:val="0"/>
          <w:sz w:val="20"/>
        </w:rPr>
        <w:t xml:space="preserve">different </w:t>
      </w:r>
      <w:r w:rsidR="005C7B1D" w:rsidRPr="00EF712F">
        <w:rPr>
          <w:rFonts w:ascii="Times New Roman" w:hAnsi="Times New Roman"/>
          <w:b w:val="0"/>
          <w:sz w:val="20"/>
        </w:rPr>
        <w:t>reaction pathways and the active sites.</w:t>
      </w:r>
      <w:r w:rsidR="005C7B1D">
        <w:rPr>
          <w:rFonts w:ascii="Times New Roman" w:hAnsi="Times New Roman"/>
          <w:b w:val="0"/>
          <w:sz w:val="20"/>
        </w:rPr>
        <w:t xml:space="preserve"> </w:t>
      </w:r>
      <w:r w:rsidR="00EF712F">
        <w:rPr>
          <w:rFonts w:ascii="Times New Roman" w:hAnsi="Times New Roman"/>
          <w:b w:val="0"/>
          <w:sz w:val="20"/>
        </w:rPr>
        <w:t>Under HDO reduction/carburization conditions, o</w:t>
      </w:r>
      <w:r w:rsidR="00EF712F" w:rsidRPr="00EF712F">
        <w:rPr>
          <w:rFonts w:ascii="Times New Roman" w:hAnsi="Times New Roman"/>
          <w:b w:val="0"/>
          <w:sz w:val="20"/>
        </w:rPr>
        <w:t>ther molybdenum oxides</w:t>
      </w:r>
      <w:r w:rsidR="00BF227E">
        <w:rPr>
          <w:rFonts w:ascii="Times New Roman" w:hAnsi="Times New Roman"/>
          <w:b w:val="0"/>
          <w:sz w:val="20"/>
        </w:rPr>
        <w:t xml:space="preserve"> (MoO</w:t>
      </w:r>
      <w:r w:rsidR="00BF227E" w:rsidRPr="00BF227E">
        <w:rPr>
          <w:rFonts w:ascii="Times New Roman" w:hAnsi="Times New Roman"/>
          <w:b w:val="0"/>
          <w:sz w:val="20"/>
          <w:vertAlign w:val="subscript"/>
        </w:rPr>
        <w:t>x</w:t>
      </w:r>
      <w:r w:rsidR="00BF227E">
        <w:rPr>
          <w:rFonts w:ascii="Times New Roman" w:hAnsi="Times New Roman"/>
          <w:b w:val="0"/>
          <w:sz w:val="20"/>
        </w:rPr>
        <w:t>)</w:t>
      </w:r>
      <w:r w:rsidR="00EF712F" w:rsidRPr="00EF712F">
        <w:rPr>
          <w:rFonts w:ascii="Times New Roman" w:hAnsi="Times New Roman"/>
          <w:b w:val="0"/>
          <w:sz w:val="20"/>
        </w:rPr>
        <w:t xml:space="preserve"> </w:t>
      </w:r>
      <w:r w:rsidR="00EF712F">
        <w:rPr>
          <w:rFonts w:ascii="Times New Roman" w:hAnsi="Times New Roman"/>
          <w:b w:val="0"/>
          <w:sz w:val="20"/>
        </w:rPr>
        <w:t xml:space="preserve">and oxycarbides </w:t>
      </w:r>
      <w:r w:rsidR="00BF227E">
        <w:rPr>
          <w:rFonts w:ascii="Times New Roman" w:hAnsi="Times New Roman"/>
          <w:b w:val="0"/>
          <w:sz w:val="20"/>
        </w:rPr>
        <w:t>(MoO</w:t>
      </w:r>
      <w:r w:rsidR="00BF227E" w:rsidRPr="00BF227E">
        <w:rPr>
          <w:rFonts w:ascii="Times New Roman" w:hAnsi="Times New Roman"/>
          <w:b w:val="0"/>
          <w:sz w:val="20"/>
          <w:vertAlign w:val="subscript"/>
        </w:rPr>
        <w:t>x</w:t>
      </w:r>
      <w:r w:rsidR="00BF227E">
        <w:rPr>
          <w:rFonts w:ascii="Times New Roman" w:hAnsi="Times New Roman"/>
          <w:b w:val="0"/>
          <w:sz w:val="20"/>
        </w:rPr>
        <w:t>C</w:t>
      </w:r>
      <w:r w:rsidR="00BF227E" w:rsidRPr="00BF227E">
        <w:rPr>
          <w:rFonts w:ascii="Times New Roman" w:hAnsi="Times New Roman"/>
          <w:b w:val="0"/>
          <w:sz w:val="20"/>
          <w:vertAlign w:val="subscript"/>
        </w:rPr>
        <w:t>y</w:t>
      </w:r>
      <w:r w:rsidR="00BF227E">
        <w:rPr>
          <w:rFonts w:ascii="Times New Roman" w:hAnsi="Times New Roman"/>
          <w:b w:val="0"/>
          <w:sz w:val="20"/>
        </w:rPr>
        <w:t xml:space="preserve">) </w:t>
      </w:r>
      <w:r w:rsidR="005C7B1D">
        <w:rPr>
          <w:rFonts w:ascii="Times New Roman" w:hAnsi="Times New Roman"/>
          <w:b w:val="0"/>
          <w:sz w:val="20"/>
        </w:rPr>
        <w:t>were</w:t>
      </w:r>
      <w:r w:rsidR="00EF712F" w:rsidRPr="00EF712F">
        <w:rPr>
          <w:rFonts w:ascii="Times New Roman" w:hAnsi="Times New Roman"/>
          <w:b w:val="0"/>
          <w:sz w:val="20"/>
        </w:rPr>
        <w:t xml:space="preserve"> </w:t>
      </w:r>
      <w:r w:rsidR="005C7B1D">
        <w:rPr>
          <w:rFonts w:ascii="Times New Roman" w:hAnsi="Times New Roman"/>
          <w:b w:val="0"/>
          <w:sz w:val="20"/>
        </w:rPr>
        <w:t>generated</w:t>
      </w:r>
      <w:r w:rsidR="002E10FC">
        <w:rPr>
          <w:rFonts w:ascii="Times New Roman" w:hAnsi="Times New Roman"/>
          <w:b w:val="0"/>
          <w:sz w:val="20"/>
        </w:rPr>
        <w:t>,</w:t>
      </w:r>
      <w:r w:rsidR="00EF712F" w:rsidRPr="00EF712F">
        <w:rPr>
          <w:rFonts w:ascii="Times New Roman" w:hAnsi="Times New Roman"/>
          <w:b w:val="0"/>
          <w:sz w:val="20"/>
        </w:rPr>
        <w:t xml:space="preserve"> </w:t>
      </w:r>
      <w:r w:rsidR="005C7B1D">
        <w:rPr>
          <w:rFonts w:ascii="Times New Roman" w:hAnsi="Times New Roman"/>
          <w:b w:val="0"/>
          <w:sz w:val="20"/>
        </w:rPr>
        <w:t xml:space="preserve">presenting </w:t>
      </w:r>
      <w:r w:rsidR="00EF712F" w:rsidRPr="00EF712F">
        <w:rPr>
          <w:rFonts w:ascii="Times New Roman" w:hAnsi="Times New Roman"/>
          <w:b w:val="0"/>
          <w:sz w:val="20"/>
        </w:rPr>
        <w:t>variable oxidation states</w:t>
      </w:r>
      <w:r w:rsidR="005C7B1D">
        <w:rPr>
          <w:rFonts w:ascii="Times New Roman" w:hAnsi="Times New Roman"/>
          <w:b w:val="0"/>
          <w:sz w:val="20"/>
        </w:rPr>
        <w:t xml:space="preserve">. XPS </w:t>
      </w:r>
      <w:r w:rsidR="00BF227E">
        <w:rPr>
          <w:rFonts w:ascii="Times New Roman" w:hAnsi="Times New Roman"/>
          <w:b w:val="0"/>
          <w:sz w:val="20"/>
        </w:rPr>
        <w:t>measurements</w:t>
      </w:r>
      <w:r w:rsidR="005C7B1D">
        <w:rPr>
          <w:rFonts w:ascii="Times New Roman" w:hAnsi="Times New Roman"/>
          <w:b w:val="0"/>
          <w:sz w:val="20"/>
        </w:rPr>
        <w:t xml:space="preserve"> showed the stabilization of Mo</w:t>
      </w:r>
      <w:r w:rsidR="005C7B1D" w:rsidRPr="00BF227E">
        <w:rPr>
          <w:rFonts w:ascii="Times New Roman" w:hAnsi="Times New Roman"/>
          <w:b w:val="0"/>
          <w:sz w:val="20"/>
          <w:vertAlign w:val="superscript"/>
        </w:rPr>
        <w:t>5+</w:t>
      </w:r>
      <w:r w:rsidR="005C7B1D">
        <w:rPr>
          <w:rFonts w:ascii="Times New Roman" w:hAnsi="Times New Roman"/>
          <w:b w:val="0"/>
          <w:sz w:val="20"/>
        </w:rPr>
        <w:t xml:space="preserve"> species over MoO</w:t>
      </w:r>
      <w:r w:rsidR="005C7B1D" w:rsidRPr="00BF227E">
        <w:rPr>
          <w:rFonts w:ascii="Times New Roman" w:hAnsi="Times New Roman"/>
          <w:b w:val="0"/>
          <w:sz w:val="20"/>
          <w:vertAlign w:val="subscript"/>
        </w:rPr>
        <w:t>x</w:t>
      </w:r>
      <w:r w:rsidR="005C7B1D">
        <w:rPr>
          <w:rFonts w:ascii="Times New Roman" w:hAnsi="Times New Roman"/>
          <w:b w:val="0"/>
          <w:sz w:val="20"/>
        </w:rPr>
        <w:t>C</w:t>
      </w:r>
      <w:r w:rsidR="005C7B1D" w:rsidRPr="00BF227E">
        <w:rPr>
          <w:rFonts w:ascii="Times New Roman" w:hAnsi="Times New Roman"/>
          <w:b w:val="0"/>
          <w:sz w:val="20"/>
          <w:vertAlign w:val="subscript"/>
        </w:rPr>
        <w:t>y</w:t>
      </w:r>
      <w:r w:rsidR="005C7B1D">
        <w:rPr>
          <w:rFonts w:ascii="Times New Roman" w:hAnsi="Times New Roman"/>
          <w:b w:val="0"/>
          <w:sz w:val="20"/>
        </w:rPr>
        <w:t xml:space="preserve">, </w:t>
      </w:r>
      <w:r w:rsidR="005C7B1D" w:rsidRPr="005C7B1D">
        <w:rPr>
          <w:rFonts w:ascii="Times New Roman" w:hAnsi="Times New Roman"/>
          <w:b w:val="0"/>
          <w:sz w:val="20"/>
        </w:rPr>
        <w:t xml:space="preserve">which </w:t>
      </w:r>
      <w:r w:rsidR="002E10FC">
        <w:rPr>
          <w:rFonts w:ascii="Times New Roman" w:hAnsi="Times New Roman"/>
          <w:b w:val="0"/>
          <w:sz w:val="20"/>
        </w:rPr>
        <w:t>exhibited</w:t>
      </w:r>
      <w:r w:rsidR="00DE4489">
        <w:rPr>
          <w:rFonts w:ascii="Times New Roman" w:hAnsi="Times New Roman"/>
          <w:b w:val="0"/>
          <w:sz w:val="20"/>
        </w:rPr>
        <w:t xml:space="preserve"> hydrogenating behavior</w:t>
      </w:r>
      <w:r w:rsidR="00BF227E">
        <w:rPr>
          <w:rFonts w:ascii="Times New Roman" w:hAnsi="Times New Roman"/>
          <w:b w:val="0"/>
          <w:sz w:val="20"/>
        </w:rPr>
        <w:t xml:space="preserve">. Furthermore, the overall acidity was increased with the </w:t>
      </w:r>
      <w:r w:rsidR="002E10FC" w:rsidRPr="002E10FC">
        <w:rPr>
          <w:rFonts w:ascii="Times New Roman" w:hAnsi="Times New Roman"/>
          <w:b w:val="0"/>
          <w:sz w:val="20"/>
        </w:rPr>
        <w:t>MoO</w:t>
      </w:r>
      <w:r w:rsidR="002E10FC">
        <w:rPr>
          <w:rFonts w:ascii="Times New Roman" w:hAnsi="Times New Roman"/>
          <w:b w:val="0"/>
          <w:sz w:val="20"/>
          <w:vertAlign w:val="subscript"/>
        </w:rPr>
        <w:t>3</w:t>
      </w:r>
      <w:r w:rsidR="002E10FC">
        <w:rPr>
          <w:rFonts w:ascii="Times New Roman" w:hAnsi="Times New Roman"/>
          <w:b w:val="0"/>
          <w:sz w:val="20"/>
        </w:rPr>
        <w:t xml:space="preserve"> transition to </w:t>
      </w:r>
      <w:r w:rsidR="00912925">
        <w:rPr>
          <w:rFonts w:ascii="Times New Roman" w:hAnsi="Times New Roman"/>
          <w:b w:val="0"/>
          <w:sz w:val="20"/>
        </w:rPr>
        <w:t>MoO</w:t>
      </w:r>
      <w:r w:rsidR="00912925" w:rsidRPr="00BF227E">
        <w:rPr>
          <w:rFonts w:ascii="Times New Roman" w:hAnsi="Times New Roman"/>
          <w:b w:val="0"/>
          <w:sz w:val="20"/>
          <w:vertAlign w:val="subscript"/>
        </w:rPr>
        <w:t>x</w:t>
      </w:r>
      <w:r w:rsidR="00912925">
        <w:rPr>
          <w:rFonts w:ascii="Times New Roman" w:hAnsi="Times New Roman"/>
          <w:b w:val="0"/>
          <w:sz w:val="20"/>
        </w:rPr>
        <w:t>/MoO</w:t>
      </w:r>
      <w:r w:rsidR="00912925" w:rsidRPr="00BF227E">
        <w:rPr>
          <w:rFonts w:ascii="Times New Roman" w:hAnsi="Times New Roman"/>
          <w:b w:val="0"/>
          <w:sz w:val="20"/>
          <w:vertAlign w:val="subscript"/>
        </w:rPr>
        <w:t>x</w:t>
      </w:r>
      <w:r w:rsidR="00912925">
        <w:rPr>
          <w:rFonts w:ascii="Times New Roman" w:hAnsi="Times New Roman"/>
          <w:b w:val="0"/>
          <w:sz w:val="20"/>
        </w:rPr>
        <w:t>C</w:t>
      </w:r>
      <w:r w:rsidR="00912925" w:rsidRPr="00BF227E">
        <w:rPr>
          <w:rFonts w:ascii="Times New Roman" w:hAnsi="Times New Roman"/>
          <w:b w:val="0"/>
          <w:sz w:val="20"/>
          <w:vertAlign w:val="subscript"/>
        </w:rPr>
        <w:t>y</w:t>
      </w:r>
      <w:r w:rsidR="00BF227E">
        <w:rPr>
          <w:rFonts w:ascii="Times New Roman" w:hAnsi="Times New Roman"/>
          <w:b w:val="0"/>
          <w:sz w:val="20"/>
        </w:rPr>
        <w:t xml:space="preserve"> phases,</w:t>
      </w:r>
      <w:r w:rsidR="00912925">
        <w:rPr>
          <w:rFonts w:ascii="Times New Roman" w:hAnsi="Times New Roman"/>
          <w:b w:val="0"/>
          <w:sz w:val="20"/>
        </w:rPr>
        <w:t xml:space="preserve"> </w:t>
      </w:r>
      <w:r w:rsidR="00DD6E4D">
        <w:rPr>
          <w:rFonts w:ascii="Times New Roman" w:hAnsi="Times New Roman"/>
          <w:b w:val="0"/>
          <w:sz w:val="20"/>
        </w:rPr>
        <w:t>catalyzing condensation and dehydration steps. P</w:t>
      </w:r>
      <w:r w:rsidR="00BF227E">
        <w:rPr>
          <w:rFonts w:ascii="Times New Roman" w:hAnsi="Times New Roman"/>
          <w:b w:val="0"/>
          <w:sz w:val="20"/>
        </w:rPr>
        <w:t>articularly</w:t>
      </w:r>
      <w:r w:rsidR="00DD6E4D">
        <w:rPr>
          <w:rFonts w:ascii="Times New Roman" w:hAnsi="Times New Roman"/>
          <w:b w:val="0"/>
          <w:sz w:val="20"/>
        </w:rPr>
        <w:t>,</w:t>
      </w:r>
      <w:r w:rsidR="00BF227E">
        <w:rPr>
          <w:rFonts w:ascii="Times New Roman" w:hAnsi="Times New Roman"/>
          <w:b w:val="0"/>
          <w:sz w:val="20"/>
        </w:rPr>
        <w:t xml:space="preserve"> </w:t>
      </w:r>
      <w:r w:rsidR="00BF227E" w:rsidRPr="00EF712F">
        <w:rPr>
          <w:rFonts w:ascii="Times New Roman" w:hAnsi="Times New Roman"/>
          <w:b w:val="0"/>
          <w:sz w:val="20"/>
        </w:rPr>
        <w:t>strong Brønsted acid sites</w:t>
      </w:r>
      <w:r w:rsidR="00DD6E4D">
        <w:rPr>
          <w:rFonts w:ascii="Times New Roman" w:hAnsi="Times New Roman"/>
          <w:b w:val="0"/>
          <w:sz w:val="20"/>
        </w:rPr>
        <w:t xml:space="preserve"> were </w:t>
      </w:r>
      <w:r w:rsidR="00DC0ED2">
        <w:rPr>
          <w:rFonts w:ascii="Times New Roman" w:hAnsi="Times New Roman"/>
          <w:b w:val="0"/>
          <w:sz w:val="20"/>
        </w:rPr>
        <w:t>promoted</w:t>
      </w:r>
      <w:r w:rsidR="00DD6E4D">
        <w:rPr>
          <w:rFonts w:ascii="Times New Roman" w:hAnsi="Times New Roman"/>
          <w:b w:val="0"/>
          <w:sz w:val="20"/>
        </w:rPr>
        <w:t xml:space="preserve"> on stream</w:t>
      </w:r>
      <w:r w:rsidR="00BF227E">
        <w:rPr>
          <w:rFonts w:ascii="Times New Roman" w:hAnsi="Times New Roman"/>
          <w:b w:val="0"/>
          <w:sz w:val="20"/>
        </w:rPr>
        <w:t xml:space="preserve">, as revealed by </w:t>
      </w:r>
      <w:r w:rsidR="00BF227E" w:rsidRPr="00BF227E">
        <w:rPr>
          <w:rFonts w:ascii="Times New Roman" w:hAnsi="Times New Roman"/>
          <w:b w:val="0"/>
          <w:sz w:val="20"/>
          <w:vertAlign w:val="superscript"/>
        </w:rPr>
        <w:t>31</w:t>
      </w:r>
      <w:r w:rsidR="00BF227E">
        <w:rPr>
          <w:rFonts w:ascii="Times New Roman" w:hAnsi="Times New Roman"/>
          <w:b w:val="0"/>
          <w:sz w:val="20"/>
        </w:rPr>
        <w:t>P MAS-NMR spectra of TMPO loaded samples.</w:t>
      </w:r>
      <w:r w:rsidR="00DD6E4D">
        <w:rPr>
          <w:rFonts w:ascii="Times New Roman" w:hAnsi="Times New Roman"/>
          <w:b w:val="0"/>
          <w:sz w:val="20"/>
        </w:rPr>
        <w:t xml:space="preserve"> </w:t>
      </w:r>
      <w:r w:rsidR="002E10FC">
        <w:rPr>
          <w:rFonts w:ascii="Times New Roman" w:hAnsi="Times New Roman"/>
          <w:b w:val="0"/>
          <w:sz w:val="20"/>
        </w:rPr>
        <w:t xml:space="preserve">Oxygen vacancies function </w:t>
      </w:r>
      <w:r w:rsidR="00DC0ED2">
        <w:rPr>
          <w:rFonts w:ascii="Times New Roman" w:hAnsi="Times New Roman"/>
          <w:b w:val="0"/>
          <w:sz w:val="20"/>
        </w:rPr>
        <w:t>through</w:t>
      </w:r>
      <w:r w:rsidR="002E10FC">
        <w:rPr>
          <w:rFonts w:ascii="Times New Roman" w:hAnsi="Times New Roman"/>
          <w:b w:val="0"/>
          <w:sz w:val="20"/>
        </w:rPr>
        <w:t xml:space="preserve"> the d</w:t>
      </w:r>
      <w:r w:rsidR="00912925">
        <w:rPr>
          <w:rFonts w:ascii="Times New Roman" w:hAnsi="Times New Roman"/>
          <w:b w:val="0"/>
          <w:sz w:val="20"/>
        </w:rPr>
        <w:t xml:space="preserve">irect deoxygenation </w:t>
      </w:r>
      <w:r w:rsidR="00912925" w:rsidRPr="00912925">
        <w:rPr>
          <w:rFonts w:ascii="Times New Roman" w:hAnsi="Times New Roman"/>
          <w:b w:val="0"/>
          <w:i/>
          <w:iCs/>
          <w:sz w:val="20"/>
        </w:rPr>
        <w:t>via</w:t>
      </w:r>
      <w:r w:rsidR="00912925">
        <w:rPr>
          <w:rFonts w:ascii="Times New Roman" w:hAnsi="Times New Roman"/>
          <w:b w:val="0"/>
          <w:sz w:val="20"/>
        </w:rPr>
        <w:t xml:space="preserve"> the reverse Mars-van-Krevelen mechanism</w:t>
      </w:r>
      <w:r w:rsidR="002E10FC">
        <w:rPr>
          <w:rFonts w:ascii="Times New Roman" w:hAnsi="Times New Roman"/>
          <w:b w:val="0"/>
          <w:sz w:val="20"/>
        </w:rPr>
        <w:t xml:space="preserve"> </w:t>
      </w:r>
      <w:r w:rsidR="00912925">
        <w:rPr>
          <w:rFonts w:ascii="Times New Roman" w:hAnsi="Times New Roman"/>
          <w:b w:val="0"/>
          <w:sz w:val="20"/>
        </w:rPr>
        <w:t>was more difficult to follow</w:t>
      </w:r>
      <w:r w:rsidR="00DD6E4D">
        <w:rPr>
          <w:rFonts w:ascii="Times New Roman" w:hAnsi="Times New Roman"/>
          <w:b w:val="0"/>
          <w:sz w:val="20"/>
        </w:rPr>
        <w:t xml:space="preserve"> up</w:t>
      </w:r>
      <w:r w:rsidR="00912925">
        <w:rPr>
          <w:rFonts w:ascii="Times New Roman" w:hAnsi="Times New Roman"/>
          <w:b w:val="0"/>
          <w:sz w:val="20"/>
        </w:rPr>
        <w:t xml:space="preserve">, but </w:t>
      </w:r>
      <w:r w:rsidR="00DD6E4D">
        <w:rPr>
          <w:rFonts w:ascii="Times New Roman" w:hAnsi="Times New Roman"/>
          <w:b w:val="0"/>
          <w:sz w:val="20"/>
        </w:rPr>
        <w:t>t</w:t>
      </w:r>
      <w:r w:rsidR="00912925">
        <w:rPr>
          <w:rFonts w:ascii="Times New Roman" w:hAnsi="Times New Roman"/>
          <w:b w:val="0"/>
          <w:sz w:val="20"/>
        </w:rPr>
        <w:t xml:space="preserve">he </w:t>
      </w:r>
      <w:r w:rsidR="00DD6E4D">
        <w:rPr>
          <w:rFonts w:ascii="Times New Roman" w:hAnsi="Times New Roman"/>
          <w:b w:val="0"/>
          <w:sz w:val="20"/>
        </w:rPr>
        <w:t xml:space="preserve">continuous </w:t>
      </w:r>
      <w:r w:rsidR="00912925">
        <w:rPr>
          <w:rFonts w:ascii="Times New Roman" w:hAnsi="Times New Roman"/>
          <w:b w:val="0"/>
          <w:sz w:val="20"/>
        </w:rPr>
        <w:t xml:space="preserve">formation of </w:t>
      </w:r>
      <w:r w:rsidR="00912925" w:rsidRPr="00912925">
        <w:rPr>
          <w:rFonts w:ascii="Times New Roman" w:hAnsi="Times New Roman"/>
          <w:b w:val="0"/>
          <w:sz w:val="20"/>
        </w:rPr>
        <w:t>Lewis-type Mo</w:t>
      </w:r>
      <w:r w:rsidR="00912925" w:rsidRPr="00912925">
        <w:rPr>
          <w:rFonts w:ascii="Times New Roman" w:hAnsi="Times New Roman"/>
          <w:b w:val="0"/>
          <w:sz w:val="20"/>
          <w:vertAlign w:val="superscript"/>
        </w:rPr>
        <w:t>δ+</w:t>
      </w:r>
      <w:r w:rsidR="00912925" w:rsidRPr="00912925">
        <w:rPr>
          <w:rFonts w:ascii="Times New Roman" w:hAnsi="Times New Roman"/>
          <w:b w:val="0"/>
          <w:sz w:val="20"/>
        </w:rPr>
        <w:t xml:space="preserve"> sites</w:t>
      </w:r>
      <w:r w:rsidR="00DD6E4D">
        <w:rPr>
          <w:rFonts w:ascii="Times New Roman" w:hAnsi="Times New Roman"/>
          <w:b w:val="0"/>
          <w:sz w:val="20"/>
        </w:rPr>
        <w:t xml:space="preserve"> </w:t>
      </w:r>
      <w:r w:rsidR="00912925">
        <w:rPr>
          <w:rFonts w:ascii="Times New Roman" w:hAnsi="Times New Roman"/>
          <w:b w:val="0"/>
          <w:sz w:val="20"/>
        </w:rPr>
        <w:t>was</w:t>
      </w:r>
      <w:r w:rsidR="00912925" w:rsidRPr="00912925">
        <w:rPr>
          <w:rFonts w:ascii="Times New Roman" w:hAnsi="Times New Roman"/>
          <w:b w:val="0"/>
          <w:sz w:val="20"/>
        </w:rPr>
        <w:t xml:space="preserve"> a good indication that </w:t>
      </w:r>
      <w:r w:rsidR="002E10FC">
        <w:rPr>
          <w:rFonts w:ascii="Times New Roman" w:hAnsi="Times New Roman"/>
          <w:b w:val="0"/>
          <w:sz w:val="20"/>
        </w:rPr>
        <w:t xml:space="preserve">these sites were also </w:t>
      </w:r>
      <w:r w:rsidR="00DC0ED2">
        <w:rPr>
          <w:rFonts w:ascii="Times New Roman" w:hAnsi="Times New Roman"/>
          <w:b w:val="0"/>
          <w:sz w:val="20"/>
        </w:rPr>
        <w:t>active</w:t>
      </w:r>
      <w:r w:rsidR="00912925" w:rsidRPr="00912925">
        <w:rPr>
          <w:rFonts w:ascii="Times New Roman" w:hAnsi="Times New Roman"/>
          <w:b w:val="0"/>
          <w:sz w:val="20"/>
        </w:rPr>
        <w:t>.</w:t>
      </w:r>
    </w:p>
    <w:p w14:paraId="6D04EC6F" w14:textId="77777777" w:rsidR="00EF712F" w:rsidRDefault="00EF712F" w:rsidP="00EF712F">
      <w:pPr>
        <w:pStyle w:val="BDAbstract"/>
        <w:spacing w:before="0" w:after="0" w:line="240" w:lineRule="auto"/>
        <w:rPr>
          <w:rFonts w:ascii="Times New Roman" w:hAnsi="Times New Roman"/>
          <w:b w:val="0"/>
          <w:sz w:val="20"/>
        </w:rPr>
      </w:pPr>
    </w:p>
    <w:p w14:paraId="48D9B0C4" w14:textId="46CD43B0" w:rsidR="00EA4E1B" w:rsidRPr="00DD6E4D" w:rsidRDefault="00EA4E1B" w:rsidP="00DD6E4D">
      <w:pPr>
        <w:pStyle w:val="BDAbstract"/>
        <w:spacing w:before="0" w:after="0" w:line="240" w:lineRule="auto"/>
        <w:rPr>
          <w:rFonts w:ascii="Times New Roman" w:hAnsi="Times New Roman"/>
          <w:b w:val="0"/>
          <w:i/>
          <w:sz w:val="20"/>
        </w:rPr>
        <w:sectPr w:rsidR="00EA4E1B" w:rsidRPr="00DD6E4D" w:rsidSect="00EA4E1B">
          <w:headerReference w:type="default" r:id="rId8"/>
          <w:endnotePr>
            <w:numFmt w:val="decimal"/>
          </w:endnotePr>
          <w:pgSz w:w="11906" w:h="16838"/>
          <w:pgMar w:top="1418" w:right="1094" w:bottom="1418" w:left="567" w:header="709" w:footer="709" w:gutter="0"/>
          <w:cols w:space="708"/>
          <w:docGrid w:linePitch="360"/>
        </w:sectPr>
      </w:pPr>
      <w:r w:rsidRPr="00DD6E4D">
        <w:rPr>
          <w:rFonts w:ascii="Times New Roman" w:hAnsi="Times New Roman"/>
          <w:b w:val="0"/>
          <w:i/>
          <w:sz w:val="20"/>
        </w:rPr>
        <w:t xml:space="preserve">Keywords: </w:t>
      </w:r>
      <w:r w:rsidR="00DD6E4D" w:rsidRPr="00DD6E4D">
        <w:rPr>
          <w:rFonts w:ascii="Times New Roman" w:hAnsi="Times New Roman"/>
          <w:b w:val="0"/>
          <w:i/>
          <w:sz w:val="20"/>
        </w:rPr>
        <w:t xml:space="preserve">catalysis, </w:t>
      </w:r>
      <w:r w:rsidR="008300F3" w:rsidRPr="00DD6E4D">
        <w:rPr>
          <w:rFonts w:ascii="Times New Roman" w:hAnsi="Times New Roman"/>
          <w:b w:val="0"/>
          <w:i/>
          <w:sz w:val="20"/>
        </w:rPr>
        <w:t>hy</w:t>
      </w:r>
      <w:r w:rsidR="008300F3">
        <w:rPr>
          <w:rFonts w:ascii="Times New Roman" w:hAnsi="Times New Roman"/>
          <w:b w:val="0"/>
          <w:i/>
          <w:sz w:val="20"/>
        </w:rPr>
        <w:t xml:space="preserve">drodeoxygenation, </w:t>
      </w:r>
      <w:r w:rsidR="00DD6E4D" w:rsidRPr="00DD6E4D">
        <w:rPr>
          <w:rFonts w:ascii="Times New Roman" w:hAnsi="Times New Roman"/>
          <w:b w:val="0"/>
          <w:i/>
          <w:sz w:val="20"/>
        </w:rPr>
        <w:t>molybdenum oxide, molybdenum</w:t>
      </w:r>
      <w:bookmarkEnd w:id="1"/>
      <w:r w:rsidR="00DD6E4D" w:rsidRPr="00DD6E4D">
        <w:rPr>
          <w:rFonts w:ascii="Times New Roman" w:hAnsi="Times New Roman"/>
          <w:b w:val="0"/>
          <w:i/>
          <w:sz w:val="20"/>
        </w:rPr>
        <w:t xml:space="preserve"> oxycarbide, </w:t>
      </w:r>
      <w:r w:rsidR="00DD6E4D">
        <w:rPr>
          <w:rFonts w:ascii="Times New Roman" w:hAnsi="Times New Roman"/>
          <w:b w:val="0"/>
          <w:i/>
          <w:sz w:val="20"/>
        </w:rPr>
        <w:t>active sites</w:t>
      </w:r>
    </w:p>
    <w:p w14:paraId="68222F5A" w14:textId="027F78F9" w:rsidR="0068203B" w:rsidRPr="0068203B" w:rsidRDefault="00450CDC" w:rsidP="0068203B">
      <w:pPr>
        <w:pStyle w:val="Ttulo2"/>
        <w:spacing w:before="0"/>
        <w:rPr>
          <w:rFonts w:ascii="Helvetica" w:hAnsi="Helvetica" w:cs="Helvetica"/>
          <w:b/>
          <w:bCs/>
          <w:sz w:val="24"/>
          <w:szCs w:val="24"/>
          <w:lang w:val="en-US"/>
        </w:rPr>
      </w:pPr>
      <w:r w:rsidRPr="002823A3">
        <w:rPr>
          <w:rFonts w:ascii="Helvetica" w:hAnsi="Helvetica" w:cs="Helvetica"/>
          <w:b/>
          <w:bCs/>
          <w:sz w:val="24"/>
          <w:szCs w:val="24"/>
          <w:lang w:val="en-US"/>
        </w:rPr>
        <w:t>Introduction</w:t>
      </w:r>
    </w:p>
    <w:p w14:paraId="6F6774B0" w14:textId="77777777" w:rsidR="0068203B" w:rsidRDefault="0068203B" w:rsidP="00717D2E">
      <w:pPr>
        <w:pStyle w:val="TAMainText"/>
        <w:rPr>
          <w:rFonts w:ascii="Times New Roman" w:hAnsi="Times New Roman"/>
        </w:rPr>
      </w:pPr>
    </w:p>
    <w:p w14:paraId="1A64B122" w14:textId="43AA17FF" w:rsidR="00717D2E" w:rsidRDefault="00717D2E" w:rsidP="00717D2E">
      <w:pPr>
        <w:pStyle w:val="TAMainText"/>
        <w:rPr>
          <w:rFonts w:ascii="Times New Roman" w:hAnsi="Times New Roman"/>
        </w:rPr>
      </w:pPr>
      <w:r w:rsidRPr="00717D2E">
        <w:rPr>
          <w:rFonts w:ascii="Times New Roman" w:hAnsi="Times New Roman"/>
        </w:rPr>
        <w:t>The hydrodeoxygenation (HDO) of biomass-derived compounds has gained increasing attention considering the economic and environmental issues related to fossil fuels</w:t>
      </w:r>
      <w:r>
        <w:rPr>
          <w:rFonts w:ascii="Times New Roman" w:hAnsi="Times New Roman"/>
        </w:rPr>
        <w:t>. However</w:t>
      </w:r>
      <w:r w:rsidRPr="00717D2E">
        <w:rPr>
          <w:rFonts w:ascii="Times New Roman" w:hAnsi="Times New Roman"/>
        </w:rPr>
        <w:t xml:space="preserve">, the complexity and high oxygen content of biomass and its derivatives </w:t>
      </w:r>
      <w:r>
        <w:rPr>
          <w:rFonts w:ascii="Times New Roman" w:hAnsi="Times New Roman"/>
        </w:rPr>
        <w:t>are still a challenge</w:t>
      </w:r>
      <w:r w:rsidRPr="00717D2E">
        <w:rPr>
          <w:rFonts w:ascii="Times New Roman" w:hAnsi="Times New Roman"/>
        </w:rPr>
        <w:t xml:space="preserve"> </w:t>
      </w:r>
      <w:r w:rsidR="00D57A92">
        <w:rPr>
          <w:rFonts w:ascii="Times New Roman" w:hAnsi="Times New Roman"/>
        </w:rPr>
        <w:t>(1)</w:t>
      </w:r>
      <w:r w:rsidRPr="00717D2E">
        <w:rPr>
          <w:rFonts w:ascii="Times New Roman" w:hAnsi="Times New Roman"/>
        </w:rPr>
        <w:t>.</w:t>
      </w:r>
      <w:r w:rsidR="00D57A92">
        <w:rPr>
          <w:rFonts w:ascii="Times New Roman" w:hAnsi="Times New Roman"/>
        </w:rPr>
        <w:t xml:space="preserve"> </w:t>
      </w:r>
      <w:r w:rsidRPr="00717D2E">
        <w:rPr>
          <w:rFonts w:ascii="Times New Roman" w:hAnsi="Times New Roman"/>
        </w:rPr>
        <w:t xml:space="preserve">The main product obtained via the fast pyrolysis of crude biomass is the bio-oil, which is </w:t>
      </w:r>
      <w:r w:rsidR="00D57A92">
        <w:rPr>
          <w:rFonts w:ascii="Times New Roman" w:hAnsi="Times New Roman"/>
        </w:rPr>
        <w:t xml:space="preserve">composed </w:t>
      </w:r>
      <w:r w:rsidRPr="00717D2E">
        <w:rPr>
          <w:rFonts w:ascii="Times New Roman" w:hAnsi="Times New Roman"/>
        </w:rPr>
        <w:t xml:space="preserve">of carbonyl-compounds (ketones, aldehydes, and furanes), carboxylic acids, sugars, and aromatics </w:t>
      </w:r>
      <w:r w:rsidR="00D57A92">
        <w:rPr>
          <w:rFonts w:ascii="Times New Roman" w:hAnsi="Times New Roman"/>
        </w:rPr>
        <w:t>(2)</w:t>
      </w:r>
      <w:r w:rsidRPr="00717D2E">
        <w:rPr>
          <w:rFonts w:ascii="Times New Roman" w:hAnsi="Times New Roman"/>
        </w:rPr>
        <w:t>.</w:t>
      </w:r>
    </w:p>
    <w:p w14:paraId="3282F4A4" w14:textId="64891EC1" w:rsidR="00717D2E" w:rsidRDefault="00D57A92" w:rsidP="00EA4E1B">
      <w:pPr>
        <w:pStyle w:val="TAMainText"/>
        <w:rPr>
          <w:rFonts w:ascii="Times New Roman" w:hAnsi="Times New Roman"/>
        </w:rPr>
      </w:pPr>
      <w:r>
        <w:rPr>
          <w:rFonts w:ascii="Times New Roman" w:hAnsi="Times New Roman"/>
        </w:rPr>
        <w:t>A</w:t>
      </w:r>
      <w:r w:rsidR="00717D2E" w:rsidRPr="00717D2E">
        <w:rPr>
          <w:rFonts w:ascii="Times New Roman" w:hAnsi="Times New Roman"/>
        </w:rPr>
        <w:t>cetone HDO reaction network is extensive, leading to different products, according to the nature of the catalytic sites.  Therefore, in addition to its direct interest in terms of biomass upgrading, the study of acetone HDO represents an attractive approach to</w:t>
      </w:r>
      <w:r w:rsidR="00162D58">
        <w:rPr>
          <w:rFonts w:ascii="Times New Roman" w:hAnsi="Times New Roman"/>
        </w:rPr>
        <w:t xml:space="preserve"> </w:t>
      </w:r>
      <w:r w:rsidR="00717D2E" w:rsidRPr="00717D2E">
        <w:rPr>
          <w:rFonts w:ascii="Times New Roman" w:hAnsi="Times New Roman"/>
        </w:rPr>
        <w:t xml:space="preserve">evaluate the presence of different catalytic sites and their role in the C-O, C-C, and C-H bonds activation and cleavage </w:t>
      </w:r>
      <w:r w:rsidR="00162D58">
        <w:rPr>
          <w:rFonts w:ascii="Times New Roman" w:hAnsi="Times New Roman"/>
        </w:rPr>
        <w:t>(3).</w:t>
      </w:r>
    </w:p>
    <w:p w14:paraId="7BB62E4B" w14:textId="6B7923DA" w:rsidR="00234712" w:rsidRDefault="00717D2E" w:rsidP="000953A4">
      <w:pPr>
        <w:pStyle w:val="TAMainText"/>
        <w:rPr>
          <w:rFonts w:ascii="Times New Roman" w:hAnsi="Times New Roman"/>
        </w:rPr>
      </w:pPr>
      <w:r w:rsidRPr="00717D2E">
        <w:rPr>
          <w:rFonts w:ascii="Times New Roman" w:hAnsi="Times New Roman"/>
        </w:rPr>
        <w:t xml:space="preserve">Reducible metal oxides </w:t>
      </w:r>
      <w:r w:rsidR="00A440DC" w:rsidRPr="00717D2E">
        <w:rPr>
          <w:rFonts w:ascii="Times New Roman" w:hAnsi="Times New Roman"/>
        </w:rPr>
        <w:t>can promote</w:t>
      </w:r>
      <w:r w:rsidRPr="00717D2E">
        <w:rPr>
          <w:rFonts w:ascii="Times New Roman" w:hAnsi="Times New Roman"/>
        </w:rPr>
        <w:t xml:space="preserve"> the selective cleavage of C–O bonds through the reverse Mars–van Krevelen mechanism on oxygen vacancies</w:t>
      </w:r>
      <w:r w:rsidR="00A440DC">
        <w:rPr>
          <w:rFonts w:ascii="Times New Roman" w:hAnsi="Times New Roman"/>
        </w:rPr>
        <w:t>, therefore calling attention for biomass upgrading</w:t>
      </w:r>
      <w:r w:rsidR="00B54DEB">
        <w:rPr>
          <w:rFonts w:ascii="Times New Roman" w:hAnsi="Times New Roman"/>
        </w:rPr>
        <w:t xml:space="preserve"> (4)</w:t>
      </w:r>
      <w:r w:rsidRPr="00717D2E">
        <w:rPr>
          <w:rFonts w:ascii="Times New Roman" w:hAnsi="Times New Roman"/>
        </w:rPr>
        <w:t>. Among these metal oxides, MoO</w:t>
      </w:r>
      <w:r w:rsidRPr="00B54DEB">
        <w:rPr>
          <w:rFonts w:ascii="Times New Roman" w:hAnsi="Times New Roman"/>
          <w:vertAlign w:val="subscript"/>
        </w:rPr>
        <w:t>3</w:t>
      </w:r>
      <w:r w:rsidRPr="00717D2E">
        <w:rPr>
          <w:rFonts w:ascii="Times New Roman" w:hAnsi="Times New Roman"/>
        </w:rPr>
        <w:t xml:space="preserve"> is considered a reducible metal oxide with </w:t>
      </w:r>
      <w:r w:rsidR="00A440DC">
        <w:rPr>
          <w:rFonts w:ascii="Times New Roman" w:hAnsi="Times New Roman"/>
        </w:rPr>
        <w:t>moderate</w:t>
      </w:r>
      <w:r w:rsidR="00A440DC" w:rsidRPr="00717D2E">
        <w:rPr>
          <w:rFonts w:ascii="Times New Roman" w:hAnsi="Times New Roman"/>
        </w:rPr>
        <w:t xml:space="preserve"> oxophilicity</w:t>
      </w:r>
      <w:r w:rsidRPr="00717D2E">
        <w:rPr>
          <w:rFonts w:ascii="Times New Roman" w:hAnsi="Times New Roman"/>
        </w:rPr>
        <w:t xml:space="preserve"> </w:t>
      </w:r>
      <w:r w:rsidR="00C82571">
        <w:rPr>
          <w:rFonts w:ascii="Times New Roman" w:hAnsi="Times New Roman"/>
        </w:rPr>
        <w:t>(4)</w:t>
      </w:r>
      <w:r w:rsidRPr="00717D2E">
        <w:rPr>
          <w:rFonts w:ascii="Times New Roman" w:hAnsi="Times New Roman"/>
        </w:rPr>
        <w:t>. Under usual HDO conditions, its Mo-O bonds seem weak enough to allow oxygen vacancies to form easily, but strong enough not to be rapidly and extensively reduced</w:t>
      </w:r>
      <w:r w:rsidR="00A440DC">
        <w:rPr>
          <w:rFonts w:ascii="Times New Roman" w:hAnsi="Times New Roman"/>
        </w:rPr>
        <w:t>.</w:t>
      </w:r>
      <w:r w:rsidRPr="00717D2E">
        <w:rPr>
          <w:rFonts w:ascii="Times New Roman" w:hAnsi="Times New Roman"/>
        </w:rPr>
        <w:t xml:space="preserve"> </w:t>
      </w:r>
      <w:r w:rsidR="00B54DEB">
        <w:rPr>
          <w:rFonts w:ascii="Times New Roman" w:hAnsi="Times New Roman"/>
        </w:rPr>
        <w:t>The</w:t>
      </w:r>
      <w:r w:rsidRPr="00717D2E">
        <w:rPr>
          <w:rFonts w:ascii="Times New Roman" w:hAnsi="Times New Roman"/>
        </w:rPr>
        <w:t xml:space="preserve"> </w:t>
      </w:r>
      <w:r w:rsidR="00A440DC">
        <w:rPr>
          <w:rFonts w:ascii="Times New Roman" w:hAnsi="Times New Roman"/>
        </w:rPr>
        <w:t xml:space="preserve">HDO </w:t>
      </w:r>
      <w:r w:rsidRPr="00717D2E">
        <w:rPr>
          <w:rFonts w:ascii="Times New Roman" w:hAnsi="Times New Roman"/>
        </w:rPr>
        <w:t>reducing</w:t>
      </w:r>
      <w:r w:rsidR="00A440DC">
        <w:rPr>
          <w:rFonts w:ascii="Times New Roman" w:hAnsi="Times New Roman"/>
        </w:rPr>
        <w:t>/carburizing</w:t>
      </w:r>
      <w:r w:rsidRPr="00717D2E">
        <w:rPr>
          <w:rFonts w:ascii="Times New Roman" w:hAnsi="Times New Roman"/>
        </w:rPr>
        <w:t xml:space="preserve"> </w:t>
      </w:r>
      <w:r w:rsidR="00A440DC">
        <w:rPr>
          <w:rFonts w:ascii="Times New Roman" w:hAnsi="Times New Roman"/>
        </w:rPr>
        <w:t>stream</w:t>
      </w:r>
      <w:r w:rsidR="00B54DEB">
        <w:rPr>
          <w:rFonts w:ascii="Times New Roman" w:hAnsi="Times New Roman"/>
        </w:rPr>
        <w:t xml:space="preserve"> leads to</w:t>
      </w:r>
      <w:r w:rsidRPr="00717D2E">
        <w:rPr>
          <w:rFonts w:ascii="Times New Roman" w:hAnsi="Times New Roman"/>
        </w:rPr>
        <w:t xml:space="preserve"> MoO</w:t>
      </w:r>
      <w:r w:rsidRPr="00C82571">
        <w:rPr>
          <w:rFonts w:ascii="Times New Roman" w:hAnsi="Times New Roman"/>
          <w:vertAlign w:val="subscript"/>
        </w:rPr>
        <w:t>3</w:t>
      </w:r>
      <w:r w:rsidRPr="00717D2E">
        <w:rPr>
          <w:rFonts w:ascii="Times New Roman" w:hAnsi="Times New Roman"/>
        </w:rPr>
        <w:t xml:space="preserve"> </w:t>
      </w:r>
      <w:r w:rsidR="00B54DEB">
        <w:rPr>
          <w:rFonts w:ascii="Times New Roman" w:hAnsi="Times New Roman"/>
        </w:rPr>
        <w:t>transition</w:t>
      </w:r>
      <w:r w:rsidRPr="00717D2E">
        <w:rPr>
          <w:rFonts w:ascii="Times New Roman" w:hAnsi="Times New Roman"/>
        </w:rPr>
        <w:t xml:space="preserve"> </w:t>
      </w:r>
      <w:r w:rsidR="00A440DC">
        <w:rPr>
          <w:rFonts w:ascii="Times New Roman" w:hAnsi="Times New Roman"/>
        </w:rPr>
        <w:t xml:space="preserve">to </w:t>
      </w:r>
      <w:r w:rsidRPr="00717D2E">
        <w:rPr>
          <w:rFonts w:ascii="Times New Roman" w:hAnsi="Times New Roman"/>
        </w:rPr>
        <w:t>MoO</w:t>
      </w:r>
      <w:r w:rsidRPr="00C82571">
        <w:rPr>
          <w:rFonts w:ascii="Times New Roman" w:hAnsi="Times New Roman"/>
          <w:vertAlign w:val="subscript"/>
        </w:rPr>
        <w:t>2</w:t>
      </w:r>
      <w:r w:rsidR="00A440DC">
        <w:rPr>
          <w:rFonts w:ascii="Times New Roman" w:hAnsi="Times New Roman"/>
        </w:rPr>
        <w:t xml:space="preserve"> and MoO</w:t>
      </w:r>
      <w:r w:rsidR="00A440DC" w:rsidRPr="00C82571">
        <w:rPr>
          <w:rFonts w:ascii="Times New Roman" w:hAnsi="Times New Roman"/>
          <w:vertAlign w:val="subscript"/>
        </w:rPr>
        <w:t>x</w:t>
      </w:r>
      <w:r w:rsidR="00A440DC">
        <w:rPr>
          <w:rFonts w:ascii="Times New Roman" w:hAnsi="Times New Roman"/>
        </w:rPr>
        <w:t>C</w:t>
      </w:r>
      <w:r w:rsidR="00A440DC" w:rsidRPr="00C82571">
        <w:rPr>
          <w:rFonts w:ascii="Times New Roman" w:hAnsi="Times New Roman"/>
          <w:vertAlign w:val="subscript"/>
        </w:rPr>
        <w:t>y</w:t>
      </w:r>
      <w:r w:rsidR="00B54DEB">
        <w:rPr>
          <w:rFonts w:ascii="Times New Roman" w:hAnsi="Times New Roman"/>
        </w:rPr>
        <w:t xml:space="preserve"> phases, which present </w:t>
      </w:r>
      <w:r w:rsidR="00B54DEB" w:rsidRPr="00B54DEB">
        <w:rPr>
          <w:rFonts w:ascii="Times New Roman" w:hAnsi="Times New Roman"/>
        </w:rPr>
        <w:t xml:space="preserve">variable oxidation states, </w:t>
      </w:r>
      <w:r w:rsidR="000953A4">
        <w:rPr>
          <w:rFonts w:ascii="Times New Roman" w:hAnsi="Times New Roman"/>
        </w:rPr>
        <w:t>allowing</w:t>
      </w:r>
      <w:r w:rsidR="00B54DEB" w:rsidRPr="00B54DEB">
        <w:rPr>
          <w:rFonts w:ascii="Times New Roman" w:hAnsi="Times New Roman"/>
        </w:rPr>
        <w:t xml:space="preserve"> a fine-tuning of several catalytic processes </w:t>
      </w:r>
      <w:r w:rsidR="00C82571">
        <w:rPr>
          <w:rFonts w:ascii="Times New Roman" w:hAnsi="Times New Roman"/>
        </w:rPr>
        <w:t>(5)</w:t>
      </w:r>
      <w:r w:rsidR="00B54DEB" w:rsidRPr="00B54DEB">
        <w:rPr>
          <w:rFonts w:ascii="Times New Roman" w:hAnsi="Times New Roman"/>
        </w:rPr>
        <w:t>.</w:t>
      </w:r>
      <w:r w:rsidR="00234712">
        <w:rPr>
          <w:rFonts w:ascii="Times New Roman" w:hAnsi="Times New Roman"/>
        </w:rPr>
        <w:t xml:space="preserve"> However, </w:t>
      </w:r>
      <w:r w:rsidR="00234712" w:rsidRPr="00234712">
        <w:rPr>
          <w:rFonts w:ascii="Times New Roman" w:hAnsi="Times New Roman"/>
        </w:rPr>
        <w:t>MoO</w:t>
      </w:r>
      <w:r w:rsidR="00234712" w:rsidRPr="000953A4">
        <w:rPr>
          <w:rFonts w:ascii="Times New Roman" w:hAnsi="Times New Roman"/>
          <w:vertAlign w:val="subscript"/>
        </w:rPr>
        <w:t>2</w:t>
      </w:r>
      <w:r w:rsidR="00234712">
        <w:rPr>
          <w:rFonts w:ascii="Times New Roman" w:hAnsi="Times New Roman"/>
        </w:rPr>
        <w:t xml:space="preserve"> has been reported as a poorer catalyst (6,7).</w:t>
      </w:r>
    </w:p>
    <w:p w14:paraId="6C88487A" w14:textId="010512B4" w:rsidR="00717D2E" w:rsidRDefault="00DE65D8" w:rsidP="00EA4E1B">
      <w:pPr>
        <w:pStyle w:val="TAMainText"/>
        <w:rPr>
          <w:rFonts w:ascii="Times New Roman" w:hAnsi="Times New Roman"/>
        </w:rPr>
      </w:pPr>
      <w:r w:rsidRPr="00717D2E">
        <w:rPr>
          <w:rFonts w:ascii="Times New Roman" w:hAnsi="Times New Roman"/>
        </w:rPr>
        <w:t>MoO</w:t>
      </w:r>
      <w:r w:rsidRPr="00C82571">
        <w:rPr>
          <w:rFonts w:ascii="Times New Roman" w:hAnsi="Times New Roman"/>
          <w:vertAlign w:val="subscript"/>
        </w:rPr>
        <w:t>2</w:t>
      </w:r>
      <w:r>
        <w:rPr>
          <w:rFonts w:ascii="Times New Roman" w:hAnsi="Times New Roman"/>
        </w:rPr>
        <w:t xml:space="preserve"> and MoO</w:t>
      </w:r>
      <w:r w:rsidRPr="00C82571">
        <w:rPr>
          <w:rFonts w:ascii="Times New Roman" w:hAnsi="Times New Roman"/>
          <w:vertAlign w:val="subscript"/>
        </w:rPr>
        <w:t>x</w:t>
      </w:r>
      <w:r>
        <w:rPr>
          <w:rFonts w:ascii="Times New Roman" w:hAnsi="Times New Roman"/>
        </w:rPr>
        <w:t>C</w:t>
      </w:r>
      <w:r w:rsidRPr="00C82571">
        <w:rPr>
          <w:rFonts w:ascii="Times New Roman" w:hAnsi="Times New Roman"/>
          <w:vertAlign w:val="subscript"/>
        </w:rPr>
        <w:t>y</w:t>
      </w:r>
      <w:r>
        <w:rPr>
          <w:rFonts w:ascii="Times New Roman" w:hAnsi="Times New Roman"/>
        </w:rPr>
        <w:t xml:space="preserve"> phases </w:t>
      </w:r>
      <w:r w:rsidR="00717D2E" w:rsidRPr="00717D2E">
        <w:rPr>
          <w:rFonts w:ascii="Times New Roman" w:hAnsi="Times New Roman"/>
        </w:rPr>
        <w:t xml:space="preserve">have shown the ability to catalyze different reaction pathways that require acid (Bronsted or Lewis), metallic, or the combination of more than one site, in bifunctional mechanisms </w:t>
      </w:r>
      <w:r w:rsidR="00234712">
        <w:rPr>
          <w:rFonts w:ascii="Times New Roman" w:hAnsi="Times New Roman"/>
        </w:rPr>
        <w:t>(</w:t>
      </w:r>
      <w:r w:rsidR="000953A4">
        <w:rPr>
          <w:rFonts w:ascii="Times New Roman" w:hAnsi="Times New Roman"/>
        </w:rPr>
        <w:t>8</w:t>
      </w:r>
      <w:r w:rsidR="00234712">
        <w:rPr>
          <w:rFonts w:ascii="Times New Roman" w:hAnsi="Times New Roman"/>
        </w:rPr>
        <w:t>)</w:t>
      </w:r>
      <w:r w:rsidR="00717D2E" w:rsidRPr="00717D2E">
        <w:rPr>
          <w:rFonts w:ascii="Times New Roman" w:hAnsi="Times New Roman"/>
        </w:rPr>
        <w:t xml:space="preserve">. </w:t>
      </w:r>
      <w:r>
        <w:rPr>
          <w:rFonts w:ascii="Times New Roman" w:hAnsi="Times New Roman"/>
        </w:rPr>
        <w:t>In HDO, w</w:t>
      </w:r>
      <w:r w:rsidR="00717D2E" w:rsidRPr="00717D2E">
        <w:rPr>
          <w:rFonts w:ascii="Times New Roman" w:hAnsi="Times New Roman"/>
        </w:rPr>
        <w:t>hile dehydration and condensation steps are typically catalyzed by Bronsted/Lewis acid sites</w:t>
      </w:r>
      <w:r>
        <w:rPr>
          <w:rFonts w:ascii="Times New Roman" w:hAnsi="Times New Roman"/>
        </w:rPr>
        <w:t xml:space="preserve"> </w:t>
      </w:r>
      <w:r w:rsidR="00717D2E" w:rsidRPr="00717D2E">
        <w:rPr>
          <w:rFonts w:ascii="Times New Roman" w:hAnsi="Times New Roman"/>
        </w:rPr>
        <w:t xml:space="preserve">alone, oxygen </w:t>
      </w:r>
      <w:r w:rsidR="00717D2E" w:rsidRPr="00717D2E">
        <w:rPr>
          <w:rFonts w:ascii="Times New Roman" w:hAnsi="Times New Roman"/>
        </w:rPr>
        <w:lastRenderedPageBreak/>
        <w:t>vacancies</w:t>
      </w:r>
      <w:r>
        <w:rPr>
          <w:rFonts w:ascii="Times New Roman" w:hAnsi="Times New Roman"/>
        </w:rPr>
        <w:t xml:space="preserve"> </w:t>
      </w:r>
      <w:r w:rsidR="00717D2E" w:rsidRPr="00717D2E">
        <w:rPr>
          <w:rFonts w:ascii="Times New Roman" w:hAnsi="Times New Roman"/>
        </w:rPr>
        <w:t xml:space="preserve">participate in </w:t>
      </w:r>
      <w:r>
        <w:rPr>
          <w:rFonts w:ascii="Times New Roman" w:hAnsi="Times New Roman"/>
        </w:rPr>
        <w:t xml:space="preserve">direct </w:t>
      </w:r>
      <w:r w:rsidR="00717D2E" w:rsidRPr="00717D2E">
        <w:rPr>
          <w:rFonts w:ascii="Times New Roman" w:hAnsi="Times New Roman"/>
        </w:rPr>
        <w:t>deoxygenation routes</w:t>
      </w:r>
      <w:r>
        <w:rPr>
          <w:rFonts w:ascii="Times New Roman" w:hAnsi="Times New Roman"/>
        </w:rPr>
        <w:t>. In turn, h</w:t>
      </w:r>
      <w:r w:rsidR="00717D2E" w:rsidRPr="00717D2E">
        <w:rPr>
          <w:rFonts w:ascii="Times New Roman" w:hAnsi="Times New Roman"/>
        </w:rPr>
        <w:t>ydrogenation/hydrogenolysis sites</w:t>
      </w:r>
      <w:r>
        <w:rPr>
          <w:rFonts w:ascii="Times New Roman" w:hAnsi="Times New Roman"/>
        </w:rPr>
        <w:t xml:space="preserve"> </w:t>
      </w:r>
      <w:r w:rsidR="00717D2E" w:rsidRPr="00717D2E">
        <w:rPr>
          <w:rFonts w:ascii="Times New Roman" w:hAnsi="Times New Roman"/>
        </w:rPr>
        <w:t>are commonly mediated by metallic sites, and in the case of oxides and/or oxycarbide phases they are not straightforwardly defined.</w:t>
      </w:r>
    </w:p>
    <w:p w14:paraId="6DEA9A78" w14:textId="45D6DF83" w:rsidR="00234712" w:rsidRDefault="00234712" w:rsidP="00EA4E1B">
      <w:pPr>
        <w:pStyle w:val="TAMainText"/>
        <w:rPr>
          <w:rFonts w:ascii="Times New Roman" w:hAnsi="Times New Roman"/>
        </w:rPr>
      </w:pPr>
      <w:r w:rsidRPr="00234712">
        <w:rPr>
          <w:rFonts w:ascii="Times New Roman" w:hAnsi="Times New Roman"/>
        </w:rPr>
        <w:t>Several catalytic reports involving bulk and supported MoO</w:t>
      </w:r>
      <w:r w:rsidRPr="00234712">
        <w:rPr>
          <w:rFonts w:ascii="Times New Roman" w:hAnsi="Times New Roman"/>
          <w:vertAlign w:val="subscript"/>
        </w:rPr>
        <w:t>3</w:t>
      </w:r>
      <w:r w:rsidRPr="00234712">
        <w:rPr>
          <w:rFonts w:ascii="Times New Roman" w:hAnsi="Times New Roman"/>
        </w:rPr>
        <w:t xml:space="preserve"> in HDO reactions have proposed the main reaction pathways and the catalytic sites involved in each </w:t>
      </w:r>
      <w:r>
        <w:rPr>
          <w:rFonts w:ascii="Times New Roman" w:hAnsi="Times New Roman"/>
        </w:rPr>
        <w:t xml:space="preserve">of these </w:t>
      </w:r>
      <w:r w:rsidRPr="00234712">
        <w:rPr>
          <w:rFonts w:ascii="Times New Roman" w:hAnsi="Times New Roman"/>
        </w:rPr>
        <w:t>step</w:t>
      </w:r>
      <w:r>
        <w:rPr>
          <w:rFonts w:ascii="Times New Roman" w:hAnsi="Times New Roman"/>
        </w:rPr>
        <w:t>s (</w:t>
      </w:r>
      <w:r w:rsidR="000953A4">
        <w:rPr>
          <w:rFonts w:ascii="Times New Roman" w:hAnsi="Times New Roman"/>
        </w:rPr>
        <w:t>9</w:t>
      </w:r>
      <w:r>
        <w:rPr>
          <w:rFonts w:ascii="Times New Roman" w:hAnsi="Times New Roman"/>
        </w:rPr>
        <w:t>-1</w:t>
      </w:r>
      <w:r w:rsidR="00DC0ED2">
        <w:rPr>
          <w:rFonts w:ascii="Times New Roman" w:hAnsi="Times New Roman"/>
        </w:rPr>
        <w:t>3</w:t>
      </w:r>
      <w:r>
        <w:rPr>
          <w:rFonts w:ascii="Times New Roman" w:hAnsi="Times New Roman"/>
        </w:rPr>
        <w:t>).</w:t>
      </w:r>
      <w:r w:rsidRPr="00234712">
        <w:rPr>
          <w:rFonts w:ascii="Times New Roman" w:hAnsi="Times New Roman"/>
        </w:rPr>
        <w:t xml:space="preserve"> However, the influence of the formation of new phases under reaction conditions associated with surface modifications are much less understood.</w:t>
      </w:r>
    </w:p>
    <w:p w14:paraId="1102C9D2" w14:textId="3DED91BC" w:rsidR="00717D2E" w:rsidRPr="00717D2E" w:rsidRDefault="00717D2E" w:rsidP="002823A3">
      <w:pPr>
        <w:pStyle w:val="TAMainText"/>
        <w:rPr>
          <w:rFonts w:ascii="Times New Roman" w:hAnsi="Times New Roman"/>
        </w:rPr>
      </w:pPr>
      <w:r w:rsidRPr="00717D2E">
        <w:rPr>
          <w:rFonts w:ascii="Times New Roman" w:hAnsi="Times New Roman"/>
        </w:rPr>
        <w:t xml:space="preserve">Therefore, </w:t>
      </w:r>
      <w:r w:rsidR="00234712">
        <w:rPr>
          <w:rFonts w:ascii="Times New Roman" w:hAnsi="Times New Roman"/>
        </w:rPr>
        <w:t>this</w:t>
      </w:r>
      <w:r w:rsidRPr="00717D2E">
        <w:rPr>
          <w:rFonts w:ascii="Times New Roman" w:hAnsi="Times New Roman"/>
        </w:rPr>
        <w:t xml:space="preserve"> work aims to shed light on the properties of </w:t>
      </w:r>
      <w:r w:rsidR="00234712">
        <w:rPr>
          <w:rFonts w:ascii="Times New Roman" w:hAnsi="Times New Roman"/>
        </w:rPr>
        <w:t>MoO</w:t>
      </w:r>
      <w:r w:rsidR="00234712" w:rsidRPr="00DC0ED2">
        <w:rPr>
          <w:rFonts w:ascii="Times New Roman" w:hAnsi="Times New Roman"/>
          <w:vertAlign w:val="subscript"/>
        </w:rPr>
        <w:t>3</w:t>
      </w:r>
      <w:r w:rsidR="00234712">
        <w:rPr>
          <w:rFonts w:ascii="Times New Roman" w:hAnsi="Times New Roman"/>
        </w:rPr>
        <w:t xml:space="preserve">, focusing on </w:t>
      </w:r>
      <w:r w:rsidR="00DC0ED2">
        <w:rPr>
          <w:rFonts w:ascii="Times New Roman" w:hAnsi="Times New Roman"/>
        </w:rPr>
        <w:t xml:space="preserve">the </w:t>
      </w:r>
      <w:r w:rsidR="00234712">
        <w:rPr>
          <w:rFonts w:ascii="Times New Roman" w:hAnsi="Times New Roman"/>
        </w:rPr>
        <w:t xml:space="preserve">phase </w:t>
      </w:r>
      <w:r w:rsidRPr="00717D2E">
        <w:rPr>
          <w:rFonts w:ascii="Times New Roman" w:hAnsi="Times New Roman"/>
        </w:rPr>
        <w:t>which was formed during acetone HDO stream. Textural, structural, and electronic characterization, according to the reaction conditions, allowed us to elucidate the nature of the active sites in the Mo-based catalysts. The MoO</w:t>
      </w:r>
      <w:r w:rsidRPr="00DC0ED2">
        <w:rPr>
          <w:rFonts w:ascii="Times New Roman" w:hAnsi="Times New Roman"/>
          <w:vertAlign w:val="subscript"/>
        </w:rPr>
        <w:t>x</w:t>
      </w:r>
      <w:r w:rsidRPr="00717D2E">
        <w:rPr>
          <w:rFonts w:ascii="Times New Roman" w:hAnsi="Times New Roman"/>
        </w:rPr>
        <w:t>C</w:t>
      </w:r>
      <w:r w:rsidRPr="00DC0ED2">
        <w:rPr>
          <w:rFonts w:ascii="Times New Roman" w:hAnsi="Times New Roman"/>
          <w:vertAlign w:val="subscript"/>
        </w:rPr>
        <w:t>y</w:t>
      </w:r>
      <w:r w:rsidRPr="00717D2E">
        <w:rPr>
          <w:rFonts w:ascii="Times New Roman" w:hAnsi="Times New Roman"/>
        </w:rPr>
        <w:t xml:space="preserve"> phase presented </w:t>
      </w:r>
      <w:r w:rsidR="00DC0ED2">
        <w:rPr>
          <w:rFonts w:ascii="Times New Roman" w:hAnsi="Times New Roman"/>
        </w:rPr>
        <w:t>sites r</w:t>
      </w:r>
      <w:r w:rsidRPr="00717D2E">
        <w:rPr>
          <w:rFonts w:ascii="Times New Roman" w:hAnsi="Times New Roman"/>
        </w:rPr>
        <w:t>esponsible for hydrogenation/hydrogenolysis steps, in addition to enhanced acidity. Stronger Brønsted acid sites were particularly promoted, favoring the two-step acetone deoxygenation pathway, which yields propene through isopropanol dehydration</w:t>
      </w:r>
      <w:r w:rsidR="00DC0ED2">
        <w:rPr>
          <w:rFonts w:ascii="Times New Roman" w:hAnsi="Times New Roman"/>
        </w:rPr>
        <w:t>.</w:t>
      </w:r>
    </w:p>
    <w:p w14:paraId="52FFAC79" w14:textId="00DC6EF0" w:rsidR="00EA4E1B" w:rsidRPr="002823A3" w:rsidRDefault="00EA4E1B" w:rsidP="00EA4E1B">
      <w:pPr>
        <w:pStyle w:val="Ttulo2"/>
        <w:rPr>
          <w:rFonts w:ascii="Helvetica" w:hAnsi="Helvetica" w:cs="Helvetica"/>
          <w:b/>
          <w:bCs/>
          <w:sz w:val="24"/>
          <w:szCs w:val="24"/>
          <w:lang w:val="en-US"/>
        </w:rPr>
      </w:pPr>
      <w:r w:rsidRPr="002823A3">
        <w:rPr>
          <w:rFonts w:ascii="Helvetica" w:hAnsi="Helvetica" w:cs="Helvetica"/>
          <w:b/>
          <w:bCs/>
          <w:sz w:val="24"/>
          <w:szCs w:val="24"/>
          <w:lang w:val="en-US"/>
        </w:rPr>
        <w:t>Experimental</w:t>
      </w:r>
    </w:p>
    <w:p w14:paraId="144F5CDC" w14:textId="77777777" w:rsidR="0068203B" w:rsidRDefault="0068203B" w:rsidP="00AA325A">
      <w:pPr>
        <w:pStyle w:val="TAMainText"/>
        <w:ind w:firstLine="0"/>
        <w:rPr>
          <w:rFonts w:ascii="Times New Roman" w:hAnsi="Times New Roman"/>
          <w:i/>
        </w:rPr>
      </w:pPr>
    </w:p>
    <w:p w14:paraId="42EA7375" w14:textId="7C70F40C" w:rsidR="00AA325A" w:rsidRPr="00AA325A" w:rsidRDefault="00AA325A" w:rsidP="00AA325A">
      <w:pPr>
        <w:pStyle w:val="TAMainText"/>
        <w:ind w:firstLine="0"/>
        <w:rPr>
          <w:rFonts w:ascii="Times New Roman" w:hAnsi="Times New Roman"/>
          <w:i/>
        </w:rPr>
      </w:pPr>
      <w:r w:rsidRPr="00AA325A">
        <w:rPr>
          <w:rFonts w:ascii="Times New Roman" w:hAnsi="Times New Roman"/>
          <w:i/>
        </w:rPr>
        <w:t>Materia</w:t>
      </w:r>
      <w:r>
        <w:rPr>
          <w:rFonts w:ascii="Times New Roman" w:hAnsi="Times New Roman"/>
          <w:i/>
        </w:rPr>
        <w:t>ls and Characterizatio</w:t>
      </w:r>
      <w:r w:rsidR="00532F2D">
        <w:rPr>
          <w:rFonts w:ascii="Times New Roman" w:hAnsi="Times New Roman"/>
          <w:i/>
        </w:rPr>
        <w:t>n</w:t>
      </w:r>
    </w:p>
    <w:p w14:paraId="1954A949" w14:textId="5D02485E" w:rsidR="00AA325A" w:rsidRDefault="00CC3DE2" w:rsidP="00EA4E1B">
      <w:pPr>
        <w:pStyle w:val="TAMainText"/>
        <w:rPr>
          <w:rFonts w:ascii="Times New Roman" w:hAnsi="Times New Roman"/>
        </w:rPr>
      </w:pPr>
      <w:r w:rsidRPr="00AA325A">
        <w:rPr>
          <w:rFonts w:ascii="Times New Roman" w:hAnsi="Times New Roman"/>
        </w:rPr>
        <w:t>Commercial molybdenum oxide (MoO</w:t>
      </w:r>
      <w:r w:rsidRPr="00AA325A">
        <w:rPr>
          <w:rFonts w:ascii="Times New Roman" w:hAnsi="Times New Roman"/>
          <w:vertAlign w:val="subscript"/>
        </w:rPr>
        <w:t>3</w:t>
      </w:r>
      <w:r w:rsidRPr="00AA325A">
        <w:rPr>
          <w:rFonts w:ascii="Times New Roman" w:hAnsi="Times New Roman"/>
        </w:rPr>
        <w:t>, nanopowder</w:t>
      </w:r>
      <w:r w:rsidR="008A3F71">
        <w:rPr>
          <w:rFonts w:ascii="Times New Roman" w:hAnsi="Times New Roman"/>
        </w:rPr>
        <w:t xml:space="preserve">) </w:t>
      </w:r>
      <w:r w:rsidR="008729C9">
        <w:rPr>
          <w:rFonts w:ascii="Times New Roman" w:hAnsi="Times New Roman"/>
        </w:rPr>
        <w:t xml:space="preserve">supplied by Sigma-Aldrich, </w:t>
      </w:r>
      <w:r w:rsidRPr="00AA325A">
        <w:rPr>
          <w:rFonts w:ascii="Times New Roman" w:hAnsi="Times New Roman"/>
        </w:rPr>
        <w:t xml:space="preserve">was used </w:t>
      </w:r>
      <w:r w:rsidR="00AA325A" w:rsidRPr="00AA325A">
        <w:rPr>
          <w:rFonts w:ascii="Times New Roman" w:hAnsi="Times New Roman"/>
        </w:rPr>
        <w:t>i</w:t>
      </w:r>
      <w:r w:rsidR="00AA325A">
        <w:rPr>
          <w:rFonts w:ascii="Times New Roman" w:hAnsi="Times New Roman"/>
        </w:rPr>
        <w:t>n all catalytic tests.</w:t>
      </w:r>
      <w:r w:rsidR="008729C9">
        <w:rPr>
          <w:rFonts w:ascii="Times New Roman" w:hAnsi="Times New Roman"/>
        </w:rPr>
        <w:t xml:space="preserve"> Other reagents eventually </w:t>
      </w:r>
      <w:r w:rsidR="00D362B6">
        <w:rPr>
          <w:rFonts w:ascii="Times New Roman" w:hAnsi="Times New Roman"/>
        </w:rPr>
        <w:t>employed</w:t>
      </w:r>
      <w:r w:rsidR="008729C9">
        <w:rPr>
          <w:rFonts w:ascii="Times New Roman" w:hAnsi="Times New Roman"/>
        </w:rPr>
        <w:t xml:space="preserve"> were purchased in</w:t>
      </w:r>
      <w:r w:rsidR="008729C9" w:rsidRPr="008729C9">
        <w:t xml:space="preserve"> </w:t>
      </w:r>
      <w:r w:rsidR="008729C9">
        <w:rPr>
          <w:rFonts w:ascii="Times New Roman" w:hAnsi="Times New Roman"/>
        </w:rPr>
        <w:t>h</w:t>
      </w:r>
      <w:r w:rsidR="008729C9" w:rsidRPr="008729C9">
        <w:rPr>
          <w:rFonts w:ascii="Times New Roman" w:hAnsi="Times New Roman"/>
        </w:rPr>
        <w:t xml:space="preserve">igh purity </w:t>
      </w:r>
      <w:r w:rsidR="008729C9">
        <w:rPr>
          <w:rFonts w:ascii="Times New Roman" w:hAnsi="Times New Roman"/>
        </w:rPr>
        <w:t>grade from Sigma-Aldrich, Merck, Synth, Alfa Aesar, and ECIBRA.</w:t>
      </w:r>
    </w:p>
    <w:p w14:paraId="4F9C4B9F" w14:textId="0E0FD284" w:rsidR="00532F2D" w:rsidRDefault="00AA325A" w:rsidP="00467AF9">
      <w:pPr>
        <w:pStyle w:val="TAMainText"/>
        <w:rPr>
          <w:rFonts w:ascii="Times New Roman" w:hAnsi="Times New Roman"/>
        </w:rPr>
      </w:pPr>
      <w:r>
        <w:rPr>
          <w:rFonts w:ascii="Times New Roman" w:hAnsi="Times New Roman"/>
        </w:rPr>
        <w:t>The crystalline structure of the samples was verified by p</w:t>
      </w:r>
      <w:r w:rsidRPr="00AA325A">
        <w:rPr>
          <w:rFonts w:ascii="Times New Roman" w:hAnsi="Times New Roman"/>
        </w:rPr>
        <w:t>owder X-ray diffract</w:t>
      </w:r>
      <w:r>
        <w:rPr>
          <w:rFonts w:ascii="Times New Roman" w:hAnsi="Times New Roman"/>
        </w:rPr>
        <w:t>ion</w:t>
      </w:r>
      <w:r w:rsidRPr="00AA325A">
        <w:rPr>
          <w:rFonts w:ascii="Times New Roman" w:hAnsi="Times New Roman"/>
        </w:rPr>
        <w:t xml:space="preserve"> (XRD)</w:t>
      </w:r>
      <w:r w:rsidR="008729C9">
        <w:rPr>
          <w:rFonts w:ascii="Times New Roman" w:hAnsi="Times New Roman"/>
        </w:rPr>
        <w:t xml:space="preserve"> collected in a </w:t>
      </w:r>
      <w:r w:rsidR="008729C9" w:rsidRPr="008729C9">
        <w:rPr>
          <w:rFonts w:ascii="Times New Roman" w:hAnsi="Times New Roman"/>
        </w:rPr>
        <w:t>Bruker D8 Advance Eco diffractometer</w:t>
      </w:r>
      <w:r>
        <w:rPr>
          <w:rFonts w:ascii="Times New Roman" w:hAnsi="Times New Roman"/>
        </w:rPr>
        <w:t xml:space="preserve">. The surface electronic characterization was performed through </w:t>
      </w:r>
      <w:r w:rsidRPr="00AA325A">
        <w:rPr>
          <w:rFonts w:ascii="Times New Roman" w:hAnsi="Times New Roman"/>
        </w:rPr>
        <w:t>X-ray photoelectron spectroscopy (XPS) measurements</w:t>
      </w:r>
      <w:r w:rsidR="008729C9">
        <w:rPr>
          <w:rFonts w:ascii="Times New Roman" w:hAnsi="Times New Roman"/>
        </w:rPr>
        <w:t xml:space="preserve"> using a </w:t>
      </w:r>
      <w:r w:rsidR="008729C9" w:rsidRPr="008729C9">
        <w:rPr>
          <w:rFonts w:ascii="Times New Roman" w:hAnsi="Times New Roman"/>
        </w:rPr>
        <w:t>monochromatic Al Kα source on a K-alpha spectrometer (Thermo Fisher Scientific) equipped with a 180° double focusing hemispherical analyzer with a 128-channel detector</w:t>
      </w:r>
      <w:r>
        <w:rPr>
          <w:rFonts w:ascii="Times New Roman" w:hAnsi="Times New Roman"/>
        </w:rPr>
        <w:t>.</w:t>
      </w:r>
      <w:r w:rsidR="0068203B">
        <w:rPr>
          <w:rFonts w:ascii="Times New Roman" w:hAnsi="Times New Roman"/>
        </w:rPr>
        <w:t xml:space="preserve"> </w:t>
      </w:r>
      <w:r w:rsidR="0068203B" w:rsidRPr="00AA325A">
        <w:rPr>
          <w:rFonts w:ascii="Times New Roman" w:hAnsi="Times New Roman"/>
        </w:rPr>
        <w:t xml:space="preserve">The acid sites in the samples were probed by </w:t>
      </w:r>
      <w:r w:rsidR="0068203B" w:rsidRPr="00532F2D">
        <w:rPr>
          <w:rFonts w:ascii="Times New Roman" w:hAnsi="Times New Roman"/>
          <w:vertAlign w:val="superscript"/>
        </w:rPr>
        <w:t>31</w:t>
      </w:r>
      <w:r w:rsidR="0068203B" w:rsidRPr="00AA325A">
        <w:rPr>
          <w:rFonts w:ascii="Times New Roman" w:hAnsi="Times New Roman"/>
        </w:rPr>
        <w:t xml:space="preserve">P MAS-NMR analysis of adsorbed </w:t>
      </w:r>
      <w:r w:rsidR="0068203B">
        <w:rPr>
          <w:rFonts w:ascii="Times New Roman" w:hAnsi="Times New Roman"/>
        </w:rPr>
        <w:t>trimethylphoshine oxide (</w:t>
      </w:r>
      <w:r w:rsidR="0068203B" w:rsidRPr="00AA325A">
        <w:rPr>
          <w:rFonts w:ascii="Times New Roman" w:hAnsi="Times New Roman"/>
        </w:rPr>
        <w:t>TMPO</w:t>
      </w:r>
      <w:r w:rsidR="0068203B">
        <w:rPr>
          <w:rFonts w:ascii="Times New Roman" w:hAnsi="Times New Roman"/>
        </w:rPr>
        <w:t xml:space="preserve">) </w:t>
      </w:r>
      <w:r w:rsidR="0068203B" w:rsidRPr="008729C9">
        <w:rPr>
          <w:rFonts w:ascii="Times New Roman" w:hAnsi="Times New Roman"/>
        </w:rPr>
        <w:t>in a 400 MHz (9.4 T) Bruker Avance-II+ equipped with a 4 mm MAS 4BL CP BB probe</w:t>
      </w:r>
      <w:r w:rsidR="0068203B">
        <w:rPr>
          <w:rFonts w:ascii="Times New Roman" w:hAnsi="Times New Roman"/>
        </w:rPr>
        <w:t xml:space="preserve">. </w:t>
      </w:r>
      <w:r w:rsidR="0068203B" w:rsidRPr="00AA325A">
        <w:rPr>
          <w:rFonts w:ascii="Times New Roman" w:hAnsi="Times New Roman"/>
        </w:rPr>
        <w:t>To perform the acid sites quantification, the TMPO-loaded samples were subjected to phosphorus (P) elemental analysis by Inductively Coupled Plasma Optical Emission Spectrometry (ICP-OES)</w:t>
      </w:r>
      <w:r w:rsidR="0068203B">
        <w:rPr>
          <w:rFonts w:ascii="Times New Roman" w:hAnsi="Times New Roman"/>
        </w:rPr>
        <w:t xml:space="preserve">, carried out </w:t>
      </w:r>
      <w:r w:rsidR="0068203B" w:rsidRPr="008729C9">
        <w:rPr>
          <w:rFonts w:ascii="Times New Roman" w:hAnsi="Times New Roman"/>
        </w:rPr>
        <w:t>in an ICP-OES Analytik Jena apparatus, Model Quanta Elite,</w:t>
      </w:r>
      <w:r w:rsidR="0068203B">
        <w:rPr>
          <w:rFonts w:ascii="Times New Roman" w:hAnsi="Times New Roman"/>
        </w:rPr>
        <w:t xml:space="preserve"> 1200 W</w:t>
      </w:r>
      <w:r w:rsidR="0068203B" w:rsidRPr="008729C9">
        <w:rPr>
          <w:rFonts w:ascii="Times New Roman" w:hAnsi="Times New Roman"/>
        </w:rPr>
        <w:t>.</w:t>
      </w:r>
      <w:r w:rsidR="0068203B">
        <w:rPr>
          <w:rFonts w:ascii="Times New Roman" w:hAnsi="Times New Roman"/>
        </w:rPr>
        <w:t xml:space="preserve"> </w:t>
      </w:r>
      <w:r>
        <w:rPr>
          <w:rFonts w:ascii="Times New Roman" w:hAnsi="Times New Roman"/>
        </w:rPr>
        <w:t>T</w:t>
      </w:r>
      <w:r w:rsidRPr="00AA325A">
        <w:rPr>
          <w:rFonts w:ascii="Times New Roman" w:hAnsi="Times New Roman"/>
        </w:rPr>
        <w:t>hermogravimetric analy</w:t>
      </w:r>
      <w:r w:rsidR="00532F2D">
        <w:rPr>
          <w:rFonts w:ascii="Times New Roman" w:hAnsi="Times New Roman"/>
        </w:rPr>
        <w:t>ze</w:t>
      </w:r>
      <w:r w:rsidRPr="00AA325A">
        <w:rPr>
          <w:rFonts w:ascii="Times New Roman" w:hAnsi="Times New Roman"/>
        </w:rPr>
        <w:t>s (TGA) w</w:t>
      </w:r>
      <w:r w:rsidR="00532F2D">
        <w:rPr>
          <w:rFonts w:ascii="Times New Roman" w:hAnsi="Times New Roman"/>
        </w:rPr>
        <w:t>ere</w:t>
      </w:r>
      <w:r w:rsidRPr="00AA325A">
        <w:rPr>
          <w:rFonts w:ascii="Times New Roman" w:hAnsi="Times New Roman"/>
        </w:rPr>
        <w:t xml:space="preserve"> </w:t>
      </w:r>
      <w:r w:rsidR="008729C9">
        <w:rPr>
          <w:rFonts w:ascii="Times New Roman" w:hAnsi="Times New Roman"/>
        </w:rPr>
        <w:t xml:space="preserve">performed </w:t>
      </w:r>
      <w:r w:rsidR="008729C9" w:rsidRPr="008729C9">
        <w:rPr>
          <w:rFonts w:ascii="Times New Roman" w:hAnsi="Times New Roman"/>
        </w:rPr>
        <w:t>in a TA equipment</w:t>
      </w:r>
      <w:r w:rsidR="008729C9">
        <w:rPr>
          <w:rFonts w:ascii="Times New Roman" w:hAnsi="Times New Roman"/>
        </w:rPr>
        <w:t>,</w:t>
      </w:r>
      <w:r w:rsidR="008729C9" w:rsidRPr="008729C9">
        <w:rPr>
          <w:rFonts w:ascii="Times New Roman" w:hAnsi="Times New Roman"/>
        </w:rPr>
        <w:t xml:space="preserve"> model SDT Q600</w:t>
      </w:r>
      <w:r w:rsidR="008729C9">
        <w:rPr>
          <w:rFonts w:ascii="Times New Roman" w:hAnsi="Times New Roman"/>
        </w:rPr>
        <w:t>,</w:t>
      </w:r>
      <w:r w:rsidR="00532F2D">
        <w:rPr>
          <w:rFonts w:ascii="Times New Roman" w:hAnsi="Times New Roman"/>
        </w:rPr>
        <w:t xml:space="preserve"> to monitor the fraction of water and phase transitions during heating. </w:t>
      </w:r>
    </w:p>
    <w:p w14:paraId="752AFF85" w14:textId="77777777" w:rsidR="002823A3" w:rsidRDefault="002823A3" w:rsidP="00532F2D">
      <w:pPr>
        <w:pStyle w:val="TAMainText"/>
        <w:ind w:firstLine="0"/>
        <w:rPr>
          <w:rFonts w:ascii="Times New Roman" w:hAnsi="Times New Roman"/>
          <w:i/>
        </w:rPr>
      </w:pPr>
    </w:p>
    <w:p w14:paraId="54E3EEDC" w14:textId="147204B3" w:rsidR="00532F2D" w:rsidRPr="00AA325A" w:rsidRDefault="00532F2D" w:rsidP="00532F2D">
      <w:pPr>
        <w:pStyle w:val="TAMainText"/>
        <w:ind w:firstLine="0"/>
        <w:rPr>
          <w:rFonts w:ascii="Times New Roman" w:hAnsi="Times New Roman"/>
          <w:i/>
        </w:rPr>
      </w:pPr>
      <w:r>
        <w:rPr>
          <w:rFonts w:ascii="Times New Roman" w:hAnsi="Times New Roman"/>
          <w:i/>
        </w:rPr>
        <w:t>Catalytic Evaluation</w:t>
      </w:r>
    </w:p>
    <w:p w14:paraId="474F50D4" w14:textId="3599AE85" w:rsidR="00532F2D" w:rsidRDefault="00532F2D" w:rsidP="00532F2D">
      <w:pPr>
        <w:pStyle w:val="TAMainText"/>
        <w:rPr>
          <w:rFonts w:ascii="Times New Roman" w:hAnsi="Times New Roman"/>
        </w:rPr>
      </w:pPr>
      <w:r w:rsidRPr="00532F2D">
        <w:rPr>
          <w:rFonts w:ascii="Times New Roman" w:hAnsi="Times New Roman"/>
        </w:rPr>
        <w:t xml:space="preserve">Gas-phase acetone HDO reaction was conducted in a plug-flow tubular reactor equipped with a quartz tube (inner </w:t>
      </w:r>
      <w:r w:rsidRPr="00532F2D">
        <w:rPr>
          <w:rFonts w:ascii="Times New Roman" w:hAnsi="Times New Roman"/>
        </w:rPr>
        <w:t>diameter of 8.1 mm), with a catalytic bed composed of 50 mg of catalyst and 150 mg of diluent (quartz powder; &lt;100 mesh). Acetone was introduced into the reactor by using a saturation flask (2.4 mL min</w:t>
      </w:r>
      <w:r w:rsidRPr="00532F2D">
        <w:rPr>
          <w:rFonts w:ascii="Times New Roman" w:hAnsi="Times New Roman"/>
          <w:vertAlign w:val="superscript"/>
        </w:rPr>
        <w:t>-1</w:t>
      </w:r>
      <w:r w:rsidRPr="00532F2D">
        <w:rPr>
          <w:rFonts w:ascii="Times New Roman" w:hAnsi="Times New Roman"/>
        </w:rPr>
        <w:t xml:space="preserve"> of acetone) and He as the carrier gas. H</w:t>
      </w:r>
      <w:r w:rsidRPr="00532F2D">
        <w:rPr>
          <w:rFonts w:ascii="Times New Roman" w:hAnsi="Times New Roman"/>
          <w:vertAlign w:val="subscript"/>
        </w:rPr>
        <w:t>2</w:t>
      </w:r>
      <w:r w:rsidRPr="00532F2D">
        <w:rPr>
          <w:rFonts w:ascii="Times New Roman" w:hAnsi="Times New Roman"/>
        </w:rPr>
        <w:t xml:space="preserve"> was also fed to the reactor (51 mL min</w:t>
      </w:r>
      <w:r w:rsidRPr="00532F2D">
        <w:rPr>
          <w:rFonts w:ascii="Times New Roman" w:hAnsi="Times New Roman"/>
          <w:vertAlign w:val="superscript"/>
        </w:rPr>
        <w:t>-1</w:t>
      </w:r>
      <w:r w:rsidRPr="00532F2D">
        <w:rPr>
          <w:rFonts w:ascii="Times New Roman" w:hAnsi="Times New Roman"/>
        </w:rPr>
        <w:t>; 21 mol H</w:t>
      </w:r>
      <w:r w:rsidRPr="00532F2D">
        <w:rPr>
          <w:rFonts w:ascii="Times New Roman" w:hAnsi="Times New Roman"/>
          <w:vertAlign w:val="subscript"/>
        </w:rPr>
        <w:t>2</w:t>
      </w:r>
      <w:r w:rsidRPr="00532F2D">
        <w:rPr>
          <w:rFonts w:ascii="Times New Roman" w:hAnsi="Times New Roman"/>
        </w:rPr>
        <w:t>:mol acetone), using He for balance achieving a total feed flow of 100 mL min</w:t>
      </w:r>
      <w:r w:rsidRPr="00532F2D">
        <w:rPr>
          <w:rFonts w:ascii="Times New Roman" w:hAnsi="Times New Roman"/>
          <w:vertAlign w:val="superscript"/>
        </w:rPr>
        <w:t>-1</w:t>
      </w:r>
      <w:r w:rsidRPr="00532F2D">
        <w:rPr>
          <w:rFonts w:ascii="Times New Roman" w:hAnsi="Times New Roman"/>
        </w:rPr>
        <w:t>.</w:t>
      </w:r>
      <w:r>
        <w:rPr>
          <w:rFonts w:ascii="Times New Roman" w:hAnsi="Times New Roman"/>
        </w:rPr>
        <w:t xml:space="preserve"> The catalyst</w:t>
      </w:r>
      <w:r w:rsidRPr="00532F2D">
        <w:rPr>
          <w:rFonts w:ascii="Times New Roman" w:hAnsi="Times New Roman"/>
        </w:rPr>
        <w:t xml:space="preserve"> was heated under H</w:t>
      </w:r>
      <w:r w:rsidRPr="00532F2D">
        <w:rPr>
          <w:rFonts w:ascii="Times New Roman" w:hAnsi="Times New Roman"/>
          <w:vertAlign w:val="subscript"/>
        </w:rPr>
        <w:t>2</w:t>
      </w:r>
      <w:r w:rsidRPr="00532F2D">
        <w:rPr>
          <w:rFonts w:ascii="Times New Roman" w:hAnsi="Times New Roman"/>
        </w:rPr>
        <w:t xml:space="preserve"> to the target temperature and then the substrate</w:t>
      </w:r>
      <w:r>
        <w:rPr>
          <w:rFonts w:ascii="Times New Roman" w:hAnsi="Times New Roman"/>
        </w:rPr>
        <w:t xml:space="preserve"> </w:t>
      </w:r>
      <w:r w:rsidRPr="00532F2D">
        <w:rPr>
          <w:rFonts w:ascii="Times New Roman" w:hAnsi="Times New Roman"/>
        </w:rPr>
        <w:t>was introduced. Finally, the reaction products were analyzed by an online gas chromatograph (GC; Agilent Technologies, model 7890A) equipped with an HP-1 column (50 m x 0.32 mm i.d., 0.17 μm).</w:t>
      </w:r>
      <w:r>
        <w:rPr>
          <w:rFonts w:ascii="Times New Roman" w:hAnsi="Times New Roman"/>
        </w:rPr>
        <w:t xml:space="preserve"> The catalytic activity was evaluated through acetone conversion, </w:t>
      </w:r>
      <w:r w:rsidRPr="00532F2D">
        <w:rPr>
          <w:rFonts w:ascii="Times New Roman" w:hAnsi="Times New Roman"/>
        </w:rPr>
        <w:t>products distribution</w:t>
      </w:r>
      <w:r>
        <w:rPr>
          <w:rFonts w:ascii="Times New Roman" w:hAnsi="Times New Roman"/>
        </w:rPr>
        <w:t xml:space="preserve"> and</w:t>
      </w:r>
      <w:r w:rsidRPr="00532F2D">
        <w:rPr>
          <w:rFonts w:ascii="Times New Roman" w:hAnsi="Times New Roman"/>
        </w:rPr>
        <w:t xml:space="preserve"> yield</w:t>
      </w:r>
      <w:r>
        <w:rPr>
          <w:rFonts w:ascii="Times New Roman" w:hAnsi="Times New Roman"/>
        </w:rPr>
        <w:t xml:space="preserve">. </w:t>
      </w:r>
      <w:r w:rsidRPr="00532F2D">
        <w:rPr>
          <w:rFonts w:ascii="Times New Roman" w:hAnsi="Times New Roman"/>
        </w:rPr>
        <w:t xml:space="preserve">The main products detected in acetone HDO were </w:t>
      </w:r>
      <w:r>
        <w:rPr>
          <w:rFonts w:ascii="Times New Roman" w:hAnsi="Times New Roman"/>
        </w:rPr>
        <w:t>methane</w:t>
      </w:r>
      <w:r w:rsidRPr="00532F2D">
        <w:rPr>
          <w:rFonts w:ascii="Times New Roman" w:hAnsi="Times New Roman"/>
        </w:rPr>
        <w:t xml:space="preserve"> (C</w:t>
      </w:r>
      <w:r w:rsidRPr="00532F2D">
        <w:rPr>
          <w:rFonts w:ascii="Times New Roman" w:hAnsi="Times New Roman"/>
          <w:vertAlign w:val="subscript"/>
        </w:rPr>
        <w:t>1</w:t>
      </w:r>
      <w:r w:rsidRPr="00532F2D">
        <w:rPr>
          <w:rFonts w:ascii="Times New Roman" w:hAnsi="Times New Roman"/>
        </w:rPr>
        <w:t>), ethene/ethane (C</w:t>
      </w:r>
      <w:r w:rsidRPr="00532F2D">
        <w:rPr>
          <w:rFonts w:ascii="Times New Roman" w:hAnsi="Times New Roman"/>
          <w:vertAlign w:val="subscript"/>
        </w:rPr>
        <w:t>2</w:t>
      </w:r>
      <w:r w:rsidRPr="00532F2D">
        <w:rPr>
          <w:rFonts w:ascii="Times New Roman" w:hAnsi="Times New Roman"/>
        </w:rPr>
        <w:t>), propane (C</w:t>
      </w:r>
      <w:r w:rsidRPr="00532F2D">
        <w:rPr>
          <w:rFonts w:ascii="Times New Roman" w:hAnsi="Times New Roman"/>
          <w:vertAlign w:val="subscript"/>
        </w:rPr>
        <w:t>3</w:t>
      </w:r>
      <w:r w:rsidRPr="00532F2D">
        <w:rPr>
          <w:rFonts w:ascii="Times New Roman" w:hAnsi="Times New Roman"/>
        </w:rPr>
        <w:t>A), propene (C</w:t>
      </w:r>
      <w:r w:rsidRPr="00532F2D">
        <w:rPr>
          <w:rFonts w:ascii="Times New Roman" w:hAnsi="Times New Roman"/>
          <w:vertAlign w:val="subscript"/>
        </w:rPr>
        <w:t>3</w:t>
      </w:r>
      <w:r w:rsidRPr="00532F2D">
        <w:rPr>
          <w:rFonts w:ascii="Times New Roman" w:hAnsi="Times New Roman"/>
        </w:rPr>
        <w:t>E), isobutene/isobutane (C</w:t>
      </w:r>
      <w:r w:rsidRPr="00532F2D">
        <w:rPr>
          <w:rFonts w:ascii="Times New Roman" w:hAnsi="Times New Roman"/>
          <w:vertAlign w:val="subscript"/>
        </w:rPr>
        <w:t>4</w:t>
      </w:r>
      <w:r w:rsidRPr="00532F2D">
        <w:rPr>
          <w:rFonts w:ascii="Times New Roman" w:hAnsi="Times New Roman"/>
        </w:rPr>
        <w:t>), 2-methyl-pentene/2-methyl-pentane and structural isomers (C</w:t>
      </w:r>
      <w:r w:rsidRPr="00532F2D">
        <w:rPr>
          <w:rFonts w:ascii="Times New Roman" w:hAnsi="Times New Roman"/>
          <w:vertAlign w:val="subscript"/>
        </w:rPr>
        <w:t>6</w:t>
      </w:r>
      <w:r w:rsidRPr="00532F2D">
        <w:rPr>
          <w:rFonts w:ascii="Times New Roman" w:hAnsi="Times New Roman"/>
        </w:rPr>
        <w:t>), isopropanol (IPA), and 4-methylpent-3-an-2-one/4-methylpentan-2-one (C</w:t>
      </w:r>
      <w:r w:rsidRPr="00532F2D">
        <w:rPr>
          <w:rFonts w:ascii="Times New Roman" w:hAnsi="Times New Roman"/>
          <w:vertAlign w:val="subscript"/>
        </w:rPr>
        <w:t>6</w:t>
      </w:r>
      <w:r w:rsidRPr="00532F2D">
        <w:rPr>
          <w:rFonts w:ascii="Times New Roman" w:hAnsi="Times New Roman"/>
        </w:rPr>
        <w:t>O).</w:t>
      </w:r>
      <w:r>
        <w:rPr>
          <w:rFonts w:ascii="Times New Roman" w:hAnsi="Times New Roman"/>
        </w:rPr>
        <w:t xml:space="preserve"> </w:t>
      </w:r>
      <w:r w:rsidRPr="00532F2D">
        <w:rPr>
          <w:rFonts w:ascii="Times New Roman" w:hAnsi="Times New Roman"/>
        </w:rPr>
        <w:t>Carbon balances were commonly close to ideal, slightly dropping with the advancement of TOS and/or depending on the temperature (still &gt; 85 %).</w:t>
      </w:r>
    </w:p>
    <w:p w14:paraId="65E11091" w14:textId="752D50B4" w:rsidR="00AA325A" w:rsidRPr="00AA325A" w:rsidRDefault="00AA325A" w:rsidP="00EA4E1B">
      <w:pPr>
        <w:pStyle w:val="TAMainText"/>
        <w:rPr>
          <w:rFonts w:ascii="Times New Roman" w:hAnsi="Times New Roman"/>
        </w:rPr>
      </w:pPr>
    </w:p>
    <w:p w14:paraId="136BD1AC" w14:textId="0EAE71F4" w:rsidR="00EA4E1B" w:rsidRPr="002823A3" w:rsidRDefault="00450CDC" w:rsidP="00EA4E1B">
      <w:pPr>
        <w:pStyle w:val="Ttulo2"/>
        <w:rPr>
          <w:rFonts w:ascii="Helvetica" w:hAnsi="Helvetica" w:cs="Helvetica"/>
          <w:b/>
          <w:bCs/>
          <w:sz w:val="24"/>
          <w:szCs w:val="24"/>
          <w:lang w:val="en-US"/>
        </w:rPr>
      </w:pPr>
      <w:r w:rsidRPr="002823A3">
        <w:rPr>
          <w:rFonts w:ascii="Helvetica" w:hAnsi="Helvetica" w:cs="Helvetica"/>
          <w:b/>
          <w:bCs/>
          <w:sz w:val="24"/>
          <w:szCs w:val="24"/>
          <w:lang w:val="en-US"/>
        </w:rPr>
        <w:t>Results and Discussion</w:t>
      </w:r>
    </w:p>
    <w:p w14:paraId="543D6917" w14:textId="01E1E943" w:rsidR="00D362B6" w:rsidRPr="00467AF9" w:rsidRDefault="008A3F71" w:rsidP="00D362B6">
      <w:pPr>
        <w:pStyle w:val="TAMainText"/>
        <w:ind w:firstLine="187"/>
        <w:rPr>
          <w:rFonts w:ascii="Times New Roman" w:hAnsi="Times New Roman"/>
        </w:rPr>
      </w:pPr>
      <w:r>
        <w:rPr>
          <w:rFonts w:ascii="Times New Roman" w:hAnsi="Times New Roman"/>
        </w:rPr>
        <w:t>A</w:t>
      </w:r>
      <w:r w:rsidRPr="008A3F71">
        <w:rPr>
          <w:rFonts w:ascii="Times New Roman" w:hAnsi="Times New Roman"/>
        </w:rPr>
        <w:t>cetone HDO reaction was carried out over MoO</w:t>
      </w:r>
      <w:r w:rsidRPr="008A3F71">
        <w:rPr>
          <w:rFonts w:ascii="Times New Roman" w:hAnsi="Times New Roman"/>
          <w:vertAlign w:val="subscript"/>
        </w:rPr>
        <w:t>3</w:t>
      </w:r>
      <w:r w:rsidRPr="008A3F71">
        <w:rPr>
          <w:rFonts w:ascii="Times New Roman" w:hAnsi="Times New Roman"/>
        </w:rPr>
        <w:t xml:space="preserve">_comm as a function of time at two temperatures: 350 °C (350C), in which acetone conversion </w:t>
      </w:r>
      <w:r>
        <w:rPr>
          <w:rFonts w:ascii="Times New Roman" w:hAnsi="Times New Roman"/>
        </w:rPr>
        <w:t xml:space="preserve">were reported to be promoted by the presence of </w:t>
      </w:r>
      <w:r w:rsidRPr="00717D2E">
        <w:rPr>
          <w:rFonts w:ascii="Times New Roman" w:hAnsi="Times New Roman"/>
        </w:rPr>
        <w:t>MoO</w:t>
      </w:r>
      <w:r w:rsidRPr="00DC0ED2">
        <w:rPr>
          <w:rFonts w:ascii="Times New Roman" w:hAnsi="Times New Roman"/>
          <w:vertAlign w:val="subscript"/>
        </w:rPr>
        <w:t>x</w:t>
      </w:r>
      <w:r w:rsidRPr="00717D2E">
        <w:rPr>
          <w:rFonts w:ascii="Times New Roman" w:hAnsi="Times New Roman"/>
        </w:rPr>
        <w:t>C</w:t>
      </w:r>
      <w:r w:rsidRPr="00DC0ED2">
        <w:rPr>
          <w:rFonts w:ascii="Times New Roman" w:hAnsi="Times New Roman"/>
          <w:vertAlign w:val="subscript"/>
        </w:rPr>
        <w:t>y</w:t>
      </w:r>
      <w:r w:rsidRPr="008A3F71">
        <w:rPr>
          <w:rFonts w:ascii="Times New Roman" w:hAnsi="Times New Roman"/>
        </w:rPr>
        <w:t xml:space="preserve">, and at 400 °C (400C), in which </w:t>
      </w:r>
      <w:r>
        <w:rPr>
          <w:rFonts w:ascii="Times New Roman" w:hAnsi="Times New Roman"/>
        </w:rPr>
        <w:t xml:space="preserve">high deactivations were observed in the absence of </w:t>
      </w:r>
      <w:r w:rsidRPr="00717D2E">
        <w:rPr>
          <w:rFonts w:ascii="Times New Roman" w:hAnsi="Times New Roman"/>
        </w:rPr>
        <w:t>MoO</w:t>
      </w:r>
      <w:r w:rsidRPr="00DC0ED2">
        <w:rPr>
          <w:rFonts w:ascii="Times New Roman" w:hAnsi="Times New Roman"/>
          <w:vertAlign w:val="subscript"/>
        </w:rPr>
        <w:t>x</w:t>
      </w:r>
      <w:r w:rsidRPr="00717D2E">
        <w:rPr>
          <w:rFonts w:ascii="Times New Roman" w:hAnsi="Times New Roman"/>
        </w:rPr>
        <w:t>C</w:t>
      </w:r>
      <w:r w:rsidRPr="00DC0ED2">
        <w:rPr>
          <w:rFonts w:ascii="Times New Roman" w:hAnsi="Times New Roman"/>
          <w:vertAlign w:val="subscript"/>
        </w:rPr>
        <w:t>y</w:t>
      </w:r>
      <w:r>
        <w:rPr>
          <w:rFonts w:ascii="Times New Roman" w:hAnsi="Times New Roman"/>
        </w:rPr>
        <w:t xml:space="preserve"> (6).</w:t>
      </w:r>
      <w:r w:rsidRPr="008A3F71">
        <w:rPr>
          <w:rFonts w:ascii="Times New Roman" w:hAnsi="Times New Roman"/>
        </w:rPr>
        <w:t xml:space="preserve">  Figure </w:t>
      </w:r>
      <w:r>
        <w:rPr>
          <w:rFonts w:ascii="Times New Roman" w:hAnsi="Times New Roman"/>
        </w:rPr>
        <w:t>1</w:t>
      </w:r>
      <w:r w:rsidRPr="008A3F71">
        <w:rPr>
          <w:rFonts w:ascii="Times New Roman" w:hAnsi="Times New Roman"/>
        </w:rPr>
        <w:t xml:space="preserve"> presents the results as a function of TOS during 6 h.</w:t>
      </w:r>
      <w:r w:rsidR="00841E12">
        <w:t xml:space="preserve"> </w:t>
      </w:r>
      <w:r w:rsidR="00841E12" w:rsidRPr="00841E12">
        <w:rPr>
          <w:rFonts w:ascii="Times New Roman" w:hAnsi="Times New Roman"/>
        </w:rPr>
        <w:t xml:space="preserve">At 350 °C (Figure </w:t>
      </w:r>
      <w:r w:rsidR="00841E12">
        <w:rPr>
          <w:rFonts w:ascii="Times New Roman" w:hAnsi="Times New Roman"/>
        </w:rPr>
        <w:t>1</w:t>
      </w:r>
      <w:r w:rsidR="00841E12" w:rsidRPr="00841E12">
        <w:rPr>
          <w:rFonts w:ascii="Times New Roman" w:hAnsi="Times New Roman"/>
        </w:rPr>
        <w:t xml:space="preserve">A), it is possible to visualize </w:t>
      </w:r>
      <w:r w:rsidR="00B86488">
        <w:rPr>
          <w:rFonts w:ascii="Times New Roman" w:hAnsi="Times New Roman"/>
        </w:rPr>
        <w:t>a</w:t>
      </w:r>
      <w:r w:rsidR="00841E12" w:rsidRPr="00841E12">
        <w:rPr>
          <w:rFonts w:ascii="Times New Roman" w:hAnsi="Times New Roman"/>
        </w:rPr>
        <w:t xml:space="preserve"> change in the conversion and products distribution after about 2-3 h on stream</w:t>
      </w:r>
      <w:r w:rsidR="00B86488">
        <w:rPr>
          <w:rFonts w:ascii="Times New Roman" w:hAnsi="Times New Roman"/>
        </w:rPr>
        <w:t xml:space="preserve">. </w:t>
      </w:r>
      <w:r w:rsidR="00841E12" w:rsidRPr="00841E12">
        <w:rPr>
          <w:rFonts w:ascii="Times New Roman" w:hAnsi="Times New Roman"/>
        </w:rPr>
        <w:t xml:space="preserve">Acetone conversion started around 6% and ended around 12%. </w:t>
      </w:r>
      <w:r w:rsidR="00B86488">
        <w:rPr>
          <w:rFonts w:ascii="Times New Roman" w:hAnsi="Times New Roman"/>
        </w:rPr>
        <w:t xml:space="preserve">This increase </w:t>
      </w:r>
      <w:r w:rsidR="00B86488" w:rsidRPr="00B86488">
        <w:rPr>
          <w:rFonts w:ascii="Times New Roman" w:hAnsi="Times New Roman"/>
        </w:rPr>
        <w:t>can be possible attributed to the MoO</w:t>
      </w:r>
      <w:r w:rsidR="00B86488" w:rsidRPr="00B86488">
        <w:rPr>
          <w:rFonts w:ascii="Times New Roman" w:hAnsi="Times New Roman"/>
          <w:vertAlign w:val="subscript"/>
        </w:rPr>
        <w:t>3</w:t>
      </w:r>
      <w:r w:rsidR="00B86488" w:rsidRPr="00B86488">
        <w:rPr>
          <w:rFonts w:ascii="Times New Roman" w:hAnsi="Times New Roman"/>
        </w:rPr>
        <w:t xml:space="preserve"> transition to MoO</w:t>
      </w:r>
      <w:r w:rsidR="00B86488" w:rsidRPr="00B86488">
        <w:rPr>
          <w:rFonts w:ascii="Times New Roman" w:hAnsi="Times New Roman"/>
          <w:vertAlign w:val="subscript"/>
        </w:rPr>
        <w:t>2</w:t>
      </w:r>
      <w:r w:rsidR="00B86488">
        <w:rPr>
          <w:rFonts w:ascii="Times New Roman" w:hAnsi="Times New Roman"/>
        </w:rPr>
        <w:t xml:space="preserve"> and </w:t>
      </w:r>
      <w:r w:rsidR="00B86488" w:rsidRPr="00B86488">
        <w:rPr>
          <w:rFonts w:ascii="Times New Roman" w:hAnsi="Times New Roman"/>
        </w:rPr>
        <w:t>MoO</w:t>
      </w:r>
      <w:r w:rsidR="00B86488" w:rsidRPr="00B86488">
        <w:rPr>
          <w:rFonts w:ascii="Times New Roman" w:hAnsi="Times New Roman"/>
          <w:vertAlign w:val="subscript"/>
        </w:rPr>
        <w:t>x</w:t>
      </w:r>
      <w:r w:rsidR="00B86488" w:rsidRPr="00B86488">
        <w:rPr>
          <w:rFonts w:ascii="Times New Roman" w:hAnsi="Times New Roman"/>
        </w:rPr>
        <w:t>C</w:t>
      </w:r>
      <w:r w:rsidR="00B86488" w:rsidRPr="00B86488">
        <w:rPr>
          <w:rFonts w:ascii="Times New Roman" w:hAnsi="Times New Roman"/>
          <w:vertAlign w:val="subscript"/>
        </w:rPr>
        <w:t>y</w:t>
      </w:r>
      <w:r w:rsidR="00B86488">
        <w:rPr>
          <w:rFonts w:ascii="Times New Roman" w:hAnsi="Times New Roman"/>
        </w:rPr>
        <w:t xml:space="preserve"> phases,</w:t>
      </w:r>
      <w:r w:rsidR="00B86488" w:rsidRPr="00B86488">
        <w:rPr>
          <w:rFonts w:ascii="Times New Roman" w:hAnsi="Times New Roman"/>
        </w:rPr>
        <w:t xml:space="preserve"> as shown by the post-reaction XRD patterns in Figure 2</w:t>
      </w:r>
      <w:r w:rsidR="00E32880">
        <w:rPr>
          <w:rFonts w:ascii="Times New Roman" w:hAnsi="Times New Roman"/>
        </w:rPr>
        <w:t>A</w:t>
      </w:r>
      <w:r w:rsidR="001E61BC">
        <w:rPr>
          <w:rFonts w:ascii="Times New Roman" w:hAnsi="Times New Roman"/>
        </w:rPr>
        <w:t xml:space="preserve"> (350C1h and 350C6h)</w:t>
      </w:r>
      <w:r w:rsidR="00B86488" w:rsidRPr="00B86488">
        <w:rPr>
          <w:rFonts w:ascii="Times New Roman" w:hAnsi="Times New Roman"/>
        </w:rPr>
        <w:t>.</w:t>
      </w:r>
      <w:r w:rsidR="00D362B6">
        <w:rPr>
          <w:rFonts w:ascii="Times New Roman" w:hAnsi="Times New Roman"/>
        </w:rPr>
        <w:t xml:space="preserve"> </w:t>
      </w:r>
      <w:r w:rsidR="00B86488">
        <w:rPr>
          <w:rFonts w:ascii="Times New Roman" w:hAnsi="Times New Roman"/>
        </w:rPr>
        <w:t>T</w:t>
      </w:r>
      <w:r w:rsidR="00B86488" w:rsidRPr="00B86488">
        <w:rPr>
          <w:rFonts w:ascii="Times New Roman" w:hAnsi="Times New Roman"/>
        </w:rPr>
        <w:t>he initial products were C</w:t>
      </w:r>
      <w:r w:rsidR="00B86488" w:rsidRPr="00D362B6">
        <w:rPr>
          <w:rFonts w:ascii="Times New Roman" w:hAnsi="Times New Roman"/>
          <w:vertAlign w:val="subscript"/>
        </w:rPr>
        <w:t>3</w:t>
      </w:r>
      <w:r w:rsidR="00B86488" w:rsidRPr="00B86488">
        <w:rPr>
          <w:rFonts w:ascii="Times New Roman" w:hAnsi="Times New Roman"/>
        </w:rPr>
        <w:t>E (</w:t>
      </w:r>
      <w:r w:rsidR="00D362B6">
        <w:rPr>
          <w:rFonts w:ascii="Times New Roman" w:hAnsi="Times New Roman"/>
        </w:rPr>
        <w:t>5</w:t>
      </w:r>
      <w:r w:rsidR="00FB0258">
        <w:rPr>
          <w:rFonts w:ascii="Times New Roman" w:hAnsi="Times New Roman"/>
        </w:rPr>
        <w:t>5</w:t>
      </w:r>
      <w:r w:rsidR="00B86488" w:rsidRPr="00B86488">
        <w:rPr>
          <w:rFonts w:ascii="Times New Roman" w:hAnsi="Times New Roman"/>
        </w:rPr>
        <w:t>%), IPA (</w:t>
      </w:r>
      <w:r w:rsidR="00D362B6">
        <w:rPr>
          <w:rFonts w:ascii="Times New Roman" w:hAnsi="Times New Roman"/>
        </w:rPr>
        <w:t>3</w:t>
      </w:r>
      <w:r w:rsidR="00FB0258">
        <w:rPr>
          <w:rFonts w:ascii="Times New Roman" w:hAnsi="Times New Roman"/>
        </w:rPr>
        <w:t>0</w:t>
      </w:r>
      <w:r w:rsidR="00B86488" w:rsidRPr="00B86488">
        <w:rPr>
          <w:rFonts w:ascii="Times New Roman" w:hAnsi="Times New Roman"/>
        </w:rPr>
        <w:t>%), and C</w:t>
      </w:r>
      <w:r w:rsidR="00B86488" w:rsidRPr="00D362B6">
        <w:rPr>
          <w:rFonts w:ascii="Times New Roman" w:hAnsi="Times New Roman"/>
          <w:vertAlign w:val="subscript"/>
        </w:rPr>
        <w:t>6</w:t>
      </w:r>
      <w:r w:rsidR="00B86488" w:rsidRPr="00B86488">
        <w:rPr>
          <w:rFonts w:ascii="Times New Roman" w:hAnsi="Times New Roman"/>
        </w:rPr>
        <w:t>O (</w:t>
      </w:r>
      <w:r w:rsidR="00D362B6">
        <w:rPr>
          <w:rFonts w:ascii="Times New Roman" w:hAnsi="Times New Roman"/>
        </w:rPr>
        <w:t>1</w:t>
      </w:r>
      <w:r w:rsidR="00FB0258">
        <w:rPr>
          <w:rFonts w:ascii="Times New Roman" w:hAnsi="Times New Roman"/>
        </w:rPr>
        <w:t>5</w:t>
      </w:r>
      <w:r w:rsidR="00B86488" w:rsidRPr="00B86488">
        <w:rPr>
          <w:rFonts w:ascii="Times New Roman" w:hAnsi="Times New Roman"/>
        </w:rPr>
        <w:t xml:space="preserve">%). </w:t>
      </w:r>
      <w:r w:rsidR="00D362B6">
        <w:rPr>
          <w:rFonts w:ascii="Times New Roman" w:hAnsi="Times New Roman"/>
        </w:rPr>
        <w:t>As the conversion began to change, C</w:t>
      </w:r>
      <w:r w:rsidR="00D362B6" w:rsidRPr="00D362B6">
        <w:rPr>
          <w:rFonts w:ascii="Times New Roman" w:hAnsi="Times New Roman"/>
          <w:vertAlign w:val="subscript"/>
        </w:rPr>
        <w:t>3</w:t>
      </w:r>
      <w:r w:rsidR="00D362B6">
        <w:rPr>
          <w:rFonts w:ascii="Times New Roman" w:hAnsi="Times New Roman"/>
        </w:rPr>
        <w:t>A and C</w:t>
      </w:r>
      <w:r w:rsidR="00D362B6" w:rsidRPr="00D362B6">
        <w:rPr>
          <w:rFonts w:ascii="Times New Roman" w:hAnsi="Times New Roman"/>
          <w:vertAlign w:val="subscript"/>
        </w:rPr>
        <w:t>n</w:t>
      </w:r>
      <w:r w:rsidR="00D362B6">
        <w:rPr>
          <w:rFonts w:ascii="Times New Roman" w:hAnsi="Times New Roman"/>
        </w:rPr>
        <w:t xml:space="preserve"> </w:t>
      </w:r>
      <w:r w:rsidR="00D362B6" w:rsidRPr="00B86488">
        <w:rPr>
          <w:rFonts w:ascii="Times New Roman" w:hAnsi="Times New Roman"/>
        </w:rPr>
        <w:t>(C</w:t>
      </w:r>
      <w:r w:rsidR="00D362B6" w:rsidRPr="00D362B6">
        <w:rPr>
          <w:rFonts w:ascii="Times New Roman" w:hAnsi="Times New Roman"/>
          <w:vertAlign w:val="subscript"/>
        </w:rPr>
        <w:t>1</w:t>
      </w:r>
      <w:r w:rsidR="00D362B6" w:rsidRPr="00B86488">
        <w:rPr>
          <w:rFonts w:ascii="Times New Roman" w:hAnsi="Times New Roman"/>
        </w:rPr>
        <w:t>, C</w:t>
      </w:r>
      <w:r w:rsidR="00D362B6" w:rsidRPr="00D362B6">
        <w:rPr>
          <w:rFonts w:ascii="Times New Roman" w:hAnsi="Times New Roman"/>
          <w:vertAlign w:val="subscript"/>
        </w:rPr>
        <w:t>2</w:t>
      </w:r>
      <w:r w:rsidR="00D362B6" w:rsidRPr="00B86488">
        <w:rPr>
          <w:rFonts w:ascii="Times New Roman" w:hAnsi="Times New Roman"/>
        </w:rPr>
        <w:t>, C</w:t>
      </w:r>
      <w:r w:rsidR="00D362B6" w:rsidRPr="00D362B6">
        <w:rPr>
          <w:rFonts w:ascii="Times New Roman" w:hAnsi="Times New Roman"/>
          <w:vertAlign w:val="subscript"/>
        </w:rPr>
        <w:t>4</w:t>
      </w:r>
      <w:r w:rsidR="00D362B6" w:rsidRPr="00B86488">
        <w:rPr>
          <w:rFonts w:ascii="Times New Roman" w:hAnsi="Times New Roman"/>
        </w:rPr>
        <w:t>, and C</w:t>
      </w:r>
      <w:r w:rsidR="00D362B6" w:rsidRPr="00D362B6">
        <w:rPr>
          <w:rFonts w:ascii="Times New Roman" w:hAnsi="Times New Roman"/>
          <w:vertAlign w:val="subscript"/>
        </w:rPr>
        <w:t>6</w:t>
      </w:r>
      <w:r w:rsidR="00D362B6" w:rsidRPr="00B86488">
        <w:rPr>
          <w:rFonts w:ascii="Times New Roman" w:hAnsi="Times New Roman"/>
        </w:rPr>
        <w:t>)</w:t>
      </w:r>
      <w:r w:rsidR="00D362B6">
        <w:rPr>
          <w:rFonts w:ascii="Times New Roman" w:hAnsi="Times New Roman"/>
        </w:rPr>
        <w:t xml:space="preserve"> products appeared, while IPA decreased significantly. After 6 h on stream C</w:t>
      </w:r>
      <w:r w:rsidR="00D362B6" w:rsidRPr="00D362B6">
        <w:rPr>
          <w:rFonts w:ascii="Times New Roman" w:hAnsi="Times New Roman"/>
          <w:vertAlign w:val="subscript"/>
        </w:rPr>
        <w:t>3</w:t>
      </w:r>
      <w:r w:rsidR="00D362B6">
        <w:rPr>
          <w:rFonts w:ascii="Times New Roman" w:hAnsi="Times New Roman"/>
        </w:rPr>
        <w:t>E (34%), C</w:t>
      </w:r>
      <w:r w:rsidR="00D362B6" w:rsidRPr="00D362B6">
        <w:rPr>
          <w:rFonts w:ascii="Times New Roman" w:hAnsi="Times New Roman"/>
          <w:vertAlign w:val="subscript"/>
        </w:rPr>
        <w:t>3</w:t>
      </w:r>
      <w:r w:rsidR="00D362B6">
        <w:rPr>
          <w:rFonts w:ascii="Times New Roman" w:hAnsi="Times New Roman"/>
        </w:rPr>
        <w:t>A (36%), and C</w:t>
      </w:r>
      <w:r w:rsidR="00D362B6" w:rsidRPr="00D362B6">
        <w:rPr>
          <w:rFonts w:ascii="Times New Roman" w:hAnsi="Times New Roman"/>
          <w:vertAlign w:val="subscript"/>
        </w:rPr>
        <w:t>6</w:t>
      </w:r>
      <w:r w:rsidR="00D362B6">
        <w:rPr>
          <w:rFonts w:ascii="Times New Roman" w:hAnsi="Times New Roman"/>
        </w:rPr>
        <w:t>O (18%) were the major products observed.</w:t>
      </w:r>
      <w:r w:rsidR="00FB0258">
        <w:rPr>
          <w:rFonts w:ascii="Times New Roman" w:hAnsi="Times New Roman"/>
        </w:rPr>
        <w:t xml:space="preserve"> IPA and C</w:t>
      </w:r>
      <w:r w:rsidR="00FB0258" w:rsidRPr="00FB0258">
        <w:rPr>
          <w:rFonts w:ascii="Times New Roman" w:hAnsi="Times New Roman"/>
          <w:vertAlign w:val="subscript"/>
        </w:rPr>
        <w:t>3</w:t>
      </w:r>
      <w:r w:rsidR="00FB0258">
        <w:rPr>
          <w:rFonts w:ascii="Times New Roman" w:hAnsi="Times New Roman"/>
        </w:rPr>
        <w:t>A were both products from hydrogenation sites, which makes their opposite behaviors strange. Therefore, the IPA decrease should be associated with its consumption through dehydration to propene, catalyzed by acid sites. Nevertheless, as C</w:t>
      </w:r>
      <w:r w:rsidR="00FB0258" w:rsidRPr="00FB0258">
        <w:rPr>
          <w:rFonts w:ascii="Times New Roman" w:hAnsi="Times New Roman"/>
          <w:vertAlign w:val="subscript"/>
        </w:rPr>
        <w:t>6</w:t>
      </w:r>
      <w:r w:rsidR="00FB0258">
        <w:rPr>
          <w:rFonts w:ascii="Times New Roman" w:hAnsi="Times New Roman"/>
        </w:rPr>
        <w:t>O production did not present significant changes, different acid sites should mediate dehydration and condensation steps. Finally, the formation of C</w:t>
      </w:r>
      <w:r w:rsidR="00FB0258" w:rsidRPr="00467AF9">
        <w:rPr>
          <w:rFonts w:ascii="Times New Roman" w:hAnsi="Times New Roman"/>
          <w:vertAlign w:val="subscript"/>
        </w:rPr>
        <w:t>3</w:t>
      </w:r>
      <w:r w:rsidR="00FB0258">
        <w:rPr>
          <w:rFonts w:ascii="Times New Roman" w:hAnsi="Times New Roman"/>
        </w:rPr>
        <w:t>A and C</w:t>
      </w:r>
      <w:r w:rsidR="00FB0258" w:rsidRPr="00467AF9">
        <w:rPr>
          <w:rFonts w:ascii="Times New Roman" w:hAnsi="Times New Roman"/>
          <w:vertAlign w:val="subscript"/>
        </w:rPr>
        <w:t>n</w:t>
      </w:r>
      <w:r w:rsidR="00FB0258">
        <w:rPr>
          <w:rFonts w:ascii="Times New Roman" w:hAnsi="Times New Roman"/>
        </w:rPr>
        <w:t xml:space="preserve"> products</w:t>
      </w:r>
      <w:r w:rsidR="00467AF9">
        <w:rPr>
          <w:rFonts w:ascii="Times New Roman" w:hAnsi="Times New Roman"/>
        </w:rPr>
        <w:t xml:space="preserve"> in the presence of </w:t>
      </w:r>
      <w:r w:rsidR="00467AF9" w:rsidRPr="00B86488">
        <w:rPr>
          <w:rFonts w:ascii="Times New Roman" w:hAnsi="Times New Roman"/>
        </w:rPr>
        <w:t>MoO</w:t>
      </w:r>
      <w:r w:rsidR="00467AF9" w:rsidRPr="00B86488">
        <w:rPr>
          <w:rFonts w:ascii="Times New Roman" w:hAnsi="Times New Roman"/>
          <w:vertAlign w:val="subscript"/>
        </w:rPr>
        <w:t>2</w:t>
      </w:r>
      <w:r w:rsidR="00467AF9">
        <w:rPr>
          <w:rFonts w:ascii="Times New Roman" w:hAnsi="Times New Roman"/>
        </w:rPr>
        <w:t xml:space="preserve"> and </w:t>
      </w:r>
      <w:r w:rsidR="00467AF9" w:rsidRPr="00B86488">
        <w:rPr>
          <w:rFonts w:ascii="Times New Roman" w:hAnsi="Times New Roman"/>
        </w:rPr>
        <w:t>MoO</w:t>
      </w:r>
      <w:r w:rsidR="00467AF9" w:rsidRPr="00B86488">
        <w:rPr>
          <w:rFonts w:ascii="Times New Roman" w:hAnsi="Times New Roman"/>
          <w:vertAlign w:val="subscript"/>
        </w:rPr>
        <w:t>x</w:t>
      </w:r>
      <w:r w:rsidR="00467AF9" w:rsidRPr="00B86488">
        <w:rPr>
          <w:rFonts w:ascii="Times New Roman" w:hAnsi="Times New Roman"/>
        </w:rPr>
        <w:t>C</w:t>
      </w:r>
      <w:r w:rsidR="00467AF9" w:rsidRPr="00B86488">
        <w:rPr>
          <w:rFonts w:ascii="Times New Roman" w:hAnsi="Times New Roman"/>
          <w:vertAlign w:val="subscript"/>
        </w:rPr>
        <w:t>y</w:t>
      </w:r>
      <w:r w:rsidR="00467AF9">
        <w:rPr>
          <w:rFonts w:ascii="Times New Roman" w:hAnsi="Times New Roman"/>
          <w:vertAlign w:val="subscript"/>
        </w:rPr>
        <w:t xml:space="preserve"> </w:t>
      </w:r>
      <w:r w:rsidR="00467AF9">
        <w:rPr>
          <w:rFonts w:ascii="Times New Roman" w:hAnsi="Times New Roman"/>
        </w:rPr>
        <w:t xml:space="preserve">indicate the promotion of </w:t>
      </w:r>
      <w:r w:rsidR="0068203B">
        <w:rPr>
          <w:rFonts w:ascii="Times New Roman" w:hAnsi="Times New Roman"/>
        </w:rPr>
        <w:t>hydrogenating/hydrogenolysis sites</w:t>
      </w:r>
      <w:r w:rsidR="00467AF9">
        <w:rPr>
          <w:rFonts w:ascii="Times New Roman" w:hAnsi="Times New Roman"/>
        </w:rPr>
        <w:t>.</w:t>
      </w:r>
    </w:p>
    <w:p w14:paraId="6C88CEFF" w14:textId="77777777" w:rsidR="00F00533" w:rsidRDefault="00F00533" w:rsidP="00D16F92">
      <w:pPr>
        <w:pStyle w:val="VAFigureCaption"/>
        <w:spacing w:before="0"/>
        <w:rPr>
          <w:rFonts w:ascii="Times New Roman" w:hAnsi="Times New Roman"/>
          <w:b/>
        </w:rPr>
      </w:pPr>
    </w:p>
    <w:p w14:paraId="7DC1C314" w14:textId="77777777" w:rsidR="00F00533" w:rsidRDefault="00F00533" w:rsidP="00D16F92">
      <w:pPr>
        <w:pStyle w:val="VAFigureCaption"/>
        <w:spacing w:before="0"/>
        <w:rPr>
          <w:rFonts w:ascii="Times New Roman" w:hAnsi="Times New Roman"/>
          <w:b/>
        </w:rPr>
      </w:pPr>
    </w:p>
    <w:p w14:paraId="13B40FDE" w14:textId="77777777" w:rsidR="00F00533" w:rsidRDefault="00F00533" w:rsidP="00D16F92">
      <w:pPr>
        <w:pStyle w:val="VAFigureCaption"/>
        <w:spacing w:before="0"/>
        <w:rPr>
          <w:rFonts w:ascii="Times New Roman" w:hAnsi="Times New Roman"/>
          <w:b/>
        </w:rPr>
      </w:pPr>
    </w:p>
    <w:p w14:paraId="4EE18811" w14:textId="5AA38128" w:rsidR="00D16F92" w:rsidRPr="00841E12" w:rsidRDefault="00D16F92" w:rsidP="00D16F92">
      <w:pPr>
        <w:pStyle w:val="VAFigureCaption"/>
        <w:spacing w:before="0"/>
        <w:rPr>
          <w:rFonts w:ascii="Times New Roman" w:hAnsi="Times New Roman"/>
        </w:rPr>
      </w:pPr>
      <w:r w:rsidRPr="00841E12">
        <w:rPr>
          <w:rFonts w:ascii="Times New Roman" w:hAnsi="Times New Roman"/>
          <w:b/>
        </w:rPr>
        <w:lastRenderedPageBreak/>
        <w:t>Figure 1.</w:t>
      </w:r>
      <w:r>
        <w:rPr>
          <w:rFonts w:ascii="Times New Roman" w:hAnsi="Times New Roman"/>
        </w:rPr>
        <w:t xml:space="preserve"> </w:t>
      </w:r>
      <w:r w:rsidRPr="00841E12">
        <w:rPr>
          <w:rFonts w:ascii="Times New Roman" w:hAnsi="Times New Roman"/>
        </w:rPr>
        <w:t>Products distribution (colored bars) and conversion (triangles) of acetone HDO reactions for MoO3_comm</w:t>
      </w:r>
      <w:r>
        <w:rPr>
          <w:rFonts w:ascii="Times New Roman" w:hAnsi="Times New Roman"/>
        </w:rPr>
        <w:t xml:space="preserve">: </w:t>
      </w:r>
      <w:r w:rsidRPr="00841E12">
        <w:rPr>
          <w:rFonts w:ascii="Times New Roman" w:hAnsi="Times New Roman"/>
        </w:rPr>
        <w:t>350C, isothermal at 350 °C (A), and 400C, isothermal at 400 °C (B). TOS: 6 h. WHSV = 7.14 g</w:t>
      </w:r>
      <w:r w:rsidRPr="00841E12">
        <w:rPr>
          <w:rFonts w:ascii="Times New Roman" w:hAnsi="Times New Roman"/>
          <w:vertAlign w:val="subscript"/>
        </w:rPr>
        <w:t>acetone</w:t>
      </w:r>
      <w:r w:rsidRPr="00841E12">
        <w:rPr>
          <w:rFonts w:ascii="Times New Roman" w:hAnsi="Times New Roman"/>
        </w:rPr>
        <w:t xml:space="preserve"> g</w:t>
      </w:r>
      <w:r w:rsidRPr="00841E12">
        <w:rPr>
          <w:rFonts w:ascii="Times New Roman" w:hAnsi="Times New Roman"/>
          <w:vertAlign w:val="subscript"/>
        </w:rPr>
        <w:t>catalyst</w:t>
      </w:r>
      <w:r w:rsidRPr="00841E12">
        <w:rPr>
          <w:rFonts w:ascii="Times New Roman" w:hAnsi="Times New Roman"/>
          <w:vertAlign w:val="superscript"/>
        </w:rPr>
        <w:t>-1</w:t>
      </w:r>
      <w:r w:rsidRPr="00841E12">
        <w:rPr>
          <w:rFonts w:ascii="Times New Roman" w:hAnsi="Times New Roman"/>
        </w:rPr>
        <w:t xml:space="preserve"> h</w:t>
      </w:r>
      <w:r w:rsidRPr="00841E12">
        <w:rPr>
          <w:rFonts w:ascii="Times New Roman" w:hAnsi="Times New Roman"/>
          <w:vertAlign w:val="superscript"/>
        </w:rPr>
        <w:t>-1</w:t>
      </w:r>
      <w:r w:rsidRPr="00841E12">
        <w:rPr>
          <w:rFonts w:ascii="Times New Roman" w:hAnsi="Times New Roman"/>
        </w:rPr>
        <w:t>.</w:t>
      </w:r>
    </w:p>
    <w:p w14:paraId="0ECB6290" w14:textId="0307D663" w:rsidR="00D362B6" w:rsidRDefault="00D362B6" w:rsidP="001E61BC">
      <w:pPr>
        <w:pStyle w:val="TAMainText"/>
        <w:ind w:firstLine="0"/>
        <w:rPr>
          <w:rFonts w:ascii="Times New Roman" w:hAnsi="Times New Roman"/>
        </w:rPr>
      </w:pPr>
    </w:p>
    <w:p w14:paraId="3FE805F0" w14:textId="03A780BF" w:rsidR="003D0F9F" w:rsidRDefault="00E32880" w:rsidP="003D0F9F">
      <w:pPr>
        <w:pStyle w:val="TAMainText"/>
        <w:ind w:firstLine="187"/>
        <w:rPr>
          <w:rFonts w:ascii="Times New Roman" w:hAnsi="Times New Roman"/>
        </w:rPr>
      </w:pPr>
      <w:r>
        <w:rPr>
          <w:rFonts w:ascii="Times New Roman" w:hAnsi="Times New Roman"/>
          <w:b/>
          <w:noProof/>
        </w:rPr>
        <w:drawing>
          <wp:anchor distT="0" distB="0" distL="114300" distR="114300" simplePos="0" relativeHeight="251662335" behindDoc="0" locked="0" layoutInCell="1" allowOverlap="1" wp14:anchorId="32870B94" wp14:editId="73A75DEC">
            <wp:simplePos x="0" y="0"/>
            <wp:positionH relativeFrom="column">
              <wp:posOffset>-58420</wp:posOffset>
            </wp:positionH>
            <wp:positionV relativeFrom="paragraph">
              <wp:posOffset>1989191</wp:posOffset>
            </wp:positionV>
            <wp:extent cx="3086100" cy="2392045"/>
            <wp:effectExtent l="0" t="0" r="0" b="8255"/>
            <wp:wrapTopAndBottom/>
            <wp:docPr id="15" name="Imagem 15" descr="Gráfi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Gráfico&#10;&#10;Descrição gerada automaticamente com confiança baixa"/>
                    <pic:cNvPicPr/>
                  </pic:nvPicPr>
                  <pic:blipFill rotWithShape="1">
                    <a:blip r:embed="rId9" cstate="print">
                      <a:extLst>
                        <a:ext uri="{28A0092B-C50C-407E-A947-70E740481C1C}">
                          <a14:useLocalDpi xmlns:a14="http://schemas.microsoft.com/office/drawing/2010/main" val="0"/>
                        </a:ext>
                      </a:extLst>
                    </a:blip>
                    <a:srcRect l="5663" t="5148" r="4991" b="6451"/>
                    <a:stretch/>
                  </pic:blipFill>
                  <pic:spPr bwMode="auto">
                    <a:xfrm>
                      <a:off x="0" y="0"/>
                      <a:ext cx="3086100" cy="239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1E12" w:rsidRPr="00841E12">
        <w:rPr>
          <w:rFonts w:ascii="Times New Roman" w:hAnsi="Times New Roman"/>
        </w:rPr>
        <w:t xml:space="preserve">Under isothermal conditions at 400 °C (Figure </w:t>
      </w:r>
      <w:r w:rsidR="001E61BC">
        <w:rPr>
          <w:rFonts w:ascii="Times New Roman" w:hAnsi="Times New Roman"/>
        </w:rPr>
        <w:t>1</w:t>
      </w:r>
      <w:r w:rsidR="00841E12" w:rsidRPr="00841E12">
        <w:rPr>
          <w:rFonts w:ascii="Times New Roman" w:hAnsi="Times New Roman"/>
        </w:rPr>
        <w:t xml:space="preserve">B), acetone conversion reached almost 50% but gradually dropped to about 20%. </w:t>
      </w:r>
      <w:r w:rsidR="001E61BC">
        <w:rPr>
          <w:rFonts w:ascii="Times New Roman" w:hAnsi="Times New Roman"/>
        </w:rPr>
        <w:t>It is interesting to note that since the beginning of TOS, MoO</w:t>
      </w:r>
      <w:r w:rsidR="001E61BC" w:rsidRPr="001E61BC">
        <w:rPr>
          <w:rFonts w:ascii="Times New Roman" w:hAnsi="Times New Roman"/>
          <w:vertAlign w:val="subscript"/>
        </w:rPr>
        <w:t>3</w:t>
      </w:r>
      <w:r w:rsidR="001E61BC">
        <w:rPr>
          <w:rFonts w:ascii="Times New Roman" w:hAnsi="Times New Roman"/>
        </w:rPr>
        <w:t xml:space="preserve"> transitioned to MoO</w:t>
      </w:r>
      <w:r w:rsidR="001E61BC" w:rsidRPr="001E61BC">
        <w:rPr>
          <w:rFonts w:ascii="Times New Roman" w:hAnsi="Times New Roman"/>
          <w:vertAlign w:val="subscript"/>
        </w:rPr>
        <w:t>2</w:t>
      </w:r>
      <w:r w:rsidR="001E61BC">
        <w:rPr>
          <w:rFonts w:ascii="Times New Roman" w:hAnsi="Times New Roman"/>
        </w:rPr>
        <w:t xml:space="preserve"> solely, as shown by Figure 2</w:t>
      </w:r>
      <w:r w:rsidR="0002628B">
        <w:rPr>
          <w:rFonts w:ascii="Times New Roman" w:hAnsi="Times New Roman"/>
        </w:rPr>
        <w:t>A</w:t>
      </w:r>
      <w:r w:rsidR="001E61BC">
        <w:rPr>
          <w:rFonts w:ascii="Times New Roman" w:hAnsi="Times New Roman"/>
        </w:rPr>
        <w:t xml:space="preserve"> (400C1h and 400C6h).</w:t>
      </w:r>
      <w:r w:rsidR="003D0F9F">
        <w:rPr>
          <w:rFonts w:ascii="Times New Roman" w:hAnsi="Times New Roman"/>
        </w:rPr>
        <w:t xml:space="preserve"> </w:t>
      </w:r>
      <w:r w:rsidR="003D0F9F" w:rsidRPr="003D0F9F">
        <w:rPr>
          <w:rFonts w:ascii="Times New Roman" w:hAnsi="Times New Roman"/>
        </w:rPr>
        <w:t xml:space="preserve">The same products </w:t>
      </w:r>
      <w:r w:rsidR="003D0F9F">
        <w:rPr>
          <w:rFonts w:ascii="Times New Roman" w:hAnsi="Times New Roman"/>
        </w:rPr>
        <w:t xml:space="preserve">observed at 350 °C </w:t>
      </w:r>
      <w:r w:rsidR="003D0F9F" w:rsidRPr="003D0F9F">
        <w:rPr>
          <w:rFonts w:ascii="Times New Roman" w:hAnsi="Times New Roman"/>
        </w:rPr>
        <w:t>were formed</w:t>
      </w:r>
      <w:r w:rsidR="003D0F9F">
        <w:rPr>
          <w:rFonts w:ascii="Times New Roman" w:hAnsi="Times New Roman"/>
        </w:rPr>
        <w:t>, but their distribution was di</w:t>
      </w:r>
      <w:r w:rsidR="0002628B">
        <w:rPr>
          <w:rFonts w:ascii="Times New Roman" w:hAnsi="Times New Roman"/>
        </w:rPr>
        <w:t>stinct</w:t>
      </w:r>
      <w:r w:rsidR="003D0F9F">
        <w:rPr>
          <w:rFonts w:ascii="Times New Roman" w:hAnsi="Times New Roman"/>
        </w:rPr>
        <w:t>. Propene was the major product throughout the reaction and, as well as C</w:t>
      </w:r>
      <w:r w:rsidR="003D0F9F" w:rsidRPr="003D0F9F">
        <w:rPr>
          <w:rFonts w:ascii="Times New Roman" w:hAnsi="Times New Roman"/>
          <w:vertAlign w:val="subscript"/>
        </w:rPr>
        <w:t>3</w:t>
      </w:r>
      <w:r w:rsidR="003D0F9F">
        <w:rPr>
          <w:rFonts w:ascii="Times New Roman" w:hAnsi="Times New Roman"/>
        </w:rPr>
        <w:t>A and C</w:t>
      </w:r>
      <w:r w:rsidR="003D0F9F" w:rsidRPr="003D0F9F">
        <w:rPr>
          <w:rFonts w:ascii="Times New Roman" w:hAnsi="Times New Roman"/>
          <w:vertAlign w:val="subscript"/>
        </w:rPr>
        <w:t>n</w:t>
      </w:r>
      <w:r w:rsidR="003D0F9F">
        <w:rPr>
          <w:rFonts w:ascii="Times New Roman" w:hAnsi="Times New Roman"/>
        </w:rPr>
        <w:t>, seemed to slightly decrease following the conversion. C</w:t>
      </w:r>
      <w:r w:rsidR="003D0F9F" w:rsidRPr="003D0F9F">
        <w:rPr>
          <w:rFonts w:ascii="Times New Roman" w:hAnsi="Times New Roman"/>
          <w:vertAlign w:val="subscript"/>
        </w:rPr>
        <w:t>6</w:t>
      </w:r>
      <w:r w:rsidR="003D0F9F">
        <w:rPr>
          <w:rFonts w:ascii="Times New Roman" w:hAnsi="Times New Roman"/>
        </w:rPr>
        <w:t>O went on the opposite way, increasing from 3 to 14 %.</w:t>
      </w:r>
      <w:r w:rsidR="0002628B">
        <w:rPr>
          <w:rFonts w:ascii="Times New Roman" w:hAnsi="Times New Roman"/>
        </w:rPr>
        <w:t xml:space="preserve"> The greatest difference observed when ordered MoO</w:t>
      </w:r>
      <w:r w:rsidR="0002628B" w:rsidRPr="0002628B">
        <w:rPr>
          <w:rFonts w:ascii="Times New Roman" w:hAnsi="Times New Roman"/>
          <w:vertAlign w:val="subscript"/>
        </w:rPr>
        <w:t>x</w:t>
      </w:r>
      <w:r w:rsidR="0002628B">
        <w:rPr>
          <w:rFonts w:ascii="Times New Roman" w:hAnsi="Times New Roman"/>
        </w:rPr>
        <w:t>C</w:t>
      </w:r>
      <w:r w:rsidR="0002628B" w:rsidRPr="0002628B">
        <w:rPr>
          <w:rFonts w:ascii="Times New Roman" w:hAnsi="Times New Roman"/>
          <w:vertAlign w:val="subscript"/>
        </w:rPr>
        <w:t>y</w:t>
      </w:r>
      <w:r w:rsidR="0002628B">
        <w:rPr>
          <w:rFonts w:ascii="Times New Roman" w:hAnsi="Times New Roman"/>
        </w:rPr>
        <w:t xml:space="preserve"> appeared was the hydrogenation degree. 350C6h present C</w:t>
      </w:r>
      <w:r w:rsidR="0002628B" w:rsidRPr="0002628B">
        <w:rPr>
          <w:rFonts w:ascii="Times New Roman" w:hAnsi="Times New Roman"/>
          <w:vertAlign w:val="subscript"/>
        </w:rPr>
        <w:t>3</w:t>
      </w:r>
      <w:r w:rsidR="0002628B">
        <w:rPr>
          <w:rFonts w:ascii="Times New Roman" w:hAnsi="Times New Roman"/>
        </w:rPr>
        <w:t>A/C</w:t>
      </w:r>
      <w:r w:rsidR="0002628B" w:rsidRPr="0002628B">
        <w:rPr>
          <w:rFonts w:ascii="Times New Roman" w:hAnsi="Times New Roman"/>
          <w:vertAlign w:val="subscript"/>
        </w:rPr>
        <w:t>3</w:t>
      </w:r>
      <w:r w:rsidR="0002628B">
        <w:rPr>
          <w:rFonts w:ascii="Times New Roman" w:hAnsi="Times New Roman"/>
        </w:rPr>
        <w:t>E ratio around 2.0, while a value of 0.5 was found for 400C6h.</w:t>
      </w:r>
    </w:p>
    <w:p w14:paraId="67EDC243" w14:textId="0DFF9C27" w:rsidR="0002628B" w:rsidRPr="00841E12" w:rsidRDefault="0002628B" w:rsidP="0002628B">
      <w:pPr>
        <w:pStyle w:val="VAFigureCaption"/>
        <w:spacing w:before="0"/>
        <w:rPr>
          <w:rFonts w:ascii="Times New Roman" w:hAnsi="Times New Roman"/>
        </w:rPr>
      </w:pPr>
      <w:r>
        <w:rPr>
          <w:rFonts w:ascii="Times New Roman" w:hAnsi="Times New Roman"/>
          <w:b/>
        </w:rPr>
        <w:t>F</w:t>
      </w:r>
      <w:r w:rsidRPr="00841E12">
        <w:rPr>
          <w:rFonts w:ascii="Times New Roman" w:hAnsi="Times New Roman"/>
          <w:b/>
        </w:rPr>
        <w:t xml:space="preserve">igure </w:t>
      </w:r>
      <w:r>
        <w:rPr>
          <w:rFonts w:ascii="Times New Roman" w:hAnsi="Times New Roman"/>
          <w:b/>
        </w:rPr>
        <w:t>2</w:t>
      </w:r>
      <w:r w:rsidRPr="00841E12">
        <w:rPr>
          <w:rFonts w:ascii="Times New Roman" w:hAnsi="Times New Roman"/>
          <w:b/>
        </w:rPr>
        <w:t>.</w:t>
      </w:r>
      <w:r>
        <w:rPr>
          <w:rFonts w:ascii="Times New Roman" w:hAnsi="Times New Roman"/>
        </w:rPr>
        <w:t xml:space="preserve"> </w:t>
      </w:r>
      <w:r w:rsidR="00E32880" w:rsidRPr="00E32880">
        <w:rPr>
          <w:rFonts w:ascii="Times New Roman" w:hAnsi="Times New Roman"/>
        </w:rPr>
        <w:t>(A) XRD patterns and (B) XPS spectra of Mo 3d region: MoO</w:t>
      </w:r>
      <w:r w:rsidR="00E32880" w:rsidRPr="00E32880">
        <w:rPr>
          <w:rFonts w:ascii="Times New Roman" w:hAnsi="Times New Roman"/>
          <w:vertAlign w:val="subscript"/>
        </w:rPr>
        <w:t>3</w:t>
      </w:r>
      <w:r w:rsidR="00E32880" w:rsidRPr="00E32880">
        <w:rPr>
          <w:rFonts w:ascii="Times New Roman" w:hAnsi="Times New Roman"/>
        </w:rPr>
        <w:t>_comm</w:t>
      </w:r>
      <w:r w:rsidR="00E32880">
        <w:rPr>
          <w:rFonts w:ascii="Times New Roman" w:hAnsi="Times New Roman"/>
        </w:rPr>
        <w:t xml:space="preserve"> (as received) and</w:t>
      </w:r>
      <w:r w:rsidR="00E32880" w:rsidRPr="00E32880">
        <w:rPr>
          <w:rFonts w:ascii="Times New Roman" w:hAnsi="Times New Roman"/>
        </w:rPr>
        <w:t xml:space="preserve"> 350C1h, 350C6h, 400C1h, and 400C6h catalysts after acetone HDO reaction. The spin-orbit splitting of 3.1 eV was considered for each Mo species.</w:t>
      </w:r>
    </w:p>
    <w:p w14:paraId="159B51C0" w14:textId="4D9EBB4A" w:rsidR="00151D37" w:rsidRDefault="006D346C" w:rsidP="00C66631">
      <w:pPr>
        <w:pStyle w:val="TAMainText"/>
        <w:ind w:firstLine="187"/>
        <w:rPr>
          <w:rFonts w:ascii="Times New Roman" w:hAnsi="Times New Roman"/>
        </w:rPr>
      </w:pPr>
      <w:r>
        <w:rPr>
          <w:rFonts w:ascii="Times New Roman" w:hAnsi="Times New Roman"/>
          <w:noProof/>
        </w:rPr>
        <w:drawing>
          <wp:anchor distT="0" distB="0" distL="114300" distR="114300" simplePos="0" relativeHeight="251669503" behindDoc="0" locked="0" layoutInCell="1" allowOverlap="1" wp14:anchorId="43497D91" wp14:editId="6742BBD4">
            <wp:simplePos x="0" y="0"/>
            <wp:positionH relativeFrom="column">
              <wp:posOffset>363855</wp:posOffset>
            </wp:positionH>
            <wp:positionV relativeFrom="paragraph">
              <wp:posOffset>-5557520</wp:posOffset>
            </wp:positionV>
            <wp:extent cx="2314575" cy="2689860"/>
            <wp:effectExtent l="0" t="0" r="9525" b="0"/>
            <wp:wrapTopAndBottom/>
            <wp:docPr id="1878474055" name="Imagem 1" descr="Tela de jogo de vídeo game&#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4055" name="Imagem 1" descr="Tela de jogo de vídeo game&#10;&#10;Descrição gerada automaticamente com confiança mé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4575" cy="2689860"/>
                    </a:xfrm>
                    <a:prstGeom prst="rect">
                      <a:avLst/>
                    </a:prstGeom>
                  </pic:spPr>
                </pic:pic>
              </a:graphicData>
            </a:graphic>
            <wp14:sizeRelH relativeFrom="margin">
              <wp14:pctWidth>0</wp14:pctWidth>
            </wp14:sizeRelH>
            <wp14:sizeRelV relativeFrom="margin">
              <wp14:pctHeight>0</wp14:pctHeight>
            </wp14:sizeRelV>
          </wp:anchor>
        </w:drawing>
      </w:r>
      <w:r w:rsidR="00E32880" w:rsidRPr="00E32880">
        <w:rPr>
          <w:rFonts w:ascii="Times New Roman" w:hAnsi="Times New Roman"/>
        </w:rPr>
        <w:t xml:space="preserve">Electronic characterization of the catalysts surface was conducted using XPS, as shown in Figure </w:t>
      </w:r>
      <w:r w:rsidR="00E32880">
        <w:rPr>
          <w:rFonts w:ascii="Times New Roman" w:hAnsi="Times New Roman"/>
        </w:rPr>
        <w:t>2</w:t>
      </w:r>
      <w:r w:rsidR="00E32880" w:rsidRPr="00E32880">
        <w:rPr>
          <w:rFonts w:ascii="Times New Roman" w:hAnsi="Times New Roman"/>
        </w:rPr>
        <w:t>B.</w:t>
      </w:r>
      <w:r w:rsidR="00E32880">
        <w:rPr>
          <w:rFonts w:ascii="Times New Roman" w:hAnsi="Times New Roman"/>
        </w:rPr>
        <w:t xml:space="preserve"> </w:t>
      </w:r>
      <w:r w:rsidR="00E32880" w:rsidRPr="00E32880">
        <w:rPr>
          <w:rFonts w:ascii="Times New Roman" w:hAnsi="Times New Roman"/>
        </w:rPr>
        <w:t xml:space="preserve">The spectra of the Mo 3d region demonstrated that several Mo species were formed depending on the reaction temperature and TOS, in agreement with XRD data (Figure </w:t>
      </w:r>
      <w:r w:rsidR="00E32880">
        <w:rPr>
          <w:rFonts w:ascii="Times New Roman" w:hAnsi="Times New Roman"/>
        </w:rPr>
        <w:t>2</w:t>
      </w:r>
      <w:r w:rsidR="00E32880" w:rsidRPr="00E32880">
        <w:rPr>
          <w:rFonts w:ascii="Times New Roman" w:hAnsi="Times New Roman"/>
        </w:rPr>
        <w:t>A). MoO</w:t>
      </w:r>
      <w:r w:rsidR="00E32880" w:rsidRPr="00E32880">
        <w:rPr>
          <w:rFonts w:ascii="Times New Roman" w:hAnsi="Times New Roman"/>
          <w:vertAlign w:val="subscript"/>
        </w:rPr>
        <w:t>3</w:t>
      </w:r>
      <w:r w:rsidR="00E32880" w:rsidRPr="00E32880">
        <w:rPr>
          <w:rFonts w:ascii="Times New Roman" w:hAnsi="Times New Roman"/>
        </w:rPr>
        <w:t>_comm 3d</w:t>
      </w:r>
      <w:r w:rsidR="00E32880" w:rsidRPr="00C66631">
        <w:rPr>
          <w:rFonts w:ascii="Times New Roman" w:hAnsi="Times New Roman"/>
          <w:vertAlign w:val="subscript"/>
        </w:rPr>
        <w:t>5/2</w:t>
      </w:r>
      <w:r w:rsidR="00E32880" w:rsidRPr="00E32880">
        <w:rPr>
          <w:rFonts w:ascii="Times New Roman" w:hAnsi="Times New Roman"/>
        </w:rPr>
        <w:t xml:space="preserve"> peaks at 233.5 eV and 232.3 eV were attributed to Mo</w:t>
      </w:r>
      <w:r w:rsidR="00E32880" w:rsidRPr="00C66631">
        <w:rPr>
          <w:rFonts w:ascii="Times New Roman" w:hAnsi="Times New Roman"/>
          <w:vertAlign w:val="superscript"/>
        </w:rPr>
        <w:t>6+</w:t>
      </w:r>
      <w:r w:rsidR="00E32880" w:rsidRPr="00E32880">
        <w:rPr>
          <w:rFonts w:ascii="Times New Roman" w:hAnsi="Times New Roman"/>
        </w:rPr>
        <w:t xml:space="preserve"> (75.6%) and Mo</w:t>
      </w:r>
      <w:r w:rsidR="00E32880" w:rsidRPr="00C66631">
        <w:rPr>
          <w:rFonts w:ascii="Times New Roman" w:hAnsi="Times New Roman"/>
          <w:vertAlign w:val="superscript"/>
        </w:rPr>
        <w:t>5+</w:t>
      </w:r>
      <w:r w:rsidR="00E32880" w:rsidRPr="00E32880">
        <w:rPr>
          <w:rFonts w:ascii="Times New Roman" w:hAnsi="Times New Roman"/>
        </w:rPr>
        <w:t xml:space="preserve"> (24.4%) species. The formation of Mo</w:t>
      </w:r>
      <w:r w:rsidR="00E32880" w:rsidRPr="00C66631">
        <w:rPr>
          <w:rFonts w:ascii="Times New Roman" w:hAnsi="Times New Roman"/>
          <w:vertAlign w:val="superscript"/>
        </w:rPr>
        <w:t>5+</w:t>
      </w:r>
      <w:r w:rsidR="00E32880" w:rsidRPr="00E32880">
        <w:rPr>
          <w:rFonts w:ascii="Times New Roman" w:hAnsi="Times New Roman"/>
        </w:rPr>
        <w:t xml:space="preserve"> species is related to the MoO</w:t>
      </w:r>
      <w:r w:rsidR="00E32880" w:rsidRPr="00C66631">
        <w:rPr>
          <w:rFonts w:ascii="Times New Roman" w:hAnsi="Times New Roman"/>
          <w:vertAlign w:val="subscript"/>
        </w:rPr>
        <w:t>3</w:t>
      </w:r>
      <w:r w:rsidR="00E32880" w:rsidRPr="00E32880">
        <w:rPr>
          <w:rFonts w:ascii="Times New Roman" w:hAnsi="Times New Roman"/>
        </w:rPr>
        <w:t xml:space="preserve"> surface reduction induced by the X-ray probe </w:t>
      </w:r>
      <w:r w:rsidR="00C66631">
        <w:rPr>
          <w:rFonts w:ascii="Times New Roman" w:hAnsi="Times New Roman"/>
        </w:rPr>
        <w:t>(14)</w:t>
      </w:r>
      <w:r w:rsidR="00E32880" w:rsidRPr="00E32880">
        <w:rPr>
          <w:rFonts w:ascii="Times New Roman" w:hAnsi="Times New Roman"/>
        </w:rPr>
        <w:t>. The spectrum of the 350C1h catalyst presented a similar profile to that observed for MoO</w:t>
      </w:r>
      <w:r w:rsidR="00E32880" w:rsidRPr="00C66631">
        <w:rPr>
          <w:rFonts w:ascii="Times New Roman" w:hAnsi="Times New Roman"/>
          <w:vertAlign w:val="subscript"/>
        </w:rPr>
        <w:t>3</w:t>
      </w:r>
      <w:r w:rsidR="00E32880" w:rsidRPr="00E32880">
        <w:rPr>
          <w:rFonts w:ascii="Times New Roman" w:hAnsi="Times New Roman"/>
        </w:rPr>
        <w:t>_comm. On the other hand, the 350C6h catalyst presented a mix of Mo species, composed of Mo</w:t>
      </w:r>
      <w:r w:rsidR="00E32880" w:rsidRPr="00C66631">
        <w:rPr>
          <w:rFonts w:ascii="Times New Roman" w:hAnsi="Times New Roman"/>
          <w:vertAlign w:val="superscript"/>
        </w:rPr>
        <w:t>6+</w:t>
      </w:r>
      <w:r w:rsidR="00E32880" w:rsidRPr="00E32880">
        <w:rPr>
          <w:rFonts w:ascii="Times New Roman" w:hAnsi="Times New Roman"/>
        </w:rPr>
        <w:t xml:space="preserve"> (21.8%), Mo</w:t>
      </w:r>
      <w:r w:rsidR="00E32880" w:rsidRPr="00C66631">
        <w:rPr>
          <w:rFonts w:ascii="Times New Roman" w:hAnsi="Times New Roman"/>
          <w:vertAlign w:val="superscript"/>
        </w:rPr>
        <w:t>5+</w:t>
      </w:r>
      <w:r w:rsidR="00E32880" w:rsidRPr="00E32880">
        <w:rPr>
          <w:rFonts w:ascii="Times New Roman" w:hAnsi="Times New Roman"/>
        </w:rPr>
        <w:t xml:space="preserve"> (22.6%), and Mo</w:t>
      </w:r>
      <w:r w:rsidR="00E32880" w:rsidRPr="00C66631">
        <w:rPr>
          <w:rFonts w:ascii="Times New Roman" w:hAnsi="Times New Roman"/>
          <w:vertAlign w:val="superscript"/>
        </w:rPr>
        <w:t>4+</w:t>
      </w:r>
      <w:r w:rsidR="00E32880" w:rsidRPr="00E32880">
        <w:rPr>
          <w:rFonts w:ascii="Times New Roman" w:hAnsi="Times New Roman"/>
        </w:rPr>
        <w:t xml:space="preserve"> (55.6%).</w:t>
      </w:r>
      <w:r w:rsidR="00C66631">
        <w:rPr>
          <w:rFonts w:ascii="Times New Roman" w:hAnsi="Times New Roman"/>
        </w:rPr>
        <w:t xml:space="preserve"> 400C1h and 400C6h catalysts </w:t>
      </w:r>
      <w:r w:rsidR="00C66631" w:rsidRPr="00C66631">
        <w:rPr>
          <w:rFonts w:ascii="Times New Roman" w:hAnsi="Times New Roman"/>
        </w:rPr>
        <w:t>also presented a mix of Mo species</w:t>
      </w:r>
      <w:r w:rsidR="00C66631">
        <w:rPr>
          <w:rFonts w:ascii="Times New Roman" w:hAnsi="Times New Roman"/>
        </w:rPr>
        <w:t xml:space="preserve">. No significant changes were observed </w:t>
      </w:r>
      <w:r w:rsidR="00CE11F2">
        <w:rPr>
          <w:rFonts w:ascii="Times New Roman" w:hAnsi="Times New Roman"/>
        </w:rPr>
        <w:t xml:space="preserve">between them </w:t>
      </w:r>
      <w:r w:rsidR="00C66631">
        <w:rPr>
          <w:rFonts w:ascii="Times New Roman" w:hAnsi="Times New Roman"/>
        </w:rPr>
        <w:t xml:space="preserve">and </w:t>
      </w:r>
      <w:r w:rsidR="00C66631" w:rsidRPr="00E32880">
        <w:rPr>
          <w:rFonts w:ascii="Times New Roman" w:hAnsi="Times New Roman"/>
        </w:rPr>
        <w:t>Mo</w:t>
      </w:r>
      <w:r w:rsidR="00C66631" w:rsidRPr="00C66631">
        <w:rPr>
          <w:rFonts w:ascii="Times New Roman" w:hAnsi="Times New Roman"/>
          <w:vertAlign w:val="superscript"/>
        </w:rPr>
        <w:t>4+</w:t>
      </w:r>
      <w:r w:rsidR="00C66631">
        <w:rPr>
          <w:rFonts w:ascii="Times New Roman" w:hAnsi="Times New Roman"/>
        </w:rPr>
        <w:t xml:space="preserve"> was the predominant species (around 80%). According to the literature, </w:t>
      </w:r>
      <w:r w:rsidR="00C66631" w:rsidRPr="00C66631">
        <w:rPr>
          <w:rFonts w:ascii="Times New Roman" w:hAnsi="Times New Roman"/>
        </w:rPr>
        <w:t>the presence of Mo</w:t>
      </w:r>
      <w:r w:rsidR="00C66631" w:rsidRPr="00C66631">
        <w:rPr>
          <w:rFonts w:ascii="Times New Roman" w:hAnsi="Times New Roman"/>
          <w:vertAlign w:val="superscript"/>
        </w:rPr>
        <w:t>6+</w:t>
      </w:r>
      <w:r w:rsidR="00C66631" w:rsidRPr="00C66631">
        <w:rPr>
          <w:rFonts w:ascii="Times New Roman" w:hAnsi="Times New Roman"/>
        </w:rPr>
        <w:t xml:space="preserve"> species can be attributed to a surface layer of MoO</w:t>
      </w:r>
      <w:r w:rsidR="00C66631" w:rsidRPr="00C66631">
        <w:rPr>
          <w:rFonts w:ascii="Times New Roman" w:hAnsi="Times New Roman"/>
          <w:vertAlign w:val="subscript"/>
        </w:rPr>
        <w:t>3</w:t>
      </w:r>
      <w:r w:rsidR="00C66631" w:rsidRPr="00C66631">
        <w:rPr>
          <w:rFonts w:ascii="Times New Roman" w:hAnsi="Times New Roman"/>
        </w:rPr>
        <w:t>, while Mo</w:t>
      </w:r>
      <w:r w:rsidR="00C66631" w:rsidRPr="00C66631">
        <w:rPr>
          <w:rFonts w:ascii="Times New Roman" w:hAnsi="Times New Roman"/>
          <w:vertAlign w:val="superscript"/>
        </w:rPr>
        <w:t>5+</w:t>
      </w:r>
      <w:r w:rsidR="00C66631" w:rsidRPr="00C66631">
        <w:rPr>
          <w:rFonts w:ascii="Times New Roman" w:hAnsi="Times New Roman"/>
        </w:rPr>
        <w:t xml:space="preserve"> species can be majorly related to MoO</w:t>
      </w:r>
      <w:r w:rsidR="00C66631" w:rsidRPr="00C66631">
        <w:rPr>
          <w:rFonts w:ascii="Times New Roman" w:hAnsi="Times New Roman"/>
          <w:vertAlign w:val="subscript"/>
        </w:rPr>
        <w:t>x</w:t>
      </w:r>
      <w:r w:rsidR="00C66631" w:rsidRPr="00C66631">
        <w:rPr>
          <w:rFonts w:ascii="Times New Roman" w:hAnsi="Times New Roman"/>
        </w:rPr>
        <w:t>C</w:t>
      </w:r>
      <w:r w:rsidR="00C66631" w:rsidRPr="00C66631">
        <w:rPr>
          <w:rFonts w:ascii="Times New Roman" w:hAnsi="Times New Roman"/>
          <w:vertAlign w:val="subscript"/>
        </w:rPr>
        <w:t>y</w:t>
      </w:r>
      <w:r w:rsidR="00C66631" w:rsidRPr="00C66631">
        <w:rPr>
          <w:rFonts w:ascii="Times New Roman" w:hAnsi="Times New Roman"/>
        </w:rPr>
        <w:t xml:space="preserve"> phase and Mo</w:t>
      </w:r>
      <w:r w:rsidR="00C66631" w:rsidRPr="00C66631">
        <w:rPr>
          <w:rFonts w:ascii="Times New Roman" w:hAnsi="Times New Roman"/>
          <w:vertAlign w:val="superscript"/>
        </w:rPr>
        <w:t>4+</w:t>
      </w:r>
      <w:r w:rsidR="00C66631" w:rsidRPr="00C66631">
        <w:rPr>
          <w:rFonts w:ascii="Times New Roman" w:hAnsi="Times New Roman"/>
        </w:rPr>
        <w:t xml:space="preserve"> to MoO</w:t>
      </w:r>
      <w:r w:rsidR="00C66631" w:rsidRPr="00C66631">
        <w:rPr>
          <w:rFonts w:ascii="Times New Roman" w:hAnsi="Times New Roman"/>
          <w:vertAlign w:val="subscript"/>
        </w:rPr>
        <w:t>2</w:t>
      </w:r>
      <w:r w:rsidR="00C66631" w:rsidRPr="00C66631">
        <w:rPr>
          <w:rFonts w:ascii="Times New Roman" w:hAnsi="Times New Roman"/>
        </w:rPr>
        <w:t xml:space="preserve"> and/or MoO</w:t>
      </w:r>
      <w:r w:rsidR="00C66631" w:rsidRPr="00C66631">
        <w:rPr>
          <w:rFonts w:ascii="Times New Roman" w:hAnsi="Times New Roman"/>
          <w:vertAlign w:val="subscript"/>
        </w:rPr>
        <w:t>x</w:t>
      </w:r>
      <w:r w:rsidR="00C66631" w:rsidRPr="00C66631">
        <w:rPr>
          <w:rFonts w:ascii="Times New Roman" w:hAnsi="Times New Roman"/>
        </w:rPr>
        <w:t>C</w:t>
      </w:r>
      <w:r w:rsidR="00C66631" w:rsidRPr="00C66631">
        <w:rPr>
          <w:rFonts w:ascii="Times New Roman" w:hAnsi="Times New Roman"/>
          <w:vertAlign w:val="subscript"/>
        </w:rPr>
        <w:t>y</w:t>
      </w:r>
      <w:r w:rsidR="00C66631" w:rsidRPr="00C66631">
        <w:rPr>
          <w:rFonts w:ascii="Times New Roman" w:hAnsi="Times New Roman"/>
        </w:rPr>
        <w:t xml:space="preserve"> phases</w:t>
      </w:r>
      <w:r w:rsidR="00C66631">
        <w:rPr>
          <w:rFonts w:ascii="Times New Roman" w:hAnsi="Times New Roman"/>
        </w:rPr>
        <w:t xml:space="preserve"> (14,15)</w:t>
      </w:r>
      <w:r w:rsidR="00C66631" w:rsidRPr="00C66631">
        <w:rPr>
          <w:rFonts w:ascii="Times New Roman" w:hAnsi="Times New Roman"/>
        </w:rPr>
        <w:t>.</w:t>
      </w:r>
    </w:p>
    <w:p w14:paraId="740CEF7F" w14:textId="72C95C13" w:rsidR="00151D37" w:rsidRDefault="00CE11F2" w:rsidP="00DF21AE">
      <w:pPr>
        <w:pStyle w:val="TAMainText"/>
        <w:ind w:firstLine="187"/>
        <w:rPr>
          <w:rFonts w:ascii="Times New Roman" w:hAnsi="Times New Roman"/>
        </w:rPr>
      </w:pPr>
      <w:r>
        <w:rPr>
          <w:rFonts w:ascii="Times New Roman" w:hAnsi="Times New Roman"/>
        </w:rPr>
        <w:t>Even not being</w:t>
      </w:r>
      <w:r w:rsidRPr="00717D2E">
        <w:rPr>
          <w:rFonts w:ascii="Times New Roman" w:hAnsi="Times New Roman"/>
        </w:rPr>
        <w:t xml:space="preserve"> straightforwardly defined</w:t>
      </w:r>
      <w:r>
        <w:rPr>
          <w:rFonts w:ascii="Times New Roman" w:hAnsi="Times New Roman"/>
        </w:rPr>
        <w:t>, Mo</w:t>
      </w:r>
      <w:r w:rsidRPr="00CE11F2">
        <w:rPr>
          <w:rFonts w:ascii="Times New Roman" w:hAnsi="Times New Roman"/>
          <w:vertAlign w:val="superscript"/>
        </w:rPr>
        <w:t>5+</w:t>
      </w:r>
      <w:r>
        <w:rPr>
          <w:rFonts w:ascii="Times New Roman" w:hAnsi="Times New Roman"/>
        </w:rPr>
        <w:t xml:space="preserve"> species w</w:t>
      </w:r>
      <w:r w:rsidR="00151D37">
        <w:rPr>
          <w:rFonts w:ascii="Times New Roman" w:hAnsi="Times New Roman"/>
        </w:rPr>
        <w:t>as</w:t>
      </w:r>
      <w:r>
        <w:rPr>
          <w:rFonts w:ascii="Times New Roman" w:hAnsi="Times New Roman"/>
        </w:rPr>
        <w:t xml:space="preserve"> assigned in many reports as possessing an important role in HDO reaction, preventing overreduction and as an active site itself (6,9,10).</w:t>
      </w:r>
      <w:r w:rsidR="00151D37">
        <w:rPr>
          <w:rFonts w:ascii="Times New Roman" w:hAnsi="Times New Roman"/>
        </w:rPr>
        <w:t xml:space="preserve"> It is interesting to note that this species was more significantly observed in the 350C6h catalyst surface, which, as mentioned, showed the greatest hydrogenation rate. </w:t>
      </w:r>
      <w:r w:rsidR="00151D37" w:rsidRPr="00151D37">
        <w:rPr>
          <w:rFonts w:ascii="Times New Roman" w:hAnsi="Times New Roman"/>
        </w:rPr>
        <w:t>Thus, it is p</w:t>
      </w:r>
      <w:r w:rsidR="00DF21AE">
        <w:rPr>
          <w:rFonts w:ascii="Times New Roman" w:hAnsi="Times New Roman"/>
        </w:rPr>
        <w:t>ossible</w:t>
      </w:r>
      <w:r w:rsidR="00151D37" w:rsidRPr="00151D37">
        <w:rPr>
          <w:rFonts w:ascii="Times New Roman" w:hAnsi="Times New Roman"/>
        </w:rPr>
        <w:t xml:space="preserve"> that Mo</w:t>
      </w:r>
      <w:r w:rsidR="00151D37" w:rsidRPr="00DF21AE">
        <w:rPr>
          <w:rFonts w:ascii="Times New Roman" w:hAnsi="Times New Roman"/>
          <w:vertAlign w:val="superscript"/>
        </w:rPr>
        <w:t>5+</w:t>
      </w:r>
      <w:r w:rsidR="00151D37" w:rsidRPr="00151D37">
        <w:rPr>
          <w:rFonts w:ascii="Times New Roman" w:hAnsi="Times New Roman"/>
        </w:rPr>
        <w:t xml:space="preserve"> </w:t>
      </w:r>
      <w:r w:rsidR="00DF21AE">
        <w:rPr>
          <w:rFonts w:ascii="Times New Roman" w:hAnsi="Times New Roman"/>
        </w:rPr>
        <w:t>could perform a</w:t>
      </w:r>
      <w:r w:rsidR="00151D37" w:rsidRPr="00151D37">
        <w:rPr>
          <w:rFonts w:ascii="Times New Roman" w:hAnsi="Times New Roman"/>
        </w:rPr>
        <w:t xml:space="preserve"> catalytic role </w:t>
      </w:r>
      <w:r w:rsidR="00DF21AE">
        <w:rPr>
          <w:rFonts w:ascii="Times New Roman" w:hAnsi="Times New Roman"/>
        </w:rPr>
        <w:t>that approaches</w:t>
      </w:r>
      <w:r w:rsidR="00151D37" w:rsidRPr="00151D37">
        <w:rPr>
          <w:rFonts w:ascii="Times New Roman" w:hAnsi="Times New Roman"/>
        </w:rPr>
        <w:t xml:space="preserve"> the </w:t>
      </w:r>
      <w:r w:rsidR="006F244D">
        <w:rPr>
          <w:rFonts w:ascii="Times New Roman" w:hAnsi="Times New Roman"/>
        </w:rPr>
        <w:t xml:space="preserve">hydrogenation </w:t>
      </w:r>
      <w:r w:rsidR="00151D37" w:rsidRPr="00151D37">
        <w:rPr>
          <w:rFonts w:ascii="Times New Roman" w:hAnsi="Times New Roman"/>
        </w:rPr>
        <w:t>behavior of metalli</w:t>
      </w:r>
      <w:r w:rsidR="00A41361">
        <w:rPr>
          <w:rFonts w:ascii="Times New Roman" w:hAnsi="Times New Roman"/>
        </w:rPr>
        <w:t>c</w:t>
      </w:r>
      <w:r w:rsidR="00151D37" w:rsidRPr="00151D37">
        <w:rPr>
          <w:rFonts w:ascii="Times New Roman" w:hAnsi="Times New Roman"/>
        </w:rPr>
        <w:t xml:space="preserve"> sites.</w:t>
      </w:r>
    </w:p>
    <w:p w14:paraId="7ADD8CD1" w14:textId="76A0C835" w:rsidR="0068203B" w:rsidRDefault="0068203B" w:rsidP="0068203B">
      <w:pPr>
        <w:pStyle w:val="TAMainText"/>
        <w:rPr>
          <w:rFonts w:ascii="Times New Roman" w:hAnsi="Times New Roman"/>
        </w:rPr>
      </w:pPr>
      <w:r w:rsidRPr="003F7C43">
        <w:rPr>
          <w:rFonts w:ascii="Times New Roman" w:hAnsi="Times New Roman"/>
        </w:rPr>
        <w:t xml:space="preserve">In an insightful work, Kurlov </w:t>
      </w:r>
      <w:r w:rsidRPr="007A3D78">
        <w:rPr>
          <w:rFonts w:ascii="Times New Roman" w:hAnsi="Times New Roman"/>
          <w:i/>
          <w:iCs/>
        </w:rPr>
        <w:t>et al.</w:t>
      </w:r>
      <w:r w:rsidRPr="003F7C43">
        <w:rPr>
          <w:rFonts w:ascii="Times New Roman" w:hAnsi="Times New Roman"/>
        </w:rPr>
        <w:t xml:space="preserve"> </w:t>
      </w:r>
      <w:r>
        <w:rPr>
          <w:rFonts w:ascii="Times New Roman" w:hAnsi="Times New Roman"/>
        </w:rPr>
        <w:t>(</w:t>
      </w:r>
      <w:r w:rsidR="004C2FE6">
        <w:rPr>
          <w:rFonts w:ascii="Times New Roman" w:hAnsi="Times New Roman"/>
        </w:rPr>
        <w:t>16</w:t>
      </w:r>
      <w:r>
        <w:rPr>
          <w:rFonts w:ascii="Times New Roman" w:hAnsi="Times New Roman"/>
        </w:rPr>
        <w:t>)</w:t>
      </w:r>
      <w:r w:rsidRPr="003F7C43">
        <w:rPr>
          <w:rFonts w:ascii="Times New Roman" w:hAnsi="Times New Roman"/>
        </w:rPr>
        <w:t xml:space="preserve"> submitted a carbon-supported MoO</w:t>
      </w:r>
      <w:r w:rsidRPr="006E3492">
        <w:rPr>
          <w:rFonts w:ascii="Times New Roman" w:hAnsi="Times New Roman"/>
          <w:vertAlign w:val="subscript"/>
        </w:rPr>
        <w:t>3</w:t>
      </w:r>
      <w:r w:rsidRPr="003F7C43">
        <w:rPr>
          <w:rFonts w:ascii="Times New Roman" w:hAnsi="Times New Roman"/>
        </w:rPr>
        <w:t xml:space="preserve"> sample to </w:t>
      </w:r>
      <w:r w:rsidRPr="007A3D78">
        <w:rPr>
          <w:rFonts w:ascii="Times New Roman" w:hAnsi="Times New Roman"/>
          <w:i/>
          <w:iCs/>
        </w:rPr>
        <w:t>in situ</w:t>
      </w:r>
      <w:r w:rsidRPr="003F7C43">
        <w:rPr>
          <w:rFonts w:ascii="Times New Roman" w:hAnsi="Times New Roman"/>
        </w:rPr>
        <w:t xml:space="preserve"> carburization followed by XRD and XANES analyzes. As shown by the XRD patterns, MoO3 transitioned to MoO</w:t>
      </w:r>
      <w:r w:rsidRPr="006E3492">
        <w:rPr>
          <w:rFonts w:ascii="Times New Roman" w:hAnsi="Times New Roman"/>
          <w:vertAlign w:val="subscript"/>
        </w:rPr>
        <w:t>2</w:t>
      </w:r>
      <w:r w:rsidRPr="003F7C43">
        <w:rPr>
          <w:rFonts w:ascii="Times New Roman" w:hAnsi="Times New Roman"/>
        </w:rPr>
        <w:t xml:space="preserve"> around 400 °C and then fully converted into Mo</w:t>
      </w:r>
      <w:r w:rsidRPr="006E3492">
        <w:rPr>
          <w:rFonts w:ascii="Times New Roman" w:hAnsi="Times New Roman"/>
          <w:vertAlign w:val="subscript"/>
        </w:rPr>
        <w:t>2</w:t>
      </w:r>
      <w:r w:rsidRPr="003F7C43">
        <w:rPr>
          <w:rFonts w:ascii="Times New Roman" w:hAnsi="Times New Roman"/>
        </w:rPr>
        <w:t>C at 750 °C; no other crystalline phases were observed during heating. On the other hand, XANES data presented a C component that pointed to a different contribution that lies between MoO</w:t>
      </w:r>
      <w:r w:rsidRPr="006E3492">
        <w:rPr>
          <w:rFonts w:ascii="Times New Roman" w:hAnsi="Times New Roman"/>
          <w:vertAlign w:val="subscript"/>
        </w:rPr>
        <w:t>2</w:t>
      </w:r>
      <w:r w:rsidRPr="003F7C43">
        <w:rPr>
          <w:rFonts w:ascii="Times New Roman" w:hAnsi="Times New Roman"/>
        </w:rPr>
        <w:t xml:space="preserve"> and Mo</w:t>
      </w:r>
      <w:r w:rsidRPr="006E3492">
        <w:rPr>
          <w:rFonts w:ascii="Times New Roman" w:hAnsi="Times New Roman"/>
          <w:vertAlign w:val="subscript"/>
        </w:rPr>
        <w:t>2</w:t>
      </w:r>
      <w:r w:rsidRPr="003F7C43">
        <w:rPr>
          <w:rFonts w:ascii="Times New Roman" w:hAnsi="Times New Roman"/>
        </w:rPr>
        <w:t>C. Thus, it was proposed that this new contribution is associated with an oxycarbide phase that may be formed due to carbon incorporation during annealing,</w:t>
      </w:r>
      <w:r>
        <w:rPr>
          <w:rFonts w:ascii="Times New Roman" w:hAnsi="Times New Roman"/>
        </w:rPr>
        <w:t xml:space="preserve"> </w:t>
      </w:r>
      <w:r w:rsidRPr="003F7C43">
        <w:rPr>
          <w:rFonts w:ascii="Times New Roman" w:hAnsi="Times New Roman"/>
        </w:rPr>
        <w:t>but retaining the bulk MoO</w:t>
      </w:r>
      <w:r w:rsidRPr="006E3492">
        <w:rPr>
          <w:rFonts w:ascii="Times New Roman" w:hAnsi="Times New Roman"/>
          <w:vertAlign w:val="subscript"/>
        </w:rPr>
        <w:t>2</w:t>
      </w:r>
      <w:r w:rsidRPr="003F7C43">
        <w:rPr>
          <w:rFonts w:ascii="Times New Roman" w:hAnsi="Times New Roman"/>
        </w:rPr>
        <w:t xml:space="preserve"> structure. These findings agree with previous studies </w:t>
      </w:r>
      <w:r>
        <w:rPr>
          <w:rFonts w:ascii="Times New Roman" w:hAnsi="Times New Roman"/>
        </w:rPr>
        <w:t>(</w:t>
      </w:r>
      <w:r w:rsidR="004C2FE6">
        <w:rPr>
          <w:rFonts w:ascii="Times New Roman" w:hAnsi="Times New Roman"/>
        </w:rPr>
        <w:t>17,18</w:t>
      </w:r>
      <w:r>
        <w:rPr>
          <w:rFonts w:ascii="Times New Roman" w:hAnsi="Times New Roman"/>
        </w:rPr>
        <w:t xml:space="preserve">) </w:t>
      </w:r>
      <w:r w:rsidRPr="00591331">
        <w:rPr>
          <w:rFonts w:ascii="Times New Roman" w:hAnsi="Times New Roman"/>
        </w:rPr>
        <w:t>and suggest the existence of a disordered oxycarbide phase at 400 °C.</w:t>
      </w:r>
      <w:r w:rsidRPr="00591331">
        <w:t xml:space="preserve"> </w:t>
      </w:r>
      <w:r w:rsidRPr="00591331">
        <w:rPr>
          <w:rFonts w:ascii="Times New Roman" w:hAnsi="Times New Roman"/>
        </w:rPr>
        <w:t>The electronic properties</w:t>
      </w:r>
      <w:r>
        <w:rPr>
          <w:rFonts w:ascii="Times New Roman" w:hAnsi="Times New Roman"/>
        </w:rPr>
        <w:t xml:space="preserve"> of 400C1h</w:t>
      </w:r>
      <w:r w:rsidRPr="00591331">
        <w:rPr>
          <w:rFonts w:ascii="Times New Roman" w:hAnsi="Times New Roman"/>
        </w:rPr>
        <w:t xml:space="preserve">, together with increased </w:t>
      </w:r>
      <w:r>
        <w:rPr>
          <w:rFonts w:ascii="Times New Roman" w:hAnsi="Times New Roman"/>
        </w:rPr>
        <w:t>acid sites</w:t>
      </w:r>
      <w:r w:rsidRPr="00591331">
        <w:rPr>
          <w:rFonts w:ascii="Times New Roman" w:hAnsi="Times New Roman"/>
        </w:rPr>
        <w:t xml:space="preserve"> (especially stronger </w:t>
      </w:r>
      <w:r w:rsidRPr="00717D2E">
        <w:rPr>
          <w:rFonts w:ascii="Times New Roman" w:hAnsi="Times New Roman"/>
        </w:rPr>
        <w:t>Brønsted</w:t>
      </w:r>
      <w:r>
        <w:rPr>
          <w:rFonts w:ascii="Times New Roman" w:hAnsi="Times New Roman"/>
        </w:rPr>
        <w:t xml:space="preserve"> ones</w:t>
      </w:r>
      <w:r w:rsidRPr="00591331">
        <w:rPr>
          <w:rFonts w:ascii="Times New Roman" w:hAnsi="Times New Roman"/>
        </w:rPr>
        <w:t xml:space="preserve">) and </w:t>
      </w:r>
      <w:r>
        <w:rPr>
          <w:rFonts w:ascii="Times New Roman" w:hAnsi="Times New Roman"/>
        </w:rPr>
        <w:t>specific surface area</w:t>
      </w:r>
      <w:r w:rsidRPr="00591331">
        <w:rPr>
          <w:rFonts w:ascii="Times New Roman" w:hAnsi="Times New Roman"/>
        </w:rPr>
        <w:t>, add up to strong evidence for</w:t>
      </w:r>
      <w:r>
        <w:rPr>
          <w:rFonts w:ascii="Times New Roman" w:hAnsi="Times New Roman"/>
        </w:rPr>
        <w:t xml:space="preserve"> </w:t>
      </w:r>
      <w:r w:rsidRPr="00591331">
        <w:rPr>
          <w:rFonts w:ascii="Times New Roman" w:hAnsi="Times New Roman"/>
        </w:rPr>
        <w:t>a different contribution than MoO</w:t>
      </w:r>
      <w:r w:rsidRPr="00591331">
        <w:rPr>
          <w:rFonts w:ascii="Times New Roman" w:hAnsi="Times New Roman"/>
          <w:vertAlign w:val="subscript"/>
        </w:rPr>
        <w:t>2</w:t>
      </w:r>
      <w:r w:rsidRPr="00591331">
        <w:rPr>
          <w:rFonts w:ascii="Times New Roman" w:hAnsi="Times New Roman"/>
        </w:rPr>
        <w:t>.</w:t>
      </w:r>
    </w:p>
    <w:p w14:paraId="20703207" w14:textId="56BCFAE6" w:rsidR="0068203B" w:rsidRDefault="0068203B" w:rsidP="0068203B">
      <w:pPr>
        <w:pStyle w:val="TAMainText"/>
        <w:rPr>
          <w:rFonts w:ascii="Times New Roman" w:hAnsi="Times New Roman"/>
        </w:rPr>
      </w:pPr>
      <w:r>
        <w:rPr>
          <w:rFonts w:ascii="Times New Roman" w:hAnsi="Times New Roman"/>
        </w:rPr>
        <w:t>Our</w:t>
      </w:r>
      <w:r w:rsidRPr="00591331">
        <w:rPr>
          <w:rFonts w:ascii="Times New Roman" w:hAnsi="Times New Roman"/>
        </w:rPr>
        <w:t xml:space="preserve"> spent catalysts presented di</w:t>
      </w:r>
      <w:r>
        <w:rPr>
          <w:rFonts w:ascii="Times New Roman" w:hAnsi="Times New Roman"/>
        </w:rPr>
        <w:t>stinct</w:t>
      </w:r>
      <w:r w:rsidRPr="00591331">
        <w:rPr>
          <w:rFonts w:ascii="Times New Roman" w:hAnsi="Times New Roman"/>
        </w:rPr>
        <w:t xml:space="preserve"> thermogravimetric profiles under N</w:t>
      </w:r>
      <w:r w:rsidRPr="006E3492">
        <w:rPr>
          <w:rFonts w:ascii="Times New Roman" w:hAnsi="Times New Roman"/>
          <w:vertAlign w:val="subscript"/>
        </w:rPr>
        <w:t>2</w:t>
      </w:r>
      <w:r w:rsidRPr="00591331">
        <w:rPr>
          <w:rFonts w:ascii="Times New Roman" w:hAnsi="Times New Roman"/>
        </w:rPr>
        <w:t xml:space="preserve"> and O</w:t>
      </w:r>
      <w:r w:rsidRPr="006E3492">
        <w:rPr>
          <w:rFonts w:ascii="Times New Roman" w:hAnsi="Times New Roman"/>
          <w:vertAlign w:val="subscript"/>
        </w:rPr>
        <w:t>2</w:t>
      </w:r>
      <w:r w:rsidRPr="00591331">
        <w:rPr>
          <w:rFonts w:ascii="Times New Roman" w:hAnsi="Times New Roman"/>
        </w:rPr>
        <w:t xml:space="preserve"> atmospheres (Figure </w:t>
      </w:r>
      <w:r>
        <w:rPr>
          <w:rFonts w:ascii="Times New Roman" w:hAnsi="Times New Roman"/>
        </w:rPr>
        <w:t>4</w:t>
      </w:r>
      <w:r w:rsidRPr="00591331">
        <w:rPr>
          <w:rFonts w:ascii="Times New Roman" w:hAnsi="Times New Roman"/>
        </w:rPr>
        <w:t>). Under oxidizing conditions, the 350C1h catalyst did not present any major weight loss or gain events, in line with the more oxidized MoO</w:t>
      </w:r>
      <w:r w:rsidRPr="006E3492">
        <w:rPr>
          <w:rFonts w:ascii="Times New Roman" w:hAnsi="Times New Roman"/>
          <w:vertAlign w:val="subscript"/>
        </w:rPr>
        <w:t>3</w:t>
      </w:r>
      <w:r w:rsidRPr="00591331">
        <w:rPr>
          <w:rFonts w:ascii="Times New Roman" w:hAnsi="Times New Roman"/>
        </w:rPr>
        <w:t xml:space="preserve"> structure. Above 400 °C, a minor 0.5% weight loss was observed and related to the oxidation of the partially reduced surface or coke oxidation </w:t>
      </w:r>
      <w:r>
        <w:rPr>
          <w:rFonts w:ascii="Times New Roman" w:hAnsi="Times New Roman"/>
        </w:rPr>
        <w:t>(6)</w:t>
      </w:r>
      <w:r w:rsidRPr="00591331">
        <w:rPr>
          <w:rFonts w:ascii="Times New Roman" w:hAnsi="Times New Roman"/>
        </w:rPr>
        <w:t xml:space="preserve">. Below 330 °C, the 350C6h, 400C1h, and 400C6h catalysts showed </w:t>
      </w:r>
      <w:r w:rsidRPr="00591331">
        <w:rPr>
          <w:rFonts w:ascii="Times New Roman" w:hAnsi="Times New Roman"/>
        </w:rPr>
        <w:lastRenderedPageBreak/>
        <w:t>weight losses that varied between 2.7 and 3.3%, attributed to H</w:t>
      </w:r>
      <w:r w:rsidRPr="006E3492">
        <w:rPr>
          <w:rFonts w:ascii="Times New Roman" w:hAnsi="Times New Roman"/>
          <w:vertAlign w:val="subscript"/>
        </w:rPr>
        <w:t>2</w:t>
      </w:r>
      <w:r w:rsidRPr="00591331">
        <w:rPr>
          <w:rFonts w:ascii="Times New Roman" w:hAnsi="Times New Roman"/>
        </w:rPr>
        <w:t xml:space="preserve">O evolution </w:t>
      </w:r>
      <w:r>
        <w:rPr>
          <w:rFonts w:ascii="Times New Roman" w:hAnsi="Times New Roman"/>
        </w:rPr>
        <w:t>(</w:t>
      </w:r>
      <w:r w:rsidR="004C2FE6">
        <w:rPr>
          <w:rFonts w:ascii="Times New Roman" w:hAnsi="Times New Roman"/>
        </w:rPr>
        <w:t>19</w:t>
      </w:r>
      <w:r>
        <w:rPr>
          <w:rFonts w:ascii="Times New Roman" w:hAnsi="Times New Roman"/>
        </w:rPr>
        <w:t>)</w:t>
      </w:r>
      <w:r w:rsidRPr="00591331">
        <w:rPr>
          <w:rFonts w:ascii="Times New Roman" w:hAnsi="Times New Roman"/>
        </w:rPr>
        <w:t>. Above this, two distinguishable weight gain events were observed. The first one, between 330 and 400 °C, varied from 1.0 to 1.3%, and could be associated with the oxidation of MoO</w:t>
      </w:r>
      <w:r w:rsidRPr="006E3492">
        <w:rPr>
          <w:rFonts w:ascii="Times New Roman" w:hAnsi="Times New Roman"/>
          <w:vertAlign w:val="subscript"/>
        </w:rPr>
        <w:t>x</w:t>
      </w:r>
      <w:r w:rsidRPr="00591331">
        <w:rPr>
          <w:rFonts w:ascii="Times New Roman" w:hAnsi="Times New Roman"/>
        </w:rPr>
        <w:t>C</w:t>
      </w:r>
      <w:r w:rsidRPr="006E3492">
        <w:rPr>
          <w:rFonts w:ascii="Times New Roman" w:hAnsi="Times New Roman"/>
          <w:vertAlign w:val="subscript"/>
        </w:rPr>
        <w:t>y</w:t>
      </w:r>
      <w:r w:rsidRPr="00591331">
        <w:rPr>
          <w:rFonts w:ascii="Times New Roman" w:hAnsi="Times New Roman"/>
        </w:rPr>
        <w:t xml:space="preserve"> into MoO</w:t>
      </w:r>
      <w:r w:rsidRPr="006E3492">
        <w:rPr>
          <w:rFonts w:ascii="Times New Roman" w:hAnsi="Times New Roman"/>
          <w:vertAlign w:val="subscript"/>
        </w:rPr>
        <w:t>3</w:t>
      </w:r>
      <w:r w:rsidRPr="00591331">
        <w:rPr>
          <w:rFonts w:ascii="Times New Roman" w:hAnsi="Times New Roman"/>
        </w:rPr>
        <w:t>; the second one, between 400 and 500 °C, varied from 7.0 to 7.5%, and could be associated with the oxidation of MoO</w:t>
      </w:r>
      <w:r w:rsidRPr="006E3492">
        <w:rPr>
          <w:rFonts w:ascii="Times New Roman" w:hAnsi="Times New Roman"/>
          <w:vertAlign w:val="subscript"/>
        </w:rPr>
        <w:t>2</w:t>
      </w:r>
      <w:r w:rsidRPr="00591331">
        <w:rPr>
          <w:rFonts w:ascii="Times New Roman" w:hAnsi="Times New Roman"/>
        </w:rPr>
        <w:t xml:space="preserve"> into MoO</w:t>
      </w:r>
      <w:r w:rsidRPr="006E3492">
        <w:rPr>
          <w:rFonts w:ascii="Times New Roman" w:hAnsi="Times New Roman"/>
          <w:vertAlign w:val="subscript"/>
        </w:rPr>
        <w:t>3</w:t>
      </w:r>
      <w:r w:rsidRPr="00591331">
        <w:rPr>
          <w:rFonts w:ascii="Times New Roman" w:hAnsi="Times New Roman"/>
        </w:rPr>
        <w:t xml:space="preserve"> </w:t>
      </w:r>
      <w:r>
        <w:rPr>
          <w:rFonts w:ascii="Times New Roman" w:hAnsi="Times New Roman"/>
        </w:rPr>
        <w:t>(</w:t>
      </w:r>
      <w:r w:rsidR="004C2FE6">
        <w:rPr>
          <w:rFonts w:ascii="Times New Roman" w:hAnsi="Times New Roman"/>
        </w:rPr>
        <w:t>19</w:t>
      </w:r>
      <w:r>
        <w:rPr>
          <w:rFonts w:ascii="Times New Roman" w:hAnsi="Times New Roman"/>
        </w:rPr>
        <w:t>)</w:t>
      </w:r>
      <w:r w:rsidRPr="00591331">
        <w:rPr>
          <w:rFonts w:ascii="Times New Roman" w:hAnsi="Times New Roman"/>
        </w:rPr>
        <w:t>. The fact that all these samples present similar profiles is further evidence for the coexistence of an oxycarbide phase and MoO</w:t>
      </w:r>
      <w:r w:rsidRPr="006E3492">
        <w:rPr>
          <w:rFonts w:ascii="Times New Roman" w:hAnsi="Times New Roman"/>
          <w:vertAlign w:val="subscript"/>
        </w:rPr>
        <w:t>2</w:t>
      </w:r>
      <w:r w:rsidRPr="00591331">
        <w:rPr>
          <w:rFonts w:ascii="Times New Roman" w:hAnsi="Times New Roman"/>
        </w:rPr>
        <w:t xml:space="preserve"> at 400 °C, even when only the latter was retained as a bulk structure (400C1h and 400C6h). Considering the weight gains under O</w:t>
      </w:r>
      <w:r w:rsidRPr="006E3492">
        <w:rPr>
          <w:rFonts w:ascii="Times New Roman" w:hAnsi="Times New Roman"/>
          <w:vertAlign w:val="subscript"/>
        </w:rPr>
        <w:t>2</w:t>
      </w:r>
      <w:r w:rsidRPr="00591331">
        <w:rPr>
          <w:rFonts w:ascii="Times New Roman" w:hAnsi="Times New Roman"/>
        </w:rPr>
        <w:t xml:space="preserve"> and the losses under N</w:t>
      </w:r>
      <w:r w:rsidRPr="006E3492">
        <w:rPr>
          <w:rFonts w:ascii="Times New Roman" w:hAnsi="Times New Roman"/>
          <w:vertAlign w:val="subscript"/>
        </w:rPr>
        <w:t>2</w:t>
      </w:r>
      <w:r w:rsidRPr="00591331">
        <w:rPr>
          <w:rFonts w:ascii="Times New Roman" w:hAnsi="Times New Roman"/>
        </w:rPr>
        <w:t xml:space="preserve"> from 330 to 500 °C, an average 10.4% weight gain was found for these catalysts, in agreement with the 12.4% theoretical weight gain associated with the full oxidation of MoO</w:t>
      </w:r>
      <w:r w:rsidRPr="006E3492">
        <w:rPr>
          <w:rFonts w:ascii="Times New Roman" w:hAnsi="Times New Roman"/>
          <w:vertAlign w:val="subscript"/>
        </w:rPr>
        <w:t>2</w:t>
      </w:r>
      <w:r w:rsidRPr="00591331">
        <w:rPr>
          <w:rFonts w:ascii="Times New Roman" w:hAnsi="Times New Roman"/>
        </w:rPr>
        <w:t xml:space="preserve"> into MoO</w:t>
      </w:r>
      <w:r w:rsidRPr="006E3492">
        <w:rPr>
          <w:rFonts w:ascii="Times New Roman" w:hAnsi="Times New Roman"/>
          <w:vertAlign w:val="subscript"/>
        </w:rPr>
        <w:t>3</w:t>
      </w:r>
      <w:r w:rsidRPr="00591331">
        <w:rPr>
          <w:rFonts w:ascii="Times New Roman" w:hAnsi="Times New Roman"/>
        </w:rPr>
        <w:t>. In this case, MoO</w:t>
      </w:r>
      <w:r w:rsidRPr="006E3492">
        <w:rPr>
          <w:rFonts w:ascii="Times New Roman" w:hAnsi="Times New Roman"/>
          <w:vertAlign w:val="subscript"/>
        </w:rPr>
        <w:t>x</w:t>
      </w:r>
      <w:r w:rsidRPr="00591331">
        <w:rPr>
          <w:rFonts w:ascii="Times New Roman" w:hAnsi="Times New Roman"/>
        </w:rPr>
        <w:t>C</w:t>
      </w:r>
      <w:r w:rsidRPr="006E3492">
        <w:rPr>
          <w:rFonts w:ascii="Times New Roman" w:hAnsi="Times New Roman"/>
          <w:vertAlign w:val="subscript"/>
        </w:rPr>
        <w:t>y</w:t>
      </w:r>
      <w:r w:rsidRPr="00591331">
        <w:rPr>
          <w:rFonts w:ascii="Times New Roman" w:hAnsi="Times New Roman"/>
        </w:rPr>
        <w:t xml:space="preserve"> contribution is difficult to address, since this phase can present different </w:t>
      </w:r>
      <w:r>
        <w:rPr>
          <w:rFonts w:ascii="Times New Roman" w:hAnsi="Times New Roman"/>
          <w:noProof/>
        </w:rPr>
        <w:drawing>
          <wp:anchor distT="0" distB="0" distL="114300" distR="114300" simplePos="0" relativeHeight="251666431" behindDoc="0" locked="0" layoutInCell="1" allowOverlap="1" wp14:anchorId="70441A4A" wp14:editId="53846D46">
            <wp:simplePos x="0" y="0"/>
            <wp:positionH relativeFrom="margin">
              <wp:posOffset>-112395</wp:posOffset>
            </wp:positionH>
            <wp:positionV relativeFrom="paragraph">
              <wp:posOffset>2900045</wp:posOffset>
            </wp:positionV>
            <wp:extent cx="3231515" cy="1645920"/>
            <wp:effectExtent l="0" t="0" r="6985" b="0"/>
            <wp:wrapTopAndBottom/>
            <wp:docPr id="2" name="Imagem 2"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Gráfico&#10;&#10;Descrição gerada automaticamente"/>
                    <pic:cNvPicPr/>
                  </pic:nvPicPr>
                  <pic:blipFill rotWithShape="1">
                    <a:blip r:embed="rId11" cstate="print">
                      <a:extLst>
                        <a:ext uri="{28A0092B-C50C-407E-A947-70E740481C1C}">
                          <a14:useLocalDpi xmlns:a14="http://schemas.microsoft.com/office/drawing/2010/main" val="0"/>
                        </a:ext>
                      </a:extLst>
                    </a:blip>
                    <a:srcRect l="7236" t="2813" r="6565"/>
                    <a:stretch/>
                  </pic:blipFill>
                  <pic:spPr bwMode="auto">
                    <a:xfrm>
                      <a:off x="0" y="0"/>
                      <a:ext cx="3231515" cy="1645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1331">
        <w:rPr>
          <w:rFonts w:ascii="Times New Roman" w:hAnsi="Times New Roman"/>
        </w:rPr>
        <w:t>compositions depending on the H</w:t>
      </w:r>
      <w:r w:rsidRPr="006E3492">
        <w:rPr>
          <w:rFonts w:ascii="Times New Roman" w:hAnsi="Times New Roman"/>
          <w:vertAlign w:val="subscript"/>
        </w:rPr>
        <w:t>2</w:t>
      </w:r>
      <w:r w:rsidRPr="00591331">
        <w:rPr>
          <w:rFonts w:ascii="Times New Roman" w:hAnsi="Times New Roman"/>
        </w:rPr>
        <w:t>/carbon stream, temperature, and TOS.</w:t>
      </w:r>
    </w:p>
    <w:p w14:paraId="1791AED7" w14:textId="77777777" w:rsidR="0068203B" w:rsidRDefault="0068203B" w:rsidP="0068203B">
      <w:pPr>
        <w:pStyle w:val="VAFigureCaption"/>
        <w:spacing w:before="0"/>
        <w:rPr>
          <w:rFonts w:ascii="Times New Roman" w:hAnsi="Times New Roman"/>
        </w:rPr>
      </w:pPr>
      <w:r>
        <w:rPr>
          <w:rFonts w:ascii="Times New Roman" w:hAnsi="Times New Roman"/>
          <w:b/>
        </w:rPr>
        <w:t>F</w:t>
      </w:r>
      <w:r w:rsidRPr="00841E12">
        <w:rPr>
          <w:rFonts w:ascii="Times New Roman" w:hAnsi="Times New Roman"/>
          <w:b/>
        </w:rPr>
        <w:t xml:space="preserve">igure </w:t>
      </w:r>
      <w:r>
        <w:rPr>
          <w:rFonts w:ascii="Times New Roman" w:hAnsi="Times New Roman"/>
          <w:b/>
        </w:rPr>
        <w:t>4</w:t>
      </w:r>
      <w:r w:rsidRPr="00841E12">
        <w:rPr>
          <w:rFonts w:ascii="Times New Roman" w:hAnsi="Times New Roman"/>
          <w:b/>
        </w:rPr>
        <w:t>.</w:t>
      </w:r>
      <w:r>
        <w:rPr>
          <w:rFonts w:ascii="Times New Roman" w:hAnsi="Times New Roman"/>
        </w:rPr>
        <w:t xml:space="preserve"> </w:t>
      </w:r>
      <w:r w:rsidRPr="002823A3">
        <w:rPr>
          <w:rFonts w:ascii="Times New Roman" w:hAnsi="Times New Roman"/>
        </w:rPr>
        <w:t>dTG curves obtained from the thermogravimetric analysis of 350C1h, 350C6h, 400C1h, and 400C6h catalysts after acetone HDO reaction under (A) N</w:t>
      </w:r>
      <w:r w:rsidRPr="002823A3">
        <w:rPr>
          <w:rFonts w:ascii="Times New Roman" w:hAnsi="Times New Roman"/>
          <w:vertAlign w:val="subscript"/>
        </w:rPr>
        <w:t>2</w:t>
      </w:r>
      <w:r w:rsidRPr="002823A3">
        <w:rPr>
          <w:rFonts w:ascii="Times New Roman" w:hAnsi="Times New Roman"/>
        </w:rPr>
        <w:t xml:space="preserve"> and (B) air atmosph</w:t>
      </w:r>
      <w:r>
        <w:rPr>
          <w:rFonts w:ascii="Times New Roman" w:hAnsi="Times New Roman"/>
        </w:rPr>
        <w:t>ere.</w:t>
      </w:r>
    </w:p>
    <w:p w14:paraId="073C56A6" w14:textId="77777777" w:rsidR="0068203B" w:rsidRDefault="0068203B" w:rsidP="003F7BCD">
      <w:pPr>
        <w:pStyle w:val="TAMainText"/>
        <w:ind w:firstLine="187"/>
        <w:rPr>
          <w:rFonts w:ascii="Times New Roman" w:hAnsi="Times New Roman"/>
        </w:rPr>
      </w:pPr>
    </w:p>
    <w:p w14:paraId="1C02BFB9" w14:textId="5BC51DB1" w:rsidR="00CE11F2" w:rsidRPr="003F7BCD" w:rsidRDefault="00CE11F2" w:rsidP="003F7BCD">
      <w:pPr>
        <w:pStyle w:val="TAMainText"/>
        <w:ind w:firstLine="187"/>
      </w:pPr>
      <w:r w:rsidRPr="00CE11F2">
        <w:rPr>
          <w:rFonts w:ascii="Times New Roman" w:hAnsi="Times New Roman"/>
        </w:rPr>
        <w:t xml:space="preserve">Since the </w:t>
      </w:r>
      <w:r>
        <w:rPr>
          <w:rFonts w:ascii="Times New Roman" w:hAnsi="Times New Roman"/>
        </w:rPr>
        <w:t>acid sites</w:t>
      </w:r>
      <w:r w:rsidRPr="00CE11F2">
        <w:rPr>
          <w:rFonts w:ascii="Times New Roman" w:hAnsi="Times New Roman"/>
        </w:rPr>
        <w:t xml:space="preserve"> play an important role in the acetone HDO reaction pathways, MoO</w:t>
      </w:r>
      <w:r w:rsidRPr="00CE11F2">
        <w:rPr>
          <w:rFonts w:ascii="Times New Roman" w:hAnsi="Times New Roman"/>
          <w:vertAlign w:val="subscript"/>
        </w:rPr>
        <w:t>3</w:t>
      </w:r>
      <w:r w:rsidRPr="00CE11F2">
        <w:rPr>
          <w:rFonts w:ascii="Times New Roman" w:hAnsi="Times New Roman"/>
        </w:rPr>
        <w:t xml:space="preserve">_comm, 350C6h, and 400C1h samples had their acid properties probed by TMPO adsorption monitored by </w:t>
      </w:r>
      <w:r w:rsidRPr="00CE11F2">
        <w:rPr>
          <w:rFonts w:ascii="Times New Roman" w:hAnsi="Times New Roman"/>
          <w:vertAlign w:val="superscript"/>
        </w:rPr>
        <w:t>31</w:t>
      </w:r>
      <w:r w:rsidRPr="00CE11F2">
        <w:rPr>
          <w:rFonts w:ascii="Times New Roman" w:hAnsi="Times New Roman"/>
        </w:rPr>
        <w:t xml:space="preserve">P </w:t>
      </w:r>
      <w:r>
        <w:rPr>
          <w:rFonts w:ascii="Times New Roman" w:hAnsi="Times New Roman"/>
        </w:rPr>
        <w:t>MAS-</w:t>
      </w:r>
      <w:r w:rsidRPr="00CE11F2">
        <w:rPr>
          <w:rFonts w:ascii="Times New Roman" w:hAnsi="Times New Roman"/>
        </w:rPr>
        <w:t>NMR spectroscopy</w:t>
      </w:r>
      <w:r w:rsidR="00513EB9" w:rsidRPr="00513EB9">
        <w:rPr>
          <w:rFonts w:ascii="Times New Roman" w:hAnsi="Times New Roman"/>
        </w:rPr>
        <w:t xml:space="preserve"> </w:t>
      </w:r>
      <w:r w:rsidR="00856EB1">
        <w:rPr>
          <w:rFonts w:ascii="Times New Roman" w:hAnsi="Times New Roman"/>
        </w:rPr>
        <w:t>(</w:t>
      </w:r>
      <w:r w:rsidR="004C2FE6">
        <w:rPr>
          <w:rFonts w:ascii="Times New Roman" w:hAnsi="Times New Roman"/>
        </w:rPr>
        <w:t>20</w:t>
      </w:r>
      <w:r w:rsidR="00856EB1">
        <w:rPr>
          <w:rFonts w:ascii="Times New Roman" w:hAnsi="Times New Roman"/>
        </w:rPr>
        <w:t>)</w:t>
      </w:r>
      <w:r w:rsidR="00513EB9" w:rsidRPr="00513EB9">
        <w:rPr>
          <w:rFonts w:ascii="Times New Roman" w:hAnsi="Times New Roman"/>
        </w:rPr>
        <w:t>.</w:t>
      </w:r>
      <w:r w:rsidR="003F7BCD">
        <w:t xml:space="preserve"> </w:t>
      </w:r>
      <w:r w:rsidR="00DF21AE" w:rsidRPr="00DF21AE">
        <w:rPr>
          <w:rFonts w:ascii="Times New Roman" w:hAnsi="Times New Roman"/>
        </w:rPr>
        <w:t xml:space="preserve">Figure </w:t>
      </w:r>
      <w:r w:rsidR="00DF21AE">
        <w:rPr>
          <w:rFonts w:ascii="Times New Roman" w:hAnsi="Times New Roman"/>
        </w:rPr>
        <w:t>3</w:t>
      </w:r>
      <w:r w:rsidR="00DF21AE" w:rsidRPr="00DF21AE">
        <w:rPr>
          <w:rFonts w:ascii="Times New Roman" w:hAnsi="Times New Roman"/>
        </w:rPr>
        <w:t xml:space="preserve"> shows the</w:t>
      </w:r>
      <w:r w:rsidR="003F7BCD">
        <w:rPr>
          <w:rFonts w:ascii="Times New Roman" w:hAnsi="Times New Roman"/>
        </w:rPr>
        <w:t xml:space="preserve"> </w:t>
      </w:r>
      <w:r w:rsidR="00DF21AE" w:rsidRPr="00DF21AE">
        <w:rPr>
          <w:rFonts w:ascii="Times New Roman" w:hAnsi="Times New Roman"/>
        </w:rPr>
        <w:t xml:space="preserve">spectra for the three selected samples, where a broad multi-contribution signal in the region of ~30 to ~90 ppm could be detected. Signal deconvolution allowed addressing and quantifying each of the 5 distinguished contributions </w:t>
      </w:r>
      <w:r w:rsidR="00DF21AE">
        <w:rPr>
          <w:rFonts w:ascii="Times New Roman" w:hAnsi="Times New Roman"/>
        </w:rPr>
        <w:t>(</w:t>
      </w:r>
      <w:r w:rsidR="004C2FE6">
        <w:rPr>
          <w:rFonts w:ascii="Times New Roman" w:hAnsi="Times New Roman"/>
        </w:rPr>
        <w:t>21</w:t>
      </w:r>
      <w:r w:rsidR="00DF21AE">
        <w:rPr>
          <w:rFonts w:ascii="Times New Roman" w:hAnsi="Times New Roman"/>
        </w:rPr>
        <w:t>)</w:t>
      </w:r>
      <w:r w:rsidR="00DF21AE" w:rsidRPr="00DF21AE">
        <w:rPr>
          <w:rFonts w:ascii="Times New Roman" w:hAnsi="Times New Roman"/>
        </w:rPr>
        <w:t>. The signal around 40 ppm (Phys), present to a greater extent in the MoO</w:t>
      </w:r>
      <w:r w:rsidR="00DF21AE" w:rsidRPr="00DF21AE">
        <w:rPr>
          <w:rFonts w:ascii="Times New Roman" w:hAnsi="Times New Roman"/>
          <w:vertAlign w:val="subscript"/>
        </w:rPr>
        <w:t>3</w:t>
      </w:r>
      <w:r w:rsidR="00DF21AE" w:rsidRPr="00DF21AE">
        <w:rPr>
          <w:rFonts w:ascii="Times New Roman" w:hAnsi="Times New Roman"/>
        </w:rPr>
        <w:t xml:space="preserve">_comm and 400C1h catalyst, can be associated with physisorbed TMPO. In turn, the signal centered in 60 ppm is often attributed to </w:t>
      </w:r>
      <w:r w:rsidR="003F7BCD">
        <w:rPr>
          <w:rFonts w:ascii="Times New Roman" w:hAnsi="Times New Roman"/>
        </w:rPr>
        <w:t>Lewis acid sites</w:t>
      </w:r>
      <w:r w:rsidR="00DF21AE" w:rsidRPr="00DF21AE">
        <w:rPr>
          <w:rFonts w:ascii="Times New Roman" w:hAnsi="Times New Roman"/>
        </w:rPr>
        <w:t xml:space="preserve">, presenting this sole contribution on metal oxides </w:t>
      </w:r>
      <w:r w:rsidR="00DF21AE">
        <w:rPr>
          <w:rFonts w:ascii="Times New Roman" w:hAnsi="Times New Roman"/>
        </w:rPr>
        <w:t>(</w:t>
      </w:r>
      <w:r w:rsidR="004C2FE6">
        <w:rPr>
          <w:rFonts w:ascii="Times New Roman" w:hAnsi="Times New Roman"/>
        </w:rPr>
        <w:t>22</w:t>
      </w:r>
      <w:r w:rsidR="00DF21AE">
        <w:rPr>
          <w:rFonts w:ascii="Times New Roman" w:hAnsi="Times New Roman"/>
        </w:rPr>
        <w:t>)</w:t>
      </w:r>
      <w:r w:rsidR="00DF21AE" w:rsidRPr="00DF21AE">
        <w:rPr>
          <w:rFonts w:ascii="Times New Roman" w:hAnsi="Times New Roman"/>
        </w:rPr>
        <w:t xml:space="preserve">. Finally, </w:t>
      </w:r>
      <w:r w:rsidR="003F7BCD" w:rsidRPr="00717D2E">
        <w:rPr>
          <w:rFonts w:ascii="Times New Roman" w:hAnsi="Times New Roman"/>
        </w:rPr>
        <w:t>Brønsted acid sites</w:t>
      </w:r>
      <w:r w:rsidR="00DF21AE" w:rsidRPr="00DF21AE">
        <w:rPr>
          <w:rFonts w:ascii="Times New Roman" w:hAnsi="Times New Roman"/>
        </w:rPr>
        <w:t xml:space="preserve"> can be found from close to 50 ppm to over 80 ppm, encompassing 4 possible contributions, B1 to B4, increasing in acid strength </w:t>
      </w:r>
      <w:r w:rsidR="00DF21AE">
        <w:rPr>
          <w:rFonts w:ascii="Times New Roman" w:hAnsi="Times New Roman"/>
        </w:rPr>
        <w:t>(</w:t>
      </w:r>
      <w:r w:rsidR="004C2FE6">
        <w:rPr>
          <w:rFonts w:ascii="Times New Roman" w:hAnsi="Times New Roman"/>
        </w:rPr>
        <w:t>21</w:t>
      </w:r>
      <w:r w:rsidR="00DF21AE">
        <w:rPr>
          <w:rFonts w:ascii="Times New Roman" w:hAnsi="Times New Roman"/>
        </w:rPr>
        <w:t>)</w:t>
      </w:r>
      <w:r w:rsidR="00DF21AE" w:rsidRPr="00DF21AE">
        <w:rPr>
          <w:rFonts w:ascii="Times New Roman" w:hAnsi="Times New Roman"/>
        </w:rPr>
        <w:t xml:space="preserve">. The analyzed samples showed all these contributions, however, the 350C6h catalyst clearly presented a larger percentage of stronger </w:t>
      </w:r>
      <w:r w:rsidR="003F7BCD" w:rsidRPr="00717D2E">
        <w:rPr>
          <w:rFonts w:ascii="Times New Roman" w:hAnsi="Times New Roman"/>
        </w:rPr>
        <w:t>Brønsted acid sites</w:t>
      </w:r>
      <w:r w:rsidR="00DF21AE" w:rsidRPr="00DF21AE">
        <w:rPr>
          <w:rFonts w:ascii="Times New Roman" w:hAnsi="Times New Roman"/>
        </w:rPr>
        <w:t xml:space="preserve"> (B2-B4), followed by 400C1h.</w:t>
      </w:r>
    </w:p>
    <w:p w14:paraId="19BEECA9" w14:textId="4B10B207" w:rsidR="003F7BCD" w:rsidRDefault="00DF21AE" w:rsidP="00C66631">
      <w:pPr>
        <w:pStyle w:val="TAMainText"/>
        <w:ind w:firstLine="187"/>
      </w:pPr>
      <w:r w:rsidRPr="00DF21AE">
        <w:rPr>
          <w:rFonts w:ascii="Times New Roman" w:hAnsi="Times New Roman"/>
        </w:rPr>
        <w:t xml:space="preserve">The total amount of </w:t>
      </w:r>
      <w:r w:rsidR="003F7BCD">
        <w:rPr>
          <w:rFonts w:ascii="Times New Roman" w:hAnsi="Times New Roman"/>
        </w:rPr>
        <w:t>acid sites</w:t>
      </w:r>
      <w:r w:rsidRPr="00DF21AE">
        <w:rPr>
          <w:rFonts w:ascii="Times New Roman" w:hAnsi="Times New Roman"/>
        </w:rPr>
        <w:t xml:space="preserve"> followed the order MoO</w:t>
      </w:r>
      <w:r w:rsidRPr="003F7BCD">
        <w:rPr>
          <w:rFonts w:ascii="Times New Roman" w:hAnsi="Times New Roman"/>
          <w:vertAlign w:val="subscript"/>
        </w:rPr>
        <w:t>3</w:t>
      </w:r>
      <w:r w:rsidRPr="00DF21AE">
        <w:rPr>
          <w:rFonts w:ascii="Times New Roman" w:hAnsi="Times New Roman"/>
        </w:rPr>
        <w:t xml:space="preserve">_comm &lt; 400C1h &lt; 350C6h, as shown in Table 1. </w:t>
      </w:r>
      <w:r w:rsidRPr="00DF21AE">
        <w:rPr>
          <w:rFonts w:ascii="Times New Roman" w:hAnsi="Times New Roman"/>
        </w:rPr>
        <w:t>Between MoO</w:t>
      </w:r>
      <w:r w:rsidRPr="003F7BCD">
        <w:rPr>
          <w:rFonts w:ascii="Times New Roman" w:hAnsi="Times New Roman"/>
          <w:vertAlign w:val="subscript"/>
        </w:rPr>
        <w:t>3</w:t>
      </w:r>
      <w:r w:rsidRPr="00DF21AE">
        <w:rPr>
          <w:rFonts w:ascii="Times New Roman" w:hAnsi="Times New Roman"/>
        </w:rPr>
        <w:t xml:space="preserve">_comm and 400C1h catalyst, the </w:t>
      </w:r>
      <w:r w:rsidR="003F7BCD">
        <w:rPr>
          <w:rFonts w:ascii="Times New Roman" w:hAnsi="Times New Roman"/>
        </w:rPr>
        <w:t>acid sites</w:t>
      </w:r>
      <w:r w:rsidRPr="00DF21AE">
        <w:rPr>
          <w:rFonts w:ascii="Times New Roman" w:hAnsi="Times New Roman"/>
        </w:rPr>
        <w:t xml:space="preserve"> increased by almost 3-fold, from 19 to 56 µmol g</w:t>
      </w:r>
      <w:r w:rsidRPr="003F7BCD">
        <w:rPr>
          <w:rFonts w:ascii="Times New Roman" w:hAnsi="Times New Roman"/>
          <w:vertAlign w:val="superscript"/>
        </w:rPr>
        <w:t>-1</w:t>
      </w:r>
      <w:r w:rsidRPr="00DF21AE">
        <w:rPr>
          <w:rFonts w:ascii="Times New Roman" w:hAnsi="Times New Roman"/>
        </w:rPr>
        <w:t xml:space="preserve">. The </w:t>
      </w:r>
      <w:r w:rsidR="003F7BCD" w:rsidRPr="00717D2E">
        <w:rPr>
          <w:rFonts w:ascii="Times New Roman" w:hAnsi="Times New Roman"/>
        </w:rPr>
        <w:t>Brønsted</w:t>
      </w:r>
      <w:r w:rsidR="003F7BCD">
        <w:rPr>
          <w:rFonts w:ascii="Times New Roman" w:hAnsi="Times New Roman"/>
        </w:rPr>
        <w:t xml:space="preserve">/Lewis </w:t>
      </w:r>
      <w:r w:rsidRPr="00DF21AE">
        <w:rPr>
          <w:rFonts w:ascii="Times New Roman" w:hAnsi="Times New Roman"/>
        </w:rPr>
        <w:t xml:space="preserve">ratios for these same samples were very similar and approached 1.0, showing that they present similar concentrations of </w:t>
      </w:r>
      <w:r w:rsidR="003F7BCD">
        <w:rPr>
          <w:rFonts w:ascii="Times New Roman" w:hAnsi="Times New Roman"/>
        </w:rPr>
        <w:t>both sites</w:t>
      </w:r>
      <w:r w:rsidRPr="00DF21AE">
        <w:rPr>
          <w:rFonts w:ascii="Times New Roman" w:hAnsi="Times New Roman"/>
        </w:rPr>
        <w:t>. In turn, 350C6h catalyst features 70 µmol g</w:t>
      </w:r>
      <w:r w:rsidRPr="003F7BCD">
        <w:rPr>
          <w:rFonts w:ascii="Times New Roman" w:hAnsi="Times New Roman"/>
          <w:vertAlign w:val="superscript"/>
        </w:rPr>
        <w:t>-1</w:t>
      </w:r>
      <w:r w:rsidRPr="00DF21AE">
        <w:rPr>
          <w:rFonts w:ascii="Times New Roman" w:hAnsi="Times New Roman"/>
        </w:rPr>
        <w:t>, which is about the concentration of the other two catalysts combined.</w:t>
      </w:r>
      <w:r w:rsidR="003F7BCD">
        <w:rPr>
          <w:rFonts w:ascii="Times New Roman" w:hAnsi="Times New Roman"/>
        </w:rPr>
        <w:t xml:space="preserve"> </w:t>
      </w:r>
      <w:r w:rsidRPr="00DF21AE">
        <w:rPr>
          <w:rFonts w:ascii="Times New Roman" w:hAnsi="Times New Roman"/>
        </w:rPr>
        <w:t>The most interesting feature of th</w:t>
      </w:r>
      <w:r w:rsidR="003F7BCD">
        <w:rPr>
          <w:rFonts w:ascii="Times New Roman" w:hAnsi="Times New Roman"/>
        </w:rPr>
        <w:t>is</w:t>
      </w:r>
      <w:r w:rsidRPr="00DF21AE">
        <w:rPr>
          <w:rFonts w:ascii="Times New Roman" w:hAnsi="Times New Roman"/>
        </w:rPr>
        <w:t xml:space="preserve"> sample, as already mentioned, is that the catalyst showed</w:t>
      </w:r>
      <w:r w:rsidR="003F7BCD">
        <w:rPr>
          <w:rFonts w:ascii="Times New Roman" w:hAnsi="Times New Roman"/>
        </w:rPr>
        <w:t xml:space="preserve"> </w:t>
      </w:r>
      <w:r w:rsidRPr="00DF21AE">
        <w:rPr>
          <w:rFonts w:ascii="Times New Roman" w:hAnsi="Times New Roman"/>
        </w:rPr>
        <w:t xml:space="preserve">a significant increase in stronger </w:t>
      </w:r>
      <w:r w:rsidR="003F7BCD" w:rsidRPr="00717D2E">
        <w:rPr>
          <w:rFonts w:ascii="Times New Roman" w:hAnsi="Times New Roman"/>
        </w:rPr>
        <w:t>Brønsted acid sites</w:t>
      </w:r>
      <w:r w:rsidRPr="00DF21AE">
        <w:rPr>
          <w:rFonts w:ascii="Times New Roman" w:hAnsi="Times New Roman"/>
        </w:rPr>
        <w:t xml:space="preserve"> after exposure to acetone HDO atmosphere.</w:t>
      </w:r>
      <w:r w:rsidR="003F7BCD">
        <w:rPr>
          <w:rFonts w:ascii="Times New Roman" w:hAnsi="Times New Roman"/>
        </w:rPr>
        <w:t xml:space="preserve"> </w:t>
      </w:r>
      <w:r w:rsidRPr="00DF21AE">
        <w:rPr>
          <w:rFonts w:ascii="Times New Roman" w:hAnsi="Times New Roman"/>
        </w:rPr>
        <w:t xml:space="preserve">The ratio between </w:t>
      </w:r>
      <w:r w:rsidR="003F7BCD">
        <w:rPr>
          <w:rFonts w:ascii="Times New Roman" w:hAnsi="Times New Roman"/>
        </w:rPr>
        <w:t>stronger and weaker</w:t>
      </w:r>
      <w:r w:rsidRPr="00DF21AE">
        <w:rPr>
          <w:rFonts w:ascii="Times New Roman" w:hAnsi="Times New Roman"/>
        </w:rPr>
        <w:t xml:space="preserve"> sites showed that 400C1h has about three times stronger acid sites than MoO</w:t>
      </w:r>
      <w:r w:rsidRPr="003F7BCD">
        <w:rPr>
          <w:rFonts w:ascii="Times New Roman" w:hAnsi="Times New Roman"/>
          <w:vertAlign w:val="subscript"/>
        </w:rPr>
        <w:t>3</w:t>
      </w:r>
      <w:r w:rsidRPr="00DF21AE">
        <w:rPr>
          <w:rFonts w:ascii="Times New Roman" w:hAnsi="Times New Roman"/>
        </w:rPr>
        <w:t>_comm, while 350C6h has ten times as many</w:t>
      </w:r>
      <w:r w:rsidR="00A0141E">
        <w:rPr>
          <w:rFonts w:ascii="Times New Roman" w:hAnsi="Times New Roman"/>
        </w:rPr>
        <w:t xml:space="preserve"> (Table 1)</w:t>
      </w:r>
      <w:r w:rsidRPr="00DF21AE">
        <w:rPr>
          <w:rFonts w:ascii="Times New Roman" w:hAnsi="Times New Roman"/>
        </w:rPr>
        <w:t xml:space="preserve">. Thus, it is plausible to infer that the stronger </w:t>
      </w:r>
      <w:r w:rsidR="003F7BCD" w:rsidRPr="00717D2E">
        <w:rPr>
          <w:rFonts w:ascii="Times New Roman" w:hAnsi="Times New Roman"/>
        </w:rPr>
        <w:t>Brønsted acid sites</w:t>
      </w:r>
      <w:r w:rsidRPr="00DF21AE">
        <w:rPr>
          <w:rFonts w:ascii="Times New Roman" w:hAnsi="Times New Roman"/>
        </w:rPr>
        <w:t xml:space="preserve"> are related to the formation of the oxycarbide phases.</w:t>
      </w:r>
      <w:r w:rsidR="003F7BCD" w:rsidRPr="003F7BCD">
        <w:t xml:space="preserve"> </w:t>
      </w:r>
    </w:p>
    <w:p w14:paraId="68A1A18B" w14:textId="3800EEA4" w:rsidR="00DF21AE" w:rsidRDefault="0068203B" w:rsidP="00C66631">
      <w:pPr>
        <w:pStyle w:val="TAMainText"/>
        <w:ind w:firstLine="187"/>
        <w:rPr>
          <w:rFonts w:ascii="Times New Roman" w:hAnsi="Times New Roman"/>
        </w:rPr>
      </w:pPr>
      <w:r w:rsidRPr="00D52F8F">
        <w:rPr>
          <w:rFonts w:ascii="Times New Roman" w:hAnsi="Times New Roman"/>
          <w:noProof/>
          <w:sz w:val="24"/>
          <w:szCs w:val="24"/>
        </w:rPr>
        <w:drawing>
          <wp:anchor distT="0" distB="0" distL="114300" distR="114300" simplePos="0" relativeHeight="251663359" behindDoc="0" locked="0" layoutInCell="1" allowOverlap="1" wp14:anchorId="5372E35E" wp14:editId="1F0D4D05">
            <wp:simplePos x="0" y="0"/>
            <wp:positionH relativeFrom="column">
              <wp:posOffset>345440</wp:posOffset>
            </wp:positionH>
            <wp:positionV relativeFrom="paragraph">
              <wp:posOffset>939165</wp:posOffset>
            </wp:positionV>
            <wp:extent cx="2425065" cy="2057400"/>
            <wp:effectExtent l="0" t="0" r="0" b="0"/>
            <wp:wrapTopAndBottom/>
            <wp:docPr id="16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2" cstate="print">
                      <a:extLst>
                        <a:ext uri="{28A0092B-C50C-407E-A947-70E740481C1C}">
                          <a14:useLocalDpi xmlns:a14="http://schemas.microsoft.com/office/drawing/2010/main" val="0"/>
                        </a:ext>
                      </a:extLst>
                    </a:blip>
                    <a:srcRect b="-1887"/>
                    <a:stretch/>
                  </pic:blipFill>
                  <pic:spPr bwMode="auto">
                    <a:xfrm>
                      <a:off x="0" y="0"/>
                      <a:ext cx="2425065" cy="205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BCD" w:rsidRPr="003F7BCD">
        <w:rPr>
          <w:rFonts w:ascii="Times New Roman" w:hAnsi="Times New Roman"/>
        </w:rPr>
        <w:t>The reduction/carburization over MoO</w:t>
      </w:r>
      <w:r w:rsidR="003F7BCD" w:rsidRPr="003F7BCD">
        <w:rPr>
          <w:rFonts w:ascii="Times New Roman" w:hAnsi="Times New Roman"/>
          <w:vertAlign w:val="subscript"/>
        </w:rPr>
        <w:t>3</w:t>
      </w:r>
      <w:r w:rsidR="003F7BCD" w:rsidRPr="003F7BCD">
        <w:rPr>
          <w:rFonts w:ascii="Times New Roman" w:hAnsi="Times New Roman"/>
        </w:rPr>
        <w:t xml:space="preserve"> continually alters the surface properties. In this case, the poorly ordered MoO</w:t>
      </w:r>
      <w:r w:rsidR="003F7BCD" w:rsidRPr="003F7BCD">
        <w:rPr>
          <w:rFonts w:ascii="Times New Roman" w:hAnsi="Times New Roman"/>
          <w:vertAlign w:val="subscript"/>
        </w:rPr>
        <w:t>x</w:t>
      </w:r>
      <w:r w:rsidR="003F7BCD" w:rsidRPr="003F7BCD">
        <w:rPr>
          <w:rFonts w:ascii="Times New Roman" w:hAnsi="Times New Roman"/>
        </w:rPr>
        <w:t>C</w:t>
      </w:r>
      <w:r w:rsidR="003F7BCD" w:rsidRPr="003F7BCD">
        <w:rPr>
          <w:rFonts w:ascii="Times New Roman" w:hAnsi="Times New Roman"/>
          <w:vertAlign w:val="subscript"/>
        </w:rPr>
        <w:t>y</w:t>
      </w:r>
      <w:r w:rsidR="003F7BCD" w:rsidRPr="003F7BCD">
        <w:rPr>
          <w:rFonts w:ascii="Times New Roman" w:hAnsi="Times New Roman"/>
        </w:rPr>
        <w:t xml:space="preserve"> structure, or even a more amorphous phase, combined with the less polarized C-Mo bonds should increase the concentration and acidity of </w:t>
      </w:r>
      <w:r w:rsidR="003F7BCD" w:rsidRPr="00717D2E">
        <w:rPr>
          <w:rFonts w:ascii="Times New Roman" w:hAnsi="Times New Roman"/>
        </w:rPr>
        <w:t>Brønsted acid sites</w:t>
      </w:r>
      <w:r w:rsidR="003F7BCD" w:rsidRPr="003F7BCD">
        <w:rPr>
          <w:rFonts w:ascii="Times New Roman" w:hAnsi="Times New Roman"/>
        </w:rPr>
        <w:t>, as seen for the 350C6h and 400C1h catalysts.</w:t>
      </w:r>
    </w:p>
    <w:p w14:paraId="4E8E4BF8" w14:textId="6074EBE4" w:rsidR="00A17A53" w:rsidRPr="00841E12" w:rsidRDefault="00A17A53" w:rsidP="0068203B">
      <w:pPr>
        <w:pStyle w:val="TAMainText"/>
        <w:ind w:firstLine="0"/>
        <w:rPr>
          <w:rFonts w:ascii="Times New Roman" w:hAnsi="Times New Roman"/>
        </w:rPr>
      </w:pPr>
      <w:r>
        <w:rPr>
          <w:rFonts w:ascii="Times New Roman" w:hAnsi="Times New Roman"/>
          <w:b/>
        </w:rPr>
        <w:t>F</w:t>
      </w:r>
      <w:r w:rsidRPr="00841E12">
        <w:rPr>
          <w:rFonts w:ascii="Times New Roman" w:hAnsi="Times New Roman"/>
          <w:b/>
        </w:rPr>
        <w:t xml:space="preserve">igure </w:t>
      </w:r>
      <w:r>
        <w:rPr>
          <w:rFonts w:ascii="Times New Roman" w:hAnsi="Times New Roman"/>
          <w:b/>
        </w:rPr>
        <w:t>3</w:t>
      </w:r>
      <w:r w:rsidRPr="00841E12">
        <w:rPr>
          <w:rFonts w:ascii="Times New Roman" w:hAnsi="Times New Roman"/>
          <w:b/>
        </w:rPr>
        <w:t>.</w:t>
      </w:r>
      <w:r>
        <w:rPr>
          <w:rFonts w:ascii="Times New Roman" w:hAnsi="Times New Roman"/>
        </w:rPr>
        <w:t xml:space="preserve"> </w:t>
      </w:r>
      <w:r w:rsidRPr="00A17A53">
        <w:rPr>
          <w:rFonts w:ascii="Times New Roman" w:hAnsi="Times New Roman"/>
          <w:vertAlign w:val="superscript"/>
        </w:rPr>
        <w:t>31</w:t>
      </w:r>
      <w:r w:rsidRPr="00A17A53">
        <w:rPr>
          <w:rFonts w:ascii="Times New Roman" w:hAnsi="Times New Roman"/>
        </w:rPr>
        <w:t>P NMR spectra of adsorbed TMPO on: (bottom) MoO</w:t>
      </w:r>
      <w:r w:rsidRPr="00A17A53">
        <w:rPr>
          <w:rFonts w:ascii="Times New Roman" w:hAnsi="Times New Roman"/>
          <w:vertAlign w:val="subscript"/>
        </w:rPr>
        <w:t>3</w:t>
      </w:r>
      <w:r w:rsidRPr="00A17A53">
        <w:rPr>
          <w:rFonts w:ascii="Times New Roman" w:hAnsi="Times New Roman"/>
        </w:rPr>
        <w:t>_comm</w:t>
      </w:r>
      <w:r w:rsidR="003F7C43">
        <w:rPr>
          <w:rFonts w:ascii="Times New Roman" w:hAnsi="Times New Roman"/>
        </w:rPr>
        <w:t xml:space="preserve"> (as received)</w:t>
      </w:r>
      <w:r w:rsidRPr="00A17A53">
        <w:rPr>
          <w:rFonts w:ascii="Times New Roman" w:hAnsi="Times New Roman"/>
        </w:rPr>
        <w:t>,</w:t>
      </w:r>
      <w:r w:rsidR="003F7C43">
        <w:rPr>
          <w:rFonts w:ascii="Times New Roman" w:hAnsi="Times New Roman"/>
        </w:rPr>
        <w:t xml:space="preserve"> and</w:t>
      </w:r>
      <w:r w:rsidRPr="00A17A53">
        <w:rPr>
          <w:rFonts w:ascii="Times New Roman" w:hAnsi="Times New Roman"/>
        </w:rPr>
        <w:t xml:space="preserve"> (middle) 350C6h, and (top) 400C6h catalysts after acetone HDO reaction.</w:t>
      </w:r>
    </w:p>
    <w:p w14:paraId="1C1BE2AD" w14:textId="198C5074" w:rsidR="00C66631" w:rsidRDefault="00C66631" w:rsidP="00A17A53">
      <w:pPr>
        <w:pStyle w:val="TAMainText"/>
        <w:ind w:firstLine="0"/>
        <w:rPr>
          <w:rFonts w:ascii="Times New Roman" w:hAnsi="Times New Roman"/>
        </w:rPr>
      </w:pPr>
    </w:p>
    <w:p w14:paraId="292D640E" w14:textId="47059F85" w:rsidR="00A17A53" w:rsidRPr="003F7C43" w:rsidRDefault="00A17A53" w:rsidP="00A17A53">
      <w:pPr>
        <w:pStyle w:val="VDTableTitle"/>
        <w:spacing w:after="120"/>
        <w:jc w:val="both"/>
        <w:rPr>
          <w:rFonts w:ascii="Times New Roman" w:hAnsi="Times New Roman"/>
        </w:rPr>
      </w:pPr>
      <w:r w:rsidRPr="003F7C43">
        <w:rPr>
          <w:rFonts w:ascii="Times New Roman" w:hAnsi="Times New Roman"/>
          <w:b/>
        </w:rPr>
        <w:t>Tab</w:t>
      </w:r>
      <w:r w:rsidR="003F7C43">
        <w:rPr>
          <w:rFonts w:ascii="Times New Roman" w:hAnsi="Times New Roman"/>
          <w:b/>
        </w:rPr>
        <w:t>le</w:t>
      </w:r>
      <w:r w:rsidRPr="003F7C43">
        <w:rPr>
          <w:rFonts w:ascii="Times New Roman" w:hAnsi="Times New Roman"/>
          <w:b/>
        </w:rPr>
        <w:t xml:space="preserve"> 1.</w:t>
      </w:r>
      <w:r w:rsidRPr="003F7C43">
        <w:rPr>
          <w:rFonts w:ascii="Times New Roman" w:hAnsi="Times New Roman"/>
        </w:rPr>
        <w:t xml:space="preserve"> </w:t>
      </w:r>
      <w:r w:rsidR="003F7C43" w:rsidRPr="003F7C43">
        <w:rPr>
          <w:rFonts w:ascii="Times New Roman" w:hAnsi="Times New Roman"/>
        </w:rPr>
        <w:t>Acid data of MoO</w:t>
      </w:r>
      <w:r w:rsidR="003F7C43" w:rsidRPr="003F7C43">
        <w:rPr>
          <w:rFonts w:ascii="Times New Roman" w:hAnsi="Times New Roman"/>
          <w:vertAlign w:val="subscript"/>
        </w:rPr>
        <w:t>3</w:t>
      </w:r>
      <w:r w:rsidR="003F7C43" w:rsidRPr="003F7C43">
        <w:rPr>
          <w:rFonts w:ascii="Times New Roman" w:hAnsi="Times New Roman"/>
        </w:rPr>
        <w:t>_comm</w:t>
      </w:r>
      <w:r w:rsidR="003F7C43">
        <w:rPr>
          <w:rFonts w:ascii="Times New Roman" w:hAnsi="Times New Roman"/>
        </w:rPr>
        <w:t xml:space="preserve"> (as received)</w:t>
      </w:r>
      <w:r w:rsidR="003F7C43" w:rsidRPr="003F7C43">
        <w:rPr>
          <w:rFonts w:ascii="Times New Roman" w:hAnsi="Times New Roman"/>
        </w:rPr>
        <w:t>,</w:t>
      </w:r>
      <w:r w:rsidR="003F7C43">
        <w:rPr>
          <w:rFonts w:ascii="Times New Roman" w:hAnsi="Times New Roman"/>
        </w:rPr>
        <w:t xml:space="preserve"> and</w:t>
      </w:r>
      <w:r w:rsidR="003F7C43" w:rsidRPr="003F7C43">
        <w:rPr>
          <w:rFonts w:ascii="Times New Roman" w:hAnsi="Times New Roman"/>
        </w:rPr>
        <w:t xml:space="preserve"> 350C6h and 400C1h catalysts after acetone HDO reaction.</w:t>
      </w:r>
    </w:p>
    <w:tbl>
      <w:tblPr>
        <w:tblW w:w="482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6"/>
        <w:gridCol w:w="242"/>
        <w:gridCol w:w="788"/>
        <w:gridCol w:w="886"/>
        <w:gridCol w:w="390"/>
        <w:gridCol w:w="496"/>
        <w:gridCol w:w="886"/>
        <w:gridCol w:w="886"/>
      </w:tblGrid>
      <w:tr w:rsidR="0068203B" w:rsidRPr="00072C7A" w14:paraId="19343EB1" w14:textId="77777777" w:rsidTr="004C2FE6">
        <w:trPr>
          <w:trHeight w:val="364"/>
        </w:trPr>
        <w:tc>
          <w:tcPr>
            <w:tcW w:w="1276" w:type="dxa"/>
            <w:gridSpan w:val="3"/>
            <w:vAlign w:val="center"/>
          </w:tcPr>
          <w:p w14:paraId="4D642F79" w14:textId="2AEE3B2E" w:rsidR="0068203B" w:rsidRPr="00AD4A83" w:rsidRDefault="0068203B" w:rsidP="00831A4F">
            <w:pPr>
              <w:pStyle w:val="TCTableBody"/>
              <w:spacing w:after="0" w:line="240" w:lineRule="auto"/>
              <w:jc w:val="center"/>
              <w:rPr>
                <w:b/>
                <w:bCs/>
                <w:lang w:val="pt-BR"/>
              </w:rPr>
            </w:pPr>
            <w:r w:rsidRPr="00AD4A83">
              <w:rPr>
                <w:b/>
                <w:bCs/>
                <w:lang w:val="pt-BR"/>
              </w:rPr>
              <w:t>Sample</w:t>
            </w:r>
          </w:p>
        </w:tc>
        <w:tc>
          <w:tcPr>
            <w:tcW w:w="886" w:type="dxa"/>
            <w:vAlign w:val="center"/>
          </w:tcPr>
          <w:p w14:paraId="177E0C40" w14:textId="069467B3" w:rsidR="0068203B" w:rsidRPr="00AD4A83" w:rsidRDefault="0068203B" w:rsidP="00831A4F">
            <w:pPr>
              <w:pStyle w:val="TCTableBody"/>
              <w:spacing w:after="0" w:line="240" w:lineRule="auto"/>
              <w:jc w:val="center"/>
              <w:rPr>
                <w:b/>
                <w:bCs/>
                <w:lang w:val="pt-BR"/>
              </w:rPr>
            </w:pPr>
            <w:r w:rsidRPr="00AD4A83">
              <w:rPr>
                <w:b/>
                <w:bCs/>
                <w:lang w:val="pt-BR"/>
              </w:rPr>
              <w:t>AS</w:t>
            </w:r>
            <w:r w:rsidRPr="00AD4A83">
              <w:rPr>
                <w:b/>
                <w:bCs/>
                <w:vertAlign w:val="superscript"/>
                <w:lang w:val="pt-BR"/>
              </w:rPr>
              <w:t>a,b</w:t>
            </w:r>
          </w:p>
        </w:tc>
        <w:tc>
          <w:tcPr>
            <w:tcW w:w="886" w:type="dxa"/>
            <w:gridSpan w:val="2"/>
            <w:vAlign w:val="center"/>
          </w:tcPr>
          <w:p w14:paraId="59A8BE2D" w14:textId="2A661DF0" w:rsidR="0068203B" w:rsidRPr="00AD4A83" w:rsidRDefault="0068203B" w:rsidP="00831A4F">
            <w:pPr>
              <w:pStyle w:val="TCTableBody"/>
              <w:spacing w:after="0" w:line="240" w:lineRule="auto"/>
              <w:jc w:val="center"/>
              <w:rPr>
                <w:b/>
                <w:bCs/>
                <w:lang w:val="pt-BR"/>
              </w:rPr>
            </w:pPr>
            <w:r w:rsidRPr="00AD4A83">
              <w:rPr>
                <w:b/>
                <w:bCs/>
                <w:lang w:val="pt-BR"/>
              </w:rPr>
              <w:t>BAS</w:t>
            </w:r>
            <w:r w:rsidRPr="00AD4A83">
              <w:rPr>
                <w:b/>
                <w:bCs/>
                <w:vertAlign w:val="superscript"/>
                <w:lang w:val="pt-BR"/>
              </w:rPr>
              <w:t>a,b</w:t>
            </w:r>
          </w:p>
        </w:tc>
        <w:tc>
          <w:tcPr>
            <w:tcW w:w="886" w:type="dxa"/>
            <w:vAlign w:val="center"/>
          </w:tcPr>
          <w:p w14:paraId="5F920E50" w14:textId="2A9739E2" w:rsidR="0068203B" w:rsidRPr="00AD4A83" w:rsidRDefault="0068203B" w:rsidP="00831A4F">
            <w:pPr>
              <w:pStyle w:val="TCTableBody"/>
              <w:spacing w:after="0" w:line="240" w:lineRule="auto"/>
              <w:jc w:val="center"/>
              <w:rPr>
                <w:b/>
                <w:bCs/>
                <w:lang w:val="pt-BR"/>
              </w:rPr>
            </w:pPr>
            <w:r w:rsidRPr="00AD4A83">
              <w:rPr>
                <w:b/>
                <w:bCs/>
                <w:lang w:val="pt-BR"/>
              </w:rPr>
              <w:t>LAS</w:t>
            </w:r>
            <w:r w:rsidRPr="00AD4A83">
              <w:rPr>
                <w:b/>
                <w:bCs/>
                <w:vertAlign w:val="superscript"/>
                <w:lang w:val="pt-BR"/>
              </w:rPr>
              <w:t>a,b</w:t>
            </w:r>
          </w:p>
        </w:tc>
        <w:tc>
          <w:tcPr>
            <w:tcW w:w="886" w:type="dxa"/>
            <w:vAlign w:val="center"/>
          </w:tcPr>
          <w:p w14:paraId="75D36ADE" w14:textId="0A28F5D1" w:rsidR="0068203B" w:rsidRPr="00AD4A83" w:rsidRDefault="0068203B" w:rsidP="00831A4F">
            <w:pPr>
              <w:pStyle w:val="TCTableBody"/>
              <w:spacing w:after="0" w:line="240" w:lineRule="auto"/>
              <w:jc w:val="center"/>
              <w:rPr>
                <w:b/>
                <w:bCs/>
                <w:lang w:val="pt-BR"/>
              </w:rPr>
            </w:pPr>
            <w:r w:rsidRPr="00AD4A83">
              <w:rPr>
                <w:b/>
                <w:bCs/>
                <w:lang w:val="pt-BR"/>
              </w:rPr>
              <w:t>SB/WB</w:t>
            </w:r>
            <w:r w:rsidRPr="00AD4A83">
              <w:rPr>
                <w:b/>
                <w:bCs/>
                <w:vertAlign w:val="superscript"/>
                <w:lang w:val="pt-BR"/>
              </w:rPr>
              <w:t>b</w:t>
            </w:r>
          </w:p>
        </w:tc>
      </w:tr>
      <w:tr w:rsidR="0068203B" w:rsidRPr="00072C7A" w14:paraId="2D668D78" w14:textId="77777777" w:rsidTr="004C2FE6">
        <w:trPr>
          <w:trHeight w:val="381"/>
        </w:trPr>
        <w:tc>
          <w:tcPr>
            <w:tcW w:w="1276" w:type="dxa"/>
            <w:gridSpan w:val="3"/>
            <w:tcBorders>
              <w:bottom w:val="single" w:sz="6" w:space="0" w:color="auto"/>
            </w:tcBorders>
            <w:vAlign w:val="center"/>
          </w:tcPr>
          <w:p w14:paraId="0455DCB4" w14:textId="794F8FC3" w:rsidR="0068203B" w:rsidRPr="00AD4A83" w:rsidRDefault="0068203B" w:rsidP="00831A4F">
            <w:pPr>
              <w:pStyle w:val="TCTableBody"/>
              <w:spacing w:after="0" w:line="240" w:lineRule="auto"/>
              <w:jc w:val="center"/>
              <w:rPr>
                <w:b/>
                <w:bCs/>
                <w:lang w:val="pt-BR"/>
              </w:rPr>
            </w:pPr>
            <w:r w:rsidRPr="00AD4A83">
              <w:rPr>
                <w:b/>
                <w:bCs/>
                <w:lang w:val="pt-BR"/>
              </w:rPr>
              <w:t>MoO3_comm</w:t>
            </w:r>
          </w:p>
        </w:tc>
        <w:tc>
          <w:tcPr>
            <w:tcW w:w="886" w:type="dxa"/>
            <w:tcBorders>
              <w:bottom w:val="single" w:sz="6" w:space="0" w:color="auto"/>
            </w:tcBorders>
            <w:vAlign w:val="center"/>
          </w:tcPr>
          <w:p w14:paraId="6D00950B" w14:textId="33D490FD" w:rsidR="0068203B" w:rsidRDefault="0068203B" w:rsidP="00831A4F">
            <w:pPr>
              <w:pStyle w:val="TCTableBody"/>
              <w:spacing w:after="0" w:line="240" w:lineRule="auto"/>
              <w:jc w:val="center"/>
              <w:rPr>
                <w:lang w:val="pt-BR"/>
              </w:rPr>
            </w:pPr>
            <w:r>
              <w:rPr>
                <w:lang w:val="pt-BR"/>
              </w:rPr>
              <w:t>19</w:t>
            </w:r>
          </w:p>
        </w:tc>
        <w:tc>
          <w:tcPr>
            <w:tcW w:w="886" w:type="dxa"/>
            <w:gridSpan w:val="2"/>
            <w:tcBorders>
              <w:bottom w:val="single" w:sz="6" w:space="0" w:color="auto"/>
            </w:tcBorders>
            <w:vAlign w:val="center"/>
          </w:tcPr>
          <w:p w14:paraId="4A62B4EA" w14:textId="16EC0934" w:rsidR="0068203B" w:rsidRDefault="0068203B" w:rsidP="00831A4F">
            <w:pPr>
              <w:pStyle w:val="TCTableBody"/>
              <w:spacing w:after="0" w:line="240" w:lineRule="auto"/>
              <w:jc w:val="center"/>
              <w:rPr>
                <w:lang w:val="pt-BR"/>
              </w:rPr>
            </w:pPr>
            <w:r>
              <w:rPr>
                <w:lang w:val="pt-BR"/>
              </w:rPr>
              <w:t>10</w:t>
            </w:r>
          </w:p>
        </w:tc>
        <w:tc>
          <w:tcPr>
            <w:tcW w:w="886" w:type="dxa"/>
            <w:tcBorders>
              <w:bottom w:val="single" w:sz="6" w:space="0" w:color="auto"/>
            </w:tcBorders>
            <w:vAlign w:val="center"/>
          </w:tcPr>
          <w:p w14:paraId="063DA2F4" w14:textId="7829D426" w:rsidR="0068203B" w:rsidRDefault="0068203B" w:rsidP="00831A4F">
            <w:pPr>
              <w:pStyle w:val="TCTableBody"/>
              <w:spacing w:after="0" w:line="240" w:lineRule="auto"/>
              <w:jc w:val="center"/>
              <w:rPr>
                <w:lang w:val="pt-BR"/>
              </w:rPr>
            </w:pPr>
            <w:r>
              <w:rPr>
                <w:lang w:val="pt-BR"/>
              </w:rPr>
              <w:t>9</w:t>
            </w:r>
          </w:p>
        </w:tc>
        <w:tc>
          <w:tcPr>
            <w:tcW w:w="886" w:type="dxa"/>
            <w:tcBorders>
              <w:bottom w:val="single" w:sz="6" w:space="0" w:color="auto"/>
            </w:tcBorders>
            <w:vAlign w:val="center"/>
          </w:tcPr>
          <w:p w14:paraId="133DBD5B" w14:textId="45EF826E" w:rsidR="0068203B" w:rsidRDefault="0068203B" w:rsidP="00831A4F">
            <w:pPr>
              <w:pStyle w:val="TCTableBody"/>
              <w:spacing w:after="0" w:line="240" w:lineRule="auto"/>
              <w:jc w:val="center"/>
              <w:rPr>
                <w:lang w:val="pt-BR"/>
              </w:rPr>
            </w:pPr>
            <w:r>
              <w:rPr>
                <w:lang w:val="pt-BR"/>
              </w:rPr>
              <w:t>1.9</w:t>
            </w:r>
          </w:p>
        </w:tc>
      </w:tr>
      <w:tr w:rsidR="0068203B" w:rsidRPr="00072C7A" w14:paraId="20AE9546" w14:textId="77777777" w:rsidTr="004C2FE6">
        <w:trPr>
          <w:trHeight w:val="381"/>
        </w:trPr>
        <w:tc>
          <w:tcPr>
            <w:tcW w:w="1276" w:type="dxa"/>
            <w:gridSpan w:val="3"/>
            <w:tcBorders>
              <w:bottom w:val="single" w:sz="6" w:space="0" w:color="auto"/>
            </w:tcBorders>
            <w:vAlign w:val="center"/>
          </w:tcPr>
          <w:p w14:paraId="49FA7320" w14:textId="073A29BD" w:rsidR="0068203B" w:rsidRPr="00AD4A83" w:rsidRDefault="0068203B" w:rsidP="00831A4F">
            <w:pPr>
              <w:pStyle w:val="TCTableBody"/>
              <w:spacing w:after="0" w:line="240" w:lineRule="auto"/>
              <w:jc w:val="center"/>
              <w:rPr>
                <w:b/>
                <w:bCs/>
                <w:lang w:val="pt-BR"/>
              </w:rPr>
            </w:pPr>
            <w:r w:rsidRPr="00AD4A83">
              <w:rPr>
                <w:b/>
                <w:bCs/>
                <w:lang w:val="pt-BR"/>
              </w:rPr>
              <w:t>350C6h</w:t>
            </w:r>
          </w:p>
        </w:tc>
        <w:tc>
          <w:tcPr>
            <w:tcW w:w="886" w:type="dxa"/>
            <w:tcBorders>
              <w:bottom w:val="single" w:sz="6" w:space="0" w:color="auto"/>
            </w:tcBorders>
            <w:vAlign w:val="center"/>
          </w:tcPr>
          <w:p w14:paraId="281F6F17" w14:textId="16AA53F3" w:rsidR="0068203B" w:rsidRDefault="0068203B" w:rsidP="00831A4F">
            <w:pPr>
              <w:pStyle w:val="TCTableBody"/>
              <w:spacing w:after="0" w:line="240" w:lineRule="auto"/>
              <w:jc w:val="center"/>
              <w:rPr>
                <w:lang w:val="pt-BR"/>
              </w:rPr>
            </w:pPr>
            <w:r>
              <w:rPr>
                <w:lang w:val="pt-BR"/>
              </w:rPr>
              <w:t>70</w:t>
            </w:r>
          </w:p>
        </w:tc>
        <w:tc>
          <w:tcPr>
            <w:tcW w:w="886" w:type="dxa"/>
            <w:gridSpan w:val="2"/>
            <w:tcBorders>
              <w:bottom w:val="single" w:sz="6" w:space="0" w:color="auto"/>
            </w:tcBorders>
            <w:vAlign w:val="center"/>
          </w:tcPr>
          <w:p w14:paraId="58F57E60" w14:textId="3DDC58DC" w:rsidR="0068203B" w:rsidRDefault="0068203B" w:rsidP="00831A4F">
            <w:pPr>
              <w:pStyle w:val="TCTableBody"/>
              <w:spacing w:after="0" w:line="240" w:lineRule="auto"/>
              <w:jc w:val="center"/>
              <w:rPr>
                <w:lang w:val="pt-BR"/>
              </w:rPr>
            </w:pPr>
            <w:r>
              <w:rPr>
                <w:lang w:val="pt-BR"/>
              </w:rPr>
              <w:t>48</w:t>
            </w:r>
          </w:p>
        </w:tc>
        <w:tc>
          <w:tcPr>
            <w:tcW w:w="886" w:type="dxa"/>
            <w:tcBorders>
              <w:bottom w:val="single" w:sz="6" w:space="0" w:color="auto"/>
            </w:tcBorders>
            <w:vAlign w:val="center"/>
          </w:tcPr>
          <w:p w14:paraId="5CFE0B7B" w14:textId="1A99FF57" w:rsidR="0068203B" w:rsidRDefault="0068203B" w:rsidP="00831A4F">
            <w:pPr>
              <w:pStyle w:val="TCTableBody"/>
              <w:spacing w:after="0" w:line="240" w:lineRule="auto"/>
              <w:jc w:val="center"/>
              <w:rPr>
                <w:lang w:val="pt-BR"/>
              </w:rPr>
            </w:pPr>
            <w:r>
              <w:rPr>
                <w:lang w:val="pt-BR"/>
              </w:rPr>
              <w:t>22</w:t>
            </w:r>
          </w:p>
        </w:tc>
        <w:tc>
          <w:tcPr>
            <w:tcW w:w="886" w:type="dxa"/>
            <w:tcBorders>
              <w:bottom w:val="single" w:sz="6" w:space="0" w:color="auto"/>
            </w:tcBorders>
            <w:vAlign w:val="center"/>
          </w:tcPr>
          <w:p w14:paraId="60FD2EC3" w14:textId="5FCA2266" w:rsidR="0068203B" w:rsidRDefault="0068203B" w:rsidP="00831A4F">
            <w:pPr>
              <w:pStyle w:val="TCTableBody"/>
              <w:spacing w:after="0" w:line="240" w:lineRule="auto"/>
              <w:jc w:val="center"/>
              <w:rPr>
                <w:lang w:val="pt-BR"/>
              </w:rPr>
            </w:pPr>
            <w:r>
              <w:rPr>
                <w:lang w:val="pt-BR"/>
              </w:rPr>
              <w:t>19.5</w:t>
            </w:r>
          </w:p>
        </w:tc>
      </w:tr>
      <w:tr w:rsidR="0068203B" w:rsidRPr="00072C7A" w14:paraId="0EB4801B" w14:textId="77777777" w:rsidTr="004C2FE6">
        <w:trPr>
          <w:trHeight w:val="381"/>
        </w:trPr>
        <w:tc>
          <w:tcPr>
            <w:tcW w:w="1276" w:type="dxa"/>
            <w:gridSpan w:val="3"/>
            <w:tcBorders>
              <w:bottom w:val="single" w:sz="6" w:space="0" w:color="auto"/>
            </w:tcBorders>
            <w:vAlign w:val="center"/>
          </w:tcPr>
          <w:p w14:paraId="64A17079" w14:textId="4D5F00DD" w:rsidR="0068203B" w:rsidRPr="00AD4A83" w:rsidRDefault="0068203B" w:rsidP="00831A4F">
            <w:pPr>
              <w:pStyle w:val="TCTableBody"/>
              <w:spacing w:after="0" w:line="240" w:lineRule="auto"/>
              <w:jc w:val="center"/>
              <w:rPr>
                <w:b/>
                <w:bCs/>
                <w:lang w:val="pt-BR"/>
              </w:rPr>
            </w:pPr>
            <w:r w:rsidRPr="00AD4A83">
              <w:rPr>
                <w:b/>
                <w:bCs/>
                <w:lang w:val="pt-BR"/>
              </w:rPr>
              <w:t>400C6h</w:t>
            </w:r>
          </w:p>
        </w:tc>
        <w:tc>
          <w:tcPr>
            <w:tcW w:w="886" w:type="dxa"/>
            <w:tcBorders>
              <w:bottom w:val="single" w:sz="6" w:space="0" w:color="auto"/>
            </w:tcBorders>
            <w:vAlign w:val="center"/>
          </w:tcPr>
          <w:p w14:paraId="2064CE31" w14:textId="2005B962" w:rsidR="0068203B" w:rsidRDefault="0068203B" w:rsidP="00831A4F">
            <w:pPr>
              <w:pStyle w:val="TCTableBody"/>
              <w:spacing w:after="0" w:line="240" w:lineRule="auto"/>
              <w:jc w:val="center"/>
              <w:rPr>
                <w:lang w:val="pt-BR"/>
              </w:rPr>
            </w:pPr>
            <w:r>
              <w:rPr>
                <w:lang w:val="pt-BR"/>
              </w:rPr>
              <w:t>56</w:t>
            </w:r>
          </w:p>
        </w:tc>
        <w:tc>
          <w:tcPr>
            <w:tcW w:w="886" w:type="dxa"/>
            <w:gridSpan w:val="2"/>
            <w:tcBorders>
              <w:bottom w:val="single" w:sz="6" w:space="0" w:color="auto"/>
            </w:tcBorders>
            <w:vAlign w:val="center"/>
          </w:tcPr>
          <w:p w14:paraId="5646E76B" w14:textId="2B86B547" w:rsidR="0068203B" w:rsidRDefault="0068203B" w:rsidP="00831A4F">
            <w:pPr>
              <w:pStyle w:val="TCTableBody"/>
              <w:spacing w:after="0" w:line="240" w:lineRule="auto"/>
              <w:jc w:val="center"/>
              <w:rPr>
                <w:lang w:val="pt-BR"/>
              </w:rPr>
            </w:pPr>
            <w:r>
              <w:rPr>
                <w:lang w:val="pt-BR"/>
              </w:rPr>
              <w:t>30</w:t>
            </w:r>
          </w:p>
        </w:tc>
        <w:tc>
          <w:tcPr>
            <w:tcW w:w="886" w:type="dxa"/>
            <w:tcBorders>
              <w:bottom w:val="single" w:sz="6" w:space="0" w:color="auto"/>
            </w:tcBorders>
            <w:vAlign w:val="center"/>
          </w:tcPr>
          <w:p w14:paraId="7928E7DB" w14:textId="10CF3F4D" w:rsidR="0068203B" w:rsidRDefault="0068203B" w:rsidP="00831A4F">
            <w:pPr>
              <w:pStyle w:val="TCTableBody"/>
              <w:spacing w:after="0" w:line="240" w:lineRule="auto"/>
              <w:jc w:val="center"/>
              <w:rPr>
                <w:lang w:val="pt-BR"/>
              </w:rPr>
            </w:pPr>
            <w:r>
              <w:rPr>
                <w:lang w:val="pt-BR"/>
              </w:rPr>
              <w:t>26</w:t>
            </w:r>
          </w:p>
        </w:tc>
        <w:tc>
          <w:tcPr>
            <w:tcW w:w="886" w:type="dxa"/>
            <w:tcBorders>
              <w:bottom w:val="single" w:sz="6" w:space="0" w:color="auto"/>
            </w:tcBorders>
            <w:vAlign w:val="center"/>
          </w:tcPr>
          <w:p w14:paraId="7585CAB0" w14:textId="531FFDD3" w:rsidR="0068203B" w:rsidRDefault="004C2FE6" w:rsidP="00831A4F">
            <w:pPr>
              <w:pStyle w:val="TCTableBody"/>
              <w:spacing w:after="0" w:line="240" w:lineRule="auto"/>
              <w:jc w:val="center"/>
              <w:rPr>
                <w:lang w:val="pt-BR"/>
              </w:rPr>
            </w:pPr>
            <w:r w:rsidRPr="00831A4F">
              <w:rPr>
                <w:rFonts w:ascii="Times New Roman" w:hAnsi="Times New Roman"/>
                <w:noProof/>
                <w:lang w:val="pt-BR"/>
              </w:rPr>
              <mc:AlternateContent>
                <mc:Choice Requires="wps">
                  <w:drawing>
                    <wp:anchor distT="45720" distB="45720" distL="114300" distR="114300" simplePos="0" relativeHeight="251668479" behindDoc="1" locked="0" layoutInCell="1" allowOverlap="1" wp14:anchorId="6A92D38D" wp14:editId="5F43C31B">
                      <wp:simplePos x="0" y="0"/>
                      <wp:positionH relativeFrom="margin">
                        <wp:posOffset>-2545080</wp:posOffset>
                      </wp:positionH>
                      <wp:positionV relativeFrom="paragraph">
                        <wp:posOffset>246380</wp:posOffset>
                      </wp:positionV>
                      <wp:extent cx="3124200" cy="6286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628650"/>
                              </a:xfrm>
                              <a:prstGeom prst="rect">
                                <a:avLst/>
                              </a:prstGeom>
                              <a:solidFill>
                                <a:srgbClr val="FFFFFF"/>
                              </a:solidFill>
                              <a:ln w="9525">
                                <a:noFill/>
                                <a:miter lim="800000"/>
                                <a:headEnd/>
                                <a:tailEnd/>
                              </a:ln>
                            </wps:spPr>
                            <wps:txbx>
                              <w:txbxContent>
                                <w:p w14:paraId="35DD69CE" w14:textId="299FE62C" w:rsidR="0068203B" w:rsidRDefault="0068203B" w:rsidP="00A268A7">
                                  <w:pPr>
                                    <w:spacing w:after="0" w:line="240" w:lineRule="auto"/>
                                    <w:rPr>
                                      <w:rFonts w:ascii="Times New Roman" w:hAnsi="Times New Roman" w:cs="Times New Roman"/>
                                      <w:sz w:val="18"/>
                                      <w:szCs w:val="18"/>
                                      <w:lang w:val="en-US"/>
                                    </w:rPr>
                                  </w:pPr>
                                  <w:r w:rsidRPr="00386409">
                                    <w:rPr>
                                      <w:rFonts w:ascii="Times New Roman" w:hAnsi="Times New Roman" w:cs="Times New Roman"/>
                                      <w:sz w:val="18"/>
                                      <w:szCs w:val="18"/>
                                      <w:vertAlign w:val="superscript"/>
                                      <w:lang w:val="en-US"/>
                                    </w:rPr>
                                    <w:t>a</w:t>
                                  </w:r>
                                  <w:r>
                                    <w:rPr>
                                      <w:rFonts w:ascii="Times New Roman" w:hAnsi="Times New Roman" w:cs="Times New Roman"/>
                                      <w:sz w:val="18"/>
                                      <w:szCs w:val="18"/>
                                      <w:lang w:val="en-US"/>
                                    </w:rPr>
                                    <w:t xml:space="preserve"> in µmol g</w:t>
                                  </w:r>
                                  <w:r w:rsidRPr="00386409">
                                    <w:rPr>
                                      <w:rFonts w:ascii="Times New Roman" w:hAnsi="Times New Roman" w:cs="Times New Roman"/>
                                      <w:sz w:val="18"/>
                                      <w:szCs w:val="18"/>
                                      <w:vertAlign w:val="superscript"/>
                                      <w:lang w:val="en-US"/>
                                    </w:rPr>
                                    <w:t>-1</w:t>
                                  </w:r>
                                </w:p>
                                <w:p w14:paraId="198A8044" w14:textId="08DFC01F" w:rsidR="0068203B" w:rsidRDefault="0068203B" w:rsidP="00A268A7">
                                  <w:pPr>
                                    <w:spacing w:after="0" w:line="240" w:lineRule="auto"/>
                                    <w:rPr>
                                      <w:rFonts w:ascii="Times New Roman" w:hAnsi="Times New Roman" w:cs="Times New Roman"/>
                                      <w:sz w:val="18"/>
                                      <w:szCs w:val="18"/>
                                      <w:lang w:val="en-US"/>
                                    </w:rPr>
                                  </w:pPr>
                                  <w:r w:rsidRPr="00386409">
                                    <w:rPr>
                                      <w:rFonts w:ascii="Times New Roman" w:hAnsi="Times New Roman" w:cs="Times New Roman"/>
                                      <w:sz w:val="18"/>
                                      <w:szCs w:val="18"/>
                                      <w:vertAlign w:val="superscript"/>
                                      <w:lang w:val="en-US"/>
                                    </w:rPr>
                                    <w:t>b</w:t>
                                  </w:r>
                                  <w:r w:rsidRPr="00831A4F">
                                    <w:rPr>
                                      <w:rFonts w:ascii="Times New Roman" w:hAnsi="Times New Roman" w:cs="Times New Roman"/>
                                      <w:sz w:val="18"/>
                                      <w:szCs w:val="18"/>
                                      <w:lang w:val="en-US"/>
                                    </w:rPr>
                                    <w:t xml:space="preserve"> obtained by </w:t>
                                  </w:r>
                                  <w:r w:rsidRPr="00831A4F">
                                    <w:rPr>
                                      <w:rFonts w:ascii="Times New Roman" w:hAnsi="Times New Roman" w:cs="Times New Roman"/>
                                      <w:sz w:val="18"/>
                                      <w:szCs w:val="18"/>
                                      <w:vertAlign w:val="superscript"/>
                                      <w:lang w:val="en-US"/>
                                    </w:rPr>
                                    <w:t>31</w:t>
                                  </w:r>
                                  <w:r w:rsidRPr="00831A4F">
                                    <w:rPr>
                                      <w:rFonts w:ascii="Times New Roman" w:hAnsi="Times New Roman" w:cs="Times New Roman"/>
                                      <w:sz w:val="18"/>
                                      <w:szCs w:val="18"/>
                                      <w:lang w:val="en-US"/>
                                    </w:rPr>
                                    <w:t>P NMR of adsorbed TMPO</w:t>
                                  </w:r>
                                </w:p>
                                <w:p w14:paraId="69079C1E" w14:textId="305717D6" w:rsidR="0068203B" w:rsidRPr="00386409" w:rsidRDefault="0068203B" w:rsidP="00A268A7">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386409">
                                    <w:rPr>
                                      <w:rFonts w:ascii="Times New Roman" w:hAnsi="Times New Roman" w:cs="Times New Roman"/>
                                      <w:sz w:val="18"/>
                                      <w:szCs w:val="18"/>
                                      <w:lang w:val="en-US"/>
                                    </w:rPr>
                                    <w:t>AS = acid sites, BAS = Brønsted AS, LAS = Lewis AS,</w:t>
                                  </w:r>
                                  <w:r>
                                    <w:rPr>
                                      <w:rFonts w:ascii="Times New Roman" w:hAnsi="Times New Roman" w:cs="Times New Roman"/>
                                      <w:sz w:val="18"/>
                                      <w:szCs w:val="18"/>
                                      <w:lang w:val="en-US"/>
                                    </w:rPr>
                                    <w:t xml:space="preserve"> SB = Strong BAS, WB = Weak 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2D38D" id="_x0000_t202" coordsize="21600,21600" o:spt="202" path="m,l,21600r21600,l21600,xe">
                      <v:stroke joinstyle="miter"/>
                      <v:path gradientshapeok="t" o:connecttype="rect"/>
                    </v:shapetype>
                    <v:shape id="Caixa de Texto 2" o:spid="_x0000_s1028" type="#_x0000_t202" style="position:absolute;left:0;text-align:left;margin-left:-200.4pt;margin-top:19.4pt;width:246pt;height:49.5pt;z-index:-2516480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" stroked="f">
                      <v:textbox>
                        <w:txbxContent>
                          <w:p w14:paraId="35DD69CE" w14:textId="299FE62C" w:rsidR="0068203B" w:rsidRDefault="0068203B" w:rsidP="00A268A7">
                            <w:pPr>
                              <w:spacing w:after="0" w:line="240" w:lineRule="auto"/>
                              <w:rPr>
                                <w:rFonts w:ascii="Times New Roman" w:hAnsi="Times New Roman" w:cs="Times New Roman"/>
                                <w:sz w:val="18"/>
                                <w:szCs w:val="18"/>
                                <w:lang w:val="en-US"/>
                              </w:rPr>
                            </w:pPr>
                            <w:proofErr w:type="spellStart"/>
                            <w:r w:rsidRPr="00386409">
                              <w:rPr>
                                <w:rFonts w:ascii="Times New Roman" w:hAnsi="Times New Roman" w:cs="Times New Roman"/>
                                <w:sz w:val="18"/>
                                <w:szCs w:val="18"/>
                                <w:vertAlign w:val="superscript"/>
                                <w:lang w:val="en-US"/>
                              </w:rPr>
                              <w:t>a</w:t>
                            </w:r>
                            <w:proofErr w:type="spellEnd"/>
                            <w:r>
                              <w:rPr>
                                <w:rFonts w:ascii="Times New Roman" w:hAnsi="Times New Roman" w:cs="Times New Roman"/>
                                <w:sz w:val="18"/>
                                <w:szCs w:val="18"/>
                                <w:lang w:val="en-US"/>
                              </w:rPr>
                              <w:t xml:space="preserve"> in µmol g</w:t>
                            </w:r>
                            <w:r w:rsidRPr="00386409">
                              <w:rPr>
                                <w:rFonts w:ascii="Times New Roman" w:hAnsi="Times New Roman" w:cs="Times New Roman"/>
                                <w:sz w:val="18"/>
                                <w:szCs w:val="18"/>
                                <w:vertAlign w:val="superscript"/>
                                <w:lang w:val="en-US"/>
                              </w:rPr>
                              <w:t>-1</w:t>
                            </w:r>
                          </w:p>
                          <w:p w14:paraId="198A8044" w14:textId="08DFC01F" w:rsidR="0068203B" w:rsidRDefault="0068203B" w:rsidP="00A268A7">
                            <w:pPr>
                              <w:spacing w:after="0" w:line="240" w:lineRule="auto"/>
                              <w:rPr>
                                <w:rFonts w:ascii="Times New Roman" w:hAnsi="Times New Roman" w:cs="Times New Roman"/>
                                <w:sz w:val="18"/>
                                <w:szCs w:val="18"/>
                                <w:lang w:val="en-US"/>
                              </w:rPr>
                            </w:pPr>
                            <w:r w:rsidRPr="00386409">
                              <w:rPr>
                                <w:rFonts w:ascii="Times New Roman" w:hAnsi="Times New Roman" w:cs="Times New Roman"/>
                                <w:sz w:val="18"/>
                                <w:szCs w:val="18"/>
                                <w:vertAlign w:val="superscript"/>
                                <w:lang w:val="en-US"/>
                              </w:rPr>
                              <w:t>b</w:t>
                            </w:r>
                            <w:r w:rsidRPr="00831A4F">
                              <w:rPr>
                                <w:rFonts w:ascii="Times New Roman" w:hAnsi="Times New Roman" w:cs="Times New Roman"/>
                                <w:sz w:val="18"/>
                                <w:szCs w:val="18"/>
                                <w:lang w:val="en-US"/>
                              </w:rPr>
                              <w:t xml:space="preserve"> obtained by </w:t>
                            </w:r>
                            <w:r w:rsidRPr="00831A4F">
                              <w:rPr>
                                <w:rFonts w:ascii="Times New Roman" w:hAnsi="Times New Roman" w:cs="Times New Roman"/>
                                <w:sz w:val="18"/>
                                <w:szCs w:val="18"/>
                                <w:vertAlign w:val="superscript"/>
                                <w:lang w:val="en-US"/>
                              </w:rPr>
                              <w:t>31</w:t>
                            </w:r>
                            <w:r w:rsidRPr="00831A4F">
                              <w:rPr>
                                <w:rFonts w:ascii="Times New Roman" w:hAnsi="Times New Roman" w:cs="Times New Roman"/>
                                <w:sz w:val="18"/>
                                <w:szCs w:val="18"/>
                                <w:lang w:val="en-US"/>
                              </w:rPr>
                              <w:t>P NMR of adsorbed TMPO</w:t>
                            </w:r>
                          </w:p>
                          <w:p w14:paraId="69079C1E" w14:textId="305717D6" w:rsidR="0068203B" w:rsidRPr="00386409" w:rsidRDefault="0068203B" w:rsidP="00A268A7">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Pr="00386409">
                              <w:rPr>
                                <w:rFonts w:ascii="Times New Roman" w:hAnsi="Times New Roman" w:cs="Times New Roman"/>
                                <w:sz w:val="18"/>
                                <w:szCs w:val="18"/>
                                <w:lang w:val="en-US"/>
                              </w:rPr>
                              <w:t>AS = acid sites, BAS = Brønsted AS, LAS = Lewis AS,</w:t>
                            </w:r>
                            <w:r>
                              <w:rPr>
                                <w:rFonts w:ascii="Times New Roman" w:hAnsi="Times New Roman" w:cs="Times New Roman"/>
                                <w:sz w:val="18"/>
                                <w:szCs w:val="18"/>
                                <w:lang w:val="en-US"/>
                              </w:rPr>
                              <w:t xml:space="preserve"> SB = Strong BAS, WB = Weak BAS</w:t>
                            </w:r>
                          </w:p>
                        </w:txbxContent>
                      </v:textbox>
                      <w10:wrap anchorx="margin"/>
                    </v:shape>
                  </w:pict>
                </mc:Fallback>
              </mc:AlternateContent>
            </w:r>
            <w:r w:rsidR="0068203B">
              <w:rPr>
                <w:lang w:val="pt-BR"/>
              </w:rPr>
              <w:t>5.5</w:t>
            </w:r>
          </w:p>
        </w:tc>
      </w:tr>
      <w:tr w:rsidR="0068203B" w:rsidRPr="00072C7A" w14:paraId="12FD7E81" w14:textId="77777777" w:rsidTr="004C2FE6">
        <w:trPr>
          <w:gridAfter w:val="3"/>
          <w:wAfter w:w="2268" w:type="dxa"/>
          <w:trHeight w:val="175"/>
        </w:trPr>
        <w:tc>
          <w:tcPr>
            <w:tcW w:w="246" w:type="dxa"/>
            <w:tcBorders>
              <w:top w:val="single" w:sz="6" w:space="0" w:color="auto"/>
              <w:left w:val="nil"/>
              <w:bottom w:val="nil"/>
              <w:right w:val="nil"/>
            </w:tcBorders>
          </w:tcPr>
          <w:p w14:paraId="0FB559BB" w14:textId="2C3046FC" w:rsidR="0068203B" w:rsidRPr="00E038AF" w:rsidRDefault="0068203B" w:rsidP="00211986">
            <w:pPr>
              <w:pStyle w:val="TCTableBody"/>
              <w:spacing w:after="0" w:line="240" w:lineRule="auto"/>
              <w:rPr>
                <w:rFonts w:ascii="Times New Roman" w:hAnsi="Times New Roman"/>
                <w:lang w:val="pt-BR"/>
              </w:rPr>
            </w:pPr>
          </w:p>
        </w:tc>
        <w:tc>
          <w:tcPr>
            <w:tcW w:w="242" w:type="dxa"/>
            <w:tcBorders>
              <w:top w:val="single" w:sz="6" w:space="0" w:color="auto"/>
              <w:left w:val="nil"/>
              <w:bottom w:val="nil"/>
              <w:right w:val="nil"/>
            </w:tcBorders>
          </w:tcPr>
          <w:p w14:paraId="3B400425" w14:textId="77777777" w:rsidR="0068203B" w:rsidRPr="00E038AF" w:rsidRDefault="0068203B" w:rsidP="00211986">
            <w:pPr>
              <w:pStyle w:val="TCTableBody"/>
              <w:spacing w:after="0" w:line="240" w:lineRule="auto"/>
              <w:rPr>
                <w:rFonts w:ascii="Times New Roman" w:hAnsi="Times New Roman"/>
                <w:lang w:val="pt-BR"/>
              </w:rPr>
            </w:pPr>
          </w:p>
        </w:tc>
        <w:tc>
          <w:tcPr>
            <w:tcW w:w="2064" w:type="dxa"/>
            <w:gridSpan w:val="3"/>
            <w:tcBorders>
              <w:top w:val="single" w:sz="6" w:space="0" w:color="auto"/>
              <w:left w:val="nil"/>
              <w:bottom w:val="nil"/>
              <w:right w:val="nil"/>
            </w:tcBorders>
          </w:tcPr>
          <w:p w14:paraId="21EBD589" w14:textId="05187079" w:rsidR="0068203B" w:rsidRPr="00E038AF" w:rsidRDefault="0068203B" w:rsidP="00211986">
            <w:pPr>
              <w:pStyle w:val="TCTableBody"/>
              <w:spacing w:after="0" w:line="240" w:lineRule="auto"/>
              <w:rPr>
                <w:rFonts w:ascii="Times New Roman" w:hAnsi="Times New Roman"/>
                <w:lang w:val="pt-BR"/>
              </w:rPr>
            </w:pPr>
          </w:p>
        </w:tc>
      </w:tr>
    </w:tbl>
    <w:p w14:paraId="7E4B9E05" w14:textId="28874F4E" w:rsidR="00C66631" w:rsidRPr="00A17A53" w:rsidRDefault="00C66631" w:rsidP="003D0F9F">
      <w:pPr>
        <w:pStyle w:val="TAMainText"/>
        <w:ind w:firstLine="187"/>
        <w:rPr>
          <w:rFonts w:ascii="Times New Roman" w:hAnsi="Times New Roman"/>
          <w:lang w:val="pt-BR"/>
        </w:rPr>
      </w:pPr>
    </w:p>
    <w:p w14:paraId="3EFCD430" w14:textId="61EDA0A3" w:rsidR="00DF21AE" w:rsidRPr="00A17A53" w:rsidRDefault="00DF21AE" w:rsidP="003D0F9F">
      <w:pPr>
        <w:pStyle w:val="TAMainText"/>
        <w:ind w:firstLine="187"/>
        <w:rPr>
          <w:rFonts w:ascii="Times New Roman" w:hAnsi="Times New Roman"/>
          <w:lang w:val="pt-BR"/>
        </w:rPr>
      </w:pPr>
    </w:p>
    <w:p w14:paraId="33CE6B0D" w14:textId="5D154BA5" w:rsidR="00DF21AE" w:rsidRPr="00A17A53" w:rsidRDefault="00DF21AE" w:rsidP="003D0F9F">
      <w:pPr>
        <w:pStyle w:val="TAMainText"/>
        <w:ind w:firstLine="187"/>
        <w:rPr>
          <w:rFonts w:ascii="Times New Roman" w:hAnsi="Times New Roman"/>
          <w:lang w:val="pt-BR"/>
        </w:rPr>
      </w:pPr>
    </w:p>
    <w:p w14:paraId="699D29E5" w14:textId="77777777" w:rsidR="004C2FE6" w:rsidRDefault="004C2FE6" w:rsidP="006E3492">
      <w:pPr>
        <w:pStyle w:val="TAMainText"/>
        <w:ind w:firstLine="187"/>
        <w:rPr>
          <w:rFonts w:ascii="Times New Roman" w:hAnsi="Times New Roman"/>
        </w:rPr>
      </w:pPr>
    </w:p>
    <w:p w14:paraId="06F7AC2D" w14:textId="77777777" w:rsidR="004C2FE6" w:rsidRDefault="004C2FE6" w:rsidP="006E3492">
      <w:pPr>
        <w:pStyle w:val="TAMainText"/>
        <w:ind w:firstLine="187"/>
        <w:rPr>
          <w:rFonts w:ascii="Times New Roman" w:hAnsi="Times New Roman"/>
        </w:rPr>
      </w:pPr>
    </w:p>
    <w:p w14:paraId="53DC31A9" w14:textId="4D5D14E6" w:rsidR="003D0F9F" w:rsidRDefault="006E3492" w:rsidP="006E3492">
      <w:pPr>
        <w:pStyle w:val="TAMainText"/>
        <w:ind w:firstLine="187"/>
        <w:rPr>
          <w:rFonts w:ascii="Times New Roman" w:hAnsi="Times New Roman"/>
        </w:rPr>
      </w:pPr>
      <w:r>
        <w:rPr>
          <w:rFonts w:ascii="Times New Roman" w:hAnsi="Times New Roman"/>
        </w:rPr>
        <w:lastRenderedPageBreak/>
        <w:t>In summary</w:t>
      </w:r>
      <w:r w:rsidRPr="006E3492">
        <w:rPr>
          <w:rFonts w:ascii="Times New Roman" w:hAnsi="Times New Roman"/>
        </w:rPr>
        <w:t>, MoO</w:t>
      </w:r>
      <w:r w:rsidRPr="006E3492">
        <w:rPr>
          <w:rFonts w:ascii="Times New Roman" w:hAnsi="Times New Roman"/>
          <w:vertAlign w:val="subscript"/>
        </w:rPr>
        <w:t>3</w:t>
      </w:r>
      <w:r w:rsidRPr="006E3492">
        <w:rPr>
          <w:rFonts w:ascii="Times New Roman" w:hAnsi="Times New Roman"/>
        </w:rPr>
        <w:t xml:space="preserve"> showed increasing </w:t>
      </w:r>
      <w:r>
        <w:rPr>
          <w:rFonts w:ascii="Times New Roman" w:hAnsi="Times New Roman"/>
        </w:rPr>
        <w:t>oxygen vacancies</w:t>
      </w:r>
      <w:r w:rsidRPr="006E3492">
        <w:rPr>
          <w:rFonts w:ascii="Times New Roman" w:hAnsi="Times New Roman"/>
        </w:rPr>
        <w:t xml:space="preserve"> with the progress of surface reduction, </w:t>
      </w:r>
      <w:r>
        <w:rPr>
          <w:rFonts w:ascii="Times New Roman" w:hAnsi="Times New Roman"/>
        </w:rPr>
        <w:t>active sites</w:t>
      </w:r>
      <w:r w:rsidR="006F244D">
        <w:rPr>
          <w:rFonts w:ascii="Times New Roman" w:hAnsi="Times New Roman"/>
        </w:rPr>
        <w:t xml:space="preserve"> </w:t>
      </w:r>
      <w:r w:rsidRPr="006E3492">
        <w:rPr>
          <w:rFonts w:ascii="Times New Roman" w:hAnsi="Times New Roman"/>
        </w:rPr>
        <w:t xml:space="preserve">for acetone hydrogenation, and the lowest </w:t>
      </w:r>
      <w:r>
        <w:rPr>
          <w:rFonts w:ascii="Times New Roman" w:hAnsi="Times New Roman"/>
        </w:rPr>
        <w:t>acid sites</w:t>
      </w:r>
      <w:r w:rsidRPr="006E3492">
        <w:rPr>
          <w:rFonts w:ascii="Times New Roman" w:hAnsi="Times New Roman"/>
        </w:rPr>
        <w:t xml:space="preserve"> concentration. On the other hand, the ordered MoO</w:t>
      </w:r>
      <w:r w:rsidRPr="006E3492">
        <w:rPr>
          <w:rFonts w:ascii="Times New Roman" w:hAnsi="Times New Roman"/>
          <w:vertAlign w:val="subscript"/>
        </w:rPr>
        <w:t>x</w:t>
      </w:r>
      <w:r w:rsidRPr="006E3492">
        <w:rPr>
          <w:rFonts w:ascii="Times New Roman" w:hAnsi="Times New Roman"/>
        </w:rPr>
        <w:t>C</w:t>
      </w:r>
      <w:r w:rsidRPr="006E3492">
        <w:rPr>
          <w:rFonts w:ascii="Times New Roman" w:hAnsi="Times New Roman"/>
          <w:vertAlign w:val="subscript"/>
        </w:rPr>
        <w:t>y</w:t>
      </w:r>
      <w:r w:rsidRPr="006E3492">
        <w:rPr>
          <w:rFonts w:ascii="Times New Roman" w:hAnsi="Times New Roman"/>
        </w:rPr>
        <w:t xml:space="preserve"> phase, observed in the 350C6h catalyst, presented the highest </w:t>
      </w:r>
      <w:r>
        <w:rPr>
          <w:rFonts w:ascii="Times New Roman" w:hAnsi="Times New Roman"/>
        </w:rPr>
        <w:t>acid sites</w:t>
      </w:r>
      <w:r w:rsidRPr="006E3492">
        <w:rPr>
          <w:rFonts w:ascii="Times New Roman" w:hAnsi="Times New Roman"/>
        </w:rPr>
        <w:t xml:space="preserve"> concentration, with the predominance of stronger </w:t>
      </w:r>
      <w:r w:rsidRPr="00717D2E">
        <w:rPr>
          <w:rFonts w:ascii="Times New Roman" w:hAnsi="Times New Roman"/>
        </w:rPr>
        <w:t>Brønsted</w:t>
      </w:r>
      <w:r>
        <w:rPr>
          <w:rFonts w:ascii="Times New Roman" w:hAnsi="Times New Roman"/>
        </w:rPr>
        <w:t xml:space="preserve"> ones</w:t>
      </w:r>
      <w:r w:rsidRPr="006E3492">
        <w:rPr>
          <w:rFonts w:ascii="Times New Roman" w:hAnsi="Times New Roman"/>
        </w:rPr>
        <w:t>. Besides that, this phase was significantly active for both hydrogenation and hydrogenolysis, a behavior attributed to its singular electronic characteristics, which comprise Mo</w:t>
      </w:r>
      <w:r w:rsidRPr="006E3492">
        <w:rPr>
          <w:rFonts w:ascii="Times New Roman" w:hAnsi="Times New Roman"/>
          <w:vertAlign w:val="superscript"/>
        </w:rPr>
        <w:t>δ+</w:t>
      </w:r>
      <w:r w:rsidRPr="006E3492">
        <w:rPr>
          <w:rFonts w:ascii="Times New Roman" w:hAnsi="Times New Roman"/>
        </w:rPr>
        <w:t xml:space="preserve"> species halfway between more oxidized and more reduced oxidation states, close to +5. Finally, the disordered MoO</w:t>
      </w:r>
      <w:r w:rsidRPr="006E3492">
        <w:rPr>
          <w:rFonts w:ascii="Times New Roman" w:hAnsi="Times New Roman"/>
          <w:vertAlign w:val="subscript"/>
        </w:rPr>
        <w:t>x</w:t>
      </w:r>
      <w:r w:rsidRPr="006E3492">
        <w:rPr>
          <w:rFonts w:ascii="Times New Roman" w:hAnsi="Times New Roman"/>
        </w:rPr>
        <w:t>C</w:t>
      </w:r>
      <w:r w:rsidRPr="006E3492">
        <w:rPr>
          <w:rFonts w:ascii="Times New Roman" w:hAnsi="Times New Roman"/>
          <w:vertAlign w:val="subscript"/>
        </w:rPr>
        <w:t>y</w:t>
      </w:r>
      <w:r w:rsidRPr="006E3492">
        <w:rPr>
          <w:rFonts w:ascii="Times New Roman" w:hAnsi="Times New Roman"/>
        </w:rPr>
        <w:t xml:space="preserve"> phase, pr</w:t>
      </w:r>
      <w:r>
        <w:rPr>
          <w:rFonts w:ascii="Times New Roman" w:hAnsi="Times New Roman"/>
        </w:rPr>
        <w:t>oposed to be present</w:t>
      </w:r>
      <w:r w:rsidRPr="006E3492">
        <w:rPr>
          <w:rFonts w:ascii="Times New Roman" w:hAnsi="Times New Roman"/>
        </w:rPr>
        <w:t xml:space="preserve"> in the 400C1h catalyst, was the trickiest to unravel due to its amorphous nature. This phase showed reasonable </w:t>
      </w:r>
      <w:r w:rsidR="007A3D78">
        <w:rPr>
          <w:rFonts w:ascii="Times New Roman" w:hAnsi="Times New Roman"/>
        </w:rPr>
        <w:t>hydrogenation/hydrogenolysis sites</w:t>
      </w:r>
      <w:r w:rsidRPr="006E3492">
        <w:rPr>
          <w:rFonts w:ascii="Times New Roman" w:hAnsi="Times New Roman"/>
        </w:rPr>
        <w:t xml:space="preserve"> activity. There were also few </w:t>
      </w:r>
      <w:r w:rsidR="007A3D78">
        <w:rPr>
          <w:rFonts w:ascii="Times New Roman" w:hAnsi="Times New Roman"/>
        </w:rPr>
        <w:t>acid sites</w:t>
      </w:r>
      <w:r w:rsidRPr="006E3492">
        <w:rPr>
          <w:rFonts w:ascii="Times New Roman" w:hAnsi="Times New Roman"/>
        </w:rPr>
        <w:t>, but still more and stronger when compared to MoO</w:t>
      </w:r>
      <w:r w:rsidRPr="007A3D78">
        <w:rPr>
          <w:rFonts w:ascii="Times New Roman" w:hAnsi="Times New Roman"/>
          <w:vertAlign w:val="subscript"/>
        </w:rPr>
        <w:t>3</w:t>
      </w:r>
      <w:r w:rsidRPr="006E3492">
        <w:rPr>
          <w:rFonts w:ascii="Times New Roman" w:hAnsi="Times New Roman"/>
        </w:rPr>
        <w:t>.</w:t>
      </w:r>
    </w:p>
    <w:p w14:paraId="20AA905D" w14:textId="1384FD47" w:rsidR="00EA4E1B" w:rsidRPr="002823A3" w:rsidRDefault="00EA4E1B" w:rsidP="00EA4E1B">
      <w:pPr>
        <w:pStyle w:val="Ttulo2"/>
        <w:rPr>
          <w:rFonts w:ascii="Helvetica" w:hAnsi="Helvetica" w:cs="Helvetica"/>
          <w:b/>
          <w:bCs/>
          <w:sz w:val="24"/>
          <w:szCs w:val="24"/>
          <w:lang w:val="en-US"/>
        </w:rPr>
      </w:pPr>
      <w:r w:rsidRPr="002823A3">
        <w:rPr>
          <w:rFonts w:ascii="Helvetica" w:hAnsi="Helvetica" w:cs="Helvetica"/>
          <w:b/>
          <w:bCs/>
          <w:sz w:val="24"/>
          <w:szCs w:val="24"/>
          <w:lang w:val="en-US"/>
        </w:rPr>
        <w:t>Conclus</w:t>
      </w:r>
      <w:r w:rsidR="00450CDC" w:rsidRPr="002823A3">
        <w:rPr>
          <w:rFonts w:ascii="Helvetica" w:hAnsi="Helvetica" w:cs="Helvetica"/>
          <w:b/>
          <w:bCs/>
          <w:sz w:val="24"/>
          <w:szCs w:val="24"/>
          <w:lang w:val="en-US"/>
        </w:rPr>
        <w:t>ions</w:t>
      </w:r>
    </w:p>
    <w:p w14:paraId="60A7D9BB" w14:textId="46CA6BED" w:rsidR="008A3F71" w:rsidRPr="008A3F71" w:rsidRDefault="008A3F71" w:rsidP="008A3F71">
      <w:pPr>
        <w:pStyle w:val="TAMainText"/>
        <w:ind w:firstLine="187"/>
        <w:rPr>
          <w:rFonts w:ascii="Times New Roman" w:hAnsi="Times New Roman"/>
        </w:rPr>
      </w:pPr>
      <w:r w:rsidRPr="008A3F71">
        <w:rPr>
          <w:rFonts w:ascii="Times New Roman" w:hAnsi="Times New Roman"/>
        </w:rPr>
        <w:t>With this work, we hope to have contributed to the understanding of the properties of the oxycarbide phases, invariably recurrent in Mo-based catalysts under reducing/carburizing conditions, as is the case of HDO reactions employing different substrates. We were able to address electronic and acid characteristics that were still underexplored for MoO</w:t>
      </w:r>
      <w:r w:rsidRPr="008A3F71">
        <w:rPr>
          <w:rFonts w:ascii="Times New Roman" w:hAnsi="Times New Roman"/>
          <w:vertAlign w:val="subscript"/>
        </w:rPr>
        <w:t>x</w:t>
      </w:r>
      <w:r w:rsidRPr="008A3F71">
        <w:rPr>
          <w:rFonts w:ascii="Times New Roman" w:hAnsi="Times New Roman"/>
        </w:rPr>
        <w:t>C</w:t>
      </w:r>
      <w:r w:rsidRPr="008A3F71">
        <w:rPr>
          <w:rFonts w:ascii="Times New Roman" w:hAnsi="Times New Roman"/>
          <w:vertAlign w:val="subscript"/>
        </w:rPr>
        <w:t>y</w:t>
      </w:r>
      <w:r w:rsidRPr="008A3F71">
        <w:rPr>
          <w:rFonts w:ascii="Times New Roman" w:hAnsi="Times New Roman"/>
        </w:rPr>
        <w:t xml:space="preserve">: the </w:t>
      </w:r>
      <w:r w:rsidR="006F244D">
        <w:rPr>
          <w:rFonts w:ascii="Times New Roman" w:hAnsi="Times New Roman"/>
        </w:rPr>
        <w:t>hydrogenating</w:t>
      </w:r>
      <w:r w:rsidRPr="008A3F71">
        <w:rPr>
          <w:rFonts w:ascii="Times New Roman" w:hAnsi="Times New Roman"/>
        </w:rPr>
        <w:t xml:space="preserve"> behavior of Mo</w:t>
      </w:r>
      <w:r w:rsidRPr="008A3F71">
        <w:rPr>
          <w:rFonts w:ascii="Times New Roman" w:hAnsi="Times New Roman"/>
          <w:vertAlign w:val="superscript"/>
        </w:rPr>
        <w:t>5+</w:t>
      </w:r>
      <w:r w:rsidRPr="008A3F71">
        <w:rPr>
          <w:rFonts w:ascii="Times New Roman" w:hAnsi="Times New Roman"/>
        </w:rPr>
        <w:t xml:space="preserve"> species</w:t>
      </w:r>
      <w:r w:rsidR="00A41361">
        <w:rPr>
          <w:rFonts w:ascii="Times New Roman" w:hAnsi="Times New Roman"/>
        </w:rPr>
        <w:t xml:space="preserve"> </w:t>
      </w:r>
      <w:r w:rsidRPr="008A3F71">
        <w:rPr>
          <w:rFonts w:ascii="Times New Roman" w:hAnsi="Times New Roman"/>
        </w:rPr>
        <w:t>and the strong</w:t>
      </w:r>
      <w:r w:rsidR="004C2FE6">
        <w:rPr>
          <w:rFonts w:ascii="Times New Roman" w:hAnsi="Times New Roman"/>
        </w:rPr>
        <w:t>er</w:t>
      </w:r>
      <w:r w:rsidRPr="008A3F71">
        <w:rPr>
          <w:rFonts w:ascii="Times New Roman" w:hAnsi="Times New Roman"/>
        </w:rPr>
        <w:t xml:space="preserve"> Brønsted acidity, unusual for metal oxides. Furthermore, the acetone HDO reaction proved to be a useful tool in probing different functionalities, given its extensive ramifications.</w:t>
      </w:r>
    </w:p>
    <w:p w14:paraId="6BE32F7B" w14:textId="664AB1E6" w:rsidR="00EA4E1B" w:rsidRPr="00A41361" w:rsidRDefault="00450CDC" w:rsidP="00EA4E1B">
      <w:pPr>
        <w:pStyle w:val="Ttulo2"/>
        <w:rPr>
          <w:rFonts w:ascii="Helvetica" w:hAnsi="Helvetica" w:cs="Helvetica"/>
          <w:b/>
          <w:bCs/>
          <w:sz w:val="24"/>
          <w:szCs w:val="24"/>
        </w:rPr>
      </w:pPr>
      <w:r w:rsidRPr="00A41361">
        <w:rPr>
          <w:rFonts w:ascii="Helvetica" w:hAnsi="Helvetica" w:cs="Helvetica"/>
          <w:b/>
          <w:bCs/>
          <w:sz w:val="24"/>
          <w:szCs w:val="24"/>
        </w:rPr>
        <w:t>Acknowledgements</w:t>
      </w:r>
    </w:p>
    <w:p w14:paraId="05A178F9" w14:textId="528BE6CA" w:rsidR="00EA4E1B" w:rsidRPr="002823A3" w:rsidRDefault="00717D2E" w:rsidP="00EA4E1B">
      <w:pPr>
        <w:pStyle w:val="TAMainText"/>
        <w:rPr>
          <w:rFonts w:ascii="Times New Roman" w:hAnsi="Times New Roman"/>
        </w:rPr>
      </w:pPr>
      <w:bookmarkStart w:id="5" w:name="_Hlk130561418"/>
      <w:r w:rsidRPr="00A41361">
        <w:rPr>
          <w:rFonts w:ascii="Times New Roman" w:hAnsi="Times New Roman"/>
          <w:lang w:val="pt-BR"/>
        </w:rPr>
        <w:t>This work was financed by the Conselho Nacional de Desenvolvimento Científico e Tecnológico (CNPq, 830512/1999-3, 140849/2020-3)</w:t>
      </w:r>
      <w:r w:rsidR="002823A3" w:rsidRPr="00A41361">
        <w:rPr>
          <w:rFonts w:ascii="Times New Roman" w:hAnsi="Times New Roman"/>
          <w:lang w:val="pt-BR"/>
        </w:rPr>
        <w:t xml:space="preserve"> and</w:t>
      </w:r>
      <w:r w:rsidRPr="00A41361">
        <w:rPr>
          <w:rFonts w:ascii="Times New Roman" w:hAnsi="Times New Roman"/>
          <w:lang w:val="pt-BR"/>
        </w:rPr>
        <w:t xml:space="preserve"> the Fundação de Amparo à Pesquisa do Estado de São Paulo (FAPESP, 2018/01258-5, 2020/12986-1 and 2022/11173-2). </w:t>
      </w:r>
      <w:r w:rsidRPr="002823A3">
        <w:rPr>
          <w:rFonts w:ascii="Times New Roman" w:hAnsi="Times New Roman"/>
        </w:rPr>
        <w:t>The authors</w:t>
      </w:r>
      <w:r w:rsidR="002823A3" w:rsidRPr="002823A3">
        <w:rPr>
          <w:rFonts w:ascii="Times New Roman" w:hAnsi="Times New Roman"/>
        </w:rPr>
        <w:t xml:space="preserve"> also</w:t>
      </w:r>
      <w:r w:rsidRPr="002823A3">
        <w:rPr>
          <w:rFonts w:ascii="Times New Roman" w:hAnsi="Times New Roman"/>
        </w:rPr>
        <w:t xml:space="preserve"> thank the Center for Innovation on New Energies (CINE)</w:t>
      </w:r>
      <w:r w:rsidR="002823A3" w:rsidRPr="002823A3">
        <w:rPr>
          <w:rFonts w:ascii="Times New Roman" w:hAnsi="Times New Roman"/>
        </w:rPr>
        <w:t xml:space="preserve"> </w:t>
      </w:r>
      <w:r w:rsidRPr="002823A3">
        <w:rPr>
          <w:rFonts w:ascii="Times New Roman" w:hAnsi="Times New Roman"/>
        </w:rPr>
        <w:t>for performing the XPS measurements.</w:t>
      </w:r>
      <w:bookmarkEnd w:id="5"/>
      <w:r w:rsidRPr="002823A3">
        <w:rPr>
          <w:rFonts w:ascii="Times New Roman" w:hAnsi="Times New Roman"/>
        </w:rPr>
        <w:t xml:space="preserve"> </w:t>
      </w:r>
    </w:p>
    <w:p w14:paraId="158D911D" w14:textId="1399E90F" w:rsidR="00EA4E1B" w:rsidRPr="002823A3" w:rsidRDefault="00EA4E1B" w:rsidP="00D57A92">
      <w:pPr>
        <w:pStyle w:val="Ttulo2"/>
        <w:rPr>
          <w:rFonts w:ascii="Helvetica" w:hAnsi="Helvetica" w:cs="Helvetica"/>
          <w:b/>
          <w:bCs/>
          <w:sz w:val="24"/>
          <w:szCs w:val="24"/>
          <w:lang w:val="en-US"/>
        </w:rPr>
      </w:pPr>
      <w:r w:rsidRPr="002823A3">
        <w:rPr>
          <w:rFonts w:ascii="Helvetica" w:hAnsi="Helvetica" w:cs="Helvetica"/>
          <w:b/>
          <w:bCs/>
          <w:sz w:val="24"/>
          <w:szCs w:val="24"/>
          <w:lang w:val="en-US"/>
        </w:rPr>
        <w:t>R</w:t>
      </w:r>
      <w:r w:rsidR="00450CDC" w:rsidRPr="002823A3">
        <w:rPr>
          <w:rFonts w:ascii="Helvetica" w:hAnsi="Helvetica" w:cs="Helvetica"/>
          <w:b/>
          <w:bCs/>
          <w:sz w:val="24"/>
          <w:szCs w:val="24"/>
          <w:lang w:val="en-US"/>
        </w:rPr>
        <w:t>eferences</w:t>
      </w:r>
    </w:p>
    <w:p w14:paraId="5A101BF8" w14:textId="450B1FAE" w:rsidR="00D57A92" w:rsidRDefault="00D57A92" w:rsidP="00EA4E1B">
      <w:pPr>
        <w:pStyle w:val="TAMainText"/>
        <w:numPr>
          <w:ilvl w:val="0"/>
          <w:numId w:val="1"/>
        </w:numPr>
      </w:pPr>
      <w:bookmarkStart w:id="6" w:name="_Hlk130561383"/>
      <w:r w:rsidRPr="00D57A92">
        <w:t>L. Qu</w:t>
      </w:r>
      <w:r>
        <w:t>;</w:t>
      </w:r>
      <w:r w:rsidRPr="00D57A92">
        <w:t xml:space="preserve"> X. Jiang</w:t>
      </w:r>
      <w:r>
        <w:t>;</w:t>
      </w:r>
      <w:r w:rsidRPr="00D57A92">
        <w:t xml:space="preserve"> Z. Zhang</w:t>
      </w:r>
      <w:r>
        <w:t>;</w:t>
      </w:r>
      <w:r w:rsidRPr="00D57A92">
        <w:t xml:space="preserve"> X.-G. Zhang</w:t>
      </w:r>
      <w:r>
        <w:t>;</w:t>
      </w:r>
      <w:r w:rsidRPr="00D57A92">
        <w:t xml:space="preserve"> G.-Y. Song</w:t>
      </w:r>
      <w:r>
        <w:t>;</w:t>
      </w:r>
      <w:r w:rsidRPr="00D57A92">
        <w:t xml:space="preserve"> H.-L. Wang</w:t>
      </w:r>
      <w:r>
        <w:t>;</w:t>
      </w:r>
      <w:r w:rsidRPr="00D57A92">
        <w:t xml:space="preserve"> Y.-P. Yuan</w:t>
      </w:r>
      <w:r>
        <w:t>;</w:t>
      </w:r>
      <w:r w:rsidRPr="00D57A92">
        <w:t xml:space="preserve"> Y.-L. Chang</w:t>
      </w:r>
      <w:r>
        <w:t>;</w:t>
      </w:r>
      <w:r w:rsidRPr="00D57A92">
        <w:t xml:space="preserve"> </w:t>
      </w:r>
      <w:r w:rsidRPr="00D57A92">
        <w:rPr>
          <w:i/>
          <w:iCs/>
        </w:rPr>
        <w:t>Green Chem.</w:t>
      </w:r>
      <w:r w:rsidRPr="00D57A92">
        <w:t xml:space="preserve">, </w:t>
      </w:r>
      <w:r w:rsidRPr="00D57A92">
        <w:rPr>
          <w:b/>
          <w:bCs/>
        </w:rPr>
        <w:t>2021</w:t>
      </w:r>
      <w:r>
        <w:t xml:space="preserve">, </w:t>
      </w:r>
      <w:r w:rsidRPr="00D57A92">
        <w:rPr>
          <w:i/>
          <w:iCs/>
        </w:rPr>
        <w:t>23</w:t>
      </w:r>
      <w:r>
        <w:t xml:space="preserve">, </w:t>
      </w:r>
      <w:r w:rsidRPr="00D57A92">
        <w:t>9348-9376.</w:t>
      </w:r>
      <w:bookmarkEnd w:id="6"/>
    </w:p>
    <w:p w14:paraId="56CB23C3" w14:textId="7B6DD05D" w:rsidR="00D57A92" w:rsidRDefault="00D57A92" w:rsidP="00D57A92">
      <w:pPr>
        <w:pStyle w:val="TAMainText"/>
        <w:numPr>
          <w:ilvl w:val="0"/>
          <w:numId w:val="1"/>
        </w:numPr>
      </w:pPr>
      <w:r>
        <w:t xml:space="preserve">C.M. </w:t>
      </w:r>
      <w:r w:rsidRPr="00D57A92">
        <w:t>Michailof</w:t>
      </w:r>
      <w:r>
        <w:t xml:space="preserve">; K.G. </w:t>
      </w:r>
      <w:r w:rsidRPr="00D57A92">
        <w:t>Kalogiannis</w:t>
      </w:r>
      <w:r>
        <w:t xml:space="preserve">; T. </w:t>
      </w:r>
      <w:r w:rsidRPr="00D57A92">
        <w:t>Sfetsas</w:t>
      </w:r>
      <w:r>
        <w:t>; D.</w:t>
      </w:r>
      <w:r w:rsidRPr="00D57A92">
        <w:t>T. Patiaka</w:t>
      </w:r>
      <w:r>
        <w:t xml:space="preserve">; A.A. </w:t>
      </w:r>
      <w:r w:rsidRPr="00D57A92">
        <w:t xml:space="preserve">Lappas, Wiley Interdiscip. </w:t>
      </w:r>
      <w:r w:rsidRPr="00D57A92">
        <w:rPr>
          <w:i/>
          <w:iCs/>
        </w:rPr>
        <w:t>Rev. Energy Environ.</w:t>
      </w:r>
      <w:r>
        <w:t xml:space="preserve">, </w:t>
      </w:r>
      <w:r w:rsidRPr="00D57A92">
        <w:rPr>
          <w:b/>
          <w:bCs/>
        </w:rPr>
        <w:t>2016</w:t>
      </w:r>
      <w:r>
        <w:t xml:space="preserve">, </w:t>
      </w:r>
      <w:r w:rsidRPr="00D57A92">
        <w:rPr>
          <w:i/>
          <w:iCs/>
        </w:rPr>
        <w:t>5(6)</w:t>
      </w:r>
      <w:r w:rsidRPr="00D57A92">
        <w:t>, 614-639.</w:t>
      </w:r>
    </w:p>
    <w:p w14:paraId="3EDF8276" w14:textId="5A9F89D2" w:rsidR="00162D58" w:rsidRDefault="00162D58" w:rsidP="00D57A92">
      <w:pPr>
        <w:pStyle w:val="TAMainText"/>
        <w:numPr>
          <w:ilvl w:val="0"/>
          <w:numId w:val="1"/>
        </w:numPr>
        <w:rPr>
          <w:lang w:val="pt-BR"/>
        </w:rPr>
      </w:pPr>
      <w:r w:rsidRPr="00162D58">
        <w:rPr>
          <w:lang w:val="pt-BR"/>
        </w:rPr>
        <w:t>D. Leite</w:t>
      </w:r>
      <w:r>
        <w:rPr>
          <w:lang w:val="pt-BR"/>
        </w:rPr>
        <w:t>;</w:t>
      </w:r>
      <w:r w:rsidRPr="00162D58">
        <w:rPr>
          <w:lang w:val="pt-BR"/>
        </w:rPr>
        <w:t xml:space="preserve"> G.B. Strapasson</w:t>
      </w:r>
      <w:r>
        <w:rPr>
          <w:lang w:val="pt-BR"/>
        </w:rPr>
        <w:t>;</w:t>
      </w:r>
      <w:r w:rsidRPr="00162D58">
        <w:rPr>
          <w:lang w:val="pt-BR"/>
        </w:rPr>
        <w:t xml:space="preserve"> D. Zanchet, </w:t>
      </w:r>
      <w:r w:rsidRPr="00162D58">
        <w:rPr>
          <w:i/>
          <w:iCs/>
          <w:lang w:val="pt-BR"/>
        </w:rPr>
        <w:t>Mol. Catal.</w:t>
      </w:r>
      <w:r>
        <w:rPr>
          <w:lang w:val="pt-BR"/>
        </w:rPr>
        <w:t xml:space="preserve">, </w:t>
      </w:r>
      <w:r w:rsidRPr="00162D58">
        <w:rPr>
          <w:b/>
          <w:bCs/>
          <w:lang w:val="pt-BR"/>
        </w:rPr>
        <w:t>2022</w:t>
      </w:r>
      <w:r>
        <w:rPr>
          <w:lang w:val="pt-BR"/>
        </w:rPr>
        <w:t>,</w:t>
      </w:r>
      <w:r w:rsidRPr="00162D58">
        <w:rPr>
          <w:lang w:val="pt-BR"/>
        </w:rPr>
        <w:t xml:space="preserve"> </w:t>
      </w:r>
      <w:r w:rsidRPr="00162D58">
        <w:rPr>
          <w:i/>
          <w:iCs/>
          <w:lang w:val="pt-BR"/>
        </w:rPr>
        <w:t>530</w:t>
      </w:r>
      <w:r>
        <w:rPr>
          <w:lang w:val="pt-BR"/>
        </w:rPr>
        <w:t xml:space="preserve">, </w:t>
      </w:r>
      <w:r w:rsidRPr="00162D58">
        <w:rPr>
          <w:lang w:val="pt-BR"/>
        </w:rPr>
        <w:t>112623.</w:t>
      </w:r>
    </w:p>
    <w:p w14:paraId="14EFA0FD" w14:textId="2222CD1F" w:rsidR="00B54DEB" w:rsidRDefault="00B54DEB" w:rsidP="00D57A92">
      <w:pPr>
        <w:pStyle w:val="TAMainText"/>
        <w:numPr>
          <w:ilvl w:val="0"/>
          <w:numId w:val="1"/>
        </w:numPr>
        <w:rPr>
          <w:lang w:val="pt-BR"/>
        </w:rPr>
      </w:pPr>
      <w:r w:rsidRPr="00B54DEB">
        <w:rPr>
          <w:lang w:val="pt-BR"/>
        </w:rPr>
        <w:t>K.A. Goulas</w:t>
      </w:r>
      <w:r>
        <w:rPr>
          <w:lang w:val="pt-BR"/>
        </w:rPr>
        <w:t>;</w:t>
      </w:r>
      <w:r w:rsidRPr="00B54DEB">
        <w:rPr>
          <w:lang w:val="pt-BR"/>
        </w:rPr>
        <w:t xml:space="preserve"> A.V. Mironenko</w:t>
      </w:r>
      <w:r>
        <w:rPr>
          <w:lang w:val="pt-BR"/>
        </w:rPr>
        <w:t>;</w:t>
      </w:r>
      <w:r w:rsidRPr="00B54DEB">
        <w:rPr>
          <w:lang w:val="pt-BR"/>
        </w:rPr>
        <w:t xml:space="preserve"> G.R. Jenness</w:t>
      </w:r>
      <w:r>
        <w:rPr>
          <w:lang w:val="pt-BR"/>
        </w:rPr>
        <w:t>;</w:t>
      </w:r>
      <w:r w:rsidRPr="00B54DEB">
        <w:rPr>
          <w:lang w:val="pt-BR"/>
        </w:rPr>
        <w:t xml:space="preserve"> T. Mazal</w:t>
      </w:r>
      <w:r>
        <w:rPr>
          <w:lang w:val="pt-BR"/>
        </w:rPr>
        <w:t>;</w:t>
      </w:r>
      <w:r w:rsidRPr="00B54DEB">
        <w:rPr>
          <w:lang w:val="pt-BR"/>
        </w:rPr>
        <w:t xml:space="preserve"> D.G. Vlachos, </w:t>
      </w:r>
      <w:r w:rsidRPr="00B54DEB">
        <w:rPr>
          <w:i/>
          <w:iCs/>
          <w:lang w:val="pt-BR"/>
        </w:rPr>
        <w:t>Nat. Catal.</w:t>
      </w:r>
      <w:r w:rsidRPr="00B54DEB">
        <w:rPr>
          <w:lang w:val="pt-BR"/>
        </w:rPr>
        <w:t xml:space="preserve">, </w:t>
      </w:r>
      <w:r w:rsidRPr="00B54DEB">
        <w:rPr>
          <w:b/>
          <w:bCs/>
          <w:lang w:val="pt-BR"/>
        </w:rPr>
        <w:t>2019</w:t>
      </w:r>
      <w:r>
        <w:rPr>
          <w:lang w:val="pt-BR"/>
        </w:rPr>
        <w:t xml:space="preserve">, </w:t>
      </w:r>
      <w:r w:rsidRPr="00B54DEB">
        <w:rPr>
          <w:i/>
          <w:iCs/>
          <w:lang w:val="pt-BR"/>
        </w:rPr>
        <w:t>2</w:t>
      </w:r>
      <w:r>
        <w:rPr>
          <w:lang w:val="pt-BR"/>
        </w:rPr>
        <w:t xml:space="preserve">, </w:t>
      </w:r>
      <w:r w:rsidRPr="00B54DEB">
        <w:rPr>
          <w:lang w:val="pt-BR"/>
        </w:rPr>
        <w:t>269-276.</w:t>
      </w:r>
    </w:p>
    <w:p w14:paraId="2C23E033" w14:textId="2C4872D4" w:rsidR="00C82571" w:rsidRDefault="00C82571" w:rsidP="00D57A92">
      <w:pPr>
        <w:pStyle w:val="TAMainText"/>
        <w:numPr>
          <w:ilvl w:val="0"/>
          <w:numId w:val="1"/>
        </w:numPr>
      </w:pPr>
      <w:r>
        <w:t xml:space="preserve">J. </w:t>
      </w:r>
      <w:r w:rsidRPr="00C82571">
        <w:t>Haber,</w:t>
      </w:r>
      <w:r>
        <w:t xml:space="preserve"> </w:t>
      </w:r>
      <w:r w:rsidRPr="00C82571">
        <w:rPr>
          <w:i/>
          <w:iCs/>
        </w:rPr>
        <w:t>Molybdenum compounds in heterogeneous catalysis</w:t>
      </w:r>
      <w:r w:rsidRPr="00C82571">
        <w:t xml:space="preserve">. In </w:t>
      </w:r>
      <w:r w:rsidRPr="00C82571">
        <w:rPr>
          <w:i/>
          <w:iCs/>
        </w:rPr>
        <w:t>Studies in Inorganic Chemistry</w:t>
      </w:r>
      <w:r>
        <w:t xml:space="preserve">, </w:t>
      </w:r>
      <w:r w:rsidRPr="00C82571">
        <w:t>Elsevier</w:t>
      </w:r>
      <w:r>
        <w:t xml:space="preserve">, </w:t>
      </w:r>
      <w:r w:rsidRPr="00C82571">
        <w:rPr>
          <w:b/>
          <w:bCs/>
        </w:rPr>
        <w:t>1994</w:t>
      </w:r>
      <w:r>
        <w:t>; Vol. 19, 477-617.</w:t>
      </w:r>
    </w:p>
    <w:p w14:paraId="4AB355FC" w14:textId="6D4796FF" w:rsidR="000953A4" w:rsidRDefault="000953A4" w:rsidP="00D57A92">
      <w:pPr>
        <w:pStyle w:val="TAMainText"/>
        <w:numPr>
          <w:ilvl w:val="0"/>
          <w:numId w:val="1"/>
        </w:numPr>
      </w:pPr>
      <w:r w:rsidRPr="000953A4">
        <w:t>T. Prasomsri</w:t>
      </w:r>
      <w:r>
        <w:t>;</w:t>
      </w:r>
      <w:r w:rsidRPr="000953A4">
        <w:t xml:space="preserve"> M. Shetty</w:t>
      </w:r>
      <w:r>
        <w:t>;</w:t>
      </w:r>
      <w:r w:rsidRPr="000953A4">
        <w:t xml:space="preserve"> K. Murugappan</w:t>
      </w:r>
      <w:r>
        <w:t>;</w:t>
      </w:r>
      <w:r w:rsidRPr="000953A4">
        <w:t xml:space="preserve"> Y. Román-Leshkov, </w:t>
      </w:r>
      <w:r w:rsidRPr="000953A4">
        <w:rPr>
          <w:i/>
          <w:iCs/>
        </w:rPr>
        <w:t>Energy Environ. Sci.</w:t>
      </w:r>
      <w:r>
        <w:t xml:space="preserve">, </w:t>
      </w:r>
      <w:r w:rsidRPr="000953A4">
        <w:rPr>
          <w:b/>
          <w:bCs/>
        </w:rPr>
        <w:t>2014</w:t>
      </w:r>
      <w:r>
        <w:t xml:space="preserve">, </w:t>
      </w:r>
      <w:r w:rsidRPr="000953A4">
        <w:rPr>
          <w:i/>
          <w:iCs/>
        </w:rPr>
        <w:t>7(8)</w:t>
      </w:r>
      <w:r>
        <w:t xml:space="preserve">, </w:t>
      </w:r>
      <w:r w:rsidRPr="000953A4">
        <w:t>2660-2669.</w:t>
      </w:r>
    </w:p>
    <w:p w14:paraId="5BFFA8CF" w14:textId="14CA08A9" w:rsidR="000953A4" w:rsidRDefault="000953A4" w:rsidP="00D57A92">
      <w:pPr>
        <w:pStyle w:val="TAMainText"/>
        <w:numPr>
          <w:ilvl w:val="0"/>
          <w:numId w:val="1"/>
        </w:numPr>
      </w:pPr>
      <w:r w:rsidRPr="000953A4">
        <w:t>M. Vosough</w:t>
      </w:r>
      <w:r>
        <w:t>;</w:t>
      </w:r>
      <w:r w:rsidRPr="000953A4">
        <w:t xml:space="preserve"> G.R. Khayati</w:t>
      </w:r>
      <w:r>
        <w:t>;</w:t>
      </w:r>
      <w:r w:rsidRPr="000953A4">
        <w:t xml:space="preserve"> S. Sharafi</w:t>
      </w:r>
      <w:r>
        <w:t>;</w:t>
      </w:r>
      <w:r w:rsidRPr="000953A4">
        <w:t xml:space="preserve"> </w:t>
      </w:r>
      <w:r w:rsidRPr="000953A4">
        <w:rPr>
          <w:i/>
          <w:iCs/>
        </w:rPr>
        <w:t>Thermochim. Acta</w:t>
      </w:r>
      <w:r w:rsidRPr="000953A4">
        <w:t>,</w:t>
      </w:r>
      <w:r>
        <w:t xml:space="preserve"> </w:t>
      </w:r>
      <w:r w:rsidRPr="000953A4">
        <w:rPr>
          <w:b/>
          <w:bCs/>
        </w:rPr>
        <w:t>2022</w:t>
      </w:r>
      <w:r>
        <w:t>,</w:t>
      </w:r>
      <w:r w:rsidRPr="000953A4">
        <w:t xml:space="preserve"> </w:t>
      </w:r>
      <w:r w:rsidRPr="000953A4">
        <w:rPr>
          <w:i/>
          <w:iCs/>
        </w:rPr>
        <w:t>715</w:t>
      </w:r>
      <w:r>
        <w:t xml:space="preserve">, </w:t>
      </w:r>
      <w:r w:rsidRPr="000953A4">
        <w:t>179289.</w:t>
      </w:r>
    </w:p>
    <w:p w14:paraId="68CEF2EC" w14:textId="453B3D0D" w:rsidR="00234712" w:rsidRDefault="00234712" w:rsidP="00D57A92">
      <w:pPr>
        <w:pStyle w:val="TAMainText"/>
        <w:numPr>
          <w:ilvl w:val="0"/>
          <w:numId w:val="1"/>
        </w:numPr>
      </w:pPr>
      <w:r w:rsidRPr="00234712">
        <w:t>J. Ethiraj</w:t>
      </w:r>
      <w:r>
        <w:t>;</w:t>
      </w:r>
      <w:r w:rsidRPr="00234712">
        <w:t xml:space="preserve"> D. Wagh</w:t>
      </w:r>
      <w:r>
        <w:t>;</w:t>
      </w:r>
      <w:r w:rsidRPr="00234712">
        <w:t xml:space="preserve"> H. Manyar, </w:t>
      </w:r>
      <w:r w:rsidRPr="00234712">
        <w:rPr>
          <w:i/>
          <w:iCs/>
        </w:rPr>
        <w:t>Energy Fuels</w:t>
      </w:r>
      <w:r w:rsidRPr="00234712">
        <w:t xml:space="preserve">, </w:t>
      </w:r>
      <w:r w:rsidRPr="00234712">
        <w:rPr>
          <w:b/>
          <w:bCs/>
        </w:rPr>
        <w:t>2022</w:t>
      </w:r>
      <w:r>
        <w:t xml:space="preserve">, </w:t>
      </w:r>
      <w:r w:rsidRPr="00234712">
        <w:rPr>
          <w:i/>
          <w:iCs/>
        </w:rPr>
        <w:t>36</w:t>
      </w:r>
      <w:r>
        <w:t xml:space="preserve">, </w:t>
      </w:r>
      <w:r w:rsidRPr="00234712">
        <w:t>1189-1204.</w:t>
      </w:r>
    </w:p>
    <w:p w14:paraId="4581747F" w14:textId="6C612291" w:rsidR="000953A4" w:rsidRDefault="000953A4" w:rsidP="00D57A92">
      <w:pPr>
        <w:pStyle w:val="TAMainText"/>
        <w:numPr>
          <w:ilvl w:val="0"/>
          <w:numId w:val="1"/>
        </w:numPr>
      </w:pPr>
      <w:r w:rsidRPr="000953A4">
        <w:t>M. Shetty</w:t>
      </w:r>
      <w:r>
        <w:t>;</w:t>
      </w:r>
      <w:r w:rsidRPr="000953A4">
        <w:t xml:space="preserve"> K. Murugappan</w:t>
      </w:r>
      <w:r>
        <w:t>;</w:t>
      </w:r>
      <w:r w:rsidRPr="000953A4">
        <w:t xml:space="preserve"> T. Prasomsri</w:t>
      </w:r>
      <w:r>
        <w:t>;</w:t>
      </w:r>
      <w:r w:rsidRPr="000953A4">
        <w:t xml:space="preserve"> W.H. Green</w:t>
      </w:r>
      <w:r>
        <w:t>;</w:t>
      </w:r>
      <w:r w:rsidRPr="000953A4">
        <w:t xml:space="preserve"> Y. Román-Leshkov</w:t>
      </w:r>
      <w:r>
        <w:t>;</w:t>
      </w:r>
      <w:r w:rsidRPr="000953A4">
        <w:t xml:space="preserve"> </w:t>
      </w:r>
      <w:r w:rsidRPr="000953A4">
        <w:rPr>
          <w:i/>
          <w:iCs/>
        </w:rPr>
        <w:t>J. Catal.</w:t>
      </w:r>
      <w:r>
        <w:t xml:space="preserve">, </w:t>
      </w:r>
      <w:r w:rsidRPr="000953A4">
        <w:rPr>
          <w:b/>
          <w:bCs/>
        </w:rPr>
        <w:t>2015</w:t>
      </w:r>
      <w:r>
        <w:t>,</w:t>
      </w:r>
      <w:r w:rsidRPr="000953A4">
        <w:t xml:space="preserve"> </w:t>
      </w:r>
      <w:r w:rsidRPr="000953A4">
        <w:rPr>
          <w:i/>
          <w:iCs/>
        </w:rPr>
        <w:t>331</w:t>
      </w:r>
      <w:r>
        <w:t xml:space="preserve">, </w:t>
      </w:r>
      <w:r w:rsidRPr="000953A4">
        <w:t>86-97.</w:t>
      </w:r>
    </w:p>
    <w:p w14:paraId="523705B1" w14:textId="61A16383" w:rsidR="000953A4" w:rsidRDefault="000953A4" w:rsidP="00D57A92">
      <w:pPr>
        <w:pStyle w:val="TAMainText"/>
        <w:numPr>
          <w:ilvl w:val="0"/>
          <w:numId w:val="1"/>
        </w:numPr>
      </w:pPr>
      <w:r w:rsidRPr="000953A4">
        <w:t>M. Shetty</w:t>
      </w:r>
      <w:r>
        <w:t>;</w:t>
      </w:r>
      <w:r w:rsidRPr="000953A4">
        <w:t xml:space="preserve"> K. Murugappan</w:t>
      </w:r>
      <w:r>
        <w:t>;</w:t>
      </w:r>
      <w:r w:rsidRPr="000953A4">
        <w:t xml:space="preserve"> W.H. Green</w:t>
      </w:r>
      <w:r>
        <w:t>;</w:t>
      </w:r>
      <w:r w:rsidRPr="000953A4">
        <w:t xml:space="preserve"> Y. Román-Leshkov, </w:t>
      </w:r>
      <w:r w:rsidRPr="000953A4">
        <w:rPr>
          <w:i/>
          <w:iCs/>
        </w:rPr>
        <w:t>ACS Sustainable Chem. Eng.</w:t>
      </w:r>
      <w:r>
        <w:t xml:space="preserve">, </w:t>
      </w:r>
      <w:r w:rsidRPr="000953A4">
        <w:rPr>
          <w:b/>
          <w:bCs/>
        </w:rPr>
        <w:t>2017</w:t>
      </w:r>
      <w:r>
        <w:t>,</w:t>
      </w:r>
      <w:r w:rsidRPr="000953A4">
        <w:t xml:space="preserve"> </w:t>
      </w:r>
      <w:r w:rsidRPr="000953A4">
        <w:rPr>
          <w:i/>
          <w:iCs/>
        </w:rPr>
        <w:t>5(6)</w:t>
      </w:r>
      <w:r>
        <w:t xml:space="preserve">, </w:t>
      </w:r>
      <w:r w:rsidRPr="000953A4">
        <w:t>5293-5301.</w:t>
      </w:r>
    </w:p>
    <w:p w14:paraId="44DC8F64" w14:textId="3CE5067F" w:rsidR="000953A4" w:rsidRDefault="000953A4" w:rsidP="00D57A92">
      <w:pPr>
        <w:pStyle w:val="TAMainText"/>
        <w:numPr>
          <w:ilvl w:val="0"/>
          <w:numId w:val="1"/>
        </w:numPr>
      </w:pPr>
      <w:r w:rsidRPr="000953A4">
        <w:t>M.W. Nolte</w:t>
      </w:r>
      <w:r>
        <w:t>;</w:t>
      </w:r>
      <w:r w:rsidRPr="000953A4">
        <w:t xml:space="preserve"> A. Saraeian</w:t>
      </w:r>
      <w:r>
        <w:t>;</w:t>
      </w:r>
      <w:r w:rsidRPr="000953A4">
        <w:t xml:space="preserve"> B.H. Shanks, </w:t>
      </w:r>
      <w:r w:rsidRPr="000953A4">
        <w:rPr>
          <w:i/>
          <w:iCs/>
        </w:rPr>
        <w:t>Green Chem.</w:t>
      </w:r>
      <w:r>
        <w:t xml:space="preserve">, </w:t>
      </w:r>
      <w:r w:rsidRPr="000953A4">
        <w:rPr>
          <w:b/>
          <w:bCs/>
        </w:rPr>
        <w:t>2017</w:t>
      </w:r>
      <w:r>
        <w:t>,</w:t>
      </w:r>
      <w:r w:rsidRPr="000953A4">
        <w:t xml:space="preserve"> </w:t>
      </w:r>
      <w:r w:rsidRPr="000953A4">
        <w:rPr>
          <w:i/>
          <w:iCs/>
        </w:rPr>
        <w:t>19</w:t>
      </w:r>
      <w:r>
        <w:t xml:space="preserve">, </w:t>
      </w:r>
      <w:r w:rsidRPr="000953A4">
        <w:t>3654-3664.</w:t>
      </w:r>
    </w:p>
    <w:p w14:paraId="01BCA778" w14:textId="2790883E" w:rsidR="000953A4" w:rsidRDefault="000953A4" w:rsidP="00D57A92">
      <w:pPr>
        <w:pStyle w:val="TAMainText"/>
        <w:numPr>
          <w:ilvl w:val="0"/>
          <w:numId w:val="1"/>
        </w:numPr>
      </w:pPr>
      <w:r w:rsidRPr="000953A4">
        <w:t>X. Zhang</w:t>
      </w:r>
      <w:r>
        <w:t>;</w:t>
      </w:r>
      <w:r w:rsidRPr="000953A4">
        <w:t xml:space="preserve"> J. Tang</w:t>
      </w:r>
      <w:r>
        <w:t>;</w:t>
      </w:r>
      <w:r w:rsidRPr="000953A4">
        <w:t xml:space="preserve"> Q. Zhang</w:t>
      </w:r>
      <w:r>
        <w:t>;</w:t>
      </w:r>
      <w:r w:rsidRPr="000953A4">
        <w:t xml:space="preserve"> Q. Liu</w:t>
      </w:r>
      <w:r>
        <w:t>;</w:t>
      </w:r>
      <w:r w:rsidRPr="000953A4">
        <w:t xml:space="preserve"> Y. Li</w:t>
      </w:r>
      <w:r>
        <w:t>;</w:t>
      </w:r>
      <w:r w:rsidRPr="000953A4">
        <w:t xml:space="preserve"> L. Chen</w:t>
      </w:r>
      <w:r>
        <w:t>;</w:t>
      </w:r>
      <w:r w:rsidRPr="000953A4">
        <w:t xml:space="preserve"> C. Wang</w:t>
      </w:r>
      <w:r>
        <w:t>;</w:t>
      </w:r>
      <w:r w:rsidRPr="000953A4">
        <w:t xml:space="preserve"> L. Ma, </w:t>
      </w:r>
      <w:r w:rsidRPr="000953A4">
        <w:rPr>
          <w:i/>
          <w:iCs/>
        </w:rPr>
        <w:t>Catal. Today</w:t>
      </w:r>
      <w:r>
        <w:t xml:space="preserve">, </w:t>
      </w:r>
      <w:r w:rsidRPr="000953A4">
        <w:rPr>
          <w:b/>
          <w:bCs/>
        </w:rPr>
        <w:t>2019</w:t>
      </w:r>
      <w:r>
        <w:t>,</w:t>
      </w:r>
      <w:r w:rsidRPr="000953A4">
        <w:t xml:space="preserve"> </w:t>
      </w:r>
      <w:r w:rsidRPr="000953A4">
        <w:rPr>
          <w:i/>
          <w:iCs/>
        </w:rPr>
        <w:t>319</w:t>
      </w:r>
      <w:r>
        <w:t xml:space="preserve">, </w:t>
      </w:r>
      <w:r w:rsidRPr="000953A4">
        <w:t>41-47.</w:t>
      </w:r>
    </w:p>
    <w:p w14:paraId="0C26A6F5" w14:textId="1B868540" w:rsidR="000953A4" w:rsidRDefault="000953A4" w:rsidP="00D57A92">
      <w:pPr>
        <w:pStyle w:val="TAMainText"/>
        <w:numPr>
          <w:ilvl w:val="0"/>
          <w:numId w:val="1"/>
        </w:numPr>
      </w:pPr>
      <w:r w:rsidRPr="000953A4">
        <w:t>A. Saraeian</w:t>
      </w:r>
      <w:r>
        <w:t>;</w:t>
      </w:r>
      <w:r w:rsidRPr="000953A4">
        <w:t xml:space="preserve"> S.J. Burkhow</w:t>
      </w:r>
      <w:r>
        <w:t>;</w:t>
      </w:r>
      <w:r w:rsidRPr="000953A4">
        <w:t xml:space="preserve"> D. Jing</w:t>
      </w:r>
      <w:r>
        <w:t>;</w:t>
      </w:r>
      <w:r w:rsidRPr="000953A4">
        <w:t xml:space="preserve"> E.A. Smith</w:t>
      </w:r>
      <w:r>
        <w:t>;</w:t>
      </w:r>
      <w:r w:rsidRPr="000953A4">
        <w:t xml:space="preserve"> B.H. Shanks, </w:t>
      </w:r>
      <w:r w:rsidRPr="00DC0ED2">
        <w:rPr>
          <w:i/>
          <w:iCs/>
        </w:rPr>
        <w:t>ACS Sustainable Chem. Eng.</w:t>
      </w:r>
      <w:r w:rsidR="00DC0ED2">
        <w:t xml:space="preserve">, </w:t>
      </w:r>
      <w:r w:rsidR="00DC0ED2" w:rsidRPr="00DC0ED2">
        <w:rPr>
          <w:b/>
          <w:bCs/>
        </w:rPr>
        <w:t>2021</w:t>
      </w:r>
      <w:r w:rsidR="00DC0ED2">
        <w:t>,</w:t>
      </w:r>
      <w:r w:rsidRPr="000953A4">
        <w:t xml:space="preserve"> </w:t>
      </w:r>
      <w:r w:rsidRPr="00DC0ED2">
        <w:rPr>
          <w:i/>
          <w:iCs/>
        </w:rPr>
        <w:t>9(19)</w:t>
      </w:r>
      <w:r w:rsidR="00DC0ED2">
        <w:t>,</w:t>
      </w:r>
      <w:r w:rsidRPr="000953A4">
        <w:t xml:space="preserve"> 6685-6696.</w:t>
      </w:r>
    </w:p>
    <w:p w14:paraId="12B2A23F" w14:textId="0E7564D3" w:rsidR="00C66631" w:rsidRDefault="00C66631" w:rsidP="00D57A92">
      <w:pPr>
        <w:pStyle w:val="TAMainText"/>
        <w:numPr>
          <w:ilvl w:val="0"/>
          <w:numId w:val="1"/>
        </w:numPr>
      </w:pPr>
      <w:r>
        <w:t xml:space="preserve">J. </w:t>
      </w:r>
      <w:r w:rsidRPr="00C66631">
        <w:t>Baltrusaitis</w:t>
      </w:r>
      <w:r>
        <w:t>; B.</w:t>
      </w:r>
      <w:r w:rsidRPr="00C66631">
        <w:t xml:space="preserve"> Mendoza-Sanchez</w:t>
      </w:r>
      <w:r>
        <w:t>; V.</w:t>
      </w:r>
      <w:r w:rsidRPr="00C66631">
        <w:t xml:space="preserve"> Fernandez</w:t>
      </w:r>
      <w:r>
        <w:t>; R.</w:t>
      </w:r>
      <w:r w:rsidRPr="00C66631">
        <w:t xml:space="preserve"> Veenstra</w:t>
      </w:r>
      <w:r>
        <w:t>; N.</w:t>
      </w:r>
      <w:r w:rsidRPr="00C66631">
        <w:t xml:space="preserve"> Dukstiene</w:t>
      </w:r>
      <w:r>
        <w:t>; A.</w:t>
      </w:r>
      <w:r w:rsidRPr="00C66631">
        <w:t xml:space="preserve"> Roberts</w:t>
      </w:r>
      <w:r>
        <w:t>; N.</w:t>
      </w:r>
      <w:r w:rsidRPr="00C66631">
        <w:t xml:space="preserve"> Fairley,</w:t>
      </w:r>
      <w:r>
        <w:t xml:space="preserve"> </w:t>
      </w:r>
      <w:r w:rsidRPr="00C66631">
        <w:rPr>
          <w:i/>
          <w:iCs/>
        </w:rPr>
        <w:t>Appl. Surf. Sci.</w:t>
      </w:r>
      <w:r>
        <w:t xml:space="preserve">, </w:t>
      </w:r>
      <w:r w:rsidRPr="00C66631">
        <w:rPr>
          <w:b/>
          <w:bCs/>
        </w:rPr>
        <w:t>2015</w:t>
      </w:r>
      <w:r>
        <w:t>,</w:t>
      </w:r>
      <w:r w:rsidRPr="00C66631">
        <w:t xml:space="preserve"> </w:t>
      </w:r>
      <w:r w:rsidRPr="00C66631">
        <w:rPr>
          <w:i/>
          <w:iCs/>
        </w:rPr>
        <w:t>326</w:t>
      </w:r>
      <w:r w:rsidRPr="00C66631">
        <w:t>, 151-161.</w:t>
      </w:r>
    </w:p>
    <w:p w14:paraId="48A9A035" w14:textId="2AE68D6E" w:rsidR="00C66631" w:rsidRDefault="00C66631" w:rsidP="00D57A92">
      <w:pPr>
        <w:pStyle w:val="TAMainText"/>
        <w:numPr>
          <w:ilvl w:val="0"/>
          <w:numId w:val="1"/>
        </w:numPr>
      </w:pPr>
      <w:r w:rsidRPr="00C66631">
        <w:t>D.O. Scanlon</w:t>
      </w:r>
      <w:r>
        <w:t>;</w:t>
      </w:r>
      <w:r w:rsidRPr="00C66631">
        <w:t xml:space="preserve"> G.W. Watson</w:t>
      </w:r>
      <w:r>
        <w:t>;</w:t>
      </w:r>
      <w:r w:rsidRPr="00C66631">
        <w:t xml:space="preserve"> D.J. Payne</w:t>
      </w:r>
      <w:r>
        <w:t>;</w:t>
      </w:r>
      <w:r w:rsidRPr="00C66631">
        <w:t xml:space="preserve"> G.R. Atkinson</w:t>
      </w:r>
      <w:r>
        <w:t>;</w:t>
      </w:r>
      <w:r w:rsidRPr="00C66631">
        <w:t xml:space="preserve"> R.G. Egdell</w:t>
      </w:r>
      <w:r>
        <w:t>;</w:t>
      </w:r>
      <w:r w:rsidRPr="00C66631">
        <w:t xml:space="preserve"> D.S.L. Law, </w:t>
      </w:r>
      <w:r w:rsidRPr="00C66631">
        <w:rPr>
          <w:i/>
          <w:iCs/>
        </w:rPr>
        <w:t>J. Phys. Chem. C</w:t>
      </w:r>
      <w:r>
        <w:t xml:space="preserve">, </w:t>
      </w:r>
      <w:r w:rsidRPr="00C66631">
        <w:rPr>
          <w:b/>
          <w:bCs/>
        </w:rPr>
        <w:t>2010</w:t>
      </w:r>
      <w:r>
        <w:t>,</w:t>
      </w:r>
      <w:r w:rsidRPr="00C66631">
        <w:t xml:space="preserve"> </w:t>
      </w:r>
      <w:r w:rsidRPr="00C66631">
        <w:rPr>
          <w:i/>
          <w:iCs/>
        </w:rPr>
        <w:t>114(10)</w:t>
      </w:r>
      <w:r>
        <w:t xml:space="preserve">, </w:t>
      </w:r>
      <w:r w:rsidRPr="00C66631">
        <w:t>4636-4645.</w:t>
      </w:r>
    </w:p>
    <w:p w14:paraId="2416A125" w14:textId="33B69349" w:rsidR="007A3D78" w:rsidRDefault="007A3D78" w:rsidP="00D57A92">
      <w:pPr>
        <w:pStyle w:val="TAMainText"/>
        <w:numPr>
          <w:ilvl w:val="0"/>
          <w:numId w:val="1"/>
        </w:numPr>
      </w:pPr>
      <w:r w:rsidRPr="007A3D78">
        <w:t>A. Kurlov</w:t>
      </w:r>
      <w:r>
        <w:t>;</w:t>
      </w:r>
      <w:r w:rsidRPr="007A3D78">
        <w:t xml:space="preserve"> X. Huang</w:t>
      </w:r>
      <w:r>
        <w:t>;</w:t>
      </w:r>
      <w:r w:rsidRPr="007A3D78">
        <w:t xml:space="preserve"> E.B. Deeva</w:t>
      </w:r>
      <w:r>
        <w:t>;</w:t>
      </w:r>
      <w:r w:rsidRPr="007A3D78">
        <w:t xml:space="preserve"> P.M. Abdala</w:t>
      </w:r>
      <w:r>
        <w:t>;</w:t>
      </w:r>
      <w:r w:rsidRPr="007A3D78">
        <w:t xml:space="preserve"> A. Fedorov</w:t>
      </w:r>
      <w:r>
        <w:t>;</w:t>
      </w:r>
      <w:r w:rsidRPr="007A3D78">
        <w:t xml:space="preserve"> C.R. Müller, </w:t>
      </w:r>
      <w:r w:rsidRPr="007A3D78">
        <w:rPr>
          <w:i/>
          <w:iCs/>
        </w:rPr>
        <w:t>Nanoscale</w:t>
      </w:r>
      <w:r>
        <w:t xml:space="preserve">, </w:t>
      </w:r>
      <w:r w:rsidRPr="007A3D78">
        <w:rPr>
          <w:b/>
          <w:bCs/>
        </w:rPr>
        <w:t>2020</w:t>
      </w:r>
      <w:r>
        <w:t>,</w:t>
      </w:r>
      <w:r w:rsidRPr="007A3D78">
        <w:t xml:space="preserve"> </w:t>
      </w:r>
      <w:r w:rsidRPr="007A3D78">
        <w:rPr>
          <w:i/>
          <w:iCs/>
        </w:rPr>
        <w:t>12(24)</w:t>
      </w:r>
      <w:r>
        <w:t>,</w:t>
      </w:r>
      <w:r w:rsidRPr="007A3D78">
        <w:t xml:space="preserve"> 13086-13094.</w:t>
      </w:r>
    </w:p>
    <w:p w14:paraId="7E3D1B07" w14:textId="6B485C35" w:rsidR="007A3D78" w:rsidRDefault="007A3D78" w:rsidP="00D57A92">
      <w:pPr>
        <w:pStyle w:val="TAMainText"/>
        <w:numPr>
          <w:ilvl w:val="0"/>
          <w:numId w:val="1"/>
        </w:numPr>
      </w:pPr>
      <w:r w:rsidRPr="007A3D78">
        <w:rPr>
          <w:lang w:val="pt-BR"/>
        </w:rPr>
        <w:t>P. Delporte</w:t>
      </w:r>
      <w:r>
        <w:rPr>
          <w:lang w:val="pt-BR"/>
        </w:rPr>
        <w:t>;</w:t>
      </w:r>
      <w:r w:rsidRPr="007A3D78">
        <w:rPr>
          <w:lang w:val="pt-BR"/>
        </w:rPr>
        <w:t xml:space="preserve"> F. Meunier</w:t>
      </w:r>
      <w:r>
        <w:rPr>
          <w:lang w:val="pt-BR"/>
        </w:rPr>
        <w:t>;</w:t>
      </w:r>
      <w:r w:rsidRPr="007A3D78">
        <w:rPr>
          <w:lang w:val="pt-BR"/>
        </w:rPr>
        <w:t xml:space="preserve"> C. Pham-Huu</w:t>
      </w:r>
      <w:r>
        <w:rPr>
          <w:lang w:val="pt-BR"/>
        </w:rPr>
        <w:t>;</w:t>
      </w:r>
      <w:r w:rsidRPr="007A3D78">
        <w:rPr>
          <w:lang w:val="pt-BR"/>
        </w:rPr>
        <w:t xml:space="preserve"> P. Vennegues</w:t>
      </w:r>
      <w:r>
        <w:rPr>
          <w:lang w:val="pt-BR"/>
        </w:rPr>
        <w:t>;</w:t>
      </w:r>
      <w:r w:rsidRPr="007A3D78">
        <w:rPr>
          <w:lang w:val="pt-BR"/>
        </w:rPr>
        <w:t xml:space="preserve"> M.J. Ledou</w:t>
      </w:r>
      <w:r>
        <w:rPr>
          <w:lang w:val="pt-BR"/>
        </w:rPr>
        <w:t>x;</w:t>
      </w:r>
      <w:r w:rsidRPr="007A3D78">
        <w:rPr>
          <w:lang w:val="pt-BR"/>
        </w:rPr>
        <w:t xml:space="preserve"> J. Guille, </w:t>
      </w:r>
      <w:r w:rsidRPr="007A3D78">
        <w:rPr>
          <w:i/>
          <w:iCs/>
          <w:lang w:val="pt-BR"/>
        </w:rPr>
        <w:t xml:space="preserve">Catal. </w:t>
      </w:r>
      <w:r w:rsidRPr="007A3D78">
        <w:rPr>
          <w:i/>
          <w:iCs/>
        </w:rPr>
        <w:t>Today</w:t>
      </w:r>
      <w:r>
        <w:t xml:space="preserve">, </w:t>
      </w:r>
      <w:r w:rsidRPr="007A3D78">
        <w:rPr>
          <w:b/>
          <w:bCs/>
        </w:rPr>
        <w:t>1995</w:t>
      </w:r>
      <w:r>
        <w:t>,</w:t>
      </w:r>
      <w:r w:rsidRPr="007A3D78">
        <w:t xml:space="preserve"> </w:t>
      </w:r>
      <w:r w:rsidRPr="007A3D78">
        <w:rPr>
          <w:i/>
          <w:iCs/>
        </w:rPr>
        <w:t>23(3)</w:t>
      </w:r>
      <w:r>
        <w:t xml:space="preserve">, </w:t>
      </w:r>
      <w:r w:rsidRPr="007A3D78">
        <w:t>251-267.</w:t>
      </w:r>
    </w:p>
    <w:p w14:paraId="52065EE1" w14:textId="66AD843B" w:rsidR="007A3D78" w:rsidRDefault="007A3D78" w:rsidP="00D57A92">
      <w:pPr>
        <w:pStyle w:val="TAMainText"/>
        <w:numPr>
          <w:ilvl w:val="0"/>
          <w:numId w:val="1"/>
        </w:numPr>
      </w:pPr>
      <w:r w:rsidRPr="007A3D78">
        <w:t>S.R.J. Likith</w:t>
      </w:r>
      <w:r>
        <w:t>;</w:t>
      </w:r>
      <w:r w:rsidRPr="007A3D78">
        <w:t xml:space="preserve"> C.A. Farberow</w:t>
      </w:r>
      <w:r>
        <w:t>;</w:t>
      </w:r>
      <w:r w:rsidRPr="007A3D78">
        <w:t xml:space="preserve"> S. Manna</w:t>
      </w:r>
      <w:r>
        <w:t>;</w:t>
      </w:r>
      <w:r w:rsidRPr="007A3D78">
        <w:t xml:space="preserve"> A. Abdulslam</w:t>
      </w:r>
      <w:r>
        <w:t>;</w:t>
      </w:r>
      <w:r w:rsidRPr="007A3D78">
        <w:t xml:space="preserve"> V. Stevanovic</w:t>
      </w:r>
      <w:r>
        <w:t>;</w:t>
      </w:r>
      <w:r w:rsidRPr="007A3D78">
        <w:t xml:space="preserve"> D.A. Ruddy</w:t>
      </w:r>
      <w:r>
        <w:t>;</w:t>
      </w:r>
      <w:r w:rsidRPr="007A3D78">
        <w:t xml:space="preserve"> J.A. Schaidle</w:t>
      </w:r>
      <w:r>
        <w:t>;</w:t>
      </w:r>
      <w:r w:rsidRPr="007A3D78">
        <w:t xml:space="preserve"> D.J. Robichaud</w:t>
      </w:r>
      <w:r>
        <w:t>;</w:t>
      </w:r>
      <w:r w:rsidRPr="007A3D78">
        <w:t xml:space="preserve"> C.V. Ciobanu, </w:t>
      </w:r>
      <w:r w:rsidRPr="007A3D78">
        <w:rPr>
          <w:i/>
          <w:iCs/>
        </w:rPr>
        <w:t>J. Phys. Chem. C</w:t>
      </w:r>
      <w:r>
        <w:t xml:space="preserve">, </w:t>
      </w:r>
      <w:r w:rsidRPr="007A3D78">
        <w:rPr>
          <w:b/>
          <w:bCs/>
        </w:rPr>
        <w:t>2018</w:t>
      </w:r>
      <w:r>
        <w:t>,</w:t>
      </w:r>
      <w:r w:rsidRPr="007A3D78">
        <w:t xml:space="preserve"> </w:t>
      </w:r>
      <w:r w:rsidRPr="007A3D78">
        <w:rPr>
          <w:i/>
          <w:iCs/>
        </w:rPr>
        <w:t>122(2)</w:t>
      </w:r>
      <w:r>
        <w:t>,</w:t>
      </w:r>
      <w:r w:rsidRPr="007A3D78">
        <w:t xml:space="preserve"> 1223-1233.</w:t>
      </w:r>
    </w:p>
    <w:p w14:paraId="58716424" w14:textId="6C68D03B" w:rsidR="007B4B2B" w:rsidRDefault="007A3D78" w:rsidP="00EA4E1B">
      <w:pPr>
        <w:pStyle w:val="TAMainText"/>
        <w:numPr>
          <w:ilvl w:val="0"/>
          <w:numId w:val="1"/>
        </w:numPr>
      </w:pPr>
      <w:r w:rsidRPr="007A3D78">
        <w:t>C. Bouchy</w:t>
      </w:r>
      <w:r>
        <w:t>;</w:t>
      </w:r>
      <w:r w:rsidRPr="007A3D78">
        <w:t xml:space="preserve"> C. Pham-Huu</w:t>
      </w:r>
      <w:r>
        <w:t>;</w:t>
      </w:r>
      <w:r w:rsidRPr="007A3D78">
        <w:t xml:space="preserve"> B. Heinrich</w:t>
      </w:r>
      <w:r>
        <w:t>;</w:t>
      </w:r>
      <w:r w:rsidRPr="007A3D78">
        <w:t xml:space="preserve"> E.G. Derouane</w:t>
      </w:r>
      <w:r w:rsidR="00AD4A83">
        <w:t>;</w:t>
      </w:r>
      <w:r w:rsidRPr="007A3D78">
        <w:t xml:space="preserve"> S.B. Derouane-Abd Hamid</w:t>
      </w:r>
      <w:r w:rsidR="00AD4A83">
        <w:t>;</w:t>
      </w:r>
      <w:r w:rsidRPr="007A3D78">
        <w:t xml:space="preserve"> M.J. Ledoux, </w:t>
      </w:r>
      <w:r w:rsidRPr="00AD4A83">
        <w:rPr>
          <w:i/>
          <w:iCs/>
        </w:rPr>
        <w:t>Appl. Catal.</w:t>
      </w:r>
      <w:r w:rsidR="00AD4A83">
        <w:t xml:space="preserve">, </w:t>
      </w:r>
      <w:r w:rsidR="00AD4A83" w:rsidRPr="00AD4A83">
        <w:rPr>
          <w:b/>
          <w:bCs/>
        </w:rPr>
        <w:t>2001</w:t>
      </w:r>
      <w:r w:rsidR="00AD4A83">
        <w:t>,</w:t>
      </w:r>
      <w:r w:rsidRPr="007A3D78">
        <w:t xml:space="preserve"> </w:t>
      </w:r>
      <w:r w:rsidRPr="00AD4A83">
        <w:rPr>
          <w:i/>
          <w:iCs/>
        </w:rPr>
        <w:t>215(1-2)</w:t>
      </w:r>
      <w:r w:rsidR="00AD4A83">
        <w:t>, 1</w:t>
      </w:r>
      <w:r w:rsidRPr="007A3D78">
        <w:t>75-184.</w:t>
      </w:r>
    </w:p>
    <w:p w14:paraId="5B72DCA8" w14:textId="77777777" w:rsidR="004C2FE6" w:rsidRDefault="004C2FE6" w:rsidP="004C2FE6">
      <w:pPr>
        <w:pStyle w:val="TAMainText"/>
        <w:numPr>
          <w:ilvl w:val="0"/>
          <w:numId w:val="1"/>
        </w:numPr>
      </w:pPr>
      <w:r w:rsidRPr="00856EB1">
        <w:t>X. Yi</w:t>
      </w:r>
      <w:r>
        <w:t>;</w:t>
      </w:r>
      <w:r w:rsidRPr="00856EB1">
        <w:t xml:space="preserve"> H.H. Ko</w:t>
      </w:r>
      <w:r>
        <w:t>;</w:t>
      </w:r>
      <w:r w:rsidRPr="00856EB1">
        <w:t xml:space="preserve"> F. Deng</w:t>
      </w:r>
      <w:r>
        <w:t>;</w:t>
      </w:r>
      <w:r w:rsidRPr="00856EB1">
        <w:t xml:space="preserve"> S.B. Liu</w:t>
      </w:r>
      <w:r>
        <w:t>;</w:t>
      </w:r>
      <w:r w:rsidRPr="00856EB1">
        <w:t xml:space="preserve"> A. Zheng</w:t>
      </w:r>
      <w:r>
        <w:t>;</w:t>
      </w:r>
      <w:r w:rsidRPr="00856EB1">
        <w:t xml:space="preserve"> </w:t>
      </w:r>
      <w:r w:rsidRPr="00856EB1">
        <w:rPr>
          <w:i/>
          <w:iCs/>
        </w:rPr>
        <w:t>Nature Protocols</w:t>
      </w:r>
      <w:r>
        <w:t xml:space="preserve">, </w:t>
      </w:r>
      <w:r w:rsidRPr="00856EB1">
        <w:rPr>
          <w:b/>
          <w:bCs/>
        </w:rPr>
        <w:t>2020</w:t>
      </w:r>
      <w:r>
        <w:t>,</w:t>
      </w:r>
      <w:r w:rsidRPr="00856EB1">
        <w:t xml:space="preserve"> </w:t>
      </w:r>
      <w:r w:rsidRPr="00856EB1">
        <w:rPr>
          <w:i/>
          <w:iCs/>
        </w:rPr>
        <w:t>15(10)</w:t>
      </w:r>
      <w:r>
        <w:t xml:space="preserve">, </w:t>
      </w:r>
      <w:r w:rsidRPr="00856EB1">
        <w:t>3527-3555.</w:t>
      </w:r>
    </w:p>
    <w:p w14:paraId="6087FD95" w14:textId="77777777" w:rsidR="004C2FE6" w:rsidRDefault="004C2FE6" w:rsidP="004C2FE6">
      <w:pPr>
        <w:pStyle w:val="TAMainText"/>
        <w:numPr>
          <w:ilvl w:val="0"/>
          <w:numId w:val="1"/>
        </w:numPr>
      </w:pPr>
      <w:r w:rsidRPr="00DF21AE">
        <w:t>P.V. Wiper</w:t>
      </w:r>
      <w:r>
        <w:t>;</w:t>
      </w:r>
      <w:r w:rsidRPr="00DF21AE">
        <w:t xml:space="preserve"> J. Amelse</w:t>
      </w:r>
      <w:r>
        <w:t>;</w:t>
      </w:r>
      <w:r w:rsidRPr="00DF21AE">
        <w:t xml:space="preserve"> L. Mafra, </w:t>
      </w:r>
      <w:r w:rsidRPr="00DF21AE">
        <w:rPr>
          <w:i/>
          <w:iCs/>
        </w:rPr>
        <w:t>J. Catal.</w:t>
      </w:r>
      <w:r>
        <w:t xml:space="preserve">, </w:t>
      </w:r>
      <w:r w:rsidRPr="00DF21AE">
        <w:rPr>
          <w:b/>
          <w:bCs/>
        </w:rPr>
        <w:t>2014</w:t>
      </w:r>
      <w:r>
        <w:t>,</w:t>
      </w:r>
      <w:r w:rsidRPr="00DF21AE">
        <w:t xml:space="preserve"> </w:t>
      </w:r>
      <w:r w:rsidRPr="00DF21AE">
        <w:rPr>
          <w:i/>
          <w:iCs/>
        </w:rPr>
        <w:t>316</w:t>
      </w:r>
      <w:r>
        <w:t>,</w:t>
      </w:r>
      <w:r w:rsidRPr="00DF21AE">
        <w:t xml:space="preserve"> 240-250.</w:t>
      </w:r>
    </w:p>
    <w:p w14:paraId="0C094A44" w14:textId="4E508B8C" w:rsidR="004C2FE6" w:rsidRPr="00EA4E1B" w:rsidRDefault="004C2FE6" w:rsidP="004C2FE6">
      <w:pPr>
        <w:pStyle w:val="TAMainText"/>
        <w:numPr>
          <w:ilvl w:val="0"/>
          <w:numId w:val="1"/>
        </w:numPr>
      </w:pPr>
      <w:r w:rsidRPr="00DF21AE">
        <w:t>S. Lang</w:t>
      </w:r>
      <w:r>
        <w:t>;</w:t>
      </w:r>
      <w:r w:rsidRPr="00DF21AE">
        <w:t xml:space="preserve"> M. Benz</w:t>
      </w:r>
      <w:r>
        <w:t>;</w:t>
      </w:r>
      <w:r w:rsidRPr="00DF21AE">
        <w:t xml:space="preserve"> U. Obenaus</w:t>
      </w:r>
      <w:r>
        <w:t>;</w:t>
      </w:r>
      <w:r w:rsidRPr="00DF21AE">
        <w:t xml:space="preserve"> R. Himmelmann</w:t>
      </w:r>
      <w:r>
        <w:t>;</w:t>
      </w:r>
      <w:r w:rsidRPr="00DF21AE">
        <w:t xml:space="preserve"> M. Hunger, </w:t>
      </w:r>
      <w:r w:rsidRPr="00DF21AE">
        <w:rPr>
          <w:i/>
          <w:iCs/>
        </w:rPr>
        <w:t>ChemCatChem</w:t>
      </w:r>
      <w:r>
        <w:t xml:space="preserve">, </w:t>
      </w:r>
      <w:r w:rsidRPr="00DF21AE">
        <w:rPr>
          <w:b/>
          <w:bCs/>
        </w:rPr>
        <w:t>2016</w:t>
      </w:r>
      <w:r>
        <w:t>,</w:t>
      </w:r>
      <w:r w:rsidRPr="00DF21AE">
        <w:t xml:space="preserve"> </w:t>
      </w:r>
      <w:r w:rsidRPr="00DF21AE">
        <w:rPr>
          <w:i/>
          <w:iCs/>
        </w:rPr>
        <w:t>8(12)</w:t>
      </w:r>
      <w:r>
        <w:t xml:space="preserve">, </w:t>
      </w:r>
      <w:r w:rsidRPr="00DF21AE">
        <w:t>2031-2036.</w:t>
      </w:r>
    </w:p>
    <w:sectPr w:rsidR="004C2FE6"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408C" w14:textId="77777777" w:rsidR="00350100" w:rsidRDefault="00350100" w:rsidP="00EA4E1B">
      <w:pPr>
        <w:spacing w:after="0" w:line="240" w:lineRule="auto"/>
      </w:pPr>
      <w:r>
        <w:separator/>
      </w:r>
    </w:p>
  </w:endnote>
  <w:endnote w:type="continuationSeparator" w:id="0">
    <w:p w14:paraId="126EB5F3" w14:textId="77777777" w:rsidR="00350100" w:rsidRDefault="00350100"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58B7" w14:textId="77777777" w:rsidR="00350100" w:rsidRDefault="00350100" w:rsidP="00EA4E1B">
      <w:pPr>
        <w:spacing w:after="0" w:line="240" w:lineRule="auto"/>
      </w:pPr>
      <w:r>
        <w:separator/>
      </w:r>
    </w:p>
  </w:footnote>
  <w:footnote w:type="continuationSeparator" w:id="0">
    <w:p w14:paraId="6BA94A63" w14:textId="77777777" w:rsidR="00350100" w:rsidRDefault="00350100"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628B"/>
    <w:rsid w:val="00061A72"/>
    <w:rsid w:val="000953A4"/>
    <w:rsid w:val="000F1D24"/>
    <w:rsid w:val="00151D37"/>
    <w:rsid w:val="00162D58"/>
    <w:rsid w:val="001A7071"/>
    <w:rsid w:val="001D76B2"/>
    <w:rsid w:val="001E58A9"/>
    <w:rsid w:val="001E61BC"/>
    <w:rsid w:val="001F25B2"/>
    <w:rsid w:val="00222230"/>
    <w:rsid w:val="00234712"/>
    <w:rsid w:val="002823A3"/>
    <w:rsid w:val="002E10FC"/>
    <w:rsid w:val="00340B1E"/>
    <w:rsid w:val="00350100"/>
    <w:rsid w:val="00386409"/>
    <w:rsid w:val="003C75CA"/>
    <w:rsid w:val="003D0F9F"/>
    <w:rsid w:val="003F7BCD"/>
    <w:rsid w:val="003F7C43"/>
    <w:rsid w:val="00402F3E"/>
    <w:rsid w:val="00433B94"/>
    <w:rsid w:val="00450CDC"/>
    <w:rsid w:val="00451E62"/>
    <w:rsid w:val="00467AF9"/>
    <w:rsid w:val="004C2FE6"/>
    <w:rsid w:val="004F3F42"/>
    <w:rsid w:val="00513EB9"/>
    <w:rsid w:val="0052112E"/>
    <w:rsid w:val="00532F2D"/>
    <w:rsid w:val="00591331"/>
    <w:rsid w:val="005B71C3"/>
    <w:rsid w:val="005C0CE8"/>
    <w:rsid w:val="005C2775"/>
    <w:rsid w:val="005C7B1D"/>
    <w:rsid w:val="005D65EB"/>
    <w:rsid w:val="00604718"/>
    <w:rsid w:val="00652815"/>
    <w:rsid w:val="0068203B"/>
    <w:rsid w:val="006D346C"/>
    <w:rsid w:val="006E3492"/>
    <w:rsid w:val="006F244D"/>
    <w:rsid w:val="006F599B"/>
    <w:rsid w:val="00717D2E"/>
    <w:rsid w:val="00720803"/>
    <w:rsid w:val="007670A0"/>
    <w:rsid w:val="00777DEE"/>
    <w:rsid w:val="00781685"/>
    <w:rsid w:val="007A3D78"/>
    <w:rsid w:val="007B4B2B"/>
    <w:rsid w:val="008300F3"/>
    <w:rsid w:val="00831A4F"/>
    <w:rsid w:val="00841E12"/>
    <w:rsid w:val="00856EB1"/>
    <w:rsid w:val="00866822"/>
    <w:rsid w:val="008729C9"/>
    <w:rsid w:val="008A3F71"/>
    <w:rsid w:val="008B1683"/>
    <w:rsid w:val="008C1B30"/>
    <w:rsid w:val="00912925"/>
    <w:rsid w:val="009656D9"/>
    <w:rsid w:val="009C7CB0"/>
    <w:rsid w:val="009F3E1E"/>
    <w:rsid w:val="00A0141E"/>
    <w:rsid w:val="00A17A53"/>
    <w:rsid w:val="00A17D85"/>
    <w:rsid w:val="00A268A7"/>
    <w:rsid w:val="00A41361"/>
    <w:rsid w:val="00A440DC"/>
    <w:rsid w:val="00A748F3"/>
    <w:rsid w:val="00A87CE8"/>
    <w:rsid w:val="00AA182E"/>
    <w:rsid w:val="00AA325A"/>
    <w:rsid w:val="00AD3B9D"/>
    <w:rsid w:val="00AD4A83"/>
    <w:rsid w:val="00AF0400"/>
    <w:rsid w:val="00B30AEB"/>
    <w:rsid w:val="00B54DEB"/>
    <w:rsid w:val="00B86488"/>
    <w:rsid w:val="00BA6A6E"/>
    <w:rsid w:val="00BF227E"/>
    <w:rsid w:val="00C00086"/>
    <w:rsid w:val="00C472AC"/>
    <w:rsid w:val="00C66631"/>
    <w:rsid w:val="00C702F9"/>
    <w:rsid w:val="00C76E54"/>
    <w:rsid w:val="00C82571"/>
    <w:rsid w:val="00CB1AED"/>
    <w:rsid w:val="00CC3DE2"/>
    <w:rsid w:val="00CE11F2"/>
    <w:rsid w:val="00CF4683"/>
    <w:rsid w:val="00D16F92"/>
    <w:rsid w:val="00D362B6"/>
    <w:rsid w:val="00D51CFB"/>
    <w:rsid w:val="00D57A92"/>
    <w:rsid w:val="00D96135"/>
    <w:rsid w:val="00DC0ED2"/>
    <w:rsid w:val="00DD6E4D"/>
    <w:rsid w:val="00DE4489"/>
    <w:rsid w:val="00DE65D8"/>
    <w:rsid w:val="00DF21AE"/>
    <w:rsid w:val="00E02A21"/>
    <w:rsid w:val="00E038AF"/>
    <w:rsid w:val="00E32880"/>
    <w:rsid w:val="00EA4E1B"/>
    <w:rsid w:val="00EF712F"/>
    <w:rsid w:val="00F00533"/>
    <w:rsid w:val="00F30661"/>
    <w:rsid w:val="00F917DA"/>
    <w:rsid w:val="00FB0258"/>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38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3482</Words>
  <Characters>18805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Gabriel Báfero</cp:lastModifiedBy>
  <cp:revision>30</cp:revision>
  <dcterms:created xsi:type="dcterms:W3CDTF">2022-12-12T17:08:00Z</dcterms:created>
  <dcterms:modified xsi:type="dcterms:W3CDTF">2023-04-25T10:39:00Z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