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9"/>
        <w:spacing w:before="0" w:after="0" w:line="240" w:lineRule="auto"/>
        <w:ind w:right="0"/>
        <w:jc w:val="both"/>
        <w:rPr>
          <w:sz w:val="32"/>
          <w:lang w:val="pt-BR"/>
        </w:rPr>
      </w:pPr>
      <w:bookmarkStart w:id="0" w:name="_Hlk1324517"/>
      <w:bookmarkStart w:id="1" w:name="_Hlk1324670"/>
      <w:r>
        <w:rPr>
          <w:sz w:val="32"/>
          <w:lang w:val="pt-BR"/>
        </w:rPr>
        <mc:AlternateContent>
          <mc:Choice Requires="wps">
            <w:drawing>
              <wp:anchor distT="0" distB="0" distL="114300" distR="114300" simplePos="0" relativeHeight="251660288" behindDoc="0" locked="0" layoutInCell="1" allowOverlap="1">
                <wp:simplePos x="0" y="0"/>
                <wp:positionH relativeFrom="margin">
                  <wp:posOffset>0</wp:posOffset>
                </wp:positionH>
                <wp:positionV relativeFrom="paragraph">
                  <wp:posOffset>0</wp:posOffset>
                </wp:positionV>
                <wp:extent cx="6507480" cy="167640"/>
                <wp:effectExtent l="0" t="0" r="7620" b="3810"/>
                <wp:wrapNone/>
                <wp:docPr id="3" name="Retângulo 3"/>
                <wp:cNvGraphicFramePr/>
                <a:graphic xmlns:a="http://schemas.openxmlformats.org/drawingml/2006/main">
                  <a:graphicData uri="http://schemas.microsoft.com/office/word/2010/wordprocessingShape">
                    <wps:wsp>
                      <wps:cNvSpPr/>
                      <wps:spPr>
                        <a:xfrm>
                          <a:off x="0" y="0"/>
                          <a:ext cx="6507480" cy="167640"/>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33"/>
                              <w:spacing w:before="0" w:after="0" w:line="240" w:lineRule="auto"/>
                              <w:rPr>
                                <w:rFonts w:cs="Helvetica"/>
                                <w:bCs/>
                                <w:sz w:val="20"/>
                                <w:lang w:val="pt-BR"/>
                              </w:rPr>
                            </w:pPr>
                          </w:p>
                          <w:p>
                            <w:pPr>
                              <w:pStyle w:val="54"/>
                            </w:pPr>
                          </w:p>
                        </w:txbxContent>
                      </wps:txbx>
                      <wps:bodyPr rot="0" spcFirstLastPara="0" vertOverflow="overflow" horzOverflow="overflow" vert="horz" wrap="square" lIns="91440" tIns="0" rIns="91440" bIns="0" numCol="1" spcCol="0" rtlCol="0" fromWordArt="0" anchor="ctr" anchorCtr="0" forceAA="0" compatLnSpc="1">
                        <a:noAutofit/>
                      </wps:bodyPr>
                    </wps:wsp>
                  </a:graphicData>
                </a:graphic>
              </wp:anchor>
            </w:drawing>
          </mc:Choice>
          <mc:Fallback>
            <w:pict>
              <v:rect id="_x0000_s1026" o:spid="_x0000_s1026" o:spt="1" style="position:absolute;left:0pt;margin-left:0pt;margin-top:0pt;height:13.2pt;width:512.4pt;mso-position-horizontal-relative:margin;z-index:251660288;v-text-anchor:middle;mso-width-relative:page;mso-height-relative:page;" fillcolor="#9A0000" filled="t" stroked="f" coordsize="21600,21600" o:gfxdata="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BWn42TVAAAABQEAAA8AAAAAAAAAAQAgAAAAIgAAAGRycy9kb3ducmV2LnhtbFBL&#10;AQIUABQAAAAIAIdO4kAAvdK0awIAANIEAAAOAAAAAAAAAAEAIAAAACQBAABkcnMvZTJvRG9jLnht&#10;bFBLBQYAAAAABgAGAFkBAAABBgAAAAA=&#10;">
                <v:fill on="t" focussize="0,0"/>
                <v:stroke on="f" weight="1pt" miterlimit="8" joinstyle="miter"/>
                <v:imagedata o:title=""/>
                <o:lock v:ext="edit" aspectratio="f"/>
                <v:textbox inset="2.54mm,0mm,2.54mm,0mm">
                  <w:txbxContent>
                    <w:p>
                      <w:pPr>
                        <w:pStyle w:val="33"/>
                        <w:spacing w:before="0" w:after="0" w:line="240" w:lineRule="auto"/>
                        <w:rPr>
                          <w:rFonts w:cs="Helvetica"/>
                          <w:bCs/>
                          <w:sz w:val="20"/>
                          <w:lang w:val="pt-BR"/>
                        </w:rPr>
                      </w:pPr>
                    </w:p>
                    <w:p>
                      <w:pPr>
                        <w:pStyle w:val="54"/>
                      </w:pPr>
                    </w:p>
                  </w:txbxContent>
                </v:textbox>
              </v:rect>
            </w:pict>
          </mc:Fallback>
        </mc:AlternateContent>
      </w:r>
    </w:p>
    <w:p>
      <w:pPr>
        <w:pStyle w:val="29"/>
        <w:spacing w:before="240" w:line="240" w:lineRule="auto"/>
        <w:ind w:right="-11"/>
        <w:contextualSpacing/>
        <w:jc w:val="both"/>
        <w:rPr>
          <w:rFonts w:ascii="Times New Roman" w:hAnsi="Times New Roman"/>
          <w:sz w:val="20"/>
        </w:rPr>
      </w:pPr>
      <w:r>
        <w:rPr>
          <w:sz w:val="32"/>
          <w:szCs w:val="32"/>
        </w:rPr>
        <w:t xml:space="preserve">Olefin Photocatalytic Epoxidation by Highly Crystalline Carbon Nitrides: A Sustainable Epoxide Production </w:t>
      </w:r>
    </w:p>
    <w:p>
      <w:pPr>
        <w:pStyle w:val="30"/>
        <w:spacing w:after="120" w:line="240" w:lineRule="auto"/>
        <w:ind w:right="0"/>
        <w:contextualSpacing/>
        <w:jc w:val="both"/>
        <w:rPr>
          <w:rFonts w:ascii="Times New Roman" w:hAnsi="Times New Roman"/>
          <w:sz w:val="20"/>
          <w:lang w:val="pt-BR"/>
        </w:rPr>
      </w:pPr>
      <w:r>
        <w:rPr>
          <w:rFonts w:ascii="Times New Roman" w:hAnsi="Times New Roman"/>
          <w:sz w:val="20"/>
          <w:lang w:val="pt-BR"/>
        </w:rPr>
        <w:t>Gustavo P. De Sanctis</w:t>
      </w:r>
      <w:r>
        <w:rPr>
          <w:rFonts w:ascii="Times New Roman" w:hAnsi="Times New Roman"/>
          <w:sz w:val="20"/>
          <w:vertAlign w:val="superscript"/>
          <w:lang w:val="pt-BR"/>
        </w:rPr>
        <w:t>1</w:t>
      </w:r>
      <w:r>
        <w:rPr>
          <w:rFonts w:ascii="Times New Roman" w:hAnsi="Times New Roman"/>
          <w:sz w:val="20"/>
          <w:lang w:val="pt-BR"/>
        </w:rPr>
        <w:t>*, Gabriel A. A. Diab</w:t>
      </w:r>
      <w:r>
        <w:rPr>
          <w:rFonts w:ascii="Times New Roman" w:hAnsi="Times New Roman"/>
          <w:sz w:val="20"/>
          <w:vertAlign w:val="superscript"/>
          <w:lang w:val="pt-BR"/>
        </w:rPr>
        <w:t>1</w:t>
      </w:r>
      <w:r>
        <w:rPr>
          <w:rFonts w:ascii="Times New Roman" w:hAnsi="Times New Roman"/>
          <w:sz w:val="20"/>
          <w:lang w:val="pt-BR"/>
        </w:rPr>
        <w:t>, Ivo F. Teixeira</w:t>
      </w:r>
      <w:r>
        <w:rPr>
          <w:rFonts w:ascii="Times New Roman" w:hAnsi="Times New Roman"/>
          <w:sz w:val="20"/>
          <w:vertAlign w:val="superscript"/>
          <w:lang w:val="pt-BR"/>
        </w:rPr>
        <w:t>1</w:t>
      </w:r>
      <w:r>
        <w:rPr>
          <w:rFonts w:ascii="Times New Roman" w:hAnsi="Times New Roman"/>
          <w:sz w:val="20"/>
          <w:lang w:val="pt-BR"/>
        </w:rPr>
        <w:t>*.</w:t>
      </w:r>
    </w:p>
    <w:p>
      <w:pPr>
        <w:pStyle w:val="31"/>
        <w:spacing w:after="0"/>
        <w:ind w:right="0"/>
        <w:contextualSpacing/>
        <w:jc w:val="both"/>
      </w:pPr>
      <w:r>
        <w:t>gustavosanctis@hotmail.com and ivo@ufscar.br</w:t>
      </w:r>
    </w:p>
    <w:p>
      <w:pPr>
        <w:pStyle w:val="31"/>
        <w:spacing w:after="0"/>
        <w:ind w:right="0"/>
        <w:contextualSpacing/>
        <w:jc w:val="both"/>
      </w:pPr>
      <w:r>
        <w:rPr>
          <w:vertAlign w:val="superscript"/>
        </w:rPr>
        <w:t>1</w:t>
      </w:r>
      <w:r>
        <w:t>Department of Chemistry, Federal University of São Carlos, Rod. Washington Luís km 235 - SP-310, 13565-905, SP, Brazil</w:t>
      </w:r>
    </w:p>
    <w:bookmarkEnd w:id="0"/>
    <w:p>
      <w:pPr>
        <w:pStyle w:val="33"/>
        <w:pBdr>
          <w:bottom w:val="single" w:color="auto" w:sz="6" w:space="0"/>
        </w:pBdr>
        <w:spacing w:before="0" w:after="0" w:line="240" w:lineRule="auto"/>
      </w:pPr>
      <w:r>
        <w:rPr>
          <w:sz w:val="32"/>
          <w:lang w:val="pt-BR"/>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34925</wp:posOffset>
                </wp:positionV>
                <wp:extent cx="6507480" cy="167640"/>
                <wp:effectExtent l="0" t="0" r="7620" b="3810"/>
                <wp:wrapNone/>
                <wp:docPr id="4" name="Retângulo 4"/>
                <wp:cNvGraphicFramePr/>
                <a:graphic xmlns:a="http://schemas.openxmlformats.org/drawingml/2006/main">
                  <a:graphicData uri="http://schemas.microsoft.com/office/word/2010/wordprocessingShape">
                    <wps:wsp>
                      <wps:cNvSpPr/>
                      <wps:spPr>
                        <a:xfrm>
                          <a:off x="0" y="0"/>
                          <a:ext cx="6507480" cy="167640"/>
                        </a:xfrm>
                        <a:prstGeom prst="rect">
                          <a:avLst/>
                        </a:prstGeom>
                        <a:solidFill>
                          <a:srgbClr val="9A0000"/>
                        </a:solidFill>
                        <a:ln>
                          <a:noFill/>
                        </a:ln>
                      </wps:spPr>
                      <wps:style>
                        <a:lnRef idx="2">
                          <a:schemeClr val="accent1">
                            <a:shade val="50000"/>
                          </a:schemeClr>
                        </a:lnRef>
                        <a:fillRef idx="1">
                          <a:schemeClr val="accent1"/>
                        </a:fillRef>
                        <a:effectRef idx="0">
                          <a:scrgbClr r="0" g="0" b="0"/>
                        </a:effectRef>
                        <a:fontRef idx="minor">
                          <a:schemeClr val="lt1"/>
                        </a:fontRef>
                      </wps:style>
                      <wps:txbx>
                        <w:txbxContent>
                          <w:p>
                            <w:pPr>
                              <w:spacing w:line="252" w:lineRule="auto"/>
                              <w:jc w:val="center"/>
                              <w:rPr>
                                <w:rFonts w:ascii="Calibri" w:hAnsi="Calibri" w:cs="Calibri"/>
                                <w:color w:val="FFFFFF"/>
                                <w:sz w:val="20"/>
                                <w:szCs w:val="20"/>
                                <w:lang w:val="en-US"/>
                              </w:rPr>
                            </w:pPr>
                            <w:r>
                              <w:rPr>
                                <w:rFonts w:ascii="Calibri" w:hAnsi="Calibri" w:cs="Calibri"/>
                                <w:color w:val="FFFFFF"/>
                                <w:sz w:val="20"/>
                                <w:szCs w:val="20"/>
                                <w:lang w:val="en-US"/>
                              </w:rPr>
                              <w:t>Abstract</w:t>
                            </w:r>
                          </w:p>
                        </w:txbxContent>
                      </wps:txbx>
                      <wps:bodyPr spcFirstLastPara="0" wrap="square" lIns="91440" tIns="0" rIns="91440" bIns="0" anchor="ctr">
                        <a:noAutofit/>
                      </wps:bodyPr>
                    </wps:wsp>
                  </a:graphicData>
                </a:graphic>
              </wp:anchor>
            </w:drawing>
          </mc:Choice>
          <mc:Fallback>
            <w:pict>
              <v:rect id="_x0000_s1026" o:spid="_x0000_s1026" o:spt="1" style="position:absolute;left:0pt;margin-top:2.75pt;height:13.2pt;width:512.4pt;mso-position-horizontal:right;mso-position-horizontal-relative:margin;z-index:251659264;v-text-anchor:middle;mso-width-relative:page;mso-height-relative:page;" fillcolor="#9A0000" filled="t" stroked="f" coordsize="21600,21600" o:gfxdata="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zUfMT1gAAAAYB&#10;AAAPAAAAAAAAAAEAIAAAACIAAABkcnMvZG93bnJldi54bWxQSwECFAAUAAAACACHTuJA7HZEmR0C&#10;AAAzBAAADgAAAAAAAAABACAAAAAlAQAAZHJzL2Uyb0RvYy54bWxQSwUGAAAAAAYABgBZAQAAtAUA&#10;AAAA&#10;">
                <v:fill on="t" focussize="0,0"/>
                <v:stroke on="f" weight="1pt" miterlimit="8" joinstyle="miter"/>
                <v:imagedata o:title=""/>
                <o:lock v:ext="edit" aspectratio="f"/>
                <v:textbox inset="2.54mm,0mm,2.54mm,0mm">
                  <w:txbxContent>
                    <w:p>
                      <w:pPr>
                        <w:spacing w:line="252" w:lineRule="auto"/>
                        <w:jc w:val="center"/>
                        <w:rPr>
                          <w:rFonts w:ascii="Calibri" w:hAnsi="Calibri" w:cs="Calibri"/>
                          <w:color w:val="FFFFFF"/>
                          <w:sz w:val="20"/>
                          <w:szCs w:val="20"/>
                          <w:lang w:val="en-US"/>
                        </w:rPr>
                      </w:pPr>
                      <w:r>
                        <w:rPr>
                          <w:rFonts w:ascii="Calibri" w:hAnsi="Calibri" w:cs="Calibri"/>
                          <w:color w:val="FFFFFF"/>
                          <w:sz w:val="20"/>
                          <w:szCs w:val="20"/>
                          <w:lang w:val="en-US"/>
                        </w:rPr>
                        <w:t>Abstract</w:t>
                      </w:r>
                    </w:p>
                  </w:txbxContent>
                </v:textbox>
              </v:rect>
            </w:pict>
          </mc:Fallback>
        </mc:AlternateContent>
      </w:r>
    </w:p>
    <w:p>
      <w:pPr>
        <w:pStyle w:val="33"/>
        <w:pBdr>
          <w:bottom w:val="single" w:color="auto" w:sz="6" w:space="0"/>
        </w:pBdr>
        <w:spacing w:before="0" w:after="0" w:line="240" w:lineRule="auto"/>
      </w:pPr>
    </w:p>
    <w:p>
      <w:pPr>
        <w:pStyle w:val="33"/>
        <w:pBdr>
          <w:bottom w:val="single" w:color="auto" w:sz="6" w:space="0"/>
        </w:pBdr>
        <w:spacing w:before="0" w:after="0" w:line="240" w:lineRule="auto"/>
        <w:contextualSpacing/>
        <w:rPr>
          <w:rFonts w:hint="default" w:ascii="Times New Roman" w:hAnsi="Times New Roman"/>
          <w:b w:val="0"/>
          <w:sz w:val="20"/>
        </w:rPr>
      </w:pPr>
      <w:r>
        <w:rPr>
          <w:rFonts w:ascii="Times New Roman" w:hAnsi="Times New Roman"/>
          <w:b w:val="0"/>
          <w:i/>
          <w:iCs/>
          <w:sz w:val="20"/>
        </w:rPr>
        <w:t xml:space="preserve">ABSTRACT - </w:t>
      </w:r>
      <w:r>
        <w:rPr>
          <w:rFonts w:hint="default" w:ascii="Times New Roman" w:hAnsi="Times New Roman"/>
          <w:b w:val="0"/>
          <w:sz w:val="20"/>
        </w:rPr>
        <w:t xml:space="preserve">Epoxides are important platform molecules applied in various industrial sectors. However, conventional methods for synthesizing these compounds use harmful routes that generate acidic waste and highly toxic chlorinated by-products. </w:t>
      </w:r>
      <w:r>
        <w:rPr>
          <w:rFonts w:hint="default" w:ascii="Times New Roman" w:hAnsi="Times New Roman"/>
          <w:b w:val="0"/>
          <w:sz w:val="20"/>
          <w:lang w:val="pt-BR"/>
        </w:rPr>
        <w:t>Therefore, e</w:t>
      </w:r>
      <w:r>
        <w:rPr>
          <w:rFonts w:hint="default" w:ascii="Times New Roman" w:hAnsi="Times New Roman"/>
          <w:b w:val="0"/>
          <w:sz w:val="20"/>
        </w:rPr>
        <w:t>fforts have been made to develop innovative, sustainable and low-cost synthesis methods for the production of epoxides, for example by catalysis. Carbon nitrides, a recent semiconductor, have gained notable attention due to their suitable visible light band structure, high versatility, robustness, low cost and non-toxic nature, offering great potential for various technological applications, including photocatalysis. Within the extensive family of carbon nitrides, crystalline carbon nitride stands out as a promising photocatalyst for chemical conversion through redox reactions. In this work, the synthesis, characterization and application of crystalline carbon nitrides on poly(triazine imide) for the photocatalytic epoxidation of olefins, such as styrene, to their respective epoxides proved to be favourable. In view of the challenge of sustainable epoxide production, the yields of over 24 and 30% using CH</w:t>
      </w:r>
      <w:r>
        <w:rPr>
          <w:rFonts w:hint="default" w:ascii="Times New Roman" w:hAnsi="Times New Roman"/>
          <w:b w:val="0"/>
          <w:sz w:val="20"/>
          <w:vertAlign w:val="subscript"/>
        </w:rPr>
        <w:t>3</w:t>
      </w:r>
      <w:r>
        <w:rPr>
          <w:rFonts w:hint="default" w:ascii="Times New Roman" w:hAnsi="Times New Roman"/>
          <w:b w:val="0"/>
          <w:sz w:val="20"/>
        </w:rPr>
        <w:t xml:space="preserve">CN and </w:t>
      </w:r>
      <w:r>
        <w:rPr>
          <w:rFonts w:hint="default" w:ascii="Times New Roman" w:hAnsi="Times New Roman"/>
          <w:b w:val="0"/>
          <w:sz w:val="20"/>
          <w:lang w:val="pt-BR"/>
        </w:rPr>
        <w:t>1,4-</w:t>
      </w:r>
      <w:r>
        <w:rPr>
          <w:rFonts w:hint="default" w:ascii="Times New Roman" w:hAnsi="Times New Roman"/>
          <w:b w:val="0"/>
          <w:sz w:val="20"/>
        </w:rPr>
        <w:t>dioxane/water as solvents ensure the initial achievements.</w:t>
      </w:r>
    </w:p>
    <w:p>
      <w:pPr>
        <w:pStyle w:val="33"/>
        <w:pBdr>
          <w:bottom w:val="single" w:color="auto" w:sz="6" w:space="0"/>
        </w:pBdr>
        <w:spacing w:before="0" w:after="0" w:line="240" w:lineRule="auto"/>
        <w:contextualSpacing/>
        <w:rPr>
          <w:rFonts w:ascii="Times New Roman" w:hAnsi="Times New Roman"/>
          <w:b w:val="0"/>
          <w:sz w:val="20"/>
          <w:lang w:val="pt-BR"/>
        </w:rPr>
      </w:pPr>
      <w:r>
        <w:rPr>
          <w:rFonts w:ascii="Times New Roman" w:hAnsi="Times New Roman"/>
          <w:b w:val="0"/>
          <w:sz w:val="20"/>
          <w:lang w:val="pt-BR"/>
        </w:rPr>
        <w:t xml:space="preserve">Keywords: </w:t>
      </w:r>
      <w:r>
        <w:rPr>
          <w:rFonts w:hint="default" w:ascii="Times New Roman" w:hAnsi="Times New Roman"/>
          <w:b w:val="0"/>
          <w:sz w:val="20"/>
          <w:lang w:val="pt-BR"/>
        </w:rPr>
        <w:t>p</w:t>
      </w:r>
      <w:r>
        <w:rPr>
          <w:rFonts w:ascii="Times New Roman" w:hAnsi="Times New Roman"/>
          <w:b w:val="0"/>
          <w:sz w:val="20"/>
          <w:lang w:val="pt-BR"/>
        </w:rPr>
        <w:t xml:space="preserve">hotocatalysis, </w:t>
      </w:r>
      <w:r>
        <w:rPr>
          <w:rFonts w:hint="default" w:ascii="Times New Roman" w:hAnsi="Times New Roman"/>
          <w:b w:val="0"/>
          <w:sz w:val="20"/>
          <w:lang w:val="pt-BR"/>
        </w:rPr>
        <w:t>c</w:t>
      </w:r>
      <w:r>
        <w:rPr>
          <w:rFonts w:ascii="Times New Roman" w:hAnsi="Times New Roman"/>
          <w:b w:val="0"/>
          <w:sz w:val="20"/>
          <w:lang w:val="pt-BR"/>
        </w:rPr>
        <w:t xml:space="preserve">arbon nitrides, </w:t>
      </w:r>
      <w:r>
        <w:rPr>
          <w:rFonts w:hint="default" w:ascii="Times New Roman" w:hAnsi="Times New Roman"/>
          <w:b w:val="0"/>
          <w:sz w:val="20"/>
          <w:lang w:val="pt-BR"/>
        </w:rPr>
        <w:t>e</w:t>
      </w:r>
      <w:r>
        <w:rPr>
          <w:rFonts w:ascii="Times New Roman" w:hAnsi="Times New Roman"/>
          <w:b w:val="0"/>
          <w:sz w:val="20"/>
          <w:lang w:val="pt-BR"/>
        </w:rPr>
        <w:t xml:space="preserve">poxides, </w:t>
      </w:r>
      <w:r>
        <w:rPr>
          <w:rFonts w:hint="default" w:ascii="Times New Roman" w:hAnsi="Times New Roman"/>
          <w:b w:val="0"/>
          <w:sz w:val="20"/>
          <w:lang w:val="pt-BR"/>
        </w:rPr>
        <w:t>o</w:t>
      </w:r>
      <w:r>
        <w:rPr>
          <w:rFonts w:ascii="Times New Roman" w:hAnsi="Times New Roman"/>
          <w:b w:val="0"/>
          <w:sz w:val="20"/>
          <w:lang w:val="pt-BR"/>
        </w:rPr>
        <w:t xml:space="preserve">rganic </w:t>
      </w:r>
      <w:r>
        <w:rPr>
          <w:rFonts w:hint="default" w:ascii="Times New Roman" w:hAnsi="Times New Roman"/>
          <w:b w:val="0"/>
          <w:sz w:val="20"/>
          <w:lang w:val="pt-BR"/>
        </w:rPr>
        <w:t>s</w:t>
      </w:r>
      <w:r>
        <w:rPr>
          <w:rFonts w:ascii="Times New Roman" w:hAnsi="Times New Roman"/>
          <w:b w:val="0"/>
          <w:sz w:val="20"/>
          <w:lang w:val="pt-BR"/>
        </w:rPr>
        <w:t xml:space="preserve">ynthesis, </w:t>
      </w:r>
      <w:r>
        <w:rPr>
          <w:rFonts w:hint="default" w:ascii="Times New Roman" w:hAnsi="Times New Roman"/>
          <w:b w:val="0"/>
          <w:sz w:val="20"/>
          <w:lang w:val="pt-BR"/>
        </w:rPr>
        <w:t>g</w:t>
      </w:r>
      <w:r>
        <w:rPr>
          <w:rFonts w:ascii="Times New Roman" w:hAnsi="Times New Roman"/>
          <w:b w:val="0"/>
          <w:sz w:val="20"/>
          <w:lang w:val="pt-BR"/>
        </w:rPr>
        <w:t xml:space="preserve">reen </w:t>
      </w:r>
      <w:r>
        <w:rPr>
          <w:rFonts w:hint="default" w:ascii="Times New Roman" w:hAnsi="Times New Roman"/>
          <w:b w:val="0"/>
          <w:sz w:val="20"/>
          <w:lang w:val="pt-BR"/>
        </w:rPr>
        <w:t>c</w:t>
      </w:r>
      <w:r>
        <w:rPr>
          <w:rFonts w:ascii="Times New Roman" w:hAnsi="Times New Roman"/>
          <w:b w:val="0"/>
          <w:sz w:val="20"/>
          <w:lang w:val="pt-BR"/>
        </w:rPr>
        <w:t>hemistry.</w:t>
      </w:r>
    </w:p>
    <w:p>
      <w:pPr>
        <w:pStyle w:val="33"/>
        <w:pBdr>
          <w:bottom w:val="single" w:color="auto" w:sz="6" w:space="0"/>
        </w:pBdr>
        <w:spacing w:before="0" w:after="0" w:line="240" w:lineRule="auto"/>
        <w:contextualSpacing/>
        <w:rPr>
          <w:rFonts w:ascii="Times New Roman" w:hAnsi="Times New Roman"/>
          <w:b w:val="0"/>
          <w:i/>
          <w:iCs/>
          <w:sz w:val="20"/>
          <w:lang w:val="pt-BR"/>
        </w:rPr>
      </w:pPr>
    </w:p>
    <w:p>
      <w:pPr>
        <w:pStyle w:val="33"/>
        <w:pBdr>
          <w:bottom w:val="single" w:color="auto" w:sz="6" w:space="0"/>
        </w:pBdr>
        <w:spacing w:before="0" w:after="0" w:line="240" w:lineRule="auto"/>
        <w:rPr>
          <w:rFonts w:hint="default" w:ascii="Times New Roman" w:hAnsi="Times New Roman"/>
          <w:b w:val="0"/>
          <w:sz w:val="20"/>
          <w:lang w:val="pt-BR"/>
        </w:rPr>
      </w:pPr>
      <w:r>
        <w:rPr>
          <w:rFonts w:ascii="Times New Roman" w:hAnsi="Times New Roman"/>
          <w:b w:val="0"/>
          <w:i/>
          <w:iCs/>
          <w:sz w:val="20"/>
          <w:lang w:val="pt-BR"/>
        </w:rPr>
        <w:t xml:space="preserve">RESUMO - </w:t>
      </w:r>
      <w:r>
        <w:rPr>
          <w:rFonts w:hint="default" w:ascii="Times New Roman" w:hAnsi="Times New Roman"/>
          <w:b w:val="0"/>
          <w:sz w:val="20"/>
          <w:lang w:val="pt-BR"/>
        </w:rPr>
        <w:t>Os epóxidos são moléculas plataforma importantes aplicadas em vários setores industriais. No entanto, os métodos convencionais de síntese destes compostos recorrem a vias nocivas que geram resíduos ácidos e subprodutos clorados altamente tóxicos. Com isso, tem sido realizados esforços para desenvolver métodos de síntese inovadores, sustantáveis e de baixo custo, para a produção de epóxidos, por exemplo, por catálise. Os nitretos de carbono, um semicondutor recente, ganharam uma atenção notória devido à sua estrutura de banda de luz visível adequada, elevada versatilidade, robustez, baixo custo e natureza atóxica, oferecendo um grande potencial para várias aplicações tecnológicas, incluindo a fotocatálise. Dentro da extensa família dos nitretos de carbono, destaca-se o nitreto de carbono cristalino como um fotocatalisador promissor para a conversão química através de reações redox. Neste trabalho, a síntese, caracterização e aplicação de nitretos de carbono cristalinos em poli(triazina imida) para a epoxidação fotocatalítica de olefinas, como estireno, aos respectivos epóxidos se mostrou favorável. Tendo em vista o desafio da produção sustentável de epóxidos, os rendimentos acima de 24 e 30% utilizando CH</w:t>
      </w:r>
      <w:r>
        <w:rPr>
          <w:rFonts w:hint="default" w:ascii="Times New Roman" w:hAnsi="Times New Roman"/>
          <w:b w:val="0"/>
          <w:sz w:val="20"/>
          <w:vertAlign w:val="subscript"/>
          <w:lang w:val="pt-BR"/>
        </w:rPr>
        <w:t>3</w:t>
      </w:r>
      <w:r>
        <w:rPr>
          <w:rFonts w:hint="default" w:ascii="Times New Roman" w:hAnsi="Times New Roman"/>
          <w:b w:val="0"/>
          <w:sz w:val="20"/>
          <w:lang w:val="pt-BR"/>
        </w:rPr>
        <w:t xml:space="preserve">CN e 1,4-dioxano/água como solventes asseguram as conquistas iniciais. </w:t>
      </w:r>
    </w:p>
    <w:p>
      <w:pPr>
        <w:pStyle w:val="33"/>
        <w:pBdr>
          <w:bottom w:val="single" w:color="auto" w:sz="6" w:space="0"/>
        </w:pBdr>
        <w:spacing w:before="0" w:after="0" w:line="240" w:lineRule="auto"/>
        <w:rPr>
          <w:rFonts w:hint="default" w:ascii="Times New Roman" w:hAnsi="Times New Roman"/>
          <w:b w:val="0"/>
          <w:sz w:val="20"/>
          <w:lang w:val="pt-BR"/>
        </w:rPr>
      </w:pPr>
      <w:r>
        <w:rPr>
          <w:rFonts w:hint="default" w:ascii="Times New Roman" w:hAnsi="Times New Roman"/>
          <w:b w:val="0"/>
          <w:sz w:val="20"/>
          <w:lang w:val="pt-BR"/>
        </w:rPr>
        <w:t>Palavras-chave: fotocatálise, nitretos de carbono cristalinos, epóxidos, síntese orgânica, química verde.</w:t>
      </w:r>
    </w:p>
    <w:p>
      <w:pPr>
        <w:pStyle w:val="33"/>
        <w:pBdr>
          <w:bottom w:val="single" w:color="auto" w:sz="6" w:space="0"/>
        </w:pBdr>
        <w:spacing w:before="0" w:after="0" w:line="240" w:lineRule="auto"/>
        <w:rPr>
          <w:rFonts w:hint="default" w:ascii="Times New Roman" w:hAnsi="Times New Roman"/>
          <w:b w:val="0"/>
          <w:sz w:val="20"/>
          <w:lang w:val="pt-BR"/>
        </w:rPr>
      </w:pPr>
    </w:p>
    <w:bookmarkEnd w:id="1"/>
    <w:p>
      <w:pPr>
        <w:pStyle w:val="33"/>
        <w:spacing w:before="0" w:after="0" w:line="240" w:lineRule="auto"/>
        <w:rPr>
          <w:rFonts w:ascii="Times New Roman" w:hAnsi="Times New Roman"/>
          <w:b w:val="0"/>
          <w:sz w:val="20"/>
        </w:rPr>
        <w:sectPr>
          <w:headerReference r:id="rId5" w:type="default"/>
          <w:endnotePr>
            <w:numFmt w:val="decimal"/>
          </w:endnotePr>
          <w:pgSz w:w="11906" w:h="16838"/>
          <w:pgMar w:top="1418" w:right="1094" w:bottom="1418" w:left="567" w:header="709" w:footer="709" w:gutter="0"/>
          <w:cols w:space="708" w:num="1"/>
          <w:docGrid w:linePitch="360" w:charSpace="0"/>
        </w:sectPr>
      </w:pPr>
    </w:p>
    <w:p>
      <w:pPr>
        <w:pStyle w:val="3"/>
        <w:spacing w:before="0"/>
        <w:rPr>
          <w:rFonts w:ascii="Helvetica" w:hAnsi="Helvetica" w:cs="Helvetica"/>
          <w:sz w:val="24"/>
          <w:szCs w:val="24"/>
          <w:lang w:val="en-US"/>
        </w:rPr>
      </w:pPr>
      <w:r>
        <w:rPr>
          <w:rFonts w:ascii="Helvetica" w:hAnsi="Helvetica" w:cs="Helvetica"/>
          <w:sz w:val="24"/>
          <w:szCs w:val="24"/>
          <w:lang w:val="en-US"/>
        </w:rPr>
        <w:t>Introduction</w:t>
      </w:r>
    </w:p>
    <w:p>
      <w:pPr>
        <w:pStyle w:val="36"/>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xml:space="preserve"> Epoxides are considered platform molecules due to their extensive applicability in various approaches, e.g. organic synthesis, polymer industry and large-scale chemical processes (1, 2). Despite the high efficiency of industrial synthesis of epoxides, reagents such as peroxyacid and peroxyacetic acid are adopted, which generate chlorinated by-products, making the process unsustainable and costly. Therefore, new more sustainable paths, such as catalytic routes, should be adopted.</w:t>
      </w:r>
    </w:p>
    <w:p>
      <w:pPr>
        <w:pStyle w:val="36"/>
        <w:contextualSpacing/>
        <w:rPr>
          <w:rFonts w:hint="default" w:eastAsia="Times" w:cs="Times"/>
          <w:color w:val="000000" w:themeColor="text1"/>
          <w:lang w:val="pt-BR"/>
          <w14:textFill>
            <w14:solidFill>
              <w14:schemeClr w14:val="tx1"/>
            </w14:solidFill>
          </w14:textFill>
        </w:rPr>
      </w:pPr>
      <w:r>
        <w:rPr>
          <w:rFonts w:ascii="Times New Roman" w:hAnsi="Times New Roman"/>
          <w:color w:val="000000" w:themeColor="text1"/>
          <w14:textFill>
            <w14:solidFill>
              <w14:schemeClr w14:val="tx1"/>
            </w14:solidFill>
          </w14:textFill>
        </w:rPr>
        <w:t xml:space="preserve">As a catalytic route, photocatalysis, considered a green technology (3), which uses light to drive desired reactions. </w:t>
      </w:r>
      <w:r>
        <w:rPr>
          <w:rFonts w:eastAsia="Times" w:cs="Times"/>
          <w:color w:val="000000" w:themeColor="text1"/>
          <w14:textFill>
            <w14:solidFill>
              <w14:schemeClr w14:val="tx1"/>
            </w14:solidFill>
          </w14:textFill>
        </w:rPr>
        <w:t>Carbon nitrides, a recent organic polymer consisting essentially of carbon and nitrogen arranged in a graphene-like structure, are recognized for their semiconducting properties in promising synthetic methods in the field of photocatalysis.</w:t>
      </w:r>
      <w:r>
        <w:rPr>
          <w:rFonts w:hint="default" w:eastAsia="Times" w:cs="Times"/>
          <w:color w:val="000000" w:themeColor="text1"/>
          <w:lang w:val="pt-BR"/>
          <w14:textFill>
            <w14:solidFill>
              <w14:schemeClr w14:val="tx1"/>
            </w14:solidFill>
          </w14:textFill>
        </w:rPr>
        <w:t xml:space="preserve"> </w:t>
      </w:r>
      <w:r>
        <w:rPr>
          <w:rFonts w:eastAsia="Times" w:cs="Times"/>
          <w:color w:val="000000" w:themeColor="text1"/>
          <w14:textFill>
            <w14:solidFill>
              <w14:schemeClr w14:val="tx1"/>
            </w14:solidFill>
          </w14:textFill>
        </w:rPr>
        <w:t>Within this class, Lithium Poly(triazine imide) (Li-PTI) deserves to be highlighted, due to its formation from triazine units linked by negative nitrogens, compensated by lithium ions. The generation of a well-ordered structure confers a dual advantage to Li-PTI: superior structural control and increased robustness as a photocatalyst, facilitating effective charge transport and promoting efficient transfer of the charge generated from light</w:t>
      </w:r>
      <w:r>
        <w:rPr>
          <w:rFonts w:hint="default" w:eastAsia="Times" w:cs="Times"/>
          <w:color w:val="000000" w:themeColor="text1"/>
          <w:lang w:val="pt-BR"/>
          <w14:textFill>
            <w14:solidFill>
              <w14:schemeClr w14:val="tx1"/>
            </w14:solidFill>
          </w14:textFill>
        </w:rPr>
        <w:t>. Thus, knowing these advantages make this a potential material for catalytic reactions driven by light, Li-PTI is synthesized, characterized and employed in this project for styrene photocatalytic epoxidation, which represents a favorable and sustainable epoxide production.</w:t>
      </w:r>
    </w:p>
    <w:p>
      <w:pPr>
        <w:pStyle w:val="3"/>
        <w:contextualSpacing/>
        <w:rPr>
          <w:rFonts w:ascii="Helvetica" w:hAnsi="Helvetica" w:cs="Helvetica"/>
          <w:sz w:val="24"/>
          <w:szCs w:val="24"/>
          <w:lang w:val="en-US"/>
        </w:rPr>
      </w:pPr>
      <w:r>
        <w:rPr>
          <w:rFonts w:ascii="Helvetica" w:hAnsi="Helvetica" w:cs="Helvetica"/>
          <w:sz w:val="24"/>
          <w:szCs w:val="24"/>
          <w:lang w:val="en-US"/>
        </w:rPr>
        <w:t>Experimental</w:t>
      </w:r>
    </w:p>
    <w:p>
      <w:pPr>
        <w:pStyle w:val="36"/>
        <w:contextualSpacing/>
        <w:rPr>
          <w:rFonts w:ascii="Times New Roman" w:hAnsi="Times New Roman"/>
          <w:i/>
          <w:iCs/>
        </w:rPr>
      </w:pPr>
      <w:r>
        <w:rPr>
          <w:rFonts w:ascii="Times New Roman" w:hAnsi="Times New Roman"/>
          <w:i/>
          <w:iCs/>
        </w:rPr>
        <w:t>Li-PTI synthesis</w:t>
      </w:r>
    </w:p>
    <w:p>
      <w:pPr>
        <w:pStyle w:val="36"/>
        <w:contextualSpacing/>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xml:space="preserve"> Lithium-Poly(triazine imide) was synthesized by the ionothermal method. In this step, a mixture of melamine and LiCl (1:10) was grinded in a ball mill and heated at 600 °C in a muffle furnace under inert nitrogen atmosphere. Then, the final product was intensively washed to remove the remaining excess of salt, resulting in a grayish powder.</w:t>
      </w:r>
    </w:p>
    <w:p>
      <w:pPr>
        <w:pStyle w:val="36"/>
        <w:contextualSpacing/>
        <w:rPr>
          <w:rFonts w:ascii="Times New Roman" w:hAnsi="Times New Roman"/>
          <w:i/>
          <w:iCs/>
        </w:rPr>
      </w:pPr>
      <w:r>
        <w:rPr>
          <w:rFonts w:ascii="Times New Roman" w:hAnsi="Times New Roman"/>
          <w:i/>
          <w:iCs/>
        </w:rPr>
        <w:t>Photocatalytic tests</w:t>
      </w:r>
    </w:p>
    <w:p>
      <w:pPr>
        <w:pStyle w:val="36"/>
        <w:contextualSpacing/>
        <w:rPr>
          <w:rFonts w:ascii="Times New Roman" w:hAnsi="Times New Roman"/>
        </w:rPr>
      </w:pPr>
      <w:r>
        <w:rPr>
          <w:rFonts w:ascii="Times New Roman" w:hAnsi="Times New Roman"/>
        </w:rPr>
        <w:t xml:space="preserve"> The obtained catalyst was employed in the styrene epoxidation reaction, configured in a photoreactor equipped with a water bath to control the operating temperature.  The reactor contains a purple LED lamp (410 nm, 10 W) used as the light source of the system. The reaction medium was arranged in 5 mL flasks containing the substrate dissolved in an appropriate organic solvent (i.e., CH</w:t>
      </w:r>
      <w:r>
        <w:rPr>
          <w:rFonts w:ascii="Times New Roman" w:hAnsi="Times New Roman"/>
          <w:vertAlign w:val="subscript"/>
        </w:rPr>
        <w:t>3</w:t>
      </w:r>
      <w:r>
        <w:rPr>
          <w:rFonts w:ascii="Times New Roman" w:hAnsi="Times New Roman"/>
        </w:rPr>
        <w:t>CN or 1,4-dioxane) and under oxidizing O</w:t>
      </w:r>
      <w:r>
        <w:rPr>
          <w:rFonts w:ascii="Times New Roman" w:hAnsi="Times New Roman"/>
          <w:vertAlign w:val="subscript"/>
        </w:rPr>
        <w:t>2</w:t>
      </w:r>
      <w:r>
        <w:rPr>
          <w:rFonts w:ascii="Times New Roman" w:hAnsi="Times New Roman"/>
        </w:rPr>
        <w:t xml:space="preserve"> atmosphere.</w:t>
      </w:r>
    </w:p>
    <w:p>
      <w:pPr>
        <w:pStyle w:val="3"/>
        <w:rPr>
          <w:rFonts w:ascii="Helvetica" w:hAnsi="Helvetica" w:cs="Helvetica"/>
          <w:sz w:val="24"/>
          <w:szCs w:val="24"/>
          <w:lang w:val="en-US"/>
        </w:rPr>
      </w:pPr>
      <w:r>
        <w:rPr>
          <w:rFonts w:ascii="Helvetica" w:hAnsi="Helvetica" w:cs="Helvetica"/>
          <w:sz w:val="24"/>
          <w:szCs w:val="24"/>
          <w:lang w:val="en-US"/>
        </w:rPr>
        <w:t xml:space="preserve"> Results and Discussion</w:t>
      </w:r>
    </w:p>
    <w:p>
      <w:pPr>
        <w:jc w:val="center"/>
      </w:pPr>
      <w:r>
        <w:rPr>
          <w:rFonts w:ascii="Times New Roman" w:hAnsi="Times New Roman" w:cs="Times New Roman"/>
          <w:lang w:eastAsia="pt-BR"/>
        </w:rPr>
        <w:drawing>
          <wp:inline distT="0" distB="0" distL="0" distR="0">
            <wp:extent cx="3117850" cy="1412240"/>
            <wp:effectExtent l="0" t="0" r="0" b="0"/>
            <wp:docPr id="2" name="Imagem 2" descr="D:\Pictures\Screenshots\Captura de tela 2023-08-13 2111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D:\Pictures\Screenshots\Captura de tela 2023-08-13 211109.png"/>
                    <pic:cNvPicPr>
                      <a:picLocks noChangeAspect="1" noChangeArrowheads="1"/>
                    </pic:cNvPicPr>
                  </pic:nvPicPr>
                  <pic:blipFill>
                    <a:blip r:embed="rId7" cstate="print">
                      <a:extLst>
                        <a:ext uri="{28A0092B-C50C-407E-A947-70E740481C1C}">
                          <a14:useLocalDpi xmlns:a14="http://schemas.microsoft.com/office/drawing/2010/main" val="0"/>
                        </a:ext>
                      </a:extLst>
                    </a:blip>
                    <a:srcRect l="2786" t="14232" b="1779"/>
                    <a:stretch>
                      <a:fillRect/>
                    </a:stretch>
                  </pic:blipFill>
                  <pic:spPr>
                    <a:xfrm>
                      <a:off x="0" y="0"/>
                      <a:ext cx="3118461" cy="1412394"/>
                    </a:xfrm>
                    <a:prstGeom prst="rect">
                      <a:avLst/>
                    </a:prstGeom>
                    <a:noFill/>
                    <a:ln>
                      <a:noFill/>
                    </a:ln>
                  </pic:spPr>
                </pic:pic>
              </a:graphicData>
            </a:graphic>
          </wp:inline>
        </w:drawing>
      </w:r>
    </w:p>
    <w:p>
      <w:pPr>
        <w:pStyle w:val="38"/>
        <w:spacing w:before="0" w:line="240" w:lineRule="exact"/>
        <w:rPr>
          <w:rFonts w:ascii="Times New Roman" w:hAnsi="Times New Roman"/>
        </w:rPr>
      </w:pPr>
      <w:r>
        <w:rPr>
          <w:rFonts w:ascii="Times New Roman" w:hAnsi="Times New Roman"/>
          <w:b/>
          <w:bCs/>
        </w:rPr>
        <w:t xml:space="preserve">Figure </w:t>
      </w:r>
      <w:r>
        <w:rPr>
          <w:rFonts w:hint="default" w:ascii="Times New Roman" w:hAnsi="Times New Roman"/>
          <w:b/>
          <w:bCs/>
          <w:lang w:val="pt-BR"/>
        </w:rPr>
        <w:t>1</w:t>
      </w:r>
      <w:r>
        <w:rPr>
          <w:rFonts w:ascii="Times New Roman" w:hAnsi="Times New Roman"/>
          <w:b/>
          <w:bCs/>
        </w:rPr>
        <w:t>.</w:t>
      </w:r>
      <w:r>
        <w:rPr>
          <w:rFonts w:ascii="Times New Roman" w:hAnsi="Times New Roman"/>
        </w:rPr>
        <w:t xml:space="preserve"> XDR patterns and FT-IR spectrum of Li-PTI material.</w:t>
      </w:r>
    </w:p>
    <w:p>
      <w:pPr>
        <w:pStyle w:val="36"/>
        <w:ind w:firstLine="0"/>
        <w:rPr>
          <w:rFonts w:ascii="Times New Roman" w:hAnsi="Times New Roman"/>
        </w:rPr>
      </w:pPr>
    </w:p>
    <w:p>
      <w:pPr>
        <w:pStyle w:val="36"/>
        <w:ind w:firstLine="142"/>
        <w:contextualSpacing/>
        <w:rPr>
          <w:rFonts w:hint="default" w:ascii="Times New Roman" w:hAnsi="Times New Roman"/>
          <w:lang w:val="pt-BR"/>
        </w:rPr>
      </w:pPr>
      <w:r>
        <w:rPr>
          <w:rFonts w:ascii="Times New Roman" w:hAnsi="Times New Roman"/>
        </w:rPr>
        <w:t>With the narrow peak pattern of the XRD (</w:t>
      </w:r>
      <w:r>
        <w:rPr>
          <w:rFonts w:ascii="Times New Roman" w:hAnsi="Times New Roman"/>
          <w:b/>
          <w:bCs/>
        </w:rPr>
        <w:t xml:space="preserve">Figure </w:t>
      </w:r>
      <w:r>
        <w:rPr>
          <w:rFonts w:hint="default" w:ascii="Times New Roman" w:hAnsi="Times New Roman"/>
          <w:b/>
          <w:bCs/>
          <w:lang w:val="pt-BR"/>
        </w:rPr>
        <w:t>1</w:t>
      </w:r>
      <w:r>
        <w:rPr>
          <w:rFonts w:ascii="Times New Roman" w:hAnsi="Times New Roman"/>
        </w:rPr>
        <w:t xml:space="preserve">), it can be concluded that the synthesized catalyst is crystalline. </w:t>
      </w:r>
      <w:r>
        <w:rPr>
          <w:rFonts w:hint="default" w:ascii="Times New Roman" w:hAnsi="Times New Roman"/>
          <w:lang w:val="pt-BR"/>
        </w:rPr>
        <w:t xml:space="preserve">Peaks around 12°, 21°, 24° and 25° are related to the (100), (110), (200) and (111) planes, respectively. </w:t>
      </w:r>
      <w:r>
        <w:rPr>
          <w:rFonts w:ascii="Times New Roman" w:hAnsi="Times New Roman"/>
        </w:rPr>
        <w:t>The most intense peak near 2</w:t>
      </w:r>
      <w:r>
        <w:rPr>
          <w:rFonts w:hint="default" w:ascii="Times New Roman" w:hAnsi="Times New Roman"/>
          <w:lang w:val="pt-BR"/>
        </w:rPr>
        <w:t>7</w:t>
      </w:r>
      <w:r>
        <w:rPr>
          <w:rFonts w:ascii="Times New Roman" w:hAnsi="Times New Roman"/>
        </w:rPr>
        <w:t>° is associated with the d-spacing, which indicates the interplanar spacing</w:t>
      </w:r>
      <w:r>
        <w:rPr>
          <w:rFonts w:hint="default" w:ascii="Times New Roman" w:hAnsi="Times New Roman"/>
          <w:lang w:val="pt-BR"/>
        </w:rPr>
        <w:t xml:space="preserve"> (002)</w:t>
      </w:r>
      <w:r>
        <w:rPr>
          <w:rFonts w:ascii="Times New Roman" w:hAnsi="Times New Roman"/>
        </w:rPr>
        <w:t>.</w:t>
      </w:r>
      <w:r>
        <w:rPr>
          <w:rFonts w:hint="default" w:ascii="Times New Roman" w:hAnsi="Times New Roman"/>
          <w:lang w:val="pt-BR"/>
        </w:rPr>
        <w:t xml:space="preserve"> Consecutively, peaks around 29°, 32°, 34°, 35°, 37°, 43°, 45° and 46° are related to the (102), (210), (112), (211), (300), (220), (310) and (302) planes, respectively </w:t>
      </w:r>
      <w:bookmarkStart w:id="2" w:name="_GoBack"/>
      <w:bookmarkEnd w:id="2"/>
      <w:r>
        <w:rPr>
          <w:rFonts w:hint="default" w:ascii="Times New Roman" w:hAnsi="Times New Roman"/>
          <w:lang w:val="pt-BR"/>
        </w:rPr>
        <w:t xml:space="preserve">(4). </w:t>
      </w:r>
      <w:r>
        <w:rPr>
          <w:rFonts w:ascii="Times New Roman" w:hAnsi="Times New Roman"/>
        </w:rPr>
        <w:t xml:space="preserve">As for infrared spectroscopy, C-N and C=N bond stretching can be </w:t>
      </w:r>
      <w:r>
        <w:rPr>
          <w:rFonts w:hint="default" w:ascii="Times New Roman" w:hAnsi="Times New Roman"/>
          <w:lang w:val="pt-BR"/>
        </w:rPr>
        <w:t xml:space="preserve">both </w:t>
      </w:r>
      <w:r>
        <w:rPr>
          <w:rFonts w:ascii="Times New Roman" w:hAnsi="Times New Roman"/>
        </w:rPr>
        <w:t xml:space="preserve">identified </w:t>
      </w:r>
      <w:r>
        <w:rPr>
          <w:rFonts w:hint="default" w:ascii="Times New Roman" w:hAnsi="Times New Roman"/>
          <w:lang w:val="pt-BR"/>
        </w:rPr>
        <w:t>in</w:t>
      </w:r>
      <w:r>
        <w:rPr>
          <w:rFonts w:ascii="Times New Roman" w:hAnsi="Times New Roman"/>
        </w:rPr>
        <w:t xml:space="preserve"> 1050-1600 cm</w:t>
      </w:r>
      <w:r>
        <w:rPr>
          <w:rFonts w:ascii="Times New Roman" w:hAnsi="Times New Roman"/>
          <w:vertAlign w:val="superscript"/>
        </w:rPr>
        <w:t>-1</w:t>
      </w:r>
      <w:r>
        <w:rPr>
          <w:rFonts w:ascii="Times New Roman" w:hAnsi="Times New Roman"/>
        </w:rPr>
        <w:t>. The FT-IR bands at 800</w:t>
      </w:r>
      <w:r>
        <w:rPr>
          <w:rFonts w:hint="default" w:ascii="Times New Roman" w:hAnsi="Times New Roman"/>
          <w:lang w:val="pt-BR"/>
        </w:rPr>
        <w:t xml:space="preserve"> </w:t>
      </w:r>
      <w:r>
        <w:rPr>
          <w:rFonts w:ascii="Times New Roman" w:hAnsi="Times New Roman"/>
        </w:rPr>
        <w:t xml:space="preserve">describe the presence </w:t>
      </w:r>
      <w:r>
        <w:rPr>
          <w:rFonts w:hint="default" w:ascii="Times New Roman" w:hAnsi="Times New Roman"/>
          <w:lang w:val="pt-BR"/>
        </w:rPr>
        <w:t xml:space="preserve">of </w:t>
      </w:r>
      <w:r>
        <w:rPr>
          <w:rFonts w:ascii="Times New Roman" w:hAnsi="Times New Roman"/>
        </w:rPr>
        <w:t xml:space="preserve">characteristic </w:t>
      </w:r>
      <w:r>
        <w:rPr>
          <w:rFonts w:hint="default" w:ascii="Times New Roman" w:hAnsi="Times New Roman"/>
          <w:lang w:val="pt-BR"/>
        </w:rPr>
        <w:t xml:space="preserve">stretching </w:t>
      </w:r>
      <w:r>
        <w:rPr>
          <w:rFonts w:ascii="Times New Roman" w:hAnsi="Times New Roman"/>
        </w:rPr>
        <w:t>of triazine units, confirming their formation.</w:t>
      </w:r>
      <w:r>
        <w:rPr>
          <w:rFonts w:hint="default" w:ascii="Times New Roman" w:hAnsi="Times New Roman"/>
          <w:lang w:val="pt-BR"/>
        </w:rPr>
        <w:t xml:space="preserve"> Finally, bands around 3200 and 3350 </w:t>
      </w:r>
      <w:r>
        <w:rPr>
          <w:rFonts w:ascii="Times New Roman" w:hAnsi="Times New Roman"/>
        </w:rPr>
        <w:t>cm</w:t>
      </w:r>
      <w:r>
        <w:rPr>
          <w:rFonts w:ascii="Times New Roman" w:hAnsi="Times New Roman"/>
          <w:vertAlign w:val="superscript"/>
        </w:rPr>
        <w:t>-1</w:t>
      </w:r>
      <w:r>
        <w:rPr>
          <w:rFonts w:hint="default" w:ascii="Times New Roman" w:hAnsi="Times New Roman"/>
          <w:vertAlign w:val="superscript"/>
          <w:lang w:val="pt-BR"/>
        </w:rPr>
        <w:t xml:space="preserve"> </w:t>
      </w:r>
      <w:r>
        <w:rPr>
          <w:rFonts w:hint="default" w:ascii="Times New Roman" w:hAnsi="Times New Roman"/>
          <w:vertAlign w:val="baseline"/>
          <w:lang w:val="pt-BR"/>
        </w:rPr>
        <w:t>are related to amine groups.</w:t>
      </w:r>
    </w:p>
    <w:p>
      <w:pPr>
        <w:pStyle w:val="36"/>
        <w:ind w:firstLine="0"/>
        <w:rPr>
          <w:rFonts w:ascii="Times New Roman" w:hAnsi="Times New Roman"/>
          <w:i/>
          <w:iCs/>
        </w:rPr>
      </w:pPr>
    </w:p>
    <w:p>
      <w:pPr>
        <w:pStyle w:val="36"/>
        <w:rPr>
          <w:rFonts w:ascii="Times New Roman" w:hAnsi="Times New Roman"/>
          <w:i/>
          <w:iCs/>
        </w:rPr>
      </w:pPr>
      <w:r>
        <w:rPr>
          <w:rFonts w:ascii="Times New Roman" w:hAnsi="Times New Roman"/>
          <w:i/>
          <w:iCs/>
        </w:rPr>
        <w:t>Photocatalytic Tests</w:t>
      </w:r>
    </w:p>
    <w:p>
      <w:pPr>
        <w:pStyle w:val="36"/>
        <w:ind w:firstLine="187"/>
        <w:rPr>
          <w:rFonts w:hint="default" w:ascii="Helvetica" w:hAnsi="Helvetica" w:cs="Helvetica"/>
          <w:sz w:val="24"/>
          <w:szCs w:val="24"/>
          <w:lang w:val="pt-BR"/>
        </w:rPr>
      </w:pPr>
      <w:r>
        <w:rPr>
          <w:rFonts w:ascii="Times New Roman" w:hAnsi="Times New Roman"/>
          <w:b/>
          <w:bCs/>
          <w:color w:val="000000" w:themeColor="text1"/>
          <w14:textFill>
            <w14:solidFill>
              <w14:schemeClr w14:val="tx1"/>
            </w14:solidFill>
          </w14:textFill>
        </w:rPr>
        <w:t>Table 1</w:t>
      </w:r>
      <w:r>
        <w:rPr>
          <w:rFonts w:hint="default" w:ascii="Times New Roman" w:hAnsi="Times New Roman"/>
          <w:b/>
          <w:bCs/>
          <w:color w:val="000000" w:themeColor="text1"/>
          <w:lang w:val="pt-BR"/>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 xml:space="preserve">The primary challenge in this reaction lies in controlling the formation of the epoxide rather than the generation of benzaldehyde, which is a commonly produced byproduct. Among the catalysts, Li-PTI exhibits the most favorable outcomes, especially at elevated temperatures. Additionally, employing a solvent mixture consisting of water and 1,4-dioxane enhances the epoxide yield. However, the use of alcohols as solvents is not conducive to epoxide formation due to their susceptibility to oxidation by photogenerated holes, instead of the substrate. The highest </w:t>
      </w:r>
      <w:r>
        <w:rPr>
          <w:rFonts w:hint="default" w:ascii="Times New Roman" w:hAnsi="Times New Roman"/>
          <w:color w:val="000000" w:themeColor="text1"/>
          <w:lang w:val="pt-BR"/>
          <w14:textFill>
            <w14:solidFill>
              <w14:schemeClr w14:val="tx1"/>
            </w14:solidFill>
          </w14:textFill>
        </w:rPr>
        <w:t xml:space="preserve">yield </w:t>
      </w:r>
      <w:r>
        <w:rPr>
          <w:rFonts w:ascii="Times New Roman" w:hAnsi="Times New Roman"/>
          <w:color w:val="000000" w:themeColor="text1"/>
          <w14:textFill>
            <w14:solidFill>
              <w14:schemeClr w14:val="tx1"/>
            </w14:solidFill>
          </w14:textFill>
        </w:rPr>
        <w:t>achieved was</w:t>
      </w:r>
      <w:r>
        <w:rPr>
          <w:rFonts w:ascii="Times New Roman" w:hAnsi="Times New Roman"/>
          <w:b/>
          <w:bCs/>
          <w:color w:val="000000" w:themeColor="text1"/>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30.4%</w:t>
      </w:r>
      <w:r>
        <w:rPr>
          <w:rFonts w:hint="default" w:ascii="Times New Roman" w:hAnsi="Times New Roman"/>
          <w:color w:val="000000" w:themeColor="text1"/>
          <w:lang w:val="pt-BR"/>
          <w14:textFill>
            <w14:solidFill>
              <w14:schemeClr w14:val="tx1"/>
            </w14:solidFill>
          </w14:textFill>
        </w:rPr>
        <w:t xml:space="preserve"> (10 mg Li-PTI, 1 mL dioxane, 1 mL water, 10 µL styrene, 60 °C, O</w:t>
      </w:r>
      <w:r>
        <w:rPr>
          <w:rFonts w:hint="default" w:ascii="Times New Roman" w:hAnsi="Times New Roman"/>
          <w:color w:val="000000" w:themeColor="text1"/>
          <w:vertAlign w:val="subscript"/>
          <w:lang w:val="pt-BR"/>
          <w14:textFill>
            <w14:solidFill>
              <w14:schemeClr w14:val="tx1"/>
            </w14:solidFill>
          </w14:textFill>
        </w:rPr>
        <w:t xml:space="preserve">2 </w:t>
      </w:r>
      <w:r>
        <w:rPr>
          <w:rFonts w:hint="default" w:ascii="Times New Roman" w:hAnsi="Times New Roman"/>
          <w:color w:val="000000" w:themeColor="text1"/>
          <w:vertAlign w:val="baseline"/>
          <w:lang w:val="pt-BR"/>
          <w14:textFill>
            <w14:solidFill>
              <w14:schemeClr w14:val="tx1"/>
            </w14:solidFill>
          </w14:textFill>
        </w:rPr>
        <w:t>flush)</w:t>
      </w:r>
      <w:r>
        <w:rPr>
          <w:rFonts w:hint="default" w:ascii="Times New Roman" w:hAnsi="Times New Roman"/>
          <w:color w:val="000000" w:themeColor="text1"/>
          <w:lang w:val="pt-BR"/>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signifying a notable advancement towards sustainable epoxide synthesis.</w:t>
      </w:r>
    </w:p>
    <w:tbl>
      <w:tblPr>
        <w:tblStyle w:val="12"/>
        <w:tblpPr w:leftFromText="141" w:rightFromText="141" w:vertAnchor="text" w:horzAnchor="margin" w:tblpXSpec="right" w:tblpY="10"/>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70" w:type="dxa"/>
          <w:bottom w:w="0" w:type="dxa"/>
          <w:right w:w="70" w:type="dxa"/>
        </w:tblCellMar>
      </w:tblPr>
      <w:tblGrid>
        <w:gridCol w:w="590"/>
        <w:gridCol w:w="1586"/>
        <w:gridCol w:w="1527"/>
        <w:gridCol w:w="89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70" w:type="dxa"/>
            <w:bottom w:w="0" w:type="dxa"/>
            <w:right w:w="70" w:type="dxa"/>
          </w:tblCellMar>
        </w:tblPrEx>
        <w:trPr>
          <w:trHeight w:val="600" w:hRule="atLeast"/>
        </w:trPr>
        <w:tc>
          <w:tcPr>
            <w:tcW w:w="0" w:type="auto"/>
            <w:tcBorders>
              <w:top w:val="single" w:color="auto" w:sz="4" w:space="0"/>
              <w:left w:val="nil"/>
              <w:bottom w:val="single" w:color="auto" w:sz="6" w:space="0"/>
              <w:right w:val="nil"/>
            </w:tcBorders>
            <w:vAlign w:val="center"/>
          </w:tcPr>
          <w:p>
            <w:pPr>
              <w:pStyle w:val="39"/>
              <w:jc w:val="center"/>
              <w:rPr>
                <w:rFonts w:hint="default"/>
                <w:b/>
                <w:bCs/>
                <w:lang w:val="pt-BR"/>
              </w:rPr>
            </w:pPr>
            <w:r>
              <w:rPr>
                <w:rFonts w:hint="default"/>
                <w:b/>
                <w:bCs/>
                <w:lang w:val="pt-BR"/>
              </w:rPr>
              <w:t>Entry</w:t>
            </w:r>
          </w:p>
        </w:tc>
        <w:tc>
          <w:tcPr>
            <w:tcW w:w="0" w:type="auto"/>
            <w:tcBorders>
              <w:top w:val="single" w:color="auto" w:sz="4" w:space="0"/>
              <w:left w:val="nil"/>
              <w:bottom w:val="single" w:color="auto" w:sz="6" w:space="0"/>
              <w:right w:val="nil"/>
            </w:tcBorders>
            <w:vAlign w:val="center"/>
          </w:tcPr>
          <w:p>
            <w:pPr>
              <w:pStyle w:val="39"/>
              <w:jc w:val="center"/>
              <w:rPr>
                <w:b/>
                <w:bCs/>
              </w:rPr>
            </w:pPr>
            <w:r>
              <w:rPr>
                <w:b/>
                <w:bCs/>
              </w:rPr>
              <w:t>Solvent</w:t>
            </w:r>
          </w:p>
        </w:tc>
        <w:tc>
          <w:tcPr>
            <w:tcW w:w="0" w:type="auto"/>
            <w:tcBorders>
              <w:top w:val="single" w:color="auto" w:sz="4" w:space="0"/>
              <w:left w:val="nil"/>
              <w:bottom w:val="single" w:color="auto" w:sz="6" w:space="0"/>
              <w:right w:val="nil"/>
            </w:tcBorders>
            <w:vAlign w:val="center"/>
          </w:tcPr>
          <w:p>
            <w:pPr>
              <w:pStyle w:val="39"/>
              <w:spacing w:line="240" w:lineRule="exact"/>
              <w:jc w:val="center"/>
              <w:rPr>
                <w:b/>
                <w:bCs/>
              </w:rPr>
            </w:pPr>
            <w:r>
              <w:rPr>
                <w:b/>
                <w:bCs/>
              </w:rPr>
              <w:t>Temperature (°C)</w:t>
            </w:r>
          </w:p>
        </w:tc>
        <w:tc>
          <w:tcPr>
            <w:tcW w:w="0" w:type="auto"/>
            <w:tcBorders>
              <w:top w:val="single" w:color="auto" w:sz="4" w:space="0"/>
              <w:left w:val="nil"/>
              <w:bottom w:val="single" w:color="auto" w:sz="6" w:space="0"/>
              <w:right w:val="nil"/>
            </w:tcBorders>
            <w:vAlign w:val="center"/>
          </w:tcPr>
          <w:p>
            <w:pPr>
              <w:pStyle w:val="39"/>
              <w:spacing w:line="240" w:lineRule="exact"/>
              <w:jc w:val="center"/>
              <w:rPr>
                <w:b/>
                <w:bCs/>
              </w:rPr>
            </w:pPr>
            <w:r>
              <w:rPr>
                <w:b/>
                <w:bCs/>
              </w:rPr>
              <w:t>Yield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70" w:type="dxa"/>
            <w:bottom w:w="0" w:type="dxa"/>
            <w:right w:w="70" w:type="dxa"/>
          </w:tblCellMar>
        </w:tblPrEx>
        <w:trPr>
          <w:trHeight w:val="345" w:hRule="atLeast"/>
        </w:trPr>
        <w:tc>
          <w:tcPr>
            <w:tcW w:w="0" w:type="auto"/>
            <w:tcBorders>
              <w:top w:val="single" w:color="auto" w:sz="6" w:space="0"/>
              <w:left w:val="nil"/>
              <w:bottom w:val="single" w:color="auto" w:sz="6" w:space="0"/>
              <w:right w:val="nil"/>
            </w:tcBorders>
          </w:tcPr>
          <w:p>
            <w:pPr>
              <w:pStyle w:val="39"/>
              <w:jc w:val="center"/>
              <w:rPr>
                <w:rFonts w:hint="default"/>
                <w:lang w:val="pt-BR"/>
              </w:rPr>
            </w:pPr>
            <w:r>
              <w:rPr>
                <w:rFonts w:hint="default"/>
                <w:lang w:val="pt-BR"/>
              </w:rPr>
              <w:t>1</w:t>
            </w:r>
          </w:p>
        </w:tc>
        <w:tc>
          <w:tcPr>
            <w:tcW w:w="0" w:type="auto"/>
            <w:tcBorders>
              <w:top w:val="single" w:color="auto" w:sz="6" w:space="0"/>
              <w:left w:val="nil"/>
              <w:bottom w:val="single" w:color="auto" w:sz="6" w:space="0"/>
              <w:right w:val="nil"/>
            </w:tcBorders>
            <w:vAlign w:val="center"/>
          </w:tcPr>
          <w:p>
            <w:pPr>
              <w:pStyle w:val="39"/>
              <w:jc w:val="center"/>
            </w:pPr>
            <w:r>
              <w:t>CH</w:t>
            </w:r>
            <w:r>
              <w:rPr>
                <w:vertAlign w:val="subscript"/>
              </w:rPr>
              <w:t>3</w:t>
            </w:r>
            <w:r>
              <w:t>CN</w:t>
            </w:r>
          </w:p>
        </w:tc>
        <w:tc>
          <w:tcPr>
            <w:tcW w:w="0" w:type="auto"/>
            <w:tcBorders>
              <w:top w:val="single" w:color="auto" w:sz="6" w:space="0"/>
              <w:left w:val="nil"/>
              <w:bottom w:val="single" w:color="auto" w:sz="6" w:space="0"/>
              <w:right w:val="nil"/>
            </w:tcBorders>
            <w:vAlign w:val="center"/>
          </w:tcPr>
          <w:p>
            <w:pPr>
              <w:pStyle w:val="39"/>
              <w:jc w:val="center"/>
            </w:pPr>
            <w:r>
              <w:t>~ 25</w:t>
            </w:r>
          </w:p>
        </w:tc>
        <w:tc>
          <w:tcPr>
            <w:tcW w:w="0" w:type="auto"/>
            <w:tcBorders>
              <w:top w:val="single" w:color="auto" w:sz="6" w:space="0"/>
              <w:left w:val="nil"/>
              <w:bottom w:val="single" w:color="auto" w:sz="6" w:space="0"/>
              <w:right w:val="nil"/>
            </w:tcBorders>
            <w:vAlign w:val="center"/>
          </w:tcPr>
          <w:p>
            <w:pPr>
              <w:pStyle w:val="39"/>
              <w:spacing w:line="240" w:lineRule="exact"/>
              <w:jc w:val="center"/>
            </w:pPr>
            <w:r>
              <w:t>10.9</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70" w:type="dxa"/>
            <w:bottom w:w="0" w:type="dxa"/>
            <w:right w:w="70" w:type="dxa"/>
          </w:tblCellMar>
        </w:tblPrEx>
        <w:trPr>
          <w:trHeight w:val="390" w:hRule="atLeast"/>
        </w:trPr>
        <w:tc>
          <w:tcPr>
            <w:tcW w:w="0" w:type="auto"/>
            <w:tcBorders>
              <w:top w:val="single" w:color="auto" w:sz="6" w:space="0"/>
              <w:left w:val="nil"/>
              <w:bottom w:val="single" w:color="auto" w:sz="6" w:space="0"/>
              <w:right w:val="nil"/>
            </w:tcBorders>
          </w:tcPr>
          <w:p>
            <w:pPr>
              <w:pStyle w:val="39"/>
              <w:jc w:val="center"/>
              <w:rPr>
                <w:rFonts w:hint="default"/>
                <w:lang w:val="pt-BR"/>
              </w:rPr>
            </w:pPr>
            <w:r>
              <w:rPr>
                <w:rFonts w:hint="default"/>
                <w:lang w:val="pt-BR"/>
              </w:rPr>
              <w:t>2</w:t>
            </w:r>
          </w:p>
        </w:tc>
        <w:tc>
          <w:tcPr>
            <w:tcW w:w="0" w:type="auto"/>
            <w:tcBorders>
              <w:top w:val="single" w:color="auto" w:sz="6" w:space="0"/>
              <w:left w:val="nil"/>
              <w:bottom w:val="single" w:color="auto" w:sz="6" w:space="0"/>
              <w:right w:val="nil"/>
            </w:tcBorders>
            <w:vAlign w:val="center"/>
          </w:tcPr>
          <w:p>
            <w:pPr>
              <w:pStyle w:val="39"/>
              <w:jc w:val="center"/>
            </w:pPr>
            <w:r>
              <w:t>CH</w:t>
            </w:r>
            <w:r>
              <w:rPr>
                <w:vertAlign w:val="subscript"/>
              </w:rPr>
              <w:t>3</w:t>
            </w:r>
            <w:r>
              <w:t>CN</w:t>
            </w:r>
          </w:p>
        </w:tc>
        <w:tc>
          <w:tcPr>
            <w:tcW w:w="0" w:type="auto"/>
            <w:tcBorders>
              <w:top w:val="single" w:color="auto" w:sz="6" w:space="0"/>
              <w:left w:val="nil"/>
              <w:bottom w:val="single" w:color="auto" w:sz="6" w:space="0"/>
              <w:right w:val="nil"/>
            </w:tcBorders>
            <w:vAlign w:val="center"/>
          </w:tcPr>
          <w:p>
            <w:pPr>
              <w:pStyle w:val="39"/>
              <w:jc w:val="center"/>
            </w:pPr>
            <w:r>
              <w:t>60</w:t>
            </w:r>
          </w:p>
        </w:tc>
        <w:tc>
          <w:tcPr>
            <w:tcW w:w="0" w:type="auto"/>
            <w:tcBorders>
              <w:top w:val="single" w:color="auto" w:sz="6" w:space="0"/>
              <w:left w:val="nil"/>
              <w:bottom w:val="single" w:color="auto" w:sz="6" w:space="0"/>
              <w:right w:val="nil"/>
            </w:tcBorders>
            <w:vAlign w:val="center"/>
          </w:tcPr>
          <w:p>
            <w:pPr>
              <w:pStyle w:val="39"/>
              <w:spacing w:line="240" w:lineRule="exact"/>
              <w:jc w:val="center"/>
            </w:pPr>
            <w:r>
              <w:t>24.1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70" w:type="dxa"/>
            <w:bottom w:w="0" w:type="dxa"/>
            <w:right w:w="70" w:type="dxa"/>
          </w:tblCellMar>
        </w:tblPrEx>
        <w:trPr>
          <w:trHeight w:val="613" w:hRule="atLeast"/>
        </w:trPr>
        <w:tc>
          <w:tcPr>
            <w:tcW w:w="0" w:type="auto"/>
            <w:tcBorders>
              <w:top w:val="single" w:color="auto" w:sz="6" w:space="0"/>
              <w:left w:val="nil"/>
              <w:bottom w:val="single" w:color="auto" w:sz="6" w:space="0"/>
              <w:right w:val="nil"/>
            </w:tcBorders>
          </w:tcPr>
          <w:p>
            <w:pPr>
              <w:pStyle w:val="39"/>
              <w:jc w:val="center"/>
              <w:rPr>
                <w:rFonts w:hint="default"/>
                <w:vertAlign w:val="subscript"/>
                <w:lang w:val="pt-BR"/>
              </w:rPr>
            </w:pPr>
            <w:r>
              <w:rPr>
                <w:rFonts w:hint="default"/>
                <w:lang w:val="pt-BR"/>
              </w:rPr>
              <w:t>3</w:t>
            </w:r>
            <w:r>
              <w:rPr>
                <w:rFonts w:hint="default"/>
                <w:vertAlign w:val="superscript"/>
                <w:lang w:val="pt-BR"/>
              </w:rPr>
              <w:t>*</w:t>
            </w:r>
          </w:p>
        </w:tc>
        <w:tc>
          <w:tcPr>
            <w:tcW w:w="0" w:type="auto"/>
            <w:tcBorders>
              <w:top w:val="single" w:color="auto" w:sz="6" w:space="0"/>
              <w:left w:val="nil"/>
              <w:bottom w:val="single" w:color="auto" w:sz="6" w:space="0"/>
              <w:right w:val="nil"/>
            </w:tcBorders>
            <w:vAlign w:val="center"/>
          </w:tcPr>
          <w:p>
            <w:pPr>
              <w:pStyle w:val="39"/>
              <w:spacing w:line="240" w:lineRule="exact"/>
              <w:jc w:val="center"/>
            </w:pPr>
            <w:r>
              <w:rPr>
                <w:rFonts w:hint="default"/>
                <w:lang w:val="pt-BR"/>
              </w:rPr>
              <w:t>1,4-</w:t>
            </w:r>
            <w:r>
              <w:t>dioxane + water</w:t>
            </w:r>
          </w:p>
        </w:tc>
        <w:tc>
          <w:tcPr>
            <w:tcW w:w="0" w:type="auto"/>
            <w:tcBorders>
              <w:top w:val="single" w:color="auto" w:sz="6" w:space="0"/>
              <w:left w:val="nil"/>
              <w:bottom w:val="single" w:color="auto" w:sz="6" w:space="0"/>
              <w:right w:val="nil"/>
            </w:tcBorders>
            <w:vAlign w:val="center"/>
          </w:tcPr>
          <w:p>
            <w:pPr>
              <w:pStyle w:val="39"/>
              <w:jc w:val="center"/>
            </w:pPr>
            <w:r>
              <w:t>60</w:t>
            </w:r>
          </w:p>
        </w:tc>
        <w:tc>
          <w:tcPr>
            <w:tcW w:w="0" w:type="auto"/>
            <w:tcBorders>
              <w:top w:val="single" w:color="auto" w:sz="6" w:space="0"/>
              <w:left w:val="nil"/>
              <w:bottom w:val="single" w:color="auto" w:sz="6" w:space="0"/>
              <w:right w:val="nil"/>
            </w:tcBorders>
            <w:vAlign w:val="center"/>
          </w:tcPr>
          <w:p>
            <w:pPr>
              <w:pStyle w:val="39"/>
              <w:jc w:val="center"/>
            </w:pPr>
            <w:r>
              <w:t>30.4</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70" w:type="dxa"/>
            <w:bottom w:w="0" w:type="dxa"/>
            <w:right w:w="70" w:type="dxa"/>
          </w:tblCellMar>
        </w:tblPrEx>
        <w:trPr>
          <w:trHeight w:val="300" w:hRule="atLeast"/>
        </w:trPr>
        <w:tc>
          <w:tcPr>
            <w:tcW w:w="0" w:type="auto"/>
            <w:tcBorders>
              <w:top w:val="single" w:color="auto" w:sz="6" w:space="0"/>
              <w:left w:val="nil"/>
              <w:bottom w:val="single" w:color="auto" w:sz="6" w:space="0"/>
              <w:right w:val="nil"/>
            </w:tcBorders>
          </w:tcPr>
          <w:p>
            <w:pPr>
              <w:pStyle w:val="39"/>
              <w:jc w:val="center"/>
              <w:rPr>
                <w:rFonts w:hint="default"/>
                <w:lang w:val="pt-BR"/>
              </w:rPr>
            </w:pPr>
            <w:r>
              <w:rPr>
                <w:rFonts w:hint="default"/>
                <w:lang w:val="pt-BR"/>
              </w:rPr>
              <w:t>4</w:t>
            </w:r>
          </w:p>
        </w:tc>
        <w:tc>
          <w:tcPr>
            <w:tcW w:w="0" w:type="auto"/>
            <w:tcBorders>
              <w:top w:val="single" w:color="auto" w:sz="6" w:space="0"/>
              <w:left w:val="nil"/>
              <w:bottom w:val="single" w:color="auto" w:sz="6" w:space="0"/>
              <w:right w:val="nil"/>
            </w:tcBorders>
            <w:vAlign w:val="center"/>
          </w:tcPr>
          <w:p>
            <w:pPr>
              <w:pStyle w:val="39"/>
              <w:jc w:val="center"/>
            </w:pPr>
            <w:r>
              <w:t>ethanol</w:t>
            </w:r>
          </w:p>
        </w:tc>
        <w:tc>
          <w:tcPr>
            <w:tcW w:w="0" w:type="auto"/>
            <w:tcBorders>
              <w:top w:val="single" w:color="auto" w:sz="6" w:space="0"/>
              <w:left w:val="nil"/>
              <w:bottom w:val="single" w:color="auto" w:sz="6" w:space="0"/>
              <w:right w:val="nil"/>
            </w:tcBorders>
            <w:vAlign w:val="center"/>
          </w:tcPr>
          <w:p>
            <w:pPr>
              <w:pStyle w:val="39"/>
              <w:jc w:val="center"/>
            </w:pPr>
            <w:r>
              <w:t>60</w:t>
            </w:r>
          </w:p>
        </w:tc>
        <w:tc>
          <w:tcPr>
            <w:tcW w:w="0" w:type="auto"/>
            <w:tcBorders>
              <w:top w:val="single" w:color="auto" w:sz="6" w:space="0"/>
              <w:left w:val="nil"/>
              <w:bottom w:val="single" w:color="auto" w:sz="6" w:space="0"/>
              <w:right w:val="nil"/>
            </w:tcBorders>
            <w:vAlign w:val="center"/>
          </w:tcPr>
          <w:p>
            <w:pPr>
              <w:pStyle w:val="39"/>
              <w:jc w:val="center"/>
            </w:pPr>
            <w:r>
              <w:t>0.5</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70" w:type="dxa"/>
            <w:bottom w:w="0" w:type="dxa"/>
            <w:right w:w="70" w:type="dxa"/>
          </w:tblCellMar>
        </w:tblPrEx>
        <w:trPr>
          <w:trHeight w:val="300" w:hRule="atLeast"/>
        </w:trPr>
        <w:tc>
          <w:tcPr>
            <w:tcW w:w="0" w:type="auto"/>
            <w:tcBorders>
              <w:top w:val="single" w:color="auto" w:sz="6" w:space="0"/>
              <w:left w:val="nil"/>
              <w:bottom w:val="single" w:color="auto" w:sz="6" w:space="0"/>
              <w:right w:val="nil"/>
            </w:tcBorders>
          </w:tcPr>
          <w:p>
            <w:pPr>
              <w:pStyle w:val="39"/>
              <w:jc w:val="center"/>
              <w:rPr>
                <w:rFonts w:hint="default"/>
                <w:lang w:val="pt-BR"/>
              </w:rPr>
            </w:pPr>
            <w:r>
              <w:rPr>
                <w:rFonts w:hint="default"/>
                <w:lang w:val="pt-BR"/>
              </w:rPr>
              <w:t>5</w:t>
            </w:r>
          </w:p>
        </w:tc>
        <w:tc>
          <w:tcPr>
            <w:tcW w:w="0" w:type="auto"/>
            <w:tcBorders>
              <w:top w:val="single" w:color="auto" w:sz="6" w:space="0"/>
              <w:left w:val="nil"/>
              <w:bottom w:val="single" w:color="auto" w:sz="6" w:space="0"/>
              <w:right w:val="nil"/>
            </w:tcBorders>
            <w:vAlign w:val="center"/>
          </w:tcPr>
          <w:p>
            <w:pPr>
              <w:pStyle w:val="39"/>
              <w:spacing w:line="240" w:lineRule="exact"/>
              <w:jc w:val="center"/>
            </w:pPr>
            <w:r>
              <w:t xml:space="preserve">    isopropanol</w:t>
            </w:r>
          </w:p>
        </w:tc>
        <w:tc>
          <w:tcPr>
            <w:tcW w:w="0" w:type="auto"/>
            <w:tcBorders>
              <w:top w:val="single" w:color="auto" w:sz="6" w:space="0"/>
              <w:left w:val="nil"/>
              <w:bottom w:val="single" w:color="auto" w:sz="6" w:space="0"/>
              <w:right w:val="nil"/>
            </w:tcBorders>
            <w:vAlign w:val="center"/>
          </w:tcPr>
          <w:p>
            <w:pPr>
              <w:pStyle w:val="39"/>
              <w:jc w:val="center"/>
            </w:pPr>
            <w:r>
              <w:t>60</w:t>
            </w:r>
          </w:p>
        </w:tc>
        <w:tc>
          <w:tcPr>
            <w:tcW w:w="0" w:type="auto"/>
            <w:tcBorders>
              <w:top w:val="single" w:color="auto" w:sz="6" w:space="0"/>
              <w:left w:val="nil"/>
              <w:bottom w:val="single" w:color="auto" w:sz="6" w:space="0"/>
              <w:right w:val="nil"/>
            </w:tcBorders>
            <w:vAlign w:val="center"/>
          </w:tcPr>
          <w:p>
            <w:pPr>
              <w:pStyle w:val="39"/>
              <w:jc w:val="center"/>
            </w:pPr>
            <w:r>
              <w:t>1.8</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70" w:type="dxa"/>
            <w:bottom w:w="0" w:type="dxa"/>
            <w:right w:w="70" w:type="dxa"/>
          </w:tblCellMar>
        </w:tblPrEx>
        <w:trPr>
          <w:trHeight w:val="300" w:hRule="atLeast"/>
        </w:trPr>
        <w:tc>
          <w:tcPr>
            <w:tcW w:w="0" w:type="auto"/>
            <w:tcBorders>
              <w:top w:val="single" w:color="auto" w:sz="6" w:space="0"/>
              <w:left w:val="nil"/>
              <w:bottom w:val="single" w:color="auto" w:sz="6" w:space="0"/>
              <w:right w:val="nil"/>
            </w:tcBorders>
          </w:tcPr>
          <w:p>
            <w:pPr>
              <w:pStyle w:val="39"/>
              <w:jc w:val="center"/>
              <w:rPr>
                <w:rFonts w:hint="default"/>
                <w:lang w:val="pt-BR"/>
              </w:rPr>
            </w:pPr>
            <w:r>
              <w:rPr>
                <w:rFonts w:hint="default"/>
                <w:lang w:val="pt-BR"/>
              </w:rPr>
              <w:t>6</w:t>
            </w:r>
          </w:p>
        </w:tc>
        <w:tc>
          <w:tcPr>
            <w:tcW w:w="0" w:type="auto"/>
            <w:tcBorders>
              <w:top w:val="single" w:color="auto" w:sz="6" w:space="0"/>
              <w:left w:val="nil"/>
              <w:bottom w:val="single" w:color="auto" w:sz="6" w:space="0"/>
              <w:right w:val="nil"/>
            </w:tcBorders>
            <w:vAlign w:val="center"/>
          </w:tcPr>
          <w:p>
            <w:pPr>
              <w:pStyle w:val="39"/>
              <w:jc w:val="center"/>
            </w:pPr>
            <w:r>
              <w:rPr>
                <w:rFonts w:hint="default"/>
                <w:lang w:val="pt-BR"/>
              </w:rPr>
              <w:t>1,4-</w:t>
            </w:r>
            <w:r>
              <w:t>dioxane</w:t>
            </w:r>
          </w:p>
        </w:tc>
        <w:tc>
          <w:tcPr>
            <w:tcW w:w="0" w:type="auto"/>
            <w:tcBorders>
              <w:top w:val="single" w:color="auto" w:sz="6" w:space="0"/>
              <w:left w:val="nil"/>
              <w:bottom w:val="single" w:color="auto" w:sz="6" w:space="0"/>
              <w:right w:val="nil"/>
            </w:tcBorders>
            <w:vAlign w:val="center"/>
          </w:tcPr>
          <w:p>
            <w:pPr>
              <w:pStyle w:val="39"/>
              <w:jc w:val="center"/>
            </w:pPr>
            <w:r>
              <w:t>60</w:t>
            </w:r>
          </w:p>
        </w:tc>
        <w:tc>
          <w:tcPr>
            <w:tcW w:w="0" w:type="auto"/>
            <w:tcBorders>
              <w:top w:val="single" w:color="auto" w:sz="6" w:space="0"/>
              <w:left w:val="nil"/>
              <w:bottom w:val="single" w:color="auto" w:sz="6" w:space="0"/>
              <w:right w:val="nil"/>
            </w:tcBorders>
            <w:vAlign w:val="center"/>
          </w:tcPr>
          <w:p>
            <w:pPr>
              <w:pStyle w:val="39"/>
              <w:jc w:val="center"/>
            </w:pPr>
            <w:r>
              <w:t>9.4</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70" w:type="dxa"/>
            <w:bottom w:w="0" w:type="dxa"/>
            <w:right w:w="70" w:type="dxa"/>
          </w:tblCellMar>
        </w:tblPrEx>
        <w:trPr>
          <w:trHeight w:val="300" w:hRule="atLeast"/>
        </w:trPr>
        <w:tc>
          <w:tcPr>
            <w:tcW w:w="0" w:type="auto"/>
            <w:tcBorders>
              <w:top w:val="single" w:color="auto" w:sz="6" w:space="0"/>
              <w:left w:val="nil"/>
              <w:bottom w:val="single" w:color="auto" w:sz="6" w:space="0"/>
              <w:right w:val="nil"/>
            </w:tcBorders>
          </w:tcPr>
          <w:p>
            <w:pPr>
              <w:pStyle w:val="39"/>
              <w:jc w:val="center"/>
              <w:rPr>
                <w:rFonts w:hint="default"/>
                <w:lang w:val="pt-BR"/>
              </w:rPr>
            </w:pPr>
            <w:r>
              <w:rPr>
                <w:rFonts w:hint="default"/>
                <w:lang w:val="pt-BR"/>
              </w:rPr>
              <w:t>7</w:t>
            </w:r>
          </w:p>
        </w:tc>
        <w:tc>
          <w:tcPr>
            <w:tcW w:w="0" w:type="auto"/>
            <w:tcBorders>
              <w:top w:val="single" w:color="auto" w:sz="6" w:space="0"/>
              <w:left w:val="nil"/>
              <w:bottom w:val="single" w:color="auto" w:sz="6" w:space="0"/>
              <w:right w:val="nil"/>
            </w:tcBorders>
            <w:vAlign w:val="center"/>
          </w:tcPr>
          <w:p>
            <w:pPr>
              <w:pStyle w:val="39"/>
              <w:spacing w:line="240" w:lineRule="exact"/>
              <w:jc w:val="center"/>
            </w:pPr>
            <w:r>
              <w:t>water</w:t>
            </w:r>
          </w:p>
        </w:tc>
        <w:tc>
          <w:tcPr>
            <w:tcW w:w="0" w:type="auto"/>
            <w:tcBorders>
              <w:top w:val="single" w:color="auto" w:sz="6" w:space="0"/>
              <w:left w:val="nil"/>
              <w:bottom w:val="single" w:color="auto" w:sz="6" w:space="0"/>
              <w:right w:val="nil"/>
            </w:tcBorders>
            <w:vAlign w:val="center"/>
          </w:tcPr>
          <w:p>
            <w:pPr>
              <w:pStyle w:val="39"/>
              <w:jc w:val="center"/>
            </w:pPr>
            <w:r>
              <w:t>60</w:t>
            </w:r>
          </w:p>
        </w:tc>
        <w:tc>
          <w:tcPr>
            <w:tcW w:w="0" w:type="auto"/>
            <w:tcBorders>
              <w:top w:val="single" w:color="auto" w:sz="6" w:space="0"/>
              <w:left w:val="nil"/>
              <w:bottom w:val="single" w:color="auto" w:sz="6" w:space="0"/>
              <w:right w:val="nil"/>
            </w:tcBorders>
            <w:vAlign w:val="center"/>
          </w:tcPr>
          <w:p>
            <w:pPr>
              <w:pStyle w:val="39"/>
              <w:jc w:val="center"/>
              <w:rPr>
                <w:rFonts w:hint="default"/>
                <w:lang w:val="pt-BR"/>
              </w:rPr>
            </w:pPr>
            <w:r>
              <w:rPr>
                <w:rFonts w:hint="default"/>
                <w:lang w:val="pt-BR"/>
              </w:rPr>
              <w:t>-</w:t>
            </w:r>
          </w:p>
        </w:tc>
      </w:tr>
    </w:tbl>
    <w:p>
      <w:pPr>
        <w:pStyle w:val="3"/>
        <w:jc w:val="left"/>
        <w:rPr>
          <w:rFonts w:ascii="Times New Roman" w:hAnsi="Times New Roman" w:cs="Times New Roman"/>
          <w:sz w:val="18"/>
          <w:szCs w:val="18"/>
          <w:lang w:val="en-US"/>
        </w:rPr>
      </w:pPr>
      <w:r>
        <w:rPr>
          <w:rFonts w:ascii="Times New Roman" w:hAnsi="Times New Roman" w:cs="Times New Roman"/>
          <w:b/>
          <w:bCs/>
          <w:sz w:val="18"/>
          <w:szCs w:val="18"/>
          <w:lang w:val="en-US"/>
        </w:rPr>
        <w:t>Table 1</w:t>
      </w:r>
      <w:r>
        <w:rPr>
          <w:rFonts w:ascii="Times New Roman" w:hAnsi="Times New Roman" w:cs="Times New Roman"/>
          <w:sz w:val="18"/>
          <w:szCs w:val="18"/>
          <w:lang w:val="en-US"/>
        </w:rPr>
        <w:t>. Photocatalytic results of styrene epoxidation.</w:t>
      </w:r>
    </w:p>
    <w:p>
      <w:pPr>
        <w:rPr>
          <w:rFonts w:hint="default" w:ascii="Helvetica" w:hAnsi="Helvetica" w:cs="Helvetica"/>
          <w:sz w:val="18"/>
          <w:szCs w:val="18"/>
          <w:vertAlign w:val="baseline"/>
          <w:lang w:val="pt-BR"/>
        </w:rPr>
      </w:pPr>
      <w:r>
        <w:rPr>
          <w:rFonts w:hint="default" w:ascii="Times New Roman" w:hAnsi="Times New Roman" w:cs="Times New Roman"/>
          <w:sz w:val="18"/>
          <w:szCs w:val="18"/>
          <w:lang w:val="pt-BR"/>
        </w:rPr>
        <w:t xml:space="preserve">Reaction conditions: 10 mg of Li-PTI, 2 ml of solvent, 10 </w:t>
      </w:r>
      <w:r>
        <w:rPr>
          <w:rFonts w:hint="default" w:ascii="Times New Roman" w:hAnsi="Times New Roman"/>
          <w:sz w:val="18"/>
          <w:szCs w:val="18"/>
          <w:lang w:val="pt-BR"/>
        </w:rPr>
        <w:t>µL of styrene, O</w:t>
      </w:r>
      <w:r>
        <w:rPr>
          <w:rFonts w:hint="default" w:ascii="Times New Roman" w:hAnsi="Times New Roman"/>
          <w:sz w:val="18"/>
          <w:szCs w:val="18"/>
          <w:vertAlign w:val="subscript"/>
          <w:lang w:val="pt-BR"/>
        </w:rPr>
        <w:t>2</w:t>
      </w:r>
      <w:r>
        <w:rPr>
          <w:rFonts w:hint="default" w:ascii="Times New Roman" w:hAnsi="Times New Roman"/>
          <w:sz w:val="18"/>
          <w:szCs w:val="18"/>
          <w:vertAlign w:val="baseline"/>
          <w:lang w:val="pt-BR"/>
        </w:rPr>
        <w:t xml:space="preserve"> flush and 24 h of reaction time. *1 mL of 1,4-dioxane and 1 mL of water.</w:t>
      </w:r>
    </w:p>
    <w:p>
      <w:pPr>
        <w:pStyle w:val="36"/>
        <w:ind w:firstLine="187"/>
        <w:jc w:val="center"/>
        <w:rPr>
          <w:rFonts w:ascii="Times New Roman" w:hAnsi="Times New Roman"/>
        </w:rPr>
      </w:pPr>
      <w:r>
        <w:rPr>
          <w:rFonts w:ascii="Helvetica" w:hAnsi="Helvetica" w:cs="Helvetica"/>
          <w:sz w:val="24"/>
          <w:szCs w:val="24"/>
        </w:rPr>
        <w:t>Conclusions</w:t>
      </w:r>
    </w:p>
    <w:p>
      <w:pPr>
        <w:pStyle w:val="36"/>
        <w:ind w:firstLine="187"/>
        <w:contextualSpacing/>
        <w:rPr>
          <w:rFonts w:ascii="Times New Roman" w:hAnsi="Times New Roman"/>
        </w:rPr>
      </w:pPr>
      <w:r>
        <w:rPr>
          <w:rFonts w:ascii="Times New Roman" w:hAnsi="Times New Roman"/>
        </w:rPr>
        <w:t xml:space="preserve"> With the obtained data, it is concluded that the proposed investigation for styrene epoxidation is promising using Li-PTI as a catalyst and adopting mainly </w:t>
      </w:r>
      <w:r>
        <w:rPr>
          <w:rFonts w:hint="default" w:ascii="Times New Roman" w:hAnsi="Times New Roman"/>
          <w:lang w:val="pt-BR"/>
        </w:rPr>
        <w:t>1,4-</w:t>
      </w:r>
      <w:r>
        <w:rPr>
          <w:rFonts w:ascii="Times New Roman" w:hAnsi="Times New Roman"/>
        </w:rPr>
        <w:t>dioxane and water (1:1) as solvent, under moderate higher temperatures (60°C).</w:t>
      </w:r>
    </w:p>
    <w:p>
      <w:pPr>
        <w:pStyle w:val="3"/>
        <w:contextualSpacing/>
        <w:rPr>
          <w:rFonts w:ascii="Helvetica" w:hAnsi="Helvetica" w:cs="Helvetica"/>
          <w:sz w:val="24"/>
          <w:szCs w:val="24"/>
          <w:lang w:val="en-US"/>
        </w:rPr>
      </w:pPr>
      <w:r>
        <w:rPr>
          <w:rFonts w:ascii="Helvetica" w:hAnsi="Helvetica" w:cs="Helvetica"/>
          <w:sz w:val="24"/>
          <w:szCs w:val="24"/>
          <w:lang w:val="en-US"/>
        </w:rPr>
        <w:t xml:space="preserve"> Acknowledgments</w:t>
      </w:r>
    </w:p>
    <w:p>
      <w:pPr>
        <w:pStyle w:val="36"/>
        <w:rPr>
          <w:rFonts w:ascii="Times New Roman" w:hAnsi="Times New Roman"/>
        </w:rPr>
      </w:pPr>
      <w:r>
        <w:rPr>
          <w:rFonts w:ascii="Times New Roman" w:hAnsi="Times New Roman"/>
        </w:rPr>
        <w:t xml:space="preserve"> The authors are grateful to the Brazilian Funding agencies CNPq (423196/2018-9, 405752/2022-9 and 403064/2021-0) and FAPESP (2020/14741-6 and 2021/14006-7).</w:t>
      </w:r>
    </w:p>
    <w:p>
      <w:pPr>
        <w:pStyle w:val="3"/>
        <w:rPr>
          <w:rFonts w:ascii="Helvetica" w:hAnsi="Helvetica" w:cs="Helvetica"/>
          <w:sz w:val="24"/>
          <w:szCs w:val="24"/>
        </w:rPr>
      </w:pPr>
      <w:r>
        <w:rPr>
          <w:rFonts w:ascii="Helvetica" w:hAnsi="Helvetica" w:cs="Helvetica"/>
          <w:sz w:val="24"/>
          <w:szCs w:val="24"/>
        </w:rPr>
        <w:t>References</w:t>
      </w:r>
    </w:p>
    <w:p>
      <w:pPr>
        <w:pStyle w:val="36"/>
        <w:numPr>
          <w:ilvl w:val="0"/>
          <w:numId w:val="1"/>
        </w:numPr>
        <w:rPr>
          <w:rFonts w:ascii="Times New Roman" w:hAnsi="Times New Roman"/>
          <w:lang w:val="pt-BR"/>
        </w:rPr>
      </w:pPr>
      <w:r>
        <w:rPr>
          <w:rFonts w:ascii="Times New Roman" w:hAnsi="Times New Roman"/>
          <w:lang w:val="pt-BR"/>
        </w:rPr>
        <w:t xml:space="preserve">Meng, Y. D.; Taddeo, F.; Aguilera, A. F.; Cai, X. S.; Russo, V.; Tolvanen, P.; Leveneur, S., </w:t>
      </w:r>
      <w:r>
        <w:rPr>
          <w:rFonts w:ascii="Times New Roman" w:hAnsi="Times New Roman"/>
          <w:i/>
          <w:iCs/>
          <w:lang w:val="pt-BR"/>
        </w:rPr>
        <w:t>Catalysts.</w:t>
      </w:r>
      <w:r>
        <w:rPr>
          <w:rFonts w:ascii="Times New Roman" w:hAnsi="Times New Roman"/>
          <w:lang w:val="pt-BR"/>
        </w:rPr>
        <w:t xml:space="preserve"> </w:t>
      </w:r>
      <w:r>
        <w:rPr>
          <w:rFonts w:ascii="Times New Roman" w:hAnsi="Times New Roman"/>
          <w:b/>
          <w:bCs/>
          <w:lang w:val="pt-BR"/>
        </w:rPr>
        <w:t>2021</w:t>
      </w:r>
      <w:r>
        <w:rPr>
          <w:rFonts w:ascii="Times New Roman" w:hAnsi="Times New Roman"/>
          <w:lang w:val="pt-BR"/>
        </w:rPr>
        <w:t xml:space="preserve">, </w:t>
      </w:r>
      <w:r>
        <w:rPr>
          <w:rFonts w:ascii="Helvetica" w:hAnsi="Helvetica" w:cs="Helvetica" w:eastAsiaTheme="minorEastAsia"/>
          <w:i/>
          <w:iCs/>
          <w:color w:val="222222"/>
          <w:sz w:val="18"/>
          <w:szCs w:val="18"/>
          <w:shd w:val="clear" w:color="auto" w:fill="FFFFFF"/>
          <w:lang w:val="pt-BR" w:eastAsia="en-US"/>
        </w:rPr>
        <w:t>11</w:t>
      </w:r>
      <w:r>
        <w:rPr>
          <w:rFonts w:ascii="Helvetica" w:hAnsi="Helvetica" w:cs="Helvetica" w:eastAsiaTheme="minorEastAsia"/>
          <w:color w:val="222222"/>
          <w:sz w:val="18"/>
          <w:szCs w:val="18"/>
          <w:shd w:val="clear" w:color="auto" w:fill="FFFFFF"/>
          <w:lang w:val="pt-BR" w:eastAsia="en-US"/>
        </w:rPr>
        <w:t>, 765.</w:t>
      </w:r>
    </w:p>
    <w:p>
      <w:pPr>
        <w:pStyle w:val="36"/>
        <w:numPr>
          <w:ilvl w:val="0"/>
          <w:numId w:val="1"/>
        </w:numPr>
        <w:rPr>
          <w:rFonts w:ascii="Times New Roman" w:hAnsi="Times New Roman"/>
          <w:lang w:val="pt-BR"/>
        </w:rPr>
      </w:pPr>
      <w:r>
        <w:rPr>
          <w:rFonts w:ascii="Times New Roman" w:hAnsi="Times New Roman"/>
        </w:rPr>
        <w:t xml:space="preserve">Batra, M. S.; Dwivedi, R.; Prasad, R., </w:t>
      </w:r>
      <w:r>
        <w:rPr>
          <w:rFonts w:ascii="Times New Roman" w:hAnsi="Times New Roman"/>
          <w:i/>
          <w:iCs/>
        </w:rPr>
        <w:t>ChemistrySelect</w:t>
      </w:r>
      <w:r>
        <w:rPr>
          <w:rFonts w:ascii="Times New Roman" w:hAnsi="Times New Roman"/>
        </w:rPr>
        <w:t xml:space="preserve">. </w:t>
      </w:r>
      <w:r>
        <w:rPr>
          <w:rFonts w:ascii="Times New Roman" w:hAnsi="Times New Roman"/>
          <w:b/>
          <w:bCs/>
          <w:lang w:val="pt-BR"/>
        </w:rPr>
        <w:t>2019</w:t>
      </w:r>
      <w:r>
        <w:rPr>
          <w:rFonts w:ascii="Times New Roman" w:hAnsi="Times New Roman"/>
          <w:lang w:val="pt-BR"/>
        </w:rPr>
        <w:t xml:space="preserve">, </w:t>
      </w:r>
      <w:r>
        <w:rPr>
          <w:rFonts w:ascii="Times New Roman" w:hAnsi="Times New Roman"/>
          <w:i/>
          <w:iCs/>
          <w:lang w:val="pt-BR"/>
        </w:rPr>
        <w:t>4</w:t>
      </w:r>
      <w:r>
        <w:rPr>
          <w:rFonts w:ascii="Times New Roman" w:hAnsi="Times New Roman"/>
          <w:lang w:val="pt-BR"/>
        </w:rPr>
        <w:t xml:space="preserve"> (40), 11636-11673.</w:t>
      </w:r>
    </w:p>
    <w:p>
      <w:pPr>
        <w:pStyle w:val="36"/>
        <w:numPr>
          <w:ilvl w:val="0"/>
          <w:numId w:val="1"/>
        </w:numPr>
        <w:rPr>
          <w:rFonts w:ascii="Times New Roman" w:hAnsi="Times New Roman"/>
          <w:lang w:val="pt-BR"/>
        </w:rPr>
      </w:pPr>
      <w:r>
        <w:rPr>
          <w:rFonts w:ascii="Times New Roman" w:hAnsi="Times New Roman"/>
        </w:rPr>
        <w:t xml:space="preserve">Colmenares, J. C.; Xu, Y. J. in </w:t>
      </w:r>
      <w:r>
        <w:rPr>
          <w:rFonts w:ascii="Times New Roman" w:hAnsi="Times New Roman"/>
          <w:i/>
          <w:iCs/>
        </w:rPr>
        <w:t>Heterogeneous photocatalysis</w:t>
      </w:r>
      <w:r>
        <w:rPr>
          <w:rFonts w:ascii="Times New Roman" w:hAnsi="Times New Roman"/>
        </w:rPr>
        <w:t xml:space="preserve">. </w:t>
      </w:r>
      <w:r>
        <w:rPr>
          <w:rFonts w:ascii="Times New Roman" w:hAnsi="Times New Roman"/>
          <w:lang w:val="pt-BR"/>
        </w:rPr>
        <w:t xml:space="preserve">Springer, </w:t>
      </w:r>
      <w:r>
        <w:rPr>
          <w:rFonts w:ascii="Times New Roman" w:hAnsi="Times New Roman"/>
          <w:b/>
          <w:bCs/>
          <w:lang w:val="pt-BR"/>
        </w:rPr>
        <w:t>2016</w:t>
      </w:r>
      <w:r>
        <w:rPr>
          <w:rFonts w:ascii="Times New Roman" w:hAnsi="Times New Roman"/>
          <w:lang w:val="pt-BR"/>
        </w:rPr>
        <w:t>.</w:t>
      </w:r>
    </w:p>
    <w:p>
      <w:pPr>
        <w:pStyle w:val="36"/>
        <w:numPr>
          <w:ilvl w:val="0"/>
          <w:numId w:val="1"/>
        </w:numPr>
        <w:rPr>
          <w:rFonts w:ascii="Times New Roman" w:hAnsi="Times New Roman"/>
          <w:lang w:val="pt-BR"/>
        </w:rPr>
      </w:pPr>
      <w:r>
        <w:rPr>
          <w:rFonts w:hint="default" w:ascii="Times New Roman" w:hAnsi="Times New Roman"/>
          <w:lang w:val="pt-BR"/>
        </w:rPr>
        <w:t xml:space="preserve">Lin, L.; Wang, X., </w:t>
      </w:r>
      <w:r>
        <w:rPr>
          <w:rFonts w:hint="default" w:ascii="Times New Roman" w:hAnsi="Times New Roman"/>
          <w:i/>
          <w:iCs/>
          <w:lang w:val="pt-BR"/>
        </w:rPr>
        <w:t>Chemical Science</w:t>
      </w:r>
      <w:r>
        <w:rPr>
          <w:rFonts w:hint="default" w:ascii="Times New Roman" w:hAnsi="Times New Roman"/>
          <w:i w:val="0"/>
          <w:iCs w:val="0"/>
          <w:lang w:val="pt-BR"/>
        </w:rPr>
        <w:t xml:space="preserve">. </w:t>
      </w:r>
      <w:r>
        <w:rPr>
          <w:rFonts w:hint="default" w:ascii="Times New Roman" w:hAnsi="Times New Roman"/>
          <w:b/>
          <w:bCs/>
          <w:i w:val="0"/>
          <w:iCs w:val="0"/>
          <w:lang w:val="pt-BR"/>
        </w:rPr>
        <w:t>2017</w:t>
      </w:r>
      <w:r>
        <w:rPr>
          <w:rFonts w:hint="default" w:ascii="Times New Roman" w:hAnsi="Times New Roman"/>
          <w:b w:val="0"/>
          <w:bCs w:val="0"/>
          <w:i w:val="0"/>
          <w:iCs w:val="0"/>
          <w:lang w:val="pt-BR"/>
        </w:rPr>
        <w:t xml:space="preserve">, </w:t>
      </w:r>
      <w:r>
        <w:rPr>
          <w:rFonts w:hint="default" w:ascii="Times New Roman" w:hAnsi="Times New Roman"/>
          <w:i/>
          <w:iCs/>
          <w:lang w:val="pt-BR"/>
        </w:rPr>
        <w:t>8</w:t>
      </w:r>
      <w:r>
        <w:rPr>
          <w:rFonts w:hint="default" w:ascii="Times New Roman" w:hAnsi="Times New Roman"/>
          <w:i w:val="0"/>
          <w:iCs w:val="0"/>
          <w:lang w:val="pt-BR"/>
        </w:rPr>
        <w:t>, 5506-5511.</w:t>
      </w:r>
    </w:p>
    <w:p>
      <w:pPr>
        <w:pStyle w:val="65"/>
        <w:numPr>
          <w:ilvl w:val="0"/>
          <w:numId w:val="0"/>
        </w:numPr>
        <w:rPr>
          <w:rFonts w:ascii="Helvetica" w:hAnsi="Helvetica" w:eastAsia="Helvetica" w:cs="Helvetica"/>
          <w:color w:val="222222"/>
          <w:sz w:val="18"/>
          <w:szCs w:val="18"/>
        </w:rPr>
      </w:pPr>
    </w:p>
    <w:sectPr>
      <w:type w:val="continuous"/>
      <w:pgSz w:w="11906" w:h="16838"/>
      <w:pgMar w:top="1418" w:right="1094" w:bottom="1418" w:left="567" w:header="709" w:footer="709" w:gutter="0"/>
      <w:cols w:space="708" w:num="2"/>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Light">
    <w:panose1 w:val="020F0302020204030204"/>
    <w:charset w:val="00"/>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9" w:usb3="00000000" w:csb0="000001FF" w:csb1="00000000"/>
  </w:font>
  <w:font w:name="Helvetica">
    <w:altName w:val="Arial"/>
    <w:panose1 w:val="020B0604020202020204"/>
    <w:charset w:val="00"/>
    <w:family w:val="swiss"/>
    <w:pitch w:val="default"/>
    <w:sig w:usb0="00000000" w:usb1="00000000"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pPr>
      <w:r>
        <w:separator/>
      </w:r>
    </w:p>
  </w:footnote>
  <w:footnote w:type="continuationSeparator" w:id="1">
    <w:p>
      <w:pPr>
        <w:spacing w:before="0" w:after="0" w:line="30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r>
      <w:rPr>
        <w:lang w:eastAsia="pt-BR"/>
      </w:rPr>
      <w:drawing>
        <wp:inline distT="0" distB="0" distL="0" distR="0">
          <wp:extent cx="1524000" cy="1049020"/>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m 8"/>
                  <pic:cNvPicPr>
                    <a:picLocks noChangeAspect="1"/>
                  </pic:cNvPicPr>
                </pic:nvPicPr>
                <pic:blipFill>
                  <a:blip r:embed="rId1">
                    <a:extLst>
                      <a:ext uri="{28A0092B-C50C-407E-A947-70E740481C1C}">
                        <a14:useLocalDpi xmlns:a14="http://schemas.microsoft.com/office/drawing/2010/main" val="0"/>
                      </a:ext>
                    </a:extLst>
                  </a:blip>
                  <a:srcRect l="15623" t="15704" r="28688" b="16130"/>
                  <a:stretch>
                    <a:fillRect/>
                  </a:stretch>
                </pic:blipFill>
                <pic:spPr>
                  <a:xfrm>
                    <a:off x="0" y="0"/>
                    <a:ext cx="1552733" cy="1069109"/>
                  </a:xfrm>
                  <a:prstGeom prst="rect">
                    <a:avLst/>
                  </a:prstGeom>
                  <a:ln>
                    <a:noFill/>
                  </a:ln>
                </pic:spPr>
              </pic:pic>
            </a:graphicData>
          </a:graphic>
        </wp:inline>
      </w:drawing>
    </w:r>
    <w:r>
      <w:t xml:space="preserve">                                                </w:t>
    </w:r>
    <w:r>
      <w:rPr>
        <w:lang w:eastAsia="pt-BR"/>
      </w:rPr>
      <w:drawing>
        <wp:inline distT="0" distB="0" distL="0" distR="0">
          <wp:extent cx="1963420" cy="695960"/>
          <wp:effectExtent l="0" t="0" r="0" b="8890"/>
          <wp:docPr id="9" name="Imagem 9" descr="Logo do 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m 9" descr="Logo do Si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1963713" cy="696036"/>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FD620B"/>
    <w:multiLevelType w:val="multilevel"/>
    <w:tmpl w:val="20FD620B"/>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08"/>
  <w:hyphenationZone w:val="425"/>
  <w:displayHorizontalDrawingGridEvery w:val="1"/>
  <w:displayVerticalDrawingGridEvery w:val="1"/>
  <w:noPunctuationKerning w:val="1"/>
  <w:characterSpacingControl w:val="doNotCompress"/>
  <w:footnotePr>
    <w:footnote w:id="0"/>
    <w:footnote w:id="1"/>
  </w:footnotePr>
  <w:endnotePr>
    <w:numFmt w:val="decimal"/>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LE0NDMzNbI0NjQzNzBT0lEKTi0uzszPAykwqgUA1hGPPSwAAAA="/>
  </w:docVars>
  <w:rsids>
    <w:rsidRoot w:val="00EA4E1B"/>
    <w:rsid w:val="0001264A"/>
    <w:rsid w:val="000375E0"/>
    <w:rsid w:val="00061A72"/>
    <w:rsid w:val="00077537"/>
    <w:rsid w:val="000D74D7"/>
    <w:rsid w:val="000F1D24"/>
    <w:rsid w:val="00134229"/>
    <w:rsid w:val="001E58A9"/>
    <w:rsid w:val="001F25B2"/>
    <w:rsid w:val="00222230"/>
    <w:rsid w:val="00264ECC"/>
    <w:rsid w:val="00290017"/>
    <w:rsid w:val="002B4CAB"/>
    <w:rsid w:val="002D00CA"/>
    <w:rsid w:val="00302B9C"/>
    <w:rsid w:val="0032308E"/>
    <w:rsid w:val="00340B1E"/>
    <w:rsid w:val="00355B82"/>
    <w:rsid w:val="003848AD"/>
    <w:rsid w:val="00393AA5"/>
    <w:rsid w:val="00395C9A"/>
    <w:rsid w:val="00402F3E"/>
    <w:rsid w:val="004075D1"/>
    <w:rsid w:val="00426FDF"/>
    <w:rsid w:val="004342B0"/>
    <w:rsid w:val="004E3121"/>
    <w:rsid w:val="004F3F42"/>
    <w:rsid w:val="00520C48"/>
    <w:rsid w:val="0052112E"/>
    <w:rsid w:val="005211C9"/>
    <w:rsid w:val="005C251C"/>
    <w:rsid w:val="005C2775"/>
    <w:rsid w:val="005D65EB"/>
    <w:rsid w:val="005F739F"/>
    <w:rsid w:val="00604718"/>
    <w:rsid w:val="006262B7"/>
    <w:rsid w:val="006265B8"/>
    <w:rsid w:val="00640A78"/>
    <w:rsid w:val="00652815"/>
    <w:rsid w:val="006F599B"/>
    <w:rsid w:val="007670A0"/>
    <w:rsid w:val="00781685"/>
    <w:rsid w:val="007840E5"/>
    <w:rsid w:val="007930E4"/>
    <w:rsid w:val="007B4B2B"/>
    <w:rsid w:val="007D1CA1"/>
    <w:rsid w:val="008355BD"/>
    <w:rsid w:val="00843DDD"/>
    <w:rsid w:val="00846268"/>
    <w:rsid w:val="00866822"/>
    <w:rsid w:val="008B1683"/>
    <w:rsid w:val="008C18E6"/>
    <w:rsid w:val="008C1B30"/>
    <w:rsid w:val="0093693B"/>
    <w:rsid w:val="009564F4"/>
    <w:rsid w:val="00957C12"/>
    <w:rsid w:val="009656D9"/>
    <w:rsid w:val="009C7CB0"/>
    <w:rsid w:val="00A06FEE"/>
    <w:rsid w:val="00A22AEE"/>
    <w:rsid w:val="00A51F79"/>
    <w:rsid w:val="00A54353"/>
    <w:rsid w:val="00A54E84"/>
    <w:rsid w:val="00AA182E"/>
    <w:rsid w:val="00AA69DB"/>
    <w:rsid w:val="00AF0400"/>
    <w:rsid w:val="00AF267C"/>
    <w:rsid w:val="00B07282"/>
    <w:rsid w:val="00B12ED9"/>
    <w:rsid w:val="00B30AEB"/>
    <w:rsid w:val="00B43122"/>
    <w:rsid w:val="00B85BEB"/>
    <w:rsid w:val="00BA6A6E"/>
    <w:rsid w:val="00BB531A"/>
    <w:rsid w:val="00BF2E10"/>
    <w:rsid w:val="00C0419D"/>
    <w:rsid w:val="00C24CA4"/>
    <w:rsid w:val="00C76E54"/>
    <w:rsid w:val="00CF545A"/>
    <w:rsid w:val="00D579B4"/>
    <w:rsid w:val="00D63095"/>
    <w:rsid w:val="00D6658F"/>
    <w:rsid w:val="00D70F24"/>
    <w:rsid w:val="00D92432"/>
    <w:rsid w:val="00D93CBB"/>
    <w:rsid w:val="00D96135"/>
    <w:rsid w:val="00DB5D13"/>
    <w:rsid w:val="00DC53A5"/>
    <w:rsid w:val="00DC777E"/>
    <w:rsid w:val="00E02A21"/>
    <w:rsid w:val="00E038AF"/>
    <w:rsid w:val="00EA4E1B"/>
    <w:rsid w:val="00F176D3"/>
    <w:rsid w:val="00F30661"/>
    <w:rsid w:val="00F83333"/>
    <w:rsid w:val="00F917DA"/>
    <w:rsid w:val="00F91F96"/>
    <w:rsid w:val="00FE4984"/>
    <w:rsid w:val="00FF1E47"/>
    <w:rsid w:val="15C23F41"/>
    <w:rsid w:val="1AB13D5A"/>
    <w:rsid w:val="29586DF0"/>
    <w:rsid w:val="2C1CD916"/>
    <w:rsid w:val="2DB772C0"/>
    <w:rsid w:val="3B020FC1"/>
    <w:rsid w:val="3BDA7174"/>
    <w:rsid w:val="45937FE3"/>
    <w:rsid w:val="497CB7B4"/>
    <w:rsid w:val="4A1E50D0"/>
    <w:rsid w:val="4C0D37DC"/>
    <w:rsid w:val="5A62056B"/>
    <w:rsid w:val="60F01C18"/>
    <w:rsid w:val="669272D6"/>
    <w:rsid w:val="6CF908CC"/>
    <w:rsid w:val="71887D53"/>
    <w:rsid w:val="72B468EF"/>
    <w:rsid w:val="7853F25D"/>
    <w:rsid w:val="78BC7DA6"/>
    <w:rsid w:val="7FFC503B"/>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uiPriority="99" w:name="page number"/>
    <w:lsdException w:qFormat="1"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1" w:semiHidden="0" w:name="No Spacing"/>
    <w:lsdException w:qFormat="1" w:unhideWhenUsed="0" w:uiPriority="34" w:semiHidden="0" w:name="List Paragraph"/>
    <w:lsdException w:qFormat="1" w:unhideWhenUsed="0" w:uiPriority="29" w:semiHidden="0" w:name="Quote"/>
    <w:lsdException w:qFormat="1" w:unhideWhenUsed="0" w:uiPriority="30" w:semiHidden="0" w:name="Intense Quote"/>
  </w:latentStyles>
  <w:style w:type="paragraph" w:default="1" w:styleId="1">
    <w:name w:val="Normal"/>
    <w:qFormat/>
    <w:uiPriority w:val="0"/>
    <w:pPr>
      <w:spacing w:after="160" w:line="300" w:lineRule="auto"/>
    </w:pPr>
    <w:rPr>
      <w:rFonts w:asciiTheme="minorHAnsi" w:hAnsiTheme="minorHAnsi" w:eastAsiaTheme="minorEastAsia" w:cstheme="minorBidi"/>
      <w:sz w:val="21"/>
      <w:szCs w:val="21"/>
      <w:lang w:val="pt-BR" w:eastAsia="en-US" w:bidi="ar-SA"/>
    </w:rPr>
  </w:style>
  <w:style w:type="paragraph" w:styleId="2">
    <w:name w:val="heading 1"/>
    <w:basedOn w:val="1"/>
    <w:next w:val="1"/>
    <w:link w:val="44"/>
    <w:qFormat/>
    <w:uiPriority w:val="9"/>
    <w:pPr>
      <w:keepNext/>
      <w:keepLines/>
      <w:spacing w:before="320" w:after="80" w:line="240" w:lineRule="auto"/>
      <w:jc w:val="center"/>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34"/>
    <w:unhideWhenUsed/>
    <w:qFormat/>
    <w:uiPriority w:val="9"/>
    <w:pPr>
      <w:keepNext/>
      <w:keepLines/>
      <w:spacing w:before="160" w:after="40" w:line="240" w:lineRule="auto"/>
      <w:jc w:val="center"/>
      <w:outlineLvl w:val="1"/>
    </w:pPr>
    <w:rPr>
      <w:rFonts w:asciiTheme="majorHAnsi" w:hAnsiTheme="majorHAnsi" w:eastAsiaTheme="majorEastAsia" w:cstheme="majorBidi"/>
      <w:sz w:val="32"/>
      <w:szCs w:val="32"/>
    </w:rPr>
  </w:style>
  <w:style w:type="paragraph" w:styleId="4">
    <w:name w:val="heading 3"/>
    <w:basedOn w:val="1"/>
    <w:next w:val="1"/>
    <w:link w:val="45"/>
    <w:semiHidden/>
    <w:unhideWhenUsed/>
    <w:qFormat/>
    <w:uiPriority w:val="9"/>
    <w:pPr>
      <w:keepNext/>
      <w:keepLines/>
      <w:spacing w:before="160" w:after="0" w:line="240" w:lineRule="auto"/>
      <w:outlineLvl w:val="2"/>
    </w:pPr>
    <w:rPr>
      <w:rFonts w:asciiTheme="majorHAnsi" w:hAnsiTheme="majorHAnsi" w:eastAsiaTheme="majorEastAsia" w:cstheme="majorBidi"/>
      <w:sz w:val="32"/>
      <w:szCs w:val="32"/>
    </w:rPr>
  </w:style>
  <w:style w:type="paragraph" w:styleId="5">
    <w:name w:val="heading 4"/>
    <w:basedOn w:val="1"/>
    <w:next w:val="1"/>
    <w:link w:val="46"/>
    <w:semiHidden/>
    <w:unhideWhenUsed/>
    <w:qFormat/>
    <w:uiPriority w:val="9"/>
    <w:pPr>
      <w:keepNext/>
      <w:keepLines/>
      <w:spacing w:before="80" w:after="0"/>
      <w:outlineLvl w:val="3"/>
    </w:pPr>
    <w:rPr>
      <w:rFonts w:asciiTheme="majorHAnsi" w:hAnsiTheme="majorHAnsi" w:eastAsiaTheme="majorEastAsia" w:cstheme="majorBidi"/>
      <w:i/>
      <w:iCs/>
      <w:sz w:val="30"/>
      <w:szCs w:val="30"/>
    </w:rPr>
  </w:style>
  <w:style w:type="paragraph" w:styleId="6">
    <w:name w:val="heading 5"/>
    <w:basedOn w:val="1"/>
    <w:next w:val="1"/>
    <w:link w:val="47"/>
    <w:semiHidden/>
    <w:unhideWhenUsed/>
    <w:qFormat/>
    <w:uiPriority w:val="9"/>
    <w:pPr>
      <w:keepNext/>
      <w:keepLines/>
      <w:spacing w:before="40" w:after="0"/>
      <w:outlineLvl w:val="4"/>
    </w:pPr>
    <w:rPr>
      <w:rFonts w:asciiTheme="majorHAnsi" w:hAnsiTheme="majorHAnsi" w:eastAsiaTheme="majorEastAsia" w:cstheme="majorBidi"/>
      <w:sz w:val="28"/>
      <w:szCs w:val="28"/>
    </w:rPr>
  </w:style>
  <w:style w:type="paragraph" w:styleId="7">
    <w:name w:val="heading 6"/>
    <w:basedOn w:val="1"/>
    <w:next w:val="1"/>
    <w:link w:val="48"/>
    <w:semiHidden/>
    <w:unhideWhenUsed/>
    <w:qFormat/>
    <w:uiPriority w:val="9"/>
    <w:pPr>
      <w:keepNext/>
      <w:keepLines/>
      <w:spacing w:before="40" w:after="0"/>
      <w:outlineLvl w:val="5"/>
    </w:pPr>
    <w:rPr>
      <w:rFonts w:asciiTheme="majorHAnsi" w:hAnsiTheme="majorHAnsi" w:eastAsiaTheme="majorEastAsia" w:cstheme="majorBidi"/>
      <w:i/>
      <w:iCs/>
      <w:sz w:val="26"/>
      <w:szCs w:val="26"/>
    </w:rPr>
  </w:style>
  <w:style w:type="paragraph" w:styleId="8">
    <w:name w:val="heading 7"/>
    <w:basedOn w:val="1"/>
    <w:next w:val="1"/>
    <w:link w:val="49"/>
    <w:semiHidden/>
    <w:unhideWhenUsed/>
    <w:qFormat/>
    <w:uiPriority w:val="9"/>
    <w:pPr>
      <w:keepNext/>
      <w:keepLines/>
      <w:spacing w:before="40" w:after="0"/>
      <w:outlineLvl w:val="6"/>
    </w:pPr>
    <w:rPr>
      <w:rFonts w:asciiTheme="majorHAnsi" w:hAnsiTheme="majorHAnsi" w:eastAsiaTheme="majorEastAsia" w:cstheme="majorBidi"/>
      <w:sz w:val="24"/>
      <w:szCs w:val="24"/>
    </w:rPr>
  </w:style>
  <w:style w:type="paragraph" w:styleId="9">
    <w:name w:val="heading 8"/>
    <w:basedOn w:val="1"/>
    <w:next w:val="1"/>
    <w:link w:val="50"/>
    <w:semiHidden/>
    <w:unhideWhenUsed/>
    <w:qFormat/>
    <w:uiPriority w:val="9"/>
    <w:pPr>
      <w:keepNext/>
      <w:keepLines/>
      <w:spacing w:before="40" w:after="0"/>
      <w:outlineLvl w:val="7"/>
    </w:pPr>
    <w:rPr>
      <w:rFonts w:asciiTheme="majorHAnsi" w:hAnsiTheme="majorHAnsi" w:eastAsiaTheme="majorEastAsia" w:cstheme="majorBidi"/>
      <w:i/>
      <w:iCs/>
      <w:sz w:val="22"/>
      <w:szCs w:val="22"/>
    </w:rPr>
  </w:style>
  <w:style w:type="paragraph" w:styleId="10">
    <w:name w:val="heading 9"/>
    <w:basedOn w:val="1"/>
    <w:next w:val="1"/>
    <w:link w:val="51"/>
    <w:semiHidden/>
    <w:unhideWhenUsed/>
    <w:qFormat/>
    <w:uiPriority w:val="9"/>
    <w:pPr>
      <w:keepNext/>
      <w:keepLines/>
      <w:spacing w:before="40" w:after="0"/>
      <w:outlineLvl w:val="8"/>
    </w:pPr>
    <w:rPr>
      <w:b/>
      <w:bCs/>
      <w:i/>
      <w:iCs/>
    </w:rPr>
  </w:style>
  <w:style w:type="character" w:default="1" w:styleId="11">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endnote reference"/>
    <w:basedOn w:val="11"/>
    <w:semiHidden/>
    <w:unhideWhenUsed/>
    <w:qFormat/>
    <w:uiPriority w:val="99"/>
    <w:rPr>
      <w:vertAlign w:val="superscript"/>
    </w:rPr>
  </w:style>
  <w:style w:type="character" w:styleId="14">
    <w:name w:val="Strong"/>
    <w:basedOn w:val="11"/>
    <w:qFormat/>
    <w:uiPriority w:val="22"/>
    <w:rPr>
      <w:b/>
      <w:bCs/>
    </w:rPr>
  </w:style>
  <w:style w:type="character" w:styleId="15">
    <w:name w:val="annotation reference"/>
    <w:basedOn w:val="11"/>
    <w:semiHidden/>
    <w:unhideWhenUsed/>
    <w:uiPriority w:val="99"/>
    <w:rPr>
      <w:sz w:val="16"/>
      <w:szCs w:val="16"/>
    </w:rPr>
  </w:style>
  <w:style w:type="character" w:styleId="16">
    <w:name w:val="Emphasis"/>
    <w:basedOn w:val="11"/>
    <w:qFormat/>
    <w:uiPriority w:val="20"/>
    <w:rPr>
      <w:i/>
      <w:iCs/>
      <w:color w:val="000000" w:themeColor="text1"/>
      <w14:textFill>
        <w14:solidFill>
          <w14:schemeClr w14:val="tx1"/>
        </w14:solidFill>
      </w14:textFill>
    </w:rPr>
  </w:style>
  <w:style w:type="character" w:styleId="17">
    <w:name w:val="footnote reference"/>
    <w:semiHidden/>
    <w:qFormat/>
    <w:uiPriority w:val="0"/>
    <w:rPr>
      <w:vertAlign w:val="superscript"/>
    </w:rPr>
  </w:style>
  <w:style w:type="paragraph" w:styleId="18">
    <w:name w:val="annotation text"/>
    <w:basedOn w:val="1"/>
    <w:link w:val="66"/>
    <w:unhideWhenUsed/>
    <w:uiPriority w:val="99"/>
    <w:pPr>
      <w:spacing w:line="240" w:lineRule="auto"/>
    </w:pPr>
    <w:rPr>
      <w:sz w:val="20"/>
      <w:szCs w:val="20"/>
    </w:rPr>
  </w:style>
  <w:style w:type="paragraph" w:styleId="19">
    <w:name w:val="Title"/>
    <w:basedOn w:val="1"/>
    <w:next w:val="1"/>
    <w:link w:val="52"/>
    <w:qFormat/>
    <w:uiPriority w:val="10"/>
    <w:pPr>
      <w:pBdr>
        <w:top w:val="single" w:color="A5A5A5" w:themeColor="accent3" w:sz="6" w:space="8"/>
        <w:bottom w:val="single" w:color="A5A5A5" w:themeColor="accent3" w:sz="6" w:space="8"/>
      </w:pBdr>
      <w:spacing w:after="400" w:line="240" w:lineRule="auto"/>
      <w:contextualSpacing/>
      <w:jc w:val="center"/>
    </w:pPr>
    <w:rPr>
      <w:rFonts w:asciiTheme="majorHAnsi" w:hAnsiTheme="majorHAnsi" w:eastAsiaTheme="majorEastAsia" w:cstheme="majorBidi"/>
      <w:caps/>
      <w:color w:val="44546A" w:themeColor="text2"/>
      <w:spacing w:val="30"/>
      <w:sz w:val="72"/>
      <w:szCs w:val="72"/>
      <w14:textFill>
        <w14:solidFill>
          <w14:schemeClr w14:val="tx2"/>
        </w14:solidFill>
      </w14:textFill>
    </w:rPr>
  </w:style>
  <w:style w:type="paragraph" w:styleId="20">
    <w:name w:val="endnote text"/>
    <w:basedOn w:val="1"/>
    <w:link w:val="43"/>
    <w:semiHidden/>
    <w:unhideWhenUsed/>
    <w:uiPriority w:val="99"/>
    <w:pPr>
      <w:spacing w:after="0" w:line="240" w:lineRule="auto"/>
    </w:pPr>
    <w:rPr>
      <w:sz w:val="20"/>
      <w:szCs w:val="20"/>
    </w:rPr>
  </w:style>
  <w:style w:type="paragraph" w:styleId="21">
    <w:name w:val="header"/>
    <w:basedOn w:val="1"/>
    <w:link w:val="40"/>
    <w:unhideWhenUsed/>
    <w:qFormat/>
    <w:uiPriority w:val="0"/>
    <w:pPr>
      <w:tabs>
        <w:tab w:val="center" w:pos="4252"/>
        <w:tab w:val="right" w:pos="8504"/>
      </w:tabs>
      <w:spacing w:after="0" w:line="240" w:lineRule="auto"/>
    </w:pPr>
  </w:style>
  <w:style w:type="paragraph" w:styleId="22">
    <w:name w:val="annotation subject"/>
    <w:basedOn w:val="18"/>
    <w:next w:val="18"/>
    <w:link w:val="67"/>
    <w:semiHidden/>
    <w:unhideWhenUsed/>
    <w:uiPriority w:val="99"/>
    <w:rPr>
      <w:b/>
      <w:bCs/>
    </w:rPr>
  </w:style>
  <w:style w:type="paragraph" w:styleId="23">
    <w:name w:val="footer"/>
    <w:basedOn w:val="1"/>
    <w:link w:val="41"/>
    <w:unhideWhenUsed/>
    <w:qFormat/>
    <w:uiPriority w:val="99"/>
    <w:pPr>
      <w:tabs>
        <w:tab w:val="center" w:pos="4252"/>
        <w:tab w:val="right" w:pos="8504"/>
      </w:tabs>
      <w:spacing w:after="0" w:line="240" w:lineRule="auto"/>
    </w:pPr>
  </w:style>
  <w:style w:type="paragraph" w:styleId="24">
    <w:name w:val="caption"/>
    <w:basedOn w:val="1"/>
    <w:next w:val="1"/>
    <w:semiHidden/>
    <w:unhideWhenUsed/>
    <w:qFormat/>
    <w:uiPriority w:val="35"/>
    <w:pPr>
      <w:spacing w:line="240" w:lineRule="auto"/>
    </w:pPr>
    <w:rPr>
      <w:b/>
      <w:bCs/>
      <w:color w:val="404040" w:themeColor="text1" w:themeTint="BF"/>
      <w:sz w:val="16"/>
      <w:szCs w:val="16"/>
      <w14:textFill>
        <w14:solidFill>
          <w14:schemeClr w14:val="tx1">
            <w14:lumMod w14:val="75000"/>
            <w14:lumOff w14:val="25000"/>
          </w14:schemeClr>
        </w14:solidFill>
      </w14:textFill>
    </w:rPr>
  </w:style>
  <w:style w:type="paragraph" w:styleId="25">
    <w:name w:val="Balloon Text"/>
    <w:basedOn w:val="1"/>
    <w:link w:val="42"/>
    <w:semiHidden/>
    <w:unhideWhenUsed/>
    <w:qFormat/>
    <w:uiPriority w:val="99"/>
    <w:pPr>
      <w:spacing w:after="0" w:line="240" w:lineRule="auto"/>
    </w:pPr>
    <w:rPr>
      <w:rFonts w:ascii="Tahoma" w:hAnsi="Tahoma" w:cs="Tahoma"/>
      <w:sz w:val="16"/>
      <w:szCs w:val="16"/>
    </w:rPr>
  </w:style>
  <w:style w:type="paragraph" w:styleId="26">
    <w:name w:val="Subtitle"/>
    <w:basedOn w:val="1"/>
    <w:next w:val="1"/>
    <w:link w:val="53"/>
    <w:qFormat/>
    <w:uiPriority w:val="11"/>
    <w:pPr>
      <w:jc w:val="center"/>
    </w:pPr>
    <w:rPr>
      <w:color w:val="44546A" w:themeColor="text2"/>
      <w:sz w:val="28"/>
      <w:szCs w:val="28"/>
      <w14:textFill>
        <w14:solidFill>
          <w14:schemeClr w14:val="tx2"/>
        </w14:solidFill>
      </w14:textFill>
    </w:rPr>
  </w:style>
  <w:style w:type="paragraph" w:styleId="27">
    <w:name w:val="footnote text"/>
    <w:basedOn w:val="1"/>
    <w:next w:val="1"/>
    <w:link w:val="28"/>
    <w:semiHidden/>
    <w:qFormat/>
    <w:uiPriority w:val="0"/>
    <w:pPr>
      <w:spacing w:after="0" w:line="170" w:lineRule="exact"/>
      <w:ind w:firstLine="187"/>
      <w:jc w:val="both"/>
    </w:pPr>
    <w:rPr>
      <w:rFonts w:ascii="Times" w:hAnsi="Times" w:eastAsia="Times New Roman" w:cs="Times New Roman"/>
      <w:sz w:val="16"/>
      <w:szCs w:val="20"/>
      <w:lang w:val="en-US" w:eastAsia="pt-BR"/>
    </w:rPr>
  </w:style>
  <w:style w:type="character" w:customStyle="1" w:styleId="28">
    <w:name w:val="Texto de nota de rodapé Char"/>
    <w:basedOn w:val="11"/>
    <w:link w:val="27"/>
    <w:semiHidden/>
    <w:qFormat/>
    <w:uiPriority w:val="0"/>
    <w:rPr>
      <w:rFonts w:ascii="Times" w:hAnsi="Times" w:eastAsia="Times New Roman" w:cs="Times New Roman"/>
      <w:sz w:val="16"/>
      <w:szCs w:val="20"/>
      <w:lang w:val="en-US" w:eastAsia="pt-BR"/>
    </w:rPr>
  </w:style>
  <w:style w:type="paragraph" w:customStyle="1" w:styleId="29">
    <w:name w:val="BA_Title"/>
    <w:basedOn w:val="1"/>
    <w:next w:val="30"/>
    <w:qFormat/>
    <w:uiPriority w:val="0"/>
    <w:pPr>
      <w:spacing w:before="720" w:after="240" w:line="480" w:lineRule="exact"/>
      <w:ind w:right="3024"/>
    </w:pPr>
    <w:rPr>
      <w:rFonts w:ascii="Helvetica" w:hAnsi="Helvetica" w:eastAsia="Times New Roman" w:cs="Times New Roman"/>
      <w:b/>
      <w:sz w:val="44"/>
      <w:szCs w:val="20"/>
      <w:lang w:val="en-US" w:eastAsia="pt-BR"/>
    </w:rPr>
  </w:style>
  <w:style w:type="paragraph" w:customStyle="1" w:styleId="30">
    <w:name w:val="BB_Author_Name"/>
    <w:basedOn w:val="1"/>
    <w:next w:val="31"/>
    <w:qFormat/>
    <w:uiPriority w:val="0"/>
    <w:pPr>
      <w:spacing w:after="240" w:line="240" w:lineRule="exact"/>
      <w:ind w:right="3024"/>
    </w:pPr>
    <w:rPr>
      <w:rFonts w:ascii="Helvetica" w:hAnsi="Helvetica" w:eastAsia="Times New Roman" w:cs="Times New Roman"/>
      <w:b/>
      <w:szCs w:val="20"/>
      <w:lang w:val="en-US" w:eastAsia="pt-BR"/>
    </w:rPr>
  </w:style>
  <w:style w:type="paragraph" w:customStyle="1" w:styleId="31">
    <w:name w:val="BC_Author_Address"/>
    <w:basedOn w:val="1"/>
    <w:next w:val="1"/>
    <w:qFormat/>
    <w:uiPriority w:val="0"/>
    <w:pPr>
      <w:spacing w:after="120" w:line="240" w:lineRule="exact"/>
      <w:ind w:right="3024"/>
    </w:pPr>
    <w:rPr>
      <w:rFonts w:ascii="Times" w:hAnsi="Times" w:eastAsia="Times New Roman" w:cs="Times New Roman"/>
      <w:i/>
      <w:sz w:val="20"/>
      <w:szCs w:val="20"/>
      <w:lang w:val="en-US" w:eastAsia="pt-BR"/>
    </w:rPr>
  </w:style>
  <w:style w:type="paragraph" w:customStyle="1" w:styleId="32">
    <w:name w:val="Absbox"/>
    <w:basedOn w:val="33"/>
    <w:qFormat/>
    <w:uiPriority w:val="0"/>
    <w:pPr>
      <w:pBdr>
        <w:top w:val="single" w:color="800000" w:sz="6" w:space="0"/>
        <w:left w:val="single" w:color="800000" w:sz="6" w:space="4"/>
        <w:bottom w:val="single" w:color="800000" w:sz="6" w:space="0"/>
        <w:right w:val="single" w:color="800000" w:sz="6" w:space="4"/>
      </w:pBdr>
      <w:shd w:val="solid" w:color="800000" w:fill="800000"/>
      <w:spacing w:after="320"/>
      <w:ind w:left="86" w:right="130"/>
      <w:jc w:val="center"/>
    </w:pPr>
    <w:rPr>
      <w:color w:val="FFFFFF"/>
      <w:sz w:val="20"/>
    </w:rPr>
  </w:style>
  <w:style w:type="paragraph" w:customStyle="1" w:styleId="33">
    <w:name w:val="BD_Abstract"/>
    <w:qFormat/>
    <w:uiPriority w:val="0"/>
    <w:pPr>
      <w:pBdr>
        <w:bottom w:val="single" w:color="auto" w:sz="6" w:space="12"/>
      </w:pBdr>
      <w:spacing w:before="200" w:after="200" w:line="220" w:lineRule="exact"/>
      <w:jc w:val="both"/>
    </w:pPr>
    <w:rPr>
      <w:rFonts w:ascii="Helvetica" w:hAnsi="Helvetica" w:eastAsia="Times New Roman" w:cs="Times New Roman"/>
      <w:b/>
      <w:sz w:val="18"/>
      <w:lang w:val="en-US" w:eastAsia="pt-BR" w:bidi="ar-SA"/>
    </w:rPr>
  </w:style>
  <w:style w:type="character" w:customStyle="1" w:styleId="34">
    <w:name w:val="Título 2 Char"/>
    <w:basedOn w:val="11"/>
    <w:link w:val="3"/>
    <w:qFormat/>
    <w:uiPriority w:val="9"/>
    <w:rPr>
      <w:rFonts w:asciiTheme="majorHAnsi" w:hAnsiTheme="majorHAnsi" w:eastAsiaTheme="majorEastAsia" w:cstheme="majorBidi"/>
      <w:sz w:val="32"/>
      <w:szCs w:val="32"/>
    </w:rPr>
  </w:style>
  <w:style w:type="paragraph" w:customStyle="1" w:styleId="35">
    <w:name w:val="TF_References_Section"/>
    <w:basedOn w:val="1"/>
    <w:qFormat/>
    <w:uiPriority w:val="0"/>
    <w:pPr>
      <w:spacing w:after="0" w:line="170" w:lineRule="exact"/>
      <w:ind w:firstLine="187"/>
      <w:jc w:val="both"/>
    </w:pPr>
    <w:rPr>
      <w:rFonts w:ascii="Times" w:hAnsi="Times" w:eastAsia="Times New Roman" w:cs="Times New Roman"/>
      <w:sz w:val="16"/>
      <w:szCs w:val="20"/>
      <w:lang w:val="en-US" w:eastAsia="pt-BR"/>
    </w:rPr>
  </w:style>
  <w:style w:type="paragraph" w:customStyle="1" w:styleId="36">
    <w:name w:val="TA_Main_Text"/>
    <w:basedOn w:val="1"/>
    <w:qFormat/>
    <w:uiPriority w:val="0"/>
    <w:pPr>
      <w:spacing w:after="0" w:line="240" w:lineRule="exact"/>
      <w:ind w:firstLine="202"/>
      <w:jc w:val="both"/>
    </w:pPr>
    <w:rPr>
      <w:rFonts w:ascii="Times" w:hAnsi="Times" w:eastAsia="Times New Roman" w:cs="Times New Roman"/>
      <w:sz w:val="20"/>
      <w:szCs w:val="20"/>
      <w:lang w:val="en-US" w:eastAsia="pt-BR"/>
    </w:rPr>
  </w:style>
  <w:style w:type="paragraph" w:customStyle="1" w:styleId="37">
    <w:name w:val="VD_Table_Title"/>
    <w:basedOn w:val="1"/>
    <w:next w:val="1"/>
    <w:qFormat/>
    <w:uiPriority w:val="0"/>
    <w:pPr>
      <w:spacing w:after="240" w:line="200" w:lineRule="exact"/>
    </w:pPr>
    <w:rPr>
      <w:rFonts w:ascii="Times" w:hAnsi="Times" w:eastAsia="Times New Roman" w:cs="Times New Roman"/>
      <w:sz w:val="18"/>
      <w:szCs w:val="20"/>
      <w:lang w:val="en-US" w:eastAsia="pt-BR"/>
    </w:rPr>
  </w:style>
  <w:style w:type="paragraph" w:customStyle="1" w:styleId="38">
    <w:name w:val="VA_Figure_Caption"/>
    <w:basedOn w:val="1"/>
    <w:next w:val="1"/>
    <w:qFormat/>
    <w:uiPriority w:val="0"/>
    <w:pPr>
      <w:spacing w:before="240" w:after="0" w:line="200" w:lineRule="exact"/>
      <w:jc w:val="both"/>
    </w:pPr>
    <w:rPr>
      <w:rFonts w:ascii="Times" w:hAnsi="Times" w:eastAsia="Times New Roman" w:cs="Times New Roman"/>
      <w:sz w:val="18"/>
      <w:szCs w:val="20"/>
      <w:lang w:val="en-US" w:eastAsia="pt-BR"/>
    </w:rPr>
  </w:style>
  <w:style w:type="paragraph" w:customStyle="1" w:styleId="39">
    <w:name w:val="TC_Table_Body"/>
    <w:basedOn w:val="37"/>
    <w:qFormat/>
    <w:uiPriority w:val="0"/>
    <w:pPr>
      <w:jc w:val="both"/>
    </w:pPr>
  </w:style>
  <w:style w:type="character" w:customStyle="1" w:styleId="40">
    <w:name w:val="Cabeçalho Char"/>
    <w:basedOn w:val="11"/>
    <w:link w:val="21"/>
    <w:qFormat/>
    <w:uiPriority w:val="99"/>
  </w:style>
  <w:style w:type="character" w:customStyle="1" w:styleId="41">
    <w:name w:val="Rodapé Char"/>
    <w:basedOn w:val="11"/>
    <w:link w:val="23"/>
    <w:uiPriority w:val="99"/>
  </w:style>
  <w:style w:type="character" w:customStyle="1" w:styleId="42">
    <w:name w:val="Texto de balão Char"/>
    <w:basedOn w:val="11"/>
    <w:link w:val="25"/>
    <w:semiHidden/>
    <w:qFormat/>
    <w:uiPriority w:val="99"/>
    <w:rPr>
      <w:rFonts w:ascii="Tahoma" w:hAnsi="Tahoma" w:cs="Tahoma"/>
      <w:sz w:val="16"/>
      <w:szCs w:val="16"/>
    </w:rPr>
  </w:style>
  <w:style w:type="character" w:customStyle="1" w:styleId="43">
    <w:name w:val="Texto de nota de fim Char"/>
    <w:basedOn w:val="11"/>
    <w:link w:val="20"/>
    <w:semiHidden/>
    <w:qFormat/>
    <w:uiPriority w:val="99"/>
    <w:rPr>
      <w:sz w:val="20"/>
      <w:szCs w:val="20"/>
    </w:rPr>
  </w:style>
  <w:style w:type="character" w:customStyle="1" w:styleId="44">
    <w:name w:val="Título 1 Char"/>
    <w:basedOn w:val="11"/>
    <w:link w:val="2"/>
    <w:qFormat/>
    <w:uiPriority w:val="9"/>
    <w:rPr>
      <w:rFonts w:asciiTheme="majorHAnsi" w:hAnsiTheme="majorHAnsi" w:eastAsiaTheme="majorEastAsia" w:cstheme="majorBidi"/>
      <w:color w:val="2F5597" w:themeColor="accent1" w:themeShade="BF"/>
      <w:sz w:val="40"/>
      <w:szCs w:val="40"/>
    </w:rPr>
  </w:style>
  <w:style w:type="character" w:customStyle="1" w:styleId="45">
    <w:name w:val="Título 3 Char"/>
    <w:basedOn w:val="11"/>
    <w:link w:val="4"/>
    <w:semiHidden/>
    <w:qFormat/>
    <w:uiPriority w:val="9"/>
    <w:rPr>
      <w:rFonts w:asciiTheme="majorHAnsi" w:hAnsiTheme="majorHAnsi" w:eastAsiaTheme="majorEastAsia" w:cstheme="majorBidi"/>
      <w:sz w:val="32"/>
      <w:szCs w:val="32"/>
    </w:rPr>
  </w:style>
  <w:style w:type="character" w:customStyle="1" w:styleId="46">
    <w:name w:val="Título 4 Char"/>
    <w:basedOn w:val="11"/>
    <w:link w:val="5"/>
    <w:semiHidden/>
    <w:qFormat/>
    <w:uiPriority w:val="9"/>
    <w:rPr>
      <w:rFonts w:asciiTheme="majorHAnsi" w:hAnsiTheme="majorHAnsi" w:eastAsiaTheme="majorEastAsia" w:cstheme="majorBidi"/>
      <w:i/>
      <w:iCs/>
      <w:sz w:val="30"/>
      <w:szCs w:val="30"/>
    </w:rPr>
  </w:style>
  <w:style w:type="character" w:customStyle="1" w:styleId="47">
    <w:name w:val="Título 5 Char"/>
    <w:basedOn w:val="11"/>
    <w:link w:val="6"/>
    <w:semiHidden/>
    <w:uiPriority w:val="9"/>
    <w:rPr>
      <w:rFonts w:asciiTheme="majorHAnsi" w:hAnsiTheme="majorHAnsi" w:eastAsiaTheme="majorEastAsia" w:cstheme="majorBidi"/>
      <w:sz w:val="28"/>
      <w:szCs w:val="28"/>
    </w:rPr>
  </w:style>
  <w:style w:type="character" w:customStyle="1" w:styleId="48">
    <w:name w:val="Título 6 Char"/>
    <w:basedOn w:val="11"/>
    <w:link w:val="7"/>
    <w:semiHidden/>
    <w:qFormat/>
    <w:uiPriority w:val="9"/>
    <w:rPr>
      <w:rFonts w:asciiTheme="majorHAnsi" w:hAnsiTheme="majorHAnsi" w:eastAsiaTheme="majorEastAsia" w:cstheme="majorBidi"/>
      <w:i/>
      <w:iCs/>
      <w:sz w:val="26"/>
      <w:szCs w:val="26"/>
    </w:rPr>
  </w:style>
  <w:style w:type="character" w:customStyle="1" w:styleId="49">
    <w:name w:val="Título 7 Char"/>
    <w:basedOn w:val="11"/>
    <w:link w:val="8"/>
    <w:semiHidden/>
    <w:uiPriority w:val="9"/>
    <w:rPr>
      <w:rFonts w:asciiTheme="majorHAnsi" w:hAnsiTheme="majorHAnsi" w:eastAsiaTheme="majorEastAsia" w:cstheme="majorBidi"/>
      <w:sz w:val="24"/>
      <w:szCs w:val="24"/>
    </w:rPr>
  </w:style>
  <w:style w:type="character" w:customStyle="1" w:styleId="50">
    <w:name w:val="Título 8 Char"/>
    <w:basedOn w:val="11"/>
    <w:link w:val="9"/>
    <w:semiHidden/>
    <w:qFormat/>
    <w:uiPriority w:val="9"/>
    <w:rPr>
      <w:rFonts w:asciiTheme="majorHAnsi" w:hAnsiTheme="majorHAnsi" w:eastAsiaTheme="majorEastAsia" w:cstheme="majorBidi"/>
      <w:i/>
      <w:iCs/>
      <w:sz w:val="22"/>
      <w:szCs w:val="22"/>
    </w:rPr>
  </w:style>
  <w:style w:type="character" w:customStyle="1" w:styleId="51">
    <w:name w:val="Título 9 Char"/>
    <w:basedOn w:val="11"/>
    <w:link w:val="10"/>
    <w:semiHidden/>
    <w:uiPriority w:val="9"/>
    <w:rPr>
      <w:b/>
      <w:bCs/>
      <w:i/>
      <w:iCs/>
    </w:rPr>
  </w:style>
  <w:style w:type="character" w:customStyle="1" w:styleId="52">
    <w:name w:val="Título Char"/>
    <w:basedOn w:val="11"/>
    <w:link w:val="19"/>
    <w:uiPriority w:val="10"/>
    <w:rPr>
      <w:rFonts w:asciiTheme="majorHAnsi" w:hAnsiTheme="majorHAnsi" w:eastAsiaTheme="majorEastAsia" w:cstheme="majorBidi"/>
      <w:caps/>
      <w:color w:val="44546A" w:themeColor="text2"/>
      <w:spacing w:val="30"/>
      <w:sz w:val="72"/>
      <w:szCs w:val="72"/>
      <w14:textFill>
        <w14:solidFill>
          <w14:schemeClr w14:val="tx2"/>
        </w14:solidFill>
      </w14:textFill>
    </w:rPr>
  </w:style>
  <w:style w:type="character" w:customStyle="1" w:styleId="53">
    <w:name w:val="Subtítulo Char"/>
    <w:basedOn w:val="11"/>
    <w:link w:val="26"/>
    <w:uiPriority w:val="11"/>
    <w:rPr>
      <w:color w:val="44546A" w:themeColor="text2"/>
      <w:sz w:val="28"/>
      <w:szCs w:val="28"/>
      <w14:textFill>
        <w14:solidFill>
          <w14:schemeClr w14:val="tx2"/>
        </w14:solidFill>
      </w14:textFill>
    </w:rPr>
  </w:style>
  <w:style w:type="paragraph" w:styleId="54">
    <w:name w:val="No Spacing"/>
    <w:qFormat/>
    <w:uiPriority w:val="1"/>
    <w:rPr>
      <w:rFonts w:asciiTheme="minorHAnsi" w:hAnsiTheme="minorHAnsi" w:eastAsiaTheme="minorEastAsia" w:cstheme="minorBidi"/>
      <w:sz w:val="21"/>
      <w:szCs w:val="21"/>
      <w:lang w:val="pt-BR" w:eastAsia="en-US" w:bidi="ar-SA"/>
    </w:rPr>
  </w:style>
  <w:style w:type="paragraph" w:styleId="55">
    <w:name w:val="Quote"/>
    <w:basedOn w:val="1"/>
    <w:next w:val="1"/>
    <w:link w:val="56"/>
    <w:qFormat/>
    <w:uiPriority w:val="29"/>
    <w:pPr>
      <w:spacing w:before="160"/>
      <w:ind w:left="720" w:right="720"/>
      <w:jc w:val="center"/>
    </w:pPr>
    <w:rPr>
      <w:i/>
      <w:iCs/>
      <w:color w:val="7C7C7C" w:themeColor="accent3" w:themeShade="BF"/>
      <w:sz w:val="24"/>
      <w:szCs w:val="24"/>
    </w:rPr>
  </w:style>
  <w:style w:type="character" w:customStyle="1" w:styleId="56">
    <w:name w:val="Citação Char"/>
    <w:basedOn w:val="11"/>
    <w:link w:val="55"/>
    <w:uiPriority w:val="29"/>
    <w:rPr>
      <w:i/>
      <w:iCs/>
      <w:color w:val="7C7C7C" w:themeColor="accent3" w:themeShade="BF"/>
      <w:sz w:val="24"/>
      <w:szCs w:val="24"/>
    </w:rPr>
  </w:style>
  <w:style w:type="paragraph" w:styleId="57">
    <w:name w:val="Intense Quote"/>
    <w:basedOn w:val="1"/>
    <w:next w:val="1"/>
    <w:link w:val="58"/>
    <w:qFormat/>
    <w:uiPriority w:val="30"/>
    <w:pPr>
      <w:spacing w:before="160" w:line="276" w:lineRule="auto"/>
      <w:ind w:left="936" w:right="936"/>
      <w:jc w:val="center"/>
    </w:pPr>
    <w:rPr>
      <w:rFonts w:asciiTheme="majorHAnsi" w:hAnsiTheme="majorHAnsi" w:eastAsiaTheme="majorEastAsia" w:cstheme="majorBidi"/>
      <w:caps/>
      <w:color w:val="2F5597" w:themeColor="accent1" w:themeShade="BF"/>
      <w:sz w:val="28"/>
      <w:szCs w:val="28"/>
    </w:rPr>
  </w:style>
  <w:style w:type="character" w:customStyle="1" w:styleId="58">
    <w:name w:val="Citação Intensa Char"/>
    <w:basedOn w:val="11"/>
    <w:link w:val="57"/>
    <w:qFormat/>
    <w:uiPriority w:val="30"/>
    <w:rPr>
      <w:rFonts w:asciiTheme="majorHAnsi" w:hAnsiTheme="majorHAnsi" w:eastAsiaTheme="majorEastAsia" w:cstheme="majorBidi"/>
      <w:caps/>
      <w:color w:val="2F5597" w:themeColor="accent1" w:themeShade="BF"/>
      <w:sz w:val="28"/>
      <w:szCs w:val="28"/>
    </w:rPr>
  </w:style>
  <w:style w:type="character" w:customStyle="1" w:styleId="59">
    <w:name w:val="Ênfase Sutil1"/>
    <w:basedOn w:val="11"/>
    <w:qFormat/>
    <w:uiPriority w:val="19"/>
    <w:rPr>
      <w:i/>
      <w:iCs/>
      <w:color w:val="595959" w:themeColor="text1" w:themeTint="A6"/>
      <w14:textFill>
        <w14:solidFill>
          <w14:schemeClr w14:val="tx1">
            <w14:lumMod w14:val="65000"/>
            <w14:lumOff w14:val="35000"/>
          </w14:schemeClr>
        </w14:solidFill>
      </w14:textFill>
    </w:rPr>
  </w:style>
  <w:style w:type="character" w:customStyle="1" w:styleId="60">
    <w:name w:val="Ênfase Intensa1"/>
    <w:basedOn w:val="11"/>
    <w:qFormat/>
    <w:uiPriority w:val="21"/>
    <w:rPr>
      <w:b/>
      <w:bCs/>
      <w:i/>
      <w:iCs/>
      <w:color w:val="auto"/>
    </w:rPr>
  </w:style>
  <w:style w:type="character" w:customStyle="1" w:styleId="61">
    <w:name w:val="Referência Sutil1"/>
    <w:basedOn w:val="11"/>
    <w:qFormat/>
    <w:uiPriority w:val="31"/>
    <w:rPr>
      <w:smallCaps/>
      <w:color w:val="404040" w:themeColor="text1" w:themeTint="BF"/>
      <w:spacing w:val="0"/>
      <w:u w:val="single" w:color="7E7E7E" w:themeColor="text1" w:themeTint="80"/>
      <w14:textFill>
        <w14:solidFill>
          <w14:schemeClr w14:val="tx1">
            <w14:lumMod w14:val="75000"/>
            <w14:lumOff w14:val="25000"/>
          </w14:schemeClr>
        </w14:solidFill>
      </w14:textFill>
    </w:rPr>
  </w:style>
  <w:style w:type="character" w:customStyle="1" w:styleId="62">
    <w:name w:val="Referência Intensa1"/>
    <w:basedOn w:val="11"/>
    <w:qFormat/>
    <w:uiPriority w:val="32"/>
    <w:rPr>
      <w:b/>
      <w:bCs/>
      <w:smallCaps/>
      <w:color w:val="auto"/>
      <w:spacing w:val="0"/>
      <w:u w:val="single"/>
    </w:rPr>
  </w:style>
  <w:style w:type="character" w:customStyle="1" w:styleId="63">
    <w:name w:val="Título do Livro1"/>
    <w:basedOn w:val="11"/>
    <w:qFormat/>
    <w:uiPriority w:val="33"/>
    <w:rPr>
      <w:b/>
      <w:bCs/>
      <w:smallCaps/>
      <w:spacing w:val="0"/>
    </w:rPr>
  </w:style>
  <w:style w:type="paragraph" w:customStyle="1" w:styleId="64">
    <w:name w:val="Cabeçalho do Sumário1"/>
    <w:basedOn w:val="2"/>
    <w:next w:val="1"/>
    <w:semiHidden/>
    <w:unhideWhenUsed/>
    <w:qFormat/>
    <w:uiPriority w:val="39"/>
    <w:pPr>
      <w:outlineLvl w:val="9"/>
    </w:pPr>
  </w:style>
  <w:style w:type="paragraph" w:styleId="65">
    <w:name w:val="List Paragraph"/>
    <w:basedOn w:val="1"/>
    <w:qFormat/>
    <w:uiPriority w:val="34"/>
    <w:pPr>
      <w:ind w:left="720"/>
      <w:contextualSpacing/>
    </w:pPr>
  </w:style>
  <w:style w:type="character" w:customStyle="1" w:styleId="66">
    <w:name w:val="Texto de comentário Char"/>
    <w:basedOn w:val="11"/>
    <w:link w:val="18"/>
    <w:qFormat/>
    <w:uiPriority w:val="99"/>
    <w:rPr>
      <w:sz w:val="20"/>
      <w:szCs w:val="20"/>
    </w:rPr>
  </w:style>
  <w:style w:type="character" w:customStyle="1" w:styleId="67">
    <w:name w:val="Assunto do comentário Char"/>
    <w:basedOn w:val="66"/>
    <w:link w:val="22"/>
    <w:semiHidden/>
    <w:uiPriority w:val="99"/>
    <w:rPr>
      <w:b/>
      <w:bCs/>
      <w:sz w:val="20"/>
      <w:szCs w:val="20"/>
    </w:rPr>
  </w:style>
  <w:style w:type="paragraph" w:customStyle="1" w:styleId="68">
    <w:name w:val="Revisão1"/>
    <w:hidden/>
    <w:semiHidden/>
    <w:qFormat/>
    <w:uiPriority w:val="99"/>
    <w:rPr>
      <w:rFonts w:asciiTheme="minorHAnsi" w:hAnsiTheme="minorHAnsi" w:eastAsiaTheme="minorEastAsia" w:cstheme="minorBidi"/>
      <w:sz w:val="21"/>
      <w:szCs w:val="21"/>
      <w:lang w:val="pt-BR"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8F70A83-98C9-43DF-8B13-F4B63A770CE4}">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1252</Words>
  <Characters>6765</Characters>
  <Lines>56</Lines>
  <Paragraphs>16</Paragraphs>
  <TotalTime>57</TotalTime>
  <ScaleCrop>false</ScaleCrop>
  <LinksUpToDate>false</LinksUpToDate>
  <CharactersWithSpaces>8001</CharactersWithSpaces>
  <Application>WPS Office_12.2.0.13201_F1E327BC-269C-435d-A152-05C5408002CA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2023-09-04T15:16:00Z</dcterms:created>
  <dc:creator>Gustavo Pinheiro</dc:creator>
  <cp:lastModifiedBy>Gustavo Pinheiro de Sanctis</cp:lastModifiedBy>
  <dcterms:modified xsi:type="dcterms:W3CDTF">2023-09-04T22:27:49Z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http://www.zotero.org/styles/american-sociological-association</vt:lpwstr>
  </property>
  <property fmtid="{D5CDD505-2E9C-101B-9397-08002B2CF9AE}" pid="3" name="Mendeley Recent Style Name 0_1">
    <vt:lpwstr>American Sociological Association</vt:lpwstr>
  </property>
  <property fmtid="{D5CDD505-2E9C-101B-9397-08002B2CF9AE}" pid="4" name="Mendeley Recent Style Id 1_1">
    <vt:lpwstr>http://www.zotero.org/styles/angewandte-chemie</vt:lpwstr>
  </property>
  <property fmtid="{D5CDD505-2E9C-101B-9397-08002B2CF9AE}" pid="5" name="Mendeley Recent Style Name 1_1">
    <vt:lpwstr>Angewandte Chemie International Edition</vt:lpwstr>
  </property>
  <property fmtid="{D5CDD505-2E9C-101B-9397-08002B2CF9AE}" pid="6" name="Mendeley Recent Style Id 2_1">
    <vt:lpwstr>http://www.zotero.org/styles/applied-catalysis-a-general</vt:lpwstr>
  </property>
  <property fmtid="{D5CDD505-2E9C-101B-9397-08002B2CF9AE}" pid="7" name="Mendeley Recent Style Name 2_1">
    <vt:lpwstr>Applied Catalysis A, General</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http://www.zotero.org/styles/fuel</vt:lpwstr>
  </property>
  <property fmtid="{D5CDD505-2E9C-101B-9397-08002B2CF9AE}" pid="13" name="Mendeley Recent Style Name 5_1">
    <vt:lpwstr>Fuel</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http://www.zotero.org/styles/microporous-and-mesoporous-materials</vt:lpwstr>
  </property>
  <property fmtid="{D5CDD505-2E9C-101B-9397-08002B2CF9AE}" pid="17" name="Mendeley Recent Style Name 7_1">
    <vt:lpwstr>Microporous and Mesoporous Materials</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7th edition</vt:lpwstr>
  </property>
  <property fmtid="{D5CDD505-2E9C-101B-9397-08002B2CF9AE}" pid="22" name="KSOProductBuildVer">
    <vt:lpwstr>1046-12.2.0.13201</vt:lpwstr>
  </property>
  <property fmtid="{D5CDD505-2E9C-101B-9397-08002B2CF9AE}" pid="23" name="ICV">
    <vt:lpwstr>5619B6FD61944BAE90C9302EAA0CBB78_13</vt:lpwstr>
  </property>
</Properties>
</file>