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11C4BC60" w:rsidR="00EA4E1B" w:rsidRDefault="00BA053C" w:rsidP="00EA4E1B">
      <w:pPr>
        <w:pStyle w:val="BATitle"/>
        <w:spacing w:before="0" w:after="0" w:line="240" w:lineRule="auto"/>
        <w:ind w:right="0"/>
        <w:jc w:val="both"/>
        <w:rPr>
          <w:sz w:val="32"/>
          <w:lang w:val="pt-BR"/>
        </w:rPr>
      </w:pPr>
      <w:r>
        <w:rPr>
          <w:sz w:val="32"/>
          <w:lang w:val="pt-BR"/>
        </w:rPr>
        <w:t>Utilização de cascas de caroço de murumuru como precursoras de um biocarvão sulfonado na síntese de vanilina</w:t>
      </w:r>
    </w:p>
    <w:p w14:paraId="7189EDAD" w14:textId="77777777" w:rsidR="00BC6473" w:rsidRDefault="00BC6473" w:rsidP="00C777FE">
      <w:pPr>
        <w:pStyle w:val="BBAuthorName"/>
        <w:spacing w:after="120" w:line="240" w:lineRule="auto"/>
        <w:ind w:right="0"/>
        <w:jc w:val="both"/>
        <w:rPr>
          <w:rFonts w:ascii="Times New Roman" w:hAnsi="Times New Roman"/>
          <w:sz w:val="20"/>
          <w:lang w:val="pt-BR"/>
        </w:rPr>
      </w:pPr>
    </w:p>
    <w:p w14:paraId="297FE9EE" w14:textId="472CD59B" w:rsidR="00C777FE" w:rsidRPr="00173377" w:rsidRDefault="00C777FE" w:rsidP="00C777FE">
      <w:pPr>
        <w:pStyle w:val="BBAuthorName"/>
        <w:spacing w:after="120" w:line="240" w:lineRule="auto"/>
        <w:ind w:right="0"/>
        <w:jc w:val="both"/>
        <w:rPr>
          <w:rFonts w:ascii="Times New Roman" w:hAnsi="Times New Roman"/>
          <w:sz w:val="20"/>
          <w:lang w:val="pt-BR"/>
        </w:rPr>
      </w:pPr>
      <w:r>
        <w:rPr>
          <w:rFonts w:ascii="Times New Roman" w:hAnsi="Times New Roman"/>
          <w:sz w:val="20"/>
          <w:lang w:val="pt-BR"/>
        </w:rPr>
        <w:t>Maitê T. B. Campos</w:t>
      </w:r>
      <w:r w:rsidRPr="001F25B2">
        <w:rPr>
          <w:rFonts w:ascii="Times New Roman" w:hAnsi="Times New Roman"/>
          <w:sz w:val="20"/>
          <w:vertAlign w:val="superscript"/>
          <w:lang w:val="pt-BR"/>
        </w:rPr>
        <w:t>1</w:t>
      </w:r>
      <w:r>
        <w:rPr>
          <w:rFonts w:ascii="Times New Roman" w:hAnsi="Times New Roman"/>
          <w:sz w:val="20"/>
          <w:lang w:val="pt-BR"/>
        </w:rPr>
        <w:t xml:space="preserve">*, </w:t>
      </w:r>
      <w:r w:rsidR="00865C13">
        <w:rPr>
          <w:rFonts w:ascii="Times New Roman" w:hAnsi="Times New Roman"/>
          <w:sz w:val="20"/>
          <w:lang w:val="pt-BR"/>
        </w:rPr>
        <w:t>Luiz</w:t>
      </w:r>
      <w:r w:rsidR="00993C80">
        <w:rPr>
          <w:rFonts w:ascii="Times New Roman" w:hAnsi="Times New Roman"/>
          <w:sz w:val="20"/>
          <w:lang w:val="pt-BR"/>
        </w:rPr>
        <w:t xml:space="preserve"> A. B. Santos</w:t>
      </w:r>
      <w:r w:rsidRPr="001F25B2">
        <w:rPr>
          <w:rFonts w:ascii="Times New Roman" w:hAnsi="Times New Roman"/>
          <w:sz w:val="20"/>
          <w:vertAlign w:val="superscript"/>
          <w:lang w:val="pt-BR"/>
        </w:rPr>
        <w:t>1</w:t>
      </w:r>
      <w:r>
        <w:rPr>
          <w:rFonts w:ascii="Times New Roman" w:hAnsi="Times New Roman"/>
          <w:sz w:val="20"/>
          <w:lang w:val="pt-BR"/>
        </w:rPr>
        <w:t>, Larissa C. P. Gatti</w:t>
      </w:r>
      <w:r w:rsidRPr="001F25B2">
        <w:rPr>
          <w:rFonts w:ascii="Times New Roman" w:hAnsi="Times New Roman"/>
          <w:sz w:val="20"/>
          <w:vertAlign w:val="superscript"/>
          <w:lang w:val="pt-BR"/>
        </w:rPr>
        <w:t>1</w:t>
      </w:r>
      <w:r>
        <w:rPr>
          <w:rFonts w:ascii="Times New Roman" w:hAnsi="Times New Roman"/>
          <w:sz w:val="20"/>
          <w:lang w:val="pt-BR"/>
        </w:rPr>
        <w:t>, Ana A. F. da Costa</w:t>
      </w:r>
      <w:r>
        <w:rPr>
          <w:rFonts w:ascii="Times New Roman" w:hAnsi="Times New Roman"/>
          <w:sz w:val="20"/>
          <w:vertAlign w:val="superscript"/>
          <w:lang w:val="pt-BR"/>
        </w:rPr>
        <w:t>1</w:t>
      </w:r>
      <w:r>
        <w:rPr>
          <w:rFonts w:ascii="Times New Roman" w:hAnsi="Times New Roman"/>
          <w:sz w:val="20"/>
          <w:lang w:val="pt-BR"/>
        </w:rPr>
        <w:t xml:space="preserve">, </w:t>
      </w:r>
      <w:r w:rsidR="00865C13">
        <w:rPr>
          <w:rFonts w:ascii="Times New Roman" w:hAnsi="Times New Roman"/>
          <w:sz w:val="20"/>
          <w:lang w:val="pt-BR"/>
        </w:rPr>
        <w:t>Eloisa H.</w:t>
      </w:r>
      <w:r w:rsidR="00993C80">
        <w:rPr>
          <w:rFonts w:ascii="Times New Roman" w:hAnsi="Times New Roman"/>
          <w:sz w:val="20"/>
          <w:lang w:val="pt-BR"/>
        </w:rPr>
        <w:t xml:space="preserve"> de</w:t>
      </w:r>
      <w:r w:rsidR="00865C13">
        <w:rPr>
          <w:rFonts w:ascii="Times New Roman" w:hAnsi="Times New Roman"/>
          <w:sz w:val="20"/>
          <w:lang w:val="pt-BR"/>
        </w:rPr>
        <w:t xml:space="preserve"> A. Andrade</w:t>
      </w:r>
      <w:r w:rsidR="00993C80">
        <w:rPr>
          <w:rFonts w:ascii="Times New Roman" w:hAnsi="Times New Roman"/>
          <w:sz w:val="20"/>
          <w:vertAlign w:val="superscript"/>
          <w:lang w:val="pt-BR"/>
        </w:rPr>
        <w:t>2</w:t>
      </w:r>
      <w:r>
        <w:rPr>
          <w:rFonts w:ascii="Times New Roman" w:hAnsi="Times New Roman"/>
          <w:sz w:val="20"/>
          <w:lang w:val="pt-BR"/>
        </w:rPr>
        <w:t>,</w:t>
      </w:r>
      <w:r w:rsidR="00865C13">
        <w:rPr>
          <w:rFonts w:ascii="Times New Roman" w:hAnsi="Times New Roman"/>
          <w:sz w:val="20"/>
          <w:lang w:val="pt-BR"/>
        </w:rPr>
        <w:t xml:space="preserve"> Patrícia T. S. da. Luz</w:t>
      </w:r>
      <w:r w:rsidR="00993C80">
        <w:rPr>
          <w:rFonts w:ascii="Times New Roman" w:hAnsi="Times New Roman"/>
          <w:sz w:val="20"/>
          <w:vertAlign w:val="superscript"/>
          <w:lang w:val="pt-BR"/>
        </w:rPr>
        <w:t>3</w:t>
      </w:r>
      <w:r w:rsidR="00865C13">
        <w:rPr>
          <w:rFonts w:ascii="Times New Roman" w:hAnsi="Times New Roman"/>
          <w:sz w:val="20"/>
          <w:lang w:val="pt-BR"/>
        </w:rPr>
        <w:t>, Luiza H. O. Pires</w:t>
      </w:r>
      <w:r w:rsidR="00993C80">
        <w:rPr>
          <w:rFonts w:ascii="Times New Roman" w:hAnsi="Times New Roman"/>
          <w:sz w:val="20"/>
          <w:vertAlign w:val="superscript"/>
          <w:lang w:val="pt-BR"/>
        </w:rPr>
        <w:t>4</w:t>
      </w:r>
      <w:r w:rsidR="00865C13">
        <w:rPr>
          <w:rFonts w:ascii="Times New Roman" w:hAnsi="Times New Roman"/>
          <w:sz w:val="20"/>
          <w:lang w:val="pt-BR"/>
        </w:rPr>
        <w:t>, José R. Zamian</w:t>
      </w:r>
      <w:r>
        <w:rPr>
          <w:rFonts w:ascii="Times New Roman" w:hAnsi="Times New Roman"/>
          <w:sz w:val="20"/>
          <w:vertAlign w:val="superscript"/>
          <w:lang w:val="pt-BR"/>
        </w:rPr>
        <w:t>1</w:t>
      </w:r>
      <w:r>
        <w:rPr>
          <w:rFonts w:ascii="Times New Roman" w:hAnsi="Times New Roman"/>
          <w:sz w:val="20"/>
          <w:lang w:val="pt-BR"/>
        </w:rPr>
        <w:t>, Geraldo N. R. Filho</w:t>
      </w:r>
      <w:r>
        <w:rPr>
          <w:rFonts w:ascii="Times New Roman" w:hAnsi="Times New Roman"/>
          <w:sz w:val="20"/>
          <w:vertAlign w:val="superscript"/>
          <w:lang w:val="pt-BR"/>
        </w:rPr>
        <w:t>1</w:t>
      </w:r>
      <w:r>
        <w:rPr>
          <w:rFonts w:ascii="Times New Roman" w:hAnsi="Times New Roman"/>
          <w:sz w:val="20"/>
          <w:lang w:val="pt-BR"/>
        </w:rPr>
        <w:t>, Luís A. S. do Nascimento</w:t>
      </w:r>
      <w:r w:rsidRPr="001F25B2">
        <w:rPr>
          <w:rFonts w:ascii="Times New Roman" w:hAnsi="Times New Roman"/>
          <w:sz w:val="20"/>
          <w:vertAlign w:val="superscript"/>
          <w:lang w:val="pt-BR"/>
        </w:rPr>
        <w:t>1</w:t>
      </w:r>
      <w:r>
        <w:rPr>
          <w:rFonts w:ascii="Times New Roman" w:hAnsi="Times New Roman"/>
          <w:sz w:val="20"/>
          <w:lang w:val="pt-BR"/>
        </w:rPr>
        <w:t>.</w:t>
      </w:r>
    </w:p>
    <w:p w14:paraId="79BB8CCD" w14:textId="73A83D2E" w:rsidR="00BC6473" w:rsidRDefault="00BC6473" w:rsidP="00BC6473">
      <w:pPr>
        <w:pStyle w:val="BCAuthorAddress"/>
        <w:spacing w:after="0"/>
        <w:ind w:right="0"/>
        <w:jc w:val="both"/>
        <w:rPr>
          <w:lang w:val="pt-BR"/>
        </w:rPr>
      </w:pPr>
      <w:bookmarkStart w:id="2" w:name="_Hlk142949034"/>
      <w:bookmarkEnd w:id="0"/>
      <w:r>
        <w:rPr>
          <w:vertAlign w:val="superscript"/>
          <w:lang w:val="pt-BR"/>
        </w:rPr>
        <w:t>1</w:t>
      </w:r>
      <w:r>
        <w:rPr>
          <w:lang w:val="pt-BR"/>
        </w:rPr>
        <w:t>Lab</w:t>
      </w:r>
      <w:bookmarkEnd w:id="2"/>
      <w:r>
        <w:rPr>
          <w:lang w:val="pt-BR"/>
        </w:rPr>
        <w:t>oratório de Óleos da Amazônia, Universidade Federal do Pará</w:t>
      </w:r>
      <w:r>
        <w:rPr>
          <w:lang w:val="pt-BR"/>
        </w:rPr>
        <w:t>.</w:t>
      </w:r>
    </w:p>
    <w:p w14:paraId="7EF47868" w14:textId="3B1D47AF" w:rsidR="00BC6473" w:rsidRPr="00993C80" w:rsidRDefault="00993C80" w:rsidP="00BC6473">
      <w:pPr>
        <w:pStyle w:val="BCAuthorAddress"/>
        <w:spacing w:after="0"/>
        <w:ind w:right="0"/>
        <w:jc w:val="both"/>
        <w:rPr>
          <w:vertAlign w:val="superscript"/>
          <w:lang w:val="pt-BR"/>
        </w:rPr>
      </w:pPr>
      <w:r>
        <w:rPr>
          <w:vertAlign w:val="superscript"/>
          <w:lang w:val="pt-BR"/>
        </w:rPr>
        <w:t>2</w:t>
      </w:r>
      <w:r>
        <w:rPr>
          <w:lang w:val="pt-BR"/>
        </w:rPr>
        <w:t>Museu Paraense Emílio Goeldi.</w:t>
      </w:r>
    </w:p>
    <w:p w14:paraId="43419CE5" w14:textId="77777777" w:rsidR="00993C80" w:rsidRDefault="00993C80" w:rsidP="00993C80">
      <w:pPr>
        <w:pStyle w:val="BCAuthorAddress"/>
        <w:spacing w:after="0"/>
        <w:ind w:right="0"/>
        <w:jc w:val="both"/>
        <w:rPr>
          <w:lang w:val="pt-BR"/>
        </w:rPr>
      </w:pPr>
      <w:r>
        <w:rPr>
          <w:vertAlign w:val="superscript"/>
          <w:lang w:val="pt-BR"/>
        </w:rPr>
        <w:t>3</w:t>
      </w:r>
      <w:r>
        <w:rPr>
          <w:lang w:val="pt-BR"/>
        </w:rPr>
        <w:t xml:space="preserve">Instituto Federal do Pará. </w:t>
      </w:r>
    </w:p>
    <w:p w14:paraId="60266C41" w14:textId="4BDE9566" w:rsidR="00993C80" w:rsidRPr="00993C80" w:rsidRDefault="00993C80" w:rsidP="00993C80">
      <w:pPr>
        <w:pStyle w:val="BCAuthorAddress"/>
        <w:spacing w:after="0"/>
        <w:ind w:right="0"/>
        <w:jc w:val="both"/>
        <w:rPr>
          <w:lang w:val="pt-BR"/>
        </w:rPr>
      </w:pPr>
      <w:r>
        <w:rPr>
          <w:vertAlign w:val="superscript"/>
          <w:lang w:val="pt-BR"/>
        </w:rPr>
        <w:t>4</w:t>
      </w:r>
      <w:r>
        <w:rPr>
          <w:lang w:val="pt-BR"/>
        </w:rPr>
        <w:t>Escola de Aplicação da Universidade Federal do Pará</w:t>
      </w:r>
    </w:p>
    <w:p w14:paraId="166C375C" w14:textId="77777777" w:rsidR="00BC6473" w:rsidRPr="000001C0" w:rsidRDefault="00BC6473" w:rsidP="00BC6473">
      <w:pPr>
        <w:pStyle w:val="BCAuthorAddress"/>
        <w:spacing w:after="0"/>
        <w:ind w:right="0"/>
        <w:jc w:val="both"/>
        <w:rPr>
          <w:lang w:val="pt-BR"/>
        </w:rPr>
      </w:pPr>
      <w:r>
        <w:rPr>
          <w:lang w:val="pt-BR"/>
        </w:rPr>
        <w:t>*mtbcampos16@gmail.com</w:t>
      </w:r>
    </w:p>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EBB4119"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EBB4119"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2363720A"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3A5958">
        <w:rPr>
          <w:rFonts w:ascii="Times New Roman" w:hAnsi="Times New Roman"/>
          <w:b w:val="0"/>
          <w:sz w:val="20"/>
          <w:lang w:val="pt-BR"/>
        </w:rPr>
        <w:t>–</w:t>
      </w:r>
      <w:r>
        <w:rPr>
          <w:rFonts w:ascii="Times New Roman" w:hAnsi="Times New Roman"/>
          <w:b w:val="0"/>
          <w:sz w:val="20"/>
          <w:lang w:val="pt-BR"/>
        </w:rPr>
        <w:t xml:space="preserve"> </w:t>
      </w:r>
      <w:r w:rsidR="003A5958">
        <w:rPr>
          <w:rFonts w:ascii="Times New Roman" w:hAnsi="Times New Roman"/>
          <w:b w:val="0"/>
          <w:sz w:val="20"/>
          <w:lang w:val="pt-BR"/>
        </w:rPr>
        <w:t xml:space="preserve">O murumuru é uma fruta com grande relevância pelos seus ótimos princípios ativos, suas polpas e amêndoas são utilizadas, mas as cascas são tratadas como resíduo. Essas cascas têm potencial para serem convertidas em carvões ácidos e podem ser utilizadas na reação de oxidação de álcool vanílico à vanilina, que é um flavorizante comercial muito utilizado. O catalisador </w:t>
      </w:r>
      <w:r w:rsidR="00965A37">
        <w:rPr>
          <w:rFonts w:ascii="Times New Roman" w:hAnsi="Times New Roman"/>
          <w:b w:val="0"/>
          <w:sz w:val="20"/>
          <w:lang w:val="pt-BR"/>
        </w:rPr>
        <w:t xml:space="preserve">teve </w:t>
      </w:r>
      <w:r w:rsidR="003A5958">
        <w:rPr>
          <w:rFonts w:ascii="Times New Roman" w:hAnsi="Times New Roman"/>
          <w:b w:val="0"/>
          <w:sz w:val="20"/>
          <w:lang w:val="pt-BR"/>
        </w:rPr>
        <w:t>uma ótima reatividade, c</w:t>
      </w:r>
      <w:r w:rsidR="00965A37">
        <w:rPr>
          <w:rFonts w:ascii="Times New Roman" w:hAnsi="Times New Roman"/>
          <w:b w:val="0"/>
          <w:sz w:val="20"/>
          <w:lang w:val="pt-BR"/>
        </w:rPr>
        <w:t>onvertendo 100% do reagente inicial, além de demonstrar caráter heterogêneo nas reações de reuso. No tempo de 1 hora apresentou seletividade menor que na reação em branco, indicando a superoxidação da vanilina. Caracterizações adicionais e outros testes com a redução do tempo reacional são necessários para obter maiores conversões em vanilina.</w:t>
      </w:r>
    </w:p>
    <w:p w14:paraId="09B41B70" w14:textId="2CCB789B"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965A37">
        <w:rPr>
          <w:rFonts w:ascii="Times New Roman" w:hAnsi="Times New Roman"/>
          <w:b w:val="0"/>
          <w:i/>
          <w:sz w:val="20"/>
          <w:lang w:val="pt-BR"/>
        </w:rPr>
        <w:t>cascas de murumuru, catalisador ácido, álcool vanílico, vanilina.</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41A0EE98" w:rsidR="00EA4E1B" w:rsidRPr="00965A37" w:rsidRDefault="00EA4E1B" w:rsidP="00EA4E1B">
      <w:pPr>
        <w:pStyle w:val="BDAbstract"/>
        <w:spacing w:before="0" w:after="0" w:line="240" w:lineRule="auto"/>
        <w:rPr>
          <w:rFonts w:ascii="Times New Roman" w:hAnsi="Times New Roman"/>
          <w:b w:val="0"/>
          <w:sz w:val="20"/>
        </w:rPr>
      </w:pPr>
      <w:r w:rsidRPr="00965A37">
        <w:rPr>
          <w:rFonts w:ascii="Times New Roman" w:hAnsi="Times New Roman"/>
          <w:b w:val="0"/>
          <w:sz w:val="20"/>
        </w:rPr>
        <w:t xml:space="preserve">ABSTRACT - </w:t>
      </w:r>
      <w:r w:rsidR="00965A37" w:rsidRPr="00965A37">
        <w:rPr>
          <w:rFonts w:ascii="Times New Roman" w:hAnsi="Times New Roman"/>
          <w:b w:val="0"/>
          <w:sz w:val="20"/>
        </w:rPr>
        <w:t>The murumuru fruit holds significant importance due to its valuable active components. While its pulps and kernels are utilized, the peels are considered waste. These peels hold the potential to be transformed into acidic charcoals and employed in the oxidation reaction of vanillic alcohol to vanillin, a widely used commercial flavoring compound. The catalyst displayed excellent reactivity, completely converting the initial reagent, and exhibited heterogeneous characteristics in reuse reactions. Within 1 hour, it demonstrated lower selectivity compared to the blank reaction, indicating overoxidation of vanillin. Additional characterizations and further tests involving reduction of reaction time are required to achieve higher vanillin conversions.</w:t>
      </w:r>
    </w:p>
    <w:p w14:paraId="48D9B0C4" w14:textId="73A9F39B" w:rsidR="00EA4E1B" w:rsidRPr="007606D3" w:rsidRDefault="00EA4E1B" w:rsidP="007606D3">
      <w:pPr>
        <w:pStyle w:val="BDAbstract"/>
        <w:spacing w:before="0" w:after="120" w:line="240" w:lineRule="auto"/>
        <w:rPr>
          <w:rFonts w:ascii="Times New Roman" w:hAnsi="Times New Roman"/>
          <w:b w:val="0"/>
          <w:i/>
          <w:sz w:val="20"/>
        </w:rPr>
        <w:sectPr w:rsidR="00EA4E1B" w:rsidRPr="007606D3" w:rsidSect="00EA4E1B">
          <w:headerReference w:type="default" r:id="rId8"/>
          <w:endnotePr>
            <w:numFmt w:val="decimal"/>
          </w:endnotePr>
          <w:pgSz w:w="11906" w:h="16838"/>
          <w:pgMar w:top="1418" w:right="1094" w:bottom="1418" w:left="567" w:header="709" w:footer="709" w:gutter="0"/>
          <w:cols w:space="708"/>
          <w:docGrid w:linePitch="360"/>
        </w:sectPr>
      </w:pPr>
      <w:r w:rsidRPr="007606D3">
        <w:rPr>
          <w:rFonts w:ascii="Times New Roman" w:hAnsi="Times New Roman"/>
          <w:b w:val="0"/>
          <w:i/>
          <w:sz w:val="20"/>
        </w:rPr>
        <w:t xml:space="preserve">Keywords: </w:t>
      </w:r>
      <w:r w:rsidR="007606D3" w:rsidRPr="007606D3">
        <w:rPr>
          <w:rFonts w:ascii="Times New Roman" w:hAnsi="Times New Roman"/>
          <w:b w:val="0"/>
          <w:i/>
          <w:sz w:val="20"/>
        </w:rPr>
        <w:t>murumuru</w:t>
      </w:r>
      <w:r w:rsidR="007606D3">
        <w:rPr>
          <w:rFonts w:ascii="Times New Roman" w:hAnsi="Times New Roman"/>
          <w:b w:val="0"/>
          <w:i/>
          <w:sz w:val="20"/>
        </w:rPr>
        <w:t xml:space="preserve"> husks</w:t>
      </w:r>
      <w:r w:rsidR="007606D3" w:rsidRPr="007606D3">
        <w:rPr>
          <w:rFonts w:ascii="Times New Roman" w:hAnsi="Times New Roman"/>
          <w:b w:val="0"/>
          <w:i/>
          <w:sz w:val="20"/>
        </w:rPr>
        <w:t>, acidic catalyst, vanillic alcohol, vanillin</w:t>
      </w:r>
      <w:bookmarkEnd w:id="1"/>
      <w:r w:rsidR="007606D3">
        <w:rPr>
          <w:rFonts w:ascii="Times New Roman" w:hAnsi="Times New Roman"/>
          <w:b w:val="0"/>
          <w:i/>
          <w:sz w:val="20"/>
        </w:rPr>
        <w:t>.</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0D90E493" w14:textId="7EA93E7E" w:rsidR="007606D3" w:rsidRDefault="007606D3" w:rsidP="007606D3">
      <w:pPr>
        <w:pStyle w:val="TAMainText"/>
        <w:rPr>
          <w:rFonts w:ascii="Times New Roman" w:hAnsi="Times New Roman"/>
          <w:bCs/>
          <w:lang w:val="pt-BR"/>
        </w:rPr>
      </w:pPr>
      <w:r>
        <w:rPr>
          <w:rFonts w:ascii="Times New Roman" w:hAnsi="Times New Roman"/>
          <w:bCs/>
          <w:lang w:val="pt-BR"/>
        </w:rPr>
        <w:t xml:space="preserve">O murumuru é um fruto </w:t>
      </w:r>
      <w:r>
        <w:rPr>
          <w:rFonts w:ascii="Times New Roman" w:hAnsi="Times New Roman"/>
          <w:bCs/>
          <w:lang w:val="pt-BR"/>
        </w:rPr>
        <w:t>amazônico</w:t>
      </w:r>
      <w:r>
        <w:rPr>
          <w:rFonts w:ascii="Times New Roman" w:hAnsi="Times New Roman"/>
          <w:bCs/>
          <w:lang w:val="pt-BR"/>
        </w:rPr>
        <w:t xml:space="preserve"> e seu valor comercial está </w:t>
      </w:r>
      <w:r>
        <w:rPr>
          <w:rFonts w:ascii="Times New Roman" w:hAnsi="Times New Roman"/>
          <w:bCs/>
          <w:lang w:val="pt-BR"/>
        </w:rPr>
        <w:t>atrelado</w:t>
      </w:r>
      <w:r>
        <w:rPr>
          <w:rFonts w:ascii="Times New Roman" w:hAnsi="Times New Roman"/>
          <w:bCs/>
          <w:lang w:val="pt-BR"/>
        </w:rPr>
        <w:t>, principalmente, à manteiga extraída das amêndoas contidas nos caroços</w:t>
      </w:r>
      <w:r>
        <w:rPr>
          <w:rFonts w:ascii="Times New Roman" w:hAnsi="Times New Roman"/>
          <w:bCs/>
          <w:lang w:val="pt-BR"/>
        </w:rPr>
        <w:t>,</w:t>
      </w:r>
      <w:r>
        <w:rPr>
          <w:rFonts w:ascii="Times New Roman" w:hAnsi="Times New Roman"/>
          <w:bCs/>
          <w:lang w:val="pt-BR"/>
        </w:rPr>
        <w:t xml:space="preserve"> para aplicação na indústria cosmética (1). As cascas representam pouco mais da metade do peso dos caroços de murumuru e, após a retirada das amêndoas, se tornam um rejeito agroindustrial (2). </w:t>
      </w:r>
    </w:p>
    <w:p w14:paraId="0A9D8896" w14:textId="77777777" w:rsidR="007606D3" w:rsidRDefault="007606D3" w:rsidP="007606D3">
      <w:pPr>
        <w:pStyle w:val="TAMainText"/>
        <w:rPr>
          <w:rFonts w:ascii="Times New Roman" w:hAnsi="Times New Roman"/>
          <w:bCs/>
          <w:lang w:val="pt-BR"/>
        </w:rPr>
      </w:pPr>
      <w:r>
        <w:rPr>
          <w:rFonts w:ascii="Times New Roman" w:hAnsi="Times New Roman"/>
          <w:bCs/>
          <w:lang w:val="pt-BR"/>
        </w:rPr>
        <w:t xml:space="preserve">Biomassas lignocelulósicas residuais como precursoras de catalisadores ácidos já são amplamente utilizadas na literatura e, além reduzirem os custos da síntese, podem apresentar características benéficas oriundas do carvão, como uma boa estabilidade térmica, alta porosidade e elevada área superficial </w:t>
      </w:r>
      <w:r w:rsidRPr="00C9658F">
        <w:rPr>
          <w:rFonts w:ascii="Times New Roman" w:hAnsi="Times New Roman"/>
          <w:bCs/>
          <w:lang w:val="pt-BR"/>
        </w:rPr>
        <w:t>(3)</w:t>
      </w:r>
      <w:r>
        <w:rPr>
          <w:rFonts w:ascii="Times New Roman" w:hAnsi="Times New Roman"/>
          <w:bCs/>
          <w:lang w:val="pt-BR"/>
        </w:rPr>
        <w:t xml:space="preserve">. </w:t>
      </w:r>
    </w:p>
    <w:p w14:paraId="02DE7674" w14:textId="77777777" w:rsidR="00845E85" w:rsidRDefault="007606D3" w:rsidP="00EA4E1B">
      <w:pPr>
        <w:pStyle w:val="TAMainText"/>
        <w:rPr>
          <w:rFonts w:ascii="Times New Roman" w:hAnsi="Times New Roman"/>
          <w:bCs/>
          <w:lang w:val="pt-BR"/>
        </w:rPr>
      </w:pPr>
      <w:r>
        <w:rPr>
          <w:rFonts w:ascii="Times New Roman" w:hAnsi="Times New Roman"/>
          <w:bCs/>
          <w:lang w:val="pt-BR"/>
        </w:rPr>
        <w:t xml:space="preserve">A </w:t>
      </w:r>
      <w:r w:rsidR="004D7111">
        <w:rPr>
          <w:rFonts w:ascii="Times New Roman" w:hAnsi="Times New Roman"/>
          <w:bCs/>
          <w:lang w:val="pt-BR"/>
        </w:rPr>
        <w:t xml:space="preserve">vanilina é o principal componente responsável pelo aroma e gosto da baunilha. Devido a isso, </w:t>
      </w:r>
      <w:r w:rsidR="004D7111">
        <w:rPr>
          <w:rFonts w:ascii="Times New Roman" w:hAnsi="Times New Roman"/>
          <w:bCs/>
          <w:lang w:val="pt-BR"/>
        </w:rPr>
        <w:t>é um</w:t>
      </w:r>
      <w:r w:rsidR="004D7111">
        <w:rPr>
          <w:rFonts w:ascii="Times New Roman" w:hAnsi="Times New Roman"/>
          <w:bCs/>
          <w:lang w:val="pt-BR"/>
        </w:rPr>
        <w:t xml:space="preserve"> dos</w:t>
      </w:r>
      <w:r w:rsidR="004D7111">
        <w:rPr>
          <w:rFonts w:ascii="Times New Roman" w:hAnsi="Times New Roman"/>
          <w:bCs/>
          <w:lang w:val="pt-BR"/>
        </w:rPr>
        <w:t xml:space="preserve"> flavorizante</w:t>
      </w:r>
      <w:r w:rsidR="004D7111">
        <w:rPr>
          <w:rFonts w:ascii="Times New Roman" w:hAnsi="Times New Roman"/>
          <w:bCs/>
          <w:lang w:val="pt-BR"/>
        </w:rPr>
        <w:t>s</w:t>
      </w:r>
      <w:r w:rsidR="004D7111">
        <w:rPr>
          <w:rFonts w:ascii="Times New Roman" w:hAnsi="Times New Roman"/>
          <w:bCs/>
          <w:lang w:val="pt-BR"/>
        </w:rPr>
        <w:t xml:space="preserve"> comercia</w:t>
      </w:r>
      <w:r w:rsidR="004D7111">
        <w:rPr>
          <w:rFonts w:ascii="Times New Roman" w:hAnsi="Times New Roman"/>
          <w:bCs/>
          <w:lang w:val="pt-BR"/>
        </w:rPr>
        <w:t xml:space="preserve">is mais </w:t>
      </w:r>
      <w:r w:rsidR="004D7111">
        <w:rPr>
          <w:rFonts w:ascii="Times New Roman" w:hAnsi="Times New Roman"/>
          <w:bCs/>
          <w:lang w:val="pt-BR"/>
        </w:rPr>
        <w:t>utilizado</w:t>
      </w:r>
      <w:r w:rsidR="004D7111">
        <w:rPr>
          <w:rFonts w:ascii="Times New Roman" w:hAnsi="Times New Roman"/>
          <w:bCs/>
          <w:lang w:val="pt-BR"/>
        </w:rPr>
        <w:t xml:space="preserve">s, sendo aplicado </w:t>
      </w:r>
      <w:r w:rsidR="004D7111">
        <w:rPr>
          <w:rFonts w:ascii="Times New Roman" w:hAnsi="Times New Roman"/>
          <w:bCs/>
          <w:lang w:val="pt-BR"/>
        </w:rPr>
        <w:t>em diversos setores, como na indústria alimentícia, cosmética, farmacêutica, dentre outras</w:t>
      </w:r>
      <w:r w:rsidR="004D7111">
        <w:rPr>
          <w:rFonts w:ascii="Times New Roman" w:hAnsi="Times New Roman"/>
          <w:bCs/>
          <w:lang w:val="pt-BR"/>
        </w:rPr>
        <w:t xml:space="preserve"> (2). </w:t>
      </w:r>
    </w:p>
    <w:p w14:paraId="143CD8C8" w14:textId="59A44961" w:rsidR="000D74D7" w:rsidRPr="00A70DA8" w:rsidRDefault="00845E85" w:rsidP="00EA4E1B">
      <w:pPr>
        <w:pStyle w:val="TAMainText"/>
        <w:rPr>
          <w:rFonts w:ascii="Times New Roman" w:hAnsi="Times New Roman"/>
          <w:bCs/>
          <w:lang w:val="pt-BR"/>
        </w:rPr>
      </w:pPr>
      <w:r>
        <w:rPr>
          <w:rFonts w:ascii="Times New Roman" w:hAnsi="Times New Roman"/>
          <w:bCs/>
          <w:lang w:val="pt-BR"/>
        </w:rPr>
        <w:t xml:space="preserve">Estudos sobre a molécula de vanilina ampliam suas aplicações, tal como a utilização como bloco de construção </w:t>
      </w:r>
      <w:r>
        <w:rPr>
          <w:rFonts w:ascii="Times New Roman" w:hAnsi="Times New Roman"/>
          <w:bCs/>
          <w:lang w:val="pt-BR"/>
        </w:rPr>
        <w:t>em polímeros</w:t>
      </w:r>
      <w:r w:rsidR="00A70DA8">
        <w:rPr>
          <w:rFonts w:ascii="Times New Roman" w:hAnsi="Times New Roman"/>
          <w:bCs/>
          <w:lang w:val="pt-BR"/>
        </w:rPr>
        <w:t xml:space="preserve"> (4)</w:t>
      </w:r>
      <w:r>
        <w:rPr>
          <w:rFonts w:ascii="Times New Roman" w:hAnsi="Times New Roman"/>
          <w:bCs/>
          <w:lang w:val="pt-BR"/>
        </w:rPr>
        <w:t>. Diante disso, é esperado que até 2025 o mercado mundial de vanilina atinja $724,5 milhões</w:t>
      </w:r>
      <w:r w:rsidR="00A70DA8">
        <w:rPr>
          <w:rFonts w:ascii="Times New Roman" w:hAnsi="Times New Roman"/>
          <w:bCs/>
          <w:lang w:val="pt-BR"/>
        </w:rPr>
        <w:t xml:space="preserve"> (5)</w:t>
      </w:r>
      <w:r>
        <w:rPr>
          <w:rFonts w:ascii="Times New Roman" w:hAnsi="Times New Roman"/>
          <w:bCs/>
          <w:lang w:val="pt-BR"/>
        </w:rPr>
        <w:t>.</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2FC3473D" w14:textId="77777777" w:rsidR="00AE3DC8" w:rsidRDefault="00AE3DC8" w:rsidP="00CA1956">
      <w:pPr>
        <w:pStyle w:val="TAMainText"/>
        <w:spacing w:before="240"/>
        <w:ind w:firstLine="0"/>
        <w:rPr>
          <w:rFonts w:ascii="Times New Roman" w:hAnsi="Times New Roman"/>
          <w:i/>
          <w:lang w:val="pt-BR"/>
        </w:rPr>
      </w:pPr>
      <w:r>
        <w:rPr>
          <w:rFonts w:ascii="Times New Roman" w:hAnsi="Times New Roman"/>
          <w:i/>
          <w:lang w:val="pt-BR"/>
        </w:rPr>
        <w:t>Preparo do catalisador</w:t>
      </w:r>
    </w:p>
    <w:p w14:paraId="7190BCEF" w14:textId="3EAA0B01" w:rsidR="00AE3DC8" w:rsidRDefault="00A70DA8" w:rsidP="00AE3DC8">
      <w:pPr>
        <w:pStyle w:val="TAMainText"/>
        <w:rPr>
          <w:rFonts w:ascii="Times New Roman" w:hAnsi="Times New Roman"/>
          <w:lang w:val="pt-BR"/>
        </w:rPr>
      </w:pPr>
      <w:r>
        <w:rPr>
          <w:rFonts w:ascii="Times New Roman" w:hAnsi="Times New Roman"/>
          <w:lang w:val="pt-BR"/>
        </w:rPr>
        <w:t xml:space="preserve">O preparo do catalisador seguiu o descrito em Corrêa e colaboradores (3). </w:t>
      </w:r>
      <w:r w:rsidR="00AE3DC8">
        <w:rPr>
          <w:rFonts w:ascii="Times New Roman" w:hAnsi="Times New Roman"/>
          <w:lang w:val="pt-BR"/>
        </w:rPr>
        <w:t>As cascas de murumuru foram trituradas e passaram por uma peneira de 35 mesh. O processo de carbonização ocorreu em forno tubular a uma temperatura de 600 ºC, por 1 hora, sob taxa de aquecimento de 10 ºC min</w:t>
      </w:r>
      <w:r w:rsidR="00AE3DC8">
        <w:rPr>
          <w:rFonts w:ascii="Times New Roman" w:hAnsi="Times New Roman"/>
          <w:vertAlign w:val="superscript"/>
          <w:lang w:val="pt-BR"/>
        </w:rPr>
        <w:t>-1</w:t>
      </w:r>
      <w:r w:rsidR="00AE3DC8">
        <w:rPr>
          <w:rFonts w:ascii="Times New Roman" w:hAnsi="Times New Roman"/>
          <w:lang w:val="pt-BR"/>
        </w:rPr>
        <w:t xml:space="preserve"> e fluxo de N</w:t>
      </w:r>
      <w:r w:rsidR="00AE3DC8">
        <w:rPr>
          <w:rFonts w:ascii="Times New Roman" w:hAnsi="Times New Roman"/>
          <w:vertAlign w:val="subscript"/>
          <w:lang w:val="pt-BR"/>
        </w:rPr>
        <w:t>2</w:t>
      </w:r>
      <w:r w:rsidR="00AE3DC8">
        <w:rPr>
          <w:rFonts w:ascii="Times New Roman" w:hAnsi="Times New Roman"/>
          <w:lang w:val="pt-BR"/>
        </w:rPr>
        <w:t xml:space="preserve"> de 80 mL min</w:t>
      </w:r>
      <w:r w:rsidR="00AE3DC8">
        <w:rPr>
          <w:rFonts w:ascii="Times New Roman" w:hAnsi="Times New Roman"/>
          <w:vertAlign w:val="superscript"/>
          <w:lang w:val="pt-BR"/>
        </w:rPr>
        <w:t>-1</w:t>
      </w:r>
      <w:r w:rsidR="00AE3DC8">
        <w:rPr>
          <w:rFonts w:ascii="Times New Roman" w:hAnsi="Times New Roman"/>
          <w:lang w:val="pt-BR"/>
        </w:rPr>
        <w:t>.</w:t>
      </w:r>
    </w:p>
    <w:p w14:paraId="6328D013" w14:textId="5D894984" w:rsidR="00AE3DC8" w:rsidRDefault="00AE3DC8" w:rsidP="00814991">
      <w:pPr>
        <w:pStyle w:val="TAMainText"/>
        <w:spacing w:after="240"/>
        <w:rPr>
          <w:rFonts w:ascii="Times New Roman" w:hAnsi="Times New Roman"/>
          <w:lang w:val="pt-BR"/>
        </w:rPr>
      </w:pPr>
      <w:r>
        <w:rPr>
          <w:rFonts w:ascii="Times New Roman" w:hAnsi="Times New Roman"/>
          <w:lang w:val="pt-BR"/>
        </w:rPr>
        <w:t>O biocarvão obtido foi sulfonado em sistema de refluxo, com ácido sulfúrico concentrado a uma razão de 1:10 m/v (biocarvão/ácido), durante 4 horas e sob uma temperatura de 200 ºC. Após esse processo, o conteúdo foi diluído em 1 L de água destilada, de maneira a diminuir os riscos, para passar pelo processo de filtragem à vácuo. O biocarvão foi lavado com água destilada até a água de lavagem se encontrar em pH próximo de 7 e seco em estufa a 110 ºC.</w:t>
      </w:r>
    </w:p>
    <w:p w14:paraId="2B430EA6" w14:textId="77777777" w:rsidR="00A70DA8" w:rsidRPr="00814991" w:rsidRDefault="00A70DA8" w:rsidP="00814991">
      <w:pPr>
        <w:pStyle w:val="TAMainText"/>
        <w:spacing w:after="240"/>
        <w:rPr>
          <w:rFonts w:ascii="Times New Roman" w:hAnsi="Times New Roman"/>
          <w:lang w:val="pt-BR"/>
        </w:rPr>
      </w:pPr>
    </w:p>
    <w:p w14:paraId="35887134" w14:textId="338056A8" w:rsidR="00EA4E1B" w:rsidRPr="00814991" w:rsidRDefault="00814991" w:rsidP="00EA4E1B">
      <w:pPr>
        <w:pStyle w:val="TAMainText"/>
        <w:ind w:firstLine="0"/>
        <w:rPr>
          <w:rFonts w:ascii="Times New Roman" w:hAnsi="Times New Roman"/>
          <w:i/>
          <w:lang w:val="pt-BR"/>
        </w:rPr>
      </w:pPr>
      <w:r w:rsidRPr="00814991">
        <w:rPr>
          <w:rFonts w:ascii="Times New Roman" w:hAnsi="Times New Roman"/>
          <w:i/>
          <w:lang w:val="pt-BR"/>
        </w:rPr>
        <w:t>Testes catalíticos</w:t>
      </w:r>
    </w:p>
    <w:p w14:paraId="68FBD487" w14:textId="618AF547" w:rsidR="006F6024" w:rsidRDefault="00814991" w:rsidP="00EA4E1B">
      <w:pPr>
        <w:pStyle w:val="TAMainText"/>
        <w:rPr>
          <w:rFonts w:ascii="Times New Roman" w:hAnsi="Times New Roman"/>
          <w:lang w:val="pt-BR"/>
        </w:rPr>
      </w:pPr>
      <w:r w:rsidRPr="00814991">
        <w:rPr>
          <w:rFonts w:ascii="Times New Roman" w:hAnsi="Times New Roman"/>
          <w:lang w:val="pt-BR"/>
        </w:rPr>
        <w:t>Os testes catalíticos foram feitos de acordo</w:t>
      </w:r>
      <w:r>
        <w:rPr>
          <w:rFonts w:ascii="Times New Roman" w:hAnsi="Times New Roman"/>
          <w:lang w:val="pt-BR"/>
        </w:rPr>
        <w:t xml:space="preserve"> com o descrito</w:t>
      </w:r>
      <w:r w:rsidR="00CA1956">
        <w:rPr>
          <w:rFonts w:ascii="Times New Roman" w:hAnsi="Times New Roman"/>
          <w:lang w:val="pt-BR"/>
        </w:rPr>
        <w:t xml:space="preserve"> por Saberi e colaboradores</w:t>
      </w:r>
      <w:r w:rsidRPr="00CA1956">
        <w:rPr>
          <w:rFonts w:ascii="Times New Roman" w:hAnsi="Times New Roman"/>
          <w:lang w:val="pt-BR"/>
        </w:rPr>
        <w:t>(</w:t>
      </w:r>
      <w:r w:rsidR="00CA1956" w:rsidRPr="00CA1956">
        <w:rPr>
          <w:rFonts w:ascii="Times New Roman" w:hAnsi="Times New Roman"/>
          <w:lang w:val="pt-BR"/>
        </w:rPr>
        <w:t>6</w:t>
      </w:r>
      <w:r w:rsidRPr="00CA1956">
        <w:rPr>
          <w:rFonts w:ascii="Times New Roman" w:hAnsi="Times New Roman"/>
          <w:lang w:val="pt-BR"/>
        </w:rPr>
        <w:t xml:space="preserve">). </w:t>
      </w:r>
      <w:r w:rsidR="00477097">
        <w:rPr>
          <w:rFonts w:ascii="Times New Roman" w:hAnsi="Times New Roman"/>
          <w:lang w:val="pt-BR"/>
        </w:rPr>
        <w:t xml:space="preserve">Em que foi </w:t>
      </w:r>
      <w:r>
        <w:rPr>
          <w:rFonts w:ascii="Times New Roman" w:hAnsi="Times New Roman"/>
          <w:lang w:val="pt-BR"/>
        </w:rPr>
        <w:t>adicionado 0,77g de álcool vanílico, 8 mL de acetonitrila, 1,2 mL de H</w:t>
      </w:r>
      <w:r>
        <w:rPr>
          <w:rFonts w:ascii="Times New Roman" w:hAnsi="Times New Roman"/>
          <w:vertAlign w:val="subscript"/>
          <w:lang w:val="pt-BR"/>
        </w:rPr>
        <w:t>2</w:t>
      </w:r>
      <w:r>
        <w:rPr>
          <w:rFonts w:ascii="Times New Roman" w:hAnsi="Times New Roman"/>
          <w:lang w:val="pt-BR"/>
        </w:rPr>
        <w:t>O</w:t>
      </w:r>
      <w:r>
        <w:rPr>
          <w:rFonts w:ascii="Times New Roman" w:hAnsi="Times New Roman"/>
          <w:vertAlign w:val="subscript"/>
          <w:lang w:val="pt-BR"/>
        </w:rPr>
        <w:t xml:space="preserve">2 </w:t>
      </w:r>
      <w:r w:rsidR="00E0622A">
        <w:rPr>
          <w:rFonts w:ascii="Times New Roman" w:hAnsi="Times New Roman"/>
          <w:lang w:val="pt-BR"/>
        </w:rPr>
        <w:t xml:space="preserve">50% </w:t>
      </w:r>
      <w:r>
        <w:rPr>
          <w:rFonts w:ascii="Times New Roman" w:hAnsi="Times New Roman"/>
          <w:lang w:val="pt-BR"/>
        </w:rPr>
        <w:t>e 0,1g de catalisador</w:t>
      </w:r>
      <w:r w:rsidR="0097052A">
        <w:rPr>
          <w:rFonts w:ascii="Times New Roman" w:hAnsi="Times New Roman"/>
          <w:lang w:val="pt-BR"/>
        </w:rPr>
        <w:t>, previamente se</w:t>
      </w:r>
      <w:r w:rsidR="003C5A5A">
        <w:rPr>
          <w:rFonts w:ascii="Times New Roman" w:hAnsi="Times New Roman"/>
          <w:lang w:val="pt-BR"/>
        </w:rPr>
        <w:t>co a 110 ºC,</w:t>
      </w:r>
      <w:r w:rsidR="0097052A">
        <w:rPr>
          <w:rFonts w:ascii="Times New Roman" w:hAnsi="Times New Roman"/>
          <w:lang w:val="pt-BR"/>
        </w:rPr>
        <w:t xml:space="preserve"> em um sistema de refluxo </w:t>
      </w:r>
      <w:r w:rsidR="00975818">
        <w:rPr>
          <w:rFonts w:ascii="Times New Roman" w:hAnsi="Times New Roman"/>
          <w:lang w:val="pt-BR"/>
        </w:rPr>
        <w:t>por 1 hora, na temperatura de 80 ºC</w:t>
      </w:r>
      <w:r w:rsidR="00E0622A">
        <w:rPr>
          <w:rFonts w:ascii="Times New Roman" w:hAnsi="Times New Roman"/>
          <w:lang w:val="pt-BR"/>
        </w:rPr>
        <w:t>. Foram realizadas 3 reações de reuso do catalisador e</w:t>
      </w:r>
      <w:r w:rsidR="006F6024">
        <w:rPr>
          <w:rFonts w:ascii="Times New Roman" w:hAnsi="Times New Roman"/>
          <w:lang w:val="pt-BR"/>
        </w:rPr>
        <w:t xml:space="preserve"> 1 branco, </w:t>
      </w:r>
      <w:r w:rsidR="00E0622A">
        <w:rPr>
          <w:rFonts w:ascii="Times New Roman" w:hAnsi="Times New Roman"/>
          <w:lang w:val="pt-BR"/>
        </w:rPr>
        <w:t>sem presença do catalisador</w:t>
      </w:r>
      <w:r w:rsidR="006F6024">
        <w:rPr>
          <w:rFonts w:ascii="Times New Roman" w:hAnsi="Times New Roman"/>
          <w:lang w:val="pt-BR"/>
        </w:rPr>
        <w:t xml:space="preserve">, </w:t>
      </w:r>
      <w:r w:rsidR="00E0622A">
        <w:rPr>
          <w:rFonts w:ascii="Times New Roman" w:hAnsi="Times New Roman"/>
          <w:lang w:val="pt-BR"/>
        </w:rPr>
        <w:t>seguindo as mesmas proporções.</w:t>
      </w:r>
    </w:p>
    <w:p w14:paraId="1CD5FA1C" w14:textId="3D16CD3F" w:rsidR="006F6024" w:rsidRDefault="006F6024" w:rsidP="00EA4E1B">
      <w:pPr>
        <w:pStyle w:val="TAMainText"/>
        <w:rPr>
          <w:rFonts w:ascii="Times New Roman" w:hAnsi="Times New Roman"/>
          <w:lang w:val="pt-BR"/>
        </w:rPr>
      </w:pPr>
      <w:r>
        <w:rPr>
          <w:rFonts w:ascii="Times New Roman" w:hAnsi="Times New Roman"/>
          <w:lang w:val="pt-BR"/>
        </w:rPr>
        <w:t>Para avaliar o pe</w:t>
      </w:r>
      <w:r w:rsidR="007D6324">
        <w:rPr>
          <w:rFonts w:ascii="Times New Roman" w:hAnsi="Times New Roman"/>
          <w:lang w:val="pt-BR"/>
        </w:rPr>
        <w:t>rcentual de</w:t>
      </w:r>
      <w:r>
        <w:rPr>
          <w:rFonts w:ascii="Times New Roman" w:hAnsi="Times New Roman"/>
          <w:lang w:val="pt-BR"/>
        </w:rPr>
        <w:t xml:space="preserve"> conversão de álcool vanílico em vanilina</w:t>
      </w:r>
      <w:r w:rsidR="007D6324">
        <w:rPr>
          <w:rFonts w:ascii="Times New Roman" w:hAnsi="Times New Roman"/>
          <w:lang w:val="pt-BR"/>
        </w:rPr>
        <w:t xml:space="preserve"> os produ</w:t>
      </w:r>
      <w:r w:rsidR="000B4F52">
        <w:rPr>
          <w:rFonts w:ascii="Times New Roman" w:hAnsi="Times New Roman"/>
          <w:lang w:val="pt-BR"/>
        </w:rPr>
        <w:t>tos re</w:t>
      </w:r>
      <w:r w:rsidR="00BA6243">
        <w:rPr>
          <w:rFonts w:ascii="Times New Roman" w:hAnsi="Times New Roman"/>
          <w:lang w:val="pt-BR"/>
        </w:rPr>
        <w:t>acionais foram submetidos à análise por Cromatografia Gasosa com Detector de Ionização de Chama (CG-FID).</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0144D7A2" w14:textId="52C1E863" w:rsidR="00C5065B" w:rsidRPr="007443FF" w:rsidRDefault="00697E3B" w:rsidP="007443FF">
      <w:pPr>
        <w:pStyle w:val="TAMainText"/>
        <w:ind w:firstLine="0"/>
        <w:rPr>
          <w:rFonts w:ascii="Times New Roman" w:hAnsi="Times New Roman"/>
          <w:i/>
          <w:lang w:val="pt-BR"/>
        </w:rPr>
      </w:pPr>
      <w:r w:rsidRPr="00814991">
        <w:rPr>
          <w:rFonts w:ascii="Times New Roman" w:hAnsi="Times New Roman"/>
          <w:i/>
          <w:lang w:val="pt-BR"/>
        </w:rPr>
        <w:t>Testes catalíticos</w:t>
      </w:r>
    </w:p>
    <w:p w14:paraId="2D068BE7" w14:textId="2AF094F6" w:rsidR="00B33B71" w:rsidRDefault="00424397" w:rsidP="007443FF">
      <w:pPr>
        <w:pStyle w:val="TAMainText"/>
        <w:spacing w:after="240"/>
        <w:ind w:firstLine="187"/>
        <w:rPr>
          <w:rFonts w:ascii="Times New Roman" w:hAnsi="Times New Roman"/>
          <w:lang w:val="pt-BR"/>
        </w:rPr>
      </w:pPr>
      <w:r>
        <w:rPr>
          <w:rFonts w:ascii="Times New Roman" w:hAnsi="Times New Roman"/>
          <w:lang w:val="pt-BR"/>
        </w:rPr>
        <w:t>Nos resultados da análise de CG-FID, descritos na tabela 1, é possível verificar que na reação do b</w:t>
      </w:r>
      <w:r>
        <w:rPr>
          <w:rFonts w:ascii="Times New Roman" w:hAnsi="Times New Roman"/>
          <w:lang w:val="pt-BR"/>
        </w:rPr>
        <w:t>ranco a conversão</w:t>
      </w:r>
      <w:r w:rsidR="00C5065B">
        <w:rPr>
          <w:rFonts w:ascii="Times New Roman" w:hAnsi="Times New Roman"/>
          <w:lang w:val="pt-BR"/>
        </w:rPr>
        <w:t xml:space="preserve"> de álcool vanílico</w:t>
      </w:r>
      <w:r>
        <w:rPr>
          <w:rFonts w:ascii="Times New Roman" w:hAnsi="Times New Roman"/>
          <w:lang w:val="pt-BR"/>
        </w:rPr>
        <w:t xml:space="preserve"> em vanilina foi de 17,97</w:t>
      </w:r>
      <w:r w:rsidR="00C5065B">
        <w:rPr>
          <w:rFonts w:ascii="Times New Roman" w:hAnsi="Times New Roman"/>
          <w:lang w:val="pt-BR"/>
        </w:rPr>
        <w:t xml:space="preserve">% e </w:t>
      </w:r>
      <w:r w:rsidR="00A7000D">
        <w:rPr>
          <w:rFonts w:ascii="Times New Roman" w:hAnsi="Times New Roman"/>
          <w:lang w:val="pt-BR"/>
        </w:rPr>
        <w:t xml:space="preserve">a </w:t>
      </w:r>
      <w:r w:rsidR="00C5065B">
        <w:rPr>
          <w:rFonts w:ascii="Times New Roman" w:hAnsi="Times New Roman"/>
          <w:lang w:val="pt-BR"/>
        </w:rPr>
        <w:t>seletividade de 52,10%.</w:t>
      </w:r>
      <w:r w:rsidR="00A7000D">
        <w:rPr>
          <w:rFonts w:ascii="Times New Roman" w:hAnsi="Times New Roman"/>
          <w:lang w:val="pt-BR"/>
        </w:rPr>
        <w:t xml:space="preserve"> A</w:t>
      </w:r>
      <w:r w:rsidR="00C5065B">
        <w:rPr>
          <w:rFonts w:ascii="Times New Roman" w:hAnsi="Times New Roman"/>
          <w:lang w:val="pt-BR"/>
        </w:rPr>
        <w:t xml:space="preserve"> </w:t>
      </w:r>
      <w:r w:rsidR="00A7000D">
        <w:rPr>
          <w:rFonts w:ascii="Times New Roman" w:hAnsi="Times New Roman"/>
          <w:lang w:val="pt-BR"/>
        </w:rPr>
        <w:t xml:space="preserve">1ª reação com a utilização do catalisador apresenta conversão e seletividade de 11,88%, ambos os resultados menores que os obtidos nas reações em branco. No entanto, na tabela 2, é possível verificar que o álcool vanílico foi totalmente convertido na reação com o uso do catalisador, enquanto na reação em branco apenas 34,49% do reagente foi convertido. </w:t>
      </w:r>
      <w:r w:rsidR="000461D9">
        <w:rPr>
          <w:rFonts w:ascii="Times New Roman" w:hAnsi="Times New Roman"/>
          <w:lang w:val="pt-BR"/>
        </w:rPr>
        <w:t xml:space="preserve">Indicando que o álcool vanílico pode ter sido convertido em vanilina, mas, ao permanecer em contato com o peróxido de hidrogênio presente na solução, a vanilina pode ter se oxidado novamente em metóxi-hidroquinona. Esse fenômeno é denominado superoxidação da </w:t>
      </w:r>
      <w:r w:rsidR="000461D9" w:rsidRPr="00CA1956">
        <w:rPr>
          <w:rFonts w:ascii="Times New Roman" w:hAnsi="Times New Roman"/>
          <w:lang w:val="pt-BR"/>
        </w:rPr>
        <w:t xml:space="preserve">vanilina </w:t>
      </w:r>
      <w:r w:rsidR="008A2D9F" w:rsidRPr="00CA1956">
        <w:rPr>
          <w:rFonts w:ascii="Times New Roman" w:hAnsi="Times New Roman"/>
          <w:lang w:val="pt-BR"/>
        </w:rPr>
        <w:t>(</w:t>
      </w:r>
      <w:r w:rsidR="00CA1956" w:rsidRPr="00CA1956">
        <w:rPr>
          <w:rFonts w:ascii="Times New Roman" w:hAnsi="Times New Roman"/>
          <w:lang w:val="pt-BR"/>
        </w:rPr>
        <w:t>7</w:t>
      </w:r>
      <w:r w:rsidR="008A2D9F" w:rsidRPr="00CA1956">
        <w:rPr>
          <w:rFonts w:ascii="Times New Roman" w:hAnsi="Times New Roman"/>
          <w:lang w:val="pt-BR"/>
        </w:rPr>
        <w:t xml:space="preserve">) </w:t>
      </w:r>
      <w:r w:rsidR="000461D9">
        <w:rPr>
          <w:rFonts w:ascii="Times New Roman" w:hAnsi="Times New Roman"/>
          <w:lang w:val="pt-BR"/>
        </w:rPr>
        <w:t>e a concentração desse subproduto identificada na 1ª reação pelo CG-FID, de 31,07%, corrobora a hipótese supracitada.</w:t>
      </w:r>
    </w:p>
    <w:p w14:paraId="0E817168" w14:textId="0F479A33" w:rsidR="00697E3B" w:rsidRPr="00947A22" w:rsidRDefault="00697E3B" w:rsidP="00947A22">
      <w:pPr>
        <w:pStyle w:val="VDTableTitle"/>
        <w:spacing w:after="120"/>
        <w:jc w:val="both"/>
        <w:rPr>
          <w:rFonts w:ascii="Times New Roman" w:hAnsi="Times New Roman"/>
          <w:lang w:val="pt-BR"/>
        </w:rPr>
      </w:pPr>
      <w:r w:rsidRPr="00697E3B">
        <w:rPr>
          <w:rFonts w:ascii="Times New Roman" w:hAnsi="Times New Roman"/>
          <w:b/>
          <w:lang w:val="pt-BR"/>
        </w:rPr>
        <w:t>Tabela 1.</w:t>
      </w:r>
      <w:r w:rsidRPr="00697E3B">
        <w:rPr>
          <w:rFonts w:ascii="Times New Roman" w:hAnsi="Times New Roman"/>
          <w:lang w:val="pt-BR"/>
        </w:rPr>
        <w:t xml:space="preserve"> </w:t>
      </w:r>
      <w:r w:rsidR="00947A22">
        <w:rPr>
          <w:rFonts w:ascii="Times New Roman" w:hAnsi="Times New Roman"/>
          <w:lang w:val="pt-BR"/>
        </w:rPr>
        <w:t>Porcentagem de conversão e seletividade em vanilina de cada reação.</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1"/>
        <w:gridCol w:w="1807"/>
        <w:gridCol w:w="1807"/>
      </w:tblGrid>
      <w:tr w:rsidR="00F52C4B" w:rsidRPr="00B351BB" w14:paraId="740310CB" w14:textId="77777777" w:rsidTr="00947A22">
        <w:trPr>
          <w:trHeight w:val="454"/>
        </w:trPr>
        <w:tc>
          <w:tcPr>
            <w:tcW w:w="1201" w:type="dxa"/>
            <w:tcBorders>
              <w:bottom w:val="single" w:sz="6" w:space="0" w:color="auto"/>
            </w:tcBorders>
            <w:vAlign w:val="center"/>
          </w:tcPr>
          <w:p w14:paraId="24588B64" w14:textId="77777777" w:rsidR="00F52C4B" w:rsidRPr="00B351BB" w:rsidRDefault="00F52C4B" w:rsidP="00107612">
            <w:pPr>
              <w:pStyle w:val="TCTableBody"/>
              <w:spacing w:after="0"/>
              <w:jc w:val="center"/>
              <w:rPr>
                <w:lang w:val="pt-BR"/>
              </w:rPr>
            </w:pPr>
          </w:p>
        </w:tc>
        <w:tc>
          <w:tcPr>
            <w:tcW w:w="1807" w:type="dxa"/>
            <w:tcBorders>
              <w:bottom w:val="single" w:sz="6" w:space="0" w:color="auto"/>
            </w:tcBorders>
            <w:vAlign w:val="center"/>
          </w:tcPr>
          <w:p w14:paraId="2ED9952E" w14:textId="2D94CEE3" w:rsidR="00F52C4B" w:rsidRPr="00B351BB" w:rsidRDefault="00947A22" w:rsidP="00107612">
            <w:pPr>
              <w:pStyle w:val="TCTableBody"/>
              <w:spacing w:after="0"/>
              <w:jc w:val="center"/>
              <w:rPr>
                <w:lang w:val="pt-BR"/>
              </w:rPr>
            </w:pPr>
            <w:r>
              <w:rPr>
                <w:lang w:val="pt-BR"/>
              </w:rPr>
              <w:t>C</w:t>
            </w:r>
            <w:r w:rsidR="00F52C4B">
              <w:rPr>
                <w:lang w:val="pt-BR"/>
              </w:rPr>
              <w:t>onversão</w:t>
            </w:r>
            <w:r>
              <w:rPr>
                <w:lang w:val="pt-BR"/>
              </w:rPr>
              <w:t xml:space="preserve"> (%)</w:t>
            </w:r>
          </w:p>
        </w:tc>
        <w:tc>
          <w:tcPr>
            <w:tcW w:w="1807" w:type="dxa"/>
            <w:tcBorders>
              <w:bottom w:val="single" w:sz="6" w:space="0" w:color="auto"/>
            </w:tcBorders>
            <w:vAlign w:val="center"/>
          </w:tcPr>
          <w:p w14:paraId="6C3CCFF6" w14:textId="04A01662" w:rsidR="00F52C4B" w:rsidRPr="00B351BB" w:rsidRDefault="00947A22" w:rsidP="00107612">
            <w:pPr>
              <w:pStyle w:val="TCTableBody"/>
              <w:spacing w:after="0"/>
              <w:jc w:val="center"/>
              <w:rPr>
                <w:lang w:val="pt-BR"/>
              </w:rPr>
            </w:pPr>
            <w:r>
              <w:rPr>
                <w:lang w:val="pt-BR"/>
              </w:rPr>
              <w:t>S</w:t>
            </w:r>
            <w:r w:rsidR="00F52C4B">
              <w:rPr>
                <w:lang w:val="pt-BR"/>
              </w:rPr>
              <w:t>eletividade</w:t>
            </w:r>
            <w:r>
              <w:rPr>
                <w:lang w:val="pt-BR"/>
              </w:rPr>
              <w:t xml:space="preserve"> (%)</w:t>
            </w:r>
          </w:p>
        </w:tc>
      </w:tr>
      <w:tr w:rsidR="00F52C4B" w:rsidRPr="00B351BB" w14:paraId="435A4BD4" w14:textId="77777777" w:rsidTr="00947A22">
        <w:trPr>
          <w:trHeight w:val="454"/>
        </w:trPr>
        <w:tc>
          <w:tcPr>
            <w:tcW w:w="1201" w:type="dxa"/>
            <w:tcBorders>
              <w:bottom w:val="single" w:sz="6" w:space="0" w:color="auto"/>
            </w:tcBorders>
            <w:vAlign w:val="center"/>
          </w:tcPr>
          <w:p w14:paraId="34A82279" w14:textId="77777777" w:rsidR="00F52C4B" w:rsidRPr="00B351BB" w:rsidRDefault="00F52C4B" w:rsidP="00107612">
            <w:pPr>
              <w:pStyle w:val="TCTableBody"/>
              <w:spacing w:after="0"/>
              <w:jc w:val="center"/>
              <w:rPr>
                <w:lang w:val="pt-BR"/>
              </w:rPr>
            </w:pPr>
            <w:r>
              <w:rPr>
                <w:lang w:val="pt-BR"/>
              </w:rPr>
              <w:t>Branco</w:t>
            </w:r>
          </w:p>
        </w:tc>
        <w:tc>
          <w:tcPr>
            <w:tcW w:w="1807" w:type="dxa"/>
            <w:tcBorders>
              <w:bottom w:val="single" w:sz="6" w:space="0" w:color="auto"/>
            </w:tcBorders>
            <w:vAlign w:val="center"/>
          </w:tcPr>
          <w:p w14:paraId="65F942B6" w14:textId="77777777" w:rsidR="00F52C4B" w:rsidRPr="00B351BB" w:rsidRDefault="00F52C4B" w:rsidP="00107612">
            <w:pPr>
              <w:pStyle w:val="TCTableBody"/>
              <w:spacing w:after="0"/>
              <w:jc w:val="center"/>
              <w:rPr>
                <w:lang w:val="pt-BR"/>
              </w:rPr>
            </w:pPr>
            <w:r>
              <w:rPr>
                <w:lang w:val="pt-BR"/>
              </w:rPr>
              <w:t>17,97</w:t>
            </w:r>
          </w:p>
        </w:tc>
        <w:tc>
          <w:tcPr>
            <w:tcW w:w="1807" w:type="dxa"/>
            <w:tcBorders>
              <w:bottom w:val="single" w:sz="6" w:space="0" w:color="auto"/>
            </w:tcBorders>
            <w:vAlign w:val="center"/>
          </w:tcPr>
          <w:p w14:paraId="2681244C" w14:textId="72123259" w:rsidR="00F52C4B" w:rsidRPr="00B351BB" w:rsidRDefault="00F52C4B" w:rsidP="00107612">
            <w:pPr>
              <w:pStyle w:val="TCTableBody"/>
              <w:spacing w:after="0"/>
              <w:jc w:val="center"/>
              <w:rPr>
                <w:lang w:val="pt-BR"/>
              </w:rPr>
            </w:pPr>
            <w:r>
              <w:rPr>
                <w:lang w:val="pt-BR"/>
              </w:rPr>
              <w:t>52,10</w:t>
            </w:r>
          </w:p>
        </w:tc>
      </w:tr>
      <w:tr w:rsidR="00F52C4B" w:rsidRPr="00B351BB" w14:paraId="418B0A45" w14:textId="77777777" w:rsidTr="00947A22">
        <w:trPr>
          <w:trHeight w:val="454"/>
        </w:trPr>
        <w:tc>
          <w:tcPr>
            <w:tcW w:w="1201" w:type="dxa"/>
            <w:tcBorders>
              <w:bottom w:val="single" w:sz="6" w:space="0" w:color="auto"/>
            </w:tcBorders>
            <w:vAlign w:val="center"/>
          </w:tcPr>
          <w:p w14:paraId="7A1BE425" w14:textId="77777777" w:rsidR="00F52C4B" w:rsidRPr="00B351BB" w:rsidRDefault="00F52C4B" w:rsidP="00107612">
            <w:pPr>
              <w:pStyle w:val="TCTableBody"/>
              <w:spacing w:after="0"/>
              <w:jc w:val="center"/>
              <w:rPr>
                <w:lang w:val="pt-BR"/>
              </w:rPr>
            </w:pPr>
            <w:r>
              <w:rPr>
                <w:lang w:val="pt-BR"/>
              </w:rPr>
              <w:t>1ª reação</w:t>
            </w:r>
          </w:p>
        </w:tc>
        <w:tc>
          <w:tcPr>
            <w:tcW w:w="1807" w:type="dxa"/>
            <w:tcBorders>
              <w:bottom w:val="single" w:sz="6" w:space="0" w:color="auto"/>
            </w:tcBorders>
            <w:vAlign w:val="center"/>
          </w:tcPr>
          <w:p w14:paraId="45002BCA" w14:textId="77777777" w:rsidR="00F52C4B" w:rsidRPr="00B351BB" w:rsidRDefault="00F52C4B" w:rsidP="00107612">
            <w:pPr>
              <w:pStyle w:val="TCTableBody"/>
              <w:spacing w:after="0"/>
              <w:jc w:val="center"/>
              <w:rPr>
                <w:lang w:val="pt-BR"/>
              </w:rPr>
            </w:pPr>
            <w:r>
              <w:rPr>
                <w:lang w:val="pt-BR"/>
              </w:rPr>
              <w:t>11,88</w:t>
            </w:r>
          </w:p>
        </w:tc>
        <w:tc>
          <w:tcPr>
            <w:tcW w:w="1807" w:type="dxa"/>
            <w:tcBorders>
              <w:bottom w:val="single" w:sz="6" w:space="0" w:color="auto"/>
            </w:tcBorders>
            <w:vAlign w:val="center"/>
          </w:tcPr>
          <w:p w14:paraId="329CB9A7" w14:textId="232E84DF" w:rsidR="00F52C4B" w:rsidRPr="00B351BB" w:rsidRDefault="00F52C4B" w:rsidP="00107612">
            <w:pPr>
              <w:pStyle w:val="TCTableBody"/>
              <w:spacing w:after="0"/>
              <w:jc w:val="center"/>
              <w:rPr>
                <w:lang w:val="pt-BR"/>
              </w:rPr>
            </w:pPr>
            <w:r>
              <w:rPr>
                <w:lang w:val="pt-BR"/>
              </w:rPr>
              <w:t>11,88</w:t>
            </w:r>
          </w:p>
        </w:tc>
      </w:tr>
      <w:tr w:rsidR="00F52C4B" w:rsidRPr="00B351BB" w14:paraId="6360E221" w14:textId="77777777" w:rsidTr="00947A22">
        <w:trPr>
          <w:trHeight w:val="454"/>
        </w:trPr>
        <w:tc>
          <w:tcPr>
            <w:tcW w:w="1201" w:type="dxa"/>
            <w:tcBorders>
              <w:bottom w:val="single" w:sz="6" w:space="0" w:color="auto"/>
            </w:tcBorders>
            <w:vAlign w:val="center"/>
          </w:tcPr>
          <w:p w14:paraId="0E15C14D" w14:textId="77777777" w:rsidR="00F52C4B" w:rsidRPr="00B351BB" w:rsidRDefault="00F52C4B" w:rsidP="00107612">
            <w:pPr>
              <w:pStyle w:val="TCTableBody"/>
              <w:spacing w:after="0"/>
              <w:jc w:val="center"/>
              <w:rPr>
                <w:lang w:val="pt-BR"/>
              </w:rPr>
            </w:pPr>
            <w:r>
              <w:rPr>
                <w:lang w:val="pt-BR"/>
              </w:rPr>
              <w:t>Reuso 1</w:t>
            </w:r>
          </w:p>
        </w:tc>
        <w:tc>
          <w:tcPr>
            <w:tcW w:w="1807" w:type="dxa"/>
            <w:tcBorders>
              <w:bottom w:val="single" w:sz="6" w:space="0" w:color="auto"/>
            </w:tcBorders>
            <w:vAlign w:val="center"/>
          </w:tcPr>
          <w:p w14:paraId="2A2138BA" w14:textId="77777777" w:rsidR="00F52C4B" w:rsidRPr="00B351BB" w:rsidRDefault="00F52C4B" w:rsidP="00107612">
            <w:pPr>
              <w:pStyle w:val="TCTableBody"/>
              <w:spacing w:after="0"/>
              <w:jc w:val="center"/>
              <w:rPr>
                <w:lang w:val="pt-BR"/>
              </w:rPr>
            </w:pPr>
            <w:r>
              <w:rPr>
                <w:lang w:val="pt-BR"/>
              </w:rPr>
              <w:t>16,65</w:t>
            </w:r>
          </w:p>
        </w:tc>
        <w:tc>
          <w:tcPr>
            <w:tcW w:w="1807" w:type="dxa"/>
            <w:tcBorders>
              <w:bottom w:val="single" w:sz="6" w:space="0" w:color="auto"/>
            </w:tcBorders>
            <w:vAlign w:val="center"/>
          </w:tcPr>
          <w:p w14:paraId="5789FAA1" w14:textId="550CCFE4" w:rsidR="00F52C4B" w:rsidRPr="00B351BB" w:rsidRDefault="00F52C4B" w:rsidP="00107612">
            <w:pPr>
              <w:pStyle w:val="TCTableBody"/>
              <w:spacing w:after="0"/>
              <w:jc w:val="center"/>
              <w:rPr>
                <w:lang w:val="pt-BR"/>
              </w:rPr>
            </w:pPr>
            <w:r>
              <w:rPr>
                <w:lang w:val="pt-BR"/>
              </w:rPr>
              <w:t>16,65</w:t>
            </w:r>
          </w:p>
        </w:tc>
      </w:tr>
      <w:tr w:rsidR="00F52C4B" w:rsidRPr="00B351BB" w14:paraId="755CDCB1" w14:textId="77777777" w:rsidTr="00947A22">
        <w:trPr>
          <w:trHeight w:val="454"/>
        </w:trPr>
        <w:tc>
          <w:tcPr>
            <w:tcW w:w="1201" w:type="dxa"/>
            <w:tcBorders>
              <w:bottom w:val="single" w:sz="6" w:space="0" w:color="auto"/>
            </w:tcBorders>
            <w:vAlign w:val="center"/>
          </w:tcPr>
          <w:p w14:paraId="16CFFE8E" w14:textId="77777777" w:rsidR="00F52C4B" w:rsidRPr="00B351BB" w:rsidRDefault="00F52C4B" w:rsidP="00107612">
            <w:pPr>
              <w:pStyle w:val="TCTableBody"/>
              <w:spacing w:after="0"/>
              <w:jc w:val="center"/>
              <w:rPr>
                <w:lang w:val="pt-BR"/>
              </w:rPr>
            </w:pPr>
            <w:r>
              <w:rPr>
                <w:lang w:val="pt-BR"/>
              </w:rPr>
              <w:t>Reuso 2</w:t>
            </w:r>
          </w:p>
        </w:tc>
        <w:tc>
          <w:tcPr>
            <w:tcW w:w="1807" w:type="dxa"/>
            <w:tcBorders>
              <w:bottom w:val="single" w:sz="6" w:space="0" w:color="auto"/>
            </w:tcBorders>
            <w:vAlign w:val="center"/>
          </w:tcPr>
          <w:p w14:paraId="7FAE043E" w14:textId="77777777" w:rsidR="00F52C4B" w:rsidRPr="00B351BB" w:rsidRDefault="00F52C4B" w:rsidP="00107612">
            <w:pPr>
              <w:pStyle w:val="TCTableBody"/>
              <w:spacing w:after="0"/>
              <w:jc w:val="center"/>
              <w:rPr>
                <w:lang w:val="pt-BR"/>
              </w:rPr>
            </w:pPr>
            <w:r>
              <w:rPr>
                <w:lang w:val="pt-BR"/>
              </w:rPr>
              <w:t>46,77</w:t>
            </w:r>
          </w:p>
        </w:tc>
        <w:tc>
          <w:tcPr>
            <w:tcW w:w="1807" w:type="dxa"/>
            <w:tcBorders>
              <w:bottom w:val="single" w:sz="6" w:space="0" w:color="auto"/>
            </w:tcBorders>
            <w:vAlign w:val="center"/>
          </w:tcPr>
          <w:p w14:paraId="51E5BBA7" w14:textId="17DD3A0B" w:rsidR="00F52C4B" w:rsidRPr="00B351BB" w:rsidRDefault="00F52C4B" w:rsidP="00107612">
            <w:pPr>
              <w:pStyle w:val="TCTableBody"/>
              <w:spacing w:after="0"/>
              <w:jc w:val="center"/>
              <w:rPr>
                <w:lang w:val="pt-BR"/>
              </w:rPr>
            </w:pPr>
            <w:r>
              <w:rPr>
                <w:lang w:val="pt-BR"/>
              </w:rPr>
              <w:t>49,29</w:t>
            </w:r>
          </w:p>
        </w:tc>
      </w:tr>
      <w:tr w:rsidR="00F52C4B" w:rsidRPr="00B351BB" w14:paraId="05EE284D" w14:textId="77777777" w:rsidTr="00947A22">
        <w:trPr>
          <w:trHeight w:val="454"/>
        </w:trPr>
        <w:tc>
          <w:tcPr>
            <w:tcW w:w="1201" w:type="dxa"/>
            <w:tcBorders>
              <w:bottom w:val="single" w:sz="6" w:space="0" w:color="auto"/>
            </w:tcBorders>
            <w:vAlign w:val="center"/>
          </w:tcPr>
          <w:p w14:paraId="068B6924" w14:textId="77777777" w:rsidR="00F52C4B" w:rsidRPr="00B351BB" w:rsidRDefault="00F52C4B" w:rsidP="00107612">
            <w:pPr>
              <w:pStyle w:val="TCTableBody"/>
              <w:spacing w:after="0"/>
              <w:jc w:val="center"/>
              <w:rPr>
                <w:lang w:val="pt-BR"/>
              </w:rPr>
            </w:pPr>
            <w:r>
              <w:rPr>
                <w:lang w:val="pt-BR"/>
              </w:rPr>
              <w:t>Reuso 3</w:t>
            </w:r>
          </w:p>
        </w:tc>
        <w:tc>
          <w:tcPr>
            <w:tcW w:w="1807" w:type="dxa"/>
            <w:tcBorders>
              <w:bottom w:val="single" w:sz="6" w:space="0" w:color="auto"/>
            </w:tcBorders>
            <w:vAlign w:val="center"/>
          </w:tcPr>
          <w:p w14:paraId="07BDBC92" w14:textId="77777777" w:rsidR="00F52C4B" w:rsidRPr="00B351BB" w:rsidRDefault="00F52C4B" w:rsidP="00107612">
            <w:pPr>
              <w:pStyle w:val="TCTableBody"/>
              <w:spacing w:after="0"/>
              <w:jc w:val="center"/>
              <w:rPr>
                <w:lang w:val="pt-BR"/>
              </w:rPr>
            </w:pPr>
            <w:r>
              <w:rPr>
                <w:lang w:val="pt-BR"/>
              </w:rPr>
              <w:t>31,09</w:t>
            </w:r>
          </w:p>
        </w:tc>
        <w:tc>
          <w:tcPr>
            <w:tcW w:w="1807" w:type="dxa"/>
            <w:tcBorders>
              <w:bottom w:val="single" w:sz="6" w:space="0" w:color="auto"/>
            </w:tcBorders>
            <w:vAlign w:val="center"/>
          </w:tcPr>
          <w:p w14:paraId="14F7EA8F" w14:textId="3E1AF6FB" w:rsidR="00F52C4B" w:rsidRPr="00B351BB" w:rsidRDefault="00123C64" w:rsidP="00107612">
            <w:pPr>
              <w:pStyle w:val="TCTableBody"/>
              <w:spacing w:after="0"/>
              <w:jc w:val="center"/>
              <w:rPr>
                <w:lang w:val="pt-BR"/>
              </w:rPr>
            </w:pPr>
            <w:r>
              <w:rPr>
                <w:lang w:val="pt-BR"/>
              </w:rPr>
              <w:t>38,88</w:t>
            </w:r>
          </w:p>
        </w:tc>
      </w:tr>
    </w:tbl>
    <w:p w14:paraId="49AE8C02" w14:textId="77A566ED" w:rsidR="00EA4E1B" w:rsidRPr="007443FF" w:rsidRDefault="007443FF" w:rsidP="007443FF">
      <w:pPr>
        <w:pStyle w:val="TAMainText"/>
        <w:spacing w:before="240" w:after="240"/>
        <w:ind w:firstLine="187"/>
        <w:rPr>
          <w:rFonts w:ascii="Times New Roman" w:hAnsi="Times New Roman"/>
          <w:lang w:val="pt-BR"/>
        </w:rPr>
      </w:pPr>
      <w:r>
        <w:rPr>
          <w:rFonts w:ascii="Times New Roman" w:hAnsi="Times New Roman"/>
          <w:lang w:val="pt-BR"/>
        </w:rPr>
        <w:t xml:space="preserve">Outro fator indicativo da superoxidação da vanilina é observado ao verificar que a conversão em vanilina, tabela 1, é crescente após a primeira e segunda reação de reuso. </w:t>
      </w:r>
      <w:r>
        <w:rPr>
          <w:rFonts w:ascii="Times New Roman" w:hAnsi="Times New Roman"/>
          <w:lang w:val="pt-BR"/>
        </w:rPr>
        <w:t xml:space="preserve">Sugerindo que com a perda de eficiência do catalisador - observada na tabela 2 com o decaimento na conversão do reagente inicial após as reações – o álcool vanílico foi convertido em vanilina em um tempo mais demorado, fazendo com que a vanilina convertida ficasse em contato com o peróxido de hidrogênio por um tempo menor, diminuindo a superoxidação. </w:t>
      </w:r>
    </w:p>
    <w:p w14:paraId="483DF959" w14:textId="74754932" w:rsidR="00EA4E1B" w:rsidRPr="00107612" w:rsidRDefault="00EA4E1B" w:rsidP="00107612">
      <w:pPr>
        <w:pStyle w:val="VDTableTitle"/>
        <w:spacing w:after="120"/>
        <w:jc w:val="both"/>
        <w:rPr>
          <w:rFonts w:ascii="Times New Roman" w:hAnsi="Times New Roman"/>
          <w:lang w:val="pt-BR"/>
        </w:rPr>
      </w:pPr>
      <w:r w:rsidRPr="00107612">
        <w:rPr>
          <w:rFonts w:ascii="Times New Roman" w:hAnsi="Times New Roman"/>
          <w:b/>
          <w:lang w:val="pt-BR"/>
        </w:rPr>
        <w:t xml:space="preserve">Tabela </w:t>
      </w:r>
      <w:r w:rsidR="00107612" w:rsidRPr="00107612">
        <w:rPr>
          <w:rFonts w:ascii="Times New Roman" w:hAnsi="Times New Roman"/>
          <w:b/>
          <w:lang w:val="pt-BR"/>
        </w:rPr>
        <w:t>2</w:t>
      </w:r>
      <w:r w:rsidRPr="00107612">
        <w:rPr>
          <w:rFonts w:ascii="Times New Roman" w:hAnsi="Times New Roman"/>
          <w:b/>
          <w:lang w:val="pt-BR"/>
        </w:rPr>
        <w:t>.</w:t>
      </w:r>
      <w:r w:rsidRPr="00107612">
        <w:rPr>
          <w:rFonts w:ascii="Times New Roman" w:hAnsi="Times New Roman"/>
          <w:lang w:val="pt-BR"/>
        </w:rPr>
        <w:t xml:space="preserve"> </w:t>
      </w:r>
      <w:r w:rsidR="00107612" w:rsidRPr="00107612">
        <w:rPr>
          <w:rFonts w:ascii="Times New Roman" w:hAnsi="Times New Roman"/>
          <w:lang w:val="pt-BR"/>
        </w:rPr>
        <w:t>Porcentagem</w:t>
      </w:r>
      <w:r w:rsidR="00C5065B">
        <w:rPr>
          <w:rFonts w:ascii="Times New Roman" w:hAnsi="Times New Roman"/>
          <w:lang w:val="pt-BR"/>
        </w:rPr>
        <w:t xml:space="preserve"> de</w:t>
      </w:r>
      <w:r w:rsidR="00107612" w:rsidRPr="00107612">
        <w:rPr>
          <w:rFonts w:ascii="Times New Roman" w:hAnsi="Times New Roman"/>
          <w:lang w:val="pt-BR"/>
        </w:rPr>
        <w:t xml:space="preserve"> álcool vanílico </w:t>
      </w:r>
      <w:r w:rsidR="00C5065B">
        <w:rPr>
          <w:rFonts w:ascii="Times New Roman" w:hAnsi="Times New Roman"/>
          <w:lang w:val="pt-BR"/>
        </w:rPr>
        <w:t xml:space="preserve">(reagente inicial) </w:t>
      </w:r>
      <w:r w:rsidR="00107612" w:rsidRPr="00107612">
        <w:rPr>
          <w:rFonts w:ascii="Times New Roman" w:hAnsi="Times New Roman"/>
          <w:lang w:val="pt-BR"/>
        </w:rPr>
        <w:t>que foi convertida durante os testes catalíticos</w:t>
      </w:r>
      <w:r w:rsidR="00831CDC">
        <w:rPr>
          <w:rFonts w:ascii="Times New Roman" w:hAnsi="Times New Roman"/>
          <w:lang w:val="pt-BR"/>
        </w:rPr>
        <w:t>.</w:t>
      </w:r>
    </w:p>
    <w:tbl>
      <w:tblPr>
        <w:tblW w:w="48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28"/>
        <w:gridCol w:w="793"/>
        <w:gridCol w:w="794"/>
        <w:gridCol w:w="700"/>
        <w:gridCol w:w="700"/>
        <w:gridCol w:w="700"/>
      </w:tblGrid>
      <w:tr w:rsidR="00107612" w:rsidRPr="00107612" w14:paraId="0F12ABC1" w14:textId="01414D23" w:rsidTr="00107612">
        <w:tc>
          <w:tcPr>
            <w:tcW w:w="1128" w:type="dxa"/>
            <w:vAlign w:val="center"/>
          </w:tcPr>
          <w:p w14:paraId="0C93B642" w14:textId="77777777" w:rsidR="00424397" w:rsidRPr="00107612" w:rsidRDefault="00424397" w:rsidP="00107612">
            <w:pPr>
              <w:pStyle w:val="TCTableBody"/>
              <w:spacing w:after="0"/>
              <w:jc w:val="center"/>
              <w:rPr>
                <w:lang w:val="pt-BR"/>
              </w:rPr>
            </w:pPr>
          </w:p>
        </w:tc>
        <w:tc>
          <w:tcPr>
            <w:tcW w:w="793" w:type="dxa"/>
            <w:vAlign w:val="center"/>
          </w:tcPr>
          <w:p w14:paraId="19C3BD2C" w14:textId="043B1296" w:rsidR="00424397" w:rsidRPr="00107612" w:rsidRDefault="00107612" w:rsidP="00107612">
            <w:pPr>
              <w:pStyle w:val="TCTableBody"/>
              <w:spacing w:after="0"/>
              <w:jc w:val="center"/>
              <w:rPr>
                <w:lang w:val="pt-BR"/>
              </w:rPr>
            </w:pPr>
            <w:r w:rsidRPr="00107612">
              <w:rPr>
                <w:lang w:val="pt-BR"/>
              </w:rPr>
              <w:t>Branco</w:t>
            </w:r>
          </w:p>
        </w:tc>
        <w:tc>
          <w:tcPr>
            <w:tcW w:w="794" w:type="dxa"/>
            <w:vAlign w:val="center"/>
          </w:tcPr>
          <w:p w14:paraId="053D077F" w14:textId="2B2FEF14" w:rsidR="00107612" w:rsidRPr="00107612" w:rsidRDefault="00107612" w:rsidP="00107612">
            <w:pPr>
              <w:pStyle w:val="TCTableBody"/>
              <w:spacing w:after="0"/>
              <w:jc w:val="center"/>
              <w:rPr>
                <w:lang w:val="pt-BR"/>
              </w:rPr>
            </w:pPr>
            <w:r w:rsidRPr="00107612">
              <w:rPr>
                <w:lang w:val="pt-BR"/>
              </w:rPr>
              <w:t>1ª Reação</w:t>
            </w:r>
          </w:p>
        </w:tc>
        <w:tc>
          <w:tcPr>
            <w:tcW w:w="700" w:type="dxa"/>
            <w:vAlign w:val="center"/>
          </w:tcPr>
          <w:p w14:paraId="115543B2" w14:textId="3251B925" w:rsidR="00424397" w:rsidRPr="00107612" w:rsidRDefault="00107612" w:rsidP="00107612">
            <w:pPr>
              <w:pStyle w:val="TCTableBody"/>
              <w:spacing w:after="0"/>
              <w:jc w:val="center"/>
              <w:rPr>
                <w:lang w:val="pt-BR"/>
              </w:rPr>
            </w:pPr>
            <w:r w:rsidRPr="00107612">
              <w:rPr>
                <w:lang w:val="pt-BR"/>
              </w:rPr>
              <w:t>Reuso 1</w:t>
            </w:r>
          </w:p>
        </w:tc>
        <w:tc>
          <w:tcPr>
            <w:tcW w:w="700" w:type="dxa"/>
            <w:vAlign w:val="center"/>
          </w:tcPr>
          <w:p w14:paraId="4138FA40" w14:textId="09B4D419" w:rsidR="00424397" w:rsidRPr="00107612" w:rsidRDefault="00107612" w:rsidP="00107612">
            <w:pPr>
              <w:pStyle w:val="TCTableBody"/>
              <w:spacing w:after="0"/>
              <w:jc w:val="center"/>
              <w:rPr>
                <w:lang w:val="pt-BR"/>
              </w:rPr>
            </w:pPr>
            <w:r w:rsidRPr="00107612">
              <w:rPr>
                <w:lang w:val="pt-BR"/>
              </w:rPr>
              <w:t>Reuso 2</w:t>
            </w:r>
          </w:p>
        </w:tc>
        <w:tc>
          <w:tcPr>
            <w:tcW w:w="700" w:type="dxa"/>
            <w:vAlign w:val="center"/>
          </w:tcPr>
          <w:p w14:paraId="41E54E7B" w14:textId="4054F98F" w:rsidR="00424397" w:rsidRPr="00107612" w:rsidRDefault="00107612" w:rsidP="00107612">
            <w:pPr>
              <w:pStyle w:val="TCTableBody"/>
              <w:spacing w:after="0"/>
              <w:jc w:val="center"/>
              <w:rPr>
                <w:lang w:val="pt-BR"/>
              </w:rPr>
            </w:pPr>
            <w:r w:rsidRPr="00107612">
              <w:rPr>
                <w:lang w:val="pt-BR"/>
              </w:rPr>
              <w:t>Reuso 3</w:t>
            </w:r>
          </w:p>
        </w:tc>
      </w:tr>
      <w:tr w:rsidR="00107612" w:rsidRPr="00107612" w14:paraId="31EE37A1" w14:textId="150092D6" w:rsidTr="00831CDC">
        <w:trPr>
          <w:trHeight w:val="764"/>
        </w:trPr>
        <w:tc>
          <w:tcPr>
            <w:tcW w:w="1128" w:type="dxa"/>
            <w:tcBorders>
              <w:bottom w:val="single" w:sz="6" w:space="0" w:color="auto"/>
            </w:tcBorders>
            <w:vAlign w:val="center"/>
          </w:tcPr>
          <w:p w14:paraId="1E4A7C7D" w14:textId="31D12310" w:rsidR="00107612" w:rsidRPr="00107612" w:rsidRDefault="00107612" w:rsidP="00107612">
            <w:pPr>
              <w:pStyle w:val="TCTableBody"/>
              <w:spacing w:after="0"/>
              <w:jc w:val="center"/>
              <w:rPr>
                <w:lang w:val="pt-BR"/>
              </w:rPr>
            </w:pPr>
            <w:r w:rsidRPr="00107612">
              <w:rPr>
                <w:lang w:val="pt-BR"/>
              </w:rPr>
              <w:t>Álcool Vanílico</w:t>
            </w:r>
            <w:r w:rsidR="00C5065B">
              <w:rPr>
                <w:lang w:val="pt-BR"/>
              </w:rPr>
              <w:t xml:space="preserve"> convertido</w:t>
            </w:r>
          </w:p>
          <w:p w14:paraId="14B8993C" w14:textId="618D086D" w:rsidR="00107612" w:rsidRPr="00107612" w:rsidRDefault="00107612" w:rsidP="00107612">
            <w:pPr>
              <w:pStyle w:val="TCTableBody"/>
              <w:spacing w:after="0"/>
              <w:jc w:val="center"/>
              <w:rPr>
                <w:lang w:val="pt-BR"/>
              </w:rPr>
            </w:pPr>
            <w:r w:rsidRPr="00107612">
              <w:rPr>
                <w:lang w:val="pt-BR"/>
              </w:rPr>
              <w:t>(%)</w:t>
            </w:r>
          </w:p>
          <w:p w14:paraId="5A53C568" w14:textId="69160817" w:rsidR="00107612" w:rsidRPr="00107612" w:rsidRDefault="00107612" w:rsidP="00107612">
            <w:pPr>
              <w:pStyle w:val="TCTableBody"/>
              <w:spacing w:after="0"/>
              <w:jc w:val="center"/>
              <w:rPr>
                <w:lang w:val="pt-BR"/>
              </w:rPr>
            </w:pPr>
          </w:p>
        </w:tc>
        <w:tc>
          <w:tcPr>
            <w:tcW w:w="793" w:type="dxa"/>
            <w:tcBorders>
              <w:bottom w:val="single" w:sz="6" w:space="0" w:color="auto"/>
            </w:tcBorders>
            <w:vAlign w:val="center"/>
          </w:tcPr>
          <w:p w14:paraId="5AC90CC2" w14:textId="5199B6BF" w:rsidR="00424397" w:rsidRPr="00107612" w:rsidRDefault="00831CDC" w:rsidP="00107612">
            <w:pPr>
              <w:pStyle w:val="TCTableBody"/>
              <w:spacing w:after="0"/>
              <w:jc w:val="center"/>
              <w:rPr>
                <w:lang w:val="pt-BR"/>
              </w:rPr>
            </w:pPr>
            <w:r>
              <w:rPr>
                <w:lang w:val="pt-BR"/>
              </w:rPr>
              <w:t>34,49</w:t>
            </w:r>
          </w:p>
        </w:tc>
        <w:tc>
          <w:tcPr>
            <w:tcW w:w="794" w:type="dxa"/>
            <w:tcBorders>
              <w:bottom w:val="single" w:sz="6" w:space="0" w:color="auto"/>
            </w:tcBorders>
            <w:vAlign w:val="center"/>
          </w:tcPr>
          <w:p w14:paraId="6DFB507B" w14:textId="4A9137AB" w:rsidR="00424397" w:rsidRPr="00107612" w:rsidRDefault="00831CDC" w:rsidP="00107612">
            <w:pPr>
              <w:pStyle w:val="TCTableBody"/>
              <w:spacing w:after="0"/>
              <w:jc w:val="center"/>
              <w:rPr>
                <w:lang w:val="pt-BR"/>
              </w:rPr>
            </w:pPr>
            <w:r>
              <w:rPr>
                <w:lang w:val="pt-BR"/>
              </w:rPr>
              <w:t>100</w:t>
            </w:r>
            <w:r w:rsidR="00A7000D">
              <w:rPr>
                <w:lang w:val="pt-BR"/>
              </w:rPr>
              <w:t>,00</w:t>
            </w:r>
          </w:p>
        </w:tc>
        <w:tc>
          <w:tcPr>
            <w:tcW w:w="700" w:type="dxa"/>
            <w:tcBorders>
              <w:bottom w:val="single" w:sz="6" w:space="0" w:color="auto"/>
            </w:tcBorders>
            <w:vAlign w:val="center"/>
          </w:tcPr>
          <w:p w14:paraId="5D4B6F00" w14:textId="47C5F90D" w:rsidR="00424397" w:rsidRPr="00107612" w:rsidRDefault="00831CDC" w:rsidP="00107612">
            <w:pPr>
              <w:pStyle w:val="TCTableBody"/>
              <w:spacing w:after="0"/>
              <w:jc w:val="center"/>
              <w:rPr>
                <w:lang w:val="pt-BR"/>
              </w:rPr>
            </w:pPr>
            <w:r>
              <w:rPr>
                <w:lang w:val="pt-BR"/>
              </w:rPr>
              <w:t>100</w:t>
            </w:r>
            <w:r w:rsidR="00A7000D">
              <w:rPr>
                <w:lang w:val="pt-BR"/>
              </w:rPr>
              <w:t>,00</w:t>
            </w:r>
          </w:p>
        </w:tc>
        <w:tc>
          <w:tcPr>
            <w:tcW w:w="700" w:type="dxa"/>
            <w:tcBorders>
              <w:bottom w:val="single" w:sz="6" w:space="0" w:color="auto"/>
            </w:tcBorders>
            <w:vAlign w:val="center"/>
          </w:tcPr>
          <w:p w14:paraId="520DE087" w14:textId="3F0D8783" w:rsidR="00424397" w:rsidRPr="00107612" w:rsidRDefault="00831CDC" w:rsidP="00107612">
            <w:pPr>
              <w:pStyle w:val="TCTableBody"/>
              <w:spacing w:after="0"/>
              <w:jc w:val="center"/>
              <w:rPr>
                <w:lang w:val="pt-BR"/>
              </w:rPr>
            </w:pPr>
            <w:r>
              <w:rPr>
                <w:lang w:val="pt-BR"/>
              </w:rPr>
              <w:t>94,89</w:t>
            </w:r>
          </w:p>
        </w:tc>
        <w:tc>
          <w:tcPr>
            <w:tcW w:w="700" w:type="dxa"/>
            <w:tcBorders>
              <w:bottom w:val="single" w:sz="6" w:space="0" w:color="auto"/>
            </w:tcBorders>
            <w:vAlign w:val="center"/>
          </w:tcPr>
          <w:p w14:paraId="796B6B23" w14:textId="67319BA8" w:rsidR="00424397" w:rsidRPr="00107612" w:rsidRDefault="00831CDC" w:rsidP="00107612">
            <w:pPr>
              <w:pStyle w:val="TCTableBody"/>
              <w:spacing w:after="0"/>
              <w:jc w:val="center"/>
              <w:rPr>
                <w:lang w:val="pt-BR"/>
              </w:rPr>
            </w:pPr>
            <w:r>
              <w:rPr>
                <w:lang w:val="pt-BR"/>
              </w:rPr>
              <w:t>79,96</w:t>
            </w:r>
          </w:p>
        </w:tc>
      </w:tr>
    </w:tbl>
    <w:p w14:paraId="20AA905D" w14:textId="09EB3D13"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6BF6C03" w14:textId="68A34DA8" w:rsidR="00BC6473" w:rsidRDefault="007443FF" w:rsidP="00EA4E1B">
      <w:pPr>
        <w:pStyle w:val="TAMainText"/>
        <w:ind w:firstLine="187"/>
        <w:rPr>
          <w:rFonts w:ascii="Times New Roman" w:hAnsi="Times New Roman"/>
          <w:lang w:val="pt-BR"/>
        </w:rPr>
      </w:pPr>
      <w:r>
        <w:rPr>
          <w:rFonts w:ascii="Times New Roman" w:hAnsi="Times New Roman"/>
          <w:lang w:val="pt-BR"/>
        </w:rPr>
        <w:t>O catalisador testado mostrou uma ótima atividade catalítica, convertendo 100% do reagente inicial nos dois primeiros ciclos de reações, bem</w:t>
      </w:r>
      <w:r w:rsidR="00BC6473">
        <w:rPr>
          <w:rFonts w:ascii="Times New Roman" w:hAnsi="Times New Roman"/>
          <w:lang w:val="pt-BR"/>
        </w:rPr>
        <w:t xml:space="preserve"> como característica heterogênea.</w:t>
      </w:r>
      <w:r w:rsidR="00CA1956">
        <w:rPr>
          <w:rFonts w:ascii="Times New Roman" w:hAnsi="Times New Roman"/>
          <w:lang w:val="pt-BR"/>
        </w:rPr>
        <w:t xml:space="preserve"> Dessa forma, este catalisador apresenta um grande potencial para utilização em reações catalíticas ácidas.</w:t>
      </w:r>
    </w:p>
    <w:p w14:paraId="3A6C1FD0" w14:textId="37BD7C61" w:rsidR="00CA1956" w:rsidRPr="007443FF" w:rsidRDefault="00BC6473" w:rsidP="00EA4E1B">
      <w:pPr>
        <w:pStyle w:val="TAMainText"/>
        <w:ind w:firstLine="187"/>
        <w:rPr>
          <w:rFonts w:ascii="Times New Roman" w:hAnsi="Times New Roman"/>
          <w:lang w:val="pt-BR"/>
        </w:rPr>
      </w:pPr>
      <w:r>
        <w:rPr>
          <w:rFonts w:ascii="Times New Roman" w:hAnsi="Times New Roman"/>
          <w:lang w:val="pt-BR"/>
        </w:rPr>
        <w:t xml:space="preserve">Caracterizações adicionais do catalisador e mais testes reduzindo o tempo reacional devem ser realizados para obter maiores resultados de conversão </w:t>
      </w:r>
      <w:r w:rsidR="00CA1956">
        <w:rPr>
          <w:rFonts w:ascii="Times New Roman" w:hAnsi="Times New Roman"/>
          <w:lang w:val="pt-BR"/>
        </w:rPr>
        <w:t xml:space="preserve">e seletividade </w:t>
      </w:r>
      <w:r>
        <w:rPr>
          <w:rFonts w:ascii="Times New Roman" w:hAnsi="Times New Roman"/>
          <w:lang w:val="pt-BR"/>
        </w:rPr>
        <w:t>em vanilina.</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6EF5D973" w14:textId="77777777" w:rsidR="00BC6473" w:rsidRPr="001F25B2" w:rsidRDefault="00BC6473" w:rsidP="00BC6473">
      <w:pPr>
        <w:pStyle w:val="TAMainText"/>
        <w:rPr>
          <w:rFonts w:ascii="Times New Roman" w:hAnsi="Times New Roman"/>
          <w:lang w:val="pt-BR"/>
        </w:rPr>
      </w:pPr>
      <w:r>
        <w:rPr>
          <w:rFonts w:ascii="Times New Roman" w:hAnsi="Times New Roman"/>
          <w:lang w:val="pt-BR"/>
        </w:rPr>
        <w:t xml:space="preserve">À CAPES, FAPESPA, BASA, LAPAC, PPGBIOTEC e à Universidade Federal do Pará. </w:t>
      </w:r>
    </w:p>
    <w:p w14:paraId="158D911D" w14:textId="39D0E5CB" w:rsidR="00EA4E1B" w:rsidRPr="008E208F" w:rsidRDefault="00EA4E1B" w:rsidP="008E208F">
      <w:pPr>
        <w:pStyle w:val="Ttulo2"/>
        <w:rPr>
          <w:rFonts w:ascii="Helvetica" w:hAnsi="Helvetica" w:cs="Helvetica"/>
          <w:sz w:val="24"/>
          <w:szCs w:val="24"/>
        </w:rPr>
      </w:pPr>
      <w:r w:rsidRPr="001F25B2">
        <w:rPr>
          <w:rFonts w:ascii="Helvetica" w:hAnsi="Helvetica" w:cs="Helvetica"/>
          <w:sz w:val="24"/>
          <w:szCs w:val="24"/>
        </w:rPr>
        <w:t>Referências</w:t>
      </w:r>
    </w:p>
    <w:p w14:paraId="7F0ECF0A" w14:textId="2A61D0FB" w:rsidR="007606D3" w:rsidRPr="00CA1956" w:rsidRDefault="007606D3" w:rsidP="007606D3">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sidRPr="00CA1956">
        <w:rPr>
          <w:rFonts w:ascii="Times New Roman" w:eastAsia="Times New Roman" w:hAnsi="Times New Roman" w:cs="Times New Roman"/>
          <w:sz w:val="20"/>
          <w:szCs w:val="20"/>
          <w:lang w:eastAsia="pt-BR"/>
        </w:rPr>
        <w:t xml:space="preserve">V.S. Bezerra; L.F. Damasceno. Espécies Oleaginosas Nativas da Região Norte - Astrocaryum murumuru. Em: Espécies Nativas da Flora Brasileira de Valor Econômico Atual ou Potencial – Plantas para o Futuro – Região Norte. L. Coradin; Ed. Brasília, DF: MMA, </w:t>
      </w:r>
      <w:r w:rsidRPr="00CA1956">
        <w:rPr>
          <w:rFonts w:ascii="Times New Roman" w:eastAsia="Times New Roman" w:hAnsi="Times New Roman" w:cs="Times New Roman"/>
          <w:b/>
          <w:bCs/>
          <w:sz w:val="20"/>
          <w:szCs w:val="20"/>
          <w:lang w:eastAsia="pt-BR"/>
        </w:rPr>
        <w:t>2022</w:t>
      </w:r>
      <w:r w:rsidRPr="00CA1956">
        <w:rPr>
          <w:rFonts w:ascii="Times New Roman" w:eastAsia="Times New Roman" w:hAnsi="Times New Roman" w:cs="Times New Roman"/>
          <w:sz w:val="20"/>
          <w:szCs w:val="20"/>
          <w:lang w:eastAsia="pt-BR"/>
        </w:rPr>
        <w:t>. Série Biodiversidade. Vol. 53, 1125-1136.</w:t>
      </w:r>
    </w:p>
    <w:p w14:paraId="5595F8FF" w14:textId="77777777" w:rsidR="007606D3" w:rsidRPr="00CA1956" w:rsidRDefault="007606D3" w:rsidP="007606D3">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sidRPr="00CA1956">
        <w:rPr>
          <w:rFonts w:ascii="Times New Roman" w:eastAsia="Times New Roman" w:hAnsi="Times New Roman" w:cs="Times New Roman"/>
          <w:sz w:val="20"/>
          <w:szCs w:val="20"/>
          <w:lang w:eastAsia="pt-BR"/>
        </w:rPr>
        <w:t xml:space="preserve">M. T. B. Campos, Dissertação de Mestrado, Universidade Federal do Pará, </w:t>
      </w:r>
      <w:r w:rsidRPr="00CA1956">
        <w:rPr>
          <w:rFonts w:ascii="Times New Roman" w:eastAsia="Times New Roman" w:hAnsi="Times New Roman" w:cs="Times New Roman"/>
          <w:b/>
          <w:bCs/>
          <w:sz w:val="20"/>
          <w:szCs w:val="20"/>
          <w:lang w:eastAsia="pt-BR"/>
        </w:rPr>
        <w:t>2023</w:t>
      </w:r>
      <w:r w:rsidRPr="00CA1956">
        <w:rPr>
          <w:rFonts w:ascii="Times New Roman" w:eastAsia="Times New Roman" w:hAnsi="Times New Roman" w:cs="Times New Roman"/>
          <w:sz w:val="20"/>
          <w:szCs w:val="20"/>
          <w:lang w:eastAsia="pt-BR"/>
        </w:rPr>
        <w:t>.</w:t>
      </w:r>
    </w:p>
    <w:p w14:paraId="757E3F67" w14:textId="77777777" w:rsidR="007606D3" w:rsidRPr="00CA1956" w:rsidRDefault="007606D3" w:rsidP="007606D3">
      <w:pPr>
        <w:pStyle w:val="PargrafodaLista"/>
        <w:numPr>
          <w:ilvl w:val="0"/>
          <w:numId w:val="1"/>
        </w:numPr>
        <w:spacing w:after="0" w:line="240" w:lineRule="auto"/>
        <w:jc w:val="both"/>
        <w:rPr>
          <w:rFonts w:ascii="Times New Roman" w:eastAsia="Times New Roman" w:hAnsi="Times New Roman" w:cs="Times New Roman"/>
          <w:sz w:val="20"/>
          <w:szCs w:val="20"/>
          <w:lang w:eastAsia="pt-BR"/>
        </w:rPr>
      </w:pPr>
      <w:r w:rsidRPr="00CA1956">
        <w:rPr>
          <w:rFonts w:ascii="Times New Roman" w:eastAsia="Times New Roman" w:hAnsi="Times New Roman" w:cs="Times New Roman"/>
          <w:sz w:val="20"/>
          <w:szCs w:val="20"/>
          <w:lang w:eastAsia="pt-BR"/>
        </w:rPr>
        <w:t xml:space="preserve">A. P. Corrêa </w:t>
      </w:r>
      <w:r w:rsidRPr="00CA1956">
        <w:rPr>
          <w:rFonts w:ascii="Times New Roman" w:eastAsia="Times New Roman" w:hAnsi="Times New Roman" w:cs="Times New Roman"/>
          <w:i/>
          <w:iCs/>
          <w:sz w:val="20"/>
          <w:szCs w:val="20"/>
          <w:lang w:eastAsia="pt-BR"/>
        </w:rPr>
        <w:t>et al</w:t>
      </w:r>
      <w:r w:rsidRPr="00CA1956">
        <w:rPr>
          <w:rFonts w:ascii="Times New Roman" w:eastAsia="Times New Roman" w:hAnsi="Times New Roman" w:cs="Times New Roman"/>
          <w:sz w:val="20"/>
          <w:szCs w:val="20"/>
          <w:lang w:eastAsia="pt-BR"/>
        </w:rPr>
        <w:t xml:space="preserve">. RSC Advances. </w:t>
      </w:r>
      <w:r w:rsidRPr="00CA1956">
        <w:rPr>
          <w:rFonts w:ascii="Times New Roman" w:eastAsia="Times New Roman" w:hAnsi="Times New Roman" w:cs="Times New Roman"/>
          <w:b/>
          <w:bCs/>
          <w:sz w:val="20"/>
          <w:szCs w:val="20"/>
          <w:lang w:eastAsia="pt-BR"/>
        </w:rPr>
        <w:t>2020</w:t>
      </w:r>
      <w:r w:rsidRPr="00CA1956">
        <w:rPr>
          <w:rFonts w:ascii="Times New Roman" w:eastAsia="Times New Roman" w:hAnsi="Times New Roman" w:cs="Times New Roman"/>
          <w:sz w:val="20"/>
          <w:szCs w:val="20"/>
          <w:lang w:eastAsia="pt-BR"/>
        </w:rPr>
        <w:t>, 10, 20245–20256.</w:t>
      </w:r>
    </w:p>
    <w:p w14:paraId="15FAEB6F" w14:textId="21B75677" w:rsidR="00A70DA8" w:rsidRPr="00CA1956" w:rsidRDefault="00A70DA8" w:rsidP="00A70DA8">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CA1956">
        <w:rPr>
          <w:rFonts w:ascii="Times New Roman" w:eastAsia="Times New Roman" w:hAnsi="Times New Roman" w:cs="Times New Roman"/>
          <w:sz w:val="20"/>
          <w:szCs w:val="20"/>
          <w:lang w:val="en-US" w:eastAsia="pt-BR"/>
        </w:rPr>
        <w:t xml:space="preserve">M. FACHE; B. BOUTEVIN; S. CAILLOL. European Polymer Journal. </w:t>
      </w:r>
      <w:r w:rsidRPr="00CA1956">
        <w:rPr>
          <w:rFonts w:ascii="Times New Roman" w:eastAsia="Times New Roman" w:hAnsi="Times New Roman" w:cs="Times New Roman"/>
          <w:b/>
          <w:bCs/>
          <w:sz w:val="20"/>
          <w:szCs w:val="20"/>
          <w:lang w:val="en-US" w:eastAsia="pt-BR"/>
        </w:rPr>
        <w:t>2015</w:t>
      </w:r>
      <w:r w:rsidRPr="00CA1956">
        <w:rPr>
          <w:rFonts w:ascii="Times New Roman" w:eastAsia="Times New Roman" w:hAnsi="Times New Roman" w:cs="Times New Roman"/>
          <w:sz w:val="20"/>
          <w:szCs w:val="20"/>
          <w:lang w:val="en-US" w:eastAsia="pt-BR"/>
        </w:rPr>
        <w:t>. 68, 488–502.</w:t>
      </w:r>
    </w:p>
    <w:p w14:paraId="5DBC26B1" w14:textId="3AE4CEFB" w:rsidR="00A70DA8" w:rsidRPr="00CA1956" w:rsidRDefault="00A70DA8" w:rsidP="007606D3">
      <w:pPr>
        <w:pStyle w:val="PargrafodaLista"/>
        <w:numPr>
          <w:ilvl w:val="0"/>
          <w:numId w:val="1"/>
        </w:numPr>
        <w:spacing w:after="0" w:line="240" w:lineRule="auto"/>
        <w:jc w:val="both"/>
        <w:rPr>
          <w:rFonts w:ascii="Times New Roman" w:eastAsia="Times New Roman" w:hAnsi="Times New Roman" w:cs="Times New Roman"/>
          <w:sz w:val="20"/>
          <w:szCs w:val="20"/>
          <w:lang w:val="en-US" w:eastAsia="pt-BR"/>
        </w:rPr>
      </w:pPr>
      <w:r w:rsidRPr="00CA1956">
        <w:rPr>
          <w:rFonts w:ascii="Times New Roman" w:eastAsia="Times New Roman" w:hAnsi="Times New Roman" w:cs="Times New Roman"/>
          <w:sz w:val="20"/>
          <w:szCs w:val="20"/>
          <w:lang w:val="en-US" w:eastAsia="pt-BR"/>
        </w:rPr>
        <w:t xml:space="preserve">S. </w:t>
      </w:r>
      <w:r w:rsidRPr="00CA1956">
        <w:rPr>
          <w:rFonts w:ascii="Times New Roman" w:eastAsia="Times New Roman" w:hAnsi="Times New Roman" w:cs="Times New Roman"/>
          <w:sz w:val="20"/>
          <w:szCs w:val="20"/>
          <w:lang w:val="en-US" w:eastAsia="pt-BR"/>
        </w:rPr>
        <w:t xml:space="preserve">RAWAT; </w:t>
      </w:r>
      <w:r w:rsidRPr="00CA1956">
        <w:rPr>
          <w:rFonts w:ascii="Times New Roman" w:eastAsia="Times New Roman" w:hAnsi="Times New Roman" w:cs="Times New Roman"/>
          <w:i/>
          <w:iCs/>
          <w:sz w:val="20"/>
          <w:szCs w:val="20"/>
          <w:lang w:val="en-US" w:eastAsia="pt-BR"/>
        </w:rPr>
        <w:t>et al</w:t>
      </w:r>
      <w:r w:rsidRPr="00CA1956">
        <w:rPr>
          <w:rFonts w:ascii="Times New Roman" w:eastAsia="Times New Roman" w:hAnsi="Times New Roman" w:cs="Times New Roman"/>
          <w:sz w:val="20"/>
          <w:szCs w:val="20"/>
          <w:lang w:val="en-US" w:eastAsia="pt-BR"/>
        </w:rPr>
        <w:t>. Applied Catalysis A: General</w:t>
      </w:r>
      <w:r w:rsidRPr="00CA1956">
        <w:rPr>
          <w:rFonts w:ascii="Times New Roman" w:eastAsia="Times New Roman" w:hAnsi="Times New Roman" w:cs="Times New Roman"/>
          <w:sz w:val="20"/>
          <w:szCs w:val="20"/>
          <w:lang w:val="en-US" w:eastAsia="pt-BR"/>
        </w:rPr>
        <w:t xml:space="preserve">. </w:t>
      </w:r>
      <w:r w:rsidRPr="00CA1956">
        <w:rPr>
          <w:rFonts w:ascii="Times New Roman" w:eastAsia="Times New Roman" w:hAnsi="Times New Roman" w:cs="Times New Roman"/>
          <w:b/>
          <w:bCs/>
          <w:sz w:val="20"/>
          <w:szCs w:val="20"/>
          <w:lang w:val="en-US" w:eastAsia="pt-BR"/>
        </w:rPr>
        <w:t>2020</w:t>
      </w:r>
      <w:r w:rsidR="00CA1956">
        <w:rPr>
          <w:rFonts w:ascii="Times New Roman" w:eastAsia="Times New Roman" w:hAnsi="Times New Roman" w:cs="Times New Roman"/>
          <w:sz w:val="20"/>
          <w:szCs w:val="20"/>
          <w:lang w:val="en-US" w:eastAsia="pt-BR"/>
        </w:rPr>
        <w:t xml:space="preserve">, </w:t>
      </w:r>
      <w:r w:rsidRPr="00CA1956">
        <w:rPr>
          <w:rFonts w:ascii="Times New Roman" w:eastAsia="Times New Roman" w:hAnsi="Times New Roman" w:cs="Times New Roman"/>
          <w:sz w:val="20"/>
          <w:szCs w:val="20"/>
          <w:lang w:val="en-US" w:eastAsia="pt-BR"/>
        </w:rPr>
        <w:t>598, 117567.</w:t>
      </w:r>
    </w:p>
    <w:p w14:paraId="220BF614" w14:textId="32E2EB56" w:rsidR="00A70DA8" w:rsidRPr="00CA1956" w:rsidRDefault="00A70DA8" w:rsidP="00A70DA8">
      <w:pPr>
        <w:pStyle w:val="PargrafodaLista"/>
        <w:numPr>
          <w:ilvl w:val="0"/>
          <w:numId w:val="1"/>
        </w:numPr>
        <w:tabs>
          <w:tab w:val="left" w:pos="5940"/>
        </w:tabs>
        <w:spacing w:after="0" w:line="240" w:lineRule="auto"/>
        <w:ind w:right="-34"/>
        <w:rPr>
          <w:rFonts w:ascii="Times New Roman" w:hAnsi="Times New Roman" w:cs="Times New Roman"/>
          <w:color w:val="000000" w:themeColor="text1"/>
          <w:sz w:val="20"/>
          <w:szCs w:val="20"/>
          <w:lang w:val="en-US"/>
        </w:rPr>
      </w:pPr>
      <w:r w:rsidRPr="00CA1956">
        <w:rPr>
          <w:rFonts w:ascii="Times New Roman" w:hAnsi="Times New Roman" w:cs="Times New Roman"/>
          <w:color w:val="000000" w:themeColor="text1"/>
          <w:sz w:val="20"/>
          <w:szCs w:val="20"/>
          <w:lang w:val="en-US"/>
        </w:rPr>
        <w:t xml:space="preserve">SABERI, F. et al. </w:t>
      </w:r>
      <w:r w:rsidRPr="00CA1956">
        <w:rPr>
          <w:rFonts w:ascii="Times New Roman" w:hAnsi="Times New Roman" w:cs="Times New Roman"/>
          <w:bCs/>
          <w:color w:val="000000" w:themeColor="text1"/>
          <w:sz w:val="20"/>
          <w:szCs w:val="20"/>
          <w:lang w:val="en-US"/>
        </w:rPr>
        <w:t>Catalysis Communications</w:t>
      </w:r>
      <w:r w:rsidR="00CA1956">
        <w:rPr>
          <w:rFonts w:ascii="Times New Roman" w:hAnsi="Times New Roman" w:cs="Times New Roman"/>
          <w:color w:val="000000" w:themeColor="text1"/>
          <w:sz w:val="20"/>
          <w:szCs w:val="20"/>
          <w:lang w:val="en-US"/>
        </w:rPr>
        <w:t xml:space="preserve">. </w:t>
      </w:r>
      <w:r w:rsidR="00CA1956">
        <w:rPr>
          <w:rFonts w:ascii="Times New Roman" w:hAnsi="Times New Roman" w:cs="Times New Roman"/>
          <w:b/>
          <w:bCs/>
          <w:color w:val="000000" w:themeColor="text1"/>
          <w:sz w:val="20"/>
          <w:szCs w:val="20"/>
          <w:lang w:val="en-US"/>
        </w:rPr>
        <w:t>2019</w:t>
      </w:r>
      <w:r w:rsidR="00CA1956">
        <w:rPr>
          <w:rFonts w:ascii="Times New Roman" w:hAnsi="Times New Roman" w:cs="Times New Roman"/>
          <w:color w:val="000000" w:themeColor="text1"/>
          <w:sz w:val="20"/>
          <w:szCs w:val="20"/>
          <w:lang w:val="en-US"/>
        </w:rPr>
        <w:t xml:space="preserve">, </w:t>
      </w:r>
      <w:r w:rsidRPr="00CA1956">
        <w:rPr>
          <w:rFonts w:ascii="Times New Roman" w:hAnsi="Times New Roman" w:cs="Times New Roman"/>
          <w:color w:val="000000" w:themeColor="text1"/>
          <w:sz w:val="20"/>
          <w:szCs w:val="20"/>
          <w:lang w:val="en-US"/>
        </w:rPr>
        <w:t>118, 65–69.</w:t>
      </w:r>
    </w:p>
    <w:p w14:paraId="6E9BD53A" w14:textId="3D84F8AA" w:rsidR="00993C80" w:rsidRPr="00CA1956" w:rsidRDefault="007606D3" w:rsidP="00CA1956">
      <w:pPr>
        <w:pStyle w:val="TAMainText"/>
        <w:numPr>
          <w:ilvl w:val="0"/>
          <w:numId w:val="1"/>
        </w:numPr>
        <w:rPr>
          <w:rFonts w:ascii="Times New Roman" w:hAnsi="Times New Roman"/>
        </w:rPr>
      </w:pPr>
      <w:r w:rsidRPr="00CA1956">
        <w:rPr>
          <w:rFonts w:ascii="Times New Roman" w:hAnsi="Times New Roman"/>
        </w:rPr>
        <w:t xml:space="preserve">W. SCHLEMMER </w:t>
      </w:r>
      <w:r w:rsidRPr="00CA1956">
        <w:rPr>
          <w:rFonts w:ascii="Times New Roman" w:hAnsi="Times New Roman"/>
          <w:i/>
          <w:iCs/>
        </w:rPr>
        <w:t>et al</w:t>
      </w:r>
      <w:r w:rsidRPr="00CA1956">
        <w:rPr>
          <w:rFonts w:ascii="Times New Roman" w:hAnsi="Times New Roman"/>
        </w:rPr>
        <w:t xml:space="preserve">. Angewandte Chemie International Edition, </w:t>
      </w:r>
      <w:r w:rsidRPr="00CA1956">
        <w:rPr>
          <w:rFonts w:ascii="Times New Roman" w:hAnsi="Times New Roman"/>
          <w:b/>
          <w:bCs/>
        </w:rPr>
        <w:t>2020</w:t>
      </w:r>
      <w:r w:rsidRPr="00CA1956">
        <w:rPr>
          <w:rFonts w:ascii="Times New Roman" w:hAnsi="Times New Roman"/>
        </w:rPr>
        <w:t>, 59(51), 22943–22946.</w:t>
      </w:r>
    </w:p>
    <w:sectPr w:rsidR="00993C80" w:rsidRPr="00CA1956"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8C5B4" w14:textId="77777777" w:rsidR="00376A1C" w:rsidRDefault="00376A1C" w:rsidP="00EA4E1B">
      <w:pPr>
        <w:spacing w:after="0" w:line="240" w:lineRule="auto"/>
      </w:pPr>
      <w:r>
        <w:separator/>
      </w:r>
    </w:p>
  </w:endnote>
  <w:endnote w:type="continuationSeparator" w:id="0">
    <w:p w14:paraId="598A998E" w14:textId="77777777" w:rsidR="00376A1C" w:rsidRDefault="00376A1C"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5E25" w14:textId="77777777" w:rsidR="00376A1C" w:rsidRDefault="00376A1C" w:rsidP="00EA4E1B">
      <w:pPr>
        <w:spacing w:after="0" w:line="240" w:lineRule="auto"/>
      </w:pPr>
      <w:r>
        <w:separator/>
      </w:r>
    </w:p>
  </w:footnote>
  <w:footnote w:type="continuationSeparator" w:id="0">
    <w:p w14:paraId="0D23612F" w14:textId="77777777" w:rsidR="00376A1C" w:rsidRDefault="00376A1C"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461D9"/>
    <w:rsid w:val="00061A72"/>
    <w:rsid w:val="000B4F52"/>
    <w:rsid w:val="000D74D7"/>
    <w:rsid w:val="000F1D24"/>
    <w:rsid w:val="00107612"/>
    <w:rsid w:val="00123C64"/>
    <w:rsid w:val="001E58A9"/>
    <w:rsid w:val="001F25B2"/>
    <w:rsid w:val="00222230"/>
    <w:rsid w:val="00340B1E"/>
    <w:rsid w:val="00376A1C"/>
    <w:rsid w:val="003A5958"/>
    <w:rsid w:val="003B756B"/>
    <w:rsid w:val="003C5A5A"/>
    <w:rsid w:val="00402F3E"/>
    <w:rsid w:val="00424397"/>
    <w:rsid w:val="00477097"/>
    <w:rsid w:val="004D7111"/>
    <w:rsid w:val="004F3F42"/>
    <w:rsid w:val="0052112E"/>
    <w:rsid w:val="00537E9F"/>
    <w:rsid w:val="005C2775"/>
    <w:rsid w:val="005D65EB"/>
    <w:rsid w:val="005F225E"/>
    <w:rsid w:val="005F739F"/>
    <w:rsid w:val="00604718"/>
    <w:rsid w:val="00652815"/>
    <w:rsid w:val="00697E3B"/>
    <w:rsid w:val="006F599B"/>
    <w:rsid w:val="006F6024"/>
    <w:rsid w:val="007443FF"/>
    <w:rsid w:val="007606D3"/>
    <w:rsid w:val="007670A0"/>
    <w:rsid w:val="00781685"/>
    <w:rsid w:val="007B4B2B"/>
    <w:rsid w:val="007D6324"/>
    <w:rsid w:val="00814991"/>
    <w:rsid w:val="00831CDC"/>
    <w:rsid w:val="00835519"/>
    <w:rsid w:val="00845E85"/>
    <w:rsid w:val="00865C13"/>
    <w:rsid w:val="00866822"/>
    <w:rsid w:val="008A2D9F"/>
    <w:rsid w:val="008B1683"/>
    <w:rsid w:val="008C1B30"/>
    <w:rsid w:val="008E208F"/>
    <w:rsid w:val="00927CF1"/>
    <w:rsid w:val="00947A22"/>
    <w:rsid w:val="009656D9"/>
    <w:rsid w:val="00965A37"/>
    <w:rsid w:val="0097052A"/>
    <w:rsid w:val="00975818"/>
    <w:rsid w:val="00993C80"/>
    <w:rsid w:val="009C7CB0"/>
    <w:rsid w:val="00A7000D"/>
    <w:rsid w:val="00A70DA8"/>
    <w:rsid w:val="00AA182E"/>
    <w:rsid w:val="00AE3DC8"/>
    <w:rsid w:val="00AF0400"/>
    <w:rsid w:val="00B30AEB"/>
    <w:rsid w:val="00B33B71"/>
    <w:rsid w:val="00B351BB"/>
    <w:rsid w:val="00B732EF"/>
    <w:rsid w:val="00BA053C"/>
    <w:rsid w:val="00BA6243"/>
    <w:rsid w:val="00BA6A6E"/>
    <w:rsid w:val="00BC6473"/>
    <w:rsid w:val="00C5065B"/>
    <w:rsid w:val="00C76E54"/>
    <w:rsid w:val="00C777FE"/>
    <w:rsid w:val="00CA1956"/>
    <w:rsid w:val="00D96135"/>
    <w:rsid w:val="00E02A21"/>
    <w:rsid w:val="00E038AF"/>
    <w:rsid w:val="00E0622A"/>
    <w:rsid w:val="00EA4E1B"/>
    <w:rsid w:val="00F30661"/>
    <w:rsid w:val="00F52C4B"/>
    <w:rsid w:val="00F83333"/>
    <w:rsid w:val="00F917DA"/>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paragraph" w:styleId="PargrafodaLista">
    <w:name w:val="List Paragraph"/>
    <w:basedOn w:val="Normal"/>
    <w:uiPriority w:val="34"/>
    <w:qFormat/>
    <w:rsid w:val="007606D3"/>
    <w:pPr>
      <w:ind w:left="720"/>
      <w:contextualSpacing/>
    </w:pPr>
  </w:style>
  <w:style w:type="paragraph" w:styleId="Bibliografia">
    <w:name w:val="Bibliography"/>
    <w:basedOn w:val="Normal"/>
    <w:next w:val="Normal"/>
    <w:uiPriority w:val="37"/>
    <w:semiHidden/>
    <w:unhideWhenUsed/>
    <w:rsid w:val="00A70D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1252</Words>
  <Characters>6763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Maitê Campos</cp:lastModifiedBy>
  <cp:revision>4</cp:revision>
  <dcterms:created xsi:type="dcterms:W3CDTF">2023-08-15T20:53:00Z</dcterms:created>
  <dcterms:modified xsi:type="dcterms:W3CDTF">2023-08-16T00:44:00Z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