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670"/>
      <w:bookmarkStart w:id="1" w:name="_Hlk1324517"/>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01330654" w:rsidR="00EA4E1B" w:rsidRDefault="00264837" w:rsidP="00264837">
      <w:pPr>
        <w:pStyle w:val="BATitle"/>
        <w:spacing w:before="0" w:line="240" w:lineRule="auto"/>
        <w:ind w:right="0"/>
        <w:jc w:val="both"/>
        <w:rPr>
          <w:sz w:val="32"/>
          <w:lang w:val="pt-BR"/>
        </w:rPr>
      </w:pPr>
      <w:r>
        <w:rPr>
          <w:sz w:val="32"/>
          <w:lang w:val="pt-BR"/>
        </w:rPr>
        <w:t>Catalisador sulfonado de carvão obtido a partir da casca de bacuri para a esterificação de Ácido Oleico</w:t>
      </w:r>
    </w:p>
    <w:p w14:paraId="2BBBE268" w14:textId="77777777" w:rsidR="00264837" w:rsidRPr="00173377" w:rsidRDefault="00264837" w:rsidP="00264837">
      <w:pPr>
        <w:pStyle w:val="BBAuthorName"/>
        <w:spacing w:after="120" w:line="240" w:lineRule="auto"/>
        <w:ind w:right="0"/>
        <w:jc w:val="both"/>
        <w:rPr>
          <w:rFonts w:ascii="Times New Roman" w:hAnsi="Times New Roman"/>
          <w:sz w:val="20"/>
          <w:lang w:val="pt-BR"/>
        </w:rPr>
      </w:pPr>
      <w:bookmarkStart w:id="2" w:name="_Hlk142990335"/>
      <w:bookmarkEnd w:id="1"/>
      <w:proofErr w:type="spellStart"/>
      <w:r>
        <w:rPr>
          <w:rFonts w:ascii="Times New Roman" w:hAnsi="Times New Roman"/>
          <w:sz w:val="20"/>
          <w:lang w:val="pt-BR"/>
        </w:rPr>
        <w:t>Erley</w:t>
      </w:r>
      <w:proofErr w:type="spellEnd"/>
      <w:r>
        <w:rPr>
          <w:rFonts w:ascii="Times New Roman" w:hAnsi="Times New Roman"/>
          <w:sz w:val="20"/>
          <w:lang w:val="pt-BR"/>
        </w:rPr>
        <w:t xml:space="preserve"> S. </w:t>
      </w:r>
      <w:proofErr w:type="spellStart"/>
      <w:r>
        <w:rPr>
          <w:rFonts w:ascii="Times New Roman" w:hAnsi="Times New Roman"/>
          <w:sz w:val="20"/>
          <w:lang w:val="pt-BR"/>
        </w:rPr>
        <w:t>da</w:t>
      </w:r>
      <w:proofErr w:type="spellEnd"/>
      <w:r>
        <w:rPr>
          <w:rFonts w:ascii="Times New Roman" w:hAnsi="Times New Roman"/>
          <w:sz w:val="20"/>
          <w:lang w:val="pt-BR"/>
        </w:rPr>
        <w:t xml:space="preserve"> Costa</w:t>
      </w:r>
      <w:r w:rsidRPr="001F25B2">
        <w:rPr>
          <w:rFonts w:ascii="Times New Roman" w:hAnsi="Times New Roman"/>
          <w:sz w:val="20"/>
          <w:vertAlign w:val="superscript"/>
          <w:lang w:val="pt-BR"/>
        </w:rPr>
        <w:t>1</w:t>
      </w:r>
      <w:r>
        <w:rPr>
          <w:rFonts w:ascii="Times New Roman" w:hAnsi="Times New Roman"/>
          <w:sz w:val="20"/>
          <w:lang w:val="pt-BR"/>
        </w:rPr>
        <w:t>*,</w:t>
      </w:r>
      <w:r w:rsidRPr="00F577E2">
        <w:rPr>
          <w:rFonts w:ascii="Times New Roman" w:hAnsi="Times New Roman"/>
          <w:sz w:val="20"/>
          <w:lang w:val="pt-BR"/>
        </w:rPr>
        <w:t xml:space="preserve"> </w:t>
      </w:r>
      <w:r>
        <w:rPr>
          <w:rFonts w:ascii="Times New Roman" w:hAnsi="Times New Roman"/>
          <w:sz w:val="20"/>
          <w:lang w:val="pt-BR"/>
        </w:rPr>
        <w:t>Maitê T. B. Campos</w:t>
      </w:r>
      <w:r w:rsidRPr="001F25B2">
        <w:rPr>
          <w:rFonts w:ascii="Times New Roman" w:hAnsi="Times New Roman"/>
          <w:sz w:val="20"/>
          <w:vertAlign w:val="superscript"/>
          <w:lang w:val="pt-BR"/>
        </w:rPr>
        <w:t>1</w:t>
      </w:r>
      <w:r>
        <w:rPr>
          <w:rFonts w:ascii="Times New Roman" w:hAnsi="Times New Roman"/>
          <w:sz w:val="20"/>
          <w:lang w:val="pt-BR"/>
        </w:rPr>
        <w:t>, Nathalia L. Moraes</w:t>
      </w:r>
      <w:r>
        <w:rPr>
          <w:rFonts w:ascii="Times New Roman" w:hAnsi="Times New Roman"/>
          <w:sz w:val="20"/>
          <w:vertAlign w:val="superscript"/>
          <w:lang w:val="pt-BR"/>
        </w:rPr>
        <w:t>1</w:t>
      </w:r>
      <w:r>
        <w:rPr>
          <w:rFonts w:ascii="Times New Roman" w:hAnsi="Times New Roman"/>
          <w:sz w:val="20"/>
          <w:lang w:val="pt-BR"/>
        </w:rPr>
        <w:t>, Deborah T. de Oliveira</w:t>
      </w:r>
      <w:r>
        <w:rPr>
          <w:rFonts w:ascii="Times New Roman" w:hAnsi="Times New Roman"/>
          <w:sz w:val="20"/>
          <w:vertAlign w:val="superscript"/>
          <w:lang w:val="pt-BR"/>
        </w:rPr>
        <w:t>1</w:t>
      </w:r>
      <w:r>
        <w:rPr>
          <w:rFonts w:ascii="Times New Roman" w:hAnsi="Times New Roman"/>
          <w:sz w:val="20"/>
          <w:lang w:val="pt-BR"/>
        </w:rPr>
        <w:t>, Alex de N. de Oliveira</w:t>
      </w:r>
      <w:r>
        <w:rPr>
          <w:rFonts w:ascii="Times New Roman" w:hAnsi="Times New Roman"/>
          <w:sz w:val="20"/>
          <w:vertAlign w:val="superscript"/>
          <w:lang w:val="pt-BR"/>
        </w:rPr>
        <w:t>2</w:t>
      </w:r>
      <w:r>
        <w:rPr>
          <w:rFonts w:ascii="Times New Roman" w:hAnsi="Times New Roman"/>
          <w:sz w:val="20"/>
          <w:lang w:val="pt-BR"/>
        </w:rPr>
        <w:t>, Patrícia T. S. da. Luz</w:t>
      </w:r>
      <w:r>
        <w:rPr>
          <w:rFonts w:ascii="Times New Roman" w:hAnsi="Times New Roman"/>
          <w:sz w:val="20"/>
          <w:vertAlign w:val="superscript"/>
          <w:lang w:val="pt-BR"/>
        </w:rPr>
        <w:t>3</w:t>
      </w:r>
      <w:r>
        <w:rPr>
          <w:rFonts w:ascii="Times New Roman" w:hAnsi="Times New Roman"/>
          <w:sz w:val="20"/>
          <w:lang w:val="pt-BR"/>
        </w:rPr>
        <w:t>, Fabíola F. Costa</w:t>
      </w:r>
      <w:r>
        <w:rPr>
          <w:rFonts w:ascii="Times New Roman" w:hAnsi="Times New Roman"/>
          <w:sz w:val="20"/>
          <w:vertAlign w:val="superscript"/>
          <w:lang w:val="pt-BR"/>
        </w:rPr>
        <w:t>1</w:t>
      </w:r>
      <w:r>
        <w:rPr>
          <w:rFonts w:ascii="Times New Roman" w:hAnsi="Times New Roman"/>
          <w:sz w:val="20"/>
          <w:lang w:val="pt-BR"/>
        </w:rPr>
        <w:t>, Carlos E. F da Costa</w:t>
      </w:r>
      <w:r>
        <w:rPr>
          <w:rFonts w:ascii="Times New Roman" w:hAnsi="Times New Roman"/>
          <w:sz w:val="20"/>
          <w:vertAlign w:val="superscript"/>
          <w:lang w:val="pt-BR"/>
        </w:rPr>
        <w:t>1</w:t>
      </w:r>
      <w:r>
        <w:rPr>
          <w:rFonts w:ascii="Times New Roman" w:hAnsi="Times New Roman"/>
          <w:sz w:val="20"/>
          <w:lang w:val="pt-BR"/>
        </w:rPr>
        <w:t>, Geraldo N. R. Filho</w:t>
      </w:r>
      <w:r>
        <w:rPr>
          <w:rFonts w:ascii="Times New Roman" w:hAnsi="Times New Roman"/>
          <w:sz w:val="20"/>
          <w:vertAlign w:val="superscript"/>
          <w:lang w:val="pt-BR"/>
        </w:rPr>
        <w:t>1</w:t>
      </w:r>
      <w:r>
        <w:rPr>
          <w:rFonts w:ascii="Times New Roman" w:hAnsi="Times New Roman"/>
          <w:sz w:val="20"/>
          <w:lang w:val="pt-BR"/>
        </w:rPr>
        <w:t>, Luís A. S. do Nascimento</w:t>
      </w:r>
      <w:r w:rsidRPr="001F25B2">
        <w:rPr>
          <w:rFonts w:ascii="Times New Roman" w:hAnsi="Times New Roman"/>
          <w:sz w:val="20"/>
          <w:vertAlign w:val="superscript"/>
          <w:lang w:val="pt-BR"/>
        </w:rPr>
        <w:t>1</w:t>
      </w:r>
      <w:r>
        <w:rPr>
          <w:rFonts w:ascii="Times New Roman" w:hAnsi="Times New Roman"/>
          <w:sz w:val="20"/>
          <w:lang w:val="pt-BR"/>
        </w:rPr>
        <w:t>.</w:t>
      </w:r>
    </w:p>
    <w:p w14:paraId="61E97949" w14:textId="77777777" w:rsidR="00264837" w:rsidRDefault="00264837" w:rsidP="00264837">
      <w:pPr>
        <w:pStyle w:val="BCAuthorAddress"/>
        <w:spacing w:after="0"/>
        <w:ind w:right="0"/>
        <w:jc w:val="both"/>
        <w:rPr>
          <w:lang w:val="pt-BR"/>
        </w:rPr>
      </w:pPr>
      <w:bookmarkStart w:id="3" w:name="_Hlk142949034"/>
      <w:bookmarkEnd w:id="2"/>
      <w:r>
        <w:rPr>
          <w:vertAlign w:val="superscript"/>
          <w:lang w:val="pt-BR"/>
        </w:rPr>
        <w:t>1</w:t>
      </w:r>
      <w:r>
        <w:rPr>
          <w:lang w:val="pt-BR"/>
        </w:rPr>
        <w:t>Lab</w:t>
      </w:r>
      <w:bookmarkEnd w:id="3"/>
      <w:r>
        <w:rPr>
          <w:lang w:val="pt-BR"/>
        </w:rPr>
        <w:t xml:space="preserve">oratório de Óleos da Amazônia, Universidade Federal do Pará. </w:t>
      </w:r>
    </w:p>
    <w:p w14:paraId="54DEC6A0" w14:textId="77777777" w:rsidR="00264837" w:rsidRDefault="00264837" w:rsidP="00264837">
      <w:pPr>
        <w:pStyle w:val="BCAuthorAddress"/>
        <w:spacing w:after="0"/>
        <w:ind w:right="0"/>
        <w:jc w:val="both"/>
        <w:rPr>
          <w:lang w:val="pt-BR"/>
        </w:rPr>
      </w:pPr>
      <w:r>
        <w:rPr>
          <w:vertAlign w:val="superscript"/>
          <w:lang w:val="pt-BR"/>
        </w:rPr>
        <w:t>2</w:t>
      </w:r>
      <w:r>
        <w:rPr>
          <w:lang w:val="pt-BR"/>
        </w:rPr>
        <w:t xml:space="preserve">Universidade Federal do Amapá. </w:t>
      </w:r>
    </w:p>
    <w:p w14:paraId="0176D18E" w14:textId="77777777" w:rsidR="00264837" w:rsidRPr="00365246" w:rsidRDefault="00264837" w:rsidP="00264837">
      <w:pPr>
        <w:pStyle w:val="BCAuthorAddress"/>
        <w:spacing w:after="0"/>
        <w:ind w:right="0"/>
        <w:jc w:val="both"/>
        <w:rPr>
          <w:lang w:val="pt-BR"/>
        </w:rPr>
      </w:pPr>
      <w:r>
        <w:rPr>
          <w:vertAlign w:val="superscript"/>
          <w:lang w:val="pt-BR"/>
        </w:rPr>
        <w:t>3</w:t>
      </w:r>
      <w:r>
        <w:rPr>
          <w:lang w:val="pt-BR"/>
        </w:rPr>
        <w:t xml:space="preserve">Instituto Federal do Pará. </w:t>
      </w:r>
    </w:p>
    <w:p w14:paraId="4651D781" w14:textId="77777777" w:rsidR="00264837" w:rsidRDefault="00264837" w:rsidP="00264837">
      <w:pPr>
        <w:pStyle w:val="BCAuthorAddress"/>
        <w:spacing w:after="0"/>
        <w:ind w:right="0"/>
        <w:jc w:val="both"/>
        <w:rPr>
          <w:lang w:val="pt-BR"/>
        </w:rPr>
      </w:pPr>
      <w:r>
        <w:rPr>
          <w:lang w:val="pt-BR"/>
        </w:rPr>
        <w:t>*Erleysdacosta@gmail.com</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72A9C072" w14:textId="26FC13B4" w:rsidR="00264837" w:rsidRPr="006B105F" w:rsidRDefault="00EA4E1B" w:rsidP="00264837">
      <w:pPr>
        <w:pStyle w:val="BDAbstract"/>
        <w:spacing w:before="0" w:after="0" w:line="240" w:lineRule="auto"/>
        <w:rPr>
          <w:rFonts w:ascii="Times New Roman" w:hAnsi="Times New Roman"/>
          <w:b w:val="0"/>
          <w:bCs/>
          <w:sz w:val="20"/>
          <w:lang w:val="pt-BR"/>
        </w:rPr>
      </w:pPr>
      <w:r>
        <w:rPr>
          <w:rFonts w:ascii="Times New Roman" w:hAnsi="Times New Roman"/>
          <w:b w:val="0"/>
          <w:sz w:val="20"/>
          <w:lang w:val="pt-BR"/>
        </w:rPr>
        <w:t xml:space="preserve">RESUMO - </w:t>
      </w:r>
      <w:r w:rsidR="003407E2" w:rsidRPr="006B105F">
        <w:rPr>
          <w:rStyle w:val="normaltextrun"/>
          <w:rFonts w:ascii="Times New Roman" w:hAnsi="Times New Roman"/>
          <w:b w:val="0"/>
          <w:bCs/>
          <w:color w:val="000000"/>
          <w:sz w:val="20"/>
          <w:shd w:val="clear" w:color="auto" w:fill="FFFFFF"/>
          <w:lang w:val="pt-BR"/>
        </w:rPr>
        <w:t>O Bacuri (</w:t>
      </w:r>
      <w:proofErr w:type="spellStart"/>
      <w:r w:rsidR="003407E2" w:rsidRPr="00385BF2">
        <w:rPr>
          <w:rStyle w:val="normaltextrun"/>
          <w:rFonts w:ascii="Times New Roman" w:hAnsi="Times New Roman"/>
          <w:b w:val="0"/>
          <w:bCs/>
          <w:i/>
          <w:iCs/>
          <w:color w:val="000000"/>
          <w:sz w:val="20"/>
          <w:shd w:val="clear" w:color="auto" w:fill="FFFFFF"/>
          <w:lang w:val="pt-BR"/>
        </w:rPr>
        <w:t>Platonia</w:t>
      </w:r>
      <w:proofErr w:type="spellEnd"/>
      <w:r w:rsidR="003407E2" w:rsidRPr="00385BF2">
        <w:rPr>
          <w:rStyle w:val="normaltextrun"/>
          <w:rFonts w:ascii="Times New Roman" w:hAnsi="Times New Roman"/>
          <w:b w:val="0"/>
          <w:bCs/>
          <w:i/>
          <w:iCs/>
          <w:color w:val="000000"/>
          <w:sz w:val="20"/>
          <w:shd w:val="clear" w:color="auto" w:fill="FFFFFF"/>
          <w:lang w:val="pt-BR"/>
        </w:rPr>
        <w:t xml:space="preserve"> </w:t>
      </w:r>
      <w:proofErr w:type="spellStart"/>
      <w:r w:rsidR="003407E2" w:rsidRPr="00385BF2">
        <w:rPr>
          <w:rStyle w:val="normaltextrun"/>
          <w:rFonts w:ascii="Times New Roman" w:hAnsi="Times New Roman"/>
          <w:b w:val="0"/>
          <w:bCs/>
          <w:i/>
          <w:iCs/>
          <w:color w:val="000000"/>
          <w:sz w:val="20"/>
          <w:shd w:val="clear" w:color="auto" w:fill="FFFFFF"/>
          <w:lang w:val="pt-BR"/>
        </w:rPr>
        <w:t>insignis</w:t>
      </w:r>
      <w:proofErr w:type="spellEnd"/>
      <w:r w:rsidR="003407E2" w:rsidRPr="006B105F">
        <w:rPr>
          <w:rStyle w:val="normaltextrun"/>
          <w:rFonts w:ascii="Times New Roman" w:hAnsi="Times New Roman"/>
          <w:b w:val="0"/>
          <w:bCs/>
          <w:color w:val="000000"/>
          <w:sz w:val="20"/>
          <w:shd w:val="clear" w:color="auto" w:fill="FFFFFF"/>
          <w:lang w:val="pt-BR"/>
        </w:rPr>
        <w:t>) é uma fruta originária da região amazônica, conhecida não apenas por seu sabor único e características nutricionais, mas também por suas propriedades promissoras em diferentes aplicações. A</w:t>
      </w:r>
      <w:r w:rsidR="003407E2">
        <w:rPr>
          <w:rStyle w:val="normaltextrun"/>
          <w:rFonts w:ascii="Times New Roman" w:hAnsi="Times New Roman"/>
          <w:b w:val="0"/>
          <w:bCs/>
          <w:color w:val="000000"/>
          <w:sz w:val="20"/>
          <w:shd w:val="clear" w:color="auto" w:fill="FFFFFF"/>
          <w:lang w:val="pt-BR"/>
        </w:rPr>
        <w:t>s</w:t>
      </w:r>
      <w:r w:rsidR="003407E2" w:rsidRPr="006B105F">
        <w:rPr>
          <w:rStyle w:val="normaltextrun"/>
          <w:rFonts w:ascii="Times New Roman" w:hAnsi="Times New Roman"/>
          <w:b w:val="0"/>
          <w:bCs/>
          <w:color w:val="000000"/>
          <w:sz w:val="20"/>
          <w:shd w:val="clear" w:color="auto" w:fill="FFFFFF"/>
          <w:lang w:val="pt-BR"/>
        </w:rPr>
        <w:t xml:space="preserve"> casca</w:t>
      </w:r>
      <w:r w:rsidR="003407E2">
        <w:rPr>
          <w:rStyle w:val="normaltextrun"/>
          <w:rFonts w:ascii="Times New Roman" w:hAnsi="Times New Roman"/>
          <w:b w:val="0"/>
          <w:bCs/>
          <w:color w:val="000000"/>
          <w:sz w:val="20"/>
          <w:shd w:val="clear" w:color="auto" w:fill="FFFFFF"/>
          <w:lang w:val="pt-BR"/>
        </w:rPr>
        <w:t>s</w:t>
      </w:r>
      <w:r w:rsidR="003407E2" w:rsidRPr="006B105F">
        <w:rPr>
          <w:rStyle w:val="normaltextrun"/>
          <w:rFonts w:ascii="Times New Roman" w:hAnsi="Times New Roman"/>
          <w:b w:val="0"/>
          <w:bCs/>
          <w:color w:val="000000"/>
          <w:sz w:val="20"/>
          <w:shd w:val="clear" w:color="auto" w:fill="FFFFFF"/>
          <w:lang w:val="pt-BR"/>
        </w:rPr>
        <w:t xml:space="preserve"> do </w:t>
      </w:r>
      <w:r w:rsidR="003407E2">
        <w:rPr>
          <w:rStyle w:val="normaltextrun"/>
          <w:rFonts w:ascii="Times New Roman" w:hAnsi="Times New Roman"/>
          <w:b w:val="0"/>
          <w:bCs/>
          <w:color w:val="000000"/>
          <w:sz w:val="20"/>
          <w:shd w:val="clear" w:color="auto" w:fill="FFFFFF"/>
          <w:lang w:val="pt-BR"/>
        </w:rPr>
        <w:t>b</w:t>
      </w:r>
      <w:r w:rsidR="003407E2" w:rsidRPr="006B105F">
        <w:rPr>
          <w:rStyle w:val="normaltextrun"/>
          <w:rFonts w:ascii="Times New Roman" w:hAnsi="Times New Roman"/>
          <w:b w:val="0"/>
          <w:bCs/>
          <w:color w:val="000000"/>
          <w:sz w:val="20"/>
          <w:shd w:val="clear" w:color="auto" w:fill="FFFFFF"/>
          <w:lang w:val="pt-BR"/>
        </w:rPr>
        <w:t>acuri</w:t>
      </w:r>
      <w:r w:rsidR="003407E2">
        <w:rPr>
          <w:rStyle w:val="normaltextrun"/>
          <w:rFonts w:ascii="Times New Roman" w:hAnsi="Times New Roman"/>
          <w:b w:val="0"/>
          <w:bCs/>
          <w:color w:val="000000"/>
          <w:sz w:val="20"/>
          <w:shd w:val="clear" w:color="auto" w:fill="FFFFFF"/>
          <w:lang w:val="pt-BR"/>
        </w:rPr>
        <w:t>, que frequentemente são tratadas como resíduo,</w:t>
      </w:r>
      <w:r w:rsidR="003407E2" w:rsidRPr="006B105F">
        <w:rPr>
          <w:rStyle w:val="normaltextrun"/>
          <w:rFonts w:ascii="Times New Roman" w:hAnsi="Times New Roman"/>
          <w:b w:val="0"/>
          <w:bCs/>
          <w:color w:val="000000"/>
          <w:sz w:val="20"/>
          <w:shd w:val="clear" w:color="auto" w:fill="FFFFFF"/>
          <w:lang w:val="pt-BR"/>
        </w:rPr>
        <w:t xml:space="preserve"> </w:t>
      </w:r>
      <w:r w:rsidR="003407E2">
        <w:rPr>
          <w:rFonts w:ascii="Times New Roman" w:hAnsi="Times New Roman"/>
          <w:b w:val="0"/>
          <w:bCs/>
          <w:sz w:val="20"/>
          <w:lang w:val="pt-BR"/>
        </w:rPr>
        <w:t>podem</w:t>
      </w:r>
      <w:r w:rsidR="003407E2" w:rsidRPr="006B105F">
        <w:rPr>
          <w:rFonts w:ascii="Times New Roman" w:hAnsi="Times New Roman"/>
          <w:b w:val="0"/>
          <w:bCs/>
          <w:sz w:val="20"/>
          <w:lang w:val="pt-BR"/>
        </w:rPr>
        <w:t xml:space="preserve"> ser </w:t>
      </w:r>
      <w:r w:rsidR="003407E2">
        <w:rPr>
          <w:rFonts w:ascii="Times New Roman" w:hAnsi="Times New Roman"/>
          <w:b w:val="0"/>
          <w:bCs/>
          <w:sz w:val="20"/>
          <w:lang w:val="pt-BR"/>
        </w:rPr>
        <w:t xml:space="preserve">convertidas em carvões ácidos que podem ser aplicados </w:t>
      </w:r>
      <w:r w:rsidR="003407E2" w:rsidRPr="006B105F">
        <w:rPr>
          <w:rFonts w:ascii="Times New Roman" w:hAnsi="Times New Roman"/>
          <w:b w:val="0"/>
          <w:bCs/>
          <w:sz w:val="20"/>
          <w:lang w:val="pt-BR"/>
        </w:rPr>
        <w:t>em reações de esterificaçã</w:t>
      </w:r>
      <w:r w:rsidR="003407E2">
        <w:rPr>
          <w:rFonts w:ascii="Times New Roman" w:hAnsi="Times New Roman"/>
          <w:b w:val="0"/>
          <w:bCs/>
          <w:sz w:val="20"/>
          <w:lang w:val="pt-BR"/>
        </w:rPr>
        <w:t>o</w:t>
      </w:r>
      <w:r w:rsidR="003407E2" w:rsidRPr="006B105F">
        <w:rPr>
          <w:rFonts w:ascii="Times New Roman" w:hAnsi="Times New Roman"/>
          <w:b w:val="0"/>
          <w:bCs/>
          <w:sz w:val="20"/>
          <w:lang w:val="pt-BR"/>
        </w:rPr>
        <w:t>. Nesse contexto, o carvão das cascas de bacuri foi sulfonado com ácido sulfúrico concentrado para atuar como catalisador na esterificação do Ácido Oleico</w:t>
      </w:r>
      <w:r w:rsidR="003407E2">
        <w:rPr>
          <w:rFonts w:ascii="Times New Roman" w:hAnsi="Times New Roman"/>
          <w:b w:val="0"/>
          <w:bCs/>
          <w:sz w:val="20"/>
          <w:lang w:val="pt-BR"/>
        </w:rPr>
        <w:t>, produzindo biodiesel</w:t>
      </w:r>
      <w:r w:rsidR="003407E2" w:rsidRPr="006B105F">
        <w:rPr>
          <w:rFonts w:ascii="Times New Roman" w:hAnsi="Times New Roman"/>
          <w:b w:val="0"/>
          <w:bCs/>
          <w:sz w:val="20"/>
          <w:lang w:val="pt-BR"/>
        </w:rPr>
        <w:t xml:space="preserve">. </w:t>
      </w:r>
      <w:r w:rsidR="003407E2">
        <w:rPr>
          <w:rFonts w:ascii="Times New Roman" w:hAnsi="Times New Roman"/>
          <w:b w:val="0"/>
          <w:bCs/>
          <w:sz w:val="20"/>
          <w:lang w:val="pt-BR"/>
        </w:rPr>
        <w:t xml:space="preserve">O catalisador apresentou acidez superficial 9,3 </w:t>
      </w:r>
      <w:r w:rsidR="003407E2" w:rsidRPr="00620563">
        <w:rPr>
          <w:rFonts w:ascii="Times New Roman" w:hAnsi="Times New Roman"/>
          <w:b w:val="0"/>
          <w:bCs/>
          <w:sz w:val="20"/>
          <w:lang w:val="pt-BR"/>
        </w:rPr>
        <w:t>mmol H</w:t>
      </w:r>
      <w:r w:rsidR="003407E2" w:rsidRPr="00620563">
        <w:rPr>
          <w:rFonts w:ascii="Times New Roman" w:hAnsi="Times New Roman"/>
          <w:b w:val="0"/>
          <w:bCs/>
          <w:sz w:val="20"/>
          <w:vertAlign w:val="superscript"/>
          <w:lang w:val="pt-BR"/>
        </w:rPr>
        <w:t>+</w:t>
      </w:r>
      <w:r w:rsidR="003407E2" w:rsidRPr="00620563">
        <w:rPr>
          <w:rFonts w:ascii="Times New Roman" w:hAnsi="Times New Roman"/>
          <w:b w:val="0"/>
          <w:bCs/>
          <w:sz w:val="20"/>
          <w:lang w:val="pt-BR"/>
        </w:rPr>
        <w:t xml:space="preserve"> g</w:t>
      </w:r>
      <w:r w:rsidR="003407E2">
        <w:rPr>
          <w:rFonts w:ascii="Times New Roman" w:hAnsi="Times New Roman"/>
          <w:b w:val="0"/>
          <w:bCs/>
          <w:sz w:val="20"/>
          <w:lang w:val="pt-BR"/>
        </w:rPr>
        <w:t>-</w:t>
      </w:r>
      <w:r w:rsidR="003407E2" w:rsidRPr="00620563">
        <w:rPr>
          <w:rFonts w:ascii="Times New Roman" w:hAnsi="Times New Roman"/>
          <w:b w:val="0"/>
          <w:bCs/>
          <w:sz w:val="20"/>
          <w:vertAlign w:val="superscript"/>
          <w:lang w:val="pt-BR"/>
        </w:rPr>
        <w:t>1</w:t>
      </w:r>
      <w:r w:rsidR="003407E2">
        <w:rPr>
          <w:rFonts w:ascii="Times New Roman" w:hAnsi="Times New Roman"/>
          <w:b w:val="0"/>
          <w:bCs/>
          <w:sz w:val="20"/>
          <w:lang w:val="pt-BR"/>
        </w:rPr>
        <w:t xml:space="preserve">, indicando a presença dos grupos ácidos. </w:t>
      </w:r>
      <w:r w:rsidR="003407E2" w:rsidRPr="006B105F">
        <w:rPr>
          <w:rFonts w:ascii="Times New Roman" w:hAnsi="Times New Roman"/>
          <w:b w:val="0"/>
          <w:bCs/>
          <w:sz w:val="20"/>
          <w:lang w:val="pt-BR"/>
        </w:rPr>
        <w:t>Na razão molar de 1:10 (Ácido oleico/metanol) houve conversão</w:t>
      </w:r>
      <w:r w:rsidR="003407E2">
        <w:rPr>
          <w:rFonts w:ascii="Times New Roman" w:hAnsi="Times New Roman"/>
          <w:b w:val="0"/>
          <w:bCs/>
          <w:sz w:val="20"/>
          <w:lang w:val="pt-BR"/>
        </w:rPr>
        <w:t xml:space="preserve"> </w:t>
      </w:r>
      <w:r w:rsidR="003407E2" w:rsidRPr="006B105F">
        <w:rPr>
          <w:rFonts w:ascii="Times New Roman" w:hAnsi="Times New Roman"/>
          <w:b w:val="0"/>
          <w:bCs/>
          <w:sz w:val="20"/>
          <w:lang w:val="pt-BR"/>
        </w:rPr>
        <w:t>de aproximadamente 91% dos ácidos graxos livres. Mais</w:t>
      </w:r>
      <w:r w:rsidR="003407E2">
        <w:rPr>
          <w:rFonts w:ascii="Times New Roman" w:hAnsi="Times New Roman"/>
          <w:b w:val="0"/>
          <w:bCs/>
          <w:sz w:val="20"/>
          <w:lang w:val="pt-BR"/>
        </w:rPr>
        <w:t xml:space="preserve"> caracterizações do catalisador e</w:t>
      </w:r>
      <w:r w:rsidR="003407E2" w:rsidRPr="006B105F">
        <w:rPr>
          <w:rFonts w:ascii="Times New Roman" w:hAnsi="Times New Roman"/>
          <w:b w:val="0"/>
          <w:bCs/>
          <w:sz w:val="20"/>
          <w:lang w:val="pt-BR"/>
        </w:rPr>
        <w:t xml:space="preserve"> </w:t>
      </w:r>
      <w:proofErr w:type="spellStart"/>
      <w:r w:rsidR="003407E2">
        <w:rPr>
          <w:rFonts w:ascii="Times New Roman" w:hAnsi="Times New Roman"/>
          <w:b w:val="0"/>
          <w:bCs/>
          <w:sz w:val="20"/>
          <w:lang w:val="pt-BR"/>
        </w:rPr>
        <w:t>replicatas</w:t>
      </w:r>
      <w:proofErr w:type="spellEnd"/>
      <w:r w:rsidR="003407E2">
        <w:rPr>
          <w:rFonts w:ascii="Times New Roman" w:hAnsi="Times New Roman"/>
          <w:b w:val="0"/>
          <w:bCs/>
          <w:sz w:val="20"/>
          <w:lang w:val="pt-BR"/>
        </w:rPr>
        <w:t xml:space="preserve"> dos testes catalíticos são</w:t>
      </w:r>
      <w:r w:rsidR="003407E2" w:rsidRPr="006B105F">
        <w:rPr>
          <w:rFonts w:ascii="Times New Roman" w:hAnsi="Times New Roman"/>
          <w:b w:val="0"/>
          <w:bCs/>
          <w:sz w:val="20"/>
          <w:lang w:val="pt-BR"/>
        </w:rPr>
        <w:t xml:space="preserve"> necessári</w:t>
      </w:r>
      <w:r w:rsidR="003407E2">
        <w:rPr>
          <w:rFonts w:ascii="Times New Roman" w:hAnsi="Times New Roman"/>
          <w:b w:val="0"/>
          <w:bCs/>
          <w:sz w:val="20"/>
          <w:lang w:val="pt-BR"/>
        </w:rPr>
        <w:t>a</w:t>
      </w:r>
      <w:r w:rsidR="003407E2" w:rsidRPr="006B105F">
        <w:rPr>
          <w:rFonts w:ascii="Times New Roman" w:hAnsi="Times New Roman"/>
          <w:b w:val="0"/>
          <w:bCs/>
          <w:sz w:val="20"/>
          <w:lang w:val="pt-BR"/>
        </w:rPr>
        <w:t xml:space="preserve">s </w:t>
      </w:r>
      <w:r w:rsidR="003407E2">
        <w:rPr>
          <w:rFonts w:ascii="Times New Roman" w:hAnsi="Times New Roman"/>
          <w:b w:val="0"/>
          <w:bCs/>
          <w:sz w:val="20"/>
          <w:lang w:val="pt-BR"/>
        </w:rPr>
        <w:t>avaliar</w:t>
      </w:r>
      <w:r w:rsidR="003407E2" w:rsidRPr="006B105F">
        <w:rPr>
          <w:rFonts w:ascii="Times New Roman" w:hAnsi="Times New Roman"/>
          <w:b w:val="0"/>
          <w:bCs/>
          <w:sz w:val="20"/>
          <w:lang w:val="pt-BR"/>
        </w:rPr>
        <w:t xml:space="preserve"> o catalisador</w:t>
      </w:r>
      <w:r w:rsidR="003407E2">
        <w:rPr>
          <w:rFonts w:ascii="Times New Roman" w:hAnsi="Times New Roman"/>
          <w:b w:val="0"/>
          <w:bCs/>
          <w:sz w:val="20"/>
          <w:lang w:val="pt-BR"/>
        </w:rPr>
        <w:t>, no entanto,</w:t>
      </w:r>
      <w:r w:rsidR="003407E2" w:rsidRPr="006B105F">
        <w:rPr>
          <w:rFonts w:ascii="Times New Roman" w:hAnsi="Times New Roman"/>
          <w:b w:val="0"/>
          <w:bCs/>
          <w:sz w:val="20"/>
          <w:lang w:val="pt-BR"/>
        </w:rPr>
        <w:t xml:space="preserve"> </w:t>
      </w:r>
      <w:r w:rsidR="003407E2">
        <w:rPr>
          <w:rFonts w:ascii="Times New Roman" w:hAnsi="Times New Roman"/>
          <w:b w:val="0"/>
          <w:bCs/>
          <w:sz w:val="20"/>
          <w:lang w:val="pt-BR"/>
        </w:rPr>
        <w:t>os resultados já obtidos</w:t>
      </w:r>
      <w:r w:rsidR="003407E2" w:rsidRPr="006B105F">
        <w:rPr>
          <w:rFonts w:ascii="Times New Roman" w:hAnsi="Times New Roman"/>
          <w:b w:val="0"/>
          <w:bCs/>
          <w:sz w:val="20"/>
          <w:lang w:val="pt-BR"/>
        </w:rPr>
        <w:t xml:space="preserve"> são bons indicativos do seu potencial </w:t>
      </w:r>
      <w:r w:rsidR="003407E2">
        <w:rPr>
          <w:rFonts w:ascii="Times New Roman" w:hAnsi="Times New Roman"/>
          <w:b w:val="0"/>
          <w:bCs/>
          <w:sz w:val="20"/>
          <w:lang w:val="pt-BR"/>
        </w:rPr>
        <w:t>em reações de esterificação</w:t>
      </w:r>
      <w:r w:rsidR="003407E2" w:rsidRPr="006B105F">
        <w:rPr>
          <w:rFonts w:ascii="Times New Roman" w:hAnsi="Times New Roman"/>
          <w:b w:val="0"/>
          <w:bCs/>
          <w:sz w:val="20"/>
          <w:lang w:val="pt-BR"/>
        </w:rPr>
        <w:t>.</w:t>
      </w:r>
    </w:p>
    <w:p w14:paraId="09B41B70" w14:textId="3F4EB4CC"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264837">
        <w:rPr>
          <w:rFonts w:ascii="Times New Roman" w:hAnsi="Times New Roman"/>
          <w:b w:val="0"/>
          <w:i/>
          <w:iCs/>
          <w:sz w:val="20"/>
          <w:lang w:val="pt-BR"/>
        </w:rPr>
        <w:t xml:space="preserve">cascas de bacuri, biocarvão, catalisador, esterificação, </w:t>
      </w:r>
      <w:r w:rsidR="00264837" w:rsidRPr="00AD1141">
        <w:rPr>
          <w:rFonts w:ascii="Times New Roman" w:hAnsi="Times New Roman"/>
          <w:b w:val="0"/>
          <w:bCs/>
          <w:i/>
          <w:iCs/>
          <w:sz w:val="20"/>
          <w:lang w:val="pt-BR"/>
        </w:rPr>
        <w:t>Ácido oleico</w:t>
      </w:r>
      <w:r w:rsidR="00264837">
        <w:rPr>
          <w:rFonts w:cs="Helvetica"/>
          <w:b w:val="0"/>
          <w:bCs/>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13943C3F" w:rsidR="00EA4E1B" w:rsidRPr="00385BF2" w:rsidRDefault="00EA4E1B" w:rsidP="00EA4E1B">
      <w:pPr>
        <w:pStyle w:val="BDAbstract"/>
        <w:spacing w:before="0" w:after="0" w:line="240" w:lineRule="auto"/>
        <w:rPr>
          <w:rFonts w:ascii="Times New Roman" w:hAnsi="Times New Roman"/>
          <w:b w:val="0"/>
          <w:sz w:val="20"/>
        </w:rPr>
      </w:pPr>
      <w:r w:rsidRPr="00385BF2">
        <w:rPr>
          <w:rFonts w:ascii="Times New Roman" w:hAnsi="Times New Roman"/>
          <w:b w:val="0"/>
          <w:sz w:val="20"/>
        </w:rPr>
        <w:t xml:space="preserve">ABSTRACT - </w:t>
      </w:r>
      <w:r w:rsidR="00385BF2" w:rsidRPr="00385BF2">
        <w:rPr>
          <w:rFonts w:ascii="Times New Roman" w:hAnsi="Times New Roman"/>
          <w:b w:val="0"/>
          <w:sz w:val="20"/>
        </w:rPr>
        <w:t xml:space="preserve">The </w:t>
      </w:r>
      <w:proofErr w:type="spellStart"/>
      <w:r w:rsidR="00385BF2" w:rsidRPr="00385BF2">
        <w:rPr>
          <w:rFonts w:ascii="Times New Roman" w:hAnsi="Times New Roman"/>
          <w:b w:val="0"/>
          <w:sz w:val="20"/>
        </w:rPr>
        <w:t>Bacuri</w:t>
      </w:r>
      <w:proofErr w:type="spellEnd"/>
      <w:r w:rsidR="00385BF2" w:rsidRPr="00385BF2">
        <w:rPr>
          <w:rFonts w:ascii="Times New Roman" w:hAnsi="Times New Roman"/>
          <w:b w:val="0"/>
          <w:sz w:val="20"/>
        </w:rPr>
        <w:t xml:space="preserve"> (</w:t>
      </w:r>
      <w:r w:rsidR="00385BF2" w:rsidRPr="00385BF2">
        <w:rPr>
          <w:rFonts w:ascii="Times New Roman" w:hAnsi="Times New Roman"/>
          <w:b w:val="0"/>
          <w:i/>
          <w:iCs/>
          <w:sz w:val="20"/>
        </w:rPr>
        <w:t>Platonia insignis</w:t>
      </w:r>
      <w:r w:rsidR="00385BF2" w:rsidRPr="00385BF2">
        <w:rPr>
          <w:rFonts w:ascii="Times New Roman" w:hAnsi="Times New Roman"/>
          <w:b w:val="0"/>
          <w:sz w:val="20"/>
        </w:rPr>
        <w:t xml:space="preserve">) is a fruit native to the Amazon region, recognized not only for its distinctive flavor and nutritional characteristics but also for its promising properties in various applications. </w:t>
      </w:r>
      <w:proofErr w:type="spellStart"/>
      <w:r w:rsidR="00385BF2" w:rsidRPr="00385BF2">
        <w:rPr>
          <w:rFonts w:ascii="Times New Roman" w:hAnsi="Times New Roman"/>
          <w:b w:val="0"/>
          <w:sz w:val="20"/>
        </w:rPr>
        <w:t>Bacuri</w:t>
      </w:r>
      <w:proofErr w:type="spellEnd"/>
      <w:r w:rsidR="00385BF2" w:rsidRPr="00385BF2">
        <w:rPr>
          <w:rFonts w:ascii="Times New Roman" w:hAnsi="Times New Roman"/>
          <w:b w:val="0"/>
          <w:sz w:val="20"/>
        </w:rPr>
        <w:t xml:space="preserve"> peels, often treated as waste, can be converted into acidic charcoals suitable for esterification reactions. In this context, </w:t>
      </w:r>
      <w:proofErr w:type="spellStart"/>
      <w:r w:rsidR="00385BF2" w:rsidRPr="00385BF2">
        <w:rPr>
          <w:rFonts w:ascii="Times New Roman" w:hAnsi="Times New Roman"/>
          <w:b w:val="0"/>
          <w:sz w:val="20"/>
        </w:rPr>
        <w:t>bacuri</w:t>
      </w:r>
      <w:proofErr w:type="spellEnd"/>
      <w:r w:rsidR="00385BF2" w:rsidRPr="00385BF2">
        <w:rPr>
          <w:rFonts w:ascii="Times New Roman" w:hAnsi="Times New Roman"/>
          <w:b w:val="0"/>
          <w:sz w:val="20"/>
        </w:rPr>
        <w:t xml:space="preserve"> peel charcoal was sulfonated using concentrated sulfuric acid to act as a catalyst in the esterification of Oleic Acid, resulting in biodiesel production. The catalyst exhibited a surface acidity of 9.3 mmol </w:t>
      </w:r>
      <w:r w:rsidR="00385BF2" w:rsidRPr="00385BF2">
        <w:rPr>
          <w:rFonts w:ascii="Times New Roman" w:hAnsi="Times New Roman"/>
          <w:b w:val="0"/>
          <w:bCs/>
          <w:sz w:val="20"/>
        </w:rPr>
        <w:t>H</w:t>
      </w:r>
      <w:r w:rsidR="00385BF2" w:rsidRPr="00385BF2">
        <w:rPr>
          <w:rFonts w:ascii="Times New Roman" w:hAnsi="Times New Roman"/>
          <w:b w:val="0"/>
          <w:bCs/>
          <w:sz w:val="20"/>
          <w:vertAlign w:val="superscript"/>
        </w:rPr>
        <w:t>+</w:t>
      </w:r>
      <w:r w:rsidR="00385BF2" w:rsidRPr="00385BF2">
        <w:rPr>
          <w:rFonts w:ascii="Times New Roman" w:hAnsi="Times New Roman"/>
          <w:b w:val="0"/>
          <w:bCs/>
          <w:sz w:val="20"/>
        </w:rPr>
        <w:t xml:space="preserve"> g-</w:t>
      </w:r>
      <w:r w:rsidR="00385BF2" w:rsidRPr="00385BF2">
        <w:rPr>
          <w:rFonts w:ascii="Times New Roman" w:hAnsi="Times New Roman"/>
          <w:b w:val="0"/>
          <w:bCs/>
          <w:sz w:val="20"/>
          <w:vertAlign w:val="superscript"/>
        </w:rPr>
        <w:t>1</w:t>
      </w:r>
      <w:r w:rsidR="00385BF2" w:rsidRPr="00385BF2">
        <w:rPr>
          <w:rFonts w:ascii="Times New Roman" w:hAnsi="Times New Roman"/>
          <w:b w:val="0"/>
          <w:sz w:val="20"/>
        </w:rPr>
        <w:t>, indicating the presence of acidic groups. At a molar ratio of 1:10 (Oleic acid/methanol), approximately 91% conversion of free fatty acids was achieved. Further catalyst characterizations and replication of catalytic tests are necessary for assessment. However, the obtained results already provide promising indications of its potential in esterification reactions.</w:t>
      </w:r>
    </w:p>
    <w:p w14:paraId="48D9B0C4" w14:textId="31A5FA2B" w:rsidR="00EA4E1B" w:rsidRDefault="00EA4E1B" w:rsidP="00385BF2">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r w:rsidRPr="00385BF2">
        <w:rPr>
          <w:rFonts w:ascii="Times New Roman" w:hAnsi="Times New Roman"/>
          <w:b w:val="0"/>
          <w:i/>
          <w:sz w:val="20"/>
        </w:rPr>
        <w:t xml:space="preserve">Keywords: </w:t>
      </w:r>
      <w:bookmarkEnd w:id="0"/>
      <w:proofErr w:type="spellStart"/>
      <w:r w:rsidR="00385BF2">
        <w:rPr>
          <w:rFonts w:ascii="Times New Roman" w:hAnsi="Times New Roman"/>
          <w:b w:val="0"/>
          <w:i/>
          <w:sz w:val="20"/>
        </w:rPr>
        <w:t>bacuri</w:t>
      </w:r>
      <w:proofErr w:type="spellEnd"/>
      <w:r w:rsidR="00385BF2">
        <w:rPr>
          <w:rFonts w:ascii="Times New Roman" w:hAnsi="Times New Roman"/>
          <w:b w:val="0"/>
          <w:i/>
          <w:sz w:val="20"/>
        </w:rPr>
        <w:t xml:space="preserve"> peel</w:t>
      </w:r>
      <w:r w:rsidR="00385BF2" w:rsidRPr="00113CDD">
        <w:rPr>
          <w:rFonts w:ascii="Times New Roman" w:hAnsi="Times New Roman"/>
          <w:b w:val="0"/>
          <w:i/>
          <w:sz w:val="20"/>
        </w:rPr>
        <w:t>, biochar, catalyst, esterification,</w:t>
      </w:r>
      <w:r w:rsidR="00385BF2">
        <w:rPr>
          <w:rFonts w:ascii="Times New Roman" w:hAnsi="Times New Roman"/>
          <w:b w:val="0"/>
          <w:i/>
          <w:sz w:val="20"/>
        </w:rPr>
        <w:t xml:space="preserve"> </w:t>
      </w:r>
      <w:r w:rsidR="00385BF2" w:rsidRPr="00046DEC">
        <w:rPr>
          <w:rFonts w:ascii="Times New Roman" w:hAnsi="Times New Roman"/>
          <w:b w:val="0"/>
          <w:i/>
          <w:sz w:val="20"/>
        </w:rPr>
        <w:t>oleic acid</w:t>
      </w:r>
      <w:r w:rsidR="00385BF2">
        <w:rPr>
          <w:rFonts w:ascii="Times New Roman" w:hAnsi="Times New Roman"/>
          <w:b w:val="0"/>
          <w:i/>
          <w:sz w:val="20"/>
        </w:rPr>
        <w:t>.</w:t>
      </w:r>
    </w:p>
    <w:p w14:paraId="625F2C0A" w14:textId="77777777" w:rsidR="00EA4E1B" w:rsidRPr="00385BF2" w:rsidRDefault="00EA4E1B" w:rsidP="00EA4E1B">
      <w:pPr>
        <w:pStyle w:val="Ttulo2"/>
        <w:spacing w:before="0"/>
        <w:rPr>
          <w:rFonts w:ascii="Helvetica" w:hAnsi="Helvetica" w:cs="Helvetica"/>
          <w:sz w:val="24"/>
          <w:szCs w:val="24"/>
          <w:lang w:val="en-US"/>
        </w:rPr>
      </w:pPr>
      <w:proofErr w:type="spellStart"/>
      <w:r w:rsidRPr="00385BF2">
        <w:rPr>
          <w:rFonts w:ascii="Helvetica" w:hAnsi="Helvetica" w:cs="Helvetica"/>
          <w:sz w:val="24"/>
          <w:szCs w:val="24"/>
          <w:lang w:val="en-US"/>
        </w:rPr>
        <w:t>Introdução</w:t>
      </w:r>
      <w:proofErr w:type="spellEnd"/>
    </w:p>
    <w:p w14:paraId="0BB299B0" w14:textId="29F556F2" w:rsidR="00385BF2" w:rsidRPr="00385BF2" w:rsidRDefault="00385BF2" w:rsidP="00385BF2">
      <w:pPr>
        <w:pStyle w:val="TAMainText"/>
        <w:rPr>
          <w:rFonts w:ascii="Times New Roman" w:hAnsi="Times New Roman"/>
          <w:lang w:val="pt-BR"/>
        </w:rPr>
      </w:pPr>
      <w:r w:rsidRPr="00385BF2">
        <w:rPr>
          <w:rFonts w:ascii="Times New Roman" w:hAnsi="Times New Roman"/>
          <w:lang w:val="pt-BR"/>
        </w:rPr>
        <w:t>A utilização de biomateriais como catalisadores para produção de biocombustíveis t</w:t>
      </w:r>
      <w:r>
        <w:rPr>
          <w:rFonts w:ascii="Times New Roman" w:hAnsi="Times New Roman"/>
          <w:lang w:val="pt-BR"/>
        </w:rPr>
        <w:t>e</w:t>
      </w:r>
      <w:r w:rsidRPr="00385BF2">
        <w:rPr>
          <w:rFonts w:ascii="Times New Roman" w:hAnsi="Times New Roman"/>
          <w:lang w:val="pt-BR"/>
        </w:rPr>
        <w:t>m ganhado destaque, com a casca do Bacuri (</w:t>
      </w:r>
      <w:proofErr w:type="spellStart"/>
      <w:r w:rsidRPr="00385BF2">
        <w:rPr>
          <w:rFonts w:ascii="Times New Roman" w:hAnsi="Times New Roman"/>
          <w:i/>
          <w:iCs/>
          <w:lang w:val="pt-BR"/>
        </w:rPr>
        <w:t>Platonia</w:t>
      </w:r>
      <w:proofErr w:type="spellEnd"/>
      <w:r w:rsidRPr="00385BF2">
        <w:rPr>
          <w:rFonts w:ascii="Times New Roman" w:hAnsi="Times New Roman"/>
          <w:i/>
          <w:iCs/>
          <w:lang w:val="pt-BR"/>
        </w:rPr>
        <w:t xml:space="preserve"> </w:t>
      </w:r>
      <w:proofErr w:type="spellStart"/>
      <w:r w:rsidRPr="00385BF2">
        <w:rPr>
          <w:rFonts w:ascii="Times New Roman" w:hAnsi="Times New Roman"/>
          <w:i/>
          <w:iCs/>
          <w:lang w:val="pt-BR"/>
        </w:rPr>
        <w:t>insignis</w:t>
      </w:r>
      <w:proofErr w:type="spellEnd"/>
      <w:r w:rsidRPr="00385BF2">
        <w:rPr>
          <w:rFonts w:ascii="Times New Roman" w:hAnsi="Times New Roman"/>
          <w:lang w:val="pt-BR"/>
        </w:rPr>
        <w:t>) surgindo como matéria-prima promissora (1). A rica biodiversidade da região amazônica, incluindo o Bacuri, oferece oportunidades para inovação (2).</w:t>
      </w:r>
    </w:p>
    <w:p w14:paraId="7F54707A" w14:textId="6A3BABD4" w:rsidR="00385BF2" w:rsidRPr="00385BF2" w:rsidRDefault="00385BF2" w:rsidP="00385BF2">
      <w:pPr>
        <w:pStyle w:val="TAMainText"/>
        <w:rPr>
          <w:rFonts w:ascii="Times New Roman" w:hAnsi="Times New Roman"/>
          <w:lang w:val="pt-BR"/>
        </w:rPr>
      </w:pPr>
      <w:r w:rsidRPr="00385BF2">
        <w:rPr>
          <w:rFonts w:ascii="Times New Roman" w:hAnsi="Times New Roman"/>
          <w:lang w:val="pt-BR"/>
        </w:rPr>
        <w:t xml:space="preserve"> A produção de Bacuri é tradicional, mas a crescente demanda exige alternativas como o cultivo de pomares (3). Os estados do Pará e Maranhão se destacam na produção, porém, apenas uma fração do fruto é aproveitada (4). A reutilização das cascas como suporte para catalisadores heterogêneos apresenta uma solução para o excedente de resíduos.</w:t>
      </w:r>
    </w:p>
    <w:p w14:paraId="143CD8C8" w14:textId="2830E6BA" w:rsidR="000D74D7" w:rsidRPr="001F25B2" w:rsidRDefault="00385BF2" w:rsidP="00385BF2">
      <w:pPr>
        <w:pStyle w:val="TAMainText"/>
        <w:rPr>
          <w:rFonts w:ascii="Times New Roman" w:hAnsi="Times New Roman"/>
          <w:b/>
          <w:lang w:val="pt-BR"/>
        </w:rPr>
      </w:pPr>
      <w:r w:rsidRPr="00385BF2">
        <w:rPr>
          <w:rFonts w:ascii="Times New Roman" w:hAnsi="Times New Roman"/>
          <w:lang w:val="pt-BR"/>
        </w:rPr>
        <w:t xml:space="preserve">A utilização de carvão ativado como suporte catalítico é uma abordagem conhecida, oferecendo alta área superficial e baixo custo (5). A funcionalização com ácido sulfúrico permite a ancoragem da fase ativa necessária para reações catalíticas eficazes (6). A aplicação prática dessa abordagem reside na produção de biodiesel, um combustível renovável </w:t>
      </w:r>
      <w:r w:rsidRPr="00385BF2">
        <w:rPr>
          <w:rFonts w:ascii="Times New Roman" w:hAnsi="Times New Roman"/>
          <w:lang w:val="pt-BR"/>
        </w:rPr>
        <w:t>e sustentável (7).</w:t>
      </w:r>
      <w:r>
        <w:rPr>
          <w:rFonts w:ascii="Times New Roman" w:hAnsi="Times New Roman"/>
          <w:lang w:val="pt-BR"/>
        </w:rPr>
        <w:t xml:space="preserve"> </w:t>
      </w:r>
      <w:r w:rsidRPr="00385BF2">
        <w:rPr>
          <w:rFonts w:ascii="Times New Roman" w:hAnsi="Times New Roman"/>
          <w:lang w:val="pt-BR"/>
        </w:rPr>
        <w:t>Esses catalisadores podem impulsionar a síntese de biocombustíveis e outros compostos industriais valiosos.</w:t>
      </w:r>
    </w:p>
    <w:p w14:paraId="52FFAC79" w14:textId="77777777" w:rsidR="00EA4E1B"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16090952" w14:textId="3867836E" w:rsidR="009B567F" w:rsidRPr="009B567F" w:rsidRDefault="009B567F" w:rsidP="009B567F">
      <w:pPr>
        <w:pStyle w:val="TAMainText"/>
        <w:ind w:firstLine="0"/>
        <w:rPr>
          <w:rFonts w:ascii="Times New Roman" w:hAnsi="Times New Roman"/>
          <w:i/>
          <w:lang w:val="pt-BR"/>
        </w:rPr>
      </w:pPr>
      <w:r>
        <w:rPr>
          <w:rFonts w:ascii="Times New Roman" w:hAnsi="Times New Roman"/>
          <w:i/>
          <w:lang w:val="pt-BR"/>
        </w:rPr>
        <w:t>Preparo do catalisador</w:t>
      </w:r>
    </w:p>
    <w:p w14:paraId="7D7CC382" w14:textId="18F320D7" w:rsidR="00385BF2" w:rsidRDefault="00385BF2" w:rsidP="00385BF2">
      <w:pPr>
        <w:pStyle w:val="TAMainText"/>
        <w:rPr>
          <w:rFonts w:ascii="Times New Roman" w:hAnsi="Times New Roman"/>
          <w:lang w:val="pt-BR"/>
        </w:rPr>
      </w:pPr>
      <w:r>
        <w:rPr>
          <w:rFonts w:ascii="Times New Roman" w:hAnsi="Times New Roman"/>
          <w:lang w:val="pt-BR"/>
        </w:rPr>
        <w:t>O preparo do catalisador seguiu o descrito em Corrêa e colaboradores (</w:t>
      </w:r>
      <w:r w:rsidR="006910E7">
        <w:rPr>
          <w:rFonts w:ascii="Times New Roman" w:hAnsi="Times New Roman"/>
          <w:lang w:val="pt-BR"/>
        </w:rPr>
        <w:t>8</w:t>
      </w:r>
      <w:r>
        <w:rPr>
          <w:rFonts w:ascii="Times New Roman" w:hAnsi="Times New Roman"/>
          <w:lang w:val="pt-BR"/>
        </w:rPr>
        <w:t xml:space="preserve">). As cascas de Bacuri foram trituradas e passaram por uma peneira de 35 </w:t>
      </w:r>
      <w:proofErr w:type="spellStart"/>
      <w:r>
        <w:rPr>
          <w:rFonts w:ascii="Times New Roman" w:hAnsi="Times New Roman"/>
          <w:lang w:val="pt-BR"/>
        </w:rPr>
        <w:t>mesh</w:t>
      </w:r>
      <w:proofErr w:type="spellEnd"/>
      <w:r>
        <w:rPr>
          <w:rFonts w:ascii="Times New Roman" w:hAnsi="Times New Roman"/>
          <w:lang w:val="pt-BR"/>
        </w:rPr>
        <w:t>. O processo de carbonização ocorreu em forno tubular com etapas de aquecimento de 115 ºC por 30min, 360°C por 30min e 500°C por 1h, sob taxa de aquecimento de 10 ºC min</w:t>
      </w:r>
      <w:r>
        <w:rPr>
          <w:rFonts w:ascii="Times New Roman" w:hAnsi="Times New Roman"/>
          <w:vertAlign w:val="superscript"/>
          <w:lang w:val="pt-BR"/>
        </w:rPr>
        <w:t>-1</w:t>
      </w:r>
      <w:r>
        <w:rPr>
          <w:rFonts w:ascii="Times New Roman" w:hAnsi="Times New Roman"/>
          <w:lang w:val="pt-BR"/>
        </w:rPr>
        <w:t xml:space="preserve"> e fluxo de N</w:t>
      </w:r>
      <w:r>
        <w:rPr>
          <w:rFonts w:ascii="Times New Roman" w:hAnsi="Times New Roman"/>
          <w:vertAlign w:val="subscript"/>
          <w:lang w:val="pt-BR"/>
        </w:rPr>
        <w:t>2</w:t>
      </w:r>
      <w:r>
        <w:rPr>
          <w:rFonts w:ascii="Times New Roman" w:hAnsi="Times New Roman"/>
          <w:lang w:val="pt-BR"/>
        </w:rPr>
        <w:t xml:space="preserve"> de 80 mL min</w:t>
      </w:r>
      <w:r>
        <w:rPr>
          <w:rFonts w:ascii="Times New Roman" w:hAnsi="Times New Roman"/>
          <w:vertAlign w:val="superscript"/>
          <w:lang w:val="pt-BR"/>
        </w:rPr>
        <w:t>-1</w:t>
      </w:r>
      <w:r>
        <w:rPr>
          <w:rFonts w:ascii="Times New Roman" w:hAnsi="Times New Roman"/>
          <w:lang w:val="pt-BR"/>
        </w:rPr>
        <w:t>.</w:t>
      </w:r>
    </w:p>
    <w:p w14:paraId="36653F8C" w14:textId="77777777" w:rsidR="00385BF2" w:rsidRPr="007C1FB6" w:rsidRDefault="00385BF2" w:rsidP="00385BF2">
      <w:pPr>
        <w:pStyle w:val="TAMainText"/>
        <w:rPr>
          <w:rFonts w:ascii="Times New Roman" w:hAnsi="Times New Roman"/>
          <w:lang w:val="pt-BR"/>
        </w:rPr>
      </w:pPr>
      <w:r>
        <w:rPr>
          <w:rFonts w:ascii="Times New Roman" w:hAnsi="Times New Roman"/>
          <w:lang w:val="pt-BR"/>
        </w:rPr>
        <w:t xml:space="preserve">O biocarvão obtido foi sulfonado em sistema de refluxo, com ácido sulfúrico concentrado a uma razão de 1:10 m/v (biocarvão/ácido), durante 4 horas e sob uma temperatura de 200 ºC. Após esse processo, o conteúdo foi diluído em 1 L de água destilada, de maneira a diminuir os riscos, para passar pelo processo de filtragem à vácuo. O biocarvão foi </w:t>
      </w:r>
      <w:r>
        <w:rPr>
          <w:rFonts w:ascii="Times New Roman" w:hAnsi="Times New Roman"/>
          <w:lang w:val="pt-BR"/>
        </w:rPr>
        <w:lastRenderedPageBreak/>
        <w:t>lavado com água destilada até a água de lavagem se encontrar em pH próximo de 7 e seco em estufa a 110 ºC.</w:t>
      </w:r>
    </w:p>
    <w:p w14:paraId="209DAFEE" w14:textId="77777777" w:rsidR="009B567F" w:rsidRPr="001F25B2" w:rsidRDefault="009B567F" w:rsidP="009B567F">
      <w:pPr>
        <w:pStyle w:val="TAMainText"/>
        <w:spacing w:before="240"/>
        <w:ind w:firstLine="0"/>
        <w:rPr>
          <w:rFonts w:ascii="Times New Roman" w:hAnsi="Times New Roman"/>
          <w:i/>
          <w:lang w:val="pt-BR"/>
        </w:rPr>
      </w:pPr>
      <w:r>
        <w:rPr>
          <w:rFonts w:ascii="Times New Roman" w:hAnsi="Times New Roman"/>
          <w:i/>
          <w:lang w:val="pt-BR"/>
        </w:rPr>
        <w:t>Acidez superficial</w:t>
      </w:r>
    </w:p>
    <w:p w14:paraId="5FA03853" w14:textId="30694290" w:rsidR="009B567F" w:rsidRPr="009B567F" w:rsidRDefault="009B567F" w:rsidP="009B567F">
      <w:pPr>
        <w:pStyle w:val="TAMainText"/>
        <w:spacing w:after="240"/>
        <w:rPr>
          <w:rFonts w:ascii="Times New Roman" w:hAnsi="Times New Roman"/>
          <w:lang w:val="pt-BR"/>
        </w:rPr>
      </w:pPr>
      <w:r>
        <w:rPr>
          <w:rFonts w:ascii="Times New Roman" w:hAnsi="Times New Roman"/>
          <w:lang w:val="pt-BR"/>
        </w:rPr>
        <w:t>A metodologia de acidez superficial utilizada neste trabalho seguiu o descrito por Corrêa e colaboradores (</w:t>
      </w:r>
      <w:r w:rsidR="006910E7">
        <w:rPr>
          <w:rFonts w:ascii="Times New Roman" w:hAnsi="Times New Roman"/>
          <w:lang w:val="pt-BR"/>
        </w:rPr>
        <w:t>8</w:t>
      </w:r>
      <w:r>
        <w:rPr>
          <w:rFonts w:ascii="Times New Roman" w:hAnsi="Times New Roman"/>
          <w:lang w:val="pt-BR"/>
        </w:rPr>
        <w:t>).</w:t>
      </w:r>
    </w:p>
    <w:p w14:paraId="6543B84C" w14:textId="1DEB1C0F" w:rsidR="00385BF2" w:rsidRPr="001F25B2" w:rsidRDefault="00385BF2" w:rsidP="00385BF2">
      <w:pPr>
        <w:pStyle w:val="TAMainText"/>
        <w:ind w:firstLine="0"/>
        <w:rPr>
          <w:rFonts w:ascii="Times New Roman" w:hAnsi="Times New Roman"/>
          <w:i/>
          <w:lang w:val="pt-BR"/>
        </w:rPr>
      </w:pPr>
      <w:r>
        <w:rPr>
          <w:rFonts w:ascii="Times New Roman" w:hAnsi="Times New Roman"/>
          <w:i/>
          <w:lang w:val="pt-BR"/>
        </w:rPr>
        <w:t>Processo de esterificação</w:t>
      </w:r>
    </w:p>
    <w:p w14:paraId="72021EA9" w14:textId="77777777" w:rsidR="00385BF2" w:rsidRPr="0025771F" w:rsidRDefault="00385BF2" w:rsidP="00385BF2">
      <w:pPr>
        <w:pStyle w:val="TAMainText"/>
        <w:rPr>
          <w:rFonts w:ascii="Times New Roman" w:hAnsi="Times New Roman"/>
          <w:lang w:val="pt-BR"/>
        </w:rPr>
      </w:pPr>
      <w:r>
        <w:rPr>
          <w:rFonts w:ascii="Times New Roman" w:hAnsi="Times New Roman"/>
          <w:lang w:val="pt-BR"/>
        </w:rPr>
        <w:t xml:space="preserve">A esterificação de Ácido Oleico foi realizada em um reator de bancada </w:t>
      </w:r>
      <w:proofErr w:type="spellStart"/>
      <w:r>
        <w:rPr>
          <w:rFonts w:ascii="Times New Roman" w:hAnsi="Times New Roman"/>
          <w:lang w:val="pt-BR"/>
        </w:rPr>
        <w:t>Parr</w:t>
      </w:r>
      <w:proofErr w:type="spellEnd"/>
      <w:r>
        <w:rPr>
          <w:rFonts w:ascii="Times New Roman" w:hAnsi="Times New Roman"/>
          <w:lang w:val="pt-BR"/>
        </w:rPr>
        <w:t xml:space="preserve"> 4848,</w:t>
      </w:r>
      <w:r>
        <w:rPr>
          <w:rFonts w:ascii="Times New Roman" w:hAnsi="Times New Roman"/>
          <w:color w:val="FF0000"/>
          <w:lang w:val="pt-BR"/>
        </w:rPr>
        <w:t xml:space="preserve"> </w:t>
      </w:r>
      <w:r>
        <w:rPr>
          <w:rFonts w:ascii="Times New Roman" w:hAnsi="Times New Roman"/>
          <w:lang w:val="pt-BR"/>
        </w:rPr>
        <w:t xml:space="preserve">na razão molar de </w:t>
      </w:r>
      <w:r w:rsidRPr="00354C98">
        <w:rPr>
          <w:rFonts w:ascii="Times New Roman" w:hAnsi="Times New Roman"/>
          <w:lang w:val="pt-BR"/>
        </w:rPr>
        <w:t xml:space="preserve">1:10 </w:t>
      </w:r>
      <w:r>
        <w:rPr>
          <w:rFonts w:ascii="Times New Roman" w:hAnsi="Times New Roman"/>
          <w:lang w:val="pt-BR"/>
        </w:rPr>
        <w:t xml:space="preserve">(ácido oleico/metanol), a uma temperatura de 90ºC, durante </w:t>
      </w:r>
      <w:r w:rsidRPr="00354C98">
        <w:rPr>
          <w:rFonts w:ascii="Times New Roman" w:hAnsi="Times New Roman"/>
          <w:lang w:val="pt-BR"/>
        </w:rPr>
        <w:t>1h30</w:t>
      </w:r>
      <w:r>
        <w:rPr>
          <w:rFonts w:ascii="Times New Roman" w:hAnsi="Times New Roman"/>
          <w:lang w:val="pt-BR"/>
        </w:rPr>
        <w:t xml:space="preserve"> e utilizando 5% de catalisador previamente seco na estufa por 1 hora a 130</w:t>
      </w:r>
      <w:r w:rsidRPr="00354C98">
        <w:rPr>
          <w:rFonts w:ascii="Times New Roman" w:hAnsi="Times New Roman"/>
          <w:lang w:val="pt-BR"/>
        </w:rPr>
        <w:t xml:space="preserve"> ºC</w:t>
      </w:r>
      <w:r w:rsidRPr="00916048">
        <w:rPr>
          <w:rFonts w:ascii="Times New Roman" w:hAnsi="Times New Roman"/>
          <w:color w:val="FF0000"/>
          <w:lang w:val="pt-BR"/>
        </w:rPr>
        <w:t xml:space="preserve">.  </w:t>
      </w:r>
      <w:r>
        <w:rPr>
          <w:rFonts w:ascii="Times New Roman" w:hAnsi="Times New Roman"/>
          <w:lang w:val="pt-BR"/>
        </w:rPr>
        <w:t>Após as reações, o produto foi filtrado para a separação do catalisador e aquecido até 105 ºC para a evaporação do álcool e da água.</w:t>
      </w:r>
    </w:p>
    <w:p w14:paraId="565F3E8B" w14:textId="77777777" w:rsidR="00385BF2" w:rsidRDefault="00385BF2" w:rsidP="00385BF2">
      <w:pPr>
        <w:pStyle w:val="TAMainText"/>
        <w:rPr>
          <w:rFonts w:ascii="Times New Roman" w:hAnsi="Times New Roman"/>
          <w:lang w:val="pt-BR"/>
        </w:rPr>
      </w:pPr>
      <w:bookmarkStart w:id="4" w:name="_Hlk142898956"/>
      <w:r>
        <w:rPr>
          <w:rFonts w:ascii="Times New Roman" w:hAnsi="Times New Roman"/>
          <w:lang w:val="pt-BR"/>
        </w:rPr>
        <w:t>As reações foram realizadas em triplicata e a porcentagem de c</w:t>
      </w:r>
      <w:bookmarkEnd w:id="4"/>
      <w:r>
        <w:rPr>
          <w:rFonts w:ascii="Times New Roman" w:hAnsi="Times New Roman"/>
          <w:lang w:val="pt-BR"/>
        </w:rPr>
        <w:t>onversão de ácidos graxos livres foi calculada a partir dos resultados de índice de acidez das amostras, também realizado em triplicata. A conversão foi calculada de acordo com a seguinte equação:</w:t>
      </w:r>
    </w:p>
    <w:p w14:paraId="1EEF2BCC" w14:textId="77777777" w:rsidR="00385BF2" w:rsidRPr="006277CA" w:rsidRDefault="00385BF2" w:rsidP="00385BF2">
      <w:pPr>
        <w:spacing w:after="0"/>
        <w:rPr>
          <w:rFonts w:ascii="Times New Roman" w:eastAsia="Times New Roman" w:hAnsi="Times New Roman" w:cs="Times New Roman"/>
          <w:sz w:val="20"/>
          <w:szCs w:val="20"/>
        </w:rPr>
      </w:pPr>
      <m:oMathPara>
        <m:oMath>
          <m:r>
            <m:rPr>
              <m:sty m:val="p"/>
            </m:rPr>
            <w:rPr>
              <w:rFonts w:ascii="Cambria Math" w:hAnsi="Cambria Math"/>
              <w:sz w:val="20"/>
              <w:szCs w:val="20"/>
            </w:rPr>
            <m:t>%</m:t>
          </m:r>
          <m:r>
            <w:rPr>
              <w:rFonts w:ascii="Cambria Math" w:hAnsi="Cambria Math"/>
              <w:sz w:val="20"/>
              <w:szCs w:val="20"/>
            </w:rPr>
            <m:t>Convers</m:t>
          </m:r>
          <m:r>
            <m:rPr>
              <m:sty m:val="p"/>
            </m:rPr>
            <w:rPr>
              <w:rFonts w:ascii="Cambria Math" w:hAnsi="Cambria Math"/>
              <w:sz w:val="20"/>
              <w:szCs w:val="20"/>
            </w:rPr>
            <m:t>ã</m:t>
          </m:r>
          <m:r>
            <w:rPr>
              <w:rFonts w:ascii="Cambria Math" w:hAnsi="Cambria Math"/>
              <w:sz w:val="20"/>
              <w:szCs w:val="20"/>
            </w:rPr>
            <m:t>o</m:t>
          </m:r>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1-</m:t>
              </m:r>
              <m:f>
                <m:fPr>
                  <m:ctrlPr>
                    <w:rPr>
                      <w:rFonts w:ascii="Cambria Math" w:hAnsi="Cambria Math"/>
                      <w:sz w:val="20"/>
                      <w:szCs w:val="20"/>
                    </w:rPr>
                  </m:ctrlPr>
                </m:fPr>
                <m:num>
                  <w:bookmarkStart w:id="5" w:name="_Hlk142866635"/>
                  <m:sSub>
                    <m:sSubPr>
                      <m:ctrlPr>
                        <w:rPr>
                          <w:rFonts w:ascii="Cambria Math" w:hAnsi="Cambria Math"/>
                          <w:sz w:val="20"/>
                          <w:szCs w:val="20"/>
                        </w:rPr>
                      </m:ctrlPr>
                    </m:sSubPr>
                    <m:e>
                      <m:r>
                        <w:rPr>
                          <w:rFonts w:ascii="Cambria Math" w:hAnsi="Cambria Math"/>
                          <w:sz w:val="20"/>
                          <w:szCs w:val="20"/>
                        </w:rPr>
                        <m:t>IA</m:t>
                      </m:r>
                    </m:e>
                    <m:sub>
                      <m:r>
                        <w:rPr>
                          <w:rFonts w:ascii="Cambria Math" w:hAnsi="Cambria Math"/>
                          <w:sz w:val="20"/>
                          <w:szCs w:val="20"/>
                        </w:rPr>
                        <m:t>f</m:t>
                      </m:r>
                    </m:sub>
                  </m:sSub>
                  <w:bookmarkEnd w:id="5"/>
                </m:num>
                <m:den>
                  <m:sSub>
                    <m:sSubPr>
                      <m:ctrlPr>
                        <w:rPr>
                          <w:rFonts w:ascii="Cambria Math" w:eastAsia="Times New Roman" w:hAnsi="Cambria Math" w:cs="Times New Roman"/>
                          <w:sz w:val="20"/>
                          <w:szCs w:val="20"/>
                          <w:lang w:eastAsia="pt-BR"/>
                        </w:rPr>
                      </m:ctrlPr>
                    </m:sSubPr>
                    <m:e>
                      <m:r>
                        <w:rPr>
                          <w:rFonts w:ascii="Cambria Math" w:hAnsi="Cambria Math"/>
                          <w:sz w:val="20"/>
                          <w:szCs w:val="20"/>
                        </w:rPr>
                        <m:t>IA</m:t>
                      </m:r>
                    </m:e>
                    <m:sub>
                      <m:r>
                        <w:rPr>
                          <w:rFonts w:ascii="Cambria Math" w:hAnsi="Cambria Math"/>
                          <w:sz w:val="20"/>
                          <w:szCs w:val="20"/>
                        </w:rPr>
                        <m:t>i</m:t>
                      </m:r>
                    </m:sub>
                  </m:sSub>
                </m:den>
              </m:f>
            </m:e>
          </m:d>
          <m:r>
            <w:rPr>
              <w:rFonts w:ascii="Cambria Math" w:hAnsi="Cambria Math"/>
              <w:sz w:val="20"/>
              <w:szCs w:val="20"/>
            </w:rPr>
            <m:t>x</m:t>
          </m:r>
          <m:r>
            <m:rPr>
              <m:sty m:val="p"/>
            </m:rPr>
            <w:rPr>
              <w:rFonts w:ascii="Cambria Math" w:hAnsi="Cambria Math"/>
              <w:sz w:val="20"/>
              <w:szCs w:val="20"/>
            </w:rPr>
            <m:t>100</m:t>
          </m:r>
        </m:oMath>
      </m:oMathPara>
    </w:p>
    <w:p w14:paraId="586FE7A8" w14:textId="77777777" w:rsidR="00385BF2" w:rsidRDefault="00385BF2" w:rsidP="00385BF2">
      <w:pPr>
        <w:spacing w:after="0"/>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rPr>
        <w:t xml:space="preserve">Onde </w:t>
      </w:r>
      <m:oMath>
        <m:sSub>
          <m:sSubPr>
            <m:ctrlPr>
              <w:rPr>
                <w:rFonts w:ascii="Cambria Math" w:hAnsi="Cambria Math"/>
                <w:sz w:val="20"/>
                <w:szCs w:val="20"/>
              </w:rPr>
            </m:ctrlPr>
          </m:sSubPr>
          <m:e>
            <m:r>
              <m:rPr>
                <m:nor/>
              </m:rPr>
              <w:rPr>
                <w:rFonts w:ascii="Cambria Math" w:hAnsi="Cambria Math"/>
                <w:iCs/>
                <w:sz w:val="20"/>
                <w:szCs w:val="20"/>
              </w:rPr>
              <m:t>IA</m:t>
            </m:r>
          </m:e>
          <m:sub>
            <m:r>
              <m:rPr>
                <m:nor/>
              </m:rPr>
              <w:rPr>
                <w:rFonts w:ascii="Cambria Math" w:hAnsi="Cambria Math"/>
                <w:iCs/>
                <w:sz w:val="20"/>
                <w:szCs w:val="20"/>
              </w:rPr>
              <m:t>f</m:t>
            </m:r>
          </m:sub>
        </m:sSub>
      </m:oMath>
      <w:r>
        <w:rPr>
          <w:rFonts w:ascii="Times New Roman" w:eastAsia="Times New Roman" w:hAnsi="Times New Roman" w:cs="Times New Roman"/>
          <w:sz w:val="20"/>
          <w:szCs w:val="20"/>
        </w:rPr>
        <w:t xml:space="preserve"> representa o índice de acidez final e </w:t>
      </w:r>
      <m:oMath>
        <m:sSub>
          <m:sSubPr>
            <m:ctrlPr>
              <w:rPr>
                <w:rFonts w:ascii="Cambria Math" w:eastAsia="Times New Roman" w:hAnsi="Cambria Math" w:cs="Times New Roman"/>
                <w:iCs/>
                <w:sz w:val="20"/>
                <w:szCs w:val="20"/>
                <w:lang w:eastAsia="pt-BR"/>
              </w:rPr>
            </m:ctrlPr>
          </m:sSubPr>
          <m:e>
            <m:r>
              <m:rPr>
                <m:sty m:val="p"/>
              </m:rPr>
              <w:rPr>
                <w:rFonts w:ascii="Cambria Math" w:hAnsi="Cambria Math"/>
                <w:sz w:val="20"/>
                <w:szCs w:val="20"/>
              </w:rPr>
              <m:t>IA</m:t>
            </m:r>
          </m:e>
          <m:sub>
            <m:r>
              <m:rPr>
                <m:sty m:val="p"/>
              </m:rPr>
              <w:rPr>
                <w:rFonts w:ascii="Cambria Math" w:hAnsi="Cambria Math"/>
                <w:sz w:val="20"/>
                <w:szCs w:val="20"/>
              </w:rPr>
              <m:t>i</m:t>
            </m:r>
          </m:sub>
        </m:sSub>
      </m:oMath>
      <w:r w:rsidRPr="00C56C68">
        <w:rPr>
          <w:rFonts w:ascii="Times New Roman" w:eastAsia="Times New Roman" w:hAnsi="Times New Roman" w:cs="Times New Roman"/>
          <w:iCs/>
          <w:sz w:val="20"/>
          <w:szCs w:val="20"/>
          <w:lang w:eastAsia="pt-BR"/>
        </w:rPr>
        <w:t xml:space="preserve"> </w:t>
      </w:r>
      <w:r>
        <w:rPr>
          <w:rFonts w:ascii="Times New Roman" w:eastAsia="Times New Roman" w:hAnsi="Times New Roman" w:cs="Times New Roman"/>
          <w:sz w:val="20"/>
          <w:szCs w:val="20"/>
          <w:lang w:eastAsia="pt-BR"/>
        </w:rPr>
        <w:t>o índice de acidez inicial.</w:t>
      </w:r>
    </w:p>
    <w:p w14:paraId="136BD1AC" w14:textId="731A63B1"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2DFC5A2E" w14:textId="28DF577D" w:rsidR="009B567F" w:rsidRPr="009B567F" w:rsidRDefault="009B567F" w:rsidP="009B567F">
      <w:pPr>
        <w:pStyle w:val="TAMainText"/>
        <w:spacing w:before="240"/>
        <w:ind w:firstLine="0"/>
        <w:rPr>
          <w:rFonts w:ascii="Times New Roman" w:hAnsi="Times New Roman"/>
          <w:i/>
          <w:lang w:val="pt-BR"/>
        </w:rPr>
      </w:pPr>
      <w:r>
        <w:rPr>
          <w:rFonts w:ascii="Times New Roman" w:hAnsi="Times New Roman"/>
          <w:i/>
          <w:lang w:val="pt-BR"/>
        </w:rPr>
        <w:t>Acidez superficial</w:t>
      </w:r>
    </w:p>
    <w:p w14:paraId="3DF4EC2F" w14:textId="77777777" w:rsidR="00B433C4" w:rsidRDefault="009B567F" w:rsidP="00B433C4">
      <w:pPr>
        <w:pStyle w:val="TAMainText"/>
        <w:ind w:firstLine="187"/>
        <w:rPr>
          <w:rFonts w:ascii="Times New Roman" w:hAnsi="Times New Roman"/>
          <w:lang w:val="pt-BR"/>
        </w:rPr>
      </w:pPr>
      <w:r w:rsidRPr="009B567F">
        <w:rPr>
          <w:rFonts w:ascii="Times New Roman" w:hAnsi="Times New Roman"/>
          <w:lang w:val="pt-BR"/>
        </w:rPr>
        <w:t>O resultado de acidez superficial d</w:t>
      </w:r>
      <w:r>
        <w:rPr>
          <w:rFonts w:ascii="Times New Roman" w:hAnsi="Times New Roman"/>
          <w:lang w:val="pt-BR"/>
        </w:rPr>
        <w:t>o carvão de bacuri</w:t>
      </w:r>
      <w:r w:rsidRPr="009B567F">
        <w:rPr>
          <w:rFonts w:ascii="Times New Roman" w:hAnsi="Times New Roman"/>
          <w:lang w:val="pt-BR"/>
        </w:rPr>
        <w:t xml:space="preserve"> mostrou </w:t>
      </w:r>
      <w:r>
        <w:rPr>
          <w:rFonts w:ascii="Times New Roman" w:hAnsi="Times New Roman"/>
          <w:lang w:val="pt-BR"/>
        </w:rPr>
        <w:t>í</w:t>
      </w:r>
      <w:r w:rsidRPr="009B567F">
        <w:rPr>
          <w:rFonts w:ascii="Times New Roman" w:hAnsi="Times New Roman"/>
          <w:lang w:val="pt-BR"/>
        </w:rPr>
        <w:t xml:space="preserve">ndices de 1,8 </w:t>
      </w:r>
      <w:r w:rsidRPr="00620563">
        <w:rPr>
          <w:rFonts w:ascii="Times New Roman" w:hAnsi="Times New Roman"/>
          <w:bCs/>
          <w:lang w:val="pt-BR"/>
        </w:rPr>
        <w:t>mmol H</w:t>
      </w:r>
      <w:r w:rsidRPr="00620563">
        <w:rPr>
          <w:rFonts w:ascii="Times New Roman" w:hAnsi="Times New Roman"/>
          <w:bCs/>
          <w:vertAlign w:val="superscript"/>
          <w:lang w:val="pt-BR"/>
        </w:rPr>
        <w:t>+</w:t>
      </w:r>
      <w:r w:rsidRPr="00620563">
        <w:rPr>
          <w:rFonts w:ascii="Times New Roman" w:hAnsi="Times New Roman"/>
          <w:bCs/>
          <w:lang w:val="pt-BR"/>
        </w:rPr>
        <w:t xml:space="preserve"> g</w:t>
      </w:r>
      <w:r>
        <w:rPr>
          <w:rFonts w:ascii="Times New Roman" w:hAnsi="Times New Roman"/>
          <w:b/>
          <w:bCs/>
          <w:lang w:val="pt-BR"/>
        </w:rPr>
        <w:t>-</w:t>
      </w:r>
      <w:r w:rsidRPr="00620563">
        <w:rPr>
          <w:rFonts w:ascii="Times New Roman" w:hAnsi="Times New Roman"/>
          <w:bCs/>
          <w:vertAlign w:val="superscript"/>
          <w:lang w:val="pt-BR"/>
        </w:rPr>
        <w:t>1</w:t>
      </w:r>
      <w:r>
        <w:rPr>
          <w:rFonts w:ascii="Times New Roman" w:hAnsi="Times New Roman"/>
          <w:bCs/>
          <w:lang w:val="pt-BR"/>
        </w:rPr>
        <w:t xml:space="preserve">. </w:t>
      </w:r>
      <w:r>
        <w:rPr>
          <w:rFonts w:ascii="Times New Roman" w:hAnsi="Times New Roman"/>
          <w:lang w:val="pt-BR"/>
        </w:rPr>
        <w:t>Já no catalisador</w:t>
      </w:r>
      <w:r w:rsidRPr="00460BA6">
        <w:rPr>
          <w:rFonts w:ascii="Times New Roman" w:hAnsi="Times New Roman"/>
          <w:lang w:val="pt-BR"/>
        </w:rPr>
        <w:t xml:space="preserve">, os </w:t>
      </w:r>
      <w:r w:rsidRPr="00460BA6">
        <w:rPr>
          <w:rFonts w:ascii="Times New Roman" w:hAnsi="Times New Roman"/>
          <w:lang w:val="pt-BR"/>
        </w:rPr>
        <w:t>índices</w:t>
      </w:r>
      <w:r w:rsidRPr="00460BA6">
        <w:rPr>
          <w:rFonts w:ascii="Times New Roman" w:hAnsi="Times New Roman"/>
          <w:lang w:val="pt-BR"/>
        </w:rPr>
        <w:t xml:space="preserve"> de acidez superficia</w:t>
      </w:r>
      <w:r>
        <w:rPr>
          <w:rFonts w:ascii="Times New Roman" w:hAnsi="Times New Roman"/>
          <w:lang w:val="pt-BR"/>
        </w:rPr>
        <w:t>is</w:t>
      </w:r>
      <w:r w:rsidRPr="00460BA6">
        <w:rPr>
          <w:rFonts w:ascii="Times New Roman" w:hAnsi="Times New Roman"/>
          <w:lang w:val="pt-BR"/>
        </w:rPr>
        <w:t xml:space="preserve"> encontrados foram de </w:t>
      </w:r>
      <w:r>
        <w:rPr>
          <w:rFonts w:ascii="Times New Roman" w:hAnsi="Times New Roman"/>
          <w:lang w:val="pt-BR"/>
        </w:rPr>
        <w:t>9,3</w:t>
      </w:r>
      <w:r w:rsidRPr="00460BA6">
        <w:rPr>
          <w:rFonts w:ascii="Times New Roman" w:hAnsi="Times New Roman"/>
          <w:lang w:val="pt-BR"/>
        </w:rPr>
        <w:t xml:space="preserve"> </w:t>
      </w:r>
      <w:r w:rsidRPr="00620563">
        <w:rPr>
          <w:rFonts w:ascii="Times New Roman" w:hAnsi="Times New Roman"/>
          <w:bCs/>
          <w:lang w:val="pt-BR"/>
        </w:rPr>
        <w:t>mmol H</w:t>
      </w:r>
      <w:r w:rsidRPr="00620563">
        <w:rPr>
          <w:rFonts w:ascii="Times New Roman" w:hAnsi="Times New Roman"/>
          <w:bCs/>
          <w:vertAlign w:val="superscript"/>
          <w:lang w:val="pt-BR"/>
        </w:rPr>
        <w:t>+</w:t>
      </w:r>
      <w:r w:rsidRPr="00620563">
        <w:rPr>
          <w:rFonts w:ascii="Times New Roman" w:hAnsi="Times New Roman"/>
          <w:bCs/>
          <w:lang w:val="pt-BR"/>
        </w:rPr>
        <w:t xml:space="preserve"> g</w:t>
      </w:r>
      <w:r>
        <w:rPr>
          <w:rFonts w:ascii="Times New Roman" w:hAnsi="Times New Roman"/>
          <w:b/>
          <w:bCs/>
          <w:lang w:val="pt-BR"/>
        </w:rPr>
        <w:t>-</w:t>
      </w:r>
      <w:r w:rsidRPr="00620563">
        <w:rPr>
          <w:rFonts w:ascii="Times New Roman" w:hAnsi="Times New Roman"/>
          <w:bCs/>
          <w:vertAlign w:val="superscript"/>
          <w:lang w:val="pt-BR"/>
        </w:rPr>
        <w:t>1</w:t>
      </w:r>
      <w:r w:rsidRPr="00460BA6">
        <w:rPr>
          <w:rFonts w:ascii="Times New Roman" w:hAnsi="Times New Roman"/>
          <w:lang w:val="pt-BR"/>
        </w:rPr>
        <w:t xml:space="preserve"> um valor maior que a acidez d</w:t>
      </w:r>
      <w:r>
        <w:rPr>
          <w:rFonts w:ascii="Times New Roman" w:hAnsi="Times New Roman"/>
          <w:lang w:val="pt-BR"/>
        </w:rPr>
        <w:t>o carvão</w:t>
      </w:r>
      <w:r w:rsidRPr="00460BA6">
        <w:rPr>
          <w:rFonts w:ascii="Times New Roman" w:hAnsi="Times New Roman"/>
          <w:lang w:val="pt-BR"/>
        </w:rPr>
        <w:t xml:space="preserve">, indicando que a sulfonação de fato ocorreu. </w:t>
      </w:r>
      <w:r>
        <w:rPr>
          <w:rFonts w:ascii="Times New Roman" w:hAnsi="Times New Roman"/>
          <w:lang w:val="pt-BR"/>
        </w:rPr>
        <w:t>Quando comparado com outros trabalhos da mesma área</w:t>
      </w:r>
      <w:r w:rsidR="00B433C4">
        <w:rPr>
          <w:rFonts w:ascii="Times New Roman" w:hAnsi="Times New Roman"/>
          <w:lang w:val="pt-BR"/>
        </w:rPr>
        <w:t xml:space="preserve"> se mostra superior</w:t>
      </w:r>
      <w:r w:rsidRPr="00460BA6">
        <w:rPr>
          <w:rFonts w:ascii="Times New Roman" w:hAnsi="Times New Roman"/>
          <w:lang w:val="pt-BR"/>
        </w:rPr>
        <w:t>, como a de Corr</w:t>
      </w:r>
      <w:r w:rsidR="00B433C4">
        <w:rPr>
          <w:rFonts w:ascii="Times New Roman" w:hAnsi="Times New Roman"/>
          <w:lang w:val="pt-BR"/>
        </w:rPr>
        <w:t>êa e colaboradores</w:t>
      </w:r>
      <w:r w:rsidRPr="00460BA6">
        <w:rPr>
          <w:rFonts w:ascii="Times New Roman" w:hAnsi="Times New Roman"/>
          <w:lang w:val="pt-BR"/>
        </w:rPr>
        <w:t xml:space="preserve"> (</w:t>
      </w:r>
      <w:r w:rsidR="00B433C4">
        <w:rPr>
          <w:rFonts w:ascii="Times New Roman" w:hAnsi="Times New Roman"/>
          <w:lang w:val="pt-BR"/>
        </w:rPr>
        <w:t>10</w:t>
      </w:r>
      <w:r w:rsidRPr="00460BA6">
        <w:rPr>
          <w:rFonts w:ascii="Times New Roman" w:hAnsi="Times New Roman"/>
          <w:lang w:val="pt-BR"/>
        </w:rPr>
        <w:t>) que encont</w:t>
      </w:r>
      <w:r w:rsidR="00B433C4">
        <w:rPr>
          <w:rFonts w:ascii="Times New Roman" w:hAnsi="Times New Roman"/>
          <w:lang w:val="pt-BR"/>
        </w:rPr>
        <w:t>raram</w:t>
      </w:r>
      <w:r w:rsidRPr="00460BA6">
        <w:rPr>
          <w:rFonts w:ascii="Times New Roman" w:hAnsi="Times New Roman"/>
          <w:lang w:val="pt-BR"/>
        </w:rPr>
        <w:t xml:space="preserve"> valores de 4,19 </w:t>
      </w:r>
      <w:r w:rsidR="00B433C4" w:rsidRPr="00620563">
        <w:rPr>
          <w:rFonts w:ascii="Times New Roman" w:hAnsi="Times New Roman"/>
          <w:bCs/>
          <w:lang w:val="pt-BR"/>
        </w:rPr>
        <w:t>mmol H</w:t>
      </w:r>
      <w:r w:rsidR="00B433C4" w:rsidRPr="00620563">
        <w:rPr>
          <w:rFonts w:ascii="Times New Roman" w:hAnsi="Times New Roman"/>
          <w:bCs/>
          <w:vertAlign w:val="superscript"/>
          <w:lang w:val="pt-BR"/>
        </w:rPr>
        <w:t>+</w:t>
      </w:r>
      <w:r w:rsidR="00B433C4" w:rsidRPr="00620563">
        <w:rPr>
          <w:rFonts w:ascii="Times New Roman" w:hAnsi="Times New Roman"/>
          <w:bCs/>
          <w:lang w:val="pt-BR"/>
        </w:rPr>
        <w:t xml:space="preserve"> g</w:t>
      </w:r>
      <w:r w:rsidR="00B433C4">
        <w:rPr>
          <w:rFonts w:ascii="Times New Roman" w:hAnsi="Times New Roman"/>
          <w:b/>
          <w:bCs/>
          <w:lang w:val="pt-BR"/>
        </w:rPr>
        <w:t>-</w:t>
      </w:r>
      <w:r w:rsidR="00B433C4" w:rsidRPr="00620563">
        <w:rPr>
          <w:rFonts w:ascii="Times New Roman" w:hAnsi="Times New Roman"/>
          <w:bCs/>
          <w:vertAlign w:val="superscript"/>
          <w:lang w:val="pt-BR"/>
        </w:rPr>
        <w:t>1</w:t>
      </w:r>
      <w:r w:rsidR="00B433C4">
        <w:rPr>
          <w:rFonts w:ascii="Times New Roman" w:hAnsi="Times New Roman"/>
          <w:bCs/>
          <w:vertAlign w:val="superscript"/>
          <w:lang w:val="pt-BR"/>
        </w:rPr>
        <w:t xml:space="preserve"> </w:t>
      </w:r>
      <w:r w:rsidRPr="00460BA6">
        <w:rPr>
          <w:rFonts w:ascii="Times New Roman" w:hAnsi="Times New Roman"/>
          <w:lang w:val="pt-BR"/>
        </w:rPr>
        <w:t xml:space="preserve">para carvões sulfonados com ácido </w:t>
      </w:r>
      <w:r w:rsidR="00B433C4" w:rsidRPr="00460BA6">
        <w:rPr>
          <w:rFonts w:ascii="Times New Roman" w:hAnsi="Times New Roman"/>
          <w:lang w:val="pt-BR"/>
        </w:rPr>
        <w:t>sulfúrico</w:t>
      </w:r>
      <w:r w:rsidRPr="00460BA6">
        <w:rPr>
          <w:rFonts w:ascii="Times New Roman" w:hAnsi="Times New Roman"/>
          <w:lang w:val="pt-BR"/>
        </w:rPr>
        <w:t xml:space="preserve"> </w:t>
      </w:r>
      <w:r w:rsidR="00B433C4">
        <w:rPr>
          <w:rFonts w:ascii="Times New Roman" w:hAnsi="Times New Roman"/>
          <w:lang w:val="pt-BR"/>
        </w:rPr>
        <w:t>concentrado.</w:t>
      </w:r>
    </w:p>
    <w:p w14:paraId="2D6249CA" w14:textId="77777777" w:rsidR="00B433C4" w:rsidRDefault="00B433C4" w:rsidP="00B433C4">
      <w:pPr>
        <w:pStyle w:val="TAMainText"/>
        <w:ind w:firstLine="187"/>
        <w:rPr>
          <w:rFonts w:ascii="Times New Roman" w:hAnsi="Times New Roman"/>
          <w:lang w:val="pt-BR"/>
        </w:rPr>
      </w:pPr>
    </w:p>
    <w:p w14:paraId="6CD6E5AF" w14:textId="3BDD5014" w:rsidR="009B567F" w:rsidRPr="001F25B2" w:rsidRDefault="00B433C4" w:rsidP="00B433C4">
      <w:pPr>
        <w:pStyle w:val="TAMainText"/>
        <w:ind w:firstLine="0"/>
        <w:rPr>
          <w:rFonts w:ascii="Times New Roman" w:hAnsi="Times New Roman"/>
          <w:lang w:val="pt-BR"/>
        </w:rPr>
      </w:pPr>
      <w:r>
        <w:rPr>
          <w:rFonts w:ascii="Times New Roman" w:hAnsi="Times New Roman"/>
          <w:i/>
          <w:lang w:val="pt-BR"/>
        </w:rPr>
        <w:t xml:space="preserve">Testes catalíticos </w:t>
      </w:r>
    </w:p>
    <w:p w14:paraId="483DF959" w14:textId="35045C8E" w:rsidR="00EA4E1B" w:rsidRPr="00E038AF" w:rsidRDefault="00EA4E1B" w:rsidP="00B433C4">
      <w:pPr>
        <w:pStyle w:val="VDTableTitle"/>
        <w:spacing w:before="240" w:after="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B433C4">
        <w:rPr>
          <w:rFonts w:ascii="Times New Roman" w:hAnsi="Times New Roman"/>
          <w:lang w:val="pt-BR"/>
        </w:rPr>
        <w:t>Conversão em ésteres de cada reação.</w:t>
      </w:r>
    </w:p>
    <w:tbl>
      <w:tblPr>
        <w:tblW w:w="38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3"/>
        <w:gridCol w:w="2410"/>
      </w:tblGrid>
      <w:tr w:rsidR="00B433C4" w:rsidRPr="00072C7A" w14:paraId="0F12ABC1" w14:textId="77777777" w:rsidTr="00B433C4">
        <w:tc>
          <w:tcPr>
            <w:tcW w:w="1413" w:type="dxa"/>
            <w:vAlign w:val="center"/>
          </w:tcPr>
          <w:p w14:paraId="0C93B642" w14:textId="77777777" w:rsidR="00B433C4" w:rsidRDefault="00B433C4" w:rsidP="00805FBE">
            <w:pPr>
              <w:pStyle w:val="TCTableBody"/>
              <w:rPr>
                <w:lang w:val="pt-BR"/>
              </w:rPr>
            </w:pPr>
          </w:p>
        </w:tc>
        <w:tc>
          <w:tcPr>
            <w:tcW w:w="2410" w:type="dxa"/>
            <w:vAlign w:val="center"/>
          </w:tcPr>
          <w:p w14:paraId="19C3BD2C" w14:textId="47D133C9" w:rsidR="00B433C4" w:rsidRDefault="00B433C4" w:rsidP="00B433C4">
            <w:pPr>
              <w:pStyle w:val="TCTableBody"/>
              <w:jc w:val="center"/>
              <w:rPr>
                <w:lang w:val="pt-BR"/>
              </w:rPr>
            </w:pPr>
            <w:r>
              <w:rPr>
                <w:lang w:val="pt-BR"/>
              </w:rPr>
              <w:t>Conversão (%)</w:t>
            </w:r>
          </w:p>
        </w:tc>
      </w:tr>
      <w:tr w:rsidR="00B433C4" w:rsidRPr="00072C7A" w14:paraId="31EE37A1" w14:textId="77777777" w:rsidTr="00B433C4">
        <w:trPr>
          <w:trHeight w:val="454"/>
        </w:trPr>
        <w:tc>
          <w:tcPr>
            <w:tcW w:w="1413" w:type="dxa"/>
            <w:tcBorders>
              <w:bottom w:val="single" w:sz="6" w:space="0" w:color="auto"/>
            </w:tcBorders>
            <w:vAlign w:val="center"/>
          </w:tcPr>
          <w:p w14:paraId="5A53C568" w14:textId="322501BC" w:rsidR="00B433C4" w:rsidRDefault="00B433C4" w:rsidP="00805FBE">
            <w:pPr>
              <w:pStyle w:val="TCTableBody"/>
              <w:rPr>
                <w:lang w:val="pt-BR"/>
              </w:rPr>
            </w:pPr>
            <w:r>
              <w:rPr>
                <w:lang w:val="pt-BR"/>
              </w:rPr>
              <w:t>Branco</w:t>
            </w:r>
          </w:p>
        </w:tc>
        <w:tc>
          <w:tcPr>
            <w:tcW w:w="2410" w:type="dxa"/>
            <w:tcBorders>
              <w:bottom w:val="single" w:sz="6" w:space="0" w:color="auto"/>
            </w:tcBorders>
            <w:vAlign w:val="center"/>
          </w:tcPr>
          <w:p w14:paraId="5AC90CC2" w14:textId="2D32A1FE" w:rsidR="00B433C4" w:rsidRDefault="00B433C4" w:rsidP="00B433C4">
            <w:pPr>
              <w:pStyle w:val="TCTableBody"/>
              <w:jc w:val="center"/>
              <w:rPr>
                <w:lang w:val="pt-BR"/>
              </w:rPr>
            </w:pPr>
            <w:r>
              <w:rPr>
                <w:lang w:val="pt-BR"/>
              </w:rPr>
              <w:t>4,1</w:t>
            </w:r>
          </w:p>
        </w:tc>
      </w:tr>
      <w:tr w:rsidR="00B433C4" w:rsidRPr="00072C7A" w14:paraId="343F10E4" w14:textId="77777777" w:rsidTr="00B433C4">
        <w:trPr>
          <w:trHeight w:val="454"/>
        </w:trPr>
        <w:tc>
          <w:tcPr>
            <w:tcW w:w="1413" w:type="dxa"/>
            <w:tcBorders>
              <w:bottom w:val="single" w:sz="6" w:space="0" w:color="auto"/>
            </w:tcBorders>
            <w:vAlign w:val="center"/>
          </w:tcPr>
          <w:p w14:paraId="09B2FBB4" w14:textId="293AC44E" w:rsidR="00B433C4" w:rsidRDefault="00B433C4" w:rsidP="00805FBE">
            <w:pPr>
              <w:pStyle w:val="TCTableBody"/>
              <w:rPr>
                <w:lang w:val="pt-BR"/>
              </w:rPr>
            </w:pPr>
            <w:r>
              <w:rPr>
                <w:lang w:val="pt-BR"/>
              </w:rPr>
              <w:t>catalisador</w:t>
            </w:r>
          </w:p>
        </w:tc>
        <w:tc>
          <w:tcPr>
            <w:tcW w:w="2410" w:type="dxa"/>
            <w:tcBorders>
              <w:bottom w:val="single" w:sz="6" w:space="0" w:color="auto"/>
            </w:tcBorders>
            <w:vAlign w:val="center"/>
          </w:tcPr>
          <w:p w14:paraId="326EE575" w14:textId="6C28E0B2" w:rsidR="00B433C4" w:rsidRDefault="00B433C4" w:rsidP="00B433C4">
            <w:pPr>
              <w:pStyle w:val="TCTableBody"/>
              <w:jc w:val="center"/>
              <w:rPr>
                <w:lang w:val="pt-BR"/>
              </w:rPr>
            </w:pPr>
            <w:r>
              <w:rPr>
                <w:lang w:val="pt-BR"/>
              </w:rPr>
              <w:t>91,7</w:t>
            </w:r>
          </w:p>
        </w:tc>
      </w:tr>
    </w:tbl>
    <w:p w14:paraId="46FE30FF" w14:textId="52828DF8" w:rsidR="00EA4E1B" w:rsidRPr="00B433C4" w:rsidRDefault="00B433C4" w:rsidP="00B433C4">
      <w:pPr>
        <w:pStyle w:val="TAMainText"/>
        <w:spacing w:before="240" w:after="240"/>
        <w:ind w:firstLine="187"/>
        <w:rPr>
          <w:rFonts w:ascii="Times New Roman" w:hAnsi="Times New Roman"/>
          <w:lang w:val="pt-BR"/>
        </w:rPr>
      </w:pPr>
      <w:r>
        <w:rPr>
          <w:rFonts w:ascii="Times New Roman" w:hAnsi="Times New Roman"/>
          <w:lang w:val="pt-BR"/>
        </w:rPr>
        <w:t xml:space="preserve">Os resultados das conversões estão descritos na tabela 1 e mostram que a maior conversão de ácidos graxos livres foi de aproximadamente 91%. O presente trabalho foi desenvolvido seguindo protocolos de esterificação visando um baixo gasto de reagentes e boas taxas de conversão para os dois tipos de catalizadores utilizados, Oliveira e </w:t>
      </w:r>
      <w:r>
        <w:rPr>
          <w:rFonts w:ascii="Times New Roman" w:hAnsi="Times New Roman"/>
          <w:lang w:val="pt-BR"/>
        </w:rPr>
        <w:t>colaboradores (5) o excesso de álcool é importante para possibilitar a formação dos ésteres e evitar a hidrólise.</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5E78F691" w14:textId="77777777" w:rsidR="00B433C4" w:rsidRDefault="00B433C4" w:rsidP="00B433C4">
      <w:pPr>
        <w:pStyle w:val="TAMainText"/>
        <w:ind w:firstLine="187"/>
        <w:rPr>
          <w:rFonts w:ascii="Times New Roman" w:hAnsi="Times New Roman"/>
          <w:lang w:val="pt-BR"/>
        </w:rPr>
      </w:pPr>
      <w:r>
        <w:rPr>
          <w:rFonts w:ascii="Times New Roman" w:hAnsi="Times New Roman"/>
          <w:lang w:val="pt-BR"/>
        </w:rPr>
        <w:t>Os resultados de acidez superficial indicam o aumento presença de grupos sulfônicos no catalisador e a reação de esterificação teve a conversão de 91% de ácido oleico em éster, tornando esse catalisador um material promissor em reações de esterificação de ácido oleico.</w:t>
      </w:r>
    </w:p>
    <w:p w14:paraId="61980C4A" w14:textId="77777777" w:rsidR="00B433C4" w:rsidRPr="001F25B2" w:rsidRDefault="00B433C4" w:rsidP="00B433C4">
      <w:pPr>
        <w:pStyle w:val="TAMainText"/>
        <w:ind w:firstLine="187"/>
        <w:rPr>
          <w:rFonts w:ascii="Times New Roman" w:hAnsi="Times New Roman"/>
          <w:lang w:val="pt-BR"/>
        </w:rPr>
      </w:pPr>
      <w:r>
        <w:rPr>
          <w:rFonts w:ascii="Times New Roman" w:hAnsi="Times New Roman"/>
          <w:lang w:val="pt-BR"/>
        </w:rPr>
        <w:t>Mais caracterizações do catalisador e testes adicionais com variações de amostras, temperatura, razão molar dos reagentes e tempo reacional são necessários para melhora da conversão, bem como testes de reuso para avaliar a atuação como catalisador heterogêneo em repetidos ciclos reacionais.</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48AEF43E" w14:textId="77777777" w:rsidR="00B433C4" w:rsidRPr="001F25B2" w:rsidRDefault="00B433C4" w:rsidP="00B433C4">
      <w:pPr>
        <w:pStyle w:val="TAMainText"/>
        <w:rPr>
          <w:rFonts w:ascii="Times New Roman" w:hAnsi="Times New Roman"/>
          <w:lang w:val="pt-BR"/>
        </w:rPr>
      </w:pPr>
      <w:r>
        <w:rPr>
          <w:rFonts w:ascii="Times New Roman" w:hAnsi="Times New Roman"/>
          <w:lang w:val="pt-BR"/>
        </w:rPr>
        <w:t xml:space="preserve">À CAPES, FAPESPA, BASA, LAPAC, Faculdade de Química e à Universidade Federal do Pará. </w:t>
      </w:r>
    </w:p>
    <w:p w14:paraId="158D911D" w14:textId="65F17A35" w:rsidR="00EA4E1B" w:rsidRPr="00B433C4" w:rsidRDefault="00EA4E1B" w:rsidP="00B433C4">
      <w:pPr>
        <w:pStyle w:val="Ttulo2"/>
        <w:rPr>
          <w:rFonts w:ascii="Helvetica" w:hAnsi="Helvetica" w:cs="Helvetica"/>
          <w:sz w:val="24"/>
          <w:szCs w:val="24"/>
        </w:rPr>
      </w:pPr>
      <w:r w:rsidRPr="001F25B2">
        <w:rPr>
          <w:rFonts w:ascii="Helvetica" w:hAnsi="Helvetica" w:cs="Helvetica"/>
          <w:sz w:val="24"/>
          <w:szCs w:val="24"/>
        </w:rPr>
        <w:t>Referências</w:t>
      </w:r>
    </w:p>
    <w:p w14:paraId="290289D2" w14:textId="77777777" w:rsidR="006910E7" w:rsidRPr="006910E7" w:rsidRDefault="006910E7" w:rsidP="006910E7">
      <w:pPr>
        <w:pStyle w:val="TAMainText"/>
        <w:numPr>
          <w:ilvl w:val="0"/>
          <w:numId w:val="1"/>
        </w:numPr>
        <w:rPr>
          <w:lang w:val="pt-BR"/>
        </w:rPr>
      </w:pPr>
      <w:r w:rsidRPr="006910E7">
        <w:rPr>
          <w:lang w:val="pt-BR"/>
        </w:rPr>
        <w:t xml:space="preserve">CARVALHO, J. E. U.; NASCIMENTO, W. M. O. </w:t>
      </w:r>
      <w:proofErr w:type="spellStart"/>
      <w:r w:rsidRPr="006910E7">
        <w:rPr>
          <w:lang w:val="pt-BR"/>
        </w:rPr>
        <w:t>Platonia</w:t>
      </w:r>
      <w:proofErr w:type="spellEnd"/>
      <w:r w:rsidRPr="006910E7">
        <w:rPr>
          <w:lang w:val="pt-BR"/>
        </w:rPr>
        <w:t xml:space="preserve"> </w:t>
      </w:r>
      <w:proofErr w:type="spellStart"/>
      <w:r w:rsidRPr="006910E7">
        <w:rPr>
          <w:lang w:val="pt-BR"/>
        </w:rPr>
        <w:t>insignis</w:t>
      </w:r>
      <w:proofErr w:type="spellEnd"/>
      <w:r w:rsidRPr="006910E7">
        <w:rPr>
          <w:lang w:val="pt-BR"/>
        </w:rPr>
        <w:t xml:space="preserve">. Instituto Interamericano de </w:t>
      </w:r>
      <w:proofErr w:type="spellStart"/>
      <w:r w:rsidRPr="006910E7">
        <w:rPr>
          <w:lang w:val="pt-BR"/>
        </w:rPr>
        <w:t>Cooperación</w:t>
      </w:r>
      <w:proofErr w:type="spellEnd"/>
      <w:r w:rsidRPr="006910E7">
        <w:rPr>
          <w:lang w:val="pt-BR"/>
        </w:rPr>
        <w:t xml:space="preserve"> para </w:t>
      </w:r>
      <w:proofErr w:type="spellStart"/>
      <w:r w:rsidRPr="006910E7">
        <w:rPr>
          <w:lang w:val="pt-BR"/>
        </w:rPr>
        <w:t>la</w:t>
      </w:r>
      <w:proofErr w:type="spellEnd"/>
      <w:r w:rsidRPr="006910E7">
        <w:rPr>
          <w:lang w:val="pt-BR"/>
        </w:rPr>
        <w:t xml:space="preserve"> Agricultura (IICA). Buenos Aires: PROCISUR, 2017.</w:t>
      </w:r>
    </w:p>
    <w:p w14:paraId="616DF5EF" w14:textId="77777777" w:rsidR="006910E7" w:rsidRPr="006910E7" w:rsidRDefault="006910E7" w:rsidP="006910E7">
      <w:pPr>
        <w:pStyle w:val="TAMainText"/>
        <w:numPr>
          <w:ilvl w:val="0"/>
          <w:numId w:val="1"/>
        </w:numPr>
        <w:rPr>
          <w:lang w:val="pt-BR"/>
        </w:rPr>
      </w:pPr>
      <w:proofErr w:type="spellStart"/>
      <w:r w:rsidRPr="006910E7">
        <w:rPr>
          <w:lang w:val="pt-BR"/>
        </w:rPr>
        <w:t>Homma</w:t>
      </w:r>
      <w:proofErr w:type="spellEnd"/>
      <w:r w:rsidRPr="006910E7">
        <w:rPr>
          <w:lang w:val="pt-BR"/>
        </w:rPr>
        <w:t xml:space="preserve">, A.; Carvalho, J. E. U.; Menezes, A. J. E. A. Bacuri: fruta amazônica em ascensão. Ciência Hoje, v. 46, n. 271, p. 40-45, </w:t>
      </w:r>
      <w:proofErr w:type="gramStart"/>
      <w:r w:rsidRPr="006910E7">
        <w:rPr>
          <w:lang w:val="pt-BR"/>
        </w:rPr>
        <w:t>2010..</w:t>
      </w:r>
      <w:proofErr w:type="gramEnd"/>
    </w:p>
    <w:p w14:paraId="5280B7F3" w14:textId="77777777" w:rsidR="006910E7" w:rsidRPr="006910E7" w:rsidRDefault="006910E7" w:rsidP="006910E7">
      <w:pPr>
        <w:pStyle w:val="TAMainText"/>
        <w:numPr>
          <w:ilvl w:val="0"/>
          <w:numId w:val="1"/>
        </w:numPr>
        <w:rPr>
          <w:lang w:val="pt-BR"/>
        </w:rPr>
      </w:pPr>
      <w:r w:rsidRPr="006910E7">
        <w:rPr>
          <w:lang w:val="pt-BR"/>
        </w:rPr>
        <w:t xml:space="preserve">HOMMA, A. K. O.; DE MENEZES, A. J. E. A.; DE CARVALHO, J. E. U. Manejando a planta e o homem: os bacurizeiros do nordeste paraense e da ilha de marajó. In: Roça sem fogo: da tradição das queimadas à agricultura sustentável na Amazônia. Brasília, DF, 2020. v. 2, p. 157–167.  </w:t>
      </w:r>
    </w:p>
    <w:p w14:paraId="2F1DD539" w14:textId="77777777" w:rsidR="006910E7" w:rsidRPr="006910E7" w:rsidRDefault="006910E7" w:rsidP="006910E7">
      <w:pPr>
        <w:pStyle w:val="TAMainText"/>
        <w:numPr>
          <w:ilvl w:val="0"/>
          <w:numId w:val="1"/>
        </w:numPr>
        <w:rPr>
          <w:lang w:val="pt-BR"/>
        </w:rPr>
      </w:pPr>
      <w:r w:rsidRPr="006910E7">
        <w:rPr>
          <w:lang w:val="pt-BR"/>
        </w:rPr>
        <w:t xml:space="preserve">IBGE. Instituto Brasileiro de Geografia e Estatística. Censo Agropecuário 2017   </w:t>
      </w:r>
    </w:p>
    <w:p w14:paraId="2689AD6C" w14:textId="77777777" w:rsidR="006910E7" w:rsidRPr="006910E7" w:rsidRDefault="006910E7" w:rsidP="006910E7">
      <w:pPr>
        <w:pStyle w:val="TAMainText"/>
        <w:numPr>
          <w:ilvl w:val="0"/>
          <w:numId w:val="1"/>
        </w:numPr>
        <w:rPr>
          <w:lang w:val="pt-BR"/>
        </w:rPr>
      </w:pPr>
      <w:r w:rsidRPr="006910E7">
        <w:rPr>
          <w:lang w:val="pt-BR"/>
        </w:rPr>
        <w:t xml:space="preserve">MARSH, H.; RODRÍGUEZ-REINOSO, F. </w:t>
      </w:r>
      <w:proofErr w:type="spellStart"/>
      <w:r w:rsidRPr="006910E7">
        <w:rPr>
          <w:lang w:val="pt-BR"/>
        </w:rPr>
        <w:t>Activated</w:t>
      </w:r>
      <w:proofErr w:type="spellEnd"/>
      <w:r w:rsidRPr="006910E7">
        <w:rPr>
          <w:lang w:val="pt-BR"/>
        </w:rPr>
        <w:t xml:space="preserve"> Carbon. 1. ed. Amsterdam: Elsevier Science, 2006.  </w:t>
      </w:r>
    </w:p>
    <w:p w14:paraId="0ACEC72D" w14:textId="2B7CAF60" w:rsidR="006910E7" w:rsidRPr="006910E7" w:rsidRDefault="006910E7" w:rsidP="006910E7">
      <w:pPr>
        <w:pStyle w:val="TAMainText"/>
        <w:numPr>
          <w:ilvl w:val="0"/>
          <w:numId w:val="1"/>
        </w:numPr>
        <w:rPr>
          <w:lang w:val="pt-BR"/>
        </w:rPr>
      </w:pPr>
      <w:r w:rsidRPr="006910E7">
        <w:rPr>
          <w:lang w:val="pt-BR"/>
        </w:rPr>
        <w:t xml:space="preserve">COSTA, P. P. K. G. Catalisadores químicos utilizados na síntese de biodiesel. Embrapa, v. 07, p. 26, 2011.  </w:t>
      </w:r>
    </w:p>
    <w:p w14:paraId="39BBD301" w14:textId="37A30FF6" w:rsidR="006910E7" w:rsidRPr="006910E7" w:rsidRDefault="006910E7" w:rsidP="006910E7">
      <w:pPr>
        <w:pStyle w:val="TAMainText"/>
        <w:numPr>
          <w:ilvl w:val="0"/>
          <w:numId w:val="1"/>
        </w:numPr>
        <w:rPr>
          <w:lang w:val="pt-BR"/>
        </w:rPr>
      </w:pPr>
      <w:r w:rsidRPr="006910E7">
        <w:rPr>
          <w:lang w:val="pt-BR"/>
        </w:rPr>
        <w:t xml:space="preserve">SILVA, </w:t>
      </w:r>
      <w:proofErr w:type="spellStart"/>
      <w:r w:rsidRPr="006910E7">
        <w:rPr>
          <w:lang w:val="pt-BR"/>
        </w:rPr>
        <w:t>Luis</w:t>
      </w:r>
      <w:proofErr w:type="spellEnd"/>
      <w:r w:rsidRPr="006910E7">
        <w:rPr>
          <w:lang w:val="pt-BR"/>
        </w:rPr>
        <w:t xml:space="preserve"> Carlos Matos. Processo de Produção de Biodiesel e Análise de Parâmetros de Qualidade. 67 f. Dissertação (Mestrado em Energias Renováveis e Eficiência Energética), Escola Superior de Tecnologia e Gestão do Instituto Politécnico de Bragança, Bragança, 2014. </w:t>
      </w:r>
    </w:p>
    <w:p w14:paraId="759A960A" w14:textId="4A60BB13" w:rsidR="006910E7" w:rsidRPr="006910E7" w:rsidRDefault="006910E7" w:rsidP="006910E7">
      <w:pPr>
        <w:pStyle w:val="TAMainText"/>
        <w:numPr>
          <w:ilvl w:val="0"/>
          <w:numId w:val="1"/>
        </w:numPr>
      </w:pPr>
      <w:r w:rsidRPr="006910E7">
        <w:t>A. P. Corrêa et al. RSC Advances. 2020, 10, 20245–20256.</w:t>
      </w:r>
    </w:p>
    <w:p w14:paraId="58716424" w14:textId="061DAE03" w:rsidR="007B4B2B" w:rsidRPr="006910E7" w:rsidRDefault="006910E7" w:rsidP="006910E7">
      <w:pPr>
        <w:pStyle w:val="TAMainText"/>
        <w:numPr>
          <w:ilvl w:val="0"/>
          <w:numId w:val="1"/>
        </w:numPr>
        <w:rPr>
          <w:lang w:val="pt-BR"/>
        </w:rPr>
      </w:pPr>
      <w:r w:rsidRPr="006910E7">
        <w:rPr>
          <w:lang w:val="pt-BR"/>
        </w:rPr>
        <w:t xml:space="preserve">A. de N. de Oliveira et al. </w:t>
      </w:r>
      <w:proofErr w:type="spellStart"/>
      <w:r w:rsidRPr="006910E7">
        <w:rPr>
          <w:lang w:val="pt-BR"/>
        </w:rPr>
        <w:t>Catalysts</w:t>
      </w:r>
      <w:proofErr w:type="spellEnd"/>
      <w:r w:rsidRPr="006910E7">
        <w:rPr>
          <w:lang w:val="pt-BR"/>
        </w:rPr>
        <w:t>. 2021, 11 (5), 604.</w:t>
      </w:r>
    </w:p>
    <w:sectPr w:rsidR="007B4B2B" w:rsidRPr="006910E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AAEB" w14:textId="77777777" w:rsidR="004731D3" w:rsidRDefault="004731D3" w:rsidP="00EA4E1B">
      <w:pPr>
        <w:spacing w:after="0" w:line="240" w:lineRule="auto"/>
      </w:pPr>
      <w:r>
        <w:separator/>
      </w:r>
    </w:p>
  </w:endnote>
  <w:endnote w:type="continuationSeparator" w:id="0">
    <w:p w14:paraId="0400BCF3" w14:textId="77777777" w:rsidR="004731D3" w:rsidRDefault="004731D3"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6996" w14:textId="77777777" w:rsidR="004731D3" w:rsidRDefault="004731D3" w:rsidP="00EA4E1B">
      <w:pPr>
        <w:spacing w:after="0" w:line="240" w:lineRule="auto"/>
      </w:pPr>
      <w:r>
        <w:separator/>
      </w:r>
    </w:p>
  </w:footnote>
  <w:footnote w:type="continuationSeparator" w:id="0">
    <w:p w14:paraId="001A455E" w14:textId="77777777" w:rsidR="004731D3" w:rsidRDefault="004731D3"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608476156" name="Imagem 160847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962648281" name="Imagem 1962648281"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D74D7"/>
    <w:rsid w:val="000F1D24"/>
    <w:rsid w:val="001E58A9"/>
    <w:rsid w:val="001F25B2"/>
    <w:rsid w:val="00222230"/>
    <w:rsid w:val="00264837"/>
    <w:rsid w:val="003407E2"/>
    <w:rsid w:val="00340B1E"/>
    <w:rsid w:val="00385BF2"/>
    <w:rsid w:val="00402F3E"/>
    <w:rsid w:val="004731D3"/>
    <w:rsid w:val="004F3F42"/>
    <w:rsid w:val="0052112E"/>
    <w:rsid w:val="005C2775"/>
    <w:rsid w:val="005D65EB"/>
    <w:rsid w:val="005F739F"/>
    <w:rsid w:val="00604718"/>
    <w:rsid w:val="00652815"/>
    <w:rsid w:val="006910E7"/>
    <w:rsid w:val="006F599B"/>
    <w:rsid w:val="007670A0"/>
    <w:rsid w:val="00781685"/>
    <w:rsid w:val="007B4B2B"/>
    <w:rsid w:val="00866822"/>
    <w:rsid w:val="008B1683"/>
    <w:rsid w:val="008C1B30"/>
    <w:rsid w:val="009656D9"/>
    <w:rsid w:val="009B567F"/>
    <w:rsid w:val="009C7CB0"/>
    <w:rsid w:val="00AA182E"/>
    <w:rsid w:val="00AF0400"/>
    <w:rsid w:val="00B30AEB"/>
    <w:rsid w:val="00B433C4"/>
    <w:rsid w:val="00BA6A6E"/>
    <w:rsid w:val="00C76E54"/>
    <w:rsid w:val="00D96135"/>
    <w:rsid w:val="00E02A21"/>
    <w:rsid w:val="00E038AF"/>
    <w:rsid w:val="00EA4E1B"/>
    <w:rsid w:val="00F30661"/>
    <w:rsid w:val="00F83333"/>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customStyle="1" w:styleId="normaltextrun">
    <w:name w:val="normaltextrun"/>
    <w:basedOn w:val="Fontepargpadro"/>
    <w:rsid w:val="0026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1325</Words>
  <Characters>7160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Maitê Campos</cp:lastModifiedBy>
  <cp:revision>2</cp:revision>
  <dcterms:created xsi:type="dcterms:W3CDTF">2023-08-16T02:48:00Z</dcterms:created>
  <dcterms:modified xsi:type="dcterms:W3CDTF">2023-08-16T02:48:00Z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