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71E199A4" w:rsidR="00AF0400" w:rsidRDefault="00A343B0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06F9AC7" wp14:editId="3D89FD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1444162356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F9AC7"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38159CB4" w:rsidR="00EA4E1B" w:rsidRPr="00471E99" w:rsidRDefault="00652BDA" w:rsidP="00984793">
      <w:pPr>
        <w:spacing w:line="240" w:lineRule="auto"/>
        <w:jc w:val="center"/>
        <w:rPr>
          <w:rFonts w:ascii="Helvetica" w:hAnsi="Helvetica" w:cs="Helvetica"/>
          <w:sz w:val="32"/>
        </w:rPr>
      </w:pPr>
      <w:r>
        <w:rPr>
          <w:rFonts w:ascii="Helvetica" w:hAnsi="Helvetica" w:cs="Helvetica"/>
          <w:sz w:val="32"/>
        </w:rPr>
        <w:t>Degradação fotocatalítica</w:t>
      </w:r>
      <w:r w:rsidR="00756D38" w:rsidRPr="00DA02FE">
        <w:rPr>
          <w:rFonts w:ascii="Helvetica" w:hAnsi="Helvetica" w:cs="Helvetica"/>
          <w:sz w:val="32"/>
        </w:rPr>
        <w:t xml:space="preserve"> de contaminantes emergentes utilizando catalisadores </w:t>
      </w:r>
      <w:r w:rsidR="002F59BA">
        <w:rPr>
          <w:rFonts w:ascii="Helvetica" w:hAnsi="Helvetica" w:cs="Helvetica"/>
          <w:sz w:val="32"/>
        </w:rPr>
        <w:t>oriundos de resíduos industriais</w:t>
      </w:r>
    </w:p>
    <w:p w14:paraId="18735493" w14:textId="3C989E90" w:rsidR="00EA4E1B" w:rsidRPr="00164436" w:rsidRDefault="00B414A8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 xml:space="preserve">Nicole </w:t>
      </w:r>
      <w:r w:rsidR="00332706">
        <w:rPr>
          <w:rFonts w:ascii="Times New Roman" w:hAnsi="Times New Roman"/>
          <w:sz w:val="20"/>
          <w:lang w:val="pt-BR"/>
        </w:rPr>
        <w:t xml:space="preserve">H. </w:t>
      </w:r>
      <w:r>
        <w:rPr>
          <w:rFonts w:ascii="Times New Roman" w:hAnsi="Times New Roman"/>
          <w:sz w:val="20"/>
          <w:lang w:val="pt-BR"/>
        </w:rPr>
        <w:t>Lazari</w:t>
      </w:r>
      <w:r w:rsidR="006C10C1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BD5CD0">
        <w:rPr>
          <w:rFonts w:ascii="Times New Roman" w:hAnsi="Times New Roman"/>
          <w:sz w:val="20"/>
          <w:lang w:val="pt-BR"/>
        </w:rPr>
        <w:t>Leonardo R. Amaral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BD5CD0">
        <w:rPr>
          <w:rFonts w:ascii="Times New Roman" w:hAnsi="Times New Roman"/>
          <w:sz w:val="20"/>
          <w:lang w:val="pt-BR"/>
        </w:rPr>
        <w:t>, Martha F</w:t>
      </w:r>
      <w:r w:rsidR="00332706">
        <w:rPr>
          <w:rFonts w:ascii="Times New Roman" w:hAnsi="Times New Roman"/>
          <w:sz w:val="20"/>
          <w:lang w:val="pt-BR"/>
        </w:rPr>
        <w:t>.</w:t>
      </w:r>
      <w:r w:rsidR="00BD5CD0">
        <w:rPr>
          <w:rFonts w:ascii="Times New Roman" w:hAnsi="Times New Roman"/>
          <w:sz w:val="20"/>
          <w:lang w:val="pt-BR"/>
        </w:rPr>
        <w:t xml:space="preserve"> S. Lima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BD5CD0">
        <w:rPr>
          <w:rFonts w:ascii="Times New Roman" w:hAnsi="Times New Roman"/>
          <w:sz w:val="20"/>
          <w:lang w:val="pt-BR"/>
        </w:rPr>
        <w:t>, Leonardo P. Pavan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BD5CD0">
        <w:rPr>
          <w:rFonts w:ascii="Times New Roman" w:hAnsi="Times New Roman"/>
          <w:sz w:val="20"/>
          <w:lang w:val="pt-BR"/>
        </w:rPr>
        <w:t>, K</w:t>
      </w:r>
      <w:r w:rsidR="00F64427">
        <w:rPr>
          <w:rFonts w:ascii="Times New Roman" w:hAnsi="Times New Roman"/>
          <w:sz w:val="20"/>
          <w:lang w:val="pt-BR"/>
        </w:rPr>
        <w:t>a</w:t>
      </w:r>
      <w:r w:rsidR="00BD5CD0">
        <w:rPr>
          <w:rFonts w:ascii="Times New Roman" w:hAnsi="Times New Roman"/>
          <w:sz w:val="20"/>
          <w:lang w:val="pt-BR"/>
        </w:rPr>
        <w:t>tia B</w:t>
      </w:r>
      <w:r w:rsidR="000D6032">
        <w:rPr>
          <w:rFonts w:ascii="Times New Roman" w:hAnsi="Times New Roman"/>
          <w:sz w:val="20"/>
          <w:lang w:val="pt-BR"/>
        </w:rPr>
        <w:t>ernardo-</w:t>
      </w:r>
      <w:r w:rsidR="00BD5CD0">
        <w:rPr>
          <w:rFonts w:ascii="Times New Roman" w:hAnsi="Times New Roman"/>
          <w:sz w:val="20"/>
          <w:lang w:val="pt-BR"/>
        </w:rPr>
        <w:t>Gusmão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8118D4">
        <w:rPr>
          <w:rFonts w:ascii="Times New Roman" w:hAnsi="Times New Roman"/>
          <w:sz w:val="20"/>
          <w:lang w:val="pt-BR"/>
        </w:rPr>
        <w:t xml:space="preserve">, </w:t>
      </w:r>
      <w:r w:rsidR="000D6032" w:rsidRPr="0071732B">
        <w:rPr>
          <w:rFonts w:ascii="Times New Roman" w:hAnsi="Times New Roman"/>
          <w:sz w:val="20"/>
          <w:u w:val="single"/>
          <w:lang w:val="pt-BR"/>
        </w:rPr>
        <w:t>Katiúscia M. N. Borba</w:t>
      </w:r>
      <w:r w:rsidR="000D6032">
        <w:rPr>
          <w:rFonts w:ascii="Times New Roman" w:hAnsi="Times New Roman"/>
          <w:sz w:val="20"/>
          <w:vertAlign w:val="superscript"/>
          <w:lang w:val="pt-BR"/>
        </w:rPr>
        <w:t>1</w:t>
      </w:r>
      <w:r w:rsidR="000D6032" w:rsidRPr="00A343B0">
        <w:rPr>
          <w:rFonts w:ascii="Times New Roman" w:hAnsi="Times New Roman"/>
          <w:sz w:val="20"/>
          <w:lang w:val="pt-BR"/>
        </w:rPr>
        <w:t xml:space="preserve">, </w:t>
      </w:r>
      <w:r w:rsidR="008118D4">
        <w:rPr>
          <w:rFonts w:ascii="Times New Roman" w:hAnsi="Times New Roman"/>
          <w:sz w:val="20"/>
          <w:lang w:val="pt-BR"/>
        </w:rPr>
        <w:t>Anderson J.</w:t>
      </w:r>
      <w:r w:rsidR="00164436">
        <w:rPr>
          <w:rFonts w:ascii="Times New Roman" w:hAnsi="Times New Roman"/>
          <w:sz w:val="20"/>
          <w:lang w:val="pt-BR"/>
        </w:rPr>
        <w:t xml:space="preserve"> Schwanke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164436">
        <w:rPr>
          <w:rFonts w:ascii="Times New Roman" w:hAnsi="Times New Roman"/>
          <w:sz w:val="20"/>
          <w:lang w:val="pt-BR"/>
        </w:rPr>
        <w:t xml:space="preserve">, Mariana R. Gama 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</w:t>
      </w:r>
      <w:r w:rsidR="00164436">
        <w:rPr>
          <w:rFonts w:ascii="Times New Roman" w:hAnsi="Times New Roman"/>
          <w:sz w:val="20"/>
          <w:lang w:val="pt-BR"/>
        </w:rPr>
        <w:t>, Tânia M. Pizzolato</w:t>
      </w:r>
      <w:r w:rsidR="00164436">
        <w:rPr>
          <w:rFonts w:ascii="Times New Roman" w:hAnsi="Times New Roman"/>
          <w:sz w:val="20"/>
          <w:vertAlign w:val="superscript"/>
          <w:lang w:val="pt-BR"/>
        </w:rPr>
        <w:t>1*</w:t>
      </w:r>
    </w:p>
    <w:p w14:paraId="7339C899" w14:textId="2C7D056A" w:rsidR="0089591F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89591F">
        <w:rPr>
          <w:vertAlign w:val="superscript"/>
          <w:lang w:val="pt-BR"/>
        </w:rPr>
        <w:t xml:space="preserve"> </w:t>
      </w:r>
      <w:r w:rsidR="0089591F">
        <w:rPr>
          <w:lang w:val="pt-BR"/>
        </w:rPr>
        <w:t>Instituto de Química-Universidade Federal</w:t>
      </w:r>
      <w:r w:rsidR="00DA02FE">
        <w:rPr>
          <w:lang w:val="pt-BR"/>
        </w:rPr>
        <w:t xml:space="preserve"> </w:t>
      </w:r>
      <w:r w:rsidR="0089591F">
        <w:rPr>
          <w:lang w:val="pt-BR"/>
        </w:rPr>
        <w:t xml:space="preserve">do Rio Grande do Sul, Av. Bento Gonçalves, 9500 Porto Alegre, Brazil  </w:t>
      </w:r>
    </w:p>
    <w:p w14:paraId="22D38595" w14:textId="746C707E" w:rsidR="00EA4E1B" w:rsidRPr="00164436" w:rsidRDefault="00F64427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*</w:t>
      </w:r>
      <w:r w:rsidR="006C10C1">
        <w:rPr>
          <w:lang w:val="pt-BR"/>
        </w:rPr>
        <w:t>tania.pizzolato@ufrgs.br</w:t>
      </w:r>
    </w:p>
    <w:bookmarkEnd w:id="0"/>
    <w:p w14:paraId="57C07881" w14:textId="7A23A131" w:rsidR="00A311FA" w:rsidRPr="00DF70A5" w:rsidRDefault="00A343B0" w:rsidP="00A311FA">
      <w:pPr>
        <w:pStyle w:val="BDAbstract"/>
        <w:pBdr>
          <w:bottom w:val="single" w:sz="6" w:space="13" w:color="auto"/>
        </w:pBdr>
        <w:spacing w:before="0" w:after="0" w:line="240" w:lineRule="auto"/>
        <w:rPr>
          <w:rFonts w:ascii="Times New Roman" w:eastAsia="Arial" w:hAnsi="Times New Roman"/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0964F3" wp14:editId="0FB6FD6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713182086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0E7543C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5A24E6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</w:t>
                            </w:r>
                            <w:r w:rsidR="00356521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964F3"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3D0F07B3" w14:textId="40E7543C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5A24E6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</w:t>
                      </w:r>
                      <w:r w:rsidR="00356521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F2992A" w14:textId="3A2909E8" w:rsidR="00AD5E26" w:rsidRPr="00A311FA" w:rsidRDefault="00F64427" w:rsidP="00A343B0">
      <w:pPr>
        <w:tabs>
          <w:tab w:val="left" w:pos="58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RESUMO - </w:t>
      </w:r>
      <w:r w:rsidR="00652BDA">
        <w:rPr>
          <w:rFonts w:ascii="Times New Roman" w:hAnsi="Times New Roman" w:cs="Times New Roman"/>
          <w:bCs/>
          <w:sz w:val="20"/>
          <w:szCs w:val="20"/>
        </w:rPr>
        <w:t>O d</w:t>
      </w:r>
      <w:r w:rsidR="00652BDA" w:rsidRPr="00006612">
        <w:rPr>
          <w:rFonts w:ascii="Times New Roman" w:hAnsi="Times New Roman" w:cs="Times New Roman"/>
          <w:bCs/>
          <w:sz w:val="20"/>
          <w:szCs w:val="20"/>
        </w:rPr>
        <w:t xml:space="preserve">esenvolvimento de materiais avançados sustentáveis empregando resíduos industriais </w:t>
      </w:r>
      <w:r w:rsidR="00652BDA">
        <w:rPr>
          <w:rFonts w:ascii="Times New Roman" w:hAnsi="Times New Roman" w:cs="Times New Roman"/>
          <w:bCs/>
          <w:sz w:val="20"/>
          <w:szCs w:val="20"/>
        </w:rPr>
        <w:t>v</w:t>
      </w:r>
      <w:r w:rsidR="007C4E38">
        <w:rPr>
          <w:rFonts w:ascii="Times New Roman" w:hAnsi="Times New Roman" w:cs="Times New Roman"/>
          <w:bCs/>
          <w:sz w:val="20"/>
          <w:szCs w:val="20"/>
        </w:rPr>
        <w:t>ê</w:t>
      </w:r>
      <w:r w:rsidR="00652BDA">
        <w:rPr>
          <w:rFonts w:ascii="Times New Roman" w:hAnsi="Times New Roman" w:cs="Times New Roman"/>
          <w:bCs/>
          <w:sz w:val="20"/>
          <w:szCs w:val="20"/>
        </w:rPr>
        <w:t xml:space="preserve">m se </w:t>
      </w:r>
      <w:r w:rsidR="00E26A98">
        <w:rPr>
          <w:rFonts w:ascii="Times New Roman" w:hAnsi="Times New Roman" w:cs="Times New Roman"/>
          <w:bCs/>
          <w:sz w:val="20"/>
          <w:szCs w:val="20"/>
        </w:rPr>
        <w:t xml:space="preserve">mostrando uma boa </w:t>
      </w:r>
      <w:r w:rsidR="00390045">
        <w:rPr>
          <w:rFonts w:ascii="Times New Roman" w:hAnsi="Times New Roman" w:cs="Times New Roman"/>
          <w:bCs/>
          <w:sz w:val="20"/>
          <w:szCs w:val="20"/>
        </w:rPr>
        <w:t>alternativa</w:t>
      </w:r>
      <w:r w:rsidR="00E26A98">
        <w:rPr>
          <w:rFonts w:ascii="Times New Roman" w:hAnsi="Times New Roman" w:cs="Times New Roman"/>
          <w:bCs/>
          <w:sz w:val="20"/>
          <w:szCs w:val="20"/>
        </w:rPr>
        <w:t xml:space="preserve"> tecnológica e ambiental. Resíduos </w:t>
      </w:r>
      <w:r w:rsidR="00AD5E26">
        <w:rPr>
          <w:rFonts w:ascii="Times New Roman" w:hAnsi="Times New Roman" w:cs="Times New Roman"/>
          <w:lang w:eastAsia="pt-BR"/>
        </w:rPr>
        <w:t>oriundos</w:t>
      </w:r>
      <w:r w:rsidR="00AD5E26" w:rsidRPr="0004496A">
        <w:rPr>
          <w:rFonts w:ascii="Times New Roman" w:hAnsi="Times New Roman" w:cs="Times New Roman"/>
          <w:lang w:eastAsia="pt-BR"/>
        </w:rPr>
        <w:t xml:space="preserve"> de cinzas </w:t>
      </w:r>
      <w:r w:rsidR="000D6032">
        <w:rPr>
          <w:rFonts w:ascii="Times New Roman" w:hAnsi="Times New Roman" w:cs="Times New Roman"/>
          <w:lang w:eastAsia="pt-BR"/>
        </w:rPr>
        <w:t xml:space="preserve">de </w:t>
      </w:r>
      <w:r w:rsidR="00AD5E26" w:rsidRPr="0004496A">
        <w:rPr>
          <w:rFonts w:ascii="Times New Roman" w:hAnsi="Times New Roman" w:cs="Times New Roman"/>
          <w:lang w:eastAsia="pt-BR"/>
        </w:rPr>
        <w:t xml:space="preserve">casca de arroz </w:t>
      </w:r>
      <w:r w:rsidR="00AD5E26" w:rsidRPr="00FD727D">
        <w:rPr>
          <w:rFonts w:ascii="Times New Roman" w:hAnsi="Times New Roman" w:cs="Times New Roman"/>
          <w:lang w:eastAsia="pt-BR"/>
        </w:rPr>
        <w:t xml:space="preserve">são fontes sustentáveis de sílica para </w:t>
      </w:r>
      <w:r w:rsidR="00AD5E26">
        <w:rPr>
          <w:rFonts w:ascii="Times New Roman" w:hAnsi="Times New Roman" w:cs="Times New Roman"/>
          <w:lang w:eastAsia="pt-BR"/>
        </w:rPr>
        <w:t>a síntese</w:t>
      </w:r>
      <w:r w:rsidR="00AD5E26" w:rsidRPr="00FD727D">
        <w:rPr>
          <w:rFonts w:ascii="Times New Roman" w:hAnsi="Times New Roman" w:cs="Times New Roman"/>
          <w:lang w:eastAsia="pt-BR"/>
        </w:rPr>
        <w:t xml:space="preserve"> de materiais nanoestruturados, com estruturas micro e mesoporosas</w:t>
      </w:r>
      <w:r w:rsidR="00AD5E26">
        <w:rPr>
          <w:rFonts w:ascii="Times New Roman" w:hAnsi="Times New Roman" w:cs="Times New Roman"/>
          <w:lang w:eastAsia="pt-BR"/>
        </w:rPr>
        <w:t xml:space="preserve">. Assim, estes materiais foram </w:t>
      </w:r>
      <w:r w:rsidR="007A2517">
        <w:rPr>
          <w:rFonts w:ascii="Times New Roman" w:hAnsi="Times New Roman" w:cs="Times New Roman"/>
          <w:lang w:eastAsia="pt-BR"/>
        </w:rPr>
        <w:t>utilizados para desenvolver catalisadores com o propósito de realizar a degradação fotocatalítica de contaminantes emergentes como betabloqueadores e antimicrobianos.</w:t>
      </w:r>
      <w:r w:rsidR="00AD5E26">
        <w:rPr>
          <w:rFonts w:ascii="Times New Roman" w:hAnsi="Times New Roman" w:cs="Times New Roman"/>
          <w:lang w:eastAsia="pt-BR"/>
        </w:rPr>
        <w:t xml:space="preserve"> </w:t>
      </w:r>
      <w:r w:rsidR="007A2517">
        <w:rPr>
          <w:rFonts w:ascii="Times New Roman" w:hAnsi="Times New Roman" w:cs="Times New Roman"/>
          <w:lang w:eastAsia="pt-BR"/>
        </w:rPr>
        <w:t xml:space="preserve">Foram testados </w:t>
      </w:r>
      <w:r w:rsidR="007C4E38">
        <w:rPr>
          <w:rFonts w:ascii="Times New Roman" w:hAnsi="Times New Roman" w:cs="Times New Roman"/>
          <w:lang w:eastAsia="pt-BR"/>
        </w:rPr>
        <w:t>cinco</w:t>
      </w:r>
      <w:r w:rsidR="007A2517">
        <w:rPr>
          <w:rFonts w:ascii="Times New Roman" w:hAnsi="Times New Roman" w:cs="Times New Roman"/>
          <w:lang w:eastAsia="pt-BR"/>
        </w:rPr>
        <w:t xml:space="preserve"> catalisadores oriundos de resíduos, sintetizados pelo </w:t>
      </w:r>
      <w:r w:rsidR="007A2517" w:rsidRPr="00A311FA">
        <w:rPr>
          <w:rFonts w:ascii="Times New Roman" w:eastAsia="Arial" w:hAnsi="Times New Roman" w:cs="Times New Roman"/>
          <w:sz w:val="20"/>
          <w:szCs w:val="20"/>
        </w:rPr>
        <w:t>Laboratório de Reatividade e Catálise (LRC-</w:t>
      </w:r>
      <w:r w:rsidR="007A2517">
        <w:rPr>
          <w:rFonts w:ascii="Times New Roman" w:eastAsia="Arial" w:hAnsi="Times New Roman" w:cs="Times New Roman"/>
          <w:sz w:val="20"/>
          <w:szCs w:val="20"/>
        </w:rPr>
        <w:t>IQ-</w:t>
      </w:r>
      <w:r w:rsidR="007A2517" w:rsidRPr="00A311FA">
        <w:rPr>
          <w:rFonts w:ascii="Times New Roman" w:eastAsia="Arial" w:hAnsi="Times New Roman" w:cs="Times New Roman"/>
          <w:sz w:val="20"/>
          <w:szCs w:val="20"/>
        </w:rPr>
        <w:t>UFRGS),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B13148">
        <w:rPr>
          <w:rFonts w:ascii="Times New Roman" w:eastAsia="Arial" w:hAnsi="Times New Roman" w:cs="Times New Roman"/>
          <w:sz w:val="20"/>
          <w:szCs w:val="20"/>
        </w:rPr>
        <w:t xml:space="preserve">frente a </w:t>
      </w:r>
      <w:r>
        <w:rPr>
          <w:rFonts w:ascii="Times New Roman" w:eastAsia="Arial" w:hAnsi="Times New Roman" w:cs="Times New Roman"/>
          <w:sz w:val="20"/>
          <w:szCs w:val="20"/>
        </w:rPr>
        <w:t>dois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B414A8">
        <w:rPr>
          <w:rFonts w:ascii="Times New Roman" w:eastAsia="Arial" w:hAnsi="Times New Roman" w:cs="Times New Roman"/>
          <w:sz w:val="20"/>
          <w:szCs w:val="20"/>
        </w:rPr>
        <w:t>grupos de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compostos</w:t>
      </w:r>
      <w:r w:rsidR="00B414A8">
        <w:rPr>
          <w:rFonts w:ascii="Times New Roman" w:eastAsia="Arial" w:hAnsi="Times New Roman" w:cs="Times New Roman"/>
          <w:sz w:val="20"/>
          <w:szCs w:val="20"/>
        </w:rPr>
        <w:t xml:space="preserve"> (</w:t>
      </w:r>
      <w:r w:rsidR="00FB7216">
        <w:rPr>
          <w:rFonts w:ascii="Times New Roman" w:eastAsia="Arial" w:hAnsi="Times New Roman" w:cs="Times New Roman"/>
          <w:sz w:val="20"/>
          <w:szCs w:val="20"/>
        </w:rPr>
        <w:t xml:space="preserve">fármacos </w:t>
      </w:r>
      <w:r w:rsidR="00EF7AE9">
        <w:rPr>
          <w:rFonts w:ascii="Times New Roman" w:eastAsia="Arial" w:hAnsi="Times New Roman" w:cs="Times New Roman"/>
          <w:sz w:val="20"/>
          <w:szCs w:val="20"/>
        </w:rPr>
        <w:t>beta</w:t>
      </w:r>
      <w:r w:rsidR="00B414A8">
        <w:rPr>
          <w:rFonts w:ascii="Times New Roman" w:eastAsia="Arial" w:hAnsi="Times New Roman" w:cs="Times New Roman"/>
          <w:sz w:val="20"/>
          <w:szCs w:val="20"/>
        </w:rPr>
        <w:t xml:space="preserve">bloqueadores e </w:t>
      </w:r>
      <w:r w:rsidR="00FB7216">
        <w:rPr>
          <w:rFonts w:ascii="Times New Roman" w:eastAsia="Arial" w:hAnsi="Times New Roman" w:cs="Times New Roman"/>
          <w:sz w:val="20"/>
          <w:szCs w:val="20"/>
        </w:rPr>
        <w:t>a</w:t>
      </w:r>
      <w:r w:rsidR="00B414A8">
        <w:rPr>
          <w:rFonts w:ascii="Times New Roman" w:eastAsia="Arial" w:hAnsi="Times New Roman" w:cs="Times New Roman"/>
          <w:sz w:val="20"/>
          <w:szCs w:val="20"/>
        </w:rPr>
        <w:t>ntibióticos)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. O processo de fotocatálise </w:t>
      </w:r>
      <w:r w:rsidR="00B414A8">
        <w:rPr>
          <w:rFonts w:ascii="Times New Roman" w:eastAsia="Arial" w:hAnsi="Times New Roman" w:cs="Times New Roman"/>
          <w:sz w:val="20"/>
          <w:szCs w:val="20"/>
        </w:rPr>
        <w:t>foi realizado em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câmara de irradiação utilizando-se </w:t>
      </w:r>
      <w:r w:rsidR="00DF70A5" w:rsidRPr="00A311FA">
        <w:rPr>
          <w:rFonts w:ascii="Times New Roman" w:eastAsia="Arial" w:hAnsi="Times New Roman" w:cs="Times New Roman"/>
          <w:sz w:val="20"/>
          <w:szCs w:val="20"/>
        </w:rPr>
        <w:t>simultaneamente radiação UV-A e UV-B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. As amostras foram analisadas </w:t>
      </w:r>
      <w:r w:rsidR="00B414A8">
        <w:rPr>
          <w:rFonts w:ascii="Times New Roman" w:eastAsia="Arial" w:hAnsi="Times New Roman" w:cs="Times New Roman"/>
          <w:sz w:val="20"/>
          <w:szCs w:val="20"/>
        </w:rPr>
        <w:t>por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HPLC-UV, que permitiu quantificar os compostos selecionados, indicando a degradação catalítica de cada </w:t>
      </w:r>
      <w:r w:rsidR="00B414A8">
        <w:rPr>
          <w:rFonts w:ascii="Times New Roman" w:eastAsia="Arial" w:hAnsi="Times New Roman" w:cs="Times New Roman"/>
          <w:sz w:val="20"/>
          <w:szCs w:val="20"/>
        </w:rPr>
        <w:t>composto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B414A8">
        <w:rPr>
          <w:rFonts w:ascii="Times New Roman" w:eastAsia="Arial" w:hAnsi="Times New Roman" w:cs="Times New Roman"/>
          <w:sz w:val="20"/>
          <w:szCs w:val="20"/>
        </w:rPr>
        <w:t>frente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 aos catalisadores </w:t>
      </w:r>
      <w:r w:rsidR="00B414A8">
        <w:rPr>
          <w:rFonts w:ascii="Times New Roman" w:eastAsia="Arial" w:hAnsi="Times New Roman" w:cs="Times New Roman"/>
          <w:sz w:val="20"/>
          <w:szCs w:val="20"/>
        </w:rPr>
        <w:t>avaliados</w:t>
      </w:r>
      <w:r w:rsidR="00DF70A5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="00B414A8">
        <w:rPr>
          <w:rFonts w:ascii="Times New Roman" w:hAnsi="Times New Roman" w:cs="Times New Roman"/>
          <w:sz w:val="20"/>
          <w:szCs w:val="20"/>
        </w:rPr>
        <w:t>O</w:t>
      </w:r>
      <w:r w:rsidR="00DF70A5" w:rsidRPr="00A311FA">
        <w:rPr>
          <w:rFonts w:ascii="Times New Roman" w:hAnsi="Times New Roman" w:cs="Times New Roman"/>
          <w:sz w:val="20"/>
          <w:szCs w:val="20"/>
        </w:rPr>
        <w:t xml:space="preserve"> propranolol e o sulfametoxazol apresentaram </w:t>
      </w:r>
      <w:r w:rsidR="00B414A8">
        <w:rPr>
          <w:rFonts w:ascii="Times New Roman" w:hAnsi="Times New Roman" w:cs="Times New Roman"/>
          <w:sz w:val="20"/>
          <w:szCs w:val="20"/>
        </w:rPr>
        <w:t>degradação de</w:t>
      </w:r>
      <w:r w:rsidR="000D6032">
        <w:rPr>
          <w:rFonts w:ascii="Times New Roman" w:hAnsi="Times New Roman" w:cs="Times New Roman"/>
          <w:sz w:val="20"/>
          <w:szCs w:val="20"/>
        </w:rPr>
        <w:t xml:space="preserve"> até</w:t>
      </w:r>
      <w:r w:rsidR="00B414A8">
        <w:rPr>
          <w:rFonts w:ascii="Times New Roman" w:hAnsi="Times New Roman" w:cs="Times New Roman"/>
          <w:sz w:val="20"/>
          <w:szCs w:val="20"/>
        </w:rPr>
        <w:t xml:space="preserve"> </w:t>
      </w:r>
      <w:r w:rsidR="000D6032" w:rsidRPr="00A343B0">
        <w:rPr>
          <w:rFonts w:ascii="Times New Roman" w:hAnsi="Times New Roman" w:cs="Times New Roman"/>
          <w:sz w:val="20"/>
          <w:szCs w:val="20"/>
        </w:rPr>
        <w:t>100</w:t>
      </w:r>
      <w:r w:rsidR="00B414A8" w:rsidRPr="00A343B0">
        <w:rPr>
          <w:rFonts w:ascii="Times New Roman" w:hAnsi="Times New Roman" w:cs="Times New Roman"/>
          <w:sz w:val="20"/>
          <w:szCs w:val="20"/>
        </w:rPr>
        <w:t>%</w:t>
      </w:r>
      <w:r w:rsidR="00DF70A5" w:rsidRPr="00A311FA">
        <w:rPr>
          <w:rFonts w:ascii="Times New Roman" w:hAnsi="Times New Roman" w:cs="Times New Roman"/>
          <w:sz w:val="20"/>
          <w:szCs w:val="20"/>
        </w:rPr>
        <w:t xml:space="preserve">. </w:t>
      </w:r>
      <w:r w:rsidR="00DF70A5" w:rsidRPr="00A311FA">
        <w:rPr>
          <w:rFonts w:ascii="Times New Roman" w:eastAsia="Arial" w:hAnsi="Times New Roman" w:cs="Times New Roman"/>
          <w:sz w:val="20"/>
          <w:szCs w:val="20"/>
        </w:rPr>
        <w:t>Estes experimentos iniciais permitiram avaliar os catalisadores mais promissores a serem aplicados nos processos de fotocatálise.</w:t>
      </w:r>
    </w:p>
    <w:p w14:paraId="18612A0A" w14:textId="2E5E4122" w:rsidR="00A311FA" w:rsidRDefault="00A311FA" w:rsidP="00A311FA">
      <w:pPr>
        <w:tabs>
          <w:tab w:val="left" w:pos="589"/>
        </w:tabs>
        <w:spacing w:before="120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Palavras-chave: </w:t>
      </w:r>
      <w:r w:rsidRPr="00E629F9">
        <w:rPr>
          <w:rFonts w:ascii="Times New Roman" w:hAnsi="Times New Roman"/>
          <w:i/>
          <w:sz w:val="20"/>
        </w:rPr>
        <w:t xml:space="preserve">fotocatálise, contaminantes emergentes, catalisadores </w:t>
      </w:r>
      <w:r w:rsidR="007A2517">
        <w:rPr>
          <w:rFonts w:ascii="Times New Roman" w:hAnsi="Times New Roman"/>
          <w:i/>
          <w:sz w:val="20"/>
        </w:rPr>
        <w:t>oriundos de resíduos industriais</w:t>
      </w:r>
      <w:r w:rsidRPr="00E629F9">
        <w:rPr>
          <w:rFonts w:ascii="Times New Roman" w:hAnsi="Times New Roman"/>
          <w:i/>
          <w:sz w:val="20"/>
        </w:rPr>
        <w:t xml:space="preserve">  </w:t>
      </w:r>
    </w:p>
    <w:p w14:paraId="6FBF293D" w14:textId="77777777" w:rsidR="00A311FA" w:rsidRDefault="00A311FA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39DEE3E" w14:textId="05015C26" w:rsidR="00A311FA" w:rsidRPr="00A343B0" w:rsidRDefault="00EA4E1B" w:rsidP="00A343B0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F64427">
        <w:rPr>
          <w:rFonts w:ascii="Times New Roman" w:hAnsi="Times New Roman"/>
          <w:b w:val="0"/>
          <w:sz w:val="20"/>
        </w:rPr>
        <w:t>ABSTRACT -</w:t>
      </w:r>
      <w:r w:rsidR="00B13148" w:rsidRPr="00B13148">
        <w:rPr>
          <w:rFonts w:ascii="Times New Roman" w:hAnsi="Times New Roman"/>
          <w:b w:val="0"/>
          <w:sz w:val="20"/>
        </w:rPr>
        <w:t xml:space="preserve">The development of sustainable advanced materials using industrial waste has </w:t>
      </w:r>
      <w:r w:rsidR="00F64427">
        <w:rPr>
          <w:rFonts w:ascii="Times New Roman" w:hAnsi="Times New Roman"/>
          <w:b w:val="0"/>
          <w:sz w:val="20"/>
        </w:rPr>
        <w:t>been proving to be a promising</w:t>
      </w:r>
      <w:r w:rsidR="00B13148" w:rsidRPr="00B13148">
        <w:rPr>
          <w:rFonts w:ascii="Times New Roman" w:hAnsi="Times New Roman"/>
          <w:b w:val="0"/>
          <w:sz w:val="20"/>
        </w:rPr>
        <w:t xml:space="preserve"> technological and environmental alternative. </w:t>
      </w:r>
      <w:r w:rsidR="00F87083" w:rsidRPr="00A343B0">
        <w:rPr>
          <w:rFonts w:ascii="Times New Roman" w:hAnsi="Times New Roman"/>
          <w:b w:val="0"/>
          <w:bCs/>
          <w:sz w:val="20"/>
        </w:rPr>
        <w:t>Ash w</w:t>
      </w:r>
      <w:r w:rsidR="00B13148" w:rsidRPr="00A343B0">
        <w:rPr>
          <w:rFonts w:ascii="Times New Roman" w:hAnsi="Times New Roman"/>
          <w:b w:val="0"/>
          <w:bCs/>
          <w:sz w:val="20"/>
        </w:rPr>
        <w:t xml:space="preserve">aste </w:t>
      </w:r>
      <w:r w:rsidR="00F87083" w:rsidRPr="00A343B0">
        <w:rPr>
          <w:rFonts w:ascii="Times New Roman" w:hAnsi="Times New Roman"/>
          <w:b w:val="0"/>
          <w:bCs/>
          <w:sz w:val="20"/>
        </w:rPr>
        <w:t xml:space="preserve">from </w:t>
      </w:r>
      <w:r w:rsidR="00B13148" w:rsidRPr="00A343B0">
        <w:rPr>
          <w:rFonts w:ascii="Times New Roman" w:hAnsi="Times New Roman"/>
          <w:b w:val="0"/>
          <w:bCs/>
          <w:sz w:val="20"/>
        </w:rPr>
        <w:t>coal or rice husk</w:t>
      </w:r>
      <w:r w:rsidR="00B13148" w:rsidRPr="00B13148">
        <w:rPr>
          <w:rFonts w:ascii="Times New Roman" w:hAnsi="Times New Roman"/>
          <w:b w:val="0"/>
          <w:sz w:val="20"/>
        </w:rPr>
        <w:t xml:space="preserve"> are sustainable sources of silica for the synthesis of nanostructured materials, with micro and mesoporous structures. Thus, these materials were used to develop catalysts </w:t>
      </w:r>
      <w:r w:rsidR="00B13148">
        <w:rPr>
          <w:rFonts w:ascii="Times New Roman" w:hAnsi="Times New Roman"/>
          <w:b w:val="0"/>
          <w:sz w:val="20"/>
        </w:rPr>
        <w:t xml:space="preserve">for </w:t>
      </w:r>
      <w:r w:rsidR="00B13148" w:rsidRPr="00B13148">
        <w:rPr>
          <w:rFonts w:ascii="Times New Roman" w:hAnsi="Times New Roman"/>
          <w:b w:val="0"/>
          <w:sz w:val="20"/>
        </w:rPr>
        <w:t xml:space="preserve">the photocatalytic degradation of emerging contaminants such as beta-blockers and antimicrobials. </w:t>
      </w:r>
      <w:r w:rsidR="007C4E38">
        <w:rPr>
          <w:rFonts w:ascii="Times New Roman" w:hAnsi="Times New Roman"/>
          <w:b w:val="0"/>
          <w:sz w:val="20"/>
        </w:rPr>
        <w:t>Five</w:t>
      </w:r>
      <w:r w:rsidR="00B13148" w:rsidRPr="00B13148">
        <w:rPr>
          <w:rFonts w:ascii="Times New Roman" w:hAnsi="Times New Roman"/>
          <w:b w:val="0"/>
          <w:sz w:val="20"/>
        </w:rPr>
        <w:t xml:space="preserve"> </w:t>
      </w:r>
      <w:r w:rsidR="00B13148" w:rsidRPr="00A343B0">
        <w:rPr>
          <w:rFonts w:ascii="Times New Roman" w:hAnsi="Times New Roman"/>
          <w:b w:val="0"/>
          <w:bCs/>
          <w:sz w:val="20"/>
        </w:rPr>
        <w:t>catalysts</w:t>
      </w:r>
      <w:r w:rsidR="000D6032" w:rsidRPr="00A343B0">
        <w:rPr>
          <w:rFonts w:ascii="Times New Roman" w:hAnsi="Times New Roman"/>
          <w:b w:val="0"/>
          <w:bCs/>
          <w:sz w:val="20"/>
        </w:rPr>
        <w:t xml:space="preserve"> </w:t>
      </w:r>
      <w:r w:rsidR="000D6032">
        <w:rPr>
          <w:rFonts w:ascii="Times New Roman" w:hAnsi="Times New Roman"/>
          <w:b w:val="0"/>
          <w:sz w:val="20"/>
        </w:rPr>
        <w:t>synthesized from</w:t>
      </w:r>
      <w:r w:rsidR="00B13148" w:rsidRPr="00B13148">
        <w:rPr>
          <w:rFonts w:ascii="Times New Roman" w:hAnsi="Times New Roman"/>
          <w:b w:val="0"/>
          <w:sz w:val="20"/>
        </w:rPr>
        <w:t xml:space="preserve"> </w:t>
      </w:r>
      <w:r w:rsidR="000D6032" w:rsidRPr="00A343B0">
        <w:rPr>
          <w:rFonts w:ascii="Times New Roman" w:hAnsi="Times New Roman"/>
          <w:b w:val="0"/>
          <w:sz w:val="20"/>
        </w:rPr>
        <w:t>residue</w:t>
      </w:r>
      <w:r w:rsidR="000D6032" w:rsidRPr="00B13148">
        <w:rPr>
          <w:rFonts w:ascii="Times New Roman" w:hAnsi="Times New Roman"/>
          <w:b w:val="0"/>
          <w:sz w:val="20"/>
        </w:rPr>
        <w:t xml:space="preserve"> </w:t>
      </w:r>
      <w:r w:rsidR="00B13148" w:rsidRPr="00B13148">
        <w:rPr>
          <w:rFonts w:ascii="Times New Roman" w:hAnsi="Times New Roman"/>
          <w:b w:val="0"/>
          <w:sz w:val="20"/>
        </w:rPr>
        <w:t xml:space="preserve">were tested against </w:t>
      </w:r>
      <w:r w:rsidR="00F64427">
        <w:rPr>
          <w:rFonts w:ascii="Times New Roman" w:hAnsi="Times New Roman"/>
          <w:b w:val="0"/>
          <w:sz w:val="20"/>
        </w:rPr>
        <w:t>two</w:t>
      </w:r>
      <w:r w:rsidR="00B13148" w:rsidRPr="00B13148">
        <w:rPr>
          <w:rFonts w:ascii="Times New Roman" w:hAnsi="Times New Roman"/>
          <w:b w:val="0"/>
          <w:sz w:val="20"/>
        </w:rPr>
        <w:t xml:space="preserve"> groups of compounds (</w:t>
      </w:r>
      <w:r w:rsidR="00FB7216">
        <w:rPr>
          <w:rFonts w:ascii="Times New Roman" w:hAnsi="Times New Roman"/>
          <w:b w:val="0"/>
          <w:sz w:val="20"/>
        </w:rPr>
        <w:t>beta</w:t>
      </w:r>
      <w:r w:rsidR="00B13148" w:rsidRPr="00B13148">
        <w:rPr>
          <w:rFonts w:ascii="Times New Roman" w:hAnsi="Times New Roman"/>
          <w:b w:val="0"/>
          <w:sz w:val="20"/>
        </w:rPr>
        <w:t xml:space="preserve">-blockers and </w:t>
      </w:r>
      <w:r w:rsidR="00FB7216">
        <w:rPr>
          <w:rFonts w:ascii="Times New Roman" w:hAnsi="Times New Roman"/>
          <w:b w:val="0"/>
          <w:sz w:val="20"/>
        </w:rPr>
        <w:t>a</w:t>
      </w:r>
      <w:r w:rsidR="00B13148" w:rsidRPr="00B13148">
        <w:rPr>
          <w:rFonts w:ascii="Times New Roman" w:hAnsi="Times New Roman"/>
          <w:b w:val="0"/>
          <w:sz w:val="20"/>
        </w:rPr>
        <w:t xml:space="preserve">ntibiotics). The photocatalysis process was carried out in an irradiation chamber using UV-A and UV-B radiation simultaneously. The samples were analyzed by HPLC-UV, which allowed quantifying the selected compounds, indicating the catalytic degradation </w:t>
      </w:r>
      <w:r w:rsidR="00FB7216">
        <w:rPr>
          <w:rFonts w:ascii="Times New Roman" w:hAnsi="Times New Roman"/>
          <w:b w:val="0"/>
          <w:sz w:val="20"/>
        </w:rPr>
        <w:t xml:space="preserve">degree </w:t>
      </w:r>
      <w:r w:rsidR="00B13148" w:rsidRPr="00B13148">
        <w:rPr>
          <w:rFonts w:ascii="Times New Roman" w:hAnsi="Times New Roman"/>
          <w:b w:val="0"/>
          <w:sz w:val="20"/>
        </w:rPr>
        <w:t xml:space="preserve">of each compound. Propranolol and sulfamethoxazole showed degradation </w:t>
      </w:r>
      <w:r w:rsidR="00F64427">
        <w:rPr>
          <w:rFonts w:ascii="Times New Roman" w:hAnsi="Times New Roman"/>
          <w:b w:val="0"/>
          <w:sz w:val="20"/>
        </w:rPr>
        <w:t xml:space="preserve">up </w:t>
      </w:r>
      <w:r w:rsidR="007C4E38">
        <w:rPr>
          <w:rFonts w:ascii="Times New Roman" w:hAnsi="Times New Roman"/>
          <w:b w:val="0"/>
          <w:sz w:val="20"/>
        </w:rPr>
        <w:t>t</w:t>
      </w:r>
      <w:r w:rsidR="00F64427">
        <w:rPr>
          <w:rFonts w:ascii="Times New Roman" w:hAnsi="Times New Roman"/>
          <w:b w:val="0"/>
          <w:sz w:val="20"/>
        </w:rPr>
        <w:t>o</w:t>
      </w:r>
      <w:r w:rsidR="000D6032" w:rsidRPr="00A343B0">
        <w:rPr>
          <w:rFonts w:ascii="Times New Roman" w:hAnsi="Times New Roman"/>
          <w:b w:val="0"/>
          <w:sz w:val="20"/>
        </w:rPr>
        <w:t xml:space="preserve"> 100</w:t>
      </w:r>
      <w:r w:rsidR="00B13148" w:rsidRPr="00A343B0">
        <w:rPr>
          <w:rFonts w:ascii="Times New Roman" w:hAnsi="Times New Roman"/>
          <w:b w:val="0"/>
          <w:sz w:val="20"/>
        </w:rPr>
        <w:t>%.</w:t>
      </w:r>
      <w:r w:rsidR="00B13148" w:rsidRPr="00B13148">
        <w:rPr>
          <w:rFonts w:ascii="Times New Roman" w:hAnsi="Times New Roman"/>
          <w:b w:val="0"/>
          <w:sz w:val="20"/>
        </w:rPr>
        <w:t xml:space="preserve"> These initial experiments allowed evaluating the most promising catalysts to be applied in photocatalysis processes.</w:t>
      </w:r>
    </w:p>
    <w:p w14:paraId="5F4A84E8" w14:textId="4EBA512B" w:rsidR="00EA4E1B" w:rsidRPr="00AD5E26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AD5E26">
        <w:rPr>
          <w:rFonts w:ascii="Times New Roman" w:hAnsi="Times New Roman"/>
          <w:b w:val="0"/>
          <w:i/>
          <w:sz w:val="20"/>
        </w:rPr>
        <w:t xml:space="preserve">Keywords: </w:t>
      </w:r>
      <w:r w:rsidR="00500440" w:rsidRPr="00AD5E26">
        <w:rPr>
          <w:rFonts w:ascii="Times New Roman" w:hAnsi="Times New Roman"/>
          <w:b w:val="0"/>
          <w:i/>
          <w:sz w:val="20"/>
        </w:rPr>
        <w:t>Photocatalysis, emerging contaminants</w:t>
      </w:r>
      <w:r w:rsidR="00356521" w:rsidRPr="00AD5E26">
        <w:rPr>
          <w:rFonts w:ascii="Times New Roman" w:hAnsi="Times New Roman"/>
          <w:b w:val="0"/>
          <w:i/>
          <w:sz w:val="20"/>
        </w:rPr>
        <w:t>,</w:t>
      </w:r>
      <w:r w:rsidR="00630255" w:rsidRPr="00AD5E26">
        <w:rPr>
          <w:rFonts w:ascii="Times New Roman" w:hAnsi="Times New Roman"/>
          <w:b w:val="0"/>
          <w:i/>
          <w:sz w:val="20"/>
        </w:rPr>
        <w:t xml:space="preserve"> catalysts</w:t>
      </w:r>
      <w:r w:rsidR="000D6032">
        <w:rPr>
          <w:rFonts w:ascii="Times New Roman" w:hAnsi="Times New Roman"/>
          <w:b w:val="0"/>
          <w:i/>
          <w:sz w:val="20"/>
        </w:rPr>
        <w:t xml:space="preserve"> from industrial waste</w:t>
      </w:r>
    </w:p>
    <w:bookmarkEnd w:id="1"/>
    <w:p w14:paraId="48D9B0C4" w14:textId="77777777" w:rsidR="00EA4E1B" w:rsidRPr="00AD5E26" w:rsidRDefault="00EA4E1B" w:rsidP="00EA4E1B">
      <w:pPr>
        <w:rPr>
          <w:lang w:val="en-US"/>
        </w:rPr>
        <w:sectPr w:rsidR="00EA4E1B" w:rsidRPr="00AD5E2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7FB9F532" w14:textId="0C5780C9" w:rsidR="00B760D3" w:rsidRPr="00A343B0" w:rsidRDefault="00EA4E1B" w:rsidP="00A343B0">
      <w:pPr>
        <w:spacing w:after="0" w:line="240" w:lineRule="auto"/>
        <w:jc w:val="center"/>
        <w:rPr>
          <w:sz w:val="32"/>
        </w:rPr>
      </w:pPr>
      <w:r w:rsidRPr="00A343B0">
        <w:rPr>
          <w:rFonts w:ascii="Helvetica" w:hAnsi="Helvetica" w:cs="Helvetica"/>
          <w:sz w:val="24"/>
          <w:szCs w:val="24"/>
        </w:rPr>
        <w:t>Introdução</w:t>
      </w:r>
    </w:p>
    <w:p w14:paraId="01FFA91B" w14:textId="56F4E7E0" w:rsidR="00B760D3" w:rsidRPr="00A343B0" w:rsidRDefault="00E26A98" w:rsidP="00A343B0">
      <w:pPr>
        <w:pStyle w:val="TAMainText"/>
        <w:spacing w:before="120"/>
        <w:ind w:firstLine="0"/>
        <w:rPr>
          <w:rFonts w:ascii="Times New Roman" w:hAnsi="Times New Roman"/>
          <w:b/>
          <w:lang w:val="pt-BR"/>
        </w:rPr>
      </w:pPr>
      <w:r w:rsidRPr="00AC1F10">
        <w:rPr>
          <w:rFonts w:ascii="Times New Roman" w:hAnsi="Times New Roman"/>
          <w:lang w:val="pt-BR"/>
        </w:rPr>
        <w:t>Resíduos industriais, como é o caso das cinzas da casca de arroz geradas em termoelétricas</w:t>
      </w:r>
      <w:r w:rsidR="00B13148" w:rsidRPr="00AC1F10">
        <w:rPr>
          <w:rFonts w:ascii="Times New Roman" w:hAnsi="Times New Roman"/>
          <w:lang w:val="pt-BR"/>
        </w:rPr>
        <w:t>,</w:t>
      </w:r>
      <w:r w:rsidRPr="00AC1F10">
        <w:rPr>
          <w:rFonts w:ascii="Times New Roman" w:hAnsi="Times New Roman"/>
          <w:lang w:val="pt-BR"/>
        </w:rPr>
        <w:t xml:space="preserve"> são poluentes de grande ocorrência no Rio Grande do Sul. </w:t>
      </w:r>
      <w:r w:rsidRPr="00A343B0">
        <w:rPr>
          <w:rFonts w:ascii="Times New Roman" w:hAnsi="Times New Roman"/>
          <w:lang w:val="pt-BR"/>
        </w:rPr>
        <w:t xml:space="preserve">Os resíduos oriundos de cinzas </w:t>
      </w:r>
      <w:r w:rsidR="00B760D3" w:rsidRPr="00A343B0">
        <w:rPr>
          <w:rFonts w:ascii="Times New Roman" w:hAnsi="Times New Roman"/>
          <w:lang w:val="pt-BR"/>
        </w:rPr>
        <w:t>de</w:t>
      </w:r>
      <w:r w:rsidRPr="00A343B0">
        <w:rPr>
          <w:rFonts w:ascii="Times New Roman" w:hAnsi="Times New Roman"/>
          <w:lang w:val="pt-BR"/>
        </w:rPr>
        <w:t xml:space="preserve"> casca de arroz são fontes sustentáveis de sílica para a síntese de materiais nanoestruturados, com estruturas micro e mesoporosas. </w:t>
      </w:r>
      <w:r w:rsidR="00B414A8" w:rsidRPr="00AC1F10">
        <w:rPr>
          <w:rFonts w:ascii="Times New Roman" w:hAnsi="Times New Roman"/>
          <w:lang w:val="pt-BR"/>
        </w:rPr>
        <w:t xml:space="preserve">Devido </w:t>
      </w:r>
      <w:r w:rsidR="00F64427">
        <w:rPr>
          <w:rFonts w:ascii="Times New Roman" w:hAnsi="Times New Roman"/>
          <w:lang w:val="pt-BR"/>
        </w:rPr>
        <w:t>a</w:t>
      </w:r>
      <w:r w:rsidR="00B414A8" w:rsidRPr="00AC1F10">
        <w:rPr>
          <w:rFonts w:ascii="Times New Roman" w:hAnsi="Times New Roman"/>
          <w:lang w:val="pt-BR"/>
        </w:rPr>
        <w:t xml:space="preserve"> estas características, estes</w:t>
      </w:r>
      <w:r w:rsidRPr="00AC1F10">
        <w:rPr>
          <w:rFonts w:ascii="Times New Roman" w:hAnsi="Times New Roman"/>
          <w:lang w:val="pt-BR"/>
        </w:rPr>
        <w:t xml:space="preserve"> materiais foram utilizados para desenvolver catalisadores com o propósito de realizar a degradação fotocatalítica de contaminantes emergentes como betabloqueadores e antimicrobianos</w:t>
      </w:r>
      <w:r w:rsidR="00B42757" w:rsidRPr="00AC1F10">
        <w:rPr>
          <w:rFonts w:ascii="Times New Roman" w:hAnsi="Times New Roman"/>
          <w:lang w:val="pt-BR"/>
        </w:rPr>
        <w:t xml:space="preserve"> </w:t>
      </w:r>
      <w:r w:rsidR="00A70FB8">
        <w:rPr>
          <w:rFonts w:ascii="Times New Roman" w:hAnsi="Times New Roman"/>
          <w:lang w:val="pt-BR"/>
        </w:rPr>
        <w:t>(</w:t>
      </w:r>
      <w:r w:rsidR="00B42757" w:rsidRPr="00AC1F10">
        <w:rPr>
          <w:rFonts w:ascii="Times New Roman" w:hAnsi="Times New Roman"/>
          <w:lang w:val="pt-BR"/>
        </w:rPr>
        <w:t>1-3</w:t>
      </w:r>
      <w:r w:rsidR="00A70FB8">
        <w:rPr>
          <w:rFonts w:ascii="Times New Roman" w:hAnsi="Times New Roman"/>
          <w:lang w:val="pt-BR"/>
        </w:rPr>
        <w:t>)</w:t>
      </w:r>
      <w:r w:rsidRPr="00AC1F10">
        <w:rPr>
          <w:rFonts w:ascii="Times New Roman" w:hAnsi="Times New Roman"/>
          <w:lang w:val="pt-BR"/>
        </w:rPr>
        <w:t xml:space="preserve">. Contaminantes emergentes, como no caso dos fármacos, são </w:t>
      </w:r>
      <w:r w:rsidR="00B414A8" w:rsidRPr="00AC1F10">
        <w:rPr>
          <w:rFonts w:ascii="Times New Roman" w:hAnsi="Times New Roman"/>
          <w:lang w:val="pt-BR"/>
        </w:rPr>
        <w:t>compostos presentes no ambiente,</w:t>
      </w:r>
      <w:r w:rsidR="00892474" w:rsidRPr="00AC1F10">
        <w:rPr>
          <w:rFonts w:ascii="Times New Roman" w:hAnsi="Times New Roman"/>
          <w:lang w:val="pt-BR"/>
        </w:rPr>
        <w:t xml:space="preserve"> que </w:t>
      </w:r>
      <w:r w:rsidR="006A483D" w:rsidRPr="00AC1F10">
        <w:rPr>
          <w:rFonts w:ascii="Times New Roman" w:hAnsi="Times New Roman"/>
          <w:lang w:val="pt-BR"/>
        </w:rPr>
        <w:t>se encontram</w:t>
      </w:r>
      <w:r w:rsidR="00892474" w:rsidRPr="00AC1F10">
        <w:rPr>
          <w:rFonts w:ascii="Times New Roman" w:hAnsi="Times New Roman"/>
          <w:lang w:val="pt-BR"/>
        </w:rPr>
        <w:t xml:space="preserve"> em micro e nanogramas por litro</w:t>
      </w:r>
      <w:r w:rsidR="00B42757" w:rsidRPr="00AC1F10">
        <w:rPr>
          <w:rFonts w:ascii="Times New Roman" w:hAnsi="Times New Roman"/>
          <w:lang w:val="pt-BR"/>
        </w:rPr>
        <w:t xml:space="preserve"> </w:t>
      </w:r>
      <w:r w:rsidR="00892474" w:rsidRPr="00AC1F10">
        <w:rPr>
          <w:rFonts w:ascii="Times New Roman" w:hAnsi="Times New Roman"/>
          <w:lang w:val="pt-BR"/>
        </w:rPr>
        <w:t xml:space="preserve">e </w:t>
      </w:r>
      <w:r w:rsidR="00B42757" w:rsidRPr="00AC1F10">
        <w:rPr>
          <w:rFonts w:ascii="Times New Roman" w:hAnsi="Times New Roman"/>
          <w:lang w:val="pt-BR"/>
        </w:rPr>
        <w:t xml:space="preserve">que não são removidos </w:t>
      </w:r>
      <w:r w:rsidRPr="00AC1F10">
        <w:rPr>
          <w:rFonts w:ascii="Times New Roman" w:hAnsi="Times New Roman"/>
          <w:lang w:val="pt-BR"/>
        </w:rPr>
        <w:t xml:space="preserve">ou eliminados pelos processos convencionais </w:t>
      </w:r>
      <w:r w:rsidR="00B42757" w:rsidRPr="00AC1F10">
        <w:rPr>
          <w:rFonts w:ascii="Times New Roman" w:hAnsi="Times New Roman"/>
          <w:lang w:val="pt-BR"/>
        </w:rPr>
        <w:t xml:space="preserve">de tratamento de água </w:t>
      </w:r>
      <w:r w:rsidR="00A70FB8">
        <w:rPr>
          <w:rFonts w:ascii="Times New Roman" w:hAnsi="Times New Roman"/>
          <w:lang w:val="pt-BR"/>
        </w:rPr>
        <w:t>(</w:t>
      </w:r>
      <w:r w:rsidR="00B42757" w:rsidRPr="00AC1F10">
        <w:rPr>
          <w:rFonts w:ascii="Times New Roman" w:hAnsi="Times New Roman"/>
          <w:lang w:val="pt-BR"/>
        </w:rPr>
        <w:t>4-7</w:t>
      </w:r>
      <w:r w:rsidR="00A70FB8">
        <w:rPr>
          <w:rFonts w:ascii="Times New Roman" w:hAnsi="Times New Roman"/>
          <w:lang w:val="pt-BR"/>
        </w:rPr>
        <w:t>)</w:t>
      </w:r>
      <w:r w:rsidR="00B42757" w:rsidRPr="00AC1F10">
        <w:rPr>
          <w:rFonts w:ascii="Times New Roman" w:hAnsi="Times New Roman"/>
          <w:lang w:val="pt-BR"/>
        </w:rPr>
        <w:t xml:space="preserve">. No caso de antibióticos, um grande problema é a questão da resistência bacteriana. </w:t>
      </w:r>
      <w:r w:rsidR="005F07E9">
        <w:rPr>
          <w:rFonts w:ascii="Times New Roman" w:hAnsi="Times New Roman"/>
          <w:lang w:val="pt-BR"/>
        </w:rPr>
        <w:t>A fotocatálise é u</w:t>
      </w:r>
      <w:r w:rsidR="00B42757" w:rsidRPr="00AC1F10">
        <w:rPr>
          <w:rFonts w:ascii="Times New Roman" w:hAnsi="Times New Roman"/>
          <w:lang w:val="pt-BR"/>
        </w:rPr>
        <w:t xml:space="preserve">m dos processos oxidativos avançados que </w:t>
      </w:r>
      <w:r w:rsidR="00B42757" w:rsidRPr="00AC1F10">
        <w:rPr>
          <w:rFonts w:ascii="Times New Roman" w:hAnsi="Times New Roman"/>
          <w:lang w:val="pt-BR"/>
        </w:rPr>
        <w:t xml:space="preserve">vem se destacando como bastante eficiente para a degradação </w:t>
      </w:r>
      <w:r w:rsidR="006A483D" w:rsidRPr="00AC1F10">
        <w:rPr>
          <w:rFonts w:ascii="Times New Roman" w:hAnsi="Times New Roman"/>
          <w:lang w:val="pt-BR"/>
        </w:rPr>
        <w:t>destes compostos</w:t>
      </w:r>
      <w:r w:rsidR="00B42757" w:rsidRPr="00AC1F10">
        <w:rPr>
          <w:rFonts w:ascii="Times New Roman" w:hAnsi="Times New Roman"/>
          <w:lang w:val="pt-BR"/>
        </w:rPr>
        <w:t xml:space="preserve"> no ambiente aquático </w:t>
      </w:r>
      <w:r w:rsidR="00A70FB8">
        <w:rPr>
          <w:rFonts w:ascii="Times New Roman" w:hAnsi="Times New Roman"/>
          <w:lang w:val="pt-BR"/>
        </w:rPr>
        <w:t>(</w:t>
      </w:r>
      <w:r w:rsidR="00B42757" w:rsidRPr="00AC1F10">
        <w:rPr>
          <w:rFonts w:ascii="Times New Roman" w:hAnsi="Times New Roman"/>
          <w:lang w:val="pt-BR"/>
        </w:rPr>
        <w:t>8</w:t>
      </w:r>
      <w:r w:rsidR="00A70FB8">
        <w:rPr>
          <w:rFonts w:ascii="Times New Roman" w:hAnsi="Times New Roman"/>
          <w:lang w:val="pt-BR"/>
        </w:rPr>
        <w:t>)</w:t>
      </w:r>
      <w:r w:rsidR="00B42757" w:rsidRPr="00AC1F10">
        <w:rPr>
          <w:rFonts w:ascii="Times New Roman" w:hAnsi="Times New Roman"/>
          <w:lang w:val="pt-BR"/>
        </w:rPr>
        <w:t>.</w:t>
      </w:r>
    </w:p>
    <w:p w14:paraId="52FFAC79" w14:textId="77777777" w:rsidR="00EA4E1B" w:rsidRPr="00A343B0" w:rsidRDefault="00EA4E1B" w:rsidP="00A70FB8">
      <w:pPr>
        <w:spacing w:before="240"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A343B0">
        <w:rPr>
          <w:rFonts w:ascii="Helvetica" w:hAnsi="Helvetica" w:cs="Helvetica"/>
          <w:sz w:val="24"/>
          <w:szCs w:val="24"/>
        </w:rPr>
        <w:t>Experimental</w:t>
      </w:r>
    </w:p>
    <w:p w14:paraId="35887134" w14:textId="1270B52B" w:rsidR="00EA4E1B" w:rsidRPr="001F25B2" w:rsidRDefault="004E2E86" w:rsidP="00A70FB8">
      <w:pPr>
        <w:pStyle w:val="TAMainText"/>
        <w:spacing w:before="6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Catalisadores utilizados</w:t>
      </w:r>
    </w:p>
    <w:p w14:paraId="6E03E47E" w14:textId="743AB7C5" w:rsidR="00DA02FE" w:rsidRPr="00A73F28" w:rsidRDefault="00A73F28" w:rsidP="00A70FB8">
      <w:pPr>
        <w:pStyle w:val="TAMainText"/>
        <w:spacing w:after="240" w:line="240" w:lineRule="auto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Foram </w:t>
      </w:r>
      <w:r w:rsidR="006A483D">
        <w:rPr>
          <w:rFonts w:ascii="Times New Roman" w:hAnsi="Times New Roman"/>
          <w:lang w:val="pt-BR"/>
        </w:rPr>
        <w:t>avaliados</w:t>
      </w:r>
      <w:r>
        <w:rPr>
          <w:rFonts w:ascii="Times New Roman" w:hAnsi="Times New Roman"/>
          <w:lang w:val="pt-BR"/>
        </w:rPr>
        <w:t xml:space="preserve"> </w:t>
      </w:r>
      <w:r w:rsidR="007C4E38">
        <w:rPr>
          <w:rFonts w:ascii="Times New Roman" w:hAnsi="Times New Roman"/>
          <w:lang w:val="pt-BR"/>
        </w:rPr>
        <w:t>cinco</w:t>
      </w:r>
      <w:r>
        <w:rPr>
          <w:rFonts w:ascii="Times New Roman" w:hAnsi="Times New Roman"/>
          <w:lang w:val="pt-BR"/>
        </w:rPr>
        <w:t xml:space="preserve"> catalisadores, oriundos de resíduos</w:t>
      </w:r>
      <w:r w:rsidR="006A483D">
        <w:rPr>
          <w:rFonts w:ascii="Times New Roman" w:hAnsi="Times New Roman"/>
          <w:lang w:val="pt-BR"/>
        </w:rPr>
        <w:t xml:space="preserve"> agroindustriais</w:t>
      </w:r>
      <w:r>
        <w:rPr>
          <w:rFonts w:ascii="Times New Roman" w:hAnsi="Times New Roman"/>
          <w:lang w:val="pt-BR"/>
        </w:rPr>
        <w:t>: ITQ</w:t>
      </w:r>
      <w:r w:rsidR="00B760D3">
        <w:rPr>
          <w:rFonts w:ascii="Times New Roman" w:hAnsi="Times New Roman"/>
          <w:lang w:val="pt-BR"/>
        </w:rPr>
        <w:t>-2</w:t>
      </w:r>
      <w:r>
        <w:rPr>
          <w:rFonts w:ascii="Times New Roman" w:hAnsi="Times New Roman"/>
          <w:lang w:val="pt-BR"/>
        </w:rPr>
        <w:t xml:space="preserve"> 5% Ce, ITQ</w:t>
      </w:r>
      <w:r w:rsidR="00B760D3">
        <w:rPr>
          <w:rFonts w:ascii="Times New Roman" w:hAnsi="Times New Roman"/>
          <w:lang w:val="pt-BR"/>
        </w:rPr>
        <w:t>-2</w:t>
      </w:r>
      <w:r>
        <w:rPr>
          <w:rFonts w:ascii="Times New Roman" w:hAnsi="Times New Roman"/>
          <w:lang w:val="pt-BR"/>
        </w:rPr>
        <w:t xml:space="preserve"> 10% Ce, </w:t>
      </w:r>
      <w:r w:rsidR="00B760D3">
        <w:rPr>
          <w:rFonts w:ascii="Times New Roman" w:hAnsi="Times New Roman"/>
          <w:lang w:val="pt-BR"/>
        </w:rPr>
        <w:t>MCM-</w:t>
      </w:r>
      <w:r>
        <w:rPr>
          <w:rFonts w:ascii="Times New Roman" w:hAnsi="Times New Roman"/>
          <w:lang w:val="pt-BR"/>
        </w:rPr>
        <w:t xml:space="preserve">22-5% Ce, </w:t>
      </w:r>
      <w:r w:rsidR="00B760D3">
        <w:rPr>
          <w:rFonts w:ascii="Times New Roman" w:hAnsi="Times New Roman"/>
          <w:lang w:val="pt-BR"/>
        </w:rPr>
        <w:t>MCM-</w:t>
      </w:r>
      <w:r>
        <w:rPr>
          <w:rFonts w:ascii="Times New Roman" w:hAnsi="Times New Roman"/>
          <w:lang w:val="pt-BR"/>
        </w:rPr>
        <w:t>22-10% Ce</w:t>
      </w:r>
      <w:r w:rsidR="00BD6CCC">
        <w:rPr>
          <w:rFonts w:ascii="Times New Roman" w:hAnsi="Times New Roman"/>
          <w:lang w:val="pt-BR"/>
        </w:rPr>
        <w:t xml:space="preserve"> e</w:t>
      </w:r>
      <w:r>
        <w:rPr>
          <w:rFonts w:ascii="Times New Roman" w:hAnsi="Times New Roman"/>
          <w:lang w:val="pt-BR"/>
        </w:rPr>
        <w:t xml:space="preserve"> SiO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5% Ce.</w:t>
      </w:r>
    </w:p>
    <w:p w14:paraId="0AB624FF" w14:textId="5F8A8A57" w:rsidR="004E2E86" w:rsidRDefault="004E2E86" w:rsidP="00A343B0">
      <w:pPr>
        <w:pStyle w:val="TAMainText"/>
        <w:spacing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Metodologia</w:t>
      </w:r>
    </w:p>
    <w:p w14:paraId="55107650" w14:textId="7AD6846D" w:rsidR="004E2E86" w:rsidRPr="004E2E86" w:rsidRDefault="004E2E86" w:rsidP="00A343B0">
      <w:pPr>
        <w:tabs>
          <w:tab w:val="left" w:pos="58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E2E86">
        <w:rPr>
          <w:rFonts w:ascii="Times New Roman" w:eastAsia="Arial" w:hAnsi="Times New Roman" w:cs="Times New Roman"/>
          <w:sz w:val="20"/>
          <w:szCs w:val="20"/>
        </w:rPr>
        <w:t>Os experimentos de fotocatálise foram realizados utilizando-se simultaneamente radiação UV-A (60W) e UV-B (60W) em câmara de irradiação (Opsytec Dr. Gröbel), em diferentes tempos de reação de 30 e 60 minutos de irradiação, além dos tempos de adsorção de 30 e 60 minutos anteriores à ação da radiação</w:t>
      </w:r>
      <w:r w:rsidR="00B62F21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="00390045">
        <w:rPr>
          <w:rFonts w:ascii="Times New Roman" w:eastAsia="Arial" w:hAnsi="Times New Roman" w:cs="Times New Roman"/>
          <w:sz w:val="20"/>
          <w:szCs w:val="20"/>
        </w:rPr>
        <w:t>Foi utilizado um béquer contendo a solução sob agitação.</w:t>
      </w:r>
      <w:r w:rsidR="00390045" w:rsidRPr="002929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90045">
        <w:rPr>
          <w:rFonts w:ascii="Times New Roman" w:eastAsia="Arial" w:hAnsi="Times New Roman" w:cs="Times New Roman"/>
          <w:sz w:val="20"/>
          <w:szCs w:val="20"/>
        </w:rPr>
        <w:t>A concentração inicial das soluções foi de 1</w:t>
      </w:r>
      <w:r w:rsidR="00B13148">
        <w:rPr>
          <w:rFonts w:ascii="Times New Roman" w:eastAsia="Arial" w:hAnsi="Times New Roman" w:cs="Times New Roman"/>
          <w:sz w:val="20"/>
          <w:szCs w:val="20"/>
        </w:rPr>
        <w:t>,0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 mg/L, </w:t>
      </w:r>
      <w:r w:rsidR="006A483D">
        <w:rPr>
          <w:rFonts w:ascii="Times New Roman" w:eastAsia="Arial" w:hAnsi="Times New Roman" w:cs="Times New Roman"/>
          <w:sz w:val="20"/>
          <w:szCs w:val="20"/>
        </w:rPr>
        <w:t xml:space="preserve">e 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a concentração dos catalisadores foi de 0,2 g/L. Foram empregados </w:t>
      </w:r>
      <w:r w:rsidR="007C4E38">
        <w:rPr>
          <w:rFonts w:ascii="Times New Roman" w:eastAsia="Arial" w:hAnsi="Times New Roman" w:cs="Times New Roman"/>
          <w:sz w:val="20"/>
          <w:szCs w:val="20"/>
        </w:rPr>
        <w:t xml:space="preserve">sete </w:t>
      </w:r>
      <w:r w:rsidR="00DE7BA4">
        <w:rPr>
          <w:rFonts w:ascii="Times New Roman" w:eastAsia="Arial" w:hAnsi="Times New Roman" w:cs="Times New Roman"/>
          <w:sz w:val="20"/>
          <w:szCs w:val="20"/>
        </w:rPr>
        <w:t>fármacos</w:t>
      </w:r>
      <w:r w:rsidR="006A483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6A483D">
        <w:rPr>
          <w:rFonts w:ascii="Times New Roman" w:eastAsia="Arial" w:hAnsi="Times New Roman" w:cs="Times New Roman"/>
          <w:sz w:val="20"/>
          <w:szCs w:val="20"/>
        </w:rPr>
        <w:lastRenderedPageBreak/>
        <w:t>considerados contamina</w:t>
      </w:r>
      <w:r w:rsidR="00EF7AE9">
        <w:rPr>
          <w:rFonts w:ascii="Times New Roman" w:eastAsia="Arial" w:hAnsi="Times New Roman" w:cs="Times New Roman"/>
          <w:sz w:val="20"/>
          <w:szCs w:val="20"/>
        </w:rPr>
        <w:t>n</w:t>
      </w:r>
      <w:r w:rsidR="006A483D">
        <w:rPr>
          <w:rFonts w:ascii="Times New Roman" w:eastAsia="Arial" w:hAnsi="Times New Roman" w:cs="Times New Roman"/>
          <w:sz w:val="20"/>
          <w:szCs w:val="20"/>
        </w:rPr>
        <w:t>tes emergentes.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6A483D">
        <w:rPr>
          <w:rFonts w:ascii="Times New Roman" w:eastAsia="Arial" w:hAnsi="Times New Roman" w:cs="Times New Roman"/>
          <w:sz w:val="20"/>
          <w:szCs w:val="20"/>
        </w:rPr>
        <w:t xml:space="preserve">Os compostos foram </w:t>
      </w:r>
      <w:r w:rsidR="005F07E9">
        <w:rPr>
          <w:rFonts w:ascii="Times New Roman" w:eastAsia="Arial" w:hAnsi="Times New Roman" w:cs="Times New Roman"/>
          <w:sz w:val="20"/>
          <w:szCs w:val="20"/>
        </w:rPr>
        <w:t>quatro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 betabloqueadores (atenolol, sotalol, propranolol e metoprolol) e </w:t>
      </w:r>
      <w:r w:rsidR="005F07E9">
        <w:rPr>
          <w:rFonts w:ascii="Times New Roman" w:eastAsia="Arial" w:hAnsi="Times New Roman" w:cs="Times New Roman"/>
          <w:sz w:val="20"/>
          <w:szCs w:val="20"/>
        </w:rPr>
        <w:t>três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 antimicrobianos (sulfametoxazol, trimetrop</w:t>
      </w:r>
      <w:r w:rsidR="006C10C1">
        <w:rPr>
          <w:rFonts w:ascii="Times New Roman" w:eastAsia="Arial" w:hAnsi="Times New Roman" w:cs="Times New Roman"/>
          <w:sz w:val="20"/>
          <w:szCs w:val="20"/>
        </w:rPr>
        <w:t>r</w:t>
      </w:r>
      <w:r w:rsidR="00390045">
        <w:rPr>
          <w:rFonts w:ascii="Times New Roman" w:eastAsia="Arial" w:hAnsi="Times New Roman" w:cs="Times New Roman"/>
          <w:sz w:val="20"/>
          <w:szCs w:val="20"/>
        </w:rPr>
        <w:t xml:space="preserve">im e sulfadiazina). </w:t>
      </w:r>
      <w:r w:rsidR="00B62F21">
        <w:rPr>
          <w:rFonts w:ascii="Times New Roman" w:eastAsia="Arial" w:hAnsi="Times New Roman" w:cs="Times New Roman"/>
          <w:sz w:val="20"/>
          <w:szCs w:val="20"/>
        </w:rPr>
        <w:t>Alíquotas de 1</w:t>
      </w:r>
      <w:r w:rsidR="00EF7AE9">
        <w:rPr>
          <w:rFonts w:ascii="Times New Roman" w:eastAsia="Arial" w:hAnsi="Times New Roman" w:cs="Times New Roman"/>
          <w:sz w:val="20"/>
          <w:szCs w:val="20"/>
        </w:rPr>
        <w:t>,0</w:t>
      </w:r>
      <w:r w:rsidR="00B62F21">
        <w:rPr>
          <w:rFonts w:ascii="Times New Roman" w:eastAsia="Arial" w:hAnsi="Times New Roman" w:cs="Times New Roman"/>
          <w:sz w:val="20"/>
          <w:szCs w:val="20"/>
        </w:rPr>
        <w:t xml:space="preserve"> mL foram coletadas através de uma seringa, acoplada a uma mangueira, para </w:t>
      </w:r>
      <w:r w:rsidR="006A483D">
        <w:rPr>
          <w:rFonts w:ascii="Times New Roman" w:eastAsia="Arial" w:hAnsi="Times New Roman" w:cs="Times New Roman"/>
          <w:sz w:val="20"/>
          <w:szCs w:val="20"/>
        </w:rPr>
        <w:t>frascos</w:t>
      </w:r>
      <w:r w:rsidR="00B62F21">
        <w:rPr>
          <w:rFonts w:ascii="Times New Roman" w:eastAsia="Arial" w:hAnsi="Times New Roman" w:cs="Times New Roman"/>
          <w:sz w:val="20"/>
          <w:szCs w:val="20"/>
        </w:rPr>
        <w:t xml:space="preserve"> âmbar </w:t>
      </w:r>
      <w:r w:rsidR="006A483D">
        <w:rPr>
          <w:rFonts w:ascii="Times New Roman" w:eastAsia="Arial" w:hAnsi="Times New Roman" w:cs="Times New Roman"/>
          <w:sz w:val="20"/>
          <w:szCs w:val="20"/>
        </w:rPr>
        <w:t xml:space="preserve">de 1 mL, </w:t>
      </w:r>
      <w:r w:rsidR="00B62F21">
        <w:rPr>
          <w:rFonts w:ascii="Times New Roman" w:eastAsia="Arial" w:hAnsi="Times New Roman" w:cs="Times New Roman"/>
          <w:sz w:val="20"/>
          <w:szCs w:val="20"/>
        </w:rPr>
        <w:t xml:space="preserve">que foram logo após congelados para interromper o processo de degradação. </w:t>
      </w:r>
      <w:r w:rsidRPr="004E2E86">
        <w:rPr>
          <w:rFonts w:ascii="Times New Roman" w:eastAsia="Arial" w:hAnsi="Times New Roman" w:cs="Times New Roman"/>
          <w:sz w:val="20"/>
          <w:szCs w:val="20"/>
        </w:rPr>
        <w:t>Estes experimentos tiveram o propósito de avaliar os catalisadores mais promissores frente aos grupos de compostos selecionados</w:t>
      </w:r>
      <w:r w:rsidR="00B62F21">
        <w:rPr>
          <w:rFonts w:ascii="Times New Roman" w:eastAsia="Arial" w:hAnsi="Times New Roman" w:cs="Times New Roman"/>
          <w:sz w:val="20"/>
          <w:szCs w:val="20"/>
        </w:rPr>
        <w:t>.</w:t>
      </w:r>
      <w:r w:rsidRPr="004E2E86">
        <w:rPr>
          <w:rFonts w:ascii="Times New Roman" w:eastAsia="Arial" w:hAnsi="Times New Roman" w:cs="Times New Roman"/>
          <w:sz w:val="20"/>
          <w:szCs w:val="20"/>
        </w:rPr>
        <w:t xml:space="preserve"> As amostras foram analisadas por HPLC-UV, técnica que permitiu quantificar os compostos escolhidos e avaliar a redução na concentração destes compostos, indicando a degradação fotocatalítica de cada contaminante frente aos catalisadores estudados</w:t>
      </w:r>
      <w:r>
        <w:rPr>
          <w:rFonts w:ascii="Times New Roman" w:eastAsia="Arial" w:hAnsi="Times New Roman" w:cs="Times New Roman"/>
          <w:sz w:val="20"/>
          <w:szCs w:val="20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D2D5499" w14:textId="33F051F3" w:rsidR="004E2E86" w:rsidRDefault="004E2E86" w:rsidP="004E2E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2E86">
        <w:rPr>
          <w:rFonts w:ascii="Times New Roman" w:hAnsi="Times New Roman" w:cs="Times New Roman"/>
          <w:sz w:val="20"/>
          <w:szCs w:val="20"/>
        </w:rPr>
        <w:t xml:space="preserve">Os resultados da análise exploratória dos catalisadores estudados mostraram que alguns destes foram efetivos na degradação dos compostos avaliados, sendo classificados como promissores. </w:t>
      </w:r>
      <w:r w:rsidR="006C10C1">
        <w:rPr>
          <w:rFonts w:ascii="Times New Roman" w:hAnsi="Times New Roman" w:cs="Times New Roman"/>
          <w:sz w:val="20"/>
          <w:szCs w:val="20"/>
        </w:rPr>
        <w:t>Dentre</w:t>
      </w:r>
      <w:r w:rsidR="00DE7BA4">
        <w:rPr>
          <w:rFonts w:ascii="Times New Roman" w:hAnsi="Times New Roman" w:cs="Times New Roman"/>
          <w:sz w:val="20"/>
          <w:szCs w:val="20"/>
        </w:rPr>
        <w:t xml:space="preserve"> os </w:t>
      </w:r>
      <w:r w:rsidR="00EF7AE9">
        <w:rPr>
          <w:rFonts w:ascii="Times New Roman" w:hAnsi="Times New Roman" w:cs="Times New Roman"/>
          <w:sz w:val="20"/>
          <w:szCs w:val="20"/>
        </w:rPr>
        <w:t>beta</w:t>
      </w:r>
      <w:r w:rsidR="00DE7BA4">
        <w:rPr>
          <w:rFonts w:ascii="Times New Roman" w:hAnsi="Times New Roman" w:cs="Times New Roman"/>
          <w:sz w:val="20"/>
          <w:szCs w:val="20"/>
        </w:rPr>
        <w:t xml:space="preserve">bloqueadores, o propranolol apresentou degradação de até 100% para todos os catalisadores (Figura 1). </w:t>
      </w:r>
      <w:r w:rsidR="006C10C1">
        <w:rPr>
          <w:rFonts w:ascii="Times New Roman" w:hAnsi="Times New Roman" w:cs="Times New Roman"/>
          <w:sz w:val="20"/>
          <w:szCs w:val="20"/>
        </w:rPr>
        <w:t>Já o</w:t>
      </w:r>
      <w:r w:rsidR="00DE7BA4">
        <w:rPr>
          <w:rFonts w:ascii="Times New Roman" w:hAnsi="Times New Roman" w:cs="Times New Roman"/>
          <w:sz w:val="20"/>
          <w:szCs w:val="20"/>
        </w:rPr>
        <w:t xml:space="preserve"> </w:t>
      </w:r>
      <w:r w:rsidR="00EF7AE9">
        <w:rPr>
          <w:rFonts w:ascii="Times New Roman" w:hAnsi="Times New Roman" w:cs="Times New Roman"/>
          <w:sz w:val="20"/>
          <w:szCs w:val="20"/>
        </w:rPr>
        <w:t xml:space="preserve">atenolol </w:t>
      </w:r>
      <w:r w:rsidR="00DE7BA4">
        <w:rPr>
          <w:rFonts w:ascii="Times New Roman" w:hAnsi="Times New Roman" w:cs="Times New Roman"/>
          <w:sz w:val="20"/>
          <w:szCs w:val="20"/>
        </w:rPr>
        <w:t>apresentou menor ten</w:t>
      </w:r>
      <w:r w:rsidR="00B760D3">
        <w:rPr>
          <w:rFonts w:ascii="Times New Roman" w:hAnsi="Times New Roman" w:cs="Times New Roman"/>
          <w:sz w:val="20"/>
          <w:szCs w:val="20"/>
        </w:rPr>
        <w:t>d</w:t>
      </w:r>
      <w:r w:rsidR="00EF7AE9">
        <w:rPr>
          <w:rFonts w:ascii="Times New Roman" w:hAnsi="Times New Roman" w:cs="Times New Roman"/>
          <w:sz w:val="20"/>
          <w:szCs w:val="20"/>
        </w:rPr>
        <w:t>ê</w:t>
      </w:r>
      <w:r w:rsidR="00DE7BA4">
        <w:rPr>
          <w:rFonts w:ascii="Times New Roman" w:hAnsi="Times New Roman" w:cs="Times New Roman"/>
          <w:sz w:val="20"/>
          <w:szCs w:val="20"/>
        </w:rPr>
        <w:t xml:space="preserve">ncia </w:t>
      </w:r>
      <w:r w:rsidR="00EF7AE9">
        <w:rPr>
          <w:rFonts w:ascii="Times New Roman" w:hAnsi="Times New Roman" w:cs="Times New Roman"/>
          <w:sz w:val="20"/>
          <w:szCs w:val="20"/>
        </w:rPr>
        <w:t xml:space="preserve">à </w:t>
      </w:r>
      <w:r w:rsidR="00DE7BA4">
        <w:rPr>
          <w:rFonts w:ascii="Times New Roman" w:hAnsi="Times New Roman" w:cs="Times New Roman"/>
          <w:sz w:val="20"/>
          <w:szCs w:val="20"/>
        </w:rPr>
        <w:t xml:space="preserve">degradação (entre 10 e 50% de degradação). O </w:t>
      </w:r>
      <w:r w:rsidR="00EF7AE9">
        <w:rPr>
          <w:rFonts w:ascii="Times New Roman" w:hAnsi="Times New Roman" w:cs="Times New Roman"/>
          <w:sz w:val="20"/>
          <w:szCs w:val="20"/>
        </w:rPr>
        <w:t xml:space="preserve">sotalol </w:t>
      </w:r>
      <w:r w:rsidR="00DE7BA4">
        <w:rPr>
          <w:rFonts w:ascii="Times New Roman" w:hAnsi="Times New Roman" w:cs="Times New Roman"/>
          <w:sz w:val="20"/>
          <w:szCs w:val="20"/>
        </w:rPr>
        <w:t>apresentou degradação entre 10 e 50% e o metroprolol entre 10 e 80%.</w:t>
      </w:r>
    </w:p>
    <w:p w14:paraId="65510DFC" w14:textId="77777777" w:rsidR="00BD6CCC" w:rsidRDefault="00BD6CCC" w:rsidP="004E2E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8BC052" w14:textId="35959B2B" w:rsidR="00A343B0" w:rsidRDefault="00BD6CCC" w:rsidP="004E2E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76E8448" wp14:editId="2584A3BE">
            <wp:extent cx="3027680" cy="1906905"/>
            <wp:effectExtent l="0" t="0" r="1270" b="17145"/>
            <wp:docPr id="20240032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2181EB" w14:textId="1C6B5A53" w:rsidR="0017508E" w:rsidRPr="0017508E" w:rsidRDefault="0017508E" w:rsidP="0017508E">
      <w:pPr>
        <w:tabs>
          <w:tab w:val="left" w:pos="589"/>
        </w:tabs>
        <w:spacing w:before="120" w:after="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17508E">
        <w:rPr>
          <w:rFonts w:ascii="Times New Roman" w:eastAsia="Arial" w:hAnsi="Times New Roman" w:cs="Times New Roman"/>
          <w:b/>
          <w:sz w:val="18"/>
          <w:szCs w:val="18"/>
        </w:rPr>
        <w:t>Figura 1.</w:t>
      </w:r>
      <w:r w:rsidRPr="0017508E">
        <w:rPr>
          <w:rFonts w:ascii="Times New Roman" w:eastAsia="Arial" w:hAnsi="Times New Roman" w:cs="Times New Roman"/>
          <w:sz w:val="18"/>
          <w:szCs w:val="18"/>
        </w:rPr>
        <w:t xml:space="preserve"> Variação da concentração</w:t>
      </w:r>
      <w:r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17508E">
        <w:rPr>
          <w:rFonts w:ascii="Times New Roman" w:eastAsia="Arial" w:hAnsi="Times New Roman" w:cs="Times New Roman"/>
          <w:sz w:val="18"/>
          <w:szCs w:val="18"/>
        </w:rPr>
        <w:t>dos compostos betabloqueadores frente aos catalisadores selecionados.</w:t>
      </w:r>
    </w:p>
    <w:p w14:paraId="72F6719C" w14:textId="09DE8E18" w:rsidR="00DE7BA4" w:rsidRDefault="0017508E" w:rsidP="00A343B0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</w:rPr>
      </w:pPr>
      <w:r w:rsidRPr="0017508E">
        <w:rPr>
          <w:rFonts w:ascii="Times New Roman" w:eastAsia="Arial" w:hAnsi="Times New Roman" w:cs="Times New Roman"/>
          <w:sz w:val="18"/>
          <w:szCs w:val="18"/>
        </w:rPr>
        <w:t>SC: concentração inicial, 30AD: 30 min de adsorção, 60AD: 60 min de adsorção, 30UV: 30 min de irradiação, 60UV: 60 min de irradiação (UVA+UVB).</w:t>
      </w:r>
    </w:p>
    <w:p w14:paraId="5D9615EB" w14:textId="77777777" w:rsidR="00B43DE5" w:rsidRDefault="00B43DE5" w:rsidP="00A343B0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</w:rPr>
      </w:pPr>
    </w:p>
    <w:p w14:paraId="5F71B4A3" w14:textId="0B505A64" w:rsidR="00DE7BA4" w:rsidRPr="006C10C1" w:rsidRDefault="00DE7BA4" w:rsidP="00A343B0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343B0">
        <w:rPr>
          <w:rFonts w:ascii="Times New Roman" w:eastAsia="Arial" w:hAnsi="Times New Roman" w:cs="Times New Roman"/>
          <w:sz w:val="20"/>
          <w:szCs w:val="20"/>
        </w:rPr>
        <w:t>Para os antibióticos, o sulfametoxazol apresentou degradação próxim</w:t>
      </w:r>
      <w:r w:rsidR="006C10C1">
        <w:rPr>
          <w:rFonts w:ascii="Times New Roman" w:eastAsia="Arial" w:hAnsi="Times New Roman" w:cs="Times New Roman"/>
          <w:sz w:val="20"/>
          <w:szCs w:val="20"/>
        </w:rPr>
        <w:t>a</w:t>
      </w:r>
      <w:r w:rsidRPr="00A343B0">
        <w:rPr>
          <w:rFonts w:ascii="Times New Roman" w:eastAsia="Arial" w:hAnsi="Times New Roman" w:cs="Times New Roman"/>
          <w:sz w:val="20"/>
          <w:szCs w:val="20"/>
        </w:rPr>
        <w:t xml:space="preserve"> a 100% após 30 minutos de fotoc</w:t>
      </w:r>
      <w:r w:rsidR="00EF7AE9" w:rsidRPr="00A343B0">
        <w:rPr>
          <w:rFonts w:ascii="Times New Roman" w:eastAsia="Arial" w:hAnsi="Times New Roman" w:cs="Times New Roman"/>
          <w:sz w:val="20"/>
          <w:szCs w:val="20"/>
        </w:rPr>
        <w:t>a</w:t>
      </w:r>
      <w:r w:rsidRPr="00A343B0">
        <w:rPr>
          <w:rFonts w:ascii="Times New Roman" w:eastAsia="Arial" w:hAnsi="Times New Roman" w:cs="Times New Roman"/>
          <w:sz w:val="20"/>
          <w:szCs w:val="20"/>
        </w:rPr>
        <w:t>t</w:t>
      </w:r>
      <w:r w:rsidR="00EF7AE9" w:rsidRPr="00A343B0">
        <w:rPr>
          <w:rFonts w:ascii="Times New Roman" w:eastAsia="Arial" w:hAnsi="Times New Roman" w:cs="Times New Roman"/>
          <w:sz w:val="20"/>
          <w:szCs w:val="20"/>
        </w:rPr>
        <w:t>á</w:t>
      </w:r>
      <w:r w:rsidRPr="00A343B0">
        <w:rPr>
          <w:rFonts w:ascii="Times New Roman" w:eastAsia="Arial" w:hAnsi="Times New Roman" w:cs="Times New Roman"/>
          <w:sz w:val="20"/>
          <w:szCs w:val="20"/>
        </w:rPr>
        <w:t>lise</w:t>
      </w:r>
      <w:r w:rsidR="00B43DE5" w:rsidRPr="00A343B0">
        <w:rPr>
          <w:rFonts w:ascii="Times New Roman" w:eastAsia="Arial" w:hAnsi="Times New Roman" w:cs="Times New Roman"/>
          <w:sz w:val="20"/>
          <w:szCs w:val="20"/>
        </w:rPr>
        <w:t xml:space="preserve"> (Figura 2)</w:t>
      </w:r>
      <w:r w:rsidRPr="00A343B0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="00B43DE5" w:rsidRPr="00A343B0">
        <w:rPr>
          <w:rFonts w:ascii="Times New Roman" w:eastAsia="Arial" w:hAnsi="Times New Roman" w:cs="Times New Roman"/>
          <w:sz w:val="20"/>
          <w:szCs w:val="20"/>
        </w:rPr>
        <w:t>O trimet</w:t>
      </w:r>
      <w:r w:rsidR="00AC1F10">
        <w:rPr>
          <w:rFonts w:ascii="Times New Roman" w:eastAsia="Arial" w:hAnsi="Times New Roman" w:cs="Times New Roman"/>
          <w:sz w:val="20"/>
          <w:szCs w:val="20"/>
        </w:rPr>
        <w:t>r</w:t>
      </w:r>
      <w:r w:rsidR="00B43DE5" w:rsidRPr="00A343B0">
        <w:rPr>
          <w:rFonts w:ascii="Times New Roman" w:eastAsia="Arial" w:hAnsi="Times New Roman" w:cs="Times New Roman"/>
          <w:sz w:val="20"/>
          <w:szCs w:val="20"/>
        </w:rPr>
        <w:t>oprim e a sulfadiazina apresentaram degradação na fa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 xml:space="preserve">ixa de 20 a 80%, com grande variação entre os catalisadores. A incorporação </w:t>
      </w:r>
      <w:r w:rsidR="007C4E38">
        <w:rPr>
          <w:rFonts w:ascii="Times New Roman" w:eastAsia="Arial" w:hAnsi="Times New Roman" w:cs="Times New Roman"/>
          <w:sz w:val="20"/>
          <w:szCs w:val="20"/>
        </w:rPr>
        <w:t xml:space="preserve">de </w:t>
      </w:r>
      <w:r w:rsidR="00EF7AE9" w:rsidRPr="006C10C1">
        <w:rPr>
          <w:rFonts w:ascii="Times New Roman" w:eastAsia="Arial" w:hAnsi="Times New Roman" w:cs="Times New Roman"/>
          <w:sz w:val="20"/>
          <w:szCs w:val="20"/>
        </w:rPr>
        <w:t>c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>ério, mesmo em baixas concentrações (5</w:t>
      </w:r>
      <w:r w:rsidR="006C10C1">
        <w:rPr>
          <w:rFonts w:ascii="Times New Roman" w:eastAsia="Arial" w:hAnsi="Times New Roman" w:cs="Times New Roman"/>
          <w:sz w:val="20"/>
          <w:szCs w:val="20"/>
        </w:rPr>
        <w:t>-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>10%)</w:t>
      </w:r>
      <w:r w:rsidR="00EF7AE9" w:rsidRPr="006C10C1">
        <w:rPr>
          <w:rFonts w:ascii="Times New Roman" w:eastAsia="Arial" w:hAnsi="Times New Roman" w:cs="Times New Roman"/>
          <w:sz w:val="20"/>
          <w:szCs w:val="20"/>
        </w:rPr>
        <w:t>,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C4E38">
        <w:rPr>
          <w:rFonts w:ascii="Times New Roman" w:eastAsia="Arial" w:hAnsi="Times New Roman" w:cs="Times New Roman"/>
          <w:sz w:val="20"/>
          <w:szCs w:val="20"/>
        </w:rPr>
        <w:t>foi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 xml:space="preserve"> promissor</w:t>
      </w:r>
      <w:r w:rsidR="007C4E38">
        <w:rPr>
          <w:rFonts w:ascii="Times New Roman" w:eastAsia="Arial" w:hAnsi="Times New Roman" w:cs="Times New Roman"/>
          <w:sz w:val="20"/>
          <w:szCs w:val="20"/>
        </w:rPr>
        <w:t>a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 xml:space="preserve"> quanto </w:t>
      </w:r>
      <w:r w:rsidR="00EF7AE9" w:rsidRPr="006C10C1">
        <w:rPr>
          <w:rFonts w:ascii="Times New Roman" w:eastAsia="Arial" w:hAnsi="Times New Roman" w:cs="Times New Roman"/>
          <w:sz w:val="20"/>
          <w:szCs w:val="20"/>
        </w:rPr>
        <w:t xml:space="preserve">à </w:t>
      </w:r>
      <w:r w:rsidR="00B43DE5" w:rsidRPr="006C10C1">
        <w:rPr>
          <w:rFonts w:ascii="Times New Roman" w:eastAsia="Arial" w:hAnsi="Times New Roman" w:cs="Times New Roman"/>
          <w:sz w:val="20"/>
          <w:szCs w:val="20"/>
        </w:rPr>
        <w:t>degradação destes compostos.</w:t>
      </w:r>
    </w:p>
    <w:p w14:paraId="6CC20DE3" w14:textId="77777777" w:rsidR="00A343B0" w:rsidRPr="006C10C1" w:rsidRDefault="00A343B0" w:rsidP="00A343B0">
      <w:pPr>
        <w:spacing w:after="0" w:line="240" w:lineRule="auto"/>
        <w:jc w:val="both"/>
        <w:rPr>
          <w:sz w:val="20"/>
          <w:szCs w:val="20"/>
        </w:rPr>
      </w:pPr>
    </w:p>
    <w:p w14:paraId="35F4299C" w14:textId="0497AA07" w:rsidR="00FC1191" w:rsidRPr="004E2E86" w:rsidRDefault="00BD6CCC" w:rsidP="004E2E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6E7ADDA" wp14:editId="72119CCA">
            <wp:extent cx="2817155" cy="1812346"/>
            <wp:effectExtent l="0" t="0" r="2540" b="0"/>
            <wp:docPr id="163074208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94" cy="1819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D68FF" w14:textId="3D270847" w:rsidR="0017508E" w:rsidRPr="0017508E" w:rsidRDefault="0017508E" w:rsidP="0017508E">
      <w:pPr>
        <w:tabs>
          <w:tab w:val="left" w:pos="589"/>
        </w:tabs>
        <w:spacing w:before="120" w:after="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17508E">
        <w:rPr>
          <w:rFonts w:ascii="Times New Roman" w:eastAsia="Arial" w:hAnsi="Times New Roman" w:cs="Times New Roman"/>
          <w:b/>
          <w:sz w:val="18"/>
          <w:szCs w:val="18"/>
        </w:rPr>
        <w:t>Figura 2.</w:t>
      </w:r>
      <w:r w:rsidRPr="0017508E">
        <w:rPr>
          <w:rFonts w:ascii="Times New Roman" w:eastAsia="Arial" w:hAnsi="Times New Roman" w:cs="Times New Roman"/>
          <w:sz w:val="18"/>
          <w:szCs w:val="18"/>
        </w:rPr>
        <w:t xml:space="preserve"> Variação na concentração dos compostos antimicrobianos frente aos catalisadores selecionados. </w:t>
      </w:r>
    </w:p>
    <w:p w14:paraId="478C8F9C" w14:textId="77777777" w:rsidR="001B7978" w:rsidRPr="001B7978" w:rsidRDefault="001B7978" w:rsidP="001B7978">
      <w:pPr>
        <w:spacing w:line="240" w:lineRule="auto"/>
        <w:rPr>
          <w:sz w:val="18"/>
          <w:szCs w:val="18"/>
        </w:rPr>
      </w:pPr>
      <w:r w:rsidRPr="001B7978">
        <w:rPr>
          <w:rFonts w:ascii="Times New Roman" w:eastAsia="Arial" w:hAnsi="Times New Roman" w:cs="Times New Roman"/>
          <w:sz w:val="18"/>
          <w:szCs w:val="18"/>
        </w:rPr>
        <w:t>SC: concentração inicial, 30AD: 30 min de adsorção, 60AD: 60 min de adsorção, 30UV: 30 min de irradiação, 60UV: 60 min de irradiação (UVA+UVB).</w:t>
      </w:r>
    </w:p>
    <w:p w14:paraId="3A79281E" w14:textId="77777777" w:rsidR="0017508E" w:rsidRPr="001F25B2" w:rsidRDefault="0017508E" w:rsidP="0017508E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3350ABD" w14:textId="3C158FB6" w:rsidR="00F73D5D" w:rsidRDefault="00B43DE5" w:rsidP="0017508E">
      <w:p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A possibilidade da utilização destes resíduos agroindustriais é de suma importância para </w:t>
      </w:r>
      <w:r w:rsidR="006C10C1">
        <w:rPr>
          <w:rFonts w:ascii="Times New Roman" w:eastAsia="Arial" w:hAnsi="Times New Roman" w:cs="Times New Roman"/>
          <w:sz w:val="20"/>
          <w:szCs w:val="20"/>
        </w:rPr>
        <w:t>agregar valor</w:t>
      </w:r>
      <w:r>
        <w:rPr>
          <w:rFonts w:ascii="Times New Roman" w:eastAsia="Arial" w:hAnsi="Times New Roman" w:cs="Times New Roman"/>
          <w:sz w:val="20"/>
          <w:szCs w:val="20"/>
        </w:rPr>
        <w:t xml:space="preserve"> a eles. Vários catalisadores demonstraram ser promissores para utilização na fotocatálise de antibióticos e de </w:t>
      </w:r>
      <w:r w:rsidR="009716F0">
        <w:rPr>
          <w:rFonts w:ascii="Times New Roman" w:eastAsia="Arial" w:hAnsi="Times New Roman" w:cs="Times New Roman"/>
          <w:sz w:val="20"/>
          <w:szCs w:val="20"/>
        </w:rPr>
        <w:t>beta</w:t>
      </w:r>
      <w:r>
        <w:rPr>
          <w:rFonts w:ascii="Times New Roman" w:eastAsia="Arial" w:hAnsi="Times New Roman" w:cs="Times New Roman"/>
          <w:sz w:val="20"/>
          <w:szCs w:val="20"/>
        </w:rPr>
        <w:t xml:space="preserve">bloqueadores. </w:t>
      </w:r>
      <w:r w:rsidR="009716F0">
        <w:rPr>
          <w:rFonts w:ascii="Times New Roman" w:eastAsia="Arial" w:hAnsi="Times New Roman" w:cs="Times New Roman"/>
          <w:sz w:val="20"/>
          <w:szCs w:val="20"/>
        </w:rPr>
        <w:t xml:space="preserve">Os </w:t>
      </w:r>
      <w:r>
        <w:rPr>
          <w:rFonts w:ascii="Times New Roman" w:eastAsia="Arial" w:hAnsi="Times New Roman" w:cs="Times New Roman"/>
          <w:sz w:val="20"/>
          <w:szCs w:val="20"/>
        </w:rPr>
        <w:t>compostos aqui estudados</w:t>
      </w:r>
      <w:r w:rsidR="000D6032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 xml:space="preserve">são constantemente encontrados no ambiente e a possibilidade de processos </w:t>
      </w:r>
      <w:r w:rsidR="009716F0">
        <w:rPr>
          <w:rFonts w:ascii="Times New Roman" w:eastAsia="Arial" w:hAnsi="Times New Roman" w:cs="Times New Roman"/>
          <w:sz w:val="20"/>
          <w:szCs w:val="20"/>
        </w:rPr>
        <w:t xml:space="preserve">de remoção adicionais </w:t>
      </w:r>
      <w:r>
        <w:rPr>
          <w:rFonts w:ascii="Times New Roman" w:eastAsia="Arial" w:hAnsi="Times New Roman" w:cs="Times New Roman"/>
          <w:sz w:val="20"/>
          <w:szCs w:val="20"/>
        </w:rPr>
        <w:t xml:space="preserve">que possam ser incorporados aos tratamentos convencionais de águas é de extrema importância, uma vez que eles não são removidos nos processos convencionais. </w:t>
      </w:r>
    </w:p>
    <w:p w14:paraId="460887FB" w14:textId="77777777" w:rsidR="0017508E" w:rsidRPr="001F25B2" w:rsidRDefault="0017508E" w:rsidP="0017508E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7C138A38" w14:textId="519EC6F4" w:rsidR="0017508E" w:rsidRPr="00A343B0" w:rsidRDefault="00A862A4" w:rsidP="0017508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autores agradecem </w:t>
      </w:r>
      <w:r w:rsidR="00F17990">
        <w:rPr>
          <w:rFonts w:ascii="Times New Roman" w:hAnsi="Times New Roman"/>
          <w:lang w:val="pt-BR"/>
        </w:rPr>
        <w:t>à CAPES</w:t>
      </w:r>
      <w:r w:rsidR="006C10C1">
        <w:rPr>
          <w:rFonts w:ascii="Times New Roman" w:hAnsi="Times New Roman"/>
          <w:lang w:val="pt-BR"/>
        </w:rPr>
        <w:t xml:space="preserve"> e à</w:t>
      </w:r>
      <w:r w:rsidR="00F17990">
        <w:rPr>
          <w:rFonts w:ascii="Times New Roman" w:hAnsi="Times New Roman"/>
          <w:lang w:val="pt-BR"/>
        </w:rPr>
        <w:t xml:space="preserve"> FAPERGS </w:t>
      </w:r>
      <w:r w:rsidR="006C10C1">
        <w:rPr>
          <w:rFonts w:ascii="Times New Roman" w:hAnsi="Times New Roman"/>
          <w:lang w:val="pt-BR"/>
        </w:rPr>
        <w:t>p</w:t>
      </w:r>
      <w:r w:rsidR="00F17990">
        <w:rPr>
          <w:rFonts w:ascii="Times New Roman" w:hAnsi="Times New Roman"/>
          <w:lang w:val="pt-BR"/>
        </w:rPr>
        <w:t xml:space="preserve">elas bolsas de doutorado e pós-doc e </w:t>
      </w:r>
      <w:r w:rsidR="006C10C1">
        <w:rPr>
          <w:rFonts w:ascii="Times New Roman" w:hAnsi="Times New Roman"/>
          <w:lang w:val="pt-BR"/>
        </w:rPr>
        <w:t>pelo</w:t>
      </w:r>
      <w:r w:rsidR="00F17990" w:rsidRPr="00B43DE5">
        <w:rPr>
          <w:rFonts w:ascii="Times New Roman" w:hAnsi="Times New Roman"/>
          <w:lang w:val="pt-BR"/>
        </w:rPr>
        <w:t xml:space="preserve"> suporte financeiro </w:t>
      </w:r>
      <w:r w:rsidR="006C10C1">
        <w:rPr>
          <w:rFonts w:ascii="Times New Roman" w:hAnsi="Times New Roman"/>
          <w:lang w:val="pt-BR"/>
        </w:rPr>
        <w:t>a</w:t>
      </w:r>
      <w:r w:rsidR="00F17990" w:rsidRPr="00B43DE5">
        <w:rPr>
          <w:rFonts w:ascii="Times New Roman" w:hAnsi="Times New Roman"/>
          <w:lang w:val="pt-BR"/>
        </w:rPr>
        <w:t xml:space="preserve">o projeto </w:t>
      </w:r>
      <w:r w:rsidR="006A483D" w:rsidRPr="00B43DE5">
        <w:rPr>
          <w:rFonts w:ascii="Times New Roman" w:hAnsi="Times New Roman"/>
          <w:lang w:val="pt-BR"/>
        </w:rPr>
        <w:t>FINEP-REJEMEA.</w:t>
      </w:r>
    </w:p>
    <w:p w14:paraId="14AA7923" w14:textId="77777777" w:rsidR="0017508E" w:rsidRDefault="0017508E" w:rsidP="0017508E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3049252" w14:textId="49C8E200" w:rsidR="001B3662" w:rsidRPr="001B3662" w:rsidRDefault="001B3662" w:rsidP="001B3662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B3662">
        <w:rPr>
          <w:rFonts w:ascii="Times New Roman" w:hAnsi="Times New Roman" w:cs="Times New Roman"/>
          <w:sz w:val="20"/>
          <w:szCs w:val="20"/>
          <w:lang w:val="it-IT"/>
        </w:rPr>
        <w:t>F. Collins</w:t>
      </w:r>
      <w:r w:rsidR="00332706">
        <w:rPr>
          <w:rFonts w:ascii="Times New Roman" w:hAnsi="Times New Roman" w:cs="Times New Roman"/>
          <w:sz w:val="20"/>
          <w:szCs w:val="20"/>
          <w:lang w:val="it-IT"/>
        </w:rPr>
        <w:t xml:space="preserve"> et al. </w:t>
      </w:r>
      <w:r w:rsidRPr="001B3662">
        <w:rPr>
          <w:rFonts w:ascii="Times New Roman" w:hAnsi="Times New Roman" w:cs="Times New Roman"/>
          <w:i/>
          <w:sz w:val="20"/>
          <w:szCs w:val="20"/>
          <w:lang w:val="it-IT"/>
        </w:rPr>
        <w:t>Micropor. Mesopor. Mat.</w:t>
      </w:r>
      <w:r w:rsidRPr="001B3662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1B3662">
        <w:rPr>
          <w:rFonts w:ascii="Times New Roman" w:hAnsi="Times New Roman" w:cs="Times New Roman"/>
          <w:b/>
          <w:sz w:val="20"/>
          <w:szCs w:val="20"/>
          <w:lang w:val="it-IT"/>
        </w:rPr>
        <w:t>2020</w:t>
      </w:r>
      <w:r w:rsidRPr="001B3662">
        <w:rPr>
          <w:rFonts w:ascii="Times New Roman" w:hAnsi="Times New Roman" w:cs="Times New Roman"/>
          <w:sz w:val="20"/>
          <w:szCs w:val="20"/>
          <w:lang w:val="it-IT"/>
        </w:rPr>
        <w:t xml:space="preserve">, 291,  109667-109681. </w:t>
      </w:r>
    </w:p>
    <w:p w14:paraId="0892CE64" w14:textId="3336CA0E" w:rsidR="001B3662" w:rsidRPr="00333C34" w:rsidRDefault="001B3662" w:rsidP="001B3662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  <w:lang w:val="en-US"/>
        </w:rPr>
      </w:pPr>
      <w:r w:rsidRPr="001B3662">
        <w:rPr>
          <w:rFonts w:ascii="Times New Roman" w:hAnsi="Times New Roman" w:cs="Times New Roman"/>
          <w:sz w:val="20"/>
          <w:szCs w:val="20"/>
          <w:lang w:val="it-IT"/>
        </w:rPr>
        <w:t xml:space="preserve">T. Schmitz, </w:t>
      </w:r>
      <w:r w:rsidR="00332706">
        <w:rPr>
          <w:rFonts w:ascii="Times New Roman" w:hAnsi="Times New Roman" w:cs="Times New Roman"/>
          <w:sz w:val="20"/>
          <w:szCs w:val="20"/>
          <w:lang w:val="it-IT"/>
        </w:rPr>
        <w:t>et al.</w:t>
      </w:r>
      <w:r w:rsidRPr="00C1052F">
        <w:rPr>
          <w:rFonts w:ascii="Times New Roman" w:hAnsi="Times New Roman" w:cs="Times New Roman"/>
          <w:i/>
          <w:sz w:val="20"/>
          <w:szCs w:val="20"/>
          <w:lang w:val="it-IT"/>
        </w:rPr>
        <w:t xml:space="preserve"> Ind Biotechnol</w:t>
      </w:r>
      <w:r w:rsidRPr="001B3662">
        <w:rPr>
          <w:rFonts w:ascii="Times New Roman" w:hAnsi="Times New Roman" w:cs="Times New Roman"/>
          <w:sz w:val="20"/>
          <w:szCs w:val="20"/>
          <w:lang w:val="it-IT"/>
        </w:rPr>
        <w:t xml:space="preserve">. </w:t>
      </w:r>
      <w:r w:rsidR="00C1052F" w:rsidRPr="00C1052F">
        <w:rPr>
          <w:rFonts w:ascii="Times New Roman" w:hAnsi="Times New Roman" w:cs="Times New Roman"/>
          <w:b/>
          <w:sz w:val="20"/>
          <w:szCs w:val="20"/>
          <w:lang w:val="it-IT"/>
        </w:rPr>
        <w:t>2022</w:t>
      </w:r>
      <w:r w:rsidR="00C1052F">
        <w:rPr>
          <w:rFonts w:ascii="Times New Roman" w:hAnsi="Times New Roman" w:cs="Times New Roman"/>
          <w:sz w:val="20"/>
          <w:szCs w:val="20"/>
          <w:lang w:val="it-IT"/>
        </w:rPr>
        <w:t>,</w:t>
      </w:r>
      <w:r w:rsidRPr="001B3662">
        <w:rPr>
          <w:rFonts w:ascii="Times New Roman" w:hAnsi="Times New Roman" w:cs="Times New Roman"/>
          <w:sz w:val="20"/>
          <w:szCs w:val="20"/>
          <w:lang w:val="it-IT"/>
        </w:rPr>
        <w:t>18</w:t>
      </w:r>
      <w:r w:rsidR="00C1052F">
        <w:rPr>
          <w:rFonts w:ascii="Times New Roman" w:hAnsi="Times New Roman" w:cs="Times New Roman"/>
          <w:sz w:val="20"/>
          <w:szCs w:val="20"/>
          <w:lang w:val="it-IT"/>
        </w:rPr>
        <w:t>,</w:t>
      </w:r>
      <w:r w:rsidRPr="001B3662">
        <w:rPr>
          <w:rFonts w:ascii="Times New Roman" w:hAnsi="Times New Roman" w:cs="Times New Roman"/>
          <w:sz w:val="20"/>
          <w:szCs w:val="20"/>
          <w:lang w:val="it-IT"/>
        </w:rPr>
        <w:t xml:space="preserve"> 191-196. </w:t>
      </w:r>
    </w:p>
    <w:p w14:paraId="4959D6B4" w14:textId="7974A169" w:rsidR="00333C34" w:rsidRPr="00C1052F" w:rsidRDefault="00333C34" w:rsidP="00C1052F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33C34">
        <w:rPr>
          <w:rFonts w:ascii="Times New Roman" w:hAnsi="Times New Roman" w:cs="Times New Roman"/>
          <w:sz w:val="20"/>
          <w:szCs w:val="20"/>
          <w:lang w:val="en-US"/>
        </w:rPr>
        <w:t xml:space="preserve">A. J. Schwanke, </w:t>
      </w:r>
      <w:r w:rsidR="00332706">
        <w:rPr>
          <w:rFonts w:ascii="Times New Roman" w:hAnsi="Times New Roman" w:cs="Times New Roman"/>
          <w:sz w:val="20"/>
          <w:szCs w:val="20"/>
          <w:lang w:val="en-US"/>
        </w:rPr>
        <w:t>et al.</w:t>
      </w:r>
      <w:r w:rsidR="00C1052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1052F">
        <w:rPr>
          <w:rFonts w:ascii="Times New Roman" w:hAnsi="Times New Roman" w:cs="Times New Roman"/>
          <w:i/>
          <w:sz w:val="20"/>
          <w:szCs w:val="20"/>
          <w:lang w:val="en-US"/>
        </w:rPr>
        <w:t xml:space="preserve">Molecular Catalysis </w:t>
      </w:r>
      <w:r w:rsidR="00C1052F" w:rsidRPr="00C1052F">
        <w:rPr>
          <w:rFonts w:ascii="Times New Roman" w:hAnsi="Times New Roman" w:cs="Times New Roman"/>
          <w:b/>
          <w:sz w:val="20"/>
          <w:szCs w:val="20"/>
          <w:lang w:val="en-US"/>
        </w:rPr>
        <w:t>2022</w:t>
      </w:r>
      <w:r w:rsidR="00C1052F">
        <w:rPr>
          <w:rFonts w:ascii="Times New Roman" w:hAnsi="Times New Roman" w:cs="Times New Roman"/>
          <w:sz w:val="20"/>
          <w:szCs w:val="20"/>
          <w:lang w:val="en-US"/>
        </w:rPr>
        <w:t>, 112529.</w:t>
      </w:r>
    </w:p>
    <w:p w14:paraId="6E2E75E7" w14:textId="3D50A23D" w:rsidR="001C0273" w:rsidRPr="001B3662" w:rsidRDefault="001C0273" w:rsidP="00A54D8D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 xml:space="preserve">Z. Afonso-Olivares, </w:t>
      </w:r>
      <w:r w:rsidR="00332706"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>et al</w:t>
      </w:r>
      <w:r w:rsidR="00A54D8D"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>,</w:t>
      </w:r>
      <w:r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 xml:space="preserve"> </w:t>
      </w:r>
      <w:r w:rsidRPr="00A343B0">
        <w:rPr>
          <w:rFonts w:ascii="Times New Roman" w:hAnsi="Times New Roman" w:cs="Times New Roman"/>
          <w:i/>
          <w:noProof/>
          <w:sz w:val="20"/>
          <w:szCs w:val="20"/>
          <w:lang w:val="es-ES"/>
        </w:rPr>
        <w:t>Sci.Total Environ</w:t>
      </w:r>
      <w:r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>.</w:t>
      </w:r>
      <w:r w:rsidR="00A54D8D" w:rsidRPr="00A343B0">
        <w:rPr>
          <w:rFonts w:ascii="Times New Roman" w:hAnsi="Times New Roman" w:cs="Times New Roman"/>
          <w:noProof/>
          <w:sz w:val="20"/>
          <w:szCs w:val="20"/>
          <w:lang w:val="es-ES"/>
        </w:rPr>
        <w:t xml:space="preserve"> </w:t>
      </w:r>
      <w:r w:rsidR="00A54D8D" w:rsidRPr="001B3662">
        <w:rPr>
          <w:rFonts w:ascii="Times New Roman" w:hAnsi="Times New Roman" w:cs="Times New Roman"/>
          <w:b/>
          <w:noProof/>
          <w:sz w:val="20"/>
          <w:szCs w:val="20"/>
        </w:rPr>
        <w:t>2017</w:t>
      </w:r>
      <w:r w:rsidRPr="001B3662">
        <w:rPr>
          <w:rFonts w:ascii="Times New Roman" w:hAnsi="Times New Roman" w:cs="Times New Roman"/>
          <w:noProof/>
          <w:sz w:val="20"/>
          <w:szCs w:val="20"/>
        </w:rPr>
        <w:t xml:space="preserve"> 599–600</w:t>
      </w:r>
      <w:r w:rsidR="00A54D8D" w:rsidRPr="001B3662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8B9AA93" w14:textId="307EB265" w:rsidR="001C0273" w:rsidRPr="001B3662" w:rsidRDefault="001C0273" w:rsidP="001C0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A343B0">
        <w:rPr>
          <w:rFonts w:ascii="Times New Roman" w:hAnsi="Times New Roman" w:cs="Times New Roman"/>
          <w:sz w:val="20"/>
          <w:szCs w:val="20"/>
          <w:lang w:val="es-ES"/>
        </w:rPr>
        <w:t>N. Han Tran, K.Y</w:t>
      </w:r>
      <w:r w:rsidR="00332706" w:rsidRPr="00A343B0">
        <w:rPr>
          <w:rFonts w:ascii="Times New Roman" w:hAnsi="Times New Roman" w:cs="Times New Roman"/>
          <w:sz w:val="20"/>
          <w:szCs w:val="20"/>
          <w:lang w:val="es-ES"/>
        </w:rPr>
        <w:t>.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>-H</w:t>
      </w:r>
      <w:r w:rsidR="00332706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Gin, Sci. Total Environ. </w:t>
      </w:r>
      <w:r w:rsidR="00C1052F" w:rsidRPr="00C1052F">
        <w:rPr>
          <w:rFonts w:ascii="Times New Roman" w:hAnsi="Times New Roman" w:cs="Times New Roman"/>
          <w:b/>
          <w:sz w:val="20"/>
          <w:szCs w:val="20"/>
          <w:lang w:val="en-US"/>
        </w:rPr>
        <w:t>2017</w:t>
      </w:r>
      <w:r w:rsidR="00C1052F">
        <w:rPr>
          <w:rFonts w:ascii="Times New Roman" w:hAnsi="Times New Roman" w:cs="Times New Roman"/>
          <w:sz w:val="20"/>
          <w:szCs w:val="20"/>
          <w:lang w:val="en-US"/>
        </w:rPr>
        <w:t>,599–600.</w:t>
      </w:r>
    </w:p>
    <w:p w14:paraId="35D1C389" w14:textId="53AF6A6A" w:rsidR="001C0273" w:rsidRPr="001B3662" w:rsidRDefault="001C0273" w:rsidP="001C0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A. Kot-Wasik, </w:t>
      </w:r>
      <w:r w:rsidR="00332706">
        <w:rPr>
          <w:rFonts w:ascii="Times New Roman" w:hAnsi="Times New Roman" w:cs="Times New Roman"/>
          <w:sz w:val="20"/>
          <w:szCs w:val="20"/>
          <w:lang w:val="en-US"/>
        </w:rPr>
        <w:t>et al.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B3662">
        <w:rPr>
          <w:rFonts w:ascii="Times New Roman" w:hAnsi="Times New Roman" w:cs="Times New Roman"/>
          <w:i/>
          <w:sz w:val="20"/>
          <w:szCs w:val="20"/>
          <w:lang w:val="en-US"/>
        </w:rPr>
        <w:t>Environ. Monit. Assess.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2DB5" w:rsidRPr="001B3662">
        <w:rPr>
          <w:rFonts w:ascii="Times New Roman" w:hAnsi="Times New Roman" w:cs="Times New Roman"/>
          <w:b/>
          <w:sz w:val="20"/>
          <w:szCs w:val="20"/>
          <w:lang w:val="en-US"/>
        </w:rPr>
        <w:t>2016</w:t>
      </w:r>
      <w:r w:rsidR="00C42DB5" w:rsidRPr="001B366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2DB5" w:rsidRPr="001B3662">
        <w:rPr>
          <w:rFonts w:ascii="Times New Roman" w:hAnsi="Times New Roman" w:cs="Times New Roman"/>
          <w:i/>
          <w:sz w:val="20"/>
          <w:szCs w:val="20"/>
          <w:lang w:val="en-US"/>
        </w:rPr>
        <w:t>188</w:t>
      </w:r>
      <w:r w:rsidR="00C42DB5" w:rsidRPr="001B366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661. </w:t>
      </w:r>
    </w:p>
    <w:p w14:paraId="530CA12B" w14:textId="47EF7D0D" w:rsidR="001C0273" w:rsidRPr="00A343B0" w:rsidRDefault="001C0273" w:rsidP="001C0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A343B0">
        <w:rPr>
          <w:rFonts w:ascii="Times New Roman" w:hAnsi="Times New Roman" w:cs="Times New Roman"/>
          <w:sz w:val="20"/>
          <w:szCs w:val="20"/>
          <w:lang w:val="en-US"/>
        </w:rPr>
        <w:t xml:space="preserve">J. Martín, </w:t>
      </w:r>
      <w:r w:rsidR="00332706" w:rsidRPr="00A343B0">
        <w:rPr>
          <w:rFonts w:ascii="Times New Roman" w:hAnsi="Times New Roman" w:cs="Times New Roman"/>
          <w:sz w:val="20"/>
          <w:szCs w:val="20"/>
          <w:lang w:val="en-US"/>
        </w:rPr>
        <w:t>et al.</w:t>
      </w:r>
      <w:r w:rsidRPr="00A343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43B0">
        <w:rPr>
          <w:rFonts w:ascii="Times New Roman" w:hAnsi="Times New Roman" w:cs="Times New Roman"/>
          <w:i/>
          <w:sz w:val="20"/>
          <w:szCs w:val="20"/>
          <w:lang w:val="en-US"/>
        </w:rPr>
        <w:t>J. Hazardous Materials</w:t>
      </w:r>
      <w:r w:rsidRPr="00A343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09C3" w:rsidRPr="00A343B0">
        <w:rPr>
          <w:rFonts w:ascii="Times New Roman" w:hAnsi="Times New Roman" w:cs="Times New Roman"/>
          <w:b/>
          <w:sz w:val="20"/>
          <w:szCs w:val="20"/>
          <w:lang w:val="en-US"/>
        </w:rPr>
        <w:t>2012</w:t>
      </w:r>
      <w:r w:rsidR="00C409C3" w:rsidRPr="00A343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343B0">
        <w:rPr>
          <w:rFonts w:ascii="Times New Roman" w:hAnsi="Times New Roman" w:cs="Times New Roman"/>
          <w:sz w:val="20"/>
          <w:szCs w:val="20"/>
          <w:lang w:val="en-US"/>
        </w:rPr>
        <w:t>40– 47.</w:t>
      </w:r>
    </w:p>
    <w:p w14:paraId="58716424" w14:textId="24F370DB" w:rsidR="007B4B2B" w:rsidRPr="00B43DE5" w:rsidRDefault="00332706" w:rsidP="00EA4E1B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1B3662">
        <w:rPr>
          <w:rFonts w:ascii="Times New Roman" w:hAnsi="Times New Roman" w:cs="Times New Roman"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V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E4319" w:rsidRPr="001B3662">
        <w:rPr>
          <w:rFonts w:ascii="Times New Roman" w:hAnsi="Times New Roman" w:cs="Times New Roman"/>
          <w:sz w:val="20"/>
          <w:szCs w:val="20"/>
          <w:lang w:val="en-US"/>
        </w:rPr>
        <w:t>Krishna et al</w:t>
      </w:r>
      <w:r w:rsidR="006972F9" w:rsidRPr="001B3662">
        <w:rPr>
          <w:rFonts w:ascii="AdvTimes-b" w:hAnsi="AdvTimes-b" w:cs="AdvTimes-b"/>
          <w:sz w:val="20"/>
          <w:szCs w:val="20"/>
          <w:lang w:val="en-US"/>
        </w:rPr>
        <w:t xml:space="preserve">, </w:t>
      </w:r>
      <w:r w:rsidR="00C409C3" w:rsidRPr="001B3662">
        <w:rPr>
          <w:rFonts w:ascii="Times New Roman" w:hAnsi="Times New Roman" w:cs="Times New Roman"/>
          <w:i/>
          <w:sz w:val="20"/>
          <w:szCs w:val="20"/>
          <w:lang w:val="en-US"/>
        </w:rPr>
        <w:t>Arabian Journal of Chemistry</w:t>
      </w:r>
      <w:r w:rsidR="00C409C3" w:rsidRPr="001B36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09C3" w:rsidRPr="001B3662">
        <w:rPr>
          <w:rFonts w:ascii="Times New Roman" w:hAnsi="Times New Roman" w:cs="Times New Roman"/>
          <w:b/>
          <w:sz w:val="20"/>
          <w:szCs w:val="20"/>
          <w:lang w:val="en-US"/>
        </w:rPr>
        <w:t>2019</w:t>
      </w:r>
      <w:r w:rsidR="00C409C3" w:rsidRPr="001B3662">
        <w:rPr>
          <w:rFonts w:ascii="Times New Roman" w:hAnsi="Times New Roman" w:cs="Times New Roman"/>
          <w:sz w:val="20"/>
          <w:szCs w:val="20"/>
          <w:lang w:val="en-US"/>
        </w:rPr>
        <w:t>, 12, 1290-1297.</w:t>
      </w:r>
      <w:r w:rsidR="00C409C3" w:rsidRPr="001B3662">
        <w:rPr>
          <w:rFonts w:ascii="AdvTimes" w:eastAsia="AdvTimes" w:cs="AdvTimes"/>
          <w:color w:val="0080AE"/>
          <w:sz w:val="20"/>
          <w:szCs w:val="20"/>
          <w:lang w:val="en-US"/>
        </w:rPr>
        <w:t xml:space="preserve"> </w:t>
      </w:r>
    </w:p>
    <w:sectPr w:rsidR="007B4B2B" w:rsidRPr="00B43DE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3B11" w14:textId="77777777" w:rsidR="002B1D32" w:rsidRDefault="002B1D32" w:rsidP="00EA4E1B">
      <w:pPr>
        <w:spacing w:after="0" w:line="240" w:lineRule="auto"/>
      </w:pPr>
      <w:r>
        <w:separator/>
      </w:r>
    </w:p>
  </w:endnote>
  <w:endnote w:type="continuationSeparator" w:id="0">
    <w:p w14:paraId="24F7FBD5" w14:textId="77777777" w:rsidR="002B1D32" w:rsidRDefault="002B1D3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-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7FCF" w14:textId="77777777" w:rsidR="002B1D32" w:rsidRDefault="002B1D32" w:rsidP="00EA4E1B">
      <w:pPr>
        <w:spacing w:after="0" w:line="240" w:lineRule="auto"/>
      </w:pPr>
      <w:r>
        <w:separator/>
      </w:r>
    </w:p>
  </w:footnote>
  <w:footnote w:type="continuationSeparator" w:id="0">
    <w:p w14:paraId="12D1C7F2" w14:textId="77777777" w:rsidR="002B1D32" w:rsidRDefault="002B1D3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33" name="Imagem 33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C1313A6"/>
    <w:multiLevelType w:val="hybridMultilevel"/>
    <w:tmpl w:val="DE42487C"/>
    <w:lvl w:ilvl="0" w:tplc="3BF0E6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73975">
    <w:abstractNumId w:val="0"/>
  </w:num>
  <w:num w:numId="2" w16cid:durableId="143801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51DBB"/>
    <w:rsid w:val="00061A72"/>
    <w:rsid w:val="000C431F"/>
    <w:rsid w:val="000D6032"/>
    <w:rsid w:val="000D74D7"/>
    <w:rsid w:val="000F1D24"/>
    <w:rsid w:val="00125A3D"/>
    <w:rsid w:val="00164436"/>
    <w:rsid w:val="0017508E"/>
    <w:rsid w:val="00182843"/>
    <w:rsid w:val="001969C4"/>
    <w:rsid w:val="001B3662"/>
    <w:rsid w:val="001B7978"/>
    <w:rsid w:val="001C0273"/>
    <w:rsid w:val="001C6656"/>
    <w:rsid w:val="001C7B5D"/>
    <w:rsid w:val="001E58A9"/>
    <w:rsid w:val="001F25B2"/>
    <w:rsid w:val="00222230"/>
    <w:rsid w:val="00237929"/>
    <w:rsid w:val="00256878"/>
    <w:rsid w:val="002B1D32"/>
    <w:rsid w:val="002C1623"/>
    <w:rsid w:val="002F59BA"/>
    <w:rsid w:val="00332706"/>
    <w:rsid w:val="00333C34"/>
    <w:rsid w:val="00340B1E"/>
    <w:rsid w:val="00356521"/>
    <w:rsid w:val="00390045"/>
    <w:rsid w:val="00402F3E"/>
    <w:rsid w:val="00436E4C"/>
    <w:rsid w:val="00471E99"/>
    <w:rsid w:val="004927A3"/>
    <w:rsid w:val="004A4979"/>
    <w:rsid w:val="004E2E86"/>
    <w:rsid w:val="004E45D9"/>
    <w:rsid w:val="004F3F42"/>
    <w:rsid w:val="00500440"/>
    <w:rsid w:val="00507452"/>
    <w:rsid w:val="0052112E"/>
    <w:rsid w:val="0054356D"/>
    <w:rsid w:val="00561398"/>
    <w:rsid w:val="005A24E6"/>
    <w:rsid w:val="005C2775"/>
    <w:rsid w:val="005D65EB"/>
    <w:rsid w:val="005F07E9"/>
    <w:rsid w:val="005F739F"/>
    <w:rsid w:val="00604718"/>
    <w:rsid w:val="00630255"/>
    <w:rsid w:val="00652815"/>
    <w:rsid w:val="00652BDA"/>
    <w:rsid w:val="006972F9"/>
    <w:rsid w:val="006A483D"/>
    <w:rsid w:val="006B6258"/>
    <w:rsid w:val="006C10C1"/>
    <w:rsid w:val="006F599B"/>
    <w:rsid w:val="00756D38"/>
    <w:rsid w:val="007670A0"/>
    <w:rsid w:val="00781685"/>
    <w:rsid w:val="0078198F"/>
    <w:rsid w:val="007A2517"/>
    <w:rsid w:val="007A53F5"/>
    <w:rsid w:val="007B0885"/>
    <w:rsid w:val="007B2BD2"/>
    <w:rsid w:val="007B4B2B"/>
    <w:rsid w:val="007C4E38"/>
    <w:rsid w:val="007D3DF6"/>
    <w:rsid w:val="007E4319"/>
    <w:rsid w:val="008118D4"/>
    <w:rsid w:val="00814D41"/>
    <w:rsid w:val="008402A1"/>
    <w:rsid w:val="00866822"/>
    <w:rsid w:val="00892474"/>
    <w:rsid w:val="0089591F"/>
    <w:rsid w:val="008B1683"/>
    <w:rsid w:val="008C1B30"/>
    <w:rsid w:val="00943AA7"/>
    <w:rsid w:val="009656D9"/>
    <w:rsid w:val="009716F0"/>
    <w:rsid w:val="00984793"/>
    <w:rsid w:val="009C7CB0"/>
    <w:rsid w:val="00A311FA"/>
    <w:rsid w:val="00A343B0"/>
    <w:rsid w:val="00A54D8D"/>
    <w:rsid w:val="00A70FB8"/>
    <w:rsid w:val="00A73F28"/>
    <w:rsid w:val="00A862A4"/>
    <w:rsid w:val="00AA182E"/>
    <w:rsid w:val="00AC1F10"/>
    <w:rsid w:val="00AD5E26"/>
    <w:rsid w:val="00AF0400"/>
    <w:rsid w:val="00B13148"/>
    <w:rsid w:val="00B176EF"/>
    <w:rsid w:val="00B30AEB"/>
    <w:rsid w:val="00B414A8"/>
    <w:rsid w:val="00B42757"/>
    <w:rsid w:val="00B43DE5"/>
    <w:rsid w:val="00B46BA6"/>
    <w:rsid w:val="00B62F21"/>
    <w:rsid w:val="00B760D3"/>
    <w:rsid w:val="00BA6A6E"/>
    <w:rsid w:val="00BD5CD0"/>
    <w:rsid w:val="00BD6CCC"/>
    <w:rsid w:val="00C1052F"/>
    <w:rsid w:val="00C409C3"/>
    <w:rsid w:val="00C42DB5"/>
    <w:rsid w:val="00C76E54"/>
    <w:rsid w:val="00C872F9"/>
    <w:rsid w:val="00CA3F91"/>
    <w:rsid w:val="00D13F24"/>
    <w:rsid w:val="00D31C00"/>
    <w:rsid w:val="00D55C98"/>
    <w:rsid w:val="00D6548D"/>
    <w:rsid w:val="00D96135"/>
    <w:rsid w:val="00DA02FE"/>
    <w:rsid w:val="00DB0122"/>
    <w:rsid w:val="00DE7BA4"/>
    <w:rsid w:val="00DF70A5"/>
    <w:rsid w:val="00E02A21"/>
    <w:rsid w:val="00E038AF"/>
    <w:rsid w:val="00E26A98"/>
    <w:rsid w:val="00E5202E"/>
    <w:rsid w:val="00E629F9"/>
    <w:rsid w:val="00EA4E1B"/>
    <w:rsid w:val="00EF7AE9"/>
    <w:rsid w:val="00F17990"/>
    <w:rsid w:val="00F214FC"/>
    <w:rsid w:val="00F30661"/>
    <w:rsid w:val="00F42CEB"/>
    <w:rsid w:val="00F64427"/>
    <w:rsid w:val="00F73D5D"/>
    <w:rsid w:val="00F83333"/>
    <w:rsid w:val="00F87083"/>
    <w:rsid w:val="00F917DA"/>
    <w:rsid w:val="00FA03BC"/>
    <w:rsid w:val="00FB7216"/>
    <w:rsid w:val="00FC1191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E597C02B-10F1-4B98-AB6B-EF76266B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NormalWeb">
    <w:name w:val="Normal (Web)"/>
    <w:basedOn w:val="Normal"/>
    <w:uiPriority w:val="99"/>
    <w:unhideWhenUsed/>
    <w:rsid w:val="00B1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0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C0273"/>
    <w:rPr>
      <w:color w:val="0000FF"/>
      <w:u w:val="single"/>
    </w:rPr>
  </w:style>
  <w:style w:type="paragraph" w:customStyle="1" w:styleId="Default">
    <w:name w:val="Default"/>
    <w:rsid w:val="00051DBB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870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70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70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0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08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Fotocatálise Propanolol</a:t>
            </a:r>
          </a:p>
        </c:rich>
      </c:tx>
      <c:layout>
        <c:manualLayout>
          <c:xMode val="edge"/>
          <c:yMode val="edge"/>
          <c:x val="0.26699849389631664"/>
          <c:y val="6.660006660006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8867119378534059"/>
          <c:y val="0.10715950715950717"/>
          <c:w val="0.78196639010727687"/>
          <c:h val="0.5394710276600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'catalisadores REJEMEA'!$B$83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'catalisadores REJEMEA'!$C$82:$G$82</c:f>
              <c:strCache>
                <c:ptCount val="5"/>
                <c:pt idx="0">
                  <c:v>SiO2 5%Cl </c:v>
                </c:pt>
                <c:pt idx="1">
                  <c:v>MCM 22 5%Cl</c:v>
                </c:pt>
                <c:pt idx="2">
                  <c:v>MCM 22 10%Cl</c:v>
                </c:pt>
                <c:pt idx="3">
                  <c:v>ITQ-2 10%Cl </c:v>
                </c:pt>
                <c:pt idx="4">
                  <c:v>ITQ-2 5%Cl </c:v>
                </c:pt>
              </c:strCache>
            </c:strRef>
          </c:cat>
          <c:val>
            <c:numRef>
              <c:f>'catalisadores REJEMEA'!$C$83:$G$83</c:f>
              <c:numCache>
                <c:formatCode>0.00</c:formatCode>
                <c:ptCount val="5"/>
                <c:pt idx="0">
                  <c:v>1.1326299687101635</c:v>
                </c:pt>
                <c:pt idx="1">
                  <c:v>1.0621402248232703</c:v>
                </c:pt>
                <c:pt idx="2">
                  <c:v>1.0584855719086801</c:v>
                </c:pt>
                <c:pt idx="3">
                  <c:v>1.1700275814115193</c:v>
                </c:pt>
                <c:pt idx="4">
                  <c:v>1.1437941824081586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2C-4BE1-B708-CDE6002342F8}"/>
            </c:ext>
          </c:extLst>
        </c:ser>
        <c:ser>
          <c:idx val="1"/>
          <c:order val="1"/>
          <c:tx>
            <c:strRef>
              <c:f>'catalisadores REJEMEA'!$B$84</c:f>
              <c:strCache>
                <c:ptCount val="1"/>
                <c:pt idx="0">
                  <c:v>30AD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'catalisadores REJEMEA'!$C$82:$G$82</c:f>
              <c:strCache>
                <c:ptCount val="5"/>
                <c:pt idx="0">
                  <c:v>SiO2 5%Cl </c:v>
                </c:pt>
                <c:pt idx="1">
                  <c:v>MCM 22 5%Cl</c:v>
                </c:pt>
                <c:pt idx="2">
                  <c:v>MCM 22 10%Cl</c:v>
                </c:pt>
                <c:pt idx="3">
                  <c:v>ITQ-2 10%Cl </c:v>
                </c:pt>
                <c:pt idx="4">
                  <c:v>ITQ-2 5%Cl </c:v>
                </c:pt>
              </c:strCache>
            </c:strRef>
          </c:cat>
          <c:val>
            <c:numRef>
              <c:f>'catalisadores REJEMEA'!$C$84:$G$84</c:f>
              <c:numCache>
                <c:formatCode>0.00</c:formatCode>
                <c:ptCount val="5"/>
                <c:pt idx="0">
                  <c:v>0.43223826631127593</c:v>
                </c:pt>
                <c:pt idx="1">
                  <c:v>0.25761594622783635</c:v>
                </c:pt>
                <c:pt idx="2">
                  <c:v>0.24059427511878548</c:v>
                </c:pt>
                <c:pt idx="3">
                  <c:v>0.20830316375014485</c:v>
                </c:pt>
                <c:pt idx="4">
                  <c:v>0.18216989222389612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2C-4BE1-B708-CDE6002342F8}"/>
            </c:ext>
          </c:extLst>
        </c:ser>
        <c:ser>
          <c:idx val="2"/>
          <c:order val="2"/>
          <c:tx>
            <c:strRef>
              <c:f>'catalisadores REJEMEA'!$B$85</c:f>
              <c:strCache>
                <c:ptCount val="1"/>
                <c:pt idx="0">
                  <c:v>60AD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'catalisadores REJEMEA'!$C$82:$G$82</c:f>
              <c:strCache>
                <c:ptCount val="5"/>
                <c:pt idx="0">
                  <c:v>SiO2 5%Cl </c:v>
                </c:pt>
                <c:pt idx="1">
                  <c:v>MCM 22 5%Cl</c:v>
                </c:pt>
                <c:pt idx="2">
                  <c:v>MCM 22 10%Cl</c:v>
                </c:pt>
                <c:pt idx="3">
                  <c:v>ITQ-2 10%Cl </c:v>
                </c:pt>
                <c:pt idx="4">
                  <c:v>ITQ-2 5%Cl </c:v>
                </c:pt>
              </c:strCache>
            </c:strRef>
          </c:cat>
          <c:val>
            <c:numRef>
              <c:f>'catalisadores REJEMEA'!$C$85:$G$85</c:f>
              <c:numCache>
                <c:formatCode>0.00</c:formatCode>
                <c:ptCount val="5"/>
                <c:pt idx="0">
                  <c:v>0.69266983427975437</c:v>
                </c:pt>
                <c:pt idx="1">
                  <c:v>0.47964862672383823</c:v>
                </c:pt>
                <c:pt idx="2">
                  <c:v>0.26592652682813767</c:v>
                </c:pt>
                <c:pt idx="3">
                  <c:v>0.21310928265152393</c:v>
                </c:pt>
                <c:pt idx="4">
                  <c:v>0.13961571445126894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2C-4BE1-B708-CDE6002342F8}"/>
            </c:ext>
          </c:extLst>
        </c:ser>
        <c:ser>
          <c:idx val="3"/>
          <c:order val="3"/>
          <c:tx>
            <c:strRef>
              <c:f>'catalisadores REJEMEA'!$B$86</c:f>
              <c:strCache>
                <c:ptCount val="1"/>
                <c:pt idx="0">
                  <c:v> 30UV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'catalisadores REJEMEA'!$C$82:$G$82</c:f>
              <c:strCache>
                <c:ptCount val="5"/>
                <c:pt idx="0">
                  <c:v>SiO2 5%Cl </c:v>
                </c:pt>
                <c:pt idx="1">
                  <c:v>MCM 22 5%Cl</c:v>
                </c:pt>
                <c:pt idx="2">
                  <c:v>MCM 22 10%Cl</c:v>
                </c:pt>
                <c:pt idx="3">
                  <c:v>ITQ-2 10%Cl </c:v>
                </c:pt>
                <c:pt idx="4">
                  <c:v>ITQ-2 5%Cl </c:v>
                </c:pt>
              </c:strCache>
            </c:strRef>
          </c:cat>
          <c:val>
            <c:numRef>
              <c:f>'catalisadores REJEMEA'!$C$86:$G$86</c:f>
              <c:numCache>
                <c:formatCode>0.00</c:formatCode>
                <c:ptCount val="5"/>
                <c:pt idx="0">
                  <c:v>0.18237014717812028</c:v>
                </c:pt>
                <c:pt idx="1">
                  <c:v>8.9602039633792999E-2</c:v>
                </c:pt>
                <c:pt idx="2">
                  <c:v>1.8361339668559466E-2</c:v>
                </c:pt>
                <c:pt idx="3">
                  <c:v>6.5020744002781281E-2</c:v>
                </c:pt>
                <c:pt idx="4">
                  <c:v>0.13641163518368291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2C-4BE1-B708-CDE6002342F8}"/>
            </c:ext>
          </c:extLst>
        </c:ser>
        <c:ser>
          <c:idx val="4"/>
          <c:order val="4"/>
          <c:tx>
            <c:strRef>
              <c:f>'catalisadores REJEMEA'!$B$87</c:f>
              <c:strCache>
                <c:ptCount val="1"/>
                <c:pt idx="0">
                  <c:v> 60UV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'catalisadores REJEMEA'!$C$82:$G$82</c:f>
              <c:strCache>
                <c:ptCount val="5"/>
                <c:pt idx="0">
                  <c:v>SiO2 5%Cl </c:v>
                </c:pt>
                <c:pt idx="1">
                  <c:v>MCM 22 5%Cl</c:v>
                </c:pt>
                <c:pt idx="2">
                  <c:v>MCM 22 10%Cl</c:v>
                </c:pt>
                <c:pt idx="3">
                  <c:v>ITQ-2 10%Cl </c:v>
                </c:pt>
                <c:pt idx="4">
                  <c:v>ITQ-2 5%Cl </c:v>
                </c:pt>
              </c:strCache>
            </c:strRef>
          </c:cat>
          <c:val>
            <c:numRef>
              <c:f>'catalisadores REJEMEA'!$C$87:$G$87</c:f>
              <c:numCache>
                <c:formatCode>0.00</c:formatCode>
                <c:ptCount val="5"/>
                <c:pt idx="0">
                  <c:v>1.625866264920612E-2</c:v>
                </c:pt>
                <c:pt idx="1">
                  <c:v>0.1126313593695677</c:v>
                </c:pt>
                <c:pt idx="2">
                  <c:v>2.0864526596361063E-2</c:v>
                </c:pt>
                <c:pt idx="3">
                  <c:v>2.2666821184378214E-2</c:v>
                </c:pt>
                <c:pt idx="4">
                  <c:v>4.3893846332135784E-2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C-4BE1-B708-CDE600234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7902912"/>
        <c:axId val="327912992"/>
      </c:barChart>
      <c:catAx>
        <c:axId val="32790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7912992"/>
        <c:crosses val="autoZero"/>
        <c:auto val="1"/>
        <c:lblAlgn val="ctr"/>
        <c:lblOffset val="100"/>
        <c:noMultiLvlLbl val="0"/>
      </c:catAx>
      <c:valAx>
        <c:axId val="32791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Concentração (mg/L)</a:t>
                </a:r>
              </a:p>
            </c:rich>
          </c:tx>
          <c:layout>
            <c:manualLayout>
              <c:xMode val="edge"/>
              <c:yMode val="edge"/>
              <c:x val="1.3888888888888888E-2"/>
              <c:y val="0.272445683872849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790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1EFC-C0D3-4486-A128-4BA0372B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anonymous</cp:lastModifiedBy>
  <cp:revision>6</cp:revision>
  <dcterms:created xsi:type="dcterms:W3CDTF">2023-08-15T14:25:00Z</dcterms:created>
  <dcterms:modified xsi:type="dcterms:W3CDTF">2023-08-16T01:46:00Z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