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C96C" w14:textId="77777777" w:rsidR="002D0E88" w:rsidRDefault="00866822" w:rsidP="002D0E88">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FA186B1" w14:textId="1A1ED7DC" w:rsidR="00731431" w:rsidRPr="00CE5856" w:rsidRDefault="00CE5856" w:rsidP="002D0E88">
      <w:pPr>
        <w:pStyle w:val="BATitle"/>
        <w:spacing w:before="0" w:after="0" w:line="240" w:lineRule="auto"/>
        <w:ind w:right="0"/>
        <w:jc w:val="both"/>
        <w:rPr>
          <w:sz w:val="32"/>
          <w:lang w:val="pt-BR"/>
        </w:rPr>
      </w:pPr>
      <w:r w:rsidRPr="00CE5856">
        <w:rPr>
          <w:sz w:val="32"/>
          <w:lang w:val="pt-BR"/>
        </w:rPr>
        <w:t>"</w:t>
      </w:r>
      <w:proofErr w:type="spellStart"/>
      <w:r w:rsidRPr="00CE5856">
        <w:rPr>
          <w:sz w:val="32"/>
          <w:lang w:val="pt-BR"/>
        </w:rPr>
        <w:t>Unveiling</w:t>
      </w:r>
      <w:proofErr w:type="spellEnd"/>
      <w:r w:rsidRPr="00CE5856">
        <w:rPr>
          <w:sz w:val="32"/>
          <w:lang w:val="pt-BR"/>
        </w:rPr>
        <w:t xml:space="preserve"> </w:t>
      </w:r>
      <w:proofErr w:type="spellStart"/>
      <w:r w:rsidR="00A44881">
        <w:rPr>
          <w:sz w:val="32"/>
          <w:lang w:val="pt-BR"/>
        </w:rPr>
        <w:t>e</w:t>
      </w:r>
      <w:r w:rsidRPr="00CE5856">
        <w:rPr>
          <w:sz w:val="32"/>
          <w:lang w:val="pt-BR"/>
        </w:rPr>
        <w:t>nhanced</w:t>
      </w:r>
      <w:proofErr w:type="spellEnd"/>
      <w:r w:rsidRPr="00CE5856">
        <w:rPr>
          <w:sz w:val="32"/>
          <w:lang w:val="pt-BR"/>
        </w:rPr>
        <w:t xml:space="preserve"> </w:t>
      </w:r>
      <w:proofErr w:type="spellStart"/>
      <w:r w:rsidR="00A44881">
        <w:rPr>
          <w:sz w:val="32"/>
          <w:lang w:val="pt-BR"/>
        </w:rPr>
        <w:t>g</w:t>
      </w:r>
      <w:r w:rsidRPr="00CE5856">
        <w:rPr>
          <w:sz w:val="32"/>
          <w:lang w:val="pt-BR"/>
        </w:rPr>
        <w:t>reen</w:t>
      </w:r>
      <w:proofErr w:type="spellEnd"/>
      <w:r w:rsidRPr="00CE5856">
        <w:rPr>
          <w:sz w:val="32"/>
          <w:lang w:val="pt-BR"/>
        </w:rPr>
        <w:t xml:space="preserve"> </w:t>
      </w:r>
      <w:proofErr w:type="spellStart"/>
      <w:r w:rsidR="00A44881">
        <w:rPr>
          <w:sz w:val="32"/>
          <w:lang w:val="pt-BR"/>
        </w:rPr>
        <w:t>h</w:t>
      </w:r>
      <w:r w:rsidRPr="00CE5856">
        <w:rPr>
          <w:sz w:val="32"/>
          <w:lang w:val="pt-BR"/>
        </w:rPr>
        <w:t>ydrogen</w:t>
      </w:r>
      <w:proofErr w:type="spellEnd"/>
      <w:r w:rsidRPr="00CE5856">
        <w:rPr>
          <w:sz w:val="32"/>
          <w:lang w:val="pt-BR"/>
        </w:rPr>
        <w:t xml:space="preserve"> </w:t>
      </w:r>
      <w:proofErr w:type="spellStart"/>
      <w:r w:rsidR="00A44881">
        <w:rPr>
          <w:sz w:val="32"/>
          <w:lang w:val="pt-BR"/>
        </w:rPr>
        <w:t>g</w:t>
      </w:r>
      <w:r w:rsidRPr="00CE5856">
        <w:rPr>
          <w:sz w:val="32"/>
          <w:lang w:val="pt-BR"/>
        </w:rPr>
        <w:t>eneration</w:t>
      </w:r>
      <w:proofErr w:type="spellEnd"/>
      <w:r w:rsidRPr="00CE5856">
        <w:rPr>
          <w:sz w:val="32"/>
          <w:lang w:val="pt-BR"/>
        </w:rPr>
        <w:t>:</w:t>
      </w:r>
      <w:r w:rsidR="005C5441">
        <w:rPr>
          <w:sz w:val="32"/>
          <w:lang w:val="pt-BR"/>
        </w:rPr>
        <w:t xml:space="preserve"> </w:t>
      </w:r>
      <w:proofErr w:type="spellStart"/>
      <w:r w:rsidR="005C5441">
        <w:rPr>
          <w:sz w:val="32"/>
          <w:lang w:val="pt-BR"/>
        </w:rPr>
        <w:t>C</w:t>
      </w:r>
      <w:r w:rsidRPr="00CE5856">
        <w:rPr>
          <w:sz w:val="32"/>
          <w:lang w:val="pt-BR"/>
        </w:rPr>
        <w:t>onstructing</w:t>
      </w:r>
      <w:proofErr w:type="spellEnd"/>
      <w:r w:rsidRPr="00CE5856">
        <w:rPr>
          <w:sz w:val="32"/>
          <w:lang w:val="pt-BR"/>
        </w:rPr>
        <w:t xml:space="preserve"> </w:t>
      </w:r>
      <w:r w:rsidR="00C05EC7">
        <w:rPr>
          <w:sz w:val="32"/>
          <w:lang w:val="pt-BR"/>
        </w:rPr>
        <w:t xml:space="preserve">a </w:t>
      </w:r>
      <w:proofErr w:type="spellStart"/>
      <w:r w:rsidR="00A44881">
        <w:rPr>
          <w:sz w:val="32"/>
          <w:lang w:val="pt-BR"/>
        </w:rPr>
        <w:t>p</w:t>
      </w:r>
      <w:r w:rsidRPr="00CE5856">
        <w:rPr>
          <w:sz w:val="32"/>
          <w:lang w:val="pt-BR"/>
        </w:rPr>
        <w:t>hotocatalytic</w:t>
      </w:r>
      <w:proofErr w:type="spellEnd"/>
      <w:r w:rsidRPr="00CE5856">
        <w:rPr>
          <w:sz w:val="32"/>
          <w:lang w:val="pt-BR"/>
        </w:rPr>
        <w:t xml:space="preserve"> </w:t>
      </w:r>
      <w:proofErr w:type="spellStart"/>
      <w:r w:rsidR="005C5441">
        <w:rPr>
          <w:sz w:val="32"/>
          <w:lang w:val="pt-BR"/>
        </w:rPr>
        <w:t>hybrid</w:t>
      </w:r>
      <w:proofErr w:type="spellEnd"/>
      <w:r w:rsidR="005C5441">
        <w:rPr>
          <w:sz w:val="32"/>
          <w:lang w:val="pt-BR"/>
        </w:rPr>
        <w:t xml:space="preserve"> </w:t>
      </w:r>
      <w:r w:rsidR="00A44881">
        <w:rPr>
          <w:sz w:val="32"/>
          <w:lang w:val="pt-BR"/>
        </w:rPr>
        <w:t>s</w:t>
      </w:r>
      <w:r w:rsidRPr="00CE5856">
        <w:rPr>
          <w:sz w:val="32"/>
          <w:lang w:val="pt-BR"/>
        </w:rPr>
        <w:t xml:space="preserve">ystem </w:t>
      </w:r>
      <w:proofErr w:type="spellStart"/>
      <w:r w:rsidR="00DE137A">
        <w:rPr>
          <w:sz w:val="32"/>
          <w:lang w:val="pt-BR"/>
        </w:rPr>
        <w:t>by</w:t>
      </w:r>
      <w:proofErr w:type="spellEnd"/>
      <w:r w:rsidRPr="00CE5856">
        <w:rPr>
          <w:sz w:val="32"/>
          <w:lang w:val="pt-BR"/>
        </w:rPr>
        <w:t xml:space="preserve"> </w:t>
      </w:r>
      <w:proofErr w:type="spellStart"/>
      <w:r w:rsidR="00A44881">
        <w:rPr>
          <w:sz w:val="32"/>
          <w:lang w:val="pt-BR"/>
        </w:rPr>
        <w:t>physical</w:t>
      </w:r>
      <w:proofErr w:type="spellEnd"/>
      <w:r w:rsidRPr="00CE5856">
        <w:rPr>
          <w:sz w:val="32"/>
          <w:lang w:val="pt-BR"/>
        </w:rPr>
        <w:t xml:space="preserve"> </w:t>
      </w:r>
      <w:proofErr w:type="spellStart"/>
      <w:r w:rsidR="00A44881">
        <w:rPr>
          <w:sz w:val="32"/>
          <w:lang w:val="pt-BR"/>
        </w:rPr>
        <w:t>enrichment</w:t>
      </w:r>
      <w:proofErr w:type="spellEnd"/>
      <w:r w:rsidRPr="00CE5856">
        <w:rPr>
          <w:sz w:val="32"/>
          <w:lang w:val="pt-BR"/>
        </w:rPr>
        <w:t>"</w:t>
      </w:r>
    </w:p>
    <w:p w14:paraId="4AD06ED2" w14:textId="530548E1" w:rsidR="002729A7" w:rsidRDefault="002729A7" w:rsidP="00EA1636">
      <w:pPr>
        <w:pStyle w:val="BCAuthorAddress"/>
        <w:spacing w:after="0"/>
        <w:ind w:right="0"/>
        <w:jc w:val="both"/>
        <w:rPr>
          <w:vertAlign w:val="superscript"/>
          <w:lang w:val="pt-BR"/>
        </w:rPr>
      </w:pPr>
      <w:r w:rsidRPr="002729A7">
        <w:rPr>
          <w:rFonts w:ascii="Times New Roman" w:hAnsi="Times New Roman"/>
          <w:b/>
          <w:i w:val="0"/>
          <w:u w:val="single"/>
          <w:lang w:val="pt-BR"/>
        </w:rPr>
        <w:t xml:space="preserve">Gustavo </w:t>
      </w:r>
      <w:r w:rsidR="00FB16ED">
        <w:rPr>
          <w:rFonts w:ascii="Times New Roman" w:hAnsi="Times New Roman"/>
          <w:b/>
          <w:i w:val="0"/>
          <w:u w:val="single"/>
          <w:lang w:val="pt-BR"/>
        </w:rPr>
        <w:t xml:space="preserve">J. </w:t>
      </w:r>
      <w:r w:rsidRPr="002729A7">
        <w:rPr>
          <w:rFonts w:ascii="Times New Roman" w:hAnsi="Times New Roman"/>
          <w:b/>
          <w:i w:val="0"/>
          <w:u w:val="single"/>
          <w:lang w:val="pt-BR"/>
        </w:rPr>
        <w:t>Chacó</w:t>
      </w:r>
      <w:r>
        <w:rPr>
          <w:rFonts w:ascii="Times New Roman" w:hAnsi="Times New Roman"/>
          <w:b/>
          <w:i w:val="0"/>
          <w:u w:val="single"/>
          <w:lang w:val="pt-BR"/>
        </w:rPr>
        <w:t>n</w:t>
      </w:r>
      <w:r w:rsidRPr="002729A7">
        <w:rPr>
          <w:rFonts w:ascii="Times New Roman" w:hAnsi="Times New Roman"/>
          <w:b/>
          <w:i w:val="0"/>
          <w:u w:val="single"/>
          <w:lang w:val="pt-BR"/>
        </w:rPr>
        <w:t>,*</w:t>
      </w:r>
      <w:r w:rsidRPr="002729A7">
        <w:rPr>
          <w:rFonts w:ascii="Times New Roman" w:hAnsi="Times New Roman"/>
          <w:b/>
          <w:i w:val="0"/>
          <w:vertAlign w:val="superscript"/>
          <w:lang w:val="pt-BR"/>
        </w:rPr>
        <w:t xml:space="preserve"> a,</w:t>
      </w:r>
      <w:r>
        <w:rPr>
          <w:rFonts w:ascii="Times New Roman" w:hAnsi="Times New Roman"/>
          <w:b/>
          <w:i w:val="0"/>
          <w:vertAlign w:val="superscript"/>
          <w:lang w:val="pt-BR"/>
        </w:rPr>
        <w:t>£</w:t>
      </w:r>
      <w:r w:rsidRPr="002729A7">
        <w:rPr>
          <w:rFonts w:ascii="Times New Roman" w:hAnsi="Times New Roman"/>
          <w:b/>
          <w:i w:val="0"/>
          <w:lang w:val="pt-BR"/>
        </w:rPr>
        <w:t xml:space="preserve"> Allan de Moraes Lisbôa</w:t>
      </w:r>
      <w:r>
        <w:rPr>
          <w:rFonts w:ascii="Times New Roman" w:hAnsi="Times New Roman"/>
          <w:b/>
          <w:i w:val="0"/>
          <w:lang w:val="pt-BR"/>
        </w:rPr>
        <w:t>,</w:t>
      </w:r>
      <w:r>
        <w:rPr>
          <w:rFonts w:ascii="Times New Roman" w:hAnsi="Times New Roman"/>
          <w:b/>
          <w:i w:val="0"/>
          <w:vertAlign w:val="superscript"/>
          <w:lang w:val="pt-BR"/>
        </w:rPr>
        <w:t xml:space="preserve"> b</w:t>
      </w:r>
      <w:r w:rsidRPr="002729A7">
        <w:rPr>
          <w:rFonts w:ascii="Times New Roman" w:hAnsi="Times New Roman"/>
          <w:b/>
          <w:i w:val="0"/>
          <w:lang w:val="pt-BR"/>
        </w:rPr>
        <w:t xml:space="preserve"> </w:t>
      </w:r>
      <w:r>
        <w:rPr>
          <w:rFonts w:ascii="Times New Roman" w:hAnsi="Times New Roman"/>
          <w:b/>
          <w:i w:val="0"/>
          <w:lang w:val="pt-BR"/>
        </w:rPr>
        <w:t xml:space="preserve">João </w:t>
      </w:r>
      <w:r w:rsidR="00FB16ED">
        <w:rPr>
          <w:rFonts w:ascii="Times New Roman" w:hAnsi="Times New Roman"/>
          <w:b/>
          <w:i w:val="0"/>
          <w:lang w:val="pt-BR"/>
        </w:rPr>
        <w:t xml:space="preserve">V. </w:t>
      </w:r>
      <w:proofErr w:type="spellStart"/>
      <w:r>
        <w:rPr>
          <w:rFonts w:ascii="Times New Roman" w:hAnsi="Times New Roman"/>
          <w:b/>
          <w:i w:val="0"/>
          <w:lang w:val="pt-BR"/>
        </w:rPr>
        <w:t>Jaeguer,</w:t>
      </w:r>
      <w:r w:rsidRPr="002729A7">
        <w:rPr>
          <w:rFonts w:ascii="Times New Roman" w:hAnsi="Times New Roman"/>
          <w:b/>
          <w:i w:val="0"/>
          <w:vertAlign w:val="superscript"/>
          <w:lang w:val="pt-BR"/>
        </w:rPr>
        <w:t>a</w:t>
      </w:r>
      <w:proofErr w:type="spellEnd"/>
      <w:r>
        <w:rPr>
          <w:rFonts w:ascii="Times New Roman" w:hAnsi="Times New Roman"/>
          <w:b/>
          <w:i w:val="0"/>
          <w:lang w:val="pt-BR"/>
        </w:rPr>
        <w:t xml:space="preserve"> </w:t>
      </w:r>
      <w:proofErr w:type="spellStart"/>
      <w:r>
        <w:rPr>
          <w:rFonts w:ascii="Times New Roman" w:hAnsi="Times New Roman"/>
          <w:b/>
          <w:i w:val="0"/>
          <w:lang w:val="pt-BR"/>
        </w:rPr>
        <w:t>Mellanye</w:t>
      </w:r>
      <w:proofErr w:type="spellEnd"/>
      <w:r>
        <w:rPr>
          <w:rFonts w:ascii="Times New Roman" w:hAnsi="Times New Roman"/>
          <w:b/>
          <w:i w:val="0"/>
          <w:lang w:val="pt-BR"/>
        </w:rPr>
        <w:t xml:space="preserve"> </w:t>
      </w:r>
      <w:proofErr w:type="spellStart"/>
      <w:r>
        <w:rPr>
          <w:rFonts w:ascii="Times New Roman" w:hAnsi="Times New Roman"/>
          <w:b/>
          <w:i w:val="0"/>
          <w:lang w:val="pt-BR"/>
        </w:rPr>
        <w:t>Graf</w:t>
      </w:r>
      <w:r w:rsidR="00434E45">
        <w:rPr>
          <w:rFonts w:ascii="Times New Roman" w:hAnsi="Times New Roman"/>
          <w:b/>
          <w:i w:val="0"/>
          <w:lang w:val="pt-BR"/>
        </w:rPr>
        <w:t>e</w:t>
      </w:r>
      <w:r>
        <w:rPr>
          <w:rFonts w:ascii="Times New Roman" w:hAnsi="Times New Roman"/>
          <w:b/>
          <w:i w:val="0"/>
          <w:lang w:val="pt-BR"/>
        </w:rPr>
        <w:t>,</w:t>
      </w:r>
      <w:r w:rsidRPr="002729A7">
        <w:rPr>
          <w:rFonts w:ascii="Times New Roman" w:hAnsi="Times New Roman"/>
          <w:b/>
          <w:i w:val="0"/>
          <w:vertAlign w:val="superscript"/>
          <w:lang w:val="pt-BR"/>
        </w:rPr>
        <w:t>a</w:t>
      </w:r>
      <w:proofErr w:type="spellEnd"/>
      <w:r>
        <w:rPr>
          <w:rFonts w:ascii="Times New Roman" w:hAnsi="Times New Roman"/>
          <w:b/>
          <w:i w:val="0"/>
          <w:lang w:val="pt-BR"/>
        </w:rPr>
        <w:t xml:space="preserve"> </w:t>
      </w:r>
      <w:r w:rsidRPr="002729A7">
        <w:rPr>
          <w:rFonts w:ascii="Times New Roman" w:hAnsi="Times New Roman"/>
          <w:b/>
          <w:i w:val="0"/>
          <w:lang w:val="pt-BR"/>
        </w:rPr>
        <w:t xml:space="preserve">Fabiano </w:t>
      </w:r>
      <w:r w:rsidR="00FB16ED">
        <w:rPr>
          <w:rFonts w:ascii="Times New Roman" w:hAnsi="Times New Roman"/>
          <w:b/>
          <w:i w:val="0"/>
          <w:lang w:val="pt-BR"/>
        </w:rPr>
        <w:t xml:space="preserve">S. </w:t>
      </w:r>
      <w:proofErr w:type="spellStart"/>
      <w:r w:rsidRPr="002729A7">
        <w:rPr>
          <w:rFonts w:ascii="Times New Roman" w:hAnsi="Times New Roman"/>
          <w:b/>
          <w:i w:val="0"/>
          <w:lang w:val="pt-BR"/>
        </w:rPr>
        <w:t>Rodembusch,</w:t>
      </w:r>
      <w:r w:rsidRPr="002729A7">
        <w:rPr>
          <w:rFonts w:ascii="Times New Roman" w:hAnsi="Times New Roman"/>
          <w:b/>
          <w:i w:val="0"/>
          <w:vertAlign w:val="superscript"/>
          <w:lang w:val="pt-BR"/>
        </w:rPr>
        <w:t>a</w:t>
      </w:r>
      <w:proofErr w:type="spellEnd"/>
      <w:r w:rsidRPr="002729A7">
        <w:rPr>
          <w:rFonts w:ascii="Times New Roman" w:hAnsi="Times New Roman"/>
          <w:b/>
          <w:i w:val="0"/>
          <w:vertAlign w:val="superscript"/>
          <w:lang w:val="pt-BR"/>
        </w:rPr>
        <w:t xml:space="preserve"> </w:t>
      </w:r>
      <w:r w:rsidRPr="002729A7">
        <w:rPr>
          <w:rFonts w:ascii="Times New Roman" w:hAnsi="Times New Roman"/>
          <w:b/>
          <w:i w:val="0"/>
          <w:lang w:val="pt-BR"/>
        </w:rPr>
        <w:t xml:space="preserve">Brunno L. Albuquerque, </w:t>
      </w:r>
      <w:r w:rsidRPr="002729A7">
        <w:rPr>
          <w:rFonts w:ascii="Times New Roman" w:hAnsi="Times New Roman"/>
          <w:b/>
          <w:i w:val="0"/>
          <w:vertAlign w:val="superscript"/>
          <w:lang w:val="pt-BR"/>
        </w:rPr>
        <w:t>a</w:t>
      </w:r>
      <w:r>
        <w:rPr>
          <w:rFonts w:ascii="Times New Roman" w:hAnsi="Times New Roman"/>
          <w:b/>
          <w:i w:val="0"/>
          <w:lang w:val="pt-BR"/>
        </w:rPr>
        <w:t xml:space="preserve"> </w:t>
      </w:r>
      <w:proofErr w:type="spellStart"/>
      <w:r w:rsidRPr="002729A7">
        <w:rPr>
          <w:rFonts w:ascii="Times New Roman" w:hAnsi="Times New Roman"/>
          <w:b/>
          <w:i w:val="0"/>
          <w:lang w:val="pt-BR"/>
        </w:rPr>
        <w:t>Jonder</w:t>
      </w:r>
      <w:proofErr w:type="spellEnd"/>
      <w:r w:rsidRPr="002729A7">
        <w:rPr>
          <w:rFonts w:ascii="Times New Roman" w:hAnsi="Times New Roman"/>
          <w:b/>
          <w:i w:val="0"/>
          <w:lang w:val="pt-BR"/>
        </w:rPr>
        <w:t xml:space="preserve"> </w:t>
      </w:r>
      <w:proofErr w:type="spellStart"/>
      <w:r w:rsidRPr="002729A7">
        <w:rPr>
          <w:rFonts w:ascii="Times New Roman" w:hAnsi="Times New Roman"/>
          <w:b/>
          <w:i w:val="0"/>
          <w:lang w:val="pt-BR"/>
        </w:rPr>
        <w:t>Morais,</w:t>
      </w:r>
      <w:r w:rsidRPr="002729A7">
        <w:rPr>
          <w:rFonts w:ascii="Times New Roman" w:hAnsi="Times New Roman"/>
          <w:b/>
          <w:i w:val="0"/>
          <w:vertAlign w:val="superscript"/>
          <w:lang w:val="pt-BR"/>
        </w:rPr>
        <w:t>c</w:t>
      </w:r>
      <w:proofErr w:type="spellEnd"/>
      <w:r>
        <w:rPr>
          <w:rFonts w:ascii="Times New Roman" w:hAnsi="Times New Roman"/>
          <w:b/>
          <w:i w:val="0"/>
          <w:lang w:val="pt-BR"/>
        </w:rPr>
        <w:t xml:space="preserve"> </w:t>
      </w:r>
      <w:r w:rsidRPr="002729A7">
        <w:rPr>
          <w:rFonts w:ascii="Times New Roman" w:hAnsi="Times New Roman"/>
          <w:b/>
          <w:i w:val="0"/>
          <w:lang w:val="pt-BR"/>
        </w:rPr>
        <w:t xml:space="preserve">Adriano </w:t>
      </w:r>
      <w:proofErr w:type="spellStart"/>
      <w:r w:rsidRPr="002729A7">
        <w:rPr>
          <w:rFonts w:ascii="Times New Roman" w:hAnsi="Times New Roman"/>
          <w:b/>
          <w:i w:val="0"/>
          <w:lang w:val="pt-BR"/>
        </w:rPr>
        <w:t>Feil,</w:t>
      </w:r>
      <w:r>
        <w:rPr>
          <w:rFonts w:ascii="Times New Roman" w:hAnsi="Times New Roman"/>
          <w:b/>
          <w:i w:val="0"/>
          <w:vertAlign w:val="superscript"/>
          <w:lang w:val="pt-BR"/>
        </w:rPr>
        <w:t>b</w:t>
      </w:r>
      <w:proofErr w:type="spellEnd"/>
      <w:r w:rsidRPr="002729A7">
        <w:rPr>
          <w:rFonts w:ascii="Times New Roman" w:hAnsi="Times New Roman"/>
          <w:b/>
          <w:i w:val="0"/>
          <w:lang w:val="pt-BR"/>
        </w:rPr>
        <w:t xml:space="preserve"> Dario </w:t>
      </w:r>
      <w:proofErr w:type="spellStart"/>
      <w:r w:rsidRPr="002729A7">
        <w:rPr>
          <w:rFonts w:ascii="Times New Roman" w:hAnsi="Times New Roman"/>
          <w:b/>
          <w:i w:val="0"/>
          <w:lang w:val="pt-BR"/>
        </w:rPr>
        <w:t>Eberhardt,</w:t>
      </w:r>
      <w:r>
        <w:rPr>
          <w:rFonts w:ascii="Times New Roman" w:hAnsi="Times New Roman"/>
          <w:b/>
          <w:i w:val="0"/>
          <w:vertAlign w:val="superscript"/>
          <w:lang w:val="pt-BR"/>
        </w:rPr>
        <w:t>b</w:t>
      </w:r>
      <w:proofErr w:type="spellEnd"/>
      <w:r w:rsidRPr="002729A7">
        <w:rPr>
          <w:rFonts w:ascii="Times New Roman" w:hAnsi="Times New Roman"/>
          <w:b/>
          <w:i w:val="0"/>
          <w:lang w:val="pt-BR"/>
        </w:rPr>
        <w:t xml:space="preserve"> </w:t>
      </w:r>
      <w:proofErr w:type="spellStart"/>
      <w:r w:rsidRPr="002729A7">
        <w:rPr>
          <w:rFonts w:ascii="Times New Roman" w:hAnsi="Times New Roman"/>
          <w:b/>
          <w:i w:val="0"/>
          <w:lang w:val="pt-BR"/>
        </w:rPr>
        <w:t>and</w:t>
      </w:r>
      <w:proofErr w:type="spellEnd"/>
      <w:r w:rsidRPr="002729A7">
        <w:rPr>
          <w:rFonts w:ascii="Times New Roman" w:hAnsi="Times New Roman"/>
          <w:b/>
          <w:i w:val="0"/>
          <w:lang w:val="pt-BR"/>
        </w:rPr>
        <w:t xml:space="preserve"> </w:t>
      </w:r>
      <w:proofErr w:type="spellStart"/>
      <w:r w:rsidRPr="002729A7">
        <w:rPr>
          <w:rFonts w:ascii="Times New Roman" w:hAnsi="Times New Roman"/>
          <w:b/>
          <w:i w:val="0"/>
          <w:lang w:val="pt-BR"/>
        </w:rPr>
        <w:t>Jairton</w:t>
      </w:r>
      <w:proofErr w:type="spellEnd"/>
      <w:r w:rsidRPr="002729A7">
        <w:rPr>
          <w:rFonts w:ascii="Times New Roman" w:hAnsi="Times New Roman"/>
          <w:b/>
          <w:i w:val="0"/>
          <w:lang w:val="pt-BR"/>
        </w:rPr>
        <w:t xml:space="preserve"> </w:t>
      </w:r>
      <w:proofErr w:type="spellStart"/>
      <w:r w:rsidRPr="002729A7">
        <w:rPr>
          <w:rFonts w:ascii="Times New Roman" w:hAnsi="Times New Roman"/>
          <w:b/>
          <w:i w:val="0"/>
          <w:lang w:val="pt-BR"/>
        </w:rPr>
        <w:t>Dupont.</w:t>
      </w:r>
      <w:r w:rsidRPr="002729A7">
        <w:rPr>
          <w:rFonts w:ascii="Times New Roman" w:hAnsi="Times New Roman"/>
          <w:b/>
          <w:i w:val="0"/>
          <w:vertAlign w:val="superscript"/>
          <w:lang w:val="pt-BR"/>
        </w:rPr>
        <w:t>a</w:t>
      </w:r>
      <w:proofErr w:type="spellEnd"/>
    </w:p>
    <w:p w14:paraId="4A31B0CD" w14:textId="6EDA6137" w:rsidR="00EA1636" w:rsidRPr="00EA1636" w:rsidRDefault="00EA1636" w:rsidP="00EA1636">
      <w:pPr>
        <w:pStyle w:val="BCAuthorAddress"/>
        <w:spacing w:after="0"/>
        <w:ind w:right="0"/>
        <w:jc w:val="both"/>
        <w:rPr>
          <w:lang w:val="pt-BR"/>
        </w:rPr>
      </w:pPr>
      <w:bookmarkStart w:id="2" w:name="_Hlk143655114"/>
      <w:proofErr w:type="spellStart"/>
      <w:r w:rsidRPr="00EA1636">
        <w:rPr>
          <w:vertAlign w:val="superscript"/>
          <w:lang w:val="pt-BR"/>
        </w:rPr>
        <w:t>a</w:t>
      </w:r>
      <w:r w:rsidRPr="00EA1636">
        <w:rPr>
          <w:lang w:val="pt-BR"/>
        </w:rPr>
        <w:t>Instituto</w:t>
      </w:r>
      <w:proofErr w:type="spellEnd"/>
      <w:r w:rsidRPr="00EA1636">
        <w:rPr>
          <w:lang w:val="pt-BR"/>
        </w:rPr>
        <w:t xml:space="preserve"> de Química, Universidade Federal do Rio Grande do Sul, Porto Alegre, RS, 91509-900, </w:t>
      </w:r>
      <w:proofErr w:type="spellStart"/>
      <w:r w:rsidRPr="00EA1636">
        <w:rPr>
          <w:lang w:val="pt-BR"/>
        </w:rPr>
        <w:t>Brazil</w:t>
      </w:r>
      <w:proofErr w:type="spellEnd"/>
      <w:r w:rsidRPr="00EA1636">
        <w:rPr>
          <w:lang w:val="pt-BR"/>
        </w:rPr>
        <w:t>.</w:t>
      </w:r>
    </w:p>
    <w:bookmarkEnd w:id="2"/>
    <w:p w14:paraId="4F64945C" w14:textId="3124221C" w:rsidR="00EA1636" w:rsidRDefault="00EA1636" w:rsidP="008866A2">
      <w:pPr>
        <w:pStyle w:val="BCAuthorAddress"/>
        <w:spacing w:after="0"/>
        <w:ind w:right="0"/>
        <w:jc w:val="both"/>
        <w:rPr>
          <w:lang w:val="pt-BR"/>
        </w:rPr>
      </w:pPr>
      <w:proofErr w:type="spellStart"/>
      <w:r>
        <w:rPr>
          <w:vertAlign w:val="superscript"/>
          <w:lang w:val="pt-BR"/>
        </w:rPr>
        <w:t>b</w:t>
      </w:r>
      <w:r w:rsidR="00E27C04">
        <w:rPr>
          <w:lang w:val="pt-BR"/>
        </w:rPr>
        <w:t>Blue</w:t>
      </w:r>
      <w:r w:rsidR="00434E45">
        <w:rPr>
          <w:lang w:val="pt-BR"/>
        </w:rPr>
        <w:t>N</w:t>
      </w:r>
      <w:r w:rsidR="00E27C04">
        <w:rPr>
          <w:lang w:val="pt-BR"/>
        </w:rPr>
        <w:t>ano</w:t>
      </w:r>
      <w:proofErr w:type="spellEnd"/>
      <w:r w:rsidR="002B1149">
        <w:rPr>
          <w:lang w:val="pt-BR"/>
        </w:rPr>
        <w:t>,</w:t>
      </w:r>
      <w:r w:rsidR="00434E45">
        <w:rPr>
          <w:lang w:val="pt-BR"/>
        </w:rPr>
        <w:t xml:space="preserve"> </w:t>
      </w:r>
      <w:r w:rsidR="00E27C04">
        <w:rPr>
          <w:lang w:val="pt-BR"/>
        </w:rPr>
        <w:t xml:space="preserve">TECNOPUCRS, prédio 96d, sala 125, Av. Ipiranga, 6681, </w:t>
      </w:r>
      <w:r w:rsidRPr="00EA1636">
        <w:rPr>
          <w:lang w:val="pt-BR"/>
        </w:rPr>
        <w:t xml:space="preserve">Porto Alegre, RS, 90619-900, </w:t>
      </w:r>
      <w:proofErr w:type="spellStart"/>
      <w:r w:rsidRPr="00EA1636">
        <w:rPr>
          <w:lang w:val="pt-BR"/>
        </w:rPr>
        <w:t>Brazil</w:t>
      </w:r>
      <w:proofErr w:type="spellEnd"/>
      <w:r w:rsidRPr="00EA1636">
        <w:rPr>
          <w:lang w:val="pt-BR"/>
        </w:rPr>
        <w:t>.</w:t>
      </w:r>
    </w:p>
    <w:p w14:paraId="3F337A27" w14:textId="5AC39CA4" w:rsidR="00D77B0B" w:rsidRPr="00EA1636" w:rsidRDefault="00D77B0B" w:rsidP="00D77B0B">
      <w:pPr>
        <w:pStyle w:val="BCAuthorAddress"/>
        <w:spacing w:after="0"/>
        <w:ind w:right="0"/>
        <w:jc w:val="both"/>
        <w:rPr>
          <w:lang w:val="pt-BR"/>
        </w:rPr>
      </w:pPr>
      <w:proofErr w:type="spellStart"/>
      <w:r>
        <w:rPr>
          <w:vertAlign w:val="superscript"/>
          <w:lang w:val="pt-BR"/>
        </w:rPr>
        <w:t>c</w:t>
      </w:r>
      <w:r w:rsidRPr="00EA1636">
        <w:rPr>
          <w:lang w:val="pt-BR"/>
        </w:rPr>
        <w:t>Instituto</w:t>
      </w:r>
      <w:proofErr w:type="spellEnd"/>
      <w:r w:rsidRPr="00EA1636">
        <w:rPr>
          <w:lang w:val="pt-BR"/>
        </w:rPr>
        <w:t xml:space="preserve"> de </w:t>
      </w:r>
      <w:r>
        <w:rPr>
          <w:lang w:val="pt-BR"/>
        </w:rPr>
        <w:t>Física</w:t>
      </w:r>
      <w:r w:rsidRPr="00EA1636">
        <w:rPr>
          <w:lang w:val="pt-BR"/>
        </w:rPr>
        <w:t xml:space="preserve">, Universidade Federal do Rio Grande do Sul, Porto Alegre, RS, 91509-900, </w:t>
      </w:r>
      <w:proofErr w:type="spellStart"/>
      <w:r w:rsidRPr="00EA1636">
        <w:rPr>
          <w:lang w:val="pt-BR"/>
        </w:rPr>
        <w:t>Brazil</w:t>
      </w:r>
      <w:proofErr w:type="spellEnd"/>
      <w:r w:rsidRPr="00EA1636">
        <w:rPr>
          <w:lang w:val="pt-BR"/>
        </w:rPr>
        <w:t>.</w:t>
      </w:r>
    </w:p>
    <w:p w14:paraId="54B47930" w14:textId="308CD01C" w:rsidR="008866A2" w:rsidRPr="008866A2" w:rsidRDefault="002729A7" w:rsidP="003753E9">
      <w:pPr>
        <w:pStyle w:val="BCAuthorAddress"/>
        <w:spacing w:after="0"/>
        <w:ind w:right="0"/>
        <w:jc w:val="both"/>
        <w:rPr>
          <w:lang w:val="pt-BR"/>
        </w:rPr>
      </w:pPr>
      <w:r>
        <w:rPr>
          <w:rFonts w:ascii="Times New Roman" w:hAnsi="Times New Roman"/>
          <w:b/>
          <w:i w:val="0"/>
          <w:vertAlign w:val="superscript"/>
          <w:lang w:val="pt-BR"/>
        </w:rPr>
        <w:t xml:space="preserve">£ </w:t>
      </w:r>
      <w:proofErr w:type="spellStart"/>
      <w:r w:rsidRPr="00D77B0B">
        <w:rPr>
          <w:rFonts w:ascii="Times New Roman" w:hAnsi="Times New Roman"/>
          <w:bCs/>
          <w:iCs/>
          <w:lang w:val="pt-BR"/>
        </w:rPr>
        <w:t>Current</w:t>
      </w:r>
      <w:proofErr w:type="spellEnd"/>
      <w:r w:rsidRPr="00D77B0B">
        <w:rPr>
          <w:rFonts w:ascii="Times New Roman" w:hAnsi="Times New Roman"/>
          <w:bCs/>
          <w:iCs/>
          <w:lang w:val="pt-BR"/>
        </w:rPr>
        <w:t xml:space="preserve"> </w:t>
      </w:r>
      <w:proofErr w:type="spellStart"/>
      <w:r w:rsidRPr="00D77B0B">
        <w:rPr>
          <w:rFonts w:ascii="Times New Roman" w:hAnsi="Times New Roman"/>
          <w:bCs/>
          <w:iCs/>
          <w:lang w:val="pt-BR"/>
        </w:rPr>
        <w:t>address</w:t>
      </w:r>
      <w:proofErr w:type="spellEnd"/>
      <w:r w:rsidRPr="00D77B0B">
        <w:rPr>
          <w:rFonts w:ascii="Times New Roman" w:hAnsi="Times New Roman"/>
          <w:bCs/>
          <w:iCs/>
          <w:lang w:val="pt-BR"/>
        </w:rPr>
        <w:t>:</w:t>
      </w:r>
      <w:r>
        <w:rPr>
          <w:rFonts w:ascii="Times New Roman" w:hAnsi="Times New Roman"/>
          <w:bCs/>
          <w:i w:val="0"/>
          <w:lang w:val="pt-BR"/>
        </w:rPr>
        <w:t xml:space="preserve"> </w:t>
      </w:r>
      <w:r w:rsidR="003753E9" w:rsidRPr="003753E9">
        <w:rPr>
          <w:lang w:val="pt-BR"/>
        </w:rPr>
        <w:t xml:space="preserve">Instituto de </w:t>
      </w:r>
      <w:proofErr w:type="spellStart"/>
      <w:r w:rsidR="003753E9" w:rsidRPr="003753E9">
        <w:rPr>
          <w:lang w:val="pt-BR"/>
        </w:rPr>
        <w:t>Tecnología</w:t>
      </w:r>
      <w:proofErr w:type="spellEnd"/>
      <w:r w:rsidR="003753E9" w:rsidRPr="003753E9">
        <w:rPr>
          <w:lang w:val="pt-BR"/>
        </w:rPr>
        <w:t xml:space="preserve"> Química</w:t>
      </w:r>
      <w:r w:rsidR="003753E9">
        <w:rPr>
          <w:lang w:val="pt-BR"/>
        </w:rPr>
        <w:t>.</w:t>
      </w:r>
      <w:r w:rsidR="003753E9" w:rsidRPr="003753E9">
        <w:rPr>
          <w:lang w:val="pt-BR"/>
        </w:rPr>
        <w:t xml:space="preserve"> </w:t>
      </w:r>
      <w:proofErr w:type="spellStart"/>
      <w:r w:rsidR="003753E9" w:rsidRPr="003753E9">
        <w:rPr>
          <w:lang w:val="pt-BR"/>
        </w:rPr>
        <w:t>Universitat</w:t>
      </w:r>
      <w:proofErr w:type="spellEnd"/>
      <w:r w:rsidR="003753E9" w:rsidRPr="003753E9">
        <w:rPr>
          <w:lang w:val="pt-BR"/>
        </w:rPr>
        <w:t xml:space="preserve"> Politécnica de Valencia-CSIC, Av. de </w:t>
      </w:r>
      <w:proofErr w:type="spellStart"/>
      <w:r w:rsidR="003753E9" w:rsidRPr="003753E9">
        <w:rPr>
          <w:lang w:val="pt-BR"/>
        </w:rPr>
        <w:t>los</w:t>
      </w:r>
      <w:proofErr w:type="spellEnd"/>
      <w:r w:rsidR="003753E9" w:rsidRPr="003753E9">
        <w:rPr>
          <w:lang w:val="pt-BR"/>
        </w:rPr>
        <w:t xml:space="preserve"> </w:t>
      </w:r>
      <w:proofErr w:type="spellStart"/>
      <w:r w:rsidR="003753E9" w:rsidRPr="003753E9">
        <w:rPr>
          <w:lang w:val="pt-BR"/>
        </w:rPr>
        <w:t>Naranjos</w:t>
      </w:r>
      <w:proofErr w:type="spellEnd"/>
      <w:r w:rsidR="003753E9" w:rsidRPr="003753E9">
        <w:rPr>
          <w:lang w:val="pt-BR"/>
        </w:rPr>
        <w:t xml:space="preserve"> - s/n, 46022 Valencia, Spain.</w:t>
      </w:r>
    </w:p>
    <w:p w14:paraId="22D38595" w14:textId="5B76269D" w:rsidR="00EA4E1B" w:rsidRPr="008866A2" w:rsidRDefault="008866A2" w:rsidP="00EA1636">
      <w:pPr>
        <w:pStyle w:val="BCAuthorAddress"/>
        <w:spacing w:after="0"/>
        <w:ind w:right="0"/>
        <w:jc w:val="both"/>
        <w:rPr>
          <w:rStyle w:val="Hyperlink"/>
          <w:lang w:val="pt-BR"/>
        </w:rPr>
      </w:pPr>
      <w:r w:rsidRPr="008866A2">
        <w:rPr>
          <w:rStyle w:val="Hyperlink"/>
          <w:lang w:val="pt-BR"/>
        </w:rPr>
        <w:t>gjcharos@itq.upv</w:t>
      </w:r>
      <w:r w:rsidRPr="008866A2">
        <w:rPr>
          <w:rStyle w:val="Hyperlink"/>
        </w:rPr>
        <w:t>,es</w:t>
      </w:r>
    </w:p>
    <w:bookmarkEnd w:id="0"/>
    <w:p w14:paraId="238E7EC1" w14:textId="5D4AB3B8" w:rsidR="00AF0400" w:rsidRPr="008866A2"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8102C" w14:textId="2104BA48" w:rsidR="00AF0400" w:rsidRPr="001D7DCE" w:rsidRDefault="001D7DCE" w:rsidP="001D7DCE">
                            <w:pPr>
                              <w:pStyle w:val="Ttulo2"/>
                              <w:keepNext w:val="0"/>
                              <w:keepLines w:val="0"/>
                              <w:widowControl w:val="0"/>
                              <w:tabs>
                                <w:tab w:val="left" w:pos="3495"/>
                                <w:tab w:val="left" w:pos="10379"/>
                              </w:tabs>
                              <w:autoSpaceDE w:val="0"/>
                              <w:autoSpaceDN w:val="0"/>
                              <w:spacing w:before="59" w:after="0"/>
                              <w:ind w:left="132"/>
                              <w:rPr>
                                <w:rFonts w:ascii="Arial" w:eastAsia="Times New Roman" w:hAnsi="Arial" w:cs="Times New Roman"/>
                                <w:b/>
                                <w:bCs/>
                                <w:color w:val="FFFFFF"/>
                                <w:sz w:val="20"/>
                                <w:szCs w:val="20"/>
                                <w:shd w:val="clear" w:color="auto" w:fill="9A0000"/>
                                <w:lang w:val="es-ES"/>
                              </w:rPr>
                            </w:pPr>
                            <w:proofErr w:type="spellStart"/>
                            <w:r w:rsidRPr="001D7DCE">
                              <w:rPr>
                                <w:rFonts w:ascii="Arial" w:eastAsia="Times New Roman" w:hAnsi="Arial" w:cs="Times New Roman"/>
                                <w:b/>
                                <w:bCs/>
                                <w:color w:val="FFFFFF"/>
                                <w:sz w:val="20"/>
                                <w:szCs w:val="20"/>
                                <w:shd w:val="clear" w:color="auto" w:fill="9A0000"/>
                                <w:lang w:val="es-ES"/>
                              </w:rPr>
                              <w:t>Abstrac</w:t>
                            </w:r>
                            <w:r>
                              <w:rPr>
                                <w:rFonts w:ascii="Arial" w:eastAsia="Times New Roman" w:hAnsi="Arial" w:cs="Times New Roman"/>
                                <w:b/>
                                <w:bCs/>
                                <w:color w:val="FFFFFF"/>
                                <w:sz w:val="20"/>
                                <w:szCs w:val="20"/>
                                <w:shd w:val="clear" w:color="auto" w:fill="9A0000"/>
                                <w:lang w:val="es-ES"/>
                              </w:rPr>
                              <w:t>t</w:t>
                            </w:r>
                            <w:proofErr w:type="spellEnd"/>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7638102C" w14:textId="2104BA48" w:rsidR="00AF0400" w:rsidRPr="001D7DCE" w:rsidRDefault="001D7DCE" w:rsidP="001D7DCE">
                      <w:pPr>
                        <w:pStyle w:val="Ttulo2"/>
                        <w:keepNext w:val="0"/>
                        <w:keepLines w:val="0"/>
                        <w:widowControl w:val="0"/>
                        <w:tabs>
                          <w:tab w:val="left" w:pos="3495"/>
                          <w:tab w:val="left" w:pos="10379"/>
                        </w:tabs>
                        <w:autoSpaceDE w:val="0"/>
                        <w:autoSpaceDN w:val="0"/>
                        <w:spacing w:before="59" w:after="0"/>
                        <w:ind w:left="132"/>
                        <w:rPr>
                          <w:rFonts w:ascii="Arial" w:eastAsia="Times New Roman" w:hAnsi="Arial" w:cs="Times New Roman"/>
                          <w:b/>
                          <w:bCs/>
                          <w:color w:val="FFFFFF"/>
                          <w:sz w:val="20"/>
                          <w:szCs w:val="20"/>
                          <w:shd w:val="clear" w:color="auto" w:fill="9A0000"/>
                          <w:lang w:val="es-ES"/>
                        </w:rPr>
                      </w:pPr>
                      <w:proofErr w:type="spellStart"/>
                      <w:r w:rsidRPr="001D7DCE">
                        <w:rPr>
                          <w:rFonts w:ascii="Arial" w:eastAsia="Times New Roman" w:hAnsi="Arial" w:cs="Times New Roman"/>
                          <w:b/>
                          <w:bCs/>
                          <w:color w:val="FFFFFF"/>
                          <w:sz w:val="20"/>
                          <w:szCs w:val="20"/>
                          <w:shd w:val="clear" w:color="auto" w:fill="9A0000"/>
                          <w:lang w:val="es-ES"/>
                        </w:rPr>
                        <w:t>Abstrac</w:t>
                      </w:r>
                      <w:r>
                        <w:rPr>
                          <w:rFonts w:ascii="Arial" w:eastAsia="Times New Roman" w:hAnsi="Arial" w:cs="Times New Roman"/>
                          <w:b/>
                          <w:bCs/>
                          <w:color w:val="FFFFFF"/>
                          <w:sz w:val="20"/>
                          <w:szCs w:val="20"/>
                          <w:shd w:val="clear" w:color="auto" w:fill="9A0000"/>
                          <w:lang w:val="es-ES"/>
                        </w:rPr>
                        <w:t>t</w:t>
                      </w:r>
                      <w:proofErr w:type="spellEnd"/>
                    </w:p>
                  </w:txbxContent>
                </v:textbox>
                <w10:wrap anchorx="margin"/>
              </v:rect>
            </w:pict>
          </mc:Fallback>
        </mc:AlternateContent>
      </w:r>
    </w:p>
    <w:p w14:paraId="7BC63CAD" w14:textId="116BF69E" w:rsidR="002B1149" w:rsidRDefault="005C5441" w:rsidP="002B1149">
      <w:pPr>
        <w:pStyle w:val="BDAbstract"/>
        <w:spacing w:after="120" w:line="240" w:lineRule="auto"/>
        <w:rPr>
          <w:rFonts w:ascii="Times New Roman" w:hAnsi="Times New Roman"/>
          <w:b w:val="0"/>
          <w:bCs/>
          <w:i/>
          <w:sz w:val="20"/>
        </w:rPr>
      </w:pPr>
      <w:r>
        <w:rPr>
          <w:rFonts w:ascii="Times New Roman" w:hAnsi="Times New Roman"/>
          <w:b w:val="0"/>
          <w:bCs/>
          <w:i/>
          <w:sz w:val="20"/>
        </w:rPr>
        <w:t>This study presents</w:t>
      </w:r>
      <w:r w:rsidR="00E16AD4" w:rsidRPr="00E16AD4">
        <w:rPr>
          <w:rFonts w:ascii="Times New Roman" w:hAnsi="Times New Roman"/>
          <w:b w:val="0"/>
          <w:bCs/>
          <w:i/>
          <w:sz w:val="20"/>
        </w:rPr>
        <w:t xml:space="preserve"> photocatalytic system</w:t>
      </w:r>
      <w:r w:rsidR="007E6F66">
        <w:rPr>
          <w:rFonts w:ascii="Times New Roman" w:hAnsi="Times New Roman"/>
          <w:b w:val="0"/>
          <w:bCs/>
          <w:i/>
          <w:sz w:val="20"/>
        </w:rPr>
        <w:t>s</w:t>
      </w:r>
      <w:r w:rsidR="00E16AD4" w:rsidRPr="00E16AD4">
        <w:rPr>
          <w:rFonts w:ascii="Times New Roman" w:hAnsi="Times New Roman"/>
          <w:b w:val="0"/>
          <w:bCs/>
          <w:i/>
          <w:sz w:val="20"/>
        </w:rPr>
        <w:t xml:space="preserve"> comprised of gold nanoparticles</w:t>
      </w:r>
      <w:r w:rsidR="00E90230">
        <w:rPr>
          <w:rFonts w:ascii="Times New Roman" w:hAnsi="Times New Roman"/>
          <w:b w:val="0"/>
          <w:bCs/>
          <w:i/>
          <w:sz w:val="20"/>
        </w:rPr>
        <w:t xml:space="preserve"> (AuNPs)</w:t>
      </w:r>
      <w:r w:rsidR="00E16AD4" w:rsidRPr="00E16AD4">
        <w:rPr>
          <w:rFonts w:ascii="Times New Roman" w:hAnsi="Times New Roman"/>
          <w:b w:val="0"/>
          <w:bCs/>
          <w:i/>
          <w:sz w:val="20"/>
        </w:rPr>
        <w:t xml:space="preserve"> </w:t>
      </w:r>
      <w:r w:rsidR="007E6F66">
        <w:rPr>
          <w:rFonts w:ascii="Times New Roman" w:hAnsi="Times New Roman"/>
          <w:b w:val="0"/>
          <w:bCs/>
          <w:i/>
          <w:sz w:val="20"/>
        </w:rPr>
        <w:t xml:space="preserve">immobilized by ionic liquids (IL) </w:t>
      </w:r>
      <w:r w:rsidR="00DD2E25">
        <w:rPr>
          <w:rFonts w:ascii="Times New Roman" w:hAnsi="Times New Roman"/>
          <w:b w:val="0"/>
          <w:bCs/>
          <w:i/>
          <w:sz w:val="20"/>
        </w:rPr>
        <w:t xml:space="preserve">which demonstrates </w:t>
      </w:r>
      <w:r w:rsidR="00E16AD4" w:rsidRPr="00E16AD4">
        <w:rPr>
          <w:rFonts w:ascii="Times New Roman" w:hAnsi="Times New Roman"/>
          <w:b w:val="0"/>
          <w:bCs/>
          <w:i/>
          <w:sz w:val="20"/>
        </w:rPr>
        <w:t>remarkable efficacy, and versatility in facilitating hydrogen evolution reactions</w:t>
      </w:r>
      <w:r w:rsidR="007E6F66">
        <w:rPr>
          <w:rFonts w:ascii="Times New Roman" w:hAnsi="Times New Roman"/>
          <w:b w:val="0"/>
          <w:bCs/>
          <w:i/>
          <w:sz w:val="20"/>
        </w:rPr>
        <w:t xml:space="preserve"> (HER)</w:t>
      </w:r>
      <w:r w:rsidR="00E16AD4" w:rsidRPr="00E16AD4">
        <w:rPr>
          <w:rFonts w:ascii="Times New Roman" w:hAnsi="Times New Roman"/>
          <w:b w:val="0"/>
          <w:bCs/>
          <w:i/>
          <w:sz w:val="20"/>
        </w:rPr>
        <w:t xml:space="preserve"> through </w:t>
      </w:r>
      <w:r w:rsidR="007E6F66">
        <w:rPr>
          <w:rFonts w:ascii="Times New Roman" w:hAnsi="Times New Roman"/>
          <w:b w:val="0"/>
          <w:bCs/>
          <w:i/>
          <w:sz w:val="20"/>
        </w:rPr>
        <w:t>water-splitting</w:t>
      </w:r>
      <w:r w:rsidR="00E16AD4">
        <w:rPr>
          <w:rFonts w:ascii="Times New Roman" w:hAnsi="Times New Roman"/>
          <w:b w:val="0"/>
          <w:bCs/>
          <w:i/>
          <w:sz w:val="20"/>
        </w:rPr>
        <w:t xml:space="preserve"> (WSR)</w:t>
      </w:r>
      <w:r w:rsidR="006138E0">
        <w:rPr>
          <w:rFonts w:ascii="Times New Roman" w:hAnsi="Times New Roman"/>
          <w:b w:val="0"/>
          <w:bCs/>
          <w:i/>
          <w:sz w:val="20"/>
        </w:rPr>
        <w:t xml:space="preserve"> or organic photo reforming (OPR)</w:t>
      </w:r>
      <w:r w:rsidR="00E16AD4" w:rsidRPr="00E16AD4">
        <w:rPr>
          <w:rFonts w:ascii="Times New Roman" w:hAnsi="Times New Roman"/>
          <w:b w:val="0"/>
          <w:bCs/>
          <w:i/>
          <w:sz w:val="20"/>
        </w:rPr>
        <w:t xml:space="preserve">. </w:t>
      </w:r>
      <w:r w:rsidR="00DD2E25">
        <w:rPr>
          <w:rFonts w:ascii="Times New Roman" w:hAnsi="Times New Roman"/>
          <w:b w:val="0"/>
          <w:bCs/>
          <w:i/>
          <w:sz w:val="20"/>
        </w:rPr>
        <w:t>Obtaining these highly efficient photocatalysts</w:t>
      </w:r>
      <w:r w:rsidR="00E16AD4" w:rsidRPr="00E16AD4">
        <w:rPr>
          <w:rFonts w:ascii="Times New Roman" w:hAnsi="Times New Roman"/>
          <w:b w:val="0"/>
          <w:bCs/>
          <w:i/>
          <w:sz w:val="20"/>
        </w:rPr>
        <w:t xml:space="preserve"> involves </w:t>
      </w:r>
      <w:r w:rsidR="007E6F66">
        <w:rPr>
          <w:rFonts w:ascii="Times New Roman" w:hAnsi="Times New Roman"/>
          <w:b w:val="0"/>
          <w:bCs/>
          <w:i/>
          <w:sz w:val="20"/>
        </w:rPr>
        <w:t>the combination of two promising approaches</w:t>
      </w:r>
      <w:r w:rsidR="00DD2E25">
        <w:rPr>
          <w:rFonts w:ascii="Times New Roman" w:hAnsi="Times New Roman"/>
          <w:b w:val="0"/>
          <w:bCs/>
          <w:i/>
          <w:sz w:val="20"/>
        </w:rPr>
        <w:t xml:space="preserve">: </w:t>
      </w:r>
      <w:r w:rsidR="00E16AD4" w:rsidRPr="00E16AD4">
        <w:rPr>
          <w:rFonts w:ascii="Times New Roman" w:hAnsi="Times New Roman"/>
          <w:b w:val="0"/>
          <w:bCs/>
          <w:i/>
          <w:sz w:val="20"/>
        </w:rPr>
        <w:t>magnetron sputtering</w:t>
      </w:r>
      <w:r w:rsidR="007E6F66">
        <w:rPr>
          <w:rFonts w:ascii="Times New Roman" w:hAnsi="Times New Roman"/>
          <w:b w:val="0"/>
          <w:bCs/>
          <w:i/>
          <w:sz w:val="20"/>
        </w:rPr>
        <w:t xml:space="preserve"> and IL </w:t>
      </w:r>
      <w:r w:rsidR="00DD2E25">
        <w:rPr>
          <w:rFonts w:ascii="Times New Roman" w:hAnsi="Times New Roman"/>
          <w:b w:val="0"/>
          <w:bCs/>
          <w:i/>
          <w:sz w:val="20"/>
        </w:rPr>
        <w:t xml:space="preserve">superficial </w:t>
      </w:r>
      <w:r w:rsidR="007E6F66">
        <w:rPr>
          <w:rFonts w:ascii="Times New Roman" w:hAnsi="Times New Roman"/>
          <w:b w:val="0"/>
          <w:bCs/>
          <w:i/>
          <w:sz w:val="20"/>
        </w:rPr>
        <w:t xml:space="preserve">covering, </w:t>
      </w:r>
      <w:r w:rsidR="0057236A">
        <w:rPr>
          <w:rFonts w:ascii="Times New Roman" w:hAnsi="Times New Roman"/>
          <w:b w:val="0"/>
          <w:bCs/>
          <w:i/>
          <w:sz w:val="20"/>
        </w:rPr>
        <w:t>creating</w:t>
      </w:r>
      <w:r w:rsidR="00E16AD4" w:rsidRPr="00E16AD4">
        <w:rPr>
          <w:rFonts w:ascii="Times New Roman" w:hAnsi="Times New Roman"/>
          <w:b w:val="0"/>
          <w:bCs/>
          <w:i/>
          <w:sz w:val="20"/>
        </w:rPr>
        <w:t xml:space="preserve"> hybrid materials with direct metal-TiO</w:t>
      </w:r>
      <w:r w:rsidR="00E16AD4" w:rsidRPr="00E16AD4">
        <w:rPr>
          <w:rFonts w:ascii="Times New Roman" w:hAnsi="Times New Roman"/>
          <w:b w:val="0"/>
          <w:bCs/>
          <w:i/>
          <w:sz w:val="20"/>
          <w:vertAlign w:val="subscript"/>
        </w:rPr>
        <w:t>2</w:t>
      </w:r>
      <w:r w:rsidR="00E16AD4" w:rsidRPr="00E16AD4">
        <w:rPr>
          <w:rFonts w:ascii="Times New Roman" w:hAnsi="Times New Roman"/>
          <w:b w:val="0"/>
          <w:bCs/>
          <w:i/>
          <w:sz w:val="20"/>
        </w:rPr>
        <w:t xml:space="preserve"> interfaces.</w:t>
      </w:r>
      <w:r w:rsidR="00E16AD4">
        <w:rPr>
          <w:rFonts w:ascii="Times New Roman" w:hAnsi="Times New Roman"/>
          <w:b w:val="0"/>
          <w:bCs/>
          <w:i/>
          <w:sz w:val="20"/>
        </w:rPr>
        <w:t xml:space="preserve"> </w:t>
      </w:r>
      <w:r w:rsidR="00E16AD4" w:rsidRPr="00E16AD4">
        <w:rPr>
          <w:rFonts w:ascii="Times New Roman" w:hAnsi="Times New Roman"/>
          <w:b w:val="0"/>
          <w:bCs/>
          <w:i/>
          <w:sz w:val="20"/>
        </w:rPr>
        <w:t>Under the investigated conditions,</w:t>
      </w:r>
      <w:r w:rsidR="00E90230">
        <w:rPr>
          <w:rFonts w:ascii="Times New Roman" w:hAnsi="Times New Roman"/>
          <w:b w:val="0"/>
          <w:bCs/>
          <w:i/>
          <w:sz w:val="20"/>
        </w:rPr>
        <w:t xml:space="preserve"> </w:t>
      </w:r>
      <w:r w:rsidR="00E16AD4" w:rsidRPr="00E16AD4">
        <w:rPr>
          <w:rFonts w:ascii="Times New Roman" w:hAnsi="Times New Roman"/>
          <w:b w:val="0"/>
          <w:bCs/>
          <w:i/>
          <w:sz w:val="20"/>
        </w:rPr>
        <w:t>the</w:t>
      </w:r>
      <w:r w:rsidR="00E90230">
        <w:rPr>
          <w:rFonts w:ascii="Times New Roman" w:hAnsi="Times New Roman"/>
          <w:b w:val="0"/>
          <w:bCs/>
          <w:i/>
          <w:sz w:val="20"/>
        </w:rPr>
        <w:t xml:space="preserve"> AuNPs </w:t>
      </w:r>
      <w:r w:rsidR="00D525F8">
        <w:rPr>
          <w:rFonts w:ascii="Times New Roman" w:hAnsi="Times New Roman"/>
          <w:b w:val="0"/>
          <w:bCs/>
          <w:i/>
          <w:sz w:val="20"/>
        </w:rPr>
        <w:t>(</w:t>
      </w:r>
      <w:proofErr w:type="spellStart"/>
      <w:r w:rsidR="00D525F8">
        <w:rPr>
          <w:rFonts w:ascii="Times New Roman" w:hAnsi="Times New Roman"/>
          <w:b w:val="0"/>
          <w:bCs/>
          <w:i/>
          <w:sz w:val="20"/>
        </w:rPr>
        <w:t>Ø</w:t>
      </w:r>
      <w:r w:rsidR="00D525F8" w:rsidRPr="00D525F8">
        <w:rPr>
          <w:rFonts w:ascii="Times New Roman" w:hAnsi="Times New Roman"/>
          <w:b w:val="0"/>
          <w:bCs/>
          <w:i/>
          <w:sz w:val="20"/>
          <w:vertAlign w:val="subscript"/>
        </w:rPr>
        <w:t>mean</w:t>
      </w:r>
      <w:proofErr w:type="spellEnd"/>
      <w:r w:rsidR="00D525F8">
        <w:rPr>
          <w:rFonts w:ascii="Times New Roman" w:hAnsi="Times New Roman"/>
          <w:b w:val="0"/>
          <w:bCs/>
          <w:i/>
          <w:sz w:val="20"/>
        </w:rPr>
        <w:t>=4-10 nm)</w:t>
      </w:r>
      <w:r w:rsidR="001F13F0">
        <w:rPr>
          <w:rFonts w:ascii="Times New Roman" w:hAnsi="Times New Roman"/>
          <w:b w:val="0"/>
          <w:bCs/>
          <w:i/>
          <w:sz w:val="20"/>
        </w:rPr>
        <w:t xml:space="preserve"> </w:t>
      </w:r>
      <w:r w:rsidR="00E90230">
        <w:rPr>
          <w:rFonts w:ascii="Times New Roman" w:hAnsi="Times New Roman"/>
          <w:b w:val="0"/>
          <w:bCs/>
          <w:i/>
          <w:sz w:val="20"/>
        </w:rPr>
        <w:t xml:space="preserve">presence </w:t>
      </w:r>
      <w:r w:rsidR="00E16AD4" w:rsidRPr="00E16AD4">
        <w:rPr>
          <w:rFonts w:ascii="Times New Roman" w:hAnsi="Times New Roman"/>
          <w:b w:val="0"/>
          <w:bCs/>
          <w:i/>
          <w:sz w:val="20"/>
        </w:rPr>
        <w:t xml:space="preserve">profoundly </w:t>
      </w:r>
      <w:r w:rsidR="00E90230">
        <w:rPr>
          <w:rFonts w:ascii="Times New Roman" w:hAnsi="Times New Roman"/>
          <w:b w:val="0"/>
          <w:bCs/>
          <w:i/>
          <w:sz w:val="20"/>
        </w:rPr>
        <w:t>enhances</w:t>
      </w:r>
      <w:r w:rsidR="00E16AD4" w:rsidRPr="00E16AD4">
        <w:rPr>
          <w:rFonts w:ascii="Times New Roman" w:hAnsi="Times New Roman"/>
          <w:b w:val="0"/>
          <w:bCs/>
          <w:i/>
          <w:sz w:val="20"/>
        </w:rPr>
        <w:t xml:space="preserve"> the photocatalytic activity of the pristine TiO</w:t>
      </w:r>
      <w:r w:rsidR="00E16AD4" w:rsidRPr="00D726D2">
        <w:rPr>
          <w:rFonts w:ascii="Times New Roman" w:hAnsi="Times New Roman"/>
          <w:b w:val="0"/>
          <w:bCs/>
          <w:i/>
          <w:sz w:val="20"/>
          <w:vertAlign w:val="subscript"/>
        </w:rPr>
        <w:t>2</w:t>
      </w:r>
      <w:r w:rsidR="00D726D2" w:rsidRPr="009B38F2">
        <w:rPr>
          <w:rFonts w:ascii="Times New Roman" w:hAnsi="Times New Roman"/>
          <w:b w:val="0"/>
          <w:bCs/>
          <w:i/>
          <w:sz w:val="20"/>
        </w:rPr>
        <w:t xml:space="preserve"> </w:t>
      </w:r>
      <w:r w:rsidR="009B38F2" w:rsidRPr="009B38F2">
        <w:rPr>
          <w:rFonts w:ascii="Times New Roman" w:hAnsi="Times New Roman"/>
          <w:b w:val="0"/>
          <w:bCs/>
          <w:i/>
          <w:sz w:val="20"/>
        </w:rPr>
        <w:t xml:space="preserve">in </w:t>
      </w:r>
      <w:r w:rsidR="00E90230">
        <w:rPr>
          <w:rFonts w:ascii="Times New Roman" w:hAnsi="Times New Roman"/>
          <w:b w:val="0"/>
          <w:bCs/>
          <w:i/>
          <w:sz w:val="20"/>
        </w:rPr>
        <w:t>methanol photo reforming (M</w:t>
      </w:r>
      <w:r w:rsidR="009B38F2" w:rsidRPr="009B38F2">
        <w:rPr>
          <w:rFonts w:ascii="Times New Roman" w:hAnsi="Times New Roman"/>
          <w:b w:val="0"/>
          <w:bCs/>
          <w:i/>
          <w:sz w:val="20"/>
        </w:rPr>
        <w:t>PR</w:t>
      </w:r>
      <w:r w:rsidR="00E90230">
        <w:rPr>
          <w:rFonts w:ascii="Times New Roman" w:hAnsi="Times New Roman"/>
          <w:b w:val="0"/>
          <w:bCs/>
          <w:i/>
          <w:sz w:val="20"/>
        </w:rPr>
        <w:t xml:space="preserve">) producing </w:t>
      </w:r>
      <w:r w:rsidR="00E16AD4" w:rsidRPr="00E16AD4">
        <w:rPr>
          <w:rFonts w:ascii="Times New Roman" w:hAnsi="Times New Roman"/>
          <w:b w:val="0"/>
          <w:bCs/>
          <w:i/>
          <w:sz w:val="20"/>
        </w:rPr>
        <w:t>from 0.0</w:t>
      </w:r>
      <w:r w:rsidR="009B38F2">
        <w:rPr>
          <w:rFonts w:ascii="Times New Roman" w:hAnsi="Times New Roman"/>
          <w:b w:val="0"/>
          <w:bCs/>
          <w:i/>
          <w:sz w:val="20"/>
        </w:rPr>
        <w:t>2</w:t>
      </w:r>
      <w:r w:rsidR="00E16AD4" w:rsidRPr="00E16AD4">
        <w:rPr>
          <w:rFonts w:ascii="Times New Roman" w:hAnsi="Times New Roman"/>
          <w:b w:val="0"/>
          <w:bCs/>
          <w:i/>
          <w:sz w:val="20"/>
        </w:rPr>
        <w:t xml:space="preserve"> </w:t>
      </w:r>
      <w:r w:rsidR="00D726D2">
        <w:rPr>
          <w:rFonts w:ascii="Times New Roman" w:hAnsi="Times New Roman"/>
          <w:b w:val="0"/>
          <w:bCs/>
          <w:i/>
          <w:sz w:val="20"/>
        </w:rPr>
        <w:t xml:space="preserve">up </w:t>
      </w:r>
      <w:r w:rsidR="00E16AD4" w:rsidRPr="00E16AD4">
        <w:rPr>
          <w:rFonts w:ascii="Times New Roman" w:hAnsi="Times New Roman"/>
          <w:b w:val="0"/>
          <w:bCs/>
          <w:i/>
          <w:sz w:val="20"/>
        </w:rPr>
        <w:t xml:space="preserve">to </w:t>
      </w:r>
      <w:r w:rsidR="009B38F2">
        <w:rPr>
          <w:rFonts w:ascii="Times New Roman" w:hAnsi="Times New Roman"/>
          <w:b w:val="0"/>
          <w:bCs/>
          <w:i/>
          <w:sz w:val="20"/>
        </w:rPr>
        <w:t>8.25</w:t>
      </w:r>
      <w:r w:rsidR="00E16AD4" w:rsidRPr="00E16AD4">
        <w:rPr>
          <w:rFonts w:ascii="Times New Roman" w:hAnsi="Times New Roman"/>
          <w:b w:val="0"/>
          <w:bCs/>
          <w:i/>
          <w:sz w:val="20"/>
        </w:rPr>
        <w:t xml:space="preserve"> mmol of H</w:t>
      </w:r>
      <w:r w:rsidR="00E16AD4" w:rsidRPr="00D726D2">
        <w:rPr>
          <w:rFonts w:ascii="Times New Roman" w:hAnsi="Times New Roman"/>
          <w:b w:val="0"/>
          <w:bCs/>
          <w:i/>
          <w:sz w:val="20"/>
          <w:vertAlign w:val="subscript"/>
        </w:rPr>
        <w:t>2</w:t>
      </w:r>
      <w:r w:rsidR="00E16AD4" w:rsidRPr="00E16AD4">
        <w:rPr>
          <w:rFonts w:ascii="Times New Roman" w:hAnsi="Times New Roman"/>
          <w:b w:val="0"/>
          <w:bCs/>
          <w:i/>
          <w:sz w:val="20"/>
        </w:rPr>
        <w:t xml:space="preserve"> per gram of catalyst</w:t>
      </w:r>
      <w:r w:rsidR="009B38F2">
        <w:rPr>
          <w:rFonts w:ascii="Times New Roman" w:hAnsi="Times New Roman"/>
          <w:b w:val="0"/>
          <w:bCs/>
          <w:i/>
          <w:sz w:val="20"/>
        </w:rPr>
        <w:t xml:space="preserve"> per hour</w:t>
      </w:r>
      <w:r w:rsidR="00E16AD4" w:rsidRPr="00E16AD4">
        <w:rPr>
          <w:rFonts w:ascii="Times New Roman" w:hAnsi="Times New Roman"/>
          <w:b w:val="0"/>
          <w:bCs/>
          <w:i/>
          <w:sz w:val="20"/>
        </w:rPr>
        <w:t xml:space="preserve">. This remarkable </w:t>
      </w:r>
      <w:r w:rsidR="00D726D2">
        <w:rPr>
          <w:rFonts w:ascii="Times New Roman" w:hAnsi="Times New Roman"/>
          <w:b w:val="0"/>
          <w:bCs/>
          <w:i/>
          <w:sz w:val="20"/>
        </w:rPr>
        <w:t>difference</w:t>
      </w:r>
      <w:r w:rsidR="00E16AD4" w:rsidRPr="00E16AD4">
        <w:rPr>
          <w:rFonts w:ascii="Times New Roman" w:hAnsi="Times New Roman"/>
          <w:b w:val="0"/>
          <w:bCs/>
          <w:i/>
          <w:sz w:val="20"/>
        </w:rPr>
        <w:t xml:space="preserve"> </w:t>
      </w:r>
      <w:r w:rsidR="0057236A">
        <w:rPr>
          <w:rFonts w:ascii="Times New Roman" w:hAnsi="Times New Roman"/>
          <w:b w:val="0"/>
          <w:bCs/>
          <w:i/>
          <w:sz w:val="20"/>
        </w:rPr>
        <w:t>is</w:t>
      </w:r>
      <w:r w:rsidR="00E16AD4" w:rsidRPr="00E16AD4">
        <w:rPr>
          <w:rFonts w:ascii="Times New Roman" w:hAnsi="Times New Roman"/>
          <w:b w:val="0"/>
          <w:bCs/>
          <w:i/>
          <w:sz w:val="20"/>
        </w:rPr>
        <w:t xml:space="preserve"> attributed to the synergistic interaction</w:t>
      </w:r>
      <w:r w:rsidR="007E6F66">
        <w:rPr>
          <w:rFonts w:ascii="Times New Roman" w:hAnsi="Times New Roman"/>
          <w:b w:val="0"/>
          <w:bCs/>
          <w:i/>
          <w:sz w:val="20"/>
        </w:rPr>
        <w:t xml:space="preserve"> of the tricomponent</w:t>
      </w:r>
      <w:r w:rsidR="00E16AD4" w:rsidRPr="00E16AD4">
        <w:rPr>
          <w:rFonts w:ascii="Times New Roman" w:hAnsi="Times New Roman"/>
          <w:b w:val="0"/>
          <w:bCs/>
          <w:i/>
          <w:sz w:val="20"/>
        </w:rPr>
        <w:t xml:space="preserve"> </w:t>
      </w:r>
      <w:r w:rsidR="007E6F66">
        <w:rPr>
          <w:rFonts w:ascii="Times New Roman" w:hAnsi="Times New Roman"/>
          <w:b w:val="0"/>
          <w:bCs/>
          <w:i/>
          <w:sz w:val="20"/>
        </w:rPr>
        <w:t>IL-metal-</w:t>
      </w:r>
      <w:r w:rsidR="00E16AD4" w:rsidRPr="00E16AD4">
        <w:rPr>
          <w:rFonts w:ascii="Times New Roman" w:hAnsi="Times New Roman"/>
          <w:b w:val="0"/>
          <w:bCs/>
          <w:i/>
          <w:sz w:val="20"/>
        </w:rPr>
        <w:t>TiO</w:t>
      </w:r>
      <w:r w:rsidR="00E16AD4" w:rsidRPr="00D726D2">
        <w:rPr>
          <w:rFonts w:ascii="Times New Roman" w:hAnsi="Times New Roman"/>
          <w:b w:val="0"/>
          <w:bCs/>
          <w:i/>
          <w:sz w:val="20"/>
          <w:vertAlign w:val="subscript"/>
        </w:rPr>
        <w:t>2</w:t>
      </w:r>
      <w:r w:rsidR="00E16AD4" w:rsidRPr="00E16AD4">
        <w:rPr>
          <w:rFonts w:ascii="Times New Roman" w:hAnsi="Times New Roman"/>
          <w:b w:val="0"/>
          <w:bCs/>
          <w:i/>
          <w:sz w:val="20"/>
        </w:rPr>
        <w:t xml:space="preserve"> surface</w:t>
      </w:r>
      <w:r w:rsidR="00D726D2">
        <w:rPr>
          <w:rFonts w:ascii="Times New Roman" w:hAnsi="Times New Roman"/>
          <w:b w:val="0"/>
          <w:bCs/>
          <w:i/>
          <w:sz w:val="20"/>
        </w:rPr>
        <w:t xml:space="preserve">, </w:t>
      </w:r>
      <w:r w:rsidR="00E16AD4" w:rsidRPr="00E16AD4">
        <w:rPr>
          <w:rFonts w:ascii="Times New Roman" w:hAnsi="Times New Roman"/>
          <w:b w:val="0"/>
          <w:bCs/>
          <w:i/>
          <w:sz w:val="20"/>
        </w:rPr>
        <w:t>lead</w:t>
      </w:r>
      <w:r w:rsidR="00D726D2">
        <w:rPr>
          <w:rFonts w:ascii="Times New Roman" w:hAnsi="Times New Roman"/>
          <w:b w:val="0"/>
          <w:bCs/>
          <w:i/>
          <w:sz w:val="20"/>
        </w:rPr>
        <w:t>ing</w:t>
      </w:r>
      <w:r w:rsidR="00E16AD4" w:rsidRPr="00E16AD4">
        <w:rPr>
          <w:rFonts w:ascii="Times New Roman" w:hAnsi="Times New Roman"/>
          <w:b w:val="0"/>
          <w:bCs/>
          <w:i/>
          <w:sz w:val="20"/>
        </w:rPr>
        <w:t xml:space="preserve"> to a robust modification of the electronic and photophysical </w:t>
      </w:r>
      <w:r w:rsidR="00D726D2">
        <w:rPr>
          <w:rFonts w:ascii="Times New Roman" w:hAnsi="Times New Roman"/>
          <w:b w:val="0"/>
          <w:bCs/>
          <w:i/>
          <w:sz w:val="20"/>
        </w:rPr>
        <w:t>propertie</w:t>
      </w:r>
      <w:r w:rsidR="00E16AD4" w:rsidRPr="00E16AD4">
        <w:rPr>
          <w:rFonts w:ascii="Times New Roman" w:hAnsi="Times New Roman"/>
          <w:b w:val="0"/>
          <w:bCs/>
          <w:i/>
          <w:sz w:val="20"/>
        </w:rPr>
        <w:t>s</w:t>
      </w:r>
      <w:r w:rsidR="00D726D2">
        <w:rPr>
          <w:rFonts w:ascii="Times New Roman" w:hAnsi="Times New Roman"/>
          <w:b w:val="0"/>
          <w:bCs/>
          <w:i/>
          <w:sz w:val="20"/>
        </w:rPr>
        <w:t>.</w:t>
      </w:r>
      <w:r w:rsidR="00E16AD4">
        <w:rPr>
          <w:rFonts w:ascii="Times New Roman" w:hAnsi="Times New Roman"/>
          <w:b w:val="0"/>
          <w:bCs/>
          <w:i/>
          <w:sz w:val="20"/>
        </w:rPr>
        <w:t xml:space="preserve"> </w:t>
      </w:r>
      <w:r w:rsidR="002B1149" w:rsidRPr="002B1149">
        <w:rPr>
          <w:rFonts w:ascii="Times New Roman" w:hAnsi="Times New Roman"/>
          <w:b w:val="0"/>
          <w:bCs/>
          <w:i/>
          <w:sz w:val="20"/>
        </w:rPr>
        <w:t>Our investigation systematically explores the impact of factors such as nanoparticle size, IL composition, photophysical effect, scavenger agent, and the sequence of local deposition on the surface. This comprehensive approach sheds light on the intricate mechanisms underlying the increased efficiency of the photocatalytic system in the quest for an ideal one.</w:t>
      </w:r>
    </w:p>
    <w:p w14:paraId="5F4A84E8" w14:textId="7B8D6E1D" w:rsidR="00EA4E1B" w:rsidRPr="00E16AD4" w:rsidRDefault="00EA4E1B" w:rsidP="002B1149">
      <w:pPr>
        <w:pStyle w:val="BDAbstract"/>
        <w:spacing w:after="120" w:line="240" w:lineRule="auto"/>
        <w:rPr>
          <w:rFonts w:ascii="Times New Roman" w:hAnsi="Times New Roman"/>
          <w:b w:val="0"/>
          <w:bCs/>
          <w:i/>
          <w:sz w:val="20"/>
        </w:rPr>
      </w:pPr>
      <w:r w:rsidRPr="008259E9">
        <w:rPr>
          <w:rFonts w:ascii="Times New Roman" w:hAnsi="Times New Roman"/>
          <w:b w:val="0"/>
          <w:i/>
          <w:sz w:val="20"/>
        </w:rPr>
        <w:t>Keyword</w:t>
      </w:r>
      <w:r w:rsidR="007E6F66">
        <w:rPr>
          <w:rFonts w:ascii="Times New Roman" w:hAnsi="Times New Roman"/>
          <w:b w:val="0"/>
          <w:i/>
          <w:sz w:val="20"/>
        </w:rPr>
        <w:t>s: enhanced HER</w:t>
      </w:r>
      <w:r w:rsidR="008259E9" w:rsidRPr="008259E9">
        <w:rPr>
          <w:rFonts w:ascii="Times New Roman" w:hAnsi="Times New Roman"/>
          <w:b w:val="0"/>
          <w:i/>
          <w:sz w:val="20"/>
        </w:rPr>
        <w:t xml:space="preserve">, </w:t>
      </w:r>
      <w:r w:rsidR="007E6F66">
        <w:rPr>
          <w:rFonts w:ascii="Times New Roman" w:hAnsi="Times New Roman"/>
          <w:b w:val="0"/>
          <w:i/>
          <w:sz w:val="20"/>
        </w:rPr>
        <w:t xml:space="preserve">ionic liquids, </w:t>
      </w:r>
      <w:r w:rsidR="008259E9" w:rsidRPr="008259E9">
        <w:rPr>
          <w:rFonts w:ascii="Times New Roman" w:hAnsi="Times New Roman"/>
          <w:b w:val="0"/>
          <w:i/>
          <w:sz w:val="20"/>
        </w:rPr>
        <w:t>gold</w:t>
      </w:r>
      <w:r w:rsidR="007E6F66">
        <w:rPr>
          <w:rFonts w:ascii="Times New Roman" w:hAnsi="Times New Roman"/>
          <w:b w:val="0"/>
          <w:i/>
          <w:sz w:val="20"/>
        </w:rPr>
        <w:t xml:space="preserve"> </w:t>
      </w:r>
      <w:r w:rsidR="008259E9" w:rsidRPr="008259E9">
        <w:rPr>
          <w:rFonts w:ascii="Times New Roman" w:hAnsi="Times New Roman"/>
          <w:b w:val="0"/>
          <w:i/>
          <w:sz w:val="20"/>
        </w:rPr>
        <w:t>nanoparticles</w:t>
      </w:r>
      <w:r w:rsidR="00731431" w:rsidRPr="008259E9">
        <w:rPr>
          <w:rFonts w:ascii="Times New Roman" w:hAnsi="Times New Roman"/>
          <w:b w:val="0"/>
          <w:i/>
          <w:sz w:val="20"/>
        </w:rPr>
        <w:t xml:space="preserve">, </w:t>
      </w:r>
      <w:r w:rsidR="008259E9" w:rsidRPr="008259E9">
        <w:rPr>
          <w:rFonts w:ascii="Times New Roman" w:hAnsi="Times New Roman"/>
          <w:b w:val="0"/>
          <w:i/>
          <w:sz w:val="20"/>
        </w:rPr>
        <w:t>t</w:t>
      </w:r>
      <w:r w:rsidR="00731431" w:rsidRPr="008259E9">
        <w:rPr>
          <w:rFonts w:ascii="Times New Roman" w:hAnsi="Times New Roman"/>
          <w:b w:val="0"/>
          <w:i/>
          <w:sz w:val="20"/>
        </w:rPr>
        <w:t xml:space="preserve">itanium </w:t>
      </w:r>
      <w:r w:rsidR="00E16AD4">
        <w:rPr>
          <w:rFonts w:ascii="Times New Roman" w:hAnsi="Times New Roman"/>
          <w:b w:val="0"/>
          <w:i/>
          <w:sz w:val="20"/>
        </w:rPr>
        <w:t>dioxide</w:t>
      </w:r>
      <w:r w:rsidR="00731431" w:rsidRPr="008259E9">
        <w:rPr>
          <w:rFonts w:ascii="Times New Roman" w:hAnsi="Times New Roman"/>
          <w:b w:val="0"/>
          <w:i/>
          <w:sz w:val="20"/>
        </w:rPr>
        <w:t xml:space="preserve">, </w:t>
      </w:r>
      <w:r w:rsidR="008259E9" w:rsidRPr="008259E9">
        <w:rPr>
          <w:rFonts w:ascii="Times New Roman" w:hAnsi="Times New Roman"/>
          <w:b w:val="0"/>
          <w:i/>
          <w:sz w:val="20"/>
        </w:rPr>
        <w:t>photocatalysis.</w:t>
      </w:r>
    </w:p>
    <w:bookmarkEnd w:id="1"/>
    <w:p w14:paraId="48D9B0C4" w14:textId="77777777" w:rsidR="00EA4E1B" w:rsidRPr="008259E9" w:rsidRDefault="00EA4E1B" w:rsidP="00EA4E1B">
      <w:pPr>
        <w:rPr>
          <w:lang w:val="en-US"/>
        </w:rPr>
        <w:sectPr w:rsidR="00EA4E1B" w:rsidRPr="008259E9"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5426BFBF" w:rsidR="00EA4E1B" w:rsidRPr="00DD2E25" w:rsidRDefault="00EA4E1B" w:rsidP="00DD2E25">
      <w:pPr>
        <w:pStyle w:val="Ttulo2"/>
        <w:rPr>
          <w:rFonts w:ascii="Helvetica" w:hAnsi="Helvetica" w:cs="Helvetica"/>
          <w:sz w:val="24"/>
          <w:szCs w:val="24"/>
          <w:lang w:val="en-GB"/>
        </w:rPr>
      </w:pPr>
      <w:r w:rsidRPr="00DD2E25">
        <w:rPr>
          <w:rFonts w:ascii="Helvetica" w:hAnsi="Helvetica" w:cs="Helvetica"/>
          <w:sz w:val="24"/>
          <w:szCs w:val="24"/>
          <w:lang w:val="en-GB"/>
        </w:rPr>
        <w:t>Introdu</w:t>
      </w:r>
      <w:r w:rsidR="00264308" w:rsidRPr="00DD2E25">
        <w:rPr>
          <w:rFonts w:ascii="Helvetica" w:hAnsi="Helvetica" w:cs="Helvetica"/>
          <w:sz w:val="24"/>
          <w:szCs w:val="24"/>
          <w:lang w:val="en-GB"/>
        </w:rPr>
        <w:t>ction</w:t>
      </w:r>
    </w:p>
    <w:p w14:paraId="4AF3F348" w14:textId="7DB2C4C6" w:rsidR="002C1452" w:rsidRPr="006A0811" w:rsidRDefault="008F34A3" w:rsidP="006A0811">
      <w:pPr>
        <w:pStyle w:val="NormalWeb"/>
        <w:spacing w:before="0" w:beforeAutospacing="0" w:after="0" w:afterAutospacing="0"/>
        <w:jc w:val="both"/>
        <w:rPr>
          <w:sz w:val="20"/>
          <w:lang w:val="en-GB"/>
        </w:rPr>
      </w:pPr>
      <w:proofErr w:type="spellStart"/>
      <w:r w:rsidRPr="008F34A3">
        <w:rPr>
          <w:sz w:val="20"/>
          <w:lang w:val="es-ES"/>
        </w:rPr>
        <w:t>The</w:t>
      </w:r>
      <w:proofErr w:type="spellEnd"/>
      <w:r w:rsidRPr="008F34A3">
        <w:rPr>
          <w:sz w:val="20"/>
          <w:lang w:val="es-ES"/>
        </w:rPr>
        <w:t xml:space="preserve"> </w:t>
      </w:r>
      <w:proofErr w:type="spellStart"/>
      <w:r w:rsidRPr="008F34A3">
        <w:rPr>
          <w:sz w:val="20"/>
          <w:lang w:val="es-ES"/>
        </w:rPr>
        <w:t>production</w:t>
      </w:r>
      <w:proofErr w:type="spellEnd"/>
      <w:r w:rsidRPr="008F34A3">
        <w:rPr>
          <w:sz w:val="20"/>
          <w:lang w:val="es-ES"/>
        </w:rPr>
        <w:t xml:space="preserve"> </w:t>
      </w:r>
      <w:proofErr w:type="spellStart"/>
      <w:r w:rsidRPr="008F34A3">
        <w:rPr>
          <w:sz w:val="20"/>
          <w:lang w:val="es-ES"/>
        </w:rPr>
        <w:t>of</w:t>
      </w:r>
      <w:proofErr w:type="spellEnd"/>
      <w:r w:rsidRPr="008F34A3">
        <w:rPr>
          <w:sz w:val="20"/>
          <w:lang w:val="es-ES"/>
        </w:rPr>
        <w:t xml:space="preserve"> </w:t>
      </w:r>
      <w:proofErr w:type="spellStart"/>
      <w:r w:rsidRPr="008F34A3">
        <w:rPr>
          <w:sz w:val="20"/>
          <w:lang w:val="es-ES"/>
        </w:rPr>
        <w:t>green</w:t>
      </w:r>
      <w:proofErr w:type="spellEnd"/>
      <w:r w:rsidRPr="008F34A3">
        <w:rPr>
          <w:sz w:val="20"/>
          <w:lang w:val="es-ES"/>
        </w:rPr>
        <w:t xml:space="preserve"> </w:t>
      </w:r>
      <w:proofErr w:type="spellStart"/>
      <w:r w:rsidRPr="008F34A3">
        <w:rPr>
          <w:sz w:val="20"/>
          <w:lang w:val="es-ES"/>
        </w:rPr>
        <w:t>hydrogen</w:t>
      </w:r>
      <w:proofErr w:type="spellEnd"/>
      <w:r w:rsidRPr="008F34A3">
        <w:rPr>
          <w:sz w:val="20"/>
          <w:lang w:val="es-ES"/>
        </w:rPr>
        <w:t xml:space="preserve"> </w:t>
      </w:r>
      <w:proofErr w:type="spellStart"/>
      <w:r w:rsidRPr="008F34A3">
        <w:rPr>
          <w:sz w:val="20"/>
          <w:lang w:val="es-ES"/>
        </w:rPr>
        <w:t>is</w:t>
      </w:r>
      <w:proofErr w:type="spellEnd"/>
      <w:r w:rsidRPr="008F34A3">
        <w:rPr>
          <w:sz w:val="20"/>
          <w:lang w:val="es-ES"/>
        </w:rPr>
        <w:t xml:space="preserve"> a </w:t>
      </w:r>
      <w:proofErr w:type="spellStart"/>
      <w:r w:rsidRPr="008F34A3">
        <w:rPr>
          <w:sz w:val="20"/>
          <w:lang w:val="es-ES"/>
        </w:rPr>
        <w:t>current</w:t>
      </w:r>
      <w:proofErr w:type="spellEnd"/>
      <w:r w:rsidRPr="008F34A3">
        <w:rPr>
          <w:sz w:val="20"/>
          <w:lang w:val="es-ES"/>
        </w:rPr>
        <w:t xml:space="preserve"> </w:t>
      </w:r>
      <w:proofErr w:type="spellStart"/>
      <w:r w:rsidRPr="008F34A3">
        <w:rPr>
          <w:sz w:val="20"/>
          <w:lang w:val="es-ES"/>
        </w:rPr>
        <w:t>area</w:t>
      </w:r>
      <w:proofErr w:type="spellEnd"/>
      <w:r w:rsidRPr="008F34A3">
        <w:rPr>
          <w:sz w:val="20"/>
          <w:lang w:val="es-ES"/>
        </w:rPr>
        <w:t xml:space="preserve"> </w:t>
      </w:r>
      <w:proofErr w:type="spellStart"/>
      <w:r w:rsidRPr="008F34A3">
        <w:rPr>
          <w:sz w:val="20"/>
          <w:lang w:val="es-ES"/>
        </w:rPr>
        <w:t>of</w:t>
      </w:r>
      <w:proofErr w:type="spellEnd"/>
      <w:r w:rsidRPr="008F34A3">
        <w:rPr>
          <w:sz w:val="20"/>
          <w:lang w:val="es-ES"/>
        </w:rPr>
        <w:t xml:space="preserve"> </w:t>
      </w:r>
      <w:proofErr w:type="spellStart"/>
      <w:r w:rsidRPr="008F34A3">
        <w:rPr>
          <w:sz w:val="20"/>
          <w:lang w:val="es-ES"/>
        </w:rPr>
        <w:t>research</w:t>
      </w:r>
      <w:proofErr w:type="spellEnd"/>
      <w:r w:rsidRPr="008F34A3">
        <w:rPr>
          <w:sz w:val="20"/>
          <w:lang w:val="es-ES"/>
        </w:rPr>
        <w:t xml:space="preserve"> </w:t>
      </w:r>
      <w:proofErr w:type="spellStart"/>
      <w:r w:rsidRPr="008F34A3">
        <w:rPr>
          <w:sz w:val="20"/>
          <w:lang w:val="es-ES"/>
        </w:rPr>
        <w:t>that</w:t>
      </w:r>
      <w:proofErr w:type="spellEnd"/>
      <w:r w:rsidRPr="008F34A3">
        <w:rPr>
          <w:sz w:val="20"/>
          <w:lang w:val="es-ES"/>
        </w:rPr>
        <w:t xml:space="preserve"> </w:t>
      </w:r>
      <w:proofErr w:type="spellStart"/>
      <w:r w:rsidRPr="008F34A3">
        <w:rPr>
          <w:sz w:val="20"/>
          <w:lang w:val="es-ES"/>
        </w:rPr>
        <w:t>seeks</w:t>
      </w:r>
      <w:proofErr w:type="spellEnd"/>
      <w:r w:rsidRPr="008F34A3">
        <w:rPr>
          <w:sz w:val="20"/>
          <w:lang w:val="es-ES"/>
        </w:rPr>
        <w:t xml:space="preserve"> </w:t>
      </w:r>
      <w:proofErr w:type="spellStart"/>
      <w:r w:rsidRPr="008F34A3">
        <w:rPr>
          <w:sz w:val="20"/>
          <w:lang w:val="es-ES"/>
        </w:rPr>
        <w:t>sustainable</w:t>
      </w:r>
      <w:proofErr w:type="spellEnd"/>
      <w:r w:rsidRPr="008F34A3">
        <w:rPr>
          <w:sz w:val="20"/>
          <w:lang w:val="es-ES"/>
        </w:rPr>
        <w:t xml:space="preserve"> </w:t>
      </w:r>
      <w:proofErr w:type="spellStart"/>
      <w:r w:rsidRPr="008F34A3">
        <w:rPr>
          <w:sz w:val="20"/>
          <w:lang w:val="es-ES"/>
        </w:rPr>
        <w:t>solutions</w:t>
      </w:r>
      <w:proofErr w:type="spellEnd"/>
      <w:r w:rsidRPr="008F34A3">
        <w:rPr>
          <w:sz w:val="20"/>
          <w:lang w:val="es-ES"/>
        </w:rPr>
        <w:t xml:space="preserve"> </w:t>
      </w:r>
      <w:proofErr w:type="spellStart"/>
      <w:r w:rsidRPr="008F34A3">
        <w:rPr>
          <w:sz w:val="20"/>
          <w:lang w:val="es-ES"/>
        </w:rPr>
        <w:t>for</w:t>
      </w:r>
      <w:proofErr w:type="spellEnd"/>
      <w:r w:rsidRPr="008F34A3">
        <w:rPr>
          <w:sz w:val="20"/>
          <w:lang w:val="es-ES"/>
        </w:rPr>
        <w:t xml:space="preserve"> </w:t>
      </w:r>
      <w:proofErr w:type="spellStart"/>
      <w:r w:rsidRPr="008F34A3">
        <w:rPr>
          <w:sz w:val="20"/>
          <w:lang w:val="es-ES"/>
        </w:rPr>
        <w:t>generating</w:t>
      </w:r>
      <w:proofErr w:type="spellEnd"/>
      <w:r w:rsidRPr="008F34A3">
        <w:rPr>
          <w:sz w:val="20"/>
          <w:lang w:val="es-ES"/>
        </w:rPr>
        <w:t xml:space="preserve"> a </w:t>
      </w:r>
      <w:proofErr w:type="spellStart"/>
      <w:r w:rsidRPr="008F34A3">
        <w:rPr>
          <w:sz w:val="20"/>
          <w:lang w:val="es-ES"/>
        </w:rPr>
        <w:t>clean</w:t>
      </w:r>
      <w:proofErr w:type="spellEnd"/>
      <w:r w:rsidRPr="008F34A3">
        <w:rPr>
          <w:sz w:val="20"/>
          <w:lang w:val="es-ES"/>
        </w:rPr>
        <w:t xml:space="preserve"> and </w:t>
      </w:r>
      <w:proofErr w:type="spellStart"/>
      <w:r w:rsidRPr="008F34A3">
        <w:rPr>
          <w:sz w:val="20"/>
          <w:lang w:val="es-ES"/>
        </w:rPr>
        <w:t>versatile</w:t>
      </w:r>
      <w:proofErr w:type="spellEnd"/>
      <w:r w:rsidRPr="008F34A3">
        <w:rPr>
          <w:sz w:val="20"/>
          <w:lang w:val="es-ES"/>
        </w:rPr>
        <w:t xml:space="preserve"> fuel.</w:t>
      </w:r>
      <w:r w:rsidR="00E96EC8">
        <w:rPr>
          <w:sz w:val="20"/>
          <w:lang w:val="es-ES"/>
        </w:rPr>
        <w:t>[1]</w:t>
      </w:r>
      <w:r w:rsidRPr="008F34A3">
        <w:rPr>
          <w:sz w:val="20"/>
          <w:lang w:val="es-ES"/>
        </w:rPr>
        <w:t xml:space="preserve"> Metal </w:t>
      </w:r>
      <w:proofErr w:type="spellStart"/>
      <w:r w:rsidRPr="008F34A3">
        <w:rPr>
          <w:sz w:val="20"/>
          <w:lang w:val="es-ES"/>
        </w:rPr>
        <w:t>nanoparticles</w:t>
      </w:r>
      <w:proofErr w:type="spellEnd"/>
      <w:r w:rsidRPr="008F34A3">
        <w:rPr>
          <w:sz w:val="20"/>
          <w:lang w:val="es-ES"/>
        </w:rPr>
        <w:t xml:space="preserve"> </w:t>
      </w:r>
      <w:r w:rsidR="00B75F51">
        <w:rPr>
          <w:sz w:val="20"/>
          <w:lang w:val="es-ES"/>
        </w:rPr>
        <w:t xml:space="preserve">can </w:t>
      </w:r>
      <w:proofErr w:type="spellStart"/>
      <w:r w:rsidR="00B75F51">
        <w:rPr>
          <w:sz w:val="20"/>
          <w:lang w:val="es-ES"/>
        </w:rPr>
        <w:t>perform</w:t>
      </w:r>
      <w:proofErr w:type="spellEnd"/>
      <w:r w:rsidRPr="008F34A3">
        <w:rPr>
          <w:sz w:val="20"/>
          <w:lang w:val="es-ES"/>
        </w:rPr>
        <w:t xml:space="preserve"> </w:t>
      </w:r>
      <w:proofErr w:type="spellStart"/>
      <w:r w:rsidR="000F5354">
        <w:rPr>
          <w:sz w:val="20"/>
          <w:lang w:val="es-ES"/>
        </w:rPr>
        <w:t>numerous</w:t>
      </w:r>
      <w:proofErr w:type="spellEnd"/>
      <w:r w:rsidRPr="008F34A3">
        <w:rPr>
          <w:sz w:val="20"/>
          <w:lang w:val="es-ES"/>
        </w:rPr>
        <w:t xml:space="preserve"> </w:t>
      </w:r>
      <w:proofErr w:type="spellStart"/>
      <w:r w:rsidRPr="008F34A3">
        <w:rPr>
          <w:sz w:val="20"/>
          <w:lang w:val="es-ES"/>
        </w:rPr>
        <w:t>challenging</w:t>
      </w:r>
      <w:proofErr w:type="spellEnd"/>
      <w:r w:rsidRPr="008F34A3">
        <w:rPr>
          <w:sz w:val="20"/>
          <w:lang w:val="es-ES"/>
        </w:rPr>
        <w:t xml:space="preserve"> </w:t>
      </w:r>
      <w:proofErr w:type="spellStart"/>
      <w:r w:rsidRPr="008F34A3">
        <w:rPr>
          <w:sz w:val="20"/>
          <w:lang w:val="es-ES"/>
        </w:rPr>
        <w:t>chemical</w:t>
      </w:r>
      <w:proofErr w:type="spellEnd"/>
      <w:r w:rsidRPr="008F34A3">
        <w:rPr>
          <w:sz w:val="20"/>
          <w:lang w:val="es-ES"/>
        </w:rPr>
        <w:t xml:space="preserve"> </w:t>
      </w:r>
      <w:proofErr w:type="spellStart"/>
      <w:r w:rsidRPr="008F34A3">
        <w:rPr>
          <w:sz w:val="20"/>
          <w:lang w:val="es-ES"/>
        </w:rPr>
        <w:t>reactions</w:t>
      </w:r>
      <w:proofErr w:type="spellEnd"/>
      <w:r>
        <w:rPr>
          <w:sz w:val="20"/>
          <w:lang w:val="es-ES"/>
        </w:rPr>
        <w:t xml:space="preserve"> </w:t>
      </w:r>
      <w:proofErr w:type="spellStart"/>
      <w:r>
        <w:rPr>
          <w:sz w:val="20"/>
          <w:lang w:val="es-ES"/>
        </w:rPr>
        <w:t>with</w:t>
      </w:r>
      <w:proofErr w:type="spellEnd"/>
      <w:r>
        <w:rPr>
          <w:sz w:val="20"/>
          <w:lang w:val="es-ES"/>
        </w:rPr>
        <w:t xml:space="preserve"> </w:t>
      </w:r>
      <w:proofErr w:type="spellStart"/>
      <w:r>
        <w:rPr>
          <w:sz w:val="20"/>
          <w:lang w:val="es-ES"/>
        </w:rPr>
        <w:t>outstanding</w:t>
      </w:r>
      <w:proofErr w:type="spellEnd"/>
      <w:r>
        <w:rPr>
          <w:sz w:val="20"/>
          <w:lang w:val="es-ES"/>
        </w:rPr>
        <w:t xml:space="preserve"> performance and </w:t>
      </w:r>
      <w:proofErr w:type="spellStart"/>
      <w:r>
        <w:rPr>
          <w:sz w:val="20"/>
          <w:lang w:val="es-ES"/>
        </w:rPr>
        <w:t>specificity</w:t>
      </w:r>
      <w:proofErr w:type="spellEnd"/>
      <w:r w:rsidRPr="008F34A3">
        <w:rPr>
          <w:sz w:val="20"/>
          <w:lang w:val="es-ES"/>
        </w:rPr>
        <w:t xml:space="preserve">. In </w:t>
      </w:r>
      <w:proofErr w:type="spellStart"/>
      <w:r w:rsidR="006A0811">
        <w:rPr>
          <w:sz w:val="20"/>
          <w:lang w:val="es-ES"/>
        </w:rPr>
        <w:t>h</w:t>
      </w:r>
      <w:r w:rsidR="009E5DB5">
        <w:rPr>
          <w:sz w:val="20"/>
          <w:lang w:val="es-ES"/>
        </w:rPr>
        <w:t>ydrogen</w:t>
      </w:r>
      <w:proofErr w:type="spellEnd"/>
      <w:r w:rsidR="009E5DB5">
        <w:rPr>
          <w:sz w:val="20"/>
          <w:lang w:val="es-ES"/>
        </w:rPr>
        <w:t xml:space="preserve"> </w:t>
      </w:r>
      <w:proofErr w:type="spellStart"/>
      <w:r w:rsidR="006A0811">
        <w:rPr>
          <w:sz w:val="20"/>
          <w:lang w:val="es-ES"/>
        </w:rPr>
        <w:t>e</w:t>
      </w:r>
      <w:r w:rsidR="009E5DB5">
        <w:rPr>
          <w:sz w:val="20"/>
          <w:lang w:val="es-ES"/>
        </w:rPr>
        <w:t>volution</w:t>
      </w:r>
      <w:proofErr w:type="spellEnd"/>
      <w:r w:rsidR="009E5DB5">
        <w:rPr>
          <w:sz w:val="20"/>
          <w:lang w:val="es-ES"/>
        </w:rPr>
        <w:t xml:space="preserve"> </w:t>
      </w:r>
      <w:proofErr w:type="spellStart"/>
      <w:r w:rsidR="006A0811">
        <w:rPr>
          <w:sz w:val="20"/>
          <w:lang w:val="es-ES"/>
        </w:rPr>
        <w:t>r</w:t>
      </w:r>
      <w:r w:rsidR="009E5DB5">
        <w:rPr>
          <w:sz w:val="20"/>
          <w:lang w:val="es-ES"/>
        </w:rPr>
        <w:t>eactions</w:t>
      </w:r>
      <w:proofErr w:type="spellEnd"/>
      <w:r w:rsidR="002D0E88">
        <w:rPr>
          <w:sz w:val="20"/>
          <w:lang w:val="es-ES"/>
        </w:rPr>
        <w:t>,</w:t>
      </w:r>
      <w:r w:rsidR="009E5DB5">
        <w:rPr>
          <w:sz w:val="20"/>
          <w:lang w:val="es-ES"/>
        </w:rPr>
        <w:t xml:space="preserve"> </w:t>
      </w:r>
      <w:proofErr w:type="spellStart"/>
      <w:r w:rsidR="000F5354">
        <w:rPr>
          <w:sz w:val="20"/>
          <w:lang w:val="es-ES"/>
        </w:rPr>
        <w:t>these</w:t>
      </w:r>
      <w:proofErr w:type="spellEnd"/>
      <w:r>
        <w:rPr>
          <w:sz w:val="20"/>
          <w:lang w:val="es-ES"/>
        </w:rPr>
        <w:t xml:space="preserve"> </w:t>
      </w:r>
      <w:proofErr w:type="spellStart"/>
      <w:r>
        <w:rPr>
          <w:sz w:val="20"/>
          <w:lang w:val="es-ES"/>
        </w:rPr>
        <w:t>systems</w:t>
      </w:r>
      <w:proofErr w:type="spellEnd"/>
      <w:r w:rsidRPr="008F34A3">
        <w:rPr>
          <w:sz w:val="20"/>
          <w:lang w:val="es-ES"/>
        </w:rPr>
        <w:t xml:space="preserve"> </w:t>
      </w:r>
      <w:r w:rsidR="00C05EC7">
        <w:rPr>
          <w:sz w:val="20"/>
          <w:lang w:val="es-ES"/>
        </w:rPr>
        <w:t>favor</w:t>
      </w:r>
      <w:r w:rsidRPr="008F34A3">
        <w:rPr>
          <w:sz w:val="20"/>
          <w:lang w:val="es-ES"/>
        </w:rPr>
        <w:t xml:space="preserve"> </w:t>
      </w:r>
      <w:proofErr w:type="spellStart"/>
      <w:r w:rsidR="006A0811">
        <w:rPr>
          <w:sz w:val="20"/>
          <w:lang w:val="es-ES"/>
        </w:rPr>
        <w:t>processes</w:t>
      </w:r>
      <w:proofErr w:type="spellEnd"/>
      <w:r w:rsidR="006A0811">
        <w:rPr>
          <w:sz w:val="20"/>
          <w:lang w:val="es-ES"/>
        </w:rPr>
        <w:t xml:space="preserve"> </w:t>
      </w:r>
      <w:proofErr w:type="spellStart"/>
      <w:r w:rsidRPr="008F34A3">
        <w:rPr>
          <w:sz w:val="20"/>
          <w:lang w:val="es-ES"/>
        </w:rPr>
        <w:t>like</w:t>
      </w:r>
      <w:proofErr w:type="spellEnd"/>
      <w:r w:rsidRPr="008F34A3">
        <w:rPr>
          <w:sz w:val="20"/>
          <w:lang w:val="es-ES"/>
        </w:rPr>
        <w:t xml:space="preserve"> </w:t>
      </w:r>
      <w:proofErr w:type="spellStart"/>
      <w:r w:rsidR="006A0811">
        <w:rPr>
          <w:sz w:val="20"/>
          <w:lang w:val="es-ES"/>
        </w:rPr>
        <w:t>w</w:t>
      </w:r>
      <w:r w:rsidR="009E5DB5">
        <w:rPr>
          <w:sz w:val="20"/>
          <w:lang w:val="es-ES"/>
        </w:rPr>
        <w:t>ater</w:t>
      </w:r>
      <w:proofErr w:type="spellEnd"/>
      <w:r w:rsidR="009E5DB5">
        <w:rPr>
          <w:sz w:val="20"/>
          <w:lang w:val="es-ES"/>
        </w:rPr>
        <w:t xml:space="preserve"> </w:t>
      </w:r>
      <w:proofErr w:type="spellStart"/>
      <w:r w:rsidR="006A0811">
        <w:rPr>
          <w:sz w:val="20"/>
          <w:lang w:val="es-ES"/>
        </w:rPr>
        <w:t>s</w:t>
      </w:r>
      <w:r w:rsidR="009E5DB5">
        <w:rPr>
          <w:sz w:val="20"/>
          <w:lang w:val="es-ES"/>
        </w:rPr>
        <w:t>plitting</w:t>
      </w:r>
      <w:proofErr w:type="spellEnd"/>
      <w:r w:rsidR="000F5354">
        <w:rPr>
          <w:sz w:val="20"/>
          <w:lang w:val="es-ES"/>
        </w:rPr>
        <w:t xml:space="preserve"> </w:t>
      </w:r>
      <w:proofErr w:type="spellStart"/>
      <w:r w:rsidR="000F5354">
        <w:rPr>
          <w:sz w:val="20"/>
          <w:lang w:val="es-ES"/>
        </w:rPr>
        <w:t>reaction</w:t>
      </w:r>
      <w:proofErr w:type="spellEnd"/>
      <w:r w:rsidRPr="008F34A3">
        <w:rPr>
          <w:sz w:val="20"/>
          <w:lang w:val="es-ES"/>
        </w:rPr>
        <w:t>.</w:t>
      </w:r>
      <w:r w:rsidR="0032012B">
        <w:rPr>
          <w:sz w:val="20"/>
          <w:lang w:val="es-ES"/>
        </w:rPr>
        <w:t xml:space="preserve"> </w:t>
      </w:r>
      <w:proofErr w:type="spellStart"/>
      <w:r w:rsidR="0032012B">
        <w:rPr>
          <w:sz w:val="20"/>
          <w:lang w:val="es-ES"/>
        </w:rPr>
        <w:t>MNPs</w:t>
      </w:r>
      <w:proofErr w:type="spellEnd"/>
      <w:r w:rsidR="008866A2" w:rsidRPr="0032012B">
        <w:rPr>
          <w:sz w:val="20"/>
          <w:lang w:val="es-ES"/>
        </w:rPr>
        <w:t xml:space="preserve"> </w:t>
      </w:r>
      <w:proofErr w:type="spellStart"/>
      <w:r w:rsidR="008866A2" w:rsidRPr="0032012B">
        <w:rPr>
          <w:sz w:val="20"/>
          <w:lang w:val="es-ES"/>
        </w:rPr>
        <w:t>with</w:t>
      </w:r>
      <w:proofErr w:type="spellEnd"/>
      <w:r w:rsidR="008866A2" w:rsidRPr="0032012B">
        <w:rPr>
          <w:sz w:val="20"/>
          <w:lang w:val="es-ES"/>
        </w:rPr>
        <w:t xml:space="preserve"> </w:t>
      </w:r>
      <w:proofErr w:type="spellStart"/>
      <w:r w:rsidR="008866A2" w:rsidRPr="0032012B">
        <w:rPr>
          <w:sz w:val="20"/>
          <w:lang w:val="es-ES"/>
        </w:rPr>
        <w:t>plasmon</w:t>
      </w:r>
      <w:proofErr w:type="spellEnd"/>
      <w:r w:rsidR="008866A2" w:rsidRPr="0032012B">
        <w:rPr>
          <w:sz w:val="20"/>
          <w:lang w:val="es-ES"/>
        </w:rPr>
        <w:t xml:space="preserve"> </w:t>
      </w:r>
      <w:proofErr w:type="spellStart"/>
      <w:r w:rsidR="008866A2" w:rsidRPr="0032012B">
        <w:rPr>
          <w:sz w:val="20"/>
          <w:lang w:val="es-ES"/>
        </w:rPr>
        <w:t>propertie</w:t>
      </w:r>
      <w:r w:rsidR="009E5DB5">
        <w:rPr>
          <w:sz w:val="20"/>
          <w:lang w:val="es-ES"/>
        </w:rPr>
        <w:t>s</w:t>
      </w:r>
      <w:proofErr w:type="spellEnd"/>
      <w:r w:rsidR="009E5DB5">
        <w:rPr>
          <w:sz w:val="20"/>
          <w:lang w:val="es-ES"/>
        </w:rPr>
        <w:t xml:space="preserve"> </w:t>
      </w:r>
      <w:r w:rsidR="000F5354">
        <w:rPr>
          <w:sz w:val="20"/>
          <w:lang w:val="es-ES"/>
        </w:rPr>
        <w:t>are</w:t>
      </w:r>
      <w:r w:rsidR="008866A2" w:rsidRPr="0032012B">
        <w:rPr>
          <w:sz w:val="20"/>
          <w:lang w:val="es-ES"/>
        </w:rPr>
        <w:t xml:space="preserve"> </w:t>
      </w:r>
      <w:proofErr w:type="spellStart"/>
      <w:r w:rsidR="008866A2" w:rsidRPr="0032012B">
        <w:rPr>
          <w:sz w:val="20"/>
          <w:lang w:val="es-ES"/>
        </w:rPr>
        <w:t>one</w:t>
      </w:r>
      <w:proofErr w:type="spellEnd"/>
      <w:r w:rsidR="008866A2" w:rsidRPr="0032012B">
        <w:rPr>
          <w:sz w:val="20"/>
          <w:lang w:val="es-ES"/>
        </w:rPr>
        <w:t xml:space="preserve"> </w:t>
      </w:r>
      <w:proofErr w:type="spellStart"/>
      <w:r w:rsidR="008866A2" w:rsidRPr="0032012B">
        <w:rPr>
          <w:sz w:val="20"/>
          <w:lang w:val="es-ES"/>
        </w:rPr>
        <w:t>of</w:t>
      </w:r>
      <w:proofErr w:type="spellEnd"/>
      <w:r w:rsidR="008866A2" w:rsidRPr="0032012B">
        <w:rPr>
          <w:sz w:val="20"/>
          <w:lang w:val="es-ES"/>
        </w:rPr>
        <w:t xml:space="preserve"> </w:t>
      </w:r>
      <w:proofErr w:type="spellStart"/>
      <w:r w:rsidR="008866A2" w:rsidRPr="0032012B">
        <w:rPr>
          <w:sz w:val="20"/>
          <w:lang w:val="es-ES"/>
        </w:rPr>
        <w:t>the</w:t>
      </w:r>
      <w:proofErr w:type="spellEnd"/>
      <w:r w:rsidR="008866A2" w:rsidRPr="0032012B">
        <w:rPr>
          <w:sz w:val="20"/>
          <w:lang w:val="es-ES"/>
        </w:rPr>
        <w:t xml:space="preserve"> </w:t>
      </w:r>
      <w:proofErr w:type="spellStart"/>
      <w:r w:rsidR="008866A2" w:rsidRPr="0032012B">
        <w:rPr>
          <w:sz w:val="20"/>
          <w:lang w:val="es-ES"/>
        </w:rPr>
        <w:t>most</w:t>
      </w:r>
      <w:proofErr w:type="spellEnd"/>
      <w:r w:rsidR="008866A2" w:rsidRPr="0032012B">
        <w:rPr>
          <w:sz w:val="20"/>
          <w:lang w:val="es-ES"/>
        </w:rPr>
        <w:t xml:space="preserve"> </w:t>
      </w:r>
      <w:proofErr w:type="spellStart"/>
      <w:r w:rsidR="008866A2" w:rsidRPr="0032012B">
        <w:rPr>
          <w:sz w:val="20"/>
          <w:lang w:val="es-ES"/>
        </w:rPr>
        <w:t>employed</w:t>
      </w:r>
      <w:proofErr w:type="spellEnd"/>
      <w:r w:rsidR="008866A2" w:rsidRPr="0032012B">
        <w:rPr>
          <w:sz w:val="20"/>
          <w:lang w:val="es-ES"/>
        </w:rPr>
        <w:t xml:space="preserve"> </w:t>
      </w:r>
      <w:proofErr w:type="spellStart"/>
      <w:r w:rsidR="008866A2" w:rsidRPr="0032012B">
        <w:rPr>
          <w:sz w:val="20"/>
          <w:lang w:val="es-ES"/>
        </w:rPr>
        <w:t>due</w:t>
      </w:r>
      <w:proofErr w:type="spellEnd"/>
      <w:r w:rsidR="008866A2" w:rsidRPr="0032012B">
        <w:rPr>
          <w:sz w:val="20"/>
          <w:lang w:val="es-ES"/>
        </w:rPr>
        <w:t xml:space="preserve"> </w:t>
      </w:r>
      <w:proofErr w:type="spellStart"/>
      <w:r w:rsidR="008866A2" w:rsidRPr="0032012B">
        <w:rPr>
          <w:sz w:val="20"/>
          <w:lang w:val="es-ES"/>
        </w:rPr>
        <w:t>to</w:t>
      </w:r>
      <w:proofErr w:type="spellEnd"/>
      <w:r w:rsidR="008866A2" w:rsidRPr="0032012B">
        <w:rPr>
          <w:sz w:val="20"/>
          <w:lang w:val="es-ES"/>
        </w:rPr>
        <w:t xml:space="preserve"> </w:t>
      </w:r>
      <w:proofErr w:type="spellStart"/>
      <w:r w:rsidR="000F5354">
        <w:rPr>
          <w:sz w:val="20"/>
          <w:lang w:val="es-ES"/>
        </w:rPr>
        <w:t>their</w:t>
      </w:r>
      <w:proofErr w:type="spellEnd"/>
      <w:r w:rsidR="000F5354">
        <w:rPr>
          <w:sz w:val="20"/>
          <w:lang w:val="es-ES"/>
        </w:rPr>
        <w:t xml:space="preserve"> </w:t>
      </w:r>
      <w:proofErr w:type="spellStart"/>
      <w:r w:rsidR="000F5354">
        <w:rPr>
          <w:sz w:val="20"/>
          <w:lang w:val="es-ES"/>
        </w:rPr>
        <w:t>capacity</w:t>
      </w:r>
      <w:proofErr w:type="spellEnd"/>
      <w:r w:rsidR="000F5354">
        <w:rPr>
          <w:sz w:val="20"/>
          <w:lang w:val="es-ES"/>
        </w:rPr>
        <w:t xml:space="preserve"> </w:t>
      </w:r>
      <w:proofErr w:type="spellStart"/>
      <w:r w:rsidR="000F5354">
        <w:rPr>
          <w:sz w:val="20"/>
          <w:lang w:val="es-ES"/>
        </w:rPr>
        <w:t>of</w:t>
      </w:r>
      <w:proofErr w:type="spellEnd"/>
      <w:r w:rsidR="008866A2" w:rsidRPr="0032012B">
        <w:rPr>
          <w:sz w:val="20"/>
          <w:lang w:val="es-ES"/>
        </w:rPr>
        <w:t xml:space="preserve"> </w:t>
      </w:r>
      <w:proofErr w:type="spellStart"/>
      <w:r w:rsidR="008866A2" w:rsidRPr="0032012B">
        <w:rPr>
          <w:sz w:val="20"/>
          <w:lang w:val="es-ES"/>
        </w:rPr>
        <w:t>sensitizing</w:t>
      </w:r>
      <w:proofErr w:type="spellEnd"/>
      <w:r w:rsidR="008866A2" w:rsidRPr="0032012B">
        <w:rPr>
          <w:sz w:val="20"/>
          <w:lang w:val="es-ES"/>
        </w:rPr>
        <w:t xml:space="preserve"> </w:t>
      </w:r>
      <w:proofErr w:type="spellStart"/>
      <w:r w:rsidR="008866A2" w:rsidRPr="0032012B">
        <w:rPr>
          <w:sz w:val="20"/>
          <w:lang w:val="es-ES"/>
        </w:rPr>
        <w:t>the</w:t>
      </w:r>
      <w:proofErr w:type="spellEnd"/>
      <w:r w:rsidR="008866A2" w:rsidRPr="0032012B">
        <w:rPr>
          <w:sz w:val="20"/>
          <w:lang w:val="es-ES"/>
        </w:rPr>
        <w:t xml:space="preserve"> semiconductor </w:t>
      </w:r>
      <w:proofErr w:type="spellStart"/>
      <w:r w:rsidR="008866A2" w:rsidRPr="0032012B">
        <w:rPr>
          <w:sz w:val="20"/>
          <w:lang w:val="es-ES"/>
        </w:rPr>
        <w:t>surface</w:t>
      </w:r>
      <w:proofErr w:type="spellEnd"/>
      <w:r w:rsidR="008866A2" w:rsidRPr="0032012B">
        <w:rPr>
          <w:sz w:val="20"/>
          <w:lang w:val="es-ES"/>
        </w:rPr>
        <w:t xml:space="preserve"> </w:t>
      </w:r>
      <w:proofErr w:type="spellStart"/>
      <w:r w:rsidR="000F5354">
        <w:rPr>
          <w:sz w:val="20"/>
          <w:lang w:val="es-ES"/>
        </w:rPr>
        <w:t>facilitating</w:t>
      </w:r>
      <w:proofErr w:type="spellEnd"/>
      <w:r w:rsidR="000F5354">
        <w:rPr>
          <w:sz w:val="20"/>
          <w:lang w:val="es-ES"/>
        </w:rPr>
        <w:t xml:space="preserve"> </w:t>
      </w:r>
      <w:proofErr w:type="spellStart"/>
      <w:r w:rsidR="0032012B">
        <w:rPr>
          <w:sz w:val="20"/>
          <w:lang w:val="es-ES"/>
        </w:rPr>
        <w:t>electron</w:t>
      </w:r>
      <w:proofErr w:type="spellEnd"/>
      <w:r w:rsidR="0032012B">
        <w:rPr>
          <w:sz w:val="20"/>
          <w:lang w:val="es-ES"/>
        </w:rPr>
        <w:t xml:space="preserve"> </w:t>
      </w:r>
      <w:proofErr w:type="spellStart"/>
      <w:r w:rsidR="0032012B">
        <w:rPr>
          <w:sz w:val="20"/>
          <w:lang w:val="es-ES"/>
        </w:rPr>
        <w:t>trapping</w:t>
      </w:r>
      <w:proofErr w:type="spellEnd"/>
      <w:r w:rsidR="0032012B">
        <w:rPr>
          <w:sz w:val="20"/>
          <w:lang w:val="es-ES"/>
        </w:rPr>
        <w:t xml:space="preserve"> and </w:t>
      </w:r>
      <w:proofErr w:type="spellStart"/>
      <w:r w:rsidR="0032012B" w:rsidRPr="0032012B">
        <w:rPr>
          <w:sz w:val="20"/>
          <w:lang w:val="es-ES"/>
        </w:rPr>
        <w:t>efficient</w:t>
      </w:r>
      <w:proofErr w:type="spellEnd"/>
      <w:r w:rsidR="0032012B" w:rsidRPr="0032012B">
        <w:rPr>
          <w:sz w:val="20"/>
          <w:lang w:val="es-ES"/>
        </w:rPr>
        <w:t xml:space="preserve"> </w:t>
      </w:r>
      <w:proofErr w:type="spellStart"/>
      <w:r w:rsidR="0032012B" w:rsidRPr="0032012B">
        <w:rPr>
          <w:sz w:val="20"/>
          <w:lang w:val="es-ES"/>
        </w:rPr>
        <w:t>charge</w:t>
      </w:r>
      <w:proofErr w:type="spellEnd"/>
      <w:r w:rsidR="0032012B" w:rsidRPr="0032012B">
        <w:rPr>
          <w:sz w:val="20"/>
          <w:lang w:val="es-ES"/>
        </w:rPr>
        <w:t xml:space="preserve"> </w:t>
      </w:r>
      <w:proofErr w:type="spellStart"/>
      <w:r w:rsidR="0032012B" w:rsidRPr="0032012B">
        <w:rPr>
          <w:sz w:val="20"/>
          <w:lang w:val="es-ES"/>
        </w:rPr>
        <w:t>separation</w:t>
      </w:r>
      <w:proofErr w:type="spellEnd"/>
      <w:r w:rsidR="006A0811">
        <w:rPr>
          <w:sz w:val="20"/>
          <w:lang w:val="es-ES"/>
        </w:rPr>
        <w:t>.</w:t>
      </w:r>
      <w:r w:rsidR="0054592A">
        <w:rPr>
          <w:sz w:val="20"/>
          <w:lang w:val="es-ES"/>
        </w:rPr>
        <w:t>[</w:t>
      </w:r>
      <w:r w:rsidR="00E96EC8">
        <w:rPr>
          <w:sz w:val="20"/>
          <w:lang w:val="es-ES"/>
        </w:rPr>
        <w:t>2</w:t>
      </w:r>
      <w:r w:rsidR="003631D6">
        <w:rPr>
          <w:sz w:val="20"/>
          <w:lang w:val="es-ES"/>
        </w:rPr>
        <w:t>,</w:t>
      </w:r>
      <w:r w:rsidR="00E96EC8">
        <w:rPr>
          <w:sz w:val="20"/>
          <w:lang w:val="es-ES"/>
        </w:rPr>
        <w:t>3</w:t>
      </w:r>
      <w:r w:rsidR="0054592A">
        <w:rPr>
          <w:sz w:val="20"/>
          <w:lang w:val="es-ES"/>
        </w:rPr>
        <w:t>]</w:t>
      </w:r>
      <w:r w:rsidR="003631D6">
        <w:rPr>
          <w:sz w:val="20"/>
          <w:lang w:val="es-ES"/>
        </w:rPr>
        <w:t xml:space="preserve"> </w:t>
      </w:r>
      <w:r w:rsidR="008866A2" w:rsidRPr="0032012B">
        <w:rPr>
          <w:sz w:val="20"/>
          <w:lang w:val="es-ES"/>
        </w:rPr>
        <w:t xml:space="preserve">In </w:t>
      </w:r>
      <w:proofErr w:type="spellStart"/>
      <w:r w:rsidR="0057236A">
        <w:rPr>
          <w:sz w:val="20"/>
          <w:lang w:val="es-ES"/>
        </w:rPr>
        <w:t>such</w:t>
      </w:r>
      <w:proofErr w:type="spellEnd"/>
      <w:r w:rsidR="0032012B">
        <w:rPr>
          <w:sz w:val="20"/>
          <w:lang w:val="es-ES"/>
        </w:rPr>
        <w:t xml:space="preserve"> </w:t>
      </w:r>
      <w:proofErr w:type="spellStart"/>
      <w:r w:rsidR="008866A2" w:rsidRPr="0032012B">
        <w:rPr>
          <w:sz w:val="20"/>
          <w:lang w:val="es-ES"/>
        </w:rPr>
        <w:t>devices</w:t>
      </w:r>
      <w:proofErr w:type="spellEnd"/>
      <w:r w:rsidR="008866A2" w:rsidRPr="0032012B">
        <w:rPr>
          <w:sz w:val="20"/>
          <w:lang w:val="es-ES"/>
        </w:rPr>
        <w:t xml:space="preserve">, </w:t>
      </w:r>
      <w:proofErr w:type="spellStart"/>
      <w:r w:rsidR="008866A2" w:rsidRPr="0032012B">
        <w:rPr>
          <w:sz w:val="20"/>
          <w:lang w:val="es-ES"/>
        </w:rPr>
        <w:t>the</w:t>
      </w:r>
      <w:proofErr w:type="spellEnd"/>
      <w:r w:rsidR="008866A2" w:rsidRPr="0032012B">
        <w:rPr>
          <w:sz w:val="20"/>
          <w:lang w:val="es-ES"/>
        </w:rPr>
        <w:t xml:space="preserve"> visible light </w:t>
      </w:r>
      <w:proofErr w:type="spellStart"/>
      <w:r w:rsidR="008866A2" w:rsidRPr="0032012B">
        <w:rPr>
          <w:sz w:val="20"/>
          <w:lang w:val="es-ES"/>
        </w:rPr>
        <w:t>absorption</w:t>
      </w:r>
      <w:proofErr w:type="spellEnd"/>
      <w:r w:rsidR="008866A2" w:rsidRPr="0032012B">
        <w:rPr>
          <w:sz w:val="20"/>
          <w:lang w:val="es-ES"/>
        </w:rPr>
        <w:t xml:space="preserve"> </w:t>
      </w:r>
      <w:proofErr w:type="spellStart"/>
      <w:r w:rsidR="008866A2" w:rsidRPr="0032012B">
        <w:rPr>
          <w:sz w:val="20"/>
          <w:lang w:val="es-ES"/>
        </w:rPr>
        <w:t>of</w:t>
      </w:r>
      <w:proofErr w:type="spellEnd"/>
      <w:r w:rsidR="008866A2" w:rsidRPr="0032012B">
        <w:rPr>
          <w:sz w:val="20"/>
          <w:lang w:val="es-ES"/>
        </w:rPr>
        <w:t xml:space="preserve"> </w:t>
      </w:r>
      <w:proofErr w:type="spellStart"/>
      <w:r w:rsidR="008866A2" w:rsidRPr="0032012B">
        <w:rPr>
          <w:sz w:val="20"/>
          <w:lang w:val="es-ES"/>
        </w:rPr>
        <w:t>plasmonic</w:t>
      </w:r>
      <w:proofErr w:type="spellEnd"/>
      <w:r w:rsidR="008866A2" w:rsidRPr="0032012B">
        <w:rPr>
          <w:sz w:val="20"/>
          <w:lang w:val="es-ES"/>
        </w:rPr>
        <w:t xml:space="preserve"> </w:t>
      </w:r>
      <w:proofErr w:type="spellStart"/>
      <w:r w:rsidR="008866A2" w:rsidRPr="0032012B">
        <w:rPr>
          <w:sz w:val="20"/>
          <w:lang w:val="es-ES"/>
        </w:rPr>
        <w:t>allows</w:t>
      </w:r>
      <w:proofErr w:type="spellEnd"/>
      <w:r w:rsidR="008866A2" w:rsidRPr="0032012B">
        <w:rPr>
          <w:sz w:val="20"/>
          <w:lang w:val="es-ES"/>
        </w:rPr>
        <w:t xml:space="preserve"> </w:t>
      </w:r>
      <w:proofErr w:type="spellStart"/>
      <w:r w:rsidR="008866A2" w:rsidRPr="0032012B">
        <w:rPr>
          <w:sz w:val="20"/>
          <w:lang w:val="es-ES"/>
        </w:rPr>
        <w:t>the</w:t>
      </w:r>
      <w:proofErr w:type="spellEnd"/>
      <w:r w:rsidR="008866A2" w:rsidRPr="0032012B">
        <w:rPr>
          <w:sz w:val="20"/>
          <w:lang w:val="es-ES"/>
        </w:rPr>
        <w:t xml:space="preserve"> </w:t>
      </w:r>
      <w:proofErr w:type="spellStart"/>
      <w:r w:rsidR="008866A2" w:rsidRPr="0032012B">
        <w:rPr>
          <w:sz w:val="20"/>
          <w:lang w:val="es-ES"/>
        </w:rPr>
        <w:t>injection</w:t>
      </w:r>
      <w:proofErr w:type="spellEnd"/>
      <w:r w:rsidR="008866A2" w:rsidRPr="0032012B">
        <w:rPr>
          <w:sz w:val="20"/>
          <w:lang w:val="es-ES"/>
        </w:rPr>
        <w:t xml:space="preserve"> </w:t>
      </w:r>
      <w:proofErr w:type="spellStart"/>
      <w:r w:rsidR="008866A2" w:rsidRPr="0032012B">
        <w:rPr>
          <w:sz w:val="20"/>
          <w:lang w:val="es-ES"/>
        </w:rPr>
        <w:t>of</w:t>
      </w:r>
      <w:proofErr w:type="spellEnd"/>
      <w:r w:rsidR="008866A2" w:rsidRPr="0032012B">
        <w:rPr>
          <w:sz w:val="20"/>
          <w:lang w:val="es-ES"/>
        </w:rPr>
        <w:t xml:space="preserve"> </w:t>
      </w:r>
      <w:proofErr w:type="spellStart"/>
      <w:r w:rsidR="008866A2" w:rsidRPr="0032012B">
        <w:rPr>
          <w:sz w:val="20"/>
          <w:lang w:val="es-ES"/>
        </w:rPr>
        <w:t>their</w:t>
      </w:r>
      <w:proofErr w:type="spellEnd"/>
      <w:r w:rsidR="008866A2" w:rsidRPr="0032012B">
        <w:rPr>
          <w:sz w:val="20"/>
          <w:lang w:val="es-ES"/>
        </w:rPr>
        <w:t xml:space="preserve"> </w:t>
      </w:r>
      <w:proofErr w:type="spellStart"/>
      <w:r w:rsidR="008866A2" w:rsidRPr="0032012B">
        <w:rPr>
          <w:sz w:val="20"/>
          <w:lang w:val="es-ES"/>
        </w:rPr>
        <w:t>photoactivated</w:t>
      </w:r>
      <w:proofErr w:type="spellEnd"/>
      <w:r w:rsidR="008866A2" w:rsidRPr="0032012B">
        <w:rPr>
          <w:sz w:val="20"/>
          <w:lang w:val="es-ES"/>
        </w:rPr>
        <w:t xml:space="preserve"> </w:t>
      </w:r>
      <w:proofErr w:type="spellStart"/>
      <w:r w:rsidR="008866A2" w:rsidRPr="0032012B">
        <w:rPr>
          <w:sz w:val="20"/>
          <w:lang w:val="es-ES"/>
        </w:rPr>
        <w:t>electrons</w:t>
      </w:r>
      <w:proofErr w:type="spellEnd"/>
      <w:r w:rsidR="0032012B">
        <w:rPr>
          <w:sz w:val="20"/>
          <w:lang w:val="es-ES"/>
        </w:rPr>
        <w:t xml:space="preserve"> </w:t>
      </w:r>
      <w:proofErr w:type="spellStart"/>
      <w:r w:rsidR="008866A2" w:rsidRPr="0032012B">
        <w:rPr>
          <w:sz w:val="20"/>
          <w:lang w:val="es-ES"/>
        </w:rPr>
        <w:t>into</w:t>
      </w:r>
      <w:proofErr w:type="spellEnd"/>
      <w:r w:rsidR="008866A2" w:rsidRPr="0032012B">
        <w:rPr>
          <w:sz w:val="20"/>
          <w:lang w:val="es-ES"/>
        </w:rPr>
        <w:t xml:space="preserve"> </w:t>
      </w:r>
      <w:proofErr w:type="spellStart"/>
      <w:r w:rsidR="008866A2" w:rsidRPr="0032012B">
        <w:rPr>
          <w:sz w:val="20"/>
          <w:lang w:val="es-ES"/>
        </w:rPr>
        <w:t>the</w:t>
      </w:r>
      <w:proofErr w:type="spellEnd"/>
      <w:r w:rsidR="008866A2" w:rsidRPr="0032012B">
        <w:rPr>
          <w:sz w:val="20"/>
          <w:lang w:val="es-ES"/>
        </w:rPr>
        <w:t xml:space="preserve"> semiconductor </w:t>
      </w:r>
      <w:proofErr w:type="spellStart"/>
      <w:r w:rsidR="006A0811">
        <w:rPr>
          <w:sz w:val="20"/>
          <w:lang w:val="es-ES"/>
        </w:rPr>
        <w:t>c</w:t>
      </w:r>
      <w:r w:rsidR="008866A2" w:rsidRPr="0032012B">
        <w:rPr>
          <w:sz w:val="20"/>
          <w:lang w:val="es-ES"/>
        </w:rPr>
        <w:t>onduction</w:t>
      </w:r>
      <w:proofErr w:type="spellEnd"/>
      <w:r w:rsidR="008866A2" w:rsidRPr="0032012B">
        <w:rPr>
          <w:sz w:val="20"/>
          <w:lang w:val="es-ES"/>
        </w:rPr>
        <w:t xml:space="preserve"> </w:t>
      </w:r>
      <w:r w:rsidR="006A0811">
        <w:rPr>
          <w:sz w:val="20"/>
          <w:lang w:val="es-ES"/>
        </w:rPr>
        <w:t>b</w:t>
      </w:r>
      <w:r w:rsidR="008866A2" w:rsidRPr="0032012B">
        <w:rPr>
          <w:sz w:val="20"/>
          <w:lang w:val="es-ES"/>
        </w:rPr>
        <w:t xml:space="preserve">and, </w:t>
      </w:r>
      <w:proofErr w:type="spellStart"/>
      <w:r w:rsidR="008866A2" w:rsidRPr="0032012B">
        <w:rPr>
          <w:sz w:val="20"/>
          <w:lang w:val="es-ES"/>
        </w:rPr>
        <w:t>creating</w:t>
      </w:r>
      <w:proofErr w:type="spellEnd"/>
      <w:r w:rsidR="008866A2" w:rsidRPr="0032012B">
        <w:rPr>
          <w:sz w:val="20"/>
          <w:lang w:val="es-ES"/>
        </w:rPr>
        <w:t xml:space="preserve"> a </w:t>
      </w:r>
      <w:proofErr w:type="spellStart"/>
      <w:r w:rsidR="008866A2" w:rsidRPr="0032012B">
        <w:rPr>
          <w:sz w:val="20"/>
          <w:lang w:val="es-ES"/>
        </w:rPr>
        <w:t>charge</w:t>
      </w:r>
      <w:proofErr w:type="spellEnd"/>
      <w:r w:rsidR="008866A2" w:rsidRPr="0032012B">
        <w:rPr>
          <w:sz w:val="20"/>
          <w:lang w:val="es-ES"/>
        </w:rPr>
        <w:t xml:space="preserve"> </w:t>
      </w:r>
      <w:proofErr w:type="spellStart"/>
      <w:r w:rsidR="008866A2" w:rsidRPr="0032012B">
        <w:rPr>
          <w:sz w:val="20"/>
          <w:lang w:val="es-ES"/>
        </w:rPr>
        <w:t>separation</w:t>
      </w:r>
      <w:proofErr w:type="spellEnd"/>
      <w:r w:rsidR="008866A2" w:rsidRPr="0032012B">
        <w:rPr>
          <w:sz w:val="20"/>
          <w:lang w:val="es-ES"/>
        </w:rPr>
        <w:t xml:space="preserve"> </w:t>
      </w:r>
      <w:proofErr w:type="spellStart"/>
      <w:r w:rsidR="008866A2" w:rsidRPr="0032012B">
        <w:rPr>
          <w:sz w:val="20"/>
          <w:lang w:val="es-ES"/>
        </w:rPr>
        <w:t>that</w:t>
      </w:r>
      <w:proofErr w:type="spellEnd"/>
      <w:r w:rsidR="008866A2" w:rsidRPr="0032012B">
        <w:rPr>
          <w:sz w:val="20"/>
          <w:lang w:val="es-ES"/>
        </w:rPr>
        <w:t xml:space="preserve"> </w:t>
      </w:r>
      <w:proofErr w:type="spellStart"/>
      <w:r w:rsidR="008866A2" w:rsidRPr="0032012B">
        <w:rPr>
          <w:sz w:val="20"/>
          <w:lang w:val="es-ES"/>
        </w:rPr>
        <w:t>facilitates</w:t>
      </w:r>
      <w:proofErr w:type="spellEnd"/>
      <w:r w:rsidR="008866A2" w:rsidRPr="0032012B">
        <w:rPr>
          <w:sz w:val="20"/>
          <w:lang w:val="es-ES"/>
        </w:rPr>
        <w:t xml:space="preserve"> </w:t>
      </w:r>
      <w:proofErr w:type="spellStart"/>
      <w:r w:rsidR="0032012B">
        <w:rPr>
          <w:sz w:val="20"/>
          <w:lang w:val="es-ES"/>
        </w:rPr>
        <w:t>the</w:t>
      </w:r>
      <w:proofErr w:type="spellEnd"/>
      <w:r w:rsidR="008866A2" w:rsidRPr="0032012B">
        <w:rPr>
          <w:sz w:val="20"/>
          <w:lang w:val="es-ES"/>
        </w:rPr>
        <w:t xml:space="preserve"> </w:t>
      </w:r>
      <w:r w:rsidR="0032012B">
        <w:rPr>
          <w:sz w:val="20"/>
          <w:lang w:val="es-ES"/>
        </w:rPr>
        <w:t xml:space="preserve">Red-Ox </w:t>
      </w:r>
      <w:proofErr w:type="spellStart"/>
      <w:r w:rsidR="0032012B">
        <w:rPr>
          <w:sz w:val="20"/>
          <w:lang w:val="es-ES"/>
        </w:rPr>
        <w:t>process</w:t>
      </w:r>
      <w:proofErr w:type="spellEnd"/>
      <w:r w:rsidR="0032012B">
        <w:rPr>
          <w:sz w:val="20"/>
          <w:lang w:val="es-ES"/>
        </w:rPr>
        <w:t>.</w:t>
      </w:r>
      <w:r w:rsidR="00C60748">
        <w:rPr>
          <w:sz w:val="20"/>
          <w:lang w:val="es-ES"/>
        </w:rPr>
        <w:t>[</w:t>
      </w:r>
      <w:r w:rsidR="00E96EC8">
        <w:rPr>
          <w:sz w:val="20"/>
          <w:lang w:val="es-ES"/>
        </w:rPr>
        <w:t>4</w:t>
      </w:r>
      <w:r w:rsidR="00C60748" w:rsidRPr="00C60748">
        <w:rPr>
          <w:sz w:val="20"/>
          <w:lang w:val="es-ES"/>
        </w:rPr>
        <w:t>]</w:t>
      </w:r>
      <w:r w:rsidR="0054592A">
        <w:rPr>
          <w:sz w:val="20"/>
          <w:lang w:val="es-ES"/>
        </w:rPr>
        <w:t xml:space="preserve"> </w:t>
      </w:r>
      <w:proofErr w:type="spellStart"/>
      <w:r w:rsidR="0032012B" w:rsidRPr="00C60748">
        <w:rPr>
          <w:sz w:val="20"/>
          <w:lang w:val="es-ES"/>
        </w:rPr>
        <w:t>The</w:t>
      </w:r>
      <w:proofErr w:type="spellEnd"/>
      <w:r w:rsidR="0032012B" w:rsidRPr="00C60748">
        <w:rPr>
          <w:sz w:val="20"/>
          <w:lang w:val="es-ES"/>
        </w:rPr>
        <w:t xml:space="preserve"> </w:t>
      </w:r>
      <w:proofErr w:type="spellStart"/>
      <w:r w:rsidR="0032012B" w:rsidRPr="00C60748">
        <w:rPr>
          <w:sz w:val="20"/>
          <w:lang w:val="es-ES"/>
        </w:rPr>
        <w:t>magnetron</w:t>
      </w:r>
      <w:proofErr w:type="spellEnd"/>
      <w:r w:rsidR="0032012B" w:rsidRPr="00C60748">
        <w:rPr>
          <w:sz w:val="20"/>
          <w:lang w:val="es-ES"/>
        </w:rPr>
        <w:t xml:space="preserve"> </w:t>
      </w:r>
      <w:proofErr w:type="spellStart"/>
      <w:r w:rsidR="0032012B" w:rsidRPr="00C60748">
        <w:rPr>
          <w:sz w:val="20"/>
          <w:lang w:val="es-ES"/>
        </w:rPr>
        <w:t>sputtering</w:t>
      </w:r>
      <w:proofErr w:type="spellEnd"/>
      <w:r w:rsidR="0032012B" w:rsidRPr="00C60748">
        <w:rPr>
          <w:sz w:val="20"/>
          <w:lang w:val="es-ES"/>
        </w:rPr>
        <w:t xml:space="preserve"> </w:t>
      </w:r>
      <w:proofErr w:type="spellStart"/>
      <w:r w:rsidR="0032012B" w:rsidRPr="00C60748">
        <w:rPr>
          <w:sz w:val="20"/>
          <w:lang w:val="es-ES"/>
        </w:rPr>
        <w:t>offers</w:t>
      </w:r>
      <w:proofErr w:type="spellEnd"/>
      <w:r w:rsidR="0032012B" w:rsidRPr="00C60748">
        <w:rPr>
          <w:sz w:val="20"/>
          <w:lang w:val="es-ES"/>
        </w:rPr>
        <w:t xml:space="preserve"> </w:t>
      </w:r>
      <w:proofErr w:type="spellStart"/>
      <w:r w:rsidR="0032012B" w:rsidRPr="00C60748">
        <w:rPr>
          <w:sz w:val="20"/>
          <w:lang w:val="es-ES"/>
        </w:rPr>
        <w:t>exciting</w:t>
      </w:r>
      <w:proofErr w:type="spellEnd"/>
      <w:r w:rsidR="0032012B" w:rsidRPr="00C60748">
        <w:rPr>
          <w:sz w:val="20"/>
          <w:lang w:val="es-ES"/>
        </w:rPr>
        <w:t xml:space="preserve"> new </w:t>
      </w:r>
      <w:proofErr w:type="spellStart"/>
      <w:r w:rsidR="0032012B" w:rsidRPr="00C60748">
        <w:rPr>
          <w:sz w:val="20"/>
          <w:lang w:val="es-ES"/>
        </w:rPr>
        <w:t>opportunities</w:t>
      </w:r>
      <w:proofErr w:type="spellEnd"/>
      <w:r w:rsidR="0032012B" w:rsidRPr="00C60748">
        <w:rPr>
          <w:sz w:val="20"/>
          <w:lang w:val="es-ES"/>
        </w:rPr>
        <w:t xml:space="preserve"> </w:t>
      </w:r>
      <w:proofErr w:type="spellStart"/>
      <w:r w:rsidR="0032012B" w:rsidRPr="00C60748">
        <w:rPr>
          <w:sz w:val="20"/>
          <w:lang w:val="es-ES"/>
        </w:rPr>
        <w:t>for</w:t>
      </w:r>
      <w:proofErr w:type="spellEnd"/>
      <w:r w:rsidR="0032012B" w:rsidRPr="00C60748">
        <w:rPr>
          <w:sz w:val="20"/>
          <w:lang w:val="es-ES"/>
        </w:rPr>
        <w:t xml:space="preserve"> </w:t>
      </w:r>
      <w:proofErr w:type="spellStart"/>
      <w:r w:rsidR="009E5DB5">
        <w:rPr>
          <w:sz w:val="20"/>
          <w:lang w:val="es-ES"/>
        </w:rPr>
        <w:t>manufacturing</w:t>
      </w:r>
      <w:proofErr w:type="spellEnd"/>
      <w:r w:rsidR="0032012B" w:rsidRPr="00C60748">
        <w:rPr>
          <w:sz w:val="20"/>
          <w:lang w:val="es-ES"/>
        </w:rPr>
        <w:t xml:space="preserve"> </w:t>
      </w:r>
      <w:proofErr w:type="spellStart"/>
      <w:r w:rsidR="0032012B" w:rsidRPr="00C60748">
        <w:rPr>
          <w:sz w:val="20"/>
          <w:lang w:val="es-ES"/>
        </w:rPr>
        <w:t>supported</w:t>
      </w:r>
      <w:proofErr w:type="spellEnd"/>
      <w:r w:rsidR="0032012B" w:rsidRPr="00C60748">
        <w:rPr>
          <w:sz w:val="20"/>
          <w:lang w:val="es-ES"/>
        </w:rPr>
        <w:t xml:space="preserve"> </w:t>
      </w:r>
      <w:proofErr w:type="spellStart"/>
      <w:r w:rsidR="0032012B" w:rsidRPr="00C60748">
        <w:rPr>
          <w:sz w:val="20"/>
          <w:lang w:val="es-ES"/>
        </w:rPr>
        <w:t>MNPs</w:t>
      </w:r>
      <w:proofErr w:type="spellEnd"/>
      <w:r w:rsidR="0032012B" w:rsidRPr="00C60748">
        <w:rPr>
          <w:sz w:val="20"/>
          <w:lang w:val="es-ES"/>
        </w:rPr>
        <w:t xml:space="preserve"> </w:t>
      </w:r>
      <w:proofErr w:type="spellStart"/>
      <w:r w:rsidR="0032012B" w:rsidRPr="00C60748">
        <w:rPr>
          <w:sz w:val="20"/>
          <w:lang w:val="es-ES"/>
        </w:rPr>
        <w:t>since</w:t>
      </w:r>
      <w:proofErr w:type="spellEnd"/>
      <w:r w:rsidR="0032012B" w:rsidRPr="00C60748">
        <w:rPr>
          <w:sz w:val="20"/>
          <w:lang w:val="es-ES"/>
        </w:rPr>
        <w:t xml:space="preserve"> </w:t>
      </w:r>
      <w:proofErr w:type="spellStart"/>
      <w:r w:rsidR="0032012B" w:rsidRPr="00C60748">
        <w:rPr>
          <w:sz w:val="20"/>
          <w:lang w:val="es-ES"/>
        </w:rPr>
        <w:t>it</w:t>
      </w:r>
      <w:proofErr w:type="spellEnd"/>
      <w:r w:rsidR="0032012B" w:rsidRPr="00C60748">
        <w:rPr>
          <w:sz w:val="20"/>
          <w:lang w:val="es-ES"/>
        </w:rPr>
        <w:t xml:space="preserve"> </w:t>
      </w:r>
      <w:proofErr w:type="spellStart"/>
      <w:r w:rsidR="0032012B" w:rsidRPr="00C60748">
        <w:rPr>
          <w:sz w:val="20"/>
          <w:lang w:val="es-ES"/>
        </w:rPr>
        <w:t>usually</w:t>
      </w:r>
      <w:proofErr w:type="spellEnd"/>
      <w:r w:rsidR="0032012B" w:rsidRPr="00C60748">
        <w:rPr>
          <w:sz w:val="20"/>
          <w:lang w:val="es-ES"/>
        </w:rPr>
        <w:t xml:space="preserve"> </w:t>
      </w:r>
      <w:proofErr w:type="spellStart"/>
      <w:r w:rsidR="0032012B" w:rsidRPr="00C60748">
        <w:rPr>
          <w:sz w:val="20"/>
          <w:lang w:val="es-ES"/>
        </w:rPr>
        <w:t>generates</w:t>
      </w:r>
      <w:proofErr w:type="spellEnd"/>
      <w:r w:rsidR="0032012B" w:rsidRPr="00C60748">
        <w:rPr>
          <w:sz w:val="20"/>
          <w:lang w:val="es-ES"/>
        </w:rPr>
        <w:t xml:space="preserve"> </w:t>
      </w:r>
      <w:proofErr w:type="spellStart"/>
      <w:r w:rsidR="0032012B" w:rsidRPr="00C60748">
        <w:rPr>
          <w:sz w:val="20"/>
          <w:lang w:val="es-ES"/>
        </w:rPr>
        <w:t>highly</w:t>
      </w:r>
      <w:proofErr w:type="spellEnd"/>
      <w:r w:rsidR="0032012B" w:rsidRPr="00C60748">
        <w:rPr>
          <w:sz w:val="20"/>
          <w:lang w:val="es-ES"/>
        </w:rPr>
        <w:t xml:space="preserve"> active </w:t>
      </w:r>
      <w:proofErr w:type="spellStart"/>
      <w:r w:rsidR="0032012B" w:rsidRPr="00C60748">
        <w:rPr>
          <w:sz w:val="20"/>
          <w:lang w:val="es-ES"/>
        </w:rPr>
        <w:t>clean</w:t>
      </w:r>
      <w:proofErr w:type="spellEnd"/>
      <w:r w:rsidR="0032012B" w:rsidRPr="00C60748">
        <w:rPr>
          <w:sz w:val="20"/>
          <w:lang w:val="es-ES"/>
        </w:rPr>
        <w:t xml:space="preserve"> </w:t>
      </w:r>
      <w:proofErr w:type="spellStart"/>
      <w:r w:rsidR="0032012B" w:rsidRPr="00C60748">
        <w:rPr>
          <w:sz w:val="20"/>
          <w:lang w:val="es-ES"/>
        </w:rPr>
        <w:t>surfaces</w:t>
      </w:r>
      <w:proofErr w:type="spellEnd"/>
      <w:r w:rsidR="0032012B" w:rsidRPr="00C60748">
        <w:rPr>
          <w:sz w:val="20"/>
          <w:lang w:val="es-ES"/>
        </w:rPr>
        <w:t xml:space="preserve"> </w:t>
      </w:r>
      <w:proofErr w:type="spellStart"/>
      <w:r w:rsidR="009E5DB5">
        <w:rPr>
          <w:sz w:val="20"/>
          <w:lang w:val="es-ES"/>
        </w:rPr>
        <w:t>without</w:t>
      </w:r>
      <w:proofErr w:type="spellEnd"/>
      <w:r w:rsidR="0032012B" w:rsidRPr="00C60748">
        <w:rPr>
          <w:sz w:val="20"/>
          <w:lang w:val="es-ES"/>
        </w:rPr>
        <w:t xml:space="preserve"> </w:t>
      </w:r>
      <w:proofErr w:type="spellStart"/>
      <w:r w:rsidR="0032012B" w:rsidRPr="00C60748">
        <w:rPr>
          <w:sz w:val="20"/>
          <w:lang w:val="es-ES"/>
        </w:rPr>
        <w:t>chemical</w:t>
      </w:r>
      <w:proofErr w:type="spellEnd"/>
      <w:r w:rsidR="0032012B" w:rsidRPr="00C60748">
        <w:rPr>
          <w:sz w:val="20"/>
          <w:lang w:val="es-ES"/>
        </w:rPr>
        <w:t xml:space="preserve"> </w:t>
      </w:r>
      <w:proofErr w:type="spellStart"/>
      <w:r w:rsidR="0032012B" w:rsidRPr="00C60748">
        <w:rPr>
          <w:sz w:val="20"/>
          <w:lang w:val="es-ES"/>
        </w:rPr>
        <w:t>stabilizers</w:t>
      </w:r>
      <w:proofErr w:type="spellEnd"/>
      <w:r w:rsidR="0032012B" w:rsidRPr="00C60748">
        <w:rPr>
          <w:sz w:val="20"/>
          <w:lang w:val="es-ES"/>
        </w:rPr>
        <w:t xml:space="preserve"> and/</w:t>
      </w:r>
      <w:proofErr w:type="spellStart"/>
      <w:r w:rsidR="0032012B" w:rsidRPr="00C60748">
        <w:rPr>
          <w:sz w:val="20"/>
          <w:lang w:val="es-ES"/>
        </w:rPr>
        <w:t>or</w:t>
      </w:r>
      <w:proofErr w:type="spellEnd"/>
      <w:r w:rsidR="0032012B" w:rsidRPr="00C60748">
        <w:rPr>
          <w:sz w:val="20"/>
          <w:lang w:val="es-ES"/>
        </w:rPr>
        <w:t xml:space="preserve"> </w:t>
      </w:r>
      <w:proofErr w:type="spellStart"/>
      <w:r w:rsidR="0032012B" w:rsidRPr="00C60748">
        <w:rPr>
          <w:sz w:val="20"/>
          <w:lang w:val="es-ES"/>
        </w:rPr>
        <w:t>solvents</w:t>
      </w:r>
      <w:proofErr w:type="spellEnd"/>
      <w:r w:rsidR="000F5354">
        <w:rPr>
          <w:sz w:val="20"/>
          <w:lang w:val="es-ES"/>
        </w:rPr>
        <w:t>.</w:t>
      </w:r>
      <w:r w:rsidR="0032012B" w:rsidRPr="00C60748">
        <w:rPr>
          <w:sz w:val="20"/>
          <w:lang w:val="es-ES"/>
        </w:rPr>
        <w:t>[</w:t>
      </w:r>
      <w:r w:rsidR="00E96EC8">
        <w:rPr>
          <w:sz w:val="20"/>
          <w:lang w:val="es-ES"/>
        </w:rPr>
        <w:t>5</w:t>
      </w:r>
      <w:r w:rsidR="003631D6" w:rsidRPr="00C60748">
        <w:rPr>
          <w:sz w:val="20"/>
          <w:lang w:val="es-ES"/>
        </w:rPr>
        <w:t>-</w:t>
      </w:r>
      <w:r w:rsidR="00E96EC8">
        <w:rPr>
          <w:sz w:val="20"/>
          <w:lang w:val="es-ES"/>
        </w:rPr>
        <w:t>7</w:t>
      </w:r>
      <w:r w:rsidR="003631D6" w:rsidRPr="00C60748">
        <w:rPr>
          <w:sz w:val="20"/>
          <w:lang w:val="es-ES"/>
        </w:rPr>
        <w:t>]</w:t>
      </w:r>
      <w:r w:rsidR="006A0811">
        <w:rPr>
          <w:sz w:val="20"/>
          <w:lang w:val="es-ES"/>
        </w:rPr>
        <w:t xml:space="preserve"> </w:t>
      </w:r>
      <w:proofErr w:type="spellStart"/>
      <w:r w:rsidR="000F5354">
        <w:rPr>
          <w:sz w:val="20"/>
          <w:lang w:val="es-ES"/>
        </w:rPr>
        <w:t>Moreover</w:t>
      </w:r>
      <w:proofErr w:type="spellEnd"/>
      <w:r w:rsidR="000F5354">
        <w:rPr>
          <w:sz w:val="20"/>
          <w:lang w:val="es-ES"/>
        </w:rPr>
        <w:t>, e</w:t>
      </w:r>
      <w:proofErr w:type="spellStart"/>
      <w:r w:rsidR="00A51C95" w:rsidRPr="00A51C95">
        <w:rPr>
          <w:color w:val="000000"/>
          <w:sz w:val="20"/>
          <w:szCs w:val="20"/>
          <w:lang w:val="en-GB"/>
        </w:rPr>
        <w:t>mploying</w:t>
      </w:r>
      <w:proofErr w:type="spellEnd"/>
      <w:r w:rsidR="00A51C95" w:rsidRPr="00A51C95">
        <w:rPr>
          <w:color w:val="000000"/>
          <w:sz w:val="20"/>
          <w:szCs w:val="20"/>
          <w:lang w:val="en-GB"/>
        </w:rPr>
        <w:t xml:space="preserve"> ionic liquid</w:t>
      </w:r>
      <w:r w:rsidR="006138E0">
        <w:rPr>
          <w:color w:val="000000"/>
          <w:sz w:val="20"/>
          <w:szCs w:val="20"/>
          <w:lang w:val="en-GB"/>
        </w:rPr>
        <w:t xml:space="preserve"> </w:t>
      </w:r>
      <w:r w:rsidR="00A51C95" w:rsidRPr="00A51C95">
        <w:rPr>
          <w:color w:val="000000"/>
          <w:sz w:val="20"/>
          <w:szCs w:val="20"/>
          <w:lang w:val="en-GB"/>
        </w:rPr>
        <w:t xml:space="preserve">is </w:t>
      </w:r>
      <w:r w:rsidR="000F5354">
        <w:rPr>
          <w:color w:val="000000"/>
          <w:sz w:val="20"/>
          <w:szCs w:val="20"/>
          <w:lang w:val="en-GB"/>
        </w:rPr>
        <w:t>an</w:t>
      </w:r>
      <w:r w:rsidR="00A51C95" w:rsidRPr="00A51C95">
        <w:rPr>
          <w:color w:val="000000"/>
          <w:sz w:val="20"/>
          <w:szCs w:val="20"/>
          <w:lang w:val="en-GB"/>
        </w:rPr>
        <w:t xml:space="preserve"> </w:t>
      </w:r>
      <w:r w:rsidR="00A51C95">
        <w:rPr>
          <w:color w:val="000000"/>
          <w:sz w:val="20"/>
          <w:szCs w:val="20"/>
          <w:lang w:val="en-GB"/>
        </w:rPr>
        <w:t>encouraging method</w:t>
      </w:r>
      <w:r w:rsidR="00A51C95" w:rsidRPr="00A51C95">
        <w:rPr>
          <w:color w:val="000000"/>
          <w:sz w:val="20"/>
          <w:szCs w:val="20"/>
          <w:lang w:val="en-GB"/>
        </w:rPr>
        <w:t xml:space="preserve"> for </w:t>
      </w:r>
      <w:r w:rsidR="00A51C95">
        <w:rPr>
          <w:color w:val="000000"/>
          <w:sz w:val="20"/>
          <w:szCs w:val="20"/>
          <w:lang w:val="en-GB"/>
        </w:rPr>
        <w:t>influencing</w:t>
      </w:r>
      <w:r w:rsidR="00A51C95" w:rsidRPr="00A51C95">
        <w:rPr>
          <w:color w:val="000000"/>
          <w:sz w:val="20"/>
          <w:szCs w:val="20"/>
          <w:lang w:val="en-GB"/>
        </w:rPr>
        <w:t xml:space="preserve"> the physicochemical characteristics of semiconductors </w:t>
      </w:r>
      <w:r w:rsidR="0054592A" w:rsidRPr="0054592A">
        <w:rPr>
          <w:color w:val="000000"/>
          <w:sz w:val="20"/>
          <w:szCs w:val="20"/>
          <w:lang w:val="en-GB"/>
        </w:rPr>
        <w:t xml:space="preserve">via modulation of superficial electronic </w:t>
      </w:r>
      <w:r w:rsidR="009E5DB5" w:rsidRPr="0054592A">
        <w:rPr>
          <w:color w:val="000000"/>
          <w:sz w:val="20"/>
          <w:szCs w:val="20"/>
          <w:lang w:val="en-GB"/>
        </w:rPr>
        <w:t>properties. [</w:t>
      </w:r>
      <w:r w:rsidR="00E96EC8">
        <w:rPr>
          <w:color w:val="000000"/>
          <w:sz w:val="20"/>
          <w:szCs w:val="20"/>
          <w:lang w:val="en-GB"/>
        </w:rPr>
        <w:t>4</w:t>
      </w:r>
      <w:r w:rsidR="009B38F2">
        <w:rPr>
          <w:color w:val="000000"/>
          <w:sz w:val="20"/>
          <w:szCs w:val="20"/>
          <w:lang w:val="en-GB"/>
        </w:rPr>
        <w:t>,</w:t>
      </w:r>
      <w:r w:rsidR="00E96EC8">
        <w:rPr>
          <w:color w:val="000000"/>
          <w:sz w:val="20"/>
          <w:szCs w:val="20"/>
          <w:lang w:val="en-GB"/>
        </w:rPr>
        <w:t>8</w:t>
      </w:r>
      <w:r w:rsidR="0054592A" w:rsidRPr="0054592A">
        <w:rPr>
          <w:color w:val="000000"/>
          <w:sz w:val="20"/>
          <w:szCs w:val="20"/>
          <w:lang w:val="en-GB"/>
        </w:rPr>
        <w:t>]</w:t>
      </w:r>
      <w:r w:rsidR="0054592A">
        <w:rPr>
          <w:color w:val="000000"/>
          <w:sz w:val="20"/>
          <w:szCs w:val="20"/>
          <w:lang w:val="en-GB"/>
        </w:rPr>
        <w:t xml:space="preserve"> </w:t>
      </w:r>
      <w:r w:rsidR="00C60748" w:rsidRPr="00C60748">
        <w:rPr>
          <w:color w:val="000000"/>
          <w:sz w:val="20"/>
          <w:szCs w:val="20"/>
          <w:lang w:val="en-GB"/>
        </w:rPr>
        <w:t xml:space="preserve">In this work, </w:t>
      </w:r>
      <w:r w:rsidR="00C60748" w:rsidRPr="004C6CCC">
        <w:rPr>
          <w:color w:val="000000"/>
          <w:sz w:val="20"/>
          <w:szCs w:val="20"/>
          <w:lang w:val="en-GB"/>
        </w:rPr>
        <w:t xml:space="preserve">we </w:t>
      </w:r>
      <w:r w:rsidR="002C1452">
        <w:rPr>
          <w:color w:val="000000"/>
          <w:sz w:val="20"/>
          <w:szCs w:val="20"/>
          <w:lang w:val="en-GB"/>
        </w:rPr>
        <w:t xml:space="preserve">present the preliminary results on </w:t>
      </w:r>
      <w:r w:rsidR="00C60748" w:rsidRPr="004C6CCC">
        <w:rPr>
          <w:color w:val="000000"/>
          <w:sz w:val="20"/>
          <w:szCs w:val="20"/>
          <w:lang w:val="en-GB"/>
        </w:rPr>
        <w:t xml:space="preserve">the </w:t>
      </w:r>
      <w:r w:rsidR="00C60748">
        <w:rPr>
          <w:color w:val="000000"/>
          <w:sz w:val="20"/>
          <w:szCs w:val="20"/>
          <w:lang w:val="en-GB"/>
        </w:rPr>
        <w:t xml:space="preserve">performance </w:t>
      </w:r>
      <w:r w:rsidR="00C60748" w:rsidRPr="00C60748">
        <w:rPr>
          <w:color w:val="000000"/>
          <w:sz w:val="20"/>
          <w:szCs w:val="20"/>
          <w:lang w:val="en-GB"/>
        </w:rPr>
        <w:t xml:space="preserve">of </w:t>
      </w:r>
      <w:r w:rsidR="006A0811" w:rsidRPr="00C60748">
        <w:rPr>
          <w:color w:val="000000"/>
          <w:sz w:val="20"/>
          <w:szCs w:val="20"/>
          <w:lang w:val="en-GB"/>
        </w:rPr>
        <w:t xml:space="preserve">IL@Au@TiO2 </w:t>
      </w:r>
      <w:r w:rsidR="006A0811">
        <w:rPr>
          <w:color w:val="000000"/>
          <w:sz w:val="20"/>
          <w:szCs w:val="20"/>
          <w:lang w:val="en-GB"/>
        </w:rPr>
        <w:t xml:space="preserve">type </w:t>
      </w:r>
      <w:r w:rsidR="00C60748" w:rsidRPr="00C60748">
        <w:rPr>
          <w:color w:val="000000"/>
          <w:sz w:val="20"/>
          <w:szCs w:val="20"/>
          <w:lang w:val="en-GB"/>
        </w:rPr>
        <w:t>hybrid system</w:t>
      </w:r>
      <w:r w:rsidR="00C60748">
        <w:rPr>
          <w:color w:val="000000"/>
          <w:sz w:val="20"/>
          <w:szCs w:val="20"/>
          <w:lang w:val="en-GB"/>
        </w:rPr>
        <w:t xml:space="preserve">s </w:t>
      </w:r>
      <w:r w:rsidR="00C60748" w:rsidRPr="00C60748">
        <w:rPr>
          <w:color w:val="000000"/>
          <w:sz w:val="20"/>
          <w:szCs w:val="20"/>
          <w:lang w:val="en-GB"/>
        </w:rPr>
        <w:t>as</w:t>
      </w:r>
      <w:r w:rsidR="00C60748">
        <w:rPr>
          <w:color w:val="000000"/>
          <w:sz w:val="20"/>
          <w:szCs w:val="20"/>
          <w:lang w:val="en-GB"/>
        </w:rPr>
        <w:t xml:space="preserve"> </w:t>
      </w:r>
      <w:r w:rsidR="002C1452">
        <w:rPr>
          <w:color w:val="000000"/>
          <w:sz w:val="20"/>
          <w:szCs w:val="20"/>
          <w:lang w:val="en-GB"/>
        </w:rPr>
        <w:t xml:space="preserve">promising </w:t>
      </w:r>
      <w:r w:rsidR="00C60748" w:rsidRPr="00C60748">
        <w:rPr>
          <w:color w:val="000000"/>
          <w:sz w:val="20"/>
          <w:szCs w:val="20"/>
          <w:lang w:val="en-GB"/>
        </w:rPr>
        <w:t>system</w:t>
      </w:r>
      <w:r w:rsidR="002C1452">
        <w:rPr>
          <w:color w:val="000000"/>
          <w:sz w:val="20"/>
          <w:szCs w:val="20"/>
          <w:lang w:val="en-GB"/>
        </w:rPr>
        <w:t>s</w:t>
      </w:r>
      <w:r w:rsidR="00C60748" w:rsidRPr="004C6CCC">
        <w:rPr>
          <w:color w:val="000000"/>
          <w:sz w:val="20"/>
          <w:szCs w:val="20"/>
          <w:lang w:val="en-GB"/>
        </w:rPr>
        <w:t xml:space="preserve"> for HERs </w:t>
      </w:r>
      <w:r w:rsidR="002C1452" w:rsidRPr="00C60748">
        <w:rPr>
          <w:color w:val="000000"/>
          <w:sz w:val="20"/>
          <w:szCs w:val="20"/>
          <w:lang w:val="en-GB"/>
        </w:rPr>
        <w:t>via</w:t>
      </w:r>
      <w:r w:rsidR="006A0811">
        <w:rPr>
          <w:color w:val="000000"/>
          <w:sz w:val="20"/>
          <w:szCs w:val="20"/>
          <w:lang w:val="en-GB"/>
        </w:rPr>
        <w:t xml:space="preserve"> </w:t>
      </w:r>
      <w:r w:rsidR="002C1452" w:rsidRPr="00C60748">
        <w:rPr>
          <w:color w:val="000000"/>
          <w:sz w:val="20"/>
          <w:szCs w:val="20"/>
          <w:lang w:val="en-GB"/>
        </w:rPr>
        <w:t>photocatalytic W</w:t>
      </w:r>
      <w:r w:rsidR="009E5DB5">
        <w:rPr>
          <w:color w:val="000000"/>
          <w:sz w:val="20"/>
          <w:szCs w:val="20"/>
          <w:lang w:val="en-GB"/>
        </w:rPr>
        <w:t>SR</w:t>
      </w:r>
      <w:r w:rsidR="009B38F2">
        <w:rPr>
          <w:color w:val="000000"/>
          <w:sz w:val="20"/>
          <w:szCs w:val="20"/>
          <w:lang w:val="en-GB"/>
        </w:rPr>
        <w:t xml:space="preserve"> and OPR</w:t>
      </w:r>
      <w:r w:rsidR="000F5354">
        <w:rPr>
          <w:color w:val="000000"/>
          <w:sz w:val="20"/>
          <w:szCs w:val="20"/>
          <w:lang w:val="en-GB"/>
        </w:rPr>
        <w:t>.</w:t>
      </w:r>
    </w:p>
    <w:p w14:paraId="52FFAC79" w14:textId="77777777" w:rsidR="00EA4E1B" w:rsidRPr="00DC525B" w:rsidRDefault="00EA4E1B" w:rsidP="00EA4E1B">
      <w:pPr>
        <w:pStyle w:val="Ttulo2"/>
        <w:rPr>
          <w:rFonts w:ascii="Helvetica" w:hAnsi="Helvetica" w:cs="Helvetica"/>
          <w:sz w:val="24"/>
          <w:szCs w:val="24"/>
          <w:lang w:val="en-GB"/>
        </w:rPr>
      </w:pPr>
      <w:r w:rsidRPr="00DC525B">
        <w:rPr>
          <w:rFonts w:ascii="Helvetica" w:hAnsi="Helvetica" w:cs="Helvetica"/>
          <w:sz w:val="24"/>
          <w:szCs w:val="24"/>
          <w:lang w:val="en-GB"/>
        </w:rPr>
        <w:t>Experimental</w:t>
      </w:r>
    </w:p>
    <w:p w14:paraId="2896795D" w14:textId="6B795E6C" w:rsidR="004C6CCC" w:rsidRPr="00460FA6" w:rsidRDefault="004C6CCC" w:rsidP="004C6CCC">
      <w:pPr>
        <w:pStyle w:val="TAMainText"/>
        <w:ind w:firstLine="0"/>
        <w:rPr>
          <w:rFonts w:ascii="Times New Roman" w:hAnsi="Times New Roman"/>
          <w:i/>
          <w:lang w:val="en-GB"/>
        </w:rPr>
      </w:pPr>
      <w:r w:rsidRPr="00DC525B">
        <w:rPr>
          <w:rFonts w:ascii="Times New Roman" w:hAnsi="Times New Roman"/>
          <w:lang w:val="en-GB"/>
        </w:rPr>
        <w:t>All manipulations were conducted at atmospheric conditions</w:t>
      </w:r>
      <w:r w:rsidR="002B1149">
        <w:rPr>
          <w:rFonts w:ascii="Times New Roman" w:hAnsi="Times New Roman"/>
          <w:lang w:val="en-GB"/>
        </w:rPr>
        <w:t>,</w:t>
      </w:r>
      <w:r w:rsidR="006138E0">
        <w:rPr>
          <w:rFonts w:ascii="Times New Roman" w:hAnsi="Times New Roman"/>
          <w:lang w:val="en-GB"/>
        </w:rPr>
        <w:t xml:space="preserve"> and </w:t>
      </w:r>
      <w:r w:rsidR="002C1452">
        <w:rPr>
          <w:rFonts w:ascii="Times New Roman" w:hAnsi="Times New Roman"/>
          <w:lang w:val="en-GB"/>
        </w:rPr>
        <w:t xml:space="preserve">all </w:t>
      </w:r>
      <w:r w:rsidRPr="00DC525B">
        <w:rPr>
          <w:rFonts w:ascii="Times New Roman" w:hAnsi="Times New Roman"/>
          <w:lang w:val="en-GB"/>
        </w:rPr>
        <w:t>reagent</w:t>
      </w:r>
      <w:r w:rsidR="002C1452">
        <w:rPr>
          <w:rFonts w:ascii="Times New Roman" w:hAnsi="Times New Roman"/>
          <w:lang w:val="en-GB"/>
        </w:rPr>
        <w:t xml:space="preserve">s </w:t>
      </w:r>
      <w:r w:rsidR="0054592A">
        <w:rPr>
          <w:rFonts w:ascii="Times New Roman" w:hAnsi="Times New Roman"/>
          <w:lang w:val="en-GB"/>
        </w:rPr>
        <w:t xml:space="preserve">were </w:t>
      </w:r>
      <w:r w:rsidRPr="00DC525B">
        <w:rPr>
          <w:rFonts w:ascii="Times New Roman" w:hAnsi="Times New Roman"/>
          <w:lang w:val="en-GB"/>
        </w:rPr>
        <w:t>used</w:t>
      </w:r>
      <w:r w:rsidR="006138E0">
        <w:rPr>
          <w:rFonts w:ascii="Times New Roman" w:hAnsi="Times New Roman"/>
          <w:lang w:val="en-GB"/>
        </w:rPr>
        <w:t xml:space="preserve"> as received. </w:t>
      </w:r>
      <w:r w:rsidRPr="00DC525B">
        <w:rPr>
          <w:rFonts w:ascii="Times New Roman" w:hAnsi="Times New Roman"/>
          <w:lang w:val="en-GB"/>
        </w:rPr>
        <w:t xml:space="preserve">The </w:t>
      </w:r>
      <w:r w:rsidR="00740CE0" w:rsidRPr="00DC525B">
        <w:rPr>
          <w:rFonts w:ascii="Times New Roman" w:hAnsi="Times New Roman"/>
          <w:lang w:val="en-GB"/>
        </w:rPr>
        <w:t>M</w:t>
      </w:r>
      <w:r w:rsidRPr="00DC525B">
        <w:rPr>
          <w:rFonts w:ascii="Times New Roman" w:hAnsi="Times New Roman"/>
          <w:lang w:val="en-GB"/>
        </w:rPr>
        <w:t xml:space="preserve">NPs were produced by depositing </w:t>
      </w:r>
      <w:r w:rsidR="0057236A">
        <w:rPr>
          <w:rFonts w:ascii="Times New Roman" w:hAnsi="Times New Roman"/>
          <w:lang w:val="en-GB"/>
        </w:rPr>
        <w:t>Au</w:t>
      </w:r>
      <w:r w:rsidRPr="00DC525B">
        <w:rPr>
          <w:rFonts w:ascii="Times New Roman" w:hAnsi="Times New Roman"/>
          <w:lang w:val="en-GB"/>
        </w:rPr>
        <w:t xml:space="preserve"> </w:t>
      </w:r>
      <w:r w:rsidR="0057236A">
        <w:rPr>
          <w:rFonts w:ascii="Times New Roman" w:hAnsi="Times New Roman"/>
          <w:lang w:val="en-GB"/>
        </w:rPr>
        <w:t>over TiO</w:t>
      </w:r>
      <w:r w:rsidR="0057236A" w:rsidRPr="0057236A">
        <w:rPr>
          <w:rFonts w:ascii="Times New Roman" w:hAnsi="Times New Roman"/>
          <w:vertAlign w:val="subscript"/>
          <w:lang w:val="en-GB"/>
        </w:rPr>
        <w:t>2</w:t>
      </w:r>
      <w:r w:rsidR="0057236A">
        <w:rPr>
          <w:rFonts w:ascii="Times New Roman" w:hAnsi="Times New Roman"/>
          <w:lang w:val="en-GB"/>
        </w:rPr>
        <w:t xml:space="preserve"> </w:t>
      </w:r>
      <w:r w:rsidRPr="00DC525B">
        <w:rPr>
          <w:rFonts w:ascii="Times New Roman" w:hAnsi="Times New Roman"/>
          <w:lang w:val="en-GB"/>
        </w:rPr>
        <w:t>using a direct current (DC) magnetron sputtering system</w:t>
      </w:r>
      <w:r w:rsidR="0054592A">
        <w:rPr>
          <w:rFonts w:ascii="Times New Roman" w:hAnsi="Times New Roman"/>
          <w:lang w:val="en-GB"/>
        </w:rPr>
        <w:t xml:space="preserve"> </w:t>
      </w:r>
      <w:r w:rsidR="006138E0">
        <w:rPr>
          <w:rFonts w:ascii="Times New Roman" w:hAnsi="Times New Roman"/>
          <w:lang w:val="en-GB"/>
        </w:rPr>
        <w:t xml:space="preserve">working at different conditions </w:t>
      </w:r>
      <w:r w:rsidR="0054592A">
        <w:rPr>
          <w:rFonts w:ascii="Times New Roman" w:hAnsi="Times New Roman"/>
          <w:lang w:val="en-GB"/>
        </w:rPr>
        <w:t xml:space="preserve">and </w:t>
      </w:r>
      <w:r w:rsidR="006138E0">
        <w:rPr>
          <w:rFonts w:ascii="Times New Roman" w:hAnsi="Times New Roman"/>
          <w:lang w:val="en-GB"/>
        </w:rPr>
        <w:t xml:space="preserve">then </w:t>
      </w:r>
      <w:r w:rsidR="00692EB8">
        <w:rPr>
          <w:rFonts w:ascii="Times New Roman" w:hAnsi="Times New Roman"/>
          <w:lang w:val="en-GB"/>
        </w:rPr>
        <w:t>impregnated</w:t>
      </w:r>
      <w:r w:rsidR="0054592A">
        <w:rPr>
          <w:rFonts w:ascii="Times New Roman" w:hAnsi="Times New Roman"/>
          <w:lang w:val="en-GB"/>
        </w:rPr>
        <w:t xml:space="preserve"> by </w:t>
      </w:r>
      <w:r w:rsidR="0057236A">
        <w:rPr>
          <w:rFonts w:ascii="Times New Roman" w:hAnsi="Times New Roman"/>
          <w:lang w:val="en-GB"/>
        </w:rPr>
        <w:t xml:space="preserve">three different </w:t>
      </w:r>
      <w:r w:rsidR="00DB17DF">
        <w:rPr>
          <w:rFonts w:ascii="Times New Roman" w:hAnsi="Times New Roman"/>
          <w:lang w:val="en-GB"/>
        </w:rPr>
        <w:t>imidazolium-based</w:t>
      </w:r>
      <w:r w:rsidR="0057236A">
        <w:rPr>
          <w:rFonts w:ascii="Times New Roman" w:hAnsi="Times New Roman"/>
          <w:lang w:val="en-GB"/>
        </w:rPr>
        <w:t xml:space="preserve"> </w:t>
      </w:r>
      <w:r w:rsidR="0054592A">
        <w:rPr>
          <w:rFonts w:ascii="Times New Roman" w:hAnsi="Times New Roman"/>
          <w:lang w:val="en-GB"/>
        </w:rPr>
        <w:t>IL</w:t>
      </w:r>
      <w:r w:rsidR="00692EB8">
        <w:rPr>
          <w:rFonts w:ascii="Times New Roman" w:hAnsi="Times New Roman"/>
          <w:lang w:val="en-GB"/>
        </w:rPr>
        <w:t>s (</w:t>
      </w:r>
      <w:r w:rsidR="00692EB8" w:rsidRPr="00692EB8">
        <w:rPr>
          <w:rFonts w:ascii="Times New Roman" w:hAnsi="Times New Roman"/>
          <w:lang w:val="en-GB"/>
        </w:rPr>
        <w:t>[</w:t>
      </w:r>
      <w:proofErr w:type="spellStart"/>
      <w:r w:rsidR="00692EB8" w:rsidRPr="00692EB8">
        <w:rPr>
          <w:rFonts w:ascii="Times New Roman" w:hAnsi="Times New Roman"/>
          <w:lang w:val="en-GB"/>
        </w:rPr>
        <w:t>BMIm.OAc</w:t>
      </w:r>
      <w:proofErr w:type="spellEnd"/>
      <w:r w:rsidR="00692EB8" w:rsidRPr="00692EB8">
        <w:rPr>
          <w:rFonts w:ascii="Times New Roman" w:hAnsi="Times New Roman"/>
          <w:lang w:val="en-GB"/>
        </w:rPr>
        <w:t>] (IL1); [BMIm.NTf2] (IL2) and [BMIm.BF4] (IL3)</w:t>
      </w:r>
      <w:r w:rsidR="002C1452">
        <w:rPr>
          <w:rFonts w:ascii="Times New Roman" w:hAnsi="Times New Roman"/>
          <w:lang w:val="en-GB"/>
        </w:rPr>
        <w:t xml:space="preserve">. </w:t>
      </w:r>
      <w:r w:rsidRPr="00DC525B">
        <w:rPr>
          <w:rFonts w:ascii="Times New Roman" w:hAnsi="Times New Roman"/>
          <w:lang w:val="en-GB"/>
        </w:rPr>
        <w:t xml:space="preserve">The </w:t>
      </w:r>
      <w:r w:rsidR="002C1452">
        <w:rPr>
          <w:rFonts w:ascii="Times New Roman" w:hAnsi="Times New Roman"/>
          <w:lang w:val="en-GB"/>
        </w:rPr>
        <w:t xml:space="preserve">characterizations </w:t>
      </w:r>
      <w:r w:rsidR="00692EB8">
        <w:rPr>
          <w:rFonts w:ascii="Times New Roman" w:hAnsi="Times New Roman"/>
          <w:lang w:val="en-GB"/>
        </w:rPr>
        <w:t xml:space="preserve">and the synthesized </w:t>
      </w:r>
      <w:r w:rsidR="002B1149">
        <w:rPr>
          <w:rFonts w:ascii="Times New Roman" w:hAnsi="Times New Roman"/>
          <w:lang w:val="en-GB"/>
        </w:rPr>
        <w:t>systems’</w:t>
      </w:r>
      <w:r w:rsidR="00692EB8">
        <w:rPr>
          <w:rFonts w:ascii="Times New Roman" w:hAnsi="Times New Roman"/>
          <w:lang w:val="en-GB"/>
        </w:rPr>
        <w:t xml:space="preserve"> validation</w:t>
      </w:r>
      <w:r w:rsidR="002C1452">
        <w:rPr>
          <w:rFonts w:ascii="Times New Roman" w:hAnsi="Times New Roman"/>
          <w:lang w:val="en-GB"/>
        </w:rPr>
        <w:t xml:space="preserve"> were</w:t>
      </w:r>
      <w:r w:rsidRPr="00DC525B">
        <w:rPr>
          <w:rFonts w:ascii="Times New Roman" w:hAnsi="Times New Roman"/>
          <w:lang w:val="en-GB"/>
        </w:rPr>
        <w:t xml:space="preserve"> performed </w:t>
      </w:r>
      <w:r w:rsidR="002C1452">
        <w:rPr>
          <w:rFonts w:ascii="Times New Roman" w:hAnsi="Times New Roman"/>
          <w:lang w:val="en-GB"/>
        </w:rPr>
        <w:t>using different state-of-the-art techniques</w:t>
      </w:r>
      <w:r w:rsidR="002B1149">
        <w:rPr>
          <w:rFonts w:ascii="Times New Roman" w:hAnsi="Times New Roman"/>
          <w:lang w:val="en-GB"/>
        </w:rPr>
        <w:t>; meanwhile,</w:t>
      </w:r>
      <w:r w:rsidR="006138E0">
        <w:rPr>
          <w:rFonts w:ascii="Times New Roman" w:hAnsi="Times New Roman"/>
          <w:lang w:val="en-GB"/>
        </w:rPr>
        <w:t xml:space="preserve"> t</w:t>
      </w:r>
      <w:r w:rsidR="0050796D">
        <w:rPr>
          <w:rFonts w:ascii="Times New Roman" w:hAnsi="Times New Roman"/>
          <w:lang w:val="en-GB"/>
        </w:rPr>
        <w:t xml:space="preserve">he photocatalytic reactions were conducted using a quartz reactor and irradiated by </w:t>
      </w:r>
      <w:r w:rsidR="00DB17DF">
        <w:rPr>
          <w:rFonts w:ascii="Times New Roman" w:hAnsi="Times New Roman"/>
          <w:lang w:val="en-GB"/>
        </w:rPr>
        <w:t xml:space="preserve">a Xe </w:t>
      </w:r>
      <w:r w:rsidR="002B1149">
        <w:rPr>
          <w:rFonts w:ascii="Times New Roman" w:hAnsi="Times New Roman"/>
          <w:lang w:val="en-GB"/>
        </w:rPr>
        <w:t xml:space="preserve">300W </w:t>
      </w:r>
      <w:r w:rsidR="00DB17DF">
        <w:rPr>
          <w:rFonts w:ascii="Times New Roman" w:hAnsi="Times New Roman"/>
          <w:lang w:val="en-GB"/>
        </w:rPr>
        <w:t>lamp</w:t>
      </w:r>
      <w:r w:rsidR="002B1149">
        <w:rPr>
          <w:rFonts w:ascii="Times New Roman" w:hAnsi="Times New Roman"/>
          <w:lang w:val="en-GB"/>
        </w:rPr>
        <w:t xml:space="preserve"> as a solar simulator.</w:t>
      </w:r>
    </w:p>
    <w:p w14:paraId="136BD1AC" w14:textId="716947CA" w:rsidR="00EA4E1B" w:rsidRPr="00692EB8" w:rsidRDefault="00264308" w:rsidP="00692EB8">
      <w:pPr>
        <w:pStyle w:val="Ttulo2"/>
        <w:rPr>
          <w:rFonts w:ascii="Helvetica" w:hAnsi="Helvetica" w:cs="Helvetica"/>
          <w:sz w:val="24"/>
          <w:szCs w:val="24"/>
          <w:lang w:val="en-US"/>
        </w:rPr>
      </w:pPr>
      <w:r w:rsidRPr="00692EB8">
        <w:rPr>
          <w:rFonts w:ascii="Helvetica" w:hAnsi="Helvetica" w:cs="Helvetica"/>
          <w:sz w:val="24"/>
          <w:szCs w:val="24"/>
          <w:lang w:val="en-US"/>
        </w:rPr>
        <w:t xml:space="preserve">Results and </w:t>
      </w:r>
      <w:r w:rsidR="001F13F0" w:rsidRPr="00692EB8">
        <w:rPr>
          <w:rFonts w:ascii="Helvetica" w:hAnsi="Helvetica" w:cs="Helvetica"/>
          <w:sz w:val="24"/>
          <w:szCs w:val="24"/>
          <w:lang w:val="en-US"/>
        </w:rPr>
        <w:t>discussion</w:t>
      </w:r>
    </w:p>
    <w:p w14:paraId="33A9A948" w14:textId="71703226" w:rsidR="00DC525B" w:rsidRPr="009E5DB5" w:rsidRDefault="006138E0" w:rsidP="00DC525B">
      <w:pPr>
        <w:pStyle w:val="TAMainText"/>
        <w:ind w:firstLine="0"/>
        <w:rPr>
          <w:rFonts w:ascii="Times New Roman" w:hAnsi="Times New Roman"/>
        </w:rPr>
      </w:pPr>
      <w:r w:rsidRPr="006138E0">
        <w:rPr>
          <w:rFonts w:ascii="Times New Roman" w:hAnsi="Times New Roman"/>
        </w:rPr>
        <w:t xml:space="preserve">Spherical </w:t>
      </w:r>
      <w:r>
        <w:rPr>
          <w:rFonts w:ascii="Times New Roman" w:hAnsi="Times New Roman"/>
        </w:rPr>
        <w:t>gold</w:t>
      </w:r>
      <w:r w:rsidRPr="006138E0">
        <w:rPr>
          <w:rFonts w:ascii="Times New Roman" w:hAnsi="Times New Roman"/>
        </w:rPr>
        <w:t xml:space="preserve"> nanoparticles (AuNPs) were magnetron sputtered onto TiO</w:t>
      </w:r>
      <w:r w:rsidRPr="006138E0">
        <w:rPr>
          <w:rFonts w:ascii="Times New Roman" w:hAnsi="Times New Roman"/>
          <w:vertAlign w:val="subscript"/>
        </w:rPr>
        <w:t>2</w:t>
      </w:r>
      <w:r w:rsidRPr="006138E0">
        <w:rPr>
          <w:rFonts w:ascii="Times New Roman" w:hAnsi="Times New Roman"/>
        </w:rPr>
        <w:t xml:space="preserve"> to create photocatalytic systems. The AuNPs, mainly spherical and comprising 1-5 wt.% Au</w:t>
      </w:r>
      <w:r w:rsidR="007D7ACA">
        <w:rPr>
          <w:rFonts w:ascii="Times New Roman" w:hAnsi="Times New Roman"/>
        </w:rPr>
        <w:t xml:space="preserve"> (Fig</w:t>
      </w:r>
      <w:r w:rsidR="00517523">
        <w:rPr>
          <w:rFonts w:ascii="Times New Roman" w:hAnsi="Times New Roman"/>
        </w:rPr>
        <w:t xml:space="preserve">ure </w:t>
      </w:r>
      <w:r w:rsidR="007D7ACA">
        <w:rPr>
          <w:rFonts w:ascii="Times New Roman" w:hAnsi="Times New Roman"/>
        </w:rPr>
        <w:t>1</w:t>
      </w:r>
      <w:r w:rsidR="00517523">
        <w:rPr>
          <w:rFonts w:ascii="Times New Roman" w:hAnsi="Times New Roman"/>
        </w:rPr>
        <w:t>; Table 1</w:t>
      </w:r>
      <w:r w:rsidR="007D7ACA">
        <w:rPr>
          <w:rFonts w:ascii="Times New Roman" w:hAnsi="Times New Roman"/>
        </w:rPr>
        <w:t>)</w:t>
      </w:r>
      <w:r>
        <w:rPr>
          <w:rFonts w:ascii="Times New Roman" w:hAnsi="Times New Roman"/>
        </w:rPr>
        <w:t>,</w:t>
      </w:r>
      <w:r w:rsidRPr="006138E0">
        <w:rPr>
          <w:rFonts w:ascii="Times New Roman" w:hAnsi="Times New Roman"/>
        </w:rPr>
        <w:t xml:space="preserve"> were then treated with selected ILs (IL1-IL3). These </w:t>
      </w:r>
      <w:r>
        <w:rPr>
          <w:rFonts w:ascii="Times New Roman" w:hAnsi="Times New Roman"/>
        </w:rPr>
        <w:t>hybrid</w:t>
      </w:r>
      <w:r w:rsidRPr="006138E0">
        <w:rPr>
          <w:rFonts w:ascii="Times New Roman" w:hAnsi="Times New Roman"/>
        </w:rPr>
        <w:t xml:space="preserve"> materials were validated in HERs, WSR and </w:t>
      </w:r>
      <w:r w:rsidR="007D7ACA">
        <w:rPr>
          <w:rFonts w:ascii="Times New Roman" w:hAnsi="Times New Roman"/>
        </w:rPr>
        <w:t>O</w:t>
      </w:r>
      <w:r w:rsidRPr="006138E0">
        <w:rPr>
          <w:rFonts w:ascii="Times New Roman" w:hAnsi="Times New Roman"/>
        </w:rPr>
        <w:t>PR.</w:t>
      </w:r>
      <w:r>
        <w:rPr>
          <w:rFonts w:ascii="Times New Roman" w:hAnsi="Times New Roman"/>
        </w:rPr>
        <w:t xml:space="preserve"> </w:t>
      </w:r>
      <w:r w:rsidR="00C72991" w:rsidRPr="00692EB8">
        <w:rPr>
          <w:rFonts w:ascii="Times New Roman" w:hAnsi="Times New Roman"/>
        </w:rPr>
        <w:t>The</w:t>
      </w:r>
      <w:r w:rsidR="00304106" w:rsidRPr="00692EB8">
        <w:rPr>
          <w:rFonts w:ascii="Times New Roman" w:hAnsi="Times New Roman"/>
        </w:rPr>
        <w:t xml:space="preserve"> HRTEM and EDX</w:t>
      </w:r>
      <w:r w:rsidR="00C72991" w:rsidRPr="00692EB8">
        <w:rPr>
          <w:rFonts w:ascii="Times New Roman" w:hAnsi="Times New Roman"/>
        </w:rPr>
        <w:t xml:space="preserve"> analysis evidenced the </w:t>
      </w:r>
      <w:r w:rsidR="00C8119D" w:rsidRPr="00692EB8">
        <w:rPr>
          <w:rFonts w:ascii="Times New Roman" w:hAnsi="Times New Roman"/>
        </w:rPr>
        <w:t>presence</w:t>
      </w:r>
      <w:r w:rsidR="00C72991" w:rsidRPr="00692EB8">
        <w:rPr>
          <w:rFonts w:ascii="Times New Roman" w:hAnsi="Times New Roman"/>
        </w:rPr>
        <w:t xml:space="preserve"> of </w:t>
      </w:r>
      <w:r w:rsidR="00692EB8">
        <w:rPr>
          <w:rFonts w:ascii="Times New Roman" w:hAnsi="Times New Roman"/>
        </w:rPr>
        <w:t xml:space="preserve">spherical </w:t>
      </w:r>
      <w:r w:rsidR="00304106" w:rsidRPr="00692EB8">
        <w:rPr>
          <w:rFonts w:ascii="Times New Roman" w:hAnsi="Times New Roman"/>
        </w:rPr>
        <w:t xml:space="preserve">AuNPs in </w:t>
      </w:r>
      <w:r w:rsidR="00A51C95">
        <w:rPr>
          <w:rFonts w:ascii="Times New Roman" w:hAnsi="Times New Roman"/>
        </w:rPr>
        <w:t xml:space="preserve">the </w:t>
      </w:r>
      <w:r w:rsidR="001631FB">
        <w:rPr>
          <w:rFonts w:ascii="Times New Roman" w:hAnsi="Times New Roman"/>
        </w:rPr>
        <w:t>4</w:t>
      </w:r>
      <w:r w:rsidR="00304106" w:rsidRPr="00692EB8">
        <w:rPr>
          <w:rFonts w:ascii="Times New Roman" w:hAnsi="Times New Roman"/>
        </w:rPr>
        <w:t>-</w:t>
      </w:r>
      <w:r w:rsidR="001631FB">
        <w:rPr>
          <w:rFonts w:ascii="Times New Roman" w:hAnsi="Times New Roman"/>
        </w:rPr>
        <w:t>1</w:t>
      </w:r>
      <w:r w:rsidR="00304106" w:rsidRPr="00692EB8">
        <w:rPr>
          <w:rFonts w:ascii="Times New Roman" w:hAnsi="Times New Roman"/>
        </w:rPr>
        <w:t>0 nm rang</w:t>
      </w:r>
      <w:r w:rsidR="00692EB8">
        <w:rPr>
          <w:rFonts w:ascii="Times New Roman" w:hAnsi="Times New Roman"/>
        </w:rPr>
        <w:t>e uniformly scattered over the surface. These systems</w:t>
      </w:r>
      <w:r w:rsidR="00C72991" w:rsidRPr="00692EB8">
        <w:rPr>
          <w:rFonts w:ascii="Times New Roman" w:hAnsi="Times New Roman"/>
        </w:rPr>
        <w:t xml:space="preserve"> presented typical UV absorption (&lt; 400 nm), related to the TiO</w:t>
      </w:r>
      <w:r w:rsidR="00C72991" w:rsidRPr="00692EB8">
        <w:rPr>
          <w:rFonts w:ascii="Times New Roman" w:hAnsi="Times New Roman"/>
          <w:vertAlign w:val="subscript"/>
        </w:rPr>
        <w:t>2</w:t>
      </w:r>
      <w:r w:rsidR="00C72991" w:rsidRPr="00692EB8">
        <w:rPr>
          <w:rFonts w:ascii="Times New Roman" w:hAnsi="Times New Roman"/>
        </w:rPr>
        <w:t xml:space="preserve"> intrinsic band gap absorption, ascribed to the electron </w:t>
      </w:r>
      <w:r w:rsidR="00C72991" w:rsidRPr="00692EB8">
        <w:rPr>
          <w:rFonts w:ascii="Times New Roman" w:hAnsi="Times New Roman"/>
        </w:rPr>
        <w:lastRenderedPageBreak/>
        <w:t>promotion in the semiconductor from the valence band (VB) to the conduction band (CB)</w:t>
      </w:r>
      <w:r w:rsidR="00A51C95">
        <w:rPr>
          <w:rFonts w:ascii="Times New Roman" w:hAnsi="Times New Roman"/>
        </w:rPr>
        <w:t>,</w:t>
      </w:r>
      <w:r w:rsidR="000C404C">
        <w:rPr>
          <w:rFonts w:ascii="Times New Roman" w:hAnsi="Times New Roman"/>
        </w:rPr>
        <w:t xml:space="preserve"> </w:t>
      </w:r>
      <w:r w:rsidR="00C72991" w:rsidRPr="00692EB8">
        <w:rPr>
          <w:rFonts w:ascii="Times New Roman" w:hAnsi="Times New Roman"/>
        </w:rPr>
        <w:t>[</w:t>
      </w:r>
      <w:r w:rsidR="00E96EC8">
        <w:rPr>
          <w:rFonts w:ascii="Times New Roman" w:hAnsi="Times New Roman"/>
        </w:rPr>
        <w:t>9</w:t>
      </w:r>
      <w:r w:rsidR="00C72991" w:rsidRPr="00692EB8">
        <w:rPr>
          <w:rFonts w:ascii="Times New Roman" w:hAnsi="Times New Roman"/>
        </w:rPr>
        <w:t xml:space="preserve">] </w:t>
      </w:r>
      <w:r w:rsidR="00A51C95">
        <w:rPr>
          <w:rFonts w:ascii="Times New Roman" w:hAnsi="Times New Roman"/>
        </w:rPr>
        <w:t>and a</w:t>
      </w:r>
      <w:r w:rsidR="00C72991" w:rsidRPr="00692EB8">
        <w:rPr>
          <w:rFonts w:ascii="Times New Roman" w:hAnsi="Times New Roman"/>
        </w:rPr>
        <w:t xml:space="preserve"> prominent symmetric band centered at 530 nm corresponding to the Au plasmonic band.</w:t>
      </w:r>
      <w:r w:rsidR="00304106" w:rsidRPr="00692EB8">
        <w:rPr>
          <w:rFonts w:ascii="Times New Roman" w:hAnsi="Times New Roman"/>
        </w:rPr>
        <w:t xml:space="preserve"> </w:t>
      </w:r>
      <w:r w:rsidR="00A51C95" w:rsidRPr="00A51C95">
        <w:rPr>
          <w:rFonts w:ascii="Times New Roman" w:hAnsi="Times New Roman"/>
        </w:rPr>
        <w:t>As expected, the optical band gap data in Table 1 showed a value of 3.04 eV for pure TiO</w:t>
      </w:r>
      <w:r w:rsidR="00A51C95" w:rsidRPr="00A51C95">
        <w:rPr>
          <w:rFonts w:ascii="Times New Roman" w:hAnsi="Times New Roman"/>
          <w:vertAlign w:val="subscript"/>
        </w:rPr>
        <w:t>2</w:t>
      </w:r>
      <w:r w:rsidR="00A51C95">
        <w:rPr>
          <w:rFonts w:ascii="Times New Roman" w:hAnsi="Times New Roman"/>
        </w:rPr>
        <w:t>,</w:t>
      </w:r>
      <w:r w:rsidR="00AC221D" w:rsidRPr="00692EB8">
        <w:rPr>
          <w:rFonts w:ascii="Times New Roman" w:hAnsi="Times New Roman"/>
        </w:rPr>
        <w:t>[</w:t>
      </w:r>
      <w:r w:rsidR="00E96EC8">
        <w:rPr>
          <w:rFonts w:ascii="Times New Roman" w:hAnsi="Times New Roman"/>
        </w:rPr>
        <w:t>10</w:t>
      </w:r>
      <w:r w:rsidR="00AC221D" w:rsidRPr="00692EB8">
        <w:rPr>
          <w:rFonts w:ascii="Times New Roman" w:hAnsi="Times New Roman"/>
        </w:rPr>
        <w:t>]</w:t>
      </w:r>
      <w:r w:rsidR="00192874" w:rsidRPr="00692EB8">
        <w:rPr>
          <w:rFonts w:ascii="Times New Roman" w:hAnsi="Times New Roman"/>
        </w:rPr>
        <w:t xml:space="preserve"> </w:t>
      </w:r>
      <w:r w:rsidR="00A51C95">
        <w:rPr>
          <w:rFonts w:ascii="Times New Roman" w:hAnsi="Times New Roman"/>
        </w:rPr>
        <w:t xml:space="preserve">and </w:t>
      </w:r>
      <w:r w:rsidR="00AC221D" w:rsidRPr="00692EB8">
        <w:rPr>
          <w:rFonts w:ascii="Times New Roman" w:hAnsi="Times New Roman"/>
        </w:rPr>
        <w:t>lower energy values for th</w:t>
      </w:r>
      <w:r w:rsidR="00692EB8">
        <w:rPr>
          <w:rFonts w:ascii="Times New Roman" w:hAnsi="Times New Roman"/>
        </w:rPr>
        <w:t>is parameter</w:t>
      </w:r>
      <w:r w:rsidR="00A51C95">
        <w:rPr>
          <w:rFonts w:ascii="Times New Roman" w:hAnsi="Times New Roman"/>
        </w:rPr>
        <w:t xml:space="preserve"> </w:t>
      </w:r>
      <w:r w:rsidR="00546C54">
        <w:rPr>
          <w:rFonts w:ascii="Times New Roman" w:hAnsi="Times New Roman"/>
        </w:rPr>
        <w:t>in samples containing Au as</w:t>
      </w:r>
      <w:r w:rsidR="00546C54" w:rsidRPr="00546C54">
        <w:rPr>
          <w:rFonts w:ascii="Times New Roman" w:hAnsi="Times New Roman"/>
        </w:rPr>
        <w:t xml:space="preserve"> the metal concentration increases</w:t>
      </w:r>
      <w:r w:rsidR="00546C54">
        <w:rPr>
          <w:rFonts w:ascii="Times New Roman" w:hAnsi="Times New Roman"/>
        </w:rPr>
        <w:t>. The absence of modifications in</w:t>
      </w:r>
      <w:r w:rsidR="00692EB8">
        <w:rPr>
          <w:rFonts w:ascii="Times New Roman" w:hAnsi="Times New Roman"/>
        </w:rPr>
        <w:t xml:space="preserve"> </w:t>
      </w:r>
      <w:r w:rsidR="001B23D2">
        <w:rPr>
          <w:rFonts w:ascii="Times New Roman" w:hAnsi="Times New Roman"/>
        </w:rPr>
        <w:t xml:space="preserve">the </w:t>
      </w:r>
      <w:r w:rsidR="00692EB8">
        <w:rPr>
          <w:rFonts w:ascii="Times New Roman" w:hAnsi="Times New Roman"/>
        </w:rPr>
        <w:t xml:space="preserve">BET area and XRD diffraction </w:t>
      </w:r>
      <w:r w:rsidR="00546C54">
        <w:rPr>
          <w:rFonts w:ascii="Times New Roman" w:hAnsi="Times New Roman"/>
        </w:rPr>
        <w:t>patterns</w:t>
      </w:r>
      <w:r w:rsidR="00692EB8">
        <w:rPr>
          <w:rFonts w:ascii="Times New Roman" w:hAnsi="Times New Roman"/>
        </w:rPr>
        <w:t xml:space="preserve"> </w:t>
      </w:r>
      <w:r w:rsidR="00546C54">
        <w:rPr>
          <w:rFonts w:ascii="Times New Roman" w:hAnsi="Times New Roman"/>
        </w:rPr>
        <w:t>suggests</w:t>
      </w:r>
      <w:r w:rsidR="00692EB8">
        <w:rPr>
          <w:rFonts w:ascii="Times New Roman" w:hAnsi="Times New Roman"/>
        </w:rPr>
        <w:t xml:space="preserve"> that </w:t>
      </w:r>
      <w:r w:rsidR="006A1E86" w:rsidRPr="00692EB8">
        <w:rPr>
          <w:rFonts w:ascii="Times New Roman" w:hAnsi="Times New Roman"/>
        </w:rPr>
        <w:t xml:space="preserve">Au </w:t>
      </w:r>
      <w:r w:rsidR="00DA30DE" w:rsidRPr="00692EB8">
        <w:rPr>
          <w:rFonts w:ascii="Times New Roman" w:hAnsi="Times New Roman"/>
        </w:rPr>
        <w:t>is somehow in solid interaction with the TiO2 surface</w:t>
      </w:r>
      <w:r w:rsidR="00692EB8" w:rsidRPr="00692EB8">
        <w:rPr>
          <w:rFonts w:ascii="Times New Roman" w:hAnsi="Times New Roman"/>
        </w:rPr>
        <w:t>.</w:t>
      </w:r>
      <w:r w:rsidR="00692EB8">
        <w:rPr>
          <w:rFonts w:ascii="Times New Roman" w:hAnsi="Times New Roman"/>
        </w:rPr>
        <w:t xml:space="preserve"> </w:t>
      </w:r>
      <w:r w:rsidR="00546C54">
        <w:rPr>
          <w:rFonts w:ascii="Times New Roman" w:hAnsi="Times New Roman"/>
        </w:rPr>
        <w:t xml:space="preserve">Surprisingly, </w:t>
      </w:r>
      <w:r w:rsidR="002D4EEC">
        <w:rPr>
          <w:rFonts w:ascii="Times New Roman" w:hAnsi="Times New Roman"/>
        </w:rPr>
        <w:t>incorporating</w:t>
      </w:r>
      <w:r w:rsidR="00546C54" w:rsidRPr="00546C54">
        <w:rPr>
          <w:rFonts w:ascii="Times New Roman" w:hAnsi="Times New Roman"/>
        </w:rPr>
        <w:t xml:space="preserve"> IL further decreases </w:t>
      </w:r>
      <w:r w:rsidR="000E7DA5">
        <w:rPr>
          <w:rFonts w:ascii="Times New Roman" w:hAnsi="Times New Roman"/>
        </w:rPr>
        <w:t>band gap</w:t>
      </w:r>
      <w:r w:rsidR="007D7ACA">
        <w:rPr>
          <w:rFonts w:ascii="Times New Roman" w:hAnsi="Times New Roman"/>
        </w:rPr>
        <w:t xml:space="preserve"> </w:t>
      </w:r>
      <w:r w:rsidR="00546C54" w:rsidRPr="00546C54">
        <w:rPr>
          <w:rFonts w:ascii="Times New Roman" w:hAnsi="Times New Roman"/>
        </w:rPr>
        <w:t>values</w:t>
      </w:r>
      <w:r w:rsidR="007D7ACA">
        <w:rPr>
          <w:rFonts w:ascii="Times New Roman" w:hAnsi="Times New Roman"/>
        </w:rPr>
        <w:t xml:space="preserve"> and increases pore volume</w:t>
      </w:r>
      <w:r w:rsidR="00546C54" w:rsidRPr="00546C54">
        <w:rPr>
          <w:rFonts w:ascii="Times New Roman" w:hAnsi="Times New Roman"/>
        </w:rPr>
        <w:t xml:space="preserve">, </w:t>
      </w:r>
      <w:r w:rsidR="00DD2E25">
        <w:rPr>
          <w:rFonts w:ascii="Times New Roman" w:hAnsi="Times New Roman"/>
        </w:rPr>
        <w:t>denoting</w:t>
      </w:r>
      <w:r w:rsidR="00546C54" w:rsidRPr="00546C54">
        <w:rPr>
          <w:rFonts w:ascii="Times New Roman" w:hAnsi="Times New Roman"/>
        </w:rPr>
        <w:t xml:space="preserve"> the </w:t>
      </w:r>
      <w:r w:rsidR="000E7DA5">
        <w:rPr>
          <w:rFonts w:ascii="Times New Roman" w:hAnsi="Times New Roman"/>
        </w:rPr>
        <w:t>physical and</w:t>
      </w:r>
      <w:r w:rsidR="00546C54" w:rsidRPr="00546C54">
        <w:rPr>
          <w:rFonts w:ascii="Times New Roman" w:hAnsi="Times New Roman"/>
        </w:rPr>
        <w:t xml:space="preserve"> electronic effect</w:t>
      </w:r>
      <w:r w:rsidR="000E7DA5">
        <w:rPr>
          <w:rFonts w:ascii="Times New Roman" w:hAnsi="Times New Roman"/>
        </w:rPr>
        <w:t>s</w:t>
      </w:r>
      <w:r w:rsidR="00546C54" w:rsidRPr="00546C54">
        <w:rPr>
          <w:rFonts w:ascii="Times New Roman" w:hAnsi="Times New Roman"/>
        </w:rPr>
        <w:t xml:space="preserve"> generated on the surface</w:t>
      </w:r>
      <w:r w:rsidR="00546C54">
        <w:rPr>
          <w:rFonts w:ascii="Times New Roman" w:hAnsi="Times New Roman"/>
        </w:rPr>
        <w:t xml:space="preserve">. </w:t>
      </w:r>
      <w:r w:rsidR="006A1E86" w:rsidRPr="009E5DB5">
        <w:rPr>
          <w:rFonts w:ascii="Times New Roman" w:hAnsi="Times New Roman"/>
        </w:rPr>
        <w:t>This fact can be corroborated when t</w:t>
      </w:r>
      <w:r w:rsidR="00DC525B" w:rsidRPr="009E5DB5">
        <w:rPr>
          <w:rFonts w:ascii="Times New Roman" w:hAnsi="Times New Roman"/>
        </w:rPr>
        <w:t xml:space="preserve">he HER </w:t>
      </w:r>
      <w:r w:rsidR="007D7ACA">
        <w:rPr>
          <w:rFonts w:ascii="Times New Roman" w:hAnsi="Times New Roman"/>
        </w:rPr>
        <w:t>from methanol photo reforming</w:t>
      </w:r>
      <w:r w:rsidR="002D4EEC">
        <w:rPr>
          <w:rFonts w:ascii="Times New Roman" w:hAnsi="Times New Roman"/>
        </w:rPr>
        <w:t xml:space="preserve"> (MPR)</w:t>
      </w:r>
      <w:r w:rsidR="007D7ACA">
        <w:rPr>
          <w:rFonts w:ascii="Times New Roman" w:hAnsi="Times New Roman"/>
        </w:rPr>
        <w:t xml:space="preserve"> </w:t>
      </w:r>
      <w:r w:rsidR="00DC525B" w:rsidRPr="009E5DB5">
        <w:rPr>
          <w:rFonts w:ascii="Times New Roman" w:hAnsi="Times New Roman"/>
        </w:rPr>
        <w:t>observed for pristine TiO</w:t>
      </w:r>
      <w:r w:rsidR="00DC525B" w:rsidRPr="009E5DB5">
        <w:rPr>
          <w:rFonts w:ascii="Times New Roman" w:hAnsi="Times New Roman"/>
          <w:vertAlign w:val="subscript"/>
        </w:rPr>
        <w:t>2</w:t>
      </w:r>
      <w:r w:rsidR="002D4EEC">
        <w:rPr>
          <w:rFonts w:ascii="Times New Roman" w:hAnsi="Times New Roman"/>
        </w:rPr>
        <w:t xml:space="preserve"> </w:t>
      </w:r>
      <w:r w:rsidR="000E7DA5">
        <w:rPr>
          <w:rFonts w:ascii="Times New Roman" w:hAnsi="Times New Roman"/>
        </w:rPr>
        <w:t>is</w:t>
      </w:r>
      <w:r w:rsidR="00DC525B" w:rsidRPr="009E5DB5">
        <w:rPr>
          <w:rFonts w:ascii="Times New Roman" w:hAnsi="Times New Roman"/>
        </w:rPr>
        <w:t xml:space="preserve"> considerably low when compared with </w:t>
      </w:r>
      <w:r w:rsidR="00892B10" w:rsidRPr="009E5DB5">
        <w:rPr>
          <w:rFonts w:ascii="Times New Roman" w:hAnsi="Times New Roman"/>
        </w:rPr>
        <w:t>Au</w:t>
      </w:r>
      <w:r w:rsidR="001B23D2">
        <w:rPr>
          <w:rFonts w:ascii="Times New Roman" w:hAnsi="Times New Roman"/>
        </w:rPr>
        <w:t>4</w:t>
      </w:r>
      <w:r w:rsidR="00892B10" w:rsidRPr="009E5DB5">
        <w:rPr>
          <w:rFonts w:ascii="Times New Roman" w:hAnsi="Times New Roman"/>
        </w:rPr>
        <w:t>@TiO</w:t>
      </w:r>
      <w:r w:rsidR="00892B10" w:rsidRPr="009E5DB5">
        <w:rPr>
          <w:rFonts w:ascii="Times New Roman" w:hAnsi="Times New Roman"/>
          <w:vertAlign w:val="subscript"/>
        </w:rPr>
        <w:t>2</w:t>
      </w:r>
      <w:r w:rsidR="00CC3440" w:rsidRPr="009E5DB5">
        <w:rPr>
          <w:rFonts w:ascii="Times New Roman" w:hAnsi="Times New Roman"/>
        </w:rPr>
        <w:t xml:space="preserve"> </w:t>
      </w:r>
      <w:r w:rsidR="00892B10" w:rsidRPr="009E5DB5">
        <w:rPr>
          <w:rFonts w:ascii="Times New Roman" w:hAnsi="Times New Roman"/>
        </w:rPr>
        <w:t>(</w:t>
      </w:r>
      <w:r w:rsidR="002D4EEC">
        <w:rPr>
          <w:rFonts w:ascii="Times New Roman" w:hAnsi="Times New Roman"/>
        </w:rPr>
        <w:t xml:space="preserve">0.02 and </w:t>
      </w:r>
      <w:r w:rsidR="001B23D2">
        <w:rPr>
          <w:rFonts w:ascii="Times New Roman" w:hAnsi="Times New Roman"/>
        </w:rPr>
        <w:t>4</w:t>
      </w:r>
      <w:r w:rsidR="00892B10" w:rsidRPr="00945CBD">
        <w:rPr>
          <w:rFonts w:ascii="Times New Roman" w:hAnsi="Times New Roman"/>
        </w:rPr>
        <w:t>.</w:t>
      </w:r>
      <w:r w:rsidR="001B23D2">
        <w:rPr>
          <w:rFonts w:ascii="Times New Roman" w:hAnsi="Times New Roman"/>
        </w:rPr>
        <w:t>7</w:t>
      </w:r>
      <w:r w:rsidR="00945CBD" w:rsidRPr="00945CBD">
        <w:rPr>
          <w:rFonts w:ascii="Times New Roman" w:hAnsi="Times New Roman"/>
        </w:rPr>
        <w:t>5</w:t>
      </w:r>
      <w:r w:rsidR="002D4EEC">
        <w:rPr>
          <w:rFonts w:ascii="Times New Roman" w:hAnsi="Times New Roman"/>
        </w:rPr>
        <w:t xml:space="preserve"> </w:t>
      </w:r>
      <w:r w:rsidR="002D4EEC" w:rsidRPr="009E5DB5">
        <w:rPr>
          <w:rFonts w:ascii="Times New Roman" w:hAnsi="Times New Roman"/>
        </w:rPr>
        <w:t>mmol</w:t>
      </w:r>
      <w:r w:rsidR="002D4EEC">
        <w:rPr>
          <w:rFonts w:ascii="Times New Roman" w:hAnsi="Times New Roman"/>
        </w:rPr>
        <w:t xml:space="preserve"> per gram</w:t>
      </w:r>
      <w:r w:rsidR="002D4EEC" w:rsidRPr="009E5DB5">
        <w:rPr>
          <w:rFonts w:ascii="Times New Roman" w:hAnsi="Times New Roman"/>
        </w:rPr>
        <w:t xml:space="preserve"> of catalyst</w:t>
      </w:r>
      <w:r w:rsidR="002D4EEC">
        <w:rPr>
          <w:rFonts w:ascii="Times New Roman" w:hAnsi="Times New Roman"/>
        </w:rPr>
        <w:t xml:space="preserve"> per hour respectively</w:t>
      </w:r>
      <w:r w:rsidR="00892B10" w:rsidRPr="009E5DB5">
        <w:rPr>
          <w:rFonts w:ascii="Times New Roman" w:hAnsi="Times New Roman"/>
        </w:rPr>
        <w:t xml:space="preserve">). </w:t>
      </w:r>
      <w:r w:rsidR="00945CBD">
        <w:rPr>
          <w:rFonts w:ascii="Times New Roman" w:hAnsi="Times New Roman"/>
        </w:rPr>
        <w:t>A</w:t>
      </w:r>
      <w:r w:rsidR="00DC525B" w:rsidRPr="009E5DB5">
        <w:rPr>
          <w:rFonts w:ascii="Times New Roman" w:hAnsi="Times New Roman"/>
        </w:rPr>
        <w:t xml:space="preserve"> </w:t>
      </w:r>
      <w:r w:rsidR="005F2054" w:rsidRPr="009E5DB5">
        <w:rPr>
          <w:rFonts w:ascii="Times New Roman" w:hAnsi="Times New Roman"/>
        </w:rPr>
        <w:t xml:space="preserve">calculated apparent quantum yield </w:t>
      </w:r>
      <w:r w:rsidR="00D53310" w:rsidRPr="009E5DB5">
        <w:rPr>
          <w:rFonts w:ascii="Times New Roman" w:hAnsi="Times New Roman"/>
        </w:rPr>
        <w:t>o</w:t>
      </w:r>
      <w:r w:rsidR="00DC525B" w:rsidRPr="009E5DB5">
        <w:rPr>
          <w:rFonts w:ascii="Times New Roman" w:hAnsi="Times New Roman"/>
        </w:rPr>
        <w:t>f 19.30 % displayed by Au</w:t>
      </w:r>
      <w:r w:rsidR="001B23D2">
        <w:rPr>
          <w:rFonts w:ascii="Times New Roman" w:hAnsi="Times New Roman"/>
        </w:rPr>
        <w:t>4</w:t>
      </w:r>
      <w:r w:rsidR="00DC525B" w:rsidRPr="009E5DB5">
        <w:rPr>
          <w:rFonts w:ascii="Times New Roman" w:hAnsi="Times New Roman"/>
        </w:rPr>
        <w:t>@TiO</w:t>
      </w:r>
      <w:r w:rsidR="00DC525B" w:rsidRPr="009E5DB5">
        <w:rPr>
          <w:rFonts w:ascii="Times New Roman" w:hAnsi="Times New Roman"/>
          <w:vertAlign w:val="subscript"/>
        </w:rPr>
        <w:t>2</w:t>
      </w:r>
      <w:r w:rsidR="00DC525B" w:rsidRPr="009E5DB5">
        <w:rPr>
          <w:rFonts w:ascii="Times New Roman" w:hAnsi="Times New Roman"/>
        </w:rPr>
        <w:t xml:space="preserve"> under UV (365 nm) is highly impressive, indicating that Au </w:t>
      </w:r>
      <w:r w:rsidR="000D7BA1">
        <w:rPr>
          <w:rFonts w:ascii="Times New Roman" w:hAnsi="Times New Roman"/>
        </w:rPr>
        <w:t>acts</w:t>
      </w:r>
      <w:r w:rsidR="00DC525B" w:rsidRPr="009E5DB5">
        <w:rPr>
          <w:rFonts w:ascii="Times New Roman" w:hAnsi="Times New Roman"/>
        </w:rPr>
        <w:t xml:space="preserve"> as a photocatalyst rather than a simple photosensitizer</w:t>
      </w:r>
      <w:r w:rsidR="001B23D2">
        <w:rPr>
          <w:rFonts w:ascii="Times New Roman" w:hAnsi="Times New Roman"/>
        </w:rPr>
        <w:t xml:space="preserve"> by an </w:t>
      </w:r>
      <w:r w:rsidR="001B23D2" w:rsidRPr="009E5DB5">
        <w:rPr>
          <w:rFonts w:ascii="Times New Roman" w:hAnsi="Times New Roman"/>
        </w:rPr>
        <w:t>electronic influence over the system</w:t>
      </w:r>
      <w:r w:rsidR="00DC525B" w:rsidRPr="009E5DB5">
        <w:rPr>
          <w:rFonts w:ascii="Times New Roman" w:hAnsi="Times New Roman"/>
        </w:rPr>
        <w:t xml:space="preserve">. </w:t>
      </w:r>
      <w:r w:rsidR="00892B10" w:rsidRPr="009E5DB5">
        <w:rPr>
          <w:rFonts w:ascii="Times New Roman" w:hAnsi="Times New Roman"/>
        </w:rPr>
        <w:t xml:space="preserve">After </w:t>
      </w:r>
      <w:r w:rsidR="00546C54">
        <w:rPr>
          <w:rFonts w:ascii="Times New Roman" w:hAnsi="Times New Roman"/>
        </w:rPr>
        <w:t>covering</w:t>
      </w:r>
      <w:r w:rsidR="00892B10" w:rsidRPr="009E5DB5">
        <w:rPr>
          <w:rFonts w:ascii="Times New Roman" w:hAnsi="Times New Roman"/>
        </w:rPr>
        <w:t xml:space="preserve"> Au</w:t>
      </w:r>
      <w:r w:rsidR="001B23D2">
        <w:rPr>
          <w:rFonts w:ascii="Times New Roman" w:hAnsi="Times New Roman"/>
        </w:rPr>
        <w:t>4</w:t>
      </w:r>
      <w:r w:rsidR="00892B10" w:rsidRPr="009E5DB5">
        <w:rPr>
          <w:rFonts w:ascii="Times New Roman" w:hAnsi="Times New Roman"/>
        </w:rPr>
        <w:t>@TiO</w:t>
      </w:r>
      <w:r w:rsidR="00892B10" w:rsidRPr="009E5DB5">
        <w:rPr>
          <w:rFonts w:ascii="Times New Roman" w:hAnsi="Times New Roman"/>
          <w:vertAlign w:val="subscript"/>
        </w:rPr>
        <w:t>2</w:t>
      </w:r>
      <w:r w:rsidR="00892B10" w:rsidRPr="009E5DB5">
        <w:rPr>
          <w:rFonts w:ascii="Times New Roman" w:hAnsi="Times New Roman"/>
        </w:rPr>
        <w:t xml:space="preserve"> with </w:t>
      </w:r>
      <w:r w:rsidR="00546C54">
        <w:rPr>
          <w:rFonts w:ascii="Times New Roman" w:hAnsi="Times New Roman"/>
        </w:rPr>
        <w:t xml:space="preserve">any </w:t>
      </w:r>
      <w:r w:rsidR="0038535B">
        <w:rPr>
          <w:rFonts w:ascii="Times New Roman" w:hAnsi="Times New Roman"/>
        </w:rPr>
        <w:t xml:space="preserve">of the studied </w:t>
      </w:r>
      <w:r w:rsidR="00546C54">
        <w:rPr>
          <w:rFonts w:ascii="Times New Roman" w:hAnsi="Times New Roman"/>
        </w:rPr>
        <w:t>IL</w:t>
      </w:r>
      <w:r w:rsidR="00892B10" w:rsidRPr="009E5DB5">
        <w:rPr>
          <w:rFonts w:ascii="Times New Roman" w:hAnsi="Times New Roman"/>
        </w:rPr>
        <w:t xml:space="preserve">, HER critically increases (up to </w:t>
      </w:r>
      <w:r w:rsidR="001B23D2">
        <w:rPr>
          <w:rFonts w:ascii="Times New Roman" w:hAnsi="Times New Roman"/>
        </w:rPr>
        <w:t xml:space="preserve">8.25 </w:t>
      </w:r>
      <w:r w:rsidR="002D4EEC" w:rsidRPr="009E5DB5">
        <w:rPr>
          <w:rFonts w:ascii="Times New Roman" w:hAnsi="Times New Roman"/>
        </w:rPr>
        <w:t>mmol</w:t>
      </w:r>
      <w:r w:rsidR="002D4EEC">
        <w:rPr>
          <w:rFonts w:ascii="Times New Roman" w:hAnsi="Times New Roman"/>
        </w:rPr>
        <w:t xml:space="preserve">. </w:t>
      </w:r>
      <w:r w:rsidR="002D4EEC" w:rsidRPr="009E5DB5">
        <w:rPr>
          <w:rFonts w:ascii="Times New Roman" w:hAnsi="Times New Roman"/>
        </w:rPr>
        <w:t>g</w:t>
      </w:r>
      <w:r w:rsidR="002D4EEC" w:rsidRPr="002D4EEC">
        <w:rPr>
          <w:rFonts w:ascii="Times New Roman" w:hAnsi="Times New Roman"/>
          <w:vertAlign w:val="superscript"/>
        </w:rPr>
        <w:t>-1</w:t>
      </w:r>
      <w:r w:rsidR="002D4EEC">
        <w:rPr>
          <w:rFonts w:ascii="Times New Roman" w:hAnsi="Times New Roman"/>
        </w:rPr>
        <w:t>.h</w:t>
      </w:r>
      <w:r w:rsidR="002D4EEC" w:rsidRPr="002D4EEC">
        <w:rPr>
          <w:rFonts w:ascii="Times New Roman" w:hAnsi="Times New Roman"/>
          <w:vertAlign w:val="superscript"/>
        </w:rPr>
        <w:t>-1</w:t>
      </w:r>
      <w:r w:rsidR="002D4EEC" w:rsidRPr="009E5DB5">
        <w:rPr>
          <w:rFonts w:ascii="Times New Roman" w:hAnsi="Times New Roman"/>
        </w:rPr>
        <w:t xml:space="preserve"> </w:t>
      </w:r>
      <w:r w:rsidR="001B23D2">
        <w:rPr>
          <w:rFonts w:ascii="Times New Roman" w:hAnsi="Times New Roman"/>
        </w:rPr>
        <w:t>for IL2</w:t>
      </w:r>
      <w:r w:rsidR="00892B10" w:rsidRPr="009E5DB5">
        <w:rPr>
          <w:rFonts w:ascii="Times New Roman" w:hAnsi="Times New Roman"/>
        </w:rPr>
        <w:t>)</w:t>
      </w:r>
      <w:r w:rsidR="004A65FF" w:rsidRPr="004A65FF">
        <w:rPr>
          <w:rFonts w:ascii="Times New Roman" w:hAnsi="Times New Roman"/>
        </w:rPr>
        <w:t xml:space="preserve">, thus </w:t>
      </w:r>
      <w:r w:rsidR="000E7DA5">
        <w:rPr>
          <w:rFonts w:ascii="Times New Roman" w:hAnsi="Times New Roman"/>
        </w:rPr>
        <w:t>confirming</w:t>
      </w:r>
      <w:r w:rsidR="004A65FF" w:rsidRPr="004A65FF">
        <w:rPr>
          <w:rFonts w:ascii="Times New Roman" w:hAnsi="Times New Roman"/>
        </w:rPr>
        <w:t xml:space="preserve"> IL's electronic influence</w:t>
      </w:r>
      <w:r w:rsidR="00892B10" w:rsidRPr="009E5DB5">
        <w:rPr>
          <w:rFonts w:ascii="Times New Roman" w:hAnsi="Times New Roman"/>
        </w:rPr>
        <w:t xml:space="preserve"> over the system</w:t>
      </w:r>
      <w:r w:rsidR="00AC221D" w:rsidRPr="009E5DB5">
        <w:rPr>
          <w:rFonts w:ascii="Times New Roman" w:hAnsi="Times New Roman"/>
        </w:rPr>
        <w:t xml:space="preserve">. </w:t>
      </w:r>
      <w:r w:rsidR="00C8119D" w:rsidRPr="009E5DB5">
        <w:rPr>
          <w:rFonts w:ascii="Times New Roman" w:hAnsi="Times New Roman"/>
        </w:rPr>
        <w:t xml:space="preserve">However, </w:t>
      </w:r>
      <w:r w:rsidR="0038535B">
        <w:rPr>
          <w:rFonts w:ascii="Times New Roman" w:hAnsi="Times New Roman"/>
        </w:rPr>
        <w:t xml:space="preserve">XPS and TGA measurements determined </w:t>
      </w:r>
      <w:r w:rsidR="000E7DA5">
        <w:rPr>
          <w:rFonts w:ascii="Times New Roman" w:hAnsi="Times New Roman"/>
        </w:rPr>
        <w:t>a</w:t>
      </w:r>
      <w:r w:rsidR="0038535B">
        <w:rPr>
          <w:rFonts w:ascii="Times New Roman" w:hAnsi="Times New Roman"/>
        </w:rPr>
        <w:t xml:space="preserve"> </w:t>
      </w:r>
      <w:r w:rsidR="004A65FF">
        <w:rPr>
          <w:rFonts w:ascii="Times New Roman" w:hAnsi="Times New Roman"/>
        </w:rPr>
        <w:t>decomposition</w:t>
      </w:r>
      <w:r w:rsidR="0038535B">
        <w:rPr>
          <w:rFonts w:ascii="Times New Roman" w:hAnsi="Times New Roman"/>
        </w:rPr>
        <w:t xml:space="preserve"> process for </w:t>
      </w:r>
      <w:r w:rsidR="001B23D2">
        <w:rPr>
          <w:rFonts w:ascii="Times New Roman" w:hAnsi="Times New Roman"/>
        </w:rPr>
        <w:t xml:space="preserve">IL1 and IL3 probably due to </w:t>
      </w:r>
      <w:r w:rsidR="001631FB">
        <w:rPr>
          <w:rFonts w:ascii="Times New Roman" w:hAnsi="Times New Roman"/>
        </w:rPr>
        <w:t>both IL’s hydrophilicity, which leads to</w:t>
      </w:r>
      <w:r w:rsidR="000E7DA5">
        <w:rPr>
          <w:rFonts w:ascii="Times New Roman" w:hAnsi="Times New Roman"/>
        </w:rPr>
        <w:t xml:space="preserve"> </w:t>
      </w:r>
      <w:r w:rsidR="001631FB">
        <w:rPr>
          <w:rFonts w:ascii="Times New Roman" w:hAnsi="Times New Roman"/>
        </w:rPr>
        <w:t>interacting</w:t>
      </w:r>
      <w:r w:rsidR="000E7DA5">
        <w:rPr>
          <w:rFonts w:ascii="Times New Roman" w:hAnsi="Times New Roman"/>
        </w:rPr>
        <w:t xml:space="preserve"> with</w:t>
      </w:r>
      <w:r w:rsidR="001B23D2">
        <w:rPr>
          <w:rFonts w:ascii="Times New Roman" w:hAnsi="Times New Roman"/>
        </w:rPr>
        <w:t xml:space="preserve"> </w:t>
      </w:r>
      <w:r w:rsidR="001631FB">
        <w:rPr>
          <w:rFonts w:ascii="Times New Roman" w:hAnsi="Times New Roman"/>
        </w:rPr>
        <w:t xml:space="preserve">aqueous </w:t>
      </w:r>
      <w:r w:rsidR="001B23D2">
        <w:rPr>
          <w:rFonts w:ascii="Times New Roman" w:hAnsi="Times New Roman"/>
        </w:rPr>
        <w:t>media</w:t>
      </w:r>
      <w:r w:rsidR="002D4EEC">
        <w:rPr>
          <w:rFonts w:ascii="Times New Roman" w:hAnsi="Times New Roman"/>
        </w:rPr>
        <w:t xml:space="preserve"> and TiO</w:t>
      </w:r>
      <w:r w:rsidR="002D4EEC" w:rsidRPr="002D4EEC">
        <w:rPr>
          <w:rFonts w:ascii="Times New Roman" w:hAnsi="Times New Roman"/>
          <w:vertAlign w:val="subscript"/>
        </w:rPr>
        <w:t>2</w:t>
      </w:r>
      <w:r w:rsidR="002D4EEC">
        <w:rPr>
          <w:rFonts w:ascii="Times New Roman" w:hAnsi="Times New Roman"/>
        </w:rPr>
        <w:t xml:space="preserve"> surface</w:t>
      </w:r>
      <w:r w:rsidR="001B23D2">
        <w:rPr>
          <w:rFonts w:ascii="Times New Roman" w:hAnsi="Times New Roman"/>
        </w:rPr>
        <w:t>.</w:t>
      </w:r>
    </w:p>
    <w:p w14:paraId="1F50F218" w14:textId="60E82B96" w:rsidR="00EA4E1B" w:rsidRPr="00C05EC7" w:rsidRDefault="00C05EC7" w:rsidP="00EA4E1B">
      <w:pP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144357FC" wp14:editId="72943C2E">
            <wp:extent cx="2717800" cy="1260196"/>
            <wp:effectExtent l="0" t="0" r="6350" b="0"/>
            <wp:docPr id="13682332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2733" cy="1267120"/>
                    </a:xfrm>
                    <a:prstGeom prst="rect">
                      <a:avLst/>
                    </a:prstGeom>
                    <a:noFill/>
                  </pic:spPr>
                </pic:pic>
              </a:graphicData>
            </a:graphic>
          </wp:inline>
        </w:drawing>
      </w:r>
    </w:p>
    <w:p w14:paraId="49AE8C02" w14:textId="2BFDB8C4" w:rsidR="00EA4E1B" w:rsidRDefault="00EA4E1B" w:rsidP="00C05EC7">
      <w:pPr>
        <w:pStyle w:val="VAFigureCaption"/>
        <w:spacing w:before="0"/>
      </w:pPr>
      <w:r w:rsidRPr="00FB16ED">
        <w:rPr>
          <w:rFonts w:ascii="Times New Roman" w:hAnsi="Times New Roman"/>
          <w:b/>
        </w:rPr>
        <w:t>Figur</w:t>
      </w:r>
      <w:r w:rsidR="00094C5E" w:rsidRPr="00FB16ED">
        <w:rPr>
          <w:rFonts w:ascii="Times New Roman" w:hAnsi="Times New Roman"/>
          <w:b/>
        </w:rPr>
        <w:t>e</w:t>
      </w:r>
      <w:r w:rsidRPr="00FB16ED">
        <w:rPr>
          <w:rFonts w:ascii="Times New Roman" w:hAnsi="Times New Roman"/>
          <w:b/>
        </w:rPr>
        <w:t xml:space="preserve"> 1.</w:t>
      </w:r>
      <w:r w:rsidR="00C05EC7" w:rsidRPr="00FB16ED">
        <w:rPr>
          <w:rFonts w:ascii="Times New Roman" w:hAnsi="Times New Roman"/>
        </w:rPr>
        <w:t xml:space="preserve"> (a) Chemical mapping from Au4@TiO2 prepared nanomaterial showing the Au (red) and TiO2 (green) nanoparticles. (b) HRTEM micrograph of Au@TiO2 prepared nanomaterials.</w:t>
      </w:r>
    </w:p>
    <w:p w14:paraId="0B6C4A14" w14:textId="77777777" w:rsidR="004D2A4E" w:rsidRDefault="004D2A4E" w:rsidP="00517523">
      <w:pPr>
        <w:pStyle w:val="VDTableTitle"/>
        <w:spacing w:after="0"/>
        <w:rPr>
          <w:rFonts w:eastAsiaTheme="minorEastAsia"/>
          <w:b/>
          <w:bCs/>
        </w:rPr>
      </w:pPr>
    </w:p>
    <w:p w14:paraId="1E7354E2" w14:textId="650BED9C" w:rsidR="0023316B" w:rsidRDefault="0023316B" w:rsidP="000E2861">
      <w:pPr>
        <w:pStyle w:val="VDTableTitle"/>
      </w:pPr>
      <w:r w:rsidRPr="0023316B">
        <w:rPr>
          <w:rFonts w:eastAsiaTheme="minorEastAsia"/>
          <w:b/>
          <w:bCs/>
        </w:rPr>
        <w:t>Table 1</w:t>
      </w:r>
      <w:r w:rsidRPr="0023316B">
        <w:rPr>
          <w:rFonts w:eastAsiaTheme="minorEastAsia"/>
        </w:rPr>
        <w:t xml:space="preserve"> Energy band gap with </w:t>
      </w:r>
      <w:r w:rsidR="002B1149">
        <w:rPr>
          <w:rFonts w:eastAsiaTheme="minorEastAsia"/>
        </w:rPr>
        <w:t xml:space="preserve">an </w:t>
      </w:r>
      <w:r w:rsidR="00440535">
        <w:rPr>
          <w:rFonts w:eastAsiaTheme="minorEastAsia"/>
        </w:rPr>
        <w:t>in</w:t>
      </w:r>
      <w:r w:rsidRPr="0023316B">
        <w:rPr>
          <w:rFonts w:eastAsiaTheme="minorEastAsia"/>
        </w:rPr>
        <w:t xml:space="preserve">direct application of the </w:t>
      </w:r>
      <w:proofErr w:type="spellStart"/>
      <w:r w:rsidRPr="0023316B">
        <w:rPr>
          <w:rFonts w:eastAsiaTheme="minorEastAsia"/>
        </w:rPr>
        <w:t>Tauc</w:t>
      </w:r>
      <w:proofErr w:type="spellEnd"/>
      <w:r w:rsidRPr="0023316B">
        <w:rPr>
          <w:rFonts w:eastAsiaTheme="minorEastAsia"/>
        </w:rPr>
        <w:t xml:space="preserve"> plot</w:t>
      </w:r>
      <w:r w:rsidR="00440535">
        <w:rPr>
          <w:rFonts w:eastAsiaTheme="minorEastAsia"/>
        </w:rPr>
        <w:t xml:space="preserve"> and superficial </w:t>
      </w:r>
      <w:r w:rsidR="001E2996">
        <w:rPr>
          <w:rFonts w:eastAsiaTheme="minorEastAsia"/>
        </w:rPr>
        <w:t>parameters</w:t>
      </w:r>
      <w:r w:rsidR="00440535">
        <w:rPr>
          <w:rFonts w:eastAsiaTheme="minorEastAsia"/>
        </w:rPr>
        <w:t xml:space="preserve"> obtained for Au1-4@TiO</w:t>
      </w:r>
      <w:r w:rsidR="00440535" w:rsidRPr="001E2996">
        <w:rPr>
          <w:rFonts w:eastAsiaTheme="minorEastAsia"/>
          <w:vertAlign w:val="subscript"/>
        </w:rPr>
        <w:t>2</w:t>
      </w:r>
      <w:r w:rsidR="00440535">
        <w:rPr>
          <w:rFonts w:eastAsiaTheme="minorEastAsia"/>
        </w:rPr>
        <w:t xml:space="preserve"> as-prepared materials</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567"/>
        <w:gridCol w:w="992"/>
        <w:gridCol w:w="1134"/>
        <w:gridCol w:w="993"/>
      </w:tblGrid>
      <w:tr w:rsidR="00517523" w:rsidRPr="00440535" w14:paraId="2FB3611B" w14:textId="7447B3CD" w:rsidTr="00517523">
        <w:trPr>
          <w:jc w:val="center"/>
        </w:trPr>
        <w:tc>
          <w:tcPr>
            <w:tcW w:w="1271" w:type="dxa"/>
            <w:vAlign w:val="center"/>
          </w:tcPr>
          <w:p w14:paraId="6276FF29" w14:textId="77777777" w:rsidR="00517523" w:rsidRPr="00440535" w:rsidRDefault="00517523" w:rsidP="00322E77">
            <w:pPr>
              <w:pStyle w:val="TCTableBody"/>
              <w:spacing w:after="0"/>
              <w:jc w:val="center"/>
              <w:rPr>
                <w:rFonts w:eastAsia="MS Mincho"/>
                <w:b/>
                <w:bCs/>
                <w:sz w:val="16"/>
                <w:szCs w:val="16"/>
                <w:lang w:val="de-DE"/>
              </w:rPr>
            </w:pPr>
            <w:r w:rsidRPr="00440535">
              <w:rPr>
                <w:rFonts w:eastAsia="MS Mincho"/>
                <w:b/>
                <w:bCs/>
                <w:sz w:val="16"/>
                <w:szCs w:val="16"/>
                <w:lang w:val="de-DE"/>
              </w:rPr>
              <w:t>Catalyst</w:t>
            </w:r>
          </w:p>
        </w:tc>
        <w:tc>
          <w:tcPr>
            <w:tcW w:w="567" w:type="dxa"/>
            <w:vAlign w:val="center"/>
          </w:tcPr>
          <w:p w14:paraId="0A27B0B9" w14:textId="77777777" w:rsidR="00517523" w:rsidRPr="00440535" w:rsidRDefault="00517523" w:rsidP="00322E77">
            <w:pPr>
              <w:pStyle w:val="TCTableBody"/>
              <w:spacing w:after="0"/>
              <w:jc w:val="center"/>
              <w:rPr>
                <w:rFonts w:eastAsia="MS Mincho"/>
                <w:b/>
                <w:bCs/>
                <w:sz w:val="16"/>
                <w:szCs w:val="16"/>
                <w:lang w:val="de-DE"/>
              </w:rPr>
            </w:pPr>
            <w:r w:rsidRPr="00440535">
              <w:rPr>
                <w:rFonts w:eastAsia="MS Mincho"/>
                <w:b/>
                <w:bCs/>
                <w:sz w:val="16"/>
                <w:szCs w:val="16"/>
                <w:lang w:val="de-DE"/>
              </w:rPr>
              <w:t>E</w:t>
            </w:r>
            <w:r w:rsidRPr="00440535">
              <w:rPr>
                <w:rFonts w:eastAsia="MS Mincho"/>
                <w:b/>
                <w:bCs/>
                <w:sz w:val="16"/>
                <w:szCs w:val="16"/>
                <w:vertAlign w:val="subscript"/>
                <w:lang w:val="de-DE"/>
              </w:rPr>
              <w:t>g</w:t>
            </w:r>
            <w:r w:rsidRPr="00440535">
              <w:rPr>
                <w:rFonts w:eastAsia="MS Mincho"/>
                <w:b/>
                <w:bCs/>
                <w:sz w:val="16"/>
                <w:szCs w:val="16"/>
                <w:vertAlign w:val="superscript"/>
                <w:lang w:val="de-DE"/>
              </w:rPr>
              <w:t xml:space="preserve">opt </w:t>
            </w:r>
            <w:r w:rsidRPr="00440535">
              <w:rPr>
                <w:rFonts w:eastAsia="MS Mincho"/>
                <w:b/>
                <w:bCs/>
                <w:sz w:val="16"/>
                <w:szCs w:val="16"/>
                <w:lang w:val="de-DE"/>
              </w:rPr>
              <w:t>(eV)</w:t>
            </w:r>
          </w:p>
        </w:tc>
        <w:tc>
          <w:tcPr>
            <w:tcW w:w="992" w:type="dxa"/>
          </w:tcPr>
          <w:p w14:paraId="5224B4C3" w14:textId="77777777" w:rsidR="00517523" w:rsidRPr="00322E77" w:rsidRDefault="00517523" w:rsidP="00322E77">
            <w:pPr>
              <w:pStyle w:val="TCTableBody"/>
              <w:spacing w:after="0"/>
              <w:jc w:val="center"/>
              <w:rPr>
                <w:rFonts w:eastAsia="MS Mincho"/>
                <w:b/>
                <w:bCs/>
                <w:sz w:val="16"/>
                <w:szCs w:val="16"/>
                <w:lang w:val="pt-AO"/>
              </w:rPr>
            </w:pPr>
            <w:r w:rsidRPr="00322E77">
              <w:rPr>
                <w:rFonts w:eastAsia="MS Mincho"/>
                <w:b/>
                <w:bCs/>
                <w:sz w:val="16"/>
                <w:szCs w:val="16"/>
                <w:lang w:val="pt-BR"/>
              </w:rPr>
              <w:t xml:space="preserve">BET surface </w:t>
            </w:r>
            <w:proofErr w:type="spellStart"/>
            <w:r w:rsidRPr="00322E77">
              <w:rPr>
                <w:rFonts w:eastAsia="MS Mincho"/>
                <w:b/>
                <w:bCs/>
                <w:sz w:val="16"/>
                <w:szCs w:val="16"/>
                <w:lang w:val="pt-BR"/>
              </w:rPr>
              <w:t>area</w:t>
            </w:r>
            <w:proofErr w:type="spellEnd"/>
          </w:p>
          <w:p w14:paraId="7BB6687A" w14:textId="193A0B48" w:rsidR="00517523" w:rsidRPr="00440535" w:rsidRDefault="00517523" w:rsidP="00322E77">
            <w:pPr>
              <w:pStyle w:val="TCTableBody"/>
              <w:spacing w:after="0"/>
              <w:jc w:val="center"/>
              <w:rPr>
                <w:rFonts w:eastAsia="MS Mincho"/>
                <w:b/>
                <w:bCs/>
                <w:sz w:val="16"/>
                <w:szCs w:val="16"/>
                <w:lang w:val="pt-AO"/>
              </w:rPr>
            </w:pPr>
            <w:r w:rsidRPr="00322E77">
              <w:rPr>
                <w:rFonts w:eastAsia="MS Mincho"/>
                <w:b/>
                <w:bCs/>
                <w:sz w:val="16"/>
                <w:szCs w:val="16"/>
                <w:lang w:val="pt-BR"/>
              </w:rPr>
              <w:t>m</w:t>
            </w:r>
            <w:r w:rsidRPr="00322E77">
              <w:rPr>
                <w:rFonts w:eastAsia="MS Mincho"/>
                <w:b/>
                <w:bCs/>
                <w:sz w:val="16"/>
                <w:szCs w:val="16"/>
                <w:vertAlign w:val="superscript"/>
                <w:lang w:val="pt-BR"/>
              </w:rPr>
              <w:t>2</w:t>
            </w:r>
            <w:r w:rsidRPr="00322E77">
              <w:rPr>
                <w:rFonts w:eastAsia="MS Mincho"/>
                <w:b/>
                <w:bCs/>
                <w:sz w:val="16"/>
                <w:szCs w:val="16"/>
                <w:lang w:val="pt-BR"/>
              </w:rPr>
              <w:t>g</w:t>
            </w:r>
            <w:r w:rsidRPr="00322E77">
              <w:rPr>
                <w:rFonts w:eastAsia="MS Mincho"/>
                <w:b/>
                <w:bCs/>
                <w:sz w:val="16"/>
                <w:szCs w:val="16"/>
                <w:vertAlign w:val="superscript"/>
                <w:lang w:val="pt-BR"/>
              </w:rPr>
              <w:t>-1</w:t>
            </w:r>
            <w:r w:rsidRPr="00322E77">
              <w:rPr>
                <w:rFonts w:eastAsia="MS Mincho"/>
                <w:b/>
                <w:bCs/>
                <w:sz w:val="16"/>
                <w:szCs w:val="16"/>
                <w:lang w:val="pt-BR"/>
              </w:rPr>
              <w:t xml:space="preserve"> (± 2)</w:t>
            </w:r>
          </w:p>
        </w:tc>
        <w:tc>
          <w:tcPr>
            <w:tcW w:w="1134" w:type="dxa"/>
          </w:tcPr>
          <w:p w14:paraId="54F1D939" w14:textId="77777777" w:rsidR="00517523" w:rsidRPr="00440535" w:rsidRDefault="00517523" w:rsidP="00322E77">
            <w:pPr>
              <w:pStyle w:val="TCTableBody"/>
              <w:spacing w:after="0"/>
              <w:jc w:val="center"/>
              <w:rPr>
                <w:b/>
                <w:bCs/>
                <w:sz w:val="16"/>
                <w:szCs w:val="16"/>
              </w:rPr>
            </w:pPr>
            <w:r w:rsidRPr="00440535">
              <w:rPr>
                <w:b/>
                <w:bCs/>
                <w:sz w:val="16"/>
                <w:szCs w:val="16"/>
              </w:rPr>
              <w:t xml:space="preserve">Pore vol. </w:t>
            </w:r>
          </w:p>
          <w:p w14:paraId="25D377AA" w14:textId="1719D44A" w:rsidR="00517523" w:rsidRPr="00440535" w:rsidRDefault="00517523" w:rsidP="00322E77">
            <w:pPr>
              <w:pStyle w:val="TCTableBody"/>
              <w:spacing w:after="0"/>
              <w:jc w:val="center"/>
              <w:rPr>
                <w:rFonts w:eastAsia="MS Mincho"/>
                <w:b/>
                <w:bCs/>
                <w:sz w:val="16"/>
                <w:szCs w:val="16"/>
                <w:lang w:val="de-DE"/>
              </w:rPr>
            </w:pPr>
            <w:r w:rsidRPr="00440535">
              <w:rPr>
                <w:b/>
                <w:bCs/>
                <w:sz w:val="16"/>
                <w:szCs w:val="16"/>
              </w:rPr>
              <w:t>[cm</w:t>
            </w:r>
            <w:r w:rsidRPr="00440535">
              <w:rPr>
                <w:b/>
                <w:bCs/>
                <w:sz w:val="16"/>
                <w:szCs w:val="16"/>
                <w:vertAlign w:val="superscript"/>
              </w:rPr>
              <w:t>3</w:t>
            </w:r>
            <w:r w:rsidRPr="00440535">
              <w:rPr>
                <w:b/>
                <w:bCs/>
                <w:sz w:val="16"/>
                <w:szCs w:val="16"/>
              </w:rPr>
              <w:t>.g</w:t>
            </w:r>
            <w:r w:rsidRPr="00440535">
              <w:rPr>
                <w:b/>
                <w:bCs/>
                <w:sz w:val="16"/>
                <w:szCs w:val="16"/>
                <w:vertAlign w:val="superscript"/>
              </w:rPr>
              <w:t>-1</w:t>
            </w:r>
            <w:r w:rsidRPr="00440535">
              <w:rPr>
                <w:b/>
                <w:bCs/>
                <w:sz w:val="16"/>
                <w:szCs w:val="16"/>
              </w:rPr>
              <w:t>]</w:t>
            </w:r>
          </w:p>
        </w:tc>
        <w:tc>
          <w:tcPr>
            <w:tcW w:w="993" w:type="dxa"/>
          </w:tcPr>
          <w:p w14:paraId="624A1A5D" w14:textId="34341DC4" w:rsidR="00517523" w:rsidRDefault="00517523" w:rsidP="00322E77">
            <w:pPr>
              <w:pStyle w:val="TCTableBody"/>
              <w:spacing w:after="0"/>
              <w:jc w:val="center"/>
              <w:rPr>
                <w:b/>
                <w:bCs/>
                <w:sz w:val="16"/>
                <w:szCs w:val="16"/>
                <w:lang w:val="pt-BR"/>
              </w:rPr>
            </w:pPr>
            <w:r w:rsidRPr="00517523">
              <w:rPr>
                <w:b/>
                <w:bCs/>
                <w:sz w:val="16"/>
                <w:szCs w:val="16"/>
                <w:lang w:val="pt-BR"/>
              </w:rPr>
              <w:t>FAAS</w:t>
            </w:r>
            <w:r>
              <w:rPr>
                <w:b/>
                <w:bCs/>
                <w:sz w:val="16"/>
                <w:szCs w:val="16"/>
                <w:lang w:val="pt-BR"/>
              </w:rPr>
              <w:t>/PIXE</w:t>
            </w:r>
          </w:p>
          <w:p w14:paraId="7DC9C43E" w14:textId="7F0AF446" w:rsidR="00517523" w:rsidRPr="00517523" w:rsidRDefault="00517523" w:rsidP="00322E77">
            <w:pPr>
              <w:pStyle w:val="TCTableBody"/>
              <w:spacing w:after="0"/>
              <w:jc w:val="center"/>
              <w:rPr>
                <w:b/>
                <w:bCs/>
                <w:sz w:val="16"/>
                <w:szCs w:val="16"/>
              </w:rPr>
            </w:pPr>
            <w:r w:rsidRPr="00517523">
              <w:rPr>
                <w:b/>
                <w:bCs/>
                <w:sz w:val="16"/>
                <w:szCs w:val="16"/>
                <w:lang w:val="pt-BR"/>
              </w:rPr>
              <w:t xml:space="preserve">[% </w:t>
            </w:r>
            <w:proofErr w:type="spellStart"/>
            <w:r w:rsidRPr="00517523">
              <w:rPr>
                <w:b/>
                <w:bCs/>
                <w:sz w:val="16"/>
                <w:szCs w:val="16"/>
                <w:lang w:val="pt-BR"/>
              </w:rPr>
              <w:t>Au</w:t>
            </w:r>
            <w:proofErr w:type="spellEnd"/>
            <w:r w:rsidRPr="00517523">
              <w:rPr>
                <w:b/>
                <w:bCs/>
                <w:sz w:val="16"/>
                <w:szCs w:val="16"/>
                <w:lang w:val="pt-BR"/>
              </w:rPr>
              <w:t>]</w:t>
            </w:r>
          </w:p>
        </w:tc>
      </w:tr>
      <w:tr w:rsidR="00517523" w:rsidRPr="00440535" w14:paraId="3FEA3EFB" w14:textId="407A79A2" w:rsidTr="00517523">
        <w:trPr>
          <w:jc w:val="center"/>
        </w:trPr>
        <w:tc>
          <w:tcPr>
            <w:tcW w:w="1271" w:type="dxa"/>
            <w:vAlign w:val="center"/>
          </w:tcPr>
          <w:p w14:paraId="0FA10F9E" w14:textId="77777777" w:rsidR="00517523" w:rsidRPr="00440535" w:rsidRDefault="00517523" w:rsidP="00440535">
            <w:pPr>
              <w:pStyle w:val="TCTableBody"/>
              <w:spacing w:after="0"/>
              <w:jc w:val="center"/>
              <w:rPr>
                <w:sz w:val="16"/>
                <w:szCs w:val="16"/>
                <w:lang w:val="pt-BR"/>
              </w:rPr>
            </w:pPr>
            <w:r w:rsidRPr="00440535">
              <w:rPr>
                <w:rFonts w:eastAsia="MS Mincho"/>
                <w:sz w:val="16"/>
                <w:szCs w:val="16"/>
                <w:lang w:val="de-DE"/>
              </w:rPr>
              <w:t>TiO</w:t>
            </w:r>
            <w:r w:rsidRPr="00440535">
              <w:rPr>
                <w:rFonts w:eastAsia="MS Mincho"/>
                <w:sz w:val="16"/>
                <w:szCs w:val="16"/>
                <w:vertAlign w:val="subscript"/>
                <w:lang w:val="de-DE"/>
              </w:rPr>
              <w:t>2</w:t>
            </w:r>
          </w:p>
        </w:tc>
        <w:tc>
          <w:tcPr>
            <w:tcW w:w="567" w:type="dxa"/>
            <w:vAlign w:val="center"/>
          </w:tcPr>
          <w:p w14:paraId="30E0ECD4" w14:textId="315B8380" w:rsidR="00517523" w:rsidRPr="00440535" w:rsidRDefault="00517523" w:rsidP="00440535">
            <w:pPr>
              <w:pStyle w:val="TCTableBody"/>
              <w:spacing w:after="0"/>
              <w:jc w:val="center"/>
              <w:rPr>
                <w:sz w:val="16"/>
                <w:szCs w:val="16"/>
                <w:lang w:val="pt-BR"/>
              </w:rPr>
            </w:pPr>
            <w:r w:rsidRPr="00440535">
              <w:rPr>
                <w:rFonts w:eastAsia="MS Mincho"/>
                <w:sz w:val="16"/>
                <w:szCs w:val="16"/>
                <w:lang w:val="de-DE"/>
              </w:rPr>
              <w:t>3.04</w:t>
            </w:r>
          </w:p>
        </w:tc>
        <w:tc>
          <w:tcPr>
            <w:tcW w:w="992" w:type="dxa"/>
            <w:shd w:val="clear" w:color="auto" w:fill="auto"/>
          </w:tcPr>
          <w:p w14:paraId="7F6FD386" w14:textId="38E624E4" w:rsidR="00517523" w:rsidRPr="00440535" w:rsidRDefault="00517523" w:rsidP="00440535">
            <w:pPr>
              <w:pStyle w:val="TCTableBody"/>
              <w:spacing w:after="0"/>
              <w:jc w:val="center"/>
              <w:rPr>
                <w:rFonts w:eastAsia="MS Mincho"/>
                <w:sz w:val="16"/>
                <w:szCs w:val="16"/>
                <w:lang w:val="de-DE"/>
              </w:rPr>
            </w:pPr>
            <w:r w:rsidRPr="00440535">
              <w:rPr>
                <w:rFonts w:eastAsia="MS Mincho"/>
                <w:sz w:val="16"/>
                <w:szCs w:val="16"/>
                <w:lang w:val="de-DE"/>
              </w:rPr>
              <w:t xml:space="preserve">56 </w:t>
            </w:r>
          </w:p>
        </w:tc>
        <w:tc>
          <w:tcPr>
            <w:tcW w:w="1134" w:type="dxa"/>
          </w:tcPr>
          <w:p w14:paraId="3F9C3F6A" w14:textId="1E5EC850" w:rsidR="00517523" w:rsidRPr="00440535" w:rsidRDefault="00517523" w:rsidP="00440535">
            <w:pPr>
              <w:pStyle w:val="TCTableBody"/>
              <w:spacing w:after="0"/>
              <w:jc w:val="center"/>
              <w:rPr>
                <w:rFonts w:eastAsia="MS Mincho"/>
                <w:sz w:val="16"/>
                <w:szCs w:val="16"/>
                <w:lang w:val="de-DE"/>
              </w:rPr>
            </w:pPr>
            <w:r w:rsidRPr="00440535">
              <w:rPr>
                <w:rFonts w:eastAsia="MS Mincho"/>
                <w:sz w:val="16"/>
                <w:szCs w:val="16"/>
                <w:lang w:val="de-DE"/>
              </w:rPr>
              <w:t>0.14</w:t>
            </w:r>
          </w:p>
        </w:tc>
        <w:tc>
          <w:tcPr>
            <w:tcW w:w="993" w:type="dxa"/>
          </w:tcPr>
          <w:p w14:paraId="3599001D" w14:textId="6B48F791" w:rsidR="00517523" w:rsidRPr="00440535" w:rsidRDefault="00517523" w:rsidP="00440535">
            <w:pPr>
              <w:pStyle w:val="TCTableBody"/>
              <w:spacing w:after="0"/>
              <w:jc w:val="center"/>
              <w:rPr>
                <w:rFonts w:eastAsia="MS Mincho"/>
                <w:sz w:val="16"/>
                <w:szCs w:val="16"/>
                <w:lang w:val="de-DE"/>
              </w:rPr>
            </w:pPr>
            <w:r>
              <w:rPr>
                <w:rFonts w:eastAsia="MS Mincho"/>
                <w:sz w:val="16"/>
                <w:szCs w:val="16"/>
                <w:lang w:val="de-DE"/>
              </w:rPr>
              <w:t>-</w:t>
            </w:r>
          </w:p>
        </w:tc>
      </w:tr>
      <w:tr w:rsidR="00517523" w:rsidRPr="00440535" w14:paraId="3F712F66" w14:textId="49A61E38" w:rsidTr="00517523">
        <w:trPr>
          <w:jc w:val="center"/>
        </w:trPr>
        <w:tc>
          <w:tcPr>
            <w:tcW w:w="1271" w:type="dxa"/>
            <w:vAlign w:val="center"/>
          </w:tcPr>
          <w:p w14:paraId="0D0C94F8" w14:textId="69AAA391" w:rsidR="00517523" w:rsidRPr="00440535" w:rsidRDefault="00517523" w:rsidP="00440535">
            <w:pPr>
              <w:pStyle w:val="TCTableBody"/>
              <w:spacing w:after="0"/>
              <w:jc w:val="center"/>
              <w:rPr>
                <w:rFonts w:eastAsia="MS Mincho"/>
                <w:sz w:val="16"/>
                <w:szCs w:val="16"/>
                <w:lang w:val="de-DE"/>
              </w:rPr>
            </w:pPr>
            <w:r w:rsidRPr="00440535">
              <w:rPr>
                <w:rFonts w:eastAsia="MS Mincho"/>
                <w:sz w:val="16"/>
                <w:szCs w:val="16"/>
                <w:lang w:val="de-DE"/>
              </w:rPr>
              <w:t>IL2@TiO</w:t>
            </w:r>
            <w:r w:rsidRPr="00440535">
              <w:rPr>
                <w:rFonts w:eastAsia="MS Mincho"/>
                <w:sz w:val="16"/>
                <w:szCs w:val="16"/>
                <w:vertAlign w:val="subscript"/>
                <w:lang w:val="de-DE"/>
              </w:rPr>
              <w:t>2</w:t>
            </w:r>
          </w:p>
        </w:tc>
        <w:tc>
          <w:tcPr>
            <w:tcW w:w="567" w:type="dxa"/>
            <w:vAlign w:val="center"/>
          </w:tcPr>
          <w:p w14:paraId="36BBA012" w14:textId="7A5F3B3D" w:rsidR="00517523" w:rsidRPr="00440535" w:rsidRDefault="00517523" w:rsidP="00440535">
            <w:pPr>
              <w:pStyle w:val="TCTableBody"/>
              <w:spacing w:after="0"/>
              <w:jc w:val="center"/>
              <w:rPr>
                <w:rFonts w:eastAsia="MS Mincho"/>
                <w:sz w:val="16"/>
                <w:szCs w:val="16"/>
                <w:lang w:val="de-DE"/>
              </w:rPr>
            </w:pPr>
            <w:r w:rsidRPr="00440535">
              <w:rPr>
                <w:rFonts w:eastAsia="MS Mincho"/>
                <w:sz w:val="16"/>
                <w:szCs w:val="16"/>
                <w:lang w:val="de-DE"/>
              </w:rPr>
              <w:t>2.98</w:t>
            </w:r>
          </w:p>
        </w:tc>
        <w:tc>
          <w:tcPr>
            <w:tcW w:w="992" w:type="dxa"/>
            <w:shd w:val="clear" w:color="auto" w:fill="auto"/>
          </w:tcPr>
          <w:p w14:paraId="56F8B24C" w14:textId="680A9EED" w:rsidR="00517523" w:rsidRPr="00440535" w:rsidRDefault="00517523" w:rsidP="00440535">
            <w:pPr>
              <w:pStyle w:val="TCTableBody"/>
              <w:spacing w:after="0"/>
              <w:jc w:val="center"/>
              <w:rPr>
                <w:rFonts w:eastAsia="MS Mincho"/>
                <w:sz w:val="16"/>
                <w:szCs w:val="16"/>
                <w:lang w:val="de-DE"/>
              </w:rPr>
            </w:pPr>
            <w:r w:rsidRPr="00440535">
              <w:rPr>
                <w:rFonts w:eastAsia="MS Mincho"/>
                <w:sz w:val="16"/>
                <w:szCs w:val="16"/>
                <w:lang w:val="de-DE"/>
              </w:rPr>
              <w:t>49</w:t>
            </w:r>
          </w:p>
        </w:tc>
        <w:tc>
          <w:tcPr>
            <w:tcW w:w="1134" w:type="dxa"/>
          </w:tcPr>
          <w:p w14:paraId="1DDCECB2" w14:textId="06C4F191" w:rsidR="00517523" w:rsidRPr="00440535" w:rsidRDefault="00517523" w:rsidP="00440535">
            <w:pPr>
              <w:pStyle w:val="TCTableBody"/>
              <w:spacing w:after="0"/>
              <w:jc w:val="center"/>
              <w:rPr>
                <w:rFonts w:eastAsia="MS Mincho"/>
                <w:sz w:val="16"/>
                <w:szCs w:val="16"/>
                <w:lang w:val="de-DE"/>
              </w:rPr>
            </w:pPr>
            <w:r w:rsidRPr="00440535">
              <w:rPr>
                <w:rFonts w:eastAsia="MS Mincho"/>
                <w:sz w:val="16"/>
                <w:szCs w:val="16"/>
                <w:lang w:val="de-DE"/>
              </w:rPr>
              <w:t>0.</w:t>
            </w:r>
            <w:r>
              <w:rPr>
                <w:rFonts w:eastAsia="MS Mincho"/>
                <w:sz w:val="16"/>
                <w:szCs w:val="16"/>
                <w:lang w:val="de-DE"/>
              </w:rPr>
              <w:t>28</w:t>
            </w:r>
          </w:p>
        </w:tc>
        <w:tc>
          <w:tcPr>
            <w:tcW w:w="993" w:type="dxa"/>
          </w:tcPr>
          <w:p w14:paraId="04E22157" w14:textId="190EE3E1" w:rsidR="00517523" w:rsidRPr="00440535" w:rsidRDefault="00517523" w:rsidP="00440535">
            <w:pPr>
              <w:pStyle w:val="TCTableBody"/>
              <w:spacing w:after="0"/>
              <w:jc w:val="center"/>
              <w:rPr>
                <w:rFonts w:eastAsia="MS Mincho"/>
                <w:sz w:val="16"/>
                <w:szCs w:val="16"/>
                <w:lang w:val="de-DE"/>
              </w:rPr>
            </w:pPr>
            <w:r>
              <w:rPr>
                <w:rFonts w:eastAsia="MS Mincho"/>
                <w:sz w:val="16"/>
                <w:szCs w:val="16"/>
                <w:lang w:val="de-DE"/>
              </w:rPr>
              <w:t>-</w:t>
            </w:r>
          </w:p>
        </w:tc>
      </w:tr>
      <w:tr w:rsidR="00517523" w:rsidRPr="00440535" w14:paraId="08588E74" w14:textId="7225B5A8" w:rsidTr="00184873">
        <w:trPr>
          <w:jc w:val="center"/>
        </w:trPr>
        <w:tc>
          <w:tcPr>
            <w:tcW w:w="1271" w:type="dxa"/>
            <w:vAlign w:val="center"/>
          </w:tcPr>
          <w:p w14:paraId="187F0558" w14:textId="21A911C7" w:rsidR="00517523" w:rsidRPr="00440535" w:rsidRDefault="00517523" w:rsidP="00517523">
            <w:pPr>
              <w:pStyle w:val="TCTableBody"/>
              <w:spacing w:after="0"/>
              <w:jc w:val="center"/>
              <w:rPr>
                <w:sz w:val="16"/>
                <w:szCs w:val="16"/>
                <w:lang w:val="pt-BR"/>
              </w:rPr>
            </w:pPr>
            <w:r w:rsidRPr="00440535">
              <w:rPr>
                <w:rFonts w:eastAsia="MS Mincho"/>
                <w:sz w:val="16"/>
                <w:szCs w:val="16"/>
                <w:lang w:val="de-DE"/>
              </w:rPr>
              <w:t>Au1@TiO</w:t>
            </w:r>
            <w:r w:rsidRPr="00440535">
              <w:rPr>
                <w:rFonts w:eastAsia="MS Mincho"/>
                <w:sz w:val="16"/>
                <w:szCs w:val="16"/>
                <w:vertAlign w:val="subscript"/>
                <w:lang w:val="de-DE"/>
              </w:rPr>
              <w:t>2</w:t>
            </w:r>
          </w:p>
        </w:tc>
        <w:tc>
          <w:tcPr>
            <w:tcW w:w="567" w:type="dxa"/>
            <w:vAlign w:val="center"/>
          </w:tcPr>
          <w:p w14:paraId="5BFCB27F" w14:textId="02352109" w:rsidR="00517523" w:rsidRPr="00440535" w:rsidRDefault="00517523" w:rsidP="00517523">
            <w:pPr>
              <w:pStyle w:val="TCTableBody"/>
              <w:spacing w:after="0"/>
              <w:jc w:val="center"/>
              <w:rPr>
                <w:sz w:val="16"/>
                <w:szCs w:val="16"/>
                <w:lang w:val="pt-BR"/>
              </w:rPr>
            </w:pPr>
            <w:r w:rsidRPr="00440535">
              <w:rPr>
                <w:rFonts w:eastAsia="MS Mincho"/>
                <w:sz w:val="16"/>
                <w:szCs w:val="16"/>
                <w:lang w:val="de-DE"/>
              </w:rPr>
              <w:t>2.93</w:t>
            </w:r>
          </w:p>
        </w:tc>
        <w:tc>
          <w:tcPr>
            <w:tcW w:w="992" w:type="dxa"/>
            <w:shd w:val="clear" w:color="auto" w:fill="auto"/>
          </w:tcPr>
          <w:p w14:paraId="690F46CF" w14:textId="1112654C" w:rsidR="00517523" w:rsidRPr="00440535" w:rsidRDefault="00517523" w:rsidP="00517523">
            <w:pPr>
              <w:pStyle w:val="TCTableBody"/>
              <w:spacing w:after="0"/>
              <w:jc w:val="center"/>
              <w:rPr>
                <w:rFonts w:eastAsia="MS Mincho"/>
                <w:sz w:val="16"/>
                <w:szCs w:val="16"/>
                <w:lang w:val="de-DE"/>
              </w:rPr>
            </w:pPr>
            <w:r w:rsidRPr="00440535">
              <w:rPr>
                <w:rFonts w:eastAsia="MS Mincho"/>
                <w:sz w:val="16"/>
                <w:szCs w:val="16"/>
                <w:lang w:val="de-DE"/>
              </w:rPr>
              <w:t xml:space="preserve">50 </w:t>
            </w:r>
          </w:p>
        </w:tc>
        <w:tc>
          <w:tcPr>
            <w:tcW w:w="1134" w:type="dxa"/>
          </w:tcPr>
          <w:p w14:paraId="05AE6A7E" w14:textId="4F466898" w:rsidR="00517523" w:rsidRPr="00440535" w:rsidRDefault="00517523" w:rsidP="00517523">
            <w:pPr>
              <w:pStyle w:val="TCTableBody"/>
              <w:spacing w:after="0"/>
              <w:jc w:val="center"/>
              <w:rPr>
                <w:rFonts w:eastAsia="MS Mincho"/>
                <w:sz w:val="16"/>
                <w:szCs w:val="16"/>
                <w:lang w:val="de-DE"/>
              </w:rPr>
            </w:pPr>
            <w:r w:rsidRPr="00440535">
              <w:rPr>
                <w:rFonts w:eastAsia="MS Mincho"/>
                <w:sz w:val="16"/>
                <w:szCs w:val="16"/>
                <w:lang w:val="de-DE"/>
              </w:rPr>
              <w:t>0.15</w:t>
            </w:r>
          </w:p>
        </w:tc>
        <w:tc>
          <w:tcPr>
            <w:tcW w:w="993" w:type="dxa"/>
            <w:vAlign w:val="center"/>
          </w:tcPr>
          <w:p w14:paraId="2BB6F0EF" w14:textId="1EFAA189" w:rsidR="00517523" w:rsidRPr="00517523" w:rsidRDefault="00517523" w:rsidP="00517523">
            <w:pPr>
              <w:pStyle w:val="TCTableBody"/>
              <w:spacing w:after="0"/>
              <w:jc w:val="center"/>
              <w:rPr>
                <w:rFonts w:eastAsia="MS Mincho"/>
                <w:sz w:val="16"/>
                <w:szCs w:val="16"/>
                <w:lang w:val="de-DE"/>
              </w:rPr>
            </w:pPr>
            <w:r w:rsidRPr="00517523">
              <w:rPr>
                <w:sz w:val="16"/>
                <w:szCs w:val="16"/>
              </w:rPr>
              <w:t>0.10</w:t>
            </w:r>
          </w:p>
        </w:tc>
      </w:tr>
      <w:tr w:rsidR="00517523" w:rsidRPr="00440535" w14:paraId="31279E2D" w14:textId="2445C0E4" w:rsidTr="00184873">
        <w:trPr>
          <w:jc w:val="center"/>
        </w:trPr>
        <w:tc>
          <w:tcPr>
            <w:tcW w:w="1271" w:type="dxa"/>
          </w:tcPr>
          <w:p w14:paraId="485DA339" w14:textId="2E621BA6" w:rsidR="00517523" w:rsidRPr="00440535" w:rsidRDefault="00517523" w:rsidP="00517523">
            <w:pPr>
              <w:pStyle w:val="TCTableBody"/>
              <w:spacing w:after="0"/>
              <w:jc w:val="center"/>
              <w:rPr>
                <w:sz w:val="16"/>
                <w:szCs w:val="16"/>
                <w:lang w:val="pt-BR"/>
              </w:rPr>
            </w:pPr>
            <w:r w:rsidRPr="00440535">
              <w:rPr>
                <w:rFonts w:eastAsia="MS Mincho"/>
                <w:sz w:val="16"/>
                <w:szCs w:val="16"/>
                <w:lang w:val="de-DE"/>
              </w:rPr>
              <w:t>Au2@TiO</w:t>
            </w:r>
            <w:r w:rsidRPr="00440535">
              <w:rPr>
                <w:rFonts w:eastAsia="MS Mincho"/>
                <w:sz w:val="16"/>
                <w:szCs w:val="16"/>
                <w:vertAlign w:val="subscript"/>
                <w:lang w:val="de-DE"/>
              </w:rPr>
              <w:t>2</w:t>
            </w:r>
          </w:p>
        </w:tc>
        <w:tc>
          <w:tcPr>
            <w:tcW w:w="567" w:type="dxa"/>
            <w:vAlign w:val="center"/>
          </w:tcPr>
          <w:p w14:paraId="4B4BAC8E" w14:textId="2D988843" w:rsidR="00517523" w:rsidRPr="00440535" w:rsidRDefault="00517523" w:rsidP="00517523">
            <w:pPr>
              <w:pStyle w:val="TCTableBody"/>
              <w:spacing w:after="0"/>
              <w:jc w:val="center"/>
              <w:rPr>
                <w:sz w:val="16"/>
                <w:szCs w:val="16"/>
                <w:lang w:val="pt-BR"/>
              </w:rPr>
            </w:pPr>
            <w:r w:rsidRPr="00440535">
              <w:rPr>
                <w:sz w:val="16"/>
                <w:szCs w:val="16"/>
                <w:lang w:val="pt-BR"/>
              </w:rPr>
              <w:t>2.91</w:t>
            </w:r>
          </w:p>
        </w:tc>
        <w:tc>
          <w:tcPr>
            <w:tcW w:w="992" w:type="dxa"/>
            <w:shd w:val="clear" w:color="auto" w:fill="auto"/>
          </w:tcPr>
          <w:p w14:paraId="7FF73C0F" w14:textId="09C4DB92" w:rsidR="00517523" w:rsidRPr="00440535" w:rsidRDefault="00517523" w:rsidP="00517523">
            <w:pPr>
              <w:pStyle w:val="TCTableBody"/>
              <w:spacing w:after="0"/>
              <w:jc w:val="center"/>
              <w:rPr>
                <w:rFonts w:eastAsia="MS Mincho"/>
                <w:sz w:val="16"/>
                <w:szCs w:val="16"/>
                <w:lang w:val="de-DE"/>
              </w:rPr>
            </w:pPr>
            <w:r w:rsidRPr="00440535">
              <w:rPr>
                <w:rFonts w:eastAsia="MS Mincho"/>
                <w:sz w:val="16"/>
                <w:szCs w:val="16"/>
                <w:lang w:val="de-DE"/>
              </w:rPr>
              <w:t xml:space="preserve">52 </w:t>
            </w:r>
          </w:p>
        </w:tc>
        <w:tc>
          <w:tcPr>
            <w:tcW w:w="1134" w:type="dxa"/>
          </w:tcPr>
          <w:p w14:paraId="73572126" w14:textId="055A5D06" w:rsidR="00517523" w:rsidRPr="00440535" w:rsidRDefault="00517523" w:rsidP="00517523">
            <w:pPr>
              <w:pStyle w:val="TCTableBody"/>
              <w:spacing w:after="0"/>
              <w:jc w:val="center"/>
              <w:rPr>
                <w:sz w:val="16"/>
                <w:szCs w:val="16"/>
                <w:lang w:val="pt-BR"/>
              </w:rPr>
            </w:pPr>
            <w:r w:rsidRPr="00440535">
              <w:rPr>
                <w:sz w:val="16"/>
                <w:szCs w:val="16"/>
                <w:lang w:val="pt-BR"/>
              </w:rPr>
              <w:t>0.17</w:t>
            </w:r>
          </w:p>
        </w:tc>
        <w:tc>
          <w:tcPr>
            <w:tcW w:w="993" w:type="dxa"/>
            <w:vAlign w:val="center"/>
          </w:tcPr>
          <w:p w14:paraId="2305A9EB" w14:textId="1013D519" w:rsidR="00517523" w:rsidRPr="00517523" w:rsidRDefault="00517523" w:rsidP="00517523">
            <w:pPr>
              <w:pStyle w:val="TCTableBody"/>
              <w:spacing w:after="0"/>
              <w:jc w:val="center"/>
              <w:rPr>
                <w:sz w:val="16"/>
                <w:szCs w:val="16"/>
                <w:lang w:val="pt-BR"/>
              </w:rPr>
            </w:pPr>
            <w:r w:rsidRPr="00517523">
              <w:rPr>
                <w:sz w:val="16"/>
                <w:szCs w:val="16"/>
              </w:rPr>
              <w:t>0.24</w:t>
            </w:r>
          </w:p>
        </w:tc>
      </w:tr>
      <w:tr w:rsidR="00517523" w:rsidRPr="00440535" w14:paraId="3CC298C2" w14:textId="2B5473F7" w:rsidTr="00184873">
        <w:trPr>
          <w:jc w:val="center"/>
        </w:trPr>
        <w:tc>
          <w:tcPr>
            <w:tcW w:w="1271" w:type="dxa"/>
          </w:tcPr>
          <w:p w14:paraId="57EBEEFA" w14:textId="0B0F1385" w:rsidR="00517523" w:rsidRPr="00440535" w:rsidRDefault="00517523" w:rsidP="00517523">
            <w:pPr>
              <w:pStyle w:val="TCTableBody"/>
              <w:spacing w:after="0"/>
              <w:jc w:val="center"/>
              <w:rPr>
                <w:sz w:val="16"/>
                <w:szCs w:val="16"/>
                <w:lang w:val="pt-BR"/>
              </w:rPr>
            </w:pPr>
            <w:r w:rsidRPr="00440535">
              <w:rPr>
                <w:rFonts w:eastAsia="MS Mincho"/>
                <w:sz w:val="16"/>
                <w:szCs w:val="16"/>
                <w:lang w:val="de-DE"/>
              </w:rPr>
              <w:t>Au3@TiO</w:t>
            </w:r>
            <w:r w:rsidRPr="00440535">
              <w:rPr>
                <w:rFonts w:eastAsia="MS Mincho"/>
                <w:sz w:val="16"/>
                <w:szCs w:val="16"/>
                <w:vertAlign w:val="subscript"/>
                <w:lang w:val="de-DE"/>
              </w:rPr>
              <w:t>2</w:t>
            </w:r>
          </w:p>
        </w:tc>
        <w:tc>
          <w:tcPr>
            <w:tcW w:w="567" w:type="dxa"/>
          </w:tcPr>
          <w:p w14:paraId="113BC35E" w14:textId="1783E6A5" w:rsidR="00517523" w:rsidRPr="00440535" w:rsidRDefault="00517523" w:rsidP="00517523">
            <w:pPr>
              <w:pStyle w:val="TCTableBody"/>
              <w:spacing w:after="0"/>
              <w:jc w:val="center"/>
              <w:rPr>
                <w:sz w:val="16"/>
                <w:szCs w:val="16"/>
                <w:lang w:val="pt-BR"/>
              </w:rPr>
            </w:pPr>
            <w:r w:rsidRPr="00440535">
              <w:rPr>
                <w:sz w:val="16"/>
                <w:szCs w:val="16"/>
                <w:lang w:val="pt-BR"/>
              </w:rPr>
              <w:t>2.91</w:t>
            </w:r>
          </w:p>
        </w:tc>
        <w:tc>
          <w:tcPr>
            <w:tcW w:w="992" w:type="dxa"/>
            <w:shd w:val="clear" w:color="auto" w:fill="auto"/>
          </w:tcPr>
          <w:p w14:paraId="793CE2EC" w14:textId="34770566" w:rsidR="00517523" w:rsidRPr="00440535" w:rsidRDefault="00517523" w:rsidP="00517523">
            <w:pPr>
              <w:pStyle w:val="TCTableBody"/>
              <w:spacing w:after="0"/>
              <w:jc w:val="center"/>
              <w:rPr>
                <w:rFonts w:eastAsia="MS Mincho"/>
                <w:sz w:val="16"/>
                <w:szCs w:val="16"/>
                <w:lang w:val="de-DE"/>
              </w:rPr>
            </w:pPr>
            <w:r w:rsidRPr="00440535">
              <w:rPr>
                <w:rFonts w:eastAsia="MS Mincho"/>
                <w:sz w:val="16"/>
                <w:szCs w:val="16"/>
                <w:lang w:val="de-DE"/>
              </w:rPr>
              <w:t>52</w:t>
            </w:r>
          </w:p>
        </w:tc>
        <w:tc>
          <w:tcPr>
            <w:tcW w:w="1134" w:type="dxa"/>
          </w:tcPr>
          <w:p w14:paraId="34D0E21A" w14:textId="26829DC9" w:rsidR="00517523" w:rsidRPr="00440535" w:rsidRDefault="00517523" w:rsidP="00517523">
            <w:pPr>
              <w:pStyle w:val="TCTableBody"/>
              <w:spacing w:after="0"/>
              <w:jc w:val="center"/>
              <w:rPr>
                <w:sz w:val="16"/>
                <w:szCs w:val="16"/>
                <w:lang w:val="pt-BR"/>
              </w:rPr>
            </w:pPr>
            <w:r w:rsidRPr="00440535">
              <w:rPr>
                <w:sz w:val="16"/>
                <w:szCs w:val="16"/>
                <w:lang w:val="pt-BR"/>
              </w:rPr>
              <w:t>0.16</w:t>
            </w:r>
          </w:p>
        </w:tc>
        <w:tc>
          <w:tcPr>
            <w:tcW w:w="993" w:type="dxa"/>
            <w:vAlign w:val="center"/>
          </w:tcPr>
          <w:p w14:paraId="61F18B2B" w14:textId="63E2C8C4" w:rsidR="00517523" w:rsidRPr="00517523" w:rsidRDefault="00517523" w:rsidP="00517523">
            <w:pPr>
              <w:pStyle w:val="TCTableBody"/>
              <w:spacing w:after="0"/>
              <w:jc w:val="center"/>
              <w:rPr>
                <w:sz w:val="16"/>
                <w:szCs w:val="16"/>
                <w:lang w:val="pt-BR"/>
              </w:rPr>
            </w:pPr>
            <w:r w:rsidRPr="00517523">
              <w:rPr>
                <w:sz w:val="16"/>
                <w:szCs w:val="16"/>
              </w:rPr>
              <w:t>1.11</w:t>
            </w:r>
          </w:p>
        </w:tc>
      </w:tr>
      <w:tr w:rsidR="00517523" w:rsidRPr="00440535" w14:paraId="4C99C47E" w14:textId="0A74D28E" w:rsidTr="00184873">
        <w:trPr>
          <w:jc w:val="center"/>
        </w:trPr>
        <w:tc>
          <w:tcPr>
            <w:tcW w:w="1271" w:type="dxa"/>
          </w:tcPr>
          <w:p w14:paraId="3A170C27" w14:textId="4AEB23DE" w:rsidR="00517523" w:rsidRPr="00440535" w:rsidRDefault="00517523" w:rsidP="00517523">
            <w:pPr>
              <w:pStyle w:val="TCTableBody"/>
              <w:spacing w:after="0"/>
              <w:jc w:val="center"/>
              <w:rPr>
                <w:sz w:val="16"/>
                <w:szCs w:val="16"/>
                <w:lang w:val="pt-BR"/>
              </w:rPr>
            </w:pPr>
            <w:r w:rsidRPr="00440535">
              <w:rPr>
                <w:rFonts w:eastAsia="MS Mincho"/>
                <w:sz w:val="16"/>
                <w:szCs w:val="16"/>
                <w:lang w:val="de-DE"/>
              </w:rPr>
              <w:t>Au4@TiO</w:t>
            </w:r>
            <w:r w:rsidRPr="00440535">
              <w:rPr>
                <w:rFonts w:eastAsia="MS Mincho"/>
                <w:sz w:val="16"/>
                <w:szCs w:val="16"/>
                <w:vertAlign w:val="subscript"/>
                <w:lang w:val="de-DE"/>
              </w:rPr>
              <w:t>2</w:t>
            </w:r>
          </w:p>
        </w:tc>
        <w:tc>
          <w:tcPr>
            <w:tcW w:w="567" w:type="dxa"/>
          </w:tcPr>
          <w:p w14:paraId="213A173A" w14:textId="4571434A" w:rsidR="00517523" w:rsidRPr="00440535" w:rsidRDefault="00517523" w:rsidP="00517523">
            <w:pPr>
              <w:pStyle w:val="TCTableBody"/>
              <w:spacing w:after="0"/>
              <w:jc w:val="center"/>
              <w:rPr>
                <w:sz w:val="16"/>
                <w:szCs w:val="16"/>
                <w:lang w:val="pt-BR"/>
              </w:rPr>
            </w:pPr>
            <w:r w:rsidRPr="00440535">
              <w:rPr>
                <w:sz w:val="16"/>
                <w:szCs w:val="16"/>
                <w:lang w:val="pt-BR"/>
              </w:rPr>
              <w:t>2.95</w:t>
            </w:r>
          </w:p>
        </w:tc>
        <w:tc>
          <w:tcPr>
            <w:tcW w:w="992" w:type="dxa"/>
          </w:tcPr>
          <w:p w14:paraId="6CC79208" w14:textId="1E4E3A66" w:rsidR="00517523" w:rsidRPr="00440535" w:rsidRDefault="00517523" w:rsidP="00517523">
            <w:pPr>
              <w:pStyle w:val="TCTableBody"/>
              <w:spacing w:after="0"/>
              <w:jc w:val="center"/>
              <w:rPr>
                <w:sz w:val="16"/>
                <w:szCs w:val="16"/>
                <w:lang w:val="pt-BR"/>
              </w:rPr>
            </w:pPr>
            <w:r w:rsidRPr="00440535">
              <w:rPr>
                <w:rFonts w:eastAsia="MS Mincho"/>
                <w:sz w:val="16"/>
                <w:szCs w:val="16"/>
                <w:lang w:val="de-DE"/>
              </w:rPr>
              <w:t>53</w:t>
            </w:r>
          </w:p>
        </w:tc>
        <w:tc>
          <w:tcPr>
            <w:tcW w:w="1134" w:type="dxa"/>
          </w:tcPr>
          <w:p w14:paraId="36DEB429" w14:textId="3B0C4910" w:rsidR="00517523" w:rsidRPr="00440535" w:rsidRDefault="00517523" w:rsidP="00517523">
            <w:pPr>
              <w:pStyle w:val="TCTableBody"/>
              <w:spacing w:after="0"/>
              <w:jc w:val="center"/>
              <w:rPr>
                <w:sz w:val="16"/>
                <w:szCs w:val="16"/>
                <w:lang w:val="pt-BR"/>
              </w:rPr>
            </w:pPr>
            <w:r w:rsidRPr="00440535">
              <w:rPr>
                <w:sz w:val="16"/>
                <w:szCs w:val="16"/>
                <w:lang w:val="pt-BR"/>
              </w:rPr>
              <w:t>0.15</w:t>
            </w:r>
          </w:p>
        </w:tc>
        <w:tc>
          <w:tcPr>
            <w:tcW w:w="993" w:type="dxa"/>
            <w:vAlign w:val="center"/>
          </w:tcPr>
          <w:p w14:paraId="3EBE5492" w14:textId="0E3CF93F" w:rsidR="00517523" w:rsidRPr="00517523" w:rsidRDefault="00517523" w:rsidP="00517523">
            <w:pPr>
              <w:pStyle w:val="TCTableBody"/>
              <w:spacing w:after="0"/>
              <w:jc w:val="center"/>
              <w:rPr>
                <w:sz w:val="16"/>
                <w:szCs w:val="16"/>
                <w:lang w:val="pt-BR"/>
              </w:rPr>
            </w:pPr>
            <w:r w:rsidRPr="00517523">
              <w:rPr>
                <w:sz w:val="16"/>
                <w:szCs w:val="16"/>
              </w:rPr>
              <w:t>5.00</w:t>
            </w:r>
          </w:p>
        </w:tc>
      </w:tr>
      <w:tr w:rsidR="00517523" w:rsidRPr="00440535" w14:paraId="3CE406B8" w14:textId="26BF4DB7" w:rsidTr="00517523">
        <w:trPr>
          <w:jc w:val="center"/>
        </w:trPr>
        <w:tc>
          <w:tcPr>
            <w:tcW w:w="1271" w:type="dxa"/>
          </w:tcPr>
          <w:p w14:paraId="4213E6FF" w14:textId="7892F439" w:rsidR="00517523" w:rsidRPr="00440535" w:rsidRDefault="00517523" w:rsidP="00440535">
            <w:pPr>
              <w:pStyle w:val="TCTableBody"/>
              <w:spacing w:after="0"/>
              <w:jc w:val="center"/>
              <w:rPr>
                <w:sz w:val="16"/>
                <w:szCs w:val="16"/>
                <w:lang w:val="pt-BR"/>
              </w:rPr>
            </w:pPr>
            <w:r w:rsidRPr="00440535">
              <w:rPr>
                <w:rFonts w:eastAsia="MS Mincho"/>
                <w:sz w:val="16"/>
                <w:szCs w:val="16"/>
                <w:lang w:val="de-DE"/>
              </w:rPr>
              <w:t>IL2@Au4@TiO</w:t>
            </w:r>
            <w:r w:rsidRPr="00440535">
              <w:rPr>
                <w:rFonts w:eastAsia="MS Mincho"/>
                <w:sz w:val="16"/>
                <w:szCs w:val="16"/>
                <w:vertAlign w:val="subscript"/>
                <w:lang w:val="de-DE"/>
              </w:rPr>
              <w:t>2</w:t>
            </w:r>
          </w:p>
        </w:tc>
        <w:tc>
          <w:tcPr>
            <w:tcW w:w="567" w:type="dxa"/>
            <w:vAlign w:val="center"/>
          </w:tcPr>
          <w:p w14:paraId="10919A95" w14:textId="42D95125" w:rsidR="00517523" w:rsidRPr="00440535" w:rsidRDefault="00517523" w:rsidP="00440535">
            <w:pPr>
              <w:pStyle w:val="TCTableBody"/>
              <w:spacing w:after="0"/>
              <w:jc w:val="center"/>
              <w:rPr>
                <w:sz w:val="16"/>
                <w:szCs w:val="16"/>
                <w:lang w:val="pt-BR"/>
              </w:rPr>
            </w:pPr>
            <w:r w:rsidRPr="00440535">
              <w:rPr>
                <w:sz w:val="16"/>
                <w:szCs w:val="16"/>
                <w:lang w:val="pt-BR"/>
              </w:rPr>
              <w:t>2.82</w:t>
            </w:r>
          </w:p>
        </w:tc>
        <w:tc>
          <w:tcPr>
            <w:tcW w:w="992" w:type="dxa"/>
          </w:tcPr>
          <w:p w14:paraId="34F17368" w14:textId="2131EFC0" w:rsidR="00517523" w:rsidRPr="00440535" w:rsidRDefault="00517523" w:rsidP="00440535">
            <w:pPr>
              <w:pStyle w:val="TCTableBody"/>
              <w:spacing w:after="0"/>
              <w:jc w:val="center"/>
              <w:rPr>
                <w:sz w:val="16"/>
                <w:szCs w:val="16"/>
                <w:lang w:val="pt-BR"/>
              </w:rPr>
            </w:pPr>
            <w:r w:rsidRPr="00440535">
              <w:rPr>
                <w:sz w:val="16"/>
                <w:szCs w:val="16"/>
                <w:lang w:val="pt-BR"/>
              </w:rPr>
              <w:t>57</w:t>
            </w:r>
          </w:p>
        </w:tc>
        <w:tc>
          <w:tcPr>
            <w:tcW w:w="1134" w:type="dxa"/>
          </w:tcPr>
          <w:p w14:paraId="0ECD549C" w14:textId="0D1B1003" w:rsidR="00517523" w:rsidRPr="00440535" w:rsidRDefault="00517523" w:rsidP="00440535">
            <w:pPr>
              <w:pStyle w:val="TCTableBody"/>
              <w:spacing w:after="0"/>
              <w:jc w:val="center"/>
              <w:rPr>
                <w:sz w:val="16"/>
                <w:szCs w:val="16"/>
                <w:lang w:val="pt-BR"/>
              </w:rPr>
            </w:pPr>
            <w:r w:rsidRPr="00440535">
              <w:rPr>
                <w:sz w:val="16"/>
                <w:szCs w:val="16"/>
                <w:lang w:val="pt-BR"/>
              </w:rPr>
              <w:t>0.</w:t>
            </w:r>
            <w:r>
              <w:rPr>
                <w:sz w:val="16"/>
                <w:szCs w:val="16"/>
                <w:lang w:val="pt-BR"/>
              </w:rPr>
              <w:t>30</w:t>
            </w:r>
          </w:p>
        </w:tc>
        <w:tc>
          <w:tcPr>
            <w:tcW w:w="993" w:type="dxa"/>
          </w:tcPr>
          <w:p w14:paraId="141535CE" w14:textId="00836437" w:rsidR="00517523" w:rsidRPr="00440535" w:rsidRDefault="00517523" w:rsidP="00440535">
            <w:pPr>
              <w:pStyle w:val="TCTableBody"/>
              <w:spacing w:after="0"/>
              <w:jc w:val="center"/>
              <w:rPr>
                <w:sz w:val="16"/>
                <w:szCs w:val="16"/>
                <w:lang w:val="pt-BR"/>
              </w:rPr>
            </w:pPr>
            <w:r w:rsidRPr="00517523">
              <w:rPr>
                <w:sz w:val="16"/>
                <w:szCs w:val="16"/>
              </w:rPr>
              <w:t>5.00</w:t>
            </w:r>
          </w:p>
        </w:tc>
      </w:tr>
    </w:tbl>
    <w:p w14:paraId="20AA905D" w14:textId="134BD24C" w:rsidR="00EA4E1B" w:rsidRPr="001F25B2" w:rsidRDefault="000E2861" w:rsidP="00EA4E1B">
      <w:pPr>
        <w:pStyle w:val="Ttulo2"/>
        <w:rPr>
          <w:rFonts w:ascii="Helvetica" w:hAnsi="Helvetica" w:cs="Helvetica"/>
          <w:sz w:val="24"/>
          <w:szCs w:val="24"/>
        </w:rPr>
      </w:pPr>
      <w:proofErr w:type="spellStart"/>
      <w:r>
        <w:rPr>
          <w:rFonts w:ascii="Helvetica" w:hAnsi="Helvetica" w:cs="Helvetica"/>
          <w:sz w:val="24"/>
          <w:szCs w:val="24"/>
        </w:rPr>
        <w:t>Conclusions</w:t>
      </w:r>
      <w:proofErr w:type="spellEnd"/>
    </w:p>
    <w:p w14:paraId="2D5FF62C" w14:textId="7B9FC027" w:rsidR="00627E4B" w:rsidRPr="009E5DB5" w:rsidRDefault="000D34DE" w:rsidP="000D34DE">
      <w:pPr>
        <w:pStyle w:val="TAMainText"/>
        <w:ind w:firstLine="0"/>
        <w:rPr>
          <w:rFonts w:ascii="Times New Roman" w:hAnsi="Times New Roman"/>
          <w:lang w:val="pt-BR"/>
        </w:rPr>
      </w:pPr>
      <w:proofErr w:type="spellStart"/>
      <w:r>
        <w:rPr>
          <w:rFonts w:ascii="Times New Roman" w:hAnsi="Times New Roman"/>
          <w:lang w:val="pt-BR"/>
        </w:rPr>
        <w:t>Using</w:t>
      </w:r>
      <w:proofErr w:type="spellEnd"/>
      <w:r>
        <w:rPr>
          <w:rFonts w:ascii="Times New Roman" w:hAnsi="Times New Roman"/>
          <w:lang w:val="pt-BR"/>
        </w:rPr>
        <w:t xml:space="preserve"> </w:t>
      </w:r>
      <w:proofErr w:type="spellStart"/>
      <w:r>
        <w:rPr>
          <w:rFonts w:ascii="Times New Roman" w:hAnsi="Times New Roman"/>
          <w:lang w:val="pt-BR"/>
        </w:rPr>
        <w:t>the</w:t>
      </w:r>
      <w:proofErr w:type="spellEnd"/>
      <w:r w:rsidRPr="008259E9">
        <w:rPr>
          <w:rFonts w:ascii="Times New Roman" w:hAnsi="Times New Roman"/>
          <w:lang w:val="pt-BR"/>
        </w:rPr>
        <w:t xml:space="preserve"> </w:t>
      </w:r>
      <w:proofErr w:type="spellStart"/>
      <w:r w:rsidRPr="008259E9">
        <w:rPr>
          <w:rFonts w:ascii="Times New Roman" w:hAnsi="Times New Roman"/>
          <w:lang w:val="pt-BR"/>
        </w:rPr>
        <w:t>magnetron</w:t>
      </w:r>
      <w:proofErr w:type="spellEnd"/>
      <w:r w:rsidRPr="008259E9">
        <w:rPr>
          <w:rFonts w:ascii="Times New Roman" w:hAnsi="Times New Roman"/>
          <w:lang w:val="pt-BR"/>
        </w:rPr>
        <w:t xml:space="preserve"> </w:t>
      </w:r>
      <w:proofErr w:type="spellStart"/>
      <w:r w:rsidRPr="008259E9">
        <w:rPr>
          <w:rFonts w:ascii="Times New Roman" w:hAnsi="Times New Roman"/>
          <w:lang w:val="pt-BR"/>
        </w:rPr>
        <w:t>sputtering</w:t>
      </w:r>
      <w:proofErr w:type="spellEnd"/>
      <w:r w:rsidRPr="008259E9">
        <w:rPr>
          <w:rFonts w:ascii="Times New Roman" w:hAnsi="Times New Roman"/>
          <w:lang w:val="pt-BR"/>
        </w:rPr>
        <w:t xml:space="preserve"> </w:t>
      </w:r>
      <w:proofErr w:type="spellStart"/>
      <w:r w:rsidRPr="008259E9">
        <w:rPr>
          <w:rFonts w:ascii="Times New Roman" w:hAnsi="Times New Roman"/>
          <w:lang w:val="pt-BR"/>
        </w:rPr>
        <w:t>deposition</w:t>
      </w:r>
      <w:proofErr w:type="spellEnd"/>
      <w:r w:rsidRPr="008259E9">
        <w:rPr>
          <w:rFonts w:ascii="Times New Roman" w:hAnsi="Times New Roman"/>
          <w:lang w:val="pt-BR"/>
        </w:rPr>
        <w:t xml:space="preserve"> </w:t>
      </w:r>
      <w:proofErr w:type="spellStart"/>
      <w:r>
        <w:rPr>
          <w:rFonts w:ascii="Times New Roman" w:hAnsi="Times New Roman"/>
          <w:lang w:val="pt-BR"/>
        </w:rPr>
        <w:t>and</w:t>
      </w:r>
      <w:proofErr w:type="spellEnd"/>
      <w:r>
        <w:rPr>
          <w:rFonts w:ascii="Times New Roman" w:hAnsi="Times New Roman"/>
          <w:lang w:val="pt-BR"/>
        </w:rPr>
        <w:t xml:space="preserve"> </w:t>
      </w:r>
      <w:proofErr w:type="spellStart"/>
      <w:r>
        <w:rPr>
          <w:rFonts w:ascii="Times New Roman" w:hAnsi="Times New Roman"/>
          <w:lang w:val="pt-BR"/>
        </w:rPr>
        <w:t>subsequent</w:t>
      </w:r>
      <w:proofErr w:type="spellEnd"/>
      <w:r>
        <w:rPr>
          <w:rFonts w:ascii="Times New Roman" w:hAnsi="Times New Roman"/>
          <w:lang w:val="pt-BR"/>
        </w:rPr>
        <w:t xml:space="preserve"> IL </w:t>
      </w:r>
      <w:proofErr w:type="spellStart"/>
      <w:r>
        <w:rPr>
          <w:rFonts w:ascii="Times New Roman" w:hAnsi="Times New Roman"/>
          <w:lang w:val="pt-BR"/>
        </w:rPr>
        <w:t>embedding</w:t>
      </w:r>
      <w:proofErr w:type="spellEnd"/>
      <w:r>
        <w:rPr>
          <w:rFonts w:ascii="Times New Roman" w:hAnsi="Times New Roman"/>
          <w:lang w:val="pt-BR"/>
        </w:rPr>
        <w:t xml:space="preserve"> </w:t>
      </w:r>
      <w:proofErr w:type="spellStart"/>
      <w:r w:rsidRPr="008259E9">
        <w:rPr>
          <w:rFonts w:ascii="Times New Roman" w:hAnsi="Times New Roman"/>
          <w:lang w:val="pt-BR"/>
        </w:rPr>
        <w:t>fabrication</w:t>
      </w:r>
      <w:proofErr w:type="spellEnd"/>
      <w:r w:rsidRPr="008259E9">
        <w:rPr>
          <w:rFonts w:ascii="Times New Roman" w:hAnsi="Times New Roman"/>
          <w:lang w:val="pt-BR"/>
        </w:rPr>
        <w:t xml:space="preserve"> </w:t>
      </w:r>
      <w:proofErr w:type="spellStart"/>
      <w:r w:rsidRPr="008259E9">
        <w:rPr>
          <w:rFonts w:ascii="Times New Roman" w:hAnsi="Times New Roman"/>
          <w:lang w:val="pt-BR"/>
        </w:rPr>
        <w:t>method</w:t>
      </w:r>
      <w:r>
        <w:rPr>
          <w:rFonts w:ascii="Times New Roman" w:hAnsi="Times New Roman"/>
          <w:lang w:val="pt-BR"/>
        </w:rPr>
        <w:t>s</w:t>
      </w:r>
      <w:proofErr w:type="spellEnd"/>
      <w:r>
        <w:rPr>
          <w:rFonts w:ascii="Times New Roman" w:hAnsi="Times New Roman"/>
          <w:lang w:val="pt-BR"/>
        </w:rPr>
        <w:t xml:space="preserve">, </w:t>
      </w:r>
      <w:proofErr w:type="spellStart"/>
      <w:r>
        <w:rPr>
          <w:rFonts w:ascii="Times New Roman" w:hAnsi="Times New Roman"/>
          <w:lang w:val="pt-BR"/>
        </w:rPr>
        <w:t>we</w:t>
      </w:r>
      <w:proofErr w:type="spellEnd"/>
      <w:r w:rsidRPr="000E2861">
        <w:rPr>
          <w:rFonts w:ascii="Times New Roman" w:hAnsi="Times New Roman"/>
          <w:lang w:val="pt-BR"/>
        </w:rPr>
        <w:t xml:space="preserve"> </w:t>
      </w:r>
      <w:proofErr w:type="spellStart"/>
      <w:r w:rsidR="008259E9" w:rsidRPr="008259E9">
        <w:rPr>
          <w:rFonts w:ascii="Times New Roman" w:hAnsi="Times New Roman"/>
          <w:lang w:val="pt-BR"/>
        </w:rPr>
        <w:t>have</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synthesized</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and</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fully</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characterized</w:t>
      </w:r>
      <w:proofErr w:type="spellEnd"/>
      <w:r w:rsidR="0054592A">
        <w:rPr>
          <w:rFonts w:ascii="Times New Roman" w:hAnsi="Times New Roman"/>
          <w:lang w:val="pt-BR"/>
        </w:rPr>
        <w:t xml:space="preserve"> </w:t>
      </w:r>
      <w:proofErr w:type="spellStart"/>
      <w:r w:rsidR="008259E9" w:rsidRPr="008259E9">
        <w:rPr>
          <w:rFonts w:ascii="Times New Roman" w:hAnsi="Times New Roman"/>
          <w:lang w:val="pt-BR"/>
        </w:rPr>
        <w:t>hybrid</w:t>
      </w:r>
      <w:r w:rsidR="0054592A">
        <w:rPr>
          <w:rFonts w:ascii="Times New Roman" w:hAnsi="Times New Roman"/>
          <w:lang w:val="pt-BR"/>
        </w:rPr>
        <w:t>s</w:t>
      </w:r>
      <w:proofErr w:type="spellEnd"/>
      <w:r w:rsidR="008259E9" w:rsidRPr="008259E9">
        <w:rPr>
          <w:rFonts w:ascii="Times New Roman" w:hAnsi="Times New Roman"/>
          <w:lang w:val="pt-BR"/>
        </w:rPr>
        <w:t xml:space="preserve"> </w:t>
      </w:r>
      <w:proofErr w:type="spellStart"/>
      <w:r>
        <w:rPr>
          <w:rFonts w:ascii="Times New Roman" w:hAnsi="Times New Roman"/>
          <w:lang w:val="pt-BR"/>
        </w:rPr>
        <w:t>photo-dispositive</w:t>
      </w:r>
      <w:proofErr w:type="spellEnd"/>
      <w:r w:rsidR="0054592A">
        <w:rPr>
          <w:rFonts w:ascii="Times New Roman" w:hAnsi="Times New Roman"/>
          <w:lang w:val="pt-BR"/>
        </w:rPr>
        <w:t xml:space="preserve"> </w:t>
      </w:r>
      <w:proofErr w:type="spellStart"/>
      <w:r w:rsidR="0054592A">
        <w:rPr>
          <w:rFonts w:ascii="Times New Roman" w:hAnsi="Times New Roman"/>
          <w:lang w:val="pt-BR"/>
        </w:rPr>
        <w:t>type</w:t>
      </w:r>
      <w:proofErr w:type="spellEnd"/>
      <w:r w:rsidR="0054592A">
        <w:rPr>
          <w:rFonts w:ascii="Times New Roman" w:hAnsi="Times New Roman"/>
          <w:lang w:val="pt-BR"/>
        </w:rPr>
        <w:t xml:space="preserve"> </w:t>
      </w:r>
      <w:r w:rsidR="0054592A" w:rsidRPr="0054592A">
        <w:rPr>
          <w:rFonts w:ascii="Times New Roman" w:hAnsi="Times New Roman"/>
          <w:lang w:val="pt-BR"/>
        </w:rPr>
        <w:t xml:space="preserve">AuTi1-4 </w:t>
      </w:r>
      <w:proofErr w:type="spellStart"/>
      <w:r w:rsidR="0054592A" w:rsidRPr="0054592A">
        <w:rPr>
          <w:rFonts w:ascii="Times New Roman" w:hAnsi="Times New Roman"/>
          <w:lang w:val="pt-BR"/>
        </w:rPr>
        <w:t>and</w:t>
      </w:r>
      <w:proofErr w:type="spellEnd"/>
      <w:r w:rsidR="0054592A" w:rsidRPr="0054592A">
        <w:rPr>
          <w:rFonts w:ascii="Times New Roman" w:hAnsi="Times New Roman"/>
          <w:lang w:val="pt-BR"/>
        </w:rPr>
        <w:t xml:space="preserve"> </w:t>
      </w:r>
      <w:r w:rsidR="00DD2E25">
        <w:rPr>
          <w:rFonts w:ascii="Times New Roman" w:hAnsi="Times New Roman"/>
          <w:lang w:val="pt-BR"/>
        </w:rPr>
        <w:t>IL@</w:t>
      </w:r>
      <w:r w:rsidR="00DD2E25" w:rsidRPr="0054592A">
        <w:rPr>
          <w:rFonts w:ascii="Times New Roman" w:hAnsi="Times New Roman"/>
          <w:lang w:val="pt-BR"/>
        </w:rPr>
        <w:t>AuTi1-4</w:t>
      </w:r>
      <w:r>
        <w:rPr>
          <w:rFonts w:ascii="Times New Roman" w:hAnsi="Times New Roman"/>
          <w:lang w:val="pt-BR"/>
        </w:rPr>
        <w:t>. They</w:t>
      </w:r>
      <w:r w:rsidR="008259E9" w:rsidRPr="008259E9">
        <w:rPr>
          <w:rFonts w:ascii="Times New Roman" w:hAnsi="Times New Roman"/>
          <w:lang w:val="pt-BR"/>
        </w:rPr>
        <w:t xml:space="preserve"> </w:t>
      </w:r>
      <w:proofErr w:type="spellStart"/>
      <w:r>
        <w:rPr>
          <w:rFonts w:ascii="Times New Roman" w:hAnsi="Times New Roman"/>
          <w:lang w:val="pt-BR"/>
        </w:rPr>
        <w:t>has</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show</w:t>
      </w:r>
      <w:r>
        <w:rPr>
          <w:rFonts w:ascii="Times New Roman" w:hAnsi="Times New Roman"/>
          <w:lang w:val="pt-BR"/>
        </w:rPr>
        <w:t>n</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excellent</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catalytic</w:t>
      </w:r>
      <w:proofErr w:type="spellEnd"/>
      <w:r w:rsidR="008259E9" w:rsidRPr="008259E9">
        <w:rPr>
          <w:rFonts w:ascii="Times New Roman" w:hAnsi="Times New Roman"/>
          <w:lang w:val="pt-BR"/>
        </w:rPr>
        <w:t xml:space="preserve"> performance for HER </w:t>
      </w:r>
      <w:proofErr w:type="spellStart"/>
      <w:r w:rsidR="002D4EEC">
        <w:rPr>
          <w:rFonts w:ascii="Times New Roman" w:hAnsi="Times New Roman"/>
          <w:lang w:val="pt-BR"/>
        </w:rPr>
        <w:t>from</w:t>
      </w:r>
      <w:proofErr w:type="spellEnd"/>
      <w:r w:rsidR="002D4EEC">
        <w:rPr>
          <w:rFonts w:ascii="Times New Roman" w:hAnsi="Times New Roman"/>
          <w:lang w:val="pt-BR"/>
        </w:rPr>
        <w:t xml:space="preserve"> MPR </w:t>
      </w:r>
      <w:proofErr w:type="spellStart"/>
      <w:r w:rsidR="008259E9" w:rsidRPr="008259E9">
        <w:rPr>
          <w:rFonts w:ascii="Times New Roman" w:hAnsi="Times New Roman"/>
          <w:lang w:val="pt-BR"/>
        </w:rPr>
        <w:t>and</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chemical</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stability</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due</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to</w:t>
      </w:r>
      <w:proofErr w:type="spellEnd"/>
      <w:r w:rsidR="008259E9" w:rsidRPr="008259E9">
        <w:rPr>
          <w:rFonts w:ascii="Times New Roman" w:hAnsi="Times New Roman"/>
          <w:lang w:val="pt-BR"/>
        </w:rPr>
        <w:t xml:space="preserve"> </w:t>
      </w:r>
      <w:proofErr w:type="spellStart"/>
      <w:r w:rsidR="008259E9" w:rsidRPr="008259E9">
        <w:rPr>
          <w:rFonts w:ascii="Times New Roman" w:hAnsi="Times New Roman"/>
          <w:lang w:val="pt-BR"/>
        </w:rPr>
        <w:t>both</w:t>
      </w:r>
      <w:proofErr w:type="spellEnd"/>
      <w:r w:rsidR="008259E9" w:rsidRPr="008259E9">
        <w:rPr>
          <w:rFonts w:ascii="Times New Roman" w:hAnsi="Times New Roman"/>
          <w:lang w:val="pt-BR"/>
        </w:rPr>
        <w:t xml:space="preserve"> direct </w:t>
      </w:r>
      <w:r w:rsidR="00627E4B">
        <w:rPr>
          <w:rFonts w:ascii="Times New Roman" w:hAnsi="Times New Roman"/>
          <w:lang w:val="pt-BR"/>
        </w:rPr>
        <w:t>IL</w:t>
      </w:r>
      <w:r w:rsidR="000E2861">
        <w:rPr>
          <w:rFonts w:ascii="Times New Roman" w:hAnsi="Times New Roman"/>
          <w:lang w:val="pt-BR"/>
        </w:rPr>
        <w:t>-</w:t>
      </w:r>
      <w:r w:rsidR="00627E4B">
        <w:rPr>
          <w:rFonts w:ascii="Times New Roman" w:hAnsi="Times New Roman"/>
          <w:lang w:val="pt-BR"/>
        </w:rPr>
        <w:t>Metal-surface</w:t>
      </w:r>
      <w:r w:rsidR="008259E9" w:rsidRPr="008259E9">
        <w:rPr>
          <w:rFonts w:ascii="Times New Roman" w:hAnsi="Times New Roman"/>
          <w:lang w:val="pt-BR"/>
        </w:rPr>
        <w:t xml:space="preserve"> </w:t>
      </w:r>
      <w:proofErr w:type="spellStart"/>
      <w:r w:rsidR="008259E9" w:rsidRPr="008259E9">
        <w:rPr>
          <w:rFonts w:ascii="Times New Roman" w:hAnsi="Times New Roman"/>
          <w:lang w:val="pt-BR"/>
        </w:rPr>
        <w:t>interaction</w:t>
      </w:r>
      <w:proofErr w:type="spellEnd"/>
      <w:r>
        <w:rPr>
          <w:rFonts w:ascii="Times New Roman" w:hAnsi="Times New Roman"/>
          <w:lang w:val="pt-BR"/>
        </w:rPr>
        <w:t xml:space="preserve">. </w:t>
      </w:r>
      <w:proofErr w:type="spellStart"/>
      <w:r>
        <w:rPr>
          <w:rFonts w:ascii="Times New Roman" w:hAnsi="Times New Roman"/>
          <w:lang w:val="pt-BR"/>
        </w:rPr>
        <w:t>C</w:t>
      </w:r>
      <w:r w:rsidR="00627E4B" w:rsidRPr="0054592A">
        <w:rPr>
          <w:rFonts w:ascii="Times New Roman" w:hAnsi="Times New Roman"/>
          <w:lang w:val="pt-BR"/>
        </w:rPr>
        <w:t>omparative</w:t>
      </w:r>
      <w:proofErr w:type="spellEnd"/>
      <w:r w:rsidR="00627E4B" w:rsidRPr="0054592A">
        <w:rPr>
          <w:rFonts w:ascii="Times New Roman" w:hAnsi="Times New Roman"/>
          <w:lang w:val="pt-BR"/>
        </w:rPr>
        <w:t xml:space="preserve"> XPS, DRUV, </w:t>
      </w:r>
      <w:proofErr w:type="spellStart"/>
      <w:r w:rsidR="00627E4B" w:rsidRPr="0054592A">
        <w:rPr>
          <w:rFonts w:ascii="Times New Roman" w:hAnsi="Times New Roman"/>
          <w:lang w:val="pt-BR"/>
        </w:rPr>
        <w:t>and</w:t>
      </w:r>
      <w:proofErr w:type="spellEnd"/>
      <w:r w:rsidR="00627E4B" w:rsidRPr="0054592A">
        <w:rPr>
          <w:rFonts w:ascii="Times New Roman" w:hAnsi="Times New Roman"/>
          <w:lang w:val="pt-BR"/>
        </w:rPr>
        <w:t xml:space="preserve"> MS </w:t>
      </w:r>
      <w:proofErr w:type="spellStart"/>
      <w:r w:rsidR="00627E4B" w:rsidRPr="0054592A">
        <w:rPr>
          <w:rFonts w:ascii="Times New Roman" w:hAnsi="Times New Roman"/>
          <w:lang w:val="pt-BR"/>
        </w:rPr>
        <w:t>studies</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were</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leading</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to</w:t>
      </w:r>
      <w:proofErr w:type="spellEnd"/>
      <w:r w:rsidR="00627E4B" w:rsidRPr="0054592A">
        <w:rPr>
          <w:rFonts w:ascii="Times New Roman" w:hAnsi="Times New Roman"/>
          <w:lang w:val="pt-BR"/>
        </w:rPr>
        <w:t xml:space="preserve"> determine </w:t>
      </w:r>
      <w:proofErr w:type="spellStart"/>
      <w:r w:rsidR="00627E4B" w:rsidRPr="0054592A">
        <w:rPr>
          <w:rFonts w:ascii="Times New Roman" w:hAnsi="Times New Roman"/>
          <w:lang w:val="pt-BR"/>
        </w:rPr>
        <w:t>that</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the</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addition</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of</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ILs</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to</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the</w:t>
      </w:r>
      <w:proofErr w:type="spellEnd"/>
      <w:r w:rsidR="00627E4B" w:rsidRPr="0054592A">
        <w:rPr>
          <w:rFonts w:ascii="Times New Roman" w:hAnsi="Times New Roman"/>
          <w:lang w:val="pt-BR"/>
        </w:rPr>
        <w:t xml:space="preserve"> Au@TiO2 system </w:t>
      </w:r>
      <w:proofErr w:type="spellStart"/>
      <w:r w:rsidR="00627E4B" w:rsidRPr="0054592A">
        <w:rPr>
          <w:rFonts w:ascii="Times New Roman" w:hAnsi="Times New Roman"/>
          <w:lang w:val="pt-BR"/>
        </w:rPr>
        <w:t>can</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interact</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with</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both</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the</w:t>
      </w:r>
      <w:proofErr w:type="spellEnd"/>
      <w:r w:rsidR="00627E4B" w:rsidRPr="0054592A">
        <w:rPr>
          <w:rFonts w:ascii="Times New Roman" w:hAnsi="Times New Roman"/>
          <w:lang w:val="pt-BR"/>
        </w:rPr>
        <w:t xml:space="preserve"> surface </w:t>
      </w:r>
      <w:proofErr w:type="spellStart"/>
      <w:r w:rsidR="00627E4B" w:rsidRPr="0054592A">
        <w:rPr>
          <w:rFonts w:ascii="Times New Roman" w:hAnsi="Times New Roman"/>
          <w:lang w:val="pt-BR"/>
        </w:rPr>
        <w:t>of</w:t>
      </w:r>
      <w:proofErr w:type="spellEnd"/>
      <w:r w:rsidR="00627E4B" w:rsidRPr="0054592A">
        <w:rPr>
          <w:rFonts w:ascii="Times New Roman" w:hAnsi="Times New Roman"/>
          <w:lang w:val="pt-BR"/>
        </w:rPr>
        <w:t xml:space="preserve"> TiO2 </w:t>
      </w:r>
      <w:proofErr w:type="spellStart"/>
      <w:r w:rsidR="00627E4B" w:rsidRPr="0054592A">
        <w:rPr>
          <w:rFonts w:ascii="Times New Roman" w:hAnsi="Times New Roman"/>
          <w:lang w:val="pt-BR"/>
        </w:rPr>
        <w:t>and</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Au</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shifting</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Bandgap</w:t>
      </w:r>
      <w:proofErr w:type="spellEnd"/>
      <w:r w:rsidR="00627E4B" w:rsidRPr="0054592A">
        <w:rPr>
          <w:rFonts w:ascii="Times New Roman" w:hAnsi="Times New Roman"/>
          <w:lang w:val="pt-BR"/>
        </w:rPr>
        <w:t xml:space="preserve"> </w:t>
      </w:r>
      <w:proofErr w:type="spellStart"/>
      <w:r>
        <w:rPr>
          <w:rFonts w:ascii="Times New Roman" w:hAnsi="Times New Roman"/>
          <w:lang w:val="pt-BR"/>
        </w:rPr>
        <w:t>and</w:t>
      </w:r>
      <w:proofErr w:type="spellEnd"/>
      <w:r>
        <w:rPr>
          <w:rFonts w:ascii="Times New Roman" w:hAnsi="Times New Roman"/>
          <w:lang w:val="pt-BR"/>
        </w:rPr>
        <w:t xml:space="preserve"> </w:t>
      </w:r>
      <w:proofErr w:type="spellStart"/>
      <w:r>
        <w:rPr>
          <w:rFonts w:ascii="Times New Roman" w:hAnsi="Times New Roman"/>
          <w:lang w:val="pt-BR"/>
        </w:rPr>
        <w:t>stabli</w:t>
      </w:r>
      <w:r w:rsidR="007745DD">
        <w:rPr>
          <w:rFonts w:ascii="Times New Roman" w:hAnsi="Times New Roman"/>
          <w:lang w:val="pt-BR"/>
        </w:rPr>
        <w:t>shing</w:t>
      </w:r>
      <w:proofErr w:type="spellEnd"/>
      <w:r w:rsidR="00627E4B" w:rsidRPr="0054592A">
        <w:rPr>
          <w:rFonts w:ascii="Times New Roman" w:hAnsi="Times New Roman"/>
          <w:lang w:val="pt-BR"/>
        </w:rPr>
        <w:t xml:space="preserve"> </w:t>
      </w:r>
      <w:r w:rsidR="0054592A" w:rsidRPr="0054592A">
        <w:rPr>
          <w:rFonts w:ascii="Times New Roman" w:hAnsi="Times New Roman"/>
          <w:lang w:val="pt-BR"/>
        </w:rPr>
        <w:t xml:space="preserve">a </w:t>
      </w:r>
      <w:proofErr w:type="spellStart"/>
      <w:r w:rsidR="0054592A" w:rsidRPr="0054592A">
        <w:rPr>
          <w:rFonts w:ascii="Times New Roman" w:hAnsi="Times New Roman"/>
          <w:lang w:val="pt-BR"/>
        </w:rPr>
        <w:t>modification</w:t>
      </w:r>
      <w:proofErr w:type="spellEnd"/>
      <w:r w:rsidR="0054592A" w:rsidRPr="0054592A">
        <w:rPr>
          <w:rFonts w:ascii="Times New Roman" w:hAnsi="Times New Roman"/>
          <w:lang w:val="pt-BR"/>
        </w:rPr>
        <w:t xml:space="preserve"> </w:t>
      </w:r>
      <w:proofErr w:type="spellStart"/>
      <w:r w:rsidR="0054592A" w:rsidRPr="0054592A">
        <w:rPr>
          <w:rFonts w:ascii="Times New Roman" w:hAnsi="Times New Roman"/>
          <w:lang w:val="pt-BR"/>
        </w:rPr>
        <w:t>of</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the</w:t>
      </w:r>
      <w:proofErr w:type="spellEnd"/>
      <w:r w:rsidR="00627E4B" w:rsidRPr="0054592A">
        <w:rPr>
          <w:rFonts w:ascii="Times New Roman" w:hAnsi="Times New Roman"/>
          <w:lang w:val="pt-BR"/>
        </w:rPr>
        <w:t xml:space="preserve"> Fermi </w:t>
      </w:r>
      <w:proofErr w:type="spellStart"/>
      <w:r w:rsidR="00627E4B" w:rsidRPr="0054592A">
        <w:rPr>
          <w:rFonts w:ascii="Times New Roman" w:hAnsi="Times New Roman"/>
          <w:lang w:val="pt-BR"/>
        </w:rPr>
        <w:t>level</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of</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the</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Au</w:t>
      </w:r>
      <w:proofErr w:type="spellEnd"/>
      <w:r w:rsidR="00627E4B" w:rsidRPr="0054592A">
        <w:rPr>
          <w:rFonts w:ascii="Times New Roman" w:hAnsi="Times New Roman"/>
          <w:lang w:val="pt-BR"/>
        </w:rPr>
        <w:t xml:space="preserve"> </w:t>
      </w:r>
      <w:proofErr w:type="spellStart"/>
      <w:r w:rsidR="00627E4B" w:rsidRPr="0054592A">
        <w:rPr>
          <w:rFonts w:ascii="Times New Roman" w:hAnsi="Times New Roman"/>
          <w:lang w:val="pt-BR"/>
        </w:rPr>
        <w:t>nanoparticle</w:t>
      </w:r>
      <w:proofErr w:type="spellEnd"/>
      <w:r w:rsidR="00627E4B" w:rsidRPr="0054592A">
        <w:rPr>
          <w:rFonts w:ascii="Times New Roman" w:hAnsi="Times New Roman"/>
          <w:lang w:val="pt-BR"/>
        </w:rPr>
        <w:t xml:space="preserve">. </w:t>
      </w:r>
      <w:proofErr w:type="spellStart"/>
      <w:r w:rsidR="00627E4B" w:rsidRPr="009E5DB5">
        <w:rPr>
          <w:rFonts w:ascii="Times New Roman" w:hAnsi="Times New Roman"/>
          <w:lang w:val="pt-BR"/>
        </w:rPr>
        <w:t>This</w:t>
      </w:r>
      <w:proofErr w:type="spellEnd"/>
      <w:r w:rsidR="00627E4B" w:rsidRPr="009E5DB5">
        <w:rPr>
          <w:rFonts w:ascii="Times New Roman" w:hAnsi="Times New Roman"/>
          <w:lang w:val="pt-BR"/>
        </w:rPr>
        <w:t xml:space="preserve"> </w:t>
      </w:r>
      <w:proofErr w:type="spellStart"/>
      <w:r w:rsidR="00627E4B" w:rsidRPr="009E5DB5">
        <w:rPr>
          <w:rFonts w:ascii="Times New Roman" w:hAnsi="Times New Roman"/>
          <w:lang w:val="pt-BR"/>
        </w:rPr>
        <w:t>fact</w:t>
      </w:r>
      <w:proofErr w:type="spellEnd"/>
      <w:r w:rsidR="00627E4B" w:rsidRPr="009E5DB5">
        <w:rPr>
          <w:rFonts w:ascii="Times New Roman" w:hAnsi="Times New Roman"/>
          <w:lang w:val="pt-BR"/>
        </w:rPr>
        <w:t xml:space="preserve"> </w:t>
      </w:r>
      <w:proofErr w:type="spellStart"/>
      <w:r w:rsidR="00627E4B" w:rsidRPr="009E5DB5">
        <w:rPr>
          <w:rFonts w:ascii="Times New Roman" w:hAnsi="Times New Roman"/>
          <w:lang w:val="pt-BR"/>
        </w:rPr>
        <w:t>becomes</w:t>
      </w:r>
      <w:proofErr w:type="spellEnd"/>
      <w:r w:rsidR="00627E4B" w:rsidRPr="009E5DB5">
        <w:rPr>
          <w:rFonts w:ascii="Times New Roman" w:hAnsi="Times New Roman"/>
          <w:lang w:val="pt-BR"/>
        </w:rPr>
        <w:t xml:space="preserve"> </w:t>
      </w:r>
      <w:r w:rsidR="007745DD">
        <w:rPr>
          <w:rFonts w:ascii="Times New Roman" w:hAnsi="Times New Roman"/>
          <w:lang w:val="pt-BR"/>
        </w:rPr>
        <w:t xml:space="preserve">more </w:t>
      </w:r>
      <w:proofErr w:type="spellStart"/>
      <w:r w:rsidR="00627E4B" w:rsidRPr="009E5DB5">
        <w:rPr>
          <w:rFonts w:ascii="Times New Roman" w:hAnsi="Times New Roman"/>
          <w:lang w:val="pt-BR"/>
        </w:rPr>
        <w:t>evident</w:t>
      </w:r>
      <w:proofErr w:type="spellEnd"/>
      <w:r w:rsidR="00627E4B" w:rsidRPr="009E5DB5">
        <w:rPr>
          <w:rFonts w:ascii="Times New Roman" w:hAnsi="Times New Roman"/>
          <w:lang w:val="pt-BR"/>
        </w:rPr>
        <w:t xml:space="preserve"> </w:t>
      </w:r>
      <w:proofErr w:type="spellStart"/>
      <w:r w:rsidR="00627E4B" w:rsidRPr="009E5DB5">
        <w:rPr>
          <w:rFonts w:ascii="Times New Roman" w:hAnsi="Times New Roman"/>
          <w:lang w:val="pt-BR"/>
        </w:rPr>
        <w:t>when</w:t>
      </w:r>
      <w:proofErr w:type="spellEnd"/>
      <w:r w:rsidR="00627E4B" w:rsidRPr="009E5DB5">
        <w:rPr>
          <w:rFonts w:ascii="Times New Roman" w:hAnsi="Times New Roman"/>
          <w:lang w:val="pt-BR"/>
        </w:rPr>
        <w:t xml:space="preserve"> </w:t>
      </w:r>
      <w:proofErr w:type="spellStart"/>
      <w:r w:rsidR="00627E4B" w:rsidRPr="009E5DB5">
        <w:rPr>
          <w:rFonts w:ascii="Times New Roman" w:hAnsi="Times New Roman"/>
          <w:lang w:val="pt-BR"/>
        </w:rPr>
        <w:t>adding</w:t>
      </w:r>
      <w:proofErr w:type="spellEnd"/>
      <w:r w:rsidR="007745DD">
        <w:rPr>
          <w:rFonts w:ascii="Times New Roman" w:hAnsi="Times New Roman"/>
          <w:lang w:val="pt-BR"/>
        </w:rPr>
        <w:t xml:space="preserve"> a </w:t>
      </w:r>
      <w:proofErr w:type="spellStart"/>
      <w:r w:rsidR="007745DD">
        <w:rPr>
          <w:rFonts w:ascii="Times New Roman" w:hAnsi="Times New Roman"/>
          <w:lang w:val="pt-BR"/>
        </w:rPr>
        <w:t>hydrophobic</w:t>
      </w:r>
      <w:proofErr w:type="spellEnd"/>
      <w:r w:rsidR="00627E4B" w:rsidRPr="009E5DB5">
        <w:rPr>
          <w:rFonts w:ascii="Times New Roman" w:hAnsi="Times New Roman"/>
          <w:lang w:val="pt-BR"/>
        </w:rPr>
        <w:t xml:space="preserve"> IL </w:t>
      </w:r>
      <w:proofErr w:type="spellStart"/>
      <w:r w:rsidR="007745DD">
        <w:rPr>
          <w:rFonts w:ascii="Times New Roman" w:hAnsi="Times New Roman"/>
          <w:lang w:val="pt-BR"/>
        </w:rPr>
        <w:t>because</w:t>
      </w:r>
      <w:proofErr w:type="spellEnd"/>
      <w:r w:rsidR="007745DD">
        <w:rPr>
          <w:rFonts w:ascii="Times New Roman" w:hAnsi="Times New Roman"/>
          <w:lang w:val="pt-BR"/>
        </w:rPr>
        <w:t xml:space="preserve"> </w:t>
      </w:r>
      <w:proofErr w:type="spellStart"/>
      <w:r w:rsidR="007745DD">
        <w:rPr>
          <w:rFonts w:ascii="Times New Roman" w:hAnsi="Times New Roman"/>
          <w:lang w:val="pt-BR"/>
        </w:rPr>
        <w:t>of</w:t>
      </w:r>
      <w:proofErr w:type="spellEnd"/>
      <w:r w:rsidR="007745DD">
        <w:rPr>
          <w:rFonts w:ascii="Times New Roman" w:hAnsi="Times New Roman"/>
          <w:lang w:val="pt-BR"/>
        </w:rPr>
        <w:t xml:space="preserve"> </w:t>
      </w:r>
      <w:proofErr w:type="spellStart"/>
      <w:r w:rsidR="007745DD">
        <w:rPr>
          <w:rFonts w:ascii="Times New Roman" w:hAnsi="Times New Roman"/>
          <w:lang w:val="pt-BR"/>
        </w:rPr>
        <w:t>stability</w:t>
      </w:r>
      <w:proofErr w:type="spellEnd"/>
      <w:r w:rsidR="007745DD">
        <w:rPr>
          <w:rFonts w:ascii="Times New Roman" w:hAnsi="Times New Roman"/>
          <w:lang w:val="pt-BR"/>
        </w:rPr>
        <w:t xml:space="preserve"> </w:t>
      </w:r>
      <w:proofErr w:type="spellStart"/>
      <w:r w:rsidR="007745DD">
        <w:rPr>
          <w:rFonts w:ascii="Times New Roman" w:hAnsi="Times New Roman"/>
          <w:lang w:val="pt-BR"/>
        </w:rPr>
        <w:t>and</w:t>
      </w:r>
      <w:proofErr w:type="spellEnd"/>
      <w:r w:rsidR="007745DD">
        <w:rPr>
          <w:rFonts w:ascii="Times New Roman" w:hAnsi="Times New Roman"/>
          <w:lang w:val="pt-BR"/>
        </w:rPr>
        <w:t xml:space="preserve"> </w:t>
      </w:r>
      <w:proofErr w:type="spellStart"/>
      <w:r w:rsidR="007745DD">
        <w:rPr>
          <w:rFonts w:ascii="Times New Roman" w:hAnsi="Times New Roman"/>
          <w:lang w:val="pt-BR"/>
        </w:rPr>
        <w:t>resistance</w:t>
      </w:r>
      <w:proofErr w:type="spellEnd"/>
      <w:r w:rsidR="007745DD">
        <w:rPr>
          <w:rFonts w:ascii="Times New Roman" w:hAnsi="Times New Roman"/>
          <w:lang w:val="pt-BR"/>
        </w:rPr>
        <w:t xml:space="preserve"> </w:t>
      </w:r>
      <w:proofErr w:type="spellStart"/>
      <w:r w:rsidR="007745DD">
        <w:rPr>
          <w:rFonts w:ascii="Times New Roman" w:hAnsi="Times New Roman"/>
          <w:lang w:val="pt-BR"/>
        </w:rPr>
        <w:t>to</w:t>
      </w:r>
      <w:proofErr w:type="spellEnd"/>
      <w:r w:rsidR="007745DD">
        <w:rPr>
          <w:rFonts w:ascii="Times New Roman" w:hAnsi="Times New Roman"/>
          <w:lang w:val="pt-BR"/>
        </w:rPr>
        <w:t xml:space="preserve"> </w:t>
      </w:r>
      <w:proofErr w:type="spellStart"/>
      <w:r w:rsidR="007745DD">
        <w:rPr>
          <w:rFonts w:ascii="Times New Roman" w:hAnsi="Times New Roman"/>
          <w:lang w:val="pt-BR"/>
        </w:rPr>
        <w:t>leaching</w:t>
      </w:r>
      <w:proofErr w:type="spellEnd"/>
      <w:r w:rsidR="007745DD">
        <w:rPr>
          <w:rFonts w:ascii="Times New Roman" w:hAnsi="Times New Roman"/>
          <w:lang w:val="pt-BR"/>
        </w:rPr>
        <w:t xml:space="preserve">. </w:t>
      </w:r>
    </w:p>
    <w:p w14:paraId="6BE32F7B" w14:textId="6A28430B" w:rsidR="00EA4E1B" w:rsidRPr="005C5441" w:rsidRDefault="000E2861" w:rsidP="00EA4E1B">
      <w:pPr>
        <w:pStyle w:val="Ttulo2"/>
        <w:rPr>
          <w:rFonts w:ascii="Helvetica" w:hAnsi="Helvetica" w:cs="Helvetica"/>
          <w:sz w:val="24"/>
          <w:szCs w:val="24"/>
        </w:rPr>
      </w:pPr>
      <w:proofErr w:type="spellStart"/>
      <w:r w:rsidRPr="005C5441">
        <w:rPr>
          <w:rFonts w:ascii="Helvetica" w:hAnsi="Helvetica" w:cs="Helvetica"/>
          <w:sz w:val="24"/>
          <w:szCs w:val="24"/>
        </w:rPr>
        <w:t>Acknowledgments</w:t>
      </w:r>
      <w:proofErr w:type="spellEnd"/>
    </w:p>
    <w:p w14:paraId="05A178F9" w14:textId="6C6E619B" w:rsidR="00EA4E1B" w:rsidRPr="00961B97" w:rsidRDefault="000D611C" w:rsidP="00961B97">
      <w:pPr>
        <w:pStyle w:val="TAMainText"/>
        <w:ind w:firstLine="0"/>
        <w:rPr>
          <w:rFonts w:ascii="Times New Roman" w:hAnsi="Times New Roman"/>
          <w:lang w:val="pt-BR"/>
        </w:rPr>
      </w:pPr>
      <w:r w:rsidRPr="005C5441">
        <w:rPr>
          <w:rFonts w:ascii="Times New Roman" w:hAnsi="Times New Roman"/>
          <w:lang w:val="pt-BR"/>
        </w:rPr>
        <w:t xml:space="preserve">CAPES (001), FAPERGS (22/2551-0000386-9, 21/2551-0002316-3 </w:t>
      </w:r>
      <w:proofErr w:type="spellStart"/>
      <w:r w:rsidRPr="005C5441">
        <w:rPr>
          <w:rFonts w:ascii="Times New Roman" w:hAnsi="Times New Roman"/>
          <w:lang w:val="pt-BR"/>
        </w:rPr>
        <w:t>and</w:t>
      </w:r>
      <w:proofErr w:type="spellEnd"/>
      <w:r w:rsidRPr="005C5441">
        <w:rPr>
          <w:rFonts w:ascii="Times New Roman" w:hAnsi="Times New Roman"/>
          <w:lang w:val="pt-BR"/>
        </w:rPr>
        <w:t xml:space="preserve"> 18/2551-0000561-4), CNPq (406260/2018-4, </w:t>
      </w:r>
      <w:proofErr w:type="spellStart"/>
      <w:r w:rsidRPr="005C5441">
        <w:rPr>
          <w:rFonts w:ascii="Times New Roman" w:hAnsi="Times New Roman"/>
          <w:lang w:val="pt-BR"/>
        </w:rPr>
        <w:t>and</w:t>
      </w:r>
      <w:proofErr w:type="spellEnd"/>
      <w:r w:rsidRPr="005C5441">
        <w:rPr>
          <w:rFonts w:ascii="Times New Roman" w:hAnsi="Times New Roman"/>
          <w:lang w:val="pt-BR"/>
        </w:rPr>
        <w:t xml:space="preserve"> 305793/2021-7), FINEP - 01.20.0275.00, ANP/FINEP (01.19.0225.00) </w:t>
      </w:r>
      <w:proofErr w:type="spellStart"/>
      <w:r w:rsidRPr="005C5441">
        <w:rPr>
          <w:rFonts w:ascii="Times New Roman" w:hAnsi="Times New Roman"/>
          <w:lang w:val="pt-BR"/>
        </w:rPr>
        <w:t>and</w:t>
      </w:r>
      <w:proofErr w:type="spellEnd"/>
      <w:r w:rsidRPr="005C5441">
        <w:rPr>
          <w:rFonts w:ascii="Times New Roman" w:hAnsi="Times New Roman"/>
          <w:lang w:val="pt-BR"/>
        </w:rPr>
        <w:t xml:space="preserve"> </w:t>
      </w:r>
      <w:r w:rsidR="00961B97">
        <w:rPr>
          <w:rFonts w:ascii="Times New Roman" w:hAnsi="Times New Roman"/>
          <w:lang w:val="pt-BR"/>
        </w:rPr>
        <w:t>FGCSIC</w:t>
      </w:r>
      <w:r w:rsidR="00B21F82">
        <w:rPr>
          <w:rFonts w:ascii="Times New Roman" w:hAnsi="Times New Roman"/>
          <w:lang w:val="pt-BR"/>
        </w:rPr>
        <w:t xml:space="preserve"> </w:t>
      </w:r>
      <w:proofErr w:type="spellStart"/>
      <w:r w:rsidR="000B0BDE" w:rsidRPr="005C5441">
        <w:rPr>
          <w:rFonts w:ascii="Times New Roman" w:hAnsi="Times New Roman"/>
          <w:lang w:val="pt-BR"/>
        </w:rPr>
        <w:t>ComFuturo</w:t>
      </w:r>
      <w:proofErr w:type="spellEnd"/>
      <w:r w:rsidR="000B0BDE" w:rsidRPr="005C5441">
        <w:rPr>
          <w:rFonts w:ascii="Times New Roman" w:hAnsi="Times New Roman"/>
          <w:lang w:val="pt-BR"/>
        </w:rPr>
        <w:t xml:space="preserve"> </w:t>
      </w:r>
      <w:proofErr w:type="spellStart"/>
      <w:r w:rsidR="000B0BDE" w:rsidRPr="005C5441">
        <w:rPr>
          <w:rFonts w:ascii="Times New Roman" w:hAnsi="Times New Roman"/>
          <w:lang w:val="pt-BR"/>
        </w:rPr>
        <w:t>programme</w:t>
      </w:r>
      <w:proofErr w:type="spellEnd"/>
      <w:r w:rsidR="000B0BDE" w:rsidRPr="005C5441">
        <w:rPr>
          <w:rFonts w:ascii="Times New Roman" w:hAnsi="Times New Roman"/>
          <w:lang w:val="pt-BR"/>
        </w:rPr>
        <w:t>/</w:t>
      </w:r>
      <w:r w:rsidR="000B0BDE" w:rsidRPr="002729A7">
        <w:rPr>
          <w:rFonts w:ascii="Times New Roman" w:hAnsi="Times New Roman"/>
          <w:lang w:val="pt-BR"/>
        </w:rPr>
        <w:t xml:space="preserve">Horizon 2020 </w:t>
      </w:r>
      <w:proofErr w:type="spellStart"/>
      <w:r w:rsidR="000B0BDE" w:rsidRPr="002729A7">
        <w:rPr>
          <w:rFonts w:ascii="Times New Roman" w:hAnsi="Times New Roman"/>
          <w:lang w:val="pt-BR"/>
        </w:rPr>
        <w:t>programme</w:t>
      </w:r>
      <w:proofErr w:type="spellEnd"/>
      <w:r w:rsidR="000B0BDE" w:rsidRPr="002729A7">
        <w:rPr>
          <w:rFonts w:ascii="Times New Roman" w:hAnsi="Times New Roman"/>
          <w:lang w:val="pt-BR"/>
        </w:rPr>
        <w:t xml:space="preserve"> </w:t>
      </w:r>
      <w:proofErr w:type="spellStart"/>
      <w:r w:rsidR="000B0BDE" w:rsidRPr="002729A7">
        <w:rPr>
          <w:rFonts w:ascii="Times New Roman" w:hAnsi="Times New Roman"/>
          <w:lang w:val="pt-BR"/>
        </w:rPr>
        <w:t>under</w:t>
      </w:r>
      <w:proofErr w:type="spellEnd"/>
      <w:r w:rsidR="000B0BDE" w:rsidRPr="002729A7">
        <w:rPr>
          <w:rFonts w:ascii="Times New Roman" w:hAnsi="Times New Roman"/>
          <w:lang w:val="pt-BR"/>
        </w:rPr>
        <w:t xml:space="preserve"> </w:t>
      </w:r>
      <w:proofErr w:type="spellStart"/>
      <w:r w:rsidR="005343B5">
        <w:rPr>
          <w:rFonts w:ascii="Times New Roman" w:hAnsi="Times New Roman"/>
          <w:lang w:val="pt-BR"/>
        </w:rPr>
        <w:t>t</w:t>
      </w:r>
      <w:r w:rsidR="000B0BDE" w:rsidRPr="002729A7">
        <w:rPr>
          <w:rFonts w:ascii="Times New Roman" w:hAnsi="Times New Roman"/>
          <w:lang w:val="pt-BR"/>
        </w:rPr>
        <w:t>he</w:t>
      </w:r>
      <w:proofErr w:type="spellEnd"/>
      <w:r w:rsidR="000B0BDE" w:rsidRPr="002729A7">
        <w:rPr>
          <w:rFonts w:ascii="Times New Roman" w:hAnsi="Times New Roman"/>
          <w:lang w:val="pt-BR"/>
        </w:rPr>
        <w:t xml:space="preserve"> Marie </w:t>
      </w:r>
      <w:proofErr w:type="spellStart"/>
      <w:r w:rsidR="000B0BDE" w:rsidRPr="002729A7">
        <w:rPr>
          <w:rFonts w:ascii="Times New Roman" w:hAnsi="Times New Roman"/>
          <w:lang w:val="pt-BR"/>
        </w:rPr>
        <w:t>Skłodowska</w:t>
      </w:r>
      <w:proofErr w:type="spellEnd"/>
      <w:r w:rsidR="000B0BDE" w:rsidRPr="002729A7">
        <w:rPr>
          <w:rFonts w:ascii="Times New Roman" w:hAnsi="Times New Roman"/>
          <w:lang w:val="pt-BR"/>
        </w:rPr>
        <w:t xml:space="preserve">-Curie </w:t>
      </w:r>
      <w:proofErr w:type="spellStart"/>
      <w:r w:rsidR="000B0BDE" w:rsidRPr="002729A7">
        <w:rPr>
          <w:rFonts w:ascii="Times New Roman" w:hAnsi="Times New Roman"/>
          <w:lang w:val="pt-BR"/>
        </w:rPr>
        <w:t>grant</w:t>
      </w:r>
      <w:proofErr w:type="spellEnd"/>
      <w:r w:rsidR="000B0BDE" w:rsidRPr="002729A7">
        <w:rPr>
          <w:rFonts w:ascii="Times New Roman" w:hAnsi="Times New Roman"/>
          <w:lang w:val="pt-BR"/>
        </w:rPr>
        <w:t xml:space="preserve"> </w:t>
      </w:r>
      <w:proofErr w:type="spellStart"/>
      <w:r w:rsidR="000B0BDE" w:rsidRPr="002729A7">
        <w:rPr>
          <w:rFonts w:ascii="Times New Roman" w:hAnsi="Times New Roman"/>
          <w:lang w:val="pt-BR"/>
        </w:rPr>
        <w:t>agreement</w:t>
      </w:r>
      <w:proofErr w:type="spellEnd"/>
      <w:r w:rsidR="000B0BDE" w:rsidRPr="002729A7">
        <w:rPr>
          <w:rFonts w:ascii="Times New Roman" w:hAnsi="Times New Roman"/>
          <w:lang w:val="pt-BR"/>
        </w:rPr>
        <w:t xml:space="preserve"> No. 101034263".</w:t>
      </w:r>
      <w:r w:rsidRPr="002729A7">
        <w:rPr>
          <w:rFonts w:ascii="Times New Roman" w:hAnsi="Times New Roman"/>
          <w:lang w:val="pt-BR"/>
        </w:rPr>
        <w:t xml:space="preserve"> </w:t>
      </w:r>
      <w:proofErr w:type="spellStart"/>
      <w:r w:rsidRPr="00961B97">
        <w:rPr>
          <w:rFonts w:ascii="Times New Roman" w:hAnsi="Times New Roman"/>
          <w:lang w:val="pt-BR"/>
        </w:rPr>
        <w:t>To</w:t>
      </w:r>
      <w:proofErr w:type="spellEnd"/>
      <w:r w:rsidRPr="00961B97">
        <w:rPr>
          <w:rFonts w:ascii="Times New Roman" w:hAnsi="Times New Roman"/>
          <w:lang w:val="pt-BR"/>
        </w:rPr>
        <w:t xml:space="preserve"> </w:t>
      </w:r>
      <w:proofErr w:type="spellStart"/>
      <w:r w:rsidRPr="00961B97">
        <w:rPr>
          <w:rFonts w:ascii="Times New Roman" w:hAnsi="Times New Roman"/>
          <w:lang w:val="pt-BR"/>
        </w:rPr>
        <w:t>the</w:t>
      </w:r>
      <w:proofErr w:type="spellEnd"/>
      <w:r w:rsidRPr="00961B97">
        <w:rPr>
          <w:rFonts w:ascii="Times New Roman" w:hAnsi="Times New Roman"/>
          <w:lang w:val="pt-BR"/>
        </w:rPr>
        <w:t xml:space="preserve"> </w:t>
      </w:r>
      <w:proofErr w:type="spellStart"/>
      <w:r w:rsidR="005343B5">
        <w:rPr>
          <w:rFonts w:ascii="Times New Roman" w:hAnsi="Times New Roman"/>
          <w:lang w:val="pt-BR"/>
        </w:rPr>
        <w:t>LNNano</w:t>
      </w:r>
      <w:proofErr w:type="spellEnd"/>
      <w:r w:rsidR="005343B5">
        <w:rPr>
          <w:rFonts w:ascii="Times New Roman" w:hAnsi="Times New Roman"/>
          <w:lang w:val="pt-BR"/>
        </w:rPr>
        <w:t xml:space="preserve"> </w:t>
      </w:r>
      <w:proofErr w:type="spellStart"/>
      <w:r w:rsidR="005343B5">
        <w:rPr>
          <w:rFonts w:ascii="Times New Roman" w:hAnsi="Times New Roman"/>
          <w:lang w:val="pt-BR"/>
        </w:rPr>
        <w:t>and</w:t>
      </w:r>
      <w:proofErr w:type="spellEnd"/>
      <w:r w:rsidR="005343B5">
        <w:rPr>
          <w:rFonts w:ascii="Times New Roman" w:hAnsi="Times New Roman"/>
          <w:lang w:val="pt-BR"/>
        </w:rPr>
        <w:t xml:space="preserve"> </w:t>
      </w:r>
      <w:r w:rsidR="000B0BDE" w:rsidRPr="00961B97">
        <w:rPr>
          <w:rFonts w:ascii="Times New Roman" w:hAnsi="Times New Roman"/>
          <w:lang w:val="pt-BR"/>
        </w:rPr>
        <w:t xml:space="preserve">Service </w:t>
      </w:r>
      <w:proofErr w:type="spellStart"/>
      <w:r w:rsidR="000B0BDE" w:rsidRPr="00961B97">
        <w:rPr>
          <w:rFonts w:ascii="Times New Roman" w:hAnsi="Times New Roman"/>
          <w:lang w:val="pt-BR"/>
        </w:rPr>
        <w:t>of</w:t>
      </w:r>
      <w:proofErr w:type="spellEnd"/>
      <w:r w:rsidR="000B0BDE" w:rsidRPr="00961B97">
        <w:rPr>
          <w:rFonts w:ascii="Times New Roman" w:hAnsi="Times New Roman"/>
          <w:lang w:val="pt-BR"/>
        </w:rPr>
        <w:t xml:space="preserve"> </w:t>
      </w:r>
      <w:proofErr w:type="spellStart"/>
      <w:r w:rsidR="000B0BDE" w:rsidRPr="00961B97">
        <w:rPr>
          <w:rFonts w:ascii="Times New Roman" w:hAnsi="Times New Roman"/>
          <w:lang w:val="pt-BR"/>
        </w:rPr>
        <w:t>Microscopy</w:t>
      </w:r>
      <w:proofErr w:type="spellEnd"/>
      <w:r w:rsidR="000B0BDE" w:rsidRPr="00961B97">
        <w:rPr>
          <w:rFonts w:ascii="Times New Roman" w:hAnsi="Times New Roman"/>
          <w:lang w:val="pt-BR"/>
        </w:rPr>
        <w:t xml:space="preserve"> </w:t>
      </w:r>
      <w:proofErr w:type="spellStart"/>
      <w:r w:rsidR="000B0BDE" w:rsidRPr="00961B97">
        <w:rPr>
          <w:rFonts w:ascii="Times New Roman" w:hAnsi="Times New Roman"/>
          <w:lang w:val="pt-BR"/>
        </w:rPr>
        <w:t>of</w:t>
      </w:r>
      <w:proofErr w:type="spellEnd"/>
      <w:r w:rsidR="000B0BDE" w:rsidRPr="00961B97">
        <w:rPr>
          <w:rFonts w:ascii="Times New Roman" w:hAnsi="Times New Roman"/>
          <w:lang w:val="pt-BR"/>
        </w:rPr>
        <w:t xml:space="preserve"> PUCRS</w:t>
      </w:r>
      <w:r w:rsidRPr="00961B97">
        <w:rPr>
          <w:rFonts w:ascii="Times New Roman" w:hAnsi="Times New Roman"/>
          <w:lang w:val="pt-BR"/>
        </w:rPr>
        <w:t xml:space="preserve">, </w:t>
      </w:r>
      <w:proofErr w:type="spellStart"/>
      <w:r w:rsidR="005343B5">
        <w:rPr>
          <w:rFonts w:ascii="Times New Roman" w:hAnsi="Times New Roman"/>
          <w:lang w:val="pt-BR"/>
        </w:rPr>
        <w:t>to</w:t>
      </w:r>
      <w:proofErr w:type="spellEnd"/>
      <w:r w:rsidR="005343B5">
        <w:rPr>
          <w:rFonts w:ascii="Times New Roman" w:hAnsi="Times New Roman"/>
          <w:lang w:val="pt-BR"/>
        </w:rPr>
        <w:t xml:space="preserve"> </w:t>
      </w:r>
      <w:proofErr w:type="spellStart"/>
      <w:r w:rsidRPr="00961B97">
        <w:rPr>
          <w:rFonts w:ascii="Times New Roman" w:hAnsi="Times New Roman"/>
          <w:lang w:val="pt-BR"/>
        </w:rPr>
        <w:t>Laboratory</w:t>
      </w:r>
      <w:proofErr w:type="spellEnd"/>
      <w:r w:rsidRPr="00961B97">
        <w:rPr>
          <w:rFonts w:ascii="Times New Roman" w:hAnsi="Times New Roman"/>
          <w:lang w:val="pt-BR"/>
        </w:rPr>
        <w:t xml:space="preserve"> </w:t>
      </w:r>
      <w:proofErr w:type="spellStart"/>
      <w:r w:rsidRPr="00961B97">
        <w:rPr>
          <w:rFonts w:ascii="Times New Roman" w:hAnsi="Times New Roman"/>
          <w:lang w:val="pt-BR"/>
        </w:rPr>
        <w:t>of</w:t>
      </w:r>
      <w:proofErr w:type="spellEnd"/>
      <w:r w:rsidRPr="00961B97">
        <w:rPr>
          <w:rFonts w:ascii="Times New Roman" w:hAnsi="Times New Roman"/>
          <w:lang w:val="pt-BR"/>
        </w:rPr>
        <w:t xml:space="preserve"> </w:t>
      </w:r>
      <w:proofErr w:type="spellStart"/>
      <w:r w:rsidRPr="00961B97">
        <w:rPr>
          <w:rFonts w:ascii="Times New Roman" w:hAnsi="Times New Roman"/>
          <w:lang w:val="pt-BR"/>
        </w:rPr>
        <w:t>Ionic</w:t>
      </w:r>
      <w:proofErr w:type="spellEnd"/>
      <w:r w:rsidRPr="00961B97">
        <w:rPr>
          <w:rFonts w:ascii="Times New Roman" w:hAnsi="Times New Roman"/>
          <w:lang w:val="pt-BR"/>
        </w:rPr>
        <w:t xml:space="preserve"> </w:t>
      </w:r>
      <w:proofErr w:type="spellStart"/>
      <w:r w:rsidRPr="00961B97">
        <w:rPr>
          <w:rFonts w:ascii="Times New Roman" w:hAnsi="Times New Roman"/>
          <w:lang w:val="pt-BR"/>
        </w:rPr>
        <w:t>Implantation</w:t>
      </w:r>
      <w:proofErr w:type="spellEnd"/>
      <w:r w:rsidRPr="00961B97">
        <w:rPr>
          <w:rFonts w:ascii="Times New Roman" w:hAnsi="Times New Roman"/>
          <w:lang w:val="pt-BR"/>
        </w:rPr>
        <w:t xml:space="preserve"> </w:t>
      </w:r>
      <w:r w:rsidR="00961B97">
        <w:rPr>
          <w:rFonts w:ascii="Times New Roman" w:hAnsi="Times New Roman"/>
          <w:lang w:val="pt-BR"/>
        </w:rPr>
        <w:t>(LII-</w:t>
      </w:r>
      <w:r w:rsidRPr="00961B97">
        <w:rPr>
          <w:rFonts w:ascii="Times New Roman" w:hAnsi="Times New Roman"/>
          <w:lang w:val="pt-BR"/>
        </w:rPr>
        <w:t>UFRGS</w:t>
      </w:r>
      <w:r w:rsidR="00961B97">
        <w:rPr>
          <w:rFonts w:ascii="Times New Roman" w:hAnsi="Times New Roman"/>
          <w:lang w:val="pt-BR"/>
        </w:rPr>
        <w:t>)</w:t>
      </w:r>
      <w:r w:rsidRPr="00961B97">
        <w:rPr>
          <w:rFonts w:ascii="Times New Roman" w:hAnsi="Times New Roman"/>
          <w:lang w:val="pt-BR"/>
        </w:rPr>
        <w:t xml:space="preserve"> for PIXE</w:t>
      </w:r>
      <w:r w:rsidR="000B0BDE" w:rsidRPr="00961B97">
        <w:rPr>
          <w:rFonts w:ascii="Times New Roman" w:hAnsi="Times New Roman"/>
          <w:lang w:val="pt-BR"/>
        </w:rPr>
        <w:t xml:space="preserve"> </w:t>
      </w:r>
      <w:proofErr w:type="spellStart"/>
      <w:r w:rsidR="000B0BDE" w:rsidRPr="00961B97">
        <w:rPr>
          <w:rFonts w:ascii="Times New Roman" w:hAnsi="Times New Roman"/>
          <w:lang w:val="pt-BR"/>
        </w:rPr>
        <w:t>and</w:t>
      </w:r>
      <w:proofErr w:type="spellEnd"/>
      <w:r w:rsidR="000B0BDE" w:rsidRPr="00961B97">
        <w:rPr>
          <w:rFonts w:ascii="Times New Roman" w:hAnsi="Times New Roman"/>
          <w:lang w:val="pt-BR"/>
        </w:rPr>
        <w:t xml:space="preserve"> </w:t>
      </w:r>
      <w:r w:rsidRPr="00961B97">
        <w:rPr>
          <w:rFonts w:ascii="Times New Roman" w:hAnsi="Times New Roman"/>
          <w:lang w:val="pt-BR"/>
        </w:rPr>
        <w:t xml:space="preserve">Professor Edilson </w:t>
      </w:r>
      <w:r w:rsidR="00961B97">
        <w:rPr>
          <w:rFonts w:ascii="Times New Roman" w:hAnsi="Times New Roman"/>
          <w:lang w:val="pt-BR"/>
        </w:rPr>
        <w:t xml:space="preserve">V. </w:t>
      </w:r>
      <w:proofErr w:type="spellStart"/>
      <w:r w:rsidRPr="00961B97">
        <w:rPr>
          <w:rFonts w:ascii="Times New Roman" w:hAnsi="Times New Roman"/>
          <w:lang w:val="pt-BR"/>
        </w:rPr>
        <w:t>Benvenutti</w:t>
      </w:r>
      <w:proofErr w:type="spellEnd"/>
      <w:r w:rsidRPr="00961B97">
        <w:rPr>
          <w:rFonts w:ascii="Times New Roman" w:hAnsi="Times New Roman"/>
          <w:lang w:val="pt-BR"/>
        </w:rPr>
        <w:t xml:space="preserve"> for BET </w:t>
      </w:r>
      <w:proofErr w:type="spellStart"/>
      <w:r w:rsidRPr="00961B97">
        <w:rPr>
          <w:rFonts w:ascii="Times New Roman" w:hAnsi="Times New Roman"/>
          <w:lang w:val="pt-BR"/>
        </w:rPr>
        <w:t>analysis</w:t>
      </w:r>
      <w:proofErr w:type="spellEnd"/>
      <w:r w:rsidRPr="00961B97">
        <w:rPr>
          <w:rFonts w:ascii="Times New Roman" w:hAnsi="Times New Roman"/>
          <w:lang w:val="pt-BR"/>
        </w:rPr>
        <w:t>,</w:t>
      </w:r>
    </w:p>
    <w:p w14:paraId="1EAAA287" w14:textId="4E02F605" w:rsidR="00EA4E1B" w:rsidRPr="001F25B2" w:rsidRDefault="00EA4E1B" w:rsidP="00EA4E1B">
      <w:pPr>
        <w:pStyle w:val="Ttulo2"/>
        <w:rPr>
          <w:rFonts w:ascii="Helvetica" w:hAnsi="Helvetica" w:cs="Helvetica"/>
          <w:sz w:val="24"/>
          <w:szCs w:val="24"/>
        </w:rPr>
      </w:pPr>
      <w:proofErr w:type="spellStart"/>
      <w:r w:rsidRPr="001F25B2">
        <w:rPr>
          <w:rFonts w:ascii="Helvetica" w:hAnsi="Helvetica" w:cs="Helvetica"/>
          <w:sz w:val="24"/>
          <w:szCs w:val="24"/>
        </w:rPr>
        <w:t>Refer</w:t>
      </w:r>
      <w:r w:rsidR="001F13F0">
        <w:rPr>
          <w:rFonts w:ascii="Helvetica" w:hAnsi="Helvetica" w:cs="Helvetica"/>
          <w:sz w:val="24"/>
          <w:szCs w:val="24"/>
        </w:rPr>
        <w:t>ences</w:t>
      </w:r>
      <w:proofErr w:type="spellEnd"/>
    </w:p>
    <w:p w14:paraId="6BB23E73" w14:textId="126585B3" w:rsidR="00E96EC8" w:rsidRPr="0055470D" w:rsidRDefault="00E96EC8" w:rsidP="003631D6">
      <w:pPr>
        <w:pStyle w:val="TAMainText"/>
        <w:numPr>
          <w:ilvl w:val="0"/>
          <w:numId w:val="1"/>
        </w:numPr>
        <w:rPr>
          <w:lang w:val="pt-BR"/>
        </w:rPr>
      </w:pPr>
      <w:r w:rsidRPr="0055470D">
        <w:rPr>
          <w:lang w:val="es-ES"/>
        </w:rPr>
        <w:t>H</w:t>
      </w:r>
      <w:r w:rsidR="0055470D" w:rsidRPr="0055470D">
        <w:rPr>
          <w:lang w:val="es-ES"/>
        </w:rPr>
        <w:t>.</w:t>
      </w:r>
      <w:r w:rsidRPr="0055470D">
        <w:rPr>
          <w:lang w:val="es-ES"/>
        </w:rPr>
        <w:t xml:space="preserve"> Ahmad; S. K. </w:t>
      </w:r>
      <w:proofErr w:type="spellStart"/>
      <w:r w:rsidRPr="0055470D">
        <w:rPr>
          <w:lang w:val="es-ES"/>
        </w:rPr>
        <w:t>Kamarudin</w:t>
      </w:r>
      <w:proofErr w:type="spellEnd"/>
      <w:r w:rsidRPr="0055470D">
        <w:rPr>
          <w:lang w:val="es-ES"/>
        </w:rPr>
        <w:t xml:space="preserve">; L.J. </w:t>
      </w:r>
      <w:proofErr w:type="spellStart"/>
      <w:r w:rsidRPr="0055470D">
        <w:rPr>
          <w:lang w:val="es-ES"/>
        </w:rPr>
        <w:t>Minggu</w:t>
      </w:r>
      <w:proofErr w:type="spellEnd"/>
      <w:r w:rsidRPr="0055470D">
        <w:rPr>
          <w:lang w:val="es-ES"/>
        </w:rPr>
        <w:t xml:space="preserve">, and M.  </w:t>
      </w:r>
      <w:r w:rsidRPr="0055470D">
        <w:rPr>
          <w:lang w:val="pt-BR"/>
        </w:rPr>
        <w:t xml:space="preserve">Kassim. </w:t>
      </w:r>
      <w:proofErr w:type="spellStart"/>
      <w:r w:rsidR="0055470D" w:rsidRPr="0055470D">
        <w:rPr>
          <w:i/>
          <w:iCs/>
          <w:lang w:val="pt-BR"/>
        </w:rPr>
        <w:t>Renew</w:t>
      </w:r>
      <w:proofErr w:type="spellEnd"/>
      <w:r w:rsidR="0055470D" w:rsidRPr="0055470D">
        <w:rPr>
          <w:i/>
          <w:iCs/>
          <w:lang w:val="pt-BR"/>
        </w:rPr>
        <w:t xml:space="preserve">. </w:t>
      </w:r>
      <w:proofErr w:type="spellStart"/>
      <w:r w:rsidR="0055470D" w:rsidRPr="0055470D">
        <w:rPr>
          <w:i/>
          <w:iCs/>
          <w:lang w:val="pt-BR"/>
        </w:rPr>
        <w:t>Sustain</w:t>
      </w:r>
      <w:proofErr w:type="spellEnd"/>
      <w:r w:rsidR="0055470D" w:rsidRPr="0055470D">
        <w:rPr>
          <w:i/>
          <w:iCs/>
          <w:lang w:val="pt-BR"/>
        </w:rPr>
        <w:t>. Energy Rev.</w:t>
      </w:r>
      <w:r w:rsidRPr="0055470D">
        <w:rPr>
          <w:lang w:val="pt-BR"/>
        </w:rPr>
        <w:t xml:space="preserve">, </w:t>
      </w:r>
      <w:r w:rsidRPr="0055470D">
        <w:rPr>
          <w:b/>
          <w:bCs/>
          <w:lang w:val="pt-BR"/>
        </w:rPr>
        <w:t>2015</w:t>
      </w:r>
      <w:r w:rsidRPr="0055470D">
        <w:rPr>
          <w:lang w:val="pt-BR"/>
        </w:rPr>
        <w:t xml:space="preserve">, </w:t>
      </w:r>
      <w:r w:rsidRPr="0055470D">
        <w:rPr>
          <w:i/>
          <w:iCs/>
          <w:lang w:val="pt-BR"/>
        </w:rPr>
        <w:t>43</w:t>
      </w:r>
      <w:r w:rsidRPr="0055470D">
        <w:rPr>
          <w:lang w:val="pt-BR"/>
        </w:rPr>
        <w:t>, 599.</w:t>
      </w:r>
    </w:p>
    <w:p w14:paraId="3FF49F3F" w14:textId="3A4E38B4" w:rsidR="003631D6" w:rsidRDefault="0055470D" w:rsidP="003631D6">
      <w:pPr>
        <w:pStyle w:val="TAMainText"/>
        <w:numPr>
          <w:ilvl w:val="0"/>
          <w:numId w:val="1"/>
        </w:numPr>
        <w:rPr>
          <w:lang w:val="pt-BR"/>
        </w:rPr>
      </w:pPr>
      <w:r w:rsidRPr="0055470D">
        <w:rPr>
          <w:lang w:val="pt-BR"/>
        </w:rPr>
        <w:t>F</w:t>
      </w:r>
      <w:r>
        <w:rPr>
          <w:lang w:val="pt-BR"/>
        </w:rPr>
        <w:t xml:space="preserve">. </w:t>
      </w:r>
      <w:r w:rsidRPr="0055470D">
        <w:rPr>
          <w:lang w:val="pt-BR"/>
        </w:rPr>
        <w:t>Chen, T</w:t>
      </w:r>
      <w:r>
        <w:rPr>
          <w:lang w:val="pt-BR"/>
        </w:rPr>
        <w:t xml:space="preserve">. </w:t>
      </w:r>
      <w:proofErr w:type="spellStart"/>
      <w:r w:rsidRPr="0055470D">
        <w:rPr>
          <w:lang w:val="pt-BR"/>
        </w:rPr>
        <w:t>Ma</w:t>
      </w:r>
      <w:proofErr w:type="spellEnd"/>
      <w:r w:rsidRPr="0055470D">
        <w:rPr>
          <w:lang w:val="pt-BR"/>
        </w:rPr>
        <w:t>, T</w:t>
      </w:r>
      <w:r>
        <w:rPr>
          <w:lang w:val="pt-BR"/>
        </w:rPr>
        <w:t xml:space="preserve">. </w:t>
      </w:r>
      <w:r w:rsidRPr="0055470D">
        <w:rPr>
          <w:lang w:val="pt-BR"/>
        </w:rPr>
        <w:t>Zhang, Y</w:t>
      </w:r>
      <w:r>
        <w:rPr>
          <w:lang w:val="pt-BR"/>
        </w:rPr>
        <w:t xml:space="preserve">. </w:t>
      </w:r>
      <w:r w:rsidRPr="0055470D">
        <w:rPr>
          <w:lang w:val="pt-BR"/>
        </w:rPr>
        <w:t>Zhang, H</w:t>
      </w:r>
      <w:r>
        <w:rPr>
          <w:lang w:val="pt-BR"/>
        </w:rPr>
        <w:t xml:space="preserve">. </w:t>
      </w:r>
      <w:r w:rsidRPr="0055470D">
        <w:rPr>
          <w:lang w:val="pt-BR"/>
        </w:rPr>
        <w:t>Huang</w:t>
      </w:r>
      <w:r>
        <w:rPr>
          <w:lang w:val="pt-BR"/>
        </w:rPr>
        <w:t xml:space="preserve">. </w:t>
      </w:r>
      <w:r w:rsidR="003631D6" w:rsidRPr="005343B5">
        <w:rPr>
          <w:i/>
          <w:iCs/>
          <w:lang w:val="pt-BR"/>
        </w:rPr>
        <w:t>Adv. Mater.</w:t>
      </w:r>
      <w:r w:rsidR="003631D6" w:rsidRPr="003631D6">
        <w:rPr>
          <w:lang w:val="pt-BR"/>
        </w:rPr>
        <w:t xml:space="preserve"> </w:t>
      </w:r>
      <w:r w:rsidR="003631D6" w:rsidRPr="005343B5">
        <w:rPr>
          <w:b/>
          <w:bCs/>
          <w:lang w:val="pt-BR"/>
        </w:rPr>
        <w:t>2021</w:t>
      </w:r>
      <w:r w:rsidR="005343B5">
        <w:rPr>
          <w:lang w:val="pt-BR"/>
        </w:rPr>
        <w:t xml:space="preserve">, </w:t>
      </w:r>
      <w:r w:rsidR="00230198" w:rsidRPr="00230198">
        <w:rPr>
          <w:lang w:val="pt-BR"/>
        </w:rPr>
        <w:t>2005256</w:t>
      </w:r>
      <w:r w:rsidR="005343B5">
        <w:rPr>
          <w:lang w:val="pt-BR"/>
        </w:rPr>
        <w:t>.</w:t>
      </w:r>
    </w:p>
    <w:p w14:paraId="2C73E4AA" w14:textId="48C909BD" w:rsidR="003631D6" w:rsidRPr="00230198" w:rsidRDefault="00E96EC8" w:rsidP="00230198">
      <w:pPr>
        <w:pStyle w:val="TAMainText"/>
        <w:numPr>
          <w:ilvl w:val="0"/>
          <w:numId w:val="1"/>
        </w:numPr>
        <w:rPr>
          <w:lang w:val="es-ES"/>
        </w:rPr>
      </w:pPr>
      <w:r w:rsidRPr="00E96EC8">
        <w:rPr>
          <w:lang w:val="es-ES"/>
        </w:rPr>
        <w:t xml:space="preserve">G. </w:t>
      </w:r>
      <w:r w:rsidR="003631D6" w:rsidRPr="00E96EC8">
        <w:rPr>
          <w:lang w:val="es-ES"/>
        </w:rPr>
        <w:t>Chacon</w:t>
      </w:r>
      <w:r w:rsidR="00230198">
        <w:rPr>
          <w:lang w:val="es-ES"/>
        </w:rPr>
        <w:t>, J. Dupont</w:t>
      </w:r>
      <w:r w:rsidR="003631D6" w:rsidRPr="00E96EC8">
        <w:rPr>
          <w:lang w:val="es-ES"/>
        </w:rPr>
        <w:t xml:space="preserve"> et al., </w:t>
      </w:r>
      <w:proofErr w:type="spellStart"/>
      <w:r>
        <w:rPr>
          <w:lang w:val="es-ES"/>
        </w:rPr>
        <w:t>Int</w:t>
      </w:r>
      <w:proofErr w:type="spellEnd"/>
      <w:r>
        <w:rPr>
          <w:lang w:val="es-ES"/>
        </w:rPr>
        <w:t xml:space="preserve">, J, </w:t>
      </w:r>
      <w:proofErr w:type="spellStart"/>
      <w:r>
        <w:rPr>
          <w:lang w:val="es-ES"/>
        </w:rPr>
        <w:t>Hydrog</w:t>
      </w:r>
      <w:proofErr w:type="spellEnd"/>
      <w:r>
        <w:rPr>
          <w:lang w:val="es-ES"/>
        </w:rPr>
        <w:t xml:space="preserve">. </w:t>
      </w:r>
      <w:proofErr w:type="spellStart"/>
      <w:r>
        <w:rPr>
          <w:lang w:val="es-ES"/>
        </w:rPr>
        <w:t>Energ</w:t>
      </w:r>
      <w:proofErr w:type="spellEnd"/>
      <w:r>
        <w:rPr>
          <w:lang w:val="es-ES"/>
        </w:rPr>
        <w:t xml:space="preserve">. </w:t>
      </w:r>
      <w:r w:rsidRPr="00E96EC8">
        <w:rPr>
          <w:b/>
          <w:bCs/>
          <w:lang w:val="es-ES"/>
        </w:rPr>
        <w:t>2023</w:t>
      </w:r>
      <w:r>
        <w:rPr>
          <w:lang w:val="es-ES"/>
        </w:rPr>
        <w:t xml:space="preserve"> </w:t>
      </w:r>
      <w:r w:rsidRPr="00E96EC8">
        <w:rPr>
          <w:lang w:val="es-ES"/>
        </w:rPr>
        <w:t xml:space="preserve">(in </w:t>
      </w:r>
      <w:proofErr w:type="spellStart"/>
      <w:r w:rsidRPr="00E96EC8">
        <w:rPr>
          <w:lang w:val="es-ES"/>
        </w:rPr>
        <w:t>press</w:t>
      </w:r>
      <w:proofErr w:type="spellEnd"/>
      <w:r w:rsidRPr="00E96EC8">
        <w:rPr>
          <w:lang w:val="es-ES"/>
        </w:rPr>
        <w:t>)</w:t>
      </w:r>
      <w:r w:rsidR="00230198">
        <w:rPr>
          <w:lang w:val="es-ES"/>
        </w:rPr>
        <w:t xml:space="preserve"> </w:t>
      </w:r>
      <w:hyperlink r:id="rId10" w:history="1">
        <w:r w:rsidR="00230198">
          <w:rPr>
            <w:rStyle w:val="Hyperlink"/>
            <w:lang w:val="es-ES"/>
          </w:rPr>
          <w:t>(</w:t>
        </w:r>
        <w:proofErr w:type="spellStart"/>
        <w:r w:rsidRPr="00230198">
          <w:rPr>
            <w:rStyle w:val="Hyperlink"/>
            <w:lang w:val="es-ES"/>
          </w:rPr>
          <w:t>do</w:t>
        </w:r>
        <w:r w:rsidR="00230198">
          <w:rPr>
            <w:rStyle w:val="Hyperlink"/>
            <w:lang w:val="es-ES"/>
          </w:rPr>
          <w:t>i</w:t>
        </w:r>
        <w:proofErr w:type="spellEnd"/>
        <w:r w:rsidR="00230198">
          <w:rPr>
            <w:rStyle w:val="Hyperlink"/>
            <w:lang w:val="es-ES"/>
          </w:rPr>
          <w:t xml:space="preserve">: </w:t>
        </w:r>
        <w:r w:rsidRPr="00230198">
          <w:rPr>
            <w:rStyle w:val="Hyperlink"/>
            <w:lang w:val="es-ES"/>
          </w:rPr>
          <w:t>10.1016/j.ijhydene.2023.04.243</w:t>
        </w:r>
      </w:hyperlink>
      <w:r w:rsidR="003631D6" w:rsidRPr="00230198">
        <w:rPr>
          <w:lang w:val="es-ES"/>
        </w:rPr>
        <w:t xml:space="preserve">). </w:t>
      </w:r>
    </w:p>
    <w:p w14:paraId="10907295" w14:textId="446FBCBA" w:rsidR="00230198" w:rsidRPr="00E96EC8" w:rsidRDefault="00230198" w:rsidP="00E96EC8">
      <w:pPr>
        <w:pStyle w:val="TAMainText"/>
        <w:numPr>
          <w:ilvl w:val="0"/>
          <w:numId w:val="1"/>
        </w:numPr>
        <w:rPr>
          <w:lang w:val="es-ES"/>
        </w:rPr>
      </w:pPr>
      <w:r w:rsidRPr="00230198">
        <w:rPr>
          <w:lang w:val="es-ES"/>
        </w:rPr>
        <w:t xml:space="preserve">Y. Zhang, S. He, W. </w:t>
      </w:r>
      <w:proofErr w:type="spellStart"/>
      <w:r w:rsidRPr="00230198">
        <w:rPr>
          <w:lang w:val="es-ES"/>
        </w:rPr>
        <w:t>Guo</w:t>
      </w:r>
      <w:proofErr w:type="spellEnd"/>
      <w:r w:rsidRPr="00230198">
        <w:rPr>
          <w:lang w:val="es-ES"/>
        </w:rPr>
        <w:t xml:space="preserve">, Y. </w:t>
      </w:r>
      <w:proofErr w:type="spellStart"/>
      <w:r w:rsidRPr="00230198">
        <w:rPr>
          <w:lang w:val="es-ES"/>
        </w:rPr>
        <w:t>Hu</w:t>
      </w:r>
      <w:proofErr w:type="spellEnd"/>
      <w:r w:rsidRPr="00230198">
        <w:rPr>
          <w:lang w:val="es-ES"/>
        </w:rPr>
        <w:t xml:space="preserve">, J. Huang, J.R. Mulcahy, W.D. Wei, </w:t>
      </w:r>
      <w:proofErr w:type="spellStart"/>
      <w:r w:rsidRPr="00230198">
        <w:rPr>
          <w:i/>
          <w:iCs/>
          <w:lang w:val="es-ES"/>
        </w:rPr>
        <w:t>Chem</w:t>
      </w:r>
      <w:proofErr w:type="spellEnd"/>
      <w:r w:rsidRPr="00230198">
        <w:rPr>
          <w:i/>
          <w:iCs/>
          <w:lang w:val="es-ES"/>
        </w:rPr>
        <w:t>. Rev</w:t>
      </w:r>
      <w:r w:rsidRPr="00230198">
        <w:rPr>
          <w:lang w:val="es-ES"/>
        </w:rPr>
        <w:t xml:space="preserve">., </w:t>
      </w:r>
      <w:r w:rsidRPr="00230198">
        <w:rPr>
          <w:b/>
          <w:bCs/>
          <w:lang w:val="es-ES"/>
        </w:rPr>
        <w:t>2018</w:t>
      </w:r>
      <w:r>
        <w:rPr>
          <w:b/>
          <w:bCs/>
          <w:lang w:val="es-ES"/>
        </w:rPr>
        <w:t xml:space="preserve">, </w:t>
      </w:r>
      <w:r w:rsidRPr="00230198">
        <w:rPr>
          <w:i/>
          <w:iCs/>
          <w:lang w:val="es-ES"/>
        </w:rPr>
        <w:t>118</w:t>
      </w:r>
      <w:r>
        <w:rPr>
          <w:lang w:val="es-ES"/>
        </w:rPr>
        <w:t xml:space="preserve">, </w:t>
      </w:r>
      <w:r w:rsidRPr="00230198">
        <w:rPr>
          <w:lang w:val="es-ES"/>
        </w:rPr>
        <w:t>2927-2954.</w:t>
      </w:r>
    </w:p>
    <w:p w14:paraId="5CE908D6" w14:textId="29BDACD2" w:rsidR="003631D6" w:rsidRPr="003631D6" w:rsidRDefault="003631D6" w:rsidP="003631D6">
      <w:pPr>
        <w:pStyle w:val="TAMainText"/>
        <w:numPr>
          <w:ilvl w:val="0"/>
          <w:numId w:val="1"/>
        </w:numPr>
        <w:rPr>
          <w:lang w:val="pt-BR"/>
        </w:rPr>
      </w:pPr>
      <w:r w:rsidRPr="003631D6">
        <w:rPr>
          <w:lang w:val="pt-BR"/>
        </w:rPr>
        <w:t xml:space="preserve">H. Wender, P. </w:t>
      </w:r>
      <w:proofErr w:type="spellStart"/>
      <w:r w:rsidRPr="003631D6">
        <w:rPr>
          <w:lang w:val="pt-BR"/>
        </w:rPr>
        <w:t>Migowski</w:t>
      </w:r>
      <w:proofErr w:type="spellEnd"/>
      <w:r w:rsidRPr="003631D6">
        <w:rPr>
          <w:lang w:val="pt-BR"/>
        </w:rPr>
        <w:t xml:space="preserve">, A.F. </w:t>
      </w:r>
      <w:proofErr w:type="spellStart"/>
      <w:r w:rsidRPr="003631D6">
        <w:rPr>
          <w:lang w:val="pt-BR"/>
        </w:rPr>
        <w:t>Feil</w:t>
      </w:r>
      <w:proofErr w:type="spellEnd"/>
      <w:r w:rsidRPr="003631D6">
        <w:rPr>
          <w:lang w:val="pt-BR"/>
        </w:rPr>
        <w:t xml:space="preserve">, S.R. Teixeira, J. Dupont, </w:t>
      </w:r>
      <w:r w:rsidRPr="003631D6">
        <w:rPr>
          <w:i/>
          <w:iCs/>
          <w:lang w:val="pt-BR"/>
        </w:rPr>
        <w:t xml:space="preserve">Coord. </w:t>
      </w:r>
      <w:proofErr w:type="spellStart"/>
      <w:r w:rsidRPr="003631D6">
        <w:rPr>
          <w:i/>
          <w:iCs/>
          <w:lang w:val="pt-BR"/>
        </w:rPr>
        <w:t>Chem</w:t>
      </w:r>
      <w:proofErr w:type="spellEnd"/>
      <w:r w:rsidRPr="003631D6">
        <w:rPr>
          <w:i/>
          <w:iCs/>
          <w:lang w:val="pt-BR"/>
        </w:rPr>
        <w:t>. Rev.</w:t>
      </w:r>
      <w:r w:rsidRPr="003631D6">
        <w:rPr>
          <w:lang w:val="pt-BR"/>
        </w:rPr>
        <w:t xml:space="preserve"> 257</w:t>
      </w:r>
      <w:r>
        <w:rPr>
          <w:lang w:val="pt-BR"/>
        </w:rPr>
        <w:t xml:space="preserve">, </w:t>
      </w:r>
      <w:r w:rsidRPr="003631D6">
        <w:rPr>
          <w:b/>
          <w:bCs/>
          <w:lang w:val="pt-BR"/>
        </w:rPr>
        <w:t>2013</w:t>
      </w:r>
      <w:r>
        <w:rPr>
          <w:lang w:val="pt-BR"/>
        </w:rPr>
        <w:t>,</w:t>
      </w:r>
      <w:r w:rsidRPr="003631D6">
        <w:rPr>
          <w:lang w:val="pt-BR"/>
        </w:rPr>
        <w:t xml:space="preserve"> 2468-2483.</w:t>
      </w:r>
    </w:p>
    <w:p w14:paraId="7304D899" w14:textId="10B77D7B" w:rsidR="003631D6" w:rsidRPr="003631D6" w:rsidRDefault="003631D6" w:rsidP="003631D6">
      <w:pPr>
        <w:pStyle w:val="TAMainText"/>
        <w:numPr>
          <w:ilvl w:val="0"/>
          <w:numId w:val="1"/>
        </w:numPr>
        <w:rPr>
          <w:lang w:val="pt-BR"/>
        </w:rPr>
      </w:pPr>
      <w:r w:rsidRPr="003631D6">
        <w:rPr>
          <w:lang w:val="pt-BR"/>
        </w:rPr>
        <w:t xml:space="preserve">I. Cano, A. </w:t>
      </w:r>
      <w:proofErr w:type="spellStart"/>
      <w:r w:rsidRPr="003631D6">
        <w:rPr>
          <w:lang w:val="pt-BR"/>
        </w:rPr>
        <w:t>Weilhard</w:t>
      </w:r>
      <w:proofErr w:type="spellEnd"/>
      <w:r w:rsidRPr="003631D6">
        <w:rPr>
          <w:lang w:val="pt-BR"/>
        </w:rPr>
        <w:t xml:space="preserve">, C. Martin, J. Pinto, R.W. </w:t>
      </w:r>
      <w:proofErr w:type="spellStart"/>
      <w:r w:rsidRPr="003631D6">
        <w:rPr>
          <w:lang w:val="pt-BR"/>
        </w:rPr>
        <w:t>Lodge</w:t>
      </w:r>
      <w:proofErr w:type="spellEnd"/>
      <w:r w:rsidRPr="003631D6">
        <w:rPr>
          <w:lang w:val="pt-BR"/>
        </w:rPr>
        <w:t xml:space="preserve">, A.R. Santos, G.A. Rance, E.H. </w:t>
      </w:r>
      <w:proofErr w:type="spellStart"/>
      <w:r w:rsidRPr="003631D6">
        <w:rPr>
          <w:lang w:val="pt-BR"/>
        </w:rPr>
        <w:t>Ahlgren</w:t>
      </w:r>
      <w:proofErr w:type="spellEnd"/>
      <w:r w:rsidRPr="003631D6">
        <w:rPr>
          <w:lang w:val="pt-BR"/>
        </w:rPr>
        <w:t xml:space="preserve">, E. </w:t>
      </w:r>
      <w:proofErr w:type="spellStart"/>
      <w:r w:rsidRPr="003631D6">
        <w:rPr>
          <w:lang w:val="pt-BR"/>
        </w:rPr>
        <w:t>Jonsson</w:t>
      </w:r>
      <w:proofErr w:type="spellEnd"/>
      <w:r w:rsidRPr="003631D6">
        <w:rPr>
          <w:lang w:val="pt-BR"/>
        </w:rPr>
        <w:t xml:space="preserve">, J. Yuan, Z.Y. Li, P. </w:t>
      </w:r>
      <w:proofErr w:type="spellStart"/>
      <w:r w:rsidRPr="003631D6">
        <w:rPr>
          <w:lang w:val="pt-BR"/>
        </w:rPr>
        <w:t>Licence</w:t>
      </w:r>
      <w:proofErr w:type="spellEnd"/>
      <w:r w:rsidRPr="003631D6">
        <w:rPr>
          <w:lang w:val="pt-BR"/>
        </w:rPr>
        <w:t xml:space="preserve">, A.N. </w:t>
      </w:r>
      <w:proofErr w:type="spellStart"/>
      <w:r w:rsidRPr="003631D6">
        <w:rPr>
          <w:lang w:val="pt-BR"/>
        </w:rPr>
        <w:t>Khlobystov</w:t>
      </w:r>
      <w:proofErr w:type="spellEnd"/>
      <w:r w:rsidRPr="003631D6">
        <w:rPr>
          <w:lang w:val="pt-BR"/>
        </w:rPr>
        <w:t xml:space="preserve">, J. Alves Fernandes, </w:t>
      </w:r>
      <w:r w:rsidRPr="003631D6">
        <w:rPr>
          <w:i/>
          <w:iCs/>
          <w:lang w:val="pt-BR"/>
        </w:rPr>
        <w:t xml:space="preserve">Nat. </w:t>
      </w:r>
      <w:proofErr w:type="spellStart"/>
      <w:r w:rsidRPr="003631D6">
        <w:rPr>
          <w:i/>
          <w:iCs/>
          <w:lang w:val="pt-BR"/>
        </w:rPr>
        <w:t>Commun</w:t>
      </w:r>
      <w:proofErr w:type="spellEnd"/>
      <w:r w:rsidRPr="003631D6">
        <w:rPr>
          <w:i/>
          <w:iCs/>
          <w:lang w:val="pt-BR"/>
        </w:rPr>
        <w:t>.</w:t>
      </w:r>
      <w:r w:rsidRPr="003631D6">
        <w:rPr>
          <w:lang w:val="pt-BR"/>
        </w:rPr>
        <w:t xml:space="preserve"> 12</w:t>
      </w:r>
      <w:r>
        <w:rPr>
          <w:lang w:val="pt-BR"/>
        </w:rPr>
        <w:t xml:space="preserve">, </w:t>
      </w:r>
      <w:r w:rsidRPr="003631D6">
        <w:rPr>
          <w:b/>
          <w:bCs/>
          <w:lang w:val="pt-BR"/>
        </w:rPr>
        <w:t>2021</w:t>
      </w:r>
      <w:r w:rsidRPr="003631D6">
        <w:rPr>
          <w:lang w:val="pt-BR"/>
        </w:rPr>
        <w:t>, 4965.</w:t>
      </w:r>
    </w:p>
    <w:p w14:paraId="4CD3C393" w14:textId="7521FCD2" w:rsidR="003631D6" w:rsidRDefault="003631D6" w:rsidP="003631D6">
      <w:pPr>
        <w:pStyle w:val="TAMainText"/>
        <w:numPr>
          <w:ilvl w:val="0"/>
          <w:numId w:val="1"/>
        </w:numPr>
        <w:rPr>
          <w:lang w:val="pt-BR"/>
        </w:rPr>
      </w:pPr>
      <w:r w:rsidRPr="003631D6">
        <w:rPr>
          <w:lang w:val="pt-BR"/>
        </w:rPr>
        <w:t xml:space="preserve">T. </w:t>
      </w:r>
      <w:proofErr w:type="spellStart"/>
      <w:r w:rsidRPr="003631D6">
        <w:rPr>
          <w:lang w:val="pt-BR"/>
        </w:rPr>
        <w:t>Torimoto</w:t>
      </w:r>
      <w:proofErr w:type="spellEnd"/>
      <w:r w:rsidRPr="003631D6">
        <w:rPr>
          <w:lang w:val="pt-BR"/>
        </w:rPr>
        <w:t xml:space="preserve">, T. </w:t>
      </w:r>
      <w:proofErr w:type="spellStart"/>
      <w:r w:rsidRPr="003631D6">
        <w:rPr>
          <w:lang w:val="pt-BR"/>
        </w:rPr>
        <w:t>Tsuda</w:t>
      </w:r>
      <w:proofErr w:type="spellEnd"/>
      <w:r w:rsidRPr="003631D6">
        <w:rPr>
          <w:lang w:val="pt-BR"/>
        </w:rPr>
        <w:t xml:space="preserve">, K.-i. </w:t>
      </w:r>
      <w:proofErr w:type="spellStart"/>
      <w:r w:rsidRPr="003631D6">
        <w:rPr>
          <w:lang w:val="pt-BR"/>
        </w:rPr>
        <w:t>Okazaki</w:t>
      </w:r>
      <w:proofErr w:type="spellEnd"/>
      <w:r w:rsidRPr="003631D6">
        <w:rPr>
          <w:lang w:val="pt-BR"/>
        </w:rPr>
        <w:t xml:space="preserve">, S. </w:t>
      </w:r>
      <w:proofErr w:type="spellStart"/>
      <w:r w:rsidRPr="003631D6">
        <w:rPr>
          <w:lang w:val="pt-BR"/>
        </w:rPr>
        <w:t>Kuwabata</w:t>
      </w:r>
      <w:proofErr w:type="spellEnd"/>
      <w:r w:rsidRPr="003631D6">
        <w:rPr>
          <w:lang w:val="pt-BR"/>
        </w:rPr>
        <w:t xml:space="preserve">, </w:t>
      </w:r>
      <w:proofErr w:type="spellStart"/>
      <w:r w:rsidRPr="003631D6">
        <w:rPr>
          <w:i/>
          <w:iCs/>
          <w:lang w:val="pt-BR"/>
        </w:rPr>
        <w:t>Advanced</w:t>
      </w:r>
      <w:proofErr w:type="spellEnd"/>
      <w:r w:rsidRPr="003631D6">
        <w:rPr>
          <w:i/>
          <w:iCs/>
          <w:lang w:val="pt-BR"/>
        </w:rPr>
        <w:t xml:space="preserve"> </w:t>
      </w:r>
      <w:proofErr w:type="spellStart"/>
      <w:r w:rsidRPr="003631D6">
        <w:rPr>
          <w:i/>
          <w:iCs/>
          <w:lang w:val="pt-BR"/>
        </w:rPr>
        <w:t>Materials</w:t>
      </w:r>
      <w:proofErr w:type="spellEnd"/>
      <w:r w:rsidRPr="003631D6">
        <w:rPr>
          <w:lang w:val="pt-BR"/>
        </w:rPr>
        <w:t xml:space="preserve"> 22</w:t>
      </w:r>
      <w:r>
        <w:rPr>
          <w:lang w:val="pt-BR"/>
        </w:rPr>
        <w:t xml:space="preserve">, </w:t>
      </w:r>
      <w:r w:rsidRPr="003631D6">
        <w:rPr>
          <w:b/>
          <w:bCs/>
          <w:lang w:val="pt-BR"/>
        </w:rPr>
        <w:t>2010</w:t>
      </w:r>
      <w:r>
        <w:rPr>
          <w:lang w:val="pt-BR"/>
        </w:rPr>
        <w:t>,</w:t>
      </w:r>
      <w:r w:rsidRPr="003631D6">
        <w:rPr>
          <w:lang w:val="pt-BR"/>
        </w:rPr>
        <w:t xml:space="preserve"> 1196-1221.</w:t>
      </w:r>
    </w:p>
    <w:p w14:paraId="2D08B191" w14:textId="167E2D1E" w:rsidR="000C404C" w:rsidRDefault="000C404C" w:rsidP="003631D6">
      <w:pPr>
        <w:pStyle w:val="TAMainText"/>
        <w:numPr>
          <w:ilvl w:val="0"/>
          <w:numId w:val="1"/>
        </w:numPr>
        <w:rPr>
          <w:lang w:val="pt-BR"/>
        </w:rPr>
      </w:pPr>
      <w:r w:rsidRPr="000C404C">
        <w:rPr>
          <w:lang w:val="pt-BR"/>
        </w:rPr>
        <w:t xml:space="preserve">G. Marin, M.I. Qadir, J.A. Fernandes, M.V. </w:t>
      </w:r>
      <w:proofErr w:type="spellStart"/>
      <w:r w:rsidRPr="000C404C">
        <w:rPr>
          <w:lang w:val="pt-BR"/>
        </w:rPr>
        <w:t>Castegnaro</w:t>
      </w:r>
      <w:proofErr w:type="spellEnd"/>
      <w:r w:rsidRPr="000C404C">
        <w:rPr>
          <w:lang w:val="pt-BR"/>
        </w:rPr>
        <w:t xml:space="preserve">, J. Morais, D.L. Baptista, J. Dupont, </w:t>
      </w:r>
      <w:r w:rsidRPr="000C404C">
        <w:rPr>
          <w:i/>
          <w:iCs/>
          <w:lang w:val="pt-BR"/>
        </w:rPr>
        <w:t xml:space="preserve">Int. J. </w:t>
      </w:r>
      <w:proofErr w:type="spellStart"/>
      <w:r w:rsidRPr="000C404C">
        <w:rPr>
          <w:i/>
          <w:iCs/>
          <w:lang w:val="pt-BR"/>
        </w:rPr>
        <w:t>Hydrogen</w:t>
      </w:r>
      <w:proofErr w:type="spellEnd"/>
      <w:r w:rsidRPr="000C404C">
        <w:rPr>
          <w:i/>
          <w:iCs/>
          <w:lang w:val="pt-BR"/>
        </w:rPr>
        <w:t xml:space="preserve"> Energy</w:t>
      </w:r>
      <w:r w:rsidRPr="000C404C">
        <w:rPr>
          <w:lang w:val="pt-BR"/>
        </w:rPr>
        <w:t xml:space="preserve">, </w:t>
      </w:r>
      <w:r w:rsidRPr="000C404C">
        <w:rPr>
          <w:b/>
          <w:bCs/>
          <w:lang w:val="pt-BR"/>
        </w:rPr>
        <w:t>2019</w:t>
      </w:r>
      <w:r>
        <w:rPr>
          <w:lang w:val="pt-BR"/>
        </w:rPr>
        <w:t xml:space="preserve">, </w:t>
      </w:r>
      <w:r w:rsidRPr="000C404C">
        <w:rPr>
          <w:i/>
          <w:iCs/>
          <w:lang w:val="pt-BR"/>
        </w:rPr>
        <w:t>44</w:t>
      </w:r>
      <w:r>
        <w:rPr>
          <w:lang w:val="pt-BR"/>
        </w:rPr>
        <w:t xml:space="preserve">, </w:t>
      </w:r>
      <w:r w:rsidRPr="000C404C">
        <w:rPr>
          <w:lang w:val="pt-BR"/>
        </w:rPr>
        <w:t>25695-25705.</w:t>
      </w:r>
    </w:p>
    <w:p w14:paraId="5031ABC7" w14:textId="30DD0ACC" w:rsidR="000C404C" w:rsidRPr="000C404C" w:rsidRDefault="000C404C" w:rsidP="003631D6">
      <w:pPr>
        <w:pStyle w:val="TAMainText"/>
        <w:numPr>
          <w:ilvl w:val="0"/>
          <w:numId w:val="1"/>
        </w:numPr>
        <w:rPr>
          <w:lang w:val="pt-BR"/>
        </w:rPr>
      </w:pPr>
      <w:r w:rsidRPr="000C404C">
        <w:rPr>
          <w:lang w:val="pt-BR"/>
        </w:rPr>
        <w:t xml:space="preserve">J.F. Moulder, W.F. </w:t>
      </w:r>
      <w:proofErr w:type="spellStart"/>
      <w:r w:rsidRPr="000C404C">
        <w:rPr>
          <w:lang w:val="pt-BR"/>
        </w:rPr>
        <w:t>Stickle</w:t>
      </w:r>
      <w:proofErr w:type="spellEnd"/>
      <w:r w:rsidRPr="000C404C">
        <w:rPr>
          <w:lang w:val="pt-BR"/>
        </w:rPr>
        <w:t xml:space="preserve">, K.D. </w:t>
      </w:r>
      <w:proofErr w:type="spellStart"/>
      <w:r w:rsidRPr="000C404C">
        <w:rPr>
          <w:lang w:val="pt-BR"/>
        </w:rPr>
        <w:t>Bombem</w:t>
      </w:r>
      <w:proofErr w:type="spellEnd"/>
      <w:r w:rsidRPr="000C404C">
        <w:rPr>
          <w:lang w:val="pt-BR"/>
        </w:rPr>
        <w:t xml:space="preserve">, </w:t>
      </w:r>
      <w:r w:rsidRPr="000C404C">
        <w:rPr>
          <w:i/>
          <w:iCs/>
          <w:lang w:val="pt-BR"/>
        </w:rPr>
        <w:t xml:space="preserve">Handbook </w:t>
      </w:r>
      <w:proofErr w:type="spellStart"/>
      <w:r w:rsidRPr="000C404C">
        <w:rPr>
          <w:i/>
          <w:iCs/>
          <w:lang w:val="pt-BR"/>
        </w:rPr>
        <w:t>of</w:t>
      </w:r>
      <w:proofErr w:type="spellEnd"/>
      <w:r w:rsidRPr="000C404C">
        <w:rPr>
          <w:i/>
          <w:iCs/>
          <w:lang w:val="pt-BR"/>
        </w:rPr>
        <w:t xml:space="preserve"> X-Ray </w:t>
      </w:r>
      <w:proofErr w:type="spellStart"/>
      <w:r w:rsidRPr="000C404C">
        <w:rPr>
          <w:i/>
          <w:iCs/>
          <w:lang w:val="pt-BR"/>
        </w:rPr>
        <w:t>Photoelectron</w:t>
      </w:r>
      <w:proofErr w:type="spellEnd"/>
      <w:r w:rsidRPr="000C404C">
        <w:rPr>
          <w:i/>
          <w:iCs/>
          <w:lang w:val="pt-BR"/>
        </w:rPr>
        <w:t xml:space="preserve"> </w:t>
      </w:r>
      <w:proofErr w:type="spellStart"/>
      <w:r w:rsidRPr="000C404C">
        <w:rPr>
          <w:i/>
          <w:iCs/>
          <w:lang w:val="pt-BR"/>
        </w:rPr>
        <w:t>Spectroscopy</w:t>
      </w:r>
      <w:proofErr w:type="spellEnd"/>
      <w:r w:rsidRPr="000C404C">
        <w:rPr>
          <w:lang w:val="pt-BR"/>
        </w:rPr>
        <w:t xml:space="preserve">, Eden </w:t>
      </w:r>
      <w:proofErr w:type="spellStart"/>
      <w:r w:rsidRPr="000C404C">
        <w:rPr>
          <w:lang w:val="pt-BR"/>
        </w:rPr>
        <w:t>Praire</w:t>
      </w:r>
      <w:proofErr w:type="spellEnd"/>
      <w:r>
        <w:rPr>
          <w:lang w:val="pt-BR"/>
        </w:rPr>
        <w:t xml:space="preserve">, </w:t>
      </w:r>
      <w:r w:rsidRPr="000C404C">
        <w:rPr>
          <w:lang w:val="pt-BR"/>
        </w:rPr>
        <w:t>1992.</w:t>
      </w:r>
    </w:p>
    <w:p w14:paraId="4965096A" w14:textId="6748F750" w:rsidR="000C404C" w:rsidRDefault="000C404C" w:rsidP="000C404C">
      <w:pPr>
        <w:pStyle w:val="TAMainText"/>
        <w:numPr>
          <w:ilvl w:val="0"/>
          <w:numId w:val="1"/>
        </w:numPr>
        <w:rPr>
          <w:lang w:val="pt-BR"/>
        </w:rPr>
      </w:pPr>
      <w:r w:rsidRPr="00672962">
        <w:rPr>
          <w:noProof/>
        </w:rPr>
        <w:t xml:space="preserve">G.M. Veith, A.R. Lupini, N.J. Dudney, </w:t>
      </w:r>
      <w:r w:rsidRPr="000C404C">
        <w:rPr>
          <w:i/>
          <w:iCs/>
          <w:noProof/>
        </w:rPr>
        <w:t>J. Phys. Chem. C</w:t>
      </w:r>
      <w:r w:rsidRPr="00672962">
        <w:rPr>
          <w:noProof/>
        </w:rPr>
        <w:t xml:space="preserve">, </w:t>
      </w:r>
      <w:r w:rsidRPr="000C404C">
        <w:rPr>
          <w:b/>
          <w:bCs/>
          <w:noProof/>
        </w:rPr>
        <w:t>2008</w:t>
      </w:r>
      <w:r>
        <w:rPr>
          <w:noProof/>
        </w:rPr>
        <w:t xml:space="preserve">, </w:t>
      </w:r>
      <w:r w:rsidRPr="000C404C">
        <w:rPr>
          <w:i/>
          <w:iCs/>
          <w:noProof/>
        </w:rPr>
        <w:t>113</w:t>
      </w:r>
      <w:r>
        <w:rPr>
          <w:noProof/>
        </w:rPr>
        <w:t>,</w:t>
      </w:r>
      <w:r w:rsidRPr="00672962">
        <w:rPr>
          <w:noProof/>
        </w:rPr>
        <w:t xml:space="preserve"> 269-280.</w:t>
      </w:r>
    </w:p>
    <w:sectPr w:rsidR="000C404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994E" w14:textId="77777777" w:rsidR="00D719B0" w:rsidRDefault="00D719B0" w:rsidP="00EA4E1B">
      <w:pPr>
        <w:spacing w:after="0" w:line="240" w:lineRule="auto"/>
      </w:pPr>
      <w:r>
        <w:separator/>
      </w:r>
    </w:p>
  </w:endnote>
  <w:endnote w:type="continuationSeparator" w:id="0">
    <w:p w14:paraId="4804209D" w14:textId="77777777" w:rsidR="00D719B0" w:rsidRDefault="00D719B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A0B3" w14:textId="77777777" w:rsidR="00D719B0" w:rsidRDefault="00D719B0" w:rsidP="00EA4E1B">
      <w:pPr>
        <w:spacing w:after="0" w:line="240" w:lineRule="auto"/>
      </w:pPr>
      <w:r>
        <w:separator/>
      </w:r>
    </w:p>
  </w:footnote>
  <w:footnote w:type="continuationSeparator" w:id="0">
    <w:p w14:paraId="33BCD401" w14:textId="77777777" w:rsidR="00D719B0" w:rsidRDefault="00D719B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1FA2"/>
    <w:rsid w:val="00040544"/>
    <w:rsid w:val="00061A72"/>
    <w:rsid w:val="00072230"/>
    <w:rsid w:val="00094C5E"/>
    <w:rsid w:val="000B0BDE"/>
    <w:rsid w:val="000C404C"/>
    <w:rsid w:val="000D34DE"/>
    <w:rsid w:val="000D611C"/>
    <w:rsid w:val="000D74D7"/>
    <w:rsid w:val="000D7BA1"/>
    <w:rsid w:val="000E2861"/>
    <w:rsid w:val="000E7DA5"/>
    <w:rsid w:val="000F1D24"/>
    <w:rsid w:val="000F5354"/>
    <w:rsid w:val="0011190E"/>
    <w:rsid w:val="00142BA6"/>
    <w:rsid w:val="001631FB"/>
    <w:rsid w:val="00192874"/>
    <w:rsid w:val="001A377F"/>
    <w:rsid w:val="001B23D2"/>
    <w:rsid w:val="001C0717"/>
    <w:rsid w:val="001C2E75"/>
    <w:rsid w:val="001D7DCE"/>
    <w:rsid w:val="001E2996"/>
    <w:rsid w:val="001E58A9"/>
    <w:rsid w:val="001F13F0"/>
    <w:rsid w:val="001F25B2"/>
    <w:rsid w:val="00222230"/>
    <w:rsid w:val="00230198"/>
    <w:rsid w:val="0023316B"/>
    <w:rsid w:val="0026007F"/>
    <w:rsid w:val="00264308"/>
    <w:rsid w:val="002729A7"/>
    <w:rsid w:val="00274177"/>
    <w:rsid w:val="00286C1F"/>
    <w:rsid w:val="002B1149"/>
    <w:rsid w:val="002C1452"/>
    <w:rsid w:val="002D0E88"/>
    <w:rsid w:val="002D4EEC"/>
    <w:rsid w:val="00304106"/>
    <w:rsid w:val="003155D5"/>
    <w:rsid w:val="0032012B"/>
    <w:rsid w:val="00322E77"/>
    <w:rsid w:val="003262FF"/>
    <w:rsid w:val="00337321"/>
    <w:rsid w:val="00340B1E"/>
    <w:rsid w:val="003448C4"/>
    <w:rsid w:val="0035666D"/>
    <w:rsid w:val="003631D6"/>
    <w:rsid w:val="003753E9"/>
    <w:rsid w:val="0038535B"/>
    <w:rsid w:val="003B4517"/>
    <w:rsid w:val="00402F3E"/>
    <w:rsid w:val="004152E1"/>
    <w:rsid w:val="00434E45"/>
    <w:rsid w:val="00440535"/>
    <w:rsid w:val="00460FA6"/>
    <w:rsid w:val="004868FF"/>
    <w:rsid w:val="004A65FF"/>
    <w:rsid w:val="004B5485"/>
    <w:rsid w:val="004C6CCC"/>
    <w:rsid w:val="004D2A4E"/>
    <w:rsid w:val="004E599A"/>
    <w:rsid w:val="004E7611"/>
    <w:rsid w:val="004F3F42"/>
    <w:rsid w:val="0050796D"/>
    <w:rsid w:val="00517523"/>
    <w:rsid w:val="0052112E"/>
    <w:rsid w:val="005343B5"/>
    <w:rsid w:val="0054592A"/>
    <w:rsid w:val="00546C54"/>
    <w:rsid w:val="0055470D"/>
    <w:rsid w:val="0057236A"/>
    <w:rsid w:val="00597579"/>
    <w:rsid w:val="005A5A66"/>
    <w:rsid w:val="005B6401"/>
    <w:rsid w:val="005C2775"/>
    <w:rsid w:val="005C5441"/>
    <w:rsid w:val="005D65EB"/>
    <w:rsid w:val="005E2DE8"/>
    <w:rsid w:val="005E51A6"/>
    <w:rsid w:val="005F1652"/>
    <w:rsid w:val="005F2054"/>
    <w:rsid w:val="005F739F"/>
    <w:rsid w:val="00604718"/>
    <w:rsid w:val="0061002C"/>
    <w:rsid w:val="006138E0"/>
    <w:rsid w:val="0062605A"/>
    <w:rsid w:val="00627E4B"/>
    <w:rsid w:val="00634EF8"/>
    <w:rsid w:val="00652815"/>
    <w:rsid w:val="00662C3B"/>
    <w:rsid w:val="00692EB8"/>
    <w:rsid w:val="006A0811"/>
    <w:rsid w:val="006A1E86"/>
    <w:rsid w:val="006B245F"/>
    <w:rsid w:val="006F599B"/>
    <w:rsid w:val="00731431"/>
    <w:rsid w:val="00740CE0"/>
    <w:rsid w:val="007478CE"/>
    <w:rsid w:val="00763E41"/>
    <w:rsid w:val="00766F2C"/>
    <w:rsid w:val="007670A0"/>
    <w:rsid w:val="007745DD"/>
    <w:rsid w:val="00781685"/>
    <w:rsid w:val="007B4A44"/>
    <w:rsid w:val="007B4B2B"/>
    <w:rsid w:val="007D7ACA"/>
    <w:rsid w:val="007E6F66"/>
    <w:rsid w:val="007E7D5D"/>
    <w:rsid w:val="007F05DB"/>
    <w:rsid w:val="00800319"/>
    <w:rsid w:val="0081110F"/>
    <w:rsid w:val="00813FAE"/>
    <w:rsid w:val="008259E9"/>
    <w:rsid w:val="0084028D"/>
    <w:rsid w:val="00866822"/>
    <w:rsid w:val="0087661A"/>
    <w:rsid w:val="008866A2"/>
    <w:rsid w:val="00892B10"/>
    <w:rsid w:val="008A325F"/>
    <w:rsid w:val="008B1683"/>
    <w:rsid w:val="008C1B30"/>
    <w:rsid w:val="008C7ACB"/>
    <w:rsid w:val="008D3F7D"/>
    <w:rsid w:val="008F34A3"/>
    <w:rsid w:val="00945CBD"/>
    <w:rsid w:val="00960806"/>
    <w:rsid w:val="00961B97"/>
    <w:rsid w:val="009656D9"/>
    <w:rsid w:val="009B38F2"/>
    <w:rsid w:val="009C78D5"/>
    <w:rsid w:val="009C7CB0"/>
    <w:rsid w:val="009E5DB5"/>
    <w:rsid w:val="00A044A5"/>
    <w:rsid w:val="00A06774"/>
    <w:rsid w:val="00A068C0"/>
    <w:rsid w:val="00A12482"/>
    <w:rsid w:val="00A2420E"/>
    <w:rsid w:val="00A32BCB"/>
    <w:rsid w:val="00A44881"/>
    <w:rsid w:val="00A51C95"/>
    <w:rsid w:val="00A80936"/>
    <w:rsid w:val="00AA182E"/>
    <w:rsid w:val="00AB6B47"/>
    <w:rsid w:val="00AC221D"/>
    <w:rsid w:val="00AF0400"/>
    <w:rsid w:val="00B21F82"/>
    <w:rsid w:val="00B30AEB"/>
    <w:rsid w:val="00B4139B"/>
    <w:rsid w:val="00B75F51"/>
    <w:rsid w:val="00BA6A6E"/>
    <w:rsid w:val="00BE16DE"/>
    <w:rsid w:val="00C05EC7"/>
    <w:rsid w:val="00C60748"/>
    <w:rsid w:val="00C72991"/>
    <w:rsid w:val="00C76E54"/>
    <w:rsid w:val="00C8119D"/>
    <w:rsid w:val="00CC3440"/>
    <w:rsid w:val="00CE5856"/>
    <w:rsid w:val="00D46D50"/>
    <w:rsid w:val="00D525F8"/>
    <w:rsid w:val="00D53310"/>
    <w:rsid w:val="00D60928"/>
    <w:rsid w:val="00D719B0"/>
    <w:rsid w:val="00D726D2"/>
    <w:rsid w:val="00D77B0B"/>
    <w:rsid w:val="00D96135"/>
    <w:rsid w:val="00DA30DE"/>
    <w:rsid w:val="00DB17DF"/>
    <w:rsid w:val="00DC525B"/>
    <w:rsid w:val="00DD2E25"/>
    <w:rsid w:val="00DE137A"/>
    <w:rsid w:val="00DE4B91"/>
    <w:rsid w:val="00DE56C4"/>
    <w:rsid w:val="00E02A21"/>
    <w:rsid w:val="00E038AF"/>
    <w:rsid w:val="00E16AD4"/>
    <w:rsid w:val="00E27C04"/>
    <w:rsid w:val="00E353E6"/>
    <w:rsid w:val="00E466CA"/>
    <w:rsid w:val="00E51A7F"/>
    <w:rsid w:val="00E64DB2"/>
    <w:rsid w:val="00E8332A"/>
    <w:rsid w:val="00E90230"/>
    <w:rsid w:val="00E96EC8"/>
    <w:rsid w:val="00EA1636"/>
    <w:rsid w:val="00EA4E1B"/>
    <w:rsid w:val="00F30661"/>
    <w:rsid w:val="00F514B3"/>
    <w:rsid w:val="00F6670F"/>
    <w:rsid w:val="00F83333"/>
    <w:rsid w:val="00F917DA"/>
    <w:rsid w:val="00FB16ED"/>
    <w:rsid w:val="00FC07B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1"/>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NormalWeb">
    <w:name w:val="Normal (Web)"/>
    <w:basedOn w:val="Normal"/>
    <w:uiPriority w:val="99"/>
    <w:unhideWhenUsed/>
    <w:rsid w:val="003155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866A2"/>
    <w:rPr>
      <w:color w:val="0563C1" w:themeColor="hyperlink"/>
      <w:u w:val="single"/>
    </w:rPr>
  </w:style>
  <w:style w:type="character" w:styleId="MenoPendente">
    <w:name w:val="Unresolved Mention"/>
    <w:basedOn w:val="Fontepargpadro"/>
    <w:uiPriority w:val="99"/>
    <w:semiHidden/>
    <w:unhideWhenUsed/>
    <w:rsid w:val="0088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26084">
      <w:bodyDiv w:val="1"/>
      <w:marLeft w:val="0"/>
      <w:marRight w:val="0"/>
      <w:marTop w:val="0"/>
      <w:marBottom w:val="0"/>
      <w:divBdr>
        <w:top w:val="none" w:sz="0" w:space="0" w:color="auto"/>
        <w:left w:val="none" w:sz="0" w:space="0" w:color="auto"/>
        <w:bottom w:val="none" w:sz="0" w:space="0" w:color="auto"/>
        <w:right w:val="none" w:sz="0" w:space="0" w:color="auto"/>
      </w:divBdr>
    </w:div>
    <w:div w:id="787548365">
      <w:bodyDiv w:val="1"/>
      <w:marLeft w:val="0"/>
      <w:marRight w:val="0"/>
      <w:marTop w:val="0"/>
      <w:marBottom w:val="0"/>
      <w:divBdr>
        <w:top w:val="none" w:sz="0" w:space="0" w:color="auto"/>
        <w:left w:val="none" w:sz="0" w:space="0" w:color="auto"/>
        <w:bottom w:val="none" w:sz="0" w:space="0" w:color="auto"/>
        <w:right w:val="none" w:sz="0" w:space="0" w:color="auto"/>
      </w:divBdr>
    </w:div>
    <w:div w:id="1178277204">
      <w:bodyDiv w:val="1"/>
      <w:marLeft w:val="0"/>
      <w:marRight w:val="0"/>
      <w:marTop w:val="0"/>
      <w:marBottom w:val="0"/>
      <w:divBdr>
        <w:top w:val="none" w:sz="0" w:space="0" w:color="auto"/>
        <w:left w:val="none" w:sz="0" w:space="0" w:color="auto"/>
        <w:bottom w:val="none" w:sz="0" w:space="0" w:color="auto"/>
        <w:right w:val="none" w:sz="0" w:space="0" w:color="auto"/>
      </w:divBdr>
    </w:div>
    <w:div w:id="1302687481">
      <w:bodyDiv w:val="1"/>
      <w:marLeft w:val="0"/>
      <w:marRight w:val="0"/>
      <w:marTop w:val="0"/>
      <w:marBottom w:val="0"/>
      <w:divBdr>
        <w:top w:val="none" w:sz="0" w:space="0" w:color="auto"/>
        <w:left w:val="none" w:sz="0" w:space="0" w:color="auto"/>
        <w:bottom w:val="none" w:sz="0" w:space="0" w:color="auto"/>
        <w:right w:val="none" w:sz="0" w:space="0" w:color="auto"/>
      </w:divBdr>
    </w:div>
    <w:div w:id="1331761446">
      <w:bodyDiv w:val="1"/>
      <w:marLeft w:val="0"/>
      <w:marRight w:val="0"/>
      <w:marTop w:val="0"/>
      <w:marBottom w:val="0"/>
      <w:divBdr>
        <w:top w:val="none" w:sz="0" w:space="0" w:color="auto"/>
        <w:left w:val="none" w:sz="0" w:space="0" w:color="auto"/>
        <w:bottom w:val="none" w:sz="0" w:space="0" w:color="auto"/>
        <w:right w:val="none" w:sz="0" w:space="0" w:color="auto"/>
      </w:divBdr>
    </w:div>
    <w:div w:id="1456102685">
      <w:bodyDiv w:val="1"/>
      <w:marLeft w:val="0"/>
      <w:marRight w:val="0"/>
      <w:marTop w:val="0"/>
      <w:marBottom w:val="0"/>
      <w:divBdr>
        <w:top w:val="none" w:sz="0" w:space="0" w:color="auto"/>
        <w:left w:val="none" w:sz="0" w:space="0" w:color="auto"/>
        <w:bottom w:val="none" w:sz="0" w:space="0" w:color="auto"/>
        <w:right w:val="none" w:sz="0" w:space="0" w:color="auto"/>
      </w:divBdr>
    </w:div>
    <w:div w:id="1714228926">
      <w:bodyDiv w:val="1"/>
      <w:marLeft w:val="0"/>
      <w:marRight w:val="0"/>
      <w:marTop w:val="0"/>
      <w:marBottom w:val="0"/>
      <w:divBdr>
        <w:top w:val="none" w:sz="0" w:space="0" w:color="auto"/>
        <w:left w:val="none" w:sz="0" w:space="0" w:color="auto"/>
        <w:bottom w:val="none" w:sz="0" w:space="0" w:color="auto"/>
        <w:right w:val="none" w:sz="0" w:space="0" w:color="auto"/>
      </w:divBdr>
    </w:div>
    <w:div w:id="1979609835">
      <w:bodyDiv w:val="1"/>
      <w:marLeft w:val="0"/>
      <w:marRight w:val="0"/>
      <w:marTop w:val="0"/>
      <w:marBottom w:val="0"/>
      <w:divBdr>
        <w:top w:val="none" w:sz="0" w:space="0" w:color="auto"/>
        <w:left w:val="none" w:sz="0" w:space="0" w:color="auto"/>
        <w:bottom w:val="none" w:sz="0" w:space="0" w:color="auto"/>
        <w:right w:val="none" w:sz="0" w:space="0" w:color="auto"/>
      </w:divBdr>
    </w:div>
    <w:div w:id="20845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ijhydene.2023.04.243" TargetMode="Externa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Pages>
  <Words>1451</Words>
  <Characters>7723</Characters>
  <Application>Microsoft Office Word</Application>
  <DocSecurity>0</DocSecurity>
  <Lines>234</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Gustavo Javier Chacon Rosales</cp:lastModifiedBy>
  <cp:revision>26</cp:revision>
  <dcterms:created xsi:type="dcterms:W3CDTF">2023-08-21T08:29:00Z</dcterms:created>
  <dcterms:modified xsi:type="dcterms:W3CDTF">2023-08-23T14:13:00Z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bee4f021bc3d579d2373bec3718d59c4d4eb124e1222df52aca697caee076e9c</vt:lpwstr>
  </property>
</Properties>
</file>