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00" w:rsidRDefault="00804921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w:pict>
          <v:rect id="Retângulo 2" o:spid="_x0000_s2051" style="position:absolute;left:0;text-align:left;margin-left:0;margin-top:0;width:512.4pt;height:13.2pt;z-index:251660287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" fillcolor="#9a0000" stroked="f" strokeweight="1pt">
            <v:textbox inset=",0,,0">
              <w:txbxContent>
                <w:p w:rsidR="00B020EE" w:rsidRPr="008C1B30" w:rsidRDefault="00B020EE" w:rsidP="00866822">
                  <w:pPr>
                    <w:pStyle w:val="BDAbstract"/>
                    <w:spacing w:before="0" w:after="0" w:line="240" w:lineRule="auto"/>
                    <w:rPr>
                      <w:rFonts w:cs="Helvetica"/>
                      <w:bCs/>
                      <w:sz w:val="20"/>
                      <w:lang w:val="pt-BR"/>
                    </w:rPr>
                  </w:pPr>
                </w:p>
                <w:p w:rsidR="00B020EE" w:rsidRPr="008C1B30" w:rsidRDefault="00B020EE" w:rsidP="00866822">
                  <w:pPr>
                    <w:pStyle w:val="SemEspaamento"/>
                  </w:pPr>
                </w:p>
              </w:txbxContent>
            </v:textbox>
            <w10:wrap anchorx="margin"/>
          </v:rect>
        </w:pict>
      </w:r>
    </w:p>
    <w:p w:rsidR="003B6222" w:rsidRPr="00CD6A8B" w:rsidRDefault="00F955C7" w:rsidP="008F3394">
      <w:pPr>
        <w:pStyle w:val="BATitle"/>
        <w:spacing w:before="0" w:line="240" w:lineRule="auto"/>
        <w:ind w:right="0"/>
        <w:jc w:val="both"/>
        <w:rPr>
          <w:sz w:val="32"/>
          <w:lang w:val="pt-BR"/>
        </w:rPr>
      </w:pPr>
      <w:r w:rsidRPr="00CD6A8B">
        <w:rPr>
          <w:sz w:val="32"/>
          <w:lang w:val="pt-BR"/>
        </w:rPr>
        <w:t>Aprimoramento d</w:t>
      </w:r>
      <w:r w:rsidR="00677ACD" w:rsidRPr="00CD6A8B">
        <w:rPr>
          <w:sz w:val="32"/>
          <w:lang w:val="pt-BR"/>
        </w:rPr>
        <w:t>e</w:t>
      </w:r>
      <w:r w:rsidRPr="00CD6A8B">
        <w:rPr>
          <w:sz w:val="32"/>
          <w:lang w:val="pt-BR"/>
        </w:rPr>
        <w:t xml:space="preserve"> </w:t>
      </w:r>
      <w:r w:rsidR="00677ACD" w:rsidRPr="00CD6A8B">
        <w:rPr>
          <w:sz w:val="32"/>
          <w:lang w:val="pt-BR"/>
        </w:rPr>
        <w:t>catal</w:t>
      </w:r>
      <w:r w:rsidR="00DB4ABA" w:rsidRPr="00CD6A8B">
        <w:rPr>
          <w:sz w:val="32"/>
          <w:lang w:val="pt-BR"/>
        </w:rPr>
        <w:t xml:space="preserve">isadores de </w:t>
      </w:r>
      <w:proofErr w:type="spellStart"/>
      <w:r w:rsidR="00DB4ABA" w:rsidRPr="00942786">
        <w:rPr>
          <w:sz w:val="32"/>
          <w:lang w:val="pt-BR"/>
        </w:rPr>
        <w:t>montmoril</w:t>
      </w:r>
      <w:r w:rsidR="00BF636F" w:rsidRPr="00942786">
        <w:rPr>
          <w:sz w:val="32"/>
          <w:lang w:val="pt-BR"/>
        </w:rPr>
        <w:t>lo</w:t>
      </w:r>
      <w:r w:rsidR="00DB4ABA" w:rsidRPr="00942786">
        <w:rPr>
          <w:sz w:val="32"/>
          <w:lang w:val="pt-BR"/>
        </w:rPr>
        <w:t>nita</w:t>
      </w:r>
      <w:proofErr w:type="spellEnd"/>
      <w:r w:rsidR="00DB4ABA" w:rsidRPr="00942786">
        <w:rPr>
          <w:sz w:val="32"/>
          <w:lang w:val="pt-BR"/>
        </w:rPr>
        <w:t xml:space="preserve"> </w:t>
      </w:r>
      <w:r w:rsidR="00CD6A8B" w:rsidRPr="00942786">
        <w:rPr>
          <w:sz w:val="32"/>
          <w:lang w:val="pt-BR"/>
        </w:rPr>
        <w:t xml:space="preserve">através </w:t>
      </w:r>
      <w:r w:rsidR="00CD6A8B" w:rsidRPr="00CD6A8B">
        <w:rPr>
          <w:sz w:val="32"/>
          <w:lang w:val="pt-BR"/>
        </w:rPr>
        <w:t xml:space="preserve">de </w:t>
      </w:r>
      <w:r w:rsidRPr="00CD6A8B">
        <w:rPr>
          <w:sz w:val="32"/>
          <w:lang w:val="pt-BR"/>
        </w:rPr>
        <w:t>tratamento ácido</w:t>
      </w:r>
    </w:p>
    <w:p w:rsidR="003B6222" w:rsidRPr="00A671DC" w:rsidRDefault="00F955C7" w:rsidP="008F3394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71DC">
        <w:rPr>
          <w:rFonts w:ascii="Times New Roman" w:hAnsi="Times New Roman" w:cs="Times New Roman"/>
          <w:b/>
          <w:sz w:val="20"/>
          <w:szCs w:val="20"/>
          <w:u w:val="single"/>
        </w:rPr>
        <w:t>Amanda R. Mallmann</w:t>
      </w:r>
      <w:r w:rsidRPr="00A671DC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1</w:t>
      </w:r>
      <w:r w:rsidRPr="00CA1E12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A1E12">
        <w:rPr>
          <w:rFonts w:ascii="Times New Roman" w:hAnsi="Times New Roman" w:cs="Times New Roman"/>
          <w:b/>
          <w:sz w:val="20"/>
          <w:szCs w:val="20"/>
        </w:rPr>
        <w:t>Francieli</w:t>
      </w:r>
      <w:proofErr w:type="spellEnd"/>
      <w:r w:rsidRPr="00CA1E12">
        <w:rPr>
          <w:rFonts w:ascii="Times New Roman" w:hAnsi="Times New Roman" w:cs="Times New Roman"/>
          <w:b/>
          <w:sz w:val="20"/>
          <w:szCs w:val="20"/>
        </w:rPr>
        <w:t xml:space="preserve"> M. Mayer</w:t>
      </w:r>
      <w:r w:rsidRPr="00CA1E12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CA1E12">
        <w:rPr>
          <w:rFonts w:ascii="Times New Roman" w:hAnsi="Times New Roman" w:cs="Times New Roman"/>
          <w:b/>
          <w:sz w:val="20"/>
          <w:szCs w:val="20"/>
        </w:rPr>
        <w:t>, Arthur M. de Andrade</w:t>
      </w:r>
      <w:r w:rsidRPr="00CA1E12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CA1E12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A1E12">
        <w:rPr>
          <w:rFonts w:ascii="Times New Roman" w:hAnsi="Times New Roman" w:cs="Times New Roman"/>
          <w:b/>
          <w:sz w:val="20"/>
          <w:szCs w:val="20"/>
        </w:rPr>
        <w:t>Dóriz</w:t>
      </w:r>
      <w:proofErr w:type="spellEnd"/>
      <w:r w:rsidRPr="00CA1E12">
        <w:rPr>
          <w:rFonts w:ascii="Times New Roman" w:hAnsi="Times New Roman" w:cs="Times New Roman"/>
          <w:b/>
          <w:sz w:val="20"/>
          <w:szCs w:val="20"/>
        </w:rPr>
        <w:t xml:space="preserve"> Ruiz</w:t>
      </w:r>
      <w:r w:rsidRPr="00CA1E12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CA1E12">
        <w:rPr>
          <w:rFonts w:ascii="Times New Roman" w:hAnsi="Times New Roman" w:cs="Times New Roman"/>
          <w:b/>
          <w:sz w:val="20"/>
          <w:szCs w:val="20"/>
        </w:rPr>
        <w:t>, Anderson J. Schwanke</w:t>
      </w:r>
      <w:r w:rsidRPr="00CA1E12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CA1E1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A671DC">
        <w:rPr>
          <w:rFonts w:ascii="Times New Roman" w:hAnsi="Times New Roman" w:cs="Times New Roman"/>
          <w:b/>
          <w:sz w:val="20"/>
          <w:szCs w:val="20"/>
        </w:rPr>
        <w:t>Maria C. Rangel</w:t>
      </w:r>
      <w:r w:rsidRPr="00A671DC">
        <w:rPr>
          <w:rFonts w:ascii="Times New Roman" w:hAnsi="Times New Roman" w:cs="Times New Roman"/>
          <w:b/>
          <w:sz w:val="20"/>
          <w:szCs w:val="20"/>
          <w:vertAlign w:val="superscript"/>
        </w:rPr>
        <w:t>1*</w:t>
      </w:r>
    </w:p>
    <w:p w:rsidR="00F955C7" w:rsidRPr="00F955C7" w:rsidRDefault="00EA4E1B" w:rsidP="00F955C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F955C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F955C7" w:rsidRPr="00F955C7">
        <w:rPr>
          <w:rFonts w:ascii="Times New Roman" w:hAnsi="Times New Roman" w:cs="Times New Roman"/>
          <w:i/>
          <w:sz w:val="20"/>
          <w:szCs w:val="20"/>
        </w:rPr>
        <w:t>Universidade</w:t>
      </w:r>
      <w:proofErr w:type="gramEnd"/>
      <w:r w:rsidR="00F955C7" w:rsidRPr="00F955C7">
        <w:rPr>
          <w:rFonts w:ascii="Times New Roman" w:hAnsi="Times New Roman" w:cs="Times New Roman"/>
          <w:i/>
          <w:sz w:val="20"/>
          <w:szCs w:val="20"/>
        </w:rPr>
        <w:t xml:space="preserve"> Federal do Rio Grande do Sul, Departamento de Química Inorgânica, Porto Alegre, RS, Brasil</w:t>
      </w:r>
    </w:p>
    <w:p w:rsidR="00F955C7" w:rsidRPr="00457022" w:rsidRDefault="00F955C7" w:rsidP="00F955C7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457022">
        <w:rPr>
          <w:rFonts w:ascii="Times New Roman" w:hAnsi="Times New Roman" w:cs="Times New Roman"/>
          <w:i/>
          <w:sz w:val="20"/>
          <w:szCs w:val="20"/>
          <w:vertAlign w:val="superscript"/>
          <w:lang w:val="es-ES"/>
        </w:rPr>
        <w:t>2</w:t>
      </w:r>
      <w:r w:rsidRPr="00457022">
        <w:rPr>
          <w:rFonts w:ascii="Times New Roman" w:hAnsi="Times New Roman" w:cs="Times New Roman"/>
          <w:i/>
          <w:sz w:val="20"/>
          <w:szCs w:val="20"/>
          <w:lang w:val="es-ES"/>
        </w:rPr>
        <w:t>Universidad de Concepción, Chile</w:t>
      </w:r>
    </w:p>
    <w:p w:rsidR="00F955C7" w:rsidRPr="00457022" w:rsidRDefault="00F955C7" w:rsidP="00F955C7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457022">
        <w:rPr>
          <w:rFonts w:ascii="Times New Roman" w:hAnsi="Times New Roman" w:cs="Times New Roman"/>
          <w:i/>
          <w:sz w:val="20"/>
          <w:szCs w:val="20"/>
          <w:lang w:val="es-ES"/>
        </w:rPr>
        <w:t>e-mail: maria.rangel@ufrgs.br</w:t>
      </w:r>
    </w:p>
    <w:bookmarkEnd w:id="0"/>
    <w:p w:rsidR="00AF0400" w:rsidRPr="00457022" w:rsidRDefault="00804921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es-ES"/>
        </w:rPr>
      </w:pPr>
      <w:r w:rsidRPr="00804921">
        <w:rPr>
          <w:noProof/>
          <w:sz w:val="32"/>
          <w:lang w:val="pt-BR"/>
        </w:rPr>
        <w:pict>
          <v:rect id="Retângulo 1" o:spid="_x0000_s2050" style="position:absolute;left:0;text-align:left;margin-left:933.6pt;margin-top:2.75pt;width:512.4pt;height:13.2pt;z-index:251658239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" fillcolor="#9a0000" stroked="f" strokeweight="1pt">
            <v:textbox inset=",0,,0">
              <w:txbxContent>
                <w:p w:rsidR="00B020EE" w:rsidRPr="008C1B30" w:rsidRDefault="00125478" w:rsidP="008C1B30">
                  <w:pPr>
                    <w:pStyle w:val="BDAbstract"/>
                    <w:spacing w:before="0" w:after="0" w:line="240" w:lineRule="auto"/>
                    <w:jc w:val="center"/>
                    <w:rPr>
                      <w:rFonts w:cs="Helvetica"/>
                      <w:bCs/>
                      <w:sz w:val="20"/>
                      <w:lang w:val="pt-BR"/>
                    </w:rPr>
                  </w:pPr>
                  <w:r>
                    <w:rPr>
                      <w:rFonts w:cs="Helvetica"/>
                      <w:bCs/>
                      <w:sz w:val="20"/>
                      <w:lang w:val="pt-BR"/>
                    </w:rPr>
                    <w:t>Resumo/Abstract</w:t>
                  </w:r>
                </w:p>
                <w:p w:rsidR="00B020EE" w:rsidRPr="008C1B30" w:rsidRDefault="00B020EE" w:rsidP="008C1B30">
                  <w:pPr>
                    <w:pStyle w:val="SemEspaamento"/>
                  </w:pPr>
                </w:p>
              </w:txbxContent>
            </v:textbox>
            <w10:wrap anchorx="margin"/>
          </v:rect>
        </w:pict>
      </w:r>
    </w:p>
    <w:p w:rsidR="00AF0400" w:rsidRPr="00457022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es-ES"/>
        </w:rPr>
      </w:pPr>
    </w:p>
    <w:p w:rsidR="006363B3" w:rsidRPr="00AA4E93" w:rsidRDefault="000C0501" w:rsidP="006363B3">
      <w:pPr>
        <w:pStyle w:val="BDAbstract"/>
        <w:spacing w:before="0" w:after="0" w:line="100" w:lineRule="atLeast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RESUMO –</w:t>
      </w:r>
      <w:r w:rsidR="004223BC">
        <w:rPr>
          <w:rFonts w:ascii="Times New Roman" w:hAnsi="Times New Roman"/>
          <w:b w:val="0"/>
          <w:sz w:val="20"/>
          <w:lang w:val="pt-BR"/>
        </w:rPr>
        <w:t xml:space="preserve"> </w:t>
      </w:r>
      <w:r w:rsidR="004223BC" w:rsidRPr="00372A70">
        <w:rPr>
          <w:rFonts w:ascii="Times New Roman" w:hAnsi="Times New Roman"/>
          <w:b w:val="0"/>
          <w:sz w:val="20"/>
          <w:lang w:val="pt-BR"/>
        </w:rPr>
        <w:t>As argilas são</w:t>
      </w:r>
      <w:r w:rsidR="007A4F37" w:rsidRPr="00372A70">
        <w:rPr>
          <w:rFonts w:ascii="Times New Roman" w:hAnsi="Times New Roman"/>
          <w:b w:val="0"/>
          <w:sz w:val="20"/>
          <w:lang w:val="pt-BR"/>
        </w:rPr>
        <w:t xml:space="preserve"> </w:t>
      </w:r>
      <w:r w:rsidR="00E25A79" w:rsidRPr="00372A70">
        <w:rPr>
          <w:rFonts w:ascii="Times New Roman" w:hAnsi="Times New Roman"/>
          <w:b w:val="0"/>
          <w:sz w:val="20"/>
          <w:lang w:val="pt-BR"/>
        </w:rPr>
        <w:t>catalisadores</w:t>
      </w:r>
      <w:r w:rsidR="007A4F37" w:rsidRPr="00372A70">
        <w:rPr>
          <w:rFonts w:ascii="Times New Roman" w:hAnsi="Times New Roman"/>
          <w:b w:val="0"/>
          <w:sz w:val="20"/>
          <w:lang w:val="pt-BR"/>
        </w:rPr>
        <w:t xml:space="preserve"> promissores</w:t>
      </w:r>
      <w:r w:rsidR="00CA6EEE" w:rsidRPr="00372A70">
        <w:rPr>
          <w:rFonts w:ascii="Times New Roman" w:hAnsi="Times New Roman"/>
          <w:b w:val="0"/>
          <w:sz w:val="20"/>
          <w:lang w:val="pt-BR"/>
        </w:rPr>
        <w:t xml:space="preserve"> </w:t>
      </w:r>
      <w:r w:rsidR="00E25A79" w:rsidRPr="00372A70">
        <w:rPr>
          <w:rFonts w:ascii="Times New Roman" w:hAnsi="Times New Roman"/>
          <w:b w:val="0"/>
          <w:sz w:val="20"/>
          <w:lang w:val="pt-BR"/>
        </w:rPr>
        <w:t>para a</w:t>
      </w:r>
      <w:r w:rsidR="00452614" w:rsidRPr="00372A70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452614" w:rsidRPr="00372A70">
        <w:rPr>
          <w:rFonts w:ascii="Times New Roman" w:hAnsi="Times New Roman"/>
          <w:b w:val="0"/>
          <w:sz w:val="20"/>
          <w:lang w:val="pt-BR"/>
        </w:rPr>
        <w:t>pirólise</w:t>
      </w:r>
      <w:proofErr w:type="spellEnd"/>
      <w:r w:rsidR="00452614" w:rsidRPr="00372A70">
        <w:rPr>
          <w:rFonts w:ascii="Times New Roman" w:hAnsi="Times New Roman"/>
          <w:b w:val="0"/>
          <w:sz w:val="20"/>
          <w:lang w:val="pt-BR"/>
        </w:rPr>
        <w:t xml:space="preserve"> </w:t>
      </w:r>
      <w:r w:rsidR="00B770D9" w:rsidRPr="00372A70">
        <w:rPr>
          <w:rFonts w:ascii="Times New Roman" w:hAnsi="Times New Roman"/>
          <w:b w:val="0"/>
          <w:sz w:val="20"/>
          <w:lang w:val="pt-BR"/>
        </w:rPr>
        <w:t>da biomassa</w:t>
      </w:r>
      <w:r w:rsidR="00E25A79" w:rsidRPr="00372A70">
        <w:rPr>
          <w:rFonts w:ascii="Times New Roman" w:hAnsi="Times New Roman"/>
          <w:b w:val="0"/>
          <w:sz w:val="20"/>
          <w:lang w:val="pt-BR"/>
        </w:rPr>
        <w:t xml:space="preserve">, </w:t>
      </w:r>
      <w:r w:rsidR="00CA6EEE" w:rsidRPr="001E7952">
        <w:rPr>
          <w:rFonts w:ascii="Times New Roman" w:hAnsi="Times New Roman"/>
          <w:b w:val="0"/>
          <w:sz w:val="20"/>
          <w:lang w:val="pt-BR"/>
        </w:rPr>
        <w:t xml:space="preserve">devido </w:t>
      </w:r>
      <w:r w:rsidR="00B42423" w:rsidRPr="001E7952">
        <w:rPr>
          <w:rFonts w:ascii="Times New Roman" w:hAnsi="Times New Roman"/>
          <w:b w:val="0"/>
          <w:sz w:val="20"/>
          <w:lang w:val="pt-BR"/>
        </w:rPr>
        <w:t>à</w:t>
      </w:r>
      <w:r w:rsidR="00BD1A2A">
        <w:rPr>
          <w:rFonts w:ascii="Times New Roman" w:hAnsi="Times New Roman"/>
          <w:b w:val="0"/>
          <w:sz w:val="20"/>
          <w:lang w:val="pt-BR"/>
        </w:rPr>
        <w:t xml:space="preserve"> </w:t>
      </w:r>
      <w:r w:rsidR="003D628B" w:rsidRPr="00372A70">
        <w:rPr>
          <w:rFonts w:ascii="Times New Roman" w:hAnsi="Times New Roman"/>
          <w:b w:val="0"/>
          <w:sz w:val="20"/>
          <w:lang w:val="pt-BR"/>
        </w:rPr>
        <w:t xml:space="preserve">sua </w:t>
      </w:r>
      <w:r w:rsidR="00E25A79" w:rsidRPr="00372A70">
        <w:rPr>
          <w:rFonts w:ascii="Times New Roman" w:hAnsi="Times New Roman"/>
          <w:b w:val="0"/>
          <w:sz w:val="20"/>
          <w:lang w:val="pt-BR"/>
        </w:rPr>
        <w:t>alta</w:t>
      </w:r>
      <w:r w:rsidR="004223BC" w:rsidRPr="00372A70">
        <w:rPr>
          <w:rFonts w:ascii="Times New Roman" w:hAnsi="Times New Roman"/>
          <w:b w:val="0"/>
          <w:sz w:val="20"/>
          <w:lang w:val="pt-BR"/>
        </w:rPr>
        <w:t xml:space="preserve"> área superficial</w:t>
      </w:r>
      <w:r w:rsidR="00B770D9" w:rsidRPr="00372A70">
        <w:rPr>
          <w:rFonts w:ascii="Times New Roman" w:hAnsi="Times New Roman"/>
          <w:b w:val="0"/>
          <w:sz w:val="20"/>
          <w:lang w:val="pt-BR"/>
        </w:rPr>
        <w:t xml:space="preserve"> específica</w:t>
      </w:r>
      <w:r w:rsidR="00452614" w:rsidRPr="00372A70">
        <w:rPr>
          <w:rFonts w:ascii="Times New Roman" w:hAnsi="Times New Roman"/>
          <w:b w:val="0"/>
          <w:sz w:val="20"/>
          <w:lang w:val="pt-BR"/>
        </w:rPr>
        <w:t xml:space="preserve">, </w:t>
      </w:r>
      <w:r w:rsidR="004223BC" w:rsidRPr="00372A70">
        <w:rPr>
          <w:rFonts w:ascii="Times New Roman" w:hAnsi="Times New Roman"/>
          <w:b w:val="0"/>
          <w:sz w:val="20"/>
          <w:lang w:val="pt-BR"/>
        </w:rPr>
        <w:t>acidez</w:t>
      </w:r>
      <w:r w:rsidR="00452614" w:rsidRPr="00372A70">
        <w:rPr>
          <w:rFonts w:ascii="Times New Roman" w:hAnsi="Times New Roman"/>
          <w:b w:val="0"/>
          <w:sz w:val="20"/>
          <w:lang w:val="pt-BR"/>
        </w:rPr>
        <w:t xml:space="preserve"> de </w:t>
      </w:r>
      <w:proofErr w:type="spellStart"/>
      <w:r w:rsidR="00452614" w:rsidRPr="00372A70">
        <w:rPr>
          <w:rFonts w:ascii="Times New Roman" w:hAnsi="Times New Roman"/>
          <w:b w:val="0"/>
          <w:sz w:val="20"/>
          <w:lang w:val="pt-BR"/>
        </w:rPr>
        <w:t>Bronsted</w:t>
      </w:r>
      <w:proofErr w:type="spellEnd"/>
      <w:r w:rsidR="00452614" w:rsidRPr="00372A70">
        <w:rPr>
          <w:rFonts w:ascii="Times New Roman" w:hAnsi="Times New Roman"/>
          <w:b w:val="0"/>
          <w:sz w:val="20"/>
          <w:lang w:val="pt-BR"/>
        </w:rPr>
        <w:t xml:space="preserve"> e Lewis</w:t>
      </w:r>
      <w:r w:rsidR="00BF5749">
        <w:rPr>
          <w:rFonts w:ascii="Times New Roman" w:hAnsi="Times New Roman"/>
          <w:b w:val="0"/>
          <w:sz w:val="20"/>
          <w:lang w:val="pt-BR"/>
        </w:rPr>
        <w:t>, disponibilidade e baixo custo</w:t>
      </w:r>
      <w:r w:rsidR="008017F8" w:rsidRPr="00372A70">
        <w:rPr>
          <w:rFonts w:ascii="Times New Roman" w:hAnsi="Times New Roman"/>
          <w:b w:val="0"/>
          <w:sz w:val="20"/>
          <w:lang w:val="pt-BR"/>
        </w:rPr>
        <w:t>.</w:t>
      </w:r>
      <w:r w:rsidRPr="00372A70">
        <w:rPr>
          <w:rFonts w:ascii="Times New Roman" w:hAnsi="Times New Roman"/>
          <w:b w:val="0"/>
          <w:sz w:val="20"/>
          <w:lang w:val="pt-BR"/>
        </w:rPr>
        <w:t xml:space="preserve"> </w:t>
      </w:r>
      <w:r w:rsidR="000B1834" w:rsidRPr="00B92A0E">
        <w:rPr>
          <w:rFonts w:ascii="Times New Roman" w:hAnsi="Times New Roman"/>
          <w:b w:val="0"/>
          <w:sz w:val="20"/>
          <w:lang w:val="pt-BR"/>
        </w:rPr>
        <w:t>Com</w:t>
      </w:r>
      <w:r w:rsidR="003323C7" w:rsidRPr="00B92A0E">
        <w:rPr>
          <w:rFonts w:ascii="Times New Roman" w:hAnsi="Times New Roman"/>
          <w:b w:val="0"/>
          <w:sz w:val="20"/>
          <w:lang w:val="pt-BR"/>
        </w:rPr>
        <w:t xml:space="preserve"> o</w:t>
      </w:r>
      <w:r w:rsidR="000B1834" w:rsidRPr="00B92A0E">
        <w:rPr>
          <w:rFonts w:ascii="Times New Roman" w:hAnsi="Times New Roman"/>
          <w:b w:val="0"/>
          <w:sz w:val="20"/>
          <w:lang w:val="pt-BR"/>
        </w:rPr>
        <w:t xml:space="preserve"> intuito</w:t>
      </w:r>
      <w:r w:rsidR="000B1834" w:rsidRPr="00372A70">
        <w:rPr>
          <w:rFonts w:ascii="Times New Roman" w:hAnsi="Times New Roman"/>
          <w:b w:val="0"/>
          <w:sz w:val="20"/>
          <w:lang w:val="pt-BR"/>
        </w:rPr>
        <w:t xml:space="preserve"> </w:t>
      </w:r>
      <w:r w:rsidR="000B1834" w:rsidRPr="00AA4E93">
        <w:rPr>
          <w:rFonts w:ascii="Times New Roman" w:hAnsi="Times New Roman"/>
          <w:b w:val="0"/>
          <w:sz w:val="20"/>
          <w:lang w:val="pt-BR"/>
        </w:rPr>
        <w:t xml:space="preserve">de </w:t>
      </w:r>
      <w:r w:rsidR="00A563C3" w:rsidRPr="00AA4E93">
        <w:rPr>
          <w:rFonts w:ascii="Times New Roman" w:hAnsi="Times New Roman"/>
          <w:b w:val="0"/>
          <w:sz w:val="20"/>
          <w:lang w:val="pt-BR"/>
        </w:rPr>
        <w:t xml:space="preserve">melhorar </w:t>
      </w:r>
      <w:r w:rsidR="00E25A79" w:rsidRPr="00AA4E93">
        <w:rPr>
          <w:rFonts w:ascii="Times New Roman" w:hAnsi="Times New Roman"/>
          <w:b w:val="0"/>
          <w:sz w:val="20"/>
          <w:lang w:val="pt-BR"/>
        </w:rPr>
        <w:t xml:space="preserve">o desempenho </w:t>
      </w:r>
      <w:r w:rsidR="008D1CAD" w:rsidRPr="00AA4E93">
        <w:rPr>
          <w:rFonts w:ascii="Times New Roman" w:hAnsi="Times New Roman"/>
          <w:b w:val="0"/>
          <w:sz w:val="20"/>
          <w:lang w:val="pt-BR"/>
        </w:rPr>
        <w:t xml:space="preserve">da argila </w:t>
      </w:r>
      <w:r w:rsidR="008E26BF" w:rsidRPr="00AA4E93">
        <w:rPr>
          <w:rFonts w:ascii="Times New Roman" w:hAnsi="Times New Roman"/>
          <w:b w:val="0"/>
          <w:sz w:val="20"/>
          <w:lang w:val="pt-BR"/>
        </w:rPr>
        <w:t xml:space="preserve">através de </w:t>
      </w:r>
      <w:r w:rsidR="005522FB" w:rsidRPr="00AA4E93">
        <w:rPr>
          <w:rFonts w:ascii="Times New Roman" w:hAnsi="Times New Roman"/>
          <w:b w:val="0"/>
          <w:sz w:val="20"/>
          <w:lang w:val="pt-BR"/>
        </w:rPr>
        <w:t>alterações d</w:t>
      </w:r>
      <w:r w:rsidR="00A563C3" w:rsidRPr="00AA4E93">
        <w:rPr>
          <w:rFonts w:ascii="Times New Roman" w:hAnsi="Times New Roman"/>
          <w:b w:val="0"/>
          <w:sz w:val="20"/>
          <w:lang w:val="pt-BR"/>
        </w:rPr>
        <w:t xml:space="preserve">as características ácidas e </w:t>
      </w:r>
      <w:proofErr w:type="spellStart"/>
      <w:r w:rsidR="00A563C3" w:rsidRPr="00AA4E93">
        <w:rPr>
          <w:rFonts w:ascii="Times New Roman" w:hAnsi="Times New Roman"/>
          <w:b w:val="0"/>
          <w:sz w:val="20"/>
          <w:lang w:val="pt-BR"/>
        </w:rPr>
        <w:t>texturais</w:t>
      </w:r>
      <w:proofErr w:type="spellEnd"/>
      <w:r w:rsidR="00A563C3" w:rsidRPr="00AA4E93">
        <w:rPr>
          <w:rFonts w:ascii="Times New Roman" w:hAnsi="Times New Roman"/>
          <w:b w:val="0"/>
          <w:sz w:val="20"/>
          <w:lang w:val="pt-BR"/>
        </w:rPr>
        <w:t>, a</w:t>
      </w:r>
      <w:r w:rsidR="0033153C" w:rsidRPr="00AA4E93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33153C" w:rsidRPr="00AA4E93">
        <w:rPr>
          <w:rFonts w:ascii="Times New Roman" w:hAnsi="Times New Roman"/>
          <w:b w:val="0"/>
          <w:sz w:val="20"/>
          <w:lang w:val="pt-BR"/>
        </w:rPr>
        <w:t>m</w:t>
      </w:r>
      <w:r w:rsidR="002B2802" w:rsidRPr="00AA4E93">
        <w:rPr>
          <w:rFonts w:ascii="Times New Roman" w:hAnsi="Times New Roman"/>
          <w:b w:val="0"/>
          <w:sz w:val="20"/>
          <w:lang w:val="pt-BR"/>
        </w:rPr>
        <w:t>ontmorillonita</w:t>
      </w:r>
      <w:proofErr w:type="spellEnd"/>
      <w:r w:rsidR="002B2802" w:rsidRPr="00AA4E93">
        <w:rPr>
          <w:rFonts w:ascii="Times New Roman" w:hAnsi="Times New Roman"/>
          <w:b w:val="0"/>
          <w:sz w:val="20"/>
          <w:lang w:val="pt-BR"/>
        </w:rPr>
        <w:t xml:space="preserve"> comercial (K10) </w:t>
      </w:r>
      <w:r w:rsidR="0051755E" w:rsidRPr="00AA4E93">
        <w:rPr>
          <w:rFonts w:ascii="Times New Roman" w:hAnsi="Times New Roman"/>
          <w:b w:val="0"/>
          <w:sz w:val="20"/>
          <w:lang w:val="pt-BR"/>
        </w:rPr>
        <w:t xml:space="preserve">foi submetida </w:t>
      </w:r>
      <w:r w:rsidR="002B1749">
        <w:rPr>
          <w:rFonts w:ascii="Times New Roman" w:hAnsi="Times New Roman"/>
          <w:b w:val="0"/>
          <w:sz w:val="20"/>
          <w:lang w:val="pt-BR"/>
        </w:rPr>
        <w:t xml:space="preserve">a </w:t>
      </w:r>
      <w:r w:rsidR="0051755E" w:rsidRPr="00AA4E93">
        <w:rPr>
          <w:rFonts w:ascii="Times New Roman" w:hAnsi="Times New Roman"/>
          <w:b w:val="0"/>
          <w:sz w:val="20"/>
          <w:lang w:val="pt-BR"/>
        </w:rPr>
        <w:t>tratamento</w:t>
      </w:r>
      <w:r w:rsidR="0033153C" w:rsidRPr="00AA4E93">
        <w:rPr>
          <w:rFonts w:ascii="Times New Roman" w:hAnsi="Times New Roman"/>
          <w:b w:val="0"/>
          <w:sz w:val="20"/>
          <w:lang w:val="pt-BR"/>
        </w:rPr>
        <w:t xml:space="preserve"> ácido </w:t>
      </w:r>
      <w:r w:rsidR="00E46B1F" w:rsidRPr="00AA4E93">
        <w:rPr>
          <w:rFonts w:ascii="Times New Roman" w:hAnsi="Times New Roman"/>
          <w:b w:val="0"/>
          <w:sz w:val="20"/>
          <w:lang w:val="pt-BR"/>
        </w:rPr>
        <w:t>(1, 2, 4 e 6 mol L</w:t>
      </w:r>
      <w:r w:rsidR="00E46B1F" w:rsidRPr="00AA4E93">
        <w:rPr>
          <w:rFonts w:ascii="Times New Roman" w:hAnsi="Times New Roman"/>
          <w:b w:val="0"/>
          <w:sz w:val="20"/>
          <w:vertAlign w:val="superscript"/>
          <w:lang w:val="pt-BR"/>
        </w:rPr>
        <w:t>-1</w:t>
      </w:r>
      <w:r w:rsidR="00E46B1F" w:rsidRPr="00AA4E93">
        <w:rPr>
          <w:rFonts w:ascii="Times New Roman" w:hAnsi="Times New Roman"/>
          <w:b w:val="0"/>
          <w:sz w:val="20"/>
          <w:lang w:val="pt-BR"/>
        </w:rPr>
        <w:t>) e aquecimento (25 e 50 ºC)</w:t>
      </w:r>
      <w:r w:rsidR="007269C5" w:rsidRPr="00AA4E93">
        <w:rPr>
          <w:rFonts w:ascii="Times New Roman" w:hAnsi="Times New Roman"/>
          <w:b w:val="0"/>
          <w:sz w:val="20"/>
          <w:lang w:val="pt-BR"/>
        </w:rPr>
        <w:t xml:space="preserve"> adiciona</w:t>
      </w:r>
      <w:r w:rsidR="00994E0F">
        <w:rPr>
          <w:rFonts w:ascii="Times New Roman" w:hAnsi="Times New Roman"/>
          <w:b w:val="0"/>
          <w:sz w:val="20"/>
          <w:lang w:val="pt-BR"/>
        </w:rPr>
        <w:t>l</w:t>
      </w:r>
      <w:r w:rsidR="000B1834" w:rsidRPr="00AA4E93">
        <w:rPr>
          <w:rFonts w:ascii="Times New Roman" w:hAnsi="Times New Roman"/>
          <w:b w:val="0"/>
          <w:sz w:val="20"/>
          <w:lang w:val="pt-BR"/>
        </w:rPr>
        <w:t xml:space="preserve">. </w:t>
      </w:r>
      <w:r w:rsidR="006363B3" w:rsidRPr="00AA4E93">
        <w:rPr>
          <w:rFonts w:ascii="Times New Roman" w:hAnsi="Times New Roman"/>
          <w:b w:val="0"/>
          <w:sz w:val="20"/>
          <w:lang w:val="pt-BR"/>
        </w:rPr>
        <w:t>Para avaliar o efeito do</w:t>
      </w:r>
      <w:r w:rsidR="00994E0F">
        <w:rPr>
          <w:rFonts w:ascii="Times New Roman" w:hAnsi="Times New Roman"/>
          <w:b w:val="0"/>
          <w:sz w:val="20"/>
          <w:lang w:val="pt-BR"/>
        </w:rPr>
        <w:t>s</w:t>
      </w:r>
      <w:r w:rsidR="006363B3" w:rsidRPr="00AA4E93">
        <w:rPr>
          <w:rFonts w:ascii="Times New Roman" w:hAnsi="Times New Roman"/>
          <w:b w:val="0"/>
          <w:sz w:val="20"/>
          <w:lang w:val="pt-BR"/>
        </w:rPr>
        <w:t xml:space="preserve"> tratamento</w:t>
      </w:r>
      <w:r w:rsidR="00994E0F">
        <w:rPr>
          <w:rFonts w:ascii="Times New Roman" w:hAnsi="Times New Roman"/>
          <w:b w:val="0"/>
          <w:sz w:val="20"/>
          <w:lang w:val="pt-BR"/>
        </w:rPr>
        <w:t>s</w:t>
      </w:r>
      <w:r w:rsidR="006363B3" w:rsidRPr="00AA4E93">
        <w:rPr>
          <w:rFonts w:ascii="Times New Roman" w:hAnsi="Times New Roman"/>
          <w:b w:val="0"/>
          <w:sz w:val="20"/>
          <w:lang w:val="pt-BR"/>
        </w:rPr>
        <w:t xml:space="preserve">, os sólidos foram caracterizados por difração de raios X, medida de porosidade e </w:t>
      </w:r>
      <w:proofErr w:type="spellStart"/>
      <w:r w:rsidR="006363B3" w:rsidRPr="00AA4E93">
        <w:rPr>
          <w:rFonts w:ascii="Times New Roman" w:hAnsi="Times New Roman"/>
          <w:b w:val="0"/>
          <w:sz w:val="20"/>
          <w:lang w:val="pt-BR"/>
        </w:rPr>
        <w:t>dessorção</w:t>
      </w:r>
      <w:proofErr w:type="spellEnd"/>
      <w:r w:rsidR="006363B3" w:rsidRPr="00AA4E93">
        <w:rPr>
          <w:rFonts w:ascii="Times New Roman" w:hAnsi="Times New Roman"/>
          <w:b w:val="0"/>
          <w:sz w:val="20"/>
          <w:lang w:val="pt-BR"/>
        </w:rPr>
        <w:t xml:space="preserve"> de amônia à temperatura programada</w:t>
      </w:r>
      <w:r w:rsidR="0033153C" w:rsidRPr="00AA4E93">
        <w:rPr>
          <w:rFonts w:ascii="Times New Roman" w:hAnsi="Times New Roman"/>
          <w:b w:val="0"/>
          <w:sz w:val="20"/>
          <w:lang w:val="pt-BR"/>
        </w:rPr>
        <w:t>.</w:t>
      </w:r>
      <w:r w:rsidR="008F57B4" w:rsidRPr="00AA4E93">
        <w:rPr>
          <w:rFonts w:ascii="Times New Roman" w:hAnsi="Times New Roman"/>
          <w:b w:val="0"/>
          <w:sz w:val="20"/>
          <w:lang w:val="pt-BR"/>
        </w:rPr>
        <w:t xml:space="preserve"> O tratamento adicional aumentou a quantidade de sítios ácid</w:t>
      </w:r>
      <w:r w:rsidR="00780158" w:rsidRPr="00AA4E93">
        <w:rPr>
          <w:rFonts w:ascii="Times New Roman" w:hAnsi="Times New Roman"/>
          <w:b w:val="0"/>
          <w:sz w:val="20"/>
          <w:lang w:val="pt-BR"/>
        </w:rPr>
        <w:t>os</w:t>
      </w:r>
      <w:r w:rsidR="00F36F90">
        <w:rPr>
          <w:rFonts w:ascii="Times New Roman" w:hAnsi="Times New Roman"/>
          <w:b w:val="0"/>
          <w:sz w:val="20"/>
          <w:lang w:val="pt-BR"/>
        </w:rPr>
        <w:t xml:space="preserve"> </w:t>
      </w:r>
      <w:r w:rsidR="00F36F90" w:rsidRPr="004B2BD2">
        <w:rPr>
          <w:rFonts w:ascii="Times New Roman" w:hAnsi="Times New Roman"/>
          <w:b w:val="0"/>
          <w:sz w:val="20"/>
          <w:lang w:val="pt-BR"/>
        </w:rPr>
        <w:t>totais</w:t>
      </w:r>
      <w:r w:rsidR="00780158" w:rsidRPr="004B2BD2">
        <w:rPr>
          <w:rFonts w:ascii="Times New Roman" w:hAnsi="Times New Roman"/>
          <w:b w:val="0"/>
          <w:sz w:val="20"/>
          <w:lang w:val="pt-BR"/>
        </w:rPr>
        <w:t xml:space="preserve">, </w:t>
      </w:r>
      <w:r w:rsidR="001C0CC4" w:rsidRPr="004B2BD2">
        <w:rPr>
          <w:rFonts w:ascii="Times New Roman" w:hAnsi="Times New Roman"/>
          <w:b w:val="0"/>
          <w:sz w:val="20"/>
          <w:lang w:val="pt-BR"/>
        </w:rPr>
        <w:t>em especial</w:t>
      </w:r>
      <w:r w:rsidR="00780158" w:rsidRPr="004B2BD2">
        <w:rPr>
          <w:rFonts w:ascii="Times New Roman" w:hAnsi="Times New Roman"/>
          <w:b w:val="0"/>
          <w:sz w:val="20"/>
          <w:lang w:val="pt-BR"/>
        </w:rPr>
        <w:t xml:space="preserve"> na</w:t>
      </w:r>
      <w:r w:rsidR="00F51872" w:rsidRPr="004B2BD2">
        <w:rPr>
          <w:rFonts w:ascii="Times New Roman" w:hAnsi="Times New Roman"/>
          <w:b w:val="0"/>
          <w:sz w:val="20"/>
          <w:lang w:val="pt-BR"/>
        </w:rPr>
        <w:t xml:space="preserve"> K10</w:t>
      </w:r>
      <w:r w:rsidR="00780158" w:rsidRPr="004B2BD2">
        <w:rPr>
          <w:rFonts w:ascii="Times New Roman" w:hAnsi="Times New Roman"/>
          <w:b w:val="0"/>
          <w:sz w:val="20"/>
          <w:lang w:val="pt-BR"/>
        </w:rPr>
        <w:t xml:space="preserve"> tratada com </w:t>
      </w:r>
      <w:proofErr w:type="spellStart"/>
      <w:proofErr w:type="gramStart"/>
      <w:r w:rsidR="00780158" w:rsidRPr="004B2BD2">
        <w:rPr>
          <w:rFonts w:ascii="Times New Roman" w:hAnsi="Times New Roman"/>
          <w:b w:val="0"/>
          <w:sz w:val="20"/>
          <w:lang w:val="pt-BR"/>
        </w:rPr>
        <w:t>HCl</w:t>
      </w:r>
      <w:proofErr w:type="spellEnd"/>
      <w:proofErr w:type="gramEnd"/>
      <w:r w:rsidR="00780158" w:rsidRPr="004B2BD2">
        <w:rPr>
          <w:rFonts w:ascii="Times New Roman" w:hAnsi="Times New Roman"/>
          <w:b w:val="0"/>
          <w:sz w:val="20"/>
          <w:lang w:val="pt-BR"/>
        </w:rPr>
        <w:t xml:space="preserve"> </w:t>
      </w:r>
      <w:r w:rsidR="00891F66" w:rsidRPr="004B2BD2">
        <w:rPr>
          <w:rFonts w:ascii="Times New Roman" w:hAnsi="Times New Roman"/>
          <w:b w:val="0"/>
          <w:sz w:val="20"/>
          <w:lang w:val="pt-BR"/>
        </w:rPr>
        <w:t>4 mol L</w:t>
      </w:r>
      <w:r w:rsidR="00891F66" w:rsidRPr="004B2BD2">
        <w:rPr>
          <w:rFonts w:ascii="Times New Roman" w:hAnsi="Times New Roman"/>
          <w:b w:val="0"/>
          <w:sz w:val="20"/>
          <w:vertAlign w:val="superscript"/>
          <w:lang w:val="pt-BR"/>
        </w:rPr>
        <w:t xml:space="preserve">-1 </w:t>
      </w:r>
      <w:r w:rsidR="00F36F90" w:rsidRPr="004B2BD2">
        <w:rPr>
          <w:rFonts w:ascii="Times New Roman" w:hAnsi="Times New Roman"/>
          <w:b w:val="0"/>
          <w:sz w:val="20"/>
          <w:lang w:val="pt-BR"/>
        </w:rPr>
        <w:t>a</w:t>
      </w:r>
      <w:r w:rsidR="00891F66" w:rsidRPr="004B2BD2">
        <w:rPr>
          <w:rFonts w:ascii="Times New Roman" w:hAnsi="Times New Roman"/>
          <w:b w:val="0"/>
          <w:sz w:val="20"/>
          <w:lang w:val="pt-BR"/>
        </w:rPr>
        <w:t xml:space="preserve"> </w:t>
      </w:r>
      <w:r w:rsidR="00F51872" w:rsidRPr="004B2BD2">
        <w:rPr>
          <w:rFonts w:ascii="Times New Roman" w:hAnsi="Times New Roman"/>
          <w:b w:val="0"/>
          <w:sz w:val="20"/>
          <w:lang w:val="pt-BR"/>
        </w:rPr>
        <w:t>25</w:t>
      </w:r>
      <w:r w:rsidR="00891F66" w:rsidRPr="004B2BD2">
        <w:rPr>
          <w:rFonts w:ascii="Times New Roman" w:hAnsi="Times New Roman"/>
          <w:b w:val="0"/>
          <w:sz w:val="20"/>
          <w:lang w:val="pt-BR"/>
        </w:rPr>
        <w:t xml:space="preserve"> °C. </w:t>
      </w:r>
      <w:r w:rsidR="00C17264" w:rsidRPr="004B2BD2">
        <w:rPr>
          <w:rFonts w:ascii="Times New Roman" w:hAnsi="Times New Roman"/>
          <w:b w:val="0"/>
          <w:sz w:val="20"/>
          <w:lang w:val="pt-BR"/>
        </w:rPr>
        <w:t>O tratamento</w:t>
      </w:r>
      <w:r w:rsidR="009F5D7B" w:rsidRPr="004B2BD2">
        <w:rPr>
          <w:rFonts w:ascii="Times New Roman" w:hAnsi="Times New Roman"/>
          <w:b w:val="0"/>
          <w:sz w:val="20"/>
          <w:lang w:val="pt-BR"/>
        </w:rPr>
        <w:t xml:space="preserve"> também</w:t>
      </w:r>
      <w:r w:rsidR="00C17264" w:rsidRPr="004B2BD2">
        <w:rPr>
          <w:rFonts w:ascii="Times New Roman" w:hAnsi="Times New Roman"/>
          <w:b w:val="0"/>
          <w:sz w:val="20"/>
          <w:lang w:val="pt-BR"/>
        </w:rPr>
        <w:t xml:space="preserve"> </w:t>
      </w:r>
      <w:r w:rsidR="009F5D7B" w:rsidRPr="004B2BD2">
        <w:rPr>
          <w:rFonts w:ascii="Times New Roman" w:hAnsi="Times New Roman"/>
          <w:b w:val="0"/>
          <w:sz w:val="20"/>
          <w:lang w:val="pt-BR"/>
        </w:rPr>
        <w:t>foi eficaz na criação de sítios ácidos forte</w:t>
      </w:r>
      <w:r w:rsidR="00F36F90" w:rsidRPr="004B2BD2">
        <w:rPr>
          <w:rFonts w:ascii="Times New Roman" w:hAnsi="Times New Roman"/>
          <w:b w:val="0"/>
          <w:sz w:val="20"/>
          <w:lang w:val="pt-BR"/>
        </w:rPr>
        <w:t xml:space="preserve">s, independente da concentração </w:t>
      </w:r>
      <w:r w:rsidR="00F36F90">
        <w:rPr>
          <w:rFonts w:ascii="Times New Roman" w:hAnsi="Times New Roman"/>
          <w:b w:val="0"/>
          <w:sz w:val="20"/>
          <w:lang w:val="pt-BR"/>
        </w:rPr>
        <w:t xml:space="preserve">do ácido e </w:t>
      </w:r>
      <w:r w:rsidR="00327E9B">
        <w:rPr>
          <w:rFonts w:ascii="Times New Roman" w:hAnsi="Times New Roman"/>
          <w:b w:val="0"/>
          <w:sz w:val="20"/>
          <w:lang w:val="pt-BR"/>
        </w:rPr>
        <w:t xml:space="preserve">da </w:t>
      </w:r>
      <w:r w:rsidR="00F36F90">
        <w:rPr>
          <w:rFonts w:ascii="Times New Roman" w:hAnsi="Times New Roman"/>
          <w:b w:val="0"/>
          <w:sz w:val="20"/>
          <w:lang w:val="pt-BR"/>
        </w:rPr>
        <w:t>temperatura.</w:t>
      </w:r>
    </w:p>
    <w:p w:rsidR="000C0501" w:rsidRPr="00AA4E93" w:rsidRDefault="000C0501" w:rsidP="000C0501">
      <w:pPr>
        <w:pStyle w:val="BDAbstract"/>
        <w:spacing w:before="0" w:after="0" w:line="100" w:lineRule="atLeast"/>
        <w:rPr>
          <w:lang w:val="pt-BR"/>
        </w:rPr>
      </w:pPr>
      <w:r w:rsidRPr="00AA4E93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8711C6" w:rsidRPr="00AA4E93">
        <w:rPr>
          <w:rFonts w:ascii="Times New Roman" w:hAnsi="Times New Roman"/>
          <w:b w:val="0"/>
          <w:i/>
          <w:sz w:val="20"/>
          <w:lang w:val="pt-BR"/>
        </w:rPr>
        <w:t xml:space="preserve">Argila, </w:t>
      </w:r>
      <w:proofErr w:type="spellStart"/>
      <w:r w:rsidR="00BE2E61" w:rsidRPr="00AA4E93">
        <w:rPr>
          <w:rFonts w:ascii="Times New Roman" w:hAnsi="Times New Roman"/>
          <w:b w:val="0"/>
          <w:i/>
          <w:iCs/>
          <w:sz w:val="20"/>
          <w:lang w:val="pt-BR"/>
        </w:rPr>
        <w:t>montmorillonita</w:t>
      </w:r>
      <w:proofErr w:type="spellEnd"/>
      <w:r w:rsidR="00BE2E61" w:rsidRPr="00AA4E93">
        <w:rPr>
          <w:rFonts w:ascii="Times New Roman" w:hAnsi="Times New Roman"/>
          <w:b w:val="0"/>
          <w:i/>
          <w:iCs/>
          <w:sz w:val="20"/>
          <w:lang w:val="pt-BR"/>
        </w:rPr>
        <w:t>,</w:t>
      </w:r>
      <w:r w:rsidR="00BE2E61" w:rsidRPr="00AA4E93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Pr="00AA4E93">
        <w:rPr>
          <w:rFonts w:ascii="Times New Roman" w:hAnsi="Times New Roman"/>
          <w:b w:val="0"/>
          <w:i/>
          <w:sz w:val="20"/>
          <w:lang w:val="pt-BR"/>
        </w:rPr>
        <w:t>catalisador, tratamento ácido.</w:t>
      </w:r>
      <w:r w:rsidR="008D1CAD">
        <w:rPr>
          <w:rFonts w:ascii="Times New Roman" w:hAnsi="Times New Roman"/>
          <w:b w:val="0"/>
          <w:i/>
          <w:sz w:val="20"/>
          <w:lang w:val="pt-BR"/>
        </w:rPr>
        <w:t xml:space="preserve"> </w:t>
      </w:r>
    </w:p>
    <w:p w:rsidR="000C0501" w:rsidRPr="00AA4E93" w:rsidRDefault="000C0501" w:rsidP="000C0501">
      <w:pPr>
        <w:pStyle w:val="BDAbstract"/>
        <w:spacing w:before="0" w:after="0" w:line="100" w:lineRule="atLeast"/>
        <w:rPr>
          <w:lang w:val="pt-BR"/>
        </w:rPr>
      </w:pPr>
    </w:p>
    <w:p w:rsidR="000C0501" w:rsidRPr="00AA4E93" w:rsidRDefault="000C0501" w:rsidP="000C0501">
      <w:pPr>
        <w:pStyle w:val="BDAbstract"/>
        <w:spacing w:before="0" w:after="0" w:line="100" w:lineRule="atLeast"/>
      </w:pPr>
      <w:r w:rsidRPr="00B92A0E">
        <w:rPr>
          <w:rFonts w:ascii="Times New Roman" w:hAnsi="Times New Roman"/>
          <w:b w:val="0"/>
          <w:sz w:val="20"/>
        </w:rPr>
        <w:t xml:space="preserve">ABSTRACT – </w:t>
      </w:r>
      <w:r w:rsidR="008711C6" w:rsidRPr="00B92A0E">
        <w:rPr>
          <w:rFonts w:ascii="Times New Roman" w:hAnsi="Times New Roman"/>
          <w:b w:val="0"/>
          <w:sz w:val="20"/>
        </w:rPr>
        <w:t xml:space="preserve">Clays are promising catalysts for biomass </w:t>
      </w:r>
      <w:proofErr w:type="spellStart"/>
      <w:r w:rsidR="008711C6" w:rsidRPr="00B92A0E">
        <w:rPr>
          <w:rFonts w:ascii="Times New Roman" w:hAnsi="Times New Roman"/>
          <w:b w:val="0"/>
          <w:sz w:val="20"/>
        </w:rPr>
        <w:t>pyrolysis</w:t>
      </w:r>
      <w:proofErr w:type="spellEnd"/>
      <w:r w:rsidR="008711C6" w:rsidRPr="00B92A0E">
        <w:rPr>
          <w:rFonts w:ascii="Times New Roman" w:hAnsi="Times New Roman"/>
          <w:b w:val="0"/>
          <w:sz w:val="20"/>
        </w:rPr>
        <w:t xml:space="preserve">, due to their high </w:t>
      </w:r>
      <w:r w:rsidR="00805F91" w:rsidRPr="00B92A0E">
        <w:rPr>
          <w:rFonts w:ascii="Times New Roman" w:hAnsi="Times New Roman"/>
          <w:b w:val="0"/>
          <w:sz w:val="20"/>
        </w:rPr>
        <w:t xml:space="preserve">specific </w:t>
      </w:r>
      <w:r w:rsidR="008711C6" w:rsidRPr="00B92A0E">
        <w:rPr>
          <w:rFonts w:ascii="Times New Roman" w:hAnsi="Times New Roman"/>
          <w:b w:val="0"/>
          <w:sz w:val="20"/>
        </w:rPr>
        <w:t xml:space="preserve">surface area, </w:t>
      </w:r>
      <w:proofErr w:type="spellStart"/>
      <w:r w:rsidR="008711C6" w:rsidRPr="00B92A0E">
        <w:rPr>
          <w:rFonts w:ascii="Times New Roman" w:hAnsi="Times New Roman"/>
          <w:b w:val="0"/>
          <w:sz w:val="20"/>
        </w:rPr>
        <w:t>Bronsted</w:t>
      </w:r>
      <w:proofErr w:type="spellEnd"/>
      <w:r w:rsidR="008711C6" w:rsidRPr="00B92A0E">
        <w:rPr>
          <w:rFonts w:ascii="Times New Roman" w:hAnsi="Times New Roman"/>
          <w:b w:val="0"/>
          <w:sz w:val="20"/>
        </w:rPr>
        <w:t xml:space="preserve"> and Lewis </w:t>
      </w:r>
      <w:proofErr w:type="gramStart"/>
      <w:r w:rsidR="00777D74" w:rsidRPr="00B92A0E">
        <w:rPr>
          <w:rFonts w:ascii="Times New Roman" w:hAnsi="Times New Roman"/>
          <w:b w:val="0"/>
          <w:sz w:val="20"/>
        </w:rPr>
        <w:t>acidity</w:t>
      </w:r>
      <w:proofErr w:type="gramEnd"/>
      <w:r w:rsidR="00777D74" w:rsidRPr="00B92A0E">
        <w:rPr>
          <w:rFonts w:ascii="Times New Roman" w:hAnsi="Times New Roman"/>
          <w:b w:val="0"/>
          <w:sz w:val="20"/>
        </w:rPr>
        <w:t xml:space="preserve"> </w:t>
      </w:r>
      <w:r w:rsidR="00B92A0E" w:rsidRPr="00B92A0E">
        <w:rPr>
          <w:rFonts w:ascii="Times New Roman" w:hAnsi="Times New Roman"/>
          <w:b w:val="0"/>
          <w:sz w:val="20"/>
        </w:rPr>
        <w:t>availability and low cost</w:t>
      </w:r>
      <w:r w:rsidR="004E531E" w:rsidRPr="00B92A0E">
        <w:rPr>
          <w:rFonts w:ascii="Times New Roman" w:hAnsi="Times New Roman"/>
          <w:b w:val="0"/>
          <w:sz w:val="20"/>
        </w:rPr>
        <w:t>.</w:t>
      </w:r>
      <w:r w:rsidR="008711C6" w:rsidRPr="00B92A0E">
        <w:rPr>
          <w:rFonts w:ascii="Times New Roman" w:hAnsi="Times New Roman"/>
          <w:b w:val="0"/>
          <w:sz w:val="20"/>
        </w:rPr>
        <w:t xml:space="preserve"> In order to </w:t>
      </w:r>
      <w:r w:rsidR="008711C6" w:rsidRPr="00AA4E93">
        <w:rPr>
          <w:rFonts w:ascii="Times New Roman" w:hAnsi="Times New Roman"/>
          <w:b w:val="0"/>
          <w:sz w:val="20"/>
        </w:rPr>
        <w:t xml:space="preserve">improve </w:t>
      </w:r>
      <w:r w:rsidR="00327E9B">
        <w:rPr>
          <w:rFonts w:ascii="Times New Roman" w:hAnsi="Times New Roman"/>
          <w:b w:val="0"/>
          <w:sz w:val="20"/>
        </w:rPr>
        <w:t xml:space="preserve">the </w:t>
      </w:r>
      <w:r w:rsidR="008711C6" w:rsidRPr="00AA4E93">
        <w:rPr>
          <w:rFonts w:ascii="Times New Roman" w:hAnsi="Times New Roman"/>
          <w:b w:val="0"/>
          <w:sz w:val="20"/>
        </w:rPr>
        <w:t xml:space="preserve">performance through changes in acidic and textural characteristics of clay, commercial </w:t>
      </w:r>
      <w:proofErr w:type="spellStart"/>
      <w:r w:rsidR="008711C6" w:rsidRPr="00AA4E93">
        <w:rPr>
          <w:rFonts w:ascii="Times New Roman" w:hAnsi="Times New Roman"/>
          <w:b w:val="0"/>
          <w:sz w:val="20"/>
        </w:rPr>
        <w:t>montmorillonite</w:t>
      </w:r>
      <w:proofErr w:type="spellEnd"/>
      <w:r w:rsidR="008711C6" w:rsidRPr="00AA4E93">
        <w:rPr>
          <w:rFonts w:ascii="Times New Roman" w:hAnsi="Times New Roman"/>
          <w:b w:val="0"/>
          <w:sz w:val="20"/>
        </w:rPr>
        <w:t xml:space="preserve"> (K10) was subjected to acid treatment (1, 2, 4 and 6 mol L</w:t>
      </w:r>
      <w:r w:rsidR="008711C6" w:rsidRPr="00AA4E93">
        <w:rPr>
          <w:rFonts w:ascii="Times New Roman" w:hAnsi="Times New Roman"/>
          <w:b w:val="0"/>
          <w:sz w:val="20"/>
          <w:vertAlign w:val="superscript"/>
        </w:rPr>
        <w:t>-1</w:t>
      </w:r>
      <w:r w:rsidR="008711C6" w:rsidRPr="00AA4E93">
        <w:rPr>
          <w:rFonts w:ascii="Times New Roman" w:hAnsi="Times New Roman"/>
          <w:b w:val="0"/>
          <w:sz w:val="20"/>
        </w:rPr>
        <w:t xml:space="preserve">) </w:t>
      </w:r>
      <w:r w:rsidR="008711C6" w:rsidRPr="004B2BD2">
        <w:rPr>
          <w:rFonts w:ascii="Times New Roman" w:hAnsi="Times New Roman"/>
          <w:b w:val="0"/>
          <w:sz w:val="20"/>
        </w:rPr>
        <w:t>and</w:t>
      </w:r>
      <w:r w:rsidR="00BC1FBC" w:rsidRPr="004B2BD2">
        <w:rPr>
          <w:rFonts w:ascii="Times New Roman" w:hAnsi="Times New Roman"/>
          <w:b w:val="0"/>
          <w:sz w:val="20"/>
        </w:rPr>
        <w:t xml:space="preserve"> additional</w:t>
      </w:r>
      <w:r w:rsidR="008711C6" w:rsidRPr="004B2BD2">
        <w:rPr>
          <w:rFonts w:ascii="Times New Roman" w:hAnsi="Times New Roman"/>
          <w:b w:val="0"/>
          <w:sz w:val="20"/>
        </w:rPr>
        <w:t xml:space="preserve"> heating </w:t>
      </w:r>
      <w:r w:rsidR="008711C6" w:rsidRPr="00AA4E93">
        <w:rPr>
          <w:rFonts w:ascii="Times New Roman" w:hAnsi="Times New Roman"/>
          <w:b w:val="0"/>
          <w:sz w:val="20"/>
        </w:rPr>
        <w:t>(25 and 50</w:t>
      </w:r>
      <w:r w:rsidR="00AA4E93" w:rsidRPr="00AA4E93">
        <w:rPr>
          <w:rFonts w:ascii="Times New Roman" w:hAnsi="Times New Roman"/>
          <w:b w:val="0"/>
          <w:sz w:val="20"/>
        </w:rPr>
        <w:t xml:space="preserve"> </w:t>
      </w:r>
      <w:r w:rsidR="008711C6" w:rsidRPr="00AA4E93">
        <w:rPr>
          <w:rFonts w:ascii="Times New Roman" w:hAnsi="Times New Roman"/>
          <w:b w:val="0"/>
          <w:sz w:val="20"/>
        </w:rPr>
        <w:t xml:space="preserve">ºC). To evaluate the treatment effect, the solids were characterized by X-ray diffraction, porosity measurement and ammonia desorption at the programmed temperature. The additional treatment increased the amount of acidic sites, mainly in K10 treated with </w:t>
      </w:r>
      <w:proofErr w:type="spellStart"/>
      <w:r w:rsidR="008711C6" w:rsidRPr="00AA4E93">
        <w:rPr>
          <w:rFonts w:ascii="Times New Roman" w:hAnsi="Times New Roman"/>
          <w:b w:val="0"/>
          <w:sz w:val="20"/>
        </w:rPr>
        <w:t>HCl</w:t>
      </w:r>
      <w:proofErr w:type="spellEnd"/>
      <w:r w:rsidR="008711C6" w:rsidRPr="00AA4E93">
        <w:rPr>
          <w:rFonts w:ascii="Times New Roman" w:hAnsi="Times New Roman"/>
          <w:b w:val="0"/>
          <w:sz w:val="20"/>
        </w:rPr>
        <w:t xml:space="preserve"> 4 mol L</w:t>
      </w:r>
      <w:r w:rsidR="008711C6" w:rsidRPr="00AA4E93">
        <w:rPr>
          <w:rFonts w:ascii="Times New Roman" w:hAnsi="Times New Roman"/>
          <w:b w:val="0"/>
          <w:sz w:val="20"/>
          <w:vertAlign w:val="superscript"/>
        </w:rPr>
        <w:t>-1</w:t>
      </w:r>
      <w:r w:rsidR="008711C6" w:rsidRPr="00AA4E93">
        <w:rPr>
          <w:rFonts w:ascii="Times New Roman" w:hAnsi="Times New Roman"/>
          <w:b w:val="0"/>
          <w:sz w:val="20"/>
        </w:rPr>
        <w:t xml:space="preserve"> and 25 °C. The treatment was also effective in creating strong acidic sites.</w:t>
      </w:r>
    </w:p>
    <w:p w:rsidR="00EA4E1B" w:rsidRPr="00AA4E93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AA4E93">
        <w:rPr>
          <w:rFonts w:ascii="Times New Roman" w:hAnsi="Times New Roman"/>
          <w:b w:val="0"/>
          <w:i/>
          <w:sz w:val="20"/>
        </w:rPr>
        <w:t xml:space="preserve">Keywords: </w:t>
      </w:r>
      <w:r w:rsidR="008711C6" w:rsidRPr="00AA4E93">
        <w:rPr>
          <w:rFonts w:ascii="Times New Roman" w:hAnsi="Times New Roman"/>
          <w:b w:val="0"/>
          <w:i/>
          <w:sz w:val="20"/>
        </w:rPr>
        <w:t>Clay,</w:t>
      </w:r>
      <w:r w:rsidR="008711C6" w:rsidRPr="00AA4E93">
        <w:rPr>
          <w:rFonts w:ascii="Times New Roman" w:hAnsi="Times New Roman"/>
          <w:b w:val="0"/>
          <w:i/>
          <w:iCs/>
          <w:sz w:val="20"/>
        </w:rPr>
        <w:t xml:space="preserve"> </w:t>
      </w:r>
      <w:proofErr w:type="spellStart"/>
      <w:r w:rsidR="008711C6" w:rsidRPr="00AA4E93">
        <w:rPr>
          <w:rFonts w:ascii="Times New Roman" w:hAnsi="Times New Roman"/>
          <w:b w:val="0"/>
          <w:i/>
          <w:iCs/>
          <w:sz w:val="20"/>
        </w:rPr>
        <w:t>montmorillonite</w:t>
      </w:r>
      <w:proofErr w:type="spellEnd"/>
      <w:r w:rsidR="00145486" w:rsidRPr="00AA4E93">
        <w:rPr>
          <w:rFonts w:ascii="Times New Roman" w:hAnsi="Times New Roman"/>
          <w:b w:val="0"/>
          <w:i/>
          <w:sz w:val="20"/>
        </w:rPr>
        <w:t>, catalyst, acid treatment</w:t>
      </w:r>
      <w:r w:rsidR="008711C6" w:rsidRPr="00AA4E93">
        <w:rPr>
          <w:rFonts w:ascii="Times New Roman" w:hAnsi="Times New Roman"/>
          <w:b w:val="0"/>
          <w:i/>
          <w:sz w:val="20"/>
        </w:rPr>
        <w:t>.</w:t>
      </w:r>
    </w:p>
    <w:bookmarkEnd w:id="1"/>
    <w:p w:rsidR="00EA4E1B" w:rsidRPr="00145486" w:rsidRDefault="00EA4E1B" w:rsidP="00EA4E1B">
      <w:pPr>
        <w:rPr>
          <w:lang w:val="en-US"/>
        </w:rPr>
        <w:sectPr w:rsidR="00EA4E1B" w:rsidRPr="00145486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Introdução</w:t>
      </w:r>
    </w:p>
    <w:p w:rsidR="00024FF1" w:rsidRPr="00FD13A9" w:rsidRDefault="00500309" w:rsidP="00024FF1">
      <w:pPr>
        <w:pStyle w:val="TAMainText"/>
        <w:rPr>
          <w:lang w:val="pt-BR"/>
        </w:rPr>
      </w:pPr>
      <w:r>
        <w:rPr>
          <w:lang w:val="pt-BR"/>
        </w:rPr>
        <w:t xml:space="preserve">A utilização de </w:t>
      </w:r>
      <w:r w:rsidRPr="00FE4E28">
        <w:rPr>
          <w:lang w:val="pt-BR"/>
        </w:rPr>
        <w:t xml:space="preserve">catalisadores </w:t>
      </w:r>
      <w:r w:rsidR="0080224D" w:rsidRPr="00FE4E28">
        <w:rPr>
          <w:lang w:val="pt-BR"/>
        </w:rPr>
        <w:t xml:space="preserve">mostra-se </w:t>
      </w:r>
      <w:r w:rsidR="003B7A3C" w:rsidRPr="00FE4E28">
        <w:rPr>
          <w:lang w:val="pt-BR"/>
        </w:rPr>
        <w:t xml:space="preserve">útil para acelerar as reações desejadas, </w:t>
      </w:r>
      <w:r w:rsidR="0060394C" w:rsidRPr="00FE4E28">
        <w:rPr>
          <w:lang w:val="pt-BR"/>
        </w:rPr>
        <w:t>direcionando</w:t>
      </w:r>
      <w:r w:rsidR="004322F3" w:rsidRPr="00FE4E28">
        <w:rPr>
          <w:lang w:val="pt-BR"/>
        </w:rPr>
        <w:t xml:space="preserve"> </w:t>
      </w:r>
      <w:proofErr w:type="gramStart"/>
      <w:r w:rsidR="00FE4E28" w:rsidRPr="00FE4E28">
        <w:rPr>
          <w:lang w:val="pt-BR"/>
        </w:rPr>
        <w:t>à</w:t>
      </w:r>
      <w:proofErr w:type="gramEnd"/>
      <w:r w:rsidR="00492807" w:rsidRPr="00FE4E28">
        <w:rPr>
          <w:lang w:val="pt-BR"/>
        </w:rPr>
        <w:t xml:space="preserve"> </w:t>
      </w:r>
      <w:r w:rsidR="003E62E8" w:rsidRPr="00FE4E28">
        <w:rPr>
          <w:lang w:val="pt-BR"/>
        </w:rPr>
        <w:t xml:space="preserve">formação </w:t>
      </w:r>
      <w:r>
        <w:rPr>
          <w:lang w:val="pt-BR"/>
        </w:rPr>
        <w:t>de produtos específicos</w:t>
      </w:r>
      <w:r w:rsidR="001362BD">
        <w:rPr>
          <w:lang w:val="pt-BR"/>
        </w:rPr>
        <w:t xml:space="preserve"> e </w:t>
      </w:r>
      <w:r w:rsidR="00C11B5D" w:rsidRPr="00CA6245">
        <w:rPr>
          <w:color w:val="000000" w:themeColor="text1"/>
          <w:lang w:val="pt-BR"/>
        </w:rPr>
        <w:t>aprimora</w:t>
      </w:r>
      <w:r w:rsidR="001362BD" w:rsidRPr="00CA6245">
        <w:rPr>
          <w:color w:val="000000" w:themeColor="text1"/>
          <w:lang w:val="pt-BR"/>
        </w:rPr>
        <w:t>ndo</w:t>
      </w:r>
      <w:r w:rsidR="00C11B5D">
        <w:rPr>
          <w:lang w:val="pt-BR"/>
        </w:rPr>
        <w:t xml:space="preserve"> </w:t>
      </w:r>
      <w:r w:rsidR="003E62E8">
        <w:rPr>
          <w:lang w:val="pt-BR"/>
        </w:rPr>
        <w:t>as</w:t>
      </w:r>
      <w:r w:rsidRPr="00FD13A9">
        <w:rPr>
          <w:lang w:val="pt-BR"/>
        </w:rPr>
        <w:t xml:space="preserve"> taxa</w:t>
      </w:r>
      <w:r w:rsidR="007C78A2">
        <w:rPr>
          <w:lang w:val="pt-BR"/>
        </w:rPr>
        <w:t>s</w:t>
      </w:r>
      <w:r w:rsidRPr="00FD13A9">
        <w:rPr>
          <w:lang w:val="pt-BR"/>
        </w:rPr>
        <w:t xml:space="preserve"> de conversão</w:t>
      </w:r>
      <w:r w:rsidR="003E62E8">
        <w:rPr>
          <w:lang w:val="pt-BR"/>
        </w:rPr>
        <w:t xml:space="preserve">, </w:t>
      </w:r>
      <w:r w:rsidR="00274EE9" w:rsidRPr="000652AB">
        <w:rPr>
          <w:lang w:val="pt-BR"/>
        </w:rPr>
        <w:t>por meio do</w:t>
      </w:r>
      <w:r w:rsidR="003E62E8" w:rsidRPr="000652AB">
        <w:rPr>
          <w:lang w:val="pt-BR"/>
        </w:rPr>
        <w:t xml:space="preserve"> aumento </w:t>
      </w:r>
      <w:r w:rsidR="003E62E8">
        <w:rPr>
          <w:lang w:val="pt-BR"/>
        </w:rPr>
        <w:t xml:space="preserve">da </w:t>
      </w:r>
      <w:r w:rsidRPr="00FD13A9">
        <w:rPr>
          <w:lang w:val="pt-BR"/>
        </w:rPr>
        <w:t>velocidade da reação,</w:t>
      </w:r>
      <w:r w:rsidR="007C78A2">
        <w:rPr>
          <w:lang w:val="pt-BR"/>
        </w:rPr>
        <w:t xml:space="preserve"> muitas vezes tornando</w:t>
      </w:r>
      <w:r w:rsidR="001362BD">
        <w:rPr>
          <w:lang w:val="pt-BR"/>
        </w:rPr>
        <w:t xml:space="preserve"> </w:t>
      </w:r>
      <w:r w:rsidR="00C11B5D">
        <w:rPr>
          <w:lang w:val="pt-BR"/>
        </w:rPr>
        <w:t>a</w:t>
      </w:r>
      <w:r w:rsidR="007C78A2" w:rsidRPr="001362BD">
        <w:rPr>
          <w:lang w:val="pt-BR"/>
        </w:rPr>
        <w:t xml:space="preserve"> reação</w:t>
      </w:r>
      <w:r w:rsidR="007C78A2">
        <w:rPr>
          <w:lang w:val="pt-BR"/>
        </w:rPr>
        <w:t xml:space="preserve"> economicamente viável para uma aplicação comercial</w:t>
      </w:r>
      <w:r w:rsidRPr="00F44E3B">
        <w:rPr>
          <w:lang w:val="pt-BR"/>
        </w:rPr>
        <w:t>.</w:t>
      </w:r>
      <w:r w:rsidR="00024FF1" w:rsidRPr="00F44E3B">
        <w:rPr>
          <w:lang w:val="pt-BR"/>
        </w:rPr>
        <w:t xml:space="preserve"> </w:t>
      </w:r>
      <w:r w:rsidR="00C055E7" w:rsidRPr="00F44E3B">
        <w:rPr>
          <w:lang w:val="pt-BR"/>
        </w:rPr>
        <w:t>Como</w:t>
      </w:r>
      <w:r w:rsidR="001F7194" w:rsidRPr="00F44E3B">
        <w:rPr>
          <w:lang w:val="pt-BR"/>
        </w:rPr>
        <w:t xml:space="preserve"> </w:t>
      </w:r>
      <w:r w:rsidR="00024FF1" w:rsidRPr="00F44E3B">
        <w:rPr>
          <w:lang w:val="pt-BR"/>
        </w:rPr>
        <w:t>exe</w:t>
      </w:r>
      <w:r w:rsidR="00024FF1" w:rsidRPr="00FD13A9">
        <w:rPr>
          <w:lang w:val="pt-BR"/>
        </w:rPr>
        <w:t>mplo</w:t>
      </w:r>
      <w:r w:rsidR="001F7194" w:rsidRPr="00FD13A9">
        <w:rPr>
          <w:lang w:val="pt-BR"/>
        </w:rPr>
        <w:t xml:space="preserve">, </w:t>
      </w:r>
      <w:r w:rsidR="00FD13A9" w:rsidRPr="00FD13A9">
        <w:rPr>
          <w:lang w:val="pt-BR"/>
        </w:rPr>
        <w:t xml:space="preserve">o uso de um catalisador adequado favorece produtos </w:t>
      </w:r>
      <w:r w:rsidR="007B011D">
        <w:rPr>
          <w:lang w:val="pt-BR"/>
        </w:rPr>
        <w:t>com</w:t>
      </w:r>
      <w:r w:rsidR="00FD13A9" w:rsidRPr="00FD13A9">
        <w:rPr>
          <w:lang w:val="pt-BR"/>
        </w:rPr>
        <w:t xml:space="preserve"> maior valor agregado </w:t>
      </w:r>
      <w:r w:rsidR="001F7194" w:rsidRPr="00FD13A9">
        <w:rPr>
          <w:lang w:val="pt-BR"/>
        </w:rPr>
        <w:t>n</w:t>
      </w:r>
      <w:r w:rsidR="00253ACC">
        <w:rPr>
          <w:lang w:val="pt-BR"/>
        </w:rPr>
        <w:t>a</w:t>
      </w:r>
      <w:proofErr w:type="gramStart"/>
      <w:r w:rsidR="00FD13A9">
        <w:rPr>
          <w:lang w:val="pt-BR"/>
        </w:rPr>
        <w:t xml:space="preserve">  </w:t>
      </w:r>
      <w:proofErr w:type="spellStart"/>
      <w:proofErr w:type="gramEnd"/>
      <w:r w:rsidR="00024FF1" w:rsidRPr="00FD13A9">
        <w:rPr>
          <w:lang w:val="pt-BR"/>
        </w:rPr>
        <w:t>piróli</w:t>
      </w:r>
      <w:r w:rsidR="00FD13A9">
        <w:rPr>
          <w:lang w:val="pt-BR"/>
        </w:rPr>
        <w:t>se</w:t>
      </w:r>
      <w:proofErr w:type="spellEnd"/>
      <w:r w:rsidR="00FD13A9" w:rsidRPr="00FD13A9">
        <w:rPr>
          <w:lang w:val="pt-BR"/>
        </w:rPr>
        <w:t xml:space="preserve"> </w:t>
      </w:r>
      <w:r w:rsidR="00BF79DB" w:rsidRPr="00FD13A9">
        <w:rPr>
          <w:lang w:val="pt-BR"/>
        </w:rPr>
        <w:t>(1)</w:t>
      </w:r>
      <w:r w:rsidR="00024FF1" w:rsidRPr="00FD13A9">
        <w:rPr>
          <w:lang w:val="pt-BR"/>
        </w:rPr>
        <w:t>.</w:t>
      </w:r>
    </w:p>
    <w:p w:rsidR="006E0394" w:rsidRPr="00F44E3B" w:rsidRDefault="00EC496A" w:rsidP="004F191A">
      <w:pPr>
        <w:pStyle w:val="TAMainText"/>
        <w:rPr>
          <w:lang w:val="pt-BR"/>
        </w:rPr>
      </w:pPr>
      <w:r w:rsidRPr="00FD13A9">
        <w:rPr>
          <w:lang w:val="pt-BR"/>
        </w:rPr>
        <w:t>As</w:t>
      </w:r>
      <w:r w:rsidR="00B21E03" w:rsidRPr="00FD13A9">
        <w:rPr>
          <w:lang w:val="pt-BR"/>
        </w:rPr>
        <w:t xml:space="preserve"> argila</w:t>
      </w:r>
      <w:r w:rsidRPr="00FD13A9">
        <w:rPr>
          <w:lang w:val="pt-BR"/>
        </w:rPr>
        <w:t>s</w:t>
      </w:r>
      <w:r w:rsidR="006B6599" w:rsidRPr="00FD13A9">
        <w:rPr>
          <w:lang w:val="pt-BR"/>
        </w:rPr>
        <w:t xml:space="preserve"> </w:t>
      </w:r>
      <w:r w:rsidR="0079411E" w:rsidRPr="00FD13A9">
        <w:rPr>
          <w:lang w:val="pt-BR"/>
        </w:rPr>
        <w:t>t</w:t>
      </w:r>
      <w:r w:rsidRPr="00FD13A9">
        <w:rPr>
          <w:lang w:val="pt-BR"/>
        </w:rPr>
        <w:t>ê</w:t>
      </w:r>
      <w:r w:rsidR="0079411E" w:rsidRPr="00FD13A9">
        <w:rPr>
          <w:lang w:val="pt-BR"/>
        </w:rPr>
        <w:t>m recebido especial atenção</w:t>
      </w:r>
      <w:r w:rsidR="00882466">
        <w:rPr>
          <w:lang w:val="pt-BR"/>
        </w:rPr>
        <w:t xml:space="preserve"> como catalisador</w:t>
      </w:r>
      <w:r w:rsidR="0079411E">
        <w:rPr>
          <w:lang w:val="pt-BR"/>
        </w:rPr>
        <w:t xml:space="preserve"> </w:t>
      </w:r>
      <w:r w:rsidR="00187D7A">
        <w:rPr>
          <w:lang w:val="pt-BR"/>
        </w:rPr>
        <w:t xml:space="preserve">para utilização na </w:t>
      </w:r>
      <w:proofErr w:type="spellStart"/>
      <w:r w:rsidR="00187D7A">
        <w:rPr>
          <w:lang w:val="pt-BR"/>
        </w:rPr>
        <w:t>pirólise</w:t>
      </w:r>
      <w:proofErr w:type="spellEnd"/>
      <w:r w:rsidR="00187D7A">
        <w:rPr>
          <w:lang w:val="pt-BR"/>
        </w:rPr>
        <w:t xml:space="preserve"> da biomassa</w:t>
      </w:r>
      <w:r w:rsidR="00292454">
        <w:rPr>
          <w:lang w:val="pt-BR"/>
        </w:rPr>
        <w:t xml:space="preserve">, </w:t>
      </w:r>
      <w:r w:rsidR="0079411E">
        <w:rPr>
          <w:lang w:val="pt-BR"/>
        </w:rPr>
        <w:t xml:space="preserve">devido </w:t>
      </w:r>
      <w:r w:rsidR="00EE27E9">
        <w:rPr>
          <w:lang w:val="pt-BR"/>
        </w:rPr>
        <w:t>à</w:t>
      </w:r>
      <w:r w:rsidR="00EB1078">
        <w:rPr>
          <w:lang w:val="pt-BR"/>
        </w:rPr>
        <w:t xml:space="preserve"> elevada área superficial específica e </w:t>
      </w:r>
      <w:r w:rsidR="0079411E">
        <w:rPr>
          <w:lang w:val="pt-BR"/>
        </w:rPr>
        <w:t>propriedades ácidas</w:t>
      </w:r>
      <w:r w:rsidR="00B76A1C">
        <w:rPr>
          <w:lang w:val="pt-BR"/>
        </w:rPr>
        <w:t xml:space="preserve">, </w:t>
      </w:r>
      <w:r w:rsidR="00EE27E9">
        <w:rPr>
          <w:lang w:val="pt-BR"/>
        </w:rPr>
        <w:t xml:space="preserve">pela </w:t>
      </w:r>
      <w:r w:rsidR="00B76A1C">
        <w:rPr>
          <w:lang w:val="pt-BR"/>
        </w:rPr>
        <w:t xml:space="preserve">presença de </w:t>
      </w:r>
      <w:r w:rsidR="00224971">
        <w:rPr>
          <w:lang w:val="pt-BR"/>
        </w:rPr>
        <w:t xml:space="preserve">sítios ácidos de </w:t>
      </w:r>
      <w:proofErr w:type="spellStart"/>
      <w:r w:rsidR="00224971">
        <w:rPr>
          <w:lang w:val="pt-BR"/>
        </w:rPr>
        <w:t>Bronsted</w:t>
      </w:r>
      <w:proofErr w:type="spellEnd"/>
      <w:r w:rsidR="00224971">
        <w:rPr>
          <w:lang w:val="pt-BR"/>
        </w:rPr>
        <w:t xml:space="preserve"> e L</w:t>
      </w:r>
      <w:r w:rsidR="00126AB5">
        <w:rPr>
          <w:lang w:val="pt-BR"/>
        </w:rPr>
        <w:t xml:space="preserve">ewis, </w:t>
      </w:r>
      <w:r w:rsidR="002F5560">
        <w:rPr>
          <w:lang w:val="pt-BR"/>
        </w:rPr>
        <w:t>que catalisam numerosas reações orgânicas</w:t>
      </w:r>
      <w:r w:rsidR="00B87332">
        <w:rPr>
          <w:lang w:val="pt-BR"/>
        </w:rPr>
        <w:t>.</w:t>
      </w:r>
      <w:r w:rsidR="002F5560">
        <w:rPr>
          <w:lang w:val="pt-BR"/>
        </w:rPr>
        <w:t xml:space="preserve"> </w:t>
      </w:r>
      <w:r w:rsidR="00187D7A">
        <w:rPr>
          <w:lang w:val="pt-BR"/>
        </w:rPr>
        <w:t xml:space="preserve">Além disso, </w:t>
      </w:r>
      <w:r w:rsidR="004F191A">
        <w:rPr>
          <w:lang w:val="pt-BR"/>
        </w:rPr>
        <w:t xml:space="preserve">as argilas </w:t>
      </w:r>
      <w:r w:rsidR="00B904C6">
        <w:rPr>
          <w:lang w:val="pt-BR"/>
        </w:rPr>
        <w:t>possuem</w:t>
      </w:r>
      <w:r w:rsidR="008A55AC">
        <w:rPr>
          <w:lang w:val="pt-BR"/>
        </w:rPr>
        <w:t xml:space="preserve"> e</w:t>
      </w:r>
      <w:r w:rsidR="00AA7CA4">
        <w:rPr>
          <w:lang w:val="pt-BR"/>
        </w:rPr>
        <w:t xml:space="preserve">strutura </w:t>
      </w:r>
      <w:r w:rsidR="00024FF1">
        <w:rPr>
          <w:lang w:val="pt-BR"/>
        </w:rPr>
        <w:t>composta por cam</w:t>
      </w:r>
      <w:r w:rsidR="00375837">
        <w:rPr>
          <w:lang w:val="pt-BR"/>
        </w:rPr>
        <w:t xml:space="preserve">adas </w:t>
      </w:r>
      <w:r w:rsidR="00024FF1">
        <w:rPr>
          <w:lang w:val="pt-BR"/>
        </w:rPr>
        <w:t>espaçadas entre si</w:t>
      </w:r>
      <w:r w:rsidR="003D3549">
        <w:rPr>
          <w:lang w:val="pt-BR"/>
        </w:rPr>
        <w:t>,</w:t>
      </w:r>
      <w:r w:rsidR="00B904C6">
        <w:rPr>
          <w:lang w:val="pt-BR"/>
        </w:rPr>
        <w:t xml:space="preserve"> que</w:t>
      </w:r>
      <w:r w:rsidR="008A55AC">
        <w:rPr>
          <w:lang w:val="pt-BR"/>
        </w:rPr>
        <w:t xml:space="preserve"> </w:t>
      </w:r>
      <w:r w:rsidR="00EE27E9">
        <w:rPr>
          <w:lang w:val="pt-BR"/>
        </w:rPr>
        <w:t>p</w:t>
      </w:r>
      <w:r w:rsidR="00024FF1">
        <w:rPr>
          <w:lang w:val="pt-BR"/>
        </w:rPr>
        <w:t>ermi</w:t>
      </w:r>
      <w:r w:rsidR="008A55AC">
        <w:rPr>
          <w:lang w:val="pt-BR"/>
        </w:rPr>
        <w:t>t</w:t>
      </w:r>
      <w:r w:rsidR="00EE27E9">
        <w:rPr>
          <w:lang w:val="pt-BR"/>
        </w:rPr>
        <w:t xml:space="preserve">em </w:t>
      </w:r>
      <w:r w:rsidR="00024FF1">
        <w:rPr>
          <w:lang w:val="pt-BR"/>
        </w:rPr>
        <w:t>o acesso de moléculas volumosas aos sítios ácidos</w:t>
      </w:r>
      <w:r w:rsidR="0003564C">
        <w:rPr>
          <w:lang w:val="pt-BR"/>
        </w:rPr>
        <w:t xml:space="preserve">, </w:t>
      </w:r>
      <w:r>
        <w:rPr>
          <w:lang w:val="pt-BR"/>
        </w:rPr>
        <w:t>favorec</w:t>
      </w:r>
      <w:r w:rsidR="0003564C">
        <w:rPr>
          <w:lang w:val="pt-BR"/>
        </w:rPr>
        <w:t xml:space="preserve">endo </w:t>
      </w:r>
      <w:r>
        <w:rPr>
          <w:lang w:val="pt-BR"/>
        </w:rPr>
        <w:t xml:space="preserve">a </w:t>
      </w:r>
      <w:r w:rsidR="00024FF1">
        <w:rPr>
          <w:lang w:val="pt-BR"/>
        </w:rPr>
        <w:t xml:space="preserve">produção de compostos </w:t>
      </w:r>
      <w:r w:rsidR="00375837">
        <w:rPr>
          <w:lang w:val="pt-BR"/>
        </w:rPr>
        <w:t xml:space="preserve">aromáticos </w:t>
      </w:r>
      <w:r w:rsidR="00024FF1">
        <w:rPr>
          <w:lang w:val="pt-BR"/>
        </w:rPr>
        <w:t>pela superação das barreiras</w:t>
      </w:r>
      <w:r w:rsidR="00375837">
        <w:rPr>
          <w:lang w:val="pt-BR"/>
        </w:rPr>
        <w:t xml:space="preserve"> </w:t>
      </w:r>
      <w:proofErr w:type="spellStart"/>
      <w:r w:rsidR="00375837">
        <w:rPr>
          <w:lang w:val="pt-BR"/>
        </w:rPr>
        <w:t>difusionais</w:t>
      </w:r>
      <w:proofErr w:type="spellEnd"/>
      <w:r w:rsidR="00375837">
        <w:rPr>
          <w:lang w:val="pt-BR"/>
        </w:rPr>
        <w:t xml:space="preserve"> destas moléculas</w:t>
      </w:r>
      <w:r w:rsidR="003D3549">
        <w:rPr>
          <w:lang w:val="pt-BR"/>
        </w:rPr>
        <w:t xml:space="preserve"> (</w:t>
      </w:r>
      <w:r w:rsidR="003D3549" w:rsidRPr="00F44E3B">
        <w:rPr>
          <w:lang w:val="pt-BR"/>
        </w:rPr>
        <w:t>2-4)</w:t>
      </w:r>
      <w:r w:rsidR="00375837" w:rsidRPr="00F44E3B">
        <w:rPr>
          <w:lang w:val="pt-BR"/>
        </w:rPr>
        <w:t>.</w:t>
      </w:r>
      <w:r w:rsidR="004F191A" w:rsidRPr="00F44E3B">
        <w:rPr>
          <w:lang w:val="pt-BR"/>
        </w:rPr>
        <w:t xml:space="preserve"> </w:t>
      </w:r>
    </w:p>
    <w:p w:rsidR="000D74D7" w:rsidRPr="009F14BA" w:rsidRDefault="00761640" w:rsidP="009A3879">
      <w:pPr>
        <w:pStyle w:val="TAMainText"/>
        <w:rPr>
          <w:lang w:val="pt-BR"/>
        </w:rPr>
      </w:pPr>
      <w:r w:rsidRPr="00F44E3B">
        <w:rPr>
          <w:lang w:val="pt-BR"/>
        </w:rPr>
        <w:t xml:space="preserve">Este estudo </w:t>
      </w:r>
      <w:r w:rsidR="00224D18" w:rsidRPr="00F44E3B">
        <w:rPr>
          <w:lang w:val="pt-BR"/>
        </w:rPr>
        <w:t>tem como objetivo</w:t>
      </w:r>
      <w:r w:rsidR="007B64DA" w:rsidRPr="00F44E3B">
        <w:rPr>
          <w:lang w:val="pt-BR"/>
        </w:rPr>
        <w:t xml:space="preserve"> realizar </w:t>
      </w:r>
      <w:r w:rsidR="00B453CD" w:rsidRPr="00F44E3B">
        <w:rPr>
          <w:lang w:val="pt-BR"/>
        </w:rPr>
        <w:t>um</w:t>
      </w:r>
      <w:r w:rsidR="00224D18" w:rsidRPr="00F44E3B">
        <w:rPr>
          <w:lang w:val="pt-BR"/>
        </w:rPr>
        <w:t xml:space="preserve"> </w:t>
      </w:r>
      <w:r w:rsidR="00B453CD" w:rsidRPr="00F44E3B">
        <w:rPr>
          <w:lang w:val="pt-BR"/>
        </w:rPr>
        <w:t>tratamento</w:t>
      </w:r>
      <w:r w:rsidRPr="00F44E3B">
        <w:rPr>
          <w:lang w:val="pt-BR"/>
        </w:rPr>
        <w:t xml:space="preserve"> ácido</w:t>
      </w:r>
      <w:r w:rsidR="001362BD">
        <w:rPr>
          <w:lang w:val="pt-BR"/>
        </w:rPr>
        <w:t xml:space="preserve"> complementar</w:t>
      </w:r>
      <w:r w:rsidR="00B453CD" w:rsidRPr="00F44E3B">
        <w:rPr>
          <w:lang w:val="pt-BR"/>
        </w:rPr>
        <w:t xml:space="preserve"> </w:t>
      </w:r>
      <w:r w:rsidRPr="00F44E3B">
        <w:rPr>
          <w:lang w:val="pt-BR"/>
        </w:rPr>
        <w:t>à</w:t>
      </w:r>
      <w:r w:rsidR="003C4942" w:rsidRPr="00F44E3B">
        <w:rPr>
          <w:lang w:val="pt-BR"/>
        </w:rPr>
        <w:t xml:space="preserve"> argila </w:t>
      </w:r>
      <w:proofErr w:type="spellStart"/>
      <w:r w:rsidR="003C4942" w:rsidRPr="00F44E3B">
        <w:rPr>
          <w:lang w:val="pt-BR"/>
        </w:rPr>
        <w:t>montmorillonita</w:t>
      </w:r>
      <w:proofErr w:type="spellEnd"/>
      <w:r w:rsidR="003C4942" w:rsidRPr="00F44E3B">
        <w:rPr>
          <w:lang w:val="pt-BR"/>
        </w:rPr>
        <w:t xml:space="preserve"> comercial (</w:t>
      </w:r>
      <w:r w:rsidR="003C4942" w:rsidRPr="00CC4650">
        <w:rPr>
          <w:lang w:val="pt-BR"/>
        </w:rPr>
        <w:t>K10</w:t>
      </w:r>
      <w:r w:rsidR="003C4942">
        <w:rPr>
          <w:lang w:val="pt-BR"/>
        </w:rPr>
        <w:t>)</w:t>
      </w:r>
      <w:r>
        <w:rPr>
          <w:lang w:val="pt-BR"/>
        </w:rPr>
        <w:t xml:space="preserve"> para</w:t>
      </w:r>
      <w:r w:rsidR="009A3879">
        <w:rPr>
          <w:lang w:val="pt-BR"/>
        </w:rPr>
        <w:t xml:space="preserve"> </w:t>
      </w:r>
      <w:r w:rsidR="0003564C">
        <w:rPr>
          <w:lang w:val="pt-BR"/>
        </w:rPr>
        <w:t xml:space="preserve">a </w:t>
      </w:r>
      <w:r w:rsidR="002520CC" w:rsidRPr="00CC4650">
        <w:rPr>
          <w:lang w:val="pt-BR"/>
        </w:rPr>
        <w:t>geração de porosidade adicional e novos sítios ácidos</w:t>
      </w:r>
      <w:r w:rsidR="009A3879">
        <w:rPr>
          <w:lang w:val="pt-BR"/>
        </w:rPr>
        <w:t xml:space="preserve"> </w:t>
      </w:r>
      <w:r w:rsidR="00292454">
        <w:rPr>
          <w:lang w:val="pt-BR"/>
        </w:rPr>
        <w:t>para</w:t>
      </w:r>
      <w:r w:rsidR="00AB3777">
        <w:rPr>
          <w:lang w:val="pt-BR"/>
        </w:rPr>
        <w:t xml:space="preserve"> </w:t>
      </w:r>
      <w:r w:rsidR="00385301">
        <w:rPr>
          <w:lang w:val="pt-BR"/>
        </w:rPr>
        <w:t>utiliza</w:t>
      </w:r>
      <w:r w:rsidR="00D05224">
        <w:rPr>
          <w:lang w:val="pt-BR"/>
        </w:rPr>
        <w:t>ção</w:t>
      </w:r>
      <w:r w:rsidR="00592F97">
        <w:rPr>
          <w:lang w:val="pt-BR"/>
        </w:rPr>
        <w:t xml:space="preserve"> na </w:t>
      </w:r>
      <w:proofErr w:type="spellStart"/>
      <w:r w:rsidR="00592F97">
        <w:rPr>
          <w:lang w:val="pt-BR"/>
        </w:rPr>
        <w:t>pirólise</w:t>
      </w:r>
      <w:proofErr w:type="spellEnd"/>
      <w:r w:rsidR="00592F97">
        <w:rPr>
          <w:lang w:val="pt-BR"/>
        </w:rPr>
        <w:t xml:space="preserve"> da biomassa. </w:t>
      </w:r>
    </w:p>
    <w:p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Experimental</w:t>
      </w:r>
    </w:p>
    <w:p w:rsidR="00DD0859" w:rsidRDefault="00EA0754" w:rsidP="00DD0859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A</w:t>
      </w:r>
      <w:r w:rsidR="0017416D">
        <w:rPr>
          <w:rFonts w:ascii="Times New Roman" w:hAnsi="Times New Roman"/>
          <w:i/>
          <w:lang w:val="pt-BR"/>
        </w:rPr>
        <w:t xml:space="preserve">cidificação </w:t>
      </w:r>
      <w:r w:rsidR="00976E82">
        <w:rPr>
          <w:rFonts w:ascii="Times New Roman" w:hAnsi="Times New Roman"/>
          <w:i/>
          <w:lang w:val="pt-BR"/>
        </w:rPr>
        <w:t xml:space="preserve">da argila. </w:t>
      </w:r>
    </w:p>
    <w:p w:rsidR="008D0CDF" w:rsidRDefault="00EA0754" w:rsidP="00436B6C">
      <w:pPr>
        <w:pStyle w:val="TAMainText"/>
        <w:rPr>
          <w:lang w:val="pt-BR"/>
        </w:rPr>
      </w:pPr>
      <w:r>
        <w:rPr>
          <w:lang w:val="pt-BR"/>
        </w:rPr>
        <w:t>A</w:t>
      </w:r>
      <w:r w:rsidR="0017416D" w:rsidRPr="00A076AE">
        <w:rPr>
          <w:lang w:val="pt-BR"/>
        </w:rPr>
        <w:t xml:space="preserve"> argila </w:t>
      </w:r>
      <w:proofErr w:type="spellStart"/>
      <w:r w:rsidR="0017416D" w:rsidRPr="00A076AE">
        <w:rPr>
          <w:lang w:val="pt-BR"/>
        </w:rPr>
        <w:t>montmorillonita</w:t>
      </w:r>
      <w:proofErr w:type="spellEnd"/>
      <w:r w:rsidR="0017416D" w:rsidRPr="00A076AE">
        <w:rPr>
          <w:lang w:val="pt-BR"/>
        </w:rPr>
        <w:t xml:space="preserve"> comercial (</w:t>
      </w:r>
      <w:r w:rsidR="00436B6C">
        <w:rPr>
          <w:lang w:val="pt-BR"/>
        </w:rPr>
        <w:t>K10</w:t>
      </w:r>
      <w:r w:rsidR="00316E11">
        <w:rPr>
          <w:lang w:val="pt-BR"/>
        </w:rPr>
        <w:t xml:space="preserve">, </w:t>
      </w:r>
      <w:r w:rsidR="0017416D" w:rsidRPr="00A076AE">
        <w:rPr>
          <w:lang w:val="pt-BR"/>
        </w:rPr>
        <w:t xml:space="preserve">Sigma </w:t>
      </w:r>
      <w:proofErr w:type="spellStart"/>
      <w:r w:rsidR="0017416D" w:rsidRPr="00A076AE">
        <w:rPr>
          <w:lang w:val="pt-BR"/>
        </w:rPr>
        <w:t>Aldrich</w:t>
      </w:r>
      <w:proofErr w:type="spellEnd"/>
      <w:r w:rsidR="0017416D" w:rsidRPr="00A076AE">
        <w:rPr>
          <w:lang w:val="pt-BR"/>
        </w:rPr>
        <w:t>, CAS 1318-93-0)</w:t>
      </w:r>
      <w:r w:rsidR="0017416D">
        <w:rPr>
          <w:lang w:val="pt-BR"/>
        </w:rPr>
        <w:t xml:space="preserve"> foi seca em estufa a 90 </w:t>
      </w:r>
      <w:r w:rsidR="00FA605C">
        <w:rPr>
          <w:lang w:val="pt-BR"/>
        </w:rPr>
        <w:t>°C</w:t>
      </w:r>
      <w:r>
        <w:rPr>
          <w:lang w:val="pt-BR"/>
        </w:rPr>
        <w:t xml:space="preserve">, por </w:t>
      </w:r>
      <w:r w:rsidR="00CA1AE9">
        <w:rPr>
          <w:lang w:val="pt-BR"/>
        </w:rPr>
        <w:t>1</w:t>
      </w:r>
      <w:r w:rsidR="00FA605C">
        <w:rPr>
          <w:lang w:val="pt-BR"/>
        </w:rPr>
        <w:t xml:space="preserve"> </w:t>
      </w:r>
      <w:r w:rsidR="00CA1AE9">
        <w:rPr>
          <w:lang w:val="pt-BR"/>
        </w:rPr>
        <w:t>h</w:t>
      </w:r>
      <w:r w:rsidR="0017416D">
        <w:rPr>
          <w:lang w:val="pt-BR"/>
        </w:rPr>
        <w:t xml:space="preserve">. </w:t>
      </w:r>
      <w:r w:rsidR="00CF336D">
        <w:rPr>
          <w:lang w:val="pt-BR"/>
        </w:rPr>
        <w:t>Em um balão de fundo redondo, a</w:t>
      </w:r>
      <w:r w:rsidR="00A44421">
        <w:rPr>
          <w:lang w:val="pt-BR"/>
        </w:rPr>
        <w:t xml:space="preserve"> </w:t>
      </w:r>
      <w:r w:rsidR="00CC631B">
        <w:rPr>
          <w:lang w:val="pt-BR"/>
        </w:rPr>
        <w:t xml:space="preserve">argila </w:t>
      </w:r>
      <w:r w:rsidR="0017416D">
        <w:rPr>
          <w:lang w:val="pt-BR"/>
        </w:rPr>
        <w:t xml:space="preserve">foi </w:t>
      </w:r>
      <w:r w:rsidR="00A44421">
        <w:rPr>
          <w:lang w:val="pt-BR"/>
        </w:rPr>
        <w:t>misturada a</w:t>
      </w:r>
      <w:r w:rsidR="003E7FC0">
        <w:rPr>
          <w:lang w:val="pt-BR"/>
        </w:rPr>
        <w:t xml:space="preserve"> uma </w:t>
      </w:r>
      <w:r w:rsidR="008A0B25">
        <w:rPr>
          <w:lang w:val="pt-BR"/>
        </w:rPr>
        <w:t>solução</w:t>
      </w:r>
      <w:r w:rsidR="0017416D">
        <w:rPr>
          <w:lang w:val="pt-BR"/>
        </w:rPr>
        <w:t xml:space="preserve"> de </w:t>
      </w:r>
      <w:proofErr w:type="spellStart"/>
      <w:proofErr w:type="gramStart"/>
      <w:r w:rsidR="009226C3">
        <w:rPr>
          <w:lang w:val="pt-BR"/>
        </w:rPr>
        <w:t>HCl</w:t>
      </w:r>
      <w:proofErr w:type="spellEnd"/>
      <w:proofErr w:type="gramEnd"/>
      <w:r w:rsidR="0017416D">
        <w:rPr>
          <w:lang w:val="pt-BR"/>
        </w:rPr>
        <w:t xml:space="preserve">, na proporção </w:t>
      </w:r>
      <w:r w:rsidR="00490B36">
        <w:rPr>
          <w:lang w:val="pt-BR"/>
        </w:rPr>
        <w:t xml:space="preserve">(m/v) </w:t>
      </w:r>
      <w:r w:rsidR="0017416D">
        <w:rPr>
          <w:lang w:val="pt-BR"/>
        </w:rPr>
        <w:t>1</w:t>
      </w:r>
      <w:r w:rsidR="005938CF">
        <w:rPr>
          <w:lang w:val="pt-BR"/>
        </w:rPr>
        <w:t>:10</w:t>
      </w:r>
      <w:r w:rsidR="0017416D">
        <w:rPr>
          <w:lang w:val="pt-BR"/>
        </w:rPr>
        <w:t xml:space="preserve"> </w:t>
      </w:r>
      <w:r w:rsidR="005938CF">
        <w:rPr>
          <w:lang w:val="pt-BR"/>
        </w:rPr>
        <w:t>(</w:t>
      </w:r>
      <w:r w:rsidR="0017416D">
        <w:rPr>
          <w:lang w:val="pt-BR"/>
        </w:rPr>
        <w:t>argila/</w:t>
      </w:r>
      <w:proofErr w:type="spellStart"/>
      <w:r w:rsidR="0017416D">
        <w:rPr>
          <w:lang w:val="pt-BR"/>
        </w:rPr>
        <w:t>HCl</w:t>
      </w:r>
      <w:proofErr w:type="spellEnd"/>
      <w:r w:rsidR="005938CF">
        <w:rPr>
          <w:lang w:val="pt-BR"/>
        </w:rPr>
        <w:t>)</w:t>
      </w:r>
      <w:r w:rsidR="00FD31B4">
        <w:rPr>
          <w:lang w:val="pt-BR"/>
        </w:rPr>
        <w:t>. A mistura permaneceu sob</w:t>
      </w:r>
      <w:r w:rsidR="006555AF">
        <w:rPr>
          <w:lang w:val="pt-BR"/>
        </w:rPr>
        <w:t xml:space="preserve"> agitação e refluxo por 1 h. D</w:t>
      </w:r>
      <w:r w:rsidR="0017416D">
        <w:rPr>
          <w:lang w:val="pt-BR"/>
        </w:rPr>
        <w:t xml:space="preserve">iferentes </w:t>
      </w:r>
      <w:r w:rsidR="00AA46D7">
        <w:rPr>
          <w:lang w:val="pt-BR"/>
        </w:rPr>
        <w:t xml:space="preserve">concentrações de </w:t>
      </w:r>
      <w:proofErr w:type="spellStart"/>
      <w:proofErr w:type="gramStart"/>
      <w:r w:rsidR="006555AF">
        <w:rPr>
          <w:lang w:val="pt-BR"/>
        </w:rPr>
        <w:t>HCl</w:t>
      </w:r>
      <w:proofErr w:type="spellEnd"/>
      <w:proofErr w:type="gramEnd"/>
      <w:r w:rsidR="00AA46D7">
        <w:rPr>
          <w:lang w:val="pt-BR"/>
        </w:rPr>
        <w:t xml:space="preserve"> (1, 2, 4 e 6 mol/L) </w:t>
      </w:r>
      <w:r w:rsidR="006555AF">
        <w:rPr>
          <w:lang w:val="pt-BR"/>
        </w:rPr>
        <w:t>e</w:t>
      </w:r>
      <w:r w:rsidR="00AA46D7">
        <w:rPr>
          <w:lang w:val="pt-BR"/>
        </w:rPr>
        <w:t xml:space="preserve"> </w:t>
      </w:r>
      <w:r w:rsidR="0017416D">
        <w:rPr>
          <w:lang w:val="pt-BR"/>
        </w:rPr>
        <w:t xml:space="preserve">temperaturas (25 e 50 </w:t>
      </w:r>
      <w:r w:rsidR="001F2BC9">
        <w:rPr>
          <w:lang w:val="pt-BR"/>
        </w:rPr>
        <w:t>°C</w:t>
      </w:r>
      <w:r w:rsidR="0017416D">
        <w:rPr>
          <w:lang w:val="pt-BR"/>
        </w:rPr>
        <w:t>)</w:t>
      </w:r>
      <w:r w:rsidR="006555AF">
        <w:rPr>
          <w:lang w:val="pt-BR"/>
        </w:rPr>
        <w:t xml:space="preserve"> foram utilizadas</w:t>
      </w:r>
      <w:r w:rsidR="00A7645B">
        <w:rPr>
          <w:lang w:val="pt-BR"/>
        </w:rPr>
        <w:t xml:space="preserve"> no tratamento</w:t>
      </w:r>
      <w:r w:rsidR="00A166B6">
        <w:rPr>
          <w:lang w:val="pt-BR"/>
        </w:rPr>
        <w:t xml:space="preserve">. </w:t>
      </w:r>
      <w:r w:rsidR="00E35F53">
        <w:rPr>
          <w:lang w:val="pt-BR"/>
        </w:rPr>
        <w:t>O</w:t>
      </w:r>
      <w:r w:rsidR="002E61A7">
        <w:rPr>
          <w:lang w:val="pt-BR"/>
        </w:rPr>
        <w:t xml:space="preserve"> sólido foi lavado</w:t>
      </w:r>
      <w:r w:rsidR="00B716AB">
        <w:rPr>
          <w:lang w:val="pt-BR"/>
        </w:rPr>
        <w:t xml:space="preserve"> com água destilada e filtrado</w:t>
      </w:r>
      <w:r w:rsidR="002E61A7">
        <w:rPr>
          <w:lang w:val="pt-BR"/>
        </w:rPr>
        <w:t xml:space="preserve"> </w:t>
      </w:r>
      <w:proofErr w:type="gramStart"/>
      <w:r w:rsidR="002E61A7">
        <w:rPr>
          <w:lang w:val="pt-BR"/>
        </w:rPr>
        <w:t>à</w:t>
      </w:r>
      <w:proofErr w:type="gramEnd"/>
      <w:r w:rsidR="002E61A7">
        <w:rPr>
          <w:lang w:val="pt-BR"/>
        </w:rPr>
        <w:t xml:space="preserve"> vácuo</w:t>
      </w:r>
      <w:r w:rsidR="00125478">
        <w:rPr>
          <w:lang w:val="pt-BR"/>
        </w:rPr>
        <w:t>, até o filtrado</w:t>
      </w:r>
      <w:r w:rsidR="002E61A7">
        <w:rPr>
          <w:lang w:val="pt-BR"/>
        </w:rPr>
        <w:t xml:space="preserve"> atingir pH </w:t>
      </w:r>
      <w:r w:rsidR="00CB73CF" w:rsidRPr="006B7F9A">
        <w:rPr>
          <w:vertAlign w:val="subscript"/>
          <w:lang w:val="pt-BR"/>
        </w:rPr>
        <w:t>~</w:t>
      </w:r>
      <w:r w:rsidR="002E61A7">
        <w:rPr>
          <w:lang w:val="pt-BR"/>
        </w:rPr>
        <w:t xml:space="preserve"> 7. </w:t>
      </w:r>
      <w:r w:rsidR="00A7645B">
        <w:rPr>
          <w:lang w:val="pt-BR"/>
        </w:rPr>
        <w:t>O sólido final</w:t>
      </w:r>
      <w:r w:rsidR="002E61A7">
        <w:rPr>
          <w:lang w:val="pt-BR"/>
        </w:rPr>
        <w:t xml:space="preserve"> foi </w:t>
      </w:r>
      <w:r w:rsidR="00C05B0C">
        <w:rPr>
          <w:lang w:val="pt-BR"/>
        </w:rPr>
        <w:t>sec</w:t>
      </w:r>
      <w:r w:rsidR="00A7645B">
        <w:rPr>
          <w:lang w:val="pt-BR"/>
        </w:rPr>
        <w:t>o</w:t>
      </w:r>
      <w:r w:rsidR="00C05B0C">
        <w:rPr>
          <w:lang w:val="pt-BR"/>
        </w:rPr>
        <w:t xml:space="preserve"> a 60 </w:t>
      </w:r>
      <w:r w:rsidR="006B7F9A">
        <w:rPr>
          <w:lang w:val="pt-BR"/>
        </w:rPr>
        <w:t>°</w:t>
      </w:r>
      <w:r w:rsidR="00C05B0C">
        <w:rPr>
          <w:lang w:val="pt-BR"/>
        </w:rPr>
        <w:t xml:space="preserve">C </w:t>
      </w:r>
      <w:r w:rsidR="00CB1A9F">
        <w:rPr>
          <w:lang w:val="pt-BR"/>
        </w:rPr>
        <w:t>por 48 h</w:t>
      </w:r>
      <w:r w:rsidR="004E3C85">
        <w:rPr>
          <w:lang w:val="pt-BR"/>
        </w:rPr>
        <w:t xml:space="preserve"> </w:t>
      </w:r>
      <w:r w:rsidR="004E3C85" w:rsidRPr="0001093A">
        <w:rPr>
          <w:lang w:val="pt-BR"/>
        </w:rPr>
        <w:t>(5).</w:t>
      </w:r>
    </w:p>
    <w:p w:rsidR="00173D2E" w:rsidRPr="00D1794A" w:rsidRDefault="00CF336D" w:rsidP="00D1794A">
      <w:pPr>
        <w:pStyle w:val="TAMainText"/>
        <w:rPr>
          <w:lang w:val="pt-BR"/>
        </w:rPr>
      </w:pPr>
      <w:r>
        <w:rPr>
          <w:lang w:val="pt-BR"/>
        </w:rPr>
        <w:t>Para identifica</w:t>
      </w:r>
      <w:r w:rsidR="006B06F3">
        <w:rPr>
          <w:lang w:val="pt-BR"/>
        </w:rPr>
        <w:t xml:space="preserve">r </w:t>
      </w:r>
      <w:r>
        <w:rPr>
          <w:lang w:val="pt-BR"/>
        </w:rPr>
        <w:t>as argilas, os sólidos</w:t>
      </w:r>
      <w:r w:rsidR="00B0561B" w:rsidRPr="00582636">
        <w:rPr>
          <w:lang w:val="pt-BR"/>
        </w:rPr>
        <w:t xml:space="preserve"> foram </w:t>
      </w:r>
      <w:r w:rsidR="00BA2119" w:rsidRPr="00582636">
        <w:rPr>
          <w:lang w:val="pt-BR"/>
        </w:rPr>
        <w:t>classificados</w:t>
      </w:r>
      <w:r w:rsidR="008D0CDF" w:rsidRPr="00582636">
        <w:rPr>
          <w:lang w:val="pt-BR"/>
        </w:rPr>
        <w:t xml:space="preserve"> </w:t>
      </w:r>
      <w:r w:rsidR="00473399" w:rsidRPr="00582636">
        <w:rPr>
          <w:lang w:val="pt-BR"/>
        </w:rPr>
        <w:t>em</w:t>
      </w:r>
      <w:r w:rsidR="008D0CDF" w:rsidRPr="00582636">
        <w:rPr>
          <w:lang w:val="pt-BR"/>
        </w:rPr>
        <w:t xml:space="preserve"> G</w:t>
      </w:r>
      <w:r w:rsidR="00D91E4F" w:rsidRPr="00582636">
        <w:rPr>
          <w:lang w:val="pt-BR"/>
        </w:rPr>
        <w:t xml:space="preserve">rupo </w:t>
      </w:r>
      <w:proofErr w:type="gramStart"/>
      <w:r w:rsidR="00D91E4F" w:rsidRPr="00582636">
        <w:rPr>
          <w:lang w:val="pt-BR"/>
        </w:rPr>
        <w:t>1</w:t>
      </w:r>
      <w:proofErr w:type="gramEnd"/>
      <w:r w:rsidR="000B2EFD" w:rsidRPr="00582636">
        <w:rPr>
          <w:lang w:val="pt-BR"/>
        </w:rPr>
        <w:t xml:space="preserve"> e Grupo 2, </w:t>
      </w:r>
      <w:r w:rsidR="006B06F3">
        <w:rPr>
          <w:lang w:val="pt-BR"/>
        </w:rPr>
        <w:t xml:space="preserve">em que </w:t>
      </w:r>
      <w:r w:rsidR="00582636">
        <w:rPr>
          <w:lang w:val="pt-BR"/>
        </w:rPr>
        <w:t>o primeiro</w:t>
      </w:r>
      <w:r w:rsidR="000B2EFD" w:rsidRPr="00582636">
        <w:rPr>
          <w:lang w:val="pt-BR"/>
        </w:rPr>
        <w:t xml:space="preserve"> representa </w:t>
      </w:r>
      <w:r w:rsidR="00473399" w:rsidRPr="00582636">
        <w:rPr>
          <w:lang w:val="pt-BR"/>
        </w:rPr>
        <w:t>as</w:t>
      </w:r>
      <w:r w:rsidR="00A740E4" w:rsidRPr="00582636">
        <w:rPr>
          <w:lang w:val="pt-BR"/>
        </w:rPr>
        <w:t xml:space="preserve"> argilas</w:t>
      </w:r>
      <w:r w:rsidR="00473399" w:rsidRPr="00582636">
        <w:rPr>
          <w:lang w:val="pt-BR"/>
        </w:rPr>
        <w:t xml:space="preserve"> </w:t>
      </w:r>
      <w:r w:rsidR="00D91E4F" w:rsidRPr="00582636">
        <w:rPr>
          <w:lang w:val="pt-BR"/>
        </w:rPr>
        <w:t>submetidas ao tratamento</w:t>
      </w:r>
      <w:r w:rsidR="008D0CDF" w:rsidRPr="00582636">
        <w:rPr>
          <w:lang w:val="pt-BR"/>
        </w:rPr>
        <w:t xml:space="preserve"> a 25 °C</w:t>
      </w:r>
      <w:r w:rsidR="00473399" w:rsidRPr="00582636">
        <w:rPr>
          <w:lang w:val="pt-BR"/>
        </w:rPr>
        <w:t xml:space="preserve">, </w:t>
      </w:r>
      <w:r w:rsidR="00D91E4F" w:rsidRPr="00582636">
        <w:rPr>
          <w:lang w:val="pt-BR"/>
        </w:rPr>
        <w:t xml:space="preserve">e </w:t>
      </w:r>
      <w:r w:rsidR="00582636">
        <w:rPr>
          <w:lang w:val="pt-BR"/>
        </w:rPr>
        <w:t xml:space="preserve">o segundo </w:t>
      </w:r>
      <w:r w:rsidR="00A2701D">
        <w:rPr>
          <w:lang w:val="pt-BR"/>
        </w:rPr>
        <w:t>a</w:t>
      </w:r>
      <w:r w:rsidR="00D91E4F" w:rsidRPr="00582636">
        <w:rPr>
          <w:lang w:val="pt-BR"/>
        </w:rPr>
        <w:t xml:space="preserve"> </w:t>
      </w:r>
      <w:r w:rsidR="00E56741" w:rsidRPr="00582636">
        <w:rPr>
          <w:lang w:val="pt-BR"/>
        </w:rPr>
        <w:t>50 °C</w:t>
      </w:r>
      <w:r w:rsidR="00582636" w:rsidRPr="00582636">
        <w:rPr>
          <w:lang w:val="pt-BR"/>
        </w:rPr>
        <w:t xml:space="preserve">. </w:t>
      </w:r>
      <w:r w:rsidR="007A3E3F" w:rsidRPr="00582636">
        <w:rPr>
          <w:lang w:val="pt-BR"/>
        </w:rPr>
        <w:t>O n</w:t>
      </w:r>
      <w:r w:rsidR="00A166B6" w:rsidRPr="00582636">
        <w:rPr>
          <w:lang w:val="pt-BR"/>
        </w:rPr>
        <w:t>ú</w:t>
      </w:r>
      <w:r w:rsidR="007A3E3F" w:rsidRPr="00582636">
        <w:rPr>
          <w:lang w:val="pt-BR"/>
        </w:rPr>
        <w:t xml:space="preserve">mero do </w:t>
      </w:r>
      <w:r w:rsidR="004E3C85" w:rsidRPr="00582636">
        <w:rPr>
          <w:lang w:val="pt-BR"/>
        </w:rPr>
        <w:t>G</w:t>
      </w:r>
      <w:r w:rsidR="007A3E3F" w:rsidRPr="00582636">
        <w:rPr>
          <w:lang w:val="pt-BR"/>
        </w:rPr>
        <w:t>rupo é</w:t>
      </w:r>
      <w:r w:rsidR="001E348C" w:rsidRPr="00582636">
        <w:rPr>
          <w:lang w:val="pt-BR"/>
        </w:rPr>
        <w:t xml:space="preserve"> </w:t>
      </w:r>
      <w:r w:rsidR="001E348C" w:rsidRPr="00FB6AD5">
        <w:rPr>
          <w:lang w:val="pt-BR"/>
        </w:rPr>
        <w:t>indicado</w:t>
      </w:r>
      <w:r w:rsidR="00A754F8" w:rsidRPr="00FB6AD5">
        <w:rPr>
          <w:lang w:val="pt-BR"/>
        </w:rPr>
        <w:t xml:space="preserve"> </w:t>
      </w:r>
      <w:r w:rsidR="00B30B8D" w:rsidRPr="00FB6AD5">
        <w:rPr>
          <w:lang w:val="pt-BR"/>
        </w:rPr>
        <w:t>anteriormente à</w:t>
      </w:r>
      <w:r w:rsidR="004E3C85" w:rsidRPr="00FB6AD5">
        <w:rPr>
          <w:lang w:val="pt-BR"/>
        </w:rPr>
        <w:t xml:space="preserve"> </w:t>
      </w:r>
      <w:r w:rsidR="004E3C85" w:rsidRPr="00582636">
        <w:rPr>
          <w:lang w:val="pt-BR"/>
        </w:rPr>
        <w:t xml:space="preserve">sigla </w:t>
      </w:r>
      <w:r w:rsidR="001E348C" w:rsidRPr="00582636">
        <w:rPr>
          <w:lang w:val="pt-BR"/>
        </w:rPr>
        <w:t xml:space="preserve">K10 e o número que segue </w:t>
      </w:r>
      <w:r w:rsidR="009226C3" w:rsidRPr="00582636">
        <w:rPr>
          <w:lang w:val="pt-BR"/>
        </w:rPr>
        <w:t xml:space="preserve">indica a concentração da solução de </w:t>
      </w:r>
      <w:proofErr w:type="spellStart"/>
      <w:proofErr w:type="gramStart"/>
      <w:r w:rsidR="009226C3" w:rsidRPr="00582636">
        <w:rPr>
          <w:lang w:val="pt-BR"/>
        </w:rPr>
        <w:t>HCl</w:t>
      </w:r>
      <w:proofErr w:type="spellEnd"/>
      <w:proofErr w:type="gramEnd"/>
      <w:r w:rsidR="00F54897">
        <w:rPr>
          <w:lang w:val="pt-BR"/>
        </w:rPr>
        <w:t>.</w:t>
      </w:r>
      <w:r w:rsidR="009226C3" w:rsidRPr="00582636">
        <w:rPr>
          <w:lang w:val="pt-BR"/>
        </w:rPr>
        <w:t xml:space="preserve"> </w:t>
      </w:r>
    </w:p>
    <w:p w:rsidR="00B716AB" w:rsidRPr="00B716AB" w:rsidRDefault="002E61A7" w:rsidP="00582636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Caracterização das argilas acidificadas.</w:t>
      </w:r>
    </w:p>
    <w:p w:rsidR="00B716AB" w:rsidRPr="007A3E3F" w:rsidRDefault="00B716AB" w:rsidP="00EA4E1B">
      <w:pPr>
        <w:pStyle w:val="TAMainText"/>
        <w:rPr>
          <w:rFonts w:ascii="Times New Roman" w:hAnsi="Times New Roman"/>
          <w:color w:val="FF0000"/>
          <w:lang w:val="pt-BR"/>
        </w:rPr>
      </w:pPr>
      <w:r>
        <w:rPr>
          <w:rFonts w:ascii="Times New Roman" w:hAnsi="Times New Roman"/>
          <w:lang w:val="pt-BR"/>
        </w:rPr>
        <w:t xml:space="preserve">As argilas </w:t>
      </w:r>
      <w:r w:rsidR="006E4CF0">
        <w:rPr>
          <w:rFonts w:ascii="Times New Roman" w:hAnsi="Times New Roman"/>
          <w:lang w:val="pt-BR"/>
        </w:rPr>
        <w:t xml:space="preserve">foram caracterizadas </w:t>
      </w:r>
      <w:r w:rsidR="00524F19">
        <w:rPr>
          <w:rFonts w:ascii="Times New Roman" w:hAnsi="Times New Roman"/>
          <w:lang w:val="pt-BR"/>
        </w:rPr>
        <w:t xml:space="preserve">por </w:t>
      </w:r>
      <w:r>
        <w:rPr>
          <w:rFonts w:ascii="Times New Roman" w:hAnsi="Times New Roman"/>
          <w:lang w:val="pt-BR"/>
        </w:rPr>
        <w:t xml:space="preserve">difração de raios X (DRX), </w:t>
      </w:r>
      <w:proofErr w:type="spellStart"/>
      <w:r>
        <w:rPr>
          <w:rFonts w:ascii="Times New Roman" w:hAnsi="Times New Roman"/>
          <w:lang w:val="pt-BR"/>
        </w:rPr>
        <w:t>dessorção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="00280FF6">
        <w:rPr>
          <w:rFonts w:ascii="Times New Roman" w:hAnsi="Times New Roman"/>
          <w:lang w:val="pt-BR"/>
        </w:rPr>
        <w:t xml:space="preserve">de amônia </w:t>
      </w:r>
      <w:r>
        <w:rPr>
          <w:rFonts w:ascii="Times New Roman" w:hAnsi="Times New Roman"/>
          <w:lang w:val="pt-BR"/>
        </w:rPr>
        <w:t>à temperatura programada (</w:t>
      </w:r>
      <w:r w:rsidR="0080490C">
        <w:rPr>
          <w:rFonts w:ascii="Times New Roman" w:hAnsi="Times New Roman"/>
          <w:lang w:val="pt-BR"/>
        </w:rPr>
        <w:t>NH</w:t>
      </w:r>
      <w:r w:rsidR="0080490C" w:rsidRPr="00574C50">
        <w:rPr>
          <w:rFonts w:ascii="Times New Roman" w:hAnsi="Times New Roman"/>
          <w:vertAlign w:val="subscript"/>
          <w:lang w:val="pt-BR"/>
        </w:rPr>
        <w:t>3</w:t>
      </w:r>
      <w:r w:rsidR="0080490C" w:rsidRPr="00F75A19">
        <w:rPr>
          <w:rFonts w:ascii="Times New Roman" w:hAnsi="Times New Roman"/>
          <w:lang w:val="pt-BR"/>
        </w:rPr>
        <w:t>-</w:t>
      </w:r>
      <w:r w:rsidR="00BB6567">
        <w:rPr>
          <w:rFonts w:ascii="Times New Roman" w:hAnsi="Times New Roman"/>
          <w:lang w:val="pt-BR"/>
        </w:rPr>
        <w:t>TPD</w:t>
      </w:r>
      <w:r>
        <w:rPr>
          <w:rFonts w:ascii="Times New Roman" w:hAnsi="Times New Roman"/>
          <w:lang w:val="pt-BR"/>
        </w:rPr>
        <w:t xml:space="preserve">) e análise </w:t>
      </w:r>
      <w:proofErr w:type="spellStart"/>
      <w:r w:rsidRPr="00437DDF">
        <w:rPr>
          <w:lang w:val="pt-BR"/>
        </w:rPr>
        <w:t>textural</w:t>
      </w:r>
      <w:proofErr w:type="spellEnd"/>
      <w:r>
        <w:rPr>
          <w:rFonts w:ascii="Times New Roman" w:hAnsi="Times New Roman"/>
          <w:lang w:val="pt-BR"/>
        </w:rPr>
        <w:t xml:space="preserve"> por adsorção de nitrogênio. </w:t>
      </w:r>
    </w:p>
    <w:p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Resultados e Discussão</w:t>
      </w:r>
    </w:p>
    <w:p w:rsidR="00B423D3" w:rsidRPr="0030546C" w:rsidRDefault="00134371" w:rsidP="0030546C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Caracterização das argilas acidificadas.</w:t>
      </w:r>
    </w:p>
    <w:p w:rsidR="00464BDF" w:rsidRDefault="00464BDF" w:rsidP="00A2701D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</w:t>
      </w:r>
      <w:r w:rsidR="006B7A7C">
        <w:rPr>
          <w:rFonts w:ascii="Times New Roman" w:hAnsi="Times New Roman"/>
          <w:lang w:val="pt-BR"/>
        </w:rPr>
        <w:t>perfis de DRX</w:t>
      </w:r>
      <w:r>
        <w:rPr>
          <w:rFonts w:ascii="Times New Roman" w:hAnsi="Times New Roman"/>
          <w:lang w:val="pt-BR"/>
        </w:rPr>
        <w:t xml:space="preserve"> </w:t>
      </w:r>
      <w:r w:rsidR="00253ACC">
        <w:rPr>
          <w:rFonts w:ascii="Times New Roman" w:hAnsi="Times New Roman"/>
          <w:lang w:val="pt-BR"/>
        </w:rPr>
        <w:t>d</w:t>
      </w:r>
      <w:r>
        <w:rPr>
          <w:rFonts w:ascii="Times New Roman" w:hAnsi="Times New Roman"/>
          <w:lang w:val="pt-BR"/>
        </w:rPr>
        <w:t>as argilas acidificadas mostraram</w:t>
      </w:r>
      <w:r w:rsidR="003822A0">
        <w:rPr>
          <w:rFonts w:ascii="Times New Roman" w:hAnsi="Times New Roman"/>
          <w:lang w:val="pt-BR"/>
        </w:rPr>
        <w:t xml:space="preserve"> perfis </w:t>
      </w:r>
      <w:r w:rsidR="00D84765">
        <w:rPr>
          <w:rFonts w:ascii="Times New Roman" w:hAnsi="Times New Roman"/>
          <w:lang w:val="pt-BR"/>
        </w:rPr>
        <w:t xml:space="preserve">típicos </w:t>
      </w:r>
      <w:r w:rsidR="005211B9">
        <w:rPr>
          <w:rFonts w:ascii="Times New Roman" w:hAnsi="Times New Roman"/>
          <w:lang w:val="pt-BR"/>
        </w:rPr>
        <w:t>da</w:t>
      </w:r>
      <w:r w:rsidR="006A3BD4">
        <w:rPr>
          <w:rFonts w:ascii="Times New Roman" w:hAnsi="Times New Roman"/>
          <w:lang w:val="pt-BR"/>
        </w:rPr>
        <w:t xml:space="preserve"> K10</w:t>
      </w:r>
      <w:r w:rsidR="00605E4C">
        <w:rPr>
          <w:rFonts w:ascii="Times New Roman" w:hAnsi="Times New Roman"/>
          <w:lang w:val="pt-BR"/>
        </w:rPr>
        <w:t>.</w:t>
      </w:r>
      <w:r w:rsidR="006A3BD4">
        <w:rPr>
          <w:rFonts w:ascii="Times New Roman" w:hAnsi="Times New Roman"/>
          <w:lang w:val="pt-BR"/>
        </w:rPr>
        <w:t xml:space="preserve"> </w:t>
      </w:r>
      <w:r w:rsidR="00605E4C">
        <w:rPr>
          <w:rFonts w:ascii="Times New Roman" w:hAnsi="Times New Roman"/>
          <w:lang w:val="pt-BR"/>
        </w:rPr>
        <w:t xml:space="preserve">Esses resultados </w:t>
      </w:r>
      <w:r w:rsidR="0030546C">
        <w:rPr>
          <w:rFonts w:ascii="Times New Roman" w:hAnsi="Times New Roman"/>
          <w:lang w:val="pt-BR"/>
        </w:rPr>
        <w:t>indicam que o tratamento não alter</w:t>
      </w:r>
      <w:r w:rsidR="002C3144">
        <w:rPr>
          <w:rFonts w:ascii="Times New Roman" w:hAnsi="Times New Roman"/>
          <w:lang w:val="pt-BR"/>
        </w:rPr>
        <w:t>ou</w:t>
      </w:r>
      <w:r w:rsidR="0030546C">
        <w:rPr>
          <w:rFonts w:ascii="Times New Roman" w:hAnsi="Times New Roman"/>
          <w:lang w:val="pt-BR"/>
        </w:rPr>
        <w:t xml:space="preserve"> a estrutura cristalina </w:t>
      </w:r>
      <w:r w:rsidR="003C7C2F">
        <w:rPr>
          <w:rFonts w:ascii="Times New Roman" w:hAnsi="Times New Roman"/>
          <w:lang w:val="pt-BR"/>
        </w:rPr>
        <w:t>da</w:t>
      </w:r>
      <w:r w:rsidR="002C3144">
        <w:rPr>
          <w:rFonts w:ascii="Times New Roman" w:hAnsi="Times New Roman"/>
          <w:lang w:val="pt-BR"/>
        </w:rPr>
        <w:t>s</w:t>
      </w:r>
      <w:r w:rsidR="0030546C">
        <w:rPr>
          <w:rFonts w:ascii="Times New Roman" w:hAnsi="Times New Roman"/>
          <w:lang w:val="pt-BR"/>
        </w:rPr>
        <w:t xml:space="preserve"> argila</w:t>
      </w:r>
      <w:r w:rsidR="002C3144">
        <w:rPr>
          <w:rFonts w:ascii="Times New Roman" w:hAnsi="Times New Roman"/>
          <w:lang w:val="pt-BR"/>
        </w:rPr>
        <w:t>s</w:t>
      </w:r>
      <w:r w:rsidR="003C7C2F">
        <w:rPr>
          <w:rFonts w:ascii="Times New Roman" w:hAnsi="Times New Roman"/>
          <w:lang w:val="pt-BR"/>
        </w:rPr>
        <w:t>.</w:t>
      </w:r>
      <w:r w:rsidR="00221B86">
        <w:rPr>
          <w:rFonts w:ascii="Times New Roman" w:hAnsi="Times New Roman"/>
          <w:lang w:val="pt-BR"/>
        </w:rPr>
        <w:t xml:space="preserve"> </w:t>
      </w:r>
    </w:p>
    <w:p w:rsidR="00DC45A4" w:rsidRDefault="00CF336D" w:rsidP="00464BDF">
      <w:pPr>
        <w:pStyle w:val="TAMainText"/>
        <w:spacing w:after="24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</w:t>
      </w:r>
      <w:r w:rsidRPr="0040717E">
        <w:rPr>
          <w:rFonts w:ascii="Times New Roman" w:hAnsi="Times New Roman"/>
          <w:lang w:val="pt-BR"/>
        </w:rPr>
        <w:t>Tabela 1</w:t>
      </w:r>
      <w:r>
        <w:rPr>
          <w:rFonts w:ascii="Times New Roman" w:hAnsi="Times New Roman"/>
          <w:lang w:val="pt-BR"/>
        </w:rPr>
        <w:t xml:space="preserve"> mostra o</w:t>
      </w:r>
      <w:r w:rsidR="00134371">
        <w:rPr>
          <w:rFonts w:ascii="Times New Roman" w:hAnsi="Times New Roman"/>
          <w:lang w:val="pt-BR"/>
        </w:rPr>
        <w:t xml:space="preserve">s valores </w:t>
      </w:r>
      <w:r>
        <w:rPr>
          <w:rFonts w:ascii="Times New Roman" w:hAnsi="Times New Roman"/>
          <w:lang w:val="pt-BR"/>
        </w:rPr>
        <w:t>da</w:t>
      </w:r>
      <w:r w:rsidR="00134371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análise </w:t>
      </w:r>
      <w:proofErr w:type="spellStart"/>
      <w:r w:rsidRPr="00437DDF">
        <w:rPr>
          <w:lang w:val="pt-BR"/>
        </w:rPr>
        <w:t>textural</w:t>
      </w:r>
      <w:proofErr w:type="spellEnd"/>
      <w:r>
        <w:rPr>
          <w:rFonts w:ascii="Times New Roman" w:hAnsi="Times New Roman"/>
          <w:lang w:val="pt-BR"/>
        </w:rPr>
        <w:t xml:space="preserve"> por adsorção de N</w:t>
      </w:r>
      <w:r w:rsidRPr="00CF336D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</w:t>
      </w:r>
      <w:r w:rsidR="0040717E">
        <w:rPr>
          <w:rFonts w:ascii="Times New Roman" w:hAnsi="Times New Roman"/>
          <w:lang w:val="pt-BR"/>
        </w:rPr>
        <w:t xml:space="preserve">do Grupo </w:t>
      </w:r>
      <w:proofErr w:type="gramStart"/>
      <w:r w:rsidR="0040717E">
        <w:rPr>
          <w:rFonts w:ascii="Times New Roman" w:hAnsi="Times New Roman"/>
          <w:lang w:val="pt-BR"/>
        </w:rPr>
        <w:t>1</w:t>
      </w:r>
      <w:proofErr w:type="gramEnd"/>
      <w:r w:rsidR="00271D29" w:rsidRPr="0040717E">
        <w:rPr>
          <w:rFonts w:ascii="Times New Roman" w:hAnsi="Times New Roman"/>
          <w:lang w:val="pt-BR"/>
        </w:rPr>
        <w:t>.</w:t>
      </w:r>
      <w:r w:rsidR="00115549">
        <w:rPr>
          <w:rFonts w:ascii="Times New Roman" w:hAnsi="Times New Roman"/>
          <w:lang w:val="pt-BR"/>
        </w:rPr>
        <w:t xml:space="preserve"> </w:t>
      </w:r>
      <w:r w:rsidR="008519F6">
        <w:rPr>
          <w:rFonts w:ascii="Times New Roman" w:hAnsi="Times New Roman"/>
          <w:lang w:val="pt-BR"/>
        </w:rPr>
        <w:t>Foi observado u</w:t>
      </w:r>
      <w:r>
        <w:rPr>
          <w:rFonts w:ascii="Times New Roman" w:hAnsi="Times New Roman"/>
          <w:lang w:val="pt-BR"/>
        </w:rPr>
        <w:t xml:space="preserve">m aumento no volume de microporos </w:t>
      </w:r>
      <w:r w:rsidR="008519F6">
        <w:rPr>
          <w:rFonts w:ascii="Times New Roman" w:hAnsi="Times New Roman"/>
          <w:lang w:val="pt-BR"/>
        </w:rPr>
        <w:t>em</w:t>
      </w:r>
      <w:r w:rsidR="00D2288D">
        <w:rPr>
          <w:rFonts w:ascii="Times New Roman" w:hAnsi="Times New Roman"/>
          <w:lang w:val="pt-BR"/>
        </w:rPr>
        <w:t xml:space="preserve"> t</w:t>
      </w:r>
      <w:r w:rsidR="00115549">
        <w:rPr>
          <w:rFonts w:ascii="Times New Roman" w:hAnsi="Times New Roman"/>
          <w:lang w:val="pt-BR"/>
        </w:rPr>
        <w:t>odas as argilas</w:t>
      </w:r>
      <w:r w:rsidR="00D2288D">
        <w:rPr>
          <w:rFonts w:ascii="Times New Roman" w:hAnsi="Times New Roman"/>
          <w:lang w:val="pt-BR"/>
        </w:rPr>
        <w:t xml:space="preserve"> e a</w:t>
      </w:r>
      <w:r w:rsidR="00966BF0">
        <w:rPr>
          <w:rFonts w:ascii="Times New Roman" w:hAnsi="Times New Roman"/>
          <w:lang w:val="pt-BR"/>
        </w:rPr>
        <w:t xml:space="preserve">penas a </w:t>
      </w:r>
      <w:r w:rsidR="007F260E">
        <w:rPr>
          <w:rFonts w:ascii="Times New Roman" w:hAnsi="Times New Roman"/>
          <w:lang w:val="pt-BR"/>
        </w:rPr>
        <w:t>1</w:t>
      </w:r>
      <w:r w:rsidR="00354114">
        <w:rPr>
          <w:rFonts w:ascii="Times New Roman" w:hAnsi="Times New Roman"/>
          <w:lang w:val="pt-BR"/>
        </w:rPr>
        <w:t xml:space="preserve">K102 apresentou </w:t>
      </w:r>
      <w:r w:rsidR="00EF6049">
        <w:rPr>
          <w:rFonts w:ascii="Times New Roman" w:hAnsi="Times New Roman"/>
          <w:lang w:val="pt-BR"/>
        </w:rPr>
        <w:t xml:space="preserve">um aumento </w:t>
      </w:r>
      <w:r w:rsidR="0012383D">
        <w:rPr>
          <w:rFonts w:ascii="Times New Roman" w:hAnsi="Times New Roman"/>
          <w:lang w:val="pt-BR"/>
        </w:rPr>
        <w:t>d</w:t>
      </w:r>
      <w:r w:rsidR="00EF6049">
        <w:rPr>
          <w:rFonts w:ascii="Times New Roman" w:hAnsi="Times New Roman"/>
          <w:lang w:val="pt-BR"/>
        </w:rPr>
        <w:t>a área</w:t>
      </w:r>
      <w:r w:rsidR="00A47EC1">
        <w:rPr>
          <w:rFonts w:ascii="Times New Roman" w:hAnsi="Times New Roman"/>
          <w:lang w:val="pt-BR"/>
        </w:rPr>
        <w:t xml:space="preserve"> superficial específica</w:t>
      </w:r>
      <w:r w:rsidR="007C2204">
        <w:rPr>
          <w:rFonts w:ascii="Times New Roman" w:hAnsi="Times New Roman"/>
          <w:lang w:val="pt-BR"/>
        </w:rPr>
        <w:t>,</w:t>
      </w:r>
      <w:r w:rsidR="00A47EC1">
        <w:rPr>
          <w:rFonts w:ascii="Times New Roman" w:hAnsi="Times New Roman"/>
          <w:lang w:val="pt-BR"/>
        </w:rPr>
        <w:t xml:space="preserve"> quando comparada à K10.</w:t>
      </w:r>
      <w:r w:rsidR="00EF6049">
        <w:rPr>
          <w:rFonts w:ascii="Times New Roman" w:hAnsi="Times New Roman"/>
          <w:lang w:val="pt-BR"/>
        </w:rPr>
        <w:t xml:space="preserve"> </w:t>
      </w:r>
      <w:r w:rsidR="00FD4815">
        <w:rPr>
          <w:rFonts w:ascii="Times New Roman" w:hAnsi="Times New Roman"/>
          <w:lang w:val="pt-BR"/>
        </w:rPr>
        <w:t>O</w:t>
      </w:r>
      <w:r w:rsidR="00EF6049">
        <w:rPr>
          <w:rFonts w:ascii="Times New Roman" w:hAnsi="Times New Roman"/>
          <w:lang w:val="pt-BR"/>
        </w:rPr>
        <w:t xml:space="preserve">s demais </w:t>
      </w:r>
      <w:r w:rsidR="00A47EC1">
        <w:rPr>
          <w:rFonts w:ascii="Times New Roman" w:hAnsi="Times New Roman"/>
          <w:lang w:val="pt-BR"/>
        </w:rPr>
        <w:t xml:space="preserve">valores </w:t>
      </w:r>
      <w:r w:rsidR="0069743E">
        <w:rPr>
          <w:rFonts w:ascii="Times New Roman" w:hAnsi="Times New Roman"/>
          <w:lang w:val="pt-BR"/>
        </w:rPr>
        <w:t>estão dentro d</w:t>
      </w:r>
      <w:r w:rsidR="00574C50">
        <w:rPr>
          <w:rFonts w:ascii="Times New Roman" w:hAnsi="Times New Roman"/>
          <w:lang w:val="pt-BR"/>
        </w:rPr>
        <w:t xml:space="preserve">a </w:t>
      </w:r>
      <w:r w:rsidR="00EF6049">
        <w:rPr>
          <w:rFonts w:ascii="Times New Roman" w:hAnsi="Times New Roman"/>
          <w:lang w:val="pt-BR"/>
        </w:rPr>
        <w:t>margem d</w:t>
      </w:r>
      <w:r w:rsidR="00352823">
        <w:rPr>
          <w:rFonts w:ascii="Times New Roman" w:hAnsi="Times New Roman"/>
          <w:lang w:val="pt-BR"/>
        </w:rPr>
        <w:t>o</w:t>
      </w:r>
      <w:r w:rsidR="00EF6049">
        <w:rPr>
          <w:rFonts w:ascii="Times New Roman" w:hAnsi="Times New Roman"/>
          <w:lang w:val="pt-BR"/>
        </w:rPr>
        <w:t xml:space="preserve"> erro </w:t>
      </w:r>
      <w:r w:rsidR="00352823">
        <w:rPr>
          <w:rFonts w:ascii="Times New Roman" w:hAnsi="Times New Roman"/>
          <w:lang w:val="pt-BR"/>
        </w:rPr>
        <w:t>experimental</w:t>
      </w:r>
      <w:r w:rsidR="0012383D">
        <w:rPr>
          <w:rFonts w:ascii="Times New Roman" w:hAnsi="Times New Roman"/>
          <w:lang w:val="pt-BR"/>
        </w:rPr>
        <w:t xml:space="preserve"> (10%)</w:t>
      </w:r>
      <w:r w:rsidR="00EF6049">
        <w:rPr>
          <w:rFonts w:ascii="Times New Roman" w:hAnsi="Times New Roman"/>
          <w:lang w:val="pt-BR"/>
        </w:rPr>
        <w:t>.</w:t>
      </w:r>
      <w:r w:rsidR="007F260E">
        <w:rPr>
          <w:rFonts w:ascii="Times New Roman" w:hAnsi="Times New Roman"/>
          <w:lang w:val="pt-BR"/>
        </w:rPr>
        <w:t xml:space="preserve"> </w:t>
      </w:r>
      <w:r w:rsidR="00E67241">
        <w:rPr>
          <w:rFonts w:ascii="Times New Roman" w:hAnsi="Times New Roman"/>
          <w:lang w:val="pt-BR"/>
        </w:rPr>
        <w:t xml:space="preserve">A </w:t>
      </w:r>
      <w:r w:rsidR="00D2288D">
        <w:rPr>
          <w:rFonts w:ascii="Times New Roman" w:hAnsi="Times New Roman"/>
          <w:lang w:val="pt-BR"/>
        </w:rPr>
        <w:t xml:space="preserve">análise </w:t>
      </w:r>
      <w:proofErr w:type="spellStart"/>
      <w:r w:rsidR="00E67241">
        <w:rPr>
          <w:rFonts w:ascii="Times New Roman" w:hAnsi="Times New Roman"/>
          <w:lang w:val="pt-BR"/>
        </w:rPr>
        <w:t>textural</w:t>
      </w:r>
      <w:proofErr w:type="spellEnd"/>
      <w:r w:rsidR="00E67241">
        <w:rPr>
          <w:rFonts w:ascii="Times New Roman" w:hAnsi="Times New Roman"/>
          <w:lang w:val="pt-BR"/>
        </w:rPr>
        <w:t xml:space="preserve"> do Grupo </w:t>
      </w:r>
      <w:proofErr w:type="gramStart"/>
      <w:r w:rsidR="00E67241">
        <w:rPr>
          <w:rFonts w:ascii="Times New Roman" w:hAnsi="Times New Roman"/>
          <w:lang w:val="pt-BR"/>
        </w:rPr>
        <w:t>2</w:t>
      </w:r>
      <w:proofErr w:type="gramEnd"/>
      <w:r w:rsidR="00E67241">
        <w:rPr>
          <w:rFonts w:ascii="Times New Roman" w:hAnsi="Times New Roman"/>
          <w:lang w:val="pt-BR"/>
        </w:rPr>
        <w:t xml:space="preserve"> </w:t>
      </w:r>
      <w:r w:rsidR="00ED2D49">
        <w:rPr>
          <w:rFonts w:ascii="Times New Roman" w:hAnsi="Times New Roman"/>
          <w:lang w:val="pt-BR"/>
        </w:rPr>
        <w:t xml:space="preserve">ainda </w:t>
      </w:r>
      <w:r w:rsidR="00E67241">
        <w:rPr>
          <w:rFonts w:ascii="Times New Roman" w:hAnsi="Times New Roman"/>
          <w:lang w:val="pt-BR"/>
        </w:rPr>
        <w:t>está em andamento</w:t>
      </w:r>
      <w:r w:rsidR="009D02FC">
        <w:rPr>
          <w:rFonts w:ascii="Times New Roman" w:hAnsi="Times New Roman"/>
          <w:lang w:val="pt-BR"/>
        </w:rPr>
        <w:t>.</w:t>
      </w:r>
    </w:p>
    <w:p w:rsidR="00EF6049" w:rsidRPr="00BA52BF" w:rsidRDefault="00EF6049" w:rsidP="00EF6049">
      <w:pPr>
        <w:pStyle w:val="VDTableTitle"/>
        <w:spacing w:after="120"/>
        <w:jc w:val="both"/>
        <w:rPr>
          <w:lang w:val="pt-BR"/>
        </w:rPr>
      </w:pPr>
      <w:r w:rsidRPr="00E34527">
        <w:rPr>
          <w:b/>
          <w:bCs/>
          <w:lang w:val="pt-BR"/>
        </w:rPr>
        <w:t>Tabela 1.</w:t>
      </w:r>
      <w:r w:rsidRPr="00E34527">
        <w:rPr>
          <w:lang w:val="pt-BR"/>
        </w:rPr>
        <w:t xml:space="preserve"> </w:t>
      </w:r>
      <w:r>
        <w:rPr>
          <w:lang w:val="pt-BR"/>
        </w:rPr>
        <w:t xml:space="preserve">Avaliação </w:t>
      </w:r>
      <w:proofErr w:type="spellStart"/>
      <w:r>
        <w:rPr>
          <w:lang w:val="pt-BR"/>
        </w:rPr>
        <w:t>textural</w:t>
      </w:r>
      <w:proofErr w:type="spellEnd"/>
      <w:r>
        <w:rPr>
          <w:lang w:val="pt-BR"/>
        </w:rPr>
        <w:t xml:space="preserve"> das argilas por adsorção de N</w:t>
      </w:r>
      <w:r w:rsidRPr="00EF6DD4">
        <w:rPr>
          <w:vertAlign w:val="subscript"/>
          <w:lang w:val="pt-BR"/>
        </w:rPr>
        <w:t>2</w:t>
      </w:r>
      <w:r w:rsidRPr="00E34527">
        <w:rPr>
          <w:lang w:val="pt-BR"/>
        </w:rPr>
        <w:t>.</w:t>
      </w:r>
      <w:r>
        <w:rPr>
          <w:lang w:val="pt-BR"/>
        </w:rPr>
        <w:t xml:space="preserve"> </w:t>
      </w:r>
    </w:p>
    <w:tbl>
      <w:tblPr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6"/>
        <w:gridCol w:w="605"/>
        <w:gridCol w:w="671"/>
        <w:gridCol w:w="708"/>
        <w:gridCol w:w="693"/>
        <w:gridCol w:w="725"/>
        <w:gridCol w:w="567"/>
      </w:tblGrid>
      <w:tr w:rsidR="0001252E" w:rsidRPr="00E32468" w:rsidTr="006A2D17">
        <w:tc>
          <w:tcPr>
            <w:tcW w:w="846" w:type="dxa"/>
            <w:vAlign w:val="center"/>
          </w:tcPr>
          <w:p w:rsidR="0001252E" w:rsidRPr="003E2EB4" w:rsidRDefault="0001252E" w:rsidP="0001252E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3E2EB4">
              <w:rPr>
                <w:rFonts w:ascii="Times New Roman" w:hAnsi="Times New Roman"/>
                <w:color w:val="000000" w:themeColor="text1"/>
                <w:szCs w:val="18"/>
              </w:rPr>
              <w:t>Argila</w:t>
            </w:r>
            <w:proofErr w:type="spellEnd"/>
          </w:p>
        </w:tc>
        <w:tc>
          <w:tcPr>
            <w:tcW w:w="605" w:type="dxa"/>
            <w:vAlign w:val="center"/>
          </w:tcPr>
          <w:p w:rsidR="0001252E" w:rsidRPr="003E2EB4" w:rsidRDefault="0001252E" w:rsidP="0001252E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3E2EB4">
              <w:rPr>
                <w:rFonts w:ascii="Times New Roman" w:hAnsi="Times New Roman"/>
                <w:color w:val="000000" w:themeColor="text1"/>
                <w:szCs w:val="18"/>
              </w:rPr>
              <w:t>S</w:t>
            </w:r>
            <w:r w:rsidRPr="003E2EB4">
              <w:rPr>
                <w:rFonts w:ascii="Times New Roman" w:hAnsi="Times New Roman"/>
                <w:color w:val="000000" w:themeColor="text1"/>
                <w:szCs w:val="18"/>
                <w:vertAlign w:val="subscript"/>
              </w:rPr>
              <w:t>BET</w:t>
            </w:r>
            <w:r w:rsidRPr="003E2EB4">
              <w:rPr>
                <w:rFonts w:ascii="Times New Roman" w:hAnsi="Times New Roman"/>
                <w:color w:val="000000" w:themeColor="text1"/>
                <w:szCs w:val="18"/>
              </w:rPr>
              <w:t xml:space="preserve"> (m²/g)</w:t>
            </w:r>
          </w:p>
        </w:tc>
        <w:tc>
          <w:tcPr>
            <w:tcW w:w="671" w:type="dxa"/>
            <w:vAlign w:val="center"/>
          </w:tcPr>
          <w:p w:rsidR="0001252E" w:rsidRPr="003E2EB4" w:rsidRDefault="0001252E" w:rsidP="0001252E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3E2EB4">
              <w:rPr>
                <w:rFonts w:ascii="Times New Roman" w:hAnsi="Times New Roman"/>
                <w:color w:val="000000" w:themeColor="text1"/>
                <w:szCs w:val="18"/>
              </w:rPr>
              <w:t>S</w:t>
            </w:r>
            <w:r w:rsidRPr="003E2EB4">
              <w:rPr>
                <w:rFonts w:ascii="Times New Roman" w:hAnsi="Times New Roman"/>
                <w:color w:val="000000" w:themeColor="text1"/>
                <w:szCs w:val="18"/>
                <w:vertAlign w:val="subscript"/>
              </w:rPr>
              <w:t>ext</w:t>
            </w:r>
            <w:proofErr w:type="spellEnd"/>
            <w:r w:rsidRPr="003E2EB4">
              <w:rPr>
                <w:rFonts w:ascii="Times New Roman" w:hAnsi="Times New Roman"/>
                <w:color w:val="000000" w:themeColor="text1"/>
                <w:szCs w:val="18"/>
              </w:rPr>
              <w:t xml:space="preserve"> (m²/g)</w:t>
            </w:r>
          </w:p>
        </w:tc>
        <w:tc>
          <w:tcPr>
            <w:tcW w:w="708" w:type="dxa"/>
            <w:vAlign w:val="center"/>
          </w:tcPr>
          <w:p w:rsidR="0001252E" w:rsidRPr="00466BD4" w:rsidRDefault="0001252E" w:rsidP="0001252E">
            <w:pPr>
              <w:pStyle w:val="TCTableBody"/>
              <w:spacing w:after="0"/>
              <w:rPr>
                <w:rFonts w:ascii="Times New Roman" w:hAnsi="Times New Roman"/>
                <w:szCs w:val="18"/>
              </w:rPr>
            </w:pPr>
            <w:proofErr w:type="spellStart"/>
            <w:r w:rsidRPr="00466BD4">
              <w:rPr>
                <w:rFonts w:ascii="Times New Roman" w:hAnsi="Times New Roman"/>
                <w:szCs w:val="18"/>
              </w:rPr>
              <w:t>V</w:t>
            </w:r>
            <w:r w:rsidRPr="00466BD4">
              <w:rPr>
                <w:rFonts w:ascii="Times New Roman" w:hAnsi="Times New Roman"/>
                <w:szCs w:val="18"/>
                <w:vertAlign w:val="subscript"/>
              </w:rPr>
              <w:t>m</w:t>
            </w:r>
            <w:r>
              <w:rPr>
                <w:rFonts w:ascii="Times New Roman" w:hAnsi="Times New Roman"/>
                <w:szCs w:val="18"/>
                <w:vertAlign w:val="subscript"/>
              </w:rPr>
              <w:t>eso</w:t>
            </w:r>
            <w:proofErr w:type="spellEnd"/>
            <w:r w:rsidRPr="00466BD4">
              <w:rPr>
                <w:rFonts w:ascii="Times New Roman" w:hAnsi="Times New Roman"/>
                <w:szCs w:val="18"/>
              </w:rPr>
              <w:t xml:space="preserve"> (cm³/g)</w:t>
            </w:r>
          </w:p>
        </w:tc>
        <w:tc>
          <w:tcPr>
            <w:tcW w:w="693" w:type="dxa"/>
            <w:vAlign w:val="center"/>
          </w:tcPr>
          <w:p w:rsidR="0001252E" w:rsidRPr="003E2EB4" w:rsidRDefault="0001252E" w:rsidP="0001252E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466BD4">
              <w:rPr>
                <w:rFonts w:ascii="Times New Roman" w:hAnsi="Times New Roman"/>
                <w:szCs w:val="18"/>
              </w:rPr>
              <w:t>V</w:t>
            </w:r>
            <w:r w:rsidRPr="00466BD4">
              <w:rPr>
                <w:rFonts w:ascii="Times New Roman" w:hAnsi="Times New Roman"/>
                <w:szCs w:val="18"/>
                <w:vertAlign w:val="subscript"/>
              </w:rPr>
              <w:t>micro</w:t>
            </w:r>
            <w:proofErr w:type="spellEnd"/>
            <w:r w:rsidRPr="00466BD4">
              <w:rPr>
                <w:rFonts w:ascii="Times New Roman" w:hAnsi="Times New Roman"/>
                <w:szCs w:val="18"/>
              </w:rPr>
              <w:t xml:space="preserve"> (cm³/g)</w:t>
            </w:r>
          </w:p>
        </w:tc>
        <w:tc>
          <w:tcPr>
            <w:tcW w:w="725" w:type="dxa"/>
          </w:tcPr>
          <w:p w:rsidR="0001252E" w:rsidRPr="003E2EB4" w:rsidRDefault="0001252E" w:rsidP="0001252E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3E2EB4">
              <w:rPr>
                <w:rFonts w:ascii="Times New Roman" w:hAnsi="Times New Roman"/>
                <w:color w:val="000000" w:themeColor="text1"/>
                <w:szCs w:val="18"/>
              </w:rPr>
              <w:t>V</w:t>
            </w:r>
            <w:r w:rsidRPr="003E2EB4">
              <w:rPr>
                <w:rFonts w:ascii="Times New Roman" w:hAnsi="Times New Roman"/>
                <w:color w:val="000000" w:themeColor="text1"/>
                <w:szCs w:val="18"/>
                <w:vertAlign w:val="subscript"/>
              </w:rPr>
              <w:t>total</w:t>
            </w:r>
            <w:proofErr w:type="spellEnd"/>
            <w:r w:rsidRPr="003E2EB4">
              <w:rPr>
                <w:rFonts w:ascii="Times New Roman" w:hAnsi="Times New Roman"/>
                <w:color w:val="000000" w:themeColor="text1"/>
                <w:szCs w:val="18"/>
              </w:rPr>
              <w:t xml:space="preserve"> (cm³/g)</w:t>
            </w:r>
          </w:p>
        </w:tc>
        <w:tc>
          <w:tcPr>
            <w:tcW w:w="567" w:type="dxa"/>
          </w:tcPr>
          <w:p w:rsidR="0001252E" w:rsidRDefault="0001252E" w:rsidP="0001252E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3E2EB4">
              <w:rPr>
                <w:rFonts w:ascii="Times New Roman" w:hAnsi="Times New Roman"/>
                <w:color w:val="000000" w:themeColor="text1"/>
                <w:szCs w:val="18"/>
              </w:rPr>
              <w:t>Dp</w:t>
            </w:r>
            <w:proofErr w:type="spellEnd"/>
            <w:r w:rsidRPr="003E2EB4">
              <w:rPr>
                <w:rFonts w:ascii="Times New Roman" w:hAnsi="Times New Roman"/>
                <w:color w:val="000000" w:themeColor="text1"/>
                <w:szCs w:val="18"/>
              </w:rPr>
              <w:t xml:space="preserve"> </w:t>
            </w:r>
          </w:p>
          <w:p w:rsidR="0001252E" w:rsidRPr="003E2EB4" w:rsidRDefault="0001252E" w:rsidP="0001252E">
            <w:pPr>
              <w:pStyle w:val="TCTableBody"/>
              <w:spacing w:after="0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3E2EB4">
              <w:rPr>
                <w:rFonts w:ascii="Times New Roman" w:hAnsi="Times New Roman"/>
                <w:color w:val="000000" w:themeColor="text1"/>
                <w:szCs w:val="18"/>
              </w:rPr>
              <w:t>(Å)</w:t>
            </w:r>
          </w:p>
        </w:tc>
      </w:tr>
      <w:tr w:rsidR="00D671E3" w:rsidRPr="00E32468" w:rsidTr="00AA1440">
        <w:tc>
          <w:tcPr>
            <w:tcW w:w="846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  <w:szCs w:val="18"/>
              </w:rPr>
              <w:t>K10</w:t>
            </w:r>
          </w:p>
        </w:tc>
        <w:tc>
          <w:tcPr>
            <w:tcW w:w="605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  <w:szCs w:val="18"/>
              </w:rPr>
              <w:t>231</w:t>
            </w:r>
          </w:p>
        </w:tc>
        <w:tc>
          <w:tcPr>
            <w:tcW w:w="671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  <w:szCs w:val="18"/>
              </w:rPr>
              <w:t>221</w:t>
            </w:r>
          </w:p>
        </w:tc>
        <w:tc>
          <w:tcPr>
            <w:tcW w:w="708" w:type="dxa"/>
          </w:tcPr>
          <w:p w:rsidR="00D671E3" w:rsidRPr="00466BD4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0,32</w:t>
            </w:r>
          </w:p>
        </w:tc>
        <w:tc>
          <w:tcPr>
            <w:tcW w:w="693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466BD4">
              <w:rPr>
                <w:rFonts w:ascii="Times New Roman" w:hAnsi="Times New Roman"/>
                <w:szCs w:val="18"/>
              </w:rPr>
              <w:t>0,0037</w:t>
            </w:r>
          </w:p>
        </w:tc>
        <w:tc>
          <w:tcPr>
            <w:tcW w:w="725" w:type="dxa"/>
            <w:vAlign w:val="center"/>
          </w:tcPr>
          <w:p w:rsidR="00D671E3" w:rsidRPr="00536C05" w:rsidRDefault="00D671E3" w:rsidP="00D671E3">
            <w:pPr>
              <w:pStyle w:val="TCTableBody"/>
              <w:rPr>
                <w:rFonts w:ascii="Times New Roman" w:hAnsi="Times New Roman"/>
                <w:color w:val="FF0000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0,33</w:t>
            </w:r>
          </w:p>
        </w:tc>
        <w:tc>
          <w:tcPr>
            <w:tcW w:w="567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  <w:szCs w:val="18"/>
              </w:rPr>
              <w:t>57,3</w:t>
            </w:r>
          </w:p>
        </w:tc>
      </w:tr>
      <w:tr w:rsidR="00D671E3" w:rsidRPr="00E32468" w:rsidTr="00AA1440">
        <w:tc>
          <w:tcPr>
            <w:tcW w:w="846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</w:t>
            </w:r>
            <w:r w:rsidRPr="00E32468">
              <w:rPr>
                <w:rFonts w:ascii="Times New Roman" w:hAnsi="Times New Roman"/>
                <w:szCs w:val="18"/>
              </w:rPr>
              <w:t>K10</w:t>
            </w:r>
            <w:r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  <w:szCs w:val="18"/>
              </w:rPr>
              <w:t>23</w:t>
            </w:r>
            <w:r>
              <w:rPr>
                <w:rFonts w:ascii="Times New Roman" w:hAnsi="Times New Roman"/>
                <w:szCs w:val="18"/>
              </w:rPr>
              <w:t>5</w:t>
            </w:r>
          </w:p>
        </w:tc>
        <w:tc>
          <w:tcPr>
            <w:tcW w:w="671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  <w:szCs w:val="18"/>
              </w:rPr>
              <w:t>224</w:t>
            </w:r>
          </w:p>
        </w:tc>
        <w:tc>
          <w:tcPr>
            <w:tcW w:w="708" w:type="dxa"/>
          </w:tcPr>
          <w:p w:rsidR="00D671E3" w:rsidRPr="00466BD4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0,28</w:t>
            </w:r>
          </w:p>
        </w:tc>
        <w:tc>
          <w:tcPr>
            <w:tcW w:w="693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466BD4">
              <w:rPr>
                <w:rFonts w:ascii="Times New Roman" w:hAnsi="Times New Roman"/>
                <w:szCs w:val="18"/>
              </w:rPr>
              <w:t>0,0041</w:t>
            </w:r>
          </w:p>
        </w:tc>
        <w:tc>
          <w:tcPr>
            <w:tcW w:w="725" w:type="dxa"/>
            <w:vAlign w:val="center"/>
          </w:tcPr>
          <w:p w:rsidR="00D671E3" w:rsidRPr="00536C05" w:rsidRDefault="00D671E3" w:rsidP="00D671E3">
            <w:pPr>
              <w:pStyle w:val="TCTableBody"/>
              <w:rPr>
                <w:rFonts w:ascii="Times New Roman" w:hAnsi="Times New Roman"/>
                <w:color w:val="FF0000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0,30</w:t>
            </w:r>
          </w:p>
        </w:tc>
        <w:tc>
          <w:tcPr>
            <w:tcW w:w="567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  <w:szCs w:val="18"/>
              </w:rPr>
              <w:t>51,2</w:t>
            </w:r>
          </w:p>
        </w:tc>
      </w:tr>
      <w:tr w:rsidR="00D671E3" w:rsidRPr="00E32468" w:rsidTr="00AA1440">
        <w:trPr>
          <w:trHeight w:val="454"/>
        </w:trPr>
        <w:tc>
          <w:tcPr>
            <w:tcW w:w="846" w:type="dxa"/>
            <w:tcBorders>
              <w:bottom w:val="single" w:sz="6" w:space="0" w:color="auto"/>
            </w:tcBorders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1K102</w:t>
            </w:r>
          </w:p>
        </w:tc>
        <w:tc>
          <w:tcPr>
            <w:tcW w:w="605" w:type="dxa"/>
            <w:tcBorders>
              <w:bottom w:val="single" w:sz="6" w:space="0" w:color="auto"/>
            </w:tcBorders>
            <w:vAlign w:val="center"/>
          </w:tcPr>
          <w:p w:rsidR="00D671E3" w:rsidRPr="00DA3D8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DA3D88">
              <w:rPr>
                <w:rFonts w:ascii="Times New Roman" w:hAnsi="Times New Roman"/>
                <w:szCs w:val="18"/>
              </w:rPr>
              <w:t>258</w:t>
            </w:r>
          </w:p>
        </w:tc>
        <w:tc>
          <w:tcPr>
            <w:tcW w:w="671" w:type="dxa"/>
            <w:tcBorders>
              <w:bottom w:val="single" w:sz="6" w:space="0" w:color="auto"/>
            </w:tcBorders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  <w:szCs w:val="18"/>
              </w:rPr>
              <w:t>24</w:t>
            </w:r>
            <w:r>
              <w:rPr>
                <w:rFonts w:ascii="Times New Roman" w:hAnsi="Times New Roman"/>
                <w:szCs w:val="18"/>
              </w:rPr>
              <w:t>7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:rsidR="00D671E3" w:rsidRPr="00466BD4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0,32</w:t>
            </w:r>
          </w:p>
        </w:tc>
        <w:tc>
          <w:tcPr>
            <w:tcW w:w="693" w:type="dxa"/>
            <w:tcBorders>
              <w:bottom w:val="single" w:sz="6" w:space="0" w:color="auto"/>
            </w:tcBorders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466BD4">
              <w:rPr>
                <w:rFonts w:ascii="Times New Roman" w:hAnsi="Times New Roman"/>
                <w:szCs w:val="18"/>
              </w:rPr>
              <w:t>0,0043</w:t>
            </w:r>
          </w:p>
        </w:tc>
        <w:tc>
          <w:tcPr>
            <w:tcW w:w="725" w:type="dxa"/>
            <w:tcBorders>
              <w:bottom w:val="single" w:sz="6" w:space="0" w:color="auto"/>
            </w:tcBorders>
            <w:vAlign w:val="center"/>
          </w:tcPr>
          <w:p w:rsidR="00D671E3" w:rsidRPr="00536C05" w:rsidRDefault="00D671E3" w:rsidP="00D671E3">
            <w:pPr>
              <w:pStyle w:val="TCTableBody"/>
              <w:rPr>
                <w:rFonts w:ascii="Times New Roman" w:hAnsi="Times New Roman"/>
                <w:color w:val="FF0000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0,34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  <w:szCs w:val="18"/>
              </w:rPr>
              <w:t>52,8</w:t>
            </w:r>
          </w:p>
        </w:tc>
      </w:tr>
      <w:tr w:rsidR="00D671E3" w:rsidRPr="00E32468" w:rsidTr="00AA1440">
        <w:trPr>
          <w:trHeight w:val="454"/>
        </w:trPr>
        <w:tc>
          <w:tcPr>
            <w:tcW w:w="846" w:type="dxa"/>
            <w:tcBorders>
              <w:bottom w:val="single" w:sz="6" w:space="0" w:color="auto"/>
            </w:tcBorders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1K104</w:t>
            </w:r>
          </w:p>
        </w:tc>
        <w:tc>
          <w:tcPr>
            <w:tcW w:w="605" w:type="dxa"/>
            <w:tcBorders>
              <w:bottom w:val="single" w:sz="6" w:space="0" w:color="auto"/>
            </w:tcBorders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bottom w:val="single" w:sz="6" w:space="0" w:color="auto"/>
            </w:tcBorders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</w:rPr>
              <w:t>229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:rsidR="00D671E3" w:rsidRPr="00466BD4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</w:rPr>
              <w:t>0,29</w:t>
            </w:r>
          </w:p>
        </w:tc>
        <w:tc>
          <w:tcPr>
            <w:tcW w:w="693" w:type="dxa"/>
            <w:tcBorders>
              <w:bottom w:val="single" w:sz="6" w:space="0" w:color="auto"/>
            </w:tcBorders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466BD4">
              <w:rPr>
                <w:rFonts w:ascii="Times New Roman" w:hAnsi="Times New Roman"/>
              </w:rPr>
              <w:t>0,0055</w:t>
            </w:r>
          </w:p>
        </w:tc>
        <w:tc>
          <w:tcPr>
            <w:tcW w:w="725" w:type="dxa"/>
            <w:tcBorders>
              <w:bottom w:val="single" w:sz="6" w:space="0" w:color="auto"/>
            </w:tcBorders>
            <w:vAlign w:val="center"/>
          </w:tcPr>
          <w:p w:rsidR="00D671E3" w:rsidRPr="00536C05" w:rsidRDefault="00D671E3" w:rsidP="00D671E3">
            <w:pPr>
              <w:pStyle w:val="TCTableBody"/>
              <w:rPr>
                <w:rFonts w:ascii="Times New Roman" w:hAnsi="Times New Roman"/>
                <w:color w:val="FF0000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</w:rPr>
            </w:pPr>
            <w:r w:rsidRPr="00E32468">
              <w:rPr>
                <w:rFonts w:ascii="Times New Roman" w:hAnsi="Times New Roman"/>
              </w:rPr>
              <w:t>51,5</w:t>
            </w:r>
          </w:p>
        </w:tc>
      </w:tr>
      <w:tr w:rsidR="00D671E3" w:rsidRPr="00E32468" w:rsidTr="00AA1440">
        <w:trPr>
          <w:trHeight w:val="454"/>
        </w:trPr>
        <w:tc>
          <w:tcPr>
            <w:tcW w:w="846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</w:t>
            </w:r>
            <w:r w:rsidRPr="00E32468">
              <w:rPr>
                <w:rFonts w:ascii="Times New Roman" w:hAnsi="Times New Roman"/>
                <w:szCs w:val="18"/>
              </w:rPr>
              <w:t>K10</w:t>
            </w:r>
            <w:r>
              <w:rPr>
                <w:rFonts w:ascii="Times New Roman" w:hAnsi="Times New Roman"/>
                <w:szCs w:val="18"/>
              </w:rPr>
              <w:t>6</w:t>
            </w:r>
          </w:p>
        </w:tc>
        <w:tc>
          <w:tcPr>
            <w:tcW w:w="605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  <w:szCs w:val="18"/>
              </w:rPr>
              <w:t>243</w:t>
            </w:r>
          </w:p>
        </w:tc>
        <w:tc>
          <w:tcPr>
            <w:tcW w:w="671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  <w:szCs w:val="18"/>
              </w:rPr>
              <w:t>22</w:t>
            </w:r>
            <w:r>
              <w:rPr>
                <w:rFonts w:ascii="Times New Roman" w:hAnsi="Times New Roman"/>
                <w:szCs w:val="18"/>
              </w:rPr>
              <w:t>9</w:t>
            </w:r>
          </w:p>
        </w:tc>
        <w:tc>
          <w:tcPr>
            <w:tcW w:w="708" w:type="dxa"/>
          </w:tcPr>
          <w:p w:rsidR="00D671E3" w:rsidRPr="00466BD4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0,29</w:t>
            </w:r>
          </w:p>
        </w:tc>
        <w:tc>
          <w:tcPr>
            <w:tcW w:w="693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466BD4">
              <w:rPr>
                <w:rFonts w:ascii="Times New Roman" w:hAnsi="Times New Roman"/>
                <w:szCs w:val="18"/>
              </w:rPr>
              <w:t>0,0058</w:t>
            </w:r>
          </w:p>
        </w:tc>
        <w:tc>
          <w:tcPr>
            <w:tcW w:w="725" w:type="dxa"/>
            <w:vAlign w:val="center"/>
          </w:tcPr>
          <w:p w:rsidR="00D671E3" w:rsidRPr="00536C05" w:rsidRDefault="00D671E3" w:rsidP="00D671E3">
            <w:pPr>
              <w:pStyle w:val="TCTableBody"/>
              <w:rPr>
                <w:rFonts w:ascii="Times New Roman" w:hAnsi="Times New Roman"/>
                <w:color w:val="FF0000"/>
                <w:szCs w:val="18"/>
              </w:rPr>
            </w:pPr>
            <w:r w:rsidRPr="009769F3">
              <w:rPr>
                <w:rFonts w:ascii="Times New Roman" w:hAnsi="Times New Roman"/>
                <w:szCs w:val="18"/>
              </w:rPr>
              <w:t>0,32</w:t>
            </w:r>
          </w:p>
        </w:tc>
        <w:tc>
          <w:tcPr>
            <w:tcW w:w="567" w:type="dxa"/>
            <w:vAlign w:val="center"/>
          </w:tcPr>
          <w:p w:rsidR="00D671E3" w:rsidRPr="00E32468" w:rsidRDefault="00D671E3" w:rsidP="00D671E3">
            <w:pPr>
              <w:pStyle w:val="TCTableBody"/>
              <w:rPr>
                <w:rFonts w:ascii="Times New Roman" w:hAnsi="Times New Roman"/>
                <w:szCs w:val="18"/>
              </w:rPr>
            </w:pPr>
            <w:r w:rsidRPr="00E32468">
              <w:rPr>
                <w:rFonts w:ascii="Times New Roman" w:hAnsi="Times New Roman"/>
                <w:szCs w:val="18"/>
              </w:rPr>
              <w:t>52,5</w:t>
            </w:r>
          </w:p>
        </w:tc>
      </w:tr>
    </w:tbl>
    <w:p w:rsidR="00EF6049" w:rsidRDefault="00EF6049" w:rsidP="00EF6049">
      <w:pPr>
        <w:pStyle w:val="TAMainText"/>
        <w:ind w:firstLine="0"/>
        <w:jc w:val="center"/>
        <w:rPr>
          <w:rFonts w:ascii="Times New Roman" w:hAnsi="Times New Roman"/>
          <w:lang w:val="pt-BR"/>
        </w:rPr>
      </w:pPr>
    </w:p>
    <w:p w:rsidR="00125478" w:rsidRDefault="006846D6" w:rsidP="00A66F1F">
      <w:pPr>
        <w:pStyle w:val="TAMainText"/>
        <w:spacing w:after="240"/>
        <w:rPr>
          <w:lang w:val="pt-BR"/>
        </w:rPr>
      </w:pPr>
      <w:r w:rsidRPr="006846D6">
        <w:rPr>
          <w:rFonts w:ascii="Times New Roman" w:hAnsi="Times New Roman"/>
          <w:lang w:val="pt-BR"/>
        </w:rPr>
        <w:t>Os perfis de NH</w:t>
      </w:r>
      <w:r w:rsidRPr="006846D6">
        <w:rPr>
          <w:rFonts w:ascii="Times New Roman" w:hAnsi="Times New Roman"/>
          <w:vertAlign w:val="subscript"/>
          <w:lang w:val="pt-BR"/>
        </w:rPr>
        <w:t>3</w:t>
      </w:r>
      <w:r w:rsidRPr="006846D6">
        <w:rPr>
          <w:rFonts w:ascii="Times New Roman" w:hAnsi="Times New Roman"/>
          <w:lang w:val="pt-BR"/>
        </w:rPr>
        <w:t>-TPD são apresentados na Figura 2</w:t>
      </w:r>
      <w:r w:rsidR="00D45E28">
        <w:rPr>
          <w:rFonts w:ascii="Times New Roman" w:hAnsi="Times New Roman"/>
          <w:lang w:val="pt-BR"/>
        </w:rPr>
        <w:t>.</w:t>
      </w:r>
      <w:r w:rsidR="00ED2D49">
        <w:rPr>
          <w:rFonts w:ascii="Times New Roman" w:hAnsi="Times New Roman"/>
          <w:lang w:val="pt-BR"/>
        </w:rPr>
        <w:t xml:space="preserve"> </w:t>
      </w:r>
      <w:r w:rsidR="009D02FC">
        <w:rPr>
          <w:rFonts w:ascii="Times New Roman" w:hAnsi="Times New Roman"/>
          <w:lang w:val="pt-BR"/>
        </w:rPr>
        <w:t>Conforme</w:t>
      </w:r>
      <w:r w:rsidR="00CA6245">
        <w:rPr>
          <w:rFonts w:ascii="Times New Roman" w:hAnsi="Times New Roman"/>
          <w:lang w:val="pt-BR"/>
        </w:rPr>
        <w:t xml:space="preserve"> </w:t>
      </w:r>
      <w:r w:rsidR="009D02FC">
        <w:rPr>
          <w:rFonts w:ascii="Times New Roman" w:hAnsi="Times New Roman"/>
          <w:lang w:val="pt-BR"/>
        </w:rPr>
        <w:t>esperado</w:t>
      </w:r>
      <w:r w:rsidR="00D45E28">
        <w:rPr>
          <w:rFonts w:ascii="Times New Roman" w:hAnsi="Times New Roman"/>
          <w:lang w:val="pt-BR"/>
        </w:rPr>
        <w:t xml:space="preserve">, </w:t>
      </w:r>
      <w:r w:rsidR="00145D3F" w:rsidRPr="00BE2E61">
        <w:rPr>
          <w:lang w:val="pt-BR"/>
        </w:rPr>
        <w:t>foram identificados apenas s</w:t>
      </w:r>
      <w:r w:rsidR="00145D3F" w:rsidRPr="00BE2E61">
        <w:rPr>
          <w:color w:val="000000" w:themeColor="text1"/>
          <w:lang w:val="pt-BR"/>
        </w:rPr>
        <w:t xml:space="preserve">ítios ácidos fracos e </w:t>
      </w:r>
      <w:r w:rsidR="00145D3F" w:rsidRPr="00BE2E61">
        <w:rPr>
          <w:lang w:val="pt-BR"/>
        </w:rPr>
        <w:t>moderados</w:t>
      </w:r>
      <w:r w:rsidR="009D02FC">
        <w:rPr>
          <w:lang w:val="pt-BR"/>
        </w:rPr>
        <w:t xml:space="preserve"> </w:t>
      </w:r>
      <w:r w:rsidR="00D45E28">
        <w:rPr>
          <w:rFonts w:ascii="Times New Roman" w:hAnsi="Times New Roman"/>
          <w:lang w:val="pt-BR"/>
        </w:rPr>
        <w:t xml:space="preserve">na </w:t>
      </w:r>
      <w:r w:rsidR="00D45E28" w:rsidRPr="00BE2E61">
        <w:rPr>
          <w:lang w:val="pt-BR"/>
        </w:rPr>
        <w:t xml:space="preserve">K10 </w:t>
      </w:r>
      <w:r w:rsidR="00145D3F" w:rsidRPr="00BE2E61">
        <w:rPr>
          <w:lang w:val="pt-BR"/>
        </w:rPr>
        <w:t>(</w:t>
      </w:r>
      <w:r w:rsidR="000925E9" w:rsidRPr="00BE2E61">
        <w:rPr>
          <w:lang w:val="pt-BR"/>
        </w:rPr>
        <w:t>6</w:t>
      </w:r>
      <w:r w:rsidR="00145D3F" w:rsidRPr="00BE2E61">
        <w:rPr>
          <w:lang w:val="pt-BR"/>
        </w:rPr>
        <w:t>).</w:t>
      </w:r>
      <w:r w:rsidR="00BD3B18" w:rsidRPr="00BE2E61">
        <w:rPr>
          <w:lang w:val="pt-BR"/>
        </w:rPr>
        <w:t xml:space="preserve"> </w:t>
      </w:r>
      <w:r w:rsidR="006A3BD4">
        <w:rPr>
          <w:lang w:val="pt-BR"/>
        </w:rPr>
        <w:t>As características ácidas da</w:t>
      </w:r>
      <w:r w:rsidR="00681049">
        <w:rPr>
          <w:lang w:val="pt-BR"/>
        </w:rPr>
        <w:t>s argilas foram alteradas a</w:t>
      </w:r>
      <w:r w:rsidR="00CA6245">
        <w:rPr>
          <w:lang w:val="pt-BR"/>
        </w:rPr>
        <w:t xml:space="preserve">pós os tratamentos, no entanto, </w:t>
      </w:r>
      <w:r w:rsidR="00D67FA9">
        <w:rPr>
          <w:lang w:val="pt-BR"/>
        </w:rPr>
        <w:t>n</w:t>
      </w:r>
      <w:r w:rsidR="006A3BD4" w:rsidRPr="00CB5CBF">
        <w:rPr>
          <w:rFonts w:ascii="Times New Roman" w:hAnsi="Times New Roman"/>
          <w:lang w:val="pt-BR"/>
        </w:rPr>
        <w:t>ã</w:t>
      </w:r>
      <w:r w:rsidR="006A3BD4">
        <w:rPr>
          <w:rFonts w:ascii="Times New Roman" w:hAnsi="Times New Roman"/>
          <w:lang w:val="pt-BR"/>
        </w:rPr>
        <w:t xml:space="preserve">o foram identificadas tendências </w:t>
      </w:r>
      <w:r w:rsidR="006A3BD4" w:rsidRPr="00BE2E61">
        <w:rPr>
          <w:rFonts w:ascii="Times New Roman" w:hAnsi="Times New Roman"/>
          <w:lang w:val="pt-BR"/>
        </w:rPr>
        <w:t>correlacionada</w:t>
      </w:r>
      <w:r w:rsidR="00D67FA9">
        <w:rPr>
          <w:rFonts w:ascii="Times New Roman" w:hAnsi="Times New Roman"/>
          <w:lang w:val="pt-BR"/>
        </w:rPr>
        <w:t>s</w:t>
      </w:r>
      <w:r w:rsidR="006A3BD4" w:rsidRPr="00BE2E61">
        <w:rPr>
          <w:rFonts w:ascii="Times New Roman" w:hAnsi="Times New Roman"/>
          <w:lang w:val="pt-BR"/>
        </w:rPr>
        <w:t xml:space="preserve"> aos parâmetros </w:t>
      </w:r>
      <w:r w:rsidR="004773DC">
        <w:rPr>
          <w:rFonts w:ascii="Times New Roman" w:hAnsi="Times New Roman"/>
          <w:lang w:val="pt-BR"/>
        </w:rPr>
        <w:t>experimentais</w:t>
      </w:r>
      <w:r w:rsidR="006A3BD4" w:rsidRPr="00BE2E61">
        <w:rPr>
          <w:rFonts w:ascii="Times New Roman" w:hAnsi="Times New Roman"/>
          <w:lang w:val="pt-BR"/>
        </w:rPr>
        <w:t xml:space="preserve">. </w:t>
      </w:r>
      <w:r w:rsidR="00EB041F" w:rsidRPr="00BE2E61">
        <w:rPr>
          <w:rFonts w:ascii="Times New Roman" w:hAnsi="Times New Roman"/>
          <w:lang w:val="pt-BR"/>
        </w:rPr>
        <w:t xml:space="preserve">A quantidade total de sítios ácidos </w:t>
      </w:r>
      <w:r w:rsidR="00FD5D08" w:rsidRPr="00BE2E61">
        <w:rPr>
          <w:rFonts w:ascii="Times New Roman" w:hAnsi="Times New Roman"/>
          <w:lang w:val="pt-BR"/>
        </w:rPr>
        <w:t xml:space="preserve">aumentou </w:t>
      </w:r>
      <w:r w:rsidR="00D67FA9">
        <w:rPr>
          <w:rFonts w:ascii="Times New Roman" w:hAnsi="Times New Roman"/>
          <w:lang w:val="pt-BR"/>
        </w:rPr>
        <w:t>em</w:t>
      </w:r>
      <w:r w:rsidR="00EC480A">
        <w:rPr>
          <w:rFonts w:ascii="Times New Roman" w:hAnsi="Times New Roman"/>
          <w:lang w:val="pt-BR"/>
        </w:rPr>
        <w:t xml:space="preserve"> todas as argilas do Grupo </w:t>
      </w:r>
      <w:proofErr w:type="gramStart"/>
      <w:r w:rsidR="00EC480A">
        <w:rPr>
          <w:rFonts w:ascii="Times New Roman" w:hAnsi="Times New Roman"/>
          <w:lang w:val="pt-BR"/>
        </w:rPr>
        <w:t>1</w:t>
      </w:r>
      <w:proofErr w:type="gramEnd"/>
      <w:r w:rsidR="00EC480A">
        <w:rPr>
          <w:rFonts w:ascii="Times New Roman" w:hAnsi="Times New Roman"/>
          <w:lang w:val="pt-BR"/>
        </w:rPr>
        <w:t xml:space="preserve">, com exceção da 1K102, </w:t>
      </w:r>
      <w:r w:rsidR="00EC480A" w:rsidRPr="00BE2E61">
        <w:rPr>
          <w:rFonts w:ascii="Times New Roman" w:hAnsi="Times New Roman"/>
          <w:lang w:val="pt-BR"/>
        </w:rPr>
        <w:t>em comparação à</w:t>
      </w:r>
      <w:r w:rsidR="00EC480A">
        <w:rPr>
          <w:rFonts w:ascii="Times New Roman" w:hAnsi="Times New Roman"/>
          <w:lang w:val="pt-BR"/>
        </w:rPr>
        <w:t xml:space="preserve"> K10.</w:t>
      </w:r>
      <w:r w:rsidR="00FD5D08">
        <w:rPr>
          <w:rFonts w:ascii="Times New Roman" w:hAnsi="Times New Roman"/>
          <w:lang w:val="pt-BR"/>
        </w:rPr>
        <w:t xml:space="preserve"> </w:t>
      </w:r>
      <w:r w:rsidR="00342E3E">
        <w:rPr>
          <w:rFonts w:ascii="Times New Roman" w:hAnsi="Times New Roman"/>
          <w:lang w:val="pt-BR"/>
        </w:rPr>
        <w:t xml:space="preserve">No Grupo </w:t>
      </w:r>
      <w:proofErr w:type="gramStart"/>
      <w:r w:rsidR="00342E3E">
        <w:rPr>
          <w:rFonts w:ascii="Times New Roman" w:hAnsi="Times New Roman"/>
          <w:lang w:val="pt-BR"/>
        </w:rPr>
        <w:t>2</w:t>
      </w:r>
      <w:proofErr w:type="gramEnd"/>
      <w:r w:rsidR="00342E3E">
        <w:rPr>
          <w:rFonts w:ascii="Times New Roman" w:hAnsi="Times New Roman"/>
          <w:lang w:val="pt-BR"/>
        </w:rPr>
        <w:t>, a</w:t>
      </w:r>
      <w:r w:rsidR="00B837CB">
        <w:rPr>
          <w:rFonts w:ascii="Times New Roman" w:hAnsi="Times New Roman"/>
          <w:lang w:val="pt-BR"/>
        </w:rPr>
        <w:t>penas a 2K104</w:t>
      </w:r>
      <w:r w:rsidR="000A36DD">
        <w:rPr>
          <w:rFonts w:ascii="Times New Roman" w:hAnsi="Times New Roman"/>
          <w:lang w:val="pt-BR"/>
        </w:rPr>
        <w:t xml:space="preserve"> </w:t>
      </w:r>
      <w:r w:rsidR="008446D2">
        <w:rPr>
          <w:rFonts w:ascii="Times New Roman" w:hAnsi="Times New Roman"/>
          <w:lang w:val="pt-BR"/>
        </w:rPr>
        <w:t>mostrou</w:t>
      </w:r>
      <w:r w:rsidR="001D4EC1">
        <w:rPr>
          <w:rFonts w:ascii="Times New Roman" w:hAnsi="Times New Roman"/>
          <w:lang w:val="pt-BR"/>
        </w:rPr>
        <w:t xml:space="preserve"> um</w:t>
      </w:r>
      <w:r w:rsidR="000A36DD">
        <w:rPr>
          <w:rFonts w:ascii="Times New Roman" w:hAnsi="Times New Roman"/>
          <w:lang w:val="pt-BR"/>
        </w:rPr>
        <w:t xml:space="preserve"> aumento na quantidade total de sítios ácidos</w:t>
      </w:r>
      <w:r w:rsidR="00342E3E">
        <w:rPr>
          <w:rFonts w:ascii="Times New Roman" w:hAnsi="Times New Roman"/>
          <w:lang w:val="pt-BR"/>
        </w:rPr>
        <w:t>.</w:t>
      </w:r>
      <w:r w:rsidR="003B0026">
        <w:rPr>
          <w:rFonts w:ascii="Times New Roman" w:hAnsi="Times New Roman"/>
          <w:lang w:val="pt-BR"/>
        </w:rPr>
        <w:t xml:space="preserve"> </w:t>
      </w:r>
      <w:r w:rsidR="008446D2">
        <w:rPr>
          <w:rFonts w:ascii="Times New Roman" w:hAnsi="Times New Roman"/>
          <w:lang w:val="pt-BR"/>
        </w:rPr>
        <w:t>F</w:t>
      </w:r>
      <w:r w:rsidR="00342E3E">
        <w:rPr>
          <w:rFonts w:ascii="Times New Roman" w:hAnsi="Times New Roman"/>
          <w:lang w:val="pt-BR"/>
        </w:rPr>
        <w:t xml:space="preserve">oram criados </w:t>
      </w:r>
      <w:r w:rsidR="008446D2">
        <w:rPr>
          <w:rFonts w:ascii="Times New Roman" w:hAnsi="Times New Roman"/>
          <w:lang w:val="pt-BR"/>
        </w:rPr>
        <w:t>sítios ácidos fortes durante o</w:t>
      </w:r>
      <w:r w:rsidR="00342E3E">
        <w:rPr>
          <w:rFonts w:ascii="Times New Roman" w:hAnsi="Times New Roman"/>
          <w:lang w:val="pt-BR"/>
        </w:rPr>
        <w:t xml:space="preserve"> tratament</w:t>
      </w:r>
      <w:r w:rsidR="00EC480A">
        <w:rPr>
          <w:rFonts w:ascii="Times New Roman" w:hAnsi="Times New Roman"/>
          <w:lang w:val="pt-BR"/>
        </w:rPr>
        <w:t>o</w:t>
      </w:r>
      <w:r w:rsidR="009A2A20">
        <w:rPr>
          <w:rFonts w:ascii="Times New Roman" w:hAnsi="Times New Roman"/>
          <w:lang w:val="pt-BR"/>
        </w:rPr>
        <w:t xml:space="preserve">, independente da concentração e </w:t>
      </w:r>
      <w:r w:rsidR="008446D2">
        <w:rPr>
          <w:rFonts w:ascii="Times New Roman" w:hAnsi="Times New Roman"/>
          <w:lang w:val="pt-BR"/>
        </w:rPr>
        <w:t xml:space="preserve">da </w:t>
      </w:r>
      <w:r w:rsidR="009A2A20">
        <w:rPr>
          <w:rFonts w:ascii="Times New Roman" w:hAnsi="Times New Roman"/>
          <w:lang w:val="pt-BR"/>
        </w:rPr>
        <w:t>temperatura</w:t>
      </w:r>
      <w:r w:rsidR="001A11E7">
        <w:rPr>
          <w:rFonts w:ascii="Times New Roman" w:hAnsi="Times New Roman"/>
          <w:lang w:val="pt-BR"/>
        </w:rPr>
        <w:t xml:space="preserve"> do tratamento</w:t>
      </w:r>
      <w:r w:rsidR="009D02FC">
        <w:rPr>
          <w:rFonts w:ascii="Times New Roman" w:hAnsi="Times New Roman"/>
          <w:lang w:val="pt-BR"/>
        </w:rPr>
        <w:t>.</w:t>
      </w:r>
      <w:r w:rsidR="00DE42EA">
        <w:rPr>
          <w:rFonts w:ascii="Times New Roman" w:hAnsi="Times New Roman"/>
          <w:lang w:val="pt-BR"/>
        </w:rPr>
        <w:t xml:space="preserve"> </w:t>
      </w:r>
      <w:r w:rsidR="006B71A6">
        <w:rPr>
          <w:rFonts w:ascii="Times New Roman" w:hAnsi="Times New Roman"/>
          <w:lang w:val="pt-BR"/>
        </w:rPr>
        <w:t xml:space="preserve">A </w:t>
      </w:r>
      <w:r w:rsidR="00DE42EA">
        <w:rPr>
          <w:rFonts w:ascii="Times New Roman" w:hAnsi="Times New Roman"/>
          <w:lang w:val="pt-BR"/>
        </w:rPr>
        <w:t xml:space="preserve">1K102 </w:t>
      </w:r>
      <w:r w:rsidR="009D02FC">
        <w:rPr>
          <w:rFonts w:ascii="Times New Roman" w:hAnsi="Times New Roman"/>
          <w:lang w:val="pt-BR"/>
        </w:rPr>
        <w:t xml:space="preserve">apresentou a </w:t>
      </w:r>
      <w:r w:rsidR="00B8488E">
        <w:rPr>
          <w:rFonts w:ascii="Times New Roman" w:hAnsi="Times New Roman"/>
          <w:lang w:val="pt-BR"/>
        </w:rPr>
        <w:t>maior quantidade de sítios ácidos fortes</w:t>
      </w:r>
      <w:r w:rsidR="006B71A6">
        <w:rPr>
          <w:rFonts w:ascii="Times New Roman" w:hAnsi="Times New Roman"/>
          <w:lang w:val="pt-BR"/>
        </w:rPr>
        <w:t>, e</w:t>
      </w:r>
      <w:r w:rsidR="001A11E7">
        <w:rPr>
          <w:rFonts w:ascii="Times New Roman" w:hAnsi="Times New Roman"/>
          <w:lang w:val="pt-BR"/>
        </w:rPr>
        <w:t xml:space="preserve">nquanto </w:t>
      </w:r>
      <w:r w:rsidR="006B71A6">
        <w:rPr>
          <w:rFonts w:ascii="Times New Roman" w:hAnsi="Times New Roman"/>
          <w:lang w:val="pt-BR"/>
        </w:rPr>
        <w:t xml:space="preserve">a </w:t>
      </w:r>
      <w:r w:rsidR="006B71A6" w:rsidRPr="00BE2E61">
        <w:rPr>
          <w:lang w:val="pt-BR"/>
        </w:rPr>
        <w:t>1K104</w:t>
      </w:r>
      <w:r w:rsidR="006B71A6">
        <w:rPr>
          <w:lang w:val="pt-BR"/>
        </w:rPr>
        <w:t xml:space="preserve"> mostrou a maior quantidade de sítios ácidos totais</w:t>
      </w:r>
      <w:r w:rsidR="00C11B5D">
        <w:rPr>
          <w:lang w:val="pt-BR"/>
        </w:rPr>
        <w:t xml:space="preserve"> (Tabela </w:t>
      </w:r>
      <w:r w:rsidR="007E73BD">
        <w:rPr>
          <w:lang w:val="pt-BR"/>
        </w:rPr>
        <w:t>2)</w:t>
      </w:r>
      <w:r w:rsidR="006B71A6">
        <w:rPr>
          <w:lang w:val="pt-BR"/>
        </w:rPr>
        <w:t>.</w:t>
      </w:r>
    </w:p>
    <w:p w:rsidR="00BE78D4" w:rsidRDefault="00BE78D4" w:rsidP="00BE78D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125470" cy="1399311"/>
            <wp:effectExtent l="0" t="0" r="0" b="0"/>
            <wp:docPr id="626737967" name="Imagem 3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37967" name="Imagem 3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007" cy="140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D32F8" w:rsidRPr="00BE78D4" w:rsidRDefault="00BE78D4" w:rsidP="00BE78D4">
      <w:pPr>
        <w:pStyle w:val="VAFigureCaption"/>
        <w:spacing w:before="0" w:after="240"/>
        <w:rPr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B8589A">
        <w:rPr>
          <w:rFonts w:ascii="Times New Roman" w:hAnsi="Times New Roman"/>
          <w:lang w:val="pt-BR"/>
        </w:rPr>
        <w:t xml:space="preserve">Perfis de </w:t>
      </w:r>
      <w:proofErr w:type="spellStart"/>
      <w:r w:rsidRPr="00B8589A">
        <w:rPr>
          <w:rFonts w:ascii="Times New Roman" w:hAnsi="Times New Roman"/>
          <w:lang w:val="pt-BR"/>
        </w:rPr>
        <w:t>dessorção</w:t>
      </w:r>
      <w:proofErr w:type="spellEnd"/>
      <w:r w:rsidRPr="00B8589A">
        <w:rPr>
          <w:rFonts w:ascii="Times New Roman" w:hAnsi="Times New Roman"/>
          <w:lang w:val="pt-BR"/>
        </w:rPr>
        <w:t xml:space="preserve"> da amônia à temperatura programada (NH</w:t>
      </w:r>
      <w:r w:rsidRPr="00914035">
        <w:rPr>
          <w:rFonts w:ascii="Times New Roman" w:hAnsi="Times New Roman"/>
          <w:vertAlign w:val="subscript"/>
          <w:lang w:val="pt-BR"/>
        </w:rPr>
        <w:t>3</w:t>
      </w:r>
      <w:r w:rsidRPr="00B8589A">
        <w:rPr>
          <w:rFonts w:ascii="Times New Roman" w:hAnsi="Times New Roman"/>
          <w:lang w:val="pt-BR"/>
        </w:rPr>
        <w:t>-TPD)</w:t>
      </w:r>
      <w:r>
        <w:rPr>
          <w:rFonts w:ascii="Times New Roman" w:hAnsi="Times New Roman"/>
          <w:lang w:val="pt-BR"/>
        </w:rPr>
        <w:t xml:space="preserve"> das argilas. </w:t>
      </w:r>
    </w:p>
    <w:p w:rsidR="00E33450" w:rsidRPr="00BA52BF" w:rsidRDefault="00E33450" w:rsidP="00E33450">
      <w:pPr>
        <w:pStyle w:val="VDTableTitle"/>
        <w:spacing w:after="120"/>
        <w:jc w:val="both"/>
        <w:rPr>
          <w:lang w:val="pt-BR"/>
        </w:rPr>
      </w:pPr>
      <w:r w:rsidRPr="00E34527">
        <w:rPr>
          <w:b/>
          <w:bCs/>
          <w:lang w:val="pt-BR"/>
        </w:rPr>
        <w:lastRenderedPageBreak/>
        <w:t xml:space="preserve">Tabela </w:t>
      </w:r>
      <w:r>
        <w:rPr>
          <w:b/>
          <w:bCs/>
          <w:lang w:val="pt-BR"/>
        </w:rPr>
        <w:t>2</w:t>
      </w:r>
      <w:r w:rsidRPr="00E34527">
        <w:rPr>
          <w:b/>
          <w:bCs/>
          <w:lang w:val="pt-BR"/>
        </w:rPr>
        <w:t>.</w:t>
      </w:r>
      <w:r w:rsidRPr="00E34527">
        <w:rPr>
          <w:lang w:val="pt-BR"/>
        </w:rPr>
        <w:t xml:space="preserve"> </w:t>
      </w:r>
      <w:r>
        <w:rPr>
          <w:lang w:val="pt-BR"/>
        </w:rPr>
        <w:t>Distribuição da força e quantidade de sítios ácidos</w:t>
      </w:r>
      <w:r w:rsidRPr="00E34527">
        <w:rPr>
          <w:lang w:val="pt-BR"/>
        </w:rPr>
        <w:t>.</w:t>
      </w:r>
    </w:p>
    <w:tbl>
      <w:tblPr>
        <w:tblW w:w="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92"/>
        <w:gridCol w:w="993"/>
        <w:gridCol w:w="850"/>
        <w:gridCol w:w="1127"/>
      </w:tblGrid>
      <w:tr w:rsidR="00BE2E61" w:rsidRPr="00BE2E61" w:rsidTr="00450ED0">
        <w:tc>
          <w:tcPr>
            <w:tcW w:w="779" w:type="dxa"/>
            <w:tcBorders>
              <w:top w:val="single" w:sz="4" w:space="0" w:color="auto"/>
              <w:bottom w:val="nil"/>
            </w:tcBorders>
            <w:vAlign w:val="center"/>
          </w:tcPr>
          <w:p w:rsidR="00E33450" w:rsidRPr="00BE2E61" w:rsidRDefault="00E33450" w:rsidP="00F848B1">
            <w:pPr>
              <w:pStyle w:val="TCTableBody"/>
              <w:rPr>
                <w:lang w:val="pt-BR"/>
              </w:rPr>
            </w:pPr>
            <w:r w:rsidRPr="00BE2E61">
              <w:rPr>
                <w:lang w:val="pt-BR"/>
              </w:rPr>
              <w:t>Argila</w:t>
            </w:r>
          </w:p>
        </w:tc>
        <w:tc>
          <w:tcPr>
            <w:tcW w:w="2835" w:type="dxa"/>
            <w:gridSpan w:val="3"/>
            <w:vAlign w:val="center"/>
          </w:tcPr>
          <w:p w:rsidR="00E33450" w:rsidRPr="00BE2E61" w:rsidRDefault="00E33450" w:rsidP="00F848B1">
            <w:pPr>
              <w:pStyle w:val="TCTableBody"/>
              <w:spacing w:after="0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Quantidade de sítios ácidos (</w:t>
            </w:r>
            <w:proofErr w:type="spellStart"/>
            <w:r w:rsidRPr="00BE2E61">
              <w:rPr>
                <w:lang w:val="pt-BR"/>
              </w:rPr>
              <w:t>µmol</w:t>
            </w:r>
            <w:proofErr w:type="spellEnd"/>
            <w:r w:rsidRPr="00BE2E61">
              <w:rPr>
                <w:lang w:val="pt-BR"/>
              </w:rPr>
              <w:t xml:space="preserve">/g) / </w:t>
            </w:r>
            <w:proofErr w:type="spellStart"/>
            <w:r w:rsidRPr="00BE2E61">
              <w:rPr>
                <w:lang w:val="pt-BR"/>
              </w:rPr>
              <w:t>T</w:t>
            </w:r>
            <w:r w:rsidRPr="00BE2E61">
              <w:rPr>
                <w:vertAlign w:val="subscript"/>
                <w:lang w:val="pt-BR"/>
              </w:rPr>
              <w:t>max</w:t>
            </w:r>
            <w:proofErr w:type="spellEnd"/>
            <w:r w:rsidRPr="00BE2E61">
              <w:rPr>
                <w:lang w:val="pt-BR"/>
              </w:rPr>
              <w:t xml:space="preserve"> (°C)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  <w:vAlign w:val="center"/>
          </w:tcPr>
          <w:p w:rsidR="00E33450" w:rsidRPr="00BE2E61" w:rsidRDefault="00E33450" w:rsidP="00F848B1">
            <w:pPr>
              <w:pStyle w:val="TCTableBody"/>
              <w:rPr>
                <w:lang w:val="pt-BR"/>
              </w:rPr>
            </w:pPr>
            <w:r w:rsidRPr="00BE2E61">
              <w:rPr>
                <w:lang w:val="pt-BR"/>
              </w:rPr>
              <w:t>Total (</w:t>
            </w:r>
            <w:proofErr w:type="spellStart"/>
            <w:r w:rsidRPr="00BE2E61">
              <w:rPr>
                <w:lang w:val="pt-BR"/>
              </w:rPr>
              <w:t>µmol</w:t>
            </w:r>
            <w:proofErr w:type="spellEnd"/>
            <w:r w:rsidRPr="00BE2E61">
              <w:rPr>
                <w:lang w:val="pt-BR"/>
              </w:rPr>
              <w:t>/g)</w:t>
            </w:r>
          </w:p>
        </w:tc>
      </w:tr>
      <w:tr w:rsidR="00BE2E61" w:rsidRPr="00BE2E61" w:rsidTr="00450ED0">
        <w:tc>
          <w:tcPr>
            <w:tcW w:w="779" w:type="dxa"/>
            <w:tcBorders>
              <w:top w:val="nil"/>
            </w:tcBorders>
            <w:vAlign w:val="center"/>
          </w:tcPr>
          <w:p w:rsidR="00E33450" w:rsidRPr="00BE2E61" w:rsidRDefault="00E33450" w:rsidP="00F848B1">
            <w:pPr>
              <w:pStyle w:val="TCTableBody"/>
              <w:rPr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Fraco</w:t>
            </w:r>
          </w:p>
        </w:tc>
        <w:tc>
          <w:tcPr>
            <w:tcW w:w="993" w:type="dxa"/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Moderado</w:t>
            </w:r>
          </w:p>
        </w:tc>
        <w:tc>
          <w:tcPr>
            <w:tcW w:w="850" w:type="dxa"/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Forte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</w:p>
        </w:tc>
      </w:tr>
      <w:tr w:rsidR="00BE2E61" w:rsidRPr="00BE2E61" w:rsidTr="00450ED0">
        <w:tc>
          <w:tcPr>
            <w:tcW w:w="779" w:type="dxa"/>
            <w:vAlign w:val="center"/>
          </w:tcPr>
          <w:p w:rsidR="00E33450" w:rsidRPr="00BE2E61" w:rsidRDefault="00E33450" w:rsidP="00F848B1">
            <w:pPr>
              <w:pStyle w:val="TCTableBody"/>
              <w:rPr>
                <w:lang w:val="pt-BR"/>
              </w:rPr>
            </w:pPr>
            <w:r w:rsidRPr="00BE2E61">
              <w:rPr>
                <w:lang w:val="pt-BR"/>
              </w:rPr>
              <w:t>K10</w:t>
            </w:r>
          </w:p>
        </w:tc>
        <w:tc>
          <w:tcPr>
            <w:tcW w:w="992" w:type="dxa"/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76,4/169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135,7/292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--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212,1</w:t>
            </w:r>
          </w:p>
        </w:tc>
      </w:tr>
      <w:tr w:rsidR="00BE2E61" w:rsidRPr="00BE2E61" w:rsidTr="00450ED0">
        <w:tc>
          <w:tcPr>
            <w:tcW w:w="779" w:type="dxa"/>
            <w:vAlign w:val="center"/>
          </w:tcPr>
          <w:p w:rsidR="00E33450" w:rsidRPr="00BE2E61" w:rsidRDefault="00EF5C7E" w:rsidP="00F848B1">
            <w:pPr>
              <w:pStyle w:val="TCTableBody"/>
              <w:rPr>
                <w:lang w:val="pt-BR"/>
              </w:rPr>
            </w:pPr>
            <w:proofErr w:type="gramStart"/>
            <w:r w:rsidRPr="00BE2E61">
              <w:rPr>
                <w:lang w:val="pt-BR"/>
              </w:rPr>
              <w:t>1</w:t>
            </w:r>
            <w:r w:rsidR="00E33450" w:rsidRPr="00BE2E61">
              <w:rPr>
                <w:lang w:val="pt-BR"/>
              </w:rPr>
              <w:t>K10</w:t>
            </w:r>
            <w:r w:rsidRPr="00BE2E61">
              <w:rPr>
                <w:lang w:val="pt-BR"/>
              </w:rPr>
              <w:t>1</w:t>
            </w:r>
            <w:proofErr w:type="gramEnd"/>
          </w:p>
        </w:tc>
        <w:tc>
          <w:tcPr>
            <w:tcW w:w="992" w:type="dxa"/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100,1/174</w:t>
            </w:r>
          </w:p>
        </w:tc>
        <w:tc>
          <w:tcPr>
            <w:tcW w:w="993" w:type="dxa"/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205,3/280</w:t>
            </w:r>
          </w:p>
        </w:tc>
        <w:tc>
          <w:tcPr>
            <w:tcW w:w="850" w:type="dxa"/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19,5/548</w:t>
            </w:r>
          </w:p>
        </w:tc>
        <w:tc>
          <w:tcPr>
            <w:tcW w:w="1127" w:type="dxa"/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324,9</w:t>
            </w:r>
          </w:p>
        </w:tc>
      </w:tr>
      <w:tr w:rsidR="00BE2E61" w:rsidRPr="00BE2E61" w:rsidTr="00450ED0">
        <w:trPr>
          <w:trHeight w:val="454"/>
        </w:trPr>
        <w:tc>
          <w:tcPr>
            <w:tcW w:w="779" w:type="dxa"/>
            <w:tcBorders>
              <w:bottom w:val="single" w:sz="6" w:space="0" w:color="auto"/>
            </w:tcBorders>
            <w:vAlign w:val="center"/>
          </w:tcPr>
          <w:p w:rsidR="00E33450" w:rsidRPr="00BE2E61" w:rsidRDefault="00EF5C7E" w:rsidP="00F848B1">
            <w:pPr>
              <w:pStyle w:val="TCTableBody"/>
              <w:rPr>
                <w:lang w:val="pt-BR"/>
              </w:rPr>
            </w:pPr>
            <w:proofErr w:type="gramStart"/>
            <w:r w:rsidRPr="00BE2E61">
              <w:rPr>
                <w:lang w:val="pt-BR"/>
              </w:rPr>
              <w:t>1</w:t>
            </w:r>
            <w:r w:rsidR="00E33450" w:rsidRPr="00BE2E61">
              <w:rPr>
                <w:lang w:val="pt-BR"/>
              </w:rPr>
              <w:t>K10</w:t>
            </w:r>
            <w:r w:rsidRPr="00BE2E61">
              <w:rPr>
                <w:lang w:val="pt-BR"/>
              </w:rPr>
              <w:t>2</w:t>
            </w:r>
            <w:proofErr w:type="gramEnd"/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77,0/166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54,9/295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56,8/558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188,8</w:t>
            </w:r>
          </w:p>
        </w:tc>
      </w:tr>
      <w:tr w:rsidR="00BE2E61" w:rsidRPr="00BE2E61" w:rsidTr="00450ED0">
        <w:trPr>
          <w:trHeight w:val="454"/>
        </w:trPr>
        <w:tc>
          <w:tcPr>
            <w:tcW w:w="779" w:type="dxa"/>
            <w:tcBorders>
              <w:bottom w:val="single" w:sz="6" w:space="0" w:color="auto"/>
            </w:tcBorders>
            <w:vAlign w:val="center"/>
          </w:tcPr>
          <w:p w:rsidR="00E33450" w:rsidRPr="00BE2E61" w:rsidRDefault="00EF5C7E" w:rsidP="00F848B1">
            <w:pPr>
              <w:pStyle w:val="TCTableBody"/>
              <w:rPr>
                <w:lang w:val="pt-BR"/>
              </w:rPr>
            </w:pPr>
            <w:proofErr w:type="gramStart"/>
            <w:r w:rsidRPr="00BE2E61">
              <w:rPr>
                <w:lang w:val="pt-BR"/>
              </w:rPr>
              <w:t>1</w:t>
            </w:r>
            <w:r w:rsidR="00E33450" w:rsidRPr="00BE2E61">
              <w:rPr>
                <w:lang w:val="pt-BR"/>
              </w:rPr>
              <w:t>K10</w:t>
            </w:r>
            <w:r w:rsidRPr="00BE2E61">
              <w:rPr>
                <w:lang w:val="pt-BR"/>
              </w:rPr>
              <w:t>4</w:t>
            </w:r>
            <w:proofErr w:type="gramEnd"/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128,2/190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198,3/294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28,8/550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355,2</w:t>
            </w:r>
          </w:p>
        </w:tc>
      </w:tr>
      <w:tr w:rsidR="00BE2E61" w:rsidRPr="00BE2E61" w:rsidTr="00450ED0">
        <w:trPr>
          <w:trHeight w:val="454"/>
        </w:trPr>
        <w:tc>
          <w:tcPr>
            <w:tcW w:w="779" w:type="dxa"/>
            <w:vAlign w:val="center"/>
          </w:tcPr>
          <w:p w:rsidR="00E33450" w:rsidRPr="00BE2E61" w:rsidRDefault="00EF5C7E" w:rsidP="00F848B1">
            <w:pPr>
              <w:pStyle w:val="TCTableBody"/>
              <w:rPr>
                <w:lang w:val="pt-BR"/>
              </w:rPr>
            </w:pPr>
            <w:proofErr w:type="gramStart"/>
            <w:r w:rsidRPr="00BE2E61">
              <w:rPr>
                <w:lang w:val="pt-BR"/>
              </w:rPr>
              <w:t>1</w:t>
            </w:r>
            <w:r w:rsidR="00E33450" w:rsidRPr="00BE2E61">
              <w:rPr>
                <w:lang w:val="pt-BR"/>
              </w:rPr>
              <w:t>K10</w:t>
            </w:r>
            <w:r w:rsidRPr="00BE2E61">
              <w:rPr>
                <w:lang w:val="pt-BR"/>
              </w:rPr>
              <w:t>6</w:t>
            </w:r>
            <w:proofErr w:type="gramEnd"/>
          </w:p>
        </w:tc>
        <w:tc>
          <w:tcPr>
            <w:tcW w:w="992" w:type="dxa"/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181,7/202</w:t>
            </w:r>
          </w:p>
        </w:tc>
        <w:tc>
          <w:tcPr>
            <w:tcW w:w="993" w:type="dxa"/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76,3/297</w:t>
            </w:r>
          </w:p>
        </w:tc>
        <w:tc>
          <w:tcPr>
            <w:tcW w:w="850" w:type="dxa"/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30,1/547</w:t>
            </w:r>
          </w:p>
        </w:tc>
        <w:tc>
          <w:tcPr>
            <w:tcW w:w="1127" w:type="dxa"/>
            <w:vAlign w:val="center"/>
          </w:tcPr>
          <w:p w:rsidR="00E33450" w:rsidRPr="00BE2E61" w:rsidRDefault="00E33450" w:rsidP="00F848B1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288,1</w:t>
            </w:r>
          </w:p>
        </w:tc>
      </w:tr>
      <w:tr w:rsidR="00BE2E61" w:rsidRPr="00BE2E61" w:rsidTr="00450ED0">
        <w:trPr>
          <w:trHeight w:val="454"/>
        </w:trPr>
        <w:tc>
          <w:tcPr>
            <w:tcW w:w="779" w:type="dxa"/>
            <w:vAlign w:val="center"/>
          </w:tcPr>
          <w:p w:rsidR="00EF5C7E" w:rsidRPr="00BE2E61" w:rsidRDefault="00EF5C7E" w:rsidP="00EF5C7E">
            <w:pPr>
              <w:pStyle w:val="TCTableBody"/>
              <w:rPr>
                <w:lang w:val="pt-BR"/>
              </w:rPr>
            </w:pPr>
            <w:proofErr w:type="gramStart"/>
            <w:r w:rsidRPr="00BE2E61">
              <w:rPr>
                <w:lang w:val="pt-BR"/>
              </w:rPr>
              <w:t>2K101</w:t>
            </w:r>
            <w:proofErr w:type="gramEnd"/>
          </w:p>
        </w:tc>
        <w:tc>
          <w:tcPr>
            <w:tcW w:w="992" w:type="dxa"/>
            <w:vAlign w:val="center"/>
          </w:tcPr>
          <w:p w:rsidR="00EF5C7E" w:rsidRPr="00BE2E61" w:rsidRDefault="00EF5C7E" w:rsidP="00EF5C7E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72,4/173</w:t>
            </w:r>
          </w:p>
        </w:tc>
        <w:tc>
          <w:tcPr>
            <w:tcW w:w="993" w:type="dxa"/>
          </w:tcPr>
          <w:p w:rsidR="00EF5C7E" w:rsidRPr="00BE2E61" w:rsidRDefault="00EF5C7E" w:rsidP="00EF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E2E6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84,3/286</w:t>
            </w:r>
          </w:p>
        </w:tc>
        <w:tc>
          <w:tcPr>
            <w:tcW w:w="850" w:type="dxa"/>
          </w:tcPr>
          <w:p w:rsidR="00EF5C7E" w:rsidRPr="00BE2E61" w:rsidRDefault="00EF5C7E" w:rsidP="00EF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E2E6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49,3/546</w:t>
            </w:r>
          </w:p>
        </w:tc>
        <w:tc>
          <w:tcPr>
            <w:tcW w:w="1127" w:type="dxa"/>
            <w:vAlign w:val="center"/>
          </w:tcPr>
          <w:p w:rsidR="00EF5C7E" w:rsidRPr="00BE2E61" w:rsidRDefault="00EF5C7E" w:rsidP="00EF5C7E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206,0</w:t>
            </w:r>
          </w:p>
        </w:tc>
      </w:tr>
      <w:tr w:rsidR="00BE2E61" w:rsidRPr="00BE2E61" w:rsidTr="00450ED0">
        <w:trPr>
          <w:trHeight w:val="454"/>
        </w:trPr>
        <w:tc>
          <w:tcPr>
            <w:tcW w:w="779" w:type="dxa"/>
            <w:vAlign w:val="center"/>
          </w:tcPr>
          <w:p w:rsidR="00EF5C7E" w:rsidRPr="00BE2E61" w:rsidRDefault="00EF5C7E" w:rsidP="00EF5C7E">
            <w:pPr>
              <w:pStyle w:val="TCTableBody"/>
              <w:rPr>
                <w:lang w:val="pt-BR"/>
              </w:rPr>
            </w:pPr>
            <w:proofErr w:type="gramStart"/>
            <w:r w:rsidRPr="00BE2E61">
              <w:rPr>
                <w:lang w:val="pt-BR"/>
              </w:rPr>
              <w:t>2K102</w:t>
            </w:r>
            <w:proofErr w:type="gramEnd"/>
          </w:p>
        </w:tc>
        <w:tc>
          <w:tcPr>
            <w:tcW w:w="992" w:type="dxa"/>
            <w:vAlign w:val="center"/>
          </w:tcPr>
          <w:p w:rsidR="00EF5C7E" w:rsidRPr="00BE2E61" w:rsidRDefault="00EF5C7E" w:rsidP="00EF5C7E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61,5/177</w:t>
            </w:r>
          </w:p>
        </w:tc>
        <w:tc>
          <w:tcPr>
            <w:tcW w:w="993" w:type="dxa"/>
          </w:tcPr>
          <w:p w:rsidR="00EF5C7E" w:rsidRPr="00BE2E61" w:rsidRDefault="00EF5C7E" w:rsidP="00EF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E2E6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129,4/280</w:t>
            </w:r>
          </w:p>
        </w:tc>
        <w:tc>
          <w:tcPr>
            <w:tcW w:w="850" w:type="dxa"/>
          </w:tcPr>
          <w:p w:rsidR="00EF5C7E" w:rsidRPr="00BE2E61" w:rsidRDefault="00EF5C7E" w:rsidP="00EF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E2E6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28,8/551</w:t>
            </w:r>
          </w:p>
        </w:tc>
        <w:tc>
          <w:tcPr>
            <w:tcW w:w="1127" w:type="dxa"/>
            <w:vAlign w:val="center"/>
          </w:tcPr>
          <w:p w:rsidR="00EF5C7E" w:rsidRPr="00BE2E61" w:rsidRDefault="00EF5C7E" w:rsidP="00EF5C7E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219,7</w:t>
            </w:r>
          </w:p>
        </w:tc>
      </w:tr>
      <w:tr w:rsidR="00BE2E61" w:rsidRPr="00BE2E61" w:rsidTr="00450ED0">
        <w:trPr>
          <w:trHeight w:val="454"/>
        </w:trPr>
        <w:tc>
          <w:tcPr>
            <w:tcW w:w="779" w:type="dxa"/>
            <w:vAlign w:val="center"/>
          </w:tcPr>
          <w:p w:rsidR="00EF5C7E" w:rsidRPr="00BE2E61" w:rsidRDefault="00EF5C7E" w:rsidP="00EF5C7E">
            <w:pPr>
              <w:pStyle w:val="TCTableBody"/>
              <w:rPr>
                <w:lang w:val="pt-BR"/>
              </w:rPr>
            </w:pPr>
            <w:proofErr w:type="gramStart"/>
            <w:r w:rsidRPr="00BE2E61">
              <w:rPr>
                <w:lang w:val="pt-BR"/>
              </w:rPr>
              <w:t>2K104</w:t>
            </w:r>
            <w:proofErr w:type="gramEnd"/>
          </w:p>
        </w:tc>
        <w:tc>
          <w:tcPr>
            <w:tcW w:w="992" w:type="dxa"/>
            <w:vAlign w:val="center"/>
          </w:tcPr>
          <w:p w:rsidR="00EF5C7E" w:rsidRPr="00BE2E61" w:rsidRDefault="00EF5C7E" w:rsidP="00EF5C7E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95,4/172</w:t>
            </w:r>
          </w:p>
        </w:tc>
        <w:tc>
          <w:tcPr>
            <w:tcW w:w="993" w:type="dxa"/>
          </w:tcPr>
          <w:p w:rsidR="00EF5C7E" w:rsidRPr="00BE2E61" w:rsidRDefault="00EF5C7E" w:rsidP="00EF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E2E6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156,8/252</w:t>
            </w:r>
          </w:p>
        </w:tc>
        <w:tc>
          <w:tcPr>
            <w:tcW w:w="850" w:type="dxa"/>
          </w:tcPr>
          <w:p w:rsidR="00EF5C7E" w:rsidRPr="00BE2E61" w:rsidRDefault="00EF5C7E" w:rsidP="00EF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E2E6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10,1/537</w:t>
            </w:r>
          </w:p>
        </w:tc>
        <w:tc>
          <w:tcPr>
            <w:tcW w:w="1127" w:type="dxa"/>
            <w:vAlign w:val="center"/>
          </w:tcPr>
          <w:p w:rsidR="00EF5C7E" w:rsidRPr="00BE2E61" w:rsidRDefault="00EF5C7E" w:rsidP="00EF5C7E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262,4</w:t>
            </w:r>
          </w:p>
        </w:tc>
      </w:tr>
      <w:tr w:rsidR="00BE2E61" w:rsidRPr="00BE2E61" w:rsidTr="00450ED0">
        <w:trPr>
          <w:trHeight w:val="454"/>
        </w:trPr>
        <w:tc>
          <w:tcPr>
            <w:tcW w:w="779" w:type="dxa"/>
            <w:tcBorders>
              <w:bottom w:val="single" w:sz="6" w:space="0" w:color="auto"/>
            </w:tcBorders>
            <w:vAlign w:val="center"/>
          </w:tcPr>
          <w:p w:rsidR="00EF5C7E" w:rsidRPr="00BE2E61" w:rsidRDefault="00EF5C7E" w:rsidP="00EF5C7E">
            <w:pPr>
              <w:pStyle w:val="TCTableBody"/>
              <w:rPr>
                <w:lang w:val="pt-BR"/>
              </w:rPr>
            </w:pPr>
            <w:proofErr w:type="gramStart"/>
            <w:r w:rsidRPr="00BE2E61">
              <w:rPr>
                <w:lang w:val="pt-BR"/>
              </w:rPr>
              <w:t>2K106</w:t>
            </w:r>
            <w:proofErr w:type="gramEnd"/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EF5C7E" w:rsidRPr="00BE2E61" w:rsidRDefault="00EF5C7E" w:rsidP="00EF5C7E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75,9/169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EF5C7E" w:rsidRPr="00BE2E61" w:rsidRDefault="00EF5C7E" w:rsidP="00EF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E2E6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70,8/289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F5C7E" w:rsidRPr="00BE2E61" w:rsidRDefault="00EF5C7E" w:rsidP="00EF5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E2E6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31,3/537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vAlign w:val="center"/>
          </w:tcPr>
          <w:p w:rsidR="00EF5C7E" w:rsidRPr="00BE2E61" w:rsidRDefault="00EF5C7E" w:rsidP="00EF5C7E">
            <w:pPr>
              <w:pStyle w:val="TCTableBody"/>
              <w:jc w:val="center"/>
              <w:rPr>
                <w:lang w:val="pt-BR"/>
              </w:rPr>
            </w:pPr>
            <w:r w:rsidRPr="00BE2E61">
              <w:rPr>
                <w:lang w:val="pt-BR"/>
              </w:rPr>
              <w:t>178,0</w:t>
            </w:r>
          </w:p>
        </w:tc>
      </w:tr>
    </w:tbl>
    <w:p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:rsidR="007C5E0E" w:rsidRPr="00EF6049" w:rsidRDefault="00BF79DB" w:rsidP="00A87A6F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tratamento </w:t>
      </w:r>
      <w:r w:rsidR="00A75C23">
        <w:rPr>
          <w:rFonts w:ascii="Times New Roman" w:hAnsi="Times New Roman"/>
          <w:lang w:val="pt-BR"/>
        </w:rPr>
        <w:t xml:space="preserve">da </w:t>
      </w:r>
      <w:r w:rsidR="001F4EBB">
        <w:rPr>
          <w:rFonts w:ascii="Times New Roman" w:hAnsi="Times New Roman"/>
          <w:lang w:val="pt-BR"/>
        </w:rPr>
        <w:t>K10</w:t>
      </w:r>
      <w:r>
        <w:rPr>
          <w:rFonts w:ascii="Times New Roman" w:hAnsi="Times New Roman"/>
          <w:lang w:val="pt-BR"/>
        </w:rPr>
        <w:t xml:space="preserve"> resultou em alterações na quantidade </w:t>
      </w:r>
      <w:r w:rsidR="008446D2">
        <w:rPr>
          <w:rFonts w:ascii="Times New Roman" w:hAnsi="Times New Roman"/>
          <w:lang w:val="pt-BR"/>
        </w:rPr>
        <w:t xml:space="preserve">e na força </w:t>
      </w:r>
      <w:r>
        <w:rPr>
          <w:rFonts w:ascii="Times New Roman" w:hAnsi="Times New Roman"/>
          <w:lang w:val="pt-BR"/>
        </w:rPr>
        <w:t>d</w:t>
      </w:r>
      <w:r w:rsidR="00396FBA">
        <w:rPr>
          <w:rFonts w:ascii="Times New Roman" w:hAnsi="Times New Roman"/>
          <w:lang w:val="pt-BR"/>
        </w:rPr>
        <w:t>os</w:t>
      </w:r>
      <w:r>
        <w:rPr>
          <w:rFonts w:ascii="Times New Roman" w:hAnsi="Times New Roman"/>
          <w:lang w:val="pt-BR"/>
        </w:rPr>
        <w:t xml:space="preserve"> sítios ácidos</w:t>
      </w:r>
      <w:r w:rsidR="001F4EBB">
        <w:rPr>
          <w:rFonts w:ascii="Times New Roman" w:hAnsi="Times New Roman"/>
          <w:lang w:val="pt-BR"/>
        </w:rPr>
        <w:t xml:space="preserve"> </w:t>
      </w:r>
      <w:r w:rsidR="0034635F">
        <w:rPr>
          <w:rFonts w:ascii="Times New Roman" w:hAnsi="Times New Roman"/>
          <w:lang w:val="pt-BR"/>
        </w:rPr>
        <w:t xml:space="preserve">e </w:t>
      </w:r>
      <w:r w:rsidR="00EE151A">
        <w:rPr>
          <w:color w:val="000000" w:themeColor="text1"/>
          <w:lang w:val="pt-BR"/>
        </w:rPr>
        <w:t>conduziu a</w:t>
      </w:r>
      <w:r w:rsidR="00EE151A" w:rsidRPr="007E46D5">
        <w:rPr>
          <w:color w:val="000000" w:themeColor="text1"/>
          <w:lang w:val="pt-BR"/>
        </w:rPr>
        <w:t xml:space="preserve"> um pequeno aumento na área superficial específica </w:t>
      </w:r>
      <w:r w:rsidR="005D75E2">
        <w:rPr>
          <w:color w:val="000000" w:themeColor="text1"/>
          <w:lang w:val="pt-BR"/>
        </w:rPr>
        <w:t>da</w:t>
      </w:r>
      <w:r w:rsidR="0034635F">
        <w:rPr>
          <w:color w:val="000000" w:themeColor="text1"/>
          <w:lang w:val="pt-BR"/>
        </w:rPr>
        <w:t xml:space="preserve"> 1K102</w:t>
      </w:r>
      <w:r w:rsidR="00EE151A" w:rsidRPr="007E46D5">
        <w:rPr>
          <w:color w:val="000000" w:themeColor="text1"/>
          <w:lang w:val="pt-BR"/>
        </w:rPr>
        <w:t>.</w:t>
      </w:r>
      <w:r w:rsidR="00EE151A">
        <w:rPr>
          <w:color w:val="000000" w:themeColor="text1"/>
          <w:lang w:val="pt-BR"/>
        </w:rPr>
        <w:t xml:space="preserve"> </w:t>
      </w:r>
      <w:r w:rsidR="00D766F8">
        <w:rPr>
          <w:color w:val="000000" w:themeColor="text1"/>
          <w:lang w:val="pt-BR"/>
        </w:rPr>
        <w:t xml:space="preserve">O tratamento </w:t>
      </w:r>
      <w:r w:rsidR="00396FBA">
        <w:rPr>
          <w:color w:val="000000" w:themeColor="text1"/>
          <w:lang w:val="pt-BR"/>
        </w:rPr>
        <w:t>a</w:t>
      </w:r>
      <w:r w:rsidR="00D766F8">
        <w:rPr>
          <w:color w:val="000000" w:themeColor="text1"/>
          <w:lang w:val="pt-BR"/>
        </w:rPr>
        <w:t xml:space="preserve"> 25 °C se mostrou mais promissor </w:t>
      </w:r>
      <w:r w:rsidR="000F028C">
        <w:rPr>
          <w:color w:val="000000" w:themeColor="text1"/>
          <w:lang w:val="pt-BR"/>
        </w:rPr>
        <w:t>quanto às características ácidas dos sólidos tratados</w:t>
      </w:r>
      <w:r w:rsidR="00DB1D8D">
        <w:rPr>
          <w:color w:val="000000" w:themeColor="text1"/>
          <w:lang w:val="pt-BR"/>
        </w:rPr>
        <w:t xml:space="preserve">, especialmente, </w:t>
      </w:r>
      <w:r w:rsidR="00396FBA">
        <w:rPr>
          <w:color w:val="000000" w:themeColor="text1"/>
          <w:lang w:val="pt-BR"/>
        </w:rPr>
        <w:t xml:space="preserve">nas amostras </w:t>
      </w:r>
      <w:r w:rsidR="00DB1D8D">
        <w:rPr>
          <w:color w:val="000000" w:themeColor="text1"/>
          <w:lang w:val="pt-BR"/>
        </w:rPr>
        <w:t>1K104 e 1K102.</w:t>
      </w:r>
      <w:r w:rsidR="00DB1D8D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Ess</w:t>
      </w:r>
      <w:r w:rsidR="00DB1D8D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 xml:space="preserve">s </w:t>
      </w:r>
      <w:r w:rsidR="00DB1D8D">
        <w:rPr>
          <w:rFonts w:ascii="Times New Roman" w:hAnsi="Times New Roman"/>
          <w:lang w:val="pt-BR"/>
        </w:rPr>
        <w:t>resultados</w:t>
      </w:r>
      <w:r>
        <w:rPr>
          <w:rFonts w:ascii="Times New Roman" w:hAnsi="Times New Roman"/>
          <w:lang w:val="pt-BR"/>
        </w:rPr>
        <w:t xml:space="preserve"> </w:t>
      </w:r>
      <w:r w:rsidR="00DB1D8D">
        <w:rPr>
          <w:rFonts w:ascii="Times New Roman" w:hAnsi="Times New Roman"/>
          <w:lang w:val="pt-BR"/>
        </w:rPr>
        <w:t xml:space="preserve">são </w:t>
      </w:r>
      <w:r w:rsidR="003C31C7">
        <w:rPr>
          <w:rFonts w:ascii="Times New Roman" w:hAnsi="Times New Roman"/>
          <w:lang w:val="pt-BR"/>
        </w:rPr>
        <w:t>promissores</w:t>
      </w:r>
      <w:proofErr w:type="gramStart"/>
      <w:r w:rsidR="003C31C7">
        <w:rPr>
          <w:rFonts w:ascii="Times New Roman" w:hAnsi="Times New Roman"/>
          <w:lang w:val="pt-BR"/>
        </w:rPr>
        <w:t xml:space="preserve"> pois</w:t>
      </w:r>
      <w:proofErr w:type="gramEnd"/>
      <w:r w:rsidR="003C31C7">
        <w:rPr>
          <w:rFonts w:ascii="Times New Roman" w:hAnsi="Times New Roman"/>
          <w:lang w:val="pt-BR"/>
        </w:rPr>
        <w:t xml:space="preserve"> </w:t>
      </w:r>
      <w:r w:rsidR="00396FBA">
        <w:rPr>
          <w:rFonts w:ascii="Times New Roman" w:hAnsi="Times New Roman"/>
          <w:lang w:val="pt-BR"/>
        </w:rPr>
        <w:t xml:space="preserve">mostram o aumento da acidez </w:t>
      </w:r>
      <w:r>
        <w:rPr>
          <w:rFonts w:ascii="Times New Roman" w:hAnsi="Times New Roman"/>
          <w:lang w:val="pt-BR"/>
        </w:rPr>
        <w:t>d</w:t>
      </w:r>
      <w:r w:rsidR="003C31C7">
        <w:rPr>
          <w:rFonts w:ascii="Times New Roman" w:hAnsi="Times New Roman"/>
          <w:lang w:val="pt-BR"/>
        </w:rPr>
        <w:t xml:space="preserve">a argila comercial através de um tratamento </w:t>
      </w:r>
      <w:r w:rsidR="00A87A6F">
        <w:rPr>
          <w:rFonts w:ascii="Times New Roman" w:hAnsi="Times New Roman"/>
          <w:lang w:val="pt-BR"/>
        </w:rPr>
        <w:t>rápido e simples.</w:t>
      </w:r>
      <w:r>
        <w:rPr>
          <w:rFonts w:ascii="Times New Roman" w:hAnsi="Times New Roman"/>
          <w:lang w:val="pt-BR"/>
        </w:rPr>
        <w:t xml:space="preserve"> </w:t>
      </w:r>
      <w:r w:rsidR="00396FBA">
        <w:rPr>
          <w:rFonts w:ascii="Times New Roman" w:hAnsi="Times New Roman"/>
          <w:lang w:val="pt-BR"/>
        </w:rPr>
        <w:t xml:space="preserve">A acidez forte é uma característica fundamental do catalisador para ser eficiente na </w:t>
      </w:r>
      <w:proofErr w:type="spellStart"/>
      <w:r w:rsidR="00396FBA">
        <w:rPr>
          <w:rFonts w:ascii="Times New Roman" w:hAnsi="Times New Roman"/>
          <w:lang w:val="pt-BR"/>
        </w:rPr>
        <w:t>pirólise</w:t>
      </w:r>
      <w:proofErr w:type="spellEnd"/>
      <w:r w:rsidR="00396FBA">
        <w:rPr>
          <w:rFonts w:ascii="Times New Roman" w:hAnsi="Times New Roman"/>
          <w:lang w:val="pt-BR"/>
        </w:rPr>
        <w:t xml:space="preserve"> da biomassa. </w:t>
      </w:r>
    </w:p>
    <w:p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:rsidR="006C6D18" w:rsidRPr="001F25B2" w:rsidRDefault="006C6D18" w:rsidP="006C6D18">
      <w:pPr>
        <w:pStyle w:val="TAMainText"/>
        <w:rPr>
          <w:rFonts w:ascii="Times New Roman" w:hAnsi="Times New Roman"/>
          <w:lang w:val="pt-BR"/>
        </w:rPr>
      </w:pPr>
      <w:r w:rsidRPr="00634BD1">
        <w:rPr>
          <w:rFonts w:ascii="Times New Roman" w:hAnsi="Times New Roman"/>
          <w:lang w:val="pt-BR"/>
        </w:rPr>
        <w:t xml:space="preserve">Os autores agradecem ao CNPq </w:t>
      </w:r>
      <w:r>
        <w:rPr>
          <w:rFonts w:ascii="Times New Roman" w:hAnsi="Times New Roman"/>
          <w:lang w:val="pt-BR"/>
        </w:rPr>
        <w:t xml:space="preserve">e FINEP </w:t>
      </w:r>
      <w:r w:rsidRPr="00634BD1">
        <w:rPr>
          <w:rFonts w:ascii="Times New Roman" w:hAnsi="Times New Roman"/>
          <w:lang w:val="pt-BR"/>
        </w:rPr>
        <w:t>pelo apoio financeiro</w:t>
      </w:r>
      <w:r>
        <w:rPr>
          <w:rFonts w:ascii="Times New Roman" w:hAnsi="Times New Roman"/>
          <w:lang w:val="pt-BR"/>
        </w:rPr>
        <w:t>.</w:t>
      </w:r>
    </w:p>
    <w:p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:rsidR="00BF79DB" w:rsidRPr="00D40CA5" w:rsidRDefault="00BF79DB" w:rsidP="00BF79DB">
      <w:pPr>
        <w:pStyle w:val="TAMainText"/>
        <w:numPr>
          <w:ilvl w:val="0"/>
          <w:numId w:val="1"/>
        </w:numPr>
        <w:rPr>
          <w:lang w:val="pt-BR"/>
        </w:rPr>
      </w:pPr>
      <w:proofErr w:type="spellStart"/>
      <w:r w:rsidRPr="00D40CA5">
        <w:rPr>
          <w:lang w:val="pt-BR"/>
        </w:rPr>
        <w:t>M.C.</w:t>
      </w:r>
      <w:proofErr w:type="spellEnd"/>
      <w:r w:rsidRPr="00D40CA5">
        <w:rPr>
          <w:lang w:val="pt-BR"/>
        </w:rPr>
        <w:t xml:space="preserve"> Rangel</w:t>
      </w:r>
      <w:r>
        <w:rPr>
          <w:lang w:val="pt-BR"/>
        </w:rPr>
        <w:t xml:space="preserve">; </w:t>
      </w:r>
      <w:proofErr w:type="spellStart"/>
      <w:r w:rsidRPr="00D40CA5">
        <w:rPr>
          <w:lang w:val="pt-BR"/>
        </w:rPr>
        <w:t>F.M</w:t>
      </w:r>
      <w:r>
        <w:rPr>
          <w:lang w:val="pt-BR"/>
        </w:rPr>
        <w:t>.</w:t>
      </w:r>
      <w:proofErr w:type="spellEnd"/>
      <w:r w:rsidRPr="00D40CA5">
        <w:rPr>
          <w:lang w:val="pt-BR"/>
        </w:rPr>
        <w:t xml:space="preserve"> Mayer</w:t>
      </w:r>
      <w:r>
        <w:rPr>
          <w:lang w:val="pt-BR"/>
        </w:rPr>
        <w:t xml:space="preserve">; </w:t>
      </w:r>
      <w:proofErr w:type="spellStart"/>
      <w:proofErr w:type="gramStart"/>
      <w:r w:rsidRPr="00D40CA5">
        <w:rPr>
          <w:lang w:val="pt-BR"/>
        </w:rPr>
        <w:t>M.d.S.</w:t>
      </w:r>
      <w:proofErr w:type="spellEnd"/>
      <w:proofErr w:type="gramEnd"/>
      <w:r w:rsidRPr="00D40CA5">
        <w:rPr>
          <w:lang w:val="pt-BR"/>
        </w:rPr>
        <w:t xml:space="preserve"> Carvalho</w:t>
      </w:r>
      <w:r>
        <w:rPr>
          <w:lang w:val="pt-BR"/>
        </w:rPr>
        <w:t>;</w:t>
      </w:r>
      <w:r w:rsidRPr="00D40CA5">
        <w:rPr>
          <w:lang w:val="pt-BR"/>
        </w:rPr>
        <w:t xml:space="preserve"> G. Sabo</w:t>
      </w:r>
      <w:r>
        <w:rPr>
          <w:lang w:val="pt-BR"/>
        </w:rPr>
        <w:t>i</w:t>
      </w:r>
      <w:r w:rsidRPr="00D40CA5">
        <w:rPr>
          <w:lang w:val="pt-BR"/>
        </w:rPr>
        <w:t>a</w:t>
      </w:r>
      <w:r>
        <w:rPr>
          <w:lang w:val="pt-BR"/>
        </w:rPr>
        <w:t>;</w:t>
      </w:r>
      <w:r w:rsidRPr="00D40CA5">
        <w:rPr>
          <w:lang w:val="pt-BR"/>
        </w:rPr>
        <w:t xml:space="preserve"> </w:t>
      </w:r>
      <w:proofErr w:type="spellStart"/>
      <w:r w:rsidRPr="00D40CA5">
        <w:rPr>
          <w:lang w:val="pt-BR"/>
        </w:rPr>
        <w:t>A.M.</w:t>
      </w:r>
      <w:proofErr w:type="spellEnd"/>
      <w:r w:rsidRPr="00D40CA5">
        <w:rPr>
          <w:lang w:val="pt-BR"/>
        </w:rPr>
        <w:t xml:space="preserve"> de Andrade, </w:t>
      </w:r>
      <w:proofErr w:type="spellStart"/>
      <w:r w:rsidRPr="00D40CA5">
        <w:rPr>
          <w:i/>
          <w:iCs/>
          <w:lang w:val="pt-BR"/>
        </w:rPr>
        <w:t>Biomass</w:t>
      </w:r>
      <w:proofErr w:type="spellEnd"/>
      <w:r w:rsidRPr="00D40CA5">
        <w:rPr>
          <w:lang w:val="pt-BR"/>
        </w:rPr>
        <w:t xml:space="preserve">, </w:t>
      </w:r>
      <w:r w:rsidRPr="00D40CA5">
        <w:rPr>
          <w:b/>
          <w:bCs/>
          <w:lang w:val="pt-BR"/>
        </w:rPr>
        <w:t>2023</w:t>
      </w:r>
      <w:r>
        <w:rPr>
          <w:lang w:val="pt-BR"/>
        </w:rPr>
        <w:t xml:space="preserve">, </w:t>
      </w:r>
      <w:r w:rsidRPr="00003C2E">
        <w:rPr>
          <w:i/>
          <w:iCs/>
          <w:lang w:val="pt-BR"/>
        </w:rPr>
        <w:t>3</w:t>
      </w:r>
      <w:r>
        <w:rPr>
          <w:lang w:val="pt-BR"/>
        </w:rPr>
        <w:t xml:space="preserve">, </w:t>
      </w:r>
      <w:r w:rsidRPr="00D40CA5">
        <w:rPr>
          <w:lang w:val="pt-BR"/>
        </w:rPr>
        <w:t xml:space="preserve">31-63. </w:t>
      </w:r>
    </w:p>
    <w:p w:rsidR="00BF79DB" w:rsidRPr="00942786" w:rsidRDefault="00BF79DB" w:rsidP="00BF79DB">
      <w:pPr>
        <w:pStyle w:val="TAMainText"/>
        <w:numPr>
          <w:ilvl w:val="0"/>
          <w:numId w:val="1"/>
        </w:numPr>
      </w:pPr>
      <w:r w:rsidRPr="00942786">
        <w:rPr>
          <w:rFonts w:ascii="Times New Roman" w:hAnsi="Times New Roman"/>
        </w:rPr>
        <w:t xml:space="preserve">A.J. </w:t>
      </w:r>
      <w:proofErr w:type="spellStart"/>
      <w:r w:rsidRPr="00942786">
        <w:rPr>
          <w:rFonts w:ascii="Times New Roman" w:hAnsi="Times New Roman"/>
        </w:rPr>
        <w:t>Schwanke</w:t>
      </w:r>
      <w:proofErr w:type="spellEnd"/>
      <w:r w:rsidRPr="00942786">
        <w:rPr>
          <w:rFonts w:ascii="Times New Roman" w:hAnsi="Times New Roman"/>
        </w:rPr>
        <w:t xml:space="preserve">; S.B.C. </w:t>
      </w:r>
      <w:proofErr w:type="spellStart"/>
      <w:r w:rsidRPr="00942786">
        <w:rPr>
          <w:rFonts w:ascii="Times New Roman" w:hAnsi="Times New Roman"/>
        </w:rPr>
        <w:t>Pergher</w:t>
      </w:r>
      <w:proofErr w:type="spellEnd"/>
      <w:r w:rsidRPr="00942786">
        <w:rPr>
          <w:rFonts w:ascii="Times New Roman" w:hAnsi="Times New Roman"/>
        </w:rPr>
        <w:t xml:space="preserve">, </w:t>
      </w:r>
      <w:proofErr w:type="spellStart"/>
      <w:r w:rsidRPr="00942786">
        <w:rPr>
          <w:rFonts w:ascii="Times New Roman" w:hAnsi="Times New Roman"/>
          <w:i/>
        </w:rPr>
        <w:t>Cerâmica</w:t>
      </w:r>
      <w:proofErr w:type="spellEnd"/>
      <w:r w:rsidRPr="00942786">
        <w:rPr>
          <w:rFonts w:ascii="Times New Roman" w:hAnsi="Times New Roman"/>
        </w:rPr>
        <w:t xml:space="preserve"> </w:t>
      </w:r>
      <w:r w:rsidRPr="00942786">
        <w:rPr>
          <w:rFonts w:ascii="Times New Roman" w:hAnsi="Times New Roman"/>
          <w:b/>
          <w:bCs/>
        </w:rPr>
        <w:t>2013</w:t>
      </w:r>
      <w:r w:rsidRPr="00942786">
        <w:rPr>
          <w:rFonts w:ascii="Times New Roman" w:hAnsi="Times New Roman"/>
        </w:rPr>
        <w:t xml:space="preserve">, </w:t>
      </w:r>
      <w:r w:rsidRPr="00942786">
        <w:rPr>
          <w:rFonts w:ascii="Times New Roman" w:hAnsi="Times New Roman"/>
          <w:i/>
          <w:iCs/>
        </w:rPr>
        <w:t>59</w:t>
      </w:r>
      <w:r w:rsidRPr="00942786">
        <w:rPr>
          <w:rFonts w:ascii="Times New Roman" w:hAnsi="Times New Roman"/>
        </w:rPr>
        <w:t>, 576-587.</w:t>
      </w:r>
    </w:p>
    <w:p w:rsidR="00BF79DB" w:rsidRDefault="00BF79DB" w:rsidP="00BF79DB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B.S. </w:t>
      </w:r>
      <w:r w:rsidRPr="00E96E53">
        <w:rPr>
          <w:rFonts w:ascii="Times New Roman" w:hAnsi="Times New Roman"/>
          <w:sz w:val="20"/>
          <w:szCs w:val="20"/>
          <w:lang w:val="en-US"/>
        </w:rPr>
        <w:t>Kumar</w:t>
      </w:r>
      <w:r>
        <w:rPr>
          <w:rFonts w:ascii="Times New Roman" w:hAnsi="Times New Roman"/>
          <w:sz w:val="20"/>
          <w:szCs w:val="20"/>
          <w:lang w:val="en-US"/>
        </w:rPr>
        <w:t>; A.</w:t>
      </w:r>
      <w:r w:rsidRPr="00E96E5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96E53">
        <w:rPr>
          <w:rFonts w:ascii="Times New Roman" w:hAnsi="Times New Roman"/>
          <w:sz w:val="20"/>
          <w:szCs w:val="20"/>
          <w:lang w:val="en-US"/>
        </w:rPr>
        <w:t>Dhakshinamoorthy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; K.</w:t>
      </w:r>
      <w:r w:rsidRPr="00E96E5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96E53">
        <w:rPr>
          <w:rFonts w:ascii="Times New Roman" w:hAnsi="Times New Roman"/>
          <w:sz w:val="20"/>
          <w:szCs w:val="20"/>
          <w:lang w:val="en-US"/>
        </w:rPr>
        <w:t>Pitchumani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,</w:t>
      </w:r>
      <w:r w:rsidRPr="00E96E5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96E53">
        <w:rPr>
          <w:rFonts w:ascii="Times New Roman" w:hAnsi="Times New Roman"/>
          <w:i/>
          <w:sz w:val="20"/>
          <w:szCs w:val="20"/>
          <w:lang w:val="en-US"/>
        </w:rPr>
        <w:t>Catal</w:t>
      </w:r>
      <w:proofErr w:type="spellEnd"/>
      <w:r w:rsidRPr="00E96E53">
        <w:rPr>
          <w:rFonts w:ascii="Times New Roman" w:hAnsi="Times New Roman"/>
          <w:i/>
          <w:sz w:val="20"/>
          <w:szCs w:val="20"/>
          <w:lang w:val="en-US"/>
        </w:rPr>
        <w:t>. Sci. Technol.</w:t>
      </w:r>
      <w:r w:rsidRPr="00E96E5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C7D1E">
        <w:rPr>
          <w:rFonts w:ascii="Times New Roman" w:hAnsi="Times New Roman"/>
          <w:b/>
          <w:bCs/>
          <w:sz w:val="20"/>
          <w:szCs w:val="20"/>
          <w:lang w:val="en-US"/>
        </w:rPr>
        <w:t>2014</w:t>
      </w:r>
      <w:r w:rsidRPr="00E96E53"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003C2E">
        <w:rPr>
          <w:rFonts w:ascii="Times New Roman" w:hAnsi="Times New Roman"/>
          <w:i/>
          <w:iCs/>
          <w:sz w:val="20"/>
          <w:szCs w:val="20"/>
          <w:lang w:val="en-US"/>
        </w:rPr>
        <w:t>4</w:t>
      </w:r>
      <w:r w:rsidRPr="00E96E53">
        <w:rPr>
          <w:rFonts w:ascii="Times New Roman" w:hAnsi="Times New Roman"/>
          <w:sz w:val="20"/>
          <w:szCs w:val="20"/>
          <w:lang w:val="en-US"/>
        </w:rPr>
        <w:t>, 2378-2396.</w:t>
      </w:r>
    </w:p>
    <w:p w:rsidR="00BF79DB" w:rsidRPr="004C0B23" w:rsidRDefault="00BF79DB" w:rsidP="00BF79DB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004C0B23">
        <w:rPr>
          <w:rFonts w:ascii="Times New Roman" w:hAnsi="Times New Roman"/>
          <w:sz w:val="20"/>
          <w:szCs w:val="20"/>
          <w:lang w:val="en-US"/>
        </w:rPr>
        <w:t xml:space="preserve">P. </w:t>
      </w:r>
      <w:proofErr w:type="spellStart"/>
      <w:r w:rsidRPr="004C0B23">
        <w:rPr>
          <w:rFonts w:ascii="Times New Roman" w:hAnsi="Times New Roman"/>
          <w:sz w:val="20"/>
          <w:szCs w:val="20"/>
          <w:lang w:val="en-US"/>
        </w:rPr>
        <w:t>Komadel</w:t>
      </w:r>
      <w:proofErr w:type="spellEnd"/>
      <w:r w:rsidRPr="004C0B23"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4C0B23">
        <w:rPr>
          <w:rFonts w:ascii="Times New Roman" w:hAnsi="Times New Roman"/>
          <w:i/>
          <w:iCs/>
          <w:sz w:val="20"/>
          <w:szCs w:val="20"/>
          <w:lang w:val="en-US"/>
        </w:rPr>
        <w:t>Appl. Clay Sci</w:t>
      </w:r>
      <w:r w:rsidRPr="004C0B23">
        <w:rPr>
          <w:rFonts w:ascii="Times New Roman" w:hAnsi="Times New Roman"/>
          <w:sz w:val="20"/>
          <w:szCs w:val="20"/>
          <w:lang w:val="en-US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4C0B23">
        <w:rPr>
          <w:rFonts w:ascii="Times New Roman" w:hAnsi="Times New Roman"/>
          <w:b/>
          <w:bCs/>
          <w:sz w:val="20"/>
          <w:szCs w:val="20"/>
          <w:lang w:val="en-US"/>
        </w:rPr>
        <w:t>2016</w:t>
      </w:r>
      <w:r w:rsidRPr="004C0B23"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4C0B23">
        <w:rPr>
          <w:rFonts w:ascii="Times New Roman" w:hAnsi="Times New Roman"/>
          <w:i/>
          <w:iCs/>
          <w:sz w:val="20"/>
          <w:szCs w:val="20"/>
          <w:lang w:val="en-US"/>
        </w:rPr>
        <w:t>131</w:t>
      </w:r>
      <w:r w:rsidRPr="004C0B23">
        <w:rPr>
          <w:rFonts w:ascii="Times New Roman" w:hAnsi="Times New Roman"/>
          <w:sz w:val="20"/>
          <w:szCs w:val="20"/>
          <w:lang w:val="en-US"/>
        </w:rPr>
        <w:t>, 84-99.</w:t>
      </w:r>
    </w:p>
    <w:p w:rsidR="006837B6" w:rsidRPr="006837B6" w:rsidRDefault="006837B6" w:rsidP="006837B6">
      <w:pPr>
        <w:pStyle w:val="TAMainText"/>
        <w:numPr>
          <w:ilvl w:val="0"/>
          <w:numId w:val="1"/>
        </w:numPr>
        <w:rPr>
          <w:lang w:val="pt-BR"/>
        </w:rPr>
      </w:pPr>
      <w:proofErr w:type="spellStart"/>
      <w:r w:rsidRPr="009769F3">
        <w:rPr>
          <w:lang w:val="pt-BR"/>
        </w:rPr>
        <w:t>M.G.F.</w:t>
      </w:r>
      <w:proofErr w:type="spellEnd"/>
      <w:r w:rsidRPr="009769F3">
        <w:rPr>
          <w:lang w:val="pt-BR"/>
        </w:rPr>
        <w:t xml:space="preserve"> Rodrigues; </w:t>
      </w:r>
      <w:proofErr w:type="spellStart"/>
      <w:proofErr w:type="gramStart"/>
      <w:r w:rsidRPr="009769F3">
        <w:rPr>
          <w:lang w:val="pt-BR"/>
        </w:rPr>
        <w:t>K.R.</w:t>
      </w:r>
      <w:proofErr w:type="spellEnd"/>
      <w:proofErr w:type="gramEnd"/>
      <w:r w:rsidRPr="009769F3">
        <w:rPr>
          <w:lang w:val="pt-BR"/>
        </w:rPr>
        <w:t xml:space="preserve">O Pereira; </w:t>
      </w:r>
      <w:proofErr w:type="spellStart"/>
      <w:r w:rsidRPr="009769F3">
        <w:rPr>
          <w:lang w:val="pt-BR"/>
        </w:rPr>
        <w:t>F.R.</w:t>
      </w:r>
      <w:proofErr w:type="spellEnd"/>
      <w:r w:rsidRPr="009769F3">
        <w:rPr>
          <w:lang w:val="pt-BR"/>
        </w:rPr>
        <w:t xml:space="preserve"> </w:t>
      </w:r>
      <w:proofErr w:type="spellStart"/>
      <w:r w:rsidRPr="009769F3">
        <w:rPr>
          <w:lang w:val="pt-BR"/>
        </w:rPr>
        <w:t>Valenzuela</w:t>
      </w:r>
      <w:proofErr w:type="spellEnd"/>
      <w:r w:rsidRPr="009769F3">
        <w:rPr>
          <w:lang w:val="pt-BR"/>
        </w:rPr>
        <w:t xml:space="preserve"> </w:t>
      </w:r>
      <w:proofErr w:type="spellStart"/>
      <w:r w:rsidRPr="009769F3">
        <w:rPr>
          <w:lang w:val="pt-BR"/>
        </w:rPr>
        <w:t>Díaz</w:t>
      </w:r>
      <w:proofErr w:type="spellEnd"/>
      <w:r w:rsidRPr="009769F3">
        <w:rPr>
          <w:lang w:val="pt-BR"/>
        </w:rPr>
        <w:t xml:space="preserve">, </w:t>
      </w:r>
      <w:r w:rsidRPr="009769F3">
        <w:rPr>
          <w:i/>
          <w:iCs/>
          <w:lang w:val="pt-BR"/>
        </w:rPr>
        <w:t>Cerâmica</w:t>
      </w:r>
      <w:r w:rsidRPr="009769F3">
        <w:rPr>
          <w:lang w:val="pt-BR"/>
        </w:rPr>
        <w:t xml:space="preserve">, </w:t>
      </w:r>
      <w:r w:rsidRPr="009769F3">
        <w:rPr>
          <w:b/>
          <w:bCs/>
          <w:lang w:val="pt-BR"/>
        </w:rPr>
        <w:t>2006,</w:t>
      </w:r>
      <w:r w:rsidRPr="009769F3">
        <w:rPr>
          <w:lang w:val="pt-BR"/>
        </w:rPr>
        <w:t xml:space="preserve"> </w:t>
      </w:r>
      <w:r w:rsidRPr="009769F3">
        <w:rPr>
          <w:i/>
          <w:iCs/>
          <w:lang w:val="pt-BR"/>
        </w:rPr>
        <w:t>52</w:t>
      </w:r>
      <w:r w:rsidRPr="009769F3">
        <w:rPr>
          <w:lang w:val="pt-BR"/>
        </w:rPr>
        <w:t>, 260-263.</w:t>
      </w:r>
    </w:p>
    <w:p w:rsidR="007B4B2B" w:rsidRPr="00457022" w:rsidRDefault="00BF79DB" w:rsidP="00F82043">
      <w:pPr>
        <w:pStyle w:val="TAMainText"/>
        <w:numPr>
          <w:ilvl w:val="0"/>
          <w:numId w:val="1"/>
        </w:numPr>
        <w:rPr>
          <w:lang w:val="es-ES"/>
        </w:rPr>
      </w:pPr>
      <w:r w:rsidRPr="00457022">
        <w:rPr>
          <w:lang w:val="es-ES"/>
        </w:rPr>
        <w:t xml:space="preserve">C.R. </w:t>
      </w:r>
      <w:proofErr w:type="spellStart"/>
      <w:r w:rsidRPr="00457022">
        <w:rPr>
          <w:lang w:val="es-ES"/>
        </w:rPr>
        <w:t>Ellison</w:t>
      </w:r>
      <w:proofErr w:type="spellEnd"/>
      <w:r w:rsidRPr="00457022">
        <w:rPr>
          <w:lang w:val="es-ES"/>
        </w:rPr>
        <w:t xml:space="preserve">; D. </w:t>
      </w:r>
      <w:proofErr w:type="spellStart"/>
      <w:r w:rsidRPr="00457022">
        <w:rPr>
          <w:lang w:val="es-ES"/>
        </w:rPr>
        <w:t>Boldor</w:t>
      </w:r>
      <w:proofErr w:type="spellEnd"/>
      <w:r w:rsidRPr="00457022">
        <w:rPr>
          <w:lang w:val="es-ES"/>
        </w:rPr>
        <w:t xml:space="preserve">, </w:t>
      </w:r>
      <w:r w:rsidRPr="00457022">
        <w:rPr>
          <w:i/>
          <w:iCs/>
          <w:lang w:val="es-ES"/>
        </w:rPr>
        <w:t>Fuel</w:t>
      </w:r>
      <w:r w:rsidRPr="00457022">
        <w:rPr>
          <w:lang w:val="es-ES"/>
        </w:rPr>
        <w:t xml:space="preserve">, </w:t>
      </w:r>
      <w:r w:rsidRPr="00457022">
        <w:rPr>
          <w:b/>
          <w:bCs/>
          <w:lang w:val="es-ES"/>
        </w:rPr>
        <w:t>2021</w:t>
      </w:r>
      <w:r w:rsidRPr="00457022">
        <w:rPr>
          <w:lang w:val="es-ES"/>
        </w:rPr>
        <w:t xml:space="preserve">, </w:t>
      </w:r>
      <w:r w:rsidRPr="00457022">
        <w:rPr>
          <w:i/>
          <w:iCs/>
          <w:lang w:val="es-ES"/>
        </w:rPr>
        <w:t>291</w:t>
      </w:r>
      <w:r w:rsidRPr="00457022">
        <w:rPr>
          <w:lang w:val="es-ES"/>
        </w:rPr>
        <w:t xml:space="preserve">, 120226. </w:t>
      </w:r>
    </w:p>
    <w:sectPr w:rsidR="007B4B2B" w:rsidRPr="00457022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A4D" w:rsidRDefault="00B62A4D" w:rsidP="00EA4E1B">
      <w:pPr>
        <w:spacing w:after="0" w:line="240" w:lineRule="auto"/>
      </w:pPr>
      <w:r>
        <w:separator/>
      </w:r>
    </w:p>
  </w:endnote>
  <w:endnote w:type="continuationSeparator" w:id="0">
    <w:p w:rsidR="00B62A4D" w:rsidRDefault="00B62A4D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A4D" w:rsidRDefault="00B62A4D" w:rsidP="00EA4E1B">
      <w:pPr>
        <w:spacing w:after="0" w:line="240" w:lineRule="auto"/>
      </w:pPr>
      <w:r>
        <w:separator/>
      </w:r>
    </w:p>
  </w:footnote>
  <w:footnote w:type="continuationSeparator" w:id="0">
    <w:p w:rsidR="00B62A4D" w:rsidRDefault="00B62A4D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0EE" w:rsidRDefault="00B020EE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>
      <w:rPr>
        <w:noProof/>
        <w:lang w:eastAsia="pt-BR"/>
      </w:rPr>
      <w:drawing>
        <wp:inline distT="0" distB="0" distL="0" distR="0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093A"/>
    <w:rsid w:val="0001252E"/>
    <w:rsid w:val="0001264A"/>
    <w:rsid w:val="000168A7"/>
    <w:rsid w:val="00024FF1"/>
    <w:rsid w:val="000349D8"/>
    <w:rsid w:val="0003564C"/>
    <w:rsid w:val="00041820"/>
    <w:rsid w:val="00044A10"/>
    <w:rsid w:val="000561C0"/>
    <w:rsid w:val="00060B7E"/>
    <w:rsid w:val="00061A72"/>
    <w:rsid w:val="00062B18"/>
    <w:rsid w:val="000652AB"/>
    <w:rsid w:val="00082412"/>
    <w:rsid w:val="0008347B"/>
    <w:rsid w:val="000925E9"/>
    <w:rsid w:val="000953B6"/>
    <w:rsid w:val="000A36DD"/>
    <w:rsid w:val="000B1834"/>
    <w:rsid w:val="000B2EFD"/>
    <w:rsid w:val="000C0501"/>
    <w:rsid w:val="000D68B9"/>
    <w:rsid w:val="000D74D7"/>
    <w:rsid w:val="000E56BD"/>
    <w:rsid w:val="000F028C"/>
    <w:rsid w:val="000F1D24"/>
    <w:rsid w:val="00105DF0"/>
    <w:rsid w:val="00115549"/>
    <w:rsid w:val="00115F3D"/>
    <w:rsid w:val="0012140D"/>
    <w:rsid w:val="00121C56"/>
    <w:rsid w:val="0012383D"/>
    <w:rsid w:val="00125478"/>
    <w:rsid w:val="00125C6E"/>
    <w:rsid w:val="00126AB5"/>
    <w:rsid w:val="0013255B"/>
    <w:rsid w:val="00134371"/>
    <w:rsid w:val="001362BD"/>
    <w:rsid w:val="001443C0"/>
    <w:rsid w:val="00145486"/>
    <w:rsid w:val="00145761"/>
    <w:rsid w:val="00145D3F"/>
    <w:rsid w:val="0016161A"/>
    <w:rsid w:val="00166775"/>
    <w:rsid w:val="00172530"/>
    <w:rsid w:val="00173D2E"/>
    <w:rsid w:val="0017416D"/>
    <w:rsid w:val="00187D7A"/>
    <w:rsid w:val="001945B2"/>
    <w:rsid w:val="00195E4D"/>
    <w:rsid w:val="001A11E7"/>
    <w:rsid w:val="001B031C"/>
    <w:rsid w:val="001B61F3"/>
    <w:rsid w:val="001C0CC4"/>
    <w:rsid w:val="001D4EC1"/>
    <w:rsid w:val="001E348C"/>
    <w:rsid w:val="001E46DD"/>
    <w:rsid w:val="001E58A9"/>
    <w:rsid w:val="001E6B86"/>
    <w:rsid w:val="001E7952"/>
    <w:rsid w:val="001E7B9E"/>
    <w:rsid w:val="001F25B2"/>
    <w:rsid w:val="001F2624"/>
    <w:rsid w:val="001F2BC9"/>
    <w:rsid w:val="001F4EBB"/>
    <w:rsid w:val="001F7194"/>
    <w:rsid w:val="002062B8"/>
    <w:rsid w:val="002148CD"/>
    <w:rsid w:val="00221B86"/>
    <w:rsid w:val="00222230"/>
    <w:rsid w:val="00222861"/>
    <w:rsid w:val="00224971"/>
    <w:rsid w:val="00224D18"/>
    <w:rsid w:val="002503A6"/>
    <w:rsid w:val="002520CC"/>
    <w:rsid w:val="00252A81"/>
    <w:rsid w:val="00253ACC"/>
    <w:rsid w:val="00260074"/>
    <w:rsid w:val="00271D29"/>
    <w:rsid w:val="00274443"/>
    <w:rsid w:val="00274EE9"/>
    <w:rsid w:val="00280FF6"/>
    <w:rsid w:val="0028667B"/>
    <w:rsid w:val="00292454"/>
    <w:rsid w:val="002A234A"/>
    <w:rsid w:val="002B1098"/>
    <w:rsid w:val="002B1749"/>
    <w:rsid w:val="002B2802"/>
    <w:rsid w:val="002B6A63"/>
    <w:rsid w:val="002B79BE"/>
    <w:rsid w:val="002C3144"/>
    <w:rsid w:val="002D1E43"/>
    <w:rsid w:val="002E5F1B"/>
    <w:rsid w:val="002E61A7"/>
    <w:rsid w:val="002F5560"/>
    <w:rsid w:val="0030071B"/>
    <w:rsid w:val="0030546C"/>
    <w:rsid w:val="003142F0"/>
    <w:rsid w:val="00316E11"/>
    <w:rsid w:val="00323440"/>
    <w:rsid w:val="00327284"/>
    <w:rsid w:val="00327E9B"/>
    <w:rsid w:val="0033153C"/>
    <w:rsid w:val="003323C7"/>
    <w:rsid w:val="00340B1E"/>
    <w:rsid w:val="00341A9E"/>
    <w:rsid w:val="00342723"/>
    <w:rsid w:val="00342E3E"/>
    <w:rsid w:val="0034635F"/>
    <w:rsid w:val="00352823"/>
    <w:rsid w:val="00354114"/>
    <w:rsid w:val="00372A70"/>
    <w:rsid w:val="00375837"/>
    <w:rsid w:val="003822A0"/>
    <w:rsid w:val="00385301"/>
    <w:rsid w:val="00396FBA"/>
    <w:rsid w:val="003A2885"/>
    <w:rsid w:val="003B0026"/>
    <w:rsid w:val="003B6222"/>
    <w:rsid w:val="003B7A3C"/>
    <w:rsid w:val="003C275A"/>
    <w:rsid w:val="003C31C7"/>
    <w:rsid w:val="003C42E4"/>
    <w:rsid w:val="003C4942"/>
    <w:rsid w:val="003C7C2F"/>
    <w:rsid w:val="003D27A9"/>
    <w:rsid w:val="003D3549"/>
    <w:rsid w:val="003D628B"/>
    <w:rsid w:val="003E62E8"/>
    <w:rsid w:val="003E7F6C"/>
    <w:rsid w:val="003E7FC0"/>
    <w:rsid w:val="003F5603"/>
    <w:rsid w:val="0040236B"/>
    <w:rsid w:val="00402F3E"/>
    <w:rsid w:val="004033CE"/>
    <w:rsid w:val="00404E7F"/>
    <w:rsid w:val="0040717E"/>
    <w:rsid w:val="00407BE1"/>
    <w:rsid w:val="004223BC"/>
    <w:rsid w:val="004322F3"/>
    <w:rsid w:val="004352CE"/>
    <w:rsid w:val="00436B6C"/>
    <w:rsid w:val="004378E2"/>
    <w:rsid w:val="00437DDF"/>
    <w:rsid w:val="004426EC"/>
    <w:rsid w:val="00450ED0"/>
    <w:rsid w:val="00452614"/>
    <w:rsid w:val="00457022"/>
    <w:rsid w:val="00464BDF"/>
    <w:rsid w:val="00473399"/>
    <w:rsid w:val="004773DC"/>
    <w:rsid w:val="00477B7D"/>
    <w:rsid w:val="00484C09"/>
    <w:rsid w:val="00490B36"/>
    <w:rsid w:val="00492807"/>
    <w:rsid w:val="00495D6C"/>
    <w:rsid w:val="004B2BD2"/>
    <w:rsid w:val="004C759E"/>
    <w:rsid w:val="004D1479"/>
    <w:rsid w:val="004E0467"/>
    <w:rsid w:val="004E342C"/>
    <w:rsid w:val="004E3C85"/>
    <w:rsid w:val="004E531E"/>
    <w:rsid w:val="004F191A"/>
    <w:rsid w:val="004F35F3"/>
    <w:rsid w:val="004F3F42"/>
    <w:rsid w:val="004F5814"/>
    <w:rsid w:val="004F7079"/>
    <w:rsid w:val="004F74A4"/>
    <w:rsid w:val="00500309"/>
    <w:rsid w:val="00511BA8"/>
    <w:rsid w:val="0051755E"/>
    <w:rsid w:val="0052112E"/>
    <w:rsid w:val="005211B9"/>
    <w:rsid w:val="00524F19"/>
    <w:rsid w:val="00536C05"/>
    <w:rsid w:val="005522FB"/>
    <w:rsid w:val="00563B02"/>
    <w:rsid w:val="00574C50"/>
    <w:rsid w:val="00582636"/>
    <w:rsid w:val="005835DD"/>
    <w:rsid w:val="00592F97"/>
    <w:rsid w:val="005938CF"/>
    <w:rsid w:val="00593978"/>
    <w:rsid w:val="005A2722"/>
    <w:rsid w:val="005B17E2"/>
    <w:rsid w:val="005B58BA"/>
    <w:rsid w:val="005C2775"/>
    <w:rsid w:val="005C66FE"/>
    <w:rsid w:val="005C735D"/>
    <w:rsid w:val="005D181F"/>
    <w:rsid w:val="005D32F8"/>
    <w:rsid w:val="005D54C5"/>
    <w:rsid w:val="005D65EB"/>
    <w:rsid w:val="005D75E2"/>
    <w:rsid w:val="005F27D0"/>
    <w:rsid w:val="005F394F"/>
    <w:rsid w:val="005F739F"/>
    <w:rsid w:val="0060394C"/>
    <w:rsid w:val="00604718"/>
    <w:rsid w:val="00605E4C"/>
    <w:rsid w:val="00605E93"/>
    <w:rsid w:val="00631D0D"/>
    <w:rsid w:val="006363B3"/>
    <w:rsid w:val="00650ADB"/>
    <w:rsid w:val="00652815"/>
    <w:rsid w:val="006555AF"/>
    <w:rsid w:val="00657D0C"/>
    <w:rsid w:val="006600F1"/>
    <w:rsid w:val="00667EC1"/>
    <w:rsid w:val="00677ACD"/>
    <w:rsid w:val="00681049"/>
    <w:rsid w:val="006837B6"/>
    <w:rsid w:val="006846D6"/>
    <w:rsid w:val="0069235E"/>
    <w:rsid w:val="0069743E"/>
    <w:rsid w:val="006A2D17"/>
    <w:rsid w:val="006A3BD4"/>
    <w:rsid w:val="006B06F3"/>
    <w:rsid w:val="006B48DF"/>
    <w:rsid w:val="006B6599"/>
    <w:rsid w:val="006B71A6"/>
    <w:rsid w:val="006B7A7C"/>
    <w:rsid w:val="006B7F9A"/>
    <w:rsid w:val="006C45E4"/>
    <w:rsid w:val="006C54FD"/>
    <w:rsid w:val="006C58AC"/>
    <w:rsid w:val="006C6D18"/>
    <w:rsid w:val="006D0EA0"/>
    <w:rsid w:val="006D7D85"/>
    <w:rsid w:val="006E0394"/>
    <w:rsid w:val="006E4CF0"/>
    <w:rsid w:val="006F599B"/>
    <w:rsid w:val="007068DF"/>
    <w:rsid w:val="0071104A"/>
    <w:rsid w:val="00712AD3"/>
    <w:rsid w:val="0071688F"/>
    <w:rsid w:val="007269C5"/>
    <w:rsid w:val="00733F52"/>
    <w:rsid w:val="00761640"/>
    <w:rsid w:val="007670A0"/>
    <w:rsid w:val="00773C35"/>
    <w:rsid w:val="0077599F"/>
    <w:rsid w:val="00776F15"/>
    <w:rsid w:val="00777D74"/>
    <w:rsid w:val="00780158"/>
    <w:rsid w:val="00781685"/>
    <w:rsid w:val="0079411E"/>
    <w:rsid w:val="007975DF"/>
    <w:rsid w:val="007A3E3F"/>
    <w:rsid w:val="007A4F37"/>
    <w:rsid w:val="007A66D3"/>
    <w:rsid w:val="007B011D"/>
    <w:rsid w:val="007B4B2B"/>
    <w:rsid w:val="007B64DA"/>
    <w:rsid w:val="007C2204"/>
    <w:rsid w:val="007C5E0E"/>
    <w:rsid w:val="007C78A2"/>
    <w:rsid w:val="007D7253"/>
    <w:rsid w:val="007E73BD"/>
    <w:rsid w:val="007F0998"/>
    <w:rsid w:val="007F260E"/>
    <w:rsid w:val="008017F8"/>
    <w:rsid w:val="0080224D"/>
    <w:rsid w:val="0080490C"/>
    <w:rsid w:val="00804921"/>
    <w:rsid w:val="00805F91"/>
    <w:rsid w:val="008145A5"/>
    <w:rsid w:val="008242F3"/>
    <w:rsid w:val="008446D2"/>
    <w:rsid w:val="008519F6"/>
    <w:rsid w:val="0085579D"/>
    <w:rsid w:val="0085593D"/>
    <w:rsid w:val="0086093A"/>
    <w:rsid w:val="00863BAA"/>
    <w:rsid w:val="00864567"/>
    <w:rsid w:val="00866822"/>
    <w:rsid w:val="008711C6"/>
    <w:rsid w:val="00882466"/>
    <w:rsid w:val="00891F66"/>
    <w:rsid w:val="008936F7"/>
    <w:rsid w:val="008A0B25"/>
    <w:rsid w:val="008A2BB1"/>
    <w:rsid w:val="008A55AC"/>
    <w:rsid w:val="008B1683"/>
    <w:rsid w:val="008B3DAA"/>
    <w:rsid w:val="008B5C77"/>
    <w:rsid w:val="008C059E"/>
    <w:rsid w:val="008C1B30"/>
    <w:rsid w:val="008D0CDF"/>
    <w:rsid w:val="008D1CAD"/>
    <w:rsid w:val="008E26BF"/>
    <w:rsid w:val="008F3394"/>
    <w:rsid w:val="008F57B4"/>
    <w:rsid w:val="00911177"/>
    <w:rsid w:val="00912D88"/>
    <w:rsid w:val="009215F8"/>
    <w:rsid w:val="009226C3"/>
    <w:rsid w:val="0093267F"/>
    <w:rsid w:val="00942786"/>
    <w:rsid w:val="009656D9"/>
    <w:rsid w:val="00966BF0"/>
    <w:rsid w:val="00976E82"/>
    <w:rsid w:val="00977094"/>
    <w:rsid w:val="00982A5A"/>
    <w:rsid w:val="00994E0F"/>
    <w:rsid w:val="009A0DC4"/>
    <w:rsid w:val="009A2A20"/>
    <w:rsid w:val="009A3763"/>
    <w:rsid w:val="009A3879"/>
    <w:rsid w:val="009A391A"/>
    <w:rsid w:val="009B373D"/>
    <w:rsid w:val="009C7CB0"/>
    <w:rsid w:val="009D00BD"/>
    <w:rsid w:val="009D02FC"/>
    <w:rsid w:val="009F14BA"/>
    <w:rsid w:val="009F5D7B"/>
    <w:rsid w:val="009F7834"/>
    <w:rsid w:val="00A166B6"/>
    <w:rsid w:val="00A21056"/>
    <w:rsid w:val="00A2701D"/>
    <w:rsid w:val="00A304D4"/>
    <w:rsid w:val="00A345E1"/>
    <w:rsid w:val="00A4023A"/>
    <w:rsid w:val="00A4060F"/>
    <w:rsid w:val="00A44421"/>
    <w:rsid w:val="00A47EC1"/>
    <w:rsid w:val="00A563C3"/>
    <w:rsid w:val="00A66F1F"/>
    <w:rsid w:val="00A671DC"/>
    <w:rsid w:val="00A740E4"/>
    <w:rsid w:val="00A754F8"/>
    <w:rsid w:val="00A75C23"/>
    <w:rsid w:val="00A7645B"/>
    <w:rsid w:val="00A87A6F"/>
    <w:rsid w:val="00AA182E"/>
    <w:rsid w:val="00AA3D32"/>
    <w:rsid w:val="00AA46D7"/>
    <w:rsid w:val="00AA4E93"/>
    <w:rsid w:val="00AA7CA4"/>
    <w:rsid w:val="00AB3777"/>
    <w:rsid w:val="00AC5A04"/>
    <w:rsid w:val="00AC5B56"/>
    <w:rsid w:val="00AD7899"/>
    <w:rsid w:val="00AF0400"/>
    <w:rsid w:val="00B020EE"/>
    <w:rsid w:val="00B0561B"/>
    <w:rsid w:val="00B100CF"/>
    <w:rsid w:val="00B21E03"/>
    <w:rsid w:val="00B22721"/>
    <w:rsid w:val="00B30AEB"/>
    <w:rsid w:val="00B30B8D"/>
    <w:rsid w:val="00B423D3"/>
    <w:rsid w:val="00B42423"/>
    <w:rsid w:val="00B453CD"/>
    <w:rsid w:val="00B45BA2"/>
    <w:rsid w:val="00B62A4D"/>
    <w:rsid w:val="00B716AB"/>
    <w:rsid w:val="00B76A1C"/>
    <w:rsid w:val="00B770D9"/>
    <w:rsid w:val="00B837CB"/>
    <w:rsid w:val="00B8488E"/>
    <w:rsid w:val="00B863C8"/>
    <w:rsid w:val="00B87332"/>
    <w:rsid w:val="00B904C6"/>
    <w:rsid w:val="00B92A0E"/>
    <w:rsid w:val="00B92C96"/>
    <w:rsid w:val="00B940E4"/>
    <w:rsid w:val="00BA2119"/>
    <w:rsid w:val="00BA2F46"/>
    <w:rsid w:val="00BA5080"/>
    <w:rsid w:val="00BA6A6E"/>
    <w:rsid w:val="00BB6567"/>
    <w:rsid w:val="00BC1FBC"/>
    <w:rsid w:val="00BC471E"/>
    <w:rsid w:val="00BD1A2A"/>
    <w:rsid w:val="00BD2749"/>
    <w:rsid w:val="00BD3B18"/>
    <w:rsid w:val="00BE2E61"/>
    <w:rsid w:val="00BE78D4"/>
    <w:rsid w:val="00BF24F6"/>
    <w:rsid w:val="00BF5749"/>
    <w:rsid w:val="00BF636F"/>
    <w:rsid w:val="00BF79DB"/>
    <w:rsid w:val="00C030A1"/>
    <w:rsid w:val="00C055E7"/>
    <w:rsid w:val="00C05B0C"/>
    <w:rsid w:val="00C06237"/>
    <w:rsid w:val="00C11B5D"/>
    <w:rsid w:val="00C17264"/>
    <w:rsid w:val="00C31280"/>
    <w:rsid w:val="00C36871"/>
    <w:rsid w:val="00C41B90"/>
    <w:rsid w:val="00C4468D"/>
    <w:rsid w:val="00C54B43"/>
    <w:rsid w:val="00C60584"/>
    <w:rsid w:val="00C76E54"/>
    <w:rsid w:val="00C8044D"/>
    <w:rsid w:val="00C8231E"/>
    <w:rsid w:val="00CA1A69"/>
    <w:rsid w:val="00CA1AE9"/>
    <w:rsid w:val="00CA1E12"/>
    <w:rsid w:val="00CA3DCD"/>
    <w:rsid w:val="00CA6245"/>
    <w:rsid w:val="00CA62B8"/>
    <w:rsid w:val="00CA6EEE"/>
    <w:rsid w:val="00CB1A9F"/>
    <w:rsid w:val="00CB5CBF"/>
    <w:rsid w:val="00CB73CF"/>
    <w:rsid w:val="00CC374D"/>
    <w:rsid w:val="00CC3EB9"/>
    <w:rsid w:val="00CC631B"/>
    <w:rsid w:val="00CC6573"/>
    <w:rsid w:val="00CD0CE2"/>
    <w:rsid w:val="00CD6A8B"/>
    <w:rsid w:val="00CF336D"/>
    <w:rsid w:val="00CF39D9"/>
    <w:rsid w:val="00D009E1"/>
    <w:rsid w:val="00D00B3A"/>
    <w:rsid w:val="00D0222B"/>
    <w:rsid w:val="00D05224"/>
    <w:rsid w:val="00D1794A"/>
    <w:rsid w:val="00D2288D"/>
    <w:rsid w:val="00D24B1A"/>
    <w:rsid w:val="00D33400"/>
    <w:rsid w:val="00D45E28"/>
    <w:rsid w:val="00D64C5E"/>
    <w:rsid w:val="00D65662"/>
    <w:rsid w:val="00D671E3"/>
    <w:rsid w:val="00D67FA9"/>
    <w:rsid w:val="00D70A23"/>
    <w:rsid w:val="00D766F8"/>
    <w:rsid w:val="00D84765"/>
    <w:rsid w:val="00D91E4F"/>
    <w:rsid w:val="00D96135"/>
    <w:rsid w:val="00D97972"/>
    <w:rsid w:val="00DA1FC9"/>
    <w:rsid w:val="00DA3D88"/>
    <w:rsid w:val="00DA3F8A"/>
    <w:rsid w:val="00DB1D8D"/>
    <w:rsid w:val="00DB4ABA"/>
    <w:rsid w:val="00DC45A4"/>
    <w:rsid w:val="00DD0859"/>
    <w:rsid w:val="00DE1923"/>
    <w:rsid w:val="00DE42EA"/>
    <w:rsid w:val="00DE7A75"/>
    <w:rsid w:val="00E01105"/>
    <w:rsid w:val="00E02A21"/>
    <w:rsid w:val="00E038AF"/>
    <w:rsid w:val="00E237D0"/>
    <w:rsid w:val="00E23C84"/>
    <w:rsid w:val="00E24CAD"/>
    <w:rsid w:val="00E25A79"/>
    <w:rsid w:val="00E33450"/>
    <w:rsid w:val="00E35F53"/>
    <w:rsid w:val="00E46B1F"/>
    <w:rsid w:val="00E56741"/>
    <w:rsid w:val="00E5768B"/>
    <w:rsid w:val="00E60E1C"/>
    <w:rsid w:val="00E67241"/>
    <w:rsid w:val="00E97F74"/>
    <w:rsid w:val="00EA0754"/>
    <w:rsid w:val="00EA4E1B"/>
    <w:rsid w:val="00EA72A0"/>
    <w:rsid w:val="00EB041F"/>
    <w:rsid w:val="00EB1078"/>
    <w:rsid w:val="00EB5095"/>
    <w:rsid w:val="00EB65B9"/>
    <w:rsid w:val="00EC480A"/>
    <w:rsid w:val="00EC496A"/>
    <w:rsid w:val="00ED2D49"/>
    <w:rsid w:val="00EE151A"/>
    <w:rsid w:val="00EE27E9"/>
    <w:rsid w:val="00EF4315"/>
    <w:rsid w:val="00EF5C7E"/>
    <w:rsid w:val="00EF6049"/>
    <w:rsid w:val="00EF70F7"/>
    <w:rsid w:val="00F30661"/>
    <w:rsid w:val="00F31FB5"/>
    <w:rsid w:val="00F36F90"/>
    <w:rsid w:val="00F44E3B"/>
    <w:rsid w:val="00F461E0"/>
    <w:rsid w:val="00F51872"/>
    <w:rsid w:val="00F54897"/>
    <w:rsid w:val="00F75A19"/>
    <w:rsid w:val="00F7692E"/>
    <w:rsid w:val="00F83333"/>
    <w:rsid w:val="00F848B1"/>
    <w:rsid w:val="00F917DA"/>
    <w:rsid w:val="00F955C7"/>
    <w:rsid w:val="00FA605C"/>
    <w:rsid w:val="00FB63B1"/>
    <w:rsid w:val="00FB6AD5"/>
    <w:rsid w:val="00FC2CD6"/>
    <w:rsid w:val="00FC4164"/>
    <w:rsid w:val="00FD13A9"/>
    <w:rsid w:val="00FD31B4"/>
    <w:rsid w:val="00FD4815"/>
    <w:rsid w:val="00FD4A76"/>
    <w:rsid w:val="00FD5D08"/>
    <w:rsid w:val="00FE2717"/>
    <w:rsid w:val="00FE4941"/>
    <w:rsid w:val="00FE4E28"/>
    <w:rsid w:val="00FE57A3"/>
    <w:rsid w:val="00FF1E47"/>
    <w:rsid w:val="00FF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argrafodaLista">
    <w:name w:val="List Paragraph"/>
    <w:basedOn w:val="Normal"/>
    <w:uiPriority w:val="34"/>
    <w:qFormat/>
    <w:rsid w:val="00BF79D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Reviso">
    <w:name w:val="Revision"/>
    <w:hidden/>
    <w:uiPriority w:val="99"/>
    <w:semiHidden/>
    <w:rsid w:val="002E5F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EFB73-127F-496F-AD2C-F5DD448C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1196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user0</cp:lastModifiedBy>
  <cp:revision>3</cp:revision>
  <dcterms:created xsi:type="dcterms:W3CDTF">2023-08-24T18:49:00Z</dcterms:created>
  <dcterms:modified xsi:type="dcterms:W3CDTF">2023-08-24T19:52:00Z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